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10C71C8E" w14:textId="2999FB53" w:rsidR="00BB461E" w:rsidRPr="0073329D" w:rsidRDefault="00BB461E" w:rsidP="00BB461E">
      <w:pPr>
        <w:jc w:val="center"/>
        <w:rPr>
          <w:b/>
        </w:rPr>
      </w:pPr>
      <w:proofErr w:type="spellStart"/>
      <w:r>
        <w:rPr>
          <w:b/>
        </w:rPr>
        <w:t>Opdivo</w:t>
      </w:r>
      <w:proofErr w:type="spellEnd"/>
      <w:r w:rsidRPr="0073329D">
        <w:rPr>
          <w:b/>
        </w:rPr>
        <w:t xml:space="preserve"> </w:t>
      </w:r>
      <w:r>
        <w:rPr>
          <w:b/>
        </w:rPr>
        <w:t>10</w:t>
      </w:r>
      <w:r w:rsidR="006D3DD1">
        <w:rPr>
          <w:b/>
        </w:rPr>
        <w:t xml:space="preserve"> </w:t>
      </w:r>
      <w:r>
        <w:rPr>
          <w:b/>
        </w:rPr>
        <w:t xml:space="preserve">mg/ml koncentratas infuziniam tirpalui </w:t>
      </w:r>
    </w:p>
    <w:p w14:paraId="419F1CB9" w14:textId="77777777" w:rsidR="00BB461E" w:rsidRPr="0073329D" w:rsidRDefault="00BB461E" w:rsidP="00BB461E">
      <w:pPr>
        <w:jc w:val="center"/>
      </w:pPr>
    </w:p>
    <w:p w14:paraId="101DB456" w14:textId="77777777" w:rsidR="00BB461E" w:rsidRPr="0073329D" w:rsidRDefault="00BB461E" w:rsidP="00BB461E">
      <w:pPr>
        <w:jc w:val="center"/>
      </w:pPr>
      <w:proofErr w:type="spellStart"/>
      <w:r>
        <w:rPr>
          <w:b/>
        </w:rPr>
        <w:t>Nivolumabas</w:t>
      </w:r>
      <w:proofErr w:type="spellEnd"/>
    </w:p>
    <w:p w14:paraId="07010BE3" w14:textId="77777777" w:rsidR="00F65CE3" w:rsidRPr="00F65CE3" w:rsidRDefault="00F65CE3" w:rsidP="00F65CE3">
      <w:pPr>
        <w:spacing w:line="276" w:lineRule="auto"/>
        <w:jc w:val="center"/>
        <w:rPr>
          <w:b/>
          <w:sz w:val="26"/>
          <w:szCs w:val="26"/>
        </w:rPr>
      </w:pPr>
    </w:p>
    <w:p w14:paraId="453197C8" w14:textId="0BC61D8D" w:rsidR="00D4708D" w:rsidRPr="000203E1" w:rsidRDefault="00F65CE3" w:rsidP="003B211A">
      <w:pPr>
        <w:jc w:val="center"/>
        <w:rPr>
          <w:b/>
        </w:rPr>
      </w:pPr>
      <w:r w:rsidRPr="00F65CE3">
        <w:rPr>
          <w:b/>
          <w:sz w:val="26"/>
          <w:szCs w:val="26"/>
        </w:rPr>
        <w:t>STV-</w:t>
      </w:r>
      <w:r w:rsidR="00BB461E">
        <w:rPr>
          <w:b/>
          <w:sz w:val="26"/>
          <w:szCs w:val="26"/>
        </w:rPr>
        <w:t>217</w:t>
      </w: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C22A0" w:rsidRPr="000203E1" w14:paraId="18A83EC2" w14:textId="77777777" w:rsidTr="00BE7489">
        <w:trPr>
          <w:trHeight w:val="538"/>
        </w:trPr>
        <w:tc>
          <w:tcPr>
            <w:tcW w:w="632" w:type="dxa"/>
          </w:tcPr>
          <w:p w14:paraId="0646FBEA" w14:textId="77777777" w:rsidR="00BC22A0" w:rsidRPr="000203E1" w:rsidRDefault="00BC22A0" w:rsidP="00BC22A0">
            <w:pPr>
              <w:rPr>
                <w:rFonts w:eastAsia="Arial"/>
              </w:rPr>
            </w:pPr>
            <w:r w:rsidRPr="000203E1">
              <w:rPr>
                <w:rFonts w:eastAsia="Arial"/>
              </w:rPr>
              <w:t>1.1</w:t>
            </w:r>
          </w:p>
        </w:tc>
        <w:tc>
          <w:tcPr>
            <w:tcW w:w="3694" w:type="dxa"/>
          </w:tcPr>
          <w:p w14:paraId="6C3AE864" w14:textId="77777777" w:rsidR="00BC22A0" w:rsidRPr="000203E1" w:rsidRDefault="00BC22A0" w:rsidP="00BC22A0">
            <w:pPr>
              <w:rPr>
                <w:rFonts w:eastAsia="Arial"/>
              </w:rPr>
            </w:pPr>
            <w:r w:rsidRPr="000203E1">
              <w:rPr>
                <w:rFonts w:eastAsia="Arial"/>
              </w:rPr>
              <w:t>Pareiškėjas</w:t>
            </w:r>
          </w:p>
          <w:p w14:paraId="2AF240DC" w14:textId="77777777" w:rsidR="00BC22A0" w:rsidRPr="000203E1" w:rsidRDefault="00BC22A0" w:rsidP="00BC22A0">
            <w:pPr>
              <w:rPr>
                <w:rFonts w:eastAsia="Arial"/>
              </w:rPr>
            </w:pPr>
          </w:p>
        </w:tc>
        <w:tc>
          <w:tcPr>
            <w:tcW w:w="5167" w:type="dxa"/>
          </w:tcPr>
          <w:p w14:paraId="2AAF0D91" w14:textId="6629C6E7" w:rsidR="00BC22A0" w:rsidRPr="000203E1" w:rsidRDefault="00BC22A0" w:rsidP="00BC22A0">
            <w:pPr>
              <w:rPr>
                <w:rFonts w:eastAsia="Arial"/>
              </w:rPr>
            </w:pPr>
            <w:r w:rsidRPr="00B93732">
              <w:t xml:space="preserve">UAB </w:t>
            </w:r>
            <w:r w:rsidR="008F60D4">
              <w:t>„</w:t>
            </w:r>
            <w:r>
              <w:t xml:space="preserve">Swixx </w:t>
            </w:r>
            <w:proofErr w:type="spellStart"/>
            <w:r>
              <w:t>Biopharma</w:t>
            </w:r>
            <w:proofErr w:type="spellEnd"/>
            <w:r w:rsidR="008F60D4">
              <w:t>“</w:t>
            </w:r>
          </w:p>
        </w:tc>
      </w:tr>
      <w:tr w:rsidR="00BB461E" w:rsidRPr="000203E1" w14:paraId="31998B0D" w14:textId="77777777" w:rsidTr="00BE7489">
        <w:trPr>
          <w:trHeight w:val="538"/>
        </w:trPr>
        <w:tc>
          <w:tcPr>
            <w:tcW w:w="632" w:type="dxa"/>
          </w:tcPr>
          <w:p w14:paraId="2005EC67" w14:textId="662300D0" w:rsidR="00BB461E" w:rsidRPr="000203E1" w:rsidRDefault="00BB461E" w:rsidP="00BB461E">
            <w:pPr>
              <w:rPr>
                <w:rFonts w:eastAsia="Arial"/>
              </w:rPr>
            </w:pPr>
            <w:r w:rsidRPr="000203E1">
              <w:rPr>
                <w:rFonts w:eastAsia="Arial"/>
              </w:rPr>
              <w:t>1.2</w:t>
            </w:r>
          </w:p>
        </w:tc>
        <w:tc>
          <w:tcPr>
            <w:tcW w:w="3694" w:type="dxa"/>
          </w:tcPr>
          <w:p w14:paraId="1E4AE3B1" w14:textId="77777777" w:rsidR="00BB461E" w:rsidRPr="000203E1" w:rsidRDefault="00BB461E" w:rsidP="00BB461E">
            <w:pPr>
              <w:rPr>
                <w:bCs/>
                <w:lang w:eastAsia="lt-LT"/>
              </w:rPr>
            </w:pPr>
            <w:r w:rsidRPr="000203E1">
              <w:rPr>
                <w:bCs/>
                <w:lang w:eastAsia="lt-LT"/>
              </w:rPr>
              <w:t xml:space="preserve">Registracijos data </w:t>
            </w:r>
          </w:p>
          <w:p w14:paraId="3A0DC096" w14:textId="77777777" w:rsidR="00BB461E" w:rsidRPr="000203E1" w:rsidRDefault="00BB461E" w:rsidP="00BB461E">
            <w:pPr>
              <w:rPr>
                <w:bCs/>
                <w:lang w:eastAsia="lt-LT"/>
              </w:rPr>
            </w:pPr>
          </w:p>
        </w:tc>
        <w:tc>
          <w:tcPr>
            <w:tcW w:w="5167" w:type="dxa"/>
          </w:tcPr>
          <w:p w14:paraId="3CA218AD" w14:textId="5A67EAF2" w:rsidR="00BB461E" w:rsidRPr="000203E1" w:rsidRDefault="0049758D" w:rsidP="00BB461E">
            <w:pPr>
              <w:rPr>
                <w:rStyle w:val="Style2"/>
              </w:rPr>
            </w:pPr>
            <w:sdt>
              <w:sdtPr>
                <w:rPr>
                  <w:sz w:val="32"/>
                </w:rPr>
                <w:alias w:val="Nurodykite konkrečią dieną"/>
                <w:tag w:val="Nurodykite pradžios datą"/>
                <w:id w:val="423238108"/>
                <w:placeholder>
                  <w:docPart w:val="CAD47E99CBA34FAB92168F24541318B3"/>
                </w:placeholder>
                <w15:color w:val="FFCC99"/>
                <w:date>
                  <w:dateFormat w:val="yyyy 'm.' MMMM d 'd.'"/>
                  <w:lid w:val="lt-LT"/>
                  <w:storeMappedDataAs w:val="dateTime"/>
                  <w:calendar w:val="gregorian"/>
                </w:date>
              </w:sdtPr>
              <w:sdtEndPr>
                <w:rPr>
                  <w:sz w:val="24"/>
                </w:rPr>
              </w:sdtEndPr>
              <w:sdtContent>
                <w:r w:rsidR="00BB461E" w:rsidRPr="00870CC5">
                  <w:t xml:space="preserve">2015 m. </w:t>
                </w:r>
                <w:r w:rsidR="00BB461E">
                  <w:t>birželio</w:t>
                </w:r>
                <w:r w:rsidR="00BB461E" w:rsidRPr="00870CC5">
                  <w:t xml:space="preserve"> 1</w:t>
                </w:r>
                <w:r w:rsidR="00BB461E">
                  <w:t>9</w:t>
                </w:r>
                <w:r w:rsidR="00BB461E" w:rsidRPr="00870CC5">
                  <w:t xml:space="preserve"> d.</w:t>
                </w:r>
              </w:sdtContent>
            </w:sdt>
          </w:p>
        </w:tc>
      </w:tr>
      <w:tr w:rsidR="00016F32" w:rsidRPr="000203E1" w14:paraId="15968AE1" w14:textId="77777777" w:rsidTr="00BE7489">
        <w:trPr>
          <w:trHeight w:val="1500"/>
        </w:trPr>
        <w:tc>
          <w:tcPr>
            <w:tcW w:w="632" w:type="dxa"/>
          </w:tcPr>
          <w:p w14:paraId="6A784245" w14:textId="1E461489" w:rsidR="00016F32" w:rsidRPr="000203E1" w:rsidRDefault="00016F32" w:rsidP="00016F32">
            <w:pPr>
              <w:rPr>
                <w:rFonts w:eastAsia="Arial"/>
              </w:rPr>
            </w:pPr>
            <w:r w:rsidRPr="000203E1">
              <w:rPr>
                <w:rFonts w:eastAsia="Arial"/>
              </w:rPr>
              <w:t>1.3</w:t>
            </w:r>
          </w:p>
        </w:tc>
        <w:tc>
          <w:tcPr>
            <w:tcW w:w="3694" w:type="dxa"/>
          </w:tcPr>
          <w:p w14:paraId="22933506" w14:textId="77777777" w:rsidR="00016F32" w:rsidRPr="000203E1" w:rsidRDefault="00016F32" w:rsidP="00016F32">
            <w:r w:rsidRPr="000203E1">
              <w:t xml:space="preserve">Paraiškos tipas </w:t>
            </w:r>
          </w:p>
          <w:p w14:paraId="0465E680" w14:textId="7F0A0714" w:rsidR="00016F32" w:rsidRPr="000203E1" w:rsidRDefault="00016F32" w:rsidP="00016F32">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77089D80" w14:textId="6681D72A" w:rsidR="00016F32" w:rsidRPr="000203E1" w:rsidRDefault="00016F32" w:rsidP="00016F32">
            <w:pPr>
              <w:rPr>
                <w:bCs/>
                <w:lang w:eastAsia="lt-LT"/>
              </w:rPr>
            </w:pPr>
          </w:p>
        </w:tc>
        <w:tc>
          <w:tcPr>
            <w:tcW w:w="5167" w:type="dxa"/>
          </w:tcPr>
          <w:p w14:paraId="7161AE24" w14:textId="77777777" w:rsidR="00016F32" w:rsidRPr="00D05364" w:rsidRDefault="0049758D" w:rsidP="00016F32">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rPr>
                  <w:t>☒</w:t>
                </w:r>
              </w:sdtContent>
            </w:sdt>
            <w:r w:rsidR="00016F32" w:rsidRPr="00D05364">
              <w:t xml:space="preserve"> 8.3 str. (pilna byla, pagrįsta savais tyrimais) </w:t>
            </w:r>
          </w:p>
          <w:p w14:paraId="4B6285C7" w14:textId="77777777" w:rsidR="00016F32" w:rsidRPr="00D05364" w:rsidRDefault="0049758D" w:rsidP="00016F32">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016F32" w:rsidRPr="00D05364">
                  <w:rPr>
                    <w:rStyle w:val="Style2"/>
                    <w:rFonts w:ascii="Segoe UI Symbol" w:eastAsia="MS Gothic" w:hAnsi="Segoe UI Symbol" w:cs="Segoe UI Symbol"/>
                  </w:rPr>
                  <w:t>☐</w:t>
                </w:r>
              </w:sdtContent>
            </w:sdt>
            <w:r w:rsidR="00016F32" w:rsidRPr="00D05364">
              <w:t xml:space="preserve"> 10 a str. (pripažintas medicininis vartojimas) </w:t>
            </w:r>
          </w:p>
          <w:p w14:paraId="1DB2EFF2" w14:textId="77777777" w:rsidR="00016F32" w:rsidRPr="00D05364" w:rsidRDefault="0049758D" w:rsidP="00016F32">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016F32" w:rsidRPr="00D05364">
                  <w:rPr>
                    <w:rStyle w:val="Style2"/>
                    <w:rFonts w:ascii="MS Gothic" w:eastAsia="MS Gothic" w:hAnsi="MS Gothic" w:hint="eastAsia"/>
                  </w:rPr>
                  <w:t>☐</w:t>
                </w:r>
              </w:sdtContent>
            </w:sdt>
            <w:r w:rsidR="00016F32" w:rsidRPr="00D05364">
              <w:t xml:space="preserve"> 10.1 str. (</w:t>
            </w:r>
            <w:proofErr w:type="spellStart"/>
            <w:r w:rsidR="00016F32" w:rsidRPr="00D05364">
              <w:t>generinis</w:t>
            </w:r>
            <w:proofErr w:type="spellEnd"/>
            <w:r w:rsidR="00016F32" w:rsidRPr="00D05364">
              <w:t>)</w:t>
            </w:r>
          </w:p>
          <w:p w14:paraId="3B0A4F72" w14:textId="03D46A24" w:rsidR="00016F32" w:rsidRPr="000203E1" w:rsidRDefault="0049758D" w:rsidP="00016F32">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BC14F9">
                  <w:rPr>
                    <w:rStyle w:val="Style2"/>
                    <w:rFonts w:ascii="MS Gothic" w:eastAsia="MS Gothic" w:hAnsi="MS Gothic" w:hint="eastAsia"/>
                  </w:rPr>
                  <w:t>☐</w:t>
                </w:r>
              </w:sdtContent>
            </w:sdt>
            <w:r w:rsidR="00016F32" w:rsidRPr="00D05364">
              <w:t xml:space="preserve"> 10.3 str. (hibridinis)</w:t>
            </w:r>
          </w:p>
        </w:tc>
      </w:tr>
      <w:tr w:rsidR="00016F32" w:rsidRPr="000203E1" w14:paraId="310E9662" w14:textId="77777777" w:rsidTr="00BE7489">
        <w:trPr>
          <w:trHeight w:val="1442"/>
        </w:trPr>
        <w:tc>
          <w:tcPr>
            <w:tcW w:w="632" w:type="dxa"/>
          </w:tcPr>
          <w:p w14:paraId="4B5A91A2" w14:textId="561B5E5F" w:rsidR="00016F32" w:rsidRPr="000203E1" w:rsidRDefault="00016F32" w:rsidP="00016F32">
            <w:pPr>
              <w:rPr>
                <w:rFonts w:eastAsia="Arial"/>
              </w:rPr>
            </w:pPr>
            <w:r w:rsidRPr="000203E1">
              <w:rPr>
                <w:rFonts w:eastAsia="Arial"/>
              </w:rPr>
              <w:t>1.4</w:t>
            </w:r>
          </w:p>
        </w:tc>
        <w:tc>
          <w:tcPr>
            <w:tcW w:w="3694" w:type="dxa"/>
          </w:tcPr>
          <w:p w14:paraId="6C91E105" w14:textId="77777777" w:rsidR="00016F32" w:rsidRPr="000203E1" w:rsidRDefault="00016F32" w:rsidP="00016F32">
            <w:pPr>
              <w:rPr>
                <w:bCs/>
                <w:lang w:eastAsia="lt-LT"/>
              </w:rPr>
            </w:pPr>
            <w:r w:rsidRPr="000203E1">
              <w:rPr>
                <w:bCs/>
                <w:lang w:eastAsia="lt-LT"/>
              </w:rPr>
              <w:t xml:space="preserve">Ar vaistinis preparatas įrašytas į Bendrijos retųjų vaistinių preparatų registrą? </w:t>
            </w:r>
          </w:p>
          <w:p w14:paraId="33726F9C" w14:textId="77777777" w:rsidR="00016F32" w:rsidRPr="000203E1" w:rsidRDefault="00016F32" w:rsidP="00016F32">
            <w:pPr>
              <w:rPr>
                <w:bCs/>
                <w:i/>
                <w:lang w:eastAsia="lt-LT"/>
              </w:rPr>
            </w:pPr>
          </w:p>
          <w:p w14:paraId="483071A3" w14:textId="0F633FFC" w:rsidR="00016F32" w:rsidRPr="000203E1" w:rsidRDefault="00016F32" w:rsidP="00016F32">
            <w:pPr>
              <w:rPr>
                <w:bCs/>
                <w:lang w:eastAsia="lt-LT"/>
              </w:rPr>
            </w:pPr>
            <w:r w:rsidRPr="000203E1">
              <w:rPr>
                <w:bCs/>
                <w:i/>
                <w:sz w:val="20"/>
                <w:lang w:eastAsia="lt-LT"/>
              </w:rPr>
              <w:t>Jei taip, nurodykite įrašymo datą ir numerį</w:t>
            </w:r>
          </w:p>
        </w:tc>
        <w:tc>
          <w:tcPr>
            <w:tcW w:w="5167" w:type="dxa"/>
          </w:tcPr>
          <w:p w14:paraId="36FD99A7" w14:textId="605F12C6" w:rsidR="00016F32" w:rsidRPr="00D05364" w:rsidRDefault="0049758D" w:rsidP="00016F32">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BB461E">
                  <w:rPr>
                    <w:rStyle w:val="Style2"/>
                    <w:rFonts w:ascii="MS Gothic" w:eastAsia="MS Gothic" w:hAnsi="MS Gothic" w:hint="eastAsia"/>
                  </w:rPr>
                  <w:t>☐</w:t>
                </w:r>
              </w:sdtContent>
            </w:sdt>
            <w:r w:rsidR="00016F32" w:rsidRPr="00D05364">
              <w:t xml:space="preserve"> Taip</w:t>
            </w:r>
          </w:p>
          <w:p w14:paraId="39FC7463" w14:textId="6FEF25F4" w:rsidR="00016F32" w:rsidRPr="00D05364" w:rsidRDefault="0049758D" w:rsidP="00016F32">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BB461E">
                  <w:rPr>
                    <w:rStyle w:val="Style2"/>
                    <w:rFonts w:ascii="MS Gothic" w:eastAsia="MS Gothic" w:hAnsi="MS Gothic" w:hint="eastAsia"/>
                  </w:rPr>
                  <w:t>☒</w:t>
                </w:r>
              </w:sdtContent>
            </w:sdt>
            <w:r w:rsidR="00016F32" w:rsidRPr="00D05364">
              <w:t xml:space="preserve"> Ne</w:t>
            </w:r>
          </w:p>
          <w:p w14:paraId="29C2CBBB" w14:textId="13B6D9D1" w:rsidR="00016F32" w:rsidRPr="000203E1" w:rsidRDefault="0049758D" w:rsidP="00016F32">
            <w:pPr>
              <w:rPr>
                <w:rFonts w:eastAsia="Arial"/>
              </w:rPr>
            </w:pPr>
            <w:sdt>
              <w:sdtPr>
                <w:rPr>
                  <w:szCs w:val="20"/>
                </w:rPr>
                <w:alias w:val="Nurodykite konkrečią dieną"/>
                <w:tag w:val="Nurodykite pradžios datą"/>
                <w:id w:val="693498901"/>
                <w:placeholder>
                  <w:docPart w:val="D566CB46DD264044942D307E8C3417B9"/>
                </w:placeholder>
                <w:showingPlcHdr/>
                <w15:color w:val="FFCC99"/>
                <w:date>
                  <w:dateFormat w:val="yyyy 'm.' MMMM d 'd.'"/>
                  <w:lid w:val="lt-LT"/>
                  <w:storeMappedDataAs w:val="dateTime"/>
                  <w:calendar w:val="gregorian"/>
                </w:date>
              </w:sdtPr>
              <w:sdtEndPr/>
              <w:sdtContent>
                <w:r w:rsidR="00BB461E">
                  <w:rPr>
                    <w:rStyle w:val="PlaceholderText"/>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671ADAEE" w:rsidR="00D417D2" w:rsidRPr="000203E1" w:rsidRDefault="0049758D"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49758D"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w:t>
            </w:r>
            <w:proofErr w:type="spellStart"/>
            <w:r w:rsidR="00B13D65" w:rsidRPr="000203E1">
              <w:rPr>
                <w:bCs/>
                <w:lang w:eastAsia="lt-LT"/>
              </w:rPr>
              <w:t>os</w:t>
            </w:r>
            <w:proofErr w:type="spellEnd"/>
            <w:r w:rsidR="00B13D65" w:rsidRPr="000203E1">
              <w:rPr>
                <w:bCs/>
                <w:lang w:eastAsia="lt-LT"/>
              </w:rPr>
              <w:t>) kompensuoti vaistinio preparato indikacija (-</w:t>
            </w:r>
            <w:proofErr w:type="spellStart"/>
            <w:r w:rsidR="00B13D65" w:rsidRPr="000203E1">
              <w:rPr>
                <w:bCs/>
                <w:lang w:eastAsia="lt-LT"/>
              </w:rPr>
              <w:t>os</w:t>
            </w:r>
            <w:proofErr w:type="spellEnd"/>
            <w:r w:rsidR="00B13D65" w:rsidRPr="000203E1">
              <w:rPr>
                <w:bCs/>
                <w:lang w:eastAsia="lt-LT"/>
              </w:rPr>
              <w:t>)</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0CBCDB7A" w14:textId="77777777" w:rsidR="00BB461E" w:rsidRDefault="00BB461E" w:rsidP="00BB461E">
            <w:pPr>
              <w:spacing w:after="120"/>
              <w:jc w:val="both"/>
            </w:pPr>
            <w:r w:rsidRPr="00AD4065">
              <w:rPr>
                <w:bCs/>
              </w:rPr>
              <w:t xml:space="preserve">OPDIVO derinys su sudėtine chemoterapija </w:t>
            </w:r>
            <w:proofErr w:type="spellStart"/>
            <w:r w:rsidRPr="00AD4065">
              <w:rPr>
                <w:bCs/>
              </w:rPr>
              <w:t>fluoropirimidino</w:t>
            </w:r>
            <w:proofErr w:type="spellEnd"/>
            <w:r w:rsidRPr="00AD4065">
              <w:rPr>
                <w:bCs/>
              </w:rPr>
              <w:t xml:space="preserve"> ir platinos pagrindu yra skirtas suaugusių pacientų neoperuotinos, išplitusios, atsinaujinusios ar </w:t>
            </w:r>
            <w:proofErr w:type="spellStart"/>
            <w:r w:rsidRPr="00AD4065">
              <w:rPr>
                <w:bCs/>
              </w:rPr>
              <w:t>metastazavusios</w:t>
            </w:r>
            <w:proofErr w:type="spellEnd"/>
            <w:r w:rsidRPr="00AD4065">
              <w:rPr>
                <w:bCs/>
              </w:rPr>
              <w:t xml:space="preserve"> stemplės </w:t>
            </w:r>
            <w:proofErr w:type="spellStart"/>
            <w:r w:rsidRPr="00AD4065">
              <w:rPr>
                <w:bCs/>
              </w:rPr>
              <w:t>plokščialąstelinės</w:t>
            </w:r>
            <w:proofErr w:type="spellEnd"/>
            <w:r w:rsidRPr="00AD4065">
              <w:rPr>
                <w:bCs/>
              </w:rPr>
              <w:t xml:space="preserve"> karcinomos, kurios ląstelių PD-L1 raiška yra ≥ 1 %, pirmaeiliam gydymui.</w:t>
            </w:r>
          </w:p>
          <w:p w14:paraId="13F7DFB0" w14:textId="4299DC2B" w:rsidR="00B13D65" w:rsidRPr="000203E1" w:rsidRDefault="00BB461E" w:rsidP="00BB461E">
            <w:pPr>
              <w:pStyle w:val="ListParagraph"/>
              <w:spacing w:after="120" w:line="276" w:lineRule="auto"/>
              <w:ind w:left="0"/>
              <w:jc w:val="both"/>
            </w:pPr>
            <w:r>
              <w:t>TLK-10 AM kodai: C15</w:t>
            </w:r>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081039F9" w:rsidR="00B13D65" w:rsidRPr="000203E1" w:rsidRDefault="00BB461E" w:rsidP="00824B92">
            <w:r>
              <w:t>Pagal registruotą indikaciją</w:t>
            </w:r>
            <w:r w:rsidR="00BC22A0">
              <w:t>.</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lastRenderedPageBreak/>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7593C355" w:rsidR="009F4D66" w:rsidRPr="000203E1" w:rsidRDefault="0049758D"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BC22A0">
                  <w:rPr>
                    <w:rStyle w:val="Style2"/>
                    <w:rFonts w:ascii="MS Gothic" w:eastAsia="MS Gothic" w:hAnsi="MS Gothic" w:hint="eastAsia"/>
                    <w:sz w:val="24"/>
                  </w:rPr>
                  <w:t>☒</w:t>
                </w:r>
              </w:sdtContent>
            </w:sdt>
            <w:r w:rsidR="009F4D66" w:rsidRPr="000203E1">
              <w:t xml:space="preserve"> Tinkamas</w:t>
            </w:r>
            <w:r w:rsidR="00BC22A0">
              <w:t xml:space="preserve"> (</w:t>
            </w:r>
            <w:r w:rsidR="00BB461E">
              <w:t xml:space="preserve">chemoterapija </w:t>
            </w:r>
            <w:proofErr w:type="spellStart"/>
            <w:r w:rsidR="00BB461E">
              <w:t>fluoropirimidino</w:t>
            </w:r>
            <w:proofErr w:type="spellEnd"/>
            <w:r w:rsidR="00BB461E">
              <w:t xml:space="preserve"> ir platinos pagrindu</w:t>
            </w:r>
            <w:r w:rsidR="00BC22A0">
              <w:t>)</w:t>
            </w:r>
          </w:p>
          <w:p w14:paraId="41B44044" w14:textId="1634A51D" w:rsidR="00B13D65" w:rsidRPr="000203E1" w:rsidRDefault="0049758D"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BC22A0">
                  <w:rPr>
                    <w:rStyle w:val="Style2"/>
                    <w:rFonts w:ascii="MS Gothic" w:eastAsia="MS Gothic" w:hAnsi="MS Gothic" w:hint="eastAsia"/>
                    <w:sz w:val="24"/>
                  </w:rPr>
                  <w:t>☐</w:t>
                </w:r>
              </w:sdtContent>
            </w:sdt>
            <w:r w:rsidR="009F4D66" w:rsidRPr="000203E1">
              <w:t xml:space="preserve"> Netinkama</w:t>
            </w:r>
            <w:r w:rsidR="00016F32">
              <w:t>s</w:t>
            </w:r>
          </w:p>
        </w:tc>
      </w:tr>
    </w:tbl>
    <w:p w14:paraId="2B205D1B" w14:textId="77777777" w:rsidR="00876EF8" w:rsidRPr="000203E1" w:rsidRDefault="00876EF8"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2EB7FD31" w14:textId="4D2A8479" w:rsidR="007A2B68" w:rsidRPr="000203E1" w:rsidRDefault="007A2B68" w:rsidP="00E03C3F">
      <w:pPr>
        <w:pStyle w:val="ListParagraph"/>
        <w:tabs>
          <w:tab w:val="left" w:pos="426"/>
        </w:tabs>
        <w:ind w:left="0"/>
        <w:rPr>
          <w:b/>
          <w:bCs/>
          <w:caps/>
        </w:rPr>
      </w:pPr>
    </w:p>
    <w:tbl>
      <w:tblPr>
        <w:tblStyle w:val="TableGrid"/>
        <w:tblW w:w="9918" w:type="dxa"/>
        <w:tblLook w:val="04A0" w:firstRow="1" w:lastRow="0" w:firstColumn="1" w:lastColumn="0" w:noHBand="0" w:noVBand="1"/>
      </w:tblPr>
      <w:tblGrid>
        <w:gridCol w:w="2927"/>
        <w:gridCol w:w="1915"/>
        <w:gridCol w:w="2351"/>
        <w:gridCol w:w="2725"/>
      </w:tblGrid>
      <w:tr w:rsidR="00BB461E" w:rsidRPr="0073329D" w14:paraId="5C391AA7" w14:textId="77777777" w:rsidTr="00464A38">
        <w:trPr>
          <w:trHeight w:val="924"/>
        </w:trPr>
        <w:tc>
          <w:tcPr>
            <w:tcW w:w="2927" w:type="dxa"/>
          </w:tcPr>
          <w:p w14:paraId="3294AD0A" w14:textId="77777777" w:rsidR="00BB461E" w:rsidRPr="0073329D" w:rsidRDefault="00BB461E" w:rsidP="00464A38">
            <w:pPr>
              <w:spacing w:line="276" w:lineRule="auto"/>
              <w:rPr>
                <w:rFonts w:eastAsia="Arial"/>
              </w:rPr>
            </w:pPr>
            <w:r w:rsidRPr="0073329D">
              <w:rPr>
                <w:rFonts w:eastAsia="Arial"/>
              </w:rPr>
              <w:t>STV agentūros pavadinimas, šalis</w:t>
            </w:r>
          </w:p>
        </w:tc>
        <w:tc>
          <w:tcPr>
            <w:tcW w:w="1915" w:type="dxa"/>
          </w:tcPr>
          <w:p w14:paraId="0CBF24B0" w14:textId="77777777" w:rsidR="00BB461E" w:rsidRPr="0073329D" w:rsidRDefault="00BB461E" w:rsidP="00464A38">
            <w:pPr>
              <w:spacing w:line="276" w:lineRule="auto"/>
              <w:rPr>
                <w:rFonts w:eastAsia="Arial"/>
              </w:rPr>
            </w:pPr>
            <w:r w:rsidRPr="0073329D">
              <w:rPr>
                <w:rFonts w:eastAsia="Arial"/>
              </w:rPr>
              <w:t>STV vertinimas atliktas</w:t>
            </w:r>
          </w:p>
        </w:tc>
        <w:tc>
          <w:tcPr>
            <w:tcW w:w="2351" w:type="dxa"/>
          </w:tcPr>
          <w:p w14:paraId="1BEF356D" w14:textId="77777777" w:rsidR="00BB461E" w:rsidRPr="0073329D" w:rsidRDefault="00BB461E" w:rsidP="00464A38">
            <w:pPr>
              <w:spacing w:line="276" w:lineRule="auto"/>
              <w:rPr>
                <w:rFonts w:eastAsia="Arial"/>
              </w:rPr>
            </w:pPr>
            <w:r w:rsidRPr="0073329D">
              <w:rPr>
                <w:rFonts w:eastAsia="Arial"/>
              </w:rPr>
              <w:t>Klinikinio vertinimo išvada</w:t>
            </w:r>
          </w:p>
        </w:tc>
        <w:tc>
          <w:tcPr>
            <w:tcW w:w="2725" w:type="dxa"/>
          </w:tcPr>
          <w:p w14:paraId="42E166FF" w14:textId="77777777" w:rsidR="00BB461E" w:rsidRPr="0073329D" w:rsidRDefault="00BB461E" w:rsidP="00464A38">
            <w:pPr>
              <w:spacing w:line="276" w:lineRule="auto"/>
              <w:rPr>
                <w:rFonts w:eastAsia="Arial"/>
              </w:rPr>
            </w:pPr>
            <w:proofErr w:type="spellStart"/>
            <w:r w:rsidRPr="0073329D">
              <w:rPr>
                <w:rFonts w:eastAsia="Arial"/>
              </w:rPr>
              <w:t>Farmakoekonominio</w:t>
            </w:r>
            <w:proofErr w:type="spellEnd"/>
            <w:r w:rsidRPr="0073329D">
              <w:rPr>
                <w:rFonts w:eastAsia="Arial"/>
              </w:rPr>
              <w:t xml:space="preserve"> vertinimo išvada</w:t>
            </w:r>
          </w:p>
        </w:tc>
      </w:tr>
      <w:tr w:rsidR="00BB461E" w:rsidRPr="00E6166E" w14:paraId="5DE7E07C" w14:textId="77777777" w:rsidTr="00464A38">
        <w:trPr>
          <w:trHeight w:val="1765"/>
        </w:trPr>
        <w:tc>
          <w:tcPr>
            <w:tcW w:w="2927" w:type="dxa"/>
          </w:tcPr>
          <w:p w14:paraId="15C06697" w14:textId="77777777" w:rsidR="00BB461E" w:rsidRPr="0073329D" w:rsidRDefault="00BB461E" w:rsidP="00464A38">
            <w:pPr>
              <w:autoSpaceDE w:val="0"/>
              <w:autoSpaceDN w:val="0"/>
              <w:adjustRightInd w:val="0"/>
              <w:rPr>
                <w:bCs/>
              </w:rPr>
            </w:pPr>
            <w:r w:rsidRPr="0073329D">
              <w:rPr>
                <w:bCs/>
              </w:rPr>
              <w:t>Nacionalinis sveikatos ir klinikinės kompetencijos institutas, Didžioji Britanija</w:t>
            </w:r>
          </w:p>
          <w:p w14:paraId="112C743E" w14:textId="77777777" w:rsidR="00BB461E" w:rsidRPr="0073329D" w:rsidRDefault="00BB461E" w:rsidP="00464A38">
            <w:pPr>
              <w:spacing w:line="276" w:lineRule="auto"/>
              <w:rPr>
                <w:rFonts w:eastAsia="Arial"/>
              </w:rPr>
            </w:pPr>
            <w:r w:rsidRPr="0073329D">
              <w:rPr>
                <w:rFonts w:eastAsia="Arial"/>
              </w:rPr>
              <w:t xml:space="preserve">(angl. </w:t>
            </w:r>
            <w:proofErr w:type="spellStart"/>
            <w:r w:rsidRPr="0073329D">
              <w:rPr>
                <w:rFonts w:eastAsia="Arial"/>
                <w:i/>
              </w:rPr>
              <w:t>National</w:t>
            </w:r>
            <w:proofErr w:type="spellEnd"/>
            <w:r w:rsidRPr="0073329D">
              <w:rPr>
                <w:rFonts w:eastAsia="Arial"/>
                <w:i/>
              </w:rPr>
              <w:t xml:space="preserve"> Institute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and</w:t>
            </w:r>
            <w:proofErr w:type="spellEnd"/>
            <w:r w:rsidRPr="0073329D">
              <w:rPr>
                <w:rFonts w:eastAsia="Arial"/>
                <w:i/>
              </w:rPr>
              <w:t xml:space="preserve"> Care </w:t>
            </w:r>
            <w:proofErr w:type="spellStart"/>
            <w:r w:rsidRPr="0073329D">
              <w:rPr>
                <w:rFonts w:eastAsia="Arial"/>
                <w:i/>
              </w:rPr>
              <w:t>Excellence</w:t>
            </w:r>
            <w:proofErr w:type="spellEnd"/>
            <w:r w:rsidRPr="0073329D">
              <w:rPr>
                <w:rFonts w:eastAsia="Arial"/>
                <w:i/>
              </w:rPr>
              <w:t>, NICE</w:t>
            </w:r>
            <w:r w:rsidRPr="0073329D">
              <w:rPr>
                <w:rFonts w:eastAsia="Arial"/>
              </w:rPr>
              <w:t>)</w:t>
            </w:r>
          </w:p>
        </w:tc>
        <w:tc>
          <w:tcPr>
            <w:tcW w:w="1915" w:type="dxa"/>
          </w:tcPr>
          <w:p w14:paraId="717429A4" w14:textId="77777777" w:rsidR="00BB461E" w:rsidRPr="0073329D" w:rsidRDefault="0049758D" w:rsidP="00464A38">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BB461E">
                  <w:rPr>
                    <w:rStyle w:val="Style2"/>
                    <w:rFonts w:ascii="MS Gothic" w:eastAsia="MS Gothic" w:hAnsi="MS Gothic" w:hint="eastAsia"/>
                  </w:rPr>
                  <w:t>☒</w:t>
                </w:r>
              </w:sdtContent>
            </w:sdt>
            <w:r w:rsidR="00BB461E" w:rsidRPr="0073329D">
              <w:t xml:space="preserve"> Taip</w:t>
            </w:r>
          </w:p>
          <w:p w14:paraId="106E5E7C" w14:textId="77777777" w:rsidR="00BB461E" w:rsidRPr="0073329D" w:rsidRDefault="0049758D" w:rsidP="00464A38">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BB461E" w:rsidRPr="0073329D">
                  <w:rPr>
                    <w:rStyle w:val="Style2"/>
                    <w:rFonts w:ascii="MS Gothic" w:eastAsia="MS Gothic" w:hAnsi="MS Gothic" w:hint="eastAsia"/>
                  </w:rPr>
                  <w:t>☐</w:t>
                </w:r>
              </w:sdtContent>
            </w:sdt>
            <w:r w:rsidR="00BB461E" w:rsidRPr="0073329D">
              <w:t xml:space="preserve"> Ne</w:t>
            </w:r>
          </w:p>
          <w:p w14:paraId="752B6FB8" w14:textId="77777777" w:rsidR="00BB461E" w:rsidRPr="0073329D" w:rsidRDefault="0049758D" w:rsidP="00464A38">
            <w:pPr>
              <w:rPr>
                <w:rFonts w:eastAsia="Arial"/>
              </w:rPr>
            </w:pPr>
            <w:sdt>
              <w:sdtPr>
                <w:alias w:val="Nurodykite konkrečią dieną"/>
                <w:tag w:val="Nurodykite pradžios datą"/>
                <w:id w:val="922837954"/>
                <w:placeholder>
                  <w:docPart w:val="C634BEDEE98A45C48FDD6B2761C32526"/>
                </w:placeholder>
                <w15:color w:val="FFCC99"/>
                <w:date>
                  <w:dateFormat w:val="yyyy 'm.' MMMM d 'd.'"/>
                  <w:lid w:val="lt-LT"/>
                  <w:storeMappedDataAs w:val="dateTime"/>
                  <w:calendar w:val="gregorian"/>
                </w:date>
              </w:sdtPr>
              <w:sdtEndPr/>
              <w:sdtContent>
                <w:r w:rsidR="00BB461E">
                  <w:t>2023 m. vasario 8 d.</w:t>
                </w:r>
              </w:sdtContent>
            </w:sdt>
          </w:p>
        </w:tc>
        <w:tc>
          <w:tcPr>
            <w:tcW w:w="5076" w:type="dxa"/>
            <w:gridSpan w:val="2"/>
          </w:tcPr>
          <w:p w14:paraId="1E69DA49" w14:textId="77777777" w:rsidR="00BB461E" w:rsidRPr="00E6166E" w:rsidRDefault="00BB461E" w:rsidP="00464A38">
            <w:pPr>
              <w:spacing w:line="276" w:lineRule="auto"/>
              <w:jc w:val="both"/>
              <w:rPr>
                <w:rFonts w:eastAsia="Arial"/>
              </w:rPr>
            </w:pPr>
            <w:r>
              <w:rPr>
                <w:rFonts w:eastAsia="Arial"/>
              </w:rPr>
              <w:t>Rekomenduojama kompensuoti sumažinus kainą</w:t>
            </w:r>
            <w:r w:rsidRPr="00AD4065">
              <w:rPr>
                <w:bCs/>
              </w:rPr>
              <w:t xml:space="preserve"> pacientų neoperuotinos, išplitusios, atsinaujinusios ar </w:t>
            </w:r>
            <w:proofErr w:type="spellStart"/>
            <w:r w:rsidRPr="00AD4065">
              <w:rPr>
                <w:bCs/>
              </w:rPr>
              <w:t>metastazavusios</w:t>
            </w:r>
            <w:proofErr w:type="spellEnd"/>
            <w:r w:rsidRPr="00AD4065">
              <w:rPr>
                <w:bCs/>
              </w:rPr>
              <w:t xml:space="preserve"> stemplės </w:t>
            </w:r>
            <w:proofErr w:type="spellStart"/>
            <w:r w:rsidRPr="00AD4065">
              <w:rPr>
                <w:bCs/>
              </w:rPr>
              <w:t>plokščialąstelinės</w:t>
            </w:r>
            <w:proofErr w:type="spellEnd"/>
            <w:r w:rsidRPr="00AD4065">
              <w:rPr>
                <w:bCs/>
              </w:rPr>
              <w:t xml:space="preserve"> karcinomos, kurios ląstelių PD-L1 raiška yra ≥ 1 %, pirmaeiliam gydymui</w:t>
            </w:r>
            <w:r>
              <w:rPr>
                <w:bCs/>
              </w:rPr>
              <w:t xml:space="preserve"> kartu su </w:t>
            </w:r>
            <w:r w:rsidRPr="00AD4065">
              <w:rPr>
                <w:bCs/>
              </w:rPr>
              <w:t xml:space="preserve">chemoterapija </w:t>
            </w:r>
            <w:proofErr w:type="spellStart"/>
            <w:r w:rsidRPr="00AD4065">
              <w:rPr>
                <w:bCs/>
              </w:rPr>
              <w:t>fluoropirimidino</w:t>
            </w:r>
            <w:proofErr w:type="spellEnd"/>
            <w:r w:rsidRPr="00AD4065">
              <w:rPr>
                <w:bCs/>
              </w:rPr>
              <w:t xml:space="preserve"> ir platinos pagrindu</w:t>
            </w:r>
            <w:r>
              <w:rPr>
                <w:bCs/>
              </w:rPr>
              <w:t>.</w:t>
            </w:r>
          </w:p>
        </w:tc>
      </w:tr>
      <w:tr w:rsidR="00BB461E" w:rsidRPr="0073329D" w14:paraId="6A576772" w14:textId="77777777" w:rsidTr="00464A38">
        <w:trPr>
          <w:trHeight w:val="275"/>
        </w:trPr>
        <w:tc>
          <w:tcPr>
            <w:tcW w:w="2927" w:type="dxa"/>
          </w:tcPr>
          <w:p w14:paraId="239BD734" w14:textId="77777777" w:rsidR="00BB461E" w:rsidRPr="0073329D" w:rsidRDefault="00BB461E" w:rsidP="00464A38">
            <w:pPr>
              <w:spacing w:line="276" w:lineRule="auto"/>
              <w:rPr>
                <w:rFonts w:eastAsia="Arial"/>
              </w:rPr>
            </w:pPr>
            <w:r w:rsidRPr="0073329D">
              <w:rPr>
                <w:rFonts w:eastAsia="Arial"/>
              </w:rPr>
              <w:t>Kanados sveikatos technologijų agentūra</w:t>
            </w:r>
          </w:p>
          <w:p w14:paraId="2C9BBDC8" w14:textId="77777777" w:rsidR="00BB461E" w:rsidRPr="0073329D" w:rsidRDefault="00BB461E" w:rsidP="00464A38">
            <w:pPr>
              <w:spacing w:line="276" w:lineRule="auto"/>
              <w:rPr>
                <w:rFonts w:eastAsia="Arial"/>
              </w:rPr>
            </w:pPr>
            <w:r w:rsidRPr="0073329D">
              <w:rPr>
                <w:rFonts w:eastAsia="Arial"/>
              </w:rPr>
              <w:t xml:space="preserve">(angl. </w:t>
            </w:r>
            <w:proofErr w:type="spellStart"/>
            <w:r w:rsidRPr="0073329D">
              <w:rPr>
                <w:rFonts w:eastAsia="Arial"/>
                <w:i/>
              </w:rPr>
              <w:t>Canadian</w:t>
            </w:r>
            <w:proofErr w:type="spellEnd"/>
            <w:r w:rsidRPr="0073329D">
              <w:rPr>
                <w:rFonts w:eastAsia="Arial"/>
                <w:i/>
              </w:rPr>
              <w:t xml:space="preserve"> </w:t>
            </w:r>
            <w:proofErr w:type="spellStart"/>
            <w:r w:rsidRPr="0073329D">
              <w:rPr>
                <w:rFonts w:eastAsia="Arial"/>
                <w:i/>
              </w:rPr>
              <w:t>health</w:t>
            </w:r>
            <w:proofErr w:type="spellEnd"/>
            <w:r w:rsidRPr="0073329D">
              <w:rPr>
                <w:rFonts w:eastAsia="Arial"/>
                <w:i/>
              </w:rPr>
              <w:t xml:space="preserve"> </w:t>
            </w:r>
            <w:proofErr w:type="spellStart"/>
            <w:r w:rsidRPr="0073329D">
              <w:rPr>
                <w:rFonts w:eastAsia="Arial"/>
                <w:i/>
              </w:rPr>
              <w:t>Technology</w:t>
            </w:r>
            <w:proofErr w:type="spellEnd"/>
            <w:r w:rsidRPr="0073329D">
              <w:rPr>
                <w:rFonts w:eastAsia="Arial"/>
                <w:i/>
              </w:rPr>
              <w:t xml:space="preserve"> </w:t>
            </w:r>
            <w:proofErr w:type="spellStart"/>
            <w:r w:rsidRPr="0073329D">
              <w:rPr>
                <w:rFonts w:eastAsia="Arial"/>
                <w:i/>
              </w:rPr>
              <w:t>Assessment</w:t>
            </w:r>
            <w:proofErr w:type="spellEnd"/>
            <w:r w:rsidRPr="0073329D">
              <w:rPr>
                <w:rFonts w:eastAsia="Arial"/>
                <w:i/>
              </w:rPr>
              <w:t xml:space="preserve"> </w:t>
            </w:r>
            <w:proofErr w:type="spellStart"/>
            <w:r w:rsidRPr="0073329D">
              <w:rPr>
                <w:rFonts w:eastAsia="Arial"/>
                <w:i/>
              </w:rPr>
              <w:t>agency</w:t>
            </w:r>
            <w:proofErr w:type="spellEnd"/>
            <w:r w:rsidRPr="0073329D">
              <w:rPr>
                <w:rFonts w:eastAsia="Arial"/>
                <w:i/>
              </w:rPr>
              <w:t>, CADTH</w:t>
            </w:r>
            <w:r w:rsidRPr="0073329D">
              <w:rPr>
                <w:rFonts w:eastAsia="Arial"/>
              </w:rPr>
              <w:t>)</w:t>
            </w:r>
          </w:p>
        </w:tc>
        <w:tc>
          <w:tcPr>
            <w:tcW w:w="1915" w:type="dxa"/>
          </w:tcPr>
          <w:p w14:paraId="6DCC7DF7" w14:textId="77777777" w:rsidR="00BB461E" w:rsidRPr="0073329D" w:rsidRDefault="0049758D" w:rsidP="00464A38">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BB461E">
                  <w:rPr>
                    <w:rStyle w:val="Style2"/>
                    <w:rFonts w:ascii="MS Gothic" w:eastAsia="MS Gothic" w:hAnsi="MS Gothic" w:hint="eastAsia"/>
                  </w:rPr>
                  <w:t>☐</w:t>
                </w:r>
              </w:sdtContent>
            </w:sdt>
            <w:r w:rsidR="00BB461E" w:rsidRPr="0073329D">
              <w:t xml:space="preserve"> Taip</w:t>
            </w:r>
          </w:p>
          <w:p w14:paraId="5909648A" w14:textId="77777777" w:rsidR="00BB461E" w:rsidRPr="0073329D" w:rsidRDefault="0049758D" w:rsidP="00464A38">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BB461E">
                  <w:rPr>
                    <w:rStyle w:val="Style2"/>
                    <w:rFonts w:ascii="MS Gothic" w:eastAsia="MS Gothic" w:hAnsi="MS Gothic" w:hint="eastAsia"/>
                  </w:rPr>
                  <w:t>☒</w:t>
                </w:r>
              </w:sdtContent>
            </w:sdt>
            <w:r w:rsidR="00BB461E" w:rsidRPr="0073329D">
              <w:t xml:space="preserve"> Ne</w:t>
            </w:r>
          </w:p>
          <w:p w14:paraId="5862ED0E" w14:textId="77777777" w:rsidR="00BB461E" w:rsidRPr="0073329D" w:rsidRDefault="0049758D" w:rsidP="00464A38">
            <w:pPr>
              <w:spacing w:line="276" w:lineRule="auto"/>
              <w:rPr>
                <w:rFonts w:eastAsia="Arial"/>
              </w:rPr>
            </w:pPr>
            <w:sdt>
              <w:sdtPr>
                <w:alias w:val="Nurodykite konkrečią dieną"/>
                <w:tag w:val="Nurodykite pradžios datą"/>
                <w:id w:val="1072468416"/>
                <w:placeholder>
                  <w:docPart w:val="821BD4857433446AA2725B89DA9EDE84"/>
                </w:placeholder>
                <w:showingPlcHdr/>
                <w15:color w:val="FFCC99"/>
                <w:date>
                  <w:dateFormat w:val="yyyy 'm.' MMMM d 'd.'"/>
                  <w:lid w:val="lt-LT"/>
                  <w:storeMappedDataAs w:val="dateTime"/>
                  <w:calendar w:val="gregorian"/>
                </w:date>
              </w:sdtPr>
              <w:sdtEndPr/>
              <w:sdtContent>
                <w:r w:rsidR="00BB461E">
                  <w:rPr>
                    <w:rStyle w:val="PlaceholderText"/>
                  </w:rPr>
                  <w:t>Click here to enter a date.</w:t>
                </w:r>
              </w:sdtContent>
            </w:sdt>
          </w:p>
        </w:tc>
        <w:tc>
          <w:tcPr>
            <w:tcW w:w="5076" w:type="dxa"/>
            <w:gridSpan w:val="2"/>
            <w:vAlign w:val="center"/>
          </w:tcPr>
          <w:p w14:paraId="662D13A4" w14:textId="77777777" w:rsidR="00BB461E" w:rsidRPr="0073329D" w:rsidRDefault="00BB461E" w:rsidP="00464A38">
            <w:pPr>
              <w:spacing w:line="276" w:lineRule="auto"/>
              <w:jc w:val="center"/>
              <w:rPr>
                <w:rFonts w:eastAsia="Arial"/>
              </w:rPr>
            </w:pPr>
            <w:r>
              <w:rPr>
                <w:rFonts w:eastAsia="Arial"/>
              </w:rPr>
              <w:t>–</w:t>
            </w:r>
          </w:p>
        </w:tc>
      </w:tr>
      <w:tr w:rsidR="00BB461E" w:rsidRPr="0073329D" w14:paraId="5BAA09D1" w14:textId="77777777" w:rsidTr="00464A38">
        <w:trPr>
          <w:trHeight w:val="1927"/>
        </w:trPr>
        <w:tc>
          <w:tcPr>
            <w:tcW w:w="2927" w:type="dxa"/>
          </w:tcPr>
          <w:p w14:paraId="36287DB2" w14:textId="77777777" w:rsidR="00BB461E" w:rsidRPr="0073329D" w:rsidRDefault="00BB461E" w:rsidP="00464A38">
            <w:pPr>
              <w:spacing w:line="276" w:lineRule="auto"/>
              <w:rPr>
                <w:rFonts w:eastAsia="Arial"/>
              </w:rPr>
            </w:pPr>
            <w:r w:rsidRPr="0073329D">
              <w:rPr>
                <w:rFonts w:eastAsia="Arial"/>
              </w:rPr>
              <w:t xml:space="preserve">Nacionalinis </w:t>
            </w:r>
            <w:proofErr w:type="spellStart"/>
            <w:r w:rsidRPr="0073329D">
              <w:rPr>
                <w:rFonts w:eastAsia="Arial"/>
              </w:rPr>
              <w:t>farmakoekonomikos</w:t>
            </w:r>
            <w:proofErr w:type="spellEnd"/>
            <w:r w:rsidRPr="0073329D">
              <w:rPr>
                <w:rFonts w:eastAsia="Arial"/>
              </w:rPr>
              <w:t xml:space="preserve"> centras, Airija</w:t>
            </w:r>
          </w:p>
          <w:p w14:paraId="4A6AE41D" w14:textId="77777777" w:rsidR="00BB461E" w:rsidRPr="0073329D" w:rsidRDefault="00BB461E" w:rsidP="00464A38">
            <w:pPr>
              <w:spacing w:line="276" w:lineRule="auto"/>
              <w:rPr>
                <w:rFonts w:eastAsia="Arial"/>
              </w:rPr>
            </w:pPr>
            <w:r w:rsidRPr="0073329D">
              <w:rPr>
                <w:rFonts w:eastAsia="Arial"/>
              </w:rPr>
              <w:t>(angl.</w:t>
            </w:r>
            <w:r w:rsidRPr="0073329D">
              <w:rPr>
                <w:rFonts w:eastAsia="Arial"/>
                <w:i/>
              </w:rPr>
              <w:t xml:space="preserve"> </w:t>
            </w:r>
            <w:proofErr w:type="spellStart"/>
            <w:r w:rsidRPr="0073329D">
              <w:rPr>
                <w:rFonts w:eastAsia="Arial"/>
                <w:i/>
              </w:rPr>
              <w:t>National</w:t>
            </w:r>
            <w:proofErr w:type="spellEnd"/>
            <w:r w:rsidRPr="0073329D">
              <w:rPr>
                <w:rFonts w:eastAsia="Arial"/>
                <w:i/>
              </w:rPr>
              <w:t xml:space="preserve"> Centre </w:t>
            </w:r>
            <w:proofErr w:type="spellStart"/>
            <w:r w:rsidRPr="0073329D">
              <w:rPr>
                <w:rFonts w:eastAsia="Arial"/>
                <w:i/>
              </w:rPr>
              <w:t>for</w:t>
            </w:r>
            <w:proofErr w:type="spellEnd"/>
            <w:r w:rsidRPr="0073329D">
              <w:rPr>
                <w:rFonts w:eastAsia="Arial"/>
                <w:i/>
              </w:rPr>
              <w:t xml:space="preserve"> </w:t>
            </w:r>
            <w:proofErr w:type="spellStart"/>
            <w:r w:rsidRPr="0073329D">
              <w:rPr>
                <w:rFonts w:eastAsia="Arial"/>
                <w:i/>
              </w:rPr>
              <w:t>Pharmacoeconomics</w:t>
            </w:r>
            <w:proofErr w:type="spellEnd"/>
            <w:r w:rsidRPr="0073329D">
              <w:rPr>
                <w:rFonts w:eastAsia="Arial"/>
                <w:i/>
              </w:rPr>
              <w:t>, NCPE</w:t>
            </w:r>
            <w:r w:rsidRPr="0073329D">
              <w:rPr>
                <w:rFonts w:eastAsia="Arial"/>
              </w:rPr>
              <w:t>)</w:t>
            </w:r>
          </w:p>
        </w:tc>
        <w:tc>
          <w:tcPr>
            <w:tcW w:w="1915" w:type="dxa"/>
          </w:tcPr>
          <w:p w14:paraId="01BE0D32" w14:textId="77777777" w:rsidR="00BB461E" w:rsidRPr="0073329D" w:rsidRDefault="0049758D" w:rsidP="00464A38">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BB461E">
                  <w:rPr>
                    <w:rStyle w:val="Style2"/>
                    <w:rFonts w:ascii="MS Gothic" w:eastAsia="MS Gothic" w:hAnsi="MS Gothic" w:hint="eastAsia"/>
                  </w:rPr>
                  <w:t>☐</w:t>
                </w:r>
              </w:sdtContent>
            </w:sdt>
            <w:r w:rsidR="00BB461E" w:rsidRPr="0073329D">
              <w:t xml:space="preserve"> Taip</w:t>
            </w:r>
          </w:p>
          <w:p w14:paraId="730CF6C7" w14:textId="77777777" w:rsidR="00BB461E" w:rsidRPr="0073329D" w:rsidRDefault="0049758D" w:rsidP="00464A38">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BB461E" w:rsidRPr="0073329D">
                  <w:rPr>
                    <w:rStyle w:val="Style2"/>
                    <w:rFonts w:ascii="Segoe UI Symbol" w:eastAsia="MS Gothic" w:hAnsi="Segoe UI Symbol" w:cs="Segoe UI Symbol"/>
                  </w:rPr>
                  <w:t>☐</w:t>
                </w:r>
              </w:sdtContent>
            </w:sdt>
            <w:r w:rsidR="00BB461E" w:rsidRPr="0073329D">
              <w:t xml:space="preserve"> Ne</w:t>
            </w:r>
          </w:p>
          <w:p w14:paraId="5364124D" w14:textId="77777777" w:rsidR="00BB461E" w:rsidRPr="0073329D" w:rsidRDefault="0049758D" w:rsidP="00464A38">
            <w:pPr>
              <w:spacing w:line="276" w:lineRule="auto"/>
              <w:rPr>
                <w:rFonts w:eastAsia="Arial"/>
              </w:rPr>
            </w:pPr>
            <w:sdt>
              <w:sdtPr>
                <w:alias w:val="Nurodykite konkrečią dieną"/>
                <w:tag w:val="Nurodykite pradžios datą"/>
                <w:id w:val="-198323198"/>
                <w:placeholder>
                  <w:docPart w:val="F34835D8F42B490C8929036690EFDD57"/>
                </w:placeholder>
                <w15:color w:val="FFCC99"/>
                <w:date>
                  <w:dateFormat w:val="yyyy 'm.' MMMM d 'd.'"/>
                  <w:lid w:val="lt-LT"/>
                  <w:storeMappedDataAs w:val="dateTime"/>
                  <w:calendar w:val="gregorian"/>
                </w:date>
              </w:sdtPr>
              <w:sdtEndPr/>
              <w:sdtContent>
                <w:r w:rsidR="00BB461E">
                  <w:t>2022 m. liepos 29 d.</w:t>
                </w:r>
              </w:sdtContent>
            </w:sdt>
          </w:p>
        </w:tc>
        <w:tc>
          <w:tcPr>
            <w:tcW w:w="5076" w:type="dxa"/>
            <w:gridSpan w:val="2"/>
          </w:tcPr>
          <w:p w14:paraId="411EF501" w14:textId="77777777" w:rsidR="00BB461E" w:rsidRPr="0073329D" w:rsidRDefault="00BB461E" w:rsidP="00464A38">
            <w:pPr>
              <w:spacing w:line="276" w:lineRule="auto"/>
              <w:jc w:val="both"/>
              <w:rPr>
                <w:rFonts w:eastAsia="Arial"/>
              </w:rPr>
            </w:pPr>
            <w:r>
              <w:rPr>
                <w:rFonts w:eastAsia="Arial"/>
              </w:rPr>
              <w:t xml:space="preserve">Rekomenduota atlikti pilną sveikatos technologijos vertinimą. 2023 m. liepos mėn. po konfidencialių derybų priimtas sprendimas kompensuoti </w:t>
            </w:r>
            <w:r w:rsidRPr="00AD4065">
              <w:rPr>
                <w:bCs/>
              </w:rPr>
              <w:t xml:space="preserve">pacientų neoperuotinos, išplitusios, atsinaujinusios ar </w:t>
            </w:r>
            <w:proofErr w:type="spellStart"/>
            <w:r w:rsidRPr="00AD4065">
              <w:rPr>
                <w:bCs/>
              </w:rPr>
              <w:t>metastazavusios</w:t>
            </w:r>
            <w:proofErr w:type="spellEnd"/>
            <w:r w:rsidRPr="00AD4065">
              <w:rPr>
                <w:bCs/>
              </w:rPr>
              <w:t xml:space="preserve"> stemplės </w:t>
            </w:r>
            <w:proofErr w:type="spellStart"/>
            <w:r w:rsidRPr="00AD4065">
              <w:rPr>
                <w:bCs/>
              </w:rPr>
              <w:t>plokščialąstelinės</w:t>
            </w:r>
            <w:proofErr w:type="spellEnd"/>
            <w:r w:rsidRPr="00AD4065">
              <w:rPr>
                <w:bCs/>
              </w:rPr>
              <w:t xml:space="preserve"> karcinomos, kurios ląstelių PD-L1 raiška yra ≥ 1 %, pirmaeiliam gydymui</w:t>
            </w:r>
            <w:r>
              <w:rPr>
                <w:bCs/>
              </w:rPr>
              <w:t xml:space="preserve"> kartu su </w:t>
            </w:r>
            <w:r w:rsidRPr="00AD4065">
              <w:rPr>
                <w:bCs/>
              </w:rPr>
              <w:t xml:space="preserve">chemoterapija </w:t>
            </w:r>
            <w:proofErr w:type="spellStart"/>
            <w:r w:rsidRPr="00AD4065">
              <w:rPr>
                <w:bCs/>
              </w:rPr>
              <w:t>fluoropirimidino</w:t>
            </w:r>
            <w:proofErr w:type="spellEnd"/>
            <w:r w:rsidRPr="00AD4065">
              <w:rPr>
                <w:bCs/>
              </w:rPr>
              <w:t xml:space="preserve"> ir platinos pagrindu</w:t>
            </w:r>
            <w:r>
              <w:rPr>
                <w:bCs/>
              </w:rPr>
              <w:t>.</w:t>
            </w:r>
          </w:p>
        </w:tc>
      </w:tr>
    </w:tbl>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ListParagraph"/>
        <w:numPr>
          <w:ilvl w:val="0"/>
          <w:numId w:val="12"/>
        </w:numPr>
        <w:tabs>
          <w:tab w:val="left" w:pos="567"/>
        </w:tabs>
        <w:ind w:hanging="720"/>
        <w:rPr>
          <w:b/>
          <w:bCs/>
          <w:caps/>
        </w:rPr>
      </w:pPr>
      <w:r w:rsidRPr="000203E1">
        <w:rPr>
          <w:b/>
          <w:bCs/>
          <w:caps/>
        </w:rPr>
        <w:t>Klinikinio vertinimo a</w:t>
      </w:r>
      <w:r w:rsidR="00D4485B" w:rsidRPr="000203E1">
        <w:rPr>
          <w:b/>
          <w:bCs/>
          <w:caps/>
        </w:rPr>
        <w:t>pibendrinimas</w:t>
      </w:r>
    </w:p>
    <w:p w14:paraId="25F89291" w14:textId="5C45C8FC" w:rsidR="00D4485B" w:rsidRDefault="00D4485B" w:rsidP="00A93AA6">
      <w:pPr>
        <w:pStyle w:val="ListParagraph"/>
        <w:tabs>
          <w:tab w:val="left" w:pos="426"/>
        </w:tabs>
        <w:ind w:left="0"/>
        <w:rPr>
          <w:b/>
          <w:bCs/>
          <w:caps/>
        </w:rPr>
      </w:pPr>
    </w:p>
    <w:p w14:paraId="4E58967F" w14:textId="77777777" w:rsidR="00BC14F9" w:rsidRPr="00887797" w:rsidRDefault="00BC14F9" w:rsidP="00BC14F9">
      <w:pPr>
        <w:tabs>
          <w:tab w:val="left" w:pos="426"/>
        </w:tabs>
        <w:spacing w:line="276" w:lineRule="auto"/>
        <w:jc w:val="both"/>
        <w:rPr>
          <w:rFonts w:eastAsia="Arial"/>
          <w:iCs/>
        </w:rPr>
      </w:pPr>
      <w:r>
        <w:rPr>
          <w:rFonts w:eastAsia="Arial"/>
          <w:iCs/>
        </w:rPr>
        <w:t xml:space="preserve">Stemplės vėžys – septintas dažniausiai nustatomas onkologinis susirgimas ir šešta dažniausia mirties nuo onkologinės ligos priežastis pasaulyje. Išskiriami du pagrindiniai stemplės vėžio tipai – plokščiųjų ląstelių karcinoma ir </w:t>
      </w:r>
      <w:proofErr w:type="spellStart"/>
      <w:r>
        <w:rPr>
          <w:rFonts w:eastAsia="Arial"/>
          <w:iCs/>
        </w:rPr>
        <w:t>adenokarcinoma</w:t>
      </w:r>
      <w:proofErr w:type="spellEnd"/>
      <w:r>
        <w:rPr>
          <w:rFonts w:eastAsia="Arial"/>
          <w:iCs/>
        </w:rPr>
        <w:t xml:space="preserve">. Šiaurės Amerikoje ir Europoje vyrauja stemplės </w:t>
      </w:r>
      <w:proofErr w:type="spellStart"/>
      <w:r>
        <w:rPr>
          <w:rFonts w:eastAsia="Arial"/>
          <w:iCs/>
        </w:rPr>
        <w:t>adenokarcinomos</w:t>
      </w:r>
      <w:proofErr w:type="spellEnd"/>
      <w:r>
        <w:rPr>
          <w:rFonts w:eastAsia="Arial"/>
          <w:iCs/>
        </w:rPr>
        <w:t xml:space="preserve"> atvejai, kurie susiję su </w:t>
      </w:r>
      <w:proofErr w:type="spellStart"/>
      <w:r>
        <w:rPr>
          <w:rFonts w:eastAsia="Arial"/>
          <w:iCs/>
        </w:rPr>
        <w:t>gastroezofaginio</w:t>
      </w:r>
      <w:proofErr w:type="spellEnd"/>
      <w:r>
        <w:rPr>
          <w:rFonts w:eastAsia="Arial"/>
          <w:iCs/>
        </w:rPr>
        <w:t xml:space="preserve"> </w:t>
      </w:r>
      <w:proofErr w:type="spellStart"/>
      <w:r>
        <w:rPr>
          <w:rFonts w:eastAsia="Arial"/>
          <w:iCs/>
        </w:rPr>
        <w:t>refliukso</w:t>
      </w:r>
      <w:proofErr w:type="spellEnd"/>
      <w:r>
        <w:rPr>
          <w:rFonts w:eastAsia="Arial"/>
          <w:iCs/>
        </w:rPr>
        <w:t xml:space="preserve"> liga ir nutukimu. Vyrai serga tris kartus dažniausiai ne moterys. Sergant stemplės vėžiu, prognozė bloga: 5 metų išgyvenamumas nesiekia 20%, nes liga ankstyvojoje jos fazėje dažniausiai yra </w:t>
      </w:r>
      <w:proofErr w:type="spellStart"/>
      <w:r>
        <w:rPr>
          <w:rFonts w:eastAsia="Arial"/>
          <w:iCs/>
        </w:rPr>
        <w:t>asimptomė</w:t>
      </w:r>
      <w:proofErr w:type="spellEnd"/>
      <w:r>
        <w:rPr>
          <w:rFonts w:eastAsia="Arial"/>
          <w:iCs/>
        </w:rPr>
        <w:t xml:space="preserve"> ir nustatoma jau vėlyvoje fazėje.</w:t>
      </w:r>
    </w:p>
    <w:p w14:paraId="3792775B" w14:textId="77777777" w:rsidR="00BC14F9" w:rsidRPr="00644770" w:rsidRDefault="00BC14F9" w:rsidP="00BC14F9">
      <w:pPr>
        <w:tabs>
          <w:tab w:val="left" w:pos="426"/>
        </w:tabs>
        <w:spacing w:line="276" w:lineRule="auto"/>
        <w:jc w:val="both"/>
        <w:rPr>
          <w:rFonts w:eastAsia="Arial"/>
          <w:iCs/>
          <w:highlight w:val="yellow"/>
        </w:rPr>
      </w:pPr>
      <w:r>
        <w:rPr>
          <w:rFonts w:eastAsia="Arial"/>
          <w:iCs/>
        </w:rPr>
        <w:tab/>
      </w:r>
      <w:r>
        <w:rPr>
          <w:rFonts w:eastAsia="Arial"/>
          <w:iCs/>
        </w:rPr>
        <w:tab/>
      </w:r>
      <w:r>
        <w:t xml:space="preserve">2022 m. ESMO (angl. </w:t>
      </w:r>
      <w:proofErr w:type="spellStart"/>
      <w:r>
        <w:rPr>
          <w:i/>
          <w:iCs/>
        </w:rPr>
        <w:t>European</w:t>
      </w:r>
      <w:proofErr w:type="spellEnd"/>
      <w:r>
        <w:rPr>
          <w:i/>
          <w:iCs/>
        </w:rPr>
        <w:t xml:space="preserve"> </w:t>
      </w:r>
      <w:proofErr w:type="spellStart"/>
      <w:r>
        <w:rPr>
          <w:i/>
          <w:iCs/>
        </w:rPr>
        <w:t>Society</w:t>
      </w:r>
      <w:proofErr w:type="spellEnd"/>
      <w:r>
        <w:rPr>
          <w:i/>
          <w:iCs/>
        </w:rPr>
        <w:t xml:space="preserve"> </w:t>
      </w:r>
      <w:proofErr w:type="spellStart"/>
      <w:r>
        <w:rPr>
          <w:i/>
          <w:iCs/>
        </w:rPr>
        <w:t>of</w:t>
      </w:r>
      <w:proofErr w:type="spellEnd"/>
      <w:r>
        <w:rPr>
          <w:i/>
          <w:iCs/>
        </w:rPr>
        <w:t xml:space="preserve"> </w:t>
      </w:r>
      <w:proofErr w:type="spellStart"/>
      <w:r>
        <w:rPr>
          <w:i/>
          <w:iCs/>
        </w:rPr>
        <w:t>Medical</w:t>
      </w:r>
      <w:proofErr w:type="spellEnd"/>
      <w:r>
        <w:rPr>
          <w:i/>
          <w:iCs/>
        </w:rPr>
        <w:t xml:space="preserve"> </w:t>
      </w:r>
      <w:proofErr w:type="spellStart"/>
      <w:r w:rsidRPr="004A5491">
        <w:t>Oncology</w:t>
      </w:r>
      <w:proofErr w:type="spellEnd"/>
      <w:r>
        <w:t>) stemplės vėžio diagnostikos ir gydymo gairėse nurodoma, jog pirmos eilės v</w:t>
      </w:r>
      <w:r w:rsidRPr="004A5491">
        <w:t>ietiškai</w:t>
      </w:r>
      <w:r w:rsidRPr="00870CC5">
        <w:t xml:space="preserve"> </w:t>
      </w:r>
      <w:r w:rsidRPr="009478B3">
        <w:t xml:space="preserve">išplitusios </w:t>
      </w:r>
      <w:proofErr w:type="spellStart"/>
      <w:r w:rsidRPr="009478B3">
        <w:t>nerezekuotinos</w:t>
      </w:r>
      <w:proofErr w:type="spellEnd"/>
      <w:r w:rsidRPr="009478B3">
        <w:t xml:space="preserve"> ar </w:t>
      </w:r>
      <w:proofErr w:type="spellStart"/>
      <w:r w:rsidRPr="009478B3">
        <w:t>metastazavusios</w:t>
      </w:r>
      <w:proofErr w:type="spellEnd"/>
      <w:r w:rsidRPr="009478B3">
        <w:t xml:space="preserve"> stemplės plokščiųjų ląstelių karcinomos gydymui rekomenduojam</w:t>
      </w:r>
      <w:r>
        <w:t>as</w:t>
      </w:r>
      <w:r w:rsidRPr="009478B3">
        <w:t xml:space="preserve"> </w:t>
      </w:r>
      <w:r w:rsidRPr="009478B3">
        <w:rPr>
          <w:spacing w:val="-4"/>
        </w:rPr>
        <w:t xml:space="preserve">platinos ir </w:t>
      </w:r>
      <w:proofErr w:type="spellStart"/>
      <w:r w:rsidRPr="009478B3">
        <w:rPr>
          <w:spacing w:val="-4"/>
        </w:rPr>
        <w:t>fluoropirimidino</w:t>
      </w:r>
      <w:proofErr w:type="spellEnd"/>
      <w:r w:rsidRPr="009478B3">
        <w:rPr>
          <w:spacing w:val="-4"/>
        </w:rPr>
        <w:t xml:space="preserve"> derinys (IIA rekomendacija). </w:t>
      </w:r>
      <w:r w:rsidRPr="009478B3">
        <w:t xml:space="preserve">Esant vietiškai išplitusiai </w:t>
      </w:r>
      <w:proofErr w:type="spellStart"/>
      <w:r w:rsidRPr="009478B3">
        <w:t>nerezekuotinai</w:t>
      </w:r>
      <w:proofErr w:type="spellEnd"/>
      <w:r w:rsidRPr="009478B3">
        <w:t xml:space="preserve"> ar </w:t>
      </w:r>
      <w:proofErr w:type="spellStart"/>
      <w:r w:rsidRPr="009478B3">
        <w:t>metastazavusiai</w:t>
      </w:r>
      <w:proofErr w:type="spellEnd"/>
      <w:r w:rsidRPr="009478B3">
        <w:t xml:space="preserve"> stemplės plokščiųjų ląstelių karcinomai, kuri </w:t>
      </w:r>
      <w:proofErr w:type="spellStart"/>
      <w:r w:rsidRPr="009478B3">
        <w:t>ekspresuoja</w:t>
      </w:r>
      <w:proofErr w:type="spellEnd"/>
      <w:r w:rsidRPr="009478B3">
        <w:t xml:space="preserve"> PD-L1 (angl. </w:t>
      </w:r>
      <w:proofErr w:type="spellStart"/>
      <w:r w:rsidRPr="009478B3">
        <w:rPr>
          <w:i/>
          <w:iCs/>
        </w:rPr>
        <w:t>Programmed</w:t>
      </w:r>
      <w:proofErr w:type="spellEnd"/>
      <w:r w:rsidRPr="009478B3">
        <w:rPr>
          <w:i/>
          <w:iCs/>
        </w:rPr>
        <w:t xml:space="preserve"> </w:t>
      </w:r>
      <w:proofErr w:type="spellStart"/>
      <w:r w:rsidRPr="009478B3">
        <w:rPr>
          <w:i/>
          <w:iCs/>
        </w:rPr>
        <w:t>death-ligand</w:t>
      </w:r>
      <w:proofErr w:type="spellEnd"/>
      <w:r w:rsidRPr="009478B3">
        <w:rPr>
          <w:i/>
          <w:iCs/>
        </w:rPr>
        <w:t xml:space="preserve"> 1</w:t>
      </w:r>
      <w:r w:rsidRPr="009478B3">
        <w:t xml:space="preserve">) ir PD-L1 raiška yra ≥ 1%, pirmos eilės gydymui rekomenduojamas </w:t>
      </w:r>
      <w:proofErr w:type="spellStart"/>
      <w:r w:rsidRPr="009478B3">
        <w:t>nivolumabo</w:t>
      </w:r>
      <w:proofErr w:type="spellEnd"/>
      <w:r w:rsidRPr="009478B3">
        <w:t xml:space="preserve">, platinos ir </w:t>
      </w:r>
      <w:proofErr w:type="spellStart"/>
      <w:r w:rsidRPr="009478B3">
        <w:t>fluoropirimidino</w:t>
      </w:r>
      <w:proofErr w:type="spellEnd"/>
      <w:r w:rsidRPr="009478B3">
        <w:t xml:space="preserve"> (IA rekomendacija) arba </w:t>
      </w:r>
      <w:proofErr w:type="spellStart"/>
      <w:r w:rsidRPr="009478B3">
        <w:t>nivolumabo</w:t>
      </w:r>
      <w:proofErr w:type="spellEnd"/>
      <w:r w:rsidRPr="009478B3">
        <w:t xml:space="preserve"> ir </w:t>
      </w:r>
      <w:proofErr w:type="spellStart"/>
      <w:r w:rsidRPr="009478B3">
        <w:t>ipilimumabo</w:t>
      </w:r>
      <w:proofErr w:type="spellEnd"/>
      <w:r w:rsidRPr="009478B3">
        <w:t xml:space="preserve"> (IB rekomendacija)</w:t>
      </w:r>
      <w:r>
        <w:t xml:space="preserve"> deriniai.</w:t>
      </w:r>
    </w:p>
    <w:p w14:paraId="08F9A325" w14:textId="3E1F8426" w:rsidR="00BC14F9" w:rsidRPr="009478B3" w:rsidRDefault="00BC14F9" w:rsidP="00BC14F9">
      <w:pPr>
        <w:tabs>
          <w:tab w:val="left" w:pos="426"/>
        </w:tabs>
        <w:spacing w:line="276" w:lineRule="auto"/>
        <w:jc w:val="both"/>
      </w:pPr>
      <w:r w:rsidRPr="009478B3">
        <w:rPr>
          <w:rFonts w:eastAsia="Arial"/>
          <w:iCs/>
        </w:rPr>
        <w:tab/>
      </w:r>
      <w:r w:rsidRPr="009478B3">
        <w:rPr>
          <w:rFonts w:eastAsia="Arial"/>
          <w:iCs/>
        </w:rPr>
        <w:tab/>
      </w:r>
      <w:r w:rsidRPr="009478B3">
        <w:t xml:space="preserve">Lietuvoje </w:t>
      </w:r>
      <w:r w:rsidRPr="009478B3">
        <w:rPr>
          <w:bCs/>
          <w:iCs/>
          <w:lang w:eastAsia="lt-LT"/>
        </w:rPr>
        <w:t>stemplės vėžiui kompensuojamas 5-FU ir</w:t>
      </w:r>
      <w:r w:rsidRPr="009478B3">
        <w:rPr>
          <w:b/>
          <w:iCs/>
          <w:lang w:eastAsia="lt-LT"/>
        </w:rPr>
        <w:t xml:space="preserve"> </w:t>
      </w:r>
      <w:proofErr w:type="spellStart"/>
      <w:r w:rsidRPr="009478B3">
        <w:rPr>
          <w:bCs/>
          <w:iCs/>
          <w:lang w:eastAsia="lt-LT"/>
        </w:rPr>
        <w:t>cisplatina</w:t>
      </w:r>
      <w:proofErr w:type="spellEnd"/>
      <w:r w:rsidRPr="009478B3">
        <w:rPr>
          <w:bCs/>
          <w:iCs/>
          <w:lang w:eastAsia="lt-LT"/>
        </w:rPr>
        <w:t>.</w:t>
      </w:r>
      <w:r w:rsidRPr="009478B3">
        <w:rPr>
          <w:rFonts w:eastAsia="Arial"/>
          <w:iCs/>
        </w:rPr>
        <w:t xml:space="preserve"> </w:t>
      </w:r>
      <w:r w:rsidRPr="009478B3">
        <w:t xml:space="preserve">Pareiškėjas siūlo, jog </w:t>
      </w:r>
      <w:proofErr w:type="spellStart"/>
      <w:r w:rsidRPr="009478B3">
        <w:t>nivolumabas</w:t>
      </w:r>
      <w:proofErr w:type="spellEnd"/>
      <w:r w:rsidRPr="009478B3">
        <w:t xml:space="preserve"> šiuo metu Lietuvoje kompensuojamoje ir įrodymus atitinkančioje gydymo schemoje turėtų papildyti pirmos eilės gydymą platinos vaistiniais preparatais ir </w:t>
      </w:r>
      <w:proofErr w:type="spellStart"/>
      <w:r w:rsidRPr="009478B3">
        <w:t>fluoropirimidinu</w:t>
      </w:r>
      <w:proofErr w:type="spellEnd"/>
      <w:r>
        <w:t xml:space="preserve">. Atkreiptinas dėmesys, jog </w:t>
      </w:r>
      <w:r w:rsidRPr="00BA40BB">
        <w:t xml:space="preserve">2024 m. gruodžio mėn. buvo priimtas sprendimas geros funkcinės būklės (ECOG 0 ar 1) pacientams, kurių lokaliai išplitusios ar </w:t>
      </w:r>
      <w:proofErr w:type="spellStart"/>
      <w:r w:rsidRPr="00BA40BB">
        <w:t>metastazavusios</w:t>
      </w:r>
      <w:proofErr w:type="spellEnd"/>
      <w:r w:rsidRPr="00BA40BB">
        <w:t xml:space="preserve"> stemplės karcinomos ląstelės </w:t>
      </w:r>
      <w:proofErr w:type="spellStart"/>
      <w:r w:rsidRPr="00BA40BB">
        <w:t>ekspresuoja</w:t>
      </w:r>
      <w:proofErr w:type="spellEnd"/>
      <w:r w:rsidRPr="00BA40BB">
        <w:t xml:space="preserve"> PD-L1 ir CPS rodmuo yra ≥10, kompensuoti </w:t>
      </w:r>
      <w:proofErr w:type="spellStart"/>
      <w:r w:rsidRPr="00BA40BB">
        <w:t>pembrolizumabą</w:t>
      </w:r>
      <w:proofErr w:type="spellEnd"/>
      <w:r w:rsidRPr="00BA40BB">
        <w:t xml:space="preserve"> derinyje su platinos ir </w:t>
      </w:r>
      <w:proofErr w:type="spellStart"/>
      <w:r w:rsidRPr="00BA40BB">
        <w:t>fluoropirimidino</w:t>
      </w:r>
      <w:proofErr w:type="spellEnd"/>
      <w:r w:rsidRPr="00BA40BB">
        <w:t xml:space="preserve"> grupės vaistiniais preparatais</w:t>
      </w:r>
      <w:r>
        <w:t xml:space="preserve">, tačiau </w:t>
      </w:r>
      <w:r w:rsidR="00780484">
        <w:t>*********************************</w:t>
      </w:r>
      <w:r>
        <w:t xml:space="preserve">gydymu, nes pareiškėjas pateikė </w:t>
      </w:r>
      <w:proofErr w:type="spellStart"/>
      <w:r>
        <w:t>nivolumabo</w:t>
      </w:r>
      <w:proofErr w:type="spellEnd"/>
      <w:r>
        <w:t xml:space="preserve"> paraišką </w:t>
      </w:r>
      <w:r w:rsidR="00780484">
        <w:t>*******</w:t>
      </w:r>
      <w:r>
        <w:t xml:space="preserve"> </w:t>
      </w:r>
      <w:r w:rsidR="005B0F51">
        <w:rPr>
          <w:lang w:val="en-US"/>
        </w:rPr>
        <w:t xml:space="preserve">** </w:t>
      </w:r>
      <w:r>
        <w:t xml:space="preserve">mėnesiams nuo sprendimo </w:t>
      </w:r>
      <w:proofErr w:type="spellStart"/>
      <w:r>
        <w:t>pembrolizumabą</w:t>
      </w:r>
      <w:proofErr w:type="spellEnd"/>
      <w:r>
        <w:t xml:space="preserve"> įrašyti į</w:t>
      </w:r>
      <w:r w:rsidR="00780484">
        <w:t xml:space="preserve"> *************</w:t>
      </w:r>
      <w:r>
        <w:t>.</w:t>
      </w:r>
    </w:p>
    <w:p w14:paraId="6BF4880C" w14:textId="77777777" w:rsidR="00BC14F9" w:rsidRPr="00644770" w:rsidRDefault="00BC14F9" w:rsidP="00BC14F9">
      <w:pPr>
        <w:tabs>
          <w:tab w:val="left" w:pos="426"/>
        </w:tabs>
        <w:spacing w:line="276" w:lineRule="auto"/>
        <w:jc w:val="both"/>
        <w:rPr>
          <w:rFonts w:eastAsia="Arial"/>
          <w:iCs/>
          <w:highlight w:val="yellow"/>
        </w:rPr>
      </w:pPr>
    </w:p>
    <w:p w14:paraId="1F142AC0" w14:textId="77777777" w:rsidR="00BC14F9" w:rsidRPr="00FF0341" w:rsidRDefault="00BC14F9" w:rsidP="00BC14F9">
      <w:pPr>
        <w:widowControl w:val="0"/>
        <w:jc w:val="both"/>
        <w:rPr>
          <w:bCs/>
          <w:i/>
          <w:iCs/>
          <w:color w:val="000000"/>
          <w:lang w:eastAsia="lt-LT"/>
        </w:rPr>
      </w:pPr>
      <w:r w:rsidRPr="00FF0341">
        <w:rPr>
          <w:bCs/>
          <w:i/>
          <w:iCs/>
          <w:color w:val="000000"/>
          <w:lang w:eastAsia="lt-LT"/>
        </w:rPr>
        <w:t>Tiesioginis palyginimas</w:t>
      </w:r>
    </w:p>
    <w:p w14:paraId="63B8BAED" w14:textId="77777777" w:rsidR="00BC14F9" w:rsidRPr="00FF0341" w:rsidRDefault="00BC14F9" w:rsidP="00BC14F9">
      <w:pPr>
        <w:widowControl w:val="0"/>
        <w:jc w:val="both"/>
        <w:rPr>
          <w:bCs/>
          <w:i/>
          <w:iCs/>
          <w:color w:val="000000"/>
          <w:lang w:eastAsia="lt-LT"/>
        </w:rPr>
      </w:pPr>
    </w:p>
    <w:p w14:paraId="40E7F242" w14:textId="77777777" w:rsidR="00BC14F9" w:rsidRPr="00644770" w:rsidRDefault="00BC14F9" w:rsidP="00BC14F9">
      <w:pPr>
        <w:widowControl w:val="0"/>
        <w:spacing w:line="276" w:lineRule="auto"/>
        <w:ind w:firstLine="720"/>
        <w:jc w:val="both"/>
        <w:rPr>
          <w:rFonts w:eastAsia="Arial"/>
          <w:bCs/>
          <w:highlight w:val="yellow"/>
        </w:rPr>
      </w:pPr>
      <w:r w:rsidRPr="00FF0341">
        <w:rPr>
          <w:bCs/>
          <w:color w:val="000000"/>
          <w:lang w:eastAsia="lt-LT"/>
        </w:rPr>
        <w:t xml:space="preserve">Klinikinis grindžiamas klinikinio tyrimo Checkmate648 duomenimis. Jame įrodyta, jog 18 metų ir vyresniems geros funkcinės būklės (ECOG 0 arba 1) pacientams, kuriems </w:t>
      </w:r>
      <w:r w:rsidRPr="00FF0341">
        <w:rPr>
          <w:rFonts w:eastAsia="Arial"/>
          <w:bCs/>
        </w:rPr>
        <w:t xml:space="preserve">nustatyta anksčiau negydyta </w:t>
      </w:r>
      <w:r w:rsidRPr="00FF0341">
        <w:rPr>
          <w:bCs/>
        </w:rPr>
        <w:t xml:space="preserve">vietiškai išplitusi </w:t>
      </w:r>
      <w:proofErr w:type="spellStart"/>
      <w:r w:rsidRPr="00FF0341">
        <w:rPr>
          <w:bCs/>
        </w:rPr>
        <w:t>nerezekuotina</w:t>
      </w:r>
      <w:proofErr w:type="spellEnd"/>
      <w:r w:rsidRPr="00FF0341">
        <w:rPr>
          <w:bCs/>
        </w:rPr>
        <w:t xml:space="preserve"> ar </w:t>
      </w:r>
      <w:proofErr w:type="spellStart"/>
      <w:r w:rsidRPr="00FF0341">
        <w:rPr>
          <w:bCs/>
        </w:rPr>
        <w:t>metastazavusi</w:t>
      </w:r>
      <w:proofErr w:type="spellEnd"/>
      <w:r w:rsidRPr="00FF0341">
        <w:rPr>
          <w:bCs/>
        </w:rPr>
        <w:t xml:space="preserve"> stemplės plokščiųjų ląstelių karcinoma</w:t>
      </w:r>
      <w:r w:rsidRPr="00FF0341">
        <w:rPr>
          <w:rFonts w:eastAsia="Arial"/>
          <w:bCs/>
        </w:rPr>
        <w:t xml:space="preserve">, gydymo 5-FU ir </w:t>
      </w:r>
      <w:proofErr w:type="spellStart"/>
      <w:r w:rsidRPr="00FF0341">
        <w:rPr>
          <w:rFonts w:eastAsia="Arial"/>
          <w:bCs/>
        </w:rPr>
        <w:t>cisplatinos</w:t>
      </w:r>
      <w:proofErr w:type="spellEnd"/>
      <w:r w:rsidRPr="00FF0341">
        <w:rPr>
          <w:rFonts w:eastAsia="Arial"/>
          <w:bCs/>
        </w:rPr>
        <w:t xml:space="preserve"> deriniu (tinkamas palyginamasis gydymas Lietuvoje) papildymas </w:t>
      </w:r>
      <w:proofErr w:type="spellStart"/>
      <w:r w:rsidRPr="00FF0341">
        <w:rPr>
          <w:rFonts w:eastAsia="Arial"/>
          <w:bCs/>
        </w:rPr>
        <w:t>nivolumabu</w:t>
      </w:r>
      <w:proofErr w:type="spellEnd"/>
      <w:r w:rsidRPr="00FF0341">
        <w:rPr>
          <w:rFonts w:eastAsia="Arial"/>
          <w:bCs/>
        </w:rPr>
        <w:t xml:space="preserve"> pacientų, kurių navikai </w:t>
      </w:r>
      <w:proofErr w:type="spellStart"/>
      <w:r w:rsidRPr="00FF0341">
        <w:rPr>
          <w:rFonts w:eastAsia="Arial"/>
          <w:bCs/>
        </w:rPr>
        <w:t>ekspresuoja</w:t>
      </w:r>
      <w:proofErr w:type="spellEnd"/>
      <w:r w:rsidRPr="00FF0341">
        <w:rPr>
          <w:rFonts w:eastAsia="Arial"/>
          <w:bCs/>
        </w:rPr>
        <w:t xml:space="preserve"> PD-L1 (≥1%), populiacijoje mirties nuo bet kokios</w:t>
      </w:r>
      <w:r>
        <w:rPr>
          <w:rFonts w:eastAsia="Arial"/>
          <w:bCs/>
        </w:rPr>
        <w:t xml:space="preserve"> priežasties riziką (pirminė hierarchinė vertinamoji baigtis) sumažino 46% (RS 0,54; 99% PI 0,37 – 0,80; p&lt;0,0001), lyginant su 5-FU ir </w:t>
      </w:r>
      <w:proofErr w:type="spellStart"/>
      <w:r>
        <w:rPr>
          <w:rFonts w:eastAsia="Arial"/>
          <w:bCs/>
        </w:rPr>
        <w:t>cisplatinos</w:t>
      </w:r>
      <w:proofErr w:type="spellEnd"/>
      <w:r>
        <w:rPr>
          <w:rFonts w:eastAsia="Arial"/>
          <w:bCs/>
        </w:rPr>
        <w:t xml:space="preserve"> deriniu. Bendrojoje pacientų populiacijoje ši rizika (antrinė hierarchinė vertinamoji baigtis) </w:t>
      </w:r>
      <w:proofErr w:type="spellStart"/>
      <w:r>
        <w:rPr>
          <w:rFonts w:eastAsia="Arial"/>
          <w:bCs/>
        </w:rPr>
        <w:t>nivolumabo</w:t>
      </w:r>
      <w:proofErr w:type="spellEnd"/>
      <w:r>
        <w:rPr>
          <w:rFonts w:eastAsia="Arial"/>
          <w:bCs/>
        </w:rPr>
        <w:t xml:space="preserve"> grupėje buvo 26% (RS 0,74; 99% PI 0,58 – 0,96; p=0,0021) mažesnė. Panašios tendencijos stebėtos visuose iš anksto numatytuose pogrupiuose. </w:t>
      </w:r>
      <w:r w:rsidRPr="00644770">
        <w:rPr>
          <w:rFonts w:eastAsia="Arial"/>
          <w:bCs/>
          <w:highlight w:val="yellow"/>
        </w:rPr>
        <w:t xml:space="preserve"> </w:t>
      </w:r>
    </w:p>
    <w:p w14:paraId="1D45B7DA" w14:textId="77777777" w:rsidR="00BC14F9" w:rsidRDefault="00BC14F9" w:rsidP="00BC14F9">
      <w:pPr>
        <w:tabs>
          <w:tab w:val="left" w:pos="492"/>
        </w:tabs>
        <w:spacing w:line="276" w:lineRule="auto"/>
        <w:jc w:val="both"/>
        <w:outlineLvl w:val="1"/>
        <w:rPr>
          <w:rFonts w:eastAsia="Arial"/>
          <w:bCs/>
        </w:rPr>
      </w:pPr>
      <w:r w:rsidRPr="00DD3264">
        <w:rPr>
          <w:rFonts w:eastAsia="Arial"/>
          <w:bCs/>
        </w:rPr>
        <w:tab/>
      </w:r>
      <w:r w:rsidRPr="00DD3264">
        <w:rPr>
          <w:rFonts w:eastAsia="Arial"/>
          <w:bCs/>
        </w:rPr>
        <w:tab/>
        <w:t xml:space="preserve">Vertinant pacientų </w:t>
      </w:r>
      <w:r w:rsidRPr="00DD3264">
        <w:rPr>
          <w:rFonts w:eastAsia="Arial"/>
        </w:rPr>
        <w:t>išgyvenamumą be ligos progresavimo</w:t>
      </w:r>
      <w:r w:rsidRPr="00DD3264">
        <w:rPr>
          <w:rFonts w:eastAsia="Arial"/>
          <w:bCs/>
        </w:rPr>
        <w:t xml:space="preserve">, gydymo papildymas </w:t>
      </w:r>
      <w:proofErr w:type="spellStart"/>
      <w:r w:rsidRPr="00DD3264">
        <w:rPr>
          <w:rFonts w:eastAsia="Arial"/>
          <w:bCs/>
        </w:rPr>
        <w:t>nivolumabu</w:t>
      </w:r>
      <w:proofErr w:type="spellEnd"/>
      <w:r w:rsidRPr="00DD3264">
        <w:rPr>
          <w:rFonts w:eastAsia="Arial"/>
          <w:bCs/>
        </w:rPr>
        <w:t xml:space="preserve"> </w:t>
      </w:r>
      <w:r w:rsidRPr="00FF0341">
        <w:rPr>
          <w:rFonts w:eastAsia="Arial"/>
          <w:bCs/>
        </w:rPr>
        <w:t xml:space="preserve">pacientų, kurių navikai </w:t>
      </w:r>
      <w:proofErr w:type="spellStart"/>
      <w:r w:rsidRPr="00FF0341">
        <w:rPr>
          <w:rFonts w:eastAsia="Arial"/>
          <w:bCs/>
        </w:rPr>
        <w:t>ekspresuoja</w:t>
      </w:r>
      <w:proofErr w:type="spellEnd"/>
      <w:r w:rsidRPr="00FF0341">
        <w:rPr>
          <w:rFonts w:eastAsia="Arial"/>
          <w:bCs/>
        </w:rPr>
        <w:t xml:space="preserve"> PD-L1</w:t>
      </w:r>
      <w:r>
        <w:rPr>
          <w:rFonts w:eastAsia="Arial"/>
          <w:bCs/>
        </w:rPr>
        <w:t xml:space="preserve"> </w:t>
      </w:r>
      <w:r w:rsidRPr="00FF0341">
        <w:rPr>
          <w:rFonts w:eastAsia="Arial"/>
          <w:bCs/>
        </w:rPr>
        <w:t>(≥1%), populiacijoje</w:t>
      </w:r>
      <w:r>
        <w:rPr>
          <w:rFonts w:eastAsia="Arial"/>
          <w:bCs/>
        </w:rPr>
        <w:t xml:space="preserve"> sumažino ligos progresavimo ar mirties nuo bet kokios priežasties (kita pirminė hierarchinė vertinamoji baigtis) 35% (RS 0,65; 99% PI 0,46 – 0,80; p=</w:t>
      </w:r>
      <w:r>
        <w:rPr>
          <w:rFonts w:eastAsia="Arial"/>
          <w:bCs/>
        </w:rPr>
        <w:softHyphen/>
        <w:t xml:space="preserve">0,0023), lyginant su 5-FU ir </w:t>
      </w:r>
      <w:proofErr w:type="spellStart"/>
      <w:r>
        <w:rPr>
          <w:rFonts w:eastAsia="Arial"/>
          <w:bCs/>
        </w:rPr>
        <w:t>cisplatinos</w:t>
      </w:r>
      <w:proofErr w:type="spellEnd"/>
      <w:r>
        <w:rPr>
          <w:rFonts w:eastAsia="Arial"/>
          <w:bCs/>
        </w:rPr>
        <w:t xml:space="preserve"> deriniu. Bendrojoje pacientų populiacijoje ši rizika (antrinė hierarchinė vertinamoji baigtis) tarp grupių nesiskyrė (RS 0,81; 99% PI 0,64 – 1,04; p=0,355).</w:t>
      </w:r>
    </w:p>
    <w:p w14:paraId="16AAF2ED" w14:textId="60FB288D" w:rsidR="00BC14F9" w:rsidRPr="00DB4F1F" w:rsidRDefault="00BC14F9" w:rsidP="00BC14F9">
      <w:pPr>
        <w:tabs>
          <w:tab w:val="left" w:pos="492"/>
        </w:tabs>
        <w:spacing w:line="280" w:lineRule="atLeast"/>
        <w:jc w:val="both"/>
        <w:outlineLvl w:val="1"/>
        <w:rPr>
          <w:rFonts w:eastAsia="Arial"/>
          <w:bCs/>
        </w:rPr>
      </w:pPr>
      <w:r w:rsidRPr="00272449">
        <w:rPr>
          <w:rFonts w:eastAsia="Arial"/>
          <w:bCs/>
        </w:rPr>
        <w:tab/>
      </w:r>
      <w:r w:rsidRPr="00272449">
        <w:rPr>
          <w:rFonts w:eastAsia="Arial"/>
          <w:bCs/>
        </w:rPr>
        <w:tab/>
        <w:t>Vertinant naviko atsaką į gydymą (</w:t>
      </w:r>
      <w:r w:rsidR="00D5069D">
        <w:rPr>
          <w:rFonts w:eastAsia="Arial"/>
          <w:bCs/>
        </w:rPr>
        <w:t xml:space="preserve">********** </w:t>
      </w:r>
      <w:r w:rsidRPr="00272449">
        <w:rPr>
          <w:rFonts w:eastAsia="Arial"/>
          <w:bCs/>
        </w:rPr>
        <w:t xml:space="preserve">vertinamoji baigtis, </w:t>
      </w:r>
      <w:r w:rsidR="00D5069D">
        <w:rPr>
          <w:rFonts w:eastAsia="Arial"/>
          <w:bCs/>
        </w:rPr>
        <w:t xml:space="preserve">***** </w:t>
      </w:r>
      <w:r w:rsidRPr="00272449">
        <w:rPr>
          <w:rFonts w:eastAsia="Arial"/>
          <w:bCs/>
        </w:rPr>
        <w:t xml:space="preserve">jos rezultatai vertintini kaip </w:t>
      </w:r>
      <w:r w:rsidR="001C0E11">
        <w:rPr>
          <w:rFonts w:eastAsia="Arial"/>
          <w:bCs/>
        </w:rPr>
        <w:t>*********</w:t>
      </w:r>
      <w:r w:rsidRPr="00272449">
        <w:rPr>
          <w:rFonts w:eastAsia="Arial"/>
          <w:bCs/>
        </w:rPr>
        <w:t xml:space="preserve">, nes </w:t>
      </w:r>
      <w:r w:rsidR="001C0E11">
        <w:rPr>
          <w:rFonts w:eastAsia="Arial"/>
          <w:bCs/>
        </w:rPr>
        <w:t>********</w:t>
      </w:r>
      <w:r w:rsidRPr="00272449">
        <w:rPr>
          <w:rFonts w:eastAsia="Arial"/>
          <w:bCs/>
        </w:rPr>
        <w:t xml:space="preserve"> </w:t>
      </w:r>
      <w:r w:rsidR="001C0E11">
        <w:rPr>
          <w:rFonts w:eastAsia="Arial"/>
          <w:bCs/>
        </w:rPr>
        <w:t>******** *******</w:t>
      </w:r>
      <w:r w:rsidRPr="00272449">
        <w:rPr>
          <w:rFonts w:eastAsia="Arial"/>
          <w:bCs/>
        </w:rPr>
        <w:t xml:space="preserve"> skirtumas vertinant pacientų </w:t>
      </w:r>
      <w:r w:rsidR="00D5069D">
        <w:rPr>
          <w:rFonts w:eastAsia="Arial"/>
          <w:bCs/>
        </w:rPr>
        <w:t>*********</w:t>
      </w:r>
      <w:r w:rsidRPr="00272449">
        <w:rPr>
          <w:rFonts w:eastAsia="Arial"/>
          <w:bCs/>
        </w:rPr>
        <w:t xml:space="preserve"> be ligos progresavimo), objektyvus atsako dažnis pacientų, , kurių navikai </w:t>
      </w:r>
      <w:proofErr w:type="spellStart"/>
      <w:r w:rsidRPr="00272449">
        <w:rPr>
          <w:rFonts w:eastAsia="Arial"/>
          <w:bCs/>
        </w:rPr>
        <w:t>ekspresuoja</w:t>
      </w:r>
      <w:proofErr w:type="spellEnd"/>
      <w:r w:rsidRPr="00272449">
        <w:rPr>
          <w:rFonts w:eastAsia="Arial"/>
          <w:bCs/>
        </w:rPr>
        <w:t xml:space="preserve"> PD-L1 (≥1%), populiacijoje </w:t>
      </w:r>
      <w:proofErr w:type="spellStart"/>
      <w:r w:rsidRPr="00272449">
        <w:rPr>
          <w:rFonts w:eastAsia="Arial"/>
          <w:bCs/>
        </w:rPr>
        <w:t>nivolumabo</w:t>
      </w:r>
      <w:proofErr w:type="spellEnd"/>
      <w:r w:rsidRPr="00272449">
        <w:rPr>
          <w:rFonts w:eastAsia="Arial"/>
          <w:bCs/>
        </w:rPr>
        <w:t xml:space="preserve"> ir placebo grupėse buvo atitinkamai 53,2% (n=84) ir 19,7% (n=31), ITT populiacijoje – 47,4% (n=152) ir 26,9 (n=87).</w:t>
      </w:r>
      <w:r>
        <w:rPr>
          <w:rFonts w:eastAsia="Arial"/>
          <w:bCs/>
        </w:rPr>
        <w:t xml:space="preserve"> </w:t>
      </w:r>
      <w:r w:rsidRPr="006E2714">
        <w:rPr>
          <w:rFonts w:eastAsia="Arial"/>
          <w:bCs/>
        </w:rPr>
        <w:t>Atsako trukmės mediana bendrojoje populiacijoje buvo 8,2 (95% PI 6,9 – 9,7)</w:t>
      </w:r>
      <w:r>
        <w:rPr>
          <w:rFonts w:eastAsia="Arial"/>
          <w:bCs/>
        </w:rPr>
        <w:t xml:space="preserve"> </w:t>
      </w:r>
      <w:r w:rsidRPr="006E2714">
        <w:rPr>
          <w:rFonts w:eastAsia="Arial"/>
          <w:bCs/>
        </w:rPr>
        <w:t xml:space="preserve">mėn. </w:t>
      </w:r>
      <w:proofErr w:type="spellStart"/>
      <w:r>
        <w:rPr>
          <w:rFonts w:eastAsia="Arial"/>
          <w:bCs/>
        </w:rPr>
        <w:t>nivolumabo</w:t>
      </w:r>
      <w:proofErr w:type="spellEnd"/>
      <w:r w:rsidRPr="006E2714">
        <w:rPr>
          <w:rFonts w:eastAsia="Arial"/>
          <w:bCs/>
        </w:rPr>
        <w:t>, 7,1</w:t>
      </w:r>
      <w:r>
        <w:rPr>
          <w:rFonts w:eastAsia="Arial"/>
          <w:bCs/>
        </w:rPr>
        <w:t xml:space="preserve"> </w:t>
      </w:r>
      <w:r w:rsidRPr="006E2714">
        <w:rPr>
          <w:rFonts w:eastAsia="Arial"/>
          <w:bCs/>
        </w:rPr>
        <w:t>(95% PI 5,6 – 8,2) mėn.</w:t>
      </w:r>
      <w:r>
        <w:rPr>
          <w:rFonts w:eastAsia="Arial"/>
          <w:bCs/>
        </w:rPr>
        <w:t xml:space="preserve"> </w:t>
      </w:r>
      <w:r w:rsidRPr="006E2714">
        <w:rPr>
          <w:rFonts w:eastAsia="Arial"/>
          <w:bCs/>
        </w:rPr>
        <w:t xml:space="preserve">– </w:t>
      </w:r>
      <w:r>
        <w:rPr>
          <w:rFonts w:eastAsia="Arial"/>
          <w:bCs/>
        </w:rPr>
        <w:t>placebo</w:t>
      </w:r>
      <w:r w:rsidRPr="006E2714">
        <w:rPr>
          <w:rFonts w:eastAsia="Arial"/>
          <w:bCs/>
        </w:rPr>
        <w:t xml:space="preserve"> grupėje. Pacientų, kurių navikai </w:t>
      </w:r>
      <w:proofErr w:type="spellStart"/>
      <w:r w:rsidRPr="006E2714">
        <w:rPr>
          <w:rFonts w:eastAsia="Arial"/>
          <w:bCs/>
        </w:rPr>
        <w:t>ekspresuoja</w:t>
      </w:r>
      <w:proofErr w:type="spellEnd"/>
      <w:r w:rsidRPr="006E2714">
        <w:rPr>
          <w:rFonts w:eastAsia="Arial"/>
          <w:bCs/>
        </w:rPr>
        <w:t xml:space="preserve"> </w:t>
      </w:r>
      <w:r>
        <w:rPr>
          <w:rFonts w:eastAsia="Arial"/>
          <w:bCs/>
        </w:rPr>
        <w:t>PD-L1 ≥1%, populiacijoje atsako trukmės mediana buvo atitinkamai 8,4 (95% PI 6,9 – 9,7) ir 5,7 (95% PI 4,4 – 8,7) mėn.</w:t>
      </w:r>
    </w:p>
    <w:p w14:paraId="37362193" w14:textId="57082AAB" w:rsidR="00BC14F9" w:rsidRDefault="00BC14F9" w:rsidP="00BC14F9">
      <w:pPr>
        <w:widowControl w:val="0"/>
        <w:spacing w:line="276" w:lineRule="auto"/>
        <w:ind w:firstLine="720"/>
        <w:jc w:val="both"/>
        <w:rPr>
          <w:bCs/>
          <w:color w:val="000000"/>
          <w:lang w:eastAsia="lt-LT"/>
        </w:rPr>
      </w:pPr>
      <w:r w:rsidRPr="00DB4F1F">
        <w:rPr>
          <w:rFonts w:eastAsia="Arial"/>
          <w:iCs/>
        </w:rPr>
        <w:t xml:space="preserve">Pacientų praneštos baigtys buvo įvertintos pacientams užpildant </w:t>
      </w:r>
      <w:r w:rsidRPr="00DB4F1F">
        <w:rPr>
          <w:rFonts w:eastAsia="Arial"/>
          <w:bCs/>
        </w:rPr>
        <w:t>EQ-5D-3L, FACT-E, FACT-G7, FACT-E ECS klausimynus</w:t>
      </w:r>
      <w:r w:rsidRPr="00DB4F1F">
        <w:rPr>
          <w:rFonts w:eastAsia="Arial"/>
          <w:iCs/>
        </w:rPr>
        <w:t xml:space="preserve">. Pacientų gyvenimo kokybė tarp tiriamųjų grupių </w:t>
      </w:r>
      <w:r w:rsidR="001C0E11">
        <w:rPr>
          <w:rFonts w:eastAsia="Arial"/>
          <w:iCs/>
        </w:rPr>
        <w:t>******</w:t>
      </w:r>
      <w:r w:rsidRPr="00DB4F1F">
        <w:rPr>
          <w:rFonts w:eastAsia="Arial"/>
          <w:iCs/>
        </w:rPr>
        <w:t xml:space="preserve"> </w:t>
      </w:r>
      <w:r w:rsidR="001C0E11">
        <w:rPr>
          <w:rFonts w:eastAsia="Arial"/>
          <w:iCs/>
        </w:rPr>
        <w:t>*******</w:t>
      </w:r>
      <w:r w:rsidRPr="00DB4F1F">
        <w:rPr>
          <w:rFonts w:eastAsia="Arial"/>
          <w:iCs/>
        </w:rPr>
        <w:t>.</w:t>
      </w:r>
      <w:r w:rsidRPr="00DB4F1F">
        <w:rPr>
          <w:iCs/>
        </w:rPr>
        <w:t xml:space="preserve"> Reikšmingų</w:t>
      </w:r>
      <w:r w:rsidRPr="00DB4F1F">
        <w:rPr>
          <w:bCs/>
          <w:iCs/>
          <w:lang w:eastAsia="lt-LT"/>
        </w:rPr>
        <w:t xml:space="preserve"> saugumo problemų ar įvykių nenustatyta</w:t>
      </w:r>
      <w:r w:rsidRPr="00DB4F1F">
        <w:rPr>
          <w:bCs/>
          <w:color w:val="000000"/>
          <w:lang w:eastAsia="lt-LT"/>
        </w:rPr>
        <w:t xml:space="preserve">, papildomas toksiškumas skiriant </w:t>
      </w:r>
      <w:proofErr w:type="spellStart"/>
      <w:r w:rsidRPr="00DB4F1F">
        <w:rPr>
          <w:bCs/>
          <w:color w:val="000000"/>
          <w:lang w:eastAsia="lt-LT"/>
        </w:rPr>
        <w:t>nivolumabo</w:t>
      </w:r>
      <w:proofErr w:type="spellEnd"/>
      <w:r w:rsidRPr="00DB4F1F">
        <w:rPr>
          <w:bCs/>
          <w:color w:val="000000"/>
          <w:lang w:eastAsia="lt-LT"/>
        </w:rPr>
        <w:t xml:space="preserve"> – 5-FU – </w:t>
      </w:r>
      <w:proofErr w:type="spellStart"/>
      <w:r w:rsidRPr="00DB4F1F">
        <w:rPr>
          <w:bCs/>
          <w:color w:val="000000"/>
          <w:lang w:eastAsia="lt-LT"/>
        </w:rPr>
        <w:t>cisplatinos</w:t>
      </w:r>
      <w:proofErr w:type="spellEnd"/>
      <w:r w:rsidRPr="00DB4F1F">
        <w:rPr>
          <w:bCs/>
          <w:color w:val="000000"/>
          <w:lang w:eastAsia="lt-LT"/>
        </w:rPr>
        <w:t xml:space="preserve"> derinį yra priimtinas.</w:t>
      </w:r>
    </w:p>
    <w:p w14:paraId="32B2D613" w14:textId="77777777" w:rsidR="00BC14F9" w:rsidRDefault="00BC14F9" w:rsidP="00BC14F9">
      <w:pPr>
        <w:spacing w:line="276" w:lineRule="auto"/>
        <w:ind w:firstLine="720"/>
        <w:jc w:val="both"/>
        <w:rPr>
          <w:rFonts w:eastAsia="Arial"/>
          <w:bCs/>
        </w:rPr>
      </w:pPr>
      <w:r>
        <w:rPr>
          <w:rFonts w:eastAsia="Arial"/>
          <w:bCs/>
        </w:rPr>
        <w:t xml:space="preserve">Apibendrinant tiesioginio palyginimo analizėje pateiktus duomenis, geros funkcinės būklės pacientams, kuriems nustatyta </w:t>
      </w:r>
      <w:proofErr w:type="spellStart"/>
      <w:r w:rsidRPr="0011320F">
        <w:rPr>
          <w:lang w:eastAsia="lt-LT"/>
        </w:rPr>
        <w:t>metastazavusi</w:t>
      </w:r>
      <w:proofErr w:type="spellEnd"/>
      <w:r>
        <w:rPr>
          <w:lang w:eastAsia="lt-LT"/>
        </w:rPr>
        <w:t xml:space="preserve"> </w:t>
      </w:r>
      <w:r w:rsidRPr="0011320F">
        <w:rPr>
          <w:lang w:eastAsia="lt-LT"/>
        </w:rPr>
        <w:t xml:space="preserve">ar </w:t>
      </w:r>
      <w:proofErr w:type="spellStart"/>
      <w:r w:rsidRPr="0011320F">
        <w:rPr>
          <w:lang w:eastAsia="lt-LT"/>
        </w:rPr>
        <w:t>nerezekuotin</w:t>
      </w:r>
      <w:r>
        <w:rPr>
          <w:lang w:eastAsia="lt-LT"/>
        </w:rPr>
        <w:t>a</w:t>
      </w:r>
      <w:proofErr w:type="spellEnd"/>
      <w:r>
        <w:rPr>
          <w:lang w:eastAsia="lt-LT"/>
        </w:rPr>
        <w:t xml:space="preserve"> PD-L1 </w:t>
      </w:r>
      <w:proofErr w:type="spellStart"/>
      <w:r>
        <w:rPr>
          <w:lang w:eastAsia="lt-LT"/>
        </w:rPr>
        <w:t>ekspresuojanti</w:t>
      </w:r>
      <w:proofErr w:type="spellEnd"/>
      <w:r w:rsidRPr="0011320F">
        <w:rPr>
          <w:lang w:eastAsia="lt-LT"/>
        </w:rPr>
        <w:t xml:space="preserve"> stemplės</w:t>
      </w:r>
      <w:r>
        <w:rPr>
          <w:lang w:eastAsia="lt-LT"/>
        </w:rPr>
        <w:t xml:space="preserve"> plokščiųjų ląstelių</w:t>
      </w:r>
      <w:r w:rsidRPr="0011320F">
        <w:rPr>
          <w:lang w:eastAsia="lt-LT"/>
        </w:rPr>
        <w:t xml:space="preserve"> karcinom</w:t>
      </w:r>
      <w:r>
        <w:rPr>
          <w:lang w:eastAsia="lt-LT"/>
        </w:rPr>
        <w:t xml:space="preserve">a, pirmos eilės gydymo – </w:t>
      </w:r>
      <w:r>
        <w:rPr>
          <w:rFonts w:eastAsia="Arial"/>
          <w:bCs/>
        </w:rPr>
        <w:t xml:space="preserve">platinos ir </w:t>
      </w:r>
      <w:proofErr w:type="spellStart"/>
      <w:r>
        <w:rPr>
          <w:rFonts w:eastAsia="Arial"/>
          <w:bCs/>
        </w:rPr>
        <w:t>fluoropirimidino</w:t>
      </w:r>
      <w:proofErr w:type="spellEnd"/>
      <w:r>
        <w:rPr>
          <w:rFonts w:eastAsia="Arial"/>
          <w:bCs/>
        </w:rPr>
        <w:t xml:space="preserve"> derinio – papildymas </w:t>
      </w:r>
      <w:proofErr w:type="spellStart"/>
      <w:r>
        <w:rPr>
          <w:rFonts w:eastAsia="Arial"/>
          <w:bCs/>
        </w:rPr>
        <w:t>nivolumabu</w:t>
      </w:r>
      <w:proofErr w:type="spellEnd"/>
      <w:r w:rsidRPr="006343D5">
        <w:rPr>
          <w:rFonts w:eastAsia="Arial"/>
          <w:bCs/>
        </w:rPr>
        <w:t xml:space="preserve"> užtikrina </w:t>
      </w:r>
      <w:r>
        <w:rPr>
          <w:rFonts w:eastAsia="Arial"/>
          <w:bCs/>
        </w:rPr>
        <w:t xml:space="preserve">ilgesnį pacientų išgyvenamumą be reikšmingo papildomo toksiškumo ir gyvenimo kokybės pablogėjimo. Dėl šių priežasčių </w:t>
      </w:r>
      <w:proofErr w:type="spellStart"/>
      <w:r>
        <w:rPr>
          <w:rFonts w:eastAsia="Arial"/>
          <w:bCs/>
        </w:rPr>
        <w:t>nivolumabo</w:t>
      </w:r>
      <w:proofErr w:type="spellEnd"/>
      <w:r>
        <w:rPr>
          <w:rFonts w:eastAsia="Arial"/>
          <w:bCs/>
        </w:rPr>
        <w:t xml:space="preserve"> palyginamasis veiksmingumas vertinamas kaip didesnis, palyginus su įprasta klinikine praktika.</w:t>
      </w:r>
    </w:p>
    <w:p w14:paraId="2EE68526" w14:textId="77777777" w:rsidR="00D64441" w:rsidRDefault="00D64441" w:rsidP="00434D0C">
      <w:pPr>
        <w:pStyle w:val="ListParagraph"/>
        <w:tabs>
          <w:tab w:val="left" w:pos="426"/>
        </w:tabs>
        <w:spacing w:line="276" w:lineRule="auto"/>
        <w:ind w:left="0"/>
        <w:jc w:val="both"/>
        <w:rPr>
          <w:bCs/>
          <w:color w:val="000000"/>
          <w:lang w:eastAsia="lt-LT"/>
        </w:rPr>
      </w:pPr>
    </w:p>
    <w:p w14:paraId="7DE09EB5" w14:textId="69E9DD74" w:rsidR="00E03C3F" w:rsidRPr="00935B3E" w:rsidRDefault="00CC7832" w:rsidP="00434D0C">
      <w:pPr>
        <w:pStyle w:val="ListParagraph"/>
        <w:numPr>
          <w:ilvl w:val="0"/>
          <w:numId w:val="12"/>
        </w:numPr>
        <w:tabs>
          <w:tab w:val="left" w:pos="567"/>
        </w:tabs>
        <w:spacing w:line="276" w:lineRule="auto"/>
        <w:ind w:hanging="720"/>
        <w:rPr>
          <w:b/>
          <w:bCs/>
          <w:caps/>
        </w:rPr>
      </w:pPr>
      <w:r w:rsidRPr="00935B3E">
        <w:rPr>
          <w:b/>
          <w:bCs/>
          <w:caps/>
        </w:rPr>
        <w:t xml:space="preserve">ekonominio vertinimo </w:t>
      </w:r>
      <w:r w:rsidR="002F0E4F" w:rsidRPr="00935B3E">
        <w:rPr>
          <w:b/>
          <w:bCs/>
          <w:caps/>
        </w:rPr>
        <w:t>apibendrinimas</w:t>
      </w:r>
    </w:p>
    <w:p w14:paraId="33875138" w14:textId="77777777" w:rsidR="0035172D" w:rsidRDefault="0035172D" w:rsidP="00434D0C">
      <w:pPr>
        <w:tabs>
          <w:tab w:val="left" w:pos="426"/>
        </w:tabs>
        <w:spacing w:line="276" w:lineRule="auto"/>
        <w:rPr>
          <w:b/>
          <w:bCs/>
          <w:caps/>
        </w:rPr>
      </w:pPr>
    </w:p>
    <w:p w14:paraId="338C8261" w14:textId="77777777" w:rsidR="00BC14F9" w:rsidRDefault="00BC14F9" w:rsidP="00BC14F9">
      <w:pPr>
        <w:tabs>
          <w:tab w:val="left" w:pos="270"/>
        </w:tabs>
        <w:spacing w:line="276" w:lineRule="auto"/>
        <w:jc w:val="both"/>
      </w:pPr>
      <w:r>
        <w:tab/>
      </w:r>
      <w:proofErr w:type="spellStart"/>
      <w:r>
        <w:t>Populiaciniai</w:t>
      </w:r>
      <w:proofErr w:type="spellEnd"/>
      <w:r>
        <w:t xml:space="preserve"> duomenys KNA pagrįsti </w:t>
      </w:r>
      <w:r w:rsidRPr="009D56BB">
        <w:t xml:space="preserve">tiriamųjų, įtrauktų į klinikinį tyrimą </w:t>
      </w:r>
      <w:proofErr w:type="spellStart"/>
      <w:r w:rsidRPr="009D56BB">
        <w:t>CheckMate</w:t>
      </w:r>
      <w:proofErr w:type="spellEnd"/>
      <w:r w:rsidRPr="009D56BB">
        <w:t xml:space="preserve"> </w:t>
      </w:r>
      <w:r w:rsidRPr="00F63695">
        <w:t>648</w:t>
      </w:r>
      <w:r w:rsidRPr="009D56BB">
        <w:t xml:space="preserve"> pažengusio, neoperuotino ar </w:t>
      </w:r>
      <w:proofErr w:type="spellStart"/>
      <w:r w:rsidRPr="009D56BB">
        <w:t>recidyvuojančio</w:t>
      </w:r>
      <w:proofErr w:type="spellEnd"/>
      <w:r w:rsidRPr="009D56BB">
        <w:t xml:space="preserve"> stemplės PLK</w:t>
      </w:r>
      <w:r>
        <w:t xml:space="preserve"> kohortoje, charakteristikomis, tačiau kadangi </w:t>
      </w:r>
      <w:r w:rsidRPr="009D56BB">
        <w:t xml:space="preserve">dauguma į </w:t>
      </w:r>
      <w:proofErr w:type="spellStart"/>
      <w:r w:rsidRPr="009D56BB">
        <w:t>CheckMate</w:t>
      </w:r>
      <w:proofErr w:type="spellEnd"/>
      <w:r w:rsidRPr="009D56BB">
        <w:t xml:space="preserve"> </w:t>
      </w:r>
      <w:r w:rsidRPr="00F63695">
        <w:t>648</w:t>
      </w:r>
      <w:r w:rsidRPr="009D56BB">
        <w:t xml:space="preserve"> įtrauktų tiriamųjų buvo azijiečiai, modelis buvo pritaikytas rekomenduojamam vidutiniam kūno svoriui (70 kg) ir KPP (1,8) pagal Lietuvos (Valstybinės ligonių kasos, VLK: 2014-10-13; Nr. 1K-261) duomenis.</w:t>
      </w:r>
      <w:r>
        <w:t xml:space="preserve"> </w:t>
      </w:r>
      <w:r w:rsidRPr="00656679">
        <w:t xml:space="preserve">Klinikinio vertinimo duomenimis, atsižvelgiant į Europos komisijos patvirtintą </w:t>
      </w:r>
      <w:proofErr w:type="spellStart"/>
      <w:r w:rsidRPr="00656679">
        <w:t>nivolumabo</w:t>
      </w:r>
      <w:proofErr w:type="spellEnd"/>
      <w:r w:rsidRPr="00656679">
        <w:t xml:space="preserve"> indikaciją stemplės plokščiųjų ląstelių karcinomos gydymui, </w:t>
      </w:r>
      <w:proofErr w:type="spellStart"/>
      <w:r w:rsidRPr="00656679">
        <w:t>nivolumabo</w:t>
      </w:r>
      <w:proofErr w:type="spellEnd"/>
      <w:r w:rsidRPr="00656679">
        <w:t xml:space="preserve"> efektyvumas labiausiai priklauso nuo PD-L1 raiškos, o ne paciento geografinio regiono. Dėl šios priežasties</w:t>
      </w:r>
      <w:r>
        <w:t xml:space="preserve"> yra laikoma, kad KNA įtraukiama populiacija (</w:t>
      </w:r>
      <w:proofErr w:type="spellStart"/>
      <w:r w:rsidRPr="00656679">
        <w:t>Checkmate</w:t>
      </w:r>
      <w:proofErr w:type="spellEnd"/>
      <w:r w:rsidRPr="00656679">
        <w:t xml:space="preserve"> 648 tyrimo </w:t>
      </w:r>
      <w:r>
        <w:t xml:space="preserve">populiacijos charakteristikos) atitinka </w:t>
      </w:r>
      <w:r w:rsidRPr="0045334E">
        <w:rPr>
          <w:lang w:eastAsia="lt-LT"/>
        </w:rPr>
        <w:t>kompensacijai teikiamas terapines indikacijas</w:t>
      </w:r>
      <w:r>
        <w:rPr>
          <w:lang w:eastAsia="lt-LT"/>
        </w:rPr>
        <w:t xml:space="preserve"> ir</w:t>
      </w:r>
      <w:r>
        <w:t xml:space="preserve"> Lietuvos pacientus.</w:t>
      </w:r>
    </w:p>
    <w:p w14:paraId="30729C7B" w14:textId="77777777" w:rsidR="00BC14F9" w:rsidRDefault="00BC14F9" w:rsidP="00BC14F9">
      <w:pPr>
        <w:tabs>
          <w:tab w:val="left" w:pos="270"/>
        </w:tabs>
        <w:spacing w:line="276" w:lineRule="auto"/>
        <w:jc w:val="both"/>
        <w:rPr>
          <w:rFonts w:eastAsia="Arial"/>
          <w:i/>
          <w:color w:val="000000" w:themeColor="text1"/>
        </w:rPr>
      </w:pPr>
      <w:r>
        <w:rPr>
          <w:bCs/>
          <w:iCs/>
          <w:lang w:eastAsia="lt-LT"/>
        </w:rPr>
        <w:tab/>
        <w:t xml:space="preserve">KNA yra atliekama </w:t>
      </w:r>
      <w:proofErr w:type="spellStart"/>
      <w:r>
        <w:rPr>
          <w:bCs/>
          <w:iCs/>
          <w:lang w:eastAsia="lt-LT"/>
        </w:rPr>
        <w:t>nivolumabas</w:t>
      </w:r>
      <w:proofErr w:type="spellEnd"/>
      <w:r>
        <w:rPr>
          <w:bCs/>
          <w:iCs/>
          <w:lang w:eastAsia="lt-LT"/>
        </w:rPr>
        <w:t xml:space="preserve"> + chemoterapija lyginant su chemoterapija (</w:t>
      </w:r>
      <w:proofErr w:type="spellStart"/>
      <w:r>
        <w:rPr>
          <w:bCs/>
          <w:iCs/>
          <w:lang w:eastAsia="lt-LT"/>
        </w:rPr>
        <w:t>cisplatina</w:t>
      </w:r>
      <w:proofErr w:type="spellEnd"/>
      <w:r>
        <w:rPr>
          <w:bCs/>
          <w:iCs/>
          <w:lang w:eastAsia="lt-LT"/>
        </w:rPr>
        <w:t xml:space="preserve"> + </w:t>
      </w:r>
      <w:proofErr w:type="spellStart"/>
      <w:r>
        <w:rPr>
          <w:bCs/>
        </w:rPr>
        <w:t>luoropirimidinas</w:t>
      </w:r>
      <w:proofErr w:type="spellEnd"/>
      <w:r>
        <w:rPr>
          <w:bCs/>
        </w:rPr>
        <w:t xml:space="preserve">). Duomenys taikomi iš tiesioginio palyginimo </w:t>
      </w:r>
      <w:proofErr w:type="spellStart"/>
      <w:r w:rsidRPr="0045334E">
        <w:t>CheckMate</w:t>
      </w:r>
      <w:proofErr w:type="spellEnd"/>
      <w:r w:rsidRPr="0045334E">
        <w:t xml:space="preserve"> 648 klinikinio tyrimo. </w:t>
      </w:r>
      <w:r w:rsidRPr="001A5F98">
        <w:rPr>
          <w:bCs/>
          <w:iCs/>
          <w:lang w:eastAsia="lt-LT"/>
        </w:rPr>
        <w:t xml:space="preserve">Pagal </w:t>
      </w:r>
      <w:r>
        <w:rPr>
          <w:bCs/>
          <w:iCs/>
          <w:lang w:eastAsia="lt-LT"/>
        </w:rPr>
        <w:t xml:space="preserve">Lietuvos </w:t>
      </w:r>
      <w:r w:rsidRPr="001A5F98">
        <w:rPr>
          <w:rFonts w:eastAsia="Arial"/>
          <w:color w:val="000000" w:themeColor="text1"/>
        </w:rPr>
        <w:t xml:space="preserve">Respublikos sveikatos apsaugos ministro 2000 m. sausio 28 d. įsakyme Nr. 49 </w:t>
      </w:r>
      <w:r w:rsidRPr="001A5F98">
        <w:rPr>
          <w:bCs/>
          <w:iCs/>
          <w:lang w:eastAsia="lt-LT"/>
        </w:rPr>
        <w:t xml:space="preserve"> „Dėl kompensuojamųjų vaistų sąrašų patvirtinimo“ pateiktą ligų ir kompensuojamųjų vaistų joms gydyti sąrašą </w:t>
      </w:r>
      <w:r w:rsidRPr="001A5F98">
        <w:rPr>
          <w:rFonts w:eastAsia="Arial"/>
          <w:color w:val="000000" w:themeColor="text1"/>
        </w:rPr>
        <w:t xml:space="preserve">palyginamasis gydymas </w:t>
      </w:r>
      <w:r w:rsidRPr="006010A5">
        <w:rPr>
          <w:rFonts w:eastAsia="Arial"/>
          <w:color w:val="000000" w:themeColor="text1"/>
        </w:rPr>
        <w:t>atitinka</w:t>
      </w:r>
      <w:r w:rsidRPr="001A5F98">
        <w:rPr>
          <w:rFonts w:eastAsia="Arial"/>
          <w:color w:val="000000" w:themeColor="text1"/>
        </w:rPr>
        <w:t xml:space="preserve"> Lietuvos Respublikos sveikatos apsaugos ministro 2002 m. balandžio 5 d. įsakymo Nr. V-159 „Dėl vaistinių preparatų ir medicinos pagalbos priemonių įrašymo į </w:t>
      </w:r>
      <w:r w:rsidRPr="0045334E">
        <w:rPr>
          <w:rFonts w:eastAsia="Arial"/>
          <w:color w:val="000000" w:themeColor="text1"/>
        </w:rPr>
        <w:t xml:space="preserve">kompensavimo sąrašus ir jų keitimo tvarkos aprašo patvirtinimo“ 116.1 punktą, nes </w:t>
      </w:r>
      <w:r w:rsidRPr="0045334E">
        <w:rPr>
          <w:rFonts w:eastAsia="Arial"/>
          <w:bCs/>
          <w:color w:val="000000" w:themeColor="text1"/>
        </w:rPr>
        <w:t>stemplės plokščiųjų ląstelių karcinomos</w:t>
      </w:r>
      <w:r w:rsidRPr="0045334E">
        <w:rPr>
          <w:rFonts w:eastAsia="Arial"/>
          <w:color w:val="000000" w:themeColor="text1"/>
        </w:rPr>
        <w:t xml:space="preserve"> pirmos eilės </w:t>
      </w:r>
      <w:r w:rsidRPr="0045334E">
        <w:t xml:space="preserve">gydymas </w:t>
      </w:r>
      <w:r w:rsidRPr="0045334E">
        <w:rPr>
          <w:bCs/>
        </w:rPr>
        <w:t xml:space="preserve">platinos </w:t>
      </w:r>
      <w:r w:rsidRPr="0045334E">
        <w:t>(</w:t>
      </w:r>
      <w:proofErr w:type="spellStart"/>
      <w:r w:rsidRPr="0045334E">
        <w:t>cisplatinos</w:t>
      </w:r>
      <w:proofErr w:type="spellEnd"/>
      <w:r w:rsidRPr="0045334E">
        <w:t>)</w:t>
      </w:r>
      <w:r w:rsidRPr="0045334E">
        <w:rPr>
          <w:bCs/>
        </w:rPr>
        <w:t xml:space="preserve"> </w:t>
      </w:r>
      <w:r w:rsidRPr="0045334E">
        <w:t>ir</w:t>
      </w:r>
      <w:r w:rsidRPr="0045334E">
        <w:rPr>
          <w:bCs/>
        </w:rPr>
        <w:t xml:space="preserve"> </w:t>
      </w:r>
      <w:proofErr w:type="spellStart"/>
      <w:r w:rsidRPr="0045334E">
        <w:rPr>
          <w:bCs/>
        </w:rPr>
        <w:t>fluoropirimidino</w:t>
      </w:r>
      <w:proofErr w:type="spellEnd"/>
      <w:r w:rsidRPr="0045334E">
        <w:t xml:space="preserve"> (5-FU/</w:t>
      </w:r>
      <w:proofErr w:type="spellStart"/>
      <w:r w:rsidRPr="0045334E">
        <w:t>kapecitabino</w:t>
      </w:r>
      <w:proofErr w:type="spellEnd"/>
      <w:r w:rsidRPr="0045334E">
        <w:t xml:space="preserve">) </w:t>
      </w:r>
      <w:r w:rsidRPr="0045334E">
        <w:rPr>
          <w:bCs/>
        </w:rPr>
        <w:t>deriniu</w:t>
      </w:r>
      <w:r>
        <w:rPr>
          <w:b/>
          <w:bCs/>
        </w:rPr>
        <w:t xml:space="preserve"> </w:t>
      </w:r>
      <w:r w:rsidRPr="001A5F98">
        <w:t>yra</w:t>
      </w:r>
      <w:r w:rsidRPr="001A5F98">
        <w:rPr>
          <w:rFonts w:eastAsia="Arial"/>
          <w:color w:val="000000" w:themeColor="text1"/>
        </w:rPr>
        <w:t xml:space="preserve"> „</w:t>
      </w:r>
      <w:r w:rsidRPr="001A5F98">
        <w:rPr>
          <w:rFonts w:eastAsia="Arial"/>
          <w:i/>
          <w:color w:val="000000" w:themeColor="text1"/>
        </w:rPr>
        <w:t>paraiškos vertinimo metu atitinkantis įprastą klinikinę praktiką ir pagrįstai laikomas atitinkančiu pripažintas konkrečios ligos gydymo gaires“.</w:t>
      </w:r>
    </w:p>
    <w:p w14:paraId="37E9DAF9" w14:textId="0694A0D6" w:rsidR="00BC14F9" w:rsidRPr="009D56BB" w:rsidRDefault="00BC14F9" w:rsidP="00BC14F9">
      <w:pPr>
        <w:spacing w:line="276" w:lineRule="auto"/>
        <w:ind w:firstLine="567"/>
        <w:jc w:val="both"/>
      </w:pPr>
      <w:proofErr w:type="spellStart"/>
      <w:r w:rsidRPr="009D56BB">
        <w:t>Farmakoekonominėje</w:t>
      </w:r>
      <w:proofErr w:type="spellEnd"/>
      <w:r w:rsidRPr="009D56BB">
        <w:t xml:space="preserve"> analizėje </w:t>
      </w:r>
      <w:r w:rsidR="00163742">
        <w:t xml:space="preserve">*********** </w:t>
      </w:r>
      <w:r w:rsidRPr="009D56BB">
        <w:t xml:space="preserve">išgyvenamumo (angl. </w:t>
      </w:r>
      <w:r w:rsidR="00163742">
        <w:t xml:space="preserve">************* </w:t>
      </w:r>
      <w:proofErr w:type="spellStart"/>
      <w:r w:rsidRPr="009D56BB">
        <w:t>model</w:t>
      </w:r>
      <w:proofErr w:type="spellEnd"/>
      <w:r w:rsidRPr="009D56BB">
        <w:t xml:space="preserve">) </w:t>
      </w:r>
      <w:r w:rsidR="001C0E11">
        <w:t>*******</w:t>
      </w:r>
      <w:r w:rsidRPr="009D56BB">
        <w:t xml:space="preserve"> sveikatos būklių modeliavimas. </w:t>
      </w:r>
      <w:r w:rsidRPr="009D56BB">
        <w:rPr>
          <w:bCs/>
          <w:lang w:eastAsia="lt-LT"/>
        </w:rPr>
        <w:t>Pareiškėjo taikoma</w:t>
      </w:r>
      <w:r w:rsidR="00163742">
        <w:rPr>
          <w:bCs/>
          <w:lang w:eastAsia="lt-LT"/>
        </w:rPr>
        <w:t xml:space="preserve">**** ****** </w:t>
      </w:r>
      <w:r w:rsidR="001C0E11">
        <w:t>********</w:t>
      </w:r>
      <w:r w:rsidRPr="009D56BB">
        <w:t xml:space="preserve"> sveikatos būklių modelis yra plačiai taikomas sveikatos technologijų vertinimo praktikoje onkologinių ligų KNA modeliavimui ir yra tinkamas ir priimtinas. </w:t>
      </w:r>
    </w:p>
    <w:p w14:paraId="21825674" w14:textId="77777777" w:rsidR="00BC14F9" w:rsidRPr="0045334E" w:rsidRDefault="00BC14F9" w:rsidP="00BC14F9">
      <w:pPr>
        <w:tabs>
          <w:tab w:val="left" w:pos="270"/>
        </w:tabs>
        <w:spacing w:line="276" w:lineRule="auto"/>
        <w:jc w:val="both"/>
        <w:rPr>
          <w:spacing w:val="-4"/>
          <w:lang w:val="en-US"/>
        </w:rPr>
      </w:pPr>
      <w:r w:rsidRPr="009D56BB">
        <w:t xml:space="preserve">FEA paciento lygmens klinikiniai duomenys įtraukti iš tiesioginio palyginimo </w:t>
      </w:r>
      <w:proofErr w:type="spellStart"/>
      <w:r w:rsidRPr="009D56BB">
        <w:t>CheckMate</w:t>
      </w:r>
      <w:proofErr w:type="spellEnd"/>
      <w:r w:rsidRPr="009D56BB">
        <w:t xml:space="preserve"> </w:t>
      </w:r>
      <w:r>
        <w:t>648</w:t>
      </w:r>
      <w:r w:rsidRPr="009D56BB">
        <w:t xml:space="preserve"> </w:t>
      </w:r>
      <w:r>
        <w:t xml:space="preserve">klinikinio tyrimo, kuriame </w:t>
      </w:r>
      <w:r>
        <w:rPr>
          <w:rFonts w:eastAsia="Arial"/>
          <w:bCs/>
        </w:rPr>
        <w:t xml:space="preserve">buvo vertinamas </w:t>
      </w:r>
      <w:proofErr w:type="spellStart"/>
      <w:r>
        <w:rPr>
          <w:rFonts w:eastAsia="Arial"/>
          <w:bCs/>
        </w:rPr>
        <w:t>nivolumabo</w:t>
      </w:r>
      <w:proofErr w:type="spellEnd"/>
      <w:r>
        <w:rPr>
          <w:rFonts w:eastAsia="Arial"/>
          <w:bCs/>
        </w:rPr>
        <w:t xml:space="preserve"> kartu su platinos (</w:t>
      </w:r>
      <w:proofErr w:type="spellStart"/>
      <w:r>
        <w:rPr>
          <w:rFonts w:eastAsia="Arial"/>
          <w:bCs/>
        </w:rPr>
        <w:t>oksaliplatinos</w:t>
      </w:r>
      <w:proofErr w:type="spellEnd"/>
      <w:r>
        <w:rPr>
          <w:rFonts w:eastAsia="Arial"/>
          <w:bCs/>
        </w:rPr>
        <w:t xml:space="preserve">) ir </w:t>
      </w:r>
      <w:proofErr w:type="spellStart"/>
      <w:r>
        <w:rPr>
          <w:rFonts w:eastAsia="Arial"/>
          <w:bCs/>
        </w:rPr>
        <w:t>fluoropirimidino</w:t>
      </w:r>
      <w:proofErr w:type="spellEnd"/>
      <w:r>
        <w:rPr>
          <w:rFonts w:eastAsia="Arial"/>
          <w:bCs/>
        </w:rPr>
        <w:t xml:space="preserve"> (5-FU) vaistiniais preparatais arba </w:t>
      </w:r>
      <w:proofErr w:type="spellStart"/>
      <w:r>
        <w:rPr>
          <w:rFonts w:eastAsia="Arial"/>
          <w:bCs/>
        </w:rPr>
        <w:t>ipilimumabu</w:t>
      </w:r>
      <w:proofErr w:type="spellEnd"/>
      <w:r>
        <w:rPr>
          <w:rFonts w:eastAsia="Arial"/>
          <w:bCs/>
        </w:rPr>
        <w:t xml:space="preserve"> efektyvumas ir saugumas gydant </w:t>
      </w:r>
      <w:r w:rsidRPr="00870CC5">
        <w:t>vietiškai išplitusi</w:t>
      </w:r>
      <w:r>
        <w:t xml:space="preserve">ą </w:t>
      </w:r>
      <w:proofErr w:type="spellStart"/>
      <w:r w:rsidRPr="00870CC5">
        <w:t>nerezekuotin</w:t>
      </w:r>
      <w:r>
        <w:t>ą</w:t>
      </w:r>
      <w:proofErr w:type="spellEnd"/>
      <w:r w:rsidRPr="00870CC5">
        <w:t xml:space="preserve"> ar </w:t>
      </w:r>
      <w:proofErr w:type="spellStart"/>
      <w:r w:rsidRPr="00870CC5">
        <w:t>metastazavusi</w:t>
      </w:r>
      <w:r>
        <w:t>ą</w:t>
      </w:r>
      <w:proofErr w:type="spellEnd"/>
      <w:r w:rsidRPr="00870CC5">
        <w:t xml:space="preserve"> stemplės </w:t>
      </w:r>
      <w:proofErr w:type="spellStart"/>
      <w:r>
        <w:t>plokčiųjų</w:t>
      </w:r>
      <w:proofErr w:type="spellEnd"/>
      <w:r>
        <w:t xml:space="preserve"> ląstelių </w:t>
      </w:r>
      <w:r w:rsidRPr="00870CC5">
        <w:t>karcinom</w:t>
      </w:r>
      <w:r>
        <w:t xml:space="preserve">ą, lyginant </w:t>
      </w:r>
      <w:proofErr w:type="spellStart"/>
      <w:r>
        <w:t>cisplatinos</w:t>
      </w:r>
      <w:proofErr w:type="spellEnd"/>
      <w:r>
        <w:t xml:space="preserve"> ir 5-FU deriniu.</w:t>
      </w:r>
      <w:r>
        <w:rPr>
          <w:spacing w:val="-4"/>
          <w:lang w:val="en-US"/>
        </w:rPr>
        <w:t xml:space="preserve"> </w:t>
      </w:r>
      <w:r w:rsidRPr="005B026E">
        <w:rPr>
          <w:spacing w:val="-4"/>
        </w:rPr>
        <w:t xml:space="preserve">Laikoma, kad </w:t>
      </w:r>
      <w:r w:rsidRPr="005B026E">
        <w:t xml:space="preserve">Lietuvos klinikinei praktikai aktualus </w:t>
      </w:r>
      <w:proofErr w:type="spellStart"/>
      <w:r w:rsidRPr="005B026E">
        <w:t>Checkmate</w:t>
      </w:r>
      <w:proofErr w:type="spellEnd"/>
      <w:r w:rsidRPr="005B026E">
        <w:t xml:space="preserve"> 648 tyrimo </w:t>
      </w:r>
      <w:proofErr w:type="spellStart"/>
      <w:r w:rsidRPr="005B026E">
        <w:t>N</w:t>
      </w:r>
      <w:r>
        <w:t>ivolumabas</w:t>
      </w:r>
      <w:proofErr w:type="spellEnd"/>
      <w:r>
        <w:t xml:space="preserve"> </w:t>
      </w:r>
      <w:r w:rsidRPr="005B026E">
        <w:t>+</w:t>
      </w:r>
      <w:proofErr w:type="spellStart"/>
      <w:r w:rsidRPr="005B026E">
        <w:t>Chemo</w:t>
      </w:r>
      <w:proofErr w:type="spellEnd"/>
      <w:r w:rsidRPr="005B026E">
        <w:t xml:space="preserve"> ir </w:t>
      </w:r>
      <w:proofErr w:type="spellStart"/>
      <w:r w:rsidRPr="005B026E">
        <w:t>Chemo</w:t>
      </w:r>
      <w:proofErr w:type="spellEnd"/>
      <w:r w:rsidRPr="005B026E">
        <w:t xml:space="preserve"> g</w:t>
      </w:r>
      <w:r>
        <w:t>rupių palyginamasis efektyvumas ir</w:t>
      </w:r>
      <w:r w:rsidRPr="005B026E">
        <w:t xml:space="preserve"> N+I grupės duomenys</w:t>
      </w:r>
      <w:r>
        <w:t xml:space="preserve"> suteikia papildoma informaciją, kadangi </w:t>
      </w:r>
      <w:proofErr w:type="spellStart"/>
      <w:r>
        <w:t>nivolumabas</w:t>
      </w:r>
      <w:proofErr w:type="spellEnd"/>
      <w:r>
        <w:t xml:space="preserve"> šiai indikacijai Lietuvoje nėra kompensuojamas.</w:t>
      </w:r>
    </w:p>
    <w:p w14:paraId="203B6B5F" w14:textId="77777777" w:rsidR="00BC14F9" w:rsidRPr="009D56BB" w:rsidRDefault="00BC14F9" w:rsidP="00BC14F9">
      <w:pPr>
        <w:spacing w:line="276" w:lineRule="auto"/>
        <w:jc w:val="both"/>
        <w:rPr>
          <w:lang w:eastAsia="lt-LT"/>
        </w:rPr>
      </w:pPr>
      <w:r w:rsidRPr="009D56BB">
        <w:rPr>
          <w:lang w:eastAsia="lt-LT"/>
        </w:rPr>
        <w:t>Klinikiniai įrodymai, naudojami ekonominio vertinimo dalyje, atitinka klinikiniai daliai pateiktus šaltinius: vertinta, kad</w:t>
      </w:r>
      <w:r w:rsidRPr="009D56BB">
        <w:t xml:space="preserve"> palyginamasis efektyvumas yra didesnis, lyginant su įprasta klinikine praktika įvertintas kaip pagrindžiantis papildomos naudos pacientų sveikatai sukūrimą, lyginant su įprasta klinikine praktika.</w:t>
      </w:r>
    </w:p>
    <w:p w14:paraId="2292DD13" w14:textId="4CD01233" w:rsidR="00BC14F9" w:rsidRPr="00AA0D8A" w:rsidRDefault="00BC14F9" w:rsidP="00BC14F9">
      <w:pPr>
        <w:pStyle w:val="NormalWeb"/>
        <w:spacing w:before="0" w:beforeAutospacing="0" w:after="0" w:afterAutospacing="0" w:line="276" w:lineRule="auto"/>
        <w:ind w:firstLine="360"/>
        <w:jc w:val="both"/>
      </w:pPr>
      <w:r w:rsidRPr="009D56BB">
        <w:t xml:space="preserve">Modelyje taikoma </w:t>
      </w:r>
      <w:r w:rsidR="00163742">
        <w:t>*********</w:t>
      </w:r>
      <w:r w:rsidRPr="009D56BB">
        <w:t xml:space="preserve"> laiko perspektyva, besitęsianti po klinikinio tyrimo </w:t>
      </w:r>
      <w:proofErr w:type="spellStart"/>
      <w:r w:rsidRPr="009D56BB">
        <w:rPr>
          <w:rFonts w:asciiTheme="majorBidi" w:hAnsiTheme="majorBidi" w:cstheme="majorBidi"/>
        </w:rPr>
        <w:t>CheckMate</w:t>
      </w:r>
      <w:proofErr w:type="spellEnd"/>
      <w:r w:rsidRPr="009D56BB">
        <w:rPr>
          <w:rFonts w:asciiTheme="majorBidi" w:hAnsiTheme="majorBidi" w:cstheme="majorBidi"/>
        </w:rPr>
        <w:t xml:space="preserve"> </w:t>
      </w:r>
      <w:r>
        <w:rPr>
          <w:rFonts w:asciiTheme="majorBidi" w:hAnsiTheme="majorBidi" w:cstheme="majorBidi"/>
        </w:rPr>
        <w:t>648</w:t>
      </w:r>
      <w:r w:rsidRPr="009D56BB">
        <w:rPr>
          <w:rFonts w:asciiTheme="majorBidi" w:hAnsiTheme="majorBidi" w:cstheme="majorBidi"/>
        </w:rPr>
        <w:t xml:space="preserve"> </w:t>
      </w:r>
      <w:r w:rsidRPr="009D56BB">
        <w:t xml:space="preserve">stebėsenos pabaigos. Duomenys </w:t>
      </w:r>
      <w:proofErr w:type="spellStart"/>
      <w:r w:rsidRPr="009D56BB">
        <w:t>ekstrapoliuojami</w:t>
      </w:r>
      <w:proofErr w:type="spellEnd"/>
      <w:r w:rsidRPr="009D56BB">
        <w:t xml:space="preserve"> </w:t>
      </w:r>
      <w:r w:rsidR="001C0E11">
        <w:t>***</w:t>
      </w:r>
      <w:r w:rsidRPr="009D56BB">
        <w:t xml:space="preserve"> m. laiko perspektyvoje (</w:t>
      </w:r>
      <w:r w:rsidR="001C0E11">
        <w:t xml:space="preserve">******** </w:t>
      </w:r>
      <w:r w:rsidRPr="009D56BB">
        <w:t>perspektyva).</w:t>
      </w:r>
      <w:r>
        <w:t xml:space="preserve"> </w:t>
      </w:r>
      <w:r w:rsidRPr="00AA0D8A">
        <w:t xml:space="preserve">Pareiškėjo klinikinių duomenų ekstrapoliacijai taikomą modeliavimą Tarnyba laiko tinkamu. Svarbu, tai kad, Pareiškėjas nepateikia </w:t>
      </w:r>
      <w:r w:rsidR="00A676DD">
        <w:t xml:space="preserve">***8 </w:t>
      </w:r>
      <w:r w:rsidRPr="00AA0D8A">
        <w:t xml:space="preserve"> duomenų, kurie būtų </w:t>
      </w:r>
      <w:r w:rsidR="00A676DD">
        <w:t xml:space="preserve">**** </w:t>
      </w:r>
      <w:r w:rsidRPr="00AA0D8A">
        <w:t xml:space="preserve"> laikotarpio nei pagrindinis klinikinis tyrimas vertinant analizuojamą populiaciją, todėl </w:t>
      </w:r>
      <w:r w:rsidR="00F956A0">
        <w:t>******* i</w:t>
      </w:r>
      <w:r w:rsidRPr="00AA0D8A">
        <w:t xml:space="preserve">lgalaikių klinikinių rezultatų </w:t>
      </w:r>
      <w:proofErr w:type="spellStart"/>
      <w:r w:rsidRPr="00AA0D8A">
        <w:t>validavimas</w:t>
      </w:r>
      <w:proofErr w:type="spellEnd"/>
      <w:r w:rsidRPr="00AA0D8A">
        <w:t xml:space="preserve"> išorės duomenimis</w:t>
      </w:r>
      <w:r w:rsidR="00A676DD">
        <w:t xml:space="preserve"> *********</w:t>
      </w:r>
      <w:r w:rsidRPr="00AA0D8A">
        <w:t xml:space="preserve">. Tarnyba atkreipia dėmesį į </w:t>
      </w:r>
      <w:r w:rsidR="00F956A0">
        <w:t xml:space="preserve">.......   </w:t>
      </w:r>
      <w:r w:rsidRPr="00AA0D8A">
        <w:t>(</w:t>
      </w:r>
      <w:proofErr w:type="spellStart"/>
      <w:r w:rsidRPr="00AA0D8A">
        <w:t>nivolumabo</w:t>
      </w:r>
      <w:proofErr w:type="spellEnd"/>
      <w:r w:rsidRPr="00AA0D8A">
        <w:t xml:space="preserve"> paraiškos tai pačiai indikacijai) vertinimo praktiką, kurioje </w:t>
      </w:r>
      <w:r w:rsidR="00F956A0">
        <w:t>......</w:t>
      </w:r>
      <w:r w:rsidRPr="00AA0D8A">
        <w:t xml:space="preserve">klinikiniai duomenys taip pat </w:t>
      </w:r>
      <w:r w:rsidR="00F956A0">
        <w:t>.........</w:t>
      </w:r>
      <w:r w:rsidR="00483C29">
        <w:t xml:space="preserve"> </w:t>
      </w:r>
      <w:r w:rsidRPr="00AA0D8A">
        <w:t xml:space="preserve">išorės literatūros duomenimis. Tarnyba vertina, kad </w:t>
      </w:r>
      <w:proofErr w:type="spellStart"/>
      <w:r w:rsidRPr="00AA0D8A">
        <w:t>nivolumabo</w:t>
      </w:r>
      <w:proofErr w:type="spellEnd"/>
      <w:r w:rsidRPr="00AA0D8A">
        <w:t xml:space="preserve"> klinikinių duomenų</w:t>
      </w:r>
      <w:r w:rsidR="00483C29">
        <w:t xml:space="preserve"> ***** </w:t>
      </w:r>
      <w:r w:rsidRPr="00AA0D8A">
        <w:t>(</w:t>
      </w:r>
      <w:proofErr w:type="spellStart"/>
      <w:r w:rsidRPr="00AA0D8A">
        <w:t>CheckMate</w:t>
      </w:r>
      <w:proofErr w:type="spellEnd"/>
      <w:r w:rsidRPr="00AA0D8A">
        <w:t xml:space="preserve"> 648</w:t>
      </w:r>
      <w:r w:rsidRPr="00AA0D8A">
        <w:rPr>
          <w:sz w:val="22"/>
          <w:szCs w:val="22"/>
        </w:rPr>
        <w:t>)</w:t>
      </w:r>
      <w:r w:rsidRPr="00AA0D8A">
        <w:t xml:space="preserve"> lemia patikimesnę duomenų ekstrapoliaciją, tačiau vertinant trumpuoju laikotarpiu. Vertinant </w:t>
      </w:r>
      <w:r w:rsidR="00483C29">
        <w:t xml:space="preserve">**** </w:t>
      </w:r>
      <w:r w:rsidRPr="00AA0D8A">
        <w:t>laikotarpiu, klinikinių duomenų prognozės</w:t>
      </w:r>
      <w:r w:rsidR="00483C29">
        <w:t xml:space="preserve"> ****** </w:t>
      </w:r>
      <w:r w:rsidRPr="00AA0D8A">
        <w:t xml:space="preserve">, Pareiškėjas kreipiasi papildomai į Patariamąją Taryba siekiant prognozuoti tikėtinas IBLP ir BI baigtis </w:t>
      </w:r>
      <w:r w:rsidR="0049758D">
        <w:t xml:space="preserve">**** </w:t>
      </w:r>
      <w:r w:rsidRPr="00AA0D8A">
        <w:t>laikotarpiu (</w:t>
      </w:r>
      <w:r w:rsidR="00CB7AF2">
        <w:t>***</w:t>
      </w:r>
      <w:r w:rsidRPr="00AA0D8A">
        <w:t xml:space="preserve"> ir</w:t>
      </w:r>
      <w:r w:rsidR="00CB7AF2">
        <w:t xml:space="preserve"> ***</w:t>
      </w:r>
      <w:r w:rsidRPr="00AA0D8A">
        <w:t xml:space="preserve"> m.). Tarnyba sutinka, kad Pareiškėjo taikomas modeliavimas ilguoju laikotarpiu tinkamas, kadangi kriterijai, kuriais vadovaujantis parenkamas modeliavimas yra plačiai taikomi STV procese. Įprastinėje atvejo analizėje parenkamas duomenų modeliavimas rodantis didžiausią atitiktį numatytiems kriterijams. </w:t>
      </w:r>
    </w:p>
    <w:p w14:paraId="7737F944" w14:textId="009592A2" w:rsidR="00BC14F9" w:rsidRDefault="00BC14F9" w:rsidP="00BC14F9">
      <w:pPr>
        <w:pStyle w:val="NormalWeb"/>
        <w:spacing w:before="0" w:beforeAutospacing="0" w:after="0" w:afterAutospacing="0" w:line="276" w:lineRule="auto"/>
        <w:ind w:firstLine="360"/>
        <w:jc w:val="both"/>
      </w:pPr>
      <w:r w:rsidRPr="00AA0D8A">
        <w:t xml:space="preserve">Tarnyba sutinka, kad laiko iki gydymo nutraukimo metodas yra tinkamiausias gydymo trukmės duomenų vertinimui. Kadangi </w:t>
      </w:r>
      <w:proofErr w:type="spellStart"/>
      <w:r w:rsidRPr="00AA0D8A">
        <w:t>nivolumabas</w:t>
      </w:r>
      <w:proofErr w:type="spellEnd"/>
      <w:r w:rsidRPr="00AA0D8A">
        <w:t xml:space="preserve"> skiriamas daugiausia iki </w:t>
      </w:r>
      <w:r w:rsidR="00CB7AF2">
        <w:t>***</w:t>
      </w:r>
      <w:r w:rsidRPr="00AA0D8A">
        <w:t xml:space="preserve"> mėnesių trukmės, o dauguma pacientų, gydytų chemoterapija, buvo progresavę iki stebėsenos pabaigos (pagal 20</w:t>
      </w:r>
      <w:r w:rsidR="00CB7AF2">
        <w:t>**</w:t>
      </w:r>
      <w:r w:rsidRPr="00AA0D8A">
        <w:t xml:space="preserve"> m. birželio duomenų pjūvis), gydymui specifiniai </w:t>
      </w:r>
      <w:proofErr w:type="spellStart"/>
      <w:r w:rsidRPr="00AA0D8A">
        <w:t>Kaplan</w:t>
      </w:r>
      <w:proofErr w:type="spellEnd"/>
      <w:r w:rsidRPr="00AA0D8A">
        <w:t>–Meier duomenys laikomi brandžiais ir tinkamiausiu šaltiniu kaštams vertinti.</w:t>
      </w:r>
    </w:p>
    <w:p w14:paraId="39629DF7" w14:textId="77777777" w:rsidR="00BC14F9" w:rsidRDefault="00BC14F9" w:rsidP="00BC14F9">
      <w:pPr>
        <w:pStyle w:val="NormalWeb"/>
        <w:spacing w:before="0" w:beforeAutospacing="0" w:after="0" w:afterAutospacing="0" w:line="276" w:lineRule="auto"/>
        <w:ind w:firstLine="360"/>
        <w:jc w:val="both"/>
      </w:pPr>
      <w:r w:rsidRPr="009D56BB">
        <w:t xml:space="preserve">Sveikatai sukuriama nauda buvo vertinama pagal su sveikata susijusią gyvenimo kokybę (angl. </w:t>
      </w:r>
      <w:proofErr w:type="spellStart"/>
      <w:r w:rsidRPr="009D56BB">
        <w:rPr>
          <w:iCs/>
        </w:rPr>
        <w:t>Health</w:t>
      </w:r>
      <w:proofErr w:type="spellEnd"/>
      <w:r w:rsidRPr="009D56BB">
        <w:rPr>
          <w:iCs/>
        </w:rPr>
        <w:t xml:space="preserve"> </w:t>
      </w:r>
      <w:proofErr w:type="spellStart"/>
      <w:r w:rsidRPr="009D56BB">
        <w:rPr>
          <w:iCs/>
        </w:rPr>
        <w:t>realated</w:t>
      </w:r>
      <w:proofErr w:type="spellEnd"/>
      <w:r w:rsidRPr="009D56BB">
        <w:rPr>
          <w:iCs/>
        </w:rPr>
        <w:t xml:space="preserve"> </w:t>
      </w:r>
      <w:proofErr w:type="spellStart"/>
      <w:r w:rsidRPr="009D56BB">
        <w:rPr>
          <w:iCs/>
        </w:rPr>
        <w:t>quality</w:t>
      </w:r>
      <w:proofErr w:type="spellEnd"/>
      <w:r w:rsidRPr="009D56BB">
        <w:rPr>
          <w:iCs/>
        </w:rPr>
        <w:t xml:space="preserve"> </w:t>
      </w:r>
      <w:proofErr w:type="spellStart"/>
      <w:r w:rsidRPr="009D56BB">
        <w:rPr>
          <w:iCs/>
        </w:rPr>
        <w:t>of</w:t>
      </w:r>
      <w:proofErr w:type="spellEnd"/>
      <w:r w:rsidRPr="009D56BB">
        <w:rPr>
          <w:iCs/>
        </w:rPr>
        <w:t xml:space="preserve"> </w:t>
      </w:r>
      <w:proofErr w:type="spellStart"/>
      <w:r w:rsidRPr="009D56BB">
        <w:rPr>
          <w:iCs/>
        </w:rPr>
        <w:t>life</w:t>
      </w:r>
      <w:proofErr w:type="spellEnd"/>
      <w:r w:rsidRPr="009D56BB">
        <w:rPr>
          <w:iCs/>
        </w:rPr>
        <w:t xml:space="preserve">, </w:t>
      </w:r>
      <w:proofErr w:type="spellStart"/>
      <w:r w:rsidRPr="009D56BB">
        <w:t>HRQoL</w:t>
      </w:r>
      <w:proofErr w:type="spellEnd"/>
      <w:r w:rsidRPr="009D56BB">
        <w:t xml:space="preserve">), kuri buvo įvertinta klinikiniame tyrime </w:t>
      </w:r>
      <w:proofErr w:type="spellStart"/>
      <w:r w:rsidRPr="009D56BB">
        <w:t>CheckMate</w:t>
      </w:r>
      <w:proofErr w:type="spellEnd"/>
      <w:r w:rsidRPr="009D56BB">
        <w:t xml:space="preserve"> </w:t>
      </w:r>
      <w:r>
        <w:t>648</w:t>
      </w:r>
      <w:r w:rsidRPr="009D56BB">
        <w:t xml:space="preserve">, naudojant </w:t>
      </w:r>
      <w:proofErr w:type="spellStart"/>
      <w:r w:rsidRPr="009D56BB">
        <w:t>EuroQoL</w:t>
      </w:r>
      <w:proofErr w:type="spellEnd"/>
      <w:r w:rsidRPr="009D56BB">
        <w:t xml:space="preserve"> EQ-5D-3L klausimyną. Bazinių atvejų analizei tiriamiesiems pacientams taikomas pasaulinis EQ-5D vertinimo algoritmas (angl. </w:t>
      </w:r>
      <w:proofErr w:type="spellStart"/>
      <w:r w:rsidRPr="009D56BB">
        <w:rPr>
          <w:iCs/>
        </w:rPr>
        <w:t>global</w:t>
      </w:r>
      <w:proofErr w:type="spellEnd"/>
      <w:r w:rsidRPr="009D56BB">
        <w:rPr>
          <w:iCs/>
        </w:rPr>
        <w:t xml:space="preserve"> EQ-5D </w:t>
      </w:r>
      <w:proofErr w:type="spellStart"/>
      <w:r w:rsidRPr="009D56BB">
        <w:rPr>
          <w:iCs/>
        </w:rPr>
        <w:t>algortithm</w:t>
      </w:r>
      <w:proofErr w:type="spellEnd"/>
      <w:r w:rsidRPr="009D56BB">
        <w:t xml:space="preserve">). </w:t>
      </w:r>
      <w:r>
        <w:t>Tarnyba sutinka su Pareiškėjo taikomais gyvenimo kokybės įverčiais (pagal pagrindinį klinikinį tyrimą ir nespecifiškus gydymui (kadangi nėra stebimi statistiškai reikšmingi skirtumai tarp gyvenimo kokybės priklausomai nuo taikomo gydymo).</w:t>
      </w:r>
    </w:p>
    <w:p w14:paraId="1752D4BD" w14:textId="229ECD66" w:rsidR="00BC14F9" w:rsidRDefault="00BC14F9" w:rsidP="00BC14F9">
      <w:pPr>
        <w:pStyle w:val="NormalWeb"/>
        <w:spacing w:before="0" w:beforeAutospacing="0" w:after="0" w:afterAutospacing="0" w:line="276" w:lineRule="auto"/>
        <w:ind w:firstLine="360"/>
        <w:jc w:val="both"/>
        <w:rPr>
          <w:rFonts w:eastAsia="Arial"/>
          <w:bCs/>
        </w:rPr>
      </w:pPr>
      <w:r w:rsidRPr="009D56BB">
        <w:rPr>
          <w:iCs/>
        </w:rPr>
        <w:t xml:space="preserve">Pareiškėjas KNA įtraukia vaistinių preparatų įsigijimo, skyrimo ir stebėsenos, gydymo (sveikatos būklių), nepageidaujamo poveikio ir gyvenimo pabaigos kaštus. </w:t>
      </w:r>
      <w:r w:rsidRPr="009D56BB">
        <w:t xml:space="preserve">Tarnyba vertina, kad kaštai ekonominėje analizėje apskaičiuoti ir įtraukti tinkamai. </w:t>
      </w:r>
      <w:r w:rsidRPr="00F66A17">
        <w:t xml:space="preserve">Atnaujinami ASPP įkainiai (įskaitant DRG) ir vaistinių preparatų kainos pagal 2025 m. II </w:t>
      </w:r>
      <w:proofErr w:type="spellStart"/>
      <w:r w:rsidRPr="00F66A17">
        <w:t>pusm</w:t>
      </w:r>
      <w:proofErr w:type="spellEnd"/>
      <w:r w:rsidRPr="00F66A17">
        <w:t xml:space="preserve">. kainyno duomenimis. Taikoma bazinė </w:t>
      </w:r>
      <w:proofErr w:type="spellStart"/>
      <w:r w:rsidRPr="00F66A17">
        <w:t>n</w:t>
      </w:r>
      <w:r w:rsidRPr="00F66A17">
        <w:rPr>
          <w:rFonts w:eastAsia="Arial"/>
        </w:rPr>
        <w:t>ivolumabo</w:t>
      </w:r>
      <w:proofErr w:type="spellEnd"/>
      <w:r w:rsidRPr="00F66A17">
        <w:rPr>
          <w:rFonts w:eastAsia="Arial"/>
        </w:rPr>
        <w:t xml:space="preserve"> kaina </w:t>
      </w:r>
      <w:r w:rsidRPr="00F66A17">
        <w:rPr>
          <w:rFonts w:eastAsia="Arial"/>
          <w:bCs/>
        </w:rPr>
        <w:t>pagal 2025 m. kainyną.</w:t>
      </w:r>
    </w:p>
    <w:p w14:paraId="413A82B8" w14:textId="0CA03BC9" w:rsidR="008363DC" w:rsidRDefault="008363DC" w:rsidP="00BC14F9">
      <w:pPr>
        <w:pStyle w:val="NormalWeb"/>
        <w:spacing w:before="0" w:beforeAutospacing="0" w:after="0" w:afterAutospacing="0" w:line="276" w:lineRule="auto"/>
        <w:ind w:firstLine="360"/>
        <w:jc w:val="both"/>
        <w:rPr>
          <w:rFonts w:eastAsia="Arial"/>
          <w:bCs/>
        </w:rPr>
      </w:pPr>
    </w:p>
    <w:p w14:paraId="3036806D" w14:textId="77777777" w:rsidR="008363DC" w:rsidRPr="0024319B" w:rsidRDefault="008363DC" w:rsidP="008363DC">
      <w:pPr>
        <w:tabs>
          <w:tab w:val="left" w:pos="426"/>
        </w:tabs>
        <w:jc w:val="center"/>
        <w:rPr>
          <w:b/>
          <w:lang w:eastAsia="lt-LT"/>
        </w:rPr>
      </w:pPr>
      <w:r w:rsidRPr="0024319B">
        <w:rPr>
          <w:b/>
          <w:lang w:eastAsia="lt-LT"/>
        </w:rPr>
        <w:t>Ekonominės analizės rezultatas</w:t>
      </w:r>
    </w:p>
    <w:p w14:paraId="35E9ACCE" w14:textId="77777777" w:rsidR="008363DC" w:rsidRPr="0024319B" w:rsidRDefault="008363DC" w:rsidP="008363DC">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8363DC" w:rsidRPr="0024319B" w14:paraId="23FC105A" w14:textId="77777777" w:rsidTr="007D69D3">
        <w:trPr>
          <w:trHeight w:val="344"/>
          <w:jc w:val="center"/>
        </w:trPr>
        <w:tc>
          <w:tcPr>
            <w:tcW w:w="9439" w:type="dxa"/>
            <w:gridSpan w:val="2"/>
            <w:tcBorders>
              <w:top w:val="single" w:sz="12" w:space="0" w:color="auto"/>
              <w:left w:val="single" w:sz="4" w:space="0" w:color="auto"/>
              <w:right w:val="single" w:sz="4" w:space="0" w:color="auto"/>
            </w:tcBorders>
            <w:vAlign w:val="center"/>
          </w:tcPr>
          <w:p w14:paraId="609735E9" w14:textId="77777777" w:rsidR="008363DC" w:rsidRPr="0024319B" w:rsidRDefault="008363DC" w:rsidP="007D69D3">
            <w:pPr>
              <w:tabs>
                <w:tab w:val="left" w:pos="567"/>
              </w:tabs>
              <w:jc w:val="center"/>
              <w:rPr>
                <w:b/>
                <w:bCs/>
                <w:sz w:val="26"/>
                <w:szCs w:val="26"/>
                <w:lang w:eastAsia="lt-LT"/>
              </w:rPr>
            </w:pPr>
            <w:r w:rsidRPr="0024319B">
              <w:rPr>
                <w:b/>
                <w:bCs/>
                <w:sz w:val="26"/>
                <w:szCs w:val="26"/>
                <w:lang w:eastAsia="lt-LT"/>
              </w:rPr>
              <w:t>Rezultatai</w:t>
            </w:r>
          </w:p>
        </w:tc>
      </w:tr>
      <w:tr w:rsidR="008363DC" w:rsidRPr="0024319B" w14:paraId="21CFA46D" w14:textId="77777777" w:rsidTr="007D69D3">
        <w:trPr>
          <w:trHeight w:val="267"/>
          <w:jc w:val="center"/>
        </w:trPr>
        <w:tc>
          <w:tcPr>
            <w:tcW w:w="6200" w:type="dxa"/>
            <w:tcBorders>
              <w:left w:val="single" w:sz="4" w:space="0" w:color="auto"/>
            </w:tcBorders>
          </w:tcPr>
          <w:p w14:paraId="180C04F8" w14:textId="77777777" w:rsidR="008363DC" w:rsidRPr="0024319B" w:rsidRDefault="008363DC" w:rsidP="007D69D3">
            <w:pPr>
              <w:tabs>
                <w:tab w:val="left" w:pos="567"/>
              </w:tabs>
              <w:jc w:val="right"/>
              <w:rPr>
                <w:iCs/>
                <w:lang w:eastAsia="lt-LT"/>
              </w:rPr>
            </w:pPr>
            <w:r w:rsidRPr="0024319B">
              <w:rPr>
                <w:iCs/>
                <w:lang w:eastAsia="lt-LT"/>
              </w:rPr>
              <w:t>Kaštų skirtumas</w:t>
            </w:r>
          </w:p>
        </w:tc>
        <w:tc>
          <w:tcPr>
            <w:tcW w:w="3239" w:type="dxa"/>
            <w:tcBorders>
              <w:right w:val="single" w:sz="4" w:space="0" w:color="auto"/>
            </w:tcBorders>
          </w:tcPr>
          <w:p w14:paraId="20276162" w14:textId="1837A647" w:rsidR="008363DC" w:rsidRPr="00F55C09" w:rsidRDefault="007D6E14" w:rsidP="008363DC">
            <w:pPr>
              <w:tabs>
                <w:tab w:val="left" w:pos="567"/>
              </w:tabs>
              <w:jc w:val="both"/>
              <w:rPr>
                <w:iCs/>
                <w:lang w:eastAsia="lt-LT"/>
              </w:rPr>
            </w:pPr>
            <w:r>
              <w:t>********</w:t>
            </w:r>
            <w:r w:rsidR="008363DC">
              <w:t xml:space="preserve"> Eur.</w:t>
            </w:r>
          </w:p>
        </w:tc>
      </w:tr>
      <w:tr w:rsidR="008363DC" w:rsidRPr="0024319B" w14:paraId="541127C0" w14:textId="77777777" w:rsidTr="007D69D3">
        <w:trPr>
          <w:trHeight w:val="267"/>
          <w:jc w:val="center"/>
        </w:trPr>
        <w:tc>
          <w:tcPr>
            <w:tcW w:w="6200" w:type="dxa"/>
            <w:tcBorders>
              <w:left w:val="single" w:sz="4" w:space="0" w:color="auto"/>
            </w:tcBorders>
          </w:tcPr>
          <w:p w14:paraId="35E3A970" w14:textId="77777777" w:rsidR="008363DC" w:rsidRPr="0024319B" w:rsidRDefault="008363DC" w:rsidP="007D69D3">
            <w:pPr>
              <w:tabs>
                <w:tab w:val="left" w:pos="567"/>
              </w:tabs>
              <w:jc w:val="right"/>
              <w:rPr>
                <w:iCs/>
                <w:lang w:eastAsia="lt-LT"/>
              </w:rPr>
            </w:pPr>
            <w:r w:rsidRPr="0024319B">
              <w:rPr>
                <w:iCs/>
                <w:lang w:eastAsia="lt-LT"/>
              </w:rPr>
              <w:t>Papildomi gyvenimo metai (LY)</w:t>
            </w:r>
          </w:p>
        </w:tc>
        <w:tc>
          <w:tcPr>
            <w:tcW w:w="3239" w:type="dxa"/>
            <w:tcBorders>
              <w:right w:val="single" w:sz="4" w:space="0" w:color="auto"/>
            </w:tcBorders>
          </w:tcPr>
          <w:p w14:paraId="79E7FE3B" w14:textId="0C2EDEAA" w:rsidR="008363DC" w:rsidRPr="00F55C09" w:rsidRDefault="007D6E14" w:rsidP="007D69D3">
            <w:pPr>
              <w:tabs>
                <w:tab w:val="left" w:pos="567"/>
              </w:tabs>
              <w:jc w:val="both"/>
              <w:rPr>
                <w:iCs/>
                <w:lang w:eastAsia="lt-LT"/>
              </w:rPr>
            </w:pPr>
            <w:r>
              <w:rPr>
                <w:color w:val="000000"/>
              </w:rPr>
              <w:t>*****</w:t>
            </w:r>
          </w:p>
        </w:tc>
      </w:tr>
      <w:tr w:rsidR="008363DC" w:rsidRPr="0024319B" w14:paraId="04CE46F1" w14:textId="77777777" w:rsidTr="007D69D3">
        <w:trPr>
          <w:trHeight w:val="267"/>
          <w:jc w:val="center"/>
        </w:trPr>
        <w:tc>
          <w:tcPr>
            <w:tcW w:w="6200" w:type="dxa"/>
            <w:tcBorders>
              <w:left w:val="single" w:sz="4" w:space="0" w:color="auto"/>
            </w:tcBorders>
          </w:tcPr>
          <w:p w14:paraId="312ED694" w14:textId="77777777" w:rsidR="008363DC" w:rsidRPr="0024319B" w:rsidRDefault="008363DC" w:rsidP="007D69D3">
            <w:pPr>
              <w:tabs>
                <w:tab w:val="left" w:pos="567"/>
              </w:tabs>
              <w:jc w:val="right"/>
              <w:rPr>
                <w:iCs/>
                <w:lang w:eastAsia="lt-LT"/>
              </w:rPr>
            </w:pPr>
            <w:r w:rsidRPr="0024319B">
              <w:rPr>
                <w:iCs/>
                <w:lang w:eastAsia="lt-LT"/>
              </w:rPr>
              <w:t>Papildomi kokybiški gyvenimo metai (QALY)</w:t>
            </w:r>
          </w:p>
        </w:tc>
        <w:tc>
          <w:tcPr>
            <w:tcW w:w="3239" w:type="dxa"/>
            <w:tcBorders>
              <w:right w:val="single" w:sz="4" w:space="0" w:color="auto"/>
            </w:tcBorders>
          </w:tcPr>
          <w:p w14:paraId="6CEABFD5" w14:textId="297A8520" w:rsidR="008363DC" w:rsidRPr="00F55C09" w:rsidRDefault="007D6E14" w:rsidP="007D69D3">
            <w:pPr>
              <w:tabs>
                <w:tab w:val="left" w:pos="567"/>
              </w:tabs>
              <w:jc w:val="both"/>
              <w:rPr>
                <w:iCs/>
                <w:lang w:eastAsia="lt-LT"/>
              </w:rPr>
            </w:pPr>
            <w:r>
              <w:rPr>
                <w:iCs/>
              </w:rPr>
              <w:t>*******</w:t>
            </w:r>
          </w:p>
        </w:tc>
      </w:tr>
      <w:tr w:rsidR="008363DC" w:rsidRPr="0024319B" w14:paraId="7A46A1B7" w14:textId="77777777" w:rsidTr="007D69D3">
        <w:trPr>
          <w:trHeight w:val="267"/>
          <w:jc w:val="center"/>
        </w:trPr>
        <w:tc>
          <w:tcPr>
            <w:tcW w:w="6200" w:type="dxa"/>
            <w:tcBorders>
              <w:left w:val="single" w:sz="4" w:space="0" w:color="auto"/>
            </w:tcBorders>
          </w:tcPr>
          <w:p w14:paraId="78844910" w14:textId="77777777" w:rsidR="008363DC" w:rsidRPr="0024319B" w:rsidRDefault="008363DC" w:rsidP="007D69D3">
            <w:pPr>
              <w:tabs>
                <w:tab w:val="left" w:pos="567"/>
              </w:tabs>
              <w:jc w:val="right"/>
              <w:rPr>
                <w:iCs/>
                <w:lang w:eastAsia="lt-LT"/>
              </w:rPr>
            </w:pPr>
            <w:r w:rsidRPr="0024319B">
              <w:rPr>
                <w:iCs/>
                <w:lang w:eastAsia="lt-LT"/>
              </w:rPr>
              <w:t>ICER už LY</w:t>
            </w:r>
          </w:p>
        </w:tc>
        <w:tc>
          <w:tcPr>
            <w:tcW w:w="3239" w:type="dxa"/>
            <w:tcBorders>
              <w:right w:val="single" w:sz="4" w:space="0" w:color="auto"/>
            </w:tcBorders>
            <w:vAlign w:val="bottom"/>
          </w:tcPr>
          <w:p w14:paraId="05F3EFE4" w14:textId="61E50194" w:rsidR="008363DC" w:rsidRPr="00F55C09" w:rsidRDefault="007D6E14" w:rsidP="007D69D3">
            <w:pPr>
              <w:jc w:val="both"/>
              <w:rPr>
                <w:color w:val="000000"/>
              </w:rPr>
            </w:pPr>
            <w:r>
              <w:rPr>
                <w:color w:val="000000"/>
              </w:rPr>
              <w:t>*******</w:t>
            </w:r>
          </w:p>
        </w:tc>
      </w:tr>
      <w:tr w:rsidR="008363DC" w:rsidRPr="0024319B" w14:paraId="116237B2" w14:textId="77777777" w:rsidTr="007D69D3">
        <w:trPr>
          <w:trHeight w:val="267"/>
          <w:jc w:val="center"/>
        </w:trPr>
        <w:tc>
          <w:tcPr>
            <w:tcW w:w="6200" w:type="dxa"/>
            <w:tcBorders>
              <w:left w:val="single" w:sz="4" w:space="0" w:color="auto"/>
            </w:tcBorders>
          </w:tcPr>
          <w:p w14:paraId="02B6E9E9" w14:textId="77777777" w:rsidR="008363DC" w:rsidRPr="0024319B" w:rsidRDefault="008363DC" w:rsidP="007D69D3">
            <w:pPr>
              <w:tabs>
                <w:tab w:val="left" w:pos="567"/>
              </w:tabs>
              <w:jc w:val="right"/>
              <w:rPr>
                <w:iCs/>
                <w:lang w:eastAsia="lt-LT"/>
              </w:rPr>
            </w:pPr>
            <w:r w:rsidRPr="0024319B">
              <w:rPr>
                <w:iCs/>
                <w:lang w:eastAsia="lt-LT"/>
              </w:rPr>
              <w:t>ICER už QALY</w:t>
            </w:r>
          </w:p>
        </w:tc>
        <w:tc>
          <w:tcPr>
            <w:tcW w:w="3239" w:type="dxa"/>
            <w:tcBorders>
              <w:right w:val="single" w:sz="4" w:space="0" w:color="auto"/>
            </w:tcBorders>
          </w:tcPr>
          <w:p w14:paraId="3E385002" w14:textId="592F26AE" w:rsidR="008363DC" w:rsidRPr="00F55C09" w:rsidRDefault="007D6E14" w:rsidP="008363DC">
            <w:pPr>
              <w:tabs>
                <w:tab w:val="left" w:pos="567"/>
              </w:tabs>
              <w:jc w:val="both"/>
              <w:rPr>
                <w:b/>
                <w:iCs/>
                <w:lang w:eastAsia="lt-LT"/>
              </w:rPr>
            </w:pPr>
            <w:r>
              <w:rPr>
                <w:b/>
                <w:iCs/>
              </w:rPr>
              <w:t>*******</w:t>
            </w:r>
          </w:p>
        </w:tc>
      </w:tr>
      <w:tr w:rsidR="008363DC" w:rsidRPr="0024319B" w14:paraId="1D2643FC" w14:textId="77777777" w:rsidTr="007D69D3">
        <w:trPr>
          <w:trHeight w:val="267"/>
          <w:jc w:val="center"/>
        </w:trPr>
        <w:tc>
          <w:tcPr>
            <w:tcW w:w="6200" w:type="dxa"/>
            <w:tcBorders>
              <w:left w:val="single" w:sz="4" w:space="0" w:color="auto"/>
              <w:bottom w:val="single" w:sz="4" w:space="0" w:color="auto"/>
              <w:right w:val="single" w:sz="4" w:space="0" w:color="auto"/>
            </w:tcBorders>
          </w:tcPr>
          <w:p w14:paraId="7FFF5F68" w14:textId="77777777" w:rsidR="008363DC" w:rsidRPr="0024319B" w:rsidRDefault="008363DC" w:rsidP="007D69D3">
            <w:pPr>
              <w:tabs>
                <w:tab w:val="left" w:pos="567"/>
              </w:tabs>
              <w:jc w:val="right"/>
              <w:rPr>
                <w:iCs/>
                <w:lang w:eastAsia="lt-LT"/>
              </w:rPr>
            </w:pPr>
            <w:r w:rsidRPr="0024319B">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02FC1E62" w14:textId="49069339" w:rsidR="008363DC" w:rsidRPr="00F55C09" w:rsidRDefault="007D6E14" w:rsidP="007D69D3">
            <w:pPr>
              <w:tabs>
                <w:tab w:val="left" w:pos="567"/>
              </w:tabs>
              <w:jc w:val="both"/>
              <w:rPr>
                <w:iCs/>
                <w:lang w:eastAsia="lt-LT"/>
              </w:rPr>
            </w:pPr>
            <w:r>
              <w:rPr>
                <w:color w:val="000000"/>
              </w:rPr>
              <w:t>*******</w:t>
            </w:r>
            <w:r w:rsidR="008363DC" w:rsidRPr="00F55C09">
              <w:rPr>
                <w:color w:val="000000"/>
              </w:rPr>
              <w:t xml:space="preserve"> Eur.</w:t>
            </w:r>
          </w:p>
        </w:tc>
      </w:tr>
    </w:tbl>
    <w:p w14:paraId="600ADEBB" w14:textId="77777777" w:rsidR="008363DC" w:rsidRPr="0024319B" w:rsidRDefault="008363DC" w:rsidP="008363DC">
      <w:pPr>
        <w:tabs>
          <w:tab w:val="left" w:pos="567"/>
        </w:tabs>
        <w:jc w:val="both"/>
        <w:rPr>
          <w:iCs/>
          <w:sz w:val="20"/>
          <w:lang w:eastAsia="lt-LT"/>
        </w:rPr>
      </w:pPr>
      <w:r w:rsidRPr="0024319B">
        <w:rPr>
          <w:iCs/>
          <w:sz w:val="20"/>
          <w:lang w:eastAsia="lt-LT"/>
        </w:rPr>
        <w:t>ICER – (</w:t>
      </w:r>
      <w:r w:rsidRPr="0024319B">
        <w:rPr>
          <w:i/>
          <w:sz w:val="20"/>
          <w:lang w:eastAsia="lt-LT"/>
        </w:rPr>
        <w:t xml:space="preserve">angl. </w:t>
      </w:r>
      <w:proofErr w:type="spellStart"/>
      <w:r w:rsidRPr="0024319B">
        <w:rPr>
          <w:i/>
          <w:sz w:val="20"/>
          <w:lang w:eastAsia="lt-LT"/>
        </w:rPr>
        <w:t>incremental</w:t>
      </w:r>
      <w:proofErr w:type="spellEnd"/>
      <w:r w:rsidRPr="0024319B">
        <w:rPr>
          <w:i/>
          <w:sz w:val="20"/>
          <w:lang w:eastAsia="lt-LT"/>
        </w:rPr>
        <w:t xml:space="preserve"> </w:t>
      </w:r>
      <w:proofErr w:type="spellStart"/>
      <w:r w:rsidRPr="0024319B">
        <w:rPr>
          <w:i/>
          <w:sz w:val="20"/>
          <w:lang w:eastAsia="lt-LT"/>
        </w:rPr>
        <w:t>cost-effectiveness</w:t>
      </w:r>
      <w:proofErr w:type="spellEnd"/>
      <w:r w:rsidRPr="0024319B">
        <w:rPr>
          <w:i/>
          <w:sz w:val="20"/>
          <w:lang w:eastAsia="lt-LT"/>
        </w:rPr>
        <w:t xml:space="preserve"> </w:t>
      </w:r>
      <w:proofErr w:type="spellStart"/>
      <w:r w:rsidRPr="0024319B">
        <w:rPr>
          <w:i/>
          <w:sz w:val="20"/>
          <w:lang w:eastAsia="lt-LT"/>
        </w:rPr>
        <w:t>ratio</w:t>
      </w:r>
      <w:proofErr w:type="spellEnd"/>
      <w:r w:rsidRPr="0024319B">
        <w:rPr>
          <w:iCs/>
          <w:sz w:val="20"/>
          <w:lang w:eastAsia="lt-LT"/>
        </w:rPr>
        <w:t xml:space="preserve">) </w:t>
      </w:r>
      <w:proofErr w:type="spellStart"/>
      <w:r w:rsidRPr="0024319B">
        <w:rPr>
          <w:iCs/>
          <w:sz w:val="20"/>
          <w:lang w:eastAsia="lt-LT"/>
        </w:rPr>
        <w:t>inkrementinis</w:t>
      </w:r>
      <w:proofErr w:type="spellEnd"/>
      <w:r w:rsidRPr="0024319B">
        <w:rPr>
          <w:iCs/>
          <w:sz w:val="20"/>
          <w:lang w:eastAsia="lt-LT"/>
        </w:rPr>
        <w:t xml:space="preserve"> kaštų naudingumo koeficientas; LY – (</w:t>
      </w:r>
      <w:r w:rsidRPr="0024319B">
        <w:rPr>
          <w:i/>
          <w:sz w:val="20"/>
          <w:lang w:eastAsia="lt-LT"/>
        </w:rPr>
        <w:t xml:space="preserve">angl. </w:t>
      </w:r>
      <w:proofErr w:type="spellStart"/>
      <w:r w:rsidRPr="0024319B">
        <w:rPr>
          <w:i/>
          <w:sz w:val="20"/>
          <w:lang w:eastAsia="lt-LT"/>
        </w:rPr>
        <w:t>life</w:t>
      </w:r>
      <w:proofErr w:type="spellEnd"/>
      <w:r w:rsidRPr="0024319B">
        <w:rPr>
          <w:i/>
          <w:sz w:val="20"/>
          <w:lang w:eastAsia="lt-LT"/>
        </w:rPr>
        <w:t xml:space="preserve"> </w:t>
      </w:r>
      <w:proofErr w:type="spellStart"/>
      <w:r w:rsidRPr="0024319B">
        <w:rPr>
          <w:i/>
          <w:sz w:val="20"/>
          <w:lang w:eastAsia="lt-LT"/>
        </w:rPr>
        <w:t>years</w:t>
      </w:r>
      <w:proofErr w:type="spellEnd"/>
      <w:r w:rsidRPr="0024319B">
        <w:rPr>
          <w:iCs/>
          <w:sz w:val="20"/>
          <w:lang w:eastAsia="lt-LT"/>
        </w:rPr>
        <w:t>) gyvenimo metai; QALY- (</w:t>
      </w:r>
      <w:r w:rsidRPr="0024319B">
        <w:rPr>
          <w:i/>
          <w:sz w:val="20"/>
          <w:lang w:eastAsia="lt-LT"/>
        </w:rPr>
        <w:t xml:space="preserve">angl. </w:t>
      </w:r>
      <w:proofErr w:type="spellStart"/>
      <w:r w:rsidRPr="0024319B">
        <w:rPr>
          <w:i/>
          <w:sz w:val="20"/>
          <w:lang w:eastAsia="lt-LT"/>
        </w:rPr>
        <w:t>quality</w:t>
      </w:r>
      <w:proofErr w:type="spellEnd"/>
      <w:r w:rsidRPr="0024319B">
        <w:rPr>
          <w:i/>
          <w:sz w:val="20"/>
          <w:lang w:eastAsia="lt-LT"/>
        </w:rPr>
        <w:t xml:space="preserve"> </w:t>
      </w:r>
      <w:proofErr w:type="spellStart"/>
      <w:r w:rsidRPr="0024319B">
        <w:rPr>
          <w:i/>
          <w:sz w:val="20"/>
          <w:lang w:eastAsia="lt-LT"/>
        </w:rPr>
        <w:t>adjusted</w:t>
      </w:r>
      <w:proofErr w:type="spellEnd"/>
      <w:r w:rsidRPr="0024319B">
        <w:rPr>
          <w:i/>
          <w:sz w:val="20"/>
          <w:lang w:eastAsia="lt-LT"/>
        </w:rPr>
        <w:t xml:space="preserve"> </w:t>
      </w:r>
      <w:proofErr w:type="spellStart"/>
      <w:r w:rsidRPr="0024319B">
        <w:rPr>
          <w:i/>
          <w:sz w:val="20"/>
          <w:lang w:eastAsia="lt-LT"/>
        </w:rPr>
        <w:t>life</w:t>
      </w:r>
      <w:proofErr w:type="spellEnd"/>
      <w:r w:rsidRPr="0024319B">
        <w:rPr>
          <w:i/>
          <w:sz w:val="20"/>
          <w:lang w:eastAsia="lt-LT"/>
        </w:rPr>
        <w:t xml:space="preserve"> </w:t>
      </w:r>
      <w:proofErr w:type="spellStart"/>
      <w:r w:rsidRPr="0024319B">
        <w:rPr>
          <w:i/>
          <w:sz w:val="20"/>
          <w:lang w:eastAsia="lt-LT"/>
        </w:rPr>
        <w:t>years</w:t>
      </w:r>
      <w:proofErr w:type="spellEnd"/>
      <w:r w:rsidRPr="0024319B">
        <w:rPr>
          <w:i/>
          <w:sz w:val="20"/>
          <w:lang w:eastAsia="lt-LT"/>
        </w:rPr>
        <w:t xml:space="preserve">) </w:t>
      </w:r>
      <w:r w:rsidRPr="0024319B">
        <w:rPr>
          <w:iCs/>
          <w:sz w:val="20"/>
          <w:lang w:eastAsia="lt-LT"/>
        </w:rPr>
        <w:t>kokybiški gyvenimo metai.</w:t>
      </w:r>
    </w:p>
    <w:p w14:paraId="7A225725" w14:textId="58610387" w:rsidR="008363DC" w:rsidRDefault="008363DC" w:rsidP="00D05A66">
      <w:pPr>
        <w:pStyle w:val="NormalWeb"/>
        <w:spacing w:before="0" w:beforeAutospacing="0" w:after="0" w:afterAutospacing="0" w:line="276" w:lineRule="auto"/>
        <w:jc w:val="both"/>
        <w:rPr>
          <w:rFonts w:eastAsia="Arial"/>
          <w:bCs/>
        </w:rPr>
      </w:pPr>
    </w:p>
    <w:p w14:paraId="5FB81F7D" w14:textId="41B7819F" w:rsidR="00BC14F9" w:rsidRPr="002E36B3" w:rsidRDefault="00BC14F9" w:rsidP="00BC14F9">
      <w:pPr>
        <w:pStyle w:val="NormalWeb"/>
        <w:spacing w:before="0" w:beforeAutospacing="0" w:after="0" w:afterAutospacing="0" w:line="276" w:lineRule="auto"/>
        <w:ind w:firstLine="360"/>
        <w:jc w:val="both"/>
      </w:pPr>
      <w:r w:rsidRPr="009D56BB">
        <w:rPr>
          <w:rFonts w:eastAsia="Arial"/>
        </w:rPr>
        <w:t xml:space="preserve">Ekonominės analizės rezultatais, </w:t>
      </w:r>
      <w:proofErr w:type="spellStart"/>
      <w:r w:rsidRPr="009D56BB">
        <w:rPr>
          <w:rFonts w:eastAsia="Arial"/>
        </w:rPr>
        <w:t>Opdivo</w:t>
      </w:r>
      <w:proofErr w:type="spellEnd"/>
      <w:r w:rsidRPr="009D56BB">
        <w:rPr>
          <w:rFonts w:eastAsia="Arial"/>
        </w:rPr>
        <w:t xml:space="preserve"> lyginant su įprastiniu gydymu sveikatai sukuriama papildoma nauda (</w:t>
      </w:r>
      <w:proofErr w:type="spellStart"/>
      <w:r w:rsidRPr="009D56BB">
        <w:rPr>
          <w:rFonts w:eastAsia="Arial"/>
        </w:rPr>
        <w:t>inkrementiniai</w:t>
      </w:r>
      <w:proofErr w:type="spellEnd"/>
      <w:r w:rsidRPr="009D56BB">
        <w:rPr>
          <w:rFonts w:eastAsia="Arial"/>
        </w:rPr>
        <w:t xml:space="preserve"> QALYS – </w:t>
      </w:r>
      <w:r w:rsidR="007D6E14">
        <w:rPr>
          <w:rFonts w:eastAsia="Arial"/>
        </w:rPr>
        <w:t>*****</w:t>
      </w:r>
      <w:r w:rsidRPr="009D56BB">
        <w:rPr>
          <w:rFonts w:eastAsia="Arial"/>
        </w:rPr>
        <w:t xml:space="preserve">), </w:t>
      </w:r>
      <w:r w:rsidRPr="009D56BB">
        <w:t xml:space="preserve">o gydymo </w:t>
      </w:r>
      <w:proofErr w:type="spellStart"/>
      <w:r w:rsidRPr="009D56BB">
        <w:t>Opdivo</w:t>
      </w:r>
      <w:proofErr w:type="spellEnd"/>
      <w:r w:rsidRPr="009D56BB">
        <w:t xml:space="preserve"> kaštai yra </w:t>
      </w:r>
      <w:r w:rsidR="007D6E14">
        <w:t>*******</w:t>
      </w:r>
      <w:r w:rsidRPr="009D56BB">
        <w:t xml:space="preserve"> Eur. didesni nei standartinio šiuo metu Lietuvoje taikomo gydymo.</w:t>
      </w:r>
      <w:r>
        <w:t xml:space="preserve"> Apskaičiuotas ICER – </w:t>
      </w:r>
      <w:r w:rsidR="007D6E14">
        <w:t xml:space="preserve">***** </w:t>
      </w:r>
      <w:r w:rsidRPr="009D56BB">
        <w:t>Eur./QALY</w:t>
      </w:r>
      <w:r>
        <w:t xml:space="preserve"> neviršija </w:t>
      </w:r>
      <w:r w:rsidR="0049758D">
        <w:t xml:space="preserve">******* </w:t>
      </w:r>
      <w:r>
        <w:t xml:space="preserve"> ligos naštai taikomos referencinės kaštų naudingumo vertės</w:t>
      </w:r>
      <w:r w:rsidRPr="009D56BB">
        <w:t>.</w:t>
      </w:r>
    </w:p>
    <w:p w14:paraId="0A7CA11B" w14:textId="77777777" w:rsidR="00AB6C7B" w:rsidRPr="000203E1" w:rsidRDefault="00AB6C7B" w:rsidP="00434D0C">
      <w:pPr>
        <w:tabs>
          <w:tab w:val="left" w:pos="426"/>
        </w:tabs>
        <w:spacing w:line="276" w:lineRule="auto"/>
        <w:rPr>
          <w:b/>
          <w:bCs/>
          <w:caps/>
        </w:rPr>
      </w:pPr>
    </w:p>
    <w:p w14:paraId="4FC424F9" w14:textId="4E767245" w:rsidR="00C62B36" w:rsidRPr="000203E1" w:rsidRDefault="00C62B36" w:rsidP="00434D0C">
      <w:pPr>
        <w:pStyle w:val="ListParagraph"/>
        <w:numPr>
          <w:ilvl w:val="0"/>
          <w:numId w:val="12"/>
        </w:numPr>
        <w:tabs>
          <w:tab w:val="left" w:pos="567"/>
        </w:tabs>
        <w:spacing w:line="276" w:lineRule="auto"/>
        <w:ind w:hanging="720"/>
        <w:rPr>
          <w:b/>
          <w:bCs/>
          <w:caps/>
        </w:rPr>
      </w:pPr>
      <w:r w:rsidRPr="000203E1">
        <w:rPr>
          <w:b/>
          <w:bCs/>
          <w:caps/>
        </w:rPr>
        <w:t xml:space="preserve">Pacientų organizacijų pateikti duomenys </w:t>
      </w:r>
    </w:p>
    <w:p w14:paraId="79BCFF40" w14:textId="3B292590" w:rsidR="00937907" w:rsidRPr="000203E1" w:rsidRDefault="0049758D" w:rsidP="00434D0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r w:rsidR="00016F32">
        <w:t>.</w:t>
      </w:r>
    </w:p>
    <w:p w14:paraId="62992180" w14:textId="57C93CA1" w:rsidR="00937907" w:rsidRPr="000203E1" w:rsidRDefault="0049758D" w:rsidP="00434D0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434D0C">
      <w:pPr>
        <w:spacing w:after="120" w:line="276" w:lineRule="auto"/>
        <w:jc w:val="both"/>
      </w:pPr>
    </w:p>
    <w:p w14:paraId="3D3277FA" w14:textId="3CEEB2D2" w:rsidR="00C62B36" w:rsidRPr="000203E1" w:rsidRDefault="00C62B36" w:rsidP="00434D0C">
      <w:pPr>
        <w:pStyle w:val="ListParagraph"/>
        <w:numPr>
          <w:ilvl w:val="0"/>
          <w:numId w:val="12"/>
        </w:numPr>
        <w:tabs>
          <w:tab w:val="left" w:pos="567"/>
        </w:tabs>
        <w:spacing w:line="276" w:lineRule="auto"/>
        <w:ind w:hanging="720"/>
        <w:rPr>
          <w:b/>
          <w:bCs/>
          <w:caps/>
        </w:rPr>
      </w:pPr>
      <w:r w:rsidRPr="000203E1">
        <w:rPr>
          <w:b/>
          <w:bCs/>
          <w:caps/>
        </w:rPr>
        <w:t>Gydytojų organizacijų pateikti duomenys</w:t>
      </w:r>
    </w:p>
    <w:p w14:paraId="389A346C" w14:textId="44FE4F8C" w:rsidR="00937907" w:rsidRPr="000203E1" w:rsidRDefault="0049758D" w:rsidP="00434D0C">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5D8CC48C" w14:textId="01AC52E9" w:rsidR="00662983" w:rsidRPr="000203E1" w:rsidRDefault="0049758D" w:rsidP="00434D0C">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434D0C">
      <w:pPr>
        <w:spacing w:after="120" w:line="276" w:lineRule="auto"/>
        <w:jc w:val="both"/>
      </w:pPr>
    </w:p>
    <w:p w14:paraId="78F23ECB" w14:textId="23A3A002" w:rsidR="002F0E4F" w:rsidRPr="000203E1" w:rsidRDefault="002F0E4F" w:rsidP="00434D0C">
      <w:pPr>
        <w:pStyle w:val="ListParagraph"/>
        <w:numPr>
          <w:ilvl w:val="0"/>
          <w:numId w:val="12"/>
        </w:numPr>
        <w:tabs>
          <w:tab w:val="left" w:pos="567"/>
        </w:tabs>
        <w:spacing w:line="276" w:lineRule="auto"/>
        <w:ind w:hanging="720"/>
        <w:rPr>
          <w:b/>
          <w:bCs/>
          <w:caps/>
        </w:rPr>
      </w:pPr>
      <w:r w:rsidRPr="000203E1">
        <w:rPr>
          <w:b/>
          <w:bCs/>
          <w:caps/>
        </w:rPr>
        <w:t xml:space="preserve">Išvada </w:t>
      </w:r>
    </w:p>
    <w:p w14:paraId="08D5B3B6" w14:textId="3492CFB8" w:rsidR="0061611B" w:rsidRDefault="0061611B" w:rsidP="00045709">
      <w:pPr>
        <w:spacing w:line="276" w:lineRule="auto"/>
        <w:ind w:firstLine="720"/>
        <w:rPr>
          <w:i/>
          <w:szCs w:val="22"/>
        </w:rPr>
      </w:pPr>
    </w:p>
    <w:tbl>
      <w:tblPr>
        <w:tblStyle w:val="TableGrid"/>
        <w:tblW w:w="0" w:type="auto"/>
        <w:tblLook w:val="04A0" w:firstRow="1" w:lastRow="0" w:firstColumn="1" w:lastColumn="0" w:noHBand="0" w:noVBand="1"/>
      </w:tblPr>
      <w:tblGrid>
        <w:gridCol w:w="4815"/>
        <w:gridCol w:w="4814"/>
      </w:tblGrid>
      <w:tr w:rsidR="00931A54" w:rsidRPr="00034325" w14:paraId="5BF2B94B" w14:textId="77777777" w:rsidTr="00427779">
        <w:trPr>
          <w:trHeight w:val="510"/>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01CCD0A" w14:textId="77777777" w:rsidR="00931A54" w:rsidRPr="00034325" w:rsidRDefault="00931A54" w:rsidP="00931A54">
            <w:pPr>
              <w:spacing w:line="276" w:lineRule="auto"/>
              <w:jc w:val="center"/>
              <w:rPr>
                <w:rFonts w:eastAsia="Arial"/>
                <w:b/>
                <w:bCs/>
                <w:iCs/>
              </w:rPr>
            </w:pPr>
            <w:r w:rsidRPr="00034325">
              <w:rPr>
                <w:rFonts w:eastAsia="Arial"/>
                <w:b/>
                <w:bCs/>
                <w:iCs/>
              </w:rPr>
              <w:t>Palyginamasis veiksmingumas</w:t>
            </w:r>
          </w:p>
        </w:tc>
      </w:tr>
      <w:tr w:rsidR="00931A54" w:rsidRPr="00034325" w14:paraId="147A875A" w14:textId="77777777" w:rsidTr="00427779">
        <w:tc>
          <w:tcPr>
            <w:tcW w:w="4815" w:type="dxa"/>
            <w:tcBorders>
              <w:top w:val="single" w:sz="4" w:space="0" w:color="auto"/>
              <w:left w:val="single" w:sz="4" w:space="0" w:color="auto"/>
              <w:bottom w:val="single" w:sz="4" w:space="0" w:color="auto"/>
              <w:right w:val="single" w:sz="4" w:space="0" w:color="auto"/>
            </w:tcBorders>
          </w:tcPr>
          <w:p w14:paraId="09BB6916" w14:textId="77777777" w:rsidR="00931A54" w:rsidRPr="00034325" w:rsidRDefault="0049758D" w:rsidP="00427779">
            <w:pPr>
              <w:spacing w:line="276" w:lineRule="auto"/>
              <w:rPr>
                <w:rFonts w:eastAsia="Arial"/>
                <w:bCs/>
                <w:iCs/>
              </w:rPr>
            </w:pPr>
            <w:sdt>
              <w:sdtPr>
                <w:rPr>
                  <w:rFonts w:eastAsia="Arial"/>
                  <w:bCs/>
                  <w:iCs/>
                </w:rPr>
                <w:id w:val="1397324644"/>
                <w14:checkbox>
                  <w14:checked w14:val="1"/>
                  <w14:checkedState w14:val="2612" w14:font="MS Gothic"/>
                  <w14:uncheckedState w14:val="2610" w14:font="MS Gothic"/>
                </w14:checkbox>
              </w:sdtPr>
              <w:sdtEndPr/>
              <w:sdtContent>
                <w:r w:rsidR="00931A54">
                  <w:rPr>
                    <w:rFonts w:ascii="MS Gothic" w:eastAsia="MS Gothic" w:hAnsi="MS Gothic" w:hint="eastAsia"/>
                    <w:bCs/>
                    <w:iCs/>
                  </w:rPr>
                  <w:t>☒</w:t>
                </w:r>
              </w:sdtContent>
            </w:sdt>
            <w:r w:rsidR="00931A54" w:rsidRPr="00034325">
              <w:rPr>
                <w:rFonts w:eastAsia="Arial"/>
                <w:bCs/>
                <w:iCs/>
              </w:rPr>
              <w:t xml:space="preserve"> 29.1.1 yra didesnis, lyginant su įprasta klinikine praktika</w:t>
            </w:r>
          </w:p>
          <w:p w14:paraId="75BB279D" w14:textId="77777777" w:rsidR="00931A54" w:rsidRPr="00034325" w:rsidRDefault="00931A54" w:rsidP="00427779">
            <w:pPr>
              <w:spacing w:line="276" w:lineRule="auto"/>
              <w:rPr>
                <w:rFonts w:eastAsia="Arial"/>
                <w:bCs/>
                <w:iCs/>
              </w:rPr>
            </w:pPr>
          </w:p>
          <w:p w14:paraId="27EB9BD6" w14:textId="77777777" w:rsidR="00931A54" w:rsidRPr="00034325" w:rsidRDefault="0049758D" w:rsidP="00427779">
            <w:pPr>
              <w:spacing w:line="276" w:lineRule="auto"/>
              <w:rPr>
                <w:rFonts w:eastAsia="Arial"/>
                <w:bCs/>
                <w:iCs/>
              </w:rPr>
            </w:pPr>
            <w:sdt>
              <w:sdtPr>
                <w:rPr>
                  <w:rFonts w:eastAsia="Arial"/>
                  <w:bCs/>
                  <w:iCs/>
                </w:rPr>
                <w:id w:val="418297090"/>
                <w14:checkbox>
                  <w14:checked w14:val="0"/>
                  <w14:checkedState w14:val="2612" w14:font="MS Gothic"/>
                  <w14:uncheckedState w14:val="2610" w14:font="MS Gothic"/>
                </w14:checkbox>
              </w:sdtPr>
              <w:sdtEndPr/>
              <w:sdtContent>
                <w:r w:rsidR="00931A54">
                  <w:rPr>
                    <w:rFonts w:ascii="MS Gothic" w:eastAsia="MS Gothic" w:hAnsi="MS Gothic" w:hint="eastAsia"/>
                    <w:bCs/>
                    <w:iCs/>
                  </w:rPr>
                  <w:t>☐</w:t>
                </w:r>
              </w:sdtContent>
            </w:sdt>
            <w:r w:rsidR="00931A54" w:rsidRPr="00034325">
              <w:rPr>
                <w:rFonts w:eastAsia="Arial"/>
                <w:bCs/>
                <w:iCs/>
              </w:rPr>
              <w:t xml:space="preserve"> 29.1.2 iš esmės nesiskiria, lyginant su įprasta klinikine praktika</w:t>
            </w:r>
          </w:p>
        </w:tc>
        <w:tc>
          <w:tcPr>
            <w:tcW w:w="4814" w:type="dxa"/>
            <w:tcBorders>
              <w:top w:val="single" w:sz="4" w:space="0" w:color="auto"/>
              <w:left w:val="single" w:sz="4" w:space="0" w:color="auto"/>
              <w:bottom w:val="single" w:sz="4" w:space="0" w:color="auto"/>
              <w:right w:val="single" w:sz="4" w:space="0" w:color="auto"/>
            </w:tcBorders>
          </w:tcPr>
          <w:p w14:paraId="14C62681" w14:textId="77777777" w:rsidR="00931A54" w:rsidRPr="00034325" w:rsidRDefault="0049758D" w:rsidP="00427779">
            <w:pPr>
              <w:spacing w:line="276" w:lineRule="auto"/>
              <w:rPr>
                <w:rFonts w:eastAsia="Arial"/>
                <w:bCs/>
                <w:iCs/>
              </w:rPr>
            </w:pPr>
            <w:sdt>
              <w:sdtPr>
                <w:rPr>
                  <w:rFonts w:eastAsia="Arial"/>
                  <w:bCs/>
                  <w:iCs/>
                </w:rPr>
                <w:id w:val="-724755596"/>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29.1.3 yra neįrodytas kaip didesnis  ar iš esmės nesiskiriantis, lyginant su įprasta klinikine praktika  </w:t>
            </w:r>
          </w:p>
          <w:p w14:paraId="10BFDA77" w14:textId="77777777" w:rsidR="00931A54" w:rsidRPr="00034325" w:rsidRDefault="00931A54" w:rsidP="00427779">
            <w:pPr>
              <w:spacing w:line="276" w:lineRule="auto"/>
              <w:rPr>
                <w:rFonts w:eastAsia="Arial"/>
                <w:bCs/>
                <w:iCs/>
              </w:rPr>
            </w:pPr>
          </w:p>
          <w:p w14:paraId="2B2CB22A" w14:textId="77777777" w:rsidR="00931A54" w:rsidRPr="00034325" w:rsidRDefault="0049758D" w:rsidP="00427779">
            <w:pPr>
              <w:spacing w:line="276" w:lineRule="auto"/>
              <w:rPr>
                <w:rFonts w:eastAsia="Arial"/>
                <w:bCs/>
                <w:iCs/>
              </w:rPr>
            </w:pPr>
            <w:sdt>
              <w:sdtPr>
                <w:rPr>
                  <w:rFonts w:eastAsia="Arial"/>
                  <w:bCs/>
                  <w:iCs/>
                </w:rPr>
                <w:id w:val="1862168479"/>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29.1.4 yra mažesnis, lyginant su įprasta klinikine praktika</w:t>
            </w:r>
          </w:p>
          <w:p w14:paraId="6CBBD22B" w14:textId="77777777" w:rsidR="00931A54" w:rsidRPr="00034325" w:rsidRDefault="00931A54" w:rsidP="00427779">
            <w:pPr>
              <w:spacing w:line="276" w:lineRule="auto"/>
              <w:rPr>
                <w:rFonts w:eastAsia="Arial"/>
                <w:bCs/>
                <w:iCs/>
              </w:rPr>
            </w:pPr>
          </w:p>
          <w:p w14:paraId="7C7A9E73" w14:textId="77777777" w:rsidR="00931A54" w:rsidRPr="00034325" w:rsidRDefault="0049758D" w:rsidP="00427779">
            <w:pPr>
              <w:spacing w:line="276" w:lineRule="auto"/>
              <w:rPr>
                <w:rFonts w:eastAsia="Arial"/>
                <w:bCs/>
                <w:iCs/>
              </w:rPr>
            </w:pPr>
            <w:sdt>
              <w:sdtPr>
                <w:rPr>
                  <w:rFonts w:eastAsia="Arial"/>
                  <w:bCs/>
                  <w:iCs/>
                </w:rPr>
                <w:id w:val="-1857960180"/>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29.1.5 pateikti duomenys apie palyginamąjį veiksmingumą yra netinkami vertinti</w:t>
            </w:r>
          </w:p>
          <w:p w14:paraId="071D9219" w14:textId="77777777" w:rsidR="00931A54" w:rsidRPr="00034325" w:rsidRDefault="00931A54" w:rsidP="00427779">
            <w:pPr>
              <w:spacing w:line="276" w:lineRule="auto"/>
              <w:rPr>
                <w:rFonts w:eastAsia="Arial"/>
                <w:bCs/>
                <w:iCs/>
              </w:rPr>
            </w:pPr>
          </w:p>
        </w:tc>
      </w:tr>
    </w:tbl>
    <w:tbl>
      <w:tblPr>
        <w:tblStyle w:val="DossierTable1"/>
        <w:tblW w:w="0" w:type="auto"/>
        <w:tblInd w:w="-5" w:type="dxa"/>
        <w:tblLook w:val="04A0" w:firstRow="1" w:lastRow="0" w:firstColumn="1" w:lastColumn="0" w:noHBand="0" w:noVBand="1"/>
      </w:tblPr>
      <w:tblGrid>
        <w:gridCol w:w="4820"/>
        <w:gridCol w:w="4814"/>
      </w:tblGrid>
      <w:tr w:rsidR="00AB6C7B" w:rsidRPr="009300B3" w14:paraId="723C0DAD" w14:textId="77777777" w:rsidTr="008E0D5B">
        <w:trPr>
          <w:trHeight w:val="510"/>
        </w:trPr>
        <w:tc>
          <w:tcPr>
            <w:tcW w:w="9634" w:type="dxa"/>
            <w:gridSpan w:val="2"/>
            <w:vAlign w:val="center"/>
          </w:tcPr>
          <w:p w14:paraId="1DEEEE63"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3"/>
                <w:szCs w:val="23"/>
              </w:rPr>
            </w:pPr>
            <w:r w:rsidRPr="009300B3">
              <w:rPr>
                <w:rStyle w:val="Style2"/>
                <w:rFonts w:eastAsia="MS Gothic"/>
                <w:b/>
                <w:bCs/>
                <w:sz w:val="23"/>
                <w:szCs w:val="23"/>
              </w:rPr>
              <w:t>Kaštų naudingumas</w:t>
            </w:r>
          </w:p>
        </w:tc>
      </w:tr>
      <w:tr w:rsidR="00AB6C7B" w:rsidRPr="009300B3" w14:paraId="2B14E2A9" w14:textId="77777777" w:rsidTr="008E0D5B">
        <w:tc>
          <w:tcPr>
            <w:tcW w:w="4820" w:type="dxa"/>
          </w:tcPr>
          <w:p w14:paraId="04E58B28" w14:textId="77777777" w:rsidR="00AB6C7B" w:rsidRPr="009300B3" w:rsidRDefault="0049758D"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AB6C7B">
                  <w:rPr>
                    <w:rStyle w:val="Style2"/>
                    <w:rFonts w:ascii="MS Gothic" w:eastAsia="MS Gothic" w:hAnsi="MS Gothic" w:hint="eastAsia"/>
                    <w:sz w:val="23"/>
                    <w:szCs w:val="23"/>
                  </w:rPr>
                  <w:t>☒</w:t>
                </w:r>
              </w:sdtContent>
            </w:sdt>
            <w:r w:rsidR="00AB6C7B" w:rsidRPr="009300B3">
              <w:rPr>
                <w:sz w:val="23"/>
                <w:szCs w:val="23"/>
              </w:rPr>
              <w:t xml:space="preserve"> 29.2.1 atitinka referencinę naudingumo vertę taikant arba netaikant</w:t>
            </w:r>
            <w:r w:rsidR="00AB6C7B" w:rsidRPr="009300B3">
              <w:rPr>
                <w:b/>
                <w:bCs/>
                <w:sz w:val="23"/>
                <w:szCs w:val="23"/>
              </w:rPr>
              <w:t> </w:t>
            </w:r>
            <w:r w:rsidR="00AB6C7B" w:rsidRPr="009300B3">
              <w:rPr>
                <w:sz w:val="23"/>
                <w:szCs w:val="23"/>
              </w:rPr>
              <w:t>PGS</w:t>
            </w:r>
          </w:p>
          <w:p w14:paraId="751820D2"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9B00755" w14:textId="77777777" w:rsidR="00AB6C7B" w:rsidRPr="009300B3" w:rsidRDefault="0049758D"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29.2.2 gydymo juo kaštai yra mažesni ar tokie patys esant iš esmės nesiskiriančiam palyginamajam efektyvumui, taikant arba netaikant PGS</w:t>
            </w:r>
          </w:p>
        </w:tc>
        <w:tc>
          <w:tcPr>
            <w:tcW w:w="4814" w:type="dxa"/>
          </w:tcPr>
          <w:p w14:paraId="31162936" w14:textId="77777777" w:rsidR="00AB6C7B" w:rsidRPr="009300B3" w:rsidRDefault="0049758D"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29.2.3 neatitinka referencinės naudingumo vertės taikant arba netaikant PGS</w:t>
            </w:r>
          </w:p>
          <w:p w14:paraId="3A37D495"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AE33B6A" w14:textId="77777777" w:rsidR="00AB6C7B" w:rsidRPr="009300B3" w:rsidRDefault="0049758D"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29.2.4 gydymo juo kaštai yra didesni esant iš esmės nesiskiriančiam palyginamajam veiksmingumui, taikant arba netaikant PGS</w:t>
            </w:r>
          </w:p>
          <w:p w14:paraId="4A6AF878"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4CAFED2" w14:textId="77777777" w:rsidR="00AB6C7B" w:rsidRPr="009300B3" w:rsidRDefault="0049758D"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29.2.5 pateikti duomenys apie kaštų naudingumą yra netinkami vertinti</w:t>
            </w:r>
          </w:p>
          <w:p w14:paraId="7A9E6EFD"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1B85C083" w14:textId="77777777" w:rsidR="009E44AE" w:rsidRPr="000203E1" w:rsidRDefault="009E44AE" w:rsidP="00434D0C">
      <w:pPr>
        <w:spacing w:line="276" w:lineRule="auto"/>
      </w:pPr>
    </w:p>
    <w:p w14:paraId="3B2D1F25" w14:textId="3A80E19F" w:rsidR="000001B0" w:rsidRPr="00D8151D" w:rsidRDefault="000001B0" w:rsidP="00434D0C">
      <w:pPr>
        <w:pStyle w:val="ListParagraph"/>
        <w:numPr>
          <w:ilvl w:val="0"/>
          <w:numId w:val="12"/>
        </w:numPr>
        <w:spacing w:line="276" w:lineRule="auto"/>
        <w:ind w:left="567" w:hanging="567"/>
      </w:pPr>
      <w:r w:rsidRPr="000203E1">
        <w:rPr>
          <w:b/>
        </w:rPr>
        <w:t>REKOME</w:t>
      </w:r>
      <w:r w:rsidR="00D83182" w:rsidRPr="000203E1">
        <w:rPr>
          <w:b/>
        </w:rPr>
        <w:t>N</w:t>
      </w:r>
      <w:r w:rsidRPr="000203E1">
        <w:rPr>
          <w:b/>
        </w:rPr>
        <w:t>DACIJA</w:t>
      </w:r>
    </w:p>
    <w:p w14:paraId="753C7A38" w14:textId="77777777" w:rsidR="00D8151D" w:rsidRPr="00D8151D" w:rsidRDefault="00D8151D" w:rsidP="00434D0C">
      <w:pPr>
        <w:pStyle w:val="ListParagraph"/>
        <w:spacing w:line="276" w:lineRule="auto"/>
        <w:ind w:left="567"/>
      </w:pPr>
    </w:p>
    <w:p w14:paraId="7D5C6700" w14:textId="22D4669F" w:rsidR="00D5470B" w:rsidRPr="000203E1" w:rsidRDefault="00BC14F9" w:rsidP="00BC14F9">
      <w:pPr>
        <w:spacing w:line="276" w:lineRule="auto"/>
        <w:jc w:val="both"/>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Pr>
          <w:color w:val="000000"/>
        </w:rPr>
        <w:t>30</w:t>
      </w:r>
      <w:r>
        <w:rPr>
          <w:color w:val="000000"/>
          <w:vertAlign w:val="superscript"/>
        </w:rPr>
        <w:t>1</w:t>
      </w:r>
      <w:r>
        <w:rPr>
          <w:color w:val="000000"/>
        </w:rPr>
        <w:t xml:space="preserve">.1. kai vertinimo išvados atitinka Aprašo 29.1.1 ir 29.2.1 papunkčiuose numatytas sąlygas arba Aprašo 29.1.2 ir 29.2.2 papunkčiuose numatytas sąlygas, teikiama rekomendacija </w:t>
      </w:r>
      <w:r w:rsidRPr="005C6809">
        <w:rPr>
          <w:i/>
          <w:color w:val="000000"/>
        </w:rPr>
        <w:t>kompensuoti</w:t>
      </w:r>
      <w:r>
        <w:rPr>
          <w:color w:val="000000"/>
        </w:rPr>
        <w:t xml:space="preserve"> vaistinį preparatą pagal paraiškoje nurodytą indikaciją (arba jos dalį) su arba be skyrimo sąlygų, taikant ar netaikant PGS</w:t>
      </w:r>
      <w:r>
        <w:rPr>
          <w:color w:val="000000"/>
          <w:lang w:eastAsia="lt-LT"/>
        </w:rPr>
        <w:t>.</w:t>
      </w:r>
    </w:p>
    <w:p w14:paraId="44DB245D" w14:textId="77777777" w:rsidR="00DF3A10" w:rsidRPr="00B93732" w:rsidRDefault="00DF3A10" w:rsidP="00DF3A10">
      <w:pPr>
        <w:pStyle w:val="NoSpacing"/>
        <w:spacing w:line="276" w:lineRule="auto"/>
        <w:rPr>
          <w:rFonts w:ascii="Times New Roman" w:hAnsi="Times New Roman"/>
          <w:b/>
          <w:sz w:val="24"/>
          <w:szCs w:val="24"/>
          <w:lang w:eastAsia="lt-LT"/>
        </w:rPr>
      </w:pPr>
      <w:r w:rsidRPr="00B93732">
        <w:rPr>
          <w:rFonts w:ascii="Times New Roman" w:hAnsi="Times New Roman"/>
          <w:b/>
          <w:sz w:val="24"/>
          <w:szCs w:val="24"/>
          <w:lang w:eastAsia="lt-LT"/>
        </w:rPr>
        <w:t>Terapinės indikacijos</w:t>
      </w:r>
    </w:p>
    <w:p w14:paraId="7D6867CE" w14:textId="77777777" w:rsidR="00BC14F9" w:rsidRDefault="0049758D" w:rsidP="00BC14F9">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BC14F9">
            <w:rPr>
              <w:rStyle w:val="Style2"/>
              <w:rFonts w:ascii="MS Gothic" w:eastAsia="MS Gothic" w:hAnsi="MS Gothic" w:hint="eastAsia"/>
              <w:sz w:val="24"/>
              <w:szCs w:val="24"/>
            </w:rPr>
            <w:t>☒</w:t>
          </w:r>
        </w:sdtContent>
      </w:sdt>
      <w:r w:rsidR="00BC14F9" w:rsidRPr="0073329D">
        <w:rPr>
          <w:rFonts w:ascii="Times New Roman" w:hAnsi="Times New Roman"/>
          <w:sz w:val="24"/>
          <w:szCs w:val="24"/>
        </w:rPr>
        <w:t xml:space="preserve"> Siūloma kompensuoti Pareiškėjo teikiamą indikaciją be pakeitimų</w:t>
      </w:r>
      <w:r w:rsidR="00BC14F9">
        <w:rPr>
          <w:rFonts w:ascii="Times New Roman" w:hAnsi="Times New Roman"/>
          <w:sz w:val="24"/>
          <w:szCs w:val="24"/>
        </w:rPr>
        <w:t>.</w:t>
      </w:r>
    </w:p>
    <w:p w14:paraId="51CC2CEA" w14:textId="77777777" w:rsidR="00BC14F9" w:rsidRDefault="00BC14F9" w:rsidP="00BC14F9">
      <w:pPr>
        <w:spacing w:after="120"/>
        <w:jc w:val="both"/>
        <w:rPr>
          <w:bCs/>
        </w:rPr>
      </w:pPr>
    </w:p>
    <w:p w14:paraId="37166A84" w14:textId="75D39A1C" w:rsidR="00BC14F9" w:rsidRDefault="00BC14F9" w:rsidP="00BC14F9">
      <w:pPr>
        <w:spacing w:after="120"/>
        <w:jc w:val="both"/>
      </w:pPr>
      <w:bookmarkStart w:id="0" w:name="_Hlk210066114"/>
      <w:r w:rsidRPr="00AD4065">
        <w:rPr>
          <w:bCs/>
        </w:rPr>
        <w:t xml:space="preserve">OPDIVO derinys su sudėtine chemoterapija </w:t>
      </w:r>
      <w:proofErr w:type="spellStart"/>
      <w:r w:rsidRPr="00AD4065">
        <w:rPr>
          <w:bCs/>
        </w:rPr>
        <w:t>fluoropirimidino</w:t>
      </w:r>
      <w:proofErr w:type="spellEnd"/>
      <w:r w:rsidRPr="00AD4065">
        <w:rPr>
          <w:bCs/>
        </w:rPr>
        <w:t xml:space="preserve"> ir platinos pagrindu yra skirtas suaugusių pacientų neoperuotinos, išplitusios, atsinaujinusios ar </w:t>
      </w:r>
      <w:proofErr w:type="spellStart"/>
      <w:r w:rsidRPr="00AD4065">
        <w:rPr>
          <w:bCs/>
        </w:rPr>
        <w:t>metastazavusios</w:t>
      </w:r>
      <w:proofErr w:type="spellEnd"/>
      <w:r w:rsidRPr="00AD4065">
        <w:rPr>
          <w:bCs/>
        </w:rPr>
        <w:t xml:space="preserve"> stemplės </w:t>
      </w:r>
      <w:proofErr w:type="spellStart"/>
      <w:r w:rsidRPr="00AD4065">
        <w:rPr>
          <w:bCs/>
        </w:rPr>
        <w:t>plokščialąstelinės</w:t>
      </w:r>
      <w:proofErr w:type="spellEnd"/>
      <w:r w:rsidRPr="00AD4065">
        <w:rPr>
          <w:bCs/>
        </w:rPr>
        <w:t xml:space="preserve"> karcinomos, kurios ląstelių PD-L1 raiška yra ≥ 1 %, pirmaeiliam gydymui.</w:t>
      </w:r>
    </w:p>
    <w:bookmarkEnd w:id="0"/>
    <w:p w14:paraId="5DC0B9F9" w14:textId="77777777" w:rsidR="00BC14F9" w:rsidRDefault="00BC14F9" w:rsidP="00BC14F9">
      <w:pPr>
        <w:pStyle w:val="NoSpacing"/>
        <w:rPr>
          <w:rFonts w:ascii="Times New Roman" w:hAnsi="Times New Roman"/>
          <w:sz w:val="24"/>
          <w:szCs w:val="24"/>
        </w:rPr>
      </w:pPr>
    </w:p>
    <w:p w14:paraId="45AB636B" w14:textId="77777777" w:rsidR="00BC14F9" w:rsidRDefault="00BC14F9" w:rsidP="00BC14F9">
      <w:pPr>
        <w:pStyle w:val="NoSpacing"/>
        <w:rPr>
          <w:rFonts w:ascii="Times New Roman" w:hAnsi="Times New Roman"/>
          <w:sz w:val="24"/>
          <w:szCs w:val="24"/>
        </w:rPr>
      </w:pPr>
      <w:r>
        <w:rPr>
          <w:rFonts w:ascii="Times New Roman" w:hAnsi="Times New Roman"/>
          <w:sz w:val="24"/>
          <w:szCs w:val="24"/>
        </w:rPr>
        <w:t>TLK-10 AM kodas: C15</w:t>
      </w:r>
    </w:p>
    <w:p w14:paraId="5B11D12B" w14:textId="77777777" w:rsidR="00BC14F9" w:rsidRPr="0073329D" w:rsidRDefault="00BC14F9" w:rsidP="00BC14F9">
      <w:pPr>
        <w:pStyle w:val="NoSpacing"/>
        <w:rPr>
          <w:rFonts w:ascii="Times New Roman" w:hAnsi="Times New Roman"/>
          <w:sz w:val="24"/>
          <w:szCs w:val="24"/>
        </w:rPr>
      </w:pPr>
    </w:p>
    <w:p w14:paraId="55923B88" w14:textId="77777777" w:rsidR="00BC14F9" w:rsidRPr="0073329D" w:rsidRDefault="00BC14F9" w:rsidP="00BC14F9">
      <w:pPr>
        <w:pStyle w:val="NoSpacing"/>
        <w:rPr>
          <w:rFonts w:ascii="Times New Roman" w:hAnsi="Times New Roman"/>
          <w:b/>
          <w:sz w:val="24"/>
          <w:szCs w:val="24"/>
        </w:rPr>
      </w:pPr>
      <w:r w:rsidRPr="0073329D">
        <w:rPr>
          <w:rFonts w:ascii="Times New Roman" w:hAnsi="Times New Roman"/>
          <w:b/>
          <w:sz w:val="24"/>
          <w:szCs w:val="24"/>
        </w:rPr>
        <w:t>Skyrimo sąlygos</w:t>
      </w:r>
    </w:p>
    <w:p w14:paraId="10A2F50B" w14:textId="77777777" w:rsidR="00BC14F9" w:rsidRDefault="0049758D" w:rsidP="00BC14F9">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BC14F9">
            <w:rPr>
              <w:rStyle w:val="Style2"/>
              <w:rFonts w:ascii="MS Gothic" w:eastAsia="MS Gothic" w:hAnsi="MS Gothic" w:hint="eastAsia"/>
              <w:sz w:val="24"/>
              <w:szCs w:val="24"/>
            </w:rPr>
            <w:t>☒</w:t>
          </w:r>
        </w:sdtContent>
      </w:sdt>
      <w:r w:rsidR="00BC14F9" w:rsidRPr="0073329D">
        <w:rPr>
          <w:rFonts w:ascii="Times New Roman" w:hAnsi="Times New Roman"/>
          <w:sz w:val="24"/>
          <w:szCs w:val="24"/>
        </w:rPr>
        <w:t xml:space="preserve"> Pareiškėjo siūlomos skyrimo sąlygos nepriimtinos.</w:t>
      </w:r>
    </w:p>
    <w:p w14:paraId="569F5E38" w14:textId="77777777" w:rsidR="00BC14F9" w:rsidRDefault="00BC14F9" w:rsidP="00BC14F9">
      <w:pPr>
        <w:pStyle w:val="NoSpacing"/>
        <w:rPr>
          <w:rFonts w:ascii="Times New Roman" w:hAnsi="Times New Roman"/>
          <w:sz w:val="24"/>
          <w:szCs w:val="24"/>
        </w:rPr>
      </w:pPr>
    </w:p>
    <w:p w14:paraId="3AEE5F2A" w14:textId="0D24CB49" w:rsidR="00BC14F9" w:rsidRPr="0070500C" w:rsidRDefault="00BC14F9" w:rsidP="00BC14F9">
      <w:pPr>
        <w:pStyle w:val="NoSpacing"/>
        <w:spacing w:line="276" w:lineRule="auto"/>
        <w:rPr>
          <w:rFonts w:ascii="Times New Roman" w:hAnsi="Times New Roman"/>
          <w:bCs/>
          <w:sz w:val="24"/>
          <w:szCs w:val="24"/>
          <w:u w:val="single"/>
        </w:rPr>
      </w:pPr>
      <w:r w:rsidRPr="0070500C">
        <w:rPr>
          <w:rFonts w:ascii="Times New Roman" w:hAnsi="Times New Roman"/>
          <w:bCs/>
          <w:sz w:val="24"/>
          <w:szCs w:val="24"/>
          <w:u w:val="single"/>
        </w:rPr>
        <w:t>Siūlomos skyrimo sąlygos</w:t>
      </w:r>
    </w:p>
    <w:p w14:paraId="65C59969" w14:textId="77777777" w:rsidR="00BC14F9" w:rsidRDefault="00BC14F9" w:rsidP="00BC14F9">
      <w:pPr>
        <w:pStyle w:val="NoSpacing"/>
        <w:jc w:val="both"/>
        <w:rPr>
          <w:rFonts w:ascii="Times New Roman" w:hAnsi="Times New Roman"/>
          <w:sz w:val="24"/>
          <w:szCs w:val="24"/>
          <w:lang w:eastAsia="lt-LT"/>
        </w:rPr>
      </w:pPr>
      <w:r w:rsidRPr="006B58BC">
        <w:rPr>
          <w:rFonts w:ascii="Times New Roman" w:hAnsi="Times New Roman"/>
          <w:sz w:val="24"/>
          <w:szCs w:val="24"/>
          <w:lang w:eastAsia="lt-LT"/>
        </w:rPr>
        <w:t xml:space="preserve">Skiriamas derinant su chemoterapija, kurios sudėtyje yra platinos preparatų ir </w:t>
      </w:r>
      <w:proofErr w:type="spellStart"/>
      <w:r>
        <w:rPr>
          <w:rFonts w:ascii="Times New Roman" w:hAnsi="Times New Roman"/>
          <w:sz w:val="24"/>
          <w:szCs w:val="24"/>
          <w:lang w:eastAsia="lt-LT"/>
        </w:rPr>
        <w:t>fluoropirimidinu</w:t>
      </w:r>
      <w:proofErr w:type="spellEnd"/>
      <w:r w:rsidRPr="006B58BC">
        <w:rPr>
          <w:rFonts w:ascii="Times New Roman" w:hAnsi="Times New Roman"/>
          <w:sz w:val="24"/>
          <w:szCs w:val="24"/>
          <w:lang w:eastAsia="lt-LT"/>
        </w:rPr>
        <w:t xml:space="preserve">, skirta </w:t>
      </w:r>
      <w:proofErr w:type="spellStart"/>
      <w:r w:rsidRPr="0011320F">
        <w:rPr>
          <w:rFonts w:ascii="Times New Roman" w:hAnsi="Times New Roman"/>
          <w:sz w:val="24"/>
          <w:szCs w:val="24"/>
          <w:lang w:eastAsia="lt-LT"/>
        </w:rPr>
        <w:t>metastazavusios</w:t>
      </w:r>
      <w:proofErr w:type="spellEnd"/>
      <w:r w:rsidRPr="0011320F">
        <w:rPr>
          <w:rFonts w:ascii="Times New Roman" w:hAnsi="Times New Roman"/>
          <w:sz w:val="24"/>
          <w:szCs w:val="24"/>
          <w:lang w:eastAsia="lt-LT"/>
        </w:rPr>
        <w:t xml:space="preserve"> ar </w:t>
      </w:r>
      <w:proofErr w:type="spellStart"/>
      <w:r w:rsidRPr="0011320F">
        <w:rPr>
          <w:rFonts w:ascii="Times New Roman" w:hAnsi="Times New Roman"/>
          <w:sz w:val="24"/>
          <w:szCs w:val="24"/>
          <w:lang w:eastAsia="lt-LT"/>
        </w:rPr>
        <w:t>nerezekuotinos</w:t>
      </w:r>
      <w:proofErr w:type="spellEnd"/>
      <w:r w:rsidRPr="0011320F">
        <w:rPr>
          <w:rFonts w:ascii="Times New Roman" w:hAnsi="Times New Roman"/>
          <w:sz w:val="24"/>
          <w:szCs w:val="24"/>
          <w:lang w:eastAsia="lt-LT"/>
        </w:rPr>
        <w:t xml:space="preserve"> stemplės</w:t>
      </w:r>
      <w:r>
        <w:rPr>
          <w:rFonts w:ascii="Times New Roman" w:hAnsi="Times New Roman"/>
          <w:sz w:val="24"/>
          <w:szCs w:val="24"/>
          <w:lang w:eastAsia="lt-LT"/>
        </w:rPr>
        <w:t xml:space="preserve"> plokščiųjų ląstelių</w:t>
      </w:r>
      <w:r w:rsidRPr="0011320F">
        <w:rPr>
          <w:rFonts w:ascii="Times New Roman" w:hAnsi="Times New Roman"/>
          <w:sz w:val="24"/>
          <w:szCs w:val="24"/>
          <w:lang w:eastAsia="lt-LT"/>
        </w:rPr>
        <w:t xml:space="preserve"> karcinomos pirmaeiliam gydymui geros funkcinės būklės (ECOG 0 ar 1) suaugusiesiems, kurių navikai </w:t>
      </w:r>
      <w:proofErr w:type="spellStart"/>
      <w:r w:rsidRPr="0011320F">
        <w:rPr>
          <w:rFonts w:ascii="Times New Roman" w:hAnsi="Times New Roman"/>
          <w:sz w:val="24"/>
          <w:szCs w:val="24"/>
          <w:lang w:eastAsia="lt-LT"/>
        </w:rPr>
        <w:t>ekspresuoja</w:t>
      </w:r>
      <w:proofErr w:type="spellEnd"/>
      <w:r w:rsidRPr="0011320F">
        <w:rPr>
          <w:rFonts w:ascii="Times New Roman" w:hAnsi="Times New Roman"/>
          <w:sz w:val="24"/>
          <w:szCs w:val="24"/>
          <w:lang w:eastAsia="lt-LT"/>
        </w:rPr>
        <w:t xml:space="preserve"> PD-L</w:t>
      </w:r>
      <w:r>
        <w:rPr>
          <w:rFonts w:ascii="Times New Roman" w:hAnsi="Times New Roman"/>
          <w:sz w:val="24"/>
          <w:szCs w:val="24"/>
          <w:lang w:eastAsia="lt-LT"/>
        </w:rPr>
        <w:t xml:space="preserve">1 </w:t>
      </w:r>
      <w:r w:rsidRPr="0011320F">
        <w:rPr>
          <w:rFonts w:ascii="Times New Roman" w:hAnsi="Times New Roman"/>
          <w:sz w:val="24"/>
          <w:szCs w:val="24"/>
          <w:lang w:eastAsia="lt-LT"/>
        </w:rPr>
        <w:t>ir</w:t>
      </w:r>
      <w:r>
        <w:rPr>
          <w:rFonts w:ascii="Times New Roman" w:hAnsi="Times New Roman"/>
          <w:sz w:val="24"/>
          <w:szCs w:val="24"/>
          <w:lang w:eastAsia="lt-LT"/>
        </w:rPr>
        <w:t xml:space="preserve"> </w:t>
      </w:r>
      <w:r w:rsidRPr="00A903F0">
        <w:rPr>
          <w:rFonts w:ascii="Times New Roman" w:hAnsi="Times New Roman"/>
          <w:sz w:val="24"/>
          <w:szCs w:val="24"/>
          <w:lang w:eastAsia="lt-LT"/>
        </w:rPr>
        <w:t>PD-L1 raiška yra ≥ 1 %</w:t>
      </w:r>
      <w:r w:rsidRPr="0011320F">
        <w:rPr>
          <w:rFonts w:ascii="Times New Roman" w:hAnsi="Times New Roman"/>
          <w:sz w:val="24"/>
          <w:szCs w:val="24"/>
          <w:lang w:eastAsia="lt-LT"/>
        </w:rPr>
        <w:t>. Gydymas tęsiamas iki nepriimtino toksinio poveikio atsiradimo, ligos progresavimo arba planuoto gydymo užbaigimo.</w:t>
      </w:r>
    </w:p>
    <w:p w14:paraId="7CDFF220" w14:textId="406FD17D" w:rsidR="000723FF" w:rsidRPr="002D07FD" w:rsidRDefault="000723FF" w:rsidP="00824B92">
      <w:pPr>
        <w:rPr>
          <w:b/>
          <w:bCs/>
          <w:caps/>
        </w:rPr>
      </w:pPr>
    </w:p>
    <w:sectPr w:rsidR="000723FF" w:rsidRPr="002D07FD"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88FC" w14:textId="77777777" w:rsidR="00610AC2" w:rsidRDefault="00610AC2">
      <w:r>
        <w:separator/>
      </w:r>
    </w:p>
  </w:endnote>
  <w:endnote w:type="continuationSeparator" w:id="0">
    <w:p w14:paraId="354CA75D" w14:textId="77777777" w:rsidR="00610AC2" w:rsidRDefault="0061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EBB9" w14:textId="77777777" w:rsidR="00610AC2" w:rsidRDefault="00610AC2">
      <w:r>
        <w:separator/>
      </w:r>
    </w:p>
  </w:footnote>
  <w:footnote w:type="continuationSeparator" w:id="0">
    <w:p w14:paraId="580228CA" w14:textId="77777777" w:rsidR="00610AC2" w:rsidRDefault="0061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736674">
    <w:abstractNumId w:val="6"/>
  </w:num>
  <w:num w:numId="2" w16cid:durableId="1943757165">
    <w:abstractNumId w:val="1"/>
  </w:num>
  <w:num w:numId="3" w16cid:durableId="2040665031">
    <w:abstractNumId w:val="8"/>
  </w:num>
  <w:num w:numId="4" w16cid:durableId="1337807127">
    <w:abstractNumId w:val="7"/>
  </w:num>
  <w:num w:numId="5" w16cid:durableId="1691370625">
    <w:abstractNumId w:val="5"/>
  </w:num>
  <w:num w:numId="6" w16cid:durableId="2077778526">
    <w:abstractNumId w:val="4"/>
  </w:num>
  <w:num w:numId="7" w16cid:durableId="1046686285">
    <w:abstractNumId w:val="3"/>
  </w:num>
  <w:num w:numId="8" w16cid:durableId="1836648755">
    <w:abstractNumId w:val="12"/>
  </w:num>
  <w:num w:numId="9" w16cid:durableId="380633383">
    <w:abstractNumId w:val="0"/>
  </w:num>
  <w:num w:numId="10" w16cid:durableId="683364656">
    <w:abstractNumId w:val="9"/>
  </w:num>
  <w:num w:numId="11" w16cid:durableId="258833070">
    <w:abstractNumId w:val="11"/>
  </w:num>
  <w:num w:numId="12" w16cid:durableId="556283739">
    <w:abstractNumId w:val="2"/>
  </w:num>
  <w:num w:numId="13" w16cid:durableId="1808358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6F32"/>
    <w:rsid w:val="000203E1"/>
    <w:rsid w:val="0002686C"/>
    <w:rsid w:val="00031D0E"/>
    <w:rsid w:val="000337E6"/>
    <w:rsid w:val="0003402E"/>
    <w:rsid w:val="00034EAE"/>
    <w:rsid w:val="00042924"/>
    <w:rsid w:val="00045709"/>
    <w:rsid w:val="00047056"/>
    <w:rsid w:val="00053975"/>
    <w:rsid w:val="00057A2B"/>
    <w:rsid w:val="000606BE"/>
    <w:rsid w:val="000723FF"/>
    <w:rsid w:val="000736B8"/>
    <w:rsid w:val="000770DE"/>
    <w:rsid w:val="000818E9"/>
    <w:rsid w:val="0008190F"/>
    <w:rsid w:val="00081D9C"/>
    <w:rsid w:val="00082907"/>
    <w:rsid w:val="0008378D"/>
    <w:rsid w:val="000908A5"/>
    <w:rsid w:val="0009140B"/>
    <w:rsid w:val="00092805"/>
    <w:rsid w:val="000B1225"/>
    <w:rsid w:val="000C454C"/>
    <w:rsid w:val="000D5038"/>
    <w:rsid w:val="000E29D4"/>
    <w:rsid w:val="000F0099"/>
    <w:rsid w:val="000F2662"/>
    <w:rsid w:val="000F3540"/>
    <w:rsid w:val="00100491"/>
    <w:rsid w:val="0010360E"/>
    <w:rsid w:val="00104E2E"/>
    <w:rsid w:val="00107287"/>
    <w:rsid w:val="00117406"/>
    <w:rsid w:val="00121EF0"/>
    <w:rsid w:val="00124A9E"/>
    <w:rsid w:val="00130703"/>
    <w:rsid w:val="0013153F"/>
    <w:rsid w:val="001408B8"/>
    <w:rsid w:val="001478D2"/>
    <w:rsid w:val="001517E2"/>
    <w:rsid w:val="001521D9"/>
    <w:rsid w:val="001554E2"/>
    <w:rsid w:val="00163742"/>
    <w:rsid w:val="00164146"/>
    <w:rsid w:val="00164D64"/>
    <w:rsid w:val="0017369C"/>
    <w:rsid w:val="00175D57"/>
    <w:rsid w:val="00180C39"/>
    <w:rsid w:val="00180D96"/>
    <w:rsid w:val="00184BD3"/>
    <w:rsid w:val="00184F42"/>
    <w:rsid w:val="001921F3"/>
    <w:rsid w:val="001A5428"/>
    <w:rsid w:val="001B3C5B"/>
    <w:rsid w:val="001C0E11"/>
    <w:rsid w:val="001D1DCA"/>
    <w:rsid w:val="001D5B91"/>
    <w:rsid w:val="001D746F"/>
    <w:rsid w:val="001E4BBB"/>
    <w:rsid w:val="001E6304"/>
    <w:rsid w:val="0020381E"/>
    <w:rsid w:val="00213471"/>
    <w:rsid w:val="00215906"/>
    <w:rsid w:val="002168E9"/>
    <w:rsid w:val="00233DE7"/>
    <w:rsid w:val="00241CD8"/>
    <w:rsid w:val="00244B09"/>
    <w:rsid w:val="002519CB"/>
    <w:rsid w:val="0025697F"/>
    <w:rsid w:val="00260258"/>
    <w:rsid w:val="0026519C"/>
    <w:rsid w:val="0026588E"/>
    <w:rsid w:val="00272428"/>
    <w:rsid w:val="00272948"/>
    <w:rsid w:val="002736FC"/>
    <w:rsid w:val="00274017"/>
    <w:rsid w:val="00283E59"/>
    <w:rsid w:val="00292392"/>
    <w:rsid w:val="002946C7"/>
    <w:rsid w:val="00296C08"/>
    <w:rsid w:val="002B3CC1"/>
    <w:rsid w:val="002C09E0"/>
    <w:rsid w:val="002C1BB1"/>
    <w:rsid w:val="002C2786"/>
    <w:rsid w:val="002C3A10"/>
    <w:rsid w:val="002C4A90"/>
    <w:rsid w:val="002C4ED5"/>
    <w:rsid w:val="002D02EF"/>
    <w:rsid w:val="002D07FD"/>
    <w:rsid w:val="002E0702"/>
    <w:rsid w:val="002E57AD"/>
    <w:rsid w:val="002E6F80"/>
    <w:rsid w:val="002F0E4F"/>
    <w:rsid w:val="002F1053"/>
    <w:rsid w:val="0030069A"/>
    <w:rsid w:val="00314816"/>
    <w:rsid w:val="00317B0E"/>
    <w:rsid w:val="003450D7"/>
    <w:rsid w:val="00347FAA"/>
    <w:rsid w:val="0035172D"/>
    <w:rsid w:val="0036187D"/>
    <w:rsid w:val="00367EDB"/>
    <w:rsid w:val="0037543E"/>
    <w:rsid w:val="00381024"/>
    <w:rsid w:val="00386307"/>
    <w:rsid w:val="003874DE"/>
    <w:rsid w:val="00393E9F"/>
    <w:rsid w:val="0039696E"/>
    <w:rsid w:val="003B211A"/>
    <w:rsid w:val="003C141F"/>
    <w:rsid w:val="003C42D4"/>
    <w:rsid w:val="003C6B0E"/>
    <w:rsid w:val="003C7257"/>
    <w:rsid w:val="003C7E35"/>
    <w:rsid w:val="003D1E99"/>
    <w:rsid w:val="003D6208"/>
    <w:rsid w:val="00404E8A"/>
    <w:rsid w:val="0040622F"/>
    <w:rsid w:val="00413F24"/>
    <w:rsid w:val="00422853"/>
    <w:rsid w:val="00423160"/>
    <w:rsid w:val="00434D0C"/>
    <w:rsid w:val="00453862"/>
    <w:rsid w:val="0045469B"/>
    <w:rsid w:val="00461338"/>
    <w:rsid w:val="004677DB"/>
    <w:rsid w:val="00476256"/>
    <w:rsid w:val="00483C29"/>
    <w:rsid w:val="0048630F"/>
    <w:rsid w:val="0048680D"/>
    <w:rsid w:val="004947A1"/>
    <w:rsid w:val="0049482A"/>
    <w:rsid w:val="0049758D"/>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001B"/>
    <w:rsid w:val="00534E11"/>
    <w:rsid w:val="005378D8"/>
    <w:rsid w:val="005400D9"/>
    <w:rsid w:val="005476A4"/>
    <w:rsid w:val="0055019B"/>
    <w:rsid w:val="00556E63"/>
    <w:rsid w:val="005601A4"/>
    <w:rsid w:val="00566DBB"/>
    <w:rsid w:val="00571D03"/>
    <w:rsid w:val="005767DB"/>
    <w:rsid w:val="005815E6"/>
    <w:rsid w:val="0058220E"/>
    <w:rsid w:val="0058712F"/>
    <w:rsid w:val="005976CE"/>
    <w:rsid w:val="005A23D4"/>
    <w:rsid w:val="005A2D1E"/>
    <w:rsid w:val="005A4698"/>
    <w:rsid w:val="005B0F51"/>
    <w:rsid w:val="005B3756"/>
    <w:rsid w:val="005C493F"/>
    <w:rsid w:val="005C6BF7"/>
    <w:rsid w:val="005C71BF"/>
    <w:rsid w:val="005D002C"/>
    <w:rsid w:val="005D30E1"/>
    <w:rsid w:val="005D6555"/>
    <w:rsid w:val="005D7BDF"/>
    <w:rsid w:val="005E4870"/>
    <w:rsid w:val="005F71D9"/>
    <w:rsid w:val="005F7602"/>
    <w:rsid w:val="006062BE"/>
    <w:rsid w:val="00610AC2"/>
    <w:rsid w:val="00613143"/>
    <w:rsid w:val="00613501"/>
    <w:rsid w:val="0061611B"/>
    <w:rsid w:val="00616514"/>
    <w:rsid w:val="006166A8"/>
    <w:rsid w:val="006174A1"/>
    <w:rsid w:val="00621D6C"/>
    <w:rsid w:val="006334AA"/>
    <w:rsid w:val="00633B49"/>
    <w:rsid w:val="0064297F"/>
    <w:rsid w:val="00645102"/>
    <w:rsid w:val="00646CF3"/>
    <w:rsid w:val="00653D11"/>
    <w:rsid w:val="00662983"/>
    <w:rsid w:val="0066796B"/>
    <w:rsid w:val="0067524F"/>
    <w:rsid w:val="00680D77"/>
    <w:rsid w:val="006834D3"/>
    <w:rsid w:val="00687DC7"/>
    <w:rsid w:val="00692625"/>
    <w:rsid w:val="00695CD3"/>
    <w:rsid w:val="006A2B30"/>
    <w:rsid w:val="006A38B6"/>
    <w:rsid w:val="006B1987"/>
    <w:rsid w:val="006B5B71"/>
    <w:rsid w:val="006B5D3E"/>
    <w:rsid w:val="006B6CB0"/>
    <w:rsid w:val="006C2B64"/>
    <w:rsid w:val="006C6F33"/>
    <w:rsid w:val="006D1BF3"/>
    <w:rsid w:val="006D210F"/>
    <w:rsid w:val="006D3DD1"/>
    <w:rsid w:val="006D4C85"/>
    <w:rsid w:val="006D66AC"/>
    <w:rsid w:val="006E33F6"/>
    <w:rsid w:val="006F1251"/>
    <w:rsid w:val="006F1C23"/>
    <w:rsid w:val="006F7676"/>
    <w:rsid w:val="00702C18"/>
    <w:rsid w:val="00703166"/>
    <w:rsid w:val="007127F3"/>
    <w:rsid w:val="007301CF"/>
    <w:rsid w:val="007316FB"/>
    <w:rsid w:val="00737E2D"/>
    <w:rsid w:val="007424D5"/>
    <w:rsid w:val="00750A88"/>
    <w:rsid w:val="00751408"/>
    <w:rsid w:val="007523DD"/>
    <w:rsid w:val="00757B7E"/>
    <w:rsid w:val="007601F0"/>
    <w:rsid w:val="007656B2"/>
    <w:rsid w:val="0077016F"/>
    <w:rsid w:val="007713AD"/>
    <w:rsid w:val="00780484"/>
    <w:rsid w:val="00795DC5"/>
    <w:rsid w:val="00797153"/>
    <w:rsid w:val="007A21F7"/>
    <w:rsid w:val="007A2B68"/>
    <w:rsid w:val="007B0DDA"/>
    <w:rsid w:val="007B6CE3"/>
    <w:rsid w:val="007D0A79"/>
    <w:rsid w:val="007D3347"/>
    <w:rsid w:val="007D6E14"/>
    <w:rsid w:val="007D7F03"/>
    <w:rsid w:val="007E2C2F"/>
    <w:rsid w:val="007E5466"/>
    <w:rsid w:val="007F1949"/>
    <w:rsid w:val="007F2592"/>
    <w:rsid w:val="00800A08"/>
    <w:rsid w:val="0080146E"/>
    <w:rsid w:val="00817A84"/>
    <w:rsid w:val="008225A4"/>
    <w:rsid w:val="00824B92"/>
    <w:rsid w:val="00826D5E"/>
    <w:rsid w:val="00832013"/>
    <w:rsid w:val="00832DB7"/>
    <w:rsid w:val="00834732"/>
    <w:rsid w:val="008363DC"/>
    <w:rsid w:val="00843FB8"/>
    <w:rsid w:val="0085200C"/>
    <w:rsid w:val="00857C52"/>
    <w:rsid w:val="00860D5F"/>
    <w:rsid w:val="00876EF8"/>
    <w:rsid w:val="00880A44"/>
    <w:rsid w:val="0088345E"/>
    <w:rsid w:val="0088656F"/>
    <w:rsid w:val="00891EF6"/>
    <w:rsid w:val="008A0303"/>
    <w:rsid w:val="008A5FDD"/>
    <w:rsid w:val="008C01DC"/>
    <w:rsid w:val="008C3947"/>
    <w:rsid w:val="008D43F6"/>
    <w:rsid w:val="008E473B"/>
    <w:rsid w:val="008E51A6"/>
    <w:rsid w:val="008E7329"/>
    <w:rsid w:val="008F2ED5"/>
    <w:rsid w:val="008F60D4"/>
    <w:rsid w:val="009017F0"/>
    <w:rsid w:val="0092297E"/>
    <w:rsid w:val="00923651"/>
    <w:rsid w:val="00927B56"/>
    <w:rsid w:val="00931A54"/>
    <w:rsid w:val="009341BF"/>
    <w:rsid w:val="00935B3E"/>
    <w:rsid w:val="00937907"/>
    <w:rsid w:val="00941739"/>
    <w:rsid w:val="00951573"/>
    <w:rsid w:val="00963003"/>
    <w:rsid w:val="00966EEF"/>
    <w:rsid w:val="00971B28"/>
    <w:rsid w:val="00983471"/>
    <w:rsid w:val="009909AB"/>
    <w:rsid w:val="009A33BF"/>
    <w:rsid w:val="009A69EC"/>
    <w:rsid w:val="009B37DB"/>
    <w:rsid w:val="009C7A8C"/>
    <w:rsid w:val="009D23F9"/>
    <w:rsid w:val="009D4FA8"/>
    <w:rsid w:val="009E44AE"/>
    <w:rsid w:val="009E6CD6"/>
    <w:rsid w:val="009F4D66"/>
    <w:rsid w:val="009F6E2C"/>
    <w:rsid w:val="00A00C3C"/>
    <w:rsid w:val="00A01091"/>
    <w:rsid w:val="00A04012"/>
    <w:rsid w:val="00A042B9"/>
    <w:rsid w:val="00A06DBB"/>
    <w:rsid w:val="00A22ADF"/>
    <w:rsid w:val="00A237C9"/>
    <w:rsid w:val="00A31E86"/>
    <w:rsid w:val="00A37CEE"/>
    <w:rsid w:val="00A54D87"/>
    <w:rsid w:val="00A5553C"/>
    <w:rsid w:val="00A57959"/>
    <w:rsid w:val="00A676DD"/>
    <w:rsid w:val="00A701C9"/>
    <w:rsid w:val="00A81785"/>
    <w:rsid w:val="00A84803"/>
    <w:rsid w:val="00A84C51"/>
    <w:rsid w:val="00A86F2B"/>
    <w:rsid w:val="00A91366"/>
    <w:rsid w:val="00A92F91"/>
    <w:rsid w:val="00A93AA6"/>
    <w:rsid w:val="00AA4E48"/>
    <w:rsid w:val="00AA6202"/>
    <w:rsid w:val="00AA7B57"/>
    <w:rsid w:val="00AB055D"/>
    <w:rsid w:val="00AB2806"/>
    <w:rsid w:val="00AB5053"/>
    <w:rsid w:val="00AB6C7B"/>
    <w:rsid w:val="00AC26FC"/>
    <w:rsid w:val="00AC4A99"/>
    <w:rsid w:val="00AC64D2"/>
    <w:rsid w:val="00AD02E7"/>
    <w:rsid w:val="00AE0FE8"/>
    <w:rsid w:val="00AE3B31"/>
    <w:rsid w:val="00AF60D5"/>
    <w:rsid w:val="00B00959"/>
    <w:rsid w:val="00B04415"/>
    <w:rsid w:val="00B06509"/>
    <w:rsid w:val="00B11D60"/>
    <w:rsid w:val="00B13D65"/>
    <w:rsid w:val="00B21805"/>
    <w:rsid w:val="00B24674"/>
    <w:rsid w:val="00B3072E"/>
    <w:rsid w:val="00B33E91"/>
    <w:rsid w:val="00B33FA8"/>
    <w:rsid w:val="00B36E15"/>
    <w:rsid w:val="00B37245"/>
    <w:rsid w:val="00B4017A"/>
    <w:rsid w:val="00B4468D"/>
    <w:rsid w:val="00B71C72"/>
    <w:rsid w:val="00B72A0A"/>
    <w:rsid w:val="00B81E92"/>
    <w:rsid w:val="00B908D7"/>
    <w:rsid w:val="00B935E8"/>
    <w:rsid w:val="00B93B30"/>
    <w:rsid w:val="00B94CB5"/>
    <w:rsid w:val="00BA0DD9"/>
    <w:rsid w:val="00BA5DBC"/>
    <w:rsid w:val="00BA6584"/>
    <w:rsid w:val="00BB461E"/>
    <w:rsid w:val="00BB6312"/>
    <w:rsid w:val="00BC14F9"/>
    <w:rsid w:val="00BC22A0"/>
    <w:rsid w:val="00BC4D06"/>
    <w:rsid w:val="00BD585E"/>
    <w:rsid w:val="00BD6919"/>
    <w:rsid w:val="00BE1EA7"/>
    <w:rsid w:val="00BE7489"/>
    <w:rsid w:val="00BF2E0D"/>
    <w:rsid w:val="00BF3927"/>
    <w:rsid w:val="00BF3F8B"/>
    <w:rsid w:val="00BF76DA"/>
    <w:rsid w:val="00C07C7B"/>
    <w:rsid w:val="00C16245"/>
    <w:rsid w:val="00C1763F"/>
    <w:rsid w:val="00C22DC5"/>
    <w:rsid w:val="00C24479"/>
    <w:rsid w:val="00C273F2"/>
    <w:rsid w:val="00C37B53"/>
    <w:rsid w:val="00C434EB"/>
    <w:rsid w:val="00C517D2"/>
    <w:rsid w:val="00C5772E"/>
    <w:rsid w:val="00C62AD3"/>
    <w:rsid w:val="00C62B36"/>
    <w:rsid w:val="00C7012C"/>
    <w:rsid w:val="00C712EA"/>
    <w:rsid w:val="00C80E90"/>
    <w:rsid w:val="00CA217D"/>
    <w:rsid w:val="00CB7AF2"/>
    <w:rsid w:val="00CC09D4"/>
    <w:rsid w:val="00CC668D"/>
    <w:rsid w:val="00CC7832"/>
    <w:rsid w:val="00CD488E"/>
    <w:rsid w:val="00CF0C1C"/>
    <w:rsid w:val="00CF27FD"/>
    <w:rsid w:val="00CF5F12"/>
    <w:rsid w:val="00D00D8F"/>
    <w:rsid w:val="00D0272E"/>
    <w:rsid w:val="00D05A66"/>
    <w:rsid w:val="00D118FB"/>
    <w:rsid w:val="00D21F3A"/>
    <w:rsid w:val="00D23808"/>
    <w:rsid w:val="00D3016A"/>
    <w:rsid w:val="00D417D2"/>
    <w:rsid w:val="00D42960"/>
    <w:rsid w:val="00D43BD7"/>
    <w:rsid w:val="00D4485B"/>
    <w:rsid w:val="00D46CCD"/>
    <w:rsid w:val="00D4708D"/>
    <w:rsid w:val="00D4744C"/>
    <w:rsid w:val="00D5069D"/>
    <w:rsid w:val="00D521DE"/>
    <w:rsid w:val="00D5470B"/>
    <w:rsid w:val="00D63068"/>
    <w:rsid w:val="00D64441"/>
    <w:rsid w:val="00D6498C"/>
    <w:rsid w:val="00D760F7"/>
    <w:rsid w:val="00D76A70"/>
    <w:rsid w:val="00D8151D"/>
    <w:rsid w:val="00D83182"/>
    <w:rsid w:val="00D8521E"/>
    <w:rsid w:val="00D9291C"/>
    <w:rsid w:val="00D93A97"/>
    <w:rsid w:val="00DB1F64"/>
    <w:rsid w:val="00DC195C"/>
    <w:rsid w:val="00DC2F53"/>
    <w:rsid w:val="00DC5BAC"/>
    <w:rsid w:val="00DC6816"/>
    <w:rsid w:val="00DC76C2"/>
    <w:rsid w:val="00DD1CF2"/>
    <w:rsid w:val="00DD72FA"/>
    <w:rsid w:val="00DE4484"/>
    <w:rsid w:val="00DF380D"/>
    <w:rsid w:val="00DF3A10"/>
    <w:rsid w:val="00DF41B7"/>
    <w:rsid w:val="00DF4A4A"/>
    <w:rsid w:val="00DF583C"/>
    <w:rsid w:val="00E03C3F"/>
    <w:rsid w:val="00E06FD7"/>
    <w:rsid w:val="00E07417"/>
    <w:rsid w:val="00E15A7F"/>
    <w:rsid w:val="00E24D45"/>
    <w:rsid w:val="00E300BD"/>
    <w:rsid w:val="00E33DB8"/>
    <w:rsid w:val="00E33EFF"/>
    <w:rsid w:val="00E34387"/>
    <w:rsid w:val="00E348BA"/>
    <w:rsid w:val="00E36132"/>
    <w:rsid w:val="00E369FE"/>
    <w:rsid w:val="00E37C6F"/>
    <w:rsid w:val="00E475F8"/>
    <w:rsid w:val="00E5102E"/>
    <w:rsid w:val="00E549A3"/>
    <w:rsid w:val="00E5721C"/>
    <w:rsid w:val="00E619C6"/>
    <w:rsid w:val="00E745A1"/>
    <w:rsid w:val="00E81529"/>
    <w:rsid w:val="00E83A13"/>
    <w:rsid w:val="00EB6FC5"/>
    <w:rsid w:val="00EC2356"/>
    <w:rsid w:val="00EC2582"/>
    <w:rsid w:val="00EC337C"/>
    <w:rsid w:val="00ED0CFF"/>
    <w:rsid w:val="00ED1002"/>
    <w:rsid w:val="00ED2708"/>
    <w:rsid w:val="00ED31D2"/>
    <w:rsid w:val="00EE0EAC"/>
    <w:rsid w:val="00EE3322"/>
    <w:rsid w:val="00EE33CB"/>
    <w:rsid w:val="00F0061A"/>
    <w:rsid w:val="00F02834"/>
    <w:rsid w:val="00F04EEB"/>
    <w:rsid w:val="00F05467"/>
    <w:rsid w:val="00F055D2"/>
    <w:rsid w:val="00F07CD7"/>
    <w:rsid w:val="00F127E9"/>
    <w:rsid w:val="00F14B5D"/>
    <w:rsid w:val="00F167B5"/>
    <w:rsid w:val="00F259FC"/>
    <w:rsid w:val="00F36972"/>
    <w:rsid w:val="00F42426"/>
    <w:rsid w:val="00F42E2E"/>
    <w:rsid w:val="00F456BC"/>
    <w:rsid w:val="00F50666"/>
    <w:rsid w:val="00F65CE3"/>
    <w:rsid w:val="00F70731"/>
    <w:rsid w:val="00F70C9E"/>
    <w:rsid w:val="00F74A74"/>
    <w:rsid w:val="00F7572C"/>
    <w:rsid w:val="00F8382C"/>
    <w:rsid w:val="00F84245"/>
    <w:rsid w:val="00F855D7"/>
    <w:rsid w:val="00F92035"/>
    <w:rsid w:val="00F92748"/>
    <w:rsid w:val="00F956A0"/>
    <w:rsid w:val="00FA4169"/>
    <w:rsid w:val="00FB0D41"/>
    <w:rsid w:val="00FB2030"/>
    <w:rsid w:val="00FC22D9"/>
    <w:rsid w:val="00FC3102"/>
    <w:rsid w:val="00FD0E46"/>
    <w:rsid w:val="00FD182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AE4FCFBD-A937-4C5D-A023-325FD527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Table Grid nm,Dossier table,Section 3- footnotes,Legemiddelverket 3,Summary Table,ASD Table,Key messages box,YHEC table,Lash Style Table,Tabellengitternetz 9pt,GW Pharma 2,Table Grid No Line"/>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List Paragraph CCT minutes,Bullet 1,Section 5,1. Bullet Blank,Bulleted - 2,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List Paragraph CCT minutes Char,Bullet 1 Char,Section 5 Char,1. Bullet Blank Char"/>
    <w:link w:val="ListParagraph"/>
    <w:uiPriority w:val="34"/>
    <w:locked/>
    <w:rsid w:val="00016F32"/>
    <w:rPr>
      <w:sz w:val="24"/>
      <w:szCs w:val="24"/>
      <w:lang w:eastAsia="en-US"/>
    </w:rPr>
  </w:style>
  <w:style w:type="paragraph" w:customStyle="1" w:styleId="Tekstas">
    <w:name w:val="Tekstas"/>
    <w:basedOn w:val="Normal"/>
    <w:link w:val="TekstasChar"/>
    <w:qFormat/>
    <w:rsid w:val="00931A54"/>
    <w:pPr>
      <w:spacing w:after="120"/>
      <w:jc w:val="both"/>
    </w:pPr>
  </w:style>
  <w:style w:type="character" w:customStyle="1" w:styleId="TekstasChar">
    <w:name w:val="Tekstas Char"/>
    <w:link w:val="Tekstas"/>
    <w:locked/>
    <w:rsid w:val="00931A54"/>
    <w:rPr>
      <w:sz w:val="24"/>
      <w:szCs w:val="24"/>
      <w:lang w:eastAsia="en-US"/>
    </w:rPr>
  </w:style>
  <w:style w:type="character" w:styleId="Emphasis">
    <w:name w:val="Emphasis"/>
    <w:basedOn w:val="DefaultParagraphFont"/>
    <w:qFormat/>
    <w:rsid w:val="00AB6C7B"/>
    <w:rPr>
      <w:i/>
      <w:iCs/>
    </w:rPr>
  </w:style>
  <w:style w:type="table" w:customStyle="1" w:styleId="DossierTable1">
    <w:name w:val="Dossier Table1"/>
    <w:basedOn w:val="TableNormal"/>
    <w:next w:val="TableGrid"/>
    <w:rsid w:val="00AB6C7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4F9"/>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6CB46DD264044942D307E8C3417B9"/>
        <w:category>
          <w:name w:val="General"/>
          <w:gallery w:val="placeholder"/>
        </w:category>
        <w:types>
          <w:type w:val="bbPlcHdr"/>
        </w:types>
        <w:behaviors>
          <w:behavior w:val="content"/>
        </w:behaviors>
        <w:guid w:val="{9EBEAD4B-4595-4415-B78F-F293CE392B08}"/>
      </w:docPartPr>
      <w:docPartBody>
        <w:p w:rsidR="007F014A" w:rsidRDefault="00EF395F" w:rsidP="00EF395F">
          <w:pPr>
            <w:pStyle w:val="D566CB46DD264044942D307E8C3417B9"/>
          </w:pPr>
          <w:r>
            <w:rPr>
              <w:rStyle w:val="PlaceholderText"/>
            </w:rPr>
            <w:t>Click here to enter a date.</w:t>
          </w:r>
        </w:p>
      </w:docPartBody>
    </w:docPart>
    <w:docPart>
      <w:docPartPr>
        <w:name w:val="CAD47E99CBA34FAB92168F24541318B3"/>
        <w:category>
          <w:name w:val="Bendrosios nuostatos"/>
          <w:gallery w:val="placeholder"/>
        </w:category>
        <w:types>
          <w:type w:val="bbPlcHdr"/>
        </w:types>
        <w:behaviors>
          <w:behavior w:val="content"/>
        </w:behaviors>
        <w:guid w:val="{FB35625A-485E-4B01-A489-A25894A909CC}"/>
      </w:docPartPr>
      <w:docPartBody>
        <w:p w:rsidR="002C75FD" w:rsidRDefault="002C75FD" w:rsidP="002C75FD">
          <w:pPr>
            <w:pStyle w:val="CAD47E99CBA34FAB92168F24541318B3"/>
          </w:pPr>
          <w:r>
            <w:rPr>
              <w:rStyle w:val="PlaceholderText"/>
            </w:rPr>
            <w:t>Click here to enter a date.</w:t>
          </w:r>
        </w:p>
      </w:docPartBody>
    </w:docPart>
    <w:docPart>
      <w:docPartPr>
        <w:name w:val="C634BEDEE98A45C48FDD6B2761C32526"/>
        <w:category>
          <w:name w:val="Bendrosios nuostatos"/>
          <w:gallery w:val="placeholder"/>
        </w:category>
        <w:types>
          <w:type w:val="bbPlcHdr"/>
        </w:types>
        <w:behaviors>
          <w:behavior w:val="content"/>
        </w:behaviors>
        <w:guid w:val="{14D4580B-F9EE-4C89-8E34-58A50440236B}"/>
      </w:docPartPr>
      <w:docPartBody>
        <w:p w:rsidR="002C75FD" w:rsidRDefault="002C75FD" w:rsidP="002C75FD">
          <w:pPr>
            <w:pStyle w:val="C634BEDEE98A45C48FDD6B2761C32526"/>
          </w:pPr>
          <w:r>
            <w:rPr>
              <w:rStyle w:val="PlaceholderText"/>
            </w:rPr>
            <w:t>Click here to enter a date.</w:t>
          </w:r>
        </w:p>
      </w:docPartBody>
    </w:docPart>
    <w:docPart>
      <w:docPartPr>
        <w:name w:val="821BD4857433446AA2725B89DA9EDE84"/>
        <w:category>
          <w:name w:val="Bendrosios nuostatos"/>
          <w:gallery w:val="placeholder"/>
        </w:category>
        <w:types>
          <w:type w:val="bbPlcHdr"/>
        </w:types>
        <w:behaviors>
          <w:behavior w:val="content"/>
        </w:behaviors>
        <w:guid w:val="{E1635A1F-8D69-40C1-9C8F-EA63987FFE3F}"/>
      </w:docPartPr>
      <w:docPartBody>
        <w:p w:rsidR="002C75FD" w:rsidRDefault="002C75FD" w:rsidP="002C75FD">
          <w:pPr>
            <w:pStyle w:val="821BD4857433446AA2725B89DA9EDE84"/>
          </w:pPr>
          <w:r>
            <w:rPr>
              <w:rStyle w:val="PlaceholderText"/>
            </w:rPr>
            <w:t>Click here to enter a date.</w:t>
          </w:r>
        </w:p>
      </w:docPartBody>
    </w:docPart>
    <w:docPart>
      <w:docPartPr>
        <w:name w:val="F34835D8F42B490C8929036690EFDD57"/>
        <w:category>
          <w:name w:val="Bendrosios nuostatos"/>
          <w:gallery w:val="placeholder"/>
        </w:category>
        <w:types>
          <w:type w:val="bbPlcHdr"/>
        </w:types>
        <w:behaviors>
          <w:behavior w:val="content"/>
        </w:behaviors>
        <w:guid w:val="{B24C35F6-90FF-46D4-A061-A0353190498E}"/>
      </w:docPartPr>
      <w:docPartBody>
        <w:p w:rsidR="002C75FD" w:rsidRDefault="002C75FD" w:rsidP="002C75FD">
          <w:pPr>
            <w:pStyle w:val="F34835D8F42B490C8929036690EFDD5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056"/>
    <w:rsid w:val="00061157"/>
    <w:rsid w:val="00065284"/>
    <w:rsid w:val="000937FE"/>
    <w:rsid w:val="000A559A"/>
    <w:rsid w:val="000D24D4"/>
    <w:rsid w:val="001C35A9"/>
    <w:rsid w:val="001C3BD0"/>
    <w:rsid w:val="001D1DCA"/>
    <w:rsid w:val="002168E9"/>
    <w:rsid w:val="00237556"/>
    <w:rsid w:val="00274017"/>
    <w:rsid w:val="002C75FD"/>
    <w:rsid w:val="003450D7"/>
    <w:rsid w:val="0039303B"/>
    <w:rsid w:val="003A0E4C"/>
    <w:rsid w:val="004144A3"/>
    <w:rsid w:val="004160E7"/>
    <w:rsid w:val="004416C6"/>
    <w:rsid w:val="00456E96"/>
    <w:rsid w:val="0048680D"/>
    <w:rsid w:val="004F5AB2"/>
    <w:rsid w:val="005074B9"/>
    <w:rsid w:val="0053001B"/>
    <w:rsid w:val="005C62E5"/>
    <w:rsid w:val="005E40DD"/>
    <w:rsid w:val="006328CD"/>
    <w:rsid w:val="00652390"/>
    <w:rsid w:val="006D210F"/>
    <w:rsid w:val="007219C1"/>
    <w:rsid w:val="00753462"/>
    <w:rsid w:val="00772325"/>
    <w:rsid w:val="007A2FE0"/>
    <w:rsid w:val="007C6D1D"/>
    <w:rsid w:val="007C76AC"/>
    <w:rsid w:val="007D7F03"/>
    <w:rsid w:val="007F014A"/>
    <w:rsid w:val="008526F7"/>
    <w:rsid w:val="008B72ED"/>
    <w:rsid w:val="008D5053"/>
    <w:rsid w:val="0090074D"/>
    <w:rsid w:val="009017F0"/>
    <w:rsid w:val="009A33BF"/>
    <w:rsid w:val="009B3BF0"/>
    <w:rsid w:val="009D5E5E"/>
    <w:rsid w:val="009F1BB4"/>
    <w:rsid w:val="00A04FAD"/>
    <w:rsid w:val="00A237C9"/>
    <w:rsid w:val="00A37CEE"/>
    <w:rsid w:val="00A92BBA"/>
    <w:rsid w:val="00AB6ED4"/>
    <w:rsid w:val="00AE3B31"/>
    <w:rsid w:val="00B14210"/>
    <w:rsid w:val="00B22ED6"/>
    <w:rsid w:val="00B23DC0"/>
    <w:rsid w:val="00B96656"/>
    <w:rsid w:val="00BE0C79"/>
    <w:rsid w:val="00BE2A5B"/>
    <w:rsid w:val="00C2401D"/>
    <w:rsid w:val="00C250D7"/>
    <w:rsid w:val="00C53A68"/>
    <w:rsid w:val="00C62AD3"/>
    <w:rsid w:val="00CA5BB4"/>
    <w:rsid w:val="00CB4BD1"/>
    <w:rsid w:val="00CD139C"/>
    <w:rsid w:val="00CE2DA9"/>
    <w:rsid w:val="00CE44BE"/>
    <w:rsid w:val="00D0142D"/>
    <w:rsid w:val="00D4356B"/>
    <w:rsid w:val="00D7162F"/>
    <w:rsid w:val="00D90870"/>
    <w:rsid w:val="00DB4DB5"/>
    <w:rsid w:val="00DE4D10"/>
    <w:rsid w:val="00E44A86"/>
    <w:rsid w:val="00E522EB"/>
    <w:rsid w:val="00E54BDA"/>
    <w:rsid w:val="00E60827"/>
    <w:rsid w:val="00EF395F"/>
    <w:rsid w:val="00EF6E0C"/>
    <w:rsid w:val="00F02A51"/>
    <w:rsid w:val="00F55028"/>
    <w:rsid w:val="00F77BEF"/>
    <w:rsid w:val="00F84245"/>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75FD"/>
    <w:rPr>
      <w:color w:val="808080"/>
    </w:rPr>
  </w:style>
  <w:style w:type="paragraph" w:customStyle="1" w:styleId="D566CB46DD264044942D307E8C3417B9">
    <w:name w:val="D566CB46DD264044942D307E8C3417B9"/>
    <w:rsid w:val="00EF395F"/>
    <w:pPr>
      <w:spacing w:line="278" w:lineRule="auto"/>
    </w:pPr>
    <w:rPr>
      <w:kern w:val="2"/>
      <w:sz w:val="24"/>
      <w:szCs w:val="24"/>
      <w:lang w:val="en-GB" w:eastAsia="en-GB"/>
      <w14:ligatures w14:val="standardContextual"/>
    </w:rPr>
  </w:style>
  <w:style w:type="paragraph" w:customStyle="1" w:styleId="CAD47E99CBA34FAB92168F24541318B3">
    <w:name w:val="CAD47E99CBA34FAB92168F24541318B3"/>
    <w:rsid w:val="002C75FD"/>
    <w:pPr>
      <w:spacing w:line="278" w:lineRule="auto"/>
    </w:pPr>
    <w:rPr>
      <w:kern w:val="2"/>
      <w:sz w:val="24"/>
      <w:szCs w:val="24"/>
      <w14:ligatures w14:val="standardContextual"/>
    </w:rPr>
  </w:style>
  <w:style w:type="paragraph" w:customStyle="1" w:styleId="C634BEDEE98A45C48FDD6B2761C32526">
    <w:name w:val="C634BEDEE98A45C48FDD6B2761C32526"/>
    <w:rsid w:val="002C75FD"/>
    <w:pPr>
      <w:spacing w:line="278" w:lineRule="auto"/>
    </w:pPr>
    <w:rPr>
      <w:kern w:val="2"/>
      <w:sz w:val="24"/>
      <w:szCs w:val="24"/>
      <w14:ligatures w14:val="standardContextual"/>
    </w:rPr>
  </w:style>
  <w:style w:type="paragraph" w:customStyle="1" w:styleId="821BD4857433446AA2725B89DA9EDE84">
    <w:name w:val="821BD4857433446AA2725B89DA9EDE84"/>
    <w:rsid w:val="002C75FD"/>
    <w:pPr>
      <w:spacing w:line="278" w:lineRule="auto"/>
    </w:pPr>
    <w:rPr>
      <w:kern w:val="2"/>
      <w:sz w:val="24"/>
      <w:szCs w:val="24"/>
      <w14:ligatures w14:val="standardContextual"/>
    </w:rPr>
  </w:style>
  <w:style w:type="paragraph" w:customStyle="1" w:styleId="F34835D8F42B490C8929036690EFDD57">
    <w:name w:val="F34835D8F42B490C8929036690EFDD57"/>
    <w:rsid w:val="002C75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5A73B-E126-4ADC-A578-EBC3D1DD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2136</Words>
  <Characters>15669</Characters>
  <Application>Microsoft Office Word</Application>
  <DocSecurity>0</DocSecurity>
  <Lines>130</Lines>
  <Paragraphs>35</Paragraphs>
  <ScaleCrop>false</ScaleCrop>
  <Company/>
  <LinksUpToDate>false</LinksUpToDate>
  <CharactersWithSpaces>17770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Armindas Varkala</cp:lastModifiedBy>
  <cp:revision>14</cp:revision>
  <dcterms:created xsi:type="dcterms:W3CDTF">2025-09-30T06:31:00Z</dcterms:created>
  <dcterms:modified xsi:type="dcterms:W3CDTF">2025-10-07T14:49:00Z</dcterms:modified>
</cp:coreProperties>
</file>