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5EB3" w14:textId="1955ADE3" w:rsidR="005F7602" w:rsidRPr="00733335" w:rsidRDefault="005F7602" w:rsidP="002946C7">
      <w:pPr>
        <w:ind w:left="5529"/>
        <w:rPr>
          <w:lang w:val="en-US"/>
        </w:rPr>
      </w:pPr>
    </w:p>
    <w:p w14:paraId="12FA4B9E" w14:textId="77777777" w:rsidR="001B3C5B" w:rsidRPr="00E33EFF" w:rsidRDefault="001B3C5B" w:rsidP="001B3C5B">
      <w:pPr>
        <w:ind w:left="6096"/>
      </w:pPr>
      <w:r w:rsidRPr="00E33EFF">
        <w:t>Forma patvirtinta</w:t>
      </w:r>
    </w:p>
    <w:p w14:paraId="7206970B" w14:textId="70E9BD2E" w:rsidR="004C263A" w:rsidRPr="00E33EFF" w:rsidRDefault="001B3C5B" w:rsidP="001B3C5B">
      <w:pPr>
        <w:ind w:left="6096"/>
      </w:pPr>
      <w:r w:rsidRPr="00E33EFF">
        <w:t>Valstybinės vaistų kontrolės tarnybos prie Lietuvos Respublikos sveikatos apsaugos ministerijos viršininko 2021 m</w:t>
      </w:r>
      <w:r w:rsidR="004C263A" w:rsidRPr="00E33EFF">
        <w:t xml:space="preserve">. lapkričio 12 </w:t>
      </w:r>
      <w:r w:rsidRPr="00E33EFF">
        <w:t>d. įsakymu Nr.</w:t>
      </w:r>
      <w:r w:rsidR="004C263A" w:rsidRPr="00E33EFF">
        <w:t xml:space="preserve"> (1.72E)1A-1418</w:t>
      </w:r>
    </w:p>
    <w:p w14:paraId="5B219AA6" w14:textId="520B9136" w:rsidR="001B3C5B" w:rsidRPr="00E33EFF" w:rsidRDefault="004C263A" w:rsidP="001B3C5B">
      <w:pPr>
        <w:ind w:left="6096"/>
      </w:pPr>
      <w:r w:rsidRPr="00E33EFF">
        <w:t>(Valstybinės vaistų kontrolės tarnybos prie Lietuvos Respublikos sveikatos apsaugos ministerijos viršininko 2022 m.                         d. įsakymo Nr.                    redakcija)</w:t>
      </w:r>
    </w:p>
    <w:p w14:paraId="3336BD74" w14:textId="77777777" w:rsidR="001B3C5B" w:rsidRPr="00E33EFF" w:rsidRDefault="001B3C5B" w:rsidP="00FA4169"/>
    <w:p w14:paraId="77AFB67E" w14:textId="16397257" w:rsidR="00613501" w:rsidRPr="00E33EFF" w:rsidRDefault="002F0E4F" w:rsidP="003B211A">
      <w:pPr>
        <w:jc w:val="center"/>
        <w:rPr>
          <w:b/>
          <w:bCs/>
          <w:caps/>
        </w:rPr>
      </w:pPr>
      <w:r w:rsidRPr="00E33EFF">
        <w:rPr>
          <w:b/>
        </w:rPr>
        <w:t xml:space="preserve">REKOMENDACIJA DĖL VAISTINIO PREPARATO </w:t>
      </w:r>
      <w:r w:rsidRPr="00E33EFF">
        <w:rPr>
          <w:b/>
          <w:bCs/>
          <w:caps/>
        </w:rPr>
        <w:t>Lietuvos Respublikos Sveikatos apsaugos ministerijos vaistinių preparatų ir medicinos pagalbos priemonių kompensavimo komisijai</w:t>
      </w:r>
    </w:p>
    <w:p w14:paraId="34E4395D" w14:textId="15FB10DF" w:rsidR="00B13D65" w:rsidRPr="00E33EFF" w:rsidRDefault="00B13D65" w:rsidP="003B211A">
      <w:pPr>
        <w:jc w:val="center"/>
        <w:rPr>
          <w:b/>
        </w:rPr>
      </w:pPr>
    </w:p>
    <w:p w14:paraId="65A44031" w14:textId="00305340" w:rsidR="00CF4625" w:rsidRPr="00D05364" w:rsidRDefault="00AA2B55" w:rsidP="00CF4625">
      <w:pPr>
        <w:jc w:val="center"/>
        <w:rPr>
          <w:b/>
        </w:rPr>
      </w:pPr>
      <w:proofErr w:type="spellStart"/>
      <w:r w:rsidRPr="00AA2B55">
        <w:rPr>
          <w:b/>
        </w:rPr>
        <w:t>Kisqali</w:t>
      </w:r>
      <w:proofErr w:type="spellEnd"/>
      <w:r w:rsidRPr="00AA2B55">
        <w:rPr>
          <w:b/>
        </w:rPr>
        <w:t xml:space="preserve"> 200 mg</w:t>
      </w:r>
      <w:r w:rsidR="003B772D">
        <w:rPr>
          <w:b/>
        </w:rPr>
        <w:t xml:space="preserve"> </w:t>
      </w:r>
      <w:r w:rsidRPr="00AA2B55">
        <w:rPr>
          <w:b/>
        </w:rPr>
        <w:t>plėvele dengtos tabletės</w:t>
      </w:r>
    </w:p>
    <w:p w14:paraId="693F8F76" w14:textId="77777777" w:rsidR="00CF4625" w:rsidRPr="00D05364" w:rsidRDefault="00CF4625" w:rsidP="00CF4625">
      <w:pPr>
        <w:jc w:val="center"/>
      </w:pPr>
    </w:p>
    <w:p w14:paraId="466F7EC7" w14:textId="1456A8EC" w:rsidR="00CF4625" w:rsidRPr="00D24B86" w:rsidRDefault="007B0287" w:rsidP="00CF4625">
      <w:pPr>
        <w:jc w:val="center"/>
        <w:rPr>
          <w:b/>
          <w:bCs/>
        </w:rPr>
      </w:pPr>
      <w:proofErr w:type="spellStart"/>
      <w:r w:rsidRPr="00D24B86">
        <w:rPr>
          <w:b/>
          <w:bCs/>
        </w:rPr>
        <w:t>Ribociklibas</w:t>
      </w:r>
      <w:proofErr w:type="spellEnd"/>
    </w:p>
    <w:p w14:paraId="3E5F7B20" w14:textId="77777777" w:rsidR="00CF4625" w:rsidRPr="00D05364" w:rsidRDefault="00CF4625" w:rsidP="00CF4625">
      <w:pPr>
        <w:jc w:val="center"/>
      </w:pPr>
    </w:p>
    <w:p w14:paraId="70034480" w14:textId="25992E67" w:rsidR="00CF4625" w:rsidRPr="00D05364" w:rsidRDefault="00CF4625" w:rsidP="00CF4625">
      <w:pPr>
        <w:jc w:val="center"/>
        <w:rPr>
          <w:b/>
        </w:rPr>
      </w:pPr>
      <w:r>
        <w:rPr>
          <w:b/>
        </w:rPr>
        <w:t>STV- 2</w:t>
      </w:r>
      <w:r w:rsidR="00593C15">
        <w:rPr>
          <w:b/>
        </w:rPr>
        <w:t>27</w:t>
      </w:r>
    </w:p>
    <w:p w14:paraId="453197C8" w14:textId="77777777" w:rsidR="00D4708D" w:rsidRPr="00E33EFF" w:rsidRDefault="00D4708D" w:rsidP="003B211A">
      <w:pPr>
        <w:jc w:val="center"/>
        <w:rPr>
          <w:b/>
        </w:rPr>
      </w:pPr>
    </w:p>
    <w:p w14:paraId="78C89D1C" w14:textId="0DEFFAA5" w:rsidR="00D4485B" w:rsidRPr="00E33EFF" w:rsidRDefault="00B13D65" w:rsidP="00CC09D4">
      <w:pPr>
        <w:pStyle w:val="Sraopastraipa"/>
        <w:numPr>
          <w:ilvl w:val="0"/>
          <w:numId w:val="12"/>
        </w:numPr>
        <w:tabs>
          <w:tab w:val="left" w:pos="567"/>
        </w:tabs>
        <w:ind w:left="567" w:hanging="567"/>
        <w:rPr>
          <w:b/>
          <w:bCs/>
          <w:caps/>
        </w:rPr>
      </w:pPr>
      <w:r w:rsidRPr="00E33EFF">
        <w:rPr>
          <w:b/>
          <w:bCs/>
          <w:caps/>
        </w:rPr>
        <w:t>Bendroji dalis</w:t>
      </w:r>
    </w:p>
    <w:p w14:paraId="04A7C7A7" w14:textId="77777777" w:rsidR="00B13D65" w:rsidRPr="00E33EFF" w:rsidRDefault="00B13D65" w:rsidP="00E03C3F">
      <w:pPr>
        <w:pStyle w:val="Sraopastraipa"/>
        <w:tabs>
          <w:tab w:val="left" w:pos="284"/>
        </w:tabs>
        <w:ind w:left="0"/>
        <w:rPr>
          <w:b/>
          <w:bCs/>
          <w:caps/>
        </w:rPr>
      </w:pPr>
    </w:p>
    <w:tbl>
      <w:tblPr>
        <w:tblStyle w:val="Lentelstinklelis"/>
        <w:tblW w:w="9067" w:type="dxa"/>
        <w:tblLook w:val="04A0" w:firstRow="1" w:lastRow="0" w:firstColumn="1" w:lastColumn="0" w:noHBand="0" w:noVBand="1"/>
      </w:tblPr>
      <w:tblGrid>
        <w:gridCol w:w="632"/>
        <w:gridCol w:w="3694"/>
        <w:gridCol w:w="4741"/>
      </w:tblGrid>
      <w:tr w:rsidR="00032013" w:rsidRPr="00E33EFF" w14:paraId="18A83EC2" w14:textId="77777777" w:rsidTr="008F7693">
        <w:trPr>
          <w:trHeight w:val="538"/>
        </w:trPr>
        <w:tc>
          <w:tcPr>
            <w:tcW w:w="632" w:type="dxa"/>
          </w:tcPr>
          <w:p w14:paraId="0646FBEA" w14:textId="77777777" w:rsidR="00032013" w:rsidRPr="00E33EFF" w:rsidRDefault="00032013" w:rsidP="00032013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1.1</w:t>
            </w:r>
          </w:p>
        </w:tc>
        <w:tc>
          <w:tcPr>
            <w:tcW w:w="3694" w:type="dxa"/>
          </w:tcPr>
          <w:p w14:paraId="6C3AE864" w14:textId="77777777" w:rsidR="00032013" w:rsidRPr="00E33EFF" w:rsidRDefault="00032013" w:rsidP="00032013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Pareiškėjas</w:t>
            </w:r>
          </w:p>
          <w:p w14:paraId="2AF240DC" w14:textId="77777777" w:rsidR="00032013" w:rsidRPr="00E33EFF" w:rsidRDefault="00032013" w:rsidP="00032013">
            <w:pPr>
              <w:rPr>
                <w:rFonts w:eastAsia="Arial"/>
              </w:rPr>
            </w:pPr>
          </w:p>
        </w:tc>
        <w:tc>
          <w:tcPr>
            <w:tcW w:w="4741" w:type="dxa"/>
          </w:tcPr>
          <w:p w14:paraId="2AAF0D91" w14:textId="759CEE40" w:rsidR="00032013" w:rsidRPr="00E33EFF" w:rsidRDefault="00C1784B" w:rsidP="00032013">
            <w:pPr>
              <w:rPr>
                <w:rFonts w:eastAsia="Arial"/>
              </w:rPr>
            </w:pPr>
            <w:r w:rsidRPr="00C1784B">
              <w:rPr>
                <w:rFonts w:eastAsia="Arial"/>
              </w:rPr>
              <w:t xml:space="preserve">SIA </w:t>
            </w:r>
            <w:proofErr w:type="spellStart"/>
            <w:r w:rsidRPr="00C1784B">
              <w:rPr>
                <w:rFonts w:eastAsia="Arial"/>
              </w:rPr>
              <w:t>Novartis</w:t>
            </w:r>
            <w:proofErr w:type="spellEnd"/>
            <w:r w:rsidRPr="00C1784B">
              <w:rPr>
                <w:rFonts w:eastAsia="Arial"/>
              </w:rPr>
              <w:t xml:space="preserve"> </w:t>
            </w:r>
            <w:proofErr w:type="spellStart"/>
            <w:r w:rsidRPr="00C1784B">
              <w:rPr>
                <w:rFonts w:eastAsia="Arial"/>
              </w:rPr>
              <w:t>Baltics</w:t>
            </w:r>
            <w:proofErr w:type="spellEnd"/>
            <w:r w:rsidRPr="00C1784B">
              <w:rPr>
                <w:rFonts w:eastAsia="Arial"/>
              </w:rPr>
              <w:t xml:space="preserve"> Lietuvos filialas</w:t>
            </w:r>
          </w:p>
        </w:tc>
      </w:tr>
      <w:tr w:rsidR="00032013" w:rsidRPr="00E33EFF" w14:paraId="31998B0D" w14:textId="77777777" w:rsidTr="008F7693">
        <w:trPr>
          <w:trHeight w:val="538"/>
        </w:trPr>
        <w:tc>
          <w:tcPr>
            <w:tcW w:w="632" w:type="dxa"/>
          </w:tcPr>
          <w:p w14:paraId="2005EC67" w14:textId="662300D0" w:rsidR="00032013" w:rsidRPr="00E33EFF" w:rsidRDefault="00032013" w:rsidP="00032013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1.2</w:t>
            </w:r>
          </w:p>
        </w:tc>
        <w:tc>
          <w:tcPr>
            <w:tcW w:w="3694" w:type="dxa"/>
          </w:tcPr>
          <w:p w14:paraId="1E4AE3B1" w14:textId="77777777" w:rsidR="00032013" w:rsidRPr="00E33EFF" w:rsidRDefault="00032013" w:rsidP="00032013">
            <w:pPr>
              <w:rPr>
                <w:bCs/>
                <w:color w:val="000000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 xml:space="preserve">Registracijos data </w:t>
            </w:r>
          </w:p>
          <w:p w14:paraId="3A0DC096" w14:textId="77777777" w:rsidR="00032013" w:rsidRPr="00E33EFF" w:rsidRDefault="00032013" w:rsidP="00032013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4741" w:type="dxa"/>
          </w:tcPr>
          <w:p w14:paraId="3CA218AD" w14:textId="4F8B1AC3" w:rsidR="00032013" w:rsidRPr="00032013" w:rsidRDefault="009C48B7" w:rsidP="00032013">
            <w:r w:rsidRPr="009C48B7">
              <w:t>2017 m. rugpjūčio 22 d.</w:t>
            </w:r>
          </w:p>
        </w:tc>
      </w:tr>
      <w:tr w:rsidR="00032013" w:rsidRPr="00E33EFF" w14:paraId="15968AE1" w14:textId="77777777" w:rsidTr="008F7693">
        <w:trPr>
          <w:trHeight w:val="1500"/>
        </w:trPr>
        <w:tc>
          <w:tcPr>
            <w:tcW w:w="632" w:type="dxa"/>
          </w:tcPr>
          <w:p w14:paraId="6A784245" w14:textId="1E461489" w:rsidR="00032013" w:rsidRPr="00E33EFF" w:rsidRDefault="00032013" w:rsidP="00032013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1.3</w:t>
            </w:r>
          </w:p>
        </w:tc>
        <w:tc>
          <w:tcPr>
            <w:tcW w:w="3694" w:type="dxa"/>
          </w:tcPr>
          <w:p w14:paraId="22933506" w14:textId="77777777" w:rsidR="00032013" w:rsidRPr="00E33EFF" w:rsidRDefault="00032013" w:rsidP="00032013">
            <w:r w:rsidRPr="00E33EFF">
              <w:t xml:space="preserve">Paraiškos tipas </w:t>
            </w:r>
          </w:p>
          <w:p w14:paraId="0465E680" w14:textId="7F0A0714" w:rsidR="00032013" w:rsidRPr="00E33EFF" w:rsidRDefault="00032013" w:rsidP="00032013">
            <w:r w:rsidRPr="00E33EFF">
              <w:t xml:space="preserve">(pagal </w:t>
            </w:r>
            <w:r w:rsidRPr="00E33EFF">
              <w:rPr>
                <w:color w:val="333333"/>
                <w:shd w:val="clear" w:color="auto" w:fill="FFFFFF"/>
              </w:rPr>
              <w:t>vaistinio preparato registracijos tipą, įtvirtintą</w:t>
            </w:r>
            <w:r w:rsidRPr="00E33EFF">
              <w:t xml:space="preserve"> Direktyvos 2001/83/EB </w:t>
            </w:r>
            <w:proofErr w:type="spellStart"/>
            <w:r w:rsidRPr="00E33EFF">
              <w:t>straipsiuose</w:t>
            </w:r>
            <w:proofErr w:type="spellEnd"/>
            <w:r w:rsidRPr="00E33EFF">
              <w:t>)</w:t>
            </w:r>
          </w:p>
          <w:p w14:paraId="77089D80" w14:textId="6681D72A" w:rsidR="00032013" w:rsidRPr="00E33EFF" w:rsidRDefault="00032013" w:rsidP="00032013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4741" w:type="dxa"/>
          </w:tcPr>
          <w:p w14:paraId="333E9F6F" w14:textId="77777777" w:rsidR="00032013" w:rsidRPr="00D05364" w:rsidRDefault="00DB73C4" w:rsidP="00032013">
            <w:sdt>
              <w:sdtPr>
                <w:id w:val="-366596377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013" w:rsidRPr="00032013">
                  <w:rPr>
                    <w:rFonts w:ascii="Segoe UI Symbol" w:hAnsi="Segoe UI Symbol" w:cs="Segoe UI Symbol"/>
                  </w:rPr>
                  <w:t>☒</w:t>
                </w:r>
              </w:sdtContent>
            </w:sdt>
            <w:r w:rsidR="00032013" w:rsidRPr="00D05364">
              <w:t xml:space="preserve"> 8.3 str. (pilna byla, pagrįsta savais tyrimais) </w:t>
            </w:r>
          </w:p>
          <w:p w14:paraId="04773E1E" w14:textId="77777777" w:rsidR="00032013" w:rsidRPr="00D05364" w:rsidRDefault="00DB73C4" w:rsidP="00032013">
            <w:sdt>
              <w:sdtPr>
                <w:id w:val="67546229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013" w:rsidRPr="0003201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32013" w:rsidRPr="00D05364">
              <w:t xml:space="preserve"> 10 a str. (pripažintas medicininis vartojimas) </w:t>
            </w:r>
          </w:p>
          <w:p w14:paraId="6D96C1BD" w14:textId="77777777" w:rsidR="00032013" w:rsidRPr="00D05364" w:rsidRDefault="00DB73C4" w:rsidP="00032013">
            <w:sdt>
              <w:sdtPr>
                <w:id w:val="-129043589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013" w:rsidRPr="0003201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32013" w:rsidRPr="00D05364">
              <w:t xml:space="preserve"> 10.1 str. (</w:t>
            </w:r>
            <w:proofErr w:type="spellStart"/>
            <w:r w:rsidR="00032013" w:rsidRPr="00D05364">
              <w:t>generinis</w:t>
            </w:r>
            <w:proofErr w:type="spellEnd"/>
            <w:r w:rsidR="00032013" w:rsidRPr="00D05364">
              <w:t>)</w:t>
            </w:r>
          </w:p>
          <w:p w14:paraId="3B0A4F72" w14:textId="4B935C61" w:rsidR="00032013" w:rsidRPr="00032013" w:rsidRDefault="00DB73C4" w:rsidP="00032013">
            <w:sdt>
              <w:sdtPr>
                <w:id w:val="-12454503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013" w:rsidRPr="0003201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32013" w:rsidRPr="00D05364">
              <w:t xml:space="preserve"> 10.3 str. (hibridinis)</w:t>
            </w:r>
          </w:p>
        </w:tc>
      </w:tr>
      <w:tr w:rsidR="00B13D65" w:rsidRPr="00E33EFF" w14:paraId="310E9662" w14:textId="77777777" w:rsidTr="008F7693">
        <w:trPr>
          <w:trHeight w:val="1442"/>
        </w:trPr>
        <w:tc>
          <w:tcPr>
            <w:tcW w:w="632" w:type="dxa"/>
          </w:tcPr>
          <w:p w14:paraId="4B5A91A2" w14:textId="561B5E5F" w:rsidR="00B13D65" w:rsidRPr="00E33EFF" w:rsidRDefault="00B13D65" w:rsidP="00824B92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</w:t>
            </w:r>
            <w:r w:rsidR="002E0702" w:rsidRPr="00E33EFF">
              <w:rPr>
                <w:rFonts w:eastAsia="Arial"/>
              </w:rPr>
              <w:t>4</w:t>
            </w:r>
          </w:p>
        </w:tc>
        <w:tc>
          <w:tcPr>
            <w:tcW w:w="3694" w:type="dxa"/>
          </w:tcPr>
          <w:p w14:paraId="6C91E105" w14:textId="77777777" w:rsidR="00B13D65" w:rsidRPr="00E33EFF" w:rsidRDefault="00B13D65" w:rsidP="00824B92">
            <w:pPr>
              <w:rPr>
                <w:bCs/>
                <w:color w:val="000000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 xml:space="preserve">Ar vaistinis preparatas įrašytas į Bendrijos retųjų vaistinių preparatų registrą? </w:t>
            </w:r>
          </w:p>
          <w:p w14:paraId="483071A3" w14:textId="2FEB27F0" w:rsidR="00B13D65" w:rsidRPr="00E33EFF" w:rsidRDefault="00B13D65" w:rsidP="00824B92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4741" w:type="dxa"/>
          </w:tcPr>
          <w:p w14:paraId="05845C60" w14:textId="10CF4033" w:rsidR="00B13D65" w:rsidRPr="00E33EFF" w:rsidRDefault="00DB73C4" w:rsidP="00824B92">
            <w:sdt>
              <w:sdtPr>
                <w:rPr>
                  <w:rStyle w:val="Style2"/>
                  <w:sz w:val="24"/>
                </w:rPr>
                <w:id w:val="202443217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D417D2" w:rsidRPr="00E33EFF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13D65" w:rsidRPr="00E33EFF">
              <w:t xml:space="preserve"> Taip</w:t>
            </w:r>
          </w:p>
          <w:p w14:paraId="41D88067" w14:textId="50A2D786" w:rsidR="00B13D65" w:rsidRPr="00E33EFF" w:rsidRDefault="00DB73C4" w:rsidP="00824B92">
            <w:sdt>
              <w:sdtPr>
                <w:rPr>
                  <w:rStyle w:val="Style2"/>
                  <w:sz w:val="24"/>
                </w:rPr>
                <w:id w:val="-97050792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D1877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B13D65" w:rsidRPr="00E33EFF">
              <w:t xml:space="preserve"> Ne</w:t>
            </w:r>
          </w:p>
          <w:p w14:paraId="29C2CBBB" w14:textId="3C7BCB3E" w:rsidR="00B13D65" w:rsidRPr="00E33EFF" w:rsidRDefault="00B13D65" w:rsidP="00824B92">
            <w:pPr>
              <w:rPr>
                <w:rFonts w:eastAsia="Arial"/>
              </w:rPr>
            </w:pPr>
          </w:p>
        </w:tc>
      </w:tr>
      <w:tr w:rsidR="00D417D2" w:rsidRPr="00E33EFF" w14:paraId="7841E5F8" w14:textId="77777777" w:rsidTr="008F7693">
        <w:trPr>
          <w:trHeight w:val="476"/>
        </w:trPr>
        <w:tc>
          <w:tcPr>
            <w:tcW w:w="632" w:type="dxa"/>
          </w:tcPr>
          <w:p w14:paraId="109D2861" w14:textId="73BF27DF" w:rsidR="00D417D2" w:rsidRPr="00E33EFF" w:rsidRDefault="00D417D2" w:rsidP="00824B92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1.5</w:t>
            </w:r>
          </w:p>
        </w:tc>
        <w:tc>
          <w:tcPr>
            <w:tcW w:w="3694" w:type="dxa"/>
          </w:tcPr>
          <w:p w14:paraId="7822D63E" w14:textId="68C38334" w:rsidR="00D417D2" w:rsidRPr="00E33EFF" w:rsidRDefault="00D417D2" w:rsidP="00824B92">
            <w:pPr>
              <w:rPr>
                <w:bCs/>
                <w:color w:val="000000"/>
                <w:lang w:eastAsia="lt-LT"/>
              </w:rPr>
            </w:pPr>
            <w:r w:rsidRPr="00E33EFF">
              <w:t>STV paraiškos pobūdis</w:t>
            </w:r>
          </w:p>
        </w:tc>
        <w:tc>
          <w:tcPr>
            <w:tcW w:w="4741" w:type="dxa"/>
          </w:tcPr>
          <w:p w14:paraId="403461B9" w14:textId="68A37216" w:rsidR="00D417D2" w:rsidRPr="00E33EFF" w:rsidRDefault="00DB73C4" w:rsidP="00824B92">
            <w:sdt>
              <w:sdtPr>
                <w:rPr>
                  <w:rStyle w:val="Style2"/>
                  <w:sz w:val="24"/>
                </w:rPr>
                <w:id w:val="-468433535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D1877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D417D2" w:rsidRPr="00E33EFF">
              <w:t xml:space="preserve"> Pilna paraiška</w:t>
            </w:r>
          </w:p>
          <w:p w14:paraId="6B8213E3" w14:textId="3495CDF4" w:rsidR="00D417D2" w:rsidRPr="00E33EFF" w:rsidRDefault="00DB73C4" w:rsidP="00824B92">
            <w:sdt>
              <w:sdtPr>
                <w:rPr>
                  <w:rStyle w:val="Style2"/>
                  <w:sz w:val="24"/>
                </w:rPr>
                <w:id w:val="-148901490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D417D2" w:rsidRPr="00E33EFF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417D2" w:rsidRPr="00E33EFF">
              <w:t xml:space="preserve"> Supaprastinta paraiška</w:t>
            </w:r>
          </w:p>
        </w:tc>
      </w:tr>
      <w:tr w:rsidR="0045191B" w:rsidRPr="00E33EFF" w14:paraId="274D1DAF" w14:textId="77777777" w:rsidTr="008F7693">
        <w:trPr>
          <w:trHeight w:val="1922"/>
        </w:trPr>
        <w:tc>
          <w:tcPr>
            <w:tcW w:w="632" w:type="dxa"/>
          </w:tcPr>
          <w:p w14:paraId="17ABF217" w14:textId="14AC00D7" w:rsidR="0045191B" w:rsidRPr="00E33EFF" w:rsidRDefault="0045191B" w:rsidP="0045191B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1.6</w:t>
            </w:r>
          </w:p>
        </w:tc>
        <w:tc>
          <w:tcPr>
            <w:tcW w:w="3694" w:type="dxa"/>
          </w:tcPr>
          <w:p w14:paraId="4D49DBF5" w14:textId="77777777" w:rsidR="0045191B" w:rsidRDefault="0045191B" w:rsidP="0045191B">
            <w:pPr>
              <w:rPr>
                <w:bCs/>
                <w:color w:val="000000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>Pareiškėjo teikiama (-</w:t>
            </w:r>
            <w:proofErr w:type="spellStart"/>
            <w:r w:rsidRPr="00E33EFF">
              <w:rPr>
                <w:bCs/>
                <w:color w:val="000000"/>
                <w:lang w:eastAsia="lt-LT"/>
              </w:rPr>
              <w:t>os</w:t>
            </w:r>
            <w:proofErr w:type="spellEnd"/>
            <w:r w:rsidRPr="00E33EFF">
              <w:rPr>
                <w:bCs/>
                <w:color w:val="000000"/>
                <w:lang w:eastAsia="lt-LT"/>
              </w:rPr>
              <w:t>) kompensuoti vaistinio preparato indikacija (-</w:t>
            </w:r>
            <w:proofErr w:type="spellStart"/>
            <w:r w:rsidRPr="00E33EFF">
              <w:rPr>
                <w:bCs/>
                <w:color w:val="000000"/>
                <w:lang w:eastAsia="lt-LT"/>
              </w:rPr>
              <w:t>os</w:t>
            </w:r>
            <w:proofErr w:type="spellEnd"/>
            <w:r w:rsidRPr="00E33EFF">
              <w:rPr>
                <w:bCs/>
                <w:color w:val="000000"/>
                <w:lang w:eastAsia="lt-LT"/>
              </w:rPr>
              <w:t>)</w:t>
            </w:r>
          </w:p>
          <w:p w14:paraId="277AF77C" w14:textId="77777777" w:rsidR="000F3D68" w:rsidRDefault="000F3D68" w:rsidP="0045191B">
            <w:pPr>
              <w:rPr>
                <w:bCs/>
                <w:color w:val="000000"/>
                <w:lang w:eastAsia="lt-LT"/>
              </w:rPr>
            </w:pPr>
          </w:p>
          <w:p w14:paraId="3089FE80" w14:textId="77777777" w:rsidR="000F3D68" w:rsidRDefault="000F3D68" w:rsidP="0045191B">
            <w:pPr>
              <w:rPr>
                <w:bCs/>
                <w:color w:val="000000"/>
                <w:lang w:eastAsia="lt-LT"/>
              </w:rPr>
            </w:pPr>
          </w:p>
          <w:p w14:paraId="34893FC3" w14:textId="77777777" w:rsidR="000F3D68" w:rsidRDefault="000F3D68" w:rsidP="0045191B">
            <w:pPr>
              <w:rPr>
                <w:bCs/>
                <w:color w:val="000000"/>
                <w:lang w:eastAsia="lt-LT"/>
              </w:rPr>
            </w:pPr>
          </w:p>
          <w:p w14:paraId="4C7DA497" w14:textId="77777777" w:rsidR="000F3D68" w:rsidRDefault="000F3D68" w:rsidP="0045191B">
            <w:pPr>
              <w:rPr>
                <w:bCs/>
                <w:color w:val="000000"/>
                <w:lang w:eastAsia="lt-LT"/>
              </w:rPr>
            </w:pPr>
          </w:p>
          <w:p w14:paraId="67621A06" w14:textId="77777777" w:rsidR="000F3D68" w:rsidRDefault="000F3D68" w:rsidP="0045191B">
            <w:pPr>
              <w:rPr>
                <w:bCs/>
                <w:color w:val="000000"/>
                <w:lang w:eastAsia="lt-LT"/>
              </w:rPr>
            </w:pPr>
          </w:p>
          <w:p w14:paraId="7CE0CC27" w14:textId="77777777" w:rsidR="000F3D68" w:rsidRDefault="000F3D68" w:rsidP="0045191B">
            <w:pPr>
              <w:rPr>
                <w:bCs/>
                <w:color w:val="000000"/>
                <w:lang w:eastAsia="lt-LT"/>
              </w:rPr>
            </w:pPr>
          </w:p>
          <w:p w14:paraId="723CC7FC" w14:textId="77777777" w:rsidR="000F3D68" w:rsidRDefault="000F3D68" w:rsidP="0045191B">
            <w:pPr>
              <w:rPr>
                <w:bCs/>
                <w:color w:val="000000"/>
                <w:lang w:eastAsia="lt-LT"/>
              </w:rPr>
            </w:pPr>
          </w:p>
          <w:p w14:paraId="0AAF016F" w14:textId="77777777" w:rsidR="000F3D68" w:rsidRDefault="000F3D68" w:rsidP="0045191B">
            <w:pPr>
              <w:rPr>
                <w:bCs/>
                <w:color w:val="000000"/>
                <w:lang w:eastAsia="lt-LT"/>
              </w:rPr>
            </w:pPr>
          </w:p>
          <w:p w14:paraId="280BB7D3" w14:textId="77777777" w:rsidR="000F3D68" w:rsidRDefault="000F3D68" w:rsidP="0045191B">
            <w:pPr>
              <w:rPr>
                <w:bCs/>
                <w:color w:val="000000"/>
                <w:lang w:eastAsia="lt-LT"/>
              </w:rPr>
            </w:pPr>
          </w:p>
          <w:p w14:paraId="31515DE2" w14:textId="77777777" w:rsidR="000F3D68" w:rsidRDefault="000F3D68" w:rsidP="0045191B">
            <w:pPr>
              <w:rPr>
                <w:bCs/>
                <w:color w:val="000000"/>
                <w:lang w:eastAsia="lt-LT"/>
              </w:rPr>
            </w:pPr>
          </w:p>
          <w:p w14:paraId="148B9582" w14:textId="77777777" w:rsidR="000F3D68" w:rsidRDefault="000F3D68" w:rsidP="0045191B">
            <w:pPr>
              <w:rPr>
                <w:bCs/>
                <w:color w:val="000000"/>
                <w:lang w:eastAsia="lt-LT"/>
              </w:rPr>
            </w:pPr>
          </w:p>
          <w:p w14:paraId="15094C4B" w14:textId="77777777" w:rsidR="000F3D68" w:rsidRDefault="000F3D68" w:rsidP="0045191B">
            <w:pPr>
              <w:rPr>
                <w:bCs/>
                <w:color w:val="000000"/>
                <w:lang w:eastAsia="lt-LT"/>
              </w:rPr>
            </w:pPr>
          </w:p>
          <w:p w14:paraId="468C2EF0" w14:textId="77777777" w:rsidR="000F3D68" w:rsidRDefault="000F3D68" w:rsidP="0045191B">
            <w:pPr>
              <w:rPr>
                <w:bCs/>
                <w:color w:val="000000"/>
                <w:lang w:eastAsia="lt-LT"/>
              </w:rPr>
            </w:pPr>
          </w:p>
          <w:p w14:paraId="513E669E" w14:textId="77777777" w:rsidR="0045191B" w:rsidRPr="00E33EFF" w:rsidRDefault="0045191B" w:rsidP="0045191B">
            <w:pPr>
              <w:rPr>
                <w:bCs/>
                <w:color w:val="000000"/>
                <w:lang w:eastAsia="lt-LT"/>
              </w:rPr>
            </w:pPr>
          </w:p>
          <w:p w14:paraId="6B4FEEC1" w14:textId="378668B0" w:rsidR="0045191B" w:rsidRPr="00E33EFF" w:rsidRDefault="0045191B" w:rsidP="0045191B">
            <w:pPr>
              <w:rPr>
                <w:bCs/>
                <w:color w:val="000000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>Kodas pagal TLK-10 AM</w:t>
            </w:r>
          </w:p>
        </w:tc>
        <w:tc>
          <w:tcPr>
            <w:tcW w:w="4741" w:type="dxa"/>
          </w:tcPr>
          <w:p w14:paraId="22054DAE" w14:textId="0472BFC7" w:rsidR="000F3D68" w:rsidRDefault="000F3D68" w:rsidP="00D95B98">
            <w:pPr>
              <w:pStyle w:val="Sraopastraipa"/>
              <w:spacing w:after="120" w:line="276" w:lineRule="auto"/>
              <w:ind w:left="0"/>
            </w:pPr>
            <w:proofErr w:type="spellStart"/>
            <w:r>
              <w:lastRenderedPageBreak/>
              <w:t>Kisqali</w:t>
            </w:r>
            <w:proofErr w:type="spellEnd"/>
            <w:r>
              <w:t xml:space="preserve"> derinyje su </w:t>
            </w:r>
            <w:proofErr w:type="spellStart"/>
            <w:r>
              <w:t>aromatazės</w:t>
            </w:r>
            <w:proofErr w:type="spellEnd"/>
            <w:r>
              <w:t xml:space="preserve"> inhibitoriumi skirtas pacientų, sergančių ankstyvuoju krūties vėžiu, kai nustatomas hormonų receptorių (HR) teigiamas ir žmogaus epidermio augimo faktoriaus receptoriaus 2 (angl. 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epidermal</w:t>
            </w:r>
            <w:proofErr w:type="spellEnd"/>
            <w:r>
              <w:t xml:space="preserve"> </w:t>
            </w:r>
            <w:proofErr w:type="spellStart"/>
            <w:r>
              <w:t>growth</w:t>
            </w:r>
            <w:proofErr w:type="spellEnd"/>
            <w:r>
              <w:t xml:space="preserve"> </w:t>
            </w:r>
            <w:proofErr w:type="spellStart"/>
            <w:r>
              <w:t>factor</w:t>
            </w:r>
            <w:proofErr w:type="spellEnd"/>
            <w:r>
              <w:t xml:space="preserve"> </w:t>
            </w:r>
            <w:proofErr w:type="spellStart"/>
            <w:r>
              <w:t>receptor</w:t>
            </w:r>
            <w:proofErr w:type="spellEnd"/>
            <w:r>
              <w:t xml:space="preserve"> 2 – HER2) neigiamas rodmuo bei kai yra didelė recidyvo rizika, </w:t>
            </w:r>
            <w:proofErr w:type="spellStart"/>
            <w:r>
              <w:t>adjuvantiniam</w:t>
            </w:r>
            <w:proofErr w:type="spellEnd"/>
            <w:r>
              <w:t xml:space="preserve"> gydymui. Moterims </w:t>
            </w:r>
            <w:r>
              <w:lastRenderedPageBreak/>
              <w:t xml:space="preserve">prieš menopauzę arba </w:t>
            </w:r>
            <w:proofErr w:type="spellStart"/>
            <w:r>
              <w:t>perimenopauzės</w:t>
            </w:r>
            <w:proofErr w:type="spellEnd"/>
            <w:r>
              <w:t xml:space="preserve"> laikotarpiu arba vyrams </w:t>
            </w:r>
            <w:proofErr w:type="spellStart"/>
            <w:r>
              <w:t>aromatazės</w:t>
            </w:r>
            <w:proofErr w:type="spellEnd"/>
            <w:r>
              <w:t xml:space="preserve"> inhibitorių reikia skirti kartu su </w:t>
            </w:r>
            <w:proofErr w:type="spellStart"/>
            <w:r>
              <w:t>liuteinizuojantį</w:t>
            </w:r>
            <w:proofErr w:type="spellEnd"/>
            <w:r>
              <w:t xml:space="preserve"> hormoną atpalaiduojančio hormono (LHAH) </w:t>
            </w:r>
            <w:proofErr w:type="spellStart"/>
            <w:r>
              <w:t>agonistu</w:t>
            </w:r>
            <w:proofErr w:type="spellEnd"/>
            <w:r>
              <w:t>.</w:t>
            </w:r>
          </w:p>
          <w:p w14:paraId="5EBACB74" w14:textId="77777777" w:rsidR="00D95B98" w:rsidRDefault="00D95B98" w:rsidP="00D95B98">
            <w:pPr>
              <w:pStyle w:val="Sraopastraipa"/>
              <w:spacing w:after="120" w:line="276" w:lineRule="auto"/>
              <w:ind w:left="0"/>
            </w:pPr>
          </w:p>
          <w:p w14:paraId="3021D93A" w14:textId="77777777" w:rsidR="00D95B98" w:rsidRDefault="00D95B98" w:rsidP="00D95B98">
            <w:pPr>
              <w:pStyle w:val="Sraopastraipa"/>
              <w:spacing w:after="120" w:line="276" w:lineRule="auto"/>
              <w:ind w:left="0"/>
            </w:pPr>
          </w:p>
          <w:p w14:paraId="13F7DFB0" w14:textId="477E0949" w:rsidR="0045191B" w:rsidRPr="00E33EFF" w:rsidRDefault="00D95B98" w:rsidP="00D95B98">
            <w:pPr>
              <w:pStyle w:val="Sraopastraipa"/>
              <w:spacing w:after="120" w:line="276" w:lineRule="auto"/>
              <w:ind w:left="0"/>
              <w:contextualSpacing w:val="0"/>
            </w:pPr>
            <w:r>
              <w:t>C</w:t>
            </w:r>
            <w:r w:rsidR="000F3D68">
              <w:t>50</w:t>
            </w:r>
          </w:p>
        </w:tc>
      </w:tr>
      <w:tr w:rsidR="0045191B" w:rsidRPr="00E33EFF" w14:paraId="2F79DC08" w14:textId="77777777" w:rsidTr="008F7693">
        <w:trPr>
          <w:trHeight w:val="378"/>
        </w:trPr>
        <w:tc>
          <w:tcPr>
            <w:tcW w:w="632" w:type="dxa"/>
          </w:tcPr>
          <w:p w14:paraId="547885A2" w14:textId="08AA8055" w:rsidR="0045191B" w:rsidRPr="00E33EFF" w:rsidRDefault="0045191B" w:rsidP="0045191B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lastRenderedPageBreak/>
              <w:t>1.6</w:t>
            </w:r>
          </w:p>
        </w:tc>
        <w:tc>
          <w:tcPr>
            <w:tcW w:w="3694" w:type="dxa"/>
          </w:tcPr>
          <w:p w14:paraId="2EAB877F" w14:textId="39A36941" w:rsidR="0045191B" w:rsidRPr="00E33EFF" w:rsidRDefault="0045191B" w:rsidP="0045191B">
            <w:pPr>
              <w:rPr>
                <w:bCs/>
                <w:color w:val="000000"/>
                <w:u w:val="single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 xml:space="preserve">Pareiškėjo teikiamos skyrimo sąlygos </w:t>
            </w:r>
          </w:p>
        </w:tc>
        <w:tc>
          <w:tcPr>
            <w:tcW w:w="4741" w:type="dxa"/>
          </w:tcPr>
          <w:p w14:paraId="0579DF58" w14:textId="5D249294" w:rsidR="0045191B" w:rsidRPr="00E33EFF" w:rsidRDefault="00DE7131" w:rsidP="0045191B">
            <w:r>
              <w:rPr>
                <w:noProof/>
              </w:rPr>
              <w:t>Neteikiamos</w:t>
            </w:r>
          </w:p>
        </w:tc>
      </w:tr>
      <w:tr w:rsidR="0045191B" w:rsidRPr="00E33EFF" w14:paraId="3B125269" w14:textId="77777777" w:rsidTr="008F7693">
        <w:trPr>
          <w:trHeight w:val="378"/>
        </w:trPr>
        <w:tc>
          <w:tcPr>
            <w:tcW w:w="632" w:type="dxa"/>
          </w:tcPr>
          <w:p w14:paraId="0058E11F" w14:textId="77777777" w:rsidR="0045191B" w:rsidRPr="00E33EFF" w:rsidRDefault="0045191B" w:rsidP="0045191B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1.7</w:t>
            </w:r>
          </w:p>
        </w:tc>
        <w:tc>
          <w:tcPr>
            <w:tcW w:w="3694" w:type="dxa"/>
          </w:tcPr>
          <w:p w14:paraId="738E1926" w14:textId="50A9DC79" w:rsidR="0045191B" w:rsidRDefault="0045191B" w:rsidP="0045191B">
            <w:pPr>
              <w:rPr>
                <w:bCs/>
                <w:color w:val="000000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>Pareiškėjo teikiamas palyginamasis gydymas</w:t>
            </w:r>
            <w:r>
              <w:rPr>
                <w:bCs/>
                <w:color w:val="000000"/>
                <w:lang w:eastAsia="lt-LT"/>
              </w:rPr>
              <w:t>:</w:t>
            </w:r>
            <w:r w:rsidRPr="00E33EFF">
              <w:rPr>
                <w:bCs/>
                <w:color w:val="000000"/>
                <w:lang w:eastAsia="lt-LT"/>
              </w:rPr>
              <w:t xml:space="preserve"> </w:t>
            </w:r>
          </w:p>
          <w:p w14:paraId="1F7BF92F" w14:textId="6E3AE3A9" w:rsidR="0045191B" w:rsidRDefault="0045191B" w:rsidP="0045191B">
            <w:pPr>
              <w:rPr>
                <w:bCs/>
                <w:i/>
                <w:color w:val="000000"/>
                <w:lang w:eastAsia="lt-LT"/>
              </w:rPr>
            </w:pPr>
            <w:r w:rsidRPr="007C7519">
              <w:rPr>
                <w:bCs/>
                <w:i/>
                <w:color w:val="000000"/>
                <w:lang w:eastAsia="lt-LT"/>
              </w:rPr>
              <w:t>Tiesioginis</w:t>
            </w:r>
          </w:p>
          <w:p w14:paraId="643CC07B" w14:textId="2D7C9848" w:rsidR="0045191B" w:rsidRDefault="0045191B" w:rsidP="0045191B">
            <w:pPr>
              <w:rPr>
                <w:bCs/>
                <w:i/>
                <w:color w:val="000000"/>
                <w:lang w:eastAsia="lt-LT"/>
              </w:rPr>
            </w:pPr>
          </w:p>
          <w:p w14:paraId="1FEACC56" w14:textId="0E2E44A3" w:rsidR="0045191B" w:rsidRDefault="0045191B" w:rsidP="0045191B">
            <w:pPr>
              <w:rPr>
                <w:bCs/>
                <w:i/>
                <w:color w:val="000000"/>
                <w:lang w:eastAsia="lt-LT"/>
              </w:rPr>
            </w:pPr>
          </w:p>
          <w:p w14:paraId="200BD3DE" w14:textId="12603D6A" w:rsidR="0045191B" w:rsidRPr="007C7519" w:rsidRDefault="0045191B" w:rsidP="0045191B">
            <w:pPr>
              <w:rPr>
                <w:bCs/>
                <w:i/>
                <w:color w:val="000000"/>
                <w:lang w:eastAsia="lt-LT"/>
              </w:rPr>
            </w:pPr>
            <w:r>
              <w:rPr>
                <w:bCs/>
                <w:i/>
                <w:color w:val="000000"/>
                <w:lang w:eastAsia="lt-LT"/>
              </w:rPr>
              <w:t>Netiesioginis</w:t>
            </w:r>
          </w:p>
          <w:p w14:paraId="62057D94" w14:textId="77777777" w:rsidR="0045191B" w:rsidRPr="00E33EFF" w:rsidRDefault="0045191B" w:rsidP="0045191B">
            <w:pPr>
              <w:rPr>
                <w:bCs/>
                <w:color w:val="000000"/>
                <w:lang w:eastAsia="lt-LT"/>
              </w:rPr>
            </w:pPr>
          </w:p>
          <w:p w14:paraId="6CC1022E" w14:textId="2B6BCEE1" w:rsidR="0045191B" w:rsidRPr="00E33EFF" w:rsidRDefault="0045191B" w:rsidP="0045191B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4741" w:type="dxa"/>
          </w:tcPr>
          <w:p w14:paraId="3E389C70" w14:textId="22AFFC76" w:rsidR="0045191B" w:rsidRDefault="0045191B" w:rsidP="0045191B">
            <w:pPr>
              <w:rPr>
                <w:rStyle w:val="Style2"/>
                <w:sz w:val="24"/>
              </w:rPr>
            </w:pPr>
          </w:p>
          <w:p w14:paraId="0AC43073" w14:textId="77777777" w:rsidR="0045191B" w:rsidRPr="00E33EFF" w:rsidRDefault="0045191B" w:rsidP="0045191B"/>
          <w:p w14:paraId="2383573D" w14:textId="5E18B74C" w:rsidR="0045191B" w:rsidRPr="00E33EFF" w:rsidRDefault="00DB73C4" w:rsidP="0045191B">
            <w:sdt>
              <w:sdtPr>
                <w:rPr>
                  <w:rStyle w:val="Style2"/>
                  <w:sz w:val="24"/>
                </w:rPr>
                <w:id w:val="-43937611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770A6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5191B" w:rsidRPr="00E33EFF">
              <w:t xml:space="preserve"> Tinkamas</w:t>
            </w:r>
            <w:r w:rsidR="0045191B">
              <w:t xml:space="preserve"> </w:t>
            </w:r>
          </w:p>
          <w:p w14:paraId="5474EFC4" w14:textId="74E86B9B" w:rsidR="0045191B" w:rsidRDefault="00DB73C4" w:rsidP="0045191B">
            <w:pPr>
              <w:rPr>
                <w:rStyle w:val="Style2"/>
                <w:sz w:val="24"/>
              </w:rPr>
            </w:pPr>
            <w:sdt>
              <w:sdtPr>
                <w:rPr>
                  <w:rStyle w:val="Style2"/>
                  <w:sz w:val="24"/>
                </w:rPr>
                <w:id w:val="991603600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770A6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45191B" w:rsidRPr="00E33EFF">
              <w:t xml:space="preserve"> Netinkama</w:t>
            </w:r>
            <w:r w:rsidR="0045191B">
              <w:t>s</w:t>
            </w:r>
          </w:p>
          <w:p w14:paraId="5481FC83" w14:textId="77777777" w:rsidR="0045191B" w:rsidRDefault="0045191B" w:rsidP="0045191B">
            <w:pPr>
              <w:rPr>
                <w:rStyle w:val="Style2"/>
                <w:sz w:val="24"/>
              </w:rPr>
            </w:pPr>
          </w:p>
          <w:p w14:paraId="588CCDA1" w14:textId="77777777" w:rsidR="00702C99" w:rsidRDefault="00DB73C4" w:rsidP="00702C99">
            <w:sdt>
              <w:sdtPr>
                <w:rPr>
                  <w:rStyle w:val="Style2"/>
                  <w:sz w:val="24"/>
                </w:rPr>
                <w:id w:val="-83430296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5191B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45191B" w:rsidRPr="00E33EFF">
              <w:t xml:space="preserve"> Tinkamas</w:t>
            </w:r>
            <w:r w:rsidR="0045191B">
              <w:t xml:space="preserve"> </w:t>
            </w:r>
          </w:p>
          <w:p w14:paraId="41B44044" w14:textId="415E4513" w:rsidR="0045191B" w:rsidRPr="00E33EFF" w:rsidRDefault="00DB73C4" w:rsidP="00702C99">
            <w:sdt>
              <w:sdtPr>
                <w:rPr>
                  <w:rStyle w:val="Style2"/>
                  <w:sz w:val="24"/>
                </w:rPr>
                <w:id w:val="-35242069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5191B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5191B" w:rsidRPr="00E33EFF">
              <w:t xml:space="preserve"> Netinkama</w:t>
            </w:r>
            <w:r w:rsidR="0045191B">
              <w:t>s</w:t>
            </w:r>
          </w:p>
        </w:tc>
      </w:tr>
    </w:tbl>
    <w:p w14:paraId="108176F7" w14:textId="640C6F75" w:rsidR="00F70C9E" w:rsidRPr="00E33EFF" w:rsidRDefault="00F70C9E" w:rsidP="00E03C3F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2871CA7F" w14:textId="2370BDDB" w:rsidR="00F70C9E" w:rsidRPr="00E33EFF" w:rsidRDefault="00F70C9E" w:rsidP="00880A44">
      <w:pPr>
        <w:spacing w:line="276" w:lineRule="auto"/>
        <w:jc w:val="both"/>
        <w:rPr>
          <w:rFonts w:eastAsia="Arial"/>
          <w:b/>
        </w:rPr>
      </w:pPr>
      <w:r w:rsidRPr="00E33EFF">
        <w:rPr>
          <w:rFonts w:eastAsia="Arial"/>
          <w:b/>
        </w:rPr>
        <w:t xml:space="preserve">1.8 Kitų </w:t>
      </w:r>
      <w:r w:rsidR="00DF583C" w:rsidRPr="00E33EFF">
        <w:rPr>
          <w:rFonts w:eastAsia="Arial"/>
          <w:b/>
        </w:rPr>
        <w:t xml:space="preserve">valstybių </w:t>
      </w:r>
      <w:r w:rsidRPr="00E33EFF">
        <w:rPr>
          <w:rFonts w:eastAsia="Arial"/>
          <w:b/>
        </w:rPr>
        <w:t xml:space="preserve">atsakingų institucijų atlikto </w:t>
      </w:r>
      <w:r w:rsidR="00DF583C" w:rsidRPr="00E33EFF">
        <w:rPr>
          <w:rFonts w:eastAsia="Arial"/>
          <w:b/>
        </w:rPr>
        <w:t>Sveikatos technologijų vertinimo (toliau – STV)</w:t>
      </w:r>
      <w:r w:rsidRPr="00E33EFF">
        <w:rPr>
          <w:rFonts w:eastAsia="Arial"/>
          <w:b/>
        </w:rPr>
        <w:t xml:space="preserve"> išvados</w:t>
      </w:r>
    </w:p>
    <w:p w14:paraId="30721FDD" w14:textId="77777777" w:rsidR="00F70C9E" w:rsidRDefault="00F70C9E" w:rsidP="00F70C9E">
      <w:pPr>
        <w:spacing w:line="276" w:lineRule="auto"/>
        <w:rPr>
          <w:rFonts w:eastAsia="Arial"/>
        </w:rPr>
      </w:pPr>
    </w:p>
    <w:p w14:paraId="1B677B4A" w14:textId="77777777" w:rsidR="00BC4C3E" w:rsidRPr="00E33EFF" w:rsidRDefault="00BC4C3E" w:rsidP="00F70C9E">
      <w:pPr>
        <w:spacing w:line="276" w:lineRule="auto"/>
        <w:rPr>
          <w:rFonts w:eastAsia="Arial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55"/>
        <w:gridCol w:w="1851"/>
        <w:gridCol w:w="2244"/>
        <w:gridCol w:w="2216"/>
      </w:tblGrid>
      <w:tr w:rsidR="00F70C9E" w:rsidRPr="00E33EFF" w14:paraId="7E72828B" w14:textId="77777777" w:rsidTr="008F7693">
        <w:trPr>
          <w:trHeight w:val="924"/>
        </w:trPr>
        <w:tc>
          <w:tcPr>
            <w:tcW w:w="2855" w:type="dxa"/>
          </w:tcPr>
          <w:p w14:paraId="253D1DD4" w14:textId="5B2616C0" w:rsidR="00F70C9E" w:rsidRPr="00E33EFF" w:rsidRDefault="00F70C9E" w:rsidP="00824B92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ST</w:t>
            </w:r>
            <w:r w:rsidR="00DF583C" w:rsidRPr="00E33EFF">
              <w:rPr>
                <w:rFonts w:eastAsia="Arial"/>
              </w:rPr>
              <w:t>V</w:t>
            </w:r>
            <w:r w:rsidRPr="00E33EFF">
              <w:rPr>
                <w:rFonts w:eastAsia="Arial"/>
              </w:rPr>
              <w:t xml:space="preserve"> agentūros pavadinimas, šalis</w:t>
            </w:r>
          </w:p>
        </w:tc>
        <w:tc>
          <w:tcPr>
            <w:tcW w:w="1851" w:type="dxa"/>
          </w:tcPr>
          <w:p w14:paraId="34AE1EDD" w14:textId="77777777" w:rsidR="00F70C9E" w:rsidRPr="00E33EFF" w:rsidRDefault="00F70C9E" w:rsidP="00824B92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STV vertinimas atliktas</w:t>
            </w:r>
          </w:p>
        </w:tc>
        <w:tc>
          <w:tcPr>
            <w:tcW w:w="2244" w:type="dxa"/>
          </w:tcPr>
          <w:p w14:paraId="16E2DDC1" w14:textId="77777777" w:rsidR="00F70C9E" w:rsidRPr="00E33EFF" w:rsidRDefault="00F70C9E" w:rsidP="00824B92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Klinikinio vertinimo išvada</w:t>
            </w:r>
          </w:p>
        </w:tc>
        <w:tc>
          <w:tcPr>
            <w:tcW w:w="2117" w:type="dxa"/>
          </w:tcPr>
          <w:p w14:paraId="1861E3F2" w14:textId="74803B5B" w:rsidR="00F70C9E" w:rsidRPr="00E33EFF" w:rsidRDefault="00F70C9E" w:rsidP="00824B92">
            <w:pPr>
              <w:rPr>
                <w:rFonts w:eastAsia="Arial"/>
              </w:rPr>
            </w:pPr>
            <w:proofErr w:type="spellStart"/>
            <w:r w:rsidRPr="00E33EFF">
              <w:rPr>
                <w:rFonts w:eastAsia="Arial"/>
              </w:rPr>
              <w:t>Farmako</w:t>
            </w:r>
            <w:r w:rsidR="00CA217D" w:rsidRPr="00E33EFF">
              <w:rPr>
                <w:rFonts w:eastAsia="Arial"/>
              </w:rPr>
              <w:t>e</w:t>
            </w:r>
            <w:r w:rsidR="00476256" w:rsidRPr="00E33EFF">
              <w:rPr>
                <w:rFonts w:eastAsia="Arial"/>
              </w:rPr>
              <w:t>ko</w:t>
            </w:r>
            <w:r w:rsidRPr="00E33EFF">
              <w:rPr>
                <w:rFonts w:eastAsia="Arial"/>
              </w:rPr>
              <w:t>nominio</w:t>
            </w:r>
            <w:proofErr w:type="spellEnd"/>
            <w:r w:rsidRPr="00E33EFF">
              <w:rPr>
                <w:rFonts w:eastAsia="Arial"/>
              </w:rPr>
              <w:t xml:space="preserve"> vertinimo išvada</w:t>
            </w:r>
          </w:p>
        </w:tc>
      </w:tr>
      <w:tr w:rsidR="00AE5193" w:rsidRPr="00E33EFF" w14:paraId="129FA8F6" w14:textId="77777777" w:rsidTr="008F7693">
        <w:trPr>
          <w:trHeight w:val="2267"/>
        </w:trPr>
        <w:tc>
          <w:tcPr>
            <w:tcW w:w="2855" w:type="dxa"/>
          </w:tcPr>
          <w:p w14:paraId="23711F54" w14:textId="77777777" w:rsidR="00AE5193" w:rsidRPr="00D05364" w:rsidRDefault="00AE5193" w:rsidP="00AE5193">
            <w:pPr>
              <w:autoSpaceDE w:val="0"/>
              <w:autoSpaceDN w:val="0"/>
              <w:adjustRightInd w:val="0"/>
              <w:rPr>
                <w:bCs/>
              </w:rPr>
            </w:pPr>
            <w:r w:rsidRPr="00D05364">
              <w:rPr>
                <w:bCs/>
              </w:rPr>
              <w:t>Nacionalinis sveikatos ir klinikinės kompetencijos institutas, Didžioji Britanija</w:t>
            </w:r>
          </w:p>
          <w:p w14:paraId="49C6520D" w14:textId="45CB9695" w:rsidR="00AE5193" w:rsidRPr="00E33EFF" w:rsidRDefault="00AE5193" w:rsidP="00AE5193">
            <w:pPr>
              <w:rPr>
                <w:rFonts w:eastAsia="Arial"/>
                <w:lang w:val="en-GB"/>
              </w:rPr>
            </w:pPr>
            <w:r w:rsidRPr="00D05364">
              <w:rPr>
                <w:rFonts w:eastAsia="Arial"/>
              </w:rPr>
              <w:t xml:space="preserve">(angl. </w:t>
            </w:r>
            <w:proofErr w:type="spellStart"/>
            <w:r w:rsidRPr="00D05364">
              <w:rPr>
                <w:rFonts w:eastAsia="Arial"/>
                <w:i/>
              </w:rPr>
              <w:t>National</w:t>
            </w:r>
            <w:proofErr w:type="spellEnd"/>
            <w:r w:rsidRPr="00D05364">
              <w:rPr>
                <w:rFonts w:eastAsia="Arial"/>
                <w:i/>
              </w:rPr>
              <w:t xml:space="preserve"> Institute </w:t>
            </w:r>
            <w:proofErr w:type="spellStart"/>
            <w:r w:rsidRPr="00D05364">
              <w:rPr>
                <w:rFonts w:eastAsia="Arial"/>
                <w:i/>
              </w:rPr>
              <w:t>for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Health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and</w:t>
            </w:r>
            <w:proofErr w:type="spellEnd"/>
            <w:r w:rsidRPr="00D05364">
              <w:rPr>
                <w:rFonts w:eastAsia="Arial"/>
                <w:i/>
              </w:rPr>
              <w:t xml:space="preserve"> Care </w:t>
            </w:r>
            <w:proofErr w:type="spellStart"/>
            <w:r w:rsidRPr="00D05364">
              <w:rPr>
                <w:rFonts w:eastAsia="Arial"/>
                <w:i/>
              </w:rPr>
              <w:t>Excellence</w:t>
            </w:r>
            <w:proofErr w:type="spellEnd"/>
            <w:r w:rsidRPr="00D05364">
              <w:rPr>
                <w:rFonts w:eastAsia="Arial"/>
                <w:i/>
              </w:rPr>
              <w:t>, NICE</w:t>
            </w:r>
            <w:r w:rsidRPr="00D05364">
              <w:rPr>
                <w:rFonts w:eastAsia="Arial"/>
              </w:rPr>
              <w:t>)</w:t>
            </w:r>
          </w:p>
        </w:tc>
        <w:tc>
          <w:tcPr>
            <w:tcW w:w="1851" w:type="dxa"/>
          </w:tcPr>
          <w:p w14:paraId="2E5CAD65" w14:textId="77777777" w:rsidR="00AE5193" w:rsidRPr="00D05364" w:rsidRDefault="00DB73C4" w:rsidP="00AE5193">
            <w:sdt>
              <w:sdtPr>
                <w:rPr>
                  <w:rStyle w:val="Style2"/>
                </w:rPr>
                <w:id w:val="1558205022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E5193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AE5193" w:rsidRPr="00D05364">
              <w:t xml:space="preserve"> Taip</w:t>
            </w:r>
          </w:p>
          <w:p w14:paraId="3474B84F" w14:textId="77777777" w:rsidR="00AE5193" w:rsidRPr="00D05364" w:rsidRDefault="00DB73C4" w:rsidP="00AE5193">
            <w:sdt>
              <w:sdtPr>
                <w:rPr>
                  <w:rStyle w:val="Style2"/>
                </w:rPr>
                <w:id w:val="86602962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E5193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E5193" w:rsidRPr="00D05364">
              <w:t xml:space="preserve"> Ne</w:t>
            </w:r>
          </w:p>
          <w:p w14:paraId="7916359D" w14:textId="7ABDB7F3" w:rsidR="00AE5193" w:rsidRPr="00E33EFF" w:rsidRDefault="00AE5193" w:rsidP="00AE5193">
            <w:pPr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202</w:t>
            </w:r>
            <w:r w:rsidR="003F29B6">
              <w:rPr>
                <w:rFonts w:eastAsia="Arial"/>
                <w:lang w:val="en-US"/>
              </w:rPr>
              <w:t>5</w:t>
            </w:r>
            <w:r>
              <w:rPr>
                <w:rFonts w:eastAsia="Arial"/>
                <w:lang w:val="en-US"/>
              </w:rPr>
              <w:t xml:space="preserve"> 0</w:t>
            </w:r>
            <w:r w:rsidR="003F29B6">
              <w:rPr>
                <w:rFonts w:eastAsia="Arial"/>
                <w:lang w:val="en-US"/>
              </w:rPr>
              <w:t>8</w:t>
            </w:r>
            <w:r>
              <w:rPr>
                <w:rFonts w:eastAsia="Arial"/>
                <w:lang w:val="en-US"/>
              </w:rPr>
              <w:t xml:space="preserve"> </w:t>
            </w:r>
            <w:r w:rsidR="003F29B6">
              <w:rPr>
                <w:rFonts w:eastAsia="Arial"/>
                <w:lang w:val="en-US"/>
              </w:rPr>
              <w:t>06</w:t>
            </w:r>
          </w:p>
        </w:tc>
        <w:tc>
          <w:tcPr>
            <w:tcW w:w="4361" w:type="dxa"/>
            <w:gridSpan w:val="2"/>
          </w:tcPr>
          <w:p w14:paraId="02FA280A" w14:textId="77777777" w:rsidR="006C4B0E" w:rsidRPr="006C4B0E" w:rsidRDefault="006C4B0E" w:rsidP="006C4B0E">
            <w:pPr>
              <w:rPr>
                <w:rFonts w:eastAsia="Arial"/>
              </w:rPr>
            </w:pPr>
            <w:proofErr w:type="spellStart"/>
            <w:r w:rsidRPr="006C4B0E">
              <w:rPr>
                <w:rFonts w:eastAsia="Arial"/>
              </w:rPr>
              <w:t>Ribociklibas</w:t>
            </w:r>
            <w:proofErr w:type="spellEnd"/>
            <w:r w:rsidRPr="006C4B0E">
              <w:rPr>
                <w:rFonts w:eastAsia="Arial"/>
              </w:rPr>
              <w:t xml:space="preserve"> kartu su </w:t>
            </w:r>
            <w:proofErr w:type="spellStart"/>
            <w:r w:rsidRPr="006C4B0E">
              <w:rPr>
                <w:rFonts w:eastAsia="Arial"/>
              </w:rPr>
              <w:t>aromatazės</w:t>
            </w:r>
            <w:proofErr w:type="spellEnd"/>
            <w:r w:rsidRPr="006C4B0E">
              <w:rPr>
                <w:rFonts w:eastAsia="Arial"/>
              </w:rPr>
              <w:t xml:space="preserve"> inhibitoriumi, pagal jo rinkodaros leidimo sąlygas, gali būti vartojamas kaip </w:t>
            </w:r>
            <w:proofErr w:type="spellStart"/>
            <w:r w:rsidRPr="006C4B0E">
              <w:rPr>
                <w:rFonts w:eastAsia="Arial"/>
              </w:rPr>
              <w:t>adjuvantinis</w:t>
            </w:r>
            <w:proofErr w:type="spellEnd"/>
            <w:r w:rsidRPr="006C4B0E">
              <w:rPr>
                <w:rFonts w:eastAsia="Arial"/>
              </w:rPr>
              <w:t xml:space="preserve"> ankstyvos stadijos krūties vėžio, kurio recidyvo rizika yra didelė, gydymo pasirinkimas suaugusiesiems. </w:t>
            </w:r>
            <w:proofErr w:type="spellStart"/>
            <w:r w:rsidRPr="006C4B0E">
              <w:rPr>
                <w:rFonts w:eastAsia="Arial"/>
              </w:rPr>
              <w:t>Aromatazės</w:t>
            </w:r>
            <w:proofErr w:type="spellEnd"/>
            <w:r w:rsidRPr="006C4B0E">
              <w:rPr>
                <w:rFonts w:eastAsia="Arial"/>
              </w:rPr>
              <w:t xml:space="preserve"> inhibitorių reikia derinti su </w:t>
            </w:r>
            <w:proofErr w:type="spellStart"/>
            <w:r w:rsidRPr="006C4B0E">
              <w:rPr>
                <w:rFonts w:eastAsia="Arial"/>
              </w:rPr>
              <w:t>liuteinizuojantį</w:t>
            </w:r>
            <w:proofErr w:type="spellEnd"/>
            <w:r w:rsidRPr="006C4B0E">
              <w:rPr>
                <w:rFonts w:eastAsia="Arial"/>
              </w:rPr>
              <w:t xml:space="preserve"> hormoną atpalaiduojančio hormono </w:t>
            </w:r>
            <w:proofErr w:type="spellStart"/>
            <w:r w:rsidRPr="006C4B0E">
              <w:rPr>
                <w:rFonts w:eastAsia="Arial"/>
              </w:rPr>
              <w:t>agonistu</w:t>
            </w:r>
            <w:proofErr w:type="spellEnd"/>
            <w:r w:rsidRPr="006C4B0E">
              <w:rPr>
                <w:rFonts w:eastAsia="Arial"/>
              </w:rPr>
              <w:t>, nebent po menopauzės.</w:t>
            </w:r>
          </w:p>
          <w:p w14:paraId="51DEA7B4" w14:textId="77777777" w:rsidR="006C4B0E" w:rsidRPr="006C4B0E" w:rsidRDefault="006C4B0E" w:rsidP="006C4B0E">
            <w:pPr>
              <w:rPr>
                <w:rFonts w:eastAsia="Arial"/>
              </w:rPr>
            </w:pPr>
          </w:p>
          <w:p w14:paraId="67430EE7" w14:textId="65D47457" w:rsidR="00AE5193" w:rsidRPr="00E33EFF" w:rsidRDefault="006C4B0E" w:rsidP="006C4B0E">
            <w:pPr>
              <w:rPr>
                <w:rFonts w:eastAsia="Arial"/>
              </w:rPr>
            </w:pPr>
            <w:proofErr w:type="spellStart"/>
            <w:r w:rsidRPr="006C4B0E">
              <w:rPr>
                <w:rFonts w:eastAsia="Arial"/>
              </w:rPr>
              <w:t>Ribociklibas</w:t>
            </w:r>
            <w:proofErr w:type="spellEnd"/>
            <w:r w:rsidRPr="006C4B0E">
              <w:rPr>
                <w:rFonts w:eastAsia="Arial"/>
              </w:rPr>
              <w:t xml:space="preserve"> rekomenduojamas tik tuo atveju, jei bendrovė jį tiekia pagal komercinį susitarimą.</w:t>
            </w:r>
          </w:p>
        </w:tc>
      </w:tr>
      <w:tr w:rsidR="00E91323" w:rsidRPr="00E33EFF" w14:paraId="1CC31474" w14:textId="77777777" w:rsidTr="008F7693">
        <w:trPr>
          <w:trHeight w:val="1547"/>
        </w:trPr>
        <w:tc>
          <w:tcPr>
            <w:tcW w:w="2855" w:type="dxa"/>
          </w:tcPr>
          <w:p w14:paraId="47ED4A69" w14:textId="77777777" w:rsidR="00E91323" w:rsidRPr="00D05364" w:rsidRDefault="00E91323" w:rsidP="00E91323">
            <w:pPr>
              <w:spacing w:line="276" w:lineRule="auto"/>
              <w:rPr>
                <w:rFonts w:eastAsia="Arial"/>
              </w:rPr>
            </w:pPr>
            <w:r w:rsidRPr="00D05364">
              <w:rPr>
                <w:rFonts w:eastAsia="Arial"/>
              </w:rPr>
              <w:t>Kanados sveikatos technologijų agentūra</w:t>
            </w:r>
          </w:p>
          <w:p w14:paraId="2C593A82" w14:textId="754C7DD3" w:rsidR="00E91323" w:rsidRPr="00E33EFF" w:rsidRDefault="00E91323" w:rsidP="00E91323">
            <w:pPr>
              <w:rPr>
                <w:rFonts w:eastAsia="Arial"/>
                <w:lang w:val="en-GB"/>
              </w:rPr>
            </w:pPr>
            <w:r w:rsidRPr="00D05364">
              <w:rPr>
                <w:rFonts w:eastAsia="Arial"/>
              </w:rPr>
              <w:t xml:space="preserve">(angl. </w:t>
            </w:r>
            <w:proofErr w:type="spellStart"/>
            <w:r w:rsidRPr="00D05364">
              <w:rPr>
                <w:rFonts w:eastAsia="Arial"/>
                <w:i/>
              </w:rPr>
              <w:t>Canadian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health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Technology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Assessment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agency</w:t>
            </w:r>
            <w:proofErr w:type="spellEnd"/>
            <w:r w:rsidRPr="00D05364">
              <w:rPr>
                <w:rFonts w:eastAsia="Arial"/>
                <w:i/>
              </w:rPr>
              <w:t>, CADTH</w:t>
            </w:r>
            <w:r w:rsidRPr="00D05364">
              <w:rPr>
                <w:rFonts w:eastAsia="Arial"/>
              </w:rPr>
              <w:t>)</w:t>
            </w:r>
          </w:p>
        </w:tc>
        <w:tc>
          <w:tcPr>
            <w:tcW w:w="1851" w:type="dxa"/>
          </w:tcPr>
          <w:p w14:paraId="6DEC1134" w14:textId="759294E4" w:rsidR="00E91323" w:rsidRPr="00D05364" w:rsidRDefault="00DB73C4" w:rsidP="00E91323">
            <w:sdt>
              <w:sdtPr>
                <w:rPr>
                  <w:rStyle w:val="Style2"/>
                </w:rPr>
                <w:id w:val="-372539057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41200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E91323" w:rsidRPr="00D05364">
              <w:t xml:space="preserve"> Taip</w:t>
            </w:r>
          </w:p>
          <w:p w14:paraId="145CE357" w14:textId="5ADA225F" w:rsidR="00E91323" w:rsidRDefault="00DB73C4" w:rsidP="00E91323">
            <w:sdt>
              <w:sdtPr>
                <w:rPr>
                  <w:rStyle w:val="Style2"/>
                </w:rPr>
                <w:id w:val="59444222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41200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91323" w:rsidRPr="00D05364">
              <w:t xml:space="preserve"> Ne</w:t>
            </w:r>
          </w:p>
          <w:p w14:paraId="0C0988CC" w14:textId="5BCCCF4C" w:rsidR="00E91323" w:rsidRPr="00E33EFF" w:rsidRDefault="00E91323" w:rsidP="00E91323">
            <w:pPr>
              <w:rPr>
                <w:rFonts w:eastAsia="Arial"/>
              </w:rPr>
            </w:pPr>
            <w:r>
              <w:t>202</w:t>
            </w:r>
            <w:r w:rsidR="00C7559B">
              <w:t>5</w:t>
            </w:r>
          </w:p>
        </w:tc>
        <w:tc>
          <w:tcPr>
            <w:tcW w:w="4361" w:type="dxa"/>
            <w:gridSpan w:val="2"/>
          </w:tcPr>
          <w:p w14:paraId="5C8CB330" w14:textId="3E70507D" w:rsidR="00E91323" w:rsidRPr="00E33EFF" w:rsidRDefault="00352AED" w:rsidP="00E91323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Šiuo metu </w:t>
            </w:r>
            <w:r w:rsidR="00085F92">
              <w:rPr>
                <w:rFonts w:eastAsia="Arial"/>
              </w:rPr>
              <w:t xml:space="preserve">CADTH dar nėra pateikusi galutinio sprendimo dėl </w:t>
            </w:r>
            <w:proofErr w:type="spellStart"/>
            <w:r w:rsidR="00085F92">
              <w:rPr>
                <w:rFonts w:eastAsia="Arial"/>
              </w:rPr>
              <w:t>ribo</w:t>
            </w:r>
            <w:r w:rsidR="00A322E1">
              <w:rPr>
                <w:rFonts w:eastAsia="Arial"/>
              </w:rPr>
              <w:t>ciklibo</w:t>
            </w:r>
            <w:proofErr w:type="spellEnd"/>
            <w:r w:rsidR="00A322E1">
              <w:rPr>
                <w:rFonts w:eastAsia="Arial"/>
              </w:rPr>
              <w:t>, nors vyksta vertinimo</w:t>
            </w:r>
            <w:r w:rsidR="00460D3F">
              <w:rPr>
                <w:rFonts w:eastAsia="Arial"/>
              </w:rPr>
              <w:t xml:space="preserve"> procesas </w:t>
            </w:r>
            <w:r w:rsidR="00BC6AC2">
              <w:rPr>
                <w:rFonts w:eastAsia="Arial"/>
              </w:rPr>
              <w:t>- k</w:t>
            </w:r>
            <w:r w:rsidR="00BC6AC2" w:rsidRPr="00BC6AC2">
              <w:rPr>
                <w:rFonts w:eastAsia="Arial"/>
              </w:rPr>
              <w:t>ompensavimo peržiūra</w:t>
            </w:r>
            <w:r w:rsidR="00BC6AC2">
              <w:rPr>
                <w:rFonts w:eastAsia="Arial"/>
              </w:rPr>
              <w:t>.</w:t>
            </w:r>
          </w:p>
        </w:tc>
      </w:tr>
      <w:tr w:rsidR="003F4C12" w:rsidRPr="00E33EFF" w14:paraId="21C94D47" w14:textId="77777777" w:rsidTr="008F7693">
        <w:trPr>
          <w:trHeight w:val="2160"/>
        </w:trPr>
        <w:tc>
          <w:tcPr>
            <w:tcW w:w="2855" w:type="dxa"/>
          </w:tcPr>
          <w:p w14:paraId="62544139" w14:textId="77777777" w:rsidR="003F4C12" w:rsidRPr="00D05364" w:rsidRDefault="003F4C12" w:rsidP="003F4C12">
            <w:pPr>
              <w:spacing w:line="276" w:lineRule="auto"/>
              <w:rPr>
                <w:rFonts w:eastAsia="Arial"/>
              </w:rPr>
            </w:pPr>
            <w:r w:rsidRPr="00D05364">
              <w:rPr>
                <w:rFonts w:eastAsia="Arial"/>
              </w:rPr>
              <w:lastRenderedPageBreak/>
              <w:t xml:space="preserve">Nacionalinis </w:t>
            </w:r>
            <w:proofErr w:type="spellStart"/>
            <w:r w:rsidRPr="00D05364">
              <w:rPr>
                <w:rFonts w:eastAsia="Arial"/>
              </w:rPr>
              <w:t>farmakoekonomikos</w:t>
            </w:r>
            <w:proofErr w:type="spellEnd"/>
            <w:r w:rsidRPr="00D05364">
              <w:rPr>
                <w:rFonts w:eastAsia="Arial"/>
              </w:rPr>
              <w:t xml:space="preserve"> centras, Airija</w:t>
            </w:r>
          </w:p>
          <w:p w14:paraId="736F5072" w14:textId="55571780" w:rsidR="003F4C12" w:rsidRPr="00E33EFF" w:rsidRDefault="003F4C12" w:rsidP="003F4C12">
            <w:pPr>
              <w:rPr>
                <w:rFonts w:eastAsia="Arial"/>
              </w:rPr>
            </w:pPr>
            <w:r w:rsidRPr="00D05364">
              <w:rPr>
                <w:rFonts w:eastAsia="Arial"/>
              </w:rPr>
              <w:t>(angl.</w:t>
            </w:r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National</w:t>
            </w:r>
            <w:proofErr w:type="spellEnd"/>
            <w:r w:rsidRPr="00D05364">
              <w:rPr>
                <w:rFonts w:eastAsia="Arial"/>
                <w:i/>
              </w:rPr>
              <w:t xml:space="preserve"> Centre </w:t>
            </w:r>
            <w:proofErr w:type="spellStart"/>
            <w:r w:rsidRPr="00D05364">
              <w:rPr>
                <w:rFonts w:eastAsia="Arial"/>
                <w:i/>
              </w:rPr>
              <w:t>for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Pharmacoeconomics</w:t>
            </w:r>
            <w:proofErr w:type="spellEnd"/>
            <w:r w:rsidRPr="00D05364">
              <w:rPr>
                <w:rFonts w:eastAsia="Arial"/>
                <w:i/>
              </w:rPr>
              <w:t>, NCPE</w:t>
            </w:r>
            <w:r w:rsidRPr="00D05364">
              <w:rPr>
                <w:rFonts w:eastAsia="Arial"/>
              </w:rPr>
              <w:t>)</w:t>
            </w:r>
          </w:p>
        </w:tc>
        <w:tc>
          <w:tcPr>
            <w:tcW w:w="1851" w:type="dxa"/>
          </w:tcPr>
          <w:p w14:paraId="2D5451C3" w14:textId="7C71D4A0" w:rsidR="003F4C12" w:rsidRPr="00D05364" w:rsidRDefault="00DB73C4" w:rsidP="003F4C12">
            <w:sdt>
              <w:sdtPr>
                <w:rPr>
                  <w:rStyle w:val="Style2"/>
                </w:rPr>
                <w:id w:val="-1888403732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F4C12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3F4C12" w:rsidRPr="00D05364">
              <w:t xml:space="preserve"> Taip</w:t>
            </w:r>
            <w:r w:rsidR="003F4C12">
              <w:t xml:space="preserve"> </w:t>
            </w:r>
          </w:p>
          <w:p w14:paraId="16D16EBF" w14:textId="77777777" w:rsidR="003F4C12" w:rsidRPr="00D05364" w:rsidRDefault="00DB73C4" w:rsidP="003F4C12">
            <w:sdt>
              <w:sdtPr>
                <w:rPr>
                  <w:rStyle w:val="Style2"/>
                </w:rPr>
                <w:id w:val="109220179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F4C12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F4C12" w:rsidRPr="00D05364">
              <w:t xml:space="preserve"> Ne</w:t>
            </w:r>
          </w:p>
          <w:p w14:paraId="69AA1151" w14:textId="79FDD699" w:rsidR="003F4C12" w:rsidRPr="00E33EFF" w:rsidRDefault="003F4C12" w:rsidP="003F4C12">
            <w:pPr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202</w:t>
            </w:r>
            <w:r w:rsidR="00B41200">
              <w:rPr>
                <w:rFonts w:eastAsia="Arial"/>
                <w:lang w:val="en-US"/>
              </w:rPr>
              <w:t>4</w:t>
            </w:r>
            <w:r>
              <w:rPr>
                <w:rFonts w:eastAsia="Arial"/>
                <w:lang w:val="en-US"/>
              </w:rPr>
              <w:t xml:space="preserve"> </w:t>
            </w:r>
            <w:r w:rsidR="00B41200">
              <w:rPr>
                <w:rFonts w:eastAsia="Arial"/>
                <w:lang w:val="en-US"/>
              </w:rPr>
              <w:t>12</w:t>
            </w:r>
            <w:r>
              <w:rPr>
                <w:rFonts w:eastAsia="Arial"/>
                <w:lang w:val="en-US"/>
              </w:rPr>
              <w:t xml:space="preserve"> </w:t>
            </w:r>
            <w:r w:rsidR="00B41200">
              <w:rPr>
                <w:rFonts w:eastAsia="Arial"/>
                <w:lang w:val="en-US"/>
              </w:rPr>
              <w:t>19</w:t>
            </w:r>
          </w:p>
        </w:tc>
        <w:tc>
          <w:tcPr>
            <w:tcW w:w="4361" w:type="dxa"/>
            <w:gridSpan w:val="2"/>
          </w:tcPr>
          <w:p w14:paraId="60651AFD" w14:textId="5676B53D" w:rsidR="003F4C12" w:rsidRPr="00E33EFF" w:rsidRDefault="00991668" w:rsidP="003F4C12">
            <w:pPr>
              <w:rPr>
                <w:rFonts w:eastAsia="Arial"/>
              </w:rPr>
            </w:pPr>
            <w:r>
              <w:rPr>
                <w:rFonts w:eastAsia="Arial"/>
              </w:rPr>
              <w:t>Ner</w:t>
            </w:r>
            <w:r w:rsidR="003F4C12" w:rsidRPr="001F35DC">
              <w:rPr>
                <w:rFonts w:eastAsia="Arial"/>
              </w:rPr>
              <w:t>ekomenduojama atlikti pilną sveikatos technologijų vertinimą</w:t>
            </w:r>
            <w:r w:rsidR="003F4C12">
              <w:rPr>
                <w:rFonts w:eastAsia="Arial"/>
              </w:rPr>
              <w:t>.</w:t>
            </w:r>
          </w:p>
        </w:tc>
      </w:tr>
    </w:tbl>
    <w:p w14:paraId="2EB7FD31" w14:textId="4D2A8479" w:rsidR="007A2B68" w:rsidRDefault="007A2B68" w:rsidP="00E03C3F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5055E8A8" w14:textId="3A0B67F2" w:rsidR="002E6F80" w:rsidRPr="00817368" w:rsidRDefault="00CC7832" w:rsidP="00817368">
      <w:pPr>
        <w:pStyle w:val="Sraopastraipa"/>
        <w:numPr>
          <w:ilvl w:val="0"/>
          <w:numId w:val="14"/>
        </w:numPr>
        <w:rPr>
          <w:b/>
          <w:bCs/>
          <w:caps/>
        </w:rPr>
      </w:pPr>
      <w:r w:rsidRPr="00817368">
        <w:rPr>
          <w:b/>
          <w:bCs/>
          <w:caps/>
        </w:rPr>
        <w:t>Klinikinio vertinimo a</w:t>
      </w:r>
      <w:r w:rsidR="00D4485B" w:rsidRPr="00817368">
        <w:rPr>
          <w:b/>
          <w:bCs/>
          <w:caps/>
        </w:rPr>
        <w:t>pibendrinimas</w:t>
      </w:r>
    </w:p>
    <w:p w14:paraId="6570AA93" w14:textId="77777777" w:rsidR="005E28F2" w:rsidRDefault="005E28F2" w:rsidP="005E28F2">
      <w:pPr>
        <w:pStyle w:val="Sraopastraipa"/>
        <w:tabs>
          <w:tab w:val="left" w:pos="567"/>
        </w:tabs>
        <w:rPr>
          <w:b/>
          <w:bCs/>
          <w:caps/>
        </w:rPr>
      </w:pPr>
    </w:p>
    <w:p w14:paraId="13CC310D" w14:textId="77777777" w:rsidR="00424903" w:rsidRPr="009B3ADE" w:rsidRDefault="00424903" w:rsidP="00424903">
      <w:pPr>
        <w:spacing w:line="276" w:lineRule="auto"/>
        <w:ind w:firstLine="720"/>
        <w:jc w:val="both"/>
        <w:rPr>
          <w:color w:val="000000"/>
        </w:rPr>
      </w:pPr>
      <w:r w:rsidRPr="009B3ADE">
        <w:rPr>
          <w:color w:val="000000"/>
        </w:rPr>
        <w:t xml:space="preserve">Krūties vėžys (KV) yra dažniausia moterų onkologinė liga. KV daugeliu atvejų prasideda krūties latakuose arba skiltelėse. KV gali plisti į kitus audinius ir/ar organus. </w:t>
      </w:r>
      <w:r w:rsidRPr="009B3ADE">
        <w:t>Riziką susirgti KV padidina genetiniai faktoriai, hormonų poveikis ir išoriniai veiksniai.</w:t>
      </w:r>
    </w:p>
    <w:p w14:paraId="1B8280D7" w14:textId="77777777" w:rsidR="00424903" w:rsidRPr="00031245" w:rsidRDefault="00424903" w:rsidP="00424903">
      <w:pPr>
        <w:spacing w:line="276" w:lineRule="auto"/>
        <w:ind w:firstLine="720"/>
        <w:jc w:val="both"/>
        <w:rPr>
          <w:color w:val="000000"/>
        </w:rPr>
      </w:pPr>
      <w:r w:rsidRPr="009B3ADE">
        <w:rPr>
          <w:color w:val="000000"/>
        </w:rPr>
        <w:t xml:space="preserve">KV gydymui ir prognozei yra svarbūs naviko ląstelėse nustatomi estrogenų receptoriai (ER), progesterono receptoriai (PR), ir žmogaus epidermio augimo faktoriaus receptorius 2 (angl. </w:t>
      </w:r>
      <w:proofErr w:type="spellStart"/>
      <w:r w:rsidRPr="009B3ADE">
        <w:rPr>
          <w:color w:val="000000"/>
        </w:rPr>
        <w:t>human</w:t>
      </w:r>
      <w:proofErr w:type="spellEnd"/>
      <w:r w:rsidRPr="009B3ADE">
        <w:rPr>
          <w:color w:val="000000"/>
        </w:rPr>
        <w:t xml:space="preserve"> </w:t>
      </w:r>
      <w:proofErr w:type="spellStart"/>
      <w:r w:rsidRPr="009B3ADE">
        <w:rPr>
          <w:color w:val="000000"/>
        </w:rPr>
        <w:t>epidermal</w:t>
      </w:r>
      <w:proofErr w:type="spellEnd"/>
      <w:r w:rsidRPr="009B3ADE">
        <w:rPr>
          <w:color w:val="000000"/>
        </w:rPr>
        <w:t xml:space="preserve"> </w:t>
      </w:r>
      <w:proofErr w:type="spellStart"/>
      <w:r w:rsidRPr="009B3ADE">
        <w:rPr>
          <w:color w:val="000000"/>
        </w:rPr>
        <w:t>growth</w:t>
      </w:r>
      <w:proofErr w:type="spellEnd"/>
      <w:r w:rsidRPr="009B3ADE">
        <w:rPr>
          <w:color w:val="000000"/>
        </w:rPr>
        <w:t xml:space="preserve"> </w:t>
      </w:r>
      <w:proofErr w:type="spellStart"/>
      <w:r w:rsidRPr="009B3ADE">
        <w:rPr>
          <w:color w:val="000000"/>
        </w:rPr>
        <w:t>factor</w:t>
      </w:r>
      <w:proofErr w:type="spellEnd"/>
      <w:r w:rsidRPr="009B3ADE">
        <w:rPr>
          <w:color w:val="000000"/>
        </w:rPr>
        <w:t xml:space="preserve"> </w:t>
      </w:r>
      <w:proofErr w:type="spellStart"/>
      <w:r w:rsidRPr="009B3ADE">
        <w:rPr>
          <w:color w:val="000000"/>
        </w:rPr>
        <w:t>receptor</w:t>
      </w:r>
      <w:proofErr w:type="spellEnd"/>
      <w:r w:rsidRPr="009B3ADE">
        <w:rPr>
          <w:color w:val="000000"/>
        </w:rPr>
        <w:t xml:space="preserve"> 2, HER2).</w:t>
      </w:r>
      <w:r>
        <w:rPr>
          <w:rFonts w:eastAsia="Arial"/>
          <w:iCs/>
          <w:color w:val="00B050"/>
        </w:rPr>
        <w:t xml:space="preserve"> </w:t>
      </w:r>
      <w:r w:rsidRPr="00031245">
        <w:rPr>
          <w:color w:val="000000"/>
        </w:rPr>
        <w:t>Labiausiai paplitęs KV potipis yra HR+/HER2–, sudarantis 73% visų KV. Daugiau nei 90% KV atvejų diagnozuojama ankstyvoje stadijoje, kai vėžys nėra išplitęs už krūties ar pažasties limfmazgių. Ankstyvasis krūties vėžys (</w:t>
      </w:r>
      <w:proofErr w:type="spellStart"/>
      <w:r w:rsidRPr="00031245">
        <w:rPr>
          <w:color w:val="000000"/>
        </w:rPr>
        <w:t>aKV</w:t>
      </w:r>
      <w:proofErr w:type="spellEnd"/>
      <w:r w:rsidRPr="00031245">
        <w:rPr>
          <w:color w:val="000000"/>
        </w:rPr>
        <w:t xml:space="preserve">) apima latakų karcinomą </w:t>
      </w:r>
      <w:proofErr w:type="spellStart"/>
      <w:r w:rsidRPr="00031245">
        <w:rPr>
          <w:color w:val="000000"/>
        </w:rPr>
        <w:t>in</w:t>
      </w:r>
      <w:proofErr w:type="spellEnd"/>
      <w:r w:rsidRPr="00031245">
        <w:rPr>
          <w:color w:val="000000"/>
        </w:rPr>
        <w:t xml:space="preserve"> </w:t>
      </w:r>
      <w:proofErr w:type="spellStart"/>
      <w:r w:rsidRPr="00031245">
        <w:rPr>
          <w:color w:val="000000"/>
        </w:rPr>
        <w:t>situ</w:t>
      </w:r>
      <w:proofErr w:type="spellEnd"/>
      <w:r w:rsidRPr="00031245">
        <w:rPr>
          <w:color w:val="000000"/>
        </w:rPr>
        <w:t xml:space="preserve"> (0 stadija) ir I, IIA, IIB ir IIIA stadijas.</w:t>
      </w:r>
    </w:p>
    <w:p w14:paraId="789565A9" w14:textId="77777777" w:rsidR="00424903" w:rsidRPr="00031245" w:rsidRDefault="00424903" w:rsidP="00424903">
      <w:pPr>
        <w:spacing w:line="276" w:lineRule="auto"/>
        <w:ind w:firstLine="720"/>
        <w:jc w:val="both"/>
        <w:rPr>
          <w:color w:val="000000"/>
        </w:rPr>
      </w:pPr>
      <w:r w:rsidRPr="00031245">
        <w:rPr>
          <w:color w:val="000000"/>
        </w:rPr>
        <w:t xml:space="preserve">Pacientams, sergantiems </w:t>
      </w:r>
      <w:proofErr w:type="spellStart"/>
      <w:r w:rsidRPr="00031245">
        <w:rPr>
          <w:color w:val="000000"/>
        </w:rPr>
        <w:t>aKV</w:t>
      </w:r>
      <w:proofErr w:type="spellEnd"/>
      <w:r w:rsidRPr="00031245">
        <w:rPr>
          <w:color w:val="000000"/>
        </w:rPr>
        <w:t xml:space="preserve">, gydymo tikslas yra sunaikinti naviką ir užkirsti kelią ligos recidyvui atliekant </w:t>
      </w:r>
      <w:proofErr w:type="spellStart"/>
      <w:r w:rsidRPr="00031245">
        <w:rPr>
          <w:color w:val="000000"/>
        </w:rPr>
        <w:t>rezekciją</w:t>
      </w:r>
      <w:proofErr w:type="spellEnd"/>
      <w:r w:rsidRPr="00031245">
        <w:rPr>
          <w:color w:val="000000"/>
        </w:rPr>
        <w:t xml:space="preserve"> ir (arba) skiriant chemoterapiją (</w:t>
      </w:r>
      <w:proofErr w:type="spellStart"/>
      <w:r w:rsidRPr="00031245">
        <w:rPr>
          <w:color w:val="000000"/>
        </w:rPr>
        <w:t>ChT</w:t>
      </w:r>
      <w:proofErr w:type="spellEnd"/>
      <w:r w:rsidRPr="00031245">
        <w:rPr>
          <w:color w:val="000000"/>
        </w:rPr>
        <w:t xml:space="preserve">), po to taikant </w:t>
      </w:r>
      <w:proofErr w:type="spellStart"/>
      <w:r w:rsidRPr="00031245">
        <w:rPr>
          <w:color w:val="000000"/>
        </w:rPr>
        <w:t>adjuvantinį</w:t>
      </w:r>
      <w:proofErr w:type="spellEnd"/>
      <w:r w:rsidRPr="00031245">
        <w:rPr>
          <w:color w:val="000000"/>
        </w:rPr>
        <w:t xml:space="preserve"> gydymą. </w:t>
      </w:r>
    </w:p>
    <w:p w14:paraId="1669EF05" w14:textId="77777777" w:rsidR="00424903" w:rsidRPr="00BF0838" w:rsidRDefault="00424903" w:rsidP="00424903">
      <w:pPr>
        <w:spacing w:line="276" w:lineRule="auto"/>
        <w:ind w:firstLine="720"/>
        <w:jc w:val="both"/>
        <w:rPr>
          <w:color w:val="000000"/>
        </w:rPr>
      </w:pPr>
      <w:r w:rsidRPr="00031245">
        <w:rPr>
          <w:color w:val="000000"/>
        </w:rPr>
        <w:t xml:space="preserve">Gydymą rekomenduojama optimizuoti atsižvelgiant į paciento charakteristikas, ligos stadiją, limfmazgių būklę, naviko laipsnį, histologinį / </w:t>
      </w:r>
      <w:proofErr w:type="spellStart"/>
      <w:r w:rsidRPr="00031245">
        <w:rPr>
          <w:color w:val="000000"/>
        </w:rPr>
        <w:t>genominį</w:t>
      </w:r>
      <w:proofErr w:type="spellEnd"/>
      <w:r w:rsidRPr="00031245">
        <w:rPr>
          <w:color w:val="000000"/>
        </w:rPr>
        <w:t xml:space="preserve"> profilį, pagrindines bei gretutines ligas ir kitus demografinius veiksnius.</w:t>
      </w:r>
      <w:r w:rsidRPr="00E85B51">
        <w:rPr>
          <w:color w:val="000000"/>
        </w:rPr>
        <w:t xml:space="preserve"> </w:t>
      </w:r>
      <w:proofErr w:type="spellStart"/>
      <w:r w:rsidRPr="00BF0838">
        <w:rPr>
          <w:color w:val="000000"/>
        </w:rPr>
        <w:t>Ribociklibas</w:t>
      </w:r>
      <w:proofErr w:type="spellEnd"/>
      <w:r w:rsidRPr="00BF0838">
        <w:rPr>
          <w:color w:val="000000"/>
        </w:rPr>
        <w:t xml:space="preserve"> ir </w:t>
      </w:r>
      <w:proofErr w:type="spellStart"/>
      <w:r w:rsidRPr="00BF0838">
        <w:rPr>
          <w:color w:val="000000"/>
        </w:rPr>
        <w:t>abemaciklibas</w:t>
      </w:r>
      <w:proofErr w:type="spellEnd"/>
      <w:r w:rsidRPr="00BF0838">
        <w:rPr>
          <w:color w:val="000000"/>
        </w:rPr>
        <w:t xml:space="preserve"> yra rekomenduojami ASCO ir NCCN </w:t>
      </w:r>
      <w:proofErr w:type="spellStart"/>
      <w:r w:rsidRPr="00BF0838">
        <w:rPr>
          <w:color w:val="000000"/>
        </w:rPr>
        <w:t>aKV</w:t>
      </w:r>
      <w:proofErr w:type="spellEnd"/>
      <w:r w:rsidRPr="00BF0838">
        <w:rPr>
          <w:color w:val="000000"/>
        </w:rPr>
        <w:t xml:space="preserve"> gydymo gairėse. ESMO gairių paskelbimo metu </w:t>
      </w:r>
      <w:proofErr w:type="spellStart"/>
      <w:r w:rsidRPr="00BF0838">
        <w:rPr>
          <w:color w:val="000000"/>
        </w:rPr>
        <w:t>ribociklibo</w:t>
      </w:r>
      <w:proofErr w:type="spellEnd"/>
      <w:r w:rsidRPr="00BF0838">
        <w:rPr>
          <w:color w:val="000000"/>
        </w:rPr>
        <w:t xml:space="preserve"> indikacija HR+/HER2 – </w:t>
      </w:r>
      <w:proofErr w:type="spellStart"/>
      <w:r w:rsidRPr="00BF0838">
        <w:rPr>
          <w:color w:val="000000"/>
        </w:rPr>
        <w:t>aKV</w:t>
      </w:r>
      <w:proofErr w:type="spellEnd"/>
      <w:r w:rsidRPr="00BF0838">
        <w:rPr>
          <w:color w:val="000000"/>
        </w:rPr>
        <w:t xml:space="preserve"> sergantiems pacientams, kuriems gresia ligos recidyvas, dar nebuvo registruota, tačiau NATALEE klinikinis tyrimas yra įtrauktas.</w:t>
      </w:r>
    </w:p>
    <w:p w14:paraId="79035892" w14:textId="77777777" w:rsidR="00424903" w:rsidRDefault="00424903" w:rsidP="00424903">
      <w:pPr>
        <w:spacing w:line="276" w:lineRule="auto"/>
        <w:jc w:val="both"/>
        <w:rPr>
          <w:bCs/>
          <w:color w:val="000000"/>
        </w:rPr>
      </w:pPr>
      <w:r w:rsidRPr="00BF0838">
        <w:rPr>
          <w:rFonts w:eastAsia="Arial"/>
        </w:rPr>
        <w:tab/>
      </w:r>
      <w:r w:rsidRPr="00BF0838">
        <w:rPr>
          <w:bCs/>
        </w:rPr>
        <w:t>Šiuo metu Lietuvoje ankstyvo KV gydym</w:t>
      </w:r>
      <w:r>
        <w:rPr>
          <w:bCs/>
        </w:rPr>
        <w:t>ą</w:t>
      </w:r>
      <w:r w:rsidRPr="00BF0838">
        <w:rPr>
          <w:bCs/>
        </w:rPr>
        <w:t xml:space="preserve"> reglamentuoja</w:t>
      </w:r>
      <w:r>
        <w:rPr>
          <w:bCs/>
        </w:rPr>
        <w:t xml:space="preserve"> Lietuvos Respublikos sveikatos apsaugos ministro</w:t>
      </w:r>
      <w:r w:rsidRPr="00BF0838">
        <w:rPr>
          <w:bCs/>
        </w:rPr>
        <w:t xml:space="preserve"> </w:t>
      </w:r>
      <w:r>
        <w:rPr>
          <w:bCs/>
        </w:rPr>
        <w:t xml:space="preserve">įsakymu </w:t>
      </w:r>
      <w:r w:rsidRPr="00BF0838">
        <w:rPr>
          <w:bCs/>
        </w:rPr>
        <w:t>„Dėl krūties piktybinio naviko ambulatorinio gydymo kompensuojamais vaistais tvarkos apraš</w:t>
      </w:r>
      <w:r>
        <w:rPr>
          <w:bCs/>
        </w:rPr>
        <w:t>o patvirtinimo</w:t>
      </w:r>
      <w:r w:rsidRPr="00BF0838">
        <w:rPr>
          <w:bCs/>
        </w:rPr>
        <w:t>“ 2011 liepos 22 d. Nr. V-713</w:t>
      </w:r>
      <w:r>
        <w:rPr>
          <w:bCs/>
        </w:rPr>
        <w:t xml:space="preserve"> patvirtintas </w:t>
      </w:r>
      <w:r w:rsidRPr="00BF0838">
        <w:rPr>
          <w:bCs/>
        </w:rPr>
        <w:t>krūties piktybinio naviko ambulatorinio gydymo kompensuojamais vaistais tvarkos apraš</w:t>
      </w:r>
      <w:r>
        <w:rPr>
          <w:bCs/>
        </w:rPr>
        <w:t>as (toliau – Krūties vėžio gydymo aprašas</w:t>
      </w:r>
      <w:r w:rsidRPr="00BF0838">
        <w:rPr>
          <w:bCs/>
        </w:rPr>
        <w:t xml:space="preserve">). Šiuo metu minėtas aprašas yra neatnaujintas. Tačiau remiantis </w:t>
      </w:r>
      <w:r>
        <w:rPr>
          <w:bCs/>
        </w:rPr>
        <w:t>L</w:t>
      </w:r>
      <w:r w:rsidRPr="007E0552">
        <w:t xml:space="preserve">ietuvos </w:t>
      </w:r>
      <w:r>
        <w:t>R</w:t>
      </w:r>
      <w:r w:rsidRPr="007E0552">
        <w:t>espublikos sveikatos apsaugos ministr</w:t>
      </w:r>
      <w:r>
        <w:t>o įsakymu „D</w:t>
      </w:r>
      <w:r w:rsidRPr="007E0552">
        <w:t>ėl kompensuojamųjų vaistų sąrašų patvirtinimo</w:t>
      </w:r>
      <w:r>
        <w:t xml:space="preserve">“ </w:t>
      </w:r>
      <w:r w:rsidRPr="007E0552">
        <w:rPr>
          <w:bCs/>
        </w:rPr>
        <w:t>2000 m. sausio 28 d. Nr. 49</w:t>
      </w:r>
      <w:r>
        <w:rPr>
          <w:bCs/>
        </w:rPr>
        <w:t>, patvirtintu „</w:t>
      </w:r>
      <w:r>
        <w:rPr>
          <w:bCs/>
          <w:szCs w:val="20"/>
        </w:rPr>
        <w:t>L</w:t>
      </w:r>
      <w:r w:rsidRPr="007E0552">
        <w:rPr>
          <w:bCs/>
          <w:szCs w:val="20"/>
        </w:rPr>
        <w:t>igų ir kompensuojamųjų vaistų joms gydyti sąraš</w:t>
      </w:r>
      <w:r>
        <w:rPr>
          <w:bCs/>
          <w:szCs w:val="20"/>
        </w:rPr>
        <w:t xml:space="preserve">u </w:t>
      </w:r>
      <w:r w:rsidRPr="007E0552">
        <w:rPr>
          <w:bCs/>
          <w:szCs w:val="20"/>
        </w:rPr>
        <w:t>(</w:t>
      </w:r>
      <w:r>
        <w:rPr>
          <w:bCs/>
          <w:szCs w:val="20"/>
        </w:rPr>
        <w:t>A</w:t>
      </w:r>
      <w:r w:rsidRPr="007E0552">
        <w:rPr>
          <w:bCs/>
          <w:szCs w:val="20"/>
        </w:rPr>
        <w:t xml:space="preserve"> sąrašas)</w:t>
      </w:r>
      <w:r>
        <w:rPr>
          <w:bCs/>
          <w:szCs w:val="20"/>
        </w:rPr>
        <w:t>“ (toliau – A sąrašas),</w:t>
      </w:r>
      <w:r w:rsidRPr="00BF0838">
        <w:rPr>
          <w:bCs/>
        </w:rPr>
        <w:t xml:space="preserve"> šiai konkrečiai pacientų grupei skiriamas </w:t>
      </w:r>
      <w:proofErr w:type="spellStart"/>
      <w:r w:rsidRPr="00BF0838">
        <w:rPr>
          <w:bCs/>
        </w:rPr>
        <w:t>abemaciklibas</w:t>
      </w:r>
      <w:proofErr w:type="spellEnd"/>
      <w:r w:rsidRPr="00BF0838">
        <w:rPr>
          <w:bCs/>
        </w:rPr>
        <w:t>.</w:t>
      </w:r>
      <w:r>
        <w:rPr>
          <w:rFonts w:eastAsia="Arial"/>
        </w:rPr>
        <w:t xml:space="preserve"> </w:t>
      </w:r>
      <w:r w:rsidRPr="00031245">
        <w:rPr>
          <w:bCs/>
          <w:color w:val="000000"/>
        </w:rPr>
        <w:t xml:space="preserve">Atsiradus </w:t>
      </w:r>
      <w:proofErr w:type="spellStart"/>
      <w:r w:rsidRPr="00031245">
        <w:rPr>
          <w:bCs/>
          <w:color w:val="000000"/>
        </w:rPr>
        <w:t>ribociklibui</w:t>
      </w:r>
      <w:proofErr w:type="spellEnd"/>
      <w:r w:rsidRPr="00031245">
        <w:rPr>
          <w:bCs/>
          <w:color w:val="000000"/>
        </w:rPr>
        <w:t xml:space="preserve"> kompensuojamųjų vaistų sąraš</w:t>
      </w:r>
      <w:r>
        <w:rPr>
          <w:bCs/>
          <w:color w:val="000000"/>
        </w:rPr>
        <w:t>e</w:t>
      </w:r>
      <w:r w:rsidRPr="00031245">
        <w:rPr>
          <w:bCs/>
          <w:color w:val="000000"/>
        </w:rPr>
        <w:t>, tai bus dar vienas gydymo pasirinkimas pacientams, kuriems nustatytas krūties vėžys</w:t>
      </w:r>
      <w:r>
        <w:rPr>
          <w:bCs/>
          <w:color w:val="000000"/>
        </w:rPr>
        <w:t>.</w:t>
      </w:r>
    </w:p>
    <w:p w14:paraId="1069DD5E" w14:textId="1F89B136" w:rsidR="00424903" w:rsidRPr="00063F1F" w:rsidRDefault="00424903" w:rsidP="00424903">
      <w:pPr>
        <w:tabs>
          <w:tab w:val="left" w:pos="492"/>
        </w:tabs>
        <w:spacing w:line="276" w:lineRule="auto"/>
        <w:jc w:val="both"/>
        <w:outlineLvl w:val="1"/>
        <w:rPr>
          <w:bCs/>
          <w:color w:val="000000"/>
        </w:rPr>
      </w:pPr>
      <w:r>
        <w:rPr>
          <w:bCs/>
          <w:color w:val="000000"/>
        </w:rPr>
        <w:tab/>
      </w:r>
      <w:r w:rsidR="00145040">
        <w:rPr>
          <w:bCs/>
          <w:color w:val="000000"/>
        </w:rPr>
        <w:t>Remiantis</w:t>
      </w:r>
      <w:r w:rsidR="00145040" w:rsidRPr="00063F1F">
        <w:rPr>
          <w:bCs/>
          <w:color w:val="000000"/>
        </w:rPr>
        <w:t xml:space="preserve"> į</w:t>
      </w:r>
      <w:r w:rsidR="00145040">
        <w:rPr>
          <w:bCs/>
          <w:color w:val="000000"/>
        </w:rPr>
        <w:t xml:space="preserve"> A </w:t>
      </w:r>
      <w:r w:rsidR="00145040" w:rsidRPr="00063F1F">
        <w:rPr>
          <w:bCs/>
          <w:color w:val="000000"/>
        </w:rPr>
        <w:t>sąraš</w:t>
      </w:r>
      <w:r w:rsidR="00145040">
        <w:rPr>
          <w:bCs/>
          <w:color w:val="000000"/>
        </w:rPr>
        <w:t>u,</w:t>
      </w:r>
      <w:r w:rsidR="00145040" w:rsidRPr="00063F1F">
        <w:rPr>
          <w:bCs/>
          <w:color w:val="000000"/>
        </w:rPr>
        <w:t xml:space="preserve"> </w:t>
      </w:r>
      <w:r w:rsidRPr="00063F1F">
        <w:rPr>
          <w:bCs/>
          <w:color w:val="000000"/>
        </w:rPr>
        <w:t xml:space="preserve">šiuo metu tinkamu palyginamuoju gydymu laikomas </w:t>
      </w:r>
      <w:proofErr w:type="spellStart"/>
      <w:r w:rsidRPr="00063F1F">
        <w:rPr>
          <w:bCs/>
          <w:color w:val="000000"/>
        </w:rPr>
        <w:t>abemaciklibas</w:t>
      </w:r>
      <w:proofErr w:type="spellEnd"/>
      <w:r w:rsidRPr="00063F1F">
        <w:rPr>
          <w:bCs/>
          <w:color w:val="000000"/>
        </w:rPr>
        <w:t xml:space="preserve"> derinyje su endokrinine terapija. Atsižvelgiant į tai, kad vertinimo metu palyginamasis gydymas iš placebo ir AI pasikeitė į </w:t>
      </w:r>
      <w:proofErr w:type="spellStart"/>
      <w:r w:rsidRPr="00063F1F">
        <w:rPr>
          <w:bCs/>
          <w:color w:val="000000"/>
        </w:rPr>
        <w:t>abemaceklibą</w:t>
      </w:r>
      <w:proofErr w:type="spellEnd"/>
      <w:r w:rsidRPr="00063F1F">
        <w:rPr>
          <w:bCs/>
          <w:color w:val="000000"/>
        </w:rPr>
        <w:t xml:space="preserve"> ir AI (LR SA ministro įsakymas „Dėl kompensuojamųjų vaistų sąrašų patvirtinimo pakeitimo, 2025 m.) bei į tai, kad pareiškėjas pateikė netiesioginį palyginimą su </w:t>
      </w:r>
      <w:proofErr w:type="spellStart"/>
      <w:r w:rsidRPr="00063F1F">
        <w:rPr>
          <w:bCs/>
          <w:color w:val="000000"/>
        </w:rPr>
        <w:t>abemaciklibu</w:t>
      </w:r>
      <w:proofErr w:type="spellEnd"/>
      <w:r w:rsidRPr="00063F1F">
        <w:rPr>
          <w:bCs/>
          <w:color w:val="000000"/>
        </w:rPr>
        <w:t xml:space="preserve"> ir AI, Tarnyba šį palyginamąjį gydymą</w:t>
      </w:r>
      <w:r>
        <w:rPr>
          <w:bCs/>
          <w:color w:val="000000"/>
        </w:rPr>
        <w:t xml:space="preserve"> (</w:t>
      </w:r>
      <w:proofErr w:type="spellStart"/>
      <w:r>
        <w:rPr>
          <w:bCs/>
          <w:color w:val="000000"/>
        </w:rPr>
        <w:t>abemacklibas</w:t>
      </w:r>
      <w:proofErr w:type="spellEnd"/>
      <w:r>
        <w:rPr>
          <w:bCs/>
          <w:color w:val="000000"/>
        </w:rPr>
        <w:t xml:space="preserve"> + AI)</w:t>
      </w:r>
      <w:r w:rsidRPr="00063F1F">
        <w:rPr>
          <w:bCs/>
          <w:color w:val="000000"/>
        </w:rPr>
        <w:t xml:space="preserve"> laiko tinkamu.</w:t>
      </w:r>
    </w:p>
    <w:p w14:paraId="485E0A3B" w14:textId="77777777" w:rsidR="00424903" w:rsidRPr="00031245" w:rsidRDefault="00424903" w:rsidP="00424903">
      <w:pPr>
        <w:tabs>
          <w:tab w:val="left" w:pos="492"/>
        </w:tabs>
        <w:spacing w:line="276" w:lineRule="auto"/>
        <w:jc w:val="both"/>
        <w:outlineLvl w:val="1"/>
        <w:rPr>
          <w:rFonts w:eastAsia="Arial"/>
          <w:b/>
          <w:i/>
          <w:iCs/>
        </w:rPr>
      </w:pPr>
      <w:r>
        <w:rPr>
          <w:rFonts w:eastAsia="Arial"/>
          <w:bCs/>
        </w:rPr>
        <w:tab/>
        <w:t>P</w:t>
      </w:r>
      <w:r w:rsidRPr="00031245">
        <w:rPr>
          <w:rFonts w:eastAsia="Arial"/>
          <w:bCs/>
        </w:rPr>
        <w:t xml:space="preserve">ateiktas tiesioginio palyginimo 3 fazės klinikinis tyrimas NATALEE, kuriame vertinamas </w:t>
      </w:r>
      <w:proofErr w:type="spellStart"/>
      <w:r w:rsidRPr="00031245">
        <w:rPr>
          <w:rFonts w:eastAsia="Arial"/>
          <w:bCs/>
        </w:rPr>
        <w:t>ribociklibo</w:t>
      </w:r>
      <w:proofErr w:type="spellEnd"/>
      <w:r w:rsidRPr="00031245">
        <w:rPr>
          <w:rFonts w:eastAsia="Arial"/>
          <w:bCs/>
        </w:rPr>
        <w:t xml:space="preserve"> palyginamasis veiksmingumas ir saugumas, gydant pacientus, kuriems diagnozuotas </w:t>
      </w:r>
      <w:r w:rsidRPr="00031245">
        <w:t xml:space="preserve">ankstyvasis krūties vėžys, kai nustatomas hormonų receptorių (HR) teigiamas ir žmogaus epidermio </w:t>
      </w:r>
      <w:r w:rsidRPr="00031245">
        <w:lastRenderedPageBreak/>
        <w:t xml:space="preserve">augimo faktoriaus receptoriaus 2 (angl. </w:t>
      </w:r>
      <w:proofErr w:type="spellStart"/>
      <w:r w:rsidRPr="00031245">
        <w:t>human</w:t>
      </w:r>
      <w:proofErr w:type="spellEnd"/>
      <w:r w:rsidRPr="00031245">
        <w:t xml:space="preserve"> </w:t>
      </w:r>
      <w:proofErr w:type="spellStart"/>
      <w:r w:rsidRPr="00031245">
        <w:t>epidermal</w:t>
      </w:r>
      <w:proofErr w:type="spellEnd"/>
      <w:r w:rsidRPr="00031245">
        <w:t xml:space="preserve"> </w:t>
      </w:r>
      <w:proofErr w:type="spellStart"/>
      <w:r w:rsidRPr="00031245">
        <w:t>growth</w:t>
      </w:r>
      <w:proofErr w:type="spellEnd"/>
      <w:r w:rsidRPr="00031245">
        <w:t xml:space="preserve"> </w:t>
      </w:r>
      <w:proofErr w:type="spellStart"/>
      <w:r w:rsidRPr="00031245">
        <w:t>factor</w:t>
      </w:r>
      <w:proofErr w:type="spellEnd"/>
      <w:r w:rsidRPr="00031245">
        <w:t xml:space="preserve"> </w:t>
      </w:r>
      <w:proofErr w:type="spellStart"/>
      <w:r w:rsidRPr="00031245">
        <w:t>receptor</w:t>
      </w:r>
      <w:proofErr w:type="spellEnd"/>
      <w:r w:rsidRPr="00031245">
        <w:t xml:space="preserve"> 2 – HER2) neigiamas rodmuo bei kai yra didelė recidyvo rizika.</w:t>
      </w:r>
    </w:p>
    <w:p w14:paraId="5ABB6448" w14:textId="77777777" w:rsidR="00424903" w:rsidRDefault="00424903" w:rsidP="00424903">
      <w:pPr>
        <w:tabs>
          <w:tab w:val="left" w:pos="492"/>
          <w:tab w:val="left" w:pos="4678"/>
        </w:tabs>
        <w:spacing w:line="276" w:lineRule="auto"/>
        <w:jc w:val="both"/>
        <w:outlineLvl w:val="1"/>
        <w:rPr>
          <w:rFonts w:eastAsia="Arial"/>
          <w:bCs/>
        </w:rPr>
      </w:pPr>
      <w:r w:rsidRPr="00031245">
        <w:rPr>
          <w:rFonts w:eastAsia="Arial"/>
          <w:bCs/>
        </w:rPr>
        <w:tab/>
      </w:r>
      <w:r>
        <w:rPr>
          <w:rFonts w:eastAsia="Arial"/>
          <w:bCs/>
        </w:rPr>
        <w:t xml:space="preserve">Pareiškėjas grindžia palyginamąjį </w:t>
      </w:r>
      <w:proofErr w:type="spellStart"/>
      <w:r>
        <w:rPr>
          <w:rFonts w:eastAsia="Arial"/>
          <w:bCs/>
        </w:rPr>
        <w:t>ribociklibo</w:t>
      </w:r>
      <w:proofErr w:type="spellEnd"/>
      <w:r>
        <w:rPr>
          <w:rFonts w:eastAsia="Arial"/>
          <w:bCs/>
        </w:rPr>
        <w:t xml:space="preserve"> klinikinį veiksmingumą tiesioginiu palyginimu su placebu ir netiesioginiu su </w:t>
      </w:r>
      <w:proofErr w:type="spellStart"/>
      <w:r>
        <w:rPr>
          <w:rFonts w:eastAsia="Arial"/>
          <w:bCs/>
        </w:rPr>
        <w:t>abemaciklibu</w:t>
      </w:r>
      <w:proofErr w:type="spellEnd"/>
      <w:r>
        <w:rPr>
          <w:rFonts w:eastAsia="Arial"/>
          <w:bCs/>
        </w:rPr>
        <w:t xml:space="preserve">. </w:t>
      </w:r>
      <w:r w:rsidRPr="00031245">
        <w:rPr>
          <w:rFonts w:eastAsia="Arial"/>
          <w:bCs/>
        </w:rPr>
        <w:t>Įvertinus šiuo metu taikom</w:t>
      </w:r>
      <w:r>
        <w:rPr>
          <w:rFonts w:eastAsia="Arial"/>
          <w:bCs/>
        </w:rPr>
        <w:t>ą</w:t>
      </w:r>
      <w:r w:rsidRPr="00031245">
        <w:rPr>
          <w:rFonts w:eastAsia="Arial"/>
          <w:bCs/>
        </w:rPr>
        <w:t xml:space="preserve"> įprastinę klinikinę praktiką Lietuvoje pacientų populiacijai, kuriai pagal registruotą terapinę indikaciją,  skiriama </w:t>
      </w:r>
      <w:proofErr w:type="spellStart"/>
      <w:r w:rsidRPr="00031245">
        <w:rPr>
          <w:rFonts w:eastAsia="Arial"/>
          <w:bCs/>
        </w:rPr>
        <w:t>monoterapija</w:t>
      </w:r>
      <w:proofErr w:type="spellEnd"/>
      <w:r w:rsidRPr="00031245">
        <w:rPr>
          <w:rFonts w:eastAsia="Arial"/>
          <w:bCs/>
        </w:rPr>
        <w:t xml:space="preserve"> </w:t>
      </w:r>
      <w:proofErr w:type="spellStart"/>
      <w:r w:rsidRPr="00031245">
        <w:rPr>
          <w:rFonts w:eastAsia="Arial"/>
          <w:bCs/>
        </w:rPr>
        <w:t>ribociklibu</w:t>
      </w:r>
      <w:proofErr w:type="spellEnd"/>
      <w:r w:rsidRPr="00031245">
        <w:rPr>
          <w:rFonts w:eastAsia="Arial"/>
          <w:bCs/>
        </w:rPr>
        <w:t>, daroma išvada, kad klinikiniam tyrime NATALEE, palyginamasis gydymas-placebas- neatitinka įprastinės klinikinės praktikos Lietuvoje. Dėl šios priežasties sveikatos technologijų vertinimas bu</w:t>
      </w:r>
      <w:r>
        <w:rPr>
          <w:rFonts w:eastAsia="Arial"/>
          <w:bCs/>
        </w:rPr>
        <w:t>vo</w:t>
      </w:r>
      <w:r w:rsidRPr="00031245">
        <w:rPr>
          <w:rFonts w:eastAsia="Arial"/>
          <w:bCs/>
        </w:rPr>
        <w:t xml:space="preserve"> atliktas remiantis paraiškoje pateikta netiesioginio palyginimo analize. Tiesioginio palyginimo duomenys taikomi netiesioginiam palyginimui tik iš </w:t>
      </w:r>
      <w:proofErr w:type="spellStart"/>
      <w:r w:rsidRPr="00031245">
        <w:rPr>
          <w:rFonts w:eastAsia="Arial"/>
          <w:bCs/>
        </w:rPr>
        <w:t>ribociklibą</w:t>
      </w:r>
      <w:proofErr w:type="spellEnd"/>
      <w:r w:rsidRPr="00031245">
        <w:rPr>
          <w:rFonts w:eastAsia="Arial"/>
          <w:bCs/>
        </w:rPr>
        <w:t xml:space="preserve"> vartojusių pacientų grupės.</w:t>
      </w:r>
    </w:p>
    <w:p w14:paraId="6202F8BE" w14:textId="77777777" w:rsidR="00424903" w:rsidRDefault="00424903" w:rsidP="00424903">
      <w:pPr>
        <w:tabs>
          <w:tab w:val="left" w:pos="492"/>
        </w:tabs>
        <w:spacing w:line="276" w:lineRule="auto"/>
        <w:jc w:val="both"/>
        <w:outlineLvl w:val="1"/>
        <w:rPr>
          <w:rFonts w:eastAsia="Arial"/>
          <w:bCs/>
        </w:rPr>
      </w:pPr>
    </w:p>
    <w:p w14:paraId="270D8204" w14:textId="77777777" w:rsidR="00424903" w:rsidRPr="00DF3131" w:rsidRDefault="00424903" w:rsidP="00424903">
      <w:pPr>
        <w:tabs>
          <w:tab w:val="left" w:pos="492"/>
        </w:tabs>
        <w:spacing w:line="276" w:lineRule="auto"/>
        <w:jc w:val="both"/>
        <w:outlineLvl w:val="1"/>
        <w:rPr>
          <w:rFonts w:eastAsia="Arial"/>
          <w:bCs/>
          <w:i/>
          <w:iCs/>
        </w:rPr>
      </w:pPr>
      <w:r w:rsidRPr="00DF3131">
        <w:rPr>
          <w:rFonts w:eastAsia="Arial"/>
          <w:bCs/>
          <w:i/>
          <w:iCs/>
        </w:rPr>
        <w:t>Tiesioginis palyginimas</w:t>
      </w:r>
    </w:p>
    <w:p w14:paraId="4C41A9FF" w14:textId="77777777" w:rsidR="00424903" w:rsidRDefault="00424903" w:rsidP="00424903">
      <w:pPr>
        <w:tabs>
          <w:tab w:val="left" w:pos="492"/>
        </w:tabs>
        <w:spacing w:line="276" w:lineRule="auto"/>
        <w:jc w:val="both"/>
        <w:outlineLvl w:val="1"/>
        <w:rPr>
          <w:rFonts w:eastAsia="Arial"/>
          <w:bCs/>
        </w:rPr>
      </w:pPr>
      <w:r w:rsidRPr="00031245">
        <w:rPr>
          <w:rFonts w:eastAsia="Arial"/>
          <w:iCs/>
          <w:color w:val="000000" w:themeColor="text1"/>
        </w:rPr>
        <w:t xml:space="preserve">Į klinikinį tyrimą NATALEE buvo įtrauktas iš viso 5101 pacientas. Pacientai buvo atsitiktinai suskirstyti į grupes (santykiu 1:1) ir turėjo vartoti geriamąjį </w:t>
      </w:r>
      <w:proofErr w:type="spellStart"/>
      <w:r w:rsidRPr="00031245">
        <w:rPr>
          <w:rFonts w:eastAsia="Arial"/>
          <w:iCs/>
          <w:color w:val="000000" w:themeColor="text1"/>
        </w:rPr>
        <w:t>ribociklibą</w:t>
      </w:r>
      <w:proofErr w:type="spellEnd"/>
      <w:r w:rsidRPr="00031245">
        <w:rPr>
          <w:rFonts w:eastAsia="Arial"/>
          <w:iCs/>
          <w:color w:val="000000" w:themeColor="text1"/>
        </w:rPr>
        <w:t xml:space="preserve"> kartu su </w:t>
      </w:r>
      <w:proofErr w:type="spellStart"/>
      <w:r w:rsidRPr="00031245">
        <w:rPr>
          <w:rFonts w:eastAsia="Arial"/>
          <w:iCs/>
          <w:color w:val="000000" w:themeColor="text1"/>
        </w:rPr>
        <w:t>aromatazės</w:t>
      </w:r>
      <w:proofErr w:type="spellEnd"/>
      <w:r w:rsidRPr="00031245">
        <w:rPr>
          <w:rFonts w:eastAsia="Arial"/>
          <w:iCs/>
          <w:color w:val="000000" w:themeColor="text1"/>
        </w:rPr>
        <w:t xml:space="preserve"> inhibitoriumi (AI)  arba vien tik AI. </w:t>
      </w:r>
      <w:proofErr w:type="spellStart"/>
      <w:r w:rsidRPr="00031245">
        <w:rPr>
          <w:rFonts w:eastAsia="Arial"/>
          <w:iCs/>
          <w:color w:val="000000" w:themeColor="text1"/>
        </w:rPr>
        <w:t>Ribociklibas</w:t>
      </w:r>
      <w:proofErr w:type="spellEnd"/>
      <w:r w:rsidRPr="00031245">
        <w:rPr>
          <w:rFonts w:eastAsia="Arial"/>
          <w:iCs/>
          <w:color w:val="000000" w:themeColor="text1"/>
        </w:rPr>
        <w:t xml:space="preserve"> buvo skiriamas po 400 mg per parą, taikant 3 savaičių vartojimo ir 1 savaitės pertraukos grafiką. AI buvo arba </w:t>
      </w:r>
      <w:proofErr w:type="spellStart"/>
      <w:r w:rsidRPr="00031245">
        <w:rPr>
          <w:rFonts w:eastAsia="Arial"/>
          <w:iCs/>
          <w:color w:val="000000" w:themeColor="text1"/>
        </w:rPr>
        <w:t>letrozolas</w:t>
      </w:r>
      <w:proofErr w:type="spellEnd"/>
      <w:r w:rsidRPr="00031245">
        <w:rPr>
          <w:rFonts w:eastAsia="Arial"/>
          <w:iCs/>
          <w:color w:val="000000" w:themeColor="text1"/>
        </w:rPr>
        <w:t xml:space="preserve"> (2,5 mg per parą), arba </w:t>
      </w:r>
      <w:proofErr w:type="spellStart"/>
      <w:r w:rsidRPr="00031245">
        <w:rPr>
          <w:rFonts w:eastAsia="Arial"/>
          <w:iCs/>
          <w:color w:val="000000" w:themeColor="text1"/>
        </w:rPr>
        <w:t>anastrozolas</w:t>
      </w:r>
      <w:proofErr w:type="spellEnd"/>
      <w:r w:rsidRPr="00031245">
        <w:rPr>
          <w:rFonts w:eastAsia="Arial"/>
          <w:iCs/>
          <w:color w:val="000000" w:themeColor="text1"/>
        </w:rPr>
        <w:t xml:space="preserve"> (1 mg per parą). AI pasirinkimas buvo grindžiamas gydytojo sprendimu. Vyrams ir moterims iki menopauzės laikotarpiu taip pat buvo skiriama 3,6 mg </w:t>
      </w:r>
      <w:proofErr w:type="spellStart"/>
      <w:r w:rsidRPr="00031245">
        <w:rPr>
          <w:rFonts w:eastAsia="Arial"/>
          <w:iCs/>
          <w:color w:val="000000" w:themeColor="text1"/>
        </w:rPr>
        <w:t>goserelino</w:t>
      </w:r>
      <w:proofErr w:type="spellEnd"/>
      <w:r w:rsidRPr="00031245">
        <w:rPr>
          <w:rFonts w:eastAsia="Arial"/>
          <w:iCs/>
          <w:color w:val="000000" w:themeColor="text1"/>
        </w:rPr>
        <w:t xml:space="preserve"> kartą per 28 dienas. </w:t>
      </w:r>
      <w:proofErr w:type="spellStart"/>
      <w:r w:rsidRPr="00283033">
        <w:rPr>
          <w:rFonts w:eastAsia="Arial"/>
          <w:b/>
          <w:bCs/>
          <w:iCs/>
          <w:color w:val="000000" w:themeColor="text1"/>
        </w:rPr>
        <w:t>Ribociklibas</w:t>
      </w:r>
      <w:proofErr w:type="spellEnd"/>
      <w:r w:rsidRPr="00283033">
        <w:rPr>
          <w:rFonts w:eastAsia="Arial"/>
          <w:b/>
          <w:bCs/>
          <w:iCs/>
          <w:color w:val="000000" w:themeColor="text1"/>
        </w:rPr>
        <w:t xml:space="preserve"> buvo skiriamas 36 mėnesius, o gydymas AI (abiejose grupėse) buvo skiriamas ≥60 mėnesių.</w:t>
      </w:r>
      <w:r w:rsidRPr="00031245">
        <w:rPr>
          <w:rFonts w:eastAsia="Arial"/>
          <w:iCs/>
          <w:color w:val="000000" w:themeColor="text1"/>
        </w:rPr>
        <w:t xml:space="preserve"> Pacientai turėjo tęsti AI gydymą visą 60 mėnesių gydymo laikotarpį. Abiejose gydymo grupėse AI keisti buvo leidžiama tik dėl protokole nurodytų priežasčių, kurios abiejose gydymo grupėse buvo tos pačios.</w:t>
      </w:r>
    </w:p>
    <w:p w14:paraId="0E236D9D" w14:textId="77777777" w:rsidR="00424903" w:rsidRDefault="00424903" w:rsidP="00424903">
      <w:pPr>
        <w:tabs>
          <w:tab w:val="left" w:pos="426"/>
        </w:tabs>
        <w:spacing w:line="276" w:lineRule="auto"/>
        <w:ind w:firstLine="720"/>
        <w:jc w:val="both"/>
        <w:rPr>
          <w:rFonts w:eastAsia="Arial"/>
          <w:iCs/>
        </w:rPr>
      </w:pPr>
      <w:r w:rsidRPr="00031245">
        <w:rPr>
          <w:rFonts w:eastAsia="Arial"/>
          <w:iCs/>
        </w:rPr>
        <w:t>Pirminė vertinamoji baigtis – išgyvenamumas be invazinės ligos (</w:t>
      </w:r>
      <w:r>
        <w:rPr>
          <w:rFonts w:eastAsia="Arial"/>
          <w:iCs/>
        </w:rPr>
        <w:t>IBIL) (</w:t>
      </w:r>
      <w:r w:rsidRPr="00CA033B">
        <w:rPr>
          <w:rFonts w:eastAsia="Arial"/>
          <w:i/>
        </w:rPr>
        <w:t xml:space="preserve">angl. </w:t>
      </w:r>
      <w:proofErr w:type="spellStart"/>
      <w:r w:rsidRPr="00CA033B">
        <w:rPr>
          <w:rFonts w:eastAsia="Arial"/>
          <w:i/>
        </w:rPr>
        <w:t>invasive</w:t>
      </w:r>
      <w:proofErr w:type="spellEnd"/>
      <w:r w:rsidRPr="00CA033B">
        <w:rPr>
          <w:rFonts w:eastAsia="Arial"/>
          <w:i/>
        </w:rPr>
        <w:t xml:space="preserve"> </w:t>
      </w:r>
      <w:proofErr w:type="spellStart"/>
      <w:r w:rsidRPr="00CA033B">
        <w:rPr>
          <w:rFonts w:eastAsia="Arial"/>
          <w:i/>
        </w:rPr>
        <w:t>disease-free</w:t>
      </w:r>
      <w:proofErr w:type="spellEnd"/>
      <w:r w:rsidRPr="00CA033B">
        <w:rPr>
          <w:rFonts w:eastAsia="Arial"/>
          <w:i/>
        </w:rPr>
        <w:t xml:space="preserve"> </w:t>
      </w:r>
      <w:proofErr w:type="spellStart"/>
      <w:r w:rsidRPr="00CA033B">
        <w:rPr>
          <w:rFonts w:eastAsia="Arial"/>
          <w:i/>
        </w:rPr>
        <w:t>survival</w:t>
      </w:r>
      <w:proofErr w:type="spellEnd"/>
      <w:r w:rsidRPr="00CA033B">
        <w:rPr>
          <w:rFonts w:eastAsia="Arial"/>
          <w:i/>
        </w:rPr>
        <w:t xml:space="preserve">, </w:t>
      </w:r>
      <w:proofErr w:type="spellStart"/>
      <w:r w:rsidRPr="00CA033B">
        <w:rPr>
          <w:rFonts w:eastAsia="Arial"/>
          <w:i/>
        </w:rPr>
        <w:t>iDFS</w:t>
      </w:r>
      <w:proofErr w:type="spellEnd"/>
      <w:r w:rsidRPr="00031245">
        <w:rPr>
          <w:rFonts w:eastAsia="Arial"/>
          <w:iCs/>
        </w:rPr>
        <w:t xml:space="preserve">) - </w:t>
      </w:r>
      <w:r w:rsidRPr="00031245">
        <w:rPr>
          <w:rFonts w:eastAsia="Arial"/>
          <w:bCs/>
        </w:rPr>
        <w:t>buvo apibrėžta kaip laikas, per kurį pacientas išgyvena be invazinių vėžio atkryčių po pirminio gydymo.</w:t>
      </w:r>
      <w:r>
        <w:rPr>
          <w:rFonts w:eastAsia="Arial"/>
          <w:bCs/>
        </w:rPr>
        <w:t xml:space="preserve"> </w:t>
      </w:r>
      <w:r w:rsidRPr="00031245">
        <w:rPr>
          <w:rFonts w:eastAsia="Arial"/>
          <w:bCs/>
        </w:rPr>
        <w:t xml:space="preserve">Antrinės pagrindinės vertinamosios baigtys </w:t>
      </w:r>
      <w:r w:rsidRPr="00031245">
        <w:rPr>
          <w:rFonts w:eastAsia="Arial"/>
          <w:iCs/>
        </w:rPr>
        <w:t>– išgyvenamumas be ligos atkryčio (</w:t>
      </w:r>
      <w:r w:rsidRPr="00CA033B">
        <w:rPr>
          <w:rFonts w:eastAsia="Arial"/>
          <w:i/>
        </w:rPr>
        <w:t xml:space="preserve">angl. </w:t>
      </w:r>
      <w:proofErr w:type="spellStart"/>
      <w:r w:rsidRPr="00CA033B">
        <w:rPr>
          <w:rFonts w:eastAsia="Arial"/>
          <w:i/>
        </w:rPr>
        <w:t>recurrence-free</w:t>
      </w:r>
      <w:proofErr w:type="spellEnd"/>
      <w:r w:rsidRPr="00CA033B">
        <w:rPr>
          <w:rFonts w:eastAsia="Arial"/>
          <w:i/>
        </w:rPr>
        <w:t xml:space="preserve"> </w:t>
      </w:r>
      <w:proofErr w:type="spellStart"/>
      <w:r w:rsidRPr="00CA033B">
        <w:rPr>
          <w:rFonts w:eastAsia="Arial"/>
          <w:i/>
        </w:rPr>
        <w:t>survival</w:t>
      </w:r>
      <w:proofErr w:type="spellEnd"/>
      <w:r w:rsidRPr="00CA033B">
        <w:rPr>
          <w:rFonts w:eastAsia="Arial"/>
          <w:i/>
        </w:rPr>
        <w:t>, RFS</w:t>
      </w:r>
      <w:r w:rsidRPr="00031245">
        <w:rPr>
          <w:rFonts w:eastAsia="Arial"/>
          <w:iCs/>
        </w:rPr>
        <w:t xml:space="preserve">), išgyvenamumas be </w:t>
      </w:r>
      <w:proofErr w:type="spellStart"/>
      <w:r w:rsidRPr="00031245">
        <w:rPr>
          <w:rFonts w:eastAsia="Arial"/>
          <w:iCs/>
        </w:rPr>
        <w:t>tolimųju</w:t>
      </w:r>
      <w:proofErr w:type="spellEnd"/>
      <w:r w:rsidRPr="00031245">
        <w:rPr>
          <w:rFonts w:eastAsia="Arial"/>
          <w:iCs/>
        </w:rPr>
        <w:t xml:space="preserve"> metastazių (angl. </w:t>
      </w:r>
      <w:proofErr w:type="spellStart"/>
      <w:r w:rsidRPr="00031245">
        <w:rPr>
          <w:rFonts w:eastAsia="Arial"/>
          <w:iCs/>
        </w:rPr>
        <w:t>distantdisease-free</w:t>
      </w:r>
      <w:proofErr w:type="spellEnd"/>
      <w:r w:rsidRPr="00031245">
        <w:rPr>
          <w:rFonts w:eastAsia="Arial"/>
          <w:iCs/>
        </w:rPr>
        <w:t xml:space="preserve"> </w:t>
      </w:r>
      <w:proofErr w:type="spellStart"/>
      <w:r w:rsidRPr="00031245">
        <w:rPr>
          <w:rFonts w:eastAsia="Arial"/>
          <w:iCs/>
        </w:rPr>
        <w:t>survival</w:t>
      </w:r>
      <w:proofErr w:type="spellEnd"/>
      <w:r w:rsidRPr="00031245">
        <w:rPr>
          <w:rFonts w:eastAsia="Arial"/>
          <w:iCs/>
        </w:rPr>
        <w:t xml:space="preserve">, DDFS), bendras išgyvenamumas (angl. </w:t>
      </w:r>
      <w:proofErr w:type="spellStart"/>
      <w:r w:rsidRPr="00031245">
        <w:rPr>
          <w:rFonts w:eastAsia="Arial"/>
          <w:iCs/>
        </w:rPr>
        <w:t>overall</w:t>
      </w:r>
      <w:proofErr w:type="spellEnd"/>
      <w:r w:rsidRPr="00031245">
        <w:rPr>
          <w:rFonts w:eastAsia="Arial"/>
          <w:iCs/>
        </w:rPr>
        <w:t xml:space="preserve"> </w:t>
      </w:r>
      <w:proofErr w:type="spellStart"/>
      <w:r w:rsidRPr="00031245">
        <w:rPr>
          <w:rFonts w:eastAsia="Arial"/>
          <w:iCs/>
        </w:rPr>
        <w:t>survival</w:t>
      </w:r>
      <w:proofErr w:type="spellEnd"/>
      <w:r w:rsidRPr="00031245">
        <w:rPr>
          <w:rFonts w:eastAsia="Arial"/>
          <w:iCs/>
        </w:rPr>
        <w:t>, OS), saugumas ir toleravimas, gyvenimo kokybė (</w:t>
      </w:r>
      <w:r w:rsidRPr="00CA033B">
        <w:rPr>
          <w:rFonts w:eastAsia="Arial"/>
          <w:i/>
        </w:rPr>
        <w:t xml:space="preserve">angl. </w:t>
      </w:r>
      <w:proofErr w:type="spellStart"/>
      <w:r w:rsidRPr="00CA033B">
        <w:rPr>
          <w:rFonts w:eastAsia="Arial"/>
          <w:i/>
        </w:rPr>
        <w:t>Quality</w:t>
      </w:r>
      <w:proofErr w:type="spellEnd"/>
      <w:r w:rsidRPr="00CA033B">
        <w:rPr>
          <w:rFonts w:eastAsia="Arial"/>
          <w:i/>
        </w:rPr>
        <w:t xml:space="preserve"> of </w:t>
      </w:r>
      <w:proofErr w:type="spellStart"/>
      <w:r w:rsidRPr="00CA033B">
        <w:rPr>
          <w:rFonts w:eastAsia="Arial"/>
          <w:i/>
        </w:rPr>
        <w:t>Life</w:t>
      </w:r>
      <w:proofErr w:type="spellEnd"/>
      <w:r w:rsidRPr="00CA033B">
        <w:rPr>
          <w:rFonts w:eastAsia="Arial"/>
          <w:i/>
        </w:rPr>
        <w:t xml:space="preserve">, </w:t>
      </w:r>
      <w:proofErr w:type="spellStart"/>
      <w:r w:rsidRPr="00CA033B">
        <w:rPr>
          <w:rFonts w:eastAsia="Arial"/>
          <w:i/>
        </w:rPr>
        <w:t>QoL</w:t>
      </w:r>
      <w:proofErr w:type="spellEnd"/>
      <w:r w:rsidRPr="00031245">
        <w:rPr>
          <w:rFonts w:eastAsia="Arial"/>
          <w:iCs/>
        </w:rPr>
        <w:t>) ir farmakokinetika.</w:t>
      </w:r>
      <w:r>
        <w:rPr>
          <w:rFonts w:eastAsia="Arial"/>
          <w:iCs/>
        </w:rPr>
        <w:t xml:space="preserve"> </w:t>
      </w:r>
      <w:r w:rsidRPr="00B56672">
        <w:rPr>
          <w:rFonts w:eastAsia="Arial"/>
          <w:iCs/>
        </w:rPr>
        <w:t xml:space="preserve">Nepriklausomas peržiūros komitetas kas 6 mėnesius turėjo vertinti vaistinio preparato </w:t>
      </w:r>
      <w:proofErr w:type="spellStart"/>
      <w:r w:rsidRPr="00B56672">
        <w:rPr>
          <w:rFonts w:eastAsia="Arial"/>
          <w:iCs/>
        </w:rPr>
        <w:t>ribociklibo</w:t>
      </w:r>
      <w:proofErr w:type="spellEnd"/>
      <w:r w:rsidRPr="00B56672">
        <w:rPr>
          <w:rFonts w:eastAsia="Arial"/>
          <w:iCs/>
        </w:rPr>
        <w:t xml:space="preserve"> nepageidaujamus reiškinius.</w:t>
      </w:r>
    </w:p>
    <w:p w14:paraId="0030C893" w14:textId="77777777" w:rsidR="00424903" w:rsidRPr="00031245" w:rsidRDefault="00424903" w:rsidP="00424903">
      <w:pPr>
        <w:tabs>
          <w:tab w:val="left" w:pos="426"/>
        </w:tabs>
        <w:spacing w:line="276" w:lineRule="auto"/>
        <w:ind w:firstLine="720"/>
        <w:jc w:val="both"/>
        <w:rPr>
          <w:rFonts w:eastAsia="Arial"/>
          <w:iCs/>
        </w:rPr>
      </w:pPr>
      <w:r w:rsidRPr="00031245">
        <w:rPr>
          <w:rFonts w:eastAsia="Arial"/>
          <w:iCs/>
        </w:rPr>
        <w:t>P</w:t>
      </w:r>
      <w:r>
        <w:rPr>
          <w:rFonts w:eastAsia="Arial"/>
          <w:iCs/>
        </w:rPr>
        <w:t>irminės</w:t>
      </w:r>
      <w:r w:rsidRPr="00031245">
        <w:rPr>
          <w:rFonts w:eastAsia="Arial"/>
          <w:iCs/>
        </w:rPr>
        <w:t xml:space="preserve"> vertinamosios baigties rezultatai buvo pateikti atlikus tarpinę analizę. Tarpinė analizė parodė, kad invazinės ligos, atsinaujinimo ar mirties rizika buvo reikšmingai (25,2 %) mažesnė, kai </w:t>
      </w:r>
      <w:proofErr w:type="spellStart"/>
      <w:r w:rsidRPr="00031245">
        <w:rPr>
          <w:rFonts w:eastAsia="Arial"/>
          <w:iCs/>
        </w:rPr>
        <w:t>ribociklibas</w:t>
      </w:r>
      <w:proofErr w:type="spellEnd"/>
      <w:r w:rsidRPr="00031245">
        <w:rPr>
          <w:rFonts w:eastAsia="Arial"/>
          <w:iCs/>
        </w:rPr>
        <w:t xml:space="preserve"> buvo pridėtas prie AI, palyginti su gydymu vien AI. </w:t>
      </w:r>
      <w:proofErr w:type="spellStart"/>
      <w:r w:rsidRPr="00031245">
        <w:rPr>
          <w:rFonts w:eastAsia="Arial"/>
          <w:iCs/>
        </w:rPr>
        <w:t>Kaplan-Meier</w:t>
      </w:r>
      <w:proofErr w:type="spellEnd"/>
      <w:r w:rsidRPr="00031245">
        <w:rPr>
          <w:rFonts w:eastAsia="Arial"/>
          <w:iCs/>
        </w:rPr>
        <w:t xml:space="preserve"> įverčiai rodo, kad išgyvenamumas be invazinės ligos po 3 metų buvo 90,4 % vartojant </w:t>
      </w:r>
      <w:proofErr w:type="spellStart"/>
      <w:r w:rsidRPr="00031245">
        <w:rPr>
          <w:rFonts w:eastAsia="Arial"/>
          <w:iCs/>
        </w:rPr>
        <w:t>ribociklibą</w:t>
      </w:r>
      <w:proofErr w:type="spellEnd"/>
      <w:r w:rsidRPr="00031245">
        <w:rPr>
          <w:rFonts w:eastAsia="Arial"/>
          <w:iCs/>
        </w:rPr>
        <w:t xml:space="preserve"> kartu su AI, ir 87,1 % vartojant vien AI (invazinės ligos, atsinaujinimo ar mirties rizikos santykis </w:t>
      </w:r>
      <w:r>
        <w:rPr>
          <w:rFonts w:eastAsia="Arial"/>
          <w:iCs/>
        </w:rPr>
        <w:t xml:space="preserve">(SR) </w:t>
      </w:r>
      <w:r w:rsidRPr="00031245">
        <w:rPr>
          <w:rFonts w:eastAsia="Arial"/>
          <w:iCs/>
        </w:rPr>
        <w:t>– 0,75; 95 % patikimumo intervalas [PI] – 0,62–0,91).</w:t>
      </w:r>
      <w:r w:rsidRPr="00BF2A90">
        <w:t xml:space="preserve"> </w:t>
      </w:r>
      <w:r w:rsidRPr="00BF2A90">
        <w:rPr>
          <w:rFonts w:eastAsia="Arial"/>
          <w:iCs/>
        </w:rPr>
        <w:t xml:space="preserve">Galutinės analizės rezultatai taip pat parodė, kad </w:t>
      </w:r>
      <w:proofErr w:type="spellStart"/>
      <w:r w:rsidRPr="00BF2A90">
        <w:rPr>
          <w:rFonts w:eastAsia="Arial"/>
          <w:iCs/>
        </w:rPr>
        <w:t>ribociklibą</w:t>
      </w:r>
      <w:proofErr w:type="spellEnd"/>
      <w:r w:rsidRPr="00BF2A90">
        <w:rPr>
          <w:rFonts w:eastAsia="Arial"/>
          <w:iCs/>
        </w:rPr>
        <w:t xml:space="preserve"> ir AI vartojusiųjų pacientų grupėje </w:t>
      </w:r>
      <w:r>
        <w:rPr>
          <w:rFonts w:eastAsia="Arial"/>
          <w:iCs/>
        </w:rPr>
        <w:t>IBIL</w:t>
      </w:r>
      <w:r w:rsidRPr="00BF2A90">
        <w:rPr>
          <w:rFonts w:eastAsia="Arial"/>
          <w:iCs/>
        </w:rPr>
        <w:t xml:space="preserve"> atvejų rizika sumažėjo 25,1 %, palyginti su pacientų grupe, kurie vartojo tik AI. (rizikos santykis (HR) 0,749, 95 % PI 0,628–0,892; dvipusė P reikšmė = 0,0012).</w:t>
      </w:r>
      <w:r>
        <w:rPr>
          <w:rFonts w:eastAsia="Arial"/>
          <w:iCs/>
        </w:rPr>
        <w:t xml:space="preserve"> </w:t>
      </w:r>
      <w:r w:rsidRPr="00031245">
        <w:rPr>
          <w:rFonts w:eastAsia="Arial"/>
          <w:iCs/>
          <w:u w:val="single"/>
        </w:rPr>
        <w:t>Bendras išgyvenamumas (</w:t>
      </w:r>
      <w:r w:rsidRPr="00CA033B">
        <w:rPr>
          <w:rFonts w:eastAsia="Arial"/>
          <w:i/>
          <w:u w:val="single"/>
        </w:rPr>
        <w:t xml:space="preserve">angl. </w:t>
      </w:r>
      <w:proofErr w:type="spellStart"/>
      <w:r w:rsidRPr="00CA033B">
        <w:rPr>
          <w:rFonts w:eastAsia="Arial"/>
          <w:i/>
          <w:u w:val="single"/>
        </w:rPr>
        <w:t>overall</w:t>
      </w:r>
      <w:proofErr w:type="spellEnd"/>
      <w:r w:rsidRPr="00CA033B">
        <w:rPr>
          <w:rFonts w:eastAsia="Arial"/>
          <w:i/>
          <w:u w:val="single"/>
        </w:rPr>
        <w:t xml:space="preserve"> </w:t>
      </w:r>
      <w:proofErr w:type="spellStart"/>
      <w:r w:rsidRPr="00CA033B">
        <w:rPr>
          <w:rFonts w:eastAsia="Arial"/>
          <w:i/>
          <w:u w:val="single"/>
        </w:rPr>
        <w:t>survival</w:t>
      </w:r>
      <w:proofErr w:type="spellEnd"/>
      <w:r w:rsidRPr="00CA033B">
        <w:rPr>
          <w:rFonts w:eastAsia="Arial"/>
          <w:i/>
          <w:u w:val="single"/>
        </w:rPr>
        <w:t>, OS</w:t>
      </w:r>
      <w:r w:rsidRPr="00031245">
        <w:rPr>
          <w:rFonts w:eastAsia="Arial"/>
          <w:iCs/>
          <w:u w:val="single"/>
        </w:rPr>
        <w:t>)</w:t>
      </w:r>
      <w:r w:rsidRPr="00031245">
        <w:rPr>
          <w:rFonts w:eastAsia="Arial"/>
          <w:iCs/>
        </w:rPr>
        <w:t xml:space="preserve"> -  OS duomenys parodė skaitmeniniu požiūriu mažesnį mirtingumo rodiklį </w:t>
      </w:r>
      <w:proofErr w:type="spellStart"/>
      <w:r w:rsidRPr="00031245">
        <w:rPr>
          <w:rFonts w:eastAsia="Arial"/>
          <w:iCs/>
        </w:rPr>
        <w:t>ribociklib</w:t>
      </w:r>
      <w:r>
        <w:rPr>
          <w:rFonts w:eastAsia="Arial"/>
          <w:iCs/>
        </w:rPr>
        <w:t>ą</w:t>
      </w:r>
      <w:proofErr w:type="spellEnd"/>
      <w:r w:rsidRPr="00031245">
        <w:rPr>
          <w:rFonts w:eastAsia="Arial"/>
          <w:iCs/>
        </w:rPr>
        <w:t xml:space="preserve"> ir AI vartojusiųjų grupėje: iš viso 105 (4,1 %) atvejai </w:t>
      </w:r>
      <w:proofErr w:type="spellStart"/>
      <w:r w:rsidRPr="00031245">
        <w:rPr>
          <w:rFonts w:eastAsia="Arial"/>
          <w:iCs/>
        </w:rPr>
        <w:t>ribociklibo</w:t>
      </w:r>
      <w:proofErr w:type="spellEnd"/>
      <w:r w:rsidRPr="00031245">
        <w:rPr>
          <w:rFonts w:eastAsia="Arial"/>
          <w:iCs/>
        </w:rPr>
        <w:t xml:space="preserve"> ir AI vartojusiųjų grupėje ir 121 (4,7 %) – vien AI vartojusiųjų grupėje (vienpusis </w:t>
      </w:r>
      <w:proofErr w:type="spellStart"/>
      <w:r w:rsidRPr="00031245">
        <w:rPr>
          <w:rFonts w:eastAsia="Arial"/>
          <w:iCs/>
        </w:rPr>
        <w:t>stratifikuotas</w:t>
      </w:r>
      <w:proofErr w:type="spellEnd"/>
      <w:r w:rsidRPr="00031245">
        <w:rPr>
          <w:rFonts w:eastAsia="Arial"/>
          <w:iCs/>
        </w:rPr>
        <w:t xml:space="preserve"> </w:t>
      </w:r>
      <w:proofErr w:type="spellStart"/>
      <w:r w:rsidRPr="00031245">
        <w:rPr>
          <w:rFonts w:eastAsia="Arial"/>
          <w:iCs/>
        </w:rPr>
        <w:t>log-rank</w:t>
      </w:r>
      <w:proofErr w:type="spellEnd"/>
      <w:r w:rsidRPr="00031245">
        <w:rPr>
          <w:rFonts w:eastAsia="Arial"/>
          <w:iCs/>
        </w:rPr>
        <w:t xml:space="preserve"> testas, nominali P reikšmė = 0,0766).</w:t>
      </w:r>
      <w:r>
        <w:rPr>
          <w:rFonts w:eastAsia="Arial"/>
          <w:iCs/>
        </w:rPr>
        <w:t xml:space="preserve"> </w:t>
      </w:r>
      <w:r w:rsidRPr="00031245">
        <w:rPr>
          <w:rFonts w:eastAsia="Arial"/>
          <w:iCs/>
        </w:rPr>
        <w:t>S</w:t>
      </w:r>
      <w:r w:rsidRPr="00031245">
        <w:rPr>
          <w:rFonts w:eastAsia="Arial"/>
          <w:iCs/>
          <w:u w:val="single"/>
        </w:rPr>
        <w:t>u sveikata susijusi gyvenimo kokybė (</w:t>
      </w:r>
      <w:r w:rsidRPr="00CA033B">
        <w:rPr>
          <w:rFonts w:eastAsia="Arial"/>
          <w:i/>
          <w:u w:val="single"/>
        </w:rPr>
        <w:t xml:space="preserve">angl. </w:t>
      </w:r>
      <w:proofErr w:type="spellStart"/>
      <w:r w:rsidRPr="00CA033B">
        <w:rPr>
          <w:rFonts w:eastAsia="Arial"/>
          <w:i/>
          <w:u w:val="single"/>
        </w:rPr>
        <w:t>Health-Related</w:t>
      </w:r>
      <w:proofErr w:type="spellEnd"/>
      <w:r w:rsidRPr="00CA033B">
        <w:rPr>
          <w:rFonts w:eastAsia="Arial"/>
          <w:i/>
          <w:u w:val="single"/>
        </w:rPr>
        <w:t xml:space="preserve"> </w:t>
      </w:r>
      <w:proofErr w:type="spellStart"/>
      <w:r w:rsidRPr="00CA033B">
        <w:rPr>
          <w:rFonts w:eastAsia="Arial"/>
          <w:i/>
          <w:u w:val="single"/>
        </w:rPr>
        <w:t>Quality</w:t>
      </w:r>
      <w:proofErr w:type="spellEnd"/>
      <w:r w:rsidRPr="00CA033B">
        <w:rPr>
          <w:rFonts w:eastAsia="Arial"/>
          <w:i/>
          <w:u w:val="single"/>
        </w:rPr>
        <w:t xml:space="preserve"> </w:t>
      </w:r>
      <w:proofErr w:type="spellStart"/>
      <w:r w:rsidRPr="00CA033B">
        <w:rPr>
          <w:rFonts w:eastAsia="Arial"/>
          <w:i/>
          <w:u w:val="single"/>
        </w:rPr>
        <w:t>of</w:t>
      </w:r>
      <w:proofErr w:type="spellEnd"/>
      <w:r w:rsidRPr="00CA033B">
        <w:rPr>
          <w:rFonts w:eastAsia="Arial"/>
          <w:i/>
          <w:u w:val="single"/>
        </w:rPr>
        <w:t xml:space="preserve"> </w:t>
      </w:r>
      <w:proofErr w:type="spellStart"/>
      <w:r w:rsidRPr="00CA033B">
        <w:rPr>
          <w:rFonts w:eastAsia="Arial"/>
          <w:i/>
          <w:u w:val="single"/>
        </w:rPr>
        <w:t>Life</w:t>
      </w:r>
      <w:proofErr w:type="spellEnd"/>
      <w:r w:rsidRPr="00CA033B">
        <w:rPr>
          <w:rFonts w:eastAsia="Arial"/>
          <w:i/>
          <w:u w:val="single"/>
        </w:rPr>
        <w:t xml:space="preserve">, </w:t>
      </w:r>
      <w:proofErr w:type="spellStart"/>
      <w:r w:rsidRPr="00CA033B">
        <w:rPr>
          <w:rFonts w:eastAsia="Arial"/>
          <w:i/>
          <w:u w:val="single"/>
        </w:rPr>
        <w:t>HRQoL</w:t>
      </w:r>
      <w:proofErr w:type="spellEnd"/>
      <w:r w:rsidRPr="00031245">
        <w:rPr>
          <w:rFonts w:eastAsia="Arial"/>
          <w:iCs/>
          <w:u w:val="single"/>
        </w:rPr>
        <w:t>)</w:t>
      </w:r>
      <w:r w:rsidRPr="00031245">
        <w:rPr>
          <w:rFonts w:eastAsia="Arial"/>
          <w:iCs/>
        </w:rPr>
        <w:t xml:space="preserve"> - fizinio funkcionavimo ir bendros sveikatos būklės balai NATALEE tyrimo laikotarpiu buvo panašūs vartojant </w:t>
      </w:r>
      <w:proofErr w:type="spellStart"/>
      <w:r>
        <w:rPr>
          <w:rFonts w:eastAsia="Arial"/>
          <w:iCs/>
        </w:rPr>
        <w:t>ribociklibą</w:t>
      </w:r>
      <w:proofErr w:type="spellEnd"/>
      <w:r w:rsidRPr="00031245">
        <w:rPr>
          <w:rFonts w:eastAsia="Arial"/>
          <w:iCs/>
        </w:rPr>
        <w:t xml:space="preserve"> + AI, palyginti su vien AI.</w:t>
      </w:r>
    </w:p>
    <w:p w14:paraId="6A8B6D24" w14:textId="77777777" w:rsidR="00424903" w:rsidRDefault="00424903" w:rsidP="00424903">
      <w:pPr>
        <w:tabs>
          <w:tab w:val="left" w:pos="492"/>
        </w:tabs>
        <w:spacing w:line="276" w:lineRule="auto"/>
        <w:jc w:val="both"/>
        <w:outlineLvl w:val="1"/>
        <w:rPr>
          <w:rFonts w:eastAsia="Arial"/>
          <w:bCs/>
          <w:i/>
          <w:iCs/>
        </w:rPr>
      </w:pPr>
    </w:p>
    <w:p w14:paraId="01E6F1B3" w14:textId="77777777" w:rsidR="00424903" w:rsidRDefault="00424903" w:rsidP="00424903">
      <w:pPr>
        <w:tabs>
          <w:tab w:val="left" w:pos="492"/>
        </w:tabs>
        <w:spacing w:line="276" w:lineRule="auto"/>
        <w:jc w:val="both"/>
        <w:outlineLvl w:val="1"/>
        <w:rPr>
          <w:rFonts w:eastAsia="Arial"/>
          <w:bCs/>
          <w:i/>
          <w:iCs/>
        </w:rPr>
      </w:pPr>
      <w:r w:rsidRPr="00DF3131">
        <w:rPr>
          <w:rFonts w:eastAsia="Arial"/>
          <w:bCs/>
          <w:i/>
          <w:iCs/>
        </w:rPr>
        <w:lastRenderedPageBreak/>
        <w:t>Netiesioginis palyginimas</w:t>
      </w:r>
    </w:p>
    <w:p w14:paraId="13D305F2" w14:textId="77777777" w:rsidR="00424903" w:rsidRPr="00BE183B" w:rsidRDefault="00424903" w:rsidP="00424903">
      <w:pPr>
        <w:tabs>
          <w:tab w:val="left" w:pos="492"/>
        </w:tabs>
        <w:spacing w:line="276" w:lineRule="auto"/>
        <w:jc w:val="both"/>
        <w:outlineLvl w:val="1"/>
        <w:rPr>
          <w:rFonts w:eastAsia="Arial"/>
          <w:bCs/>
        </w:rPr>
      </w:pPr>
      <w:r>
        <w:rPr>
          <w:rFonts w:eastAsia="Arial"/>
          <w:bCs/>
        </w:rPr>
        <w:tab/>
      </w:r>
      <w:r w:rsidRPr="00BE183B">
        <w:rPr>
          <w:rFonts w:eastAsia="Arial"/>
          <w:bCs/>
        </w:rPr>
        <w:t>Netiesiogini</w:t>
      </w:r>
      <w:r>
        <w:rPr>
          <w:rFonts w:eastAsia="Arial"/>
          <w:bCs/>
        </w:rPr>
        <w:t xml:space="preserve">o palyginimo analizė grindžiama klinikiniais duomenimis iš </w:t>
      </w:r>
      <w:r w:rsidRPr="00031245">
        <w:rPr>
          <w:rFonts w:eastAsia="Arial"/>
          <w:iCs/>
          <w:color w:val="000000" w:themeColor="text1"/>
        </w:rPr>
        <w:t>klinikin</w:t>
      </w:r>
      <w:r>
        <w:rPr>
          <w:rFonts w:eastAsia="Arial"/>
          <w:iCs/>
          <w:color w:val="000000" w:themeColor="text1"/>
        </w:rPr>
        <w:t>ių</w:t>
      </w:r>
      <w:r w:rsidRPr="00031245">
        <w:rPr>
          <w:rFonts w:eastAsia="Arial"/>
          <w:iCs/>
          <w:color w:val="000000" w:themeColor="text1"/>
        </w:rPr>
        <w:t xml:space="preserve"> tyrim</w:t>
      </w:r>
      <w:r>
        <w:rPr>
          <w:rFonts w:eastAsia="Arial"/>
          <w:iCs/>
          <w:color w:val="000000" w:themeColor="text1"/>
        </w:rPr>
        <w:t>ų</w:t>
      </w:r>
      <w:r w:rsidRPr="00031245">
        <w:rPr>
          <w:rFonts w:eastAsia="Arial"/>
          <w:iCs/>
          <w:color w:val="000000" w:themeColor="text1"/>
        </w:rPr>
        <w:t xml:space="preserve"> NATALEE</w:t>
      </w:r>
      <w:r>
        <w:rPr>
          <w:rFonts w:eastAsia="Arial"/>
          <w:iCs/>
          <w:color w:val="000000" w:themeColor="text1"/>
        </w:rPr>
        <w:t xml:space="preserve"> ir </w:t>
      </w:r>
      <w:proofErr w:type="spellStart"/>
      <w:r w:rsidRPr="00031245">
        <w:rPr>
          <w:rFonts w:eastAsia="Arial"/>
          <w:bCs/>
        </w:rPr>
        <w:t>MonarchE</w:t>
      </w:r>
      <w:proofErr w:type="spellEnd"/>
      <w:r>
        <w:rPr>
          <w:rFonts w:eastAsia="Arial"/>
          <w:bCs/>
        </w:rPr>
        <w:t xml:space="preserve"> (</w:t>
      </w:r>
      <w:proofErr w:type="spellStart"/>
      <w:r>
        <w:rPr>
          <w:rFonts w:eastAsia="Arial"/>
          <w:bCs/>
        </w:rPr>
        <w:t>abemaciklibas</w:t>
      </w:r>
      <w:proofErr w:type="spellEnd"/>
      <w:r>
        <w:rPr>
          <w:rFonts w:eastAsia="Arial"/>
          <w:bCs/>
        </w:rPr>
        <w:t>)</w:t>
      </w:r>
    </w:p>
    <w:p w14:paraId="2197C4F3" w14:textId="77777777" w:rsidR="00424903" w:rsidRPr="00031245" w:rsidRDefault="00424903" w:rsidP="00424903">
      <w:pPr>
        <w:tabs>
          <w:tab w:val="left" w:pos="426"/>
        </w:tabs>
        <w:spacing w:line="276" w:lineRule="auto"/>
        <w:jc w:val="both"/>
        <w:rPr>
          <w:bCs/>
          <w:color w:val="000000"/>
        </w:rPr>
      </w:pPr>
      <w:r w:rsidRPr="00031245">
        <w:rPr>
          <w:rFonts w:eastAsia="Arial"/>
          <w:bCs/>
        </w:rPr>
        <w:t>Tiriamoji populiacija atitiko „</w:t>
      </w:r>
      <w:proofErr w:type="spellStart"/>
      <w:r w:rsidRPr="00031245">
        <w:rPr>
          <w:rFonts w:eastAsia="Arial"/>
          <w:bCs/>
        </w:rPr>
        <w:t>monarchE</w:t>
      </w:r>
      <w:proofErr w:type="spellEnd"/>
      <w:r w:rsidRPr="00031245">
        <w:rPr>
          <w:rFonts w:eastAsia="Arial"/>
          <w:bCs/>
        </w:rPr>
        <w:t xml:space="preserve">“ tyrimo 1-ąją kohortą, atsižvelgiant į tai, kad </w:t>
      </w:r>
      <w:proofErr w:type="spellStart"/>
      <w:r w:rsidRPr="00031245">
        <w:rPr>
          <w:rFonts w:eastAsia="Arial"/>
          <w:bCs/>
        </w:rPr>
        <w:t>abemaciklibo</w:t>
      </w:r>
      <w:proofErr w:type="spellEnd"/>
      <w:r w:rsidRPr="00031245">
        <w:rPr>
          <w:rFonts w:eastAsia="Arial"/>
          <w:bCs/>
        </w:rPr>
        <w:t xml:space="preserve"> ir ET derinys buvo patvirtintas NICE, CADTH ir Europos vaistų agentūros (EVA) šioje didelės rizikos populiacijoje. „</w:t>
      </w:r>
      <w:proofErr w:type="spellStart"/>
      <w:r w:rsidRPr="00031245">
        <w:rPr>
          <w:rFonts w:eastAsia="Arial"/>
          <w:bCs/>
        </w:rPr>
        <w:t>MonarchE</w:t>
      </w:r>
      <w:proofErr w:type="spellEnd"/>
      <w:r w:rsidRPr="00031245">
        <w:rPr>
          <w:rFonts w:eastAsia="Arial"/>
          <w:bCs/>
        </w:rPr>
        <w:t xml:space="preserve">“ tyrimo pagal </w:t>
      </w:r>
      <w:r>
        <w:rPr>
          <w:rFonts w:eastAsia="Arial"/>
          <w:bCs/>
        </w:rPr>
        <w:t>bendrą</w:t>
      </w:r>
      <w:r w:rsidRPr="00031245">
        <w:rPr>
          <w:rFonts w:eastAsia="Arial"/>
          <w:bCs/>
        </w:rPr>
        <w:t xml:space="preserve"> populiaciją (</w:t>
      </w:r>
      <w:r w:rsidRPr="00CA033B">
        <w:rPr>
          <w:rFonts w:eastAsia="Arial"/>
          <w:bCs/>
          <w:i/>
          <w:iCs/>
        </w:rPr>
        <w:t xml:space="preserve">angl. ITT, </w:t>
      </w:r>
      <w:proofErr w:type="spellStart"/>
      <w:r w:rsidRPr="00CA033B">
        <w:rPr>
          <w:rFonts w:eastAsia="Arial"/>
          <w:bCs/>
          <w:i/>
          <w:iCs/>
        </w:rPr>
        <w:t>Intention</w:t>
      </w:r>
      <w:proofErr w:type="spellEnd"/>
      <w:r w:rsidRPr="00CA033B">
        <w:rPr>
          <w:rFonts w:eastAsia="Arial"/>
          <w:bCs/>
          <w:i/>
          <w:iCs/>
        </w:rPr>
        <w:t>-To-</w:t>
      </w:r>
      <w:proofErr w:type="spellStart"/>
      <w:r w:rsidRPr="00CA033B">
        <w:rPr>
          <w:rFonts w:eastAsia="Arial"/>
          <w:bCs/>
          <w:i/>
          <w:iCs/>
        </w:rPr>
        <w:t>Treat</w:t>
      </w:r>
      <w:proofErr w:type="spellEnd"/>
      <w:r w:rsidRPr="00031245">
        <w:rPr>
          <w:rFonts w:eastAsia="Arial"/>
          <w:bCs/>
        </w:rPr>
        <w:t xml:space="preserve">) sudarė suaugę (t. y. ne jaunesni kaip 18 metų) vyrai ir moterys, kuriems buvo taikomas </w:t>
      </w:r>
      <w:proofErr w:type="spellStart"/>
      <w:r w:rsidRPr="00031245">
        <w:rPr>
          <w:rFonts w:eastAsia="Arial"/>
          <w:bCs/>
        </w:rPr>
        <w:t>adjuvantinis</w:t>
      </w:r>
      <w:proofErr w:type="spellEnd"/>
      <w:r w:rsidRPr="00031245">
        <w:rPr>
          <w:rFonts w:eastAsia="Arial"/>
          <w:bCs/>
        </w:rPr>
        <w:t xml:space="preserve"> gydymas nuo HR+/HER2- </w:t>
      </w:r>
      <w:proofErr w:type="spellStart"/>
      <w:r w:rsidRPr="00031245">
        <w:rPr>
          <w:rFonts w:eastAsia="Arial"/>
          <w:bCs/>
        </w:rPr>
        <w:t>aKV</w:t>
      </w:r>
      <w:proofErr w:type="spellEnd"/>
      <w:r w:rsidRPr="00031245">
        <w:rPr>
          <w:rFonts w:eastAsia="Arial"/>
          <w:bCs/>
        </w:rPr>
        <w:t xml:space="preserve"> ir kuriems buvo didelė recidyvo rizika.</w:t>
      </w:r>
    </w:p>
    <w:p w14:paraId="566B52F3" w14:textId="77777777" w:rsidR="00424903" w:rsidRPr="00A9194D" w:rsidRDefault="00424903" w:rsidP="00424903">
      <w:pPr>
        <w:tabs>
          <w:tab w:val="left" w:pos="426"/>
        </w:tabs>
        <w:spacing w:line="276" w:lineRule="auto"/>
        <w:jc w:val="both"/>
        <w:rPr>
          <w:rFonts w:eastAsia="Arial"/>
          <w:iCs/>
        </w:rPr>
      </w:pPr>
      <w:r>
        <w:rPr>
          <w:rFonts w:eastAsia="Arial"/>
          <w:iCs/>
        </w:rPr>
        <w:tab/>
      </w:r>
      <w:r w:rsidRPr="00AF75BA">
        <w:rPr>
          <w:rFonts w:eastAsia="Arial"/>
          <w:iCs/>
        </w:rPr>
        <w:t xml:space="preserve">Pirminė išeitis yra išgyvenamumas be invazinės ligos (IBIL). Palyginus ET grupę NATALEE tyrime su ET grupe </w:t>
      </w:r>
      <w:proofErr w:type="spellStart"/>
      <w:r w:rsidRPr="00AF75BA">
        <w:rPr>
          <w:rFonts w:eastAsia="Arial"/>
          <w:iCs/>
        </w:rPr>
        <w:t>monarchE</w:t>
      </w:r>
      <w:proofErr w:type="spellEnd"/>
      <w:r w:rsidRPr="00AF75BA">
        <w:rPr>
          <w:rFonts w:eastAsia="Arial"/>
          <w:iCs/>
        </w:rPr>
        <w:t xml:space="preserve"> tyrime prieš ir po svertinio įvertinimo, statistiškai reikšmingo skirtumo IBLP nerodo. Pateikti analizės rezultatai rodo, kad ET grupių veiksmingumas abiejuose tyrimuose buvo panašus, nepaisant ankstesnių įrodymų, kad </w:t>
      </w:r>
      <w:proofErr w:type="spellStart"/>
      <w:r w:rsidRPr="00AF75BA">
        <w:rPr>
          <w:rFonts w:eastAsia="Arial"/>
          <w:iCs/>
        </w:rPr>
        <w:t>tamoksifenas</w:t>
      </w:r>
      <w:proofErr w:type="spellEnd"/>
      <w:r w:rsidRPr="00AF75BA">
        <w:rPr>
          <w:rFonts w:eastAsia="Arial"/>
          <w:iCs/>
        </w:rPr>
        <w:t xml:space="preserve">, kuris buvo įtrauktas kaip ET komponentas </w:t>
      </w:r>
      <w:proofErr w:type="spellStart"/>
      <w:r w:rsidRPr="00AF75BA">
        <w:rPr>
          <w:rFonts w:eastAsia="Arial"/>
          <w:iCs/>
        </w:rPr>
        <w:t>monarchE</w:t>
      </w:r>
      <w:proofErr w:type="spellEnd"/>
      <w:r w:rsidRPr="00AF75BA">
        <w:rPr>
          <w:rFonts w:eastAsia="Arial"/>
          <w:iCs/>
        </w:rPr>
        <w:t xml:space="preserve"> tyrime, bet ne NATALEE tyrime, yra mažiau veiksmingas nei </w:t>
      </w:r>
      <w:proofErr w:type="spellStart"/>
      <w:r w:rsidRPr="00AF75BA">
        <w:rPr>
          <w:rFonts w:eastAsia="Arial"/>
          <w:iCs/>
        </w:rPr>
        <w:t>aromatazės</w:t>
      </w:r>
      <w:proofErr w:type="spellEnd"/>
      <w:r w:rsidRPr="00AF75BA">
        <w:rPr>
          <w:rFonts w:eastAsia="Arial"/>
          <w:iCs/>
        </w:rPr>
        <w:t xml:space="preserve"> inhibitoriai kaip </w:t>
      </w:r>
      <w:proofErr w:type="spellStart"/>
      <w:r w:rsidRPr="00AF75BA">
        <w:rPr>
          <w:rFonts w:eastAsia="Arial"/>
          <w:iCs/>
        </w:rPr>
        <w:t>adjuvantinis</w:t>
      </w:r>
      <w:proofErr w:type="spellEnd"/>
      <w:r w:rsidRPr="00AF75BA">
        <w:rPr>
          <w:rFonts w:eastAsia="Arial"/>
          <w:iCs/>
        </w:rPr>
        <w:t xml:space="preserve"> ankstyvos stadijos krūties vėžio (AKV) gydymas.</w:t>
      </w:r>
    </w:p>
    <w:p w14:paraId="6E5A28B7" w14:textId="77777777" w:rsidR="00424903" w:rsidRPr="00AF75BA" w:rsidRDefault="00424903" w:rsidP="00424903">
      <w:pPr>
        <w:tabs>
          <w:tab w:val="left" w:pos="426"/>
        </w:tabs>
        <w:spacing w:line="276" w:lineRule="auto"/>
        <w:jc w:val="both"/>
        <w:rPr>
          <w:rFonts w:eastAsia="Arial"/>
          <w:iCs/>
        </w:rPr>
      </w:pPr>
      <w:r w:rsidRPr="00AF75BA">
        <w:rPr>
          <w:rFonts w:eastAsia="Arial"/>
          <w:iCs/>
        </w:rPr>
        <w:t>D</w:t>
      </w:r>
      <w:r>
        <w:rPr>
          <w:rFonts w:eastAsia="Arial"/>
          <w:iCs/>
        </w:rPr>
        <w:t>RF</w:t>
      </w:r>
      <w:r w:rsidRPr="00AF75BA">
        <w:rPr>
          <w:rFonts w:eastAsia="Arial"/>
          <w:iCs/>
        </w:rPr>
        <w:t xml:space="preserve"> analizės rezultatai taip pat neparodė skirtumo tarp palyginamųjų </w:t>
      </w:r>
      <w:proofErr w:type="spellStart"/>
      <w:r w:rsidRPr="00AF75BA">
        <w:rPr>
          <w:rFonts w:eastAsia="Arial"/>
          <w:iCs/>
        </w:rPr>
        <w:t>terapijų</w:t>
      </w:r>
      <w:proofErr w:type="spellEnd"/>
      <w:r w:rsidRPr="00AF75BA">
        <w:rPr>
          <w:rFonts w:eastAsia="Arial"/>
          <w:iCs/>
        </w:rPr>
        <w:t xml:space="preserve"> (prieš ir po duomenų sulyginimo).</w:t>
      </w:r>
    </w:p>
    <w:p w14:paraId="13D8D8AA" w14:textId="77777777" w:rsidR="00424903" w:rsidRDefault="00424903" w:rsidP="00424903">
      <w:pPr>
        <w:tabs>
          <w:tab w:val="left" w:pos="426"/>
        </w:tabs>
        <w:spacing w:line="276" w:lineRule="auto"/>
        <w:jc w:val="both"/>
        <w:rPr>
          <w:rFonts w:eastAsia="Arial"/>
          <w:iCs/>
        </w:rPr>
      </w:pPr>
      <w:r>
        <w:rPr>
          <w:rFonts w:eastAsia="Arial"/>
          <w:iCs/>
        </w:rPr>
        <w:tab/>
      </w:r>
      <w:r w:rsidRPr="00AF75BA">
        <w:rPr>
          <w:rFonts w:eastAsia="Arial"/>
          <w:iCs/>
        </w:rPr>
        <w:t xml:space="preserve">Bendro išgyvenamumo analizės rezultatai taip pat parodė, kad tarp palyginamųjų </w:t>
      </w:r>
      <w:proofErr w:type="spellStart"/>
      <w:r w:rsidRPr="00AF75BA">
        <w:rPr>
          <w:rFonts w:eastAsia="Arial"/>
          <w:iCs/>
        </w:rPr>
        <w:t>terapijų</w:t>
      </w:r>
      <w:proofErr w:type="spellEnd"/>
      <w:r w:rsidRPr="00AF75BA">
        <w:rPr>
          <w:rFonts w:eastAsia="Arial"/>
          <w:iCs/>
        </w:rPr>
        <w:t xml:space="preserve">  (įskaitant svertų ir nesvertų duomenų analizes) poveikis bendram išgyvenamumui yra panašus.</w:t>
      </w:r>
      <w:r>
        <w:rPr>
          <w:rFonts w:eastAsia="Arial"/>
          <w:iCs/>
        </w:rPr>
        <w:t xml:space="preserve"> </w:t>
      </w:r>
      <w:r w:rsidRPr="006F4390">
        <w:rPr>
          <w:rFonts w:eastAsia="Arial"/>
          <w:iCs/>
        </w:rPr>
        <w:t xml:space="preserve">Tiesioginių klinikinių tyrimų, kuriuose būtų lyginamas </w:t>
      </w:r>
      <w:proofErr w:type="spellStart"/>
      <w:r w:rsidRPr="006F4390">
        <w:rPr>
          <w:rFonts w:eastAsia="Arial"/>
          <w:iCs/>
        </w:rPr>
        <w:t>ribociklibo</w:t>
      </w:r>
      <w:proofErr w:type="spellEnd"/>
      <w:r w:rsidRPr="006F4390">
        <w:rPr>
          <w:rFonts w:eastAsia="Arial"/>
          <w:iCs/>
        </w:rPr>
        <w:t xml:space="preserve"> veiksmingumas kartu su ET su </w:t>
      </w:r>
      <w:proofErr w:type="spellStart"/>
      <w:r w:rsidRPr="006F4390">
        <w:rPr>
          <w:rFonts w:eastAsia="Arial"/>
          <w:iCs/>
        </w:rPr>
        <w:t>abemaciklibu</w:t>
      </w:r>
      <w:proofErr w:type="spellEnd"/>
      <w:r w:rsidRPr="006F4390">
        <w:rPr>
          <w:rFonts w:eastAsia="Arial"/>
          <w:iCs/>
        </w:rPr>
        <w:t xml:space="preserve"> ir ET, nėra. Tačiau tokie santykinio veiksmingumo įrodymai yra labai svarbūs priimant sprendimus dėl siūlomos kompensuoti terapinės indikacijos.</w:t>
      </w:r>
      <w:r>
        <w:rPr>
          <w:rFonts w:eastAsia="Arial"/>
          <w:iCs/>
        </w:rPr>
        <w:t xml:space="preserve"> Palyginamosios analizės rezultatai parodė, kad n</w:t>
      </w:r>
      <w:r w:rsidRPr="005B78EB">
        <w:rPr>
          <w:rFonts w:eastAsia="Arial"/>
          <w:iCs/>
        </w:rPr>
        <w:t>epriklausomai, buvo</w:t>
      </w:r>
      <w:r>
        <w:rPr>
          <w:rFonts w:eastAsia="Arial"/>
          <w:iCs/>
        </w:rPr>
        <w:t xml:space="preserve"> ar nebuvo</w:t>
      </w:r>
      <w:r w:rsidRPr="005B78EB">
        <w:rPr>
          <w:rFonts w:eastAsia="Arial"/>
          <w:iCs/>
        </w:rPr>
        <w:t xml:space="preserve"> taikytas duomenų palyginimas, vertinat nepageidaujamus  reiškinius, </w:t>
      </w:r>
      <w:proofErr w:type="spellStart"/>
      <w:r w:rsidRPr="005B78EB">
        <w:rPr>
          <w:rFonts w:eastAsia="Arial"/>
          <w:iCs/>
        </w:rPr>
        <w:t>ribocikliobas</w:t>
      </w:r>
      <w:proofErr w:type="spellEnd"/>
      <w:r w:rsidRPr="005B78EB">
        <w:rPr>
          <w:rFonts w:eastAsia="Arial"/>
          <w:iCs/>
        </w:rPr>
        <w:t xml:space="preserve"> statistiškai reikšmingai dažniau sukelia ALT koncentracijos  padidėjimą ir </w:t>
      </w:r>
      <w:proofErr w:type="spellStart"/>
      <w:r w:rsidRPr="005B78EB">
        <w:rPr>
          <w:rFonts w:eastAsia="Arial"/>
          <w:iCs/>
        </w:rPr>
        <w:t>neutropeniją</w:t>
      </w:r>
      <w:proofErr w:type="spellEnd"/>
      <w:r w:rsidRPr="005B78EB">
        <w:rPr>
          <w:rFonts w:eastAsia="Arial"/>
          <w:iCs/>
        </w:rPr>
        <w:t xml:space="preserve">, palyginus su </w:t>
      </w:r>
      <w:proofErr w:type="spellStart"/>
      <w:r w:rsidRPr="005B78EB">
        <w:rPr>
          <w:rFonts w:eastAsia="Arial"/>
          <w:iCs/>
        </w:rPr>
        <w:t>abemaciklibu</w:t>
      </w:r>
      <w:proofErr w:type="spellEnd"/>
      <w:r w:rsidRPr="005B78EB">
        <w:rPr>
          <w:rFonts w:eastAsia="Arial"/>
          <w:iCs/>
        </w:rPr>
        <w:t xml:space="preserve">. Tačiau, palyginus su </w:t>
      </w:r>
      <w:proofErr w:type="spellStart"/>
      <w:r w:rsidRPr="005B78EB">
        <w:rPr>
          <w:rFonts w:eastAsia="Arial"/>
          <w:iCs/>
        </w:rPr>
        <w:t>abemaciklibu</w:t>
      </w:r>
      <w:proofErr w:type="spellEnd"/>
      <w:r w:rsidRPr="005B78EB">
        <w:rPr>
          <w:rFonts w:eastAsia="Arial"/>
          <w:iCs/>
        </w:rPr>
        <w:t xml:space="preserve">, </w:t>
      </w:r>
      <w:proofErr w:type="spellStart"/>
      <w:r w:rsidRPr="005B78EB">
        <w:rPr>
          <w:rFonts w:eastAsia="Arial"/>
          <w:iCs/>
        </w:rPr>
        <w:t>ribociklibas</w:t>
      </w:r>
      <w:proofErr w:type="spellEnd"/>
      <w:r w:rsidRPr="005B78EB">
        <w:rPr>
          <w:rFonts w:eastAsia="Arial"/>
          <w:iCs/>
        </w:rPr>
        <w:t xml:space="preserve"> rečiau sukelia viduriavimą, </w:t>
      </w:r>
      <w:proofErr w:type="spellStart"/>
      <w:r w:rsidRPr="005B78EB">
        <w:rPr>
          <w:rFonts w:eastAsia="Arial"/>
          <w:iCs/>
        </w:rPr>
        <w:t>leukopeniją</w:t>
      </w:r>
      <w:proofErr w:type="spellEnd"/>
      <w:r w:rsidRPr="005B78EB">
        <w:rPr>
          <w:rFonts w:eastAsia="Arial"/>
          <w:iCs/>
        </w:rPr>
        <w:t xml:space="preserve">, </w:t>
      </w:r>
      <w:proofErr w:type="spellStart"/>
      <w:r w:rsidRPr="005B78EB">
        <w:rPr>
          <w:rFonts w:eastAsia="Arial"/>
          <w:iCs/>
        </w:rPr>
        <w:t>limfopeniją</w:t>
      </w:r>
      <w:proofErr w:type="spellEnd"/>
      <w:r w:rsidRPr="005B78EB">
        <w:rPr>
          <w:rFonts w:eastAsia="Arial"/>
          <w:iCs/>
        </w:rPr>
        <w:t>. Remiantis netiesioginės analizes duomenimis gydytojai specialistai turėtų atsižvelgti į galimus skirtingumo dažnumo nepageidaujamus rei</w:t>
      </w:r>
      <w:r>
        <w:rPr>
          <w:rFonts w:eastAsia="Arial"/>
          <w:iCs/>
        </w:rPr>
        <w:t>š</w:t>
      </w:r>
      <w:r w:rsidRPr="005B78EB">
        <w:rPr>
          <w:rFonts w:eastAsia="Arial"/>
          <w:iCs/>
        </w:rPr>
        <w:t xml:space="preserve">kinius, kuriuos gali sukelti </w:t>
      </w:r>
      <w:proofErr w:type="spellStart"/>
      <w:r w:rsidRPr="005B78EB">
        <w:rPr>
          <w:rFonts w:eastAsia="Arial"/>
          <w:iCs/>
        </w:rPr>
        <w:t>abemaciklibas</w:t>
      </w:r>
      <w:proofErr w:type="spellEnd"/>
      <w:r w:rsidRPr="005B78EB">
        <w:rPr>
          <w:rFonts w:eastAsia="Arial"/>
          <w:iCs/>
        </w:rPr>
        <w:t xml:space="preserve"> ir </w:t>
      </w:r>
      <w:proofErr w:type="spellStart"/>
      <w:r w:rsidRPr="005B78EB">
        <w:rPr>
          <w:rFonts w:eastAsia="Arial"/>
          <w:iCs/>
        </w:rPr>
        <w:t>ribociklibas</w:t>
      </w:r>
      <w:proofErr w:type="spellEnd"/>
      <w:r w:rsidRPr="005B78EB">
        <w:rPr>
          <w:rFonts w:eastAsia="Arial"/>
          <w:iCs/>
        </w:rPr>
        <w:t>, atsižvelgiant į konkretaus paciento sveikatos būklę.</w:t>
      </w:r>
    </w:p>
    <w:p w14:paraId="00FC9FB1" w14:textId="77777777" w:rsidR="00424903" w:rsidRPr="00BF0838" w:rsidRDefault="00424903" w:rsidP="00424903">
      <w:pPr>
        <w:tabs>
          <w:tab w:val="left" w:pos="426"/>
        </w:tabs>
        <w:spacing w:line="276" w:lineRule="auto"/>
        <w:jc w:val="both"/>
        <w:rPr>
          <w:rFonts w:eastAsia="Arial"/>
        </w:rPr>
      </w:pPr>
      <w:r>
        <w:rPr>
          <w:rFonts w:eastAsia="Arial"/>
          <w:iCs/>
        </w:rPr>
        <w:tab/>
        <w:t xml:space="preserve">Detaliai įvertinus pateiktus klinikinius duomenis, nustatyta, kad skiriant </w:t>
      </w:r>
      <w:proofErr w:type="spellStart"/>
      <w:r>
        <w:rPr>
          <w:rFonts w:eastAsia="Arial"/>
          <w:iCs/>
        </w:rPr>
        <w:t>ribociklibą</w:t>
      </w:r>
      <w:proofErr w:type="spellEnd"/>
      <w:r>
        <w:rPr>
          <w:rFonts w:eastAsia="Arial"/>
          <w:iCs/>
        </w:rPr>
        <w:t xml:space="preserve"> </w:t>
      </w:r>
      <w:r w:rsidRPr="007213B4">
        <w:t xml:space="preserve">derinyje su </w:t>
      </w:r>
      <w:proofErr w:type="spellStart"/>
      <w:r w:rsidRPr="007213B4">
        <w:t>aromatazės</w:t>
      </w:r>
      <w:proofErr w:type="spellEnd"/>
      <w:r w:rsidRPr="007213B4">
        <w:t xml:space="preserve"> inhibitoriumi pacientų, sergančių ankstyvuoju krūties vėžiu, kai nustatomas hormonų receptorių (HR) teigiamas ir žmogaus epidermio augimo faktoriaus receptoriaus 2 (angl. </w:t>
      </w:r>
      <w:proofErr w:type="spellStart"/>
      <w:r w:rsidRPr="007213B4">
        <w:t>human</w:t>
      </w:r>
      <w:proofErr w:type="spellEnd"/>
      <w:r w:rsidRPr="007213B4">
        <w:t xml:space="preserve"> </w:t>
      </w:r>
      <w:proofErr w:type="spellStart"/>
      <w:r w:rsidRPr="007213B4">
        <w:t>epidermal</w:t>
      </w:r>
      <w:proofErr w:type="spellEnd"/>
      <w:r w:rsidRPr="007213B4">
        <w:t xml:space="preserve"> </w:t>
      </w:r>
      <w:proofErr w:type="spellStart"/>
      <w:r w:rsidRPr="007213B4">
        <w:t>growth</w:t>
      </w:r>
      <w:proofErr w:type="spellEnd"/>
      <w:r w:rsidRPr="007213B4">
        <w:t xml:space="preserve"> </w:t>
      </w:r>
      <w:proofErr w:type="spellStart"/>
      <w:r w:rsidRPr="007213B4">
        <w:t>factor</w:t>
      </w:r>
      <w:proofErr w:type="spellEnd"/>
      <w:r w:rsidRPr="007213B4">
        <w:t xml:space="preserve"> </w:t>
      </w:r>
      <w:proofErr w:type="spellStart"/>
      <w:r w:rsidRPr="007213B4">
        <w:t>receptor</w:t>
      </w:r>
      <w:proofErr w:type="spellEnd"/>
      <w:r w:rsidRPr="007213B4">
        <w:t xml:space="preserve"> 2 – HER2) neigiamas rodmuo bei kai yra didelė recidyvo rizika, </w:t>
      </w:r>
      <w:proofErr w:type="spellStart"/>
      <w:r w:rsidRPr="007213B4">
        <w:t>adjuvantiniam</w:t>
      </w:r>
      <w:proofErr w:type="spellEnd"/>
      <w:r w:rsidRPr="007213B4">
        <w:t xml:space="preserve"> gydymui</w:t>
      </w:r>
      <w:r>
        <w:t xml:space="preserve">, gali būti pasiekta </w:t>
      </w:r>
      <w:r>
        <w:rPr>
          <w:rFonts w:eastAsia="Arial"/>
          <w:iCs/>
        </w:rPr>
        <w:t xml:space="preserve">ilgalaikė ligos remisija. Tačiau remiantis A sąraše pateikta informacija, </w:t>
      </w:r>
      <w:r>
        <w:rPr>
          <w:bCs/>
        </w:rPr>
        <w:t xml:space="preserve">šiuo metu </w:t>
      </w:r>
      <w:r w:rsidRPr="00BF0838">
        <w:rPr>
          <w:bCs/>
        </w:rPr>
        <w:t xml:space="preserve">šiai pacientų grupei skiriamas </w:t>
      </w:r>
      <w:proofErr w:type="spellStart"/>
      <w:r w:rsidRPr="00BF0838">
        <w:rPr>
          <w:bCs/>
        </w:rPr>
        <w:t>abemaciklibas</w:t>
      </w:r>
      <w:proofErr w:type="spellEnd"/>
      <w:r>
        <w:rPr>
          <w:bCs/>
        </w:rPr>
        <w:t xml:space="preserve">, palyginus su kuriuo, </w:t>
      </w:r>
      <w:proofErr w:type="spellStart"/>
      <w:r>
        <w:rPr>
          <w:bCs/>
        </w:rPr>
        <w:t>ribociklibas</w:t>
      </w:r>
      <w:proofErr w:type="spellEnd"/>
      <w:r>
        <w:rPr>
          <w:bCs/>
        </w:rPr>
        <w:t xml:space="preserve"> </w:t>
      </w:r>
      <w:r>
        <w:rPr>
          <w:rFonts w:eastAsia="Arial"/>
        </w:rPr>
        <w:t>sukuria neskiriančią naudą pacientų sveikatai.</w:t>
      </w:r>
    </w:p>
    <w:p w14:paraId="16519506" w14:textId="77777777" w:rsidR="00146480" w:rsidRPr="00E33EFF" w:rsidRDefault="00146480" w:rsidP="00A93AA6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7DE09EB5" w14:textId="5A783DD4" w:rsidR="00E03C3F" w:rsidRPr="00E33EFF" w:rsidRDefault="00817368" w:rsidP="00817368">
      <w:pPr>
        <w:pStyle w:val="Sraopastraipa"/>
        <w:numPr>
          <w:ilvl w:val="0"/>
          <w:numId w:val="15"/>
        </w:numPr>
        <w:tabs>
          <w:tab w:val="left" w:pos="567"/>
        </w:tabs>
        <w:rPr>
          <w:b/>
          <w:bCs/>
          <w:caps/>
        </w:rPr>
      </w:pPr>
      <w:r>
        <w:rPr>
          <w:b/>
          <w:bCs/>
          <w:caps/>
        </w:rPr>
        <w:t xml:space="preserve"> </w:t>
      </w:r>
      <w:r w:rsidR="00CC7832" w:rsidRPr="00E33EFF">
        <w:rPr>
          <w:b/>
          <w:bCs/>
          <w:caps/>
        </w:rPr>
        <w:t xml:space="preserve">ekonominio vertinimo </w:t>
      </w:r>
      <w:r w:rsidR="002F0E4F" w:rsidRPr="00E33EFF">
        <w:rPr>
          <w:b/>
          <w:bCs/>
          <w:caps/>
        </w:rPr>
        <w:t>apibendrinimas</w:t>
      </w:r>
    </w:p>
    <w:p w14:paraId="1A900598" w14:textId="64F899B3" w:rsidR="00C62B36" w:rsidRPr="003B772D" w:rsidRDefault="00C62B36" w:rsidP="00A93AA6">
      <w:pPr>
        <w:tabs>
          <w:tab w:val="left" w:pos="426"/>
        </w:tabs>
        <w:rPr>
          <w:i/>
          <w:sz w:val="22"/>
          <w:szCs w:val="22"/>
        </w:rPr>
      </w:pPr>
    </w:p>
    <w:p w14:paraId="302D635C" w14:textId="4D41C962" w:rsidR="00817368" w:rsidRPr="00817368" w:rsidRDefault="00817368" w:rsidP="003B772D">
      <w:pPr>
        <w:tabs>
          <w:tab w:val="left" w:pos="426"/>
        </w:tabs>
        <w:spacing w:line="276" w:lineRule="auto"/>
        <w:jc w:val="both"/>
        <w:rPr>
          <w:color w:val="000000"/>
        </w:rPr>
      </w:pPr>
      <w:r w:rsidRPr="003B772D">
        <w:t xml:space="preserve">Atsižvelgiant į tai, kad detalaus klinikinio vertinimo metu nustatyta, kad siūlomo kompensuoti vaistinio preparato </w:t>
      </w:r>
      <w:proofErr w:type="spellStart"/>
      <w:r w:rsidRPr="003B772D">
        <w:t>Kisqali</w:t>
      </w:r>
      <w:proofErr w:type="spellEnd"/>
      <w:r w:rsidRPr="003B772D">
        <w:t xml:space="preserve"> 200 mg plėvele dengtos tabletės palyginamasis veiksmingumas yra įvertintas kaip iš esmės nesiskiriantis lyginant su įprasta klinikine praktika (</w:t>
      </w:r>
      <w:proofErr w:type="spellStart"/>
      <w:r w:rsidRPr="003B772D">
        <w:t>abemaciklibas</w:t>
      </w:r>
      <w:proofErr w:type="spellEnd"/>
      <w:r w:rsidRPr="003B772D">
        <w:t>) ir vadovaujantis Vaistinių preparatų ir medicinos pagalbos priemonių įrašymo į kompensavimo sąrašus ir jų keitimo tvarkos aprašo, patvirtinto Lietuvos Respublikos sveikatos apsaugos ministro 2002 m. balandžio 5 d. įsakymu Nr. V-159 „Dėl vaistinių preparatų ir medicinos pagalbos priemonių įrašymo į kompensavimo sąrašus ir jų keitimo tvarkos aprašo patvirtinimo“ 5</w:t>
      </w:r>
      <w:r w:rsidRPr="00BF1CBA">
        <w:rPr>
          <w:vertAlign w:val="superscript"/>
        </w:rPr>
        <w:t>2</w:t>
      </w:r>
      <w:r w:rsidRPr="003B772D">
        <w:t xml:space="preserve"> ir 17</w:t>
      </w:r>
      <w:r w:rsidRPr="00BF1CBA">
        <w:rPr>
          <w:vertAlign w:val="superscript"/>
        </w:rPr>
        <w:t>3</w:t>
      </w:r>
      <w:r w:rsidRPr="003B772D">
        <w:t xml:space="preserve"> punktais, 17</w:t>
      </w:r>
      <w:r w:rsidRPr="00BF1CBA">
        <w:rPr>
          <w:vertAlign w:val="superscript"/>
        </w:rPr>
        <w:t>3</w:t>
      </w:r>
      <w:r w:rsidRPr="003B772D">
        <w:t xml:space="preserve">.1. </w:t>
      </w:r>
      <w:r w:rsidRPr="00817368">
        <w:rPr>
          <w:color w:val="000000"/>
        </w:rPr>
        <w:lastRenderedPageBreak/>
        <w:t>papunkčiu ir 17</w:t>
      </w:r>
      <w:r w:rsidRPr="00BF1CBA">
        <w:rPr>
          <w:color w:val="000000"/>
          <w:vertAlign w:val="superscript"/>
        </w:rPr>
        <w:t>5</w:t>
      </w:r>
      <w:r w:rsidRPr="00817368">
        <w:rPr>
          <w:color w:val="000000"/>
        </w:rPr>
        <w:t xml:space="preserve"> punktu, ekonominis vertinimas neatliekamas ir išvados dėl kaštų naudingumo neteikiamos.</w:t>
      </w:r>
    </w:p>
    <w:p w14:paraId="33875138" w14:textId="0CA8B9BA" w:rsidR="0035172D" w:rsidRPr="00E33EFF" w:rsidRDefault="0035172D" w:rsidP="00A93AA6">
      <w:pPr>
        <w:tabs>
          <w:tab w:val="left" w:pos="426"/>
        </w:tabs>
        <w:rPr>
          <w:b/>
          <w:bCs/>
          <w:caps/>
        </w:rPr>
      </w:pPr>
    </w:p>
    <w:p w14:paraId="4FC424F9" w14:textId="4E767245" w:rsidR="00C62B36" w:rsidRPr="00E33EFF" w:rsidRDefault="00C62B36" w:rsidP="00817368">
      <w:pPr>
        <w:pStyle w:val="Sraopastraipa"/>
        <w:numPr>
          <w:ilvl w:val="0"/>
          <w:numId w:val="15"/>
        </w:numPr>
        <w:tabs>
          <w:tab w:val="left" w:pos="567"/>
        </w:tabs>
        <w:ind w:hanging="720"/>
        <w:rPr>
          <w:b/>
          <w:bCs/>
          <w:caps/>
        </w:rPr>
      </w:pPr>
      <w:r w:rsidRPr="00E33EFF">
        <w:rPr>
          <w:b/>
          <w:bCs/>
          <w:caps/>
        </w:rPr>
        <w:t xml:space="preserve">Pacientų organizacijų pateikti duomenys </w:t>
      </w:r>
    </w:p>
    <w:p w14:paraId="79BCFF40" w14:textId="1992DF4A" w:rsidR="00937907" w:rsidRPr="00E33EFF" w:rsidRDefault="00DB73C4" w:rsidP="00937907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115001417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937907" w:rsidRPr="00E33EFF">
            <w:rPr>
              <w:rStyle w:val="Style2"/>
              <w:rFonts w:ascii="MS Gothic" w:eastAsia="MS Gothic" w:hAnsi="MS Gothic" w:hint="eastAsia"/>
              <w:sz w:val="24"/>
            </w:rPr>
            <w:t>☐</w:t>
          </w:r>
        </w:sdtContent>
      </w:sdt>
      <w:r w:rsidR="00937907" w:rsidRPr="00E33EFF">
        <w:t xml:space="preserve"> Pacientų organizacijos pozicija pateikta. Žr. priedą.</w:t>
      </w:r>
    </w:p>
    <w:p w14:paraId="62992180" w14:textId="355CDDCA" w:rsidR="00937907" w:rsidRPr="00E33EFF" w:rsidRDefault="00DB73C4" w:rsidP="00937907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-1545513810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AE5314">
            <w:rPr>
              <w:rStyle w:val="Style2"/>
              <w:rFonts w:ascii="MS Gothic" w:eastAsia="MS Gothic" w:hAnsi="MS Gothic" w:hint="eastAsia"/>
              <w:sz w:val="24"/>
            </w:rPr>
            <w:t>☒</w:t>
          </w:r>
        </w:sdtContent>
      </w:sdt>
      <w:r w:rsidR="00937907" w:rsidRPr="00E33EFF">
        <w:t xml:space="preserve"> Pacientų organizacijos pozicija </w:t>
      </w:r>
      <w:r w:rsidR="00880A44" w:rsidRPr="00E33EFF">
        <w:t>ne</w:t>
      </w:r>
      <w:r w:rsidR="00937907" w:rsidRPr="00E33EFF">
        <w:t>pateikta.</w:t>
      </w:r>
    </w:p>
    <w:p w14:paraId="03E73D82" w14:textId="77777777" w:rsidR="00D417D2" w:rsidRPr="00E33EFF" w:rsidRDefault="00D417D2" w:rsidP="00937907">
      <w:pPr>
        <w:spacing w:after="120"/>
        <w:jc w:val="both"/>
      </w:pPr>
    </w:p>
    <w:p w14:paraId="3D3277FA" w14:textId="3CEEB2D2" w:rsidR="00C62B36" w:rsidRPr="00E33EFF" w:rsidRDefault="00C62B36" w:rsidP="00817368">
      <w:pPr>
        <w:pStyle w:val="Sraopastraipa"/>
        <w:numPr>
          <w:ilvl w:val="0"/>
          <w:numId w:val="15"/>
        </w:numPr>
        <w:tabs>
          <w:tab w:val="left" w:pos="567"/>
        </w:tabs>
        <w:ind w:hanging="720"/>
        <w:rPr>
          <w:b/>
          <w:bCs/>
          <w:caps/>
        </w:rPr>
      </w:pPr>
      <w:r w:rsidRPr="00E33EFF">
        <w:rPr>
          <w:b/>
          <w:bCs/>
          <w:caps/>
        </w:rPr>
        <w:t>Gydytojų organizacijų pateikti duomenys</w:t>
      </w:r>
    </w:p>
    <w:p w14:paraId="389A346C" w14:textId="17184B64" w:rsidR="00937907" w:rsidRPr="00E33EFF" w:rsidRDefault="00DB73C4" w:rsidP="00662983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161386278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937907" w:rsidRPr="00E33EFF">
            <w:rPr>
              <w:rStyle w:val="Style2"/>
              <w:rFonts w:ascii="MS Gothic" w:eastAsia="MS Gothic" w:hAnsi="MS Gothic" w:hint="eastAsia"/>
              <w:sz w:val="24"/>
            </w:rPr>
            <w:t>☐</w:t>
          </w:r>
        </w:sdtContent>
      </w:sdt>
      <w:r w:rsidR="00662983" w:rsidRPr="00E33EFF">
        <w:t xml:space="preserve"> </w:t>
      </w:r>
      <w:r w:rsidR="00937907" w:rsidRPr="00E33EFF">
        <w:t xml:space="preserve">Gydytojų specialistų organizacijos pozicija pateikta. </w:t>
      </w:r>
      <w:r w:rsidR="00662983" w:rsidRPr="00E33EFF">
        <w:t>Žr. priedą</w:t>
      </w:r>
      <w:r w:rsidR="00937907" w:rsidRPr="00E33EFF">
        <w:t>.</w:t>
      </w:r>
    </w:p>
    <w:p w14:paraId="5D8CC48C" w14:textId="39213C3B" w:rsidR="00662983" w:rsidRPr="00E33EFF" w:rsidRDefault="00DB73C4" w:rsidP="00662983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-41988141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AE5314">
            <w:rPr>
              <w:rStyle w:val="Style2"/>
              <w:rFonts w:ascii="MS Gothic" w:eastAsia="MS Gothic" w:hAnsi="MS Gothic" w:hint="eastAsia"/>
              <w:sz w:val="24"/>
            </w:rPr>
            <w:t>☒</w:t>
          </w:r>
        </w:sdtContent>
      </w:sdt>
      <w:r w:rsidR="00662983" w:rsidRPr="00E33EFF">
        <w:t xml:space="preserve"> </w:t>
      </w:r>
      <w:r w:rsidR="00937907" w:rsidRPr="00E33EFF">
        <w:t xml:space="preserve">Gydytojų specialistų organizacijos pozicija </w:t>
      </w:r>
      <w:r w:rsidR="00880A44" w:rsidRPr="00E33EFF">
        <w:t>ne</w:t>
      </w:r>
      <w:r w:rsidR="00937907" w:rsidRPr="00E33EFF">
        <w:t>pateikta.</w:t>
      </w:r>
    </w:p>
    <w:p w14:paraId="3701D46A" w14:textId="77777777" w:rsidR="00A042B9" w:rsidRPr="00E33EFF" w:rsidRDefault="00A042B9" w:rsidP="00662983">
      <w:pPr>
        <w:spacing w:after="120"/>
        <w:jc w:val="both"/>
      </w:pPr>
    </w:p>
    <w:p w14:paraId="78F23ECB" w14:textId="23A3A002" w:rsidR="002F0E4F" w:rsidRPr="00E33EFF" w:rsidRDefault="002F0E4F" w:rsidP="00817368">
      <w:pPr>
        <w:pStyle w:val="Sraopastraipa"/>
        <w:numPr>
          <w:ilvl w:val="0"/>
          <w:numId w:val="15"/>
        </w:numPr>
        <w:tabs>
          <w:tab w:val="left" w:pos="567"/>
        </w:tabs>
        <w:ind w:hanging="720"/>
        <w:rPr>
          <w:b/>
          <w:bCs/>
          <w:caps/>
        </w:rPr>
      </w:pPr>
      <w:r w:rsidRPr="00E33EFF">
        <w:rPr>
          <w:b/>
          <w:bCs/>
          <w:caps/>
        </w:rPr>
        <w:t xml:space="preserve">Išvada </w:t>
      </w:r>
    </w:p>
    <w:p w14:paraId="30069D85" w14:textId="77777777" w:rsidR="0061611B" w:rsidRPr="00BF3927" w:rsidRDefault="0061611B" w:rsidP="0061611B">
      <w:pPr>
        <w:ind w:left="360"/>
        <w:rPr>
          <w:i/>
          <w:color w:val="000000" w:themeColor="text1"/>
          <w:szCs w:val="22"/>
        </w:rPr>
      </w:pPr>
    </w:p>
    <w:tbl>
      <w:tblPr>
        <w:tblStyle w:val="TableGrid1"/>
        <w:tblW w:w="9918" w:type="dxa"/>
        <w:jc w:val="center"/>
        <w:tblLook w:val="04A0" w:firstRow="1" w:lastRow="0" w:firstColumn="1" w:lastColumn="0" w:noHBand="0" w:noVBand="1"/>
      </w:tblPr>
      <w:tblGrid>
        <w:gridCol w:w="4886"/>
        <w:gridCol w:w="5032"/>
      </w:tblGrid>
      <w:tr w:rsidR="000B7533" w:rsidRPr="000B7533" w14:paraId="10579FD8" w14:textId="77777777" w:rsidTr="00AD2FDB">
        <w:trPr>
          <w:trHeight w:val="532"/>
          <w:jc w:val="center"/>
        </w:trPr>
        <w:tc>
          <w:tcPr>
            <w:tcW w:w="4886" w:type="dxa"/>
            <w:vAlign w:val="center"/>
          </w:tcPr>
          <w:p w14:paraId="78F6F9B7" w14:textId="77777777" w:rsidR="000B7533" w:rsidRPr="000B7533" w:rsidRDefault="000B7533" w:rsidP="000B75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MS Gothic"/>
                <w:b/>
                <w:bCs/>
              </w:rPr>
            </w:pPr>
            <w:r w:rsidRPr="000B7533">
              <w:rPr>
                <w:rFonts w:eastAsia="MS Gothic"/>
                <w:b/>
                <w:bCs/>
              </w:rPr>
              <w:t>Rekomenduojama kompensuoti</w:t>
            </w:r>
          </w:p>
        </w:tc>
        <w:tc>
          <w:tcPr>
            <w:tcW w:w="5032" w:type="dxa"/>
            <w:vAlign w:val="center"/>
          </w:tcPr>
          <w:p w14:paraId="35D6E68E" w14:textId="77777777" w:rsidR="000B7533" w:rsidRPr="000B7533" w:rsidRDefault="000B7533" w:rsidP="000B75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MS Gothic"/>
                <w:b/>
                <w:bCs/>
              </w:rPr>
            </w:pPr>
            <w:r w:rsidRPr="000B7533">
              <w:rPr>
                <w:rFonts w:eastAsia="MS Gothic"/>
                <w:b/>
                <w:bCs/>
              </w:rPr>
              <w:t>Rekomenduojama nekompensuoti</w:t>
            </w:r>
          </w:p>
        </w:tc>
      </w:tr>
      <w:tr w:rsidR="000B7533" w:rsidRPr="000B7533" w14:paraId="514DB932" w14:textId="77777777" w:rsidTr="00AD2FDB">
        <w:trPr>
          <w:trHeight w:val="485"/>
          <w:jc w:val="center"/>
        </w:trPr>
        <w:tc>
          <w:tcPr>
            <w:tcW w:w="9918" w:type="dxa"/>
            <w:gridSpan w:val="2"/>
            <w:vAlign w:val="center"/>
          </w:tcPr>
          <w:p w14:paraId="0C9BD52C" w14:textId="77777777" w:rsidR="000B7533" w:rsidRPr="000B7533" w:rsidRDefault="000B7533" w:rsidP="000B75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MS Gothic"/>
                <w:b/>
                <w:bCs/>
              </w:rPr>
            </w:pPr>
            <w:r w:rsidRPr="000B7533">
              <w:rPr>
                <w:rFonts w:eastAsia="MS Gothic"/>
                <w:b/>
                <w:bCs/>
              </w:rPr>
              <w:t>Klinikinis veiksmingumas</w:t>
            </w:r>
          </w:p>
        </w:tc>
      </w:tr>
      <w:tr w:rsidR="000B7533" w:rsidRPr="000B7533" w14:paraId="0A51A0CF" w14:textId="77777777" w:rsidTr="00AD2FDB">
        <w:trPr>
          <w:jc w:val="center"/>
        </w:trPr>
        <w:tc>
          <w:tcPr>
            <w:tcW w:w="4886" w:type="dxa"/>
          </w:tcPr>
          <w:p w14:paraId="2DC6A68E" w14:textId="0AFE654C" w:rsidR="000B7533" w:rsidRPr="000B7533" w:rsidRDefault="00DB73C4" w:rsidP="000B75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id w:val="-112716412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533" w:rsidRPr="000B7533">
              <w:t xml:space="preserve"> 32.2. yra įvertintas kaip pagrindžiantis papildomos naudos pacientų sveikatai sukūrimą, lyginant su įprasta klinikine praktika</w:t>
            </w:r>
          </w:p>
          <w:p w14:paraId="38F064F0" w14:textId="77777777" w:rsidR="000B7533" w:rsidRPr="000B7533" w:rsidRDefault="000B7533" w:rsidP="000B75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795D0C5F" w14:textId="4F1FA478" w:rsidR="000B7533" w:rsidRPr="000B7533" w:rsidRDefault="00DB73C4" w:rsidP="000B75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id w:val="-2108182463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6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7533" w:rsidRPr="000B7533">
              <w:t xml:space="preserve"> 32.2. yra įvertintas kaip pagrindžiantis nesiskiriančios naudos pacientų sveikatai sukūrimą, lyginant su įprasta klinikine praktika</w:t>
            </w:r>
          </w:p>
          <w:p w14:paraId="01B099C4" w14:textId="77777777" w:rsidR="000B7533" w:rsidRPr="000B7533" w:rsidRDefault="000B7533" w:rsidP="000B75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MS Gothic"/>
              </w:rPr>
            </w:pPr>
          </w:p>
        </w:tc>
        <w:tc>
          <w:tcPr>
            <w:tcW w:w="5032" w:type="dxa"/>
          </w:tcPr>
          <w:p w14:paraId="6F07B46A" w14:textId="77777777" w:rsidR="000B7533" w:rsidRPr="000B7533" w:rsidRDefault="00DB73C4" w:rsidP="000B7533">
            <w:pPr>
              <w:jc w:val="both"/>
            </w:pPr>
            <w:sdt>
              <w:sdtPr>
                <w:id w:val="9021362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533" w:rsidRPr="000B75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7533" w:rsidRPr="000B7533">
              <w:t xml:space="preserve"> 33.1. yra įvertintas kaip nepagrindžiantis papildomos naudos pacientų sveikatai sukūrimo, lyginant su įprasta klinikine praktika</w:t>
            </w:r>
          </w:p>
          <w:p w14:paraId="15A139E7" w14:textId="77777777" w:rsidR="000B7533" w:rsidRPr="000B7533" w:rsidRDefault="000B7533" w:rsidP="000B7533">
            <w:pPr>
              <w:jc w:val="both"/>
            </w:pPr>
          </w:p>
          <w:p w14:paraId="653712FB" w14:textId="77777777" w:rsidR="000B7533" w:rsidRPr="000B7533" w:rsidRDefault="00DB73C4" w:rsidP="000B7533">
            <w:pPr>
              <w:jc w:val="both"/>
            </w:pPr>
            <w:sdt>
              <w:sdtPr>
                <w:id w:val="4711424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533" w:rsidRPr="000B75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7533" w:rsidRPr="000B7533">
              <w:t xml:space="preserve"> 33.1. yra įvertintas kaip nepagrindžiantis nesiskiriančios naudos pacientų sveikatai sukūrimo, lyginant su įprasta klinikine praktika</w:t>
            </w:r>
          </w:p>
          <w:p w14:paraId="0CE00CA4" w14:textId="77777777" w:rsidR="000B7533" w:rsidRPr="000B7533" w:rsidRDefault="000B7533" w:rsidP="000B75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MS Gothic"/>
              </w:rPr>
            </w:pPr>
          </w:p>
        </w:tc>
      </w:tr>
    </w:tbl>
    <w:p w14:paraId="25AC7C7E" w14:textId="6A1E7D7B" w:rsidR="000001B0" w:rsidRDefault="000001B0" w:rsidP="00381024">
      <w:pPr>
        <w:rPr>
          <w:i/>
          <w:color w:val="00B050"/>
          <w:sz w:val="22"/>
          <w:szCs w:val="22"/>
        </w:rPr>
      </w:pPr>
    </w:p>
    <w:p w14:paraId="1B85C083" w14:textId="77777777" w:rsidR="009E44AE" w:rsidRPr="00E33EFF" w:rsidRDefault="009E44AE" w:rsidP="00381024"/>
    <w:p w14:paraId="3B2D1F25" w14:textId="3A80E19F" w:rsidR="000001B0" w:rsidRPr="00E33EFF" w:rsidRDefault="000001B0" w:rsidP="00817368">
      <w:pPr>
        <w:pStyle w:val="Sraopastraipa"/>
        <w:numPr>
          <w:ilvl w:val="0"/>
          <w:numId w:val="15"/>
        </w:numPr>
        <w:ind w:left="567" w:hanging="567"/>
      </w:pPr>
      <w:r w:rsidRPr="00E33EFF">
        <w:rPr>
          <w:b/>
        </w:rPr>
        <w:t>REKOME</w:t>
      </w:r>
      <w:r w:rsidR="00D83182" w:rsidRPr="00E33EFF">
        <w:rPr>
          <w:b/>
        </w:rPr>
        <w:t>N</w:t>
      </w:r>
      <w:r w:rsidRPr="00E33EFF">
        <w:rPr>
          <w:b/>
        </w:rPr>
        <w:t>DACIJA</w:t>
      </w:r>
    </w:p>
    <w:p w14:paraId="7D5C6700" w14:textId="77777777" w:rsidR="00D5470B" w:rsidRPr="00817368" w:rsidRDefault="00D5470B" w:rsidP="00817368">
      <w:pPr>
        <w:pStyle w:val="Sraopastraipa"/>
        <w:ind w:left="426"/>
        <w:jc w:val="both"/>
      </w:pPr>
    </w:p>
    <w:p w14:paraId="06BC01EE" w14:textId="7A2EFA85" w:rsidR="000723FF" w:rsidRPr="00817368" w:rsidRDefault="00817368" w:rsidP="003B772D">
      <w:pPr>
        <w:spacing w:line="276" w:lineRule="auto"/>
        <w:jc w:val="both"/>
        <w:rPr>
          <w:color w:val="000000"/>
        </w:rPr>
      </w:pPr>
      <w:r w:rsidRPr="00817368">
        <w:rPr>
          <w:color w:val="000000"/>
        </w:rPr>
        <w:t>Vadovaujantis Vaistinių preparatų ir medicinos pagalbos priemonių įrašymo į kompensavimo sąrašus ir jų keitimo tvarkos aprašo, patvirtinto Lietuvos Respublikos sveikatos apsaugos ministro 2002 m. balandžio 5 d. įsakymu Nr. V-159 „Dėl vaistinių preparatų ir medicinos pagalbos priemonių įrašymo į kompensavimo sąrašus ir jų keitimo tvarkos aprašo patvirtinimo“ (toliau -Aprašas) 30</w:t>
      </w:r>
      <w:r w:rsidRPr="00BF1CBA">
        <w:rPr>
          <w:color w:val="000000"/>
          <w:vertAlign w:val="superscript"/>
        </w:rPr>
        <w:t>1</w:t>
      </w:r>
      <w:r w:rsidRPr="00817368">
        <w:rPr>
          <w:color w:val="000000"/>
        </w:rPr>
        <w:t>.5. punktu, kai vertinimo išvados atitinka Aprašo 29.1.2 papunktyje numatytas sąlygas, siūloma kompensuoti vaistinį preparatą pagal paraiškoje nurodytą indikaciją su skyrimo sąlygomis.</w:t>
      </w:r>
    </w:p>
    <w:p w14:paraId="774DB7C0" w14:textId="77777777" w:rsidR="00817368" w:rsidRPr="00E33EFF" w:rsidRDefault="00817368" w:rsidP="003B772D">
      <w:pPr>
        <w:spacing w:line="276" w:lineRule="auto"/>
      </w:pPr>
    </w:p>
    <w:p w14:paraId="18B4292E" w14:textId="5F8009A4" w:rsidR="000723FF" w:rsidRPr="00E33EFF" w:rsidRDefault="00CC09D4" w:rsidP="00CC09D4">
      <w:pPr>
        <w:tabs>
          <w:tab w:val="left" w:pos="567"/>
        </w:tabs>
        <w:ind w:left="567" w:hanging="567"/>
        <w:jc w:val="both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8.</w:t>
      </w:r>
      <w:r>
        <w:rPr>
          <w:b/>
          <w:color w:val="000000"/>
          <w:lang w:eastAsia="lt-LT"/>
        </w:rPr>
        <w:tab/>
      </w:r>
      <w:r w:rsidR="000723FF" w:rsidRPr="00E33EFF">
        <w:rPr>
          <w:b/>
          <w:color w:val="000000"/>
          <w:lang w:eastAsia="lt-LT"/>
        </w:rPr>
        <w:t xml:space="preserve">SIŪLOMOS KOMPENSUOTI TERAPINĖS </w:t>
      </w:r>
      <w:r w:rsidR="00817368">
        <w:rPr>
          <w:b/>
          <w:color w:val="000000"/>
          <w:lang w:eastAsia="lt-LT"/>
        </w:rPr>
        <w:t>INDIKACIJOS IR SKYRIMO SĄLYGOS</w:t>
      </w:r>
    </w:p>
    <w:p w14:paraId="691340BB" w14:textId="77777777" w:rsidR="000723FF" w:rsidRPr="00E33EFF" w:rsidRDefault="000723FF" w:rsidP="000723FF">
      <w:pPr>
        <w:tabs>
          <w:tab w:val="left" w:pos="426"/>
        </w:tabs>
        <w:jc w:val="both"/>
        <w:rPr>
          <w:b/>
          <w:color w:val="000000"/>
          <w:lang w:eastAsia="lt-LT"/>
        </w:rPr>
      </w:pPr>
    </w:p>
    <w:p w14:paraId="529C92C4" w14:textId="152E5FB4" w:rsidR="000723FF" w:rsidRPr="00DC5BAC" w:rsidRDefault="000723FF" w:rsidP="00824B92">
      <w:pPr>
        <w:rPr>
          <w:b/>
          <w:lang w:eastAsia="lt-LT"/>
        </w:rPr>
      </w:pPr>
      <w:r w:rsidRPr="00DC5BAC">
        <w:rPr>
          <w:b/>
          <w:lang w:eastAsia="lt-LT"/>
        </w:rPr>
        <w:t>Terapinės indikacijos</w:t>
      </w:r>
    </w:p>
    <w:p w14:paraId="5BB746DD" w14:textId="7CFABB67" w:rsidR="000723FF" w:rsidRDefault="00DB73C4" w:rsidP="00824B92">
      <w:sdt>
        <w:sdtPr>
          <w:rPr>
            <w:rStyle w:val="Style2"/>
          </w:rPr>
          <w:id w:val="1146316688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E16AC6">
            <w:rPr>
              <w:rStyle w:val="Style2"/>
              <w:rFonts w:ascii="MS Gothic" w:eastAsia="MS Gothic" w:hAnsi="MS Gothic" w:hint="eastAsia"/>
            </w:rPr>
            <w:t>☒</w:t>
          </w:r>
        </w:sdtContent>
      </w:sdt>
      <w:r w:rsidR="000723FF" w:rsidRPr="00E33EFF">
        <w:t xml:space="preserve"> Siūloma kompensuoti Pareiškėjo teikiamą indikaciją be pakeitimų.</w:t>
      </w:r>
    </w:p>
    <w:p w14:paraId="35D1A42F" w14:textId="77777777" w:rsidR="002F3D6F" w:rsidRDefault="002F3D6F" w:rsidP="00824B92"/>
    <w:p w14:paraId="47F845CD" w14:textId="6218C61E" w:rsidR="002F3D6F" w:rsidRDefault="002F3D6F" w:rsidP="003B772D">
      <w:pPr>
        <w:spacing w:line="276" w:lineRule="auto"/>
      </w:pPr>
      <w:proofErr w:type="spellStart"/>
      <w:r w:rsidRPr="002F3D6F">
        <w:t>Kisqali</w:t>
      </w:r>
      <w:proofErr w:type="spellEnd"/>
      <w:r w:rsidRPr="002F3D6F">
        <w:t xml:space="preserve"> derinyje su </w:t>
      </w:r>
      <w:proofErr w:type="spellStart"/>
      <w:r w:rsidRPr="002F3D6F">
        <w:t>aromatazės</w:t>
      </w:r>
      <w:proofErr w:type="spellEnd"/>
      <w:r w:rsidRPr="002F3D6F">
        <w:t xml:space="preserve"> inhibitoriumi skirtas pacientų, sergančių ankstyvuoju krūties vėžiu, kai nustatomas hormonų receptorių (HR) teigiamas ir žmogaus epidermio augimo faktoriaus receptoriaus 2 (angl. </w:t>
      </w:r>
      <w:proofErr w:type="spellStart"/>
      <w:r w:rsidRPr="002F3D6F">
        <w:t>human</w:t>
      </w:r>
      <w:proofErr w:type="spellEnd"/>
      <w:r w:rsidRPr="002F3D6F">
        <w:t xml:space="preserve"> </w:t>
      </w:r>
      <w:proofErr w:type="spellStart"/>
      <w:r w:rsidRPr="002F3D6F">
        <w:t>epidermal</w:t>
      </w:r>
      <w:proofErr w:type="spellEnd"/>
      <w:r w:rsidRPr="002F3D6F">
        <w:t xml:space="preserve"> </w:t>
      </w:r>
      <w:proofErr w:type="spellStart"/>
      <w:r w:rsidRPr="002F3D6F">
        <w:t>growth</w:t>
      </w:r>
      <w:proofErr w:type="spellEnd"/>
      <w:r w:rsidRPr="002F3D6F">
        <w:t xml:space="preserve"> </w:t>
      </w:r>
      <w:proofErr w:type="spellStart"/>
      <w:r w:rsidRPr="002F3D6F">
        <w:t>factor</w:t>
      </w:r>
      <w:proofErr w:type="spellEnd"/>
      <w:r w:rsidRPr="002F3D6F">
        <w:t xml:space="preserve"> </w:t>
      </w:r>
      <w:proofErr w:type="spellStart"/>
      <w:r w:rsidRPr="002F3D6F">
        <w:t>receptor</w:t>
      </w:r>
      <w:proofErr w:type="spellEnd"/>
      <w:r w:rsidRPr="002F3D6F">
        <w:t xml:space="preserve"> 2 – HER2) neigiamas rodmuo bei kai yra didelė recidyvo rizika, </w:t>
      </w:r>
      <w:proofErr w:type="spellStart"/>
      <w:r w:rsidRPr="002F3D6F">
        <w:t>adjuvantiniam</w:t>
      </w:r>
      <w:proofErr w:type="spellEnd"/>
      <w:r w:rsidRPr="002F3D6F">
        <w:t xml:space="preserve"> gydymui. Moterims prieš menopauzę arba </w:t>
      </w:r>
      <w:proofErr w:type="spellStart"/>
      <w:r w:rsidRPr="002F3D6F">
        <w:t>perimenopauzės</w:t>
      </w:r>
      <w:proofErr w:type="spellEnd"/>
      <w:r w:rsidRPr="002F3D6F">
        <w:t xml:space="preserve"> laikotarpiu arba vyrams </w:t>
      </w:r>
      <w:proofErr w:type="spellStart"/>
      <w:r w:rsidRPr="002F3D6F">
        <w:t>aromatazės</w:t>
      </w:r>
      <w:proofErr w:type="spellEnd"/>
      <w:r w:rsidRPr="002F3D6F">
        <w:t xml:space="preserve"> inhibitorių reikia skirti kartu su </w:t>
      </w:r>
      <w:proofErr w:type="spellStart"/>
      <w:r w:rsidRPr="002F3D6F">
        <w:t>liuteinizuojantį</w:t>
      </w:r>
      <w:proofErr w:type="spellEnd"/>
      <w:r w:rsidRPr="002F3D6F">
        <w:t xml:space="preserve"> hormoną atpalaiduojančio hormono (LHAH) </w:t>
      </w:r>
      <w:proofErr w:type="spellStart"/>
      <w:r w:rsidRPr="002F3D6F">
        <w:t>agonistu</w:t>
      </w:r>
      <w:proofErr w:type="spellEnd"/>
      <w:r w:rsidRPr="002F3D6F">
        <w:t>.</w:t>
      </w:r>
    </w:p>
    <w:p w14:paraId="1BC0D1A5" w14:textId="77777777" w:rsidR="004F1839" w:rsidRDefault="004F1839" w:rsidP="00824B92">
      <w:pPr>
        <w:rPr>
          <w:b/>
        </w:rPr>
      </w:pPr>
    </w:p>
    <w:p w14:paraId="241A6E6B" w14:textId="3D8112F3" w:rsidR="000723FF" w:rsidRPr="00E33EFF" w:rsidRDefault="000723FF" w:rsidP="00824B92">
      <w:pPr>
        <w:rPr>
          <w:b/>
        </w:rPr>
      </w:pPr>
      <w:r w:rsidRPr="00E33EFF">
        <w:rPr>
          <w:b/>
        </w:rPr>
        <w:t>Skyrimo sąlygos</w:t>
      </w:r>
    </w:p>
    <w:p w14:paraId="250ACC46" w14:textId="29F6AA46" w:rsidR="000723FF" w:rsidRPr="00E33EFF" w:rsidRDefault="00DB73C4" w:rsidP="00824B92">
      <w:sdt>
        <w:sdtPr>
          <w:rPr>
            <w:rStyle w:val="Style2"/>
          </w:rPr>
          <w:id w:val="169305347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7A2B68">
            <w:rPr>
              <w:rStyle w:val="Style2"/>
              <w:rFonts w:ascii="MS Gothic" w:eastAsia="MS Gothic" w:hAnsi="MS Gothic" w:hint="eastAsia"/>
            </w:rPr>
            <w:t>☐</w:t>
          </w:r>
        </w:sdtContent>
      </w:sdt>
      <w:r w:rsidR="000723FF" w:rsidRPr="00E33EFF">
        <w:t xml:space="preserve"> Pareiškėjo siūlomos skyrimo sąlygos priimtinos. </w:t>
      </w:r>
    </w:p>
    <w:p w14:paraId="2A4B6542" w14:textId="732DEADE" w:rsidR="000723FF" w:rsidRPr="00E33EFF" w:rsidRDefault="000723FF" w:rsidP="00824B92">
      <w:r w:rsidRPr="00E33EFF">
        <w:t xml:space="preserve"> </w:t>
      </w:r>
    </w:p>
    <w:p w14:paraId="297867ED" w14:textId="6F9F62EA" w:rsidR="000723FF" w:rsidRPr="00E33EFF" w:rsidRDefault="00DB73C4" w:rsidP="00824B92">
      <w:sdt>
        <w:sdtPr>
          <w:rPr>
            <w:rStyle w:val="Style2"/>
          </w:rPr>
          <w:id w:val="1823936883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E16AC6">
            <w:rPr>
              <w:rStyle w:val="Style2"/>
              <w:rFonts w:ascii="MS Gothic" w:eastAsia="MS Gothic" w:hAnsi="MS Gothic" w:hint="eastAsia"/>
            </w:rPr>
            <w:t>☒</w:t>
          </w:r>
        </w:sdtContent>
      </w:sdt>
      <w:r w:rsidR="000723FF" w:rsidRPr="00E33EFF">
        <w:t xml:space="preserve"> Pareiškėjo siūlomos skyrimo sąlygos nepriimtinos. </w:t>
      </w:r>
    </w:p>
    <w:p w14:paraId="46655783" w14:textId="77777777" w:rsidR="004F1839" w:rsidRDefault="004F1839" w:rsidP="00824B92"/>
    <w:p w14:paraId="1DAF832C" w14:textId="77777777" w:rsidR="00D45A97" w:rsidRDefault="00D45A97" w:rsidP="00D45A97">
      <w:pPr>
        <w:rPr>
          <w:bCs/>
        </w:rPr>
      </w:pPr>
      <w:r w:rsidRPr="00D45A97">
        <w:rPr>
          <w:bCs/>
        </w:rPr>
        <w:t>Siūloma skyrimo sąlygų formuluotė:</w:t>
      </w:r>
    </w:p>
    <w:p w14:paraId="2CC936B9" w14:textId="77777777" w:rsidR="00D45A97" w:rsidRPr="00D45A97" w:rsidRDefault="00D45A97" w:rsidP="00D45A97">
      <w:pPr>
        <w:rPr>
          <w:bCs/>
        </w:rPr>
      </w:pPr>
    </w:p>
    <w:p w14:paraId="59A01674" w14:textId="5CAAC5EF" w:rsidR="00733335" w:rsidRPr="003B772D" w:rsidRDefault="00733335" w:rsidP="003B772D">
      <w:pPr>
        <w:spacing w:line="276" w:lineRule="auto"/>
        <w:jc w:val="both"/>
        <w:rPr>
          <w:bCs/>
        </w:rPr>
      </w:pPr>
      <w:bookmarkStart w:id="0" w:name="_Hlk210129757"/>
      <w:r w:rsidRPr="009556B8">
        <w:rPr>
          <w:bCs/>
        </w:rPr>
        <w:t xml:space="preserve">Skiriamas </w:t>
      </w:r>
      <w:r w:rsidR="003B772D" w:rsidRPr="009556B8">
        <w:rPr>
          <w:bCs/>
        </w:rPr>
        <w:t xml:space="preserve">derinyje su </w:t>
      </w:r>
      <w:proofErr w:type="spellStart"/>
      <w:r w:rsidR="003B772D" w:rsidRPr="009556B8">
        <w:t>aromatazės</w:t>
      </w:r>
      <w:proofErr w:type="spellEnd"/>
      <w:r w:rsidR="003B772D" w:rsidRPr="009556B8">
        <w:t xml:space="preserve"> inhibitoriumi </w:t>
      </w:r>
      <w:r w:rsidRPr="009556B8">
        <w:rPr>
          <w:bCs/>
        </w:rPr>
        <w:t xml:space="preserve">suaugusiems pacientams, kuriems diagnozuotas ankstyvosios stadijos krūties vėžys </w:t>
      </w:r>
      <w:r w:rsidR="003B772D" w:rsidRPr="009556B8">
        <w:rPr>
          <w:bCs/>
        </w:rPr>
        <w:t xml:space="preserve">su nustatytais hormonų receptoriais (HR) ir nenustatytais HER2 receptoriais ir </w:t>
      </w:r>
      <w:r w:rsidRPr="009556B8">
        <w:rPr>
          <w:bCs/>
        </w:rPr>
        <w:t>metastazėmis limfmazgiuose ir yra didelė ligos atsinaujinimo rizika</w:t>
      </w:r>
      <w:r w:rsidR="003B772D" w:rsidRPr="009556B8">
        <w:rPr>
          <w:bCs/>
        </w:rPr>
        <w:t xml:space="preserve">. </w:t>
      </w:r>
      <w:r w:rsidRPr="009556B8">
        <w:rPr>
          <w:bCs/>
        </w:rPr>
        <w:t xml:space="preserve">Gydymas </w:t>
      </w:r>
      <w:proofErr w:type="spellStart"/>
      <w:r w:rsidR="003B772D" w:rsidRPr="009556B8">
        <w:rPr>
          <w:bCs/>
        </w:rPr>
        <w:t>r</w:t>
      </w:r>
      <w:r w:rsidRPr="009556B8">
        <w:rPr>
          <w:bCs/>
        </w:rPr>
        <w:t>ibociklibu</w:t>
      </w:r>
      <w:proofErr w:type="spellEnd"/>
      <w:r w:rsidRPr="009556B8">
        <w:rPr>
          <w:bCs/>
        </w:rPr>
        <w:t xml:space="preserve"> turi būti pradėtas per 12 mėnesių nuo pradinės </w:t>
      </w:r>
      <w:r w:rsidR="003B772D" w:rsidRPr="009556B8">
        <w:rPr>
          <w:bCs/>
        </w:rPr>
        <w:t xml:space="preserve">endokrininės terapijos </w:t>
      </w:r>
      <w:r w:rsidRPr="009556B8">
        <w:rPr>
          <w:bCs/>
        </w:rPr>
        <w:t>pradžio</w:t>
      </w:r>
      <w:r w:rsidR="003B772D" w:rsidRPr="009556B8">
        <w:rPr>
          <w:bCs/>
        </w:rPr>
        <w:t xml:space="preserve">s. </w:t>
      </w:r>
      <w:proofErr w:type="spellStart"/>
      <w:r w:rsidR="003B772D" w:rsidRPr="009556B8">
        <w:rPr>
          <w:bCs/>
        </w:rPr>
        <w:t>R</w:t>
      </w:r>
      <w:r w:rsidRPr="009556B8">
        <w:rPr>
          <w:bCs/>
        </w:rPr>
        <w:t>ibocik</w:t>
      </w:r>
      <w:r w:rsidR="009556B8">
        <w:rPr>
          <w:bCs/>
        </w:rPr>
        <w:t>l</w:t>
      </w:r>
      <w:r w:rsidRPr="009556B8">
        <w:rPr>
          <w:bCs/>
        </w:rPr>
        <w:t>ib</w:t>
      </w:r>
      <w:r w:rsidR="003B772D" w:rsidRPr="009556B8">
        <w:rPr>
          <w:bCs/>
        </w:rPr>
        <w:t>as</w:t>
      </w:r>
      <w:proofErr w:type="spellEnd"/>
      <w:r w:rsidR="003B772D" w:rsidRPr="009556B8">
        <w:rPr>
          <w:bCs/>
        </w:rPr>
        <w:t xml:space="preserve"> ir </w:t>
      </w:r>
      <w:proofErr w:type="spellStart"/>
      <w:r w:rsidR="003B772D" w:rsidRPr="009556B8">
        <w:rPr>
          <w:bCs/>
        </w:rPr>
        <w:t>a</w:t>
      </w:r>
      <w:r w:rsidRPr="009556B8">
        <w:rPr>
          <w:bCs/>
        </w:rPr>
        <w:t>romatazių</w:t>
      </w:r>
      <w:proofErr w:type="spellEnd"/>
      <w:r w:rsidRPr="009556B8">
        <w:rPr>
          <w:bCs/>
        </w:rPr>
        <w:t xml:space="preserve"> inhibitori</w:t>
      </w:r>
      <w:r w:rsidR="003B772D" w:rsidRPr="009556B8">
        <w:rPr>
          <w:bCs/>
        </w:rPr>
        <w:t>us</w:t>
      </w:r>
      <w:r w:rsidRPr="009556B8">
        <w:rPr>
          <w:bCs/>
        </w:rPr>
        <w:t xml:space="preserve"> skiriam</w:t>
      </w:r>
      <w:r w:rsidR="003B772D" w:rsidRPr="009556B8">
        <w:rPr>
          <w:bCs/>
        </w:rPr>
        <w:t>i</w:t>
      </w:r>
      <w:r w:rsidRPr="009556B8">
        <w:rPr>
          <w:bCs/>
        </w:rPr>
        <w:t xml:space="preserve"> ne ilgiau kaip 3 metus, vėliau gydymas tęsiamas taikant </w:t>
      </w:r>
      <w:r w:rsidR="003B772D" w:rsidRPr="009556B8">
        <w:rPr>
          <w:bCs/>
        </w:rPr>
        <w:t xml:space="preserve">vien </w:t>
      </w:r>
      <w:r w:rsidRPr="009556B8">
        <w:rPr>
          <w:bCs/>
        </w:rPr>
        <w:t>tik endokrininę terapiją iki ligos progresavimo arba nepriimtino toksinio poveikio atsiradimo</w:t>
      </w:r>
      <w:r w:rsidR="003B772D" w:rsidRPr="009556B8">
        <w:rPr>
          <w:bCs/>
        </w:rPr>
        <w:t>.</w:t>
      </w:r>
      <w:r w:rsidRPr="009556B8">
        <w:rPr>
          <w:bCs/>
        </w:rPr>
        <w:t xml:space="preserve"> Moterims prieš menopauzę arba </w:t>
      </w:r>
      <w:proofErr w:type="spellStart"/>
      <w:r w:rsidRPr="009556B8">
        <w:rPr>
          <w:bCs/>
        </w:rPr>
        <w:t>perimenopauzės</w:t>
      </w:r>
      <w:proofErr w:type="spellEnd"/>
      <w:r w:rsidRPr="009556B8">
        <w:rPr>
          <w:bCs/>
        </w:rPr>
        <w:t xml:space="preserve"> laikotarpiu gydymą </w:t>
      </w:r>
      <w:proofErr w:type="spellStart"/>
      <w:r w:rsidR="003B772D" w:rsidRPr="009556B8">
        <w:rPr>
          <w:bCs/>
        </w:rPr>
        <w:t>a</w:t>
      </w:r>
      <w:r w:rsidRPr="009556B8">
        <w:rPr>
          <w:bCs/>
        </w:rPr>
        <w:t>romatazių</w:t>
      </w:r>
      <w:proofErr w:type="spellEnd"/>
      <w:r w:rsidRPr="009556B8">
        <w:rPr>
          <w:bCs/>
        </w:rPr>
        <w:t xml:space="preserve"> inhibitoriais reikia skirti kartu su </w:t>
      </w:r>
      <w:proofErr w:type="spellStart"/>
      <w:r w:rsidRPr="009556B8">
        <w:rPr>
          <w:bCs/>
        </w:rPr>
        <w:t>liuteinizuojantį</w:t>
      </w:r>
      <w:proofErr w:type="spellEnd"/>
      <w:r w:rsidRPr="009556B8">
        <w:rPr>
          <w:bCs/>
        </w:rPr>
        <w:t xml:space="preserve"> hormoną atpalaiduojančio hormono </w:t>
      </w:r>
      <w:proofErr w:type="spellStart"/>
      <w:r w:rsidRPr="009556B8">
        <w:rPr>
          <w:bCs/>
        </w:rPr>
        <w:t>agonistu</w:t>
      </w:r>
      <w:proofErr w:type="spellEnd"/>
      <w:r w:rsidR="003B772D" w:rsidRPr="009556B8">
        <w:rPr>
          <w:bCs/>
        </w:rPr>
        <w:t>.</w:t>
      </w:r>
    </w:p>
    <w:bookmarkEnd w:id="0"/>
    <w:p w14:paraId="2B913D1A" w14:textId="77777777" w:rsidR="00733335" w:rsidRDefault="00733335" w:rsidP="003B772D">
      <w:pPr>
        <w:spacing w:line="276" w:lineRule="auto"/>
        <w:jc w:val="both"/>
        <w:rPr>
          <w:bCs/>
          <w:i/>
          <w:iCs/>
        </w:rPr>
      </w:pPr>
    </w:p>
    <w:p w14:paraId="1A7E6F5C" w14:textId="77777777" w:rsidR="00BF1CBA" w:rsidRPr="001D06E0" w:rsidRDefault="00BF1CBA" w:rsidP="00BF1CBA">
      <w:pPr>
        <w:pStyle w:val="prastasiniatinklio"/>
        <w:spacing w:line="276" w:lineRule="auto"/>
        <w:jc w:val="both"/>
        <w:rPr>
          <w:i/>
          <w:color w:val="000000"/>
        </w:rPr>
      </w:pPr>
      <w:r w:rsidRPr="001D06E0">
        <w:rPr>
          <w:i/>
          <w:color w:val="000000"/>
        </w:rPr>
        <w:t>Pastabos</w:t>
      </w:r>
    </w:p>
    <w:p w14:paraId="7F82EE77" w14:textId="77777777" w:rsidR="00BF1CBA" w:rsidRDefault="00BF1CBA" w:rsidP="00BF1CBA">
      <w:pPr>
        <w:pStyle w:val="prastasiniatinklio"/>
        <w:numPr>
          <w:ilvl w:val="0"/>
          <w:numId w:val="16"/>
        </w:numPr>
        <w:spacing w:line="276" w:lineRule="auto"/>
        <w:jc w:val="both"/>
        <w:rPr>
          <w:color w:val="000000"/>
        </w:rPr>
      </w:pPr>
      <w:r w:rsidRPr="001D06E0">
        <w:rPr>
          <w:color w:val="000000"/>
        </w:rPr>
        <w:t>Tarnybos pateikta rekomendacija kompensuoti siūlomą vaistinį preparatą taikytina, jei PSDF biudžeto išlaidos dėl kompensuoti siūlomo vaistinio preparato, lyginant su palyginamuoju gydymu atitinka Aprašo 54.1</w:t>
      </w:r>
      <w:r w:rsidRPr="000D088E">
        <w:rPr>
          <w:color w:val="000000"/>
          <w:vertAlign w:val="superscript"/>
        </w:rPr>
        <w:t>1</w:t>
      </w:r>
      <w:r w:rsidRPr="001D06E0">
        <w:rPr>
          <w:color w:val="000000"/>
        </w:rPr>
        <w:t xml:space="preserve"> papunktį.</w:t>
      </w:r>
    </w:p>
    <w:p w14:paraId="5D034776" w14:textId="77777777" w:rsidR="00BF1CBA" w:rsidRPr="001D06E0" w:rsidRDefault="00BF1CBA" w:rsidP="00BF1CBA">
      <w:pPr>
        <w:pStyle w:val="prastasiniatinkli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Priėmus sprendimą kompensuoti vaistinį preparatą teikiamos indikacijoms, būtina atnaujinti Krūties vėžio gydymo aprašą. </w:t>
      </w:r>
    </w:p>
    <w:p w14:paraId="782ABC15" w14:textId="77777777" w:rsidR="00BF1CBA" w:rsidRPr="00BF1CBA" w:rsidRDefault="00BF1CBA" w:rsidP="003B772D">
      <w:pPr>
        <w:spacing w:line="276" w:lineRule="auto"/>
        <w:jc w:val="both"/>
        <w:rPr>
          <w:bCs/>
          <w:i/>
          <w:iCs/>
          <w:lang w:val="en-US"/>
        </w:rPr>
      </w:pPr>
    </w:p>
    <w:sectPr w:rsidR="00BF1CBA" w:rsidRPr="00BF1CBA" w:rsidSect="005D30E1">
      <w:headerReference w:type="first" r:id="rId7"/>
      <w:footerReference w:type="first" r:id="rId8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4FEA" w14:textId="77777777" w:rsidR="00C953AC" w:rsidRDefault="00C953AC">
      <w:r>
        <w:separator/>
      </w:r>
    </w:p>
  </w:endnote>
  <w:endnote w:type="continuationSeparator" w:id="0">
    <w:p w14:paraId="3E124180" w14:textId="77777777" w:rsidR="00C953AC" w:rsidRDefault="00C9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3368" w14:textId="77777777" w:rsidR="00347FAA" w:rsidRDefault="00347FAA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58F9" w14:textId="77777777" w:rsidR="00C953AC" w:rsidRDefault="00C953AC">
      <w:r>
        <w:separator/>
      </w:r>
    </w:p>
  </w:footnote>
  <w:footnote w:type="continuationSeparator" w:id="0">
    <w:p w14:paraId="03219CAE" w14:textId="77777777" w:rsidR="00C953AC" w:rsidRDefault="00C95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1C8F" w14:textId="77777777" w:rsidR="00347FAA" w:rsidRDefault="00347FAA" w:rsidP="00FD793C">
    <w:pPr>
      <w:pStyle w:val="Antrats"/>
      <w:ind w:left="61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D8E"/>
    <w:multiLevelType w:val="hybridMultilevel"/>
    <w:tmpl w:val="10FAC1C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008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8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822836"/>
    <w:multiLevelType w:val="hybridMultilevel"/>
    <w:tmpl w:val="94F4ECF0"/>
    <w:lvl w:ilvl="0" w:tplc="176E5A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D2E58"/>
    <w:multiLevelType w:val="hybridMultilevel"/>
    <w:tmpl w:val="F6943F7A"/>
    <w:lvl w:ilvl="0" w:tplc="AB64B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835EF"/>
    <w:multiLevelType w:val="hybridMultilevel"/>
    <w:tmpl w:val="2A2A13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1C59"/>
    <w:multiLevelType w:val="hybridMultilevel"/>
    <w:tmpl w:val="64544F3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D4915BE"/>
    <w:multiLevelType w:val="hybridMultilevel"/>
    <w:tmpl w:val="7B74B8C4"/>
    <w:lvl w:ilvl="0" w:tplc="ABD6DE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5004F"/>
    <w:multiLevelType w:val="hybridMultilevel"/>
    <w:tmpl w:val="13E4607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CC4222"/>
    <w:multiLevelType w:val="multilevel"/>
    <w:tmpl w:val="C9C6278E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 w:hint="default"/>
      </w:rPr>
    </w:lvl>
  </w:abstractNum>
  <w:abstractNum w:abstractNumId="9" w15:restartNumberingAfterBreak="0">
    <w:nsid w:val="41953EAB"/>
    <w:multiLevelType w:val="hybridMultilevel"/>
    <w:tmpl w:val="D0F01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B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B83C1B"/>
    <w:multiLevelType w:val="multilevel"/>
    <w:tmpl w:val="5F3843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2" w15:restartNumberingAfterBreak="0">
    <w:nsid w:val="5A0D73F3"/>
    <w:multiLevelType w:val="hybridMultilevel"/>
    <w:tmpl w:val="CA9A2AC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37657"/>
    <w:multiLevelType w:val="hybridMultilevel"/>
    <w:tmpl w:val="BDB434FC"/>
    <w:lvl w:ilvl="0" w:tplc="18524044">
      <w:start w:val="2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7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4" w15:restartNumberingAfterBreak="0">
    <w:nsid w:val="6AB27E1E"/>
    <w:multiLevelType w:val="hybridMultilevel"/>
    <w:tmpl w:val="3D568A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66018"/>
    <w:multiLevelType w:val="hybridMultilevel"/>
    <w:tmpl w:val="AA9C9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925195">
    <w:abstractNumId w:val="9"/>
  </w:num>
  <w:num w:numId="2" w16cid:durableId="1650213171">
    <w:abstractNumId w:val="1"/>
  </w:num>
  <w:num w:numId="3" w16cid:durableId="1829511875">
    <w:abstractNumId w:val="11"/>
  </w:num>
  <w:num w:numId="4" w16cid:durableId="804856892">
    <w:abstractNumId w:val="10"/>
  </w:num>
  <w:num w:numId="5" w16cid:durableId="820581407">
    <w:abstractNumId w:val="8"/>
  </w:num>
  <w:num w:numId="6" w16cid:durableId="355892940">
    <w:abstractNumId w:val="7"/>
  </w:num>
  <w:num w:numId="7" w16cid:durableId="1527526790">
    <w:abstractNumId w:val="5"/>
  </w:num>
  <w:num w:numId="8" w16cid:durableId="1510951103">
    <w:abstractNumId w:val="15"/>
  </w:num>
  <w:num w:numId="9" w16cid:durableId="1524636757">
    <w:abstractNumId w:val="0"/>
  </w:num>
  <w:num w:numId="10" w16cid:durableId="366608761">
    <w:abstractNumId w:val="12"/>
  </w:num>
  <w:num w:numId="11" w16cid:durableId="1232036533">
    <w:abstractNumId w:val="14"/>
  </w:num>
  <w:num w:numId="12" w16cid:durableId="768886830">
    <w:abstractNumId w:val="3"/>
  </w:num>
  <w:num w:numId="13" w16cid:durableId="1663897982">
    <w:abstractNumId w:val="13"/>
  </w:num>
  <w:num w:numId="14" w16cid:durableId="1063868143">
    <w:abstractNumId w:val="6"/>
  </w:num>
  <w:num w:numId="15" w16cid:durableId="957839608">
    <w:abstractNumId w:val="2"/>
  </w:num>
  <w:num w:numId="16" w16cid:durableId="2104107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E7"/>
    <w:rsid w:val="000001B0"/>
    <w:rsid w:val="00003F5B"/>
    <w:rsid w:val="000114DD"/>
    <w:rsid w:val="000136F7"/>
    <w:rsid w:val="00023684"/>
    <w:rsid w:val="0002686C"/>
    <w:rsid w:val="00031D0E"/>
    <w:rsid w:val="00032013"/>
    <w:rsid w:val="000337E6"/>
    <w:rsid w:val="0003402E"/>
    <w:rsid w:val="00034EAE"/>
    <w:rsid w:val="00042924"/>
    <w:rsid w:val="00053975"/>
    <w:rsid w:val="00057A2B"/>
    <w:rsid w:val="000606BE"/>
    <w:rsid w:val="000723FF"/>
    <w:rsid w:val="000736B8"/>
    <w:rsid w:val="0008190F"/>
    <w:rsid w:val="00081D9C"/>
    <w:rsid w:val="00082907"/>
    <w:rsid w:val="0008378D"/>
    <w:rsid w:val="00084586"/>
    <w:rsid w:val="00085F92"/>
    <w:rsid w:val="000908A5"/>
    <w:rsid w:val="00092805"/>
    <w:rsid w:val="000B7533"/>
    <w:rsid w:val="000C454C"/>
    <w:rsid w:val="000D088E"/>
    <w:rsid w:val="000D5038"/>
    <w:rsid w:val="000E29D4"/>
    <w:rsid w:val="000F3540"/>
    <w:rsid w:val="000F3D68"/>
    <w:rsid w:val="00100491"/>
    <w:rsid w:val="00104E2E"/>
    <w:rsid w:val="00107287"/>
    <w:rsid w:val="00117406"/>
    <w:rsid w:val="00121EF0"/>
    <w:rsid w:val="00124A9E"/>
    <w:rsid w:val="00130703"/>
    <w:rsid w:val="0013153F"/>
    <w:rsid w:val="001408B8"/>
    <w:rsid w:val="00145040"/>
    <w:rsid w:val="00146480"/>
    <w:rsid w:val="001517E2"/>
    <w:rsid w:val="001521D9"/>
    <w:rsid w:val="001554E2"/>
    <w:rsid w:val="00160105"/>
    <w:rsid w:val="00161B29"/>
    <w:rsid w:val="00164146"/>
    <w:rsid w:val="0017369C"/>
    <w:rsid w:val="00175D57"/>
    <w:rsid w:val="00180C39"/>
    <w:rsid w:val="00180D96"/>
    <w:rsid w:val="00184BD3"/>
    <w:rsid w:val="001921F3"/>
    <w:rsid w:val="001B3C5B"/>
    <w:rsid w:val="001D746F"/>
    <w:rsid w:val="001E4BBB"/>
    <w:rsid w:val="001E6304"/>
    <w:rsid w:val="0020381E"/>
    <w:rsid w:val="00213471"/>
    <w:rsid w:val="00215906"/>
    <w:rsid w:val="00241CD8"/>
    <w:rsid w:val="00244B09"/>
    <w:rsid w:val="002519CB"/>
    <w:rsid w:val="0025697F"/>
    <w:rsid w:val="00260258"/>
    <w:rsid w:val="0026588E"/>
    <w:rsid w:val="00272428"/>
    <w:rsid w:val="00272948"/>
    <w:rsid w:val="00292392"/>
    <w:rsid w:val="002946C7"/>
    <w:rsid w:val="00297916"/>
    <w:rsid w:val="00297FBB"/>
    <w:rsid w:val="002B3CC1"/>
    <w:rsid w:val="002B6CFF"/>
    <w:rsid w:val="002C09E0"/>
    <w:rsid w:val="002C1BB1"/>
    <w:rsid w:val="002C2786"/>
    <w:rsid w:val="002C3A10"/>
    <w:rsid w:val="002C4A90"/>
    <w:rsid w:val="002C4ED5"/>
    <w:rsid w:val="002D02EF"/>
    <w:rsid w:val="002E0702"/>
    <w:rsid w:val="002E57AD"/>
    <w:rsid w:val="002E6F80"/>
    <w:rsid w:val="002F0E4F"/>
    <w:rsid w:val="002F1053"/>
    <w:rsid w:val="002F3D6F"/>
    <w:rsid w:val="002F416D"/>
    <w:rsid w:val="00317B0E"/>
    <w:rsid w:val="00347FAA"/>
    <w:rsid w:val="0035172D"/>
    <w:rsid w:val="00352AED"/>
    <w:rsid w:val="003540F7"/>
    <w:rsid w:val="0036187D"/>
    <w:rsid w:val="00367EDB"/>
    <w:rsid w:val="00381024"/>
    <w:rsid w:val="00386307"/>
    <w:rsid w:val="003874DE"/>
    <w:rsid w:val="00393E9F"/>
    <w:rsid w:val="0039696E"/>
    <w:rsid w:val="003A1E5D"/>
    <w:rsid w:val="003B211A"/>
    <w:rsid w:val="003B772D"/>
    <w:rsid w:val="003C141F"/>
    <w:rsid w:val="003C6B0E"/>
    <w:rsid w:val="003C7257"/>
    <w:rsid w:val="003C7E35"/>
    <w:rsid w:val="003D1877"/>
    <w:rsid w:val="003D1E99"/>
    <w:rsid w:val="003D6208"/>
    <w:rsid w:val="003F29B6"/>
    <w:rsid w:val="003F4057"/>
    <w:rsid w:val="003F4C12"/>
    <w:rsid w:val="00404E8A"/>
    <w:rsid w:val="0040622F"/>
    <w:rsid w:val="00413F24"/>
    <w:rsid w:val="00422853"/>
    <w:rsid w:val="00423160"/>
    <w:rsid w:val="00424903"/>
    <w:rsid w:val="0045191B"/>
    <w:rsid w:val="00453862"/>
    <w:rsid w:val="0045469B"/>
    <w:rsid w:val="00460D3F"/>
    <w:rsid w:val="00461338"/>
    <w:rsid w:val="00462F43"/>
    <w:rsid w:val="004677DB"/>
    <w:rsid w:val="004724A1"/>
    <w:rsid w:val="00472868"/>
    <w:rsid w:val="0047414A"/>
    <w:rsid w:val="00476256"/>
    <w:rsid w:val="004770A6"/>
    <w:rsid w:val="0048630F"/>
    <w:rsid w:val="004947A1"/>
    <w:rsid w:val="0049482A"/>
    <w:rsid w:val="004979D3"/>
    <w:rsid w:val="004A00E7"/>
    <w:rsid w:val="004A3A61"/>
    <w:rsid w:val="004B205D"/>
    <w:rsid w:val="004B59BA"/>
    <w:rsid w:val="004B5A03"/>
    <w:rsid w:val="004C263A"/>
    <w:rsid w:val="004D39C3"/>
    <w:rsid w:val="004D48A6"/>
    <w:rsid w:val="004D7B8F"/>
    <w:rsid w:val="004E0EAD"/>
    <w:rsid w:val="004E6458"/>
    <w:rsid w:val="004E6E7D"/>
    <w:rsid w:val="004F1839"/>
    <w:rsid w:val="004F1AAC"/>
    <w:rsid w:val="004F1AE2"/>
    <w:rsid w:val="004F34F0"/>
    <w:rsid w:val="004F3B2B"/>
    <w:rsid w:val="004F6050"/>
    <w:rsid w:val="005005EF"/>
    <w:rsid w:val="00500DC0"/>
    <w:rsid w:val="005123C2"/>
    <w:rsid w:val="0052144B"/>
    <w:rsid w:val="00524066"/>
    <w:rsid w:val="00534E11"/>
    <w:rsid w:val="005378D8"/>
    <w:rsid w:val="005400D9"/>
    <w:rsid w:val="005476A4"/>
    <w:rsid w:val="0055019B"/>
    <w:rsid w:val="00556E63"/>
    <w:rsid w:val="005601A4"/>
    <w:rsid w:val="00566DBB"/>
    <w:rsid w:val="005767DB"/>
    <w:rsid w:val="005815E6"/>
    <w:rsid w:val="0058712F"/>
    <w:rsid w:val="00587FE5"/>
    <w:rsid w:val="00593C15"/>
    <w:rsid w:val="005976CE"/>
    <w:rsid w:val="005A23D4"/>
    <w:rsid w:val="005A2B5B"/>
    <w:rsid w:val="005A2D1E"/>
    <w:rsid w:val="005B3756"/>
    <w:rsid w:val="005C493F"/>
    <w:rsid w:val="005C6BF7"/>
    <w:rsid w:val="005C71BF"/>
    <w:rsid w:val="005D002C"/>
    <w:rsid w:val="005D30E1"/>
    <w:rsid w:val="005D6555"/>
    <w:rsid w:val="005D7BDF"/>
    <w:rsid w:val="005E28F2"/>
    <w:rsid w:val="005E3196"/>
    <w:rsid w:val="005E4870"/>
    <w:rsid w:val="005F71D9"/>
    <w:rsid w:val="005F7602"/>
    <w:rsid w:val="006031C8"/>
    <w:rsid w:val="006062BE"/>
    <w:rsid w:val="00613143"/>
    <w:rsid w:val="00613501"/>
    <w:rsid w:val="0061611B"/>
    <w:rsid w:val="006166A8"/>
    <w:rsid w:val="006174A1"/>
    <w:rsid w:val="00621D6C"/>
    <w:rsid w:val="00633B49"/>
    <w:rsid w:val="0064297F"/>
    <w:rsid w:val="00645102"/>
    <w:rsid w:val="00646CF3"/>
    <w:rsid w:val="00653D11"/>
    <w:rsid w:val="00662983"/>
    <w:rsid w:val="006834D3"/>
    <w:rsid w:val="00692625"/>
    <w:rsid w:val="00695CD3"/>
    <w:rsid w:val="006A38B6"/>
    <w:rsid w:val="006B1987"/>
    <w:rsid w:val="006B5B71"/>
    <w:rsid w:val="006B6CB0"/>
    <w:rsid w:val="006C0296"/>
    <w:rsid w:val="006C2B64"/>
    <w:rsid w:val="006C4B0E"/>
    <w:rsid w:val="006C5E2F"/>
    <w:rsid w:val="006D4C85"/>
    <w:rsid w:val="006D5C8B"/>
    <w:rsid w:val="006D66AC"/>
    <w:rsid w:val="006E33F6"/>
    <w:rsid w:val="006F1251"/>
    <w:rsid w:val="006F1C23"/>
    <w:rsid w:val="0070034B"/>
    <w:rsid w:val="00702C18"/>
    <w:rsid w:val="00702C99"/>
    <w:rsid w:val="00703166"/>
    <w:rsid w:val="007127F3"/>
    <w:rsid w:val="00720C83"/>
    <w:rsid w:val="007301CF"/>
    <w:rsid w:val="00730CDA"/>
    <w:rsid w:val="007316FB"/>
    <w:rsid w:val="00733335"/>
    <w:rsid w:val="007374D0"/>
    <w:rsid w:val="00737E2D"/>
    <w:rsid w:val="007424D5"/>
    <w:rsid w:val="00744FC9"/>
    <w:rsid w:val="00750A88"/>
    <w:rsid w:val="007523DD"/>
    <w:rsid w:val="00757B7E"/>
    <w:rsid w:val="007656B2"/>
    <w:rsid w:val="0077016F"/>
    <w:rsid w:val="007713AD"/>
    <w:rsid w:val="00795DC5"/>
    <w:rsid w:val="00797153"/>
    <w:rsid w:val="007A21F7"/>
    <w:rsid w:val="007A2B68"/>
    <w:rsid w:val="007B0287"/>
    <w:rsid w:val="007B0DDA"/>
    <w:rsid w:val="007C0875"/>
    <w:rsid w:val="007C6794"/>
    <w:rsid w:val="007C7519"/>
    <w:rsid w:val="007D3347"/>
    <w:rsid w:val="007E5466"/>
    <w:rsid w:val="007F1949"/>
    <w:rsid w:val="007F2592"/>
    <w:rsid w:val="007F4E70"/>
    <w:rsid w:val="00800A08"/>
    <w:rsid w:val="008014CD"/>
    <w:rsid w:val="00817368"/>
    <w:rsid w:val="00817A84"/>
    <w:rsid w:val="008225A4"/>
    <w:rsid w:val="00824B92"/>
    <w:rsid w:val="00826D5E"/>
    <w:rsid w:val="00832013"/>
    <w:rsid w:val="00832DB7"/>
    <w:rsid w:val="00834732"/>
    <w:rsid w:val="0085200C"/>
    <w:rsid w:val="00857C52"/>
    <w:rsid w:val="00860D5F"/>
    <w:rsid w:val="00880A44"/>
    <w:rsid w:val="0088345E"/>
    <w:rsid w:val="0088656F"/>
    <w:rsid w:val="00891EF6"/>
    <w:rsid w:val="00896DFD"/>
    <w:rsid w:val="008A0303"/>
    <w:rsid w:val="008A5FDD"/>
    <w:rsid w:val="008C3947"/>
    <w:rsid w:val="008C3FEE"/>
    <w:rsid w:val="008E473B"/>
    <w:rsid w:val="008E51A6"/>
    <w:rsid w:val="008E7329"/>
    <w:rsid w:val="008F2ED5"/>
    <w:rsid w:val="008F7693"/>
    <w:rsid w:val="0092297E"/>
    <w:rsid w:val="00923651"/>
    <w:rsid w:val="00927B56"/>
    <w:rsid w:val="009341BF"/>
    <w:rsid w:val="00937907"/>
    <w:rsid w:val="00941739"/>
    <w:rsid w:val="00943E06"/>
    <w:rsid w:val="00951573"/>
    <w:rsid w:val="009556B8"/>
    <w:rsid w:val="00963003"/>
    <w:rsid w:val="00966EEF"/>
    <w:rsid w:val="00971B28"/>
    <w:rsid w:val="0097381D"/>
    <w:rsid w:val="00983471"/>
    <w:rsid w:val="009909AB"/>
    <w:rsid w:val="00991668"/>
    <w:rsid w:val="009B37DB"/>
    <w:rsid w:val="009C0F47"/>
    <w:rsid w:val="009C48B7"/>
    <w:rsid w:val="009C7A8C"/>
    <w:rsid w:val="009D23F9"/>
    <w:rsid w:val="009D3497"/>
    <w:rsid w:val="009D4FA8"/>
    <w:rsid w:val="009E44AE"/>
    <w:rsid w:val="009E6CD6"/>
    <w:rsid w:val="009F4D66"/>
    <w:rsid w:val="00A00C3C"/>
    <w:rsid w:val="00A01091"/>
    <w:rsid w:val="00A042B9"/>
    <w:rsid w:val="00A06DBB"/>
    <w:rsid w:val="00A15076"/>
    <w:rsid w:val="00A22ADF"/>
    <w:rsid w:val="00A31E86"/>
    <w:rsid w:val="00A322E1"/>
    <w:rsid w:val="00A35570"/>
    <w:rsid w:val="00A54D87"/>
    <w:rsid w:val="00A5553C"/>
    <w:rsid w:val="00A701C9"/>
    <w:rsid w:val="00A81785"/>
    <w:rsid w:val="00A84803"/>
    <w:rsid w:val="00A84C51"/>
    <w:rsid w:val="00A86F2B"/>
    <w:rsid w:val="00A91366"/>
    <w:rsid w:val="00A93AA6"/>
    <w:rsid w:val="00AA2B55"/>
    <w:rsid w:val="00AA4538"/>
    <w:rsid w:val="00AA4E48"/>
    <w:rsid w:val="00AA6202"/>
    <w:rsid w:val="00AA7B57"/>
    <w:rsid w:val="00AB7BB3"/>
    <w:rsid w:val="00AC26FC"/>
    <w:rsid w:val="00AC4062"/>
    <w:rsid w:val="00AC4A99"/>
    <w:rsid w:val="00AC64D2"/>
    <w:rsid w:val="00AD02E7"/>
    <w:rsid w:val="00AD4C1E"/>
    <w:rsid w:val="00AE0FE8"/>
    <w:rsid w:val="00AE1322"/>
    <w:rsid w:val="00AE24B7"/>
    <w:rsid w:val="00AE5193"/>
    <w:rsid w:val="00AE5314"/>
    <w:rsid w:val="00AF60D5"/>
    <w:rsid w:val="00B00959"/>
    <w:rsid w:val="00B04415"/>
    <w:rsid w:val="00B06509"/>
    <w:rsid w:val="00B11D60"/>
    <w:rsid w:val="00B13D65"/>
    <w:rsid w:val="00B21805"/>
    <w:rsid w:val="00B3072E"/>
    <w:rsid w:val="00B36E15"/>
    <w:rsid w:val="00B37245"/>
    <w:rsid w:val="00B4017A"/>
    <w:rsid w:val="00B41200"/>
    <w:rsid w:val="00B4468D"/>
    <w:rsid w:val="00B71C72"/>
    <w:rsid w:val="00B81E92"/>
    <w:rsid w:val="00B908D7"/>
    <w:rsid w:val="00B915AB"/>
    <w:rsid w:val="00B92420"/>
    <w:rsid w:val="00B935E8"/>
    <w:rsid w:val="00B93B30"/>
    <w:rsid w:val="00B94CB5"/>
    <w:rsid w:val="00BA0DD9"/>
    <w:rsid w:val="00BA5DBC"/>
    <w:rsid w:val="00BB6312"/>
    <w:rsid w:val="00BC4C3E"/>
    <w:rsid w:val="00BC4D06"/>
    <w:rsid w:val="00BC6AC2"/>
    <w:rsid w:val="00BC7270"/>
    <w:rsid w:val="00BD18D3"/>
    <w:rsid w:val="00BD585E"/>
    <w:rsid w:val="00BD6919"/>
    <w:rsid w:val="00BE1EA7"/>
    <w:rsid w:val="00BE30E1"/>
    <w:rsid w:val="00BE7489"/>
    <w:rsid w:val="00BF1CBA"/>
    <w:rsid w:val="00BF2E0D"/>
    <w:rsid w:val="00BF3927"/>
    <w:rsid w:val="00BF3F8B"/>
    <w:rsid w:val="00BF76DA"/>
    <w:rsid w:val="00C07C7B"/>
    <w:rsid w:val="00C16245"/>
    <w:rsid w:val="00C17514"/>
    <w:rsid w:val="00C1784B"/>
    <w:rsid w:val="00C22DC5"/>
    <w:rsid w:val="00C24479"/>
    <w:rsid w:val="00C273F2"/>
    <w:rsid w:val="00C363BD"/>
    <w:rsid w:val="00C37B53"/>
    <w:rsid w:val="00C517D2"/>
    <w:rsid w:val="00C5443F"/>
    <w:rsid w:val="00C5772E"/>
    <w:rsid w:val="00C62B36"/>
    <w:rsid w:val="00C7012C"/>
    <w:rsid w:val="00C712EA"/>
    <w:rsid w:val="00C7559B"/>
    <w:rsid w:val="00C953AC"/>
    <w:rsid w:val="00CA217D"/>
    <w:rsid w:val="00CC09D4"/>
    <w:rsid w:val="00CC668D"/>
    <w:rsid w:val="00CC7832"/>
    <w:rsid w:val="00CF0C1C"/>
    <w:rsid w:val="00CF27FD"/>
    <w:rsid w:val="00CF4625"/>
    <w:rsid w:val="00CF5F12"/>
    <w:rsid w:val="00D00D8F"/>
    <w:rsid w:val="00D21F3A"/>
    <w:rsid w:val="00D23808"/>
    <w:rsid w:val="00D24B86"/>
    <w:rsid w:val="00D3016A"/>
    <w:rsid w:val="00D417D2"/>
    <w:rsid w:val="00D42960"/>
    <w:rsid w:val="00D43BD7"/>
    <w:rsid w:val="00D4485B"/>
    <w:rsid w:val="00D45A97"/>
    <w:rsid w:val="00D4708D"/>
    <w:rsid w:val="00D4744C"/>
    <w:rsid w:val="00D521DE"/>
    <w:rsid w:val="00D5470B"/>
    <w:rsid w:val="00D6025B"/>
    <w:rsid w:val="00D63068"/>
    <w:rsid w:val="00D6498C"/>
    <w:rsid w:val="00D76A70"/>
    <w:rsid w:val="00D83182"/>
    <w:rsid w:val="00D8521E"/>
    <w:rsid w:val="00D9291C"/>
    <w:rsid w:val="00D93A97"/>
    <w:rsid w:val="00D9546F"/>
    <w:rsid w:val="00D95B98"/>
    <w:rsid w:val="00D970E4"/>
    <w:rsid w:val="00DA6743"/>
    <w:rsid w:val="00DB1F64"/>
    <w:rsid w:val="00DB2CBC"/>
    <w:rsid w:val="00DB73C4"/>
    <w:rsid w:val="00DC2F53"/>
    <w:rsid w:val="00DC5BAC"/>
    <w:rsid w:val="00DC6816"/>
    <w:rsid w:val="00DC76C2"/>
    <w:rsid w:val="00DD1CF2"/>
    <w:rsid w:val="00DE4484"/>
    <w:rsid w:val="00DE7131"/>
    <w:rsid w:val="00DF41B7"/>
    <w:rsid w:val="00DF4A4A"/>
    <w:rsid w:val="00DF583C"/>
    <w:rsid w:val="00E03C3F"/>
    <w:rsid w:val="00E06B39"/>
    <w:rsid w:val="00E06FD7"/>
    <w:rsid w:val="00E07417"/>
    <w:rsid w:val="00E16AC6"/>
    <w:rsid w:val="00E24D45"/>
    <w:rsid w:val="00E31652"/>
    <w:rsid w:val="00E33DB8"/>
    <w:rsid w:val="00E33EFF"/>
    <w:rsid w:val="00E34387"/>
    <w:rsid w:val="00E348BA"/>
    <w:rsid w:val="00E369FE"/>
    <w:rsid w:val="00E37C6F"/>
    <w:rsid w:val="00E475F8"/>
    <w:rsid w:val="00E5102E"/>
    <w:rsid w:val="00E5721C"/>
    <w:rsid w:val="00E619C6"/>
    <w:rsid w:val="00E745A1"/>
    <w:rsid w:val="00E81529"/>
    <w:rsid w:val="00E83A13"/>
    <w:rsid w:val="00E91323"/>
    <w:rsid w:val="00EB6FC5"/>
    <w:rsid w:val="00EC0F06"/>
    <w:rsid w:val="00EC2356"/>
    <w:rsid w:val="00EC2582"/>
    <w:rsid w:val="00EC337C"/>
    <w:rsid w:val="00ED0CFF"/>
    <w:rsid w:val="00ED31D2"/>
    <w:rsid w:val="00EE0EAC"/>
    <w:rsid w:val="00EE3322"/>
    <w:rsid w:val="00EE33CB"/>
    <w:rsid w:val="00F0061A"/>
    <w:rsid w:val="00F02834"/>
    <w:rsid w:val="00F04EEB"/>
    <w:rsid w:val="00F05467"/>
    <w:rsid w:val="00F055D2"/>
    <w:rsid w:val="00F07CD7"/>
    <w:rsid w:val="00F127E9"/>
    <w:rsid w:val="00F14B5D"/>
    <w:rsid w:val="00F259FC"/>
    <w:rsid w:val="00F344AD"/>
    <w:rsid w:val="00F36972"/>
    <w:rsid w:val="00F42426"/>
    <w:rsid w:val="00F456BC"/>
    <w:rsid w:val="00F50666"/>
    <w:rsid w:val="00F70C9E"/>
    <w:rsid w:val="00F74A74"/>
    <w:rsid w:val="00F7572C"/>
    <w:rsid w:val="00F8382C"/>
    <w:rsid w:val="00F855D7"/>
    <w:rsid w:val="00F92035"/>
    <w:rsid w:val="00F92748"/>
    <w:rsid w:val="00FA4169"/>
    <w:rsid w:val="00FB0D41"/>
    <w:rsid w:val="00FB2030"/>
    <w:rsid w:val="00FB4666"/>
    <w:rsid w:val="00FD0E46"/>
    <w:rsid w:val="00FD1CF2"/>
    <w:rsid w:val="00FD3EDF"/>
    <w:rsid w:val="00FD793C"/>
    <w:rsid w:val="00FE0FD5"/>
    <w:rsid w:val="00FE20E6"/>
    <w:rsid w:val="00FE2AB9"/>
    <w:rsid w:val="00FE3E3B"/>
    <w:rsid w:val="00FF4032"/>
    <w:rsid w:val="00FF6469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FE6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8152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31E8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A31E86"/>
    <w:rPr>
      <w:color w:val="800080" w:themeColor="followedHyperlink"/>
      <w:u w:val="single"/>
    </w:rPr>
  </w:style>
  <w:style w:type="table" w:styleId="Lentelstinklelis">
    <w:name w:val="Table Grid"/>
    <w:basedOn w:val="prastojilentel"/>
    <w:rsid w:val="00D4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C701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701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701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701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7012C"/>
    <w:rPr>
      <w:b/>
      <w:bCs/>
      <w:lang w:eastAsia="en-US"/>
    </w:rPr>
  </w:style>
  <w:style w:type="paragraph" w:styleId="Sraopastraipa">
    <w:name w:val="List Paragraph"/>
    <w:aliases w:val="Summary Bullets,Bullet 1,Bullet1,Bullet List,Section 5,List Paragraph CCT minutes,Table Legend,Bullets Points,Use Case List Paragraph,List Paragraph1,Body Bullet,Table Number Paragraph,Colorful List - Accent 11,List Paragraph 1,Ref,B1"/>
    <w:basedOn w:val="prastasis"/>
    <w:link w:val="SraopastraipaDiagrama"/>
    <w:uiPriority w:val="34"/>
    <w:qFormat/>
    <w:rsid w:val="00104E2E"/>
    <w:pPr>
      <w:ind w:left="720"/>
      <w:contextualSpacing/>
    </w:pPr>
  </w:style>
  <w:style w:type="character" w:customStyle="1" w:styleId="Style2">
    <w:name w:val="Style2"/>
    <w:basedOn w:val="Numatytasispastraiposriftas"/>
    <w:uiPriority w:val="1"/>
    <w:rsid w:val="00D6498C"/>
    <w:rPr>
      <w:sz w:val="32"/>
    </w:rPr>
  </w:style>
  <w:style w:type="character" w:styleId="Vietosrezervavimoenklotekstas">
    <w:name w:val="Placeholder Text"/>
    <w:basedOn w:val="Numatytasispastraiposriftas"/>
    <w:uiPriority w:val="99"/>
    <w:rsid w:val="00B13D65"/>
    <w:rPr>
      <w:color w:val="808080"/>
    </w:rPr>
  </w:style>
  <w:style w:type="paragraph" w:styleId="Betarp">
    <w:name w:val="No Spacing"/>
    <w:uiPriority w:val="1"/>
    <w:qFormat/>
    <w:rsid w:val="00B13D65"/>
    <w:rPr>
      <w:rFonts w:ascii="Calibri" w:eastAsia="Calibri" w:hAnsi="Calibri"/>
      <w:sz w:val="22"/>
      <w:szCs w:val="22"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9E44AE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476256"/>
    <w:rPr>
      <w:sz w:val="24"/>
      <w:szCs w:val="24"/>
      <w:lang w:eastAsia="en-US"/>
    </w:rPr>
  </w:style>
  <w:style w:type="character" w:customStyle="1" w:styleId="SraopastraipaDiagrama">
    <w:name w:val="Sąrašo pastraipa Diagrama"/>
    <w:aliases w:val="Summary Bullets Diagrama,Bullet 1 Diagrama,Bullet1 Diagrama,Bullet List Diagrama,Section 5 Diagrama,List Paragraph CCT minutes Diagrama,Table Legend Diagrama,Bullets Points Diagrama,Use Case List Paragraph Diagrama,Ref Diagrama"/>
    <w:basedOn w:val="Numatytasispastraiposriftas"/>
    <w:link w:val="Sraopastraipa"/>
    <w:uiPriority w:val="34"/>
    <w:rsid w:val="003D1877"/>
    <w:rPr>
      <w:sz w:val="24"/>
      <w:szCs w:val="24"/>
      <w:lang w:eastAsia="en-US"/>
    </w:rPr>
  </w:style>
  <w:style w:type="table" w:customStyle="1" w:styleId="TableGrid1">
    <w:name w:val="Table Grid1"/>
    <w:basedOn w:val="prastojilentel"/>
    <w:next w:val="Lentelstinklelis"/>
    <w:uiPriority w:val="39"/>
    <w:rsid w:val="000B7533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BF1CBA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2165</Words>
  <Characters>15358</Characters>
  <Application>Microsoft Office Word</Application>
  <DocSecurity>0</DocSecurity>
  <Lines>127</Lines>
  <Paragraphs>34</Paragraphs>
  <ScaleCrop>false</ScaleCrop>
  <Company/>
  <LinksUpToDate>false</LinksUpToDate>
  <CharactersWithSpaces>17489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2025-09-30T10:53:00Z</dcterms:created>
  <dcterms:modified xsi:type="dcterms:W3CDTF">2025-09-30T10:53:00Z</dcterms:modified>
</cp:coreProperties>
</file>