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0203E1" w:rsidRDefault="005F7602" w:rsidP="002946C7">
      <w:pPr>
        <w:ind w:left="5529"/>
      </w:pPr>
    </w:p>
    <w:p w14:paraId="12FA4B9E" w14:textId="77777777" w:rsidR="001B3C5B" w:rsidRPr="000203E1" w:rsidRDefault="001B3C5B" w:rsidP="001B3C5B">
      <w:pPr>
        <w:ind w:left="6096"/>
      </w:pPr>
      <w:r w:rsidRPr="000203E1">
        <w:t>Forma patvirtinta</w:t>
      </w:r>
    </w:p>
    <w:p w14:paraId="7206970B" w14:textId="70E9BD2E" w:rsidR="004C263A" w:rsidRPr="000203E1" w:rsidRDefault="001B3C5B" w:rsidP="001B3C5B">
      <w:pPr>
        <w:ind w:left="6096"/>
      </w:pPr>
      <w:r w:rsidRPr="000203E1">
        <w:t>Valstybinės vaistų kontrolės tarnybos prie Lietuvos Respublikos sveikatos apsaugos ministerijos viršininko 2021 m</w:t>
      </w:r>
      <w:r w:rsidR="004C263A" w:rsidRPr="000203E1">
        <w:t xml:space="preserve">. lapkričio 12 </w:t>
      </w:r>
      <w:r w:rsidRPr="000203E1">
        <w:t>d. įsakymu Nr.</w:t>
      </w:r>
      <w:r w:rsidR="004C263A" w:rsidRPr="000203E1">
        <w:t xml:space="preserve"> (1.72E)1A-1418</w:t>
      </w:r>
    </w:p>
    <w:p w14:paraId="5B219AA6" w14:textId="520B9136" w:rsidR="001B3C5B" w:rsidRPr="000203E1" w:rsidRDefault="004C263A" w:rsidP="001B3C5B">
      <w:pPr>
        <w:ind w:left="6096"/>
      </w:pPr>
      <w:r w:rsidRPr="000203E1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0203E1" w:rsidRDefault="001B3C5B" w:rsidP="00FA4169"/>
    <w:p w14:paraId="77AFB67E" w14:textId="16397257" w:rsidR="00613501" w:rsidRPr="000203E1" w:rsidRDefault="002F0E4F" w:rsidP="003B211A">
      <w:pPr>
        <w:jc w:val="center"/>
        <w:rPr>
          <w:b/>
          <w:bCs/>
          <w:caps/>
        </w:rPr>
      </w:pPr>
      <w:r w:rsidRPr="000203E1">
        <w:rPr>
          <w:b/>
        </w:rPr>
        <w:t xml:space="preserve">REKOMENDACIJA DĖL VAISTINIO PREPARATO </w:t>
      </w:r>
      <w:r w:rsidRPr="000203E1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0203E1" w:rsidRDefault="00B13D65" w:rsidP="003B211A">
      <w:pPr>
        <w:jc w:val="center"/>
        <w:rPr>
          <w:b/>
        </w:rPr>
      </w:pPr>
    </w:p>
    <w:p w14:paraId="177A9980" w14:textId="35D11A08" w:rsidR="00DC5359" w:rsidRPr="0073329D" w:rsidRDefault="00DC5359" w:rsidP="00DC5359">
      <w:pPr>
        <w:jc w:val="center"/>
        <w:rPr>
          <w:b/>
        </w:rPr>
      </w:pPr>
      <w:proofErr w:type="spellStart"/>
      <w:r>
        <w:rPr>
          <w:b/>
        </w:rPr>
        <w:t>Tevimbra</w:t>
      </w:r>
      <w:proofErr w:type="spellEnd"/>
      <w:r w:rsidRPr="0073329D">
        <w:rPr>
          <w:b/>
        </w:rPr>
        <w:t xml:space="preserve"> </w:t>
      </w:r>
      <w:r>
        <w:rPr>
          <w:b/>
        </w:rPr>
        <w:t>100 mg koncentratas infuziniam tirpalui</w:t>
      </w:r>
    </w:p>
    <w:p w14:paraId="555F8463" w14:textId="77777777" w:rsidR="00DC5359" w:rsidRPr="0073329D" w:rsidRDefault="00DC5359" w:rsidP="00DC5359">
      <w:pPr>
        <w:jc w:val="center"/>
      </w:pPr>
    </w:p>
    <w:p w14:paraId="4C66AF58" w14:textId="77777777" w:rsidR="00DC5359" w:rsidRPr="0073329D" w:rsidRDefault="00DC5359" w:rsidP="00DC5359">
      <w:pPr>
        <w:jc w:val="center"/>
      </w:pPr>
      <w:proofErr w:type="spellStart"/>
      <w:r>
        <w:rPr>
          <w:b/>
        </w:rPr>
        <w:t>Tislelizumabas</w:t>
      </w:r>
      <w:proofErr w:type="spellEnd"/>
    </w:p>
    <w:p w14:paraId="1A619398" w14:textId="77777777" w:rsidR="00DC5359" w:rsidRPr="0073329D" w:rsidRDefault="00DC5359" w:rsidP="00DC5359">
      <w:pPr>
        <w:jc w:val="center"/>
      </w:pPr>
    </w:p>
    <w:p w14:paraId="2C67F2C8" w14:textId="77777777" w:rsidR="00DC5359" w:rsidRPr="0073329D" w:rsidRDefault="00DC5359" w:rsidP="00DC5359">
      <w:pPr>
        <w:jc w:val="center"/>
        <w:rPr>
          <w:b/>
        </w:rPr>
      </w:pPr>
      <w:r>
        <w:rPr>
          <w:b/>
        </w:rPr>
        <w:t>STV-209</w:t>
      </w:r>
    </w:p>
    <w:p w14:paraId="453197C8" w14:textId="77777777" w:rsidR="00D4708D" w:rsidRPr="000203E1" w:rsidRDefault="00D4708D" w:rsidP="003B211A">
      <w:pPr>
        <w:jc w:val="center"/>
        <w:rPr>
          <w:b/>
        </w:rPr>
      </w:pPr>
    </w:p>
    <w:p w14:paraId="78C89D1C" w14:textId="0DEFFAA5" w:rsidR="00D4485B" w:rsidRPr="000203E1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0203E1">
        <w:rPr>
          <w:b/>
          <w:bCs/>
          <w:caps/>
        </w:rPr>
        <w:t>Bendroji dalis</w:t>
      </w:r>
    </w:p>
    <w:p w14:paraId="04A7C7A7" w14:textId="77777777" w:rsidR="00B13D65" w:rsidRPr="000203E1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DC5359" w:rsidRPr="000203E1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Pareiškėjas</w:t>
            </w:r>
          </w:p>
          <w:p w14:paraId="2AF240DC" w14:textId="77777777" w:rsidR="00DC5359" w:rsidRPr="000203E1" w:rsidRDefault="00DC5359" w:rsidP="00DC5359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735ED06B" w:rsidR="00DC5359" w:rsidRPr="000203E1" w:rsidRDefault="00DC5359" w:rsidP="00DC5359">
            <w:pPr>
              <w:rPr>
                <w:rFonts w:eastAsia="Arial"/>
              </w:rPr>
            </w:pPr>
            <w:proofErr w:type="spellStart"/>
            <w:r w:rsidRPr="009A5C99">
              <w:t>BeiGene</w:t>
            </w:r>
            <w:proofErr w:type="spellEnd"/>
            <w:r w:rsidRPr="009A5C99">
              <w:t xml:space="preserve"> </w:t>
            </w:r>
            <w:proofErr w:type="spellStart"/>
            <w:r w:rsidRPr="009A5C99">
              <w:t>Switzerland</w:t>
            </w:r>
            <w:proofErr w:type="spellEnd"/>
            <w:r w:rsidRPr="009A5C99">
              <w:t xml:space="preserve"> </w:t>
            </w:r>
            <w:proofErr w:type="spellStart"/>
            <w:r w:rsidRPr="009A5C99">
              <w:t>GmbH</w:t>
            </w:r>
            <w:proofErr w:type="spellEnd"/>
          </w:p>
        </w:tc>
      </w:tr>
      <w:tr w:rsidR="00DC5359" w:rsidRPr="000203E1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DC5359" w:rsidRPr="000203E1" w:rsidRDefault="00DC5359" w:rsidP="00DC5359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Registracijos data </w:t>
            </w:r>
          </w:p>
          <w:p w14:paraId="3A0DC096" w14:textId="77777777" w:rsidR="00DC5359" w:rsidRPr="000203E1" w:rsidRDefault="00DC5359" w:rsidP="00DC5359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3CA218AD" w14:textId="09383C8D" w:rsidR="00DC5359" w:rsidRPr="000203E1" w:rsidRDefault="00000000" w:rsidP="00DC5359">
            <w:pPr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D23D438FDDC84AEA82E299BC599CBC25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DC5359" w:rsidRPr="00870CC5">
                  <w:t>20</w:t>
                </w:r>
                <w:r w:rsidR="00DC5359">
                  <w:t>23 m. rugsėjo 15 d.</w:t>
                </w:r>
              </w:sdtContent>
            </w:sdt>
          </w:p>
        </w:tc>
      </w:tr>
      <w:tr w:rsidR="00DC5359" w:rsidRPr="000203E1" w14:paraId="15968AE1" w14:textId="77777777" w:rsidTr="00BE7489">
        <w:trPr>
          <w:trHeight w:val="1500"/>
        </w:trPr>
        <w:tc>
          <w:tcPr>
            <w:tcW w:w="632" w:type="dxa"/>
          </w:tcPr>
          <w:p w14:paraId="6A784245" w14:textId="1E461489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DC5359" w:rsidRPr="000203E1" w:rsidRDefault="00DC5359" w:rsidP="00DC5359">
            <w:r w:rsidRPr="000203E1">
              <w:t xml:space="preserve">Paraiškos tipas </w:t>
            </w:r>
          </w:p>
          <w:p w14:paraId="0465E680" w14:textId="7F0A0714" w:rsidR="00DC5359" w:rsidRPr="000203E1" w:rsidRDefault="00DC5359" w:rsidP="00DC5359">
            <w:r w:rsidRPr="000203E1">
              <w:t xml:space="preserve">(pagal </w:t>
            </w:r>
            <w:r w:rsidRPr="000203E1">
              <w:rPr>
                <w:shd w:val="clear" w:color="auto" w:fill="FFFFFF"/>
              </w:rPr>
              <w:t>vaistinio preparato registracijos tipą, įtvirtintą</w:t>
            </w:r>
            <w:r w:rsidRPr="000203E1">
              <w:t xml:space="preserve"> Direktyvos 2001/83/EB </w:t>
            </w:r>
            <w:proofErr w:type="spellStart"/>
            <w:r w:rsidRPr="000203E1">
              <w:t>straipsiuose</w:t>
            </w:r>
            <w:proofErr w:type="spellEnd"/>
            <w:r w:rsidRPr="000203E1">
              <w:t>)</w:t>
            </w:r>
          </w:p>
          <w:p w14:paraId="77089D80" w14:textId="6681D72A" w:rsidR="00DC5359" w:rsidRPr="000203E1" w:rsidRDefault="00DC5359" w:rsidP="00DC5359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38A58149" w14:textId="77777777" w:rsidR="00DC5359" w:rsidRPr="0073329D" w:rsidRDefault="00000000" w:rsidP="00DC5359">
            <w:sdt>
              <w:sdtPr>
                <w:rPr>
                  <w:rStyle w:val="Style2"/>
                </w:rPr>
                <w:id w:val="-36659637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C5359" w:rsidRPr="0073329D">
              <w:t xml:space="preserve"> 8.3 str. (pilna byla, pagrįsta savais tyrimais) </w:t>
            </w:r>
          </w:p>
          <w:p w14:paraId="405DB093" w14:textId="77777777" w:rsidR="00DC5359" w:rsidRPr="0073329D" w:rsidRDefault="00000000" w:rsidP="00DC5359">
            <w:sdt>
              <w:sdtPr>
                <w:rPr>
                  <w:rStyle w:val="Style2"/>
                </w:rPr>
                <w:id w:val="6754622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5359" w:rsidRPr="0073329D">
              <w:t xml:space="preserve"> 10 a str. (pripažintas medicininis vartojimas) </w:t>
            </w:r>
          </w:p>
          <w:p w14:paraId="654BD62F" w14:textId="77777777" w:rsidR="00DC5359" w:rsidRPr="0073329D" w:rsidRDefault="00000000" w:rsidP="00DC5359">
            <w:sdt>
              <w:sdtPr>
                <w:rPr>
                  <w:rStyle w:val="Style2"/>
                </w:rPr>
                <w:id w:val="-12904358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 w:rsidRPr="0073329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359" w:rsidRPr="0073329D">
              <w:t xml:space="preserve"> 10.1 str. (</w:t>
            </w:r>
            <w:proofErr w:type="spellStart"/>
            <w:r w:rsidR="00DC5359" w:rsidRPr="0073329D">
              <w:t>generinis</w:t>
            </w:r>
            <w:proofErr w:type="spellEnd"/>
            <w:r w:rsidR="00DC5359" w:rsidRPr="0073329D">
              <w:t>)</w:t>
            </w:r>
          </w:p>
          <w:p w14:paraId="3B0A4F72" w14:textId="2964C0A9" w:rsidR="00DC5359" w:rsidRPr="000203E1" w:rsidRDefault="00000000" w:rsidP="00DC5359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</w:rPr>
                <w:id w:val="-12454503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5359" w:rsidRPr="0073329D">
              <w:t xml:space="preserve"> 10.3 str. (hibridinis)</w:t>
            </w:r>
          </w:p>
        </w:tc>
      </w:tr>
      <w:tr w:rsidR="00DC5359" w:rsidRPr="000203E1" w14:paraId="310E9662" w14:textId="77777777" w:rsidTr="00BE7489">
        <w:trPr>
          <w:trHeight w:val="1442"/>
        </w:trPr>
        <w:tc>
          <w:tcPr>
            <w:tcW w:w="632" w:type="dxa"/>
          </w:tcPr>
          <w:p w14:paraId="4B5A91A2" w14:textId="561B5E5F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1.4</w:t>
            </w:r>
          </w:p>
        </w:tc>
        <w:tc>
          <w:tcPr>
            <w:tcW w:w="3694" w:type="dxa"/>
          </w:tcPr>
          <w:p w14:paraId="6C91E105" w14:textId="77777777" w:rsidR="00DC5359" w:rsidRPr="000203E1" w:rsidRDefault="00DC5359" w:rsidP="00DC5359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Ar vaistinis preparatas įrašytas į Bendrijos retųjų vaistinių preparatų registrą? </w:t>
            </w:r>
          </w:p>
          <w:p w14:paraId="33726F9C" w14:textId="77777777" w:rsidR="00DC5359" w:rsidRPr="000203E1" w:rsidRDefault="00DC5359" w:rsidP="00DC5359">
            <w:pPr>
              <w:rPr>
                <w:bCs/>
                <w:i/>
                <w:lang w:eastAsia="lt-LT"/>
              </w:rPr>
            </w:pPr>
          </w:p>
          <w:p w14:paraId="483071A3" w14:textId="0F633FFC" w:rsidR="00DC5359" w:rsidRPr="000203E1" w:rsidRDefault="00DC5359" w:rsidP="00DC5359">
            <w:pPr>
              <w:rPr>
                <w:bCs/>
                <w:lang w:eastAsia="lt-LT"/>
              </w:rPr>
            </w:pPr>
            <w:r w:rsidRPr="000203E1">
              <w:rPr>
                <w:bCs/>
                <w:i/>
                <w:sz w:val="20"/>
                <w:lang w:eastAsia="lt-LT"/>
              </w:rPr>
              <w:t>Jei taip, nurodykite įrašymo datą ir numerį</w:t>
            </w:r>
          </w:p>
        </w:tc>
        <w:tc>
          <w:tcPr>
            <w:tcW w:w="5167" w:type="dxa"/>
          </w:tcPr>
          <w:p w14:paraId="43E76F32" w14:textId="77777777" w:rsidR="00DC5359" w:rsidRPr="0073329D" w:rsidRDefault="00000000" w:rsidP="00DC5359">
            <w:sdt>
              <w:sdtPr>
                <w:rPr>
                  <w:rStyle w:val="Style2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 w:rsidRPr="0073329D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5359" w:rsidRPr="0073329D">
              <w:t xml:space="preserve"> Taip</w:t>
            </w:r>
          </w:p>
          <w:p w14:paraId="20A19AAC" w14:textId="77777777" w:rsidR="00DC5359" w:rsidRPr="0073329D" w:rsidRDefault="00000000" w:rsidP="00DC5359">
            <w:sdt>
              <w:sdtPr>
                <w:rPr>
                  <w:rStyle w:val="Style2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C5359" w:rsidRPr="0073329D">
              <w:t xml:space="preserve"> Ne</w:t>
            </w:r>
          </w:p>
          <w:p w14:paraId="29C2CBBB" w14:textId="72B7733A" w:rsidR="00DC5359" w:rsidRPr="000203E1" w:rsidRDefault="00000000" w:rsidP="00DC5359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693498901"/>
                <w:placeholder>
                  <w:docPart w:val="8705C79A471446CD9DB13F7B9EBFF01E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DC5359" w:rsidRPr="0073329D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0203E1" w:rsidRPr="000203E1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D417D2" w:rsidRPr="000203E1" w:rsidRDefault="00D417D2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0203E1" w:rsidRDefault="00D417D2" w:rsidP="00824B92">
            <w:pPr>
              <w:rPr>
                <w:bCs/>
                <w:lang w:eastAsia="lt-LT"/>
              </w:rPr>
            </w:pPr>
            <w:r w:rsidRPr="000203E1">
              <w:t>STV paraiškos pobūdis</w:t>
            </w:r>
          </w:p>
        </w:tc>
        <w:tc>
          <w:tcPr>
            <w:tcW w:w="5167" w:type="dxa"/>
          </w:tcPr>
          <w:p w14:paraId="403461B9" w14:textId="671ADAEE" w:rsidR="00D417D2" w:rsidRPr="000203E1" w:rsidRDefault="00000000" w:rsidP="00824B92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6F32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0203E1">
              <w:t xml:space="preserve"> Pilna paraiška</w:t>
            </w:r>
          </w:p>
          <w:p w14:paraId="6B8213E3" w14:textId="3495CDF4" w:rsidR="00D417D2" w:rsidRPr="000203E1" w:rsidRDefault="00000000" w:rsidP="00824B92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D2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0203E1">
              <w:t xml:space="preserve"> Supaprastinta paraiška</w:t>
            </w:r>
          </w:p>
        </w:tc>
      </w:tr>
      <w:tr w:rsidR="00DC5359" w:rsidRPr="000203E1" w14:paraId="274D1DAF" w14:textId="77777777" w:rsidTr="00410D53">
        <w:trPr>
          <w:trHeight w:val="1922"/>
        </w:trPr>
        <w:tc>
          <w:tcPr>
            <w:tcW w:w="632" w:type="dxa"/>
          </w:tcPr>
          <w:p w14:paraId="17ABF217" w14:textId="14AC00D7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4D49DBF5" w14:textId="77777777" w:rsidR="00DC5359" w:rsidRPr="000203E1" w:rsidRDefault="00DC5359" w:rsidP="00DC5359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Pareiškėjo teikiama (-</w:t>
            </w:r>
            <w:proofErr w:type="spellStart"/>
            <w:r w:rsidRPr="000203E1">
              <w:rPr>
                <w:bCs/>
                <w:lang w:eastAsia="lt-LT"/>
              </w:rPr>
              <w:t>os</w:t>
            </w:r>
            <w:proofErr w:type="spellEnd"/>
            <w:r w:rsidRPr="000203E1">
              <w:rPr>
                <w:bCs/>
                <w:lang w:eastAsia="lt-LT"/>
              </w:rPr>
              <w:t>) kompensuoti vaistinio preparato indikacija (-</w:t>
            </w:r>
            <w:proofErr w:type="spellStart"/>
            <w:r w:rsidRPr="000203E1">
              <w:rPr>
                <w:bCs/>
                <w:lang w:eastAsia="lt-LT"/>
              </w:rPr>
              <w:t>os</w:t>
            </w:r>
            <w:proofErr w:type="spellEnd"/>
            <w:r w:rsidRPr="000203E1">
              <w:rPr>
                <w:bCs/>
                <w:lang w:eastAsia="lt-LT"/>
              </w:rPr>
              <w:t>)</w:t>
            </w:r>
          </w:p>
          <w:p w14:paraId="6B4FEEC1" w14:textId="6A619694" w:rsidR="00DC5359" w:rsidRPr="000203E1" w:rsidRDefault="00DC5359" w:rsidP="00DC5359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Kodas pagal TLK-10 AM</w:t>
            </w:r>
          </w:p>
        </w:tc>
        <w:tc>
          <w:tcPr>
            <w:tcW w:w="5167" w:type="dxa"/>
            <w:vAlign w:val="center"/>
          </w:tcPr>
          <w:p w14:paraId="04315FE2" w14:textId="77777777" w:rsidR="00DC5359" w:rsidRPr="00504C19" w:rsidRDefault="00DC5359" w:rsidP="00DC5359">
            <w:pPr>
              <w:spacing w:after="120"/>
              <w:jc w:val="both"/>
            </w:pPr>
            <w:bookmarkStart w:id="0" w:name="_Hlk157590160"/>
            <w:proofErr w:type="spellStart"/>
            <w:r w:rsidRPr="00504C19">
              <w:t>Tevimbra</w:t>
            </w:r>
            <w:proofErr w:type="spellEnd"/>
            <w:r w:rsidRPr="00504C19">
              <w:t xml:space="preserve"> </w:t>
            </w:r>
            <w:proofErr w:type="spellStart"/>
            <w:r w:rsidRPr="00504C19">
              <w:t>monoterapija</w:t>
            </w:r>
            <w:proofErr w:type="spellEnd"/>
            <w:r w:rsidRPr="00504C19">
              <w:t xml:space="preserve"> skirta </w:t>
            </w:r>
            <w:proofErr w:type="spellStart"/>
            <w:r w:rsidRPr="00504C19">
              <w:t>neoperabilia</w:t>
            </w:r>
            <w:proofErr w:type="spellEnd"/>
            <w:r w:rsidRPr="00504C19">
              <w:t xml:space="preserve">, vietiškai išplitusia ar </w:t>
            </w:r>
            <w:proofErr w:type="spellStart"/>
            <w:r w:rsidRPr="00504C19">
              <w:t>metastazavusia</w:t>
            </w:r>
            <w:proofErr w:type="spellEnd"/>
            <w:r w:rsidRPr="00504C19">
              <w:t xml:space="preserve"> stemplės </w:t>
            </w:r>
            <w:proofErr w:type="spellStart"/>
            <w:r w:rsidRPr="00504C19">
              <w:t>plokščialąsteline</w:t>
            </w:r>
            <w:proofErr w:type="spellEnd"/>
            <w:r w:rsidRPr="00504C19">
              <w:t xml:space="preserve"> karcinoma sergančių suaugusių pacientų gydymui po anksčiau skirtos chemoterapijos su platinos preparatais.</w:t>
            </w:r>
          </w:p>
          <w:p w14:paraId="13F7DFB0" w14:textId="75380CC8" w:rsidR="00DC5359" w:rsidRPr="000203E1" w:rsidRDefault="00DC5359" w:rsidP="00DC5359">
            <w:pPr>
              <w:pStyle w:val="Sraopastraipa"/>
              <w:spacing w:after="120" w:line="276" w:lineRule="auto"/>
              <w:ind w:left="0"/>
              <w:jc w:val="both"/>
            </w:pPr>
            <w:r w:rsidRPr="00504C19">
              <w:t xml:space="preserve">TLK-10 AM kodas </w:t>
            </w:r>
            <w:r>
              <w:t xml:space="preserve">– </w:t>
            </w:r>
            <w:r w:rsidRPr="00504C19">
              <w:t>C15.</w:t>
            </w:r>
            <w:bookmarkEnd w:id="0"/>
          </w:p>
        </w:tc>
      </w:tr>
      <w:tr w:rsidR="00DC5359" w:rsidRPr="000203E1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2EE70237" w:rsidR="00DC5359" w:rsidRPr="000203E1" w:rsidRDefault="00DC5359" w:rsidP="00DC5359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>
              <w:rPr>
                <w:rFonts w:eastAsia="Arial"/>
              </w:rPr>
              <w:t>7</w:t>
            </w:r>
          </w:p>
        </w:tc>
        <w:tc>
          <w:tcPr>
            <w:tcW w:w="3694" w:type="dxa"/>
          </w:tcPr>
          <w:p w14:paraId="2EAB877F" w14:textId="39A36941" w:rsidR="00DC5359" w:rsidRPr="000203E1" w:rsidRDefault="00DC5359" w:rsidP="00DC5359">
            <w:pPr>
              <w:rPr>
                <w:bCs/>
                <w:u w:val="single"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Pareiškėjo teikiamos skyrimo sąlygos </w:t>
            </w:r>
          </w:p>
        </w:tc>
        <w:tc>
          <w:tcPr>
            <w:tcW w:w="5167" w:type="dxa"/>
          </w:tcPr>
          <w:p w14:paraId="0579DF58" w14:textId="37DEF499" w:rsidR="00DC5359" w:rsidRPr="000203E1" w:rsidRDefault="00DC5359" w:rsidP="00DC5359">
            <w:r>
              <w:t>Neteikiamos.</w:t>
            </w:r>
          </w:p>
        </w:tc>
      </w:tr>
      <w:tr w:rsidR="00B13D65" w:rsidRPr="000203E1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3C0D7626" w:rsidR="00B13D65" w:rsidRPr="000203E1" w:rsidRDefault="00B13D65" w:rsidP="00164D64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lastRenderedPageBreak/>
              <w:t>1.</w:t>
            </w:r>
            <w:r w:rsidR="00164D64">
              <w:rPr>
                <w:rFonts w:eastAsia="Arial"/>
              </w:rPr>
              <w:t>8</w:t>
            </w:r>
          </w:p>
        </w:tc>
        <w:tc>
          <w:tcPr>
            <w:tcW w:w="3694" w:type="dxa"/>
          </w:tcPr>
          <w:p w14:paraId="738E1926" w14:textId="77777777" w:rsidR="00B13D65" w:rsidRPr="000203E1" w:rsidRDefault="007656B2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Pareiškėjo teikiamas p</w:t>
            </w:r>
            <w:r w:rsidR="00B13D65" w:rsidRPr="000203E1">
              <w:rPr>
                <w:bCs/>
                <w:lang w:eastAsia="lt-LT"/>
              </w:rPr>
              <w:t>alyginamasis</w:t>
            </w:r>
            <w:r w:rsidR="005B3756" w:rsidRPr="000203E1">
              <w:rPr>
                <w:bCs/>
                <w:lang w:eastAsia="lt-LT"/>
              </w:rPr>
              <w:t xml:space="preserve"> </w:t>
            </w:r>
            <w:r w:rsidR="00B13D65" w:rsidRPr="000203E1">
              <w:rPr>
                <w:bCs/>
                <w:lang w:eastAsia="lt-LT"/>
              </w:rPr>
              <w:t xml:space="preserve">gydymas </w:t>
            </w:r>
          </w:p>
          <w:p w14:paraId="61EC5BBD" w14:textId="7A8BD8B4" w:rsidR="009F4D66" w:rsidRPr="000203E1" w:rsidRDefault="009F4D66" w:rsidP="00824B92">
            <w:pPr>
              <w:rPr>
                <w:bCs/>
                <w:lang w:eastAsia="lt-LT"/>
              </w:rPr>
            </w:pPr>
          </w:p>
          <w:p w14:paraId="62057D94" w14:textId="77777777" w:rsidR="00413F24" w:rsidRPr="000203E1" w:rsidRDefault="00413F24" w:rsidP="00824B92">
            <w:pPr>
              <w:rPr>
                <w:bCs/>
                <w:lang w:eastAsia="lt-LT"/>
              </w:rPr>
            </w:pPr>
          </w:p>
          <w:p w14:paraId="6CC1022E" w14:textId="2B6BCEE1" w:rsidR="009F4D66" w:rsidRPr="000203E1" w:rsidRDefault="009F4D66" w:rsidP="00824B92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1F113AC0" w14:textId="33442402" w:rsidR="009F4D66" w:rsidRPr="000203E1" w:rsidRDefault="00000000" w:rsidP="00824B92">
            <w:sdt>
              <w:sdtPr>
                <w:rPr>
                  <w:rStyle w:val="Style2"/>
                  <w:sz w:val="24"/>
                </w:rPr>
                <w:id w:val="14809557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2A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9F4D66" w:rsidRPr="000203E1">
              <w:t xml:space="preserve"> Tinkamas</w:t>
            </w:r>
            <w:r w:rsidR="00BC22A0">
              <w:t xml:space="preserve"> (</w:t>
            </w:r>
            <w:r w:rsidR="00DC5359">
              <w:t xml:space="preserve">chemoterapija, </w:t>
            </w:r>
            <w:proofErr w:type="spellStart"/>
            <w:r w:rsidR="00DC5359">
              <w:t>monoterapija</w:t>
            </w:r>
            <w:proofErr w:type="spellEnd"/>
            <w:r w:rsidR="00DC5359">
              <w:t xml:space="preserve"> </w:t>
            </w:r>
            <w:proofErr w:type="spellStart"/>
            <w:r w:rsidR="00DC5359">
              <w:t>nivolumabu</w:t>
            </w:r>
            <w:proofErr w:type="spellEnd"/>
            <w:r w:rsidR="00BC22A0">
              <w:t>)</w:t>
            </w:r>
          </w:p>
          <w:p w14:paraId="41B44044" w14:textId="56DA01C7" w:rsidR="00B13D65" w:rsidRPr="000203E1" w:rsidRDefault="00000000" w:rsidP="00824B92">
            <w:sdt>
              <w:sdtPr>
                <w:rPr>
                  <w:rStyle w:val="Style2"/>
                  <w:sz w:val="24"/>
                </w:rPr>
                <w:id w:val="-3524206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F4D66" w:rsidRPr="000203E1">
              <w:t xml:space="preserve"> Netinkama</w:t>
            </w:r>
            <w:r w:rsidR="00016F32">
              <w:t>s</w:t>
            </w:r>
          </w:p>
        </w:tc>
      </w:tr>
    </w:tbl>
    <w:p w14:paraId="108176F7" w14:textId="640C6F75" w:rsidR="00F70C9E" w:rsidRPr="000203E1" w:rsidRDefault="00F70C9E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871CA7F" w14:textId="3B173597" w:rsidR="00F70C9E" w:rsidRPr="000203E1" w:rsidRDefault="00F70C9E" w:rsidP="00880A44">
      <w:pPr>
        <w:spacing w:line="276" w:lineRule="auto"/>
        <w:jc w:val="both"/>
        <w:rPr>
          <w:rFonts w:eastAsia="Arial"/>
          <w:b/>
        </w:rPr>
      </w:pPr>
      <w:r w:rsidRPr="000203E1">
        <w:rPr>
          <w:rFonts w:eastAsia="Arial"/>
          <w:b/>
        </w:rPr>
        <w:t>1.</w:t>
      </w:r>
      <w:r w:rsidR="00164D64">
        <w:rPr>
          <w:rFonts w:eastAsia="Arial"/>
          <w:b/>
        </w:rPr>
        <w:t>9</w:t>
      </w:r>
      <w:r w:rsidRPr="000203E1">
        <w:rPr>
          <w:rFonts w:eastAsia="Arial"/>
          <w:b/>
        </w:rPr>
        <w:t xml:space="preserve"> Kitų </w:t>
      </w:r>
      <w:r w:rsidR="00DF583C" w:rsidRPr="000203E1">
        <w:rPr>
          <w:rFonts w:eastAsia="Arial"/>
          <w:b/>
        </w:rPr>
        <w:t xml:space="preserve">valstybių </w:t>
      </w:r>
      <w:r w:rsidRPr="000203E1">
        <w:rPr>
          <w:rFonts w:eastAsia="Arial"/>
          <w:b/>
        </w:rPr>
        <w:t xml:space="preserve">atsakingų institucijų atlikto </w:t>
      </w:r>
      <w:r w:rsidR="00DF583C" w:rsidRPr="000203E1">
        <w:rPr>
          <w:rFonts w:eastAsia="Arial"/>
          <w:b/>
        </w:rPr>
        <w:t>Sveikatos technologijų vertinimo (toliau – STV)</w:t>
      </w:r>
      <w:r w:rsidRPr="000203E1">
        <w:rPr>
          <w:rFonts w:eastAsia="Arial"/>
          <w:b/>
        </w:rPr>
        <w:t xml:space="preserve"> išvados</w:t>
      </w:r>
    </w:p>
    <w:p w14:paraId="30721FDD" w14:textId="77777777" w:rsidR="00F70C9E" w:rsidRPr="000203E1" w:rsidRDefault="00F70C9E" w:rsidP="00F70C9E">
      <w:pPr>
        <w:spacing w:line="276" w:lineRule="auto"/>
        <w:rPr>
          <w:rFonts w:eastAsia="Arial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927"/>
        <w:gridCol w:w="1915"/>
        <w:gridCol w:w="2351"/>
        <w:gridCol w:w="2725"/>
      </w:tblGrid>
      <w:tr w:rsidR="00DC5359" w:rsidRPr="0073329D" w14:paraId="76E5CF26" w14:textId="77777777" w:rsidTr="00FE6F95">
        <w:trPr>
          <w:trHeight w:val="924"/>
        </w:trPr>
        <w:tc>
          <w:tcPr>
            <w:tcW w:w="2927" w:type="dxa"/>
          </w:tcPr>
          <w:p w14:paraId="0F0792A9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STV agentūros pavadinimas, šalis</w:t>
            </w:r>
          </w:p>
        </w:tc>
        <w:tc>
          <w:tcPr>
            <w:tcW w:w="1915" w:type="dxa"/>
          </w:tcPr>
          <w:p w14:paraId="30921A17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STV vertinimas atliktas</w:t>
            </w:r>
          </w:p>
        </w:tc>
        <w:tc>
          <w:tcPr>
            <w:tcW w:w="2351" w:type="dxa"/>
          </w:tcPr>
          <w:p w14:paraId="6FFFA846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Klinikinio vertinimo išvada</w:t>
            </w:r>
          </w:p>
        </w:tc>
        <w:tc>
          <w:tcPr>
            <w:tcW w:w="2725" w:type="dxa"/>
          </w:tcPr>
          <w:p w14:paraId="3DE78BAA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proofErr w:type="spellStart"/>
            <w:r w:rsidRPr="0073329D">
              <w:rPr>
                <w:rFonts w:eastAsia="Arial"/>
              </w:rPr>
              <w:t>Farmakoekonominio</w:t>
            </w:r>
            <w:proofErr w:type="spellEnd"/>
            <w:r w:rsidRPr="0073329D">
              <w:rPr>
                <w:rFonts w:eastAsia="Arial"/>
              </w:rPr>
              <w:t xml:space="preserve"> vertinimo išvada</w:t>
            </w:r>
          </w:p>
        </w:tc>
      </w:tr>
      <w:tr w:rsidR="00DC5359" w:rsidRPr="00504C19" w14:paraId="5776987E" w14:textId="77777777" w:rsidTr="00FE6F95">
        <w:trPr>
          <w:trHeight w:val="1765"/>
        </w:trPr>
        <w:tc>
          <w:tcPr>
            <w:tcW w:w="2927" w:type="dxa"/>
          </w:tcPr>
          <w:p w14:paraId="6948CF33" w14:textId="77777777" w:rsidR="00DC5359" w:rsidRPr="0073329D" w:rsidRDefault="00DC5359" w:rsidP="00FE6F95">
            <w:pPr>
              <w:autoSpaceDE w:val="0"/>
              <w:autoSpaceDN w:val="0"/>
              <w:adjustRightInd w:val="0"/>
              <w:rPr>
                <w:bCs/>
              </w:rPr>
            </w:pPr>
            <w:r w:rsidRPr="0073329D">
              <w:rPr>
                <w:bCs/>
              </w:rPr>
              <w:t>Nacionalinis sveikatos ir klinikinės kompetencijos institutas, Didžioji Britanija</w:t>
            </w:r>
          </w:p>
          <w:p w14:paraId="2941D509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(angl. </w:t>
            </w:r>
            <w:proofErr w:type="spellStart"/>
            <w:r w:rsidRPr="0073329D">
              <w:rPr>
                <w:rFonts w:eastAsia="Arial"/>
                <w:i/>
              </w:rPr>
              <w:t>National</w:t>
            </w:r>
            <w:proofErr w:type="spellEnd"/>
            <w:r w:rsidRPr="0073329D">
              <w:rPr>
                <w:rFonts w:eastAsia="Arial"/>
                <w:i/>
              </w:rPr>
              <w:t xml:space="preserve"> Institute </w:t>
            </w:r>
            <w:proofErr w:type="spellStart"/>
            <w:r w:rsidRPr="0073329D">
              <w:rPr>
                <w:rFonts w:eastAsia="Arial"/>
                <w:i/>
              </w:rPr>
              <w:t>for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Health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and</w:t>
            </w:r>
            <w:proofErr w:type="spellEnd"/>
            <w:r w:rsidRPr="0073329D">
              <w:rPr>
                <w:rFonts w:eastAsia="Arial"/>
                <w:i/>
              </w:rPr>
              <w:t xml:space="preserve"> Care </w:t>
            </w:r>
            <w:proofErr w:type="spellStart"/>
            <w:r w:rsidRPr="0073329D">
              <w:rPr>
                <w:rFonts w:eastAsia="Arial"/>
                <w:i/>
              </w:rPr>
              <w:t>Excellence</w:t>
            </w:r>
            <w:proofErr w:type="spellEnd"/>
            <w:r w:rsidRPr="0073329D">
              <w:rPr>
                <w:rFonts w:eastAsia="Arial"/>
                <w:i/>
              </w:rPr>
              <w:t>, NICE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5D967742" w14:textId="77777777" w:rsidR="00DC5359" w:rsidRPr="0073329D" w:rsidRDefault="00000000" w:rsidP="00FE6F95"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359" w:rsidRPr="0073329D">
              <w:t xml:space="preserve"> Taip</w:t>
            </w:r>
          </w:p>
          <w:p w14:paraId="706A19A2" w14:textId="77777777" w:rsidR="00DC5359" w:rsidRPr="0073329D" w:rsidRDefault="00000000" w:rsidP="00FE6F95"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C5359" w:rsidRPr="0073329D">
              <w:t xml:space="preserve"> Ne</w:t>
            </w:r>
          </w:p>
          <w:p w14:paraId="316642F4" w14:textId="77777777" w:rsidR="00DC5359" w:rsidRPr="0073329D" w:rsidRDefault="00DC5359" w:rsidP="00FE6F95">
            <w:pPr>
              <w:rPr>
                <w:rFonts w:eastAsia="Arial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3B236215" w14:textId="77777777" w:rsidR="00DC5359" w:rsidRPr="00504C19" w:rsidRDefault="00DC5359" w:rsidP="00FE6F95">
            <w:pPr>
              <w:spacing w:line="27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–</w:t>
            </w:r>
          </w:p>
        </w:tc>
      </w:tr>
      <w:tr w:rsidR="00DC5359" w:rsidRPr="0073329D" w14:paraId="443B0440" w14:textId="77777777" w:rsidTr="00FE6F95">
        <w:trPr>
          <w:trHeight w:val="275"/>
        </w:trPr>
        <w:tc>
          <w:tcPr>
            <w:tcW w:w="2927" w:type="dxa"/>
          </w:tcPr>
          <w:p w14:paraId="7BC503F2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Kanados sveikatos technologijų agentūra</w:t>
            </w:r>
          </w:p>
          <w:p w14:paraId="50354383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(angl. </w:t>
            </w:r>
            <w:proofErr w:type="spellStart"/>
            <w:r w:rsidRPr="0073329D">
              <w:rPr>
                <w:rFonts w:eastAsia="Arial"/>
                <w:i/>
              </w:rPr>
              <w:t>Canadian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health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Technology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Assessment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agency</w:t>
            </w:r>
            <w:proofErr w:type="spellEnd"/>
            <w:r w:rsidRPr="0073329D">
              <w:rPr>
                <w:rFonts w:eastAsia="Arial"/>
                <w:i/>
              </w:rPr>
              <w:t>, CADTH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266BE84F" w14:textId="77777777" w:rsidR="00DC5359" w:rsidRPr="0073329D" w:rsidRDefault="00000000" w:rsidP="00FE6F95"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359" w:rsidRPr="0073329D">
              <w:t xml:space="preserve"> Taip</w:t>
            </w:r>
          </w:p>
          <w:p w14:paraId="14BBF1DF" w14:textId="77777777" w:rsidR="00DC5359" w:rsidRPr="0073329D" w:rsidRDefault="00000000" w:rsidP="00FE6F95"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C5359" w:rsidRPr="0073329D">
              <w:t xml:space="preserve"> Ne</w:t>
            </w:r>
          </w:p>
          <w:p w14:paraId="093AC351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2E63C2F5" w14:textId="77777777" w:rsidR="00DC5359" w:rsidRPr="0073329D" w:rsidRDefault="00DC5359" w:rsidP="00FE6F95">
            <w:pPr>
              <w:spacing w:line="27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–</w:t>
            </w:r>
          </w:p>
        </w:tc>
      </w:tr>
      <w:tr w:rsidR="00DC5359" w:rsidRPr="0073329D" w14:paraId="61BD47E4" w14:textId="77777777" w:rsidTr="00FE6F95">
        <w:trPr>
          <w:trHeight w:val="1927"/>
        </w:trPr>
        <w:tc>
          <w:tcPr>
            <w:tcW w:w="2927" w:type="dxa"/>
          </w:tcPr>
          <w:p w14:paraId="271EDD86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 xml:space="preserve">Nacionalinis </w:t>
            </w:r>
            <w:proofErr w:type="spellStart"/>
            <w:r w:rsidRPr="0073329D">
              <w:rPr>
                <w:rFonts w:eastAsia="Arial"/>
              </w:rPr>
              <w:t>farmakoekonomikos</w:t>
            </w:r>
            <w:proofErr w:type="spellEnd"/>
            <w:r w:rsidRPr="0073329D">
              <w:rPr>
                <w:rFonts w:eastAsia="Arial"/>
              </w:rPr>
              <w:t xml:space="preserve"> centras, Airija</w:t>
            </w:r>
          </w:p>
          <w:p w14:paraId="66252216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  <w:r w:rsidRPr="0073329D">
              <w:rPr>
                <w:rFonts w:eastAsia="Arial"/>
              </w:rPr>
              <w:t>(angl.</w:t>
            </w:r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National</w:t>
            </w:r>
            <w:proofErr w:type="spellEnd"/>
            <w:r w:rsidRPr="0073329D">
              <w:rPr>
                <w:rFonts w:eastAsia="Arial"/>
                <w:i/>
              </w:rPr>
              <w:t xml:space="preserve"> Centre </w:t>
            </w:r>
            <w:proofErr w:type="spellStart"/>
            <w:r w:rsidRPr="0073329D">
              <w:rPr>
                <w:rFonts w:eastAsia="Arial"/>
                <w:i/>
              </w:rPr>
              <w:t>for</w:t>
            </w:r>
            <w:proofErr w:type="spellEnd"/>
            <w:r w:rsidRPr="0073329D">
              <w:rPr>
                <w:rFonts w:eastAsia="Arial"/>
                <w:i/>
              </w:rPr>
              <w:t xml:space="preserve"> </w:t>
            </w:r>
            <w:proofErr w:type="spellStart"/>
            <w:r w:rsidRPr="0073329D">
              <w:rPr>
                <w:rFonts w:eastAsia="Arial"/>
                <w:i/>
              </w:rPr>
              <w:t>Pharmacoeconomics</w:t>
            </w:r>
            <w:proofErr w:type="spellEnd"/>
            <w:r w:rsidRPr="0073329D">
              <w:rPr>
                <w:rFonts w:eastAsia="Arial"/>
                <w:i/>
              </w:rPr>
              <w:t>, NCPE</w:t>
            </w:r>
            <w:r w:rsidRPr="0073329D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39999FFA" w14:textId="77777777" w:rsidR="00DC5359" w:rsidRPr="0073329D" w:rsidRDefault="00000000" w:rsidP="00FE6F95">
            <w:sdt>
              <w:sdtPr>
                <w:rPr>
                  <w:rStyle w:val="Style2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359" w:rsidRPr="0073329D">
              <w:t xml:space="preserve"> Taip</w:t>
            </w:r>
          </w:p>
          <w:p w14:paraId="559B0892" w14:textId="77777777" w:rsidR="00DC5359" w:rsidRPr="0073329D" w:rsidRDefault="00000000" w:rsidP="00FE6F95">
            <w:sdt>
              <w:sdtPr>
                <w:rPr>
                  <w:rStyle w:val="Style2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C5359" w:rsidRPr="0073329D">
              <w:t xml:space="preserve"> Ne</w:t>
            </w:r>
          </w:p>
          <w:p w14:paraId="37A49F35" w14:textId="77777777" w:rsidR="00DC5359" w:rsidRPr="0073329D" w:rsidRDefault="00DC5359" w:rsidP="00FE6F95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5076" w:type="dxa"/>
            <w:gridSpan w:val="2"/>
            <w:vAlign w:val="center"/>
          </w:tcPr>
          <w:p w14:paraId="417C89BF" w14:textId="77777777" w:rsidR="00DC5359" w:rsidRPr="0073329D" w:rsidRDefault="00DC5359" w:rsidP="00FE6F95">
            <w:pPr>
              <w:spacing w:line="27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–</w:t>
            </w:r>
          </w:p>
        </w:tc>
      </w:tr>
    </w:tbl>
    <w:p w14:paraId="2EB7FD31" w14:textId="4D2A8479" w:rsidR="007A2B68" w:rsidRPr="000203E1" w:rsidRDefault="007A2B68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3290081" w14:textId="77777777" w:rsidR="007A2B68" w:rsidRPr="000203E1" w:rsidRDefault="007A2B68">
      <w:pPr>
        <w:rPr>
          <w:b/>
          <w:bCs/>
          <w:caps/>
        </w:rPr>
      </w:pPr>
      <w:r w:rsidRPr="000203E1">
        <w:rPr>
          <w:b/>
          <w:bCs/>
          <w:caps/>
        </w:rPr>
        <w:br w:type="page"/>
      </w:r>
    </w:p>
    <w:p w14:paraId="5055E8A8" w14:textId="471A9757" w:rsidR="002E6F80" w:rsidRPr="000203E1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>Klinikinio vertinimo a</w:t>
      </w:r>
      <w:r w:rsidR="00D4485B" w:rsidRPr="000203E1">
        <w:rPr>
          <w:b/>
          <w:bCs/>
          <w:caps/>
        </w:rPr>
        <w:t>pibendrinimas</w:t>
      </w:r>
    </w:p>
    <w:p w14:paraId="25F89291" w14:textId="5C45C8FC" w:rsidR="00D4485B" w:rsidRDefault="00D4485B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147108A4" w14:textId="77777777" w:rsidR="00DC5359" w:rsidRDefault="002A3E57" w:rsidP="00DC5359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r>
        <w:rPr>
          <w:rFonts w:eastAsia="Arial"/>
          <w:iCs/>
        </w:rPr>
        <w:tab/>
      </w:r>
      <w:r>
        <w:rPr>
          <w:rFonts w:eastAsia="Arial"/>
          <w:iCs/>
        </w:rPr>
        <w:tab/>
      </w:r>
      <w:r w:rsidR="00DC5359" w:rsidRPr="00896FA4">
        <w:rPr>
          <w:rFonts w:eastAsia="Arial"/>
          <w:iCs/>
        </w:rPr>
        <w:t xml:space="preserve">Stemplės vėžys – septintas dažniausiai nustatomas onkologinis susirgimas ir šešta dažniausia mirties nuo onkologinės ligos priežastis pasaulyje. Išskiriami du pagrindiniai stemplės vėžio tipai – plokščiųjų ląstelių karcinoma ir </w:t>
      </w:r>
      <w:proofErr w:type="spellStart"/>
      <w:r w:rsidR="00DC5359" w:rsidRPr="00896FA4">
        <w:rPr>
          <w:rFonts w:eastAsia="Arial"/>
          <w:iCs/>
        </w:rPr>
        <w:t>adenokarcinoma</w:t>
      </w:r>
      <w:proofErr w:type="spellEnd"/>
      <w:r w:rsidR="00DC5359" w:rsidRPr="00896FA4">
        <w:rPr>
          <w:rFonts w:eastAsia="Arial"/>
          <w:iCs/>
        </w:rPr>
        <w:t xml:space="preserve">. Šiaurės Amerikoje ir Europoje vyrauja stemplės </w:t>
      </w:r>
      <w:proofErr w:type="spellStart"/>
      <w:r w:rsidR="00DC5359" w:rsidRPr="00896FA4">
        <w:rPr>
          <w:rFonts w:eastAsia="Arial"/>
          <w:iCs/>
        </w:rPr>
        <w:t>adenokarcinomos</w:t>
      </w:r>
      <w:proofErr w:type="spellEnd"/>
      <w:r w:rsidR="00DC5359" w:rsidRPr="00896FA4">
        <w:rPr>
          <w:rFonts w:eastAsia="Arial"/>
          <w:iCs/>
        </w:rPr>
        <w:t xml:space="preserve"> atvejai, kurie susiję su </w:t>
      </w:r>
      <w:proofErr w:type="spellStart"/>
      <w:r w:rsidR="00DC5359" w:rsidRPr="00896FA4">
        <w:rPr>
          <w:rFonts w:eastAsia="Arial"/>
          <w:iCs/>
        </w:rPr>
        <w:t>gastroezofaginio</w:t>
      </w:r>
      <w:proofErr w:type="spellEnd"/>
      <w:r w:rsidR="00DC5359" w:rsidRPr="00896FA4">
        <w:rPr>
          <w:rFonts w:eastAsia="Arial"/>
          <w:iCs/>
        </w:rPr>
        <w:t xml:space="preserve"> </w:t>
      </w:r>
      <w:proofErr w:type="spellStart"/>
      <w:r w:rsidR="00DC5359" w:rsidRPr="00896FA4">
        <w:rPr>
          <w:rFonts w:eastAsia="Arial"/>
          <w:iCs/>
        </w:rPr>
        <w:t>refliukso</w:t>
      </w:r>
      <w:proofErr w:type="spellEnd"/>
      <w:r w:rsidR="00DC5359" w:rsidRPr="00896FA4">
        <w:rPr>
          <w:rFonts w:eastAsia="Arial"/>
          <w:iCs/>
        </w:rPr>
        <w:t xml:space="preserve"> liga ir nutukimu. Vyrai serga tris kartus dažniausiai ne moterys. Sergant stemplės vėžiu, prognozė bloga: 5 metų išgyvenamumas nesiekia 20%, nes liga ankstyvojoje jos fazėje dažniausiai yra </w:t>
      </w:r>
      <w:proofErr w:type="spellStart"/>
      <w:r w:rsidR="00DC5359" w:rsidRPr="00896FA4">
        <w:rPr>
          <w:rFonts w:eastAsia="Arial"/>
          <w:iCs/>
        </w:rPr>
        <w:t>asimptomė</w:t>
      </w:r>
      <w:proofErr w:type="spellEnd"/>
      <w:r w:rsidR="00DC5359" w:rsidRPr="00896FA4">
        <w:rPr>
          <w:rFonts w:eastAsia="Arial"/>
          <w:iCs/>
        </w:rPr>
        <w:t xml:space="preserve"> ir nustatoma jau vėlyvoje fazėje.</w:t>
      </w:r>
    </w:p>
    <w:p w14:paraId="4F6531AD" w14:textId="77777777" w:rsidR="00DC5359" w:rsidRPr="009034D6" w:rsidRDefault="00DC5359" w:rsidP="00DC5359">
      <w:pPr>
        <w:tabs>
          <w:tab w:val="left" w:pos="426"/>
        </w:tabs>
        <w:spacing w:line="276" w:lineRule="auto"/>
        <w:jc w:val="both"/>
      </w:pPr>
      <w:r>
        <w:tab/>
      </w:r>
      <w:r>
        <w:tab/>
        <w:t xml:space="preserve">2022 m. ESMO (angl.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Medical</w:t>
      </w:r>
      <w:proofErr w:type="spellEnd"/>
      <w:r>
        <w:rPr>
          <w:i/>
          <w:iCs/>
        </w:rPr>
        <w:t xml:space="preserve"> </w:t>
      </w:r>
      <w:proofErr w:type="spellStart"/>
      <w:r w:rsidRPr="004A5491">
        <w:t>Oncology</w:t>
      </w:r>
      <w:proofErr w:type="spellEnd"/>
      <w:r>
        <w:t xml:space="preserve">) stemplės vėžio diagnostikos ir gydymo gairėse nurodoma, jog nesant PD-L1 raiškos (angl. </w:t>
      </w:r>
      <w:r>
        <w:rPr>
          <w:i/>
          <w:iCs/>
        </w:rPr>
        <w:t xml:space="preserve">PD-L1 </w:t>
      </w:r>
      <w:proofErr w:type="spellStart"/>
      <w:r>
        <w:rPr>
          <w:i/>
          <w:iCs/>
        </w:rPr>
        <w:t>negative</w:t>
      </w:r>
      <w:proofErr w:type="spellEnd"/>
      <w:r>
        <w:rPr>
          <w:i/>
          <w:iCs/>
        </w:rPr>
        <w:t>/</w:t>
      </w:r>
      <w:proofErr w:type="spellStart"/>
      <w:r w:rsidRPr="009A5C99">
        <w:rPr>
          <w:i/>
          <w:iCs/>
        </w:rPr>
        <w:t>low</w:t>
      </w:r>
      <w:proofErr w:type="spellEnd"/>
      <w:r>
        <w:t xml:space="preserve">) </w:t>
      </w:r>
      <w:r w:rsidRPr="009A5C99">
        <w:t>pirmos</w:t>
      </w:r>
      <w:r>
        <w:t xml:space="preserve"> eilės v</w:t>
      </w:r>
      <w:r w:rsidRPr="004A5491">
        <w:t>ietiškai</w:t>
      </w:r>
      <w:r w:rsidRPr="00870CC5">
        <w:t xml:space="preserve"> </w:t>
      </w:r>
      <w:r w:rsidRPr="009A5C99">
        <w:t xml:space="preserve">išplitusios </w:t>
      </w:r>
      <w:proofErr w:type="spellStart"/>
      <w:r w:rsidRPr="009A5C99">
        <w:t>nerezekuotinos</w:t>
      </w:r>
      <w:proofErr w:type="spellEnd"/>
      <w:r w:rsidRPr="009A5C99">
        <w:t xml:space="preserve"> ar </w:t>
      </w:r>
      <w:proofErr w:type="spellStart"/>
      <w:r w:rsidRPr="009A5C99">
        <w:t>metastazavusios</w:t>
      </w:r>
      <w:proofErr w:type="spellEnd"/>
      <w:r w:rsidRPr="009A5C99">
        <w:t xml:space="preserve"> stemplės plokščiųjų ląstelių karcinomos gydymui rekomenduojami </w:t>
      </w:r>
      <w:r w:rsidRPr="009034D6">
        <w:rPr>
          <w:spacing w:val="-4"/>
        </w:rPr>
        <w:t>platinos</w:t>
      </w:r>
      <w:r>
        <w:rPr>
          <w:spacing w:val="-4"/>
        </w:rPr>
        <w:t xml:space="preserve"> </w:t>
      </w:r>
      <w:r w:rsidRPr="009034D6">
        <w:rPr>
          <w:spacing w:val="-4"/>
        </w:rPr>
        <w:t xml:space="preserve">ir </w:t>
      </w:r>
      <w:proofErr w:type="spellStart"/>
      <w:r w:rsidRPr="009034D6">
        <w:rPr>
          <w:spacing w:val="-4"/>
        </w:rPr>
        <w:t>fluoropirimidino</w:t>
      </w:r>
      <w:proofErr w:type="spellEnd"/>
      <w:r>
        <w:rPr>
          <w:spacing w:val="-4"/>
        </w:rPr>
        <w:t xml:space="preserve"> </w:t>
      </w:r>
      <w:r w:rsidRPr="009034D6">
        <w:rPr>
          <w:spacing w:val="-4"/>
        </w:rPr>
        <w:t xml:space="preserve">derinys (IIA rekomendacija). </w:t>
      </w:r>
      <w:r w:rsidRPr="009034D6">
        <w:t xml:space="preserve">Jei liga skiriant šį derinį progresuoja, antros eilės gydymui rekomenduojamas </w:t>
      </w:r>
      <w:proofErr w:type="spellStart"/>
      <w:r w:rsidRPr="009034D6">
        <w:t>nivolumabas</w:t>
      </w:r>
      <w:proofErr w:type="spellEnd"/>
      <w:r w:rsidRPr="009034D6">
        <w:t xml:space="preserve"> (IA rekomendacija), trečios eilės gydymui – Lietuvoje stemplės piktybinių navikų gydymui nekompensuojami </w:t>
      </w:r>
      <w:proofErr w:type="spellStart"/>
      <w:r w:rsidRPr="009034D6">
        <w:t>taksanai</w:t>
      </w:r>
      <w:proofErr w:type="spellEnd"/>
      <w:r w:rsidRPr="009034D6">
        <w:t xml:space="preserve"> (</w:t>
      </w:r>
      <w:proofErr w:type="spellStart"/>
      <w:r w:rsidRPr="009034D6">
        <w:t>paklitakselis</w:t>
      </w:r>
      <w:proofErr w:type="spellEnd"/>
      <w:r w:rsidRPr="009034D6">
        <w:t xml:space="preserve">, </w:t>
      </w:r>
      <w:proofErr w:type="spellStart"/>
      <w:r w:rsidRPr="009034D6">
        <w:t>docetakselis</w:t>
      </w:r>
      <w:proofErr w:type="spellEnd"/>
      <w:r w:rsidRPr="009034D6">
        <w:t xml:space="preserve">) arba </w:t>
      </w:r>
      <w:proofErr w:type="spellStart"/>
      <w:r w:rsidRPr="009034D6">
        <w:t>irinotekanas</w:t>
      </w:r>
      <w:proofErr w:type="spellEnd"/>
      <w:r w:rsidRPr="009034D6">
        <w:t xml:space="preserve"> (IIB rekomendacija).</w:t>
      </w:r>
    </w:p>
    <w:p w14:paraId="782F993A" w14:textId="77777777" w:rsidR="00DC5359" w:rsidRPr="009034D6" w:rsidRDefault="00DC5359" w:rsidP="00DC5359">
      <w:pPr>
        <w:tabs>
          <w:tab w:val="left" w:pos="426"/>
        </w:tabs>
        <w:spacing w:line="276" w:lineRule="auto"/>
        <w:jc w:val="both"/>
      </w:pPr>
      <w:r w:rsidRPr="009034D6">
        <w:rPr>
          <w:spacing w:val="-4"/>
        </w:rPr>
        <w:tab/>
      </w:r>
      <w:r w:rsidRPr="009034D6">
        <w:rPr>
          <w:spacing w:val="-4"/>
        </w:rPr>
        <w:tab/>
      </w:r>
      <w:r w:rsidRPr="009034D6">
        <w:t xml:space="preserve">Esant vietiškai išplitusiai </w:t>
      </w:r>
      <w:proofErr w:type="spellStart"/>
      <w:r w:rsidRPr="009034D6">
        <w:t>nerezekuotinai</w:t>
      </w:r>
      <w:proofErr w:type="spellEnd"/>
      <w:r w:rsidRPr="009034D6">
        <w:t xml:space="preserve"> ar </w:t>
      </w:r>
      <w:proofErr w:type="spellStart"/>
      <w:r w:rsidRPr="009034D6">
        <w:t>metastazavusiai</w:t>
      </w:r>
      <w:proofErr w:type="spellEnd"/>
      <w:r w:rsidRPr="009034D6">
        <w:t xml:space="preserve"> stemplės plokščiųjų ląstelių karcinomai, kuri </w:t>
      </w:r>
      <w:proofErr w:type="spellStart"/>
      <w:r w:rsidRPr="009034D6">
        <w:t>ekspresuoja</w:t>
      </w:r>
      <w:proofErr w:type="spellEnd"/>
      <w:r w:rsidRPr="009034D6">
        <w:t xml:space="preserve"> PD-L1 (angl. </w:t>
      </w:r>
      <w:proofErr w:type="spellStart"/>
      <w:r w:rsidRPr="009034D6">
        <w:rPr>
          <w:i/>
          <w:iCs/>
        </w:rPr>
        <w:t>Programmed</w:t>
      </w:r>
      <w:proofErr w:type="spellEnd"/>
      <w:r w:rsidRPr="009034D6">
        <w:rPr>
          <w:i/>
          <w:iCs/>
        </w:rPr>
        <w:t xml:space="preserve"> </w:t>
      </w:r>
      <w:proofErr w:type="spellStart"/>
      <w:r w:rsidRPr="009034D6">
        <w:rPr>
          <w:i/>
          <w:iCs/>
        </w:rPr>
        <w:t>death-ligand</w:t>
      </w:r>
      <w:proofErr w:type="spellEnd"/>
      <w:r w:rsidRPr="009034D6">
        <w:rPr>
          <w:i/>
          <w:iCs/>
        </w:rPr>
        <w:t xml:space="preserve"> 1</w:t>
      </w:r>
      <w:r w:rsidRPr="009034D6">
        <w:t xml:space="preserve">) ir CPS (angl. </w:t>
      </w:r>
      <w:proofErr w:type="spellStart"/>
      <w:r w:rsidRPr="009034D6">
        <w:rPr>
          <w:i/>
          <w:iCs/>
        </w:rPr>
        <w:t>Combined</w:t>
      </w:r>
      <w:proofErr w:type="spellEnd"/>
      <w:r w:rsidRPr="009034D6">
        <w:rPr>
          <w:i/>
          <w:iCs/>
        </w:rPr>
        <w:t xml:space="preserve"> </w:t>
      </w:r>
      <w:proofErr w:type="spellStart"/>
      <w:r w:rsidRPr="009034D6">
        <w:rPr>
          <w:i/>
          <w:iCs/>
        </w:rPr>
        <w:t>positive</w:t>
      </w:r>
      <w:proofErr w:type="spellEnd"/>
      <w:r w:rsidRPr="009034D6">
        <w:rPr>
          <w:i/>
          <w:iCs/>
        </w:rPr>
        <w:t xml:space="preserve"> </w:t>
      </w:r>
      <w:proofErr w:type="spellStart"/>
      <w:r w:rsidRPr="009034D6">
        <w:rPr>
          <w:i/>
          <w:iCs/>
        </w:rPr>
        <w:t>score</w:t>
      </w:r>
      <w:proofErr w:type="spellEnd"/>
      <w:r w:rsidRPr="009034D6">
        <w:t xml:space="preserve">) rodmuo yra ≥ 10, pirmos eilės gydymui rekomenduojamas </w:t>
      </w:r>
      <w:proofErr w:type="spellStart"/>
      <w:r w:rsidRPr="009034D6">
        <w:t>pembrolizumabo</w:t>
      </w:r>
      <w:proofErr w:type="spellEnd"/>
      <w:r w:rsidRPr="009034D6">
        <w:t xml:space="preserve">, platinos ir </w:t>
      </w:r>
      <w:proofErr w:type="spellStart"/>
      <w:r w:rsidRPr="009034D6">
        <w:t>fluoropirimidino</w:t>
      </w:r>
      <w:proofErr w:type="spellEnd"/>
      <w:r w:rsidRPr="009034D6">
        <w:t xml:space="preserve"> derinys (IA rekomendacija). Jei liga skiriant šį derinį progresuoja, antros eilės gydymui rekomenduojami </w:t>
      </w:r>
      <w:proofErr w:type="spellStart"/>
      <w:r w:rsidRPr="009034D6">
        <w:t>taksanai</w:t>
      </w:r>
      <w:proofErr w:type="spellEnd"/>
      <w:r w:rsidRPr="009034D6">
        <w:t xml:space="preserve"> (</w:t>
      </w:r>
      <w:proofErr w:type="spellStart"/>
      <w:r w:rsidRPr="009034D6">
        <w:t>paklitakselis</w:t>
      </w:r>
      <w:proofErr w:type="spellEnd"/>
      <w:r w:rsidRPr="009034D6">
        <w:t xml:space="preserve">, </w:t>
      </w:r>
      <w:proofErr w:type="spellStart"/>
      <w:r w:rsidRPr="009034D6">
        <w:t>docetakselis</w:t>
      </w:r>
      <w:proofErr w:type="spellEnd"/>
      <w:r w:rsidRPr="009034D6">
        <w:t xml:space="preserve">) arba </w:t>
      </w:r>
      <w:proofErr w:type="spellStart"/>
      <w:r w:rsidRPr="009034D6">
        <w:t>irinotekanas</w:t>
      </w:r>
      <w:proofErr w:type="spellEnd"/>
      <w:r w:rsidRPr="009034D6">
        <w:t xml:space="preserve"> (IIB rekomendacija).</w:t>
      </w:r>
    </w:p>
    <w:p w14:paraId="55164F0A" w14:textId="77777777" w:rsidR="00DC5359" w:rsidRPr="00896FA4" w:rsidRDefault="00DC5359" w:rsidP="00DC5359">
      <w:pPr>
        <w:tabs>
          <w:tab w:val="left" w:pos="426"/>
        </w:tabs>
        <w:spacing w:line="276" w:lineRule="auto"/>
        <w:jc w:val="both"/>
        <w:rPr>
          <w:highlight w:val="yellow"/>
        </w:rPr>
      </w:pPr>
      <w:r w:rsidRPr="009034D6">
        <w:rPr>
          <w:rFonts w:eastAsia="Arial"/>
          <w:iCs/>
        </w:rPr>
        <w:tab/>
      </w:r>
      <w:r w:rsidRPr="009034D6">
        <w:rPr>
          <w:rFonts w:eastAsia="Arial"/>
          <w:iCs/>
        </w:rPr>
        <w:tab/>
      </w:r>
      <w:r w:rsidRPr="009034D6">
        <w:t xml:space="preserve">Lietuvoje </w:t>
      </w:r>
      <w:r w:rsidRPr="009034D6">
        <w:rPr>
          <w:bCs/>
          <w:iCs/>
          <w:lang w:eastAsia="lt-LT"/>
        </w:rPr>
        <w:t>stemplės plokščiųjų ląstelių karcinomos antros eilės gydymui kompensuojamas tik pirmoje eilėje skiriamas 5-FU ir</w:t>
      </w:r>
      <w:r w:rsidRPr="009034D6">
        <w:rPr>
          <w:b/>
          <w:iCs/>
          <w:lang w:eastAsia="lt-LT"/>
        </w:rPr>
        <w:t xml:space="preserve"> </w:t>
      </w:r>
      <w:proofErr w:type="spellStart"/>
      <w:r w:rsidRPr="009034D6">
        <w:rPr>
          <w:bCs/>
          <w:iCs/>
          <w:lang w:eastAsia="lt-LT"/>
        </w:rPr>
        <w:t>cisplatina</w:t>
      </w:r>
      <w:proofErr w:type="spellEnd"/>
      <w:r w:rsidRPr="009034D6">
        <w:rPr>
          <w:bCs/>
          <w:iCs/>
          <w:lang w:eastAsia="lt-LT"/>
        </w:rPr>
        <w:t xml:space="preserve">, tačiau sveikatos technologijų skyriaus onkologijos srities klinikinis ekspertas nurodė, jog nors nėra aiškaus prieinamo gydymo Lietuvoje, antros eilės gydymui skiriami </w:t>
      </w:r>
      <w:proofErr w:type="spellStart"/>
      <w:r w:rsidRPr="009034D6">
        <w:rPr>
          <w:bCs/>
          <w:iCs/>
          <w:lang w:eastAsia="lt-LT"/>
        </w:rPr>
        <w:t>taksanai</w:t>
      </w:r>
      <w:proofErr w:type="spellEnd"/>
      <w:r w:rsidRPr="009034D6">
        <w:rPr>
          <w:bCs/>
          <w:iCs/>
          <w:lang w:eastAsia="lt-LT"/>
        </w:rPr>
        <w:t xml:space="preserve">, </w:t>
      </w:r>
      <w:proofErr w:type="spellStart"/>
      <w:r w:rsidRPr="009034D6">
        <w:rPr>
          <w:bCs/>
          <w:iCs/>
          <w:lang w:eastAsia="lt-LT"/>
        </w:rPr>
        <w:t>irinotekanas</w:t>
      </w:r>
      <w:proofErr w:type="spellEnd"/>
      <w:r w:rsidRPr="009034D6">
        <w:rPr>
          <w:bCs/>
          <w:iCs/>
          <w:lang w:eastAsia="lt-LT"/>
        </w:rPr>
        <w:t xml:space="preserve"> ir/ar </w:t>
      </w:r>
      <w:proofErr w:type="spellStart"/>
      <w:r w:rsidRPr="009034D6">
        <w:rPr>
          <w:bCs/>
          <w:iCs/>
          <w:lang w:eastAsia="lt-LT"/>
        </w:rPr>
        <w:t>fluoropirimidinai</w:t>
      </w:r>
      <w:proofErr w:type="spellEnd"/>
      <w:r w:rsidRPr="009034D6">
        <w:rPr>
          <w:bCs/>
          <w:iCs/>
          <w:lang w:eastAsia="lt-LT"/>
        </w:rPr>
        <w:t xml:space="preserve">. </w:t>
      </w:r>
      <w:r w:rsidRPr="009034D6">
        <w:t>Pa</w:t>
      </w:r>
      <w:r>
        <w:t>reiškėjas</w:t>
      </w:r>
      <w:r>
        <w:rPr>
          <w:rFonts w:eastAsia="Arial"/>
          <w:iCs/>
        </w:rPr>
        <w:t xml:space="preserve"> </w:t>
      </w:r>
      <w:r w:rsidRPr="00B43E23">
        <w:rPr>
          <w:rFonts w:eastAsia="Arial"/>
          <w:iCs/>
        </w:rPr>
        <w:t>siūlo</w:t>
      </w:r>
      <w:r w:rsidRPr="00B43E23">
        <w:t xml:space="preserve">, jog </w:t>
      </w:r>
      <w:proofErr w:type="spellStart"/>
      <w:r>
        <w:t>tislelizumabas</w:t>
      </w:r>
      <w:proofErr w:type="spellEnd"/>
      <w:r w:rsidRPr="00B43E23">
        <w:t xml:space="preserve"> šiuo metu Lietuvoje kompensuojamoje ir įrodymus atitinkančioje gydymo schemoje turėtų</w:t>
      </w:r>
      <w:r>
        <w:t xml:space="preserve"> </w:t>
      </w:r>
      <w:r w:rsidRPr="001048B8">
        <w:t>b</w:t>
      </w:r>
      <w:r>
        <w:t>ūti</w:t>
      </w:r>
      <w:r w:rsidRPr="00B43E23">
        <w:t xml:space="preserve"> </w:t>
      </w:r>
      <w:r w:rsidRPr="00896FA4">
        <w:t>alternatyvus pasirinkimas antroje gydymo eilėje.</w:t>
      </w:r>
      <w:r>
        <w:t xml:space="preserve"> Atkreiptinas dėmesys, jog paraiškos vertinimo metu buvo atliekamas kito </w:t>
      </w:r>
      <w:proofErr w:type="spellStart"/>
      <w:r>
        <w:t>monokloninio</w:t>
      </w:r>
      <w:proofErr w:type="spellEnd"/>
      <w:r>
        <w:t xml:space="preserve"> antikūno – </w:t>
      </w:r>
      <w:proofErr w:type="spellStart"/>
      <w:r>
        <w:t>nivolumabo</w:t>
      </w:r>
      <w:proofErr w:type="spellEnd"/>
      <w:r>
        <w:t xml:space="preserve"> – analogiškai terapinei indikacijai ir gydymo eilei vertinimas (STV-175).</w:t>
      </w:r>
    </w:p>
    <w:p w14:paraId="53E30DF8" w14:textId="77777777" w:rsidR="00DC5359" w:rsidRPr="002105F7" w:rsidRDefault="00DC5359" w:rsidP="00DC5359">
      <w:pPr>
        <w:tabs>
          <w:tab w:val="left" w:pos="426"/>
        </w:tabs>
        <w:spacing w:line="276" w:lineRule="auto"/>
        <w:jc w:val="both"/>
        <w:rPr>
          <w:rFonts w:eastAsia="Arial"/>
          <w:iCs/>
          <w:highlight w:val="yellow"/>
        </w:rPr>
      </w:pPr>
    </w:p>
    <w:p w14:paraId="489BCD0B" w14:textId="77777777" w:rsidR="00DC5359" w:rsidRPr="003A5EBA" w:rsidRDefault="00DC5359" w:rsidP="00DC5359">
      <w:pPr>
        <w:widowControl w:val="0"/>
        <w:jc w:val="both"/>
        <w:rPr>
          <w:bCs/>
          <w:i/>
          <w:iCs/>
          <w:color w:val="000000"/>
          <w:lang w:eastAsia="lt-LT"/>
        </w:rPr>
      </w:pPr>
      <w:r w:rsidRPr="003A5EBA">
        <w:rPr>
          <w:bCs/>
          <w:i/>
          <w:iCs/>
          <w:color w:val="000000"/>
          <w:lang w:eastAsia="lt-LT"/>
        </w:rPr>
        <w:t>Tiesioginis palyginimas</w:t>
      </w:r>
    </w:p>
    <w:p w14:paraId="1C15F2B2" w14:textId="77777777" w:rsidR="00DC5359" w:rsidRPr="003A5EBA" w:rsidRDefault="00DC5359" w:rsidP="00DC5359">
      <w:pPr>
        <w:widowControl w:val="0"/>
        <w:jc w:val="both"/>
        <w:rPr>
          <w:bCs/>
          <w:i/>
          <w:iCs/>
          <w:color w:val="000000"/>
          <w:lang w:eastAsia="lt-LT"/>
        </w:rPr>
      </w:pPr>
    </w:p>
    <w:p w14:paraId="110C4606" w14:textId="67E06E10" w:rsidR="00DC5359" w:rsidRDefault="00DC5359" w:rsidP="00DC5359">
      <w:pPr>
        <w:widowControl w:val="0"/>
        <w:spacing w:line="276" w:lineRule="auto"/>
        <w:ind w:firstLine="720"/>
        <w:jc w:val="both"/>
        <w:rPr>
          <w:rFonts w:eastAsia="Arial"/>
          <w:bCs/>
        </w:rPr>
      </w:pPr>
      <w:r w:rsidRPr="003A5EBA">
        <w:rPr>
          <w:bCs/>
          <w:color w:val="000000"/>
          <w:lang w:eastAsia="lt-LT"/>
        </w:rPr>
        <w:t xml:space="preserve">Palyginamasis veiksmingumas grindžiamas klinikinio tyrimo RATIONALE-302 duomenimis. Jame įrodyta, jog 18 metų ir vyresniems geros funkcinės būklės (ECOG 0 arba 1) pacientams, kuriems </w:t>
      </w:r>
      <w:r w:rsidRPr="003A5EBA">
        <w:rPr>
          <w:rFonts w:eastAsia="Arial"/>
          <w:bCs/>
        </w:rPr>
        <w:t xml:space="preserve">nustatyta anksčiau gydyta </w:t>
      </w:r>
      <w:r w:rsidRPr="003A5EBA">
        <w:rPr>
          <w:bCs/>
        </w:rPr>
        <w:t xml:space="preserve">vietiškai išplitusi </w:t>
      </w:r>
      <w:proofErr w:type="spellStart"/>
      <w:r w:rsidRPr="003A5EBA">
        <w:rPr>
          <w:bCs/>
        </w:rPr>
        <w:t>nerezekuotina</w:t>
      </w:r>
      <w:proofErr w:type="spellEnd"/>
      <w:r w:rsidRPr="003A5EBA">
        <w:rPr>
          <w:bCs/>
        </w:rPr>
        <w:t xml:space="preserve"> ar </w:t>
      </w:r>
      <w:proofErr w:type="spellStart"/>
      <w:r w:rsidRPr="003A5EBA">
        <w:rPr>
          <w:bCs/>
        </w:rPr>
        <w:t>metastazavusi</w:t>
      </w:r>
      <w:proofErr w:type="spellEnd"/>
      <w:r w:rsidRPr="003A5EBA">
        <w:rPr>
          <w:bCs/>
        </w:rPr>
        <w:t xml:space="preserve"> stemplės </w:t>
      </w:r>
      <w:r w:rsidRPr="003A5EBA">
        <w:t>plokščiųjų ląstelių</w:t>
      </w:r>
      <w:r w:rsidRPr="003A5EBA">
        <w:rPr>
          <w:bCs/>
        </w:rPr>
        <w:t xml:space="preserve"> karcinoma, kuri progresavo po skirtos pirmos eilės chemoterapijos. Jame įrodyta, jog gydymas </w:t>
      </w:r>
      <w:proofErr w:type="spellStart"/>
      <w:r w:rsidRPr="003A5EBA">
        <w:rPr>
          <w:bCs/>
        </w:rPr>
        <w:t>tislelizumabu</w:t>
      </w:r>
      <w:proofErr w:type="spellEnd"/>
      <w:r w:rsidRPr="003A5EBA">
        <w:rPr>
          <w:rFonts w:eastAsia="Arial"/>
          <w:bCs/>
        </w:rPr>
        <w:t xml:space="preserve"> ITT populiacijoje </w:t>
      </w:r>
      <w:r w:rsidR="007007BB">
        <w:rPr>
          <w:rFonts w:eastAsia="Arial"/>
          <w:bCs/>
        </w:rPr>
        <w:t>***</w:t>
      </w:r>
      <w:r w:rsidRPr="003A5EBA">
        <w:rPr>
          <w:rFonts w:eastAsia="Arial"/>
          <w:bCs/>
        </w:rPr>
        <w:t xml:space="preserve"> (</w:t>
      </w:r>
      <w:r w:rsidR="00773799">
        <w:rPr>
          <w:rFonts w:eastAsia="Arial"/>
          <w:bCs/>
        </w:rPr>
        <w:t>***</w:t>
      </w:r>
      <w:r w:rsidRPr="003A5EBA">
        <w:rPr>
          <w:rFonts w:eastAsia="Arial"/>
          <w:bCs/>
        </w:rPr>
        <w:t xml:space="preserve">) sumažino </w:t>
      </w:r>
      <w:r w:rsidRPr="007C4F63">
        <w:rPr>
          <w:rFonts w:eastAsia="Arial"/>
        </w:rPr>
        <w:t>mirties nuo bet kokios priežasties (pirminė vertinamoji baigtis) riziką, lyginant su kontroline grupe</w:t>
      </w:r>
      <w:r w:rsidRPr="003A5EBA">
        <w:rPr>
          <w:rFonts w:eastAsia="Arial"/>
          <w:bCs/>
        </w:rPr>
        <w:t xml:space="preserve"> (gydymas </w:t>
      </w:r>
      <w:proofErr w:type="spellStart"/>
      <w:r w:rsidRPr="003A5EBA">
        <w:rPr>
          <w:rFonts w:eastAsia="Arial"/>
          <w:bCs/>
        </w:rPr>
        <w:t>taksanais</w:t>
      </w:r>
      <w:proofErr w:type="spellEnd"/>
      <w:r w:rsidRPr="003A5EBA">
        <w:rPr>
          <w:rFonts w:eastAsia="Arial"/>
          <w:bCs/>
        </w:rPr>
        <w:t xml:space="preserve"> ar </w:t>
      </w:r>
      <w:proofErr w:type="spellStart"/>
      <w:r w:rsidRPr="003A5EBA">
        <w:rPr>
          <w:rFonts w:eastAsia="Arial"/>
          <w:bCs/>
        </w:rPr>
        <w:t>irinotekanu</w:t>
      </w:r>
      <w:proofErr w:type="spellEnd"/>
      <w:r w:rsidRPr="003A5EBA">
        <w:rPr>
          <w:rFonts w:eastAsia="Arial"/>
          <w:bCs/>
        </w:rPr>
        <w:t>). Panašios tendencijos išliko ir iš anksto numatytų pogrupių analizėje.</w:t>
      </w:r>
    </w:p>
    <w:p w14:paraId="1EE6FFDD" w14:textId="170999D6" w:rsidR="00DC5359" w:rsidRPr="003A5EBA" w:rsidRDefault="00DC5359" w:rsidP="00DC5359">
      <w:pPr>
        <w:widowControl w:val="0"/>
        <w:spacing w:line="276" w:lineRule="auto"/>
        <w:ind w:firstLine="720"/>
        <w:jc w:val="both"/>
        <w:rPr>
          <w:rFonts w:eastAsia="Arial"/>
          <w:bCs/>
        </w:rPr>
      </w:pPr>
      <w:r>
        <w:rPr>
          <w:rFonts w:eastAsia="Arial"/>
          <w:bCs/>
        </w:rPr>
        <w:t>Pagal hierarchinės statistinės analizės planą vertinant pacientų, kurių navikų PD-L1 raiška buvo teigiama (perskaičiuotas CPS ≥ 10), bendrą išgyvenamumą (BI) – svarbiausia antrinė vertinamoji baigtis, – mirties nuo bet kokios priežasties rizika</w:t>
      </w:r>
      <w:r w:rsidRPr="003A5EBA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tislelizumabo</w:t>
      </w:r>
      <w:proofErr w:type="spellEnd"/>
      <w:r>
        <w:rPr>
          <w:rFonts w:eastAsia="Arial"/>
          <w:bCs/>
        </w:rPr>
        <w:t xml:space="preserve"> grupėje buvo </w:t>
      </w:r>
      <w:r w:rsidR="007007BB">
        <w:rPr>
          <w:rFonts w:eastAsia="Arial"/>
          <w:bCs/>
        </w:rPr>
        <w:t>***</w:t>
      </w:r>
      <w:r>
        <w:rPr>
          <w:rFonts w:eastAsia="Arial"/>
          <w:bCs/>
        </w:rPr>
        <w:t xml:space="preserve"> (</w:t>
      </w:r>
      <w:r w:rsidR="00682F21">
        <w:rPr>
          <w:rFonts w:eastAsia="Arial"/>
          <w:bCs/>
        </w:rPr>
        <w:t>***</w:t>
      </w:r>
      <w:r>
        <w:rPr>
          <w:rFonts w:eastAsia="Arial"/>
          <w:bCs/>
        </w:rPr>
        <w:t>) mažesnė, lyginant su kontroline grupe.</w:t>
      </w:r>
    </w:p>
    <w:p w14:paraId="1EF29728" w14:textId="0C82AA46" w:rsidR="00DC5359" w:rsidRPr="00180620" w:rsidRDefault="00DC5359" w:rsidP="00DC5359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 w:rsidRPr="00180620">
        <w:rPr>
          <w:rFonts w:eastAsia="Arial"/>
          <w:bCs/>
        </w:rPr>
        <w:lastRenderedPageBreak/>
        <w:tab/>
      </w:r>
      <w:r w:rsidRPr="00180620">
        <w:rPr>
          <w:rFonts w:eastAsia="Arial"/>
          <w:bCs/>
        </w:rPr>
        <w:tab/>
        <w:t xml:space="preserve">Vertinant pacientų </w:t>
      </w:r>
      <w:r w:rsidRPr="00180620">
        <w:rPr>
          <w:rFonts w:eastAsia="Arial"/>
        </w:rPr>
        <w:t xml:space="preserve">išgyvenamumą be ligos progresavimo </w:t>
      </w:r>
      <w:r w:rsidRPr="00180620">
        <w:rPr>
          <w:rFonts w:eastAsia="Arial"/>
          <w:bCs/>
        </w:rPr>
        <w:t xml:space="preserve">(IBLP) ITT populiacijoje, ligos progresavimo ar mirties nuo bet kokios priežasties rizika tarp </w:t>
      </w:r>
      <w:proofErr w:type="spellStart"/>
      <w:r w:rsidRPr="00180620">
        <w:rPr>
          <w:rFonts w:eastAsia="Arial"/>
          <w:bCs/>
        </w:rPr>
        <w:t>tislelizumabo</w:t>
      </w:r>
      <w:proofErr w:type="spellEnd"/>
      <w:r w:rsidRPr="00180620">
        <w:rPr>
          <w:rFonts w:eastAsia="Arial"/>
          <w:bCs/>
        </w:rPr>
        <w:t xml:space="preserve"> ir kontrolinės grupės nesiskyrė (</w:t>
      </w:r>
      <w:r w:rsidR="00682F21">
        <w:rPr>
          <w:rFonts w:eastAsia="Arial"/>
          <w:bCs/>
        </w:rPr>
        <w:t>***</w:t>
      </w:r>
      <w:r w:rsidRPr="00180620">
        <w:rPr>
          <w:rFonts w:eastAsia="Arial"/>
          <w:bCs/>
        </w:rPr>
        <w:t>) ir nepriklausė nuo PD-L1 raiškos (</w:t>
      </w:r>
      <w:r w:rsidR="00682F21">
        <w:rPr>
          <w:rFonts w:eastAsia="Arial"/>
          <w:bCs/>
        </w:rPr>
        <w:t>***</w:t>
      </w:r>
      <w:r w:rsidRPr="00180620">
        <w:rPr>
          <w:rFonts w:eastAsia="Arial"/>
          <w:bCs/>
        </w:rPr>
        <w:t xml:space="preserve">).  </w:t>
      </w:r>
    </w:p>
    <w:p w14:paraId="5B9D9326" w14:textId="679BF7F6" w:rsidR="00DC5359" w:rsidRPr="00180620" w:rsidRDefault="00DC5359" w:rsidP="00DC5359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 w:rsidRPr="00180620">
        <w:rPr>
          <w:rFonts w:eastAsia="Arial"/>
          <w:bCs/>
        </w:rPr>
        <w:tab/>
      </w:r>
      <w:r w:rsidRPr="00180620">
        <w:rPr>
          <w:rFonts w:eastAsia="Arial"/>
          <w:bCs/>
        </w:rPr>
        <w:tab/>
        <w:t xml:space="preserve">Vertinant naviko atsaką į gydymą, objektyvus atsako </w:t>
      </w:r>
      <w:r>
        <w:rPr>
          <w:rFonts w:eastAsia="Arial"/>
          <w:bCs/>
        </w:rPr>
        <w:t>tikimybė</w:t>
      </w:r>
      <w:r w:rsidRPr="00180620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tislelizumabo</w:t>
      </w:r>
      <w:proofErr w:type="spellEnd"/>
      <w:r w:rsidRPr="00180620">
        <w:rPr>
          <w:rFonts w:eastAsia="Arial"/>
          <w:bCs/>
        </w:rPr>
        <w:t xml:space="preserve"> grupėje buvo </w:t>
      </w:r>
      <w:r w:rsidR="007007BB">
        <w:rPr>
          <w:rFonts w:eastAsia="Arial"/>
          <w:bCs/>
        </w:rPr>
        <w:t>***</w:t>
      </w:r>
      <w:r w:rsidRPr="00180620">
        <w:rPr>
          <w:rFonts w:eastAsia="Arial"/>
          <w:bCs/>
        </w:rPr>
        <w:t xml:space="preserve"> (</w:t>
      </w:r>
      <w:r w:rsidR="00682F21">
        <w:rPr>
          <w:rFonts w:eastAsia="Arial"/>
          <w:bCs/>
        </w:rPr>
        <w:t>***</w:t>
      </w:r>
      <w:r w:rsidRPr="00180620">
        <w:rPr>
          <w:rFonts w:eastAsia="Arial"/>
          <w:bCs/>
        </w:rPr>
        <w:t>)</w:t>
      </w:r>
      <w:r>
        <w:rPr>
          <w:rFonts w:eastAsia="Arial"/>
          <w:bCs/>
        </w:rPr>
        <w:t xml:space="preserve"> didesnė, lyginant su kontroline grupe. Atsako trukmė tarp </w:t>
      </w:r>
      <w:proofErr w:type="spellStart"/>
      <w:r>
        <w:rPr>
          <w:rFonts w:eastAsia="Arial"/>
          <w:bCs/>
        </w:rPr>
        <w:t>tislelizumabo</w:t>
      </w:r>
      <w:proofErr w:type="spellEnd"/>
      <w:r>
        <w:rPr>
          <w:rFonts w:eastAsia="Arial"/>
          <w:bCs/>
        </w:rPr>
        <w:t xml:space="preserve"> ir kontrolinės grupių nesiskyrė.</w:t>
      </w:r>
    </w:p>
    <w:p w14:paraId="47230CCB" w14:textId="77777777" w:rsidR="00DC5359" w:rsidRPr="00180620" w:rsidRDefault="00DC5359" w:rsidP="00DC5359">
      <w:pPr>
        <w:widowControl w:val="0"/>
        <w:spacing w:line="276" w:lineRule="auto"/>
        <w:ind w:firstLine="720"/>
        <w:jc w:val="both"/>
        <w:rPr>
          <w:bCs/>
          <w:color w:val="000000"/>
          <w:lang w:eastAsia="lt-LT"/>
        </w:rPr>
      </w:pPr>
      <w:r w:rsidRPr="009432AE">
        <w:rPr>
          <w:rFonts w:eastAsia="Arial"/>
          <w:iCs/>
        </w:rPr>
        <w:t xml:space="preserve">Pacientų praneštos baigtys buvo įvertintos pacientams užpildant </w:t>
      </w:r>
      <w:r w:rsidRPr="009432AE">
        <w:rPr>
          <w:rFonts w:eastAsia="Arial"/>
        </w:rPr>
        <w:t>EORTC QLQ-C30 ir EQ-</w:t>
      </w:r>
      <w:r w:rsidRPr="00180620">
        <w:rPr>
          <w:rFonts w:eastAsia="Arial"/>
          <w:bCs/>
        </w:rPr>
        <w:t xml:space="preserve">5D-5L </w:t>
      </w:r>
      <w:r w:rsidRPr="00180620">
        <w:rPr>
          <w:rFonts w:eastAsia="Arial"/>
          <w:iCs/>
        </w:rPr>
        <w:t xml:space="preserve">klausimynus. Vertinant </w:t>
      </w:r>
      <w:r w:rsidRPr="00180620">
        <w:rPr>
          <w:rFonts w:eastAsia="Arial"/>
          <w:bCs/>
        </w:rPr>
        <w:t>EORTC QLQ-C30 klausimyno rezultatus, p</w:t>
      </w:r>
      <w:r w:rsidRPr="00180620">
        <w:rPr>
          <w:rFonts w:eastAsia="Arial"/>
          <w:iCs/>
        </w:rPr>
        <w:t xml:space="preserve">acientų gyvenimo kokybė tarp tiriamųjų grupių iš esmės nesiskyrė. </w:t>
      </w:r>
      <w:r w:rsidRPr="00180620">
        <w:rPr>
          <w:rFonts w:eastAsia="Arial"/>
          <w:bCs/>
        </w:rPr>
        <w:t xml:space="preserve">Vertinant EQ-5D-5L klausimyno rezultatus, vartojant </w:t>
      </w:r>
      <w:proofErr w:type="spellStart"/>
      <w:r w:rsidRPr="00180620">
        <w:rPr>
          <w:rFonts w:eastAsia="Arial"/>
          <w:bCs/>
        </w:rPr>
        <w:t>tislelizumabą</w:t>
      </w:r>
      <w:proofErr w:type="spellEnd"/>
      <w:r w:rsidRPr="00180620">
        <w:rPr>
          <w:rFonts w:eastAsia="Arial"/>
          <w:bCs/>
        </w:rPr>
        <w:t xml:space="preserve"> pacientų sveikatos būklė blogėjo lėčiau, lyginant su kontroline grupe. </w:t>
      </w:r>
      <w:r w:rsidRPr="00180620">
        <w:rPr>
          <w:iCs/>
        </w:rPr>
        <w:t>Reikšmingų</w:t>
      </w:r>
      <w:r w:rsidRPr="00180620">
        <w:rPr>
          <w:bCs/>
          <w:iCs/>
          <w:lang w:eastAsia="lt-LT"/>
        </w:rPr>
        <w:t xml:space="preserve"> saugumo problemų ar įvykių nenustatyta</w:t>
      </w:r>
      <w:r w:rsidRPr="00180620">
        <w:rPr>
          <w:bCs/>
          <w:color w:val="000000"/>
          <w:lang w:eastAsia="lt-LT"/>
        </w:rPr>
        <w:t>.</w:t>
      </w:r>
    </w:p>
    <w:p w14:paraId="26AEA87B" w14:textId="77777777" w:rsidR="00DC5359" w:rsidRDefault="00DC5359" w:rsidP="00DC5359">
      <w:pPr>
        <w:tabs>
          <w:tab w:val="left" w:pos="492"/>
        </w:tabs>
        <w:spacing w:line="276" w:lineRule="auto"/>
        <w:jc w:val="both"/>
        <w:outlineLvl w:val="1"/>
      </w:pPr>
      <w:r w:rsidRPr="00CC3000">
        <w:tab/>
      </w:r>
      <w:r w:rsidRPr="00CC3000">
        <w:tab/>
      </w:r>
      <w:r w:rsidRPr="0002009B">
        <w:t xml:space="preserve">Atsižvelgiant į tai, jog pareiškėjas savo iniciatyva pateikė netiesioginio palyginimo analizę su </w:t>
      </w:r>
      <w:proofErr w:type="spellStart"/>
      <w:r w:rsidRPr="0002009B">
        <w:t>nivolumabu</w:t>
      </w:r>
      <w:proofErr w:type="spellEnd"/>
      <w:r w:rsidRPr="0002009B">
        <w:t xml:space="preserve">, o </w:t>
      </w:r>
      <w:proofErr w:type="spellStart"/>
      <w:r w:rsidRPr="0002009B">
        <w:t>nivolumabas</w:t>
      </w:r>
      <w:proofErr w:type="spellEnd"/>
      <w:r w:rsidRPr="0002009B">
        <w:t xml:space="preserve"> paraiškos vertinimo metu buvo įtrauktas į rezervinį vaistų sąrašą, nuspręsta priimti </w:t>
      </w:r>
      <w:proofErr w:type="spellStart"/>
      <w:r w:rsidRPr="0002009B">
        <w:t>nivolumabą</w:t>
      </w:r>
      <w:proofErr w:type="spellEnd"/>
      <w:r w:rsidRPr="0002009B">
        <w:t xml:space="preserve"> kaip aktualų palyginamąjį gydymą šioje pacientų populiacijoje.</w:t>
      </w:r>
    </w:p>
    <w:p w14:paraId="15823D45" w14:textId="77777777" w:rsidR="00DC5359" w:rsidRPr="002105F7" w:rsidRDefault="00DC5359" w:rsidP="00DC5359">
      <w:pPr>
        <w:widowControl w:val="0"/>
        <w:spacing w:line="276" w:lineRule="auto"/>
        <w:jc w:val="both"/>
        <w:rPr>
          <w:iCs/>
          <w:highlight w:val="yellow"/>
        </w:rPr>
      </w:pPr>
    </w:p>
    <w:p w14:paraId="40753797" w14:textId="77777777" w:rsidR="00DC5359" w:rsidRPr="00E34C89" w:rsidRDefault="00DC5359" w:rsidP="00DC5359">
      <w:pPr>
        <w:widowControl w:val="0"/>
        <w:spacing w:line="276" w:lineRule="auto"/>
        <w:jc w:val="both"/>
        <w:rPr>
          <w:bCs/>
          <w:i/>
          <w:iCs/>
          <w:color w:val="000000"/>
          <w:lang w:eastAsia="lt-LT"/>
        </w:rPr>
      </w:pPr>
      <w:r w:rsidRPr="00E34C89">
        <w:rPr>
          <w:bCs/>
          <w:i/>
          <w:iCs/>
          <w:color w:val="000000"/>
          <w:lang w:eastAsia="lt-LT"/>
        </w:rPr>
        <w:t>Netiesioginis palyginimas</w:t>
      </w:r>
    </w:p>
    <w:p w14:paraId="6BE2662F" w14:textId="77777777" w:rsidR="00DC5359" w:rsidRPr="00E34C89" w:rsidRDefault="00DC5359" w:rsidP="00DC5359">
      <w:pPr>
        <w:widowControl w:val="0"/>
        <w:spacing w:line="276" w:lineRule="auto"/>
        <w:jc w:val="both"/>
        <w:rPr>
          <w:bCs/>
          <w:i/>
          <w:iCs/>
          <w:color w:val="000000"/>
          <w:lang w:eastAsia="lt-LT"/>
        </w:rPr>
      </w:pPr>
    </w:p>
    <w:p w14:paraId="6776FA1B" w14:textId="77777777" w:rsidR="00DC5359" w:rsidRDefault="00DC5359" w:rsidP="00DC5359">
      <w:pPr>
        <w:widowControl w:val="0"/>
        <w:spacing w:line="276" w:lineRule="auto"/>
        <w:ind w:firstLine="720"/>
        <w:jc w:val="both"/>
        <w:rPr>
          <w:rFonts w:eastAsia="Arial"/>
        </w:rPr>
      </w:pPr>
      <w:r w:rsidRPr="00E34C89">
        <w:rPr>
          <w:bCs/>
          <w:color w:val="000000"/>
          <w:lang w:eastAsia="lt-LT"/>
        </w:rPr>
        <w:t xml:space="preserve">Klinikinis vertinimas buvo atliktas pagal paraiškoje pateiktą netiesioginio palyginimo analizę, į kurią įtraukti II ir III fazės klinikiniai tyrimai, kuriuose buvo tiriamos skirtingos imunoterapijos gydant </w:t>
      </w:r>
      <w:r w:rsidRPr="00E34C89">
        <w:rPr>
          <w:bCs/>
        </w:rPr>
        <w:t xml:space="preserve">vietiškai išplitusią </w:t>
      </w:r>
      <w:proofErr w:type="spellStart"/>
      <w:r w:rsidRPr="00E34C89">
        <w:rPr>
          <w:bCs/>
        </w:rPr>
        <w:t>nerezekuotiną</w:t>
      </w:r>
      <w:proofErr w:type="spellEnd"/>
      <w:r w:rsidRPr="00E34C89">
        <w:rPr>
          <w:bCs/>
        </w:rPr>
        <w:t xml:space="preserve"> ar </w:t>
      </w:r>
      <w:proofErr w:type="spellStart"/>
      <w:r w:rsidRPr="00E34C89">
        <w:rPr>
          <w:bCs/>
        </w:rPr>
        <w:t>metastazavusią</w:t>
      </w:r>
      <w:proofErr w:type="spellEnd"/>
      <w:r w:rsidRPr="00E34C89">
        <w:rPr>
          <w:bCs/>
        </w:rPr>
        <w:t xml:space="preserve"> stemplės plokščiųjų ląstelių karcinomą. </w:t>
      </w:r>
      <w:r w:rsidRPr="00E34C89">
        <w:rPr>
          <w:rFonts w:eastAsia="Arial"/>
        </w:rPr>
        <w:t xml:space="preserve">Pareiškėjas pateikė išskirtą </w:t>
      </w:r>
      <w:proofErr w:type="spellStart"/>
      <w:r w:rsidRPr="00E34C89">
        <w:rPr>
          <w:rFonts w:eastAsia="Arial"/>
        </w:rPr>
        <w:t>tislelizumabo</w:t>
      </w:r>
      <w:proofErr w:type="spellEnd"/>
      <w:r w:rsidRPr="00E34C89">
        <w:rPr>
          <w:rFonts w:eastAsia="Arial"/>
        </w:rPr>
        <w:t xml:space="preserve"> (RATIONALE-302) ir </w:t>
      </w:r>
      <w:proofErr w:type="spellStart"/>
      <w:r w:rsidRPr="00E34C89">
        <w:rPr>
          <w:rFonts w:eastAsia="Arial"/>
        </w:rPr>
        <w:t>nivolumabo</w:t>
      </w:r>
      <w:proofErr w:type="spellEnd"/>
      <w:r w:rsidRPr="00E34C89">
        <w:rPr>
          <w:rFonts w:eastAsia="Arial"/>
        </w:rPr>
        <w:t xml:space="preserve"> (ATTRACTION-3) palyginamąją </w:t>
      </w:r>
      <w:proofErr w:type="spellStart"/>
      <w:r w:rsidRPr="00E34C89">
        <w:rPr>
          <w:rFonts w:eastAsia="Arial"/>
        </w:rPr>
        <w:t>simuliacinę</w:t>
      </w:r>
      <w:proofErr w:type="spellEnd"/>
      <w:r w:rsidRPr="00E34C89">
        <w:rPr>
          <w:rFonts w:eastAsia="Arial"/>
        </w:rPr>
        <w:t xml:space="preserve"> analizę (angl. </w:t>
      </w:r>
      <w:proofErr w:type="spellStart"/>
      <w:r w:rsidRPr="00CE6440">
        <w:rPr>
          <w:rFonts w:eastAsia="Arial"/>
          <w:i/>
          <w:iCs/>
        </w:rPr>
        <w:t>simulated</w:t>
      </w:r>
      <w:proofErr w:type="spellEnd"/>
      <w:r w:rsidRPr="00CE6440">
        <w:rPr>
          <w:rFonts w:eastAsia="Arial"/>
          <w:i/>
          <w:iCs/>
        </w:rPr>
        <w:t xml:space="preserve"> </w:t>
      </w:r>
      <w:proofErr w:type="spellStart"/>
      <w:r w:rsidRPr="00CE6440">
        <w:rPr>
          <w:rFonts w:eastAsia="Arial"/>
          <w:i/>
          <w:iCs/>
        </w:rPr>
        <w:t>treatment</w:t>
      </w:r>
      <w:proofErr w:type="spellEnd"/>
      <w:r w:rsidRPr="00CE6440">
        <w:rPr>
          <w:rFonts w:eastAsia="Arial"/>
          <w:i/>
          <w:iCs/>
        </w:rPr>
        <w:t xml:space="preserve"> </w:t>
      </w:r>
      <w:proofErr w:type="spellStart"/>
      <w:r w:rsidRPr="00CE6440">
        <w:rPr>
          <w:rFonts w:eastAsia="Arial"/>
          <w:i/>
          <w:iCs/>
        </w:rPr>
        <w:t>comparison</w:t>
      </w:r>
      <w:proofErr w:type="spellEnd"/>
      <w:r w:rsidRPr="00E34C89">
        <w:rPr>
          <w:rFonts w:eastAsia="Arial"/>
        </w:rPr>
        <w:t>).</w:t>
      </w:r>
      <w:r>
        <w:rPr>
          <w:rFonts w:eastAsia="Arial"/>
        </w:rPr>
        <w:t xml:space="preserve"> </w:t>
      </w:r>
      <w:r w:rsidRPr="00E34C89">
        <w:rPr>
          <w:rFonts w:eastAsia="Arial"/>
        </w:rPr>
        <w:t xml:space="preserve">Nors paraiškos vertinimo metu atliekamas </w:t>
      </w:r>
      <w:proofErr w:type="spellStart"/>
      <w:r w:rsidRPr="00E34C89">
        <w:rPr>
          <w:rFonts w:eastAsia="Arial"/>
        </w:rPr>
        <w:t>nivolumabo</w:t>
      </w:r>
      <w:proofErr w:type="spellEnd"/>
      <w:r w:rsidRPr="00E34C89">
        <w:rPr>
          <w:rFonts w:eastAsia="Arial"/>
        </w:rPr>
        <w:t xml:space="preserve"> analogiškai terapinei indikacijai ir gydymo eilei vertinimas, </w:t>
      </w:r>
      <w:r>
        <w:rPr>
          <w:rFonts w:eastAsia="Arial"/>
        </w:rPr>
        <w:t>šis gydymas</w:t>
      </w:r>
      <w:r w:rsidRPr="00E34C89">
        <w:rPr>
          <w:rFonts w:eastAsia="Arial"/>
        </w:rPr>
        <w:t xml:space="preserve"> nėra</w:t>
      </w:r>
      <w:r>
        <w:rPr>
          <w:rFonts w:eastAsia="Arial"/>
        </w:rPr>
        <w:t xml:space="preserve"> laikomas</w:t>
      </w:r>
      <w:r w:rsidRPr="00E34C89">
        <w:rPr>
          <w:rFonts w:eastAsia="Arial"/>
        </w:rPr>
        <w:t xml:space="preserve"> įprasta klinikin</w:t>
      </w:r>
      <w:r>
        <w:rPr>
          <w:rFonts w:eastAsia="Arial"/>
        </w:rPr>
        <w:t>e</w:t>
      </w:r>
      <w:r w:rsidRPr="00E34C89">
        <w:rPr>
          <w:rFonts w:eastAsia="Arial"/>
        </w:rPr>
        <w:t xml:space="preserve"> praktika Lietuvoje, todėl šie netiesioginio palyginimo duomenys tik suteikia papildoma informaciją, tačiau nėra aktualūs klinikiniam vertinimui.</w:t>
      </w:r>
    </w:p>
    <w:p w14:paraId="5A65C057" w14:textId="77777777" w:rsidR="00DC5359" w:rsidRDefault="00DC5359" w:rsidP="00DC5359">
      <w:pPr>
        <w:widowControl w:val="0"/>
        <w:spacing w:line="276" w:lineRule="auto"/>
        <w:ind w:firstLine="7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Vertinant BI ir IBLP duomenis, statistiškai reikšmingo skirtumo tarp </w:t>
      </w:r>
      <w:proofErr w:type="spellStart"/>
      <w:r>
        <w:rPr>
          <w:rFonts w:eastAsia="Arial"/>
          <w:bCs/>
        </w:rPr>
        <w:t>tislelizumabo</w:t>
      </w:r>
      <w:proofErr w:type="spellEnd"/>
      <w:r>
        <w:rPr>
          <w:rFonts w:eastAsia="Arial"/>
          <w:bCs/>
        </w:rPr>
        <w:t xml:space="preserve"> ir </w:t>
      </w:r>
      <w:proofErr w:type="spellStart"/>
      <w:r>
        <w:rPr>
          <w:rFonts w:eastAsia="Arial"/>
          <w:bCs/>
        </w:rPr>
        <w:t>nivolumabo</w:t>
      </w:r>
      <w:proofErr w:type="spellEnd"/>
      <w:r>
        <w:rPr>
          <w:rFonts w:eastAsia="Arial"/>
          <w:bCs/>
        </w:rPr>
        <w:t xml:space="preserve"> nebuvo nustatyta. Panašūs rezultatai gauti visose </w:t>
      </w:r>
      <w:proofErr w:type="spellStart"/>
      <w:r>
        <w:rPr>
          <w:rFonts w:eastAsia="Arial"/>
          <w:bCs/>
        </w:rPr>
        <w:t>simuliacinėse</w:t>
      </w:r>
      <w:proofErr w:type="spellEnd"/>
      <w:r>
        <w:rPr>
          <w:rFonts w:eastAsia="Arial"/>
          <w:bCs/>
        </w:rPr>
        <w:t xml:space="preserve"> analizėse ir specifiniuose pacientų pogrupiuose (pagal pacientų funkcinę būklę ir navikų PD-L1 raišką).</w:t>
      </w:r>
    </w:p>
    <w:p w14:paraId="0C909DFA" w14:textId="77777777" w:rsidR="00DC5359" w:rsidRDefault="00DC5359" w:rsidP="00DC5359">
      <w:pPr>
        <w:widowControl w:val="0"/>
        <w:spacing w:line="276" w:lineRule="auto"/>
        <w:ind w:firstLine="720"/>
        <w:jc w:val="both"/>
        <w:rPr>
          <w:rFonts w:eastAsia="Arial"/>
          <w:bCs/>
        </w:rPr>
      </w:pPr>
    </w:p>
    <w:p w14:paraId="23D8F7B9" w14:textId="7808DA50" w:rsidR="00DC5359" w:rsidRDefault="00DC5359" w:rsidP="00DC5359">
      <w:pPr>
        <w:tabs>
          <w:tab w:val="left" w:pos="426"/>
        </w:tabs>
        <w:spacing w:line="276" w:lineRule="auto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Apibendrinant tiesioginio ir netiesioginio palyginimo analizėje pateiktus duomenis, </w:t>
      </w:r>
      <w:r w:rsidRPr="00E34C89">
        <w:rPr>
          <w:rFonts w:eastAsia="Arial"/>
        </w:rPr>
        <w:t>RATIONALE-302 tyrimo duomen</w:t>
      </w:r>
      <w:r>
        <w:rPr>
          <w:rFonts w:eastAsia="Arial"/>
        </w:rPr>
        <w:t>ų</w:t>
      </w:r>
      <w:r w:rsidRPr="00E34C89">
        <w:rPr>
          <w:rFonts w:eastAsia="Arial"/>
        </w:rPr>
        <w:t xml:space="preserve"> </w:t>
      </w:r>
      <w:r>
        <w:rPr>
          <w:rFonts w:eastAsia="Arial"/>
        </w:rPr>
        <w:t>pakanka įrodyti</w:t>
      </w:r>
      <w:r w:rsidRPr="00E34C89">
        <w:rPr>
          <w:rFonts w:eastAsia="Arial"/>
        </w:rPr>
        <w:t xml:space="preserve"> didesnę </w:t>
      </w:r>
      <w:proofErr w:type="spellStart"/>
      <w:r w:rsidRPr="00E34C89">
        <w:rPr>
          <w:rFonts w:eastAsia="Arial"/>
        </w:rPr>
        <w:t>tislelizumabo</w:t>
      </w:r>
      <w:proofErr w:type="spellEnd"/>
      <w:r w:rsidRPr="00E34C89">
        <w:rPr>
          <w:rFonts w:eastAsia="Arial"/>
        </w:rPr>
        <w:t xml:space="preserve"> naudą gydant pacientus, kuriems nustatyta</w:t>
      </w:r>
      <w:r>
        <w:rPr>
          <w:rFonts w:eastAsia="Arial"/>
        </w:rPr>
        <w:t xml:space="preserve"> anksčiau gydyta</w:t>
      </w:r>
      <w:r w:rsidRPr="00E34C89">
        <w:rPr>
          <w:rFonts w:eastAsia="Arial"/>
        </w:rPr>
        <w:t xml:space="preserve"> išplitusi </w:t>
      </w:r>
      <w:proofErr w:type="spellStart"/>
      <w:r w:rsidRPr="00E34C89">
        <w:rPr>
          <w:rFonts w:eastAsia="Arial"/>
        </w:rPr>
        <w:t>nerezekuotina</w:t>
      </w:r>
      <w:proofErr w:type="spellEnd"/>
      <w:r w:rsidRPr="00E34C89">
        <w:rPr>
          <w:rFonts w:eastAsia="Arial"/>
        </w:rPr>
        <w:t xml:space="preserve"> ar </w:t>
      </w:r>
      <w:proofErr w:type="spellStart"/>
      <w:r w:rsidRPr="00E34C89">
        <w:rPr>
          <w:rFonts w:eastAsia="Arial"/>
        </w:rPr>
        <w:t>metastazavusi</w:t>
      </w:r>
      <w:proofErr w:type="spellEnd"/>
      <w:r w:rsidRPr="00E34C89">
        <w:rPr>
          <w:rFonts w:eastAsia="Arial"/>
        </w:rPr>
        <w:t xml:space="preserve"> stemplės plokščiųjų ląstelių karcinom</w:t>
      </w:r>
      <w:r>
        <w:rPr>
          <w:rFonts w:eastAsia="Arial"/>
        </w:rPr>
        <w:t>a</w:t>
      </w:r>
      <w:r w:rsidRPr="00E34C89">
        <w:rPr>
          <w:rFonts w:eastAsia="Arial"/>
        </w:rPr>
        <w:t xml:space="preserve">, lyginant su </w:t>
      </w:r>
      <w:r>
        <w:rPr>
          <w:rFonts w:eastAsia="Arial"/>
        </w:rPr>
        <w:t xml:space="preserve">chemoterapija, o netiesioginio palyginimo duomenys įrodo iš esmės nesiskirianti </w:t>
      </w:r>
      <w:proofErr w:type="spellStart"/>
      <w:r>
        <w:rPr>
          <w:rFonts w:eastAsia="Arial"/>
        </w:rPr>
        <w:t>tislelizumabo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nivolumabo</w:t>
      </w:r>
      <w:proofErr w:type="spellEnd"/>
      <w:r>
        <w:rPr>
          <w:rFonts w:eastAsia="Arial"/>
        </w:rPr>
        <w:t xml:space="preserve"> efektyvumą šioje pacientų populiacijoje. Dėl šios priežasties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tislelizumabo</w:t>
      </w:r>
      <w:proofErr w:type="spellEnd"/>
      <w:r>
        <w:rPr>
          <w:rFonts w:eastAsia="Arial"/>
          <w:bCs/>
        </w:rPr>
        <w:t xml:space="preserve"> palyginamasis veiksmingumas vertinamas kaip didesnis, palyginus su įprastą klinikinę praktiką atitinkančia chemoterapija, ir iš esmės nesiskiriantis, lyginant su įprastą klinikinę praktiką atitinkančia </w:t>
      </w:r>
      <w:proofErr w:type="spellStart"/>
      <w:r>
        <w:rPr>
          <w:rFonts w:eastAsia="Arial"/>
          <w:bCs/>
        </w:rPr>
        <w:t>monoterapija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nivolumabu</w:t>
      </w:r>
      <w:proofErr w:type="spellEnd"/>
      <w:r>
        <w:rPr>
          <w:rFonts w:eastAsia="Arial"/>
          <w:bCs/>
        </w:rPr>
        <w:t>.</w:t>
      </w:r>
    </w:p>
    <w:p w14:paraId="06AC265A" w14:textId="77777777" w:rsidR="00DC5359" w:rsidRDefault="00DC5359">
      <w:pPr>
        <w:rPr>
          <w:rFonts w:eastAsia="Arial"/>
          <w:bCs/>
        </w:rPr>
      </w:pPr>
      <w:r>
        <w:rPr>
          <w:rFonts w:eastAsia="Arial"/>
          <w:bCs/>
        </w:rPr>
        <w:br w:type="page"/>
      </w:r>
    </w:p>
    <w:p w14:paraId="0A7CA11B" w14:textId="052FCCFD" w:rsidR="00AB6C7B" w:rsidRPr="00BF62C4" w:rsidRDefault="00CC7832" w:rsidP="00ED76EB">
      <w:pPr>
        <w:pStyle w:val="Sraopastraipa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BF62C4">
        <w:rPr>
          <w:b/>
          <w:bCs/>
          <w:caps/>
        </w:rPr>
        <w:lastRenderedPageBreak/>
        <w:t xml:space="preserve">ekonominio vertinimo </w:t>
      </w:r>
      <w:r w:rsidR="002F0E4F" w:rsidRPr="00BF62C4">
        <w:rPr>
          <w:b/>
          <w:bCs/>
          <w:caps/>
        </w:rPr>
        <w:t>apibendrinima</w:t>
      </w:r>
      <w:r w:rsidR="00DC5359" w:rsidRPr="00BF62C4">
        <w:rPr>
          <w:b/>
          <w:bCs/>
          <w:caps/>
        </w:rPr>
        <w:t>S</w:t>
      </w:r>
    </w:p>
    <w:p w14:paraId="15D7AD66" w14:textId="77777777" w:rsidR="00ED76EB" w:rsidRPr="00ED76EB" w:rsidRDefault="00ED76EB" w:rsidP="00ED76EB">
      <w:pPr>
        <w:tabs>
          <w:tab w:val="left" w:pos="567"/>
        </w:tabs>
        <w:spacing w:line="276" w:lineRule="auto"/>
        <w:rPr>
          <w:b/>
          <w:bCs/>
          <w:caps/>
          <w:highlight w:val="yellow"/>
        </w:rPr>
      </w:pPr>
    </w:p>
    <w:p w14:paraId="2360C50B" w14:textId="77777777" w:rsidR="00EC194E" w:rsidRPr="00F41C85" w:rsidRDefault="00EC194E" w:rsidP="00ED76EB">
      <w:pPr>
        <w:spacing w:line="276" w:lineRule="auto"/>
        <w:ind w:firstLine="360"/>
        <w:jc w:val="both"/>
      </w:pPr>
      <w:r>
        <w:t xml:space="preserve">Pareiškėjas kaštų analizei pateikia dvi analizes: kaštų naudingumo (KNA) ir kaštų mažinimo (KMA). KNA įtraukiami </w:t>
      </w:r>
      <w:proofErr w:type="spellStart"/>
      <w:r>
        <w:t>populiaciniai</w:t>
      </w:r>
      <w:proofErr w:type="spellEnd"/>
      <w:r>
        <w:t xml:space="preserve"> duomenys pagrįsti </w:t>
      </w:r>
      <w:r>
        <w:rPr>
          <w:rFonts w:eastAsia="Arial"/>
          <w:bCs/>
        </w:rPr>
        <w:t xml:space="preserve">RATIONALE-302 </w:t>
      </w:r>
      <w:r>
        <w:rPr>
          <w:lang w:eastAsia="nl-NL"/>
        </w:rPr>
        <w:t xml:space="preserve">klinikiniu tyrimu (ITT populiacija, </w:t>
      </w:r>
      <w:r>
        <w:rPr>
          <w:rFonts w:eastAsia="Arial"/>
          <w:bCs/>
        </w:rPr>
        <w:t xml:space="preserve">3 fazės, </w:t>
      </w:r>
      <w:proofErr w:type="spellStart"/>
      <w:r>
        <w:rPr>
          <w:rFonts w:eastAsia="Arial"/>
          <w:bCs/>
        </w:rPr>
        <w:t>daugiacentrinis</w:t>
      </w:r>
      <w:proofErr w:type="spellEnd"/>
      <w:r>
        <w:rPr>
          <w:rFonts w:eastAsia="Arial"/>
          <w:bCs/>
        </w:rPr>
        <w:t>, atsitiktini</w:t>
      </w:r>
      <w:r w:rsidRPr="00E82DAB">
        <w:rPr>
          <w:rFonts w:eastAsia="Arial"/>
          <w:bCs/>
        </w:rPr>
        <w:t xml:space="preserve">ų imčių </w:t>
      </w:r>
      <w:r>
        <w:rPr>
          <w:rFonts w:eastAsia="Arial"/>
          <w:bCs/>
        </w:rPr>
        <w:t xml:space="preserve">atviras (angl. </w:t>
      </w:r>
      <w:proofErr w:type="spellStart"/>
      <w:r>
        <w:rPr>
          <w:rFonts w:eastAsia="Arial"/>
          <w:bCs/>
          <w:i/>
          <w:iCs/>
        </w:rPr>
        <w:t>open</w:t>
      </w:r>
      <w:proofErr w:type="spellEnd"/>
      <w:r>
        <w:rPr>
          <w:rFonts w:eastAsia="Arial"/>
          <w:bCs/>
          <w:i/>
          <w:iCs/>
        </w:rPr>
        <w:t xml:space="preserve"> </w:t>
      </w:r>
      <w:proofErr w:type="spellStart"/>
      <w:r>
        <w:rPr>
          <w:rFonts w:eastAsia="Arial"/>
          <w:bCs/>
          <w:i/>
          <w:iCs/>
        </w:rPr>
        <w:t>label</w:t>
      </w:r>
      <w:proofErr w:type="spellEnd"/>
      <w:r>
        <w:rPr>
          <w:rFonts w:eastAsia="Arial"/>
          <w:bCs/>
        </w:rPr>
        <w:t>) tyrimas</w:t>
      </w:r>
      <w:r>
        <w:rPr>
          <w:lang w:eastAsia="nl-NL"/>
        </w:rPr>
        <w:t>) ir atitinka k</w:t>
      </w:r>
      <w:r>
        <w:t xml:space="preserve">ompensavimui teikiamą indikaciją: </w:t>
      </w:r>
      <w:proofErr w:type="spellStart"/>
      <w:r w:rsidRPr="00504C19">
        <w:t>neoperabilia</w:t>
      </w:r>
      <w:proofErr w:type="spellEnd"/>
      <w:r w:rsidRPr="00504C19">
        <w:t xml:space="preserve">, vietiškai išplitusia ar </w:t>
      </w:r>
      <w:proofErr w:type="spellStart"/>
      <w:r w:rsidRPr="00504C19">
        <w:t>metastazavusia</w:t>
      </w:r>
      <w:proofErr w:type="spellEnd"/>
      <w:r w:rsidRPr="00504C19">
        <w:t xml:space="preserve"> stemplės </w:t>
      </w:r>
      <w:proofErr w:type="spellStart"/>
      <w:r w:rsidRPr="00504C19">
        <w:t>plokščialąsteline</w:t>
      </w:r>
      <w:proofErr w:type="spellEnd"/>
      <w:r w:rsidRPr="00504C19">
        <w:t xml:space="preserve"> karcinoma sergančių suaugusių pacientų gydymui po anksčiau skirtos chemote</w:t>
      </w:r>
      <w:r>
        <w:t>rapijos su platinos preparatais (</w:t>
      </w:r>
      <w:r w:rsidRPr="00504C19">
        <w:t>TLK-10 AM kodas - C15</w:t>
      </w:r>
      <w:r>
        <w:t>)</w:t>
      </w:r>
      <w:r w:rsidRPr="00504C19">
        <w:t>.</w:t>
      </w:r>
      <w:r>
        <w:t xml:space="preserve"> Pareiškėjo pateikiamoje netiesioginio palyginimo analizėje (KMA lyginant su </w:t>
      </w:r>
      <w:proofErr w:type="spellStart"/>
      <w:r>
        <w:t>nivolumabu</w:t>
      </w:r>
      <w:proofErr w:type="spellEnd"/>
      <w:r>
        <w:t>), analizuojama populiacija taip pat atitinka kompensavimui teikiamą.</w:t>
      </w:r>
      <w:r w:rsidRPr="00196092">
        <w:rPr>
          <w:lang w:eastAsia="lt-LT"/>
        </w:rPr>
        <w:t xml:space="preserve"> </w:t>
      </w:r>
      <w:r>
        <w:rPr>
          <w:lang w:eastAsia="lt-LT"/>
        </w:rPr>
        <w:t>Klinikinei ir ekonominei daliai teikiami šaltiniai sutampa, į</w:t>
      </w:r>
      <w:r w:rsidRPr="0073329D">
        <w:rPr>
          <w:lang w:eastAsia="lt-LT"/>
        </w:rPr>
        <w:t xml:space="preserve"> ekonominę analizę įtraukti pacientai atitinka kompensacijai teikiamas terapines indikacijas</w:t>
      </w:r>
      <w:r>
        <w:rPr>
          <w:lang w:eastAsia="lt-LT"/>
        </w:rPr>
        <w:t>, laikoma, kad populiacija atitiktų gydomą Lietuvoje.</w:t>
      </w:r>
    </w:p>
    <w:p w14:paraId="5274066B" w14:textId="77777777" w:rsidR="00EC194E" w:rsidRPr="004503E9" w:rsidRDefault="00EC194E" w:rsidP="00EC194E">
      <w:pPr>
        <w:spacing w:line="276" w:lineRule="auto"/>
        <w:ind w:firstLine="360"/>
        <w:jc w:val="both"/>
        <w:rPr>
          <w:rFonts w:eastAsia="Arial"/>
        </w:rPr>
      </w:pPr>
      <w:r w:rsidRPr="001A5F98">
        <w:rPr>
          <w:bCs/>
          <w:iCs/>
          <w:lang w:eastAsia="lt-LT"/>
        </w:rPr>
        <w:t xml:space="preserve">Pagal </w:t>
      </w:r>
      <w:r w:rsidRPr="001A5F98">
        <w:rPr>
          <w:rFonts w:eastAsia="Arial"/>
          <w:color w:val="000000" w:themeColor="text1"/>
        </w:rPr>
        <w:t xml:space="preserve">Respublikos sveikatos apsaugos ministro 2000 m. sausio 28 d. įsakyme Nr. 49 </w:t>
      </w:r>
      <w:r w:rsidRPr="001A5F98">
        <w:rPr>
          <w:bCs/>
          <w:iCs/>
          <w:lang w:eastAsia="lt-LT"/>
        </w:rPr>
        <w:t xml:space="preserve"> „Dėl kompensuojamųjų vaistų sąrašų patvirtinimo“ pateiktą ligų ir kompensuojamųjų vaistų joms gydyti sąrašą </w:t>
      </w:r>
      <w:r w:rsidRPr="001A5F98">
        <w:rPr>
          <w:rFonts w:eastAsia="Arial"/>
          <w:color w:val="000000" w:themeColor="text1"/>
        </w:rPr>
        <w:t xml:space="preserve">palyginamasis gydymas </w:t>
      </w:r>
      <w:r w:rsidRPr="006010A5">
        <w:rPr>
          <w:rFonts w:eastAsia="Arial"/>
          <w:color w:val="000000" w:themeColor="text1"/>
        </w:rPr>
        <w:t>atitinka</w:t>
      </w:r>
      <w:r w:rsidRPr="001A5F98">
        <w:rPr>
          <w:rFonts w:eastAsia="Arial"/>
          <w:color w:val="000000" w:themeColor="text1"/>
        </w:rPr>
        <w:t xml:space="preserve"> Lietuvos Respublikos sveikatos apsaugos ministro 2002 m. balandžio 5 d. įsakymo Nr. V-159 „Dėl vaistinių preparatų ir medicinos pagalbos priemonių įrašymo į kompensavimo sąrašus ir jų keitimo tvarkos aprašo patvirtinimo“ 116.1 punk</w:t>
      </w:r>
      <w:r>
        <w:rPr>
          <w:rFonts w:eastAsia="Arial"/>
          <w:color w:val="000000" w:themeColor="text1"/>
        </w:rPr>
        <w:t>to</w:t>
      </w:r>
      <w:r w:rsidRPr="001A5F98">
        <w:rPr>
          <w:rFonts w:eastAsia="Arial"/>
          <w:color w:val="000000" w:themeColor="text1"/>
        </w:rPr>
        <w:t>, nes</w:t>
      </w:r>
      <w:r>
        <w:rPr>
          <w:rFonts w:eastAsia="Arial"/>
          <w:color w:val="000000" w:themeColor="text1"/>
        </w:rPr>
        <w:t xml:space="preserve"> </w:t>
      </w:r>
      <w:r w:rsidRPr="001F52ED">
        <w:rPr>
          <w:rFonts w:eastAsia="Arial"/>
          <w:bCs/>
          <w:color w:val="000000" w:themeColor="text1"/>
        </w:rPr>
        <w:t>stemplės karcinomos</w:t>
      </w:r>
      <w:r w:rsidRPr="001F52ED">
        <w:rPr>
          <w:rFonts w:eastAsia="Arial"/>
          <w:color w:val="000000" w:themeColor="text1"/>
        </w:rPr>
        <w:t xml:space="preserve"> antros eilės </w:t>
      </w:r>
      <w:r w:rsidRPr="001F52ED">
        <w:t>gydymas</w:t>
      </w:r>
      <w:r w:rsidRPr="001F52ED">
        <w:rPr>
          <w:bCs/>
        </w:rPr>
        <w:t xml:space="preserve"> chemoterapija </w:t>
      </w:r>
      <w:proofErr w:type="spellStart"/>
      <w:r w:rsidRPr="001F52ED">
        <w:rPr>
          <w:bCs/>
        </w:rPr>
        <w:t>taksanais</w:t>
      </w:r>
      <w:proofErr w:type="spellEnd"/>
      <w:r w:rsidRPr="001F52ED">
        <w:rPr>
          <w:bCs/>
        </w:rPr>
        <w:t xml:space="preserve">, </w:t>
      </w:r>
      <w:proofErr w:type="spellStart"/>
      <w:r w:rsidRPr="001F52ED">
        <w:rPr>
          <w:bCs/>
        </w:rPr>
        <w:t>irinotekanu</w:t>
      </w:r>
      <w:proofErr w:type="spellEnd"/>
      <w:r w:rsidRPr="001F52ED">
        <w:rPr>
          <w:bCs/>
        </w:rPr>
        <w:t xml:space="preserve"> ir/ar </w:t>
      </w:r>
      <w:proofErr w:type="spellStart"/>
      <w:r w:rsidRPr="001F52ED">
        <w:rPr>
          <w:bCs/>
        </w:rPr>
        <w:t>fluoropirimidinais</w:t>
      </w:r>
      <w:proofErr w:type="spellEnd"/>
      <w:r>
        <w:rPr>
          <w:b/>
          <w:bCs/>
        </w:rPr>
        <w:t xml:space="preserve"> </w:t>
      </w:r>
      <w:r w:rsidRPr="001A5F98">
        <w:t>yra</w:t>
      </w:r>
      <w:r w:rsidRPr="001A5F98">
        <w:rPr>
          <w:rFonts w:eastAsia="Arial"/>
          <w:color w:val="000000" w:themeColor="text1"/>
        </w:rPr>
        <w:t xml:space="preserve"> </w:t>
      </w:r>
      <w:r w:rsidRPr="00426102">
        <w:rPr>
          <w:rFonts w:eastAsia="Arial"/>
          <w:color w:val="000000" w:themeColor="text1"/>
        </w:rPr>
        <w:t>paraiškos vertinimo metu atitinkantis įprastą klinikinę praktiką ir pagrįstai laikomas atitinkančiu pripažintas</w:t>
      </w:r>
      <w:r>
        <w:rPr>
          <w:rFonts w:eastAsia="Arial"/>
          <w:color w:val="000000" w:themeColor="text1"/>
        </w:rPr>
        <w:t xml:space="preserve"> konkrečios ligos gydymo gaires</w:t>
      </w:r>
      <w:r w:rsidRPr="00426102">
        <w:rPr>
          <w:rFonts w:eastAsia="Arial"/>
          <w:color w:val="000000" w:themeColor="text1"/>
        </w:rPr>
        <w:t>.</w:t>
      </w:r>
      <w:r>
        <w:rPr>
          <w:rFonts w:eastAsia="Arial"/>
          <w:b/>
        </w:rPr>
        <w:t xml:space="preserve"> </w:t>
      </w:r>
      <w:r>
        <w:rPr>
          <w:rFonts w:eastAsia="Arial"/>
        </w:rPr>
        <w:t>Kadangi 2025 m. kovo 27 d. priimtas Kompensavimo komisijos sprendimas kompensuoti (įtraukti</w:t>
      </w:r>
      <w:r w:rsidRPr="00814037">
        <w:rPr>
          <w:color w:val="000000"/>
        </w:rPr>
        <w:t xml:space="preserve"> </w:t>
      </w:r>
      <w:r>
        <w:rPr>
          <w:color w:val="000000"/>
        </w:rPr>
        <w:t xml:space="preserve">rezervinį sąrašą) </w:t>
      </w:r>
      <w:proofErr w:type="spellStart"/>
      <w:r>
        <w:rPr>
          <w:bCs/>
          <w:color w:val="000000"/>
        </w:rPr>
        <w:t>nivolumabą</w:t>
      </w:r>
      <w:proofErr w:type="spellEnd"/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Opdivo</w:t>
      </w:r>
      <w:proofErr w:type="spellEnd"/>
      <w:r>
        <w:rPr>
          <w:bCs/>
          <w:color w:val="000000"/>
        </w:rPr>
        <w:t>) skirtą</w:t>
      </w:r>
      <w:r w:rsidRPr="00303912">
        <w:rPr>
          <w:rFonts w:eastAsia="Arial"/>
        </w:rPr>
        <w:t xml:space="preserve"> </w:t>
      </w:r>
      <w:r>
        <w:rPr>
          <w:rFonts w:eastAsia="Arial"/>
        </w:rPr>
        <w:t>tai pačiai indikacijai (</w:t>
      </w:r>
      <w:r w:rsidRPr="001D6A95">
        <w:rPr>
          <w:i/>
        </w:rPr>
        <w:t xml:space="preserve">suaugusių pacientų neoperuotinos pažengusios, atsinaujinusios arba </w:t>
      </w:r>
      <w:proofErr w:type="spellStart"/>
      <w:r w:rsidRPr="001D6A95">
        <w:rPr>
          <w:i/>
        </w:rPr>
        <w:t>metastazavusios</w:t>
      </w:r>
      <w:proofErr w:type="spellEnd"/>
      <w:r w:rsidRPr="001D6A95">
        <w:rPr>
          <w:i/>
        </w:rPr>
        <w:t xml:space="preserve"> stemplės plokščiųjų ląstelių karcinomos </w:t>
      </w:r>
      <w:proofErr w:type="spellStart"/>
      <w:r w:rsidRPr="001D6A95">
        <w:rPr>
          <w:i/>
        </w:rPr>
        <w:t>monoterapijai</w:t>
      </w:r>
      <w:proofErr w:type="spellEnd"/>
      <w:r w:rsidRPr="001D6A95">
        <w:rPr>
          <w:i/>
        </w:rPr>
        <w:t xml:space="preserve"> po chemoterapijos derinio </w:t>
      </w:r>
      <w:proofErr w:type="spellStart"/>
      <w:r w:rsidRPr="001D6A95">
        <w:rPr>
          <w:i/>
        </w:rPr>
        <w:t>fluoropirimidino</w:t>
      </w:r>
      <w:proofErr w:type="spellEnd"/>
      <w:r w:rsidRPr="001D6A95">
        <w:rPr>
          <w:i/>
        </w:rPr>
        <w:t xml:space="preserve"> ir platinos pagrindu</w:t>
      </w:r>
      <w:r>
        <w:t xml:space="preserve">) ir </w:t>
      </w:r>
      <w:r>
        <w:rPr>
          <w:rFonts w:eastAsia="Arial"/>
        </w:rPr>
        <w:t>Paraiškos vertinimo metu yra praėjęs 6 mėn. laikotarpis, kaip numatyta Kompensuojamųjų vaistinių preparatų Tvarkos aprašo 119 punkte („</w:t>
      </w:r>
      <w:r w:rsidRPr="001D6A95">
        <w:rPr>
          <w:i/>
          <w:color w:val="000000"/>
        </w:rPr>
        <w:t>Įprastą klinikinę praktiką atitinkantis</w:t>
      </w:r>
      <w:r w:rsidRPr="001D6A95">
        <w:rPr>
          <w:b/>
          <w:bCs/>
          <w:i/>
          <w:color w:val="000000"/>
        </w:rPr>
        <w:t> </w:t>
      </w:r>
      <w:r w:rsidRPr="001D6A95">
        <w:rPr>
          <w:i/>
          <w:color w:val="000000"/>
        </w:rPr>
        <w:t>palyginamasis gydymas apima vaistinius preparatus, dėl kurių Lietuvos Respublikoje daugiau kaip prieš 6 mėnesius (skaičiuojant nuo paraiškos pateikimo datos) yra priimtas sprendimas  juos</w:t>
      </w:r>
      <w:r w:rsidRPr="001D6A95">
        <w:rPr>
          <w:b/>
          <w:bCs/>
          <w:i/>
          <w:color w:val="000000"/>
        </w:rPr>
        <w:t> </w:t>
      </w:r>
      <w:r w:rsidRPr="001D6A95">
        <w:rPr>
          <w:i/>
          <w:color w:val="000000"/>
        </w:rPr>
        <w:t>kompensuoti ar įrašyti į Rezervinį vaistų sąrašą.</w:t>
      </w:r>
      <w:r>
        <w:rPr>
          <w:color w:val="000000"/>
        </w:rPr>
        <w:t>“)</w:t>
      </w:r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nivolumabas</w:t>
      </w:r>
      <w:proofErr w:type="spellEnd"/>
      <w:r>
        <w:rPr>
          <w:rFonts w:eastAsia="Arial"/>
        </w:rPr>
        <w:t xml:space="preserve"> yra laikomas tinkamu palyginamuoju. Kadangi, Pareiškėjas Tarnybai pateikė dvi analizes: kaštų naudingumo (</w:t>
      </w:r>
      <w:proofErr w:type="spellStart"/>
      <w:r>
        <w:rPr>
          <w:rFonts w:eastAsia="Arial"/>
        </w:rPr>
        <w:t>tislelizumabo</w:t>
      </w:r>
      <w:proofErr w:type="spellEnd"/>
      <w:r>
        <w:rPr>
          <w:rFonts w:eastAsia="Arial"/>
        </w:rPr>
        <w:t xml:space="preserve"> kaštų efektyvumą lyginant su standartiniu gydymu Lietuvoje (chemoterapija: </w:t>
      </w:r>
      <w:proofErr w:type="spellStart"/>
      <w:r>
        <w:rPr>
          <w:rFonts w:eastAsia="Arial"/>
        </w:rPr>
        <w:t>docetakselis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paklitakselis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irinotekanas</w:t>
      </w:r>
      <w:proofErr w:type="spellEnd"/>
      <w:r>
        <w:rPr>
          <w:rFonts w:eastAsia="Arial"/>
        </w:rPr>
        <w:t xml:space="preserve">)) ir kaštų mažinimo (lyginant su </w:t>
      </w:r>
      <w:proofErr w:type="spellStart"/>
      <w:r>
        <w:rPr>
          <w:rFonts w:eastAsia="Arial"/>
        </w:rPr>
        <w:t>nivolumabu</w:t>
      </w:r>
      <w:proofErr w:type="spellEnd"/>
      <w:r>
        <w:rPr>
          <w:rFonts w:eastAsia="Arial"/>
        </w:rPr>
        <w:t xml:space="preserve">), Tarnyba atlieka abiejų analizių </w:t>
      </w:r>
      <w:r w:rsidRPr="004503E9">
        <w:rPr>
          <w:rFonts w:eastAsia="Arial"/>
        </w:rPr>
        <w:t>vertinimą ir teikia bendrą išvadą ir rekomendacijas.</w:t>
      </w:r>
    </w:p>
    <w:p w14:paraId="69A97AE6" w14:textId="11C95FFF" w:rsidR="00EC194E" w:rsidRDefault="00EC194E" w:rsidP="00F55C09">
      <w:pPr>
        <w:spacing w:line="276" w:lineRule="auto"/>
        <w:ind w:firstLine="360"/>
        <w:jc w:val="both"/>
        <w:rPr>
          <w:lang w:eastAsia="lt-LT"/>
        </w:rPr>
      </w:pPr>
      <w:r w:rsidRPr="004503E9">
        <w:rPr>
          <w:rFonts w:eastAsia="Arial"/>
        </w:rPr>
        <w:t xml:space="preserve">KNA įtraukiami </w:t>
      </w:r>
      <w:proofErr w:type="spellStart"/>
      <w:r w:rsidRPr="004503E9">
        <w:rPr>
          <w:rFonts w:eastAsia="Arial"/>
        </w:rPr>
        <w:t>tislelizumabo</w:t>
      </w:r>
      <w:proofErr w:type="spellEnd"/>
      <w:r w:rsidRPr="004503E9">
        <w:rPr>
          <w:rFonts w:eastAsia="Arial"/>
        </w:rPr>
        <w:t xml:space="preserve"> ir chemoterapijos klinikiniai duomenys pagrįsti </w:t>
      </w:r>
      <w:r w:rsidRPr="004503E9">
        <w:rPr>
          <w:rFonts w:eastAsia="Arial"/>
          <w:bCs/>
        </w:rPr>
        <w:t xml:space="preserve">RATIONALE-302 </w:t>
      </w:r>
      <w:r w:rsidRPr="004503E9">
        <w:rPr>
          <w:lang w:eastAsia="nl-NL"/>
        </w:rPr>
        <w:t xml:space="preserve">klinikiniu tyrimu. Pagal pateiktus duomenis </w:t>
      </w:r>
      <w:r w:rsidRPr="004503E9">
        <w:rPr>
          <w:rFonts w:eastAsia="Arial"/>
        </w:rPr>
        <w:t xml:space="preserve">yra laikoma, kad </w:t>
      </w:r>
      <w:proofErr w:type="spellStart"/>
      <w:r w:rsidRPr="004503E9">
        <w:rPr>
          <w:rFonts w:eastAsia="Arial"/>
        </w:rPr>
        <w:t>tislelizumabo</w:t>
      </w:r>
      <w:proofErr w:type="spellEnd"/>
      <w:r w:rsidRPr="004503E9">
        <w:rPr>
          <w:rFonts w:eastAsia="Arial"/>
        </w:rPr>
        <w:t xml:space="preserve"> sveikatai sukuriama nauda lyginant su įprastine klinikine praktika yra didesnė (plačiau aprašyta vertinimo protokolo klinikinėje dalyje). </w:t>
      </w:r>
      <w:r w:rsidRPr="004503E9">
        <w:rPr>
          <w:bCs/>
        </w:rPr>
        <w:t xml:space="preserve">Pareiškėjo taikomas </w:t>
      </w:r>
      <w:r w:rsidRPr="004503E9">
        <w:t xml:space="preserve">padalintos kohortos išgyvenamumo trijų sveikatos būklių modelis yra plačiai taikomas sveikatos technologijų vertinimo praktikoje onkologinių ligų KNA modeliavimui ir yra tinkamas ir priimtinas. Ekonominėje analizėje duomenys </w:t>
      </w:r>
      <w:proofErr w:type="spellStart"/>
      <w:r w:rsidRPr="004503E9">
        <w:t>ekstrapoliuojami</w:t>
      </w:r>
      <w:proofErr w:type="spellEnd"/>
      <w:r w:rsidRPr="004503E9">
        <w:t xml:space="preserve"> po klinikinio tyrimo pabaigos (taikoma viso gyvenimo</w:t>
      </w:r>
      <w:r w:rsidRPr="008D0705">
        <w:t xml:space="preserve"> laiko perspektyva).</w:t>
      </w:r>
      <w:r>
        <w:t xml:space="preserve"> </w:t>
      </w:r>
      <w:r w:rsidRPr="00C448E0">
        <w:t xml:space="preserve">Literatūros duomenimis, santykinis penkerių metų išgyvenamumas pacientams, sergantiems </w:t>
      </w:r>
      <w:proofErr w:type="spellStart"/>
      <w:r w:rsidRPr="00C448E0">
        <w:t>metastazavusiu</w:t>
      </w:r>
      <w:proofErr w:type="spellEnd"/>
      <w:r w:rsidRPr="00C448E0">
        <w:t xml:space="preserve"> stemplės vėžiu siekia 10 arba mažiau proc. Tarnyba taiko 10 m. laiko perspektyvą kaip viso gyvenimo trukmę, atsižvelgiant į ESCC pacientų išgyvenamumą.</w:t>
      </w:r>
      <w:r>
        <w:t xml:space="preserve"> </w:t>
      </w:r>
      <w:r w:rsidRPr="00E41BBE">
        <w:t>Pareiškėjo klinikinių duomenų ekstrapoliacijai taikomą modeliavimą Tarnyba laiko tinkamu. Vertinant ilguoju laikotarpiu, klinikinių duomenų prognozės nėra pagrįstos</w:t>
      </w:r>
      <w:r>
        <w:t xml:space="preserve"> (ilgalaikiais išorės klinikiniais duomenimis </w:t>
      </w:r>
      <w:proofErr w:type="spellStart"/>
      <w:r>
        <w:t>nevaliduojamos</w:t>
      </w:r>
      <w:proofErr w:type="spellEnd"/>
      <w:r>
        <w:t>)</w:t>
      </w:r>
      <w:r w:rsidRPr="00E41BBE">
        <w:t xml:space="preserve">, tačiau laikoma, kad esminės įtakos galutiniam ekonominės analizės rezultatui taikomas modeliavimas neturės, kadangi taikant skirtingas </w:t>
      </w:r>
      <w:r>
        <w:t xml:space="preserve">(BI ir IBLP duomenų) </w:t>
      </w:r>
      <w:r w:rsidRPr="00E41BBE">
        <w:t xml:space="preserve">ekstrapoliacijas klinikinės baigtys varijuoja </w:t>
      </w:r>
      <w:r w:rsidRPr="00E41BBE">
        <w:lastRenderedPageBreak/>
        <w:t xml:space="preserve">ne ženkliai (nuo 0 iki 4 proc.). </w:t>
      </w:r>
      <w:proofErr w:type="spellStart"/>
      <w:r>
        <w:t>Tislelizumabo</w:t>
      </w:r>
      <w:proofErr w:type="spellEnd"/>
      <w:r>
        <w:t xml:space="preserve"> gydymo nutraukimo taisyklė nėra taikoma (remiantis </w:t>
      </w:r>
      <w:proofErr w:type="spellStart"/>
      <w:r>
        <w:t>SmPC</w:t>
      </w:r>
      <w:proofErr w:type="spellEnd"/>
      <w:r>
        <w:t>),</w:t>
      </w:r>
      <w:r w:rsidRPr="0019492B">
        <w:t xml:space="preserve"> Tarnyba įprastinėje atvejo analizėje</w:t>
      </w:r>
      <w:r>
        <w:t xml:space="preserve"> netaiko dozės praradimų, taikomas 100 proc. santykinis dozės intensyvumas, netaikomas buteliukų dalijimas</w:t>
      </w:r>
      <w:r w:rsidRPr="0019492B">
        <w:t xml:space="preserve"> todėl, kad Lietuvos klinikinės praktikos duomenys pagal fakt</w:t>
      </w:r>
      <w:r>
        <w:t xml:space="preserve">iškai gaunamas dozes nepateikti. Tarnyba, apskaičiuojant ICER, netaiko ligos sunkumo koeficiento pagal Jungtinės Karalystės metodiką, kadangi tai neatitinka Lietuvos teisės aktų. </w:t>
      </w:r>
      <w:proofErr w:type="spellStart"/>
      <w:r>
        <w:t>Tislelizumabo</w:t>
      </w:r>
      <w:proofErr w:type="spellEnd"/>
      <w:r>
        <w:t xml:space="preserve"> s</w:t>
      </w:r>
      <w:r w:rsidRPr="00D321C5">
        <w:t xml:space="preserve">veikatai sukuriama nauda buvo vertinama pagal su sveikata susijusią gyvenimo kokybę (angl. </w:t>
      </w:r>
      <w:proofErr w:type="spellStart"/>
      <w:r w:rsidRPr="00D321C5">
        <w:rPr>
          <w:i/>
          <w:iCs/>
        </w:rPr>
        <w:t>Health</w:t>
      </w:r>
      <w:proofErr w:type="spellEnd"/>
      <w:r w:rsidRPr="00D321C5">
        <w:rPr>
          <w:i/>
          <w:iCs/>
        </w:rPr>
        <w:t xml:space="preserve"> </w:t>
      </w:r>
      <w:proofErr w:type="spellStart"/>
      <w:r w:rsidRPr="00D321C5">
        <w:rPr>
          <w:i/>
          <w:iCs/>
        </w:rPr>
        <w:t>realated</w:t>
      </w:r>
      <w:proofErr w:type="spellEnd"/>
      <w:r w:rsidRPr="00D321C5">
        <w:rPr>
          <w:i/>
          <w:iCs/>
        </w:rPr>
        <w:t xml:space="preserve"> </w:t>
      </w:r>
      <w:proofErr w:type="spellStart"/>
      <w:r w:rsidRPr="00D321C5">
        <w:rPr>
          <w:i/>
          <w:iCs/>
        </w:rPr>
        <w:t>quality</w:t>
      </w:r>
      <w:proofErr w:type="spellEnd"/>
      <w:r w:rsidRPr="00D321C5">
        <w:rPr>
          <w:i/>
          <w:iCs/>
        </w:rPr>
        <w:t xml:space="preserve"> </w:t>
      </w:r>
      <w:proofErr w:type="spellStart"/>
      <w:r w:rsidRPr="00D321C5">
        <w:rPr>
          <w:i/>
          <w:iCs/>
        </w:rPr>
        <w:t>of</w:t>
      </w:r>
      <w:proofErr w:type="spellEnd"/>
      <w:r w:rsidRPr="00D321C5">
        <w:rPr>
          <w:i/>
          <w:iCs/>
        </w:rPr>
        <w:t xml:space="preserve"> </w:t>
      </w:r>
      <w:proofErr w:type="spellStart"/>
      <w:r w:rsidRPr="00D321C5">
        <w:rPr>
          <w:i/>
          <w:iCs/>
        </w:rPr>
        <w:t>life</w:t>
      </w:r>
      <w:proofErr w:type="spellEnd"/>
      <w:r w:rsidRPr="00D321C5">
        <w:rPr>
          <w:i/>
          <w:iCs/>
        </w:rPr>
        <w:t xml:space="preserve">, </w:t>
      </w:r>
      <w:proofErr w:type="spellStart"/>
      <w:r w:rsidRPr="00D321C5">
        <w:t>HRQoL</w:t>
      </w:r>
      <w:proofErr w:type="spellEnd"/>
      <w:r w:rsidRPr="00D321C5">
        <w:t xml:space="preserve">), kuri buvo įvertinta naudojant EQ-5D klausimyną, </w:t>
      </w:r>
      <w:r>
        <w:rPr>
          <w:rFonts w:eastAsia="Arial"/>
          <w:bCs/>
        </w:rPr>
        <w:t xml:space="preserve">RATIONALE-302 </w:t>
      </w:r>
      <w:r w:rsidRPr="00D321C5">
        <w:t>klinikinio tyrimo metu</w:t>
      </w:r>
      <w:r>
        <w:t xml:space="preserve">. </w:t>
      </w:r>
      <w:r w:rsidRPr="00E41BBE">
        <w:t xml:space="preserve">Tarnyba sutinka su Pareiškėjo taikomais gyvenimo kokybės įverčiais, kadangi jie yra grindžiami pagrindinio </w:t>
      </w:r>
      <w:proofErr w:type="spellStart"/>
      <w:r w:rsidRPr="00E41BBE">
        <w:t>tislelizumabo</w:t>
      </w:r>
      <w:proofErr w:type="spellEnd"/>
      <w:r w:rsidRPr="00E41BBE">
        <w:t xml:space="preserve"> klinikinio tyrimo duomenimis. Įprastinėje atvejo analizėje Tarnyba taiko gyvenimo kokybės įverčius nespecifiškus gydymui ir priklausomus nuo ligos progreso (sveikatos būklei iki ligos progreso ir progresavusios ligos).</w:t>
      </w:r>
      <w:r>
        <w:t xml:space="preserve"> </w:t>
      </w:r>
      <w:r w:rsidRPr="00B408C6">
        <w:t>Analizė atlikta iš PSDF biudžeto perspektyvos, įtraukti tiesiogiai su sveikatos sistema susiję kaštai. Tai atitinka teisės aktuose nustatytus paraiškos r</w:t>
      </w:r>
      <w:r>
        <w:t xml:space="preserve">engimo taisyklių reikalavimus. </w:t>
      </w:r>
      <w:r w:rsidRPr="00BF426F">
        <w:t xml:space="preserve">Tarnyba atnaujino kaštus pagal 2025 m. II </w:t>
      </w:r>
      <w:proofErr w:type="spellStart"/>
      <w:r w:rsidRPr="00BF426F">
        <w:t>pusm</w:t>
      </w:r>
      <w:proofErr w:type="spellEnd"/>
      <w:r w:rsidRPr="00BF426F">
        <w:t xml:space="preserve">. įkainius. </w:t>
      </w:r>
      <w:r w:rsidRPr="00BF426F">
        <w:rPr>
          <w:rFonts w:eastAsia="Arial"/>
        </w:rPr>
        <w:t xml:space="preserve">Iš KNA gautų rezultatų matyti, kad </w:t>
      </w:r>
      <w:proofErr w:type="spellStart"/>
      <w:r w:rsidRPr="00BF426F">
        <w:rPr>
          <w:rFonts w:eastAsia="Arial"/>
        </w:rPr>
        <w:t>tislelizumabą</w:t>
      </w:r>
      <w:proofErr w:type="spellEnd"/>
      <w:r w:rsidRPr="00BF426F">
        <w:rPr>
          <w:rFonts w:eastAsia="Arial"/>
        </w:rPr>
        <w:t xml:space="preserve"> lyginant su įprastiniu gydymu (chemoterapija: </w:t>
      </w:r>
      <w:proofErr w:type="spellStart"/>
      <w:r w:rsidRPr="00BF426F">
        <w:rPr>
          <w:rFonts w:eastAsia="Arial"/>
        </w:rPr>
        <w:t>docetakseliu</w:t>
      </w:r>
      <w:proofErr w:type="spellEnd"/>
      <w:r w:rsidRPr="00BF426F">
        <w:rPr>
          <w:rFonts w:eastAsia="Arial"/>
        </w:rPr>
        <w:t>/</w:t>
      </w:r>
      <w:proofErr w:type="spellStart"/>
      <w:r w:rsidRPr="00BF426F">
        <w:rPr>
          <w:rFonts w:eastAsia="Arial"/>
        </w:rPr>
        <w:t>paklitakseliu</w:t>
      </w:r>
      <w:proofErr w:type="spellEnd"/>
      <w:r w:rsidRPr="00BF426F">
        <w:rPr>
          <w:rFonts w:eastAsia="Arial"/>
        </w:rPr>
        <w:t>/</w:t>
      </w:r>
      <w:proofErr w:type="spellStart"/>
      <w:r w:rsidRPr="00BF426F">
        <w:rPr>
          <w:rFonts w:eastAsia="Arial"/>
        </w:rPr>
        <w:t>irinotekanu</w:t>
      </w:r>
      <w:proofErr w:type="spellEnd"/>
      <w:r w:rsidRPr="00BF426F">
        <w:rPr>
          <w:rFonts w:eastAsia="Arial"/>
        </w:rPr>
        <w:t>) sveikatai sukuriama papildoma nauda (</w:t>
      </w:r>
      <w:proofErr w:type="spellStart"/>
      <w:r w:rsidRPr="00BF426F">
        <w:rPr>
          <w:rFonts w:eastAsia="Arial"/>
        </w:rPr>
        <w:t>inkrementiniai</w:t>
      </w:r>
      <w:proofErr w:type="spellEnd"/>
      <w:r w:rsidRPr="00BF426F">
        <w:rPr>
          <w:rFonts w:eastAsia="Arial"/>
        </w:rPr>
        <w:t xml:space="preserve"> QALYS) – </w:t>
      </w:r>
      <w:r w:rsidR="00D224A1">
        <w:rPr>
          <w:rFonts w:eastAsia="Arial"/>
        </w:rPr>
        <w:t>***</w:t>
      </w:r>
      <w:r w:rsidRPr="00BF426F">
        <w:rPr>
          <w:rFonts w:eastAsia="Arial"/>
        </w:rPr>
        <w:t xml:space="preserve">, </w:t>
      </w:r>
      <w:r w:rsidRPr="00BF426F">
        <w:t xml:space="preserve">o gydymo </w:t>
      </w:r>
      <w:proofErr w:type="spellStart"/>
      <w:r w:rsidRPr="00BF426F">
        <w:t>tislelizumabu</w:t>
      </w:r>
      <w:proofErr w:type="spellEnd"/>
      <w:r w:rsidRPr="00BF426F">
        <w:t xml:space="preserve"> kaštai yra </w:t>
      </w:r>
      <w:r w:rsidR="00FF42F4">
        <w:rPr>
          <w:color w:val="000000"/>
        </w:rPr>
        <w:t>***</w:t>
      </w:r>
      <w:r w:rsidRPr="00BF426F">
        <w:rPr>
          <w:b/>
          <w:color w:val="000000"/>
        </w:rPr>
        <w:t xml:space="preserve"> </w:t>
      </w:r>
      <w:r w:rsidRPr="00BF426F">
        <w:rPr>
          <w:lang w:eastAsia="lt-LT"/>
        </w:rPr>
        <w:t xml:space="preserve">Eur. </w:t>
      </w:r>
      <w:r w:rsidRPr="00BF426F">
        <w:t>didesni nei standartinio šiuo metu Lietuvoje taikomo gydymo.</w:t>
      </w:r>
      <w:r w:rsidRPr="00BF426F">
        <w:rPr>
          <w:lang w:eastAsia="lt-LT"/>
        </w:rPr>
        <w:t xml:space="preserve"> Apskaičiuotas ICER – </w:t>
      </w:r>
      <w:r w:rsidR="00FF42F4">
        <w:rPr>
          <w:color w:val="000000"/>
        </w:rPr>
        <w:t>***</w:t>
      </w:r>
      <w:r w:rsidRPr="00BF426F">
        <w:rPr>
          <w:color w:val="000000"/>
        </w:rPr>
        <w:t xml:space="preserve"> Eur./QALY</w:t>
      </w:r>
      <w:r w:rsidRPr="00BF426F">
        <w:rPr>
          <w:color w:val="000000"/>
          <w:lang w:eastAsia="lt-LT"/>
        </w:rPr>
        <w:t xml:space="preserve"> (lentelė 15.1.1) </w:t>
      </w:r>
      <w:r w:rsidRPr="00BF426F">
        <w:rPr>
          <w:lang w:eastAsia="lt-LT"/>
        </w:rPr>
        <w:t>atitinka sunkiai ligos naštai taikomą referencinę kaštų naudingumo vertę.</w:t>
      </w:r>
    </w:p>
    <w:p w14:paraId="70CEB36C" w14:textId="77777777" w:rsidR="00F55C09" w:rsidRPr="0024319B" w:rsidRDefault="00F55C09" w:rsidP="00F55C09">
      <w:pPr>
        <w:tabs>
          <w:tab w:val="left" w:pos="426"/>
        </w:tabs>
        <w:jc w:val="center"/>
        <w:rPr>
          <w:b/>
          <w:lang w:eastAsia="lt-LT"/>
        </w:rPr>
      </w:pPr>
      <w:r w:rsidRPr="0024319B">
        <w:rPr>
          <w:b/>
          <w:lang w:eastAsia="lt-LT"/>
        </w:rPr>
        <w:t>Ekonominės analizės rezultatas</w:t>
      </w:r>
    </w:p>
    <w:p w14:paraId="44C63A7C" w14:textId="77777777" w:rsidR="00F55C09" w:rsidRPr="0024319B" w:rsidRDefault="00F55C09" w:rsidP="00F55C09">
      <w:pPr>
        <w:tabs>
          <w:tab w:val="left" w:pos="426"/>
        </w:tabs>
        <w:rPr>
          <w:b/>
          <w:lang w:eastAsia="lt-LT"/>
        </w:rPr>
      </w:pPr>
    </w:p>
    <w:tbl>
      <w:tblPr>
        <w:tblStyle w:val="Lentelstinklelis1"/>
        <w:tblW w:w="9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00"/>
        <w:gridCol w:w="3239"/>
      </w:tblGrid>
      <w:tr w:rsidR="00F55C09" w:rsidRPr="0024319B" w14:paraId="3C1330C7" w14:textId="77777777" w:rsidTr="00943136">
        <w:trPr>
          <w:trHeight w:val="344"/>
          <w:jc w:val="center"/>
        </w:trPr>
        <w:tc>
          <w:tcPr>
            <w:tcW w:w="94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E7174" w14:textId="77777777" w:rsidR="00F55C09" w:rsidRPr="0024319B" w:rsidRDefault="00F55C09" w:rsidP="00943136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24319B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F55C09" w:rsidRPr="0024319B" w14:paraId="55298F02" w14:textId="77777777" w:rsidTr="00943136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474320A1" w14:textId="77777777" w:rsidR="00F55C09" w:rsidRPr="0024319B" w:rsidRDefault="00F55C09" w:rsidP="00943136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Kaštų skirtumas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75478E43" w14:textId="794B0536" w:rsidR="00F55C09" w:rsidRPr="00F55C09" w:rsidRDefault="00D10406" w:rsidP="00943136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color w:val="000000"/>
              </w:rPr>
              <w:t>***</w:t>
            </w:r>
            <w:r w:rsidR="00F55C09" w:rsidRPr="00F55C09">
              <w:rPr>
                <w:color w:val="000000"/>
              </w:rPr>
              <w:t xml:space="preserve"> Eur</w:t>
            </w:r>
            <w:r w:rsidR="00F55C09">
              <w:rPr>
                <w:color w:val="000000"/>
              </w:rPr>
              <w:t>.</w:t>
            </w:r>
          </w:p>
        </w:tc>
      </w:tr>
      <w:tr w:rsidR="00D224A1" w:rsidRPr="0024319B" w14:paraId="468010C2" w14:textId="77777777" w:rsidTr="00943136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36602482" w14:textId="77777777" w:rsidR="00D224A1" w:rsidRPr="0024319B" w:rsidRDefault="00D224A1" w:rsidP="00D224A1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Papildomi gyvenimo metai (LY)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21654E78" w14:textId="76267CA9" w:rsidR="00D224A1" w:rsidRPr="00F55C09" w:rsidRDefault="00D224A1" w:rsidP="00D224A1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 w:rsidRPr="001A6452">
              <w:rPr>
                <w:rFonts w:eastAsia="Arial"/>
              </w:rPr>
              <w:t>***</w:t>
            </w:r>
          </w:p>
        </w:tc>
      </w:tr>
      <w:tr w:rsidR="00D224A1" w:rsidRPr="0024319B" w14:paraId="42FA4495" w14:textId="77777777" w:rsidTr="00943136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3A0FC109" w14:textId="77777777" w:rsidR="00D224A1" w:rsidRPr="0024319B" w:rsidRDefault="00D224A1" w:rsidP="00D224A1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Papildomi kokybiški gyvenimo metai (QALY)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096D58F4" w14:textId="59284DB5" w:rsidR="00D224A1" w:rsidRPr="00F55C09" w:rsidRDefault="00D224A1" w:rsidP="00D224A1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 w:rsidRPr="001A6452">
              <w:rPr>
                <w:rFonts w:eastAsia="Arial"/>
              </w:rPr>
              <w:t>***</w:t>
            </w:r>
          </w:p>
        </w:tc>
      </w:tr>
      <w:tr w:rsidR="00F55C09" w:rsidRPr="0024319B" w14:paraId="0D713F1A" w14:textId="77777777" w:rsidTr="00814AAD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1625EDF6" w14:textId="77777777" w:rsidR="00F55C09" w:rsidRPr="0024319B" w:rsidRDefault="00F55C09" w:rsidP="00F55C09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ICER už LY</w:t>
            </w:r>
          </w:p>
        </w:tc>
        <w:tc>
          <w:tcPr>
            <w:tcW w:w="3239" w:type="dxa"/>
            <w:tcBorders>
              <w:right w:val="single" w:sz="4" w:space="0" w:color="auto"/>
            </w:tcBorders>
            <w:vAlign w:val="bottom"/>
          </w:tcPr>
          <w:p w14:paraId="4826A413" w14:textId="2F5CFE35" w:rsidR="00F55C09" w:rsidRPr="00F55C09" w:rsidRDefault="00FF42F4" w:rsidP="00F55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*** </w:t>
            </w:r>
            <w:r w:rsidR="00F55C09" w:rsidRPr="00F55C09">
              <w:rPr>
                <w:color w:val="000000"/>
              </w:rPr>
              <w:t>Eur./LY</w:t>
            </w:r>
          </w:p>
        </w:tc>
      </w:tr>
      <w:tr w:rsidR="00F55C09" w:rsidRPr="0024319B" w14:paraId="7EDA18A0" w14:textId="77777777" w:rsidTr="00943136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4C8E85E3" w14:textId="77777777" w:rsidR="00F55C09" w:rsidRPr="0024319B" w:rsidRDefault="00F55C09" w:rsidP="00F55C09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ICER už QALY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12B32D35" w14:textId="427BA559" w:rsidR="00F55C09" w:rsidRPr="00F55C09" w:rsidRDefault="00FF42F4" w:rsidP="00F55C09">
            <w:pPr>
              <w:tabs>
                <w:tab w:val="left" w:pos="567"/>
              </w:tabs>
              <w:jc w:val="both"/>
              <w:rPr>
                <w:b/>
                <w:iCs/>
                <w:lang w:eastAsia="lt-LT"/>
              </w:rPr>
            </w:pPr>
            <w:r>
              <w:rPr>
                <w:b/>
                <w:color w:val="000000"/>
                <w:lang w:val="en-US"/>
              </w:rPr>
              <w:t>***</w:t>
            </w:r>
            <w:r w:rsidR="00F55C09" w:rsidRPr="00F55C09">
              <w:rPr>
                <w:b/>
                <w:color w:val="000000"/>
              </w:rPr>
              <w:t xml:space="preserve"> Eur./QALY</w:t>
            </w:r>
          </w:p>
        </w:tc>
      </w:tr>
      <w:tr w:rsidR="00F55C09" w:rsidRPr="0024319B" w14:paraId="23D1A0EB" w14:textId="77777777" w:rsidTr="00943136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22E" w14:textId="77777777" w:rsidR="00F55C09" w:rsidRPr="0024319B" w:rsidRDefault="00F55C09" w:rsidP="00F55C09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24319B">
              <w:rPr>
                <w:iCs/>
                <w:lang w:eastAsia="lt-LT"/>
              </w:rPr>
              <w:t>Referentinė kaštų naudingumo vertė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285" w14:textId="41D10D47" w:rsidR="00F55C09" w:rsidRPr="00F55C09" w:rsidRDefault="00D224A1" w:rsidP="00F55C09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rFonts w:eastAsia="Arial"/>
              </w:rPr>
              <w:t>***</w:t>
            </w:r>
            <w:r w:rsidR="00F55C09" w:rsidRPr="00F55C09">
              <w:rPr>
                <w:color w:val="000000"/>
              </w:rPr>
              <w:t xml:space="preserve"> Eur.</w:t>
            </w:r>
          </w:p>
        </w:tc>
      </w:tr>
    </w:tbl>
    <w:p w14:paraId="3C1720BA" w14:textId="77777777" w:rsidR="00F55C09" w:rsidRPr="0024319B" w:rsidRDefault="00F55C09" w:rsidP="00F55C09">
      <w:pPr>
        <w:tabs>
          <w:tab w:val="left" w:pos="567"/>
        </w:tabs>
        <w:jc w:val="both"/>
        <w:rPr>
          <w:iCs/>
          <w:sz w:val="20"/>
          <w:lang w:eastAsia="lt-LT"/>
        </w:rPr>
      </w:pPr>
      <w:r w:rsidRPr="0024319B">
        <w:rPr>
          <w:iCs/>
          <w:sz w:val="20"/>
          <w:lang w:eastAsia="lt-LT"/>
        </w:rPr>
        <w:t>ICER – (</w:t>
      </w:r>
      <w:r w:rsidRPr="0024319B">
        <w:rPr>
          <w:i/>
          <w:sz w:val="20"/>
          <w:lang w:eastAsia="lt-LT"/>
        </w:rPr>
        <w:t xml:space="preserve">angl. </w:t>
      </w:r>
      <w:proofErr w:type="spellStart"/>
      <w:r w:rsidRPr="0024319B">
        <w:rPr>
          <w:i/>
          <w:sz w:val="20"/>
          <w:lang w:eastAsia="lt-LT"/>
        </w:rPr>
        <w:t>incremental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cost-effectiveness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ratio</w:t>
      </w:r>
      <w:proofErr w:type="spellEnd"/>
      <w:r w:rsidRPr="0024319B">
        <w:rPr>
          <w:iCs/>
          <w:sz w:val="20"/>
          <w:lang w:eastAsia="lt-LT"/>
        </w:rPr>
        <w:t xml:space="preserve">) </w:t>
      </w:r>
      <w:proofErr w:type="spellStart"/>
      <w:r w:rsidRPr="0024319B">
        <w:rPr>
          <w:iCs/>
          <w:sz w:val="20"/>
          <w:lang w:eastAsia="lt-LT"/>
        </w:rPr>
        <w:t>inkrementinis</w:t>
      </w:r>
      <w:proofErr w:type="spellEnd"/>
      <w:r w:rsidRPr="0024319B">
        <w:rPr>
          <w:iCs/>
          <w:sz w:val="20"/>
          <w:lang w:eastAsia="lt-LT"/>
        </w:rPr>
        <w:t xml:space="preserve"> kaštų naudingumo koeficientas; LY – (</w:t>
      </w:r>
      <w:r w:rsidRPr="0024319B">
        <w:rPr>
          <w:i/>
          <w:sz w:val="20"/>
          <w:lang w:eastAsia="lt-LT"/>
        </w:rPr>
        <w:t xml:space="preserve">angl. </w:t>
      </w:r>
      <w:proofErr w:type="spellStart"/>
      <w:r w:rsidRPr="0024319B">
        <w:rPr>
          <w:i/>
          <w:sz w:val="20"/>
          <w:lang w:eastAsia="lt-LT"/>
        </w:rPr>
        <w:t>life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years</w:t>
      </w:r>
      <w:proofErr w:type="spellEnd"/>
      <w:r w:rsidRPr="0024319B">
        <w:rPr>
          <w:iCs/>
          <w:sz w:val="20"/>
          <w:lang w:eastAsia="lt-LT"/>
        </w:rPr>
        <w:t>) gyvenimo metai; QALY- (</w:t>
      </w:r>
      <w:r w:rsidRPr="0024319B">
        <w:rPr>
          <w:i/>
          <w:sz w:val="20"/>
          <w:lang w:eastAsia="lt-LT"/>
        </w:rPr>
        <w:t xml:space="preserve">angl. </w:t>
      </w:r>
      <w:proofErr w:type="spellStart"/>
      <w:r w:rsidRPr="0024319B">
        <w:rPr>
          <w:i/>
          <w:sz w:val="20"/>
          <w:lang w:eastAsia="lt-LT"/>
        </w:rPr>
        <w:t>quality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adjusted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life</w:t>
      </w:r>
      <w:proofErr w:type="spellEnd"/>
      <w:r w:rsidRPr="0024319B">
        <w:rPr>
          <w:i/>
          <w:sz w:val="20"/>
          <w:lang w:eastAsia="lt-LT"/>
        </w:rPr>
        <w:t xml:space="preserve"> </w:t>
      </w:r>
      <w:proofErr w:type="spellStart"/>
      <w:r w:rsidRPr="0024319B">
        <w:rPr>
          <w:i/>
          <w:sz w:val="20"/>
          <w:lang w:eastAsia="lt-LT"/>
        </w:rPr>
        <w:t>years</w:t>
      </w:r>
      <w:proofErr w:type="spellEnd"/>
      <w:r w:rsidRPr="0024319B">
        <w:rPr>
          <w:i/>
          <w:sz w:val="20"/>
          <w:lang w:eastAsia="lt-LT"/>
        </w:rPr>
        <w:t xml:space="preserve">) </w:t>
      </w:r>
      <w:r w:rsidRPr="0024319B">
        <w:rPr>
          <w:iCs/>
          <w:sz w:val="20"/>
          <w:lang w:eastAsia="lt-LT"/>
        </w:rPr>
        <w:t>kokybiški gyvenimo metai.</w:t>
      </w:r>
    </w:p>
    <w:p w14:paraId="622B88E7" w14:textId="0CD33D6A" w:rsidR="00EC194E" w:rsidRPr="004503E9" w:rsidRDefault="00EC194E" w:rsidP="00ED76EB">
      <w:pPr>
        <w:spacing w:line="276" w:lineRule="auto"/>
        <w:jc w:val="both"/>
      </w:pPr>
    </w:p>
    <w:p w14:paraId="20D24419" w14:textId="5D222DBA" w:rsidR="00EC194E" w:rsidRDefault="00EC194E" w:rsidP="00EC194E">
      <w:pPr>
        <w:spacing w:line="276" w:lineRule="auto"/>
        <w:ind w:firstLine="360"/>
        <w:jc w:val="both"/>
        <w:rPr>
          <w:rFonts w:eastAsia="Arial"/>
        </w:rPr>
      </w:pPr>
      <w:r w:rsidRPr="00B041CA">
        <w:rPr>
          <w:rFonts w:eastAsia="Arial"/>
        </w:rPr>
        <w:t xml:space="preserve">Pareiškėjas pateikė netiesioginio palyginimo duomenis pagal kuriuos </w:t>
      </w:r>
      <w:proofErr w:type="spellStart"/>
      <w:r w:rsidRPr="00B041CA">
        <w:rPr>
          <w:rFonts w:eastAsia="Arial"/>
        </w:rPr>
        <w:t>tislelizumabo</w:t>
      </w:r>
      <w:proofErr w:type="spellEnd"/>
      <w:r w:rsidRPr="00B041CA">
        <w:rPr>
          <w:rFonts w:eastAsia="Arial"/>
        </w:rPr>
        <w:t xml:space="preserve"> ir </w:t>
      </w:r>
      <w:proofErr w:type="spellStart"/>
      <w:r w:rsidRPr="00B041CA">
        <w:rPr>
          <w:rFonts w:eastAsia="Arial"/>
        </w:rPr>
        <w:t>nivolumabo</w:t>
      </w:r>
      <w:proofErr w:type="spellEnd"/>
      <w:r w:rsidRPr="00B041CA">
        <w:rPr>
          <w:rFonts w:eastAsia="Arial"/>
        </w:rPr>
        <w:t xml:space="preserve"> sveikatai sukuriama nauda yra laikoma panašia. Remiantis Kompensuojamųjų vaistinių preparatų Tvarkos aprašo yra atliekama kaštų mažinimo analizė.</w:t>
      </w:r>
      <w:r>
        <w:rPr>
          <w:rFonts w:eastAsia="Arial"/>
        </w:rPr>
        <w:t xml:space="preserve"> Pareiškėjo</w:t>
      </w:r>
      <w:r w:rsidRPr="00B041CA">
        <w:rPr>
          <w:rFonts w:eastAsia="Arial"/>
        </w:rPr>
        <w:t xml:space="preserve"> teikiama KMA apima vienerių metų laikotarpį ir yra įtraukiami tik vaistinių preparatų įsigijimo ir skyrimo </w:t>
      </w:r>
      <w:r w:rsidRPr="001A7673">
        <w:rPr>
          <w:rFonts w:eastAsia="Arial"/>
        </w:rPr>
        <w:t xml:space="preserve">kaštai. Tarnyba sutinka, atsižvelgiant, kad sveikatai sukuriama nauda yra panaši, </w:t>
      </w:r>
      <w:proofErr w:type="spellStart"/>
      <w:r w:rsidRPr="001A7673">
        <w:rPr>
          <w:rFonts w:eastAsia="Arial"/>
        </w:rPr>
        <w:t>t.y</w:t>
      </w:r>
      <w:proofErr w:type="spellEnd"/>
      <w:r w:rsidRPr="001A7673">
        <w:rPr>
          <w:rFonts w:eastAsia="Arial"/>
        </w:rPr>
        <w:t xml:space="preserve">. sveikatos būklių kaštai laikomi panašiais, saugumo profilis panašus. Pirmieji ir sekančiai skyrimo metai (dozavimas) nesiskiria. Kadangi skiriasi VP dozavimo dažnis, KMA apima skyrimo kaštus. </w:t>
      </w:r>
      <w:r>
        <w:rPr>
          <w:rFonts w:eastAsia="Arial"/>
        </w:rPr>
        <w:t xml:space="preserve">KMA analizėje taikoma </w:t>
      </w:r>
      <w:proofErr w:type="spellStart"/>
      <w:r>
        <w:rPr>
          <w:rFonts w:eastAsia="Arial"/>
        </w:rPr>
        <w:t>tisleli</w:t>
      </w:r>
      <w:r w:rsidRPr="001A7673">
        <w:rPr>
          <w:rFonts w:eastAsia="Arial"/>
        </w:rPr>
        <w:t>zumabo</w:t>
      </w:r>
      <w:proofErr w:type="spellEnd"/>
      <w:r w:rsidRPr="001A7673">
        <w:rPr>
          <w:rFonts w:eastAsia="Arial"/>
        </w:rPr>
        <w:t xml:space="preserve"> teikiama kaina (</w:t>
      </w:r>
      <w:r w:rsidRPr="001A7673">
        <w:t xml:space="preserve">100 mg koncentratas infuziniam tirpalui 10 ml buteliukas, N1) - </w:t>
      </w:r>
      <w:r w:rsidR="0047179B">
        <w:t>***</w:t>
      </w:r>
      <w:r w:rsidRPr="001A7673">
        <w:t xml:space="preserve"> Eur. ir bazinė </w:t>
      </w:r>
      <w:proofErr w:type="spellStart"/>
      <w:r w:rsidRPr="001A7673">
        <w:t>nivolumabo</w:t>
      </w:r>
      <w:proofErr w:type="spellEnd"/>
      <w:r w:rsidRPr="001A7673">
        <w:t xml:space="preserve"> kainyno kaina. VP dozavimas taikomas remiantis numatytu </w:t>
      </w:r>
      <w:proofErr w:type="spellStart"/>
      <w:r w:rsidRPr="001A7673">
        <w:t>SmPC</w:t>
      </w:r>
      <w:proofErr w:type="spellEnd"/>
      <w:r w:rsidRPr="001A7673">
        <w:t xml:space="preserve"> ir </w:t>
      </w:r>
      <w:r>
        <w:t>taikytu klinikinių tyrimų metu.</w:t>
      </w:r>
      <w:r>
        <w:rPr>
          <w:rFonts w:eastAsia="Arial"/>
        </w:rPr>
        <w:t xml:space="preserve"> Tarnyba sutinka su Pareiškėjo taikomomis KMA prielaidomis ir atnaujina KMA </w:t>
      </w:r>
      <w:proofErr w:type="spellStart"/>
      <w:r>
        <w:rPr>
          <w:rFonts w:eastAsia="Arial"/>
        </w:rPr>
        <w:t>nivolumabo</w:t>
      </w:r>
      <w:proofErr w:type="spellEnd"/>
      <w:r>
        <w:rPr>
          <w:rFonts w:eastAsia="Arial"/>
        </w:rPr>
        <w:t xml:space="preserve"> įsigijimo kaštus pagal 2025 m. II </w:t>
      </w:r>
      <w:proofErr w:type="spellStart"/>
      <w:r>
        <w:rPr>
          <w:rFonts w:eastAsia="Arial"/>
        </w:rPr>
        <w:t>pusm</w:t>
      </w:r>
      <w:proofErr w:type="spellEnd"/>
      <w:r>
        <w:rPr>
          <w:rFonts w:eastAsia="Arial"/>
        </w:rPr>
        <w:t xml:space="preserve">. kainyną, skyrimo (onkologijos dienos stacionaro paslaugos) pagal 2025 m. II </w:t>
      </w:r>
      <w:proofErr w:type="spellStart"/>
      <w:r>
        <w:rPr>
          <w:rFonts w:eastAsia="Arial"/>
        </w:rPr>
        <w:t>pusm</w:t>
      </w:r>
      <w:proofErr w:type="spellEnd"/>
      <w:r>
        <w:rPr>
          <w:rFonts w:eastAsia="Arial"/>
        </w:rPr>
        <w:t>. ASPPĮ.</w:t>
      </w:r>
    </w:p>
    <w:p w14:paraId="4B6ED550" w14:textId="78FBA544" w:rsidR="00F55C09" w:rsidRDefault="00F55C09" w:rsidP="00EC194E">
      <w:pPr>
        <w:spacing w:line="276" w:lineRule="auto"/>
        <w:ind w:firstLine="360"/>
        <w:jc w:val="both"/>
        <w:rPr>
          <w:rFonts w:eastAsia="Arial"/>
        </w:rPr>
      </w:pPr>
    </w:p>
    <w:p w14:paraId="5E818200" w14:textId="77777777" w:rsidR="00B87CFD" w:rsidRDefault="00B87CFD" w:rsidP="00F55C09">
      <w:pPr>
        <w:tabs>
          <w:tab w:val="left" w:pos="426"/>
        </w:tabs>
        <w:jc w:val="center"/>
        <w:rPr>
          <w:b/>
          <w:lang w:eastAsia="lt-LT"/>
        </w:rPr>
      </w:pPr>
    </w:p>
    <w:p w14:paraId="2AB0577D" w14:textId="77777777" w:rsidR="00B87CFD" w:rsidRDefault="00B87CFD" w:rsidP="00F55C09">
      <w:pPr>
        <w:tabs>
          <w:tab w:val="left" w:pos="426"/>
        </w:tabs>
        <w:jc w:val="center"/>
        <w:rPr>
          <w:b/>
          <w:lang w:eastAsia="lt-LT"/>
        </w:rPr>
      </w:pPr>
    </w:p>
    <w:p w14:paraId="3FEA60A0" w14:textId="77777777" w:rsidR="00B87CFD" w:rsidRDefault="00B87CFD" w:rsidP="00F55C09">
      <w:pPr>
        <w:tabs>
          <w:tab w:val="left" w:pos="426"/>
        </w:tabs>
        <w:jc w:val="center"/>
        <w:rPr>
          <w:b/>
          <w:lang w:eastAsia="lt-LT"/>
        </w:rPr>
      </w:pPr>
    </w:p>
    <w:p w14:paraId="458F0F9C" w14:textId="4A19193F" w:rsidR="00F55C09" w:rsidRPr="0035172D" w:rsidRDefault="00F55C09" w:rsidP="00F55C09">
      <w:pPr>
        <w:tabs>
          <w:tab w:val="left" w:pos="426"/>
        </w:tabs>
        <w:jc w:val="center"/>
        <w:rPr>
          <w:b/>
          <w:lang w:eastAsia="lt-LT"/>
        </w:rPr>
      </w:pPr>
      <w:r w:rsidRPr="0035172D">
        <w:rPr>
          <w:b/>
          <w:lang w:eastAsia="lt-LT"/>
        </w:rPr>
        <w:t>Ekonominės analizės rezultatas</w:t>
      </w:r>
      <w:r>
        <w:rPr>
          <w:b/>
          <w:lang w:eastAsia="lt-LT"/>
        </w:rPr>
        <w:t xml:space="preserve"> (papildoma)</w:t>
      </w:r>
    </w:p>
    <w:p w14:paraId="1C56BA67" w14:textId="77777777" w:rsidR="00F55C09" w:rsidRDefault="00F55C09" w:rsidP="00F55C09">
      <w:pPr>
        <w:tabs>
          <w:tab w:val="left" w:pos="426"/>
        </w:tabs>
        <w:rPr>
          <w:lang w:eastAsia="lt-LT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1707"/>
        <w:gridCol w:w="2153"/>
        <w:gridCol w:w="3211"/>
      </w:tblGrid>
      <w:tr w:rsidR="00F55C09" w:rsidRPr="00855B02" w14:paraId="05E66ED2" w14:textId="77777777" w:rsidTr="00F55C09">
        <w:trPr>
          <w:trHeight w:val="254"/>
          <w:jc w:val="center"/>
        </w:trPr>
        <w:tc>
          <w:tcPr>
            <w:tcW w:w="2788" w:type="dxa"/>
            <w:noWrap/>
            <w:hideMark/>
          </w:tcPr>
          <w:p w14:paraId="4639B605" w14:textId="77777777" w:rsidR="00F55C09" w:rsidRPr="0006427F" w:rsidRDefault="00F55C09" w:rsidP="00943136">
            <w:pPr>
              <w:spacing w:line="276" w:lineRule="auto"/>
              <w:rPr>
                <w:lang w:eastAsia="lt-LT"/>
              </w:rPr>
            </w:pPr>
            <w:r w:rsidRPr="0006427F">
              <w:rPr>
                <w:lang w:eastAsia="lt-LT"/>
              </w:rPr>
              <w:t>Kaštų struktūra</w:t>
            </w:r>
          </w:p>
        </w:tc>
        <w:tc>
          <w:tcPr>
            <w:tcW w:w="1707" w:type="dxa"/>
            <w:noWrap/>
          </w:tcPr>
          <w:p w14:paraId="79ABDA08" w14:textId="2B14E902" w:rsidR="00F55C09" w:rsidRPr="0006427F" w:rsidRDefault="00BF62C4" w:rsidP="00943136">
            <w:pPr>
              <w:spacing w:line="276" w:lineRule="auto"/>
              <w:jc w:val="center"/>
              <w:rPr>
                <w:color w:val="000000" w:themeColor="text1"/>
                <w:lang w:eastAsia="lt-LT"/>
              </w:rPr>
            </w:pPr>
            <w:proofErr w:type="spellStart"/>
            <w:r>
              <w:rPr>
                <w:color w:val="000000" w:themeColor="text1"/>
                <w:lang w:eastAsia="lt-LT"/>
              </w:rPr>
              <w:t>Tislelizumabas</w:t>
            </w:r>
            <w:proofErr w:type="spellEnd"/>
            <w:r>
              <w:rPr>
                <w:color w:val="000000" w:themeColor="text1"/>
                <w:lang w:eastAsia="lt-LT"/>
              </w:rPr>
              <w:t xml:space="preserve"> (</w:t>
            </w:r>
            <w:proofErr w:type="spellStart"/>
            <w:r>
              <w:rPr>
                <w:color w:val="000000" w:themeColor="text1"/>
                <w:lang w:eastAsia="lt-LT"/>
              </w:rPr>
              <w:t>Tevimbra</w:t>
            </w:r>
            <w:proofErr w:type="spellEnd"/>
            <w:r>
              <w:rPr>
                <w:color w:val="000000" w:themeColor="text1"/>
                <w:lang w:eastAsia="lt-LT"/>
              </w:rPr>
              <w:t>)</w:t>
            </w:r>
          </w:p>
        </w:tc>
        <w:tc>
          <w:tcPr>
            <w:tcW w:w="2153" w:type="dxa"/>
            <w:noWrap/>
          </w:tcPr>
          <w:p w14:paraId="17C5BF44" w14:textId="4F434061" w:rsidR="00F55C09" w:rsidRPr="0006427F" w:rsidRDefault="00BF62C4" w:rsidP="00943136">
            <w:pPr>
              <w:spacing w:line="276" w:lineRule="auto"/>
              <w:jc w:val="center"/>
              <w:rPr>
                <w:color w:val="000000" w:themeColor="text1"/>
                <w:lang w:eastAsia="lt-LT"/>
              </w:rPr>
            </w:pPr>
            <w:proofErr w:type="spellStart"/>
            <w:r>
              <w:rPr>
                <w:color w:val="000000" w:themeColor="text1"/>
                <w:lang w:eastAsia="lt-LT"/>
              </w:rPr>
              <w:t>Nivolumabas</w:t>
            </w:r>
            <w:proofErr w:type="spellEnd"/>
          </w:p>
        </w:tc>
        <w:tc>
          <w:tcPr>
            <w:tcW w:w="3211" w:type="dxa"/>
            <w:noWrap/>
            <w:hideMark/>
          </w:tcPr>
          <w:p w14:paraId="1847647B" w14:textId="77777777" w:rsidR="00F55C09" w:rsidRPr="0006427F" w:rsidRDefault="00F55C09" w:rsidP="00943136">
            <w:pPr>
              <w:spacing w:line="276" w:lineRule="auto"/>
              <w:jc w:val="center"/>
              <w:rPr>
                <w:lang w:eastAsia="lt-LT"/>
              </w:rPr>
            </w:pPr>
            <w:r w:rsidRPr="0006427F">
              <w:rPr>
                <w:lang w:eastAsia="lt-LT"/>
              </w:rPr>
              <w:t>Skirtumas, Eur.</w:t>
            </w:r>
          </w:p>
        </w:tc>
      </w:tr>
      <w:tr w:rsidR="00BF62C4" w:rsidRPr="00855B02" w14:paraId="646F2AAD" w14:textId="77777777" w:rsidTr="00943136">
        <w:trPr>
          <w:trHeight w:val="242"/>
          <w:jc w:val="center"/>
        </w:trPr>
        <w:tc>
          <w:tcPr>
            <w:tcW w:w="2788" w:type="dxa"/>
            <w:noWrap/>
            <w:hideMark/>
          </w:tcPr>
          <w:p w14:paraId="7436213D" w14:textId="77777777" w:rsidR="00BF62C4" w:rsidRPr="0006427F" w:rsidRDefault="00BF62C4" w:rsidP="00BF62C4">
            <w:pPr>
              <w:spacing w:line="276" w:lineRule="auto"/>
              <w:rPr>
                <w:lang w:eastAsia="lt-LT"/>
              </w:rPr>
            </w:pPr>
            <w:r w:rsidRPr="0006427F">
              <w:rPr>
                <w:lang w:eastAsia="lt-LT"/>
              </w:rPr>
              <w:t xml:space="preserve">Vaistinių preparatų įsigijimo </w:t>
            </w:r>
          </w:p>
        </w:tc>
        <w:tc>
          <w:tcPr>
            <w:tcW w:w="1707" w:type="dxa"/>
            <w:noWrap/>
          </w:tcPr>
          <w:p w14:paraId="0C91DE9C" w14:textId="2819DDF4" w:rsidR="00BF62C4" w:rsidRPr="0006427F" w:rsidRDefault="00D224A1" w:rsidP="00BF62C4">
            <w:pPr>
              <w:rPr>
                <w:color w:val="000000"/>
              </w:rPr>
            </w:pPr>
            <w:r>
              <w:rPr>
                <w:rFonts w:eastAsia="Arial"/>
              </w:rPr>
              <w:t>***</w:t>
            </w:r>
            <w:r w:rsidR="00BF62C4" w:rsidRPr="00F824BB">
              <w:t xml:space="preserve"> €</w:t>
            </w:r>
          </w:p>
        </w:tc>
        <w:tc>
          <w:tcPr>
            <w:tcW w:w="2153" w:type="dxa"/>
            <w:noWrap/>
          </w:tcPr>
          <w:p w14:paraId="5315B2E1" w14:textId="3E225DFF" w:rsidR="00BF62C4" w:rsidRPr="00225A7A" w:rsidRDefault="00D224A1" w:rsidP="00BF62C4">
            <w:pPr>
              <w:rPr>
                <w:lang w:eastAsia="lt-LT"/>
              </w:rPr>
            </w:pPr>
            <w:r>
              <w:rPr>
                <w:rFonts w:eastAsia="Arial"/>
              </w:rPr>
              <w:t xml:space="preserve">*** </w:t>
            </w:r>
            <w:r w:rsidR="00225A7A" w:rsidRPr="00225A7A">
              <w:t>€</w:t>
            </w:r>
          </w:p>
        </w:tc>
        <w:tc>
          <w:tcPr>
            <w:tcW w:w="3211" w:type="dxa"/>
            <w:noWrap/>
          </w:tcPr>
          <w:p w14:paraId="73FDA350" w14:textId="40230B98" w:rsidR="00BF62C4" w:rsidRPr="00225A7A" w:rsidRDefault="00D224A1" w:rsidP="00225A7A">
            <w:pPr>
              <w:outlineLvl w:val="0"/>
              <w:rPr>
                <w:color w:val="000000"/>
                <w:lang w:eastAsia="lt-LT"/>
              </w:rPr>
            </w:pPr>
            <w:r>
              <w:rPr>
                <w:rFonts w:eastAsia="Arial"/>
              </w:rPr>
              <w:t xml:space="preserve">*** </w:t>
            </w:r>
            <w:r w:rsidR="00225A7A" w:rsidRPr="00225A7A">
              <w:rPr>
                <w:color w:val="000000"/>
              </w:rPr>
              <w:t>€</w:t>
            </w:r>
          </w:p>
        </w:tc>
      </w:tr>
      <w:tr w:rsidR="00BF62C4" w:rsidRPr="00855B02" w14:paraId="0CACFA17" w14:textId="77777777" w:rsidTr="00943136">
        <w:trPr>
          <w:trHeight w:val="242"/>
          <w:jc w:val="center"/>
        </w:trPr>
        <w:tc>
          <w:tcPr>
            <w:tcW w:w="2788" w:type="dxa"/>
            <w:noWrap/>
          </w:tcPr>
          <w:p w14:paraId="17C50DEF" w14:textId="77777777" w:rsidR="00BF62C4" w:rsidRPr="0006427F" w:rsidRDefault="00BF62C4" w:rsidP="00BF62C4">
            <w:pPr>
              <w:spacing w:line="276" w:lineRule="auto"/>
              <w:rPr>
                <w:lang w:eastAsia="lt-LT"/>
              </w:rPr>
            </w:pPr>
            <w:r w:rsidRPr="0006427F">
              <w:rPr>
                <w:lang w:eastAsia="lt-LT"/>
              </w:rPr>
              <w:t>Vaistinių preparatų skyrimo</w:t>
            </w:r>
          </w:p>
        </w:tc>
        <w:tc>
          <w:tcPr>
            <w:tcW w:w="1707" w:type="dxa"/>
            <w:noWrap/>
          </w:tcPr>
          <w:p w14:paraId="7DB4508E" w14:textId="1CC2EF11" w:rsidR="00BF62C4" w:rsidRPr="0006427F" w:rsidRDefault="00D224A1" w:rsidP="00BF62C4">
            <w:r>
              <w:rPr>
                <w:rFonts w:eastAsia="Arial"/>
              </w:rPr>
              <w:t xml:space="preserve">*** </w:t>
            </w:r>
            <w:r w:rsidR="00BF62C4" w:rsidRPr="00F824BB">
              <w:t>€</w:t>
            </w:r>
          </w:p>
        </w:tc>
        <w:tc>
          <w:tcPr>
            <w:tcW w:w="2153" w:type="dxa"/>
            <w:noWrap/>
          </w:tcPr>
          <w:p w14:paraId="09834369" w14:textId="0A69D2DF" w:rsidR="00BF62C4" w:rsidRPr="00BF62C4" w:rsidRDefault="00D224A1" w:rsidP="00BF62C4">
            <w:pPr>
              <w:jc w:val="both"/>
              <w:outlineLvl w:val="0"/>
            </w:pPr>
            <w:r>
              <w:rPr>
                <w:rFonts w:eastAsia="Arial"/>
              </w:rPr>
              <w:t xml:space="preserve">*** </w:t>
            </w:r>
            <w:r w:rsidR="00BF62C4" w:rsidRPr="00BF62C4">
              <w:t>€</w:t>
            </w:r>
          </w:p>
        </w:tc>
        <w:tc>
          <w:tcPr>
            <w:tcW w:w="3211" w:type="dxa"/>
            <w:noWrap/>
          </w:tcPr>
          <w:p w14:paraId="0BBDD54F" w14:textId="18002161" w:rsidR="00BF62C4" w:rsidRPr="0006427F" w:rsidRDefault="00D224A1" w:rsidP="00BF62C4">
            <w:pPr>
              <w:rPr>
                <w:lang w:eastAsia="lt-LT"/>
              </w:rPr>
            </w:pPr>
            <w:r>
              <w:rPr>
                <w:rFonts w:eastAsia="Arial"/>
              </w:rPr>
              <w:t xml:space="preserve">*** </w:t>
            </w:r>
            <w:r w:rsidR="00BF62C4" w:rsidRPr="00BF62C4">
              <w:t>€</w:t>
            </w:r>
          </w:p>
        </w:tc>
      </w:tr>
      <w:tr w:rsidR="00F55C09" w:rsidRPr="00855B02" w14:paraId="796DA796" w14:textId="77777777" w:rsidTr="00943136">
        <w:trPr>
          <w:trHeight w:val="231"/>
          <w:jc w:val="center"/>
        </w:trPr>
        <w:tc>
          <w:tcPr>
            <w:tcW w:w="2788" w:type="dxa"/>
            <w:noWrap/>
            <w:hideMark/>
          </w:tcPr>
          <w:p w14:paraId="1F4CEE61" w14:textId="77777777" w:rsidR="00F55C09" w:rsidRPr="0006427F" w:rsidRDefault="00F55C09" w:rsidP="00943136">
            <w:pPr>
              <w:spacing w:line="276" w:lineRule="auto"/>
              <w:rPr>
                <w:b/>
                <w:bCs/>
                <w:highlight w:val="yellow"/>
                <w:lang w:eastAsia="lt-LT"/>
              </w:rPr>
            </w:pPr>
            <w:r w:rsidRPr="006A1BF0">
              <w:rPr>
                <w:b/>
                <w:bCs/>
                <w:lang w:eastAsia="lt-LT"/>
              </w:rPr>
              <w:t xml:space="preserve">Viso kaštai (Eur.) </w:t>
            </w:r>
          </w:p>
        </w:tc>
        <w:tc>
          <w:tcPr>
            <w:tcW w:w="1707" w:type="dxa"/>
            <w:noWrap/>
            <w:vAlign w:val="bottom"/>
          </w:tcPr>
          <w:p w14:paraId="6561C6CB" w14:textId="06EB9B6B" w:rsidR="00F55C09" w:rsidRPr="0006427F" w:rsidRDefault="00D224A1" w:rsidP="00BF62C4">
            <w:pPr>
              <w:rPr>
                <w:color w:val="000000"/>
              </w:rPr>
            </w:pPr>
            <w:r>
              <w:rPr>
                <w:rFonts w:eastAsia="Arial"/>
              </w:rPr>
              <w:t>***</w:t>
            </w:r>
            <w:r w:rsidR="00BF62C4" w:rsidRPr="00F824BB">
              <w:rPr>
                <w:b/>
                <w:bCs/>
              </w:rPr>
              <w:t xml:space="preserve"> €</w:t>
            </w:r>
          </w:p>
        </w:tc>
        <w:tc>
          <w:tcPr>
            <w:tcW w:w="2153" w:type="dxa"/>
            <w:noWrap/>
            <w:vAlign w:val="bottom"/>
          </w:tcPr>
          <w:p w14:paraId="7314457D" w14:textId="6A2E02FA" w:rsidR="00F55C09" w:rsidRPr="00225A7A" w:rsidRDefault="00D224A1" w:rsidP="00BF62C4">
            <w:pPr>
              <w:rPr>
                <w:b/>
                <w:bCs/>
                <w:highlight w:val="yellow"/>
                <w:lang w:eastAsia="lt-LT"/>
              </w:rPr>
            </w:pPr>
            <w:r>
              <w:rPr>
                <w:rFonts w:eastAsia="Arial"/>
              </w:rPr>
              <w:t xml:space="preserve">*** </w:t>
            </w:r>
            <w:r w:rsidR="00225A7A" w:rsidRPr="00225A7A">
              <w:rPr>
                <w:b/>
                <w:bCs/>
              </w:rPr>
              <w:t>€</w:t>
            </w:r>
          </w:p>
        </w:tc>
        <w:tc>
          <w:tcPr>
            <w:tcW w:w="3211" w:type="dxa"/>
            <w:noWrap/>
          </w:tcPr>
          <w:p w14:paraId="6BBAD441" w14:textId="740B8993" w:rsidR="00F55C09" w:rsidRPr="0006427F" w:rsidRDefault="00D224A1" w:rsidP="00BF62C4">
            <w:pPr>
              <w:rPr>
                <w:b/>
                <w:color w:val="000000"/>
              </w:rPr>
            </w:pPr>
            <w:r>
              <w:rPr>
                <w:rFonts w:eastAsia="Arial"/>
              </w:rPr>
              <w:t xml:space="preserve">*** </w:t>
            </w:r>
            <w:r w:rsidR="00225A7A">
              <w:rPr>
                <w:b/>
                <w:color w:val="000000"/>
              </w:rPr>
              <w:t>Eur. (</w:t>
            </w:r>
            <w:r>
              <w:rPr>
                <w:rFonts w:eastAsia="Arial"/>
              </w:rPr>
              <w:t>***</w:t>
            </w:r>
            <w:r w:rsidR="00BF62C4">
              <w:rPr>
                <w:b/>
                <w:color w:val="000000"/>
              </w:rPr>
              <w:t xml:space="preserve"> proc.)</w:t>
            </w:r>
          </w:p>
        </w:tc>
      </w:tr>
    </w:tbl>
    <w:p w14:paraId="690028CC" w14:textId="014CF3F0" w:rsidR="00F55C09" w:rsidRDefault="00F55C09" w:rsidP="00EC194E">
      <w:pPr>
        <w:spacing w:line="276" w:lineRule="auto"/>
        <w:ind w:firstLine="360"/>
        <w:jc w:val="both"/>
        <w:rPr>
          <w:rFonts w:eastAsia="Arial"/>
        </w:rPr>
      </w:pPr>
    </w:p>
    <w:p w14:paraId="3D8B3399" w14:textId="7A22A129" w:rsidR="00EC194E" w:rsidRDefault="00EC194E" w:rsidP="00EC194E">
      <w:pPr>
        <w:spacing w:line="276" w:lineRule="auto"/>
        <w:ind w:firstLine="360"/>
        <w:jc w:val="both"/>
        <w:rPr>
          <w:color w:val="000000"/>
          <w:lang w:eastAsia="lt-LT"/>
        </w:rPr>
      </w:pPr>
      <w:r w:rsidRPr="00B30355">
        <w:rPr>
          <w:rFonts w:eastAsia="Arial"/>
        </w:rPr>
        <w:t xml:space="preserve">Apibendrinant, kadangi Pareiškėjas teikia tą pačią </w:t>
      </w:r>
      <w:proofErr w:type="spellStart"/>
      <w:r w:rsidRPr="00B30355">
        <w:rPr>
          <w:rFonts w:eastAsia="Arial"/>
        </w:rPr>
        <w:t>tislelizumabo</w:t>
      </w:r>
      <w:proofErr w:type="spellEnd"/>
      <w:r w:rsidRPr="00B30355">
        <w:rPr>
          <w:rFonts w:eastAsia="Arial"/>
        </w:rPr>
        <w:t xml:space="preserve"> pakuotės kainą KNA ir KMA</w:t>
      </w:r>
      <w:r>
        <w:rPr>
          <w:rFonts w:eastAsia="Arial"/>
        </w:rPr>
        <w:t>,</w:t>
      </w:r>
      <w:r w:rsidRPr="00B30355">
        <w:rPr>
          <w:rFonts w:eastAsia="Arial"/>
        </w:rPr>
        <w:t xml:space="preserve"> (</w:t>
      </w:r>
      <w:proofErr w:type="spellStart"/>
      <w:r w:rsidR="00FF42F4" w:rsidRPr="00FF42F4">
        <w:rPr>
          <w:i/>
          <w:color w:val="000000"/>
        </w:rPr>
        <w:t>Tevimbra</w:t>
      </w:r>
      <w:proofErr w:type="spellEnd"/>
      <w:r w:rsidR="00FF42F4" w:rsidRPr="00FF42F4">
        <w:rPr>
          <w:i/>
          <w:color w:val="000000"/>
        </w:rPr>
        <w:t xml:space="preserve"> 100 mg koncentratas infuziniam tirpalui</w:t>
      </w:r>
      <w:r w:rsidR="00FF42F4">
        <w:rPr>
          <w:i/>
          <w:color w:val="000000"/>
        </w:rPr>
        <w:t xml:space="preserve">, 10 ml </w:t>
      </w:r>
      <w:proofErr w:type="spellStart"/>
      <w:r w:rsidR="00FF42F4">
        <w:rPr>
          <w:i/>
          <w:color w:val="000000"/>
        </w:rPr>
        <w:t>vial</w:t>
      </w:r>
      <w:proofErr w:type="spellEnd"/>
      <w:r w:rsidRPr="00FB178A">
        <w:rPr>
          <w:i/>
          <w:color w:val="000000"/>
        </w:rPr>
        <w:t xml:space="preserve">, N1 – </w:t>
      </w:r>
      <w:r w:rsidR="00D224A1">
        <w:rPr>
          <w:rFonts w:eastAsia="Arial"/>
        </w:rPr>
        <w:t>***</w:t>
      </w:r>
      <w:r w:rsidRPr="00FB178A">
        <w:rPr>
          <w:i/>
          <w:color w:val="000000"/>
        </w:rPr>
        <w:t xml:space="preserve"> Eur.</w:t>
      </w:r>
      <w:r>
        <w:rPr>
          <w:color w:val="000000"/>
        </w:rPr>
        <w:t xml:space="preserve">) bei </w:t>
      </w:r>
      <w:proofErr w:type="spellStart"/>
      <w:r>
        <w:rPr>
          <w:color w:val="000000"/>
        </w:rPr>
        <w:t>tislelizumabo</w:t>
      </w:r>
      <w:proofErr w:type="spellEnd"/>
      <w:r>
        <w:rPr>
          <w:color w:val="000000"/>
        </w:rPr>
        <w:t xml:space="preserve"> kainą sieja su </w:t>
      </w:r>
      <w:proofErr w:type="spellStart"/>
      <w:r>
        <w:rPr>
          <w:color w:val="000000"/>
        </w:rPr>
        <w:t>nivolumabo</w:t>
      </w:r>
      <w:proofErr w:type="spellEnd"/>
      <w:r>
        <w:rPr>
          <w:color w:val="000000"/>
        </w:rPr>
        <w:t>, o</w:t>
      </w:r>
      <w:r w:rsidRPr="00B30355">
        <w:rPr>
          <w:rFonts w:eastAsia="Arial"/>
        </w:rPr>
        <w:t xml:space="preserve"> </w:t>
      </w:r>
      <w:proofErr w:type="spellStart"/>
      <w:r w:rsidRPr="00B30355">
        <w:rPr>
          <w:rFonts w:eastAsia="Arial"/>
        </w:rPr>
        <w:t>nivolumabas</w:t>
      </w:r>
      <w:proofErr w:type="spellEnd"/>
      <w:r w:rsidRPr="00B30355">
        <w:rPr>
          <w:rFonts w:eastAsia="Arial"/>
        </w:rPr>
        <w:t xml:space="preserve"> yra laikomas </w:t>
      </w:r>
      <w:r>
        <w:rPr>
          <w:rFonts w:eastAsia="Arial"/>
        </w:rPr>
        <w:t>aktualiu palyginamuoju gydymu, yra laikoma,</w:t>
      </w:r>
      <w:r w:rsidRPr="00B30355">
        <w:rPr>
          <w:rFonts w:eastAsia="Arial"/>
        </w:rPr>
        <w:t xml:space="preserve"> kad </w:t>
      </w:r>
      <w:proofErr w:type="spellStart"/>
      <w:r w:rsidRPr="00B30355">
        <w:rPr>
          <w:rFonts w:eastAsia="Arial"/>
        </w:rPr>
        <w:t>tislelizumabo</w:t>
      </w:r>
      <w:proofErr w:type="spellEnd"/>
      <w:r w:rsidRPr="00B30355">
        <w:rPr>
          <w:rFonts w:eastAsia="Arial"/>
        </w:rPr>
        <w:t xml:space="preserve"> kaštai </w:t>
      </w:r>
      <w:r>
        <w:rPr>
          <w:rFonts w:eastAsia="Arial"/>
        </w:rPr>
        <w:t>turi atitikti</w:t>
      </w:r>
      <w:r w:rsidRPr="00B30355">
        <w:rPr>
          <w:rFonts w:eastAsia="Arial"/>
        </w:rPr>
        <w:t xml:space="preserve"> sunkiai ligos naštai taikomą referencinę kaštų naudingumo vertę</w:t>
      </w:r>
      <w:r>
        <w:rPr>
          <w:rFonts w:eastAsia="Arial"/>
        </w:rPr>
        <w:t xml:space="preserve"> (pagal KNA)</w:t>
      </w:r>
      <w:r w:rsidRPr="00B30355">
        <w:rPr>
          <w:rFonts w:eastAsia="Arial"/>
        </w:rPr>
        <w:t xml:space="preserve"> ir pagal KMA</w:t>
      </w:r>
      <w:r>
        <w:rPr>
          <w:rFonts w:eastAsia="Arial"/>
        </w:rPr>
        <w:t>:</w:t>
      </w:r>
      <w:r w:rsidRPr="00B30355">
        <w:rPr>
          <w:rFonts w:eastAsia="Arial"/>
        </w:rPr>
        <w:t xml:space="preserve"> Kompensuojamųjų vaistinių preparatų Tvarkos apraše numatytą </w:t>
      </w:r>
      <w:r w:rsidRPr="00B30355">
        <w:rPr>
          <w:color w:val="000000"/>
        </w:rPr>
        <w:t>54.1</w:t>
      </w:r>
      <w:r w:rsidRPr="00B30355">
        <w:rPr>
          <w:color w:val="000000"/>
          <w:vertAlign w:val="superscript"/>
        </w:rPr>
        <w:t>1</w:t>
      </w:r>
      <w:r w:rsidRPr="00B30355">
        <w:rPr>
          <w:rFonts w:eastAsia="Arial"/>
        </w:rPr>
        <w:t>punktą (</w:t>
      </w:r>
      <w:r w:rsidRPr="00FB178A">
        <w:rPr>
          <w:i/>
          <w:color w:val="000000"/>
        </w:rPr>
        <w:t xml:space="preserve">siūlyti įrašyti vaistinį preparatą, dėl kurio pateikta Aprašo 29.1.2 papunktyje nurodyta išvada, į A sąrašą ar Centralizuotai apmokamų vaistinių preparatų ir medicinos pagalbos priemonių sąrašą, jei PSDF biudžeto išlaidos vaistiniams preparatams, lyginant su palyginamuoju gydymu, </w:t>
      </w:r>
      <w:r w:rsidRPr="00FB178A">
        <w:rPr>
          <w:i/>
          <w:color w:val="000000"/>
          <w:u w:val="single"/>
        </w:rPr>
        <w:t>mažėja ne mažiau kaip 5 proc. pirmaisiais kompensavimo metais ir šis mažėjimas išlaikomas per pirmuosius penkerius vaistinio preparato kompensavimo metus</w:t>
      </w:r>
      <w:r w:rsidRPr="00B30355">
        <w:rPr>
          <w:color w:val="000000"/>
        </w:rPr>
        <w:t>)</w:t>
      </w:r>
      <w:r>
        <w:rPr>
          <w:color w:val="000000"/>
        </w:rPr>
        <w:t xml:space="preserve">. </w:t>
      </w:r>
      <w:r w:rsidR="00F938DF">
        <w:rPr>
          <w:color w:val="000000"/>
        </w:rPr>
        <w:t>A</w:t>
      </w:r>
      <w:r w:rsidR="00F938DF" w:rsidRPr="00B30355">
        <w:rPr>
          <w:color w:val="000000"/>
        </w:rPr>
        <w:t xml:space="preserve">pskaičiuotais KMA rezultatais </w:t>
      </w:r>
      <w:proofErr w:type="spellStart"/>
      <w:r w:rsidR="00F938DF" w:rsidRPr="00B30355">
        <w:rPr>
          <w:color w:val="000000"/>
        </w:rPr>
        <w:t>tislelizumabas</w:t>
      </w:r>
      <w:proofErr w:type="spellEnd"/>
      <w:r w:rsidR="00F938DF" w:rsidRPr="00B30355">
        <w:rPr>
          <w:color w:val="000000"/>
        </w:rPr>
        <w:t xml:space="preserve"> yra </w:t>
      </w:r>
      <w:r w:rsidR="00EC6BD1">
        <w:rPr>
          <w:color w:val="000000"/>
        </w:rPr>
        <w:t>***</w:t>
      </w:r>
      <w:r w:rsidR="00F938DF" w:rsidRPr="00B30355">
        <w:rPr>
          <w:color w:val="000000"/>
        </w:rPr>
        <w:t xml:space="preserve"> proc. </w:t>
      </w:r>
      <w:r w:rsidR="00F938DF">
        <w:rPr>
          <w:color w:val="000000"/>
        </w:rPr>
        <w:t>pigesnė gydymo alternatyva, tačiau</w:t>
      </w:r>
      <w:r w:rsidR="00F938DF" w:rsidRPr="00B30355">
        <w:rPr>
          <w:color w:val="000000"/>
        </w:rPr>
        <w:t xml:space="preserve"> siekiant, kad kaštai būtų mažinami ne mažiau </w:t>
      </w:r>
      <w:r w:rsidR="00225518">
        <w:rPr>
          <w:color w:val="000000"/>
        </w:rPr>
        <w:t>***</w:t>
      </w:r>
      <w:r w:rsidR="00F938DF" w:rsidRPr="00B30355">
        <w:rPr>
          <w:color w:val="000000"/>
        </w:rPr>
        <w:t xml:space="preserve"> proc.</w:t>
      </w:r>
      <w:r w:rsidR="00F938DF">
        <w:rPr>
          <w:color w:val="000000"/>
        </w:rPr>
        <w:t xml:space="preserve">, reikalinga apie </w:t>
      </w:r>
      <w:r w:rsidR="00EC6BD1">
        <w:rPr>
          <w:color w:val="000000"/>
        </w:rPr>
        <w:t xml:space="preserve">*** </w:t>
      </w:r>
      <w:r w:rsidR="00F938DF" w:rsidRPr="00B30355">
        <w:rPr>
          <w:color w:val="000000"/>
        </w:rPr>
        <w:t xml:space="preserve">proc. kainos nuolaida ir </w:t>
      </w:r>
      <w:proofErr w:type="spellStart"/>
      <w:r w:rsidR="00F938DF" w:rsidRPr="00B30355">
        <w:rPr>
          <w:color w:val="000000"/>
        </w:rPr>
        <w:t>tislelizumabo</w:t>
      </w:r>
      <w:proofErr w:type="spellEnd"/>
      <w:r w:rsidR="00F938DF" w:rsidRPr="00B30355">
        <w:rPr>
          <w:color w:val="000000"/>
        </w:rPr>
        <w:t xml:space="preserve"> pakuotės (</w:t>
      </w:r>
      <w:proofErr w:type="spellStart"/>
      <w:r w:rsidR="00F938DF" w:rsidRPr="00FF42F4">
        <w:rPr>
          <w:i/>
          <w:color w:val="000000"/>
        </w:rPr>
        <w:t>Tevimbra</w:t>
      </w:r>
      <w:proofErr w:type="spellEnd"/>
      <w:r w:rsidR="00F938DF" w:rsidRPr="00FF42F4">
        <w:rPr>
          <w:i/>
          <w:color w:val="000000"/>
        </w:rPr>
        <w:t xml:space="preserve"> 100 mg </w:t>
      </w:r>
      <w:r w:rsidR="00FF42F4" w:rsidRPr="00FF42F4">
        <w:rPr>
          <w:i/>
          <w:color w:val="000000"/>
        </w:rPr>
        <w:t>koncentratas infuziniam tirpalui</w:t>
      </w:r>
      <w:r w:rsidR="00F938DF" w:rsidRPr="00FF42F4">
        <w:rPr>
          <w:i/>
          <w:color w:val="000000"/>
        </w:rPr>
        <w:t xml:space="preserve">, 10 ml </w:t>
      </w:r>
      <w:proofErr w:type="spellStart"/>
      <w:r w:rsidR="00F938DF" w:rsidRPr="00FF42F4">
        <w:rPr>
          <w:i/>
          <w:color w:val="000000"/>
        </w:rPr>
        <w:t>vial</w:t>
      </w:r>
      <w:proofErr w:type="spellEnd"/>
      <w:r w:rsidR="00F938DF" w:rsidRPr="00FF42F4">
        <w:rPr>
          <w:i/>
          <w:color w:val="000000"/>
        </w:rPr>
        <w:t>, N1</w:t>
      </w:r>
      <w:r w:rsidR="00F938DF" w:rsidRPr="00B30355">
        <w:rPr>
          <w:color w:val="000000"/>
        </w:rPr>
        <w:t>)</w:t>
      </w:r>
      <w:r w:rsidR="00F938DF">
        <w:rPr>
          <w:color w:val="000000"/>
        </w:rPr>
        <w:t xml:space="preserve"> kaina turi būti ne didesnė nei</w:t>
      </w:r>
      <w:r w:rsidR="00F938DF" w:rsidRPr="00B30355">
        <w:rPr>
          <w:color w:val="000000"/>
        </w:rPr>
        <w:t xml:space="preserve"> </w:t>
      </w:r>
      <w:r w:rsidR="00F24BC9">
        <w:rPr>
          <w:color w:val="000000"/>
          <w:lang w:eastAsia="lt-LT"/>
        </w:rPr>
        <w:t>***</w:t>
      </w:r>
      <w:r w:rsidR="00F938DF" w:rsidRPr="00B30355">
        <w:rPr>
          <w:color w:val="000000"/>
          <w:lang w:eastAsia="lt-LT"/>
        </w:rPr>
        <w:t xml:space="preserve"> Eur.</w:t>
      </w:r>
    </w:p>
    <w:p w14:paraId="2047371F" w14:textId="77777777" w:rsidR="00EC194E" w:rsidRDefault="00EC194E" w:rsidP="00EC194E">
      <w:pPr>
        <w:spacing w:line="276" w:lineRule="auto"/>
        <w:ind w:firstLine="36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Atkreiptinas dėmesys, kad Tarnyba sutarčių su gamintojais nesudaro ir yra atliekamas teikiamos paraiškos kaštų efektyvumo ar mažinimo vertinimas kainai nustatyti.</w:t>
      </w:r>
    </w:p>
    <w:p w14:paraId="2B6057E6" w14:textId="77777777" w:rsidR="00EC194E" w:rsidRPr="000203E1" w:rsidRDefault="00EC194E" w:rsidP="00434D0C">
      <w:pPr>
        <w:tabs>
          <w:tab w:val="left" w:pos="426"/>
        </w:tabs>
        <w:spacing w:line="276" w:lineRule="auto"/>
        <w:rPr>
          <w:b/>
          <w:bCs/>
          <w:caps/>
        </w:rPr>
      </w:pPr>
    </w:p>
    <w:p w14:paraId="4FC424F9" w14:textId="4E767245" w:rsidR="00C62B36" w:rsidRPr="000203E1" w:rsidRDefault="00C62B36" w:rsidP="00434D0C">
      <w:pPr>
        <w:pStyle w:val="Sraopastraipa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Pacientų organizacijų pateikti duomenys </w:t>
      </w:r>
    </w:p>
    <w:p w14:paraId="79BCFF40" w14:textId="3B292590" w:rsidR="00937907" w:rsidRPr="000203E1" w:rsidRDefault="00000000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0203E1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0203E1">
        <w:t xml:space="preserve"> Pacientų organizacijos pozicija pateikta</w:t>
      </w:r>
      <w:r w:rsidR="00016F32">
        <w:t>.</w:t>
      </w:r>
    </w:p>
    <w:p w14:paraId="62992180" w14:textId="1624820D" w:rsidR="00937907" w:rsidRPr="000203E1" w:rsidRDefault="00000000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329C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0203E1">
        <w:t xml:space="preserve"> Pacientų organizacijos pozicija </w:t>
      </w:r>
      <w:r w:rsidR="00880A44" w:rsidRPr="000203E1">
        <w:t>ne</w:t>
      </w:r>
      <w:r w:rsidR="00937907" w:rsidRPr="000203E1">
        <w:t>pateikta.</w:t>
      </w:r>
    </w:p>
    <w:p w14:paraId="03E73D82" w14:textId="77777777" w:rsidR="00D417D2" w:rsidRPr="000203E1" w:rsidRDefault="00D417D2" w:rsidP="00434D0C">
      <w:pPr>
        <w:spacing w:after="120" w:line="276" w:lineRule="auto"/>
        <w:jc w:val="both"/>
      </w:pPr>
    </w:p>
    <w:p w14:paraId="3D3277FA" w14:textId="3CEEB2D2" w:rsidR="00C62B36" w:rsidRPr="000203E1" w:rsidRDefault="00C62B36" w:rsidP="00434D0C">
      <w:pPr>
        <w:pStyle w:val="Sraopastraipa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>Gydytojų organizacijų pateikti duomenys</w:t>
      </w:r>
    </w:p>
    <w:p w14:paraId="389A346C" w14:textId="21FF3A6D" w:rsidR="00937907" w:rsidRPr="000203E1" w:rsidRDefault="00000000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329C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0203E1">
        <w:t xml:space="preserve"> </w:t>
      </w:r>
      <w:r w:rsidR="00937907" w:rsidRPr="000203E1">
        <w:t>Gydytojų specialistų organizacijos pozicija pateikta.</w:t>
      </w:r>
    </w:p>
    <w:p w14:paraId="3701D46A" w14:textId="7186465C" w:rsidR="00A042B9" w:rsidRDefault="00000000" w:rsidP="00434D0C">
      <w:pPr>
        <w:spacing w:after="120" w:line="276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29C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0203E1">
        <w:t xml:space="preserve"> </w:t>
      </w:r>
      <w:r w:rsidR="00937907" w:rsidRPr="000203E1">
        <w:t xml:space="preserve">Gydytojų specialistų organizacijos pozicija </w:t>
      </w:r>
      <w:r w:rsidR="00880A44" w:rsidRPr="000203E1">
        <w:t>ne</w:t>
      </w:r>
      <w:r w:rsidR="00937907" w:rsidRPr="000203E1">
        <w:t>pateikta.</w:t>
      </w:r>
    </w:p>
    <w:p w14:paraId="6B18CF25" w14:textId="77777777" w:rsidR="00F533A8" w:rsidRPr="000203E1" w:rsidRDefault="00F533A8" w:rsidP="00434D0C">
      <w:pPr>
        <w:spacing w:after="120" w:line="276" w:lineRule="auto"/>
        <w:jc w:val="both"/>
      </w:pPr>
    </w:p>
    <w:p w14:paraId="78F23ECB" w14:textId="23A3A002" w:rsidR="002F0E4F" w:rsidRPr="000203E1" w:rsidRDefault="002F0E4F" w:rsidP="00434D0C">
      <w:pPr>
        <w:pStyle w:val="Sraopastraipa"/>
        <w:numPr>
          <w:ilvl w:val="0"/>
          <w:numId w:val="12"/>
        </w:numPr>
        <w:tabs>
          <w:tab w:val="left" w:pos="567"/>
        </w:tabs>
        <w:spacing w:line="276" w:lineRule="auto"/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Išvada </w:t>
      </w:r>
    </w:p>
    <w:p w14:paraId="08D5B3B6" w14:textId="3492CFB8" w:rsidR="0061611B" w:rsidRDefault="0061611B" w:rsidP="00045709">
      <w:pPr>
        <w:spacing w:line="276" w:lineRule="auto"/>
        <w:ind w:firstLine="720"/>
        <w:rPr>
          <w:i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931A54" w:rsidRPr="00034325" w14:paraId="5BF2B94B" w14:textId="77777777" w:rsidTr="00427779">
        <w:trPr>
          <w:trHeight w:val="51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D0A" w14:textId="77777777" w:rsidR="00931A54" w:rsidRPr="00034325" w:rsidRDefault="00931A54" w:rsidP="00931A54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34325">
              <w:rPr>
                <w:rFonts w:eastAsia="Arial"/>
                <w:b/>
                <w:bCs/>
                <w:iCs/>
              </w:rPr>
              <w:t>Palyginamasis veiksmingumas</w:t>
            </w:r>
          </w:p>
        </w:tc>
      </w:tr>
      <w:tr w:rsidR="00931A54" w:rsidRPr="00034325" w14:paraId="147A875A" w14:textId="77777777" w:rsidTr="004277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916" w14:textId="3BC6D671" w:rsidR="00931A54" w:rsidRPr="00034325" w:rsidRDefault="00000000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1397324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A54">
                  <w:rPr>
                    <w:rFonts w:ascii="MS Gothic" w:eastAsia="MS Gothic" w:hAnsi="MS Gothic" w:hint="eastAsia"/>
                    <w:bCs/>
                    <w:iCs/>
                  </w:rPr>
                  <w:t>☒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29.1.1 yra didesnis, lyginant su įprasta klinikine praktika</w:t>
            </w:r>
            <w:r w:rsidR="00DC5359">
              <w:rPr>
                <w:rFonts w:eastAsia="Arial"/>
                <w:bCs/>
                <w:iCs/>
              </w:rPr>
              <w:t xml:space="preserve"> (chemoterapija)</w:t>
            </w:r>
          </w:p>
          <w:p w14:paraId="75BB279D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27EB9BD6" w14:textId="074525DE" w:rsidR="00931A54" w:rsidRPr="00034325" w:rsidRDefault="00000000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418297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5359">
                  <w:rPr>
                    <w:rFonts w:ascii="MS Gothic" w:eastAsia="MS Gothic" w:hAnsi="MS Gothic" w:hint="eastAsia"/>
                    <w:bCs/>
                    <w:iCs/>
                  </w:rPr>
                  <w:t>☒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29.1.2 iš esmės nesiskiria, lyginant su įprasta klinikine praktika</w:t>
            </w:r>
            <w:r w:rsidR="00DC5359">
              <w:rPr>
                <w:rFonts w:eastAsia="Arial"/>
                <w:bCs/>
                <w:iCs/>
              </w:rPr>
              <w:t xml:space="preserve"> (</w:t>
            </w:r>
            <w:proofErr w:type="spellStart"/>
            <w:r w:rsidR="00DC5359">
              <w:rPr>
                <w:rFonts w:eastAsia="Arial"/>
                <w:bCs/>
                <w:iCs/>
              </w:rPr>
              <w:t>nivolumabu</w:t>
            </w:r>
            <w:proofErr w:type="spellEnd"/>
            <w:r w:rsidR="00DC5359">
              <w:rPr>
                <w:rFonts w:eastAsia="Arial"/>
                <w:bCs/>
                <w:iCs/>
              </w:rPr>
              <w:t>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681" w14:textId="77777777" w:rsidR="00931A54" w:rsidRPr="00034325" w:rsidRDefault="00000000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-7247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29.1.3 yra neįrodytas kaip didesnis  ar iš esmės nesiskiriantis, lyginant su įprasta klinikine praktika  </w:t>
            </w:r>
          </w:p>
          <w:p w14:paraId="10BFDA77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2B2CB22A" w14:textId="77777777" w:rsidR="00931A54" w:rsidRPr="00034325" w:rsidRDefault="00000000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18621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29.1.4 yra mažesnis, lyginant su įprasta klinikine praktika</w:t>
            </w:r>
          </w:p>
          <w:p w14:paraId="6CBBD22B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  <w:p w14:paraId="7C7A9E73" w14:textId="77777777" w:rsidR="00931A54" w:rsidRPr="00034325" w:rsidRDefault="00000000" w:rsidP="00427779">
            <w:pPr>
              <w:spacing w:line="276" w:lineRule="auto"/>
              <w:rPr>
                <w:rFonts w:eastAsia="Arial"/>
                <w:bCs/>
                <w:iCs/>
              </w:rPr>
            </w:pPr>
            <w:sdt>
              <w:sdtPr>
                <w:rPr>
                  <w:rFonts w:eastAsia="Arial"/>
                  <w:bCs/>
                  <w:iCs/>
                </w:rPr>
                <w:id w:val="-18579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54" w:rsidRPr="00034325">
                  <w:rPr>
                    <w:rFonts w:ascii="Segoe UI Symbol" w:eastAsia="Arial" w:hAnsi="Segoe UI Symbol" w:cs="Segoe UI Symbol"/>
                    <w:bCs/>
                    <w:iCs/>
                  </w:rPr>
                  <w:t>☐</w:t>
                </w:r>
              </w:sdtContent>
            </w:sdt>
            <w:r w:rsidR="00931A54" w:rsidRPr="00034325">
              <w:rPr>
                <w:rFonts w:eastAsia="Arial"/>
                <w:bCs/>
                <w:iCs/>
              </w:rPr>
              <w:t xml:space="preserve">  29.1.5 pateikti duomenys apie palyginamąjį veiksmingumą yra netinkami vertinti</w:t>
            </w:r>
          </w:p>
          <w:p w14:paraId="071D9219" w14:textId="77777777" w:rsidR="00931A54" w:rsidRPr="00034325" w:rsidRDefault="00931A54" w:rsidP="00427779">
            <w:pPr>
              <w:spacing w:line="276" w:lineRule="auto"/>
              <w:rPr>
                <w:rFonts w:eastAsia="Arial"/>
                <w:bCs/>
                <w:iCs/>
              </w:rPr>
            </w:pPr>
          </w:p>
        </w:tc>
      </w:tr>
    </w:tbl>
    <w:tbl>
      <w:tblPr>
        <w:tblStyle w:val="DossierTable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AB6C7B" w:rsidRPr="009300B3" w14:paraId="723C0DAD" w14:textId="77777777" w:rsidTr="008E0D5B">
        <w:trPr>
          <w:trHeight w:val="510"/>
        </w:trPr>
        <w:tc>
          <w:tcPr>
            <w:tcW w:w="9634" w:type="dxa"/>
            <w:gridSpan w:val="2"/>
            <w:vAlign w:val="center"/>
          </w:tcPr>
          <w:p w14:paraId="1DEEEE63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9300B3">
              <w:rPr>
                <w:rStyle w:val="Style2"/>
                <w:rFonts w:eastAsia="MS Gothic"/>
                <w:b/>
                <w:bCs/>
                <w:sz w:val="23"/>
                <w:szCs w:val="23"/>
              </w:rPr>
              <w:lastRenderedPageBreak/>
              <w:t>Kaštų naudingumas</w:t>
            </w:r>
          </w:p>
        </w:tc>
      </w:tr>
      <w:tr w:rsidR="00AB6C7B" w:rsidRPr="009300B3" w14:paraId="2B14E2A9" w14:textId="77777777" w:rsidTr="008E0D5B">
        <w:tc>
          <w:tcPr>
            <w:tcW w:w="4820" w:type="dxa"/>
          </w:tcPr>
          <w:p w14:paraId="04E58B28" w14:textId="1ADD822A" w:rsidR="00AB6C7B" w:rsidRPr="009300B3" w:rsidRDefault="00000000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194E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29.2.1 atitinka referencinę naudingumo vertę taikant arba netaikant</w:t>
            </w:r>
            <w:r w:rsidR="00AB6C7B" w:rsidRPr="009300B3">
              <w:rPr>
                <w:b/>
                <w:bCs/>
                <w:sz w:val="23"/>
                <w:szCs w:val="23"/>
              </w:rPr>
              <w:t> </w:t>
            </w:r>
            <w:r w:rsidR="00AB6C7B" w:rsidRPr="009300B3">
              <w:rPr>
                <w:sz w:val="23"/>
                <w:szCs w:val="23"/>
              </w:rPr>
              <w:t>PGS</w:t>
            </w:r>
          </w:p>
          <w:p w14:paraId="751820D2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39B00755" w14:textId="77777777" w:rsidR="00AB6C7B" w:rsidRPr="009300B3" w:rsidRDefault="00000000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8659471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29.2.2 gydymo juo kaštai yra mažesni ar tokie patys esant iš esmės nesiskiriančiam palyginamajam efektyvumui, taikant arba netaikant PGS</w:t>
            </w:r>
          </w:p>
        </w:tc>
        <w:tc>
          <w:tcPr>
            <w:tcW w:w="4814" w:type="dxa"/>
          </w:tcPr>
          <w:p w14:paraId="31162936" w14:textId="05660132" w:rsidR="00AB6C7B" w:rsidRPr="009300B3" w:rsidRDefault="00000000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24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3A37D495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0AE33B6A" w14:textId="77777777" w:rsidR="00AB6C7B" w:rsidRPr="009300B3" w:rsidRDefault="00000000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1186505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29.2.4 gydymo juo kaštai yra didesni esant iš esmės nesiskiriančiam palyginamajam veiksmingumui, taikant arba netaikant PGS</w:t>
            </w:r>
          </w:p>
          <w:p w14:paraId="4A6AF878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04CAFED2" w14:textId="77777777" w:rsidR="00AB6C7B" w:rsidRPr="009300B3" w:rsidRDefault="00000000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C7B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B6C7B" w:rsidRPr="009300B3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7A9E6EFD" w14:textId="77777777" w:rsidR="00AB6C7B" w:rsidRPr="009300B3" w:rsidRDefault="00AB6C7B" w:rsidP="008E0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</w:tbl>
    <w:p w14:paraId="1B85C083" w14:textId="77777777" w:rsidR="009E44AE" w:rsidRPr="000203E1" w:rsidRDefault="009E44AE" w:rsidP="00434D0C">
      <w:pPr>
        <w:spacing w:line="276" w:lineRule="auto"/>
      </w:pPr>
    </w:p>
    <w:p w14:paraId="3B2D1F25" w14:textId="668B34FC" w:rsidR="000001B0" w:rsidRPr="00EC194E" w:rsidRDefault="000001B0" w:rsidP="00434D0C">
      <w:pPr>
        <w:pStyle w:val="Sraopastraipa"/>
        <w:numPr>
          <w:ilvl w:val="0"/>
          <w:numId w:val="12"/>
        </w:numPr>
        <w:spacing w:line="276" w:lineRule="auto"/>
        <w:ind w:left="567" w:hanging="567"/>
      </w:pPr>
      <w:r w:rsidRPr="00EC194E">
        <w:rPr>
          <w:b/>
        </w:rPr>
        <w:t>REKOME</w:t>
      </w:r>
      <w:r w:rsidR="00D83182" w:rsidRPr="00EC194E">
        <w:rPr>
          <w:b/>
        </w:rPr>
        <w:t>N</w:t>
      </w:r>
      <w:r w:rsidRPr="00EC194E">
        <w:rPr>
          <w:b/>
        </w:rPr>
        <w:t>DACIJA</w:t>
      </w:r>
    </w:p>
    <w:p w14:paraId="753C7A38" w14:textId="77777777" w:rsidR="00D8151D" w:rsidRPr="00F533A8" w:rsidRDefault="00D8151D" w:rsidP="00434D0C">
      <w:pPr>
        <w:pStyle w:val="Sraopastraipa"/>
        <w:spacing w:line="276" w:lineRule="auto"/>
        <w:ind w:left="567"/>
        <w:rPr>
          <w:highlight w:val="yellow"/>
        </w:rPr>
      </w:pPr>
    </w:p>
    <w:p w14:paraId="546A0D2B" w14:textId="77777777" w:rsidR="00EC194E" w:rsidRDefault="00EC194E" w:rsidP="00EC194E">
      <w:pPr>
        <w:spacing w:line="276" w:lineRule="auto"/>
        <w:jc w:val="both"/>
        <w:rPr>
          <w:color w:val="000000"/>
          <w:lang w:eastAsia="lt-LT"/>
        </w:rPr>
      </w:pPr>
      <w:r w:rsidRPr="002A024D">
        <w:t>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patvirtinimo“, punktu</w:t>
      </w:r>
      <w:r>
        <w:t xml:space="preserve"> </w:t>
      </w:r>
      <w:r>
        <w:rPr>
          <w:color w:val="000000"/>
        </w:rPr>
        <w:t>30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.1. kai vertinimo išvados atitinka Aprašo 29.1.1 ir 29.2.1 papunkčiuose numatytas sąlygas arba Aprašo 29.1.2 ir 29.2.2 papunkčiuose numatytas sąlygas, teikiama rekomendacija </w:t>
      </w:r>
      <w:r w:rsidRPr="005C6809">
        <w:rPr>
          <w:i/>
          <w:color w:val="000000"/>
        </w:rPr>
        <w:t>kompensuoti</w:t>
      </w:r>
      <w:r>
        <w:rPr>
          <w:color w:val="000000"/>
        </w:rPr>
        <w:t xml:space="preserve"> vaistinį preparatą pagal paraiškoje nurodytą indikaciją (arba jos dalį) su arba be skyrimo sąlygų, taikant ar netaikant PGS</w:t>
      </w:r>
      <w:r>
        <w:rPr>
          <w:color w:val="000000"/>
          <w:lang w:eastAsia="lt-LT"/>
        </w:rPr>
        <w:t>.</w:t>
      </w:r>
    </w:p>
    <w:p w14:paraId="562A1372" w14:textId="3BB9D4D1" w:rsidR="00283E59" w:rsidRDefault="00283E59" w:rsidP="00283E59">
      <w:pPr>
        <w:jc w:val="both"/>
        <w:rPr>
          <w:b/>
          <w:sz w:val="20"/>
        </w:rPr>
      </w:pPr>
    </w:p>
    <w:p w14:paraId="6E31080F" w14:textId="77777777" w:rsidR="002D48DF" w:rsidRPr="0073329D" w:rsidRDefault="002D48DF" w:rsidP="002D48DF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 w:rsidRPr="0073329D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6A0F1D29" w14:textId="77777777" w:rsidR="002D48DF" w:rsidRPr="0073329D" w:rsidRDefault="00000000" w:rsidP="002D48DF">
      <w:pPr>
        <w:pStyle w:val="Betarp"/>
        <w:rPr>
          <w:rFonts w:ascii="Times New Roman" w:hAnsi="Times New Roman"/>
          <w:sz w:val="24"/>
          <w:szCs w:val="24"/>
        </w:rPr>
      </w:pPr>
      <w:sdt>
        <w:sdtPr>
          <w:rPr>
            <w:rStyle w:val="Style2"/>
            <w:rFonts w:ascii="Times New Roman" w:hAnsi="Times New Roman"/>
            <w:sz w:val="24"/>
            <w:szCs w:val="24"/>
          </w:rPr>
          <w:id w:val="11463166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D48DF">
            <w:rPr>
              <w:rStyle w:val="Style2"/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D48DF" w:rsidRPr="0073329D">
        <w:rPr>
          <w:rFonts w:ascii="Times New Roman" w:hAnsi="Times New Roman"/>
          <w:sz w:val="24"/>
          <w:szCs w:val="24"/>
        </w:rPr>
        <w:t xml:space="preserve"> Siūloma kompensuoti Pareiškėjo teikiamą indikaciją be pakeitimų</w:t>
      </w:r>
      <w:r w:rsidR="002D48DF">
        <w:rPr>
          <w:rFonts w:ascii="Times New Roman" w:hAnsi="Times New Roman"/>
          <w:sz w:val="24"/>
          <w:szCs w:val="24"/>
        </w:rPr>
        <w:t>.</w:t>
      </w:r>
    </w:p>
    <w:p w14:paraId="34D0E57C" w14:textId="77777777" w:rsidR="002D48DF" w:rsidRPr="00504C19" w:rsidRDefault="002D48DF" w:rsidP="002D48DF">
      <w:pPr>
        <w:spacing w:after="120"/>
        <w:jc w:val="both"/>
      </w:pPr>
      <w:proofErr w:type="spellStart"/>
      <w:r w:rsidRPr="00504C19">
        <w:t>Tevimbra</w:t>
      </w:r>
      <w:proofErr w:type="spellEnd"/>
      <w:r w:rsidRPr="00504C19">
        <w:t xml:space="preserve"> </w:t>
      </w:r>
      <w:proofErr w:type="spellStart"/>
      <w:r w:rsidRPr="00504C19">
        <w:t>monoterapija</w:t>
      </w:r>
      <w:proofErr w:type="spellEnd"/>
      <w:r w:rsidRPr="00504C19">
        <w:t xml:space="preserve"> skirta </w:t>
      </w:r>
      <w:proofErr w:type="spellStart"/>
      <w:r w:rsidRPr="00504C19">
        <w:t>neoperabilia</w:t>
      </w:r>
      <w:proofErr w:type="spellEnd"/>
      <w:r w:rsidRPr="00504C19">
        <w:t xml:space="preserve">, vietiškai išplitusia ar </w:t>
      </w:r>
      <w:proofErr w:type="spellStart"/>
      <w:r w:rsidRPr="00504C19">
        <w:t>metastazavusia</w:t>
      </w:r>
      <w:proofErr w:type="spellEnd"/>
      <w:r w:rsidRPr="00504C19">
        <w:t xml:space="preserve"> stemplės </w:t>
      </w:r>
      <w:proofErr w:type="spellStart"/>
      <w:r w:rsidRPr="00504C19">
        <w:t>plokščialąsteline</w:t>
      </w:r>
      <w:proofErr w:type="spellEnd"/>
      <w:r w:rsidRPr="00504C19">
        <w:t xml:space="preserve"> karcinoma sergančių suaugusių pacientų gydymui po anksčiau skirtos chemoterapijos su platinos preparatais.</w:t>
      </w:r>
    </w:p>
    <w:p w14:paraId="62A3075D" w14:textId="77777777" w:rsidR="002D48DF" w:rsidRDefault="002D48DF" w:rsidP="002D48D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TLK-10 AM kodas – C15.</w:t>
      </w:r>
    </w:p>
    <w:p w14:paraId="235E6795" w14:textId="77777777" w:rsidR="002D48DF" w:rsidRPr="0073329D" w:rsidRDefault="002D48DF" w:rsidP="002D48DF">
      <w:pPr>
        <w:pStyle w:val="Betarp"/>
        <w:rPr>
          <w:rFonts w:ascii="Times New Roman" w:hAnsi="Times New Roman"/>
          <w:sz w:val="24"/>
          <w:szCs w:val="24"/>
        </w:rPr>
      </w:pPr>
    </w:p>
    <w:p w14:paraId="77B88F13" w14:textId="77777777" w:rsidR="002D48DF" w:rsidRPr="0073329D" w:rsidRDefault="002D48DF" w:rsidP="002D48DF">
      <w:pPr>
        <w:pStyle w:val="Betarp"/>
        <w:rPr>
          <w:rFonts w:ascii="Times New Roman" w:hAnsi="Times New Roman"/>
          <w:b/>
          <w:sz w:val="24"/>
          <w:szCs w:val="24"/>
        </w:rPr>
      </w:pPr>
      <w:r w:rsidRPr="0073329D">
        <w:rPr>
          <w:rFonts w:ascii="Times New Roman" w:hAnsi="Times New Roman"/>
          <w:b/>
          <w:sz w:val="24"/>
          <w:szCs w:val="24"/>
        </w:rPr>
        <w:t>Skyrimo sąlygos</w:t>
      </w:r>
    </w:p>
    <w:p w14:paraId="3B6D262D" w14:textId="77777777" w:rsidR="002D48DF" w:rsidRDefault="00000000" w:rsidP="002D48DF">
      <w:pPr>
        <w:pStyle w:val="Betarp"/>
        <w:rPr>
          <w:rFonts w:ascii="Times New Roman" w:hAnsi="Times New Roman"/>
          <w:sz w:val="24"/>
          <w:szCs w:val="24"/>
        </w:rPr>
      </w:pPr>
      <w:sdt>
        <w:sdtPr>
          <w:rPr>
            <w:rStyle w:val="Style2"/>
            <w:rFonts w:ascii="Times New Roman" w:hAnsi="Times New Roman"/>
            <w:sz w:val="24"/>
            <w:szCs w:val="24"/>
          </w:rPr>
          <w:id w:val="1823936883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D48DF">
            <w:rPr>
              <w:rStyle w:val="Style2"/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D48DF" w:rsidRPr="0073329D">
        <w:rPr>
          <w:rFonts w:ascii="Times New Roman" w:hAnsi="Times New Roman"/>
          <w:sz w:val="24"/>
          <w:szCs w:val="24"/>
        </w:rPr>
        <w:t xml:space="preserve"> Pareiškėjo siūlomos skyrimo sąlygos nepriimtinos.</w:t>
      </w:r>
    </w:p>
    <w:p w14:paraId="655E5D7E" w14:textId="77777777" w:rsidR="002D48DF" w:rsidRPr="009514D3" w:rsidRDefault="002D48DF" w:rsidP="002D48DF">
      <w:pPr>
        <w:pStyle w:val="Betarp"/>
        <w:rPr>
          <w:rFonts w:ascii="Times New Roman" w:hAnsi="Times New Roman"/>
          <w:sz w:val="24"/>
          <w:szCs w:val="24"/>
        </w:rPr>
      </w:pPr>
      <w:r w:rsidRPr="0002009B">
        <w:rPr>
          <w:rFonts w:ascii="Times New Roman" w:hAnsi="Times New Roman"/>
          <w:b/>
          <w:bCs/>
          <w:sz w:val="24"/>
          <w:szCs w:val="24"/>
        </w:rPr>
        <w:t xml:space="preserve">Siūlomos </w:t>
      </w:r>
      <w:proofErr w:type="spellStart"/>
      <w:r w:rsidRPr="0002009B">
        <w:rPr>
          <w:rFonts w:ascii="Times New Roman" w:hAnsi="Times New Roman"/>
          <w:b/>
          <w:bCs/>
          <w:sz w:val="24"/>
          <w:szCs w:val="24"/>
        </w:rPr>
        <w:t>skyrimos</w:t>
      </w:r>
      <w:proofErr w:type="spellEnd"/>
      <w:r w:rsidRPr="0002009B">
        <w:rPr>
          <w:rFonts w:ascii="Times New Roman" w:hAnsi="Times New Roman"/>
          <w:b/>
          <w:bCs/>
          <w:sz w:val="24"/>
          <w:szCs w:val="24"/>
        </w:rPr>
        <w:t xml:space="preserve"> sąlygos</w:t>
      </w:r>
      <w:r>
        <w:rPr>
          <w:rFonts w:ascii="Times New Roman" w:hAnsi="Times New Roman"/>
          <w:sz w:val="24"/>
          <w:szCs w:val="24"/>
        </w:rPr>
        <w:t>:</w:t>
      </w:r>
    </w:p>
    <w:p w14:paraId="7035A01C" w14:textId="77777777" w:rsidR="002D48DF" w:rsidRDefault="002D48DF" w:rsidP="002D48DF">
      <w:pPr>
        <w:jc w:val="both"/>
        <w:rPr>
          <w:bCs/>
        </w:rPr>
      </w:pPr>
      <w:r w:rsidRPr="00C759A0">
        <w:rPr>
          <w:bCs/>
        </w:rPr>
        <w:t xml:space="preserve">Skiriamas </w:t>
      </w:r>
      <w:proofErr w:type="spellStart"/>
      <w:r w:rsidRPr="00C759A0">
        <w:rPr>
          <w:bCs/>
        </w:rPr>
        <w:t>monoterapijai</w:t>
      </w:r>
      <w:proofErr w:type="spellEnd"/>
      <w:r w:rsidRPr="00C759A0">
        <w:rPr>
          <w:bCs/>
        </w:rPr>
        <w:t xml:space="preserve"> neoperuotina pažengusia</w:t>
      </w:r>
      <w:r>
        <w:rPr>
          <w:bCs/>
        </w:rPr>
        <w:t xml:space="preserve"> a</w:t>
      </w:r>
      <w:r w:rsidRPr="00C759A0">
        <w:rPr>
          <w:bCs/>
        </w:rPr>
        <w:t xml:space="preserve">rba </w:t>
      </w:r>
      <w:proofErr w:type="spellStart"/>
      <w:r w:rsidRPr="00C759A0">
        <w:rPr>
          <w:bCs/>
        </w:rPr>
        <w:t>metastazavusia</w:t>
      </w:r>
      <w:proofErr w:type="spellEnd"/>
      <w:r w:rsidRPr="00C759A0">
        <w:rPr>
          <w:bCs/>
        </w:rPr>
        <w:t xml:space="preserve"> stemplės plokščiųjų ląstelių karcinoma sergantiems pacientams, kurių liga progresavo</w:t>
      </w:r>
      <w:r>
        <w:rPr>
          <w:bCs/>
        </w:rPr>
        <w:t xml:space="preserve"> po gydymo </w:t>
      </w:r>
      <w:proofErr w:type="spellStart"/>
      <w:r w:rsidRPr="00C759A0">
        <w:rPr>
          <w:bCs/>
        </w:rPr>
        <w:t>fluoropirimidinų</w:t>
      </w:r>
      <w:proofErr w:type="spellEnd"/>
      <w:r w:rsidRPr="00C759A0">
        <w:rPr>
          <w:bCs/>
        </w:rPr>
        <w:t xml:space="preserve"> ir platinos pagrindo chemoterapij</w:t>
      </w:r>
      <w:r>
        <w:rPr>
          <w:bCs/>
        </w:rPr>
        <w:t xml:space="preserve">a </w:t>
      </w:r>
      <w:r w:rsidRPr="00C759A0">
        <w:rPr>
          <w:bCs/>
        </w:rPr>
        <w:t xml:space="preserve">arba kurie </w:t>
      </w:r>
      <w:proofErr w:type="spellStart"/>
      <w:r w:rsidRPr="00C759A0">
        <w:rPr>
          <w:bCs/>
        </w:rPr>
        <w:t>fluoropirimidinų</w:t>
      </w:r>
      <w:proofErr w:type="spellEnd"/>
      <w:r w:rsidRPr="00C759A0">
        <w:rPr>
          <w:bCs/>
        </w:rPr>
        <w:t xml:space="preserve"> ir platinos pagrindo chemoterapinio gydymo netoleravo.</w:t>
      </w:r>
    </w:p>
    <w:p w14:paraId="7347B9C4" w14:textId="77777777" w:rsidR="002D48DF" w:rsidRDefault="002D48DF" w:rsidP="002D48DF">
      <w:pPr>
        <w:spacing w:line="276" w:lineRule="auto"/>
        <w:jc w:val="both"/>
        <w:rPr>
          <w:b/>
          <w:i/>
          <w:color w:val="000000"/>
          <w:lang w:eastAsia="lt-LT"/>
        </w:rPr>
      </w:pPr>
    </w:p>
    <w:p w14:paraId="5E3E5498" w14:textId="71FF896B" w:rsidR="002D48DF" w:rsidRDefault="002D48DF" w:rsidP="002D48DF">
      <w:pPr>
        <w:spacing w:line="276" w:lineRule="auto"/>
        <w:jc w:val="both"/>
        <w:rPr>
          <w:b/>
          <w:i/>
          <w:color w:val="000000"/>
          <w:lang w:eastAsia="lt-LT"/>
        </w:rPr>
      </w:pPr>
      <w:r>
        <w:rPr>
          <w:b/>
          <w:i/>
          <w:color w:val="000000"/>
          <w:lang w:eastAsia="lt-LT"/>
        </w:rPr>
        <w:t>Pastaba</w:t>
      </w:r>
    </w:p>
    <w:p w14:paraId="7CDFF220" w14:textId="1A542974" w:rsidR="000723FF" w:rsidRPr="00005724" w:rsidRDefault="002D48DF" w:rsidP="00005724">
      <w:pPr>
        <w:spacing w:line="276" w:lineRule="auto"/>
        <w:jc w:val="both"/>
      </w:pPr>
      <w:r>
        <w:rPr>
          <w:color w:val="000000"/>
          <w:lang w:eastAsia="lt-LT"/>
        </w:rPr>
        <w:t xml:space="preserve">Vadovaujantis Kompensuojamųjų vaistinių preparatų Tvarkos aprašo 35 punktu, atsižvelgiant į papildomos analizės (KMA) rezultatus, Tarnyba rekomenduoja kompensuoti </w:t>
      </w:r>
      <w:proofErr w:type="spellStart"/>
      <w:r>
        <w:rPr>
          <w:color w:val="000000"/>
          <w:lang w:eastAsia="lt-LT"/>
        </w:rPr>
        <w:t>tislelizumabą</w:t>
      </w:r>
      <w:proofErr w:type="spellEnd"/>
      <w:r>
        <w:rPr>
          <w:color w:val="000000"/>
          <w:lang w:eastAsia="lt-LT"/>
        </w:rPr>
        <w:t xml:space="preserve"> su sąlyga, kad bus pasiekiami Tvarkos aprašo </w:t>
      </w:r>
      <w:r w:rsidRPr="00B30355">
        <w:rPr>
          <w:color w:val="000000"/>
        </w:rPr>
        <w:t>54.1</w:t>
      </w:r>
      <w:r w:rsidRPr="00B30355">
        <w:rPr>
          <w:color w:val="000000"/>
          <w:vertAlign w:val="superscript"/>
        </w:rPr>
        <w:t>1</w:t>
      </w:r>
      <w:r>
        <w:rPr>
          <w:rFonts w:eastAsia="Arial"/>
        </w:rPr>
        <w:t xml:space="preserve">punkte numatyti reikalavimai: </w:t>
      </w:r>
      <w:proofErr w:type="spellStart"/>
      <w:r>
        <w:rPr>
          <w:rFonts w:eastAsia="Arial"/>
        </w:rPr>
        <w:t>t.y</w:t>
      </w:r>
      <w:proofErr w:type="spellEnd"/>
      <w:r>
        <w:rPr>
          <w:rFonts w:eastAsia="Arial"/>
        </w:rPr>
        <w:t xml:space="preserve">., </w:t>
      </w:r>
      <w:r>
        <w:rPr>
          <w:color w:val="000000"/>
        </w:rPr>
        <w:t xml:space="preserve">lyginant su </w:t>
      </w:r>
      <w:proofErr w:type="spellStart"/>
      <w:r>
        <w:rPr>
          <w:color w:val="000000"/>
        </w:rPr>
        <w:t>nivolumabu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eastAsia="Arial"/>
        </w:rPr>
        <w:t>tislelizumabo</w:t>
      </w:r>
      <w:proofErr w:type="spellEnd"/>
      <w:r>
        <w:rPr>
          <w:rFonts w:eastAsia="Arial"/>
        </w:rPr>
        <w:t xml:space="preserve"> kaštai </w:t>
      </w:r>
      <w:r>
        <w:rPr>
          <w:color w:val="000000"/>
          <w:u w:val="single"/>
        </w:rPr>
        <w:t>mažės</w:t>
      </w:r>
      <w:r w:rsidRPr="00565F9E">
        <w:rPr>
          <w:color w:val="000000"/>
          <w:u w:val="single"/>
        </w:rPr>
        <w:t xml:space="preserve"> ne mažiau kaip 5 proc. pirmaisiais kompensavimo metais ir šis mažėjimas </w:t>
      </w:r>
      <w:r>
        <w:rPr>
          <w:color w:val="000000"/>
          <w:u w:val="single"/>
        </w:rPr>
        <w:t xml:space="preserve">bus </w:t>
      </w:r>
      <w:r w:rsidRPr="00565F9E">
        <w:rPr>
          <w:color w:val="000000"/>
          <w:u w:val="single"/>
        </w:rPr>
        <w:t>išlaikomas per pirmuosius penkerius vaistinio preparato kompensavimo metus</w:t>
      </w:r>
      <w:r w:rsidRPr="00565F9E">
        <w:rPr>
          <w:color w:val="000000"/>
        </w:rPr>
        <w:t>.</w:t>
      </w:r>
    </w:p>
    <w:sectPr w:rsidR="000723FF" w:rsidRPr="00005724" w:rsidSect="005D30E1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5D61" w14:textId="77777777" w:rsidR="00F14C30" w:rsidRDefault="00F14C30">
      <w:r>
        <w:separator/>
      </w:r>
    </w:p>
  </w:endnote>
  <w:endnote w:type="continuationSeparator" w:id="0">
    <w:p w14:paraId="02C2307D" w14:textId="77777777" w:rsidR="00F14C30" w:rsidRDefault="00F1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E45B" w14:textId="77777777" w:rsidR="00F14C30" w:rsidRDefault="00F14C30">
      <w:r>
        <w:separator/>
      </w:r>
    </w:p>
  </w:footnote>
  <w:footnote w:type="continuationSeparator" w:id="0">
    <w:p w14:paraId="160DB12C" w14:textId="77777777" w:rsidR="00F14C30" w:rsidRDefault="00F1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A2A34"/>
    <w:multiLevelType w:val="hybridMultilevel"/>
    <w:tmpl w:val="2E500B54"/>
    <w:lvl w:ilvl="0" w:tplc="042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216AB5"/>
    <w:multiLevelType w:val="hybridMultilevel"/>
    <w:tmpl w:val="113CAFF0"/>
    <w:lvl w:ilvl="0" w:tplc="E90295A2">
      <w:start w:val="3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8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17613"/>
    <w:multiLevelType w:val="hybridMultilevel"/>
    <w:tmpl w:val="FCD2D0E8"/>
    <w:lvl w:ilvl="0" w:tplc="CFBE42C6">
      <w:start w:val="3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5A00"/>
    <w:multiLevelType w:val="hybridMultilevel"/>
    <w:tmpl w:val="E2B4A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11115"/>
    <w:multiLevelType w:val="hybridMultilevel"/>
    <w:tmpl w:val="22EAE5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45CA"/>
    <w:multiLevelType w:val="hybridMultilevel"/>
    <w:tmpl w:val="65C2244C"/>
    <w:lvl w:ilvl="0" w:tplc="2F5C4CA2">
      <w:start w:val="3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131FC"/>
    <w:multiLevelType w:val="multilevel"/>
    <w:tmpl w:val="A5A8ACE8"/>
    <w:lvl w:ilvl="0">
      <w:start w:val="3138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2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9034997">
    <w:abstractNumId w:val="8"/>
  </w:num>
  <w:num w:numId="2" w16cid:durableId="784228087">
    <w:abstractNumId w:val="1"/>
  </w:num>
  <w:num w:numId="3" w16cid:durableId="413431650">
    <w:abstractNumId w:val="11"/>
  </w:num>
  <w:num w:numId="4" w16cid:durableId="733822939">
    <w:abstractNumId w:val="10"/>
  </w:num>
  <w:num w:numId="5" w16cid:durableId="1152065998">
    <w:abstractNumId w:val="7"/>
  </w:num>
  <w:num w:numId="6" w16cid:durableId="903376568">
    <w:abstractNumId w:val="6"/>
  </w:num>
  <w:num w:numId="7" w16cid:durableId="1318148321">
    <w:abstractNumId w:val="4"/>
  </w:num>
  <w:num w:numId="8" w16cid:durableId="38669731">
    <w:abstractNumId w:val="16"/>
  </w:num>
  <w:num w:numId="9" w16cid:durableId="2110344966">
    <w:abstractNumId w:val="0"/>
  </w:num>
  <w:num w:numId="10" w16cid:durableId="87778389">
    <w:abstractNumId w:val="12"/>
  </w:num>
  <w:num w:numId="11" w16cid:durableId="1323781180">
    <w:abstractNumId w:val="15"/>
  </w:num>
  <w:num w:numId="12" w16cid:durableId="843204242">
    <w:abstractNumId w:val="3"/>
  </w:num>
  <w:num w:numId="13" w16cid:durableId="1065106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999042">
    <w:abstractNumId w:val="13"/>
  </w:num>
  <w:num w:numId="15" w16cid:durableId="1597398910">
    <w:abstractNumId w:val="2"/>
  </w:num>
  <w:num w:numId="16" w16cid:durableId="33890876">
    <w:abstractNumId w:val="17"/>
  </w:num>
  <w:num w:numId="17" w16cid:durableId="1597784035">
    <w:abstractNumId w:val="18"/>
  </w:num>
  <w:num w:numId="18" w16cid:durableId="1588616501">
    <w:abstractNumId w:val="9"/>
  </w:num>
  <w:num w:numId="19" w16cid:durableId="1092705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05724"/>
    <w:rsid w:val="000114DD"/>
    <w:rsid w:val="000136F7"/>
    <w:rsid w:val="00016F32"/>
    <w:rsid w:val="000203E1"/>
    <w:rsid w:val="000206A0"/>
    <w:rsid w:val="0002686C"/>
    <w:rsid w:val="00031D0E"/>
    <w:rsid w:val="000337E6"/>
    <w:rsid w:val="0003402E"/>
    <w:rsid w:val="00034EAE"/>
    <w:rsid w:val="00042924"/>
    <w:rsid w:val="00045709"/>
    <w:rsid w:val="00053975"/>
    <w:rsid w:val="00057A2B"/>
    <w:rsid w:val="000606BE"/>
    <w:rsid w:val="000723FF"/>
    <w:rsid w:val="000736B8"/>
    <w:rsid w:val="0008190F"/>
    <w:rsid w:val="00081D9C"/>
    <w:rsid w:val="00082907"/>
    <w:rsid w:val="0008378D"/>
    <w:rsid w:val="000908A5"/>
    <w:rsid w:val="0009140B"/>
    <w:rsid w:val="00092805"/>
    <w:rsid w:val="000C454C"/>
    <w:rsid w:val="000D5038"/>
    <w:rsid w:val="000E29D4"/>
    <w:rsid w:val="000F0099"/>
    <w:rsid w:val="000F3540"/>
    <w:rsid w:val="00100491"/>
    <w:rsid w:val="00104E2E"/>
    <w:rsid w:val="00107287"/>
    <w:rsid w:val="00117406"/>
    <w:rsid w:val="00121EF0"/>
    <w:rsid w:val="00124A9E"/>
    <w:rsid w:val="00130703"/>
    <w:rsid w:val="0013153F"/>
    <w:rsid w:val="001408B8"/>
    <w:rsid w:val="001478D2"/>
    <w:rsid w:val="001517E2"/>
    <w:rsid w:val="001521D9"/>
    <w:rsid w:val="001554E2"/>
    <w:rsid w:val="00164146"/>
    <w:rsid w:val="00164D64"/>
    <w:rsid w:val="0017369C"/>
    <w:rsid w:val="00175D57"/>
    <w:rsid w:val="00180C39"/>
    <w:rsid w:val="00180D96"/>
    <w:rsid w:val="00184BD3"/>
    <w:rsid w:val="00184F42"/>
    <w:rsid w:val="001921F3"/>
    <w:rsid w:val="001A35F9"/>
    <w:rsid w:val="001A5428"/>
    <w:rsid w:val="001B3C5B"/>
    <w:rsid w:val="001D1DCA"/>
    <w:rsid w:val="001D5B91"/>
    <w:rsid w:val="001D746F"/>
    <w:rsid w:val="001E4BBB"/>
    <w:rsid w:val="001E6304"/>
    <w:rsid w:val="0020381E"/>
    <w:rsid w:val="00207DD4"/>
    <w:rsid w:val="00213471"/>
    <w:rsid w:val="00215906"/>
    <w:rsid w:val="00225518"/>
    <w:rsid w:val="00225A7A"/>
    <w:rsid w:val="00241CD8"/>
    <w:rsid w:val="00244B09"/>
    <w:rsid w:val="002519CB"/>
    <w:rsid w:val="0025697F"/>
    <w:rsid w:val="00260258"/>
    <w:rsid w:val="0026519C"/>
    <w:rsid w:val="0026588E"/>
    <w:rsid w:val="00272428"/>
    <w:rsid w:val="00272948"/>
    <w:rsid w:val="00283E59"/>
    <w:rsid w:val="00292392"/>
    <w:rsid w:val="002946C7"/>
    <w:rsid w:val="002A3E57"/>
    <w:rsid w:val="002B3CC1"/>
    <w:rsid w:val="002C09E0"/>
    <w:rsid w:val="002C1BB1"/>
    <w:rsid w:val="002C2786"/>
    <w:rsid w:val="002C3A10"/>
    <w:rsid w:val="002C4A90"/>
    <w:rsid w:val="002C4ED5"/>
    <w:rsid w:val="002D02EF"/>
    <w:rsid w:val="002D2BF7"/>
    <w:rsid w:val="002D48DF"/>
    <w:rsid w:val="002E0702"/>
    <w:rsid w:val="002E57AD"/>
    <w:rsid w:val="002E6F80"/>
    <w:rsid w:val="002F0E4F"/>
    <w:rsid w:val="002F1053"/>
    <w:rsid w:val="0030069A"/>
    <w:rsid w:val="00314816"/>
    <w:rsid w:val="00317B0E"/>
    <w:rsid w:val="003450D7"/>
    <w:rsid w:val="00347FAA"/>
    <w:rsid w:val="0035172D"/>
    <w:rsid w:val="0036187D"/>
    <w:rsid w:val="00367EDB"/>
    <w:rsid w:val="0037543E"/>
    <w:rsid w:val="00381024"/>
    <w:rsid w:val="00386307"/>
    <w:rsid w:val="003874DE"/>
    <w:rsid w:val="00387995"/>
    <w:rsid w:val="00393E9F"/>
    <w:rsid w:val="0039696E"/>
    <w:rsid w:val="003B211A"/>
    <w:rsid w:val="003C141F"/>
    <w:rsid w:val="003C6B0E"/>
    <w:rsid w:val="003C7257"/>
    <w:rsid w:val="003C7E35"/>
    <w:rsid w:val="003D1E99"/>
    <w:rsid w:val="003D6208"/>
    <w:rsid w:val="00404E8A"/>
    <w:rsid w:val="0040622F"/>
    <w:rsid w:val="00407189"/>
    <w:rsid w:val="00413F24"/>
    <w:rsid w:val="00422853"/>
    <w:rsid w:val="00423160"/>
    <w:rsid w:val="00434D0C"/>
    <w:rsid w:val="00453862"/>
    <w:rsid w:val="0045469B"/>
    <w:rsid w:val="00461338"/>
    <w:rsid w:val="004677DB"/>
    <w:rsid w:val="0047179B"/>
    <w:rsid w:val="00476256"/>
    <w:rsid w:val="004841A2"/>
    <w:rsid w:val="0048630F"/>
    <w:rsid w:val="0048680D"/>
    <w:rsid w:val="004947A1"/>
    <w:rsid w:val="0049482A"/>
    <w:rsid w:val="004979D3"/>
    <w:rsid w:val="004A00E7"/>
    <w:rsid w:val="004A3A61"/>
    <w:rsid w:val="004B59BA"/>
    <w:rsid w:val="004B5A03"/>
    <w:rsid w:val="004C263A"/>
    <w:rsid w:val="004D48A6"/>
    <w:rsid w:val="004D7B8F"/>
    <w:rsid w:val="004E15EA"/>
    <w:rsid w:val="004E241F"/>
    <w:rsid w:val="004E6458"/>
    <w:rsid w:val="004E6E7D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3001B"/>
    <w:rsid w:val="0053342B"/>
    <w:rsid w:val="00534E11"/>
    <w:rsid w:val="005378D8"/>
    <w:rsid w:val="005400D9"/>
    <w:rsid w:val="005476A4"/>
    <w:rsid w:val="0055019B"/>
    <w:rsid w:val="00556E63"/>
    <w:rsid w:val="005601A4"/>
    <w:rsid w:val="00566DBB"/>
    <w:rsid w:val="00571D03"/>
    <w:rsid w:val="005767DB"/>
    <w:rsid w:val="005815E6"/>
    <w:rsid w:val="0058712F"/>
    <w:rsid w:val="005976CE"/>
    <w:rsid w:val="005A1DCE"/>
    <w:rsid w:val="005A23D4"/>
    <w:rsid w:val="005A2D1E"/>
    <w:rsid w:val="005A4698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71D9"/>
    <w:rsid w:val="005F7602"/>
    <w:rsid w:val="006062BE"/>
    <w:rsid w:val="00613143"/>
    <w:rsid w:val="00613501"/>
    <w:rsid w:val="0061611B"/>
    <w:rsid w:val="006166A8"/>
    <w:rsid w:val="006174A1"/>
    <w:rsid w:val="00621D6C"/>
    <w:rsid w:val="006334AA"/>
    <w:rsid w:val="00633B49"/>
    <w:rsid w:val="0064297F"/>
    <w:rsid w:val="00645102"/>
    <w:rsid w:val="00646CF3"/>
    <w:rsid w:val="00653D11"/>
    <w:rsid w:val="00662983"/>
    <w:rsid w:val="0066796B"/>
    <w:rsid w:val="0067524F"/>
    <w:rsid w:val="00682F21"/>
    <w:rsid w:val="006834D3"/>
    <w:rsid w:val="00687DC7"/>
    <w:rsid w:val="00692625"/>
    <w:rsid w:val="00695CD3"/>
    <w:rsid w:val="006A38B6"/>
    <w:rsid w:val="006B1987"/>
    <w:rsid w:val="006B5B71"/>
    <w:rsid w:val="006B5D3E"/>
    <w:rsid w:val="006B6CB0"/>
    <w:rsid w:val="006C2B64"/>
    <w:rsid w:val="006C6F33"/>
    <w:rsid w:val="006D1BF3"/>
    <w:rsid w:val="006D4C85"/>
    <w:rsid w:val="006D66AC"/>
    <w:rsid w:val="006E33F6"/>
    <w:rsid w:val="006F1251"/>
    <w:rsid w:val="006F1C23"/>
    <w:rsid w:val="007007BB"/>
    <w:rsid w:val="00702C18"/>
    <w:rsid w:val="00703166"/>
    <w:rsid w:val="007127F3"/>
    <w:rsid w:val="007301CF"/>
    <w:rsid w:val="007316FB"/>
    <w:rsid w:val="00737E2D"/>
    <w:rsid w:val="007424D5"/>
    <w:rsid w:val="00750A88"/>
    <w:rsid w:val="007523DD"/>
    <w:rsid w:val="00757B7E"/>
    <w:rsid w:val="007656B2"/>
    <w:rsid w:val="0077016F"/>
    <w:rsid w:val="007713AD"/>
    <w:rsid w:val="00773799"/>
    <w:rsid w:val="00795DC5"/>
    <w:rsid w:val="00797153"/>
    <w:rsid w:val="007A21F7"/>
    <w:rsid w:val="007A2B68"/>
    <w:rsid w:val="007B0DDA"/>
    <w:rsid w:val="007B6CE3"/>
    <w:rsid w:val="007C5D3B"/>
    <w:rsid w:val="007D3347"/>
    <w:rsid w:val="007E2C2F"/>
    <w:rsid w:val="007E5466"/>
    <w:rsid w:val="007F1949"/>
    <w:rsid w:val="007F2592"/>
    <w:rsid w:val="00800A08"/>
    <w:rsid w:val="0080146E"/>
    <w:rsid w:val="00817A84"/>
    <w:rsid w:val="008225A4"/>
    <w:rsid w:val="00824B92"/>
    <w:rsid w:val="00826D5E"/>
    <w:rsid w:val="00832013"/>
    <w:rsid w:val="00832DB7"/>
    <w:rsid w:val="00834732"/>
    <w:rsid w:val="00843FB8"/>
    <w:rsid w:val="0085200C"/>
    <w:rsid w:val="00857C52"/>
    <w:rsid w:val="00860D5F"/>
    <w:rsid w:val="00880A44"/>
    <w:rsid w:val="0088345E"/>
    <w:rsid w:val="0088656F"/>
    <w:rsid w:val="00891EF6"/>
    <w:rsid w:val="008A0303"/>
    <w:rsid w:val="008A5FDD"/>
    <w:rsid w:val="008C01DC"/>
    <w:rsid w:val="008C3947"/>
    <w:rsid w:val="008E329C"/>
    <w:rsid w:val="008E473B"/>
    <w:rsid w:val="008E51A6"/>
    <w:rsid w:val="008E7329"/>
    <w:rsid w:val="008F2ED5"/>
    <w:rsid w:val="009017F0"/>
    <w:rsid w:val="0092297E"/>
    <w:rsid w:val="00923651"/>
    <w:rsid w:val="00927B56"/>
    <w:rsid w:val="00931A54"/>
    <w:rsid w:val="009341BF"/>
    <w:rsid w:val="00937907"/>
    <w:rsid w:val="00941739"/>
    <w:rsid w:val="00951573"/>
    <w:rsid w:val="00963003"/>
    <w:rsid w:val="00966EEF"/>
    <w:rsid w:val="00971B28"/>
    <w:rsid w:val="00983471"/>
    <w:rsid w:val="009909AB"/>
    <w:rsid w:val="009A33BF"/>
    <w:rsid w:val="009A69EC"/>
    <w:rsid w:val="009B37DB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31E86"/>
    <w:rsid w:val="00A54D87"/>
    <w:rsid w:val="00A5553C"/>
    <w:rsid w:val="00A701C9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B6C7B"/>
    <w:rsid w:val="00AC26FC"/>
    <w:rsid w:val="00AC4A99"/>
    <w:rsid w:val="00AC64D2"/>
    <w:rsid w:val="00AD02E7"/>
    <w:rsid w:val="00AE0FE8"/>
    <w:rsid w:val="00AE3B31"/>
    <w:rsid w:val="00AF60D5"/>
    <w:rsid w:val="00B00959"/>
    <w:rsid w:val="00B04415"/>
    <w:rsid w:val="00B06509"/>
    <w:rsid w:val="00B11D60"/>
    <w:rsid w:val="00B13D65"/>
    <w:rsid w:val="00B21805"/>
    <w:rsid w:val="00B3072E"/>
    <w:rsid w:val="00B33E91"/>
    <w:rsid w:val="00B33FA8"/>
    <w:rsid w:val="00B36E15"/>
    <w:rsid w:val="00B37245"/>
    <w:rsid w:val="00B4017A"/>
    <w:rsid w:val="00B4468D"/>
    <w:rsid w:val="00B71C72"/>
    <w:rsid w:val="00B72A0A"/>
    <w:rsid w:val="00B81E92"/>
    <w:rsid w:val="00B87CFD"/>
    <w:rsid w:val="00B908D7"/>
    <w:rsid w:val="00B935E8"/>
    <w:rsid w:val="00B93B30"/>
    <w:rsid w:val="00B94CB5"/>
    <w:rsid w:val="00BA0DD9"/>
    <w:rsid w:val="00BA5DBC"/>
    <w:rsid w:val="00BA6584"/>
    <w:rsid w:val="00BB6312"/>
    <w:rsid w:val="00BC22A0"/>
    <w:rsid w:val="00BC4D06"/>
    <w:rsid w:val="00BD585E"/>
    <w:rsid w:val="00BD6919"/>
    <w:rsid w:val="00BE1EA7"/>
    <w:rsid w:val="00BE7489"/>
    <w:rsid w:val="00BF2E0D"/>
    <w:rsid w:val="00BF3927"/>
    <w:rsid w:val="00BF3F8B"/>
    <w:rsid w:val="00BF62C4"/>
    <w:rsid w:val="00BF76DA"/>
    <w:rsid w:val="00C07C7B"/>
    <w:rsid w:val="00C16245"/>
    <w:rsid w:val="00C1763F"/>
    <w:rsid w:val="00C22DC5"/>
    <w:rsid w:val="00C24479"/>
    <w:rsid w:val="00C273F2"/>
    <w:rsid w:val="00C37B53"/>
    <w:rsid w:val="00C434EB"/>
    <w:rsid w:val="00C517D2"/>
    <w:rsid w:val="00C5772E"/>
    <w:rsid w:val="00C62B36"/>
    <w:rsid w:val="00C7012C"/>
    <w:rsid w:val="00C712EA"/>
    <w:rsid w:val="00C80E90"/>
    <w:rsid w:val="00CA2114"/>
    <w:rsid w:val="00CA217D"/>
    <w:rsid w:val="00CC09D4"/>
    <w:rsid w:val="00CC668D"/>
    <w:rsid w:val="00CC7832"/>
    <w:rsid w:val="00CD488E"/>
    <w:rsid w:val="00CF0C1C"/>
    <w:rsid w:val="00CF27FD"/>
    <w:rsid w:val="00CF5F12"/>
    <w:rsid w:val="00D00D8F"/>
    <w:rsid w:val="00D10406"/>
    <w:rsid w:val="00D118FB"/>
    <w:rsid w:val="00D21F3A"/>
    <w:rsid w:val="00D224A1"/>
    <w:rsid w:val="00D23808"/>
    <w:rsid w:val="00D3016A"/>
    <w:rsid w:val="00D34865"/>
    <w:rsid w:val="00D417D2"/>
    <w:rsid w:val="00D42960"/>
    <w:rsid w:val="00D43BD7"/>
    <w:rsid w:val="00D4485B"/>
    <w:rsid w:val="00D46CCD"/>
    <w:rsid w:val="00D4708D"/>
    <w:rsid w:val="00D4744C"/>
    <w:rsid w:val="00D51824"/>
    <w:rsid w:val="00D521DE"/>
    <w:rsid w:val="00D5470B"/>
    <w:rsid w:val="00D63068"/>
    <w:rsid w:val="00D64441"/>
    <w:rsid w:val="00D6498C"/>
    <w:rsid w:val="00D76A70"/>
    <w:rsid w:val="00D8151D"/>
    <w:rsid w:val="00D83182"/>
    <w:rsid w:val="00D8521E"/>
    <w:rsid w:val="00D9291C"/>
    <w:rsid w:val="00D93A97"/>
    <w:rsid w:val="00DB1F64"/>
    <w:rsid w:val="00DC2F53"/>
    <w:rsid w:val="00DC5359"/>
    <w:rsid w:val="00DC5BAC"/>
    <w:rsid w:val="00DC6816"/>
    <w:rsid w:val="00DC76C2"/>
    <w:rsid w:val="00DD1CF2"/>
    <w:rsid w:val="00DD72FA"/>
    <w:rsid w:val="00DE1DD6"/>
    <w:rsid w:val="00DE4484"/>
    <w:rsid w:val="00DF380D"/>
    <w:rsid w:val="00DF41B7"/>
    <w:rsid w:val="00DF4A4A"/>
    <w:rsid w:val="00DF583C"/>
    <w:rsid w:val="00E03C3F"/>
    <w:rsid w:val="00E06FD7"/>
    <w:rsid w:val="00E07417"/>
    <w:rsid w:val="00E24D45"/>
    <w:rsid w:val="00E300BD"/>
    <w:rsid w:val="00E33DB8"/>
    <w:rsid w:val="00E33EFF"/>
    <w:rsid w:val="00E34387"/>
    <w:rsid w:val="00E348BA"/>
    <w:rsid w:val="00E36132"/>
    <w:rsid w:val="00E369FE"/>
    <w:rsid w:val="00E37C6F"/>
    <w:rsid w:val="00E475F8"/>
    <w:rsid w:val="00E5102E"/>
    <w:rsid w:val="00E549A3"/>
    <w:rsid w:val="00E5721C"/>
    <w:rsid w:val="00E619C6"/>
    <w:rsid w:val="00E745A1"/>
    <w:rsid w:val="00E81529"/>
    <w:rsid w:val="00E83A13"/>
    <w:rsid w:val="00EB6FC5"/>
    <w:rsid w:val="00EC194E"/>
    <w:rsid w:val="00EC2356"/>
    <w:rsid w:val="00EC2582"/>
    <w:rsid w:val="00EC337C"/>
    <w:rsid w:val="00EC6BD1"/>
    <w:rsid w:val="00ED0CFF"/>
    <w:rsid w:val="00ED2708"/>
    <w:rsid w:val="00ED31D2"/>
    <w:rsid w:val="00ED76EB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14C30"/>
    <w:rsid w:val="00F167B5"/>
    <w:rsid w:val="00F24BC9"/>
    <w:rsid w:val="00F259FC"/>
    <w:rsid w:val="00F36972"/>
    <w:rsid w:val="00F37DBD"/>
    <w:rsid w:val="00F42426"/>
    <w:rsid w:val="00F456BC"/>
    <w:rsid w:val="00F50666"/>
    <w:rsid w:val="00F533A8"/>
    <w:rsid w:val="00F55C09"/>
    <w:rsid w:val="00F70731"/>
    <w:rsid w:val="00F70C9E"/>
    <w:rsid w:val="00F74A74"/>
    <w:rsid w:val="00F7572C"/>
    <w:rsid w:val="00F8382C"/>
    <w:rsid w:val="00F855D7"/>
    <w:rsid w:val="00F92035"/>
    <w:rsid w:val="00F92748"/>
    <w:rsid w:val="00F938DF"/>
    <w:rsid w:val="00FA4169"/>
    <w:rsid w:val="00FB0D41"/>
    <w:rsid w:val="00FB2030"/>
    <w:rsid w:val="00FC22D9"/>
    <w:rsid w:val="00FC3102"/>
    <w:rsid w:val="00FD0E46"/>
    <w:rsid w:val="00FD1CF2"/>
    <w:rsid w:val="00FD3EDF"/>
    <w:rsid w:val="00FD793C"/>
    <w:rsid w:val="00FE0FD5"/>
    <w:rsid w:val="00FE20E6"/>
    <w:rsid w:val="00FE3E3B"/>
    <w:rsid w:val="00FF4032"/>
    <w:rsid w:val="00FF42F4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Summary box,Dossier Table,Dossier table,Section 3- footnotes,Legemiddelverket 3,Summary Table,ASD Table,Key messages box,Table Grid nm,YHEC table,Lash Style Table,GW Pharma 2,Table Grid No Line"/>
    <w:basedOn w:val="prastojilentel"/>
    <w:uiPriority w:val="59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s Points,Table Header Row,Bullet Paragraph,Bullet Point,Dairy Paragraphe,Table Legend,Bullet List,Bullet1,List Paragraph CCT minutes,Bullet 1,Section 5,1. Bullet Blank,Bulleted - 2,FooterText,List Paragraph1,numbered,列出段落,Ref,B1"/>
    <w:basedOn w:val="prastasis"/>
    <w:link w:val="SraopastraipaDiagrama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s Points Diagrama,Table Header Row Diagrama,Bullet Paragraph Diagrama,Bullet Point Diagrama,Dairy Paragraphe Diagrama,Table Legend Diagrama,Bullet List Diagrama,Bullet1 Diagrama,List Paragraph CCT minutes Diagrama"/>
    <w:link w:val="Sraopastraipa"/>
    <w:uiPriority w:val="34"/>
    <w:qFormat/>
    <w:locked/>
    <w:rsid w:val="00016F32"/>
    <w:rPr>
      <w:sz w:val="24"/>
      <w:szCs w:val="24"/>
      <w:lang w:eastAsia="en-US"/>
    </w:rPr>
  </w:style>
  <w:style w:type="paragraph" w:customStyle="1" w:styleId="Tekstas">
    <w:name w:val="Tekstas"/>
    <w:basedOn w:val="prastasis"/>
    <w:link w:val="TekstasChar"/>
    <w:qFormat/>
    <w:rsid w:val="00931A54"/>
    <w:pPr>
      <w:spacing w:after="120"/>
      <w:jc w:val="both"/>
    </w:pPr>
  </w:style>
  <w:style w:type="character" w:customStyle="1" w:styleId="TekstasChar">
    <w:name w:val="Tekstas Char"/>
    <w:link w:val="Tekstas"/>
    <w:locked/>
    <w:rsid w:val="00931A54"/>
    <w:rPr>
      <w:sz w:val="24"/>
      <w:szCs w:val="24"/>
      <w:lang w:eastAsia="en-US"/>
    </w:rPr>
  </w:style>
  <w:style w:type="character" w:styleId="Emfaz">
    <w:name w:val="Emphasis"/>
    <w:basedOn w:val="Numatytasispastraiposriftas"/>
    <w:qFormat/>
    <w:rsid w:val="00AB6C7B"/>
    <w:rPr>
      <w:i/>
      <w:iCs/>
    </w:rPr>
  </w:style>
  <w:style w:type="table" w:customStyle="1" w:styleId="DossierTable1">
    <w:name w:val="Dossier Table1"/>
    <w:basedOn w:val="prastojilentel"/>
    <w:next w:val="Lentelstinklelis"/>
    <w:rsid w:val="00AB6C7B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3D438FDDC84AEA82E299BC599CBC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0C27AA-2F75-4564-BE94-0A3EE869DBED}"/>
      </w:docPartPr>
      <w:docPartBody>
        <w:p w:rsidR="00C819B5" w:rsidRDefault="00C819B5" w:rsidP="00C819B5">
          <w:pPr>
            <w:pStyle w:val="D23D438FDDC84AEA82E299BC599CBC25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705C79A471446CD9DB13F7B9EBFF0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CBF5F8-2D4F-4987-B110-887BAF9737C8}"/>
      </w:docPartPr>
      <w:docPartBody>
        <w:p w:rsidR="00C819B5" w:rsidRDefault="00C819B5" w:rsidP="00C819B5">
          <w:pPr>
            <w:pStyle w:val="8705C79A471446CD9DB13F7B9EBFF01E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206A0"/>
    <w:rsid w:val="00061157"/>
    <w:rsid w:val="00065284"/>
    <w:rsid w:val="000937FE"/>
    <w:rsid w:val="000A559A"/>
    <w:rsid w:val="000D24D4"/>
    <w:rsid w:val="001A35F9"/>
    <w:rsid w:val="001C35A9"/>
    <w:rsid w:val="001C3BD0"/>
    <w:rsid w:val="001D1DCA"/>
    <w:rsid w:val="00237556"/>
    <w:rsid w:val="003450D7"/>
    <w:rsid w:val="00387995"/>
    <w:rsid w:val="0039303B"/>
    <w:rsid w:val="00407189"/>
    <w:rsid w:val="004144A3"/>
    <w:rsid w:val="004160E7"/>
    <w:rsid w:val="004416C6"/>
    <w:rsid w:val="00456E96"/>
    <w:rsid w:val="0048680D"/>
    <w:rsid w:val="004E15EA"/>
    <w:rsid w:val="004F5AB2"/>
    <w:rsid w:val="005074B9"/>
    <w:rsid w:val="00512455"/>
    <w:rsid w:val="0053001B"/>
    <w:rsid w:val="005C62E5"/>
    <w:rsid w:val="005E40DD"/>
    <w:rsid w:val="006328CD"/>
    <w:rsid w:val="007219C1"/>
    <w:rsid w:val="00753462"/>
    <w:rsid w:val="00772325"/>
    <w:rsid w:val="007A2FE0"/>
    <w:rsid w:val="007C5D3B"/>
    <w:rsid w:val="007C6D1D"/>
    <w:rsid w:val="007C76AC"/>
    <w:rsid w:val="007F014A"/>
    <w:rsid w:val="008526F7"/>
    <w:rsid w:val="008D5053"/>
    <w:rsid w:val="0090074D"/>
    <w:rsid w:val="009017F0"/>
    <w:rsid w:val="009A33BF"/>
    <w:rsid w:val="009B3BF0"/>
    <w:rsid w:val="009D5E5E"/>
    <w:rsid w:val="009F1BB4"/>
    <w:rsid w:val="00A92BBA"/>
    <w:rsid w:val="00AB6ED4"/>
    <w:rsid w:val="00AC39D6"/>
    <w:rsid w:val="00AE3B31"/>
    <w:rsid w:val="00B14210"/>
    <w:rsid w:val="00B22ED6"/>
    <w:rsid w:val="00B23DC0"/>
    <w:rsid w:val="00B96656"/>
    <w:rsid w:val="00BE0C79"/>
    <w:rsid w:val="00C2401D"/>
    <w:rsid w:val="00C250D7"/>
    <w:rsid w:val="00C53A68"/>
    <w:rsid w:val="00C819B5"/>
    <w:rsid w:val="00CA5BB4"/>
    <w:rsid w:val="00CB4BD1"/>
    <w:rsid w:val="00CD139C"/>
    <w:rsid w:val="00CE2DA9"/>
    <w:rsid w:val="00CE44BE"/>
    <w:rsid w:val="00D0142D"/>
    <w:rsid w:val="00D34865"/>
    <w:rsid w:val="00D4356B"/>
    <w:rsid w:val="00D51824"/>
    <w:rsid w:val="00D7162F"/>
    <w:rsid w:val="00D90870"/>
    <w:rsid w:val="00DB4DB5"/>
    <w:rsid w:val="00DE1DD6"/>
    <w:rsid w:val="00DE4D10"/>
    <w:rsid w:val="00E44A86"/>
    <w:rsid w:val="00E522EB"/>
    <w:rsid w:val="00E60827"/>
    <w:rsid w:val="00EF395F"/>
    <w:rsid w:val="00EF6E0C"/>
    <w:rsid w:val="00F55028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C819B5"/>
    <w:rPr>
      <w:color w:val="808080"/>
    </w:rPr>
  </w:style>
  <w:style w:type="paragraph" w:customStyle="1" w:styleId="D23D438FDDC84AEA82E299BC599CBC25">
    <w:name w:val="D23D438FDDC84AEA82E299BC599CBC25"/>
    <w:rsid w:val="00C819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5C79A471446CD9DB13F7B9EBFF01E">
    <w:name w:val="8705C79A471446CD9DB13F7B9EBFF01E"/>
    <w:rsid w:val="00C819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13398</Words>
  <Characters>7637</Characters>
  <Application>Microsoft Office Word</Application>
  <DocSecurity>0</DocSecurity>
  <Lines>63</Lines>
  <Paragraphs>41</Paragraphs>
  <ScaleCrop>false</ScaleCrop>
  <Company/>
  <LinksUpToDate>false</LinksUpToDate>
  <CharactersWithSpaces>20994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2025-09-30T07:32:00Z</dcterms:created>
  <dcterms:modified xsi:type="dcterms:W3CDTF">2025-10-10T10:27:00Z</dcterms:modified>
</cp:coreProperties>
</file>