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731F1F33" w:rsidR="00612169" w:rsidRDefault="00612169" w:rsidP="00612169">
      <w:pPr>
        <w:jc w:val="center"/>
      </w:pPr>
      <w:r>
        <w:t>202</w:t>
      </w:r>
      <w:r w:rsidR="00A4188E">
        <w:t>5</w:t>
      </w:r>
      <w:r w:rsidRPr="00F64711">
        <w:t xml:space="preserve"> m.</w:t>
      </w:r>
      <w:r w:rsidR="006F4A37">
        <w:t xml:space="preserve"> spalio 17</w:t>
      </w:r>
      <w:r>
        <w:t xml:space="preserve"> </w:t>
      </w:r>
      <w:r w:rsidRPr="00F64711">
        <w:t>d. Nr. (1.4</w:t>
      </w:r>
      <w:r>
        <w:t>E</w:t>
      </w:r>
      <w:r w:rsidRPr="00F64711">
        <w:t>)1A-</w:t>
      </w:r>
      <w:r w:rsidR="006F4A37">
        <w:t>1425</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5A81E400" w:rsidR="00612169" w:rsidRDefault="006F4A37" w:rsidP="00612169">
      <w:pPr>
        <w:jc w:val="center"/>
        <w:rPr>
          <w:lang w:val="en-US"/>
        </w:rPr>
      </w:pPr>
      <w:r>
        <w:rPr>
          <w:lang w:val="en-US"/>
        </w:rPr>
        <w:t>17 October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1425</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50A4D2D7"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6F4A37">
        <w:rPr>
          <w:rFonts w:eastAsia="Calibri"/>
          <w:color w:val="000000"/>
        </w:rPr>
        <w:t>spalio 17</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6F4A37">
        <w:rPr>
          <w:rFonts w:eastAsia="Calibri"/>
          <w:color w:val="000000"/>
        </w:rPr>
        <w:t>1425</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EB645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985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3A1F19E1" w:rsidR="00AA3E54" w:rsidRPr="009A766A" w:rsidRDefault="00C90D3E" w:rsidP="00AA3E54">
            <w:pPr>
              <w:ind w:left="-113" w:right="-113"/>
              <w:rPr>
                <w:lang w:val="x-none" w:eastAsia="x-none"/>
              </w:rPr>
            </w:pPr>
            <w:proofErr w:type="spellStart"/>
            <w:r w:rsidRPr="00C90D3E">
              <w:rPr>
                <w:b/>
                <w:lang w:val="x-none" w:eastAsia="x-none"/>
              </w:rPr>
              <w:t>Esomeprazole</w:t>
            </w:r>
            <w:proofErr w:type="spellEnd"/>
            <w:r w:rsidRPr="00C90D3E">
              <w:rPr>
                <w:b/>
                <w:lang w:val="x-none" w:eastAsia="x-none"/>
              </w:rPr>
              <w:t xml:space="preserve"> STADA</w:t>
            </w:r>
            <w:r>
              <w:rPr>
                <w:lang w:val="x-none" w:eastAsia="x-none"/>
              </w:rPr>
              <w:t xml:space="preserve"> 20</w:t>
            </w:r>
            <w:r>
              <w:rPr>
                <w:lang w:eastAsia="x-none"/>
              </w:rPr>
              <w:t> </w:t>
            </w:r>
            <w:r w:rsidRPr="00C90D3E">
              <w:rPr>
                <w:lang w:val="x-none" w:eastAsia="x-none"/>
              </w:rPr>
              <w:t>mg skrandyje neirios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C54E95" w14:textId="4423B24F" w:rsidR="00AA3E54" w:rsidRDefault="00C90D3E" w:rsidP="005D3B7F">
            <w:pPr>
              <w:ind w:left="-113" w:right="-113"/>
              <w:rPr>
                <w:kern w:val="28"/>
                <w:lang w:eastAsia="en-US"/>
              </w:rPr>
            </w:pPr>
            <w:proofErr w:type="spellStart"/>
            <w:r>
              <w:rPr>
                <w:kern w:val="28"/>
                <w:lang w:eastAsia="en-US"/>
              </w:rPr>
              <w:t>Ezomeprazolas</w:t>
            </w:r>
            <w:proofErr w:type="spellEnd"/>
          </w:p>
          <w:p w14:paraId="7B8607CA" w14:textId="23E6DD52" w:rsidR="00C90D3E" w:rsidRPr="009A766A" w:rsidRDefault="00C90D3E"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A67C8F" w14:textId="683FA1F2" w:rsidR="009855AC" w:rsidRDefault="009855AC" w:rsidP="009855AC">
            <w:pPr>
              <w:ind w:left="-108" w:right="-107"/>
              <w:rPr>
                <w:rFonts w:eastAsia="Calibri"/>
                <w:lang w:val="en-US" w:eastAsia="en-US"/>
              </w:rPr>
            </w:pPr>
            <w:proofErr w:type="spellStart"/>
            <w:r>
              <w:rPr>
                <w:rFonts w:eastAsia="Calibri"/>
                <w:lang w:val="en-US" w:eastAsia="en-US"/>
              </w:rPr>
              <w:t>L</w:t>
            </w:r>
            <w:r w:rsidRPr="009855AC">
              <w:rPr>
                <w:rFonts w:eastAsia="Calibri"/>
                <w:lang w:val="en-US" w:eastAsia="en-US"/>
              </w:rPr>
              <w:t>izdinė</w:t>
            </w:r>
            <w:proofErr w:type="spellEnd"/>
            <w:r w:rsidRPr="009855AC">
              <w:rPr>
                <w:rFonts w:eastAsia="Calibri"/>
                <w:lang w:val="en-US" w:eastAsia="en-US"/>
              </w:rPr>
              <w:t xml:space="preserve"> </w:t>
            </w:r>
            <w:proofErr w:type="spellStart"/>
            <w:r w:rsidRPr="009855AC">
              <w:rPr>
                <w:rFonts w:eastAsia="Calibri"/>
                <w:lang w:val="en-US" w:eastAsia="en-US"/>
              </w:rPr>
              <w:t>plokštelė</w:t>
            </w:r>
            <w:proofErr w:type="spellEnd"/>
            <w:r>
              <w:rPr>
                <w:rFonts w:eastAsia="Calibri"/>
                <w:lang w:val="en-US" w:eastAsia="en-US"/>
              </w:rPr>
              <w:t>:</w:t>
            </w:r>
          </w:p>
          <w:p w14:paraId="7015D728" w14:textId="0D4CD7D4" w:rsidR="009855AC" w:rsidRPr="009855AC" w:rsidRDefault="009855AC" w:rsidP="009855AC">
            <w:pPr>
              <w:ind w:left="-108" w:right="-107"/>
              <w:rPr>
                <w:rFonts w:eastAsia="Calibri"/>
                <w:lang w:val="en-US" w:eastAsia="en-US"/>
              </w:rPr>
            </w:pPr>
            <w:r w:rsidRPr="009855AC">
              <w:rPr>
                <w:rFonts w:eastAsia="Calibri"/>
                <w:lang w:val="en-US" w:eastAsia="en-US"/>
              </w:rPr>
              <w:t>LT/1/25/5875/001 –</w:t>
            </w:r>
            <w:r>
              <w:rPr>
                <w:rFonts w:eastAsia="Calibri"/>
                <w:lang w:val="en-US" w:eastAsia="en-US"/>
              </w:rPr>
              <w:t xml:space="preserve"> </w:t>
            </w:r>
            <w:r w:rsidRPr="009855AC">
              <w:rPr>
                <w:rFonts w:eastAsia="Calibri"/>
                <w:lang w:val="en-US" w:eastAsia="en-US"/>
              </w:rPr>
              <w:t>N7</w:t>
            </w:r>
          </w:p>
          <w:p w14:paraId="5FE5BC81" w14:textId="7209A1EE" w:rsidR="00933516" w:rsidRPr="00D14960" w:rsidRDefault="009855AC" w:rsidP="009855AC">
            <w:pPr>
              <w:ind w:left="-108" w:right="-107"/>
              <w:rPr>
                <w:rFonts w:eastAsia="Calibri"/>
                <w:lang w:val="en-US" w:eastAsia="en-US"/>
              </w:rPr>
            </w:pPr>
            <w:r w:rsidRPr="009855AC">
              <w:rPr>
                <w:rFonts w:eastAsia="Calibri"/>
                <w:lang w:val="en-US" w:eastAsia="en-US"/>
              </w:rPr>
              <w:t>LT/1/25/5875/002 – N14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2A44615F" w:rsidR="00AA3E54" w:rsidRPr="009A766A" w:rsidRDefault="009855AC" w:rsidP="00AA3E54">
            <w:pPr>
              <w:autoSpaceDE w:val="0"/>
              <w:autoSpaceDN w:val="0"/>
              <w:adjustRightInd w:val="0"/>
              <w:ind w:left="-113" w:right="-113"/>
              <w:rPr>
                <w:color w:val="000000"/>
                <w:lang w:eastAsia="sl-SI"/>
              </w:rPr>
            </w:pPr>
            <w:r w:rsidRPr="009855AC">
              <w:rPr>
                <w:color w:val="000000"/>
                <w:lang w:eastAsia="sl-SI"/>
              </w:rPr>
              <w:t xml:space="preserve">STADA </w:t>
            </w:r>
            <w:proofErr w:type="spellStart"/>
            <w:r w:rsidRPr="009855AC">
              <w:rPr>
                <w:color w:val="000000"/>
                <w:lang w:eastAsia="sl-SI"/>
              </w:rPr>
              <w:t>Arzneimittel</w:t>
            </w:r>
            <w:proofErr w:type="spellEnd"/>
            <w:r w:rsidRPr="009855AC">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687A15D1" w14:textId="12BE27C1" w:rsidR="00AA3E54" w:rsidRPr="009A766A" w:rsidRDefault="00C90D3E" w:rsidP="00AA3E54">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485EEB11" w:rsidR="00AA3E54" w:rsidRPr="009A766A" w:rsidRDefault="00C90D3E" w:rsidP="00AA3E54">
            <w:pPr>
              <w:keepNext/>
              <w:suppressAutoHyphens/>
              <w:ind w:left="-113" w:right="-113"/>
              <w:rPr>
                <w:rFonts w:eastAsia="SimSun"/>
                <w:lang w:eastAsia="zh-CN"/>
              </w:rPr>
            </w:pPr>
            <w:r w:rsidRPr="00C90D3E">
              <w:rPr>
                <w:rFonts w:eastAsia="SimSun"/>
                <w:lang w:eastAsia="zh-CN"/>
              </w:rPr>
              <w:t>NL/H/6210/001/DC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20378F12"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6F4A37">
        <w:rPr>
          <w:rFonts w:eastAsia="Calibri"/>
          <w:color w:val="000000"/>
          <w:kern w:val="28"/>
          <w:lang w:eastAsia="en-US"/>
        </w:rPr>
        <w:t>spalio 17</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6F4A37">
        <w:rPr>
          <w:rFonts w:eastAsia="Calibri"/>
          <w:color w:val="000000"/>
          <w:kern w:val="28"/>
          <w:lang w:eastAsia="en-US"/>
        </w:rPr>
        <w:t>1425</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bookmarkStart w:id="0" w:name="_GoBack"/>
      <w:bookmarkEnd w:id="0"/>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552"/>
        <w:gridCol w:w="1843"/>
        <w:gridCol w:w="992"/>
        <w:gridCol w:w="1276"/>
      </w:tblGrid>
      <w:tr w:rsidR="00612169" w:rsidRPr="00087F2E" w14:paraId="0DCD08DF" w14:textId="77777777" w:rsidTr="004A6D26">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843"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0154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4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459C841D" w:rsidR="002B6389" w:rsidRPr="00537A60" w:rsidRDefault="004A6D26" w:rsidP="002B6389">
            <w:pPr>
              <w:ind w:left="-108" w:right="-107"/>
              <w:rPr>
                <w:rFonts w:eastAsia="Calibri"/>
                <w:lang w:val="en-US" w:eastAsia="en-US"/>
              </w:rPr>
            </w:pPr>
            <w:r w:rsidRPr="004A6D26">
              <w:rPr>
                <w:rFonts w:eastAsia="Calibri"/>
                <w:b/>
                <w:lang w:val="en-US" w:eastAsia="en-US"/>
              </w:rPr>
              <w:t>Visine</w:t>
            </w:r>
            <w:r>
              <w:rPr>
                <w:rFonts w:eastAsia="Calibri"/>
                <w:lang w:val="en-US" w:eastAsia="en-US"/>
              </w:rPr>
              <w:t xml:space="preserve"> 0,5 </w:t>
            </w:r>
            <w:r w:rsidRPr="004A6D26">
              <w:rPr>
                <w:rFonts w:eastAsia="Calibri"/>
                <w:lang w:val="en-US" w:eastAsia="en-US"/>
              </w:rPr>
              <w:t xml:space="preserve">mg/ml </w:t>
            </w:r>
            <w:proofErr w:type="spellStart"/>
            <w:r w:rsidRPr="004A6D26">
              <w:rPr>
                <w:rFonts w:eastAsia="Calibri"/>
                <w:lang w:val="en-US" w:eastAsia="en-US"/>
              </w:rPr>
              <w:t>akių</w:t>
            </w:r>
            <w:proofErr w:type="spellEnd"/>
            <w:r w:rsidRPr="004A6D26">
              <w:rPr>
                <w:rFonts w:eastAsia="Calibri"/>
                <w:lang w:val="en-US" w:eastAsia="en-US"/>
              </w:rPr>
              <w:t xml:space="preserve"> </w:t>
            </w:r>
            <w:proofErr w:type="spellStart"/>
            <w:r w:rsidRPr="004A6D26">
              <w:rPr>
                <w:rFonts w:eastAsia="Calibri"/>
                <w:lang w:val="en-US" w:eastAsia="en-US"/>
              </w:rPr>
              <w:t>lašai</w:t>
            </w:r>
            <w:proofErr w:type="spellEnd"/>
            <w:r w:rsidRPr="004A6D26">
              <w:rPr>
                <w:rFonts w:eastAsia="Calibri"/>
                <w:lang w:val="en-US" w:eastAsia="en-US"/>
              </w:rPr>
              <w:t xml:space="preserve"> (</w:t>
            </w:r>
            <w:proofErr w:type="spellStart"/>
            <w:r w:rsidRPr="004A6D26">
              <w:rPr>
                <w:rFonts w:eastAsia="Calibri"/>
                <w:lang w:val="en-US" w:eastAsia="en-US"/>
              </w:rPr>
              <w:t>tirpalas</w:t>
            </w:r>
            <w:proofErr w:type="spellEnd"/>
            <w:r w:rsidRPr="004A6D26">
              <w:rPr>
                <w:rFonts w:eastAsia="Calibri"/>
                <w:lang w:val="en-US"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70A03EAF" w:rsidR="002B6389" w:rsidRPr="00537A60" w:rsidRDefault="004A6D26" w:rsidP="002B6389">
            <w:pPr>
              <w:ind w:left="-108" w:right="-107"/>
              <w:rPr>
                <w:rFonts w:eastAsia="Calibri"/>
                <w:lang w:val="en-US" w:eastAsia="en-US"/>
              </w:rPr>
            </w:pPr>
            <w:proofErr w:type="spellStart"/>
            <w:r>
              <w:rPr>
                <w:rFonts w:eastAsia="Calibri"/>
                <w:lang w:val="en-US" w:eastAsia="en-US"/>
              </w:rPr>
              <w:t>Tetrizolino</w:t>
            </w:r>
            <w:proofErr w:type="spellEnd"/>
            <w:r>
              <w:rPr>
                <w:rFonts w:eastAsia="Calibri"/>
                <w:lang w:val="en-US" w:eastAsia="en-US"/>
              </w:rPr>
              <w:t xml:space="preserve"> </w:t>
            </w:r>
            <w:proofErr w:type="spellStart"/>
            <w:r>
              <w:rPr>
                <w:rFonts w:eastAsia="Calibri"/>
                <w:lang w:val="en-US" w:eastAsia="en-US"/>
              </w:rPr>
              <w:t>hidrochloridas</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E86138" w14:textId="3F18B515" w:rsidR="002B6389" w:rsidRPr="00537A60" w:rsidRDefault="004A6D26" w:rsidP="002B6389">
            <w:pPr>
              <w:ind w:left="-108" w:right="-107"/>
              <w:rPr>
                <w:rFonts w:eastAsia="Calibri"/>
                <w:lang w:val="en-US" w:eastAsia="en-US"/>
              </w:rPr>
            </w:pPr>
            <w:r w:rsidRPr="004A6D26">
              <w:rPr>
                <w:rFonts w:eastAsia="Calibri"/>
                <w:lang w:val="en-US" w:eastAsia="en-US"/>
              </w:rPr>
              <w:t>LT/1/21/4695/001</w:t>
            </w:r>
            <w:r>
              <w:rPr>
                <w:rFonts w:eastAsia="Calibri"/>
                <w:lang w:val="en-US" w:eastAsia="en-US"/>
              </w:rPr>
              <w:t xml:space="preserve"> – </w:t>
            </w:r>
            <w:proofErr w:type="spellStart"/>
            <w:r>
              <w:rPr>
                <w:rFonts w:eastAsia="Calibri"/>
                <w:lang w:val="en-US" w:eastAsia="en-US"/>
              </w:rPr>
              <w:t>buteliukas</w:t>
            </w:r>
            <w:proofErr w:type="spellEnd"/>
            <w:r>
              <w:rPr>
                <w:rFonts w:eastAsia="Calibri"/>
                <w:lang w:val="en-US" w:eastAsia="en-US"/>
              </w:rPr>
              <w:t xml:space="preserve"> </w:t>
            </w:r>
            <w:proofErr w:type="spellStart"/>
            <w:r>
              <w:rPr>
                <w:rFonts w:eastAsia="Calibri"/>
                <w:lang w:val="en-US" w:eastAsia="en-US"/>
              </w:rPr>
              <w:t>su</w:t>
            </w:r>
            <w:proofErr w:type="spellEnd"/>
            <w:r>
              <w:rPr>
                <w:rFonts w:eastAsia="Calibri"/>
                <w:lang w:val="en-US" w:eastAsia="en-US"/>
              </w:rPr>
              <w:t xml:space="preserve"> </w:t>
            </w:r>
            <w:proofErr w:type="spellStart"/>
            <w:r>
              <w:rPr>
                <w:rFonts w:eastAsia="Calibri"/>
                <w:lang w:val="en-US" w:eastAsia="en-US"/>
              </w:rPr>
              <w:t>lašintuvu</w:t>
            </w:r>
            <w:proofErr w:type="spellEnd"/>
            <w:r>
              <w:rPr>
                <w:rFonts w:eastAsia="Calibri"/>
                <w:lang w:val="en-US" w:eastAsia="en-US"/>
              </w:rPr>
              <w:t xml:space="preserve"> (15 </w:t>
            </w:r>
            <w:r w:rsidRPr="004A6D26">
              <w:rPr>
                <w:rFonts w:eastAsia="Calibri"/>
                <w:lang w:val="en-US" w:eastAsia="en-US"/>
              </w:rPr>
              <w:t>ml), N1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E6A05A" w14:textId="4FD3A128" w:rsidR="002B6389" w:rsidRPr="00537A60" w:rsidRDefault="004A6D26" w:rsidP="002B6389">
            <w:pPr>
              <w:ind w:left="-108" w:right="-107"/>
              <w:rPr>
                <w:rFonts w:eastAsia="Calibri"/>
                <w:lang w:val="en-US" w:eastAsia="en-US"/>
              </w:rPr>
            </w:pPr>
            <w:r w:rsidRPr="004A6D26">
              <w:rPr>
                <w:rFonts w:eastAsia="Calibri"/>
                <w:lang w:val="en-US" w:eastAsia="en-US"/>
              </w:rPr>
              <w:t xml:space="preserve">McNeil Healthcare (Ireland) Limited, </w:t>
            </w:r>
            <w:proofErr w:type="spellStart"/>
            <w:r w:rsidRPr="004A6D26">
              <w:rPr>
                <w:rFonts w:eastAsia="Calibri"/>
                <w:lang w:val="en-US" w:eastAsia="en-US"/>
              </w:rPr>
              <w:t>Airija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5E149566" w:rsidR="002B6389" w:rsidRPr="00537A60" w:rsidRDefault="004A6D26" w:rsidP="002B6389">
            <w:pPr>
              <w:ind w:left="-108" w:right="-107"/>
              <w:rPr>
                <w:rFonts w:eastAsia="Calibri"/>
                <w:lang w:val="en-US" w:eastAsia="en-US"/>
              </w:rPr>
            </w:pPr>
            <w:proofErr w:type="spellStart"/>
            <w:r>
              <w:rPr>
                <w:rFonts w:eastAsia="Calibri"/>
                <w:lang w:val="en-US" w:eastAsia="en-US"/>
              </w:rPr>
              <w:t>Nerp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1E3F7B40" w:rsidR="002B6389" w:rsidRPr="00537A60" w:rsidRDefault="004A6D26" w:rsidP="002B6389">
            <w:pPr>
              <w:ind w:left="-108" w:right="-107"/>
              <w:rPr>
                <w:rFonts w:eastAsia="Calibri"/>
                <w:lang w:val="en-US" w:eastAsia="en-US"/>
              </w:rPr>
            </w:pPr>
            <w:r w:rsidRPr="004A6D26">
              <w:rPr>
                <w:rFonts w:eastAsia="Calibri"/>
                <w:lang w:val="en-US" w:eastAsia="en-US"/>
              </w:rPr>
              <w:t>DE/H/5718/001/R/001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ED79D6C" w:rsidR="00612169" w:rsidRDefault="00612169">
        <w:pPr>
          <w:pStyle w:val="Header"/>
          <w:jc w:val="center"/>
        </w:pPr>
        <w:r>
          <w:fldChar w:fldCharType="begin"/>
        </w:r>
        <w:r>
          <w:instrText>PAGE   \* MERGEFORMAT</w:instrText>
        </w:r>
        <w:r>
          <w:fldChar w:fldCharType="separate"/>
        </w:r>
        <w:r w:rsidR="006F4A37" w:rsidRPr="006F4A37">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15416"/>
    <w:rsid w:val="00030389"/>
    <w:rsid w:val="00033ADC"/>
    <w:rsid w:val="00036F44"/>
    <w:rsid w:val="00065A42"/>
    <w:rsid w:val="00093FBA"/>
    <w:rsid w:val="000B4A30"/>
    <w:rsid w:val="000C668B"/>
    <w:rsid w:val="00146DB2"/>
    <w:rsid w:val="0015482E"/>
    <w:rsid w:val="001C445A"/>
    <w:rsid w:val="001E0EC1"/>
    <w:rsid w:val="001E324D"/>
    <w:rsid w:val="001F6436"/>
    <w:rsid w:val="002140FB"/>
    <w:rsid w:val="002445B8"/>
    <w:rsid w:val="002B6389"/>
    <w:rsid w:val="002C741F"/>
    <w:rsid w:val="002F11C1"/>
    <w:rsid w:val="00306F2A"/>
    <w:rsid w:val="0031223A"/>
    <w:rsid w:val="003615B7"/>
    <w:rsid w:val="00375570"/>
    <w:rsid w:val="00391138"/>
    <w:rsid w:val="003B5E35"/>
    <w:rsid w:val="003B6254"/>
    <w:rsid w:val="003C0CBC"/>
    <w:rsid w:val="0041432B"/>
    <w:rsid w:val="00431BF8"/>
    <w:rsid w:val="004406FC"/>
    <w:rsid w:val="00483DC6"/>
    <w:rsid w:val="004A6D26"/>
    <w:rsid w:val="004E2D46"/>
    <w:rsid w:val="004F0EE8"/>
    <w:rsid w:val="00500C1E"/>
    <w:rsid w:val="0051021E"/>
    <w:rsid w:val="005250DF"/>
    <w:rsid w:val="00537A60"/>
    <w:rsid w:val="00575C28"/>
    <w:rsid w:val="00583217"/>
    <w:rsid w:val="00594C36"/>
    <w:rsid w:val="005D3B7F"/>
    <w:rsid w:val="005D5BF4"/>
    <w:rsid w:val="005E712D"/>
    <w:rsid w:val="00602FEF"/>
    <w:rsid w:val="00612169"/>
    <w:rsid w:val="0062286C"/>
    <w:rsid w:val="00635DCF"/>
    <w:rsid w:val="00676D93"/>
    <w:rsid w:val="006F4A37"/>
    <w:rsid w:val="00704237"/>
    <w:rsid w:val="00714A22"/>
    <w:rsid w:val="007977DF"/>
    <w:rsid w:val="008412A0"/>
    <w:rsid w:val="00846379"/>
    <w:rsid w:val="00861EEA"/>
    <w:rsid w:val="0087449D"/>
    <w:rsid w:val="00891310"/>
    <w:rsid w:val="008B7C62"/>
    <w:rsid w:val="00900690"/>
    <w:rsid w:val="009056B1"/>
    <w:rsid w:val="00933516"/>
    <w:rsid w:val="00950D0E"/>
    <w:rsid w:val="00967494"/>
    <w:rsid w:val="009855AC"/>
    <w:rsid w:val="009D194D"/>
    <w:rsid w:val="009F048E"/>
    <w:rsid w:val="009F4337"/>
    <w:rsid w:val="00A4188E"/>
    <w:rsid w:val="00AA2C30"/>
    <w:rsid w:val="00AA3E54"/>
    <w:rsid w:val="00AB734F"/>
    <w:rsid w:val="00AC135E"/>
    <w:rsid w:val="00AD7394"/>
    <w:rsid w:val="00B13FC5"/>
    <w:rsid w:val="00BD088E"/>
    <w:rsid w:val="00BD5FEF"/>
    <w:rsid w:val="00BE35D9"/>
    <w:rsid w:val="00C05DAC"/>
    <w:rsid w:val="00C24B65"/>
    <w:rsid w:val="00C40E6D"/>
    <w:rsid w:val="00C70A67"/>
    <w:rsid w:val="00C90D3E"/>
    <w:rsid w:val="00C919E7"/>
    <w:rsid w:val="00CC0DCA"/>
    <w:rsid w:val="00D23B64"/>
    <w:rsid w:val="00D53F43"/>
    <w:rsid w:val="00D75EA0"/>
    <w:rsid w:val="00D949F6"/>
    <w:rsid w:val="00DB39C5"/>
    <w:rsid w:val="00DC2626"/>
    <w:rsid w:val="00DF2B0D"/>
    <w:rsid w:val="00E02A4B"/>
    <w:rsid w:val="00E0786D"/>
    <w:rsid w:val="00E07F3F"/>
    <w:rsid w:val="00EB6450"/>
    <w:rsid w:val="00EE0517"/>
    <w:rsid w:val="00EF775C"/>
    <w:rsid w:val="00F12ADF"/>
    <w:rsid w:val="00F501A6"/>
    <w:rsid w:val="00F5295D"/>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3382</Words>
  <Characters>1928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8</cp:revision>
  <dcterms:created xsi:type="dcterms:W3CDTF">2025-10-16T16:30:00Z</dcterms:created>
  <dcterms:modified xsi:type="dcterms:W3CDTF">2025-10-17T15:47:00Z</dcterms:modified>
</cp:coreProperties>
</file>