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7FC09" w14:textId="77777777" w:rsidR="00E64747" w:rsidRDefault="00E64747" w:rsidP="00E64747">
      <w:pPr>
        <w:ind w:left="5529"/>
      </w:pPr>
    </w:p>
    <w:p w14:paraId="39ACB06C" w14:textId="77777777" w:rsidR="00E64747" w:rsidRDefault="00E64747" w:rsidP="00E64747">
      <w:pPr>
        <w:ind w:left="6096"/>
      </w:pPr>
      <w:r>
        <w:t>Forma patvirtinta</w:t>
      </w:r>
    </w:p>
    <w:p w14:paraId="30F90031" w14:textId="77777777" w:rsidR="00E64747" w:rsidRDefault="00E64747" w:rsidP="00E64747">
      <w:pPr>
        <w:ind w:left="6096"/>
      </w:pPr>
      <w:r>
        <w:t>Valstybinės vaistų kontrolės tarnybos prie Lietuvos Respublikos sveikatos apsaugos ministerijos viršininko 2021 m. lapkričio 12 d. įsakymu Nr. (1.72E)1A-1418</w:t>
      </w:r>
    </w:p>
    <w:p w14:paraId="5B893349" w14:textId="77777777" w:rsidR="00E64747" w:rsidRDefault="00E64747" w:rsidP="00E64747">
      <w:pPr>
        <w:ind w:left="6096"/>
      </w:pPr>
      <w:r>
        <w:t>(Valstybinės vaistų kontrolės tarnybos prie Lietuvos Respublikos sveikatos apsaugos ministerijos viršininko 2022 m.                         d. įsakymo Nr.                    redakcija)</w:t>
      </w:r>
    </w:p>
    <w:p w14:paraId="39816F68" w14:textId="77777777" w:rsidR="00E64747" w:rsidRPr="000A2492" w:rsidRDefault="00E64747" w:rsidP="00E64747"/>
    <w:p w14:paraId="359BB43C" w14:textId="77777777" w:rsidR="00E64747" w:rsidRDefault="00E64747" w:rsidP="00E64747">
      <w:pPr>
        <w:jc w:val="center"/>
        <w:rPr>
          <w:b/>
          <w:bCs/>
          <w:caps/>
        </w:rPr>
      </w:pPr>
      <w:r>
        <w:rPr>
          <w:b/>
        </w:rPr>
        <w:t xml:space="preserve">REKOMENDACIJA DĖL VAISTINIO PREPARATO </w:t>
      </w:r>
      <w:r w:rsidRPr="002F0E4F">
        <w:rPr>
          <w:b/>
          <w:bCs/>
          <w:caps/>
        </w:rPr>
        <w:t>Lietuvos Respublikos Sveikatos apsaugos ministerijos vaistinių preparatų ir medicinos pagalbos priemonių kompensavimo komisijai</w:t>
      </w:r>
    </w:p>
    <w:p w14:paraId="315E3844" w14:textId="77777777" w:rsidR="00E64747" w:rsidRDefault="00E64747" w:rsidP="00E64747">
      <w:pPr>
        <w:jc w:val="center"/>
        <w:rPr>
          <w:b/>
        </w:rPr>
      </w:pPr>
    </w:p>
    <w:p w14:paraId="555FA421" w14:textId="77777777" w:rsidR="00EB7BB2" w:rsidRPr="00A469C2" w:rsidRDefault="00EB7BB2" w:rsidP="00EB7BB2">
      <w:pPr>
        <w:jc w:val="center"/>
        <w:rPr>
          <w:b/>
        </w:rPr>
      </w:pPr>
      <w:r w:rsidRPr="00A469C2">
        <w:rPr>
          <w:b/>
        </w:rPr>
        <w:t xml:space="preserve">Rinvoq 15 mg prailginto atpalaidavimo tabletės </w:t>
      </w:r>
    </w:p>
    <w:p w14:paraId="512876C1" w14:textId="77777777" w:rsidR="00EB7BB2" w:rsidRPr="00A469C2" w:rsidRDefault="00EB7BB2" w:rsidP="00EB7BB2">
      <w:pPr>
        <w:jc w:val="center"/>
      </w:pPr>
      <w:r w:rsidRPr="00A469C2">
        <w:t xml:space="preserve">  </w:t>
      </w:r>
    </w:p>
    <w:p w14:paraId="1860B21E" w14:textId="77777777" w:rsidR="00EB7BB2" w:rsidRPr="00A469C2" w:rsidRDefault="00EB7BB2" w:rsidP="00EB7BB2">
      <w:pPr>
        <w:jc w:val="center"/>
      </w:pPr>
      <w:r w:rsidRPr="00A469C2">
        <w:t>(Upadacitinibas)</w:t>
      </w:r>
    </w:p>
    <w:p w14:paraId="509DE0DF" w14:textId="77777777" w:rsidR="00EB7BB2" w:rsidRPr="00A469C2" w:rsidRDefault="00EB7BB2" w:rsidP="00EB7BB2">
      <w:pPr>
        <w:jc w:val="center"/>
      </w:pPr>
    </w:p>
    <w:p w14:paraId="53C898C9" w14:textId="60132622" w:rsidR="00EB7BB2" w:rsidRPr="00A469C2" w:rsidRDefault="00EB7BB2" w:rsidP="00EB7BB2">
      <w:pPr>
        <w:jc w:val="center"/>
        <w:rPr>
          <w:b/>
        </w:rPr>
      </w:pPr>
      <w:r w:rsidRPr="00A469C2">
        <w:rPr>
          <w:b/>
        </w:rPr>
        <w:t>STV</w:t>
      </w:r>
      <w:r w:rsidR="00135A3E">
        <w:rPr>
          <w:b/>
        </w:rPr>
        <w:t>-</w:t>
      </w:r>
      <w:r w:rsidRPr="00A469C2">
        <w:rPr>
          <w:b/>
        </w:rPr>
        <w:t>240</w:t>
      </w:r>
    </w:p>
    <w:p w14:paraId="39CAEE1B" w14:textId="77777777" w:rsidR="00E64747" w:rsidRPr="004C263A" w:rsidRDefault="00E64747" w:rsidP="00E64747">
      <w:pPr>
        <w:jc w:val="center"/>
        <w:rPr>
          <w:b/>
        </w:rPr>
      </w:pPr>
    </w:p>
    <w:p w14:paraId="391D4984" w14:textId="77777777" w:rsidR="00E64747" w:rsidRDefault="00E64747" w:rsidP="00E64747">
      <w:pPr>
        <w:pStyle w:val="Sraopastraipa"/>
        <w:numPr>
          <w:ilvl w:val="0"/>
          <w:numId w:val="1"/>
        </w:numPr>
        <w:tabs>
          <w:tab w:val="left" w:pos="284"/>
        </w:tabs>
        <w:rPr>
          <w:b/>
          <w:bCs/>
          <w:caps/>
        </w:rPr>
      </w:pPr>
      <w:r>
        <w:rPr>
          <w:b/>
          <w:bCs/>
          <w:caps/>
        </w:rPr>
        <w:t>.Bendroji dalis</w:t>
      </w:r>
    </w:p>
    <w:p w14:paraId="339A2046" w14:textId="77777777" w:rsidR="00E64747" w:rsidRDefault="00E64747" w:rsidP="00E64747">
      <w:pPr>
        <w:pStyle w:val="Sraopastraipa"/>
        <w:tabs>
          <w:tab w:val="left" w:pos="284"/>
        </w:tabs>
        <w:ind w:left="0"/>
        <w:rPr>
          <w:b/>
          <w:bCs/>
          <w:caps/>
        </w:rPr>
      </w:pPr>
    </w:p>
    <w:tbl>
      <w:tblPr>
        <w:tblStyle w:val="Lentelstinklelis"/>
        <w:tblW w:w="9039" w:type="dxa"/>
        <w:tblLook w:val="04A0" w:firstRow="1" w:lastRow="0" w:firstColumn="1" w:lastColumn="0" w:noHBand="0" w:noVBand="1"/>
      </w:tblPr>
      <w:tblGrid>
        <w:gridCol w:w="632"/>
        <w:gridCol w:w="3694"/>
        <w:gridCol w:w="4713"/>
      </w:tblGrid>
      <w:tr w:rsidR="00E64747" w:rsidRPr="000D01F1" w14:paraId="25C83614" w14:textId="77777777" w:rsidTr="007A7371">
        <w:trPr>
          <w:trHeight w:val="538"/>
        </w:trPr>
        <w:tc>
          <w:tcPr>
            <w:tcW w:w="632" w:type="dxa"/>
          </w:tcPr>
          <w:p w14:paraId="3AD4F6AC" w14:textId="77777777" w:rsidR="00E64747" w:rsidRPr="000D01F1" w:rsidRDefault="00E64747" w:rsidP="007A7371">
            <w:pPr>
              <w:tabs>
                <w:tab w:val="left" w:pos="284"/>
              </w:tabs>
              <w:spacing w:line="280" w:lineRule="atLeast"/>
              <w:rPr>
                <w:rFonts w:eastAsia="Arial"/>
                <w:b/>
                <w:sz w:val="24"/>
                <w:szCs w:val="24"/>
              </w:rPr>
            </w:pPr>
            <w:r w:rsidRPr="000D01F1">
              <w:rPr>
                <w:rFonts w:eastAsia="Arial"/>
                <w:b/>
                <w:sz w:val="24"/>
                <w:szCs w:val="24"/>
              </w:rPr>
              <w:t>1.1</w:t>
            </w:r>
          </w:p>
        </w:tc>
        <w:tc>
          <w:tcPr>
            <w:tcW w:w="3694" w:type="dxa"/>
          </w:tcPr>
          <w:p w14:paraId="1707E4C7" w14:textId="77777777" w:rsidR="00E64747" w:rsidRPr="000D01F1" w:rsidRDefault="00E64747" w:rsidP="007A7371">
            <w:pPr>
              <w:tabs>
                <w:tab w:val="left" w:pos="284"/>
              </w:tabs>
              <w:spacing w:line="280" w:lineRule="atLeast"/>
              <w:rPr>
                <w:rFonts w:eastAsia="Arial"/>
                <w:b/>
                <w:sz w:val="24"/>
                <w:szCs w:val="24"/>
              </w:rPr>
            </w:pPr>
            <w:r w:rsidRPr="000D01F1">
              <w:rPr>
                <w:rFonts w:eastAsia="Arial"/>
                <w:b/>
                <w:sz w:val="24"/>
                <w:szCs w:val="24"/>
              </w:rPr>
              <w:t>Pareiškėjas</w:t>
            </w:r>
          </w:p>
          <w:p w14:paraId="24E053ED" w14:textId="77777777" w:rsidR="00E64747" w:rsidRPr="000D01F1" w:rsidRDefault="00E64747" w:rsidP="007A7371">
            <w:pPr>
              <w:tabs>
                <w:tab w:val="left" w:pos="284"/>
              </w:tabs>
              <w:spacing w:line="280" w:lineRule="atLeast"/>
              <w:rPr>
                <w:rFonts w:eastAsia="Arial"/>
                <w:b/>
                <w:sz w:val="24"/>
                <w:szCs w:val="24"/>
              </w:rPr>
            </w:pPr>
          </w:p>
        </w:tc>
        <w:tc>
          <w:tcPr>
            <w:tcW w:w="4713" w:type="dxa"/>
          </w:tcPr>
          <w:p w14:paraId="4D007653" w14:textId="3E925337" w:rsidR="00E64747" w:rsidRPr="0001095A" w:rsidRDefault="00EB7BB2" w:rsidP="007A7371">
            <w:pPr>
              <w:tabs>
                <w:tab w:val="left" w:pos="284"/>
              </w:tabs>
              <w:spacing w:line="280" w:lineRule="atLeast"/>
              <w:rPr>
                <w:rFonts w:eastAsia="Arial"/>
                <w:b/>
                <w:sz w:val="24"/>
                <w:szCs w:val="24"/>
              </w:rPr>
            </w:pPr>
            <w:r w:rsidRPr="00A469C2">
              <w:t>UAB „AbbVie“</w:t>
            </w:r>
          </w:p>
        </w:tc>
      </w:tr>
      <w:tr w:rsidR="00E64747" w:rsidRPr="000D01F1" w14:paraId="2CC4A591" w14:textId="77777777" w:rsidTr="007A7371">
        <w:trPr>
          <w:trHeight w:val="538"/>
        </w:trPr>
        <w:tc>
          <w:tcPr>
            <w:tcW w:w="632" w:type="dxa"/>
          </w:tcPr>
          <w:p w14:paraId="0CCF74A3" w14:textId="77777777" w:rsidR="00E64747" w:rsidRPr="000D01F1" w:rsidRDefault="00E64747" w:rsidP="007A7371">
            <w:pPr>
              <w:tabs>
                <w:tab w:val="left" w:pos="284"/>
              </w:tabs>
              <w:spacing w:line="280" w:lineRule="atLeast"/>
              <w:rPr>
                <w:rFonts w:eastAsia="Arial"/>
                <w:b/>
                <w:sz w:val="24"/>
                <w:szCs w:val="24"/>
              </w:rPr>
            </w:pPr>
            <w:r w:rsidRPr="000D01F1">
              <w:rPr>
                <w:rFonts w:eastAsia="Arial"/>
                <w:b/>
                <w:sz w:val="24"/>
                <w:szCs w:val="24"/>
              </w:rPr>
              <w:t>1.2</w:t>
            </w:r>
          </w:p>
        </w:tc>
        <w:tc>
          <w:tcPr>
            <w:tcW w:w="3694" w:type="dxa"/>
          </w:tcPr>
          <w:p w14:paraId="0DBA3CC0" w14:textId="77777777" w:rsidR="00E64747" w:rsidRPr="000D01F1" w:rsidRDefault="00E64747" w:rsidP="007A7371">
            <w:pPr>
              <w:tabs>
                <w:tab w:val="left" w:pos="284"/>
              </w:tabs>
              <w:spacing w:line="280" w:lineRule="atLeast"/>
              <w:rPr>
                <w:b/>
                <w:bCs/>
                <w:color w:val="000000"/>
                <w:sz w:val="24"/>
                <w:szCs w:val="24"/>
              </w:rPr>
            </w:pPr>
            <w:r w:rsidRPr="000D01F1">
              <w:rPr>
                <w:b/>
                <w:bCs/>
                <w:color w:val="000000"/>
                <w:sz w:val="24"/>
                <w:szCs w:val="24"/>
              </w:rPr>
              <w:t xml:space="preserve">Registracijos data </w:t>
            </w:r>
          </w:p>
          <w:p w14:paraId="3CB959AF" w14:textId="77777777" w:rsidR="00E64747" w:rsidRPr="000D01F1" w:rsidRDefault="00E64747" w:rsidP="007A7371">
            <w:pPr>
              <w:tabs>
                <w:tab w:val="left" w:pos="284"/>
              </w:tabs>
              <w:spacing w:line="280" w:lineRule="atLeast"/>
              <w:rPr>
                <w:bCs/>
                <w:color w:val="000000"/>
                <w:sz w:val="24"/>
                <w:szCs w:val="24"/>
              </w:rPr>
            </w:pPr>
          </w:p>
        </w:tc>
        <w:tc>
          <w:tcPr>
            <w:tcW w:w="4713" w:type="dxa"/>
          </w:tcPr>
          <w:p w14:paraId="2DB25070" w14:textId="6017978F" w:rsidR="00E64747" w:rsidRPr="0001095A" w:rsidRDefault="001B1426" w:rsidP="007A7371">
            <w:pPr>
              <w:pStyle w:val="Sraopastraipa"/>
              <w:spacing w:after="120"/>
              <w:ind w:left="0"/>
              <w:contextualSpacing w:val="0"/>
              <w:jc w:val="both"/>
              <w:rPr>
                <w:rStyle w:val="Style2"/>
                <w:sz w:val="24"/>
                <w:szCs w:val="24"/>
              </w:rPr>
            </w:pPr>
            <w:sdt>
              <w:sdtPr>
                <w:alias w:val="Nurodykite konkrečią dieną"/>
                <w:tag w:val="Nurodykite pradžios datą"/>
                <w:id w:val="423238108"/>
                <w:placeholder>
                  <w:docPart w:val="11ADF7F185C81C4183FAD20BB772CF7B"/>
                </w:placeholder>
                <w15:color w:val="FFCC99"/>
                <w:date>
                  <w:dateFormat w:val="yyyy 'm.' MMMM d 'd.'"/>
                  <w:lid w:val="lt-LT"/>
                  <w:storeMappedDataAs w:val="dateTime"/>
                  <w:calendar w:val="gregorian"/>
                </w:date>
              </w:sdtPr>
              <w:sdtEndPr/>
              <w:sdtContent>
                <w:r w:rsidR="00815EA2" w:rsidRPr="00135A3E">
                  <w:rPr>
                    <w:sz w:val="24"/>
                    <w:szCs w:val="24"/>
                  </w:rPr>
                  <w:t>2019 m. gruodžio 16 d.</w:t>
                </w:r>
              </w:sdtContent>
            </w:sdt>
          </w:p>
        </w:tc>
      </w:tr>
      <w:tr w:rsidR="00E64747" w:rsidRPr="000D01F1" w14:paraId="38AD915A" w14:textId="77777777" w:rsidTr="007A7371">
        <w:trPr>
          <w:trHeight w:val="1500"/>
        </w:trPr>
        <w:tc>
          <w:tcPr>
            <w:tcW w:w="632" w:type="dxa"/>
          </w:tcPr>
          <w:p w14:paraId="0F106D17" w14:textId="77777777" w:rsidR="00E64747" w:rsidRPr="000D01F1" w:rsidRDefault="00E64747" w:rsidP="007A7371">
            <w:pPr>
              <w:tabs>
                <w:tab w:val="left" w:pos="284"/>
              </w:tabs>
              <w:spacing w:line="280" w:lineRule="atLeast"/>
              <w:rPr>
                <w:rFonts w:eastAsia="Arial"/>
                <w:b/>
                <w:sz w:val="24"/>
                <w:szCs w:val="24"/>
              </w:rPr>
            </w:pPr>
            <w:r w:rsidRPr="000D01F1">
              <w:rPr>
                <w:rFonts w:eastAsia="Arial"/>
                <w:b/>
                <w:sz w:val="24"/>
                <w:szCs w:val="24"/>
              </w:rPr>
              <w:t>1.3</w:t>
            </w:r>
          </w:p>
        </w:tc>
        <w:tc>
          <w:tcPr>
            <w:tcW w:w="3694" w:type="dxa"/>
          </w:tcPr>
          <w:p w14:paraId="0435D4CA" w14:textId="77777777" w:rsidR="00E64747" w:rsidRPr="000D01F1" w:rsidRDefault="00E64747" w:rsidP="007A7371">
            <w:pPr>
              <w:pStyle w:val="Betarp"/>
              <w:rPr>
                <w:rFonts w:ascii="Times New Roman" w:hAnsi="Times New Roman"/>
                <w:b/>
                <w:sz w:val="24"/>
                <w:szCs w:val="24"/>
              </w:rPr>
            </w:pPr>
            <w:r w:rsidRPr="000D01F1">
              <w:rPr>
                <w:rFonts w:ascii="Times New Roman" w:hAnsi="Times New Roman"/>
                <w:b/>
                <w:sz w:val="24"/>
                <w:szCs w:val="24"/>
              </w:rPr>
              <w:t xml:space="preserve">Paraiškos tipas </w:t>
            </w:r>
          </w:p>
          <w:p w14:paraId="2030FD29" w14:textId="77777777" w:rsidR="00E64747" w:rsidRPr="000D01F1" w:rsidRDefault="00E64747" w:rsidP="007A7371">
            <w:pPr>
              <w:rPr>
                <w:b/>
                <w:sz w:val="24"/>
                <w:szCs w:val="24"/>
              </w:rPr>
            </w:pPr>
            <w:r w:rsidRPr="000D01F1">
              <w:rPr>
                <w:b/>
                <w:sz w:val="24"/>
                <w:szCs w:val="24"/>
              </w:rPr>
              <w:t xml:space="preserve">(pagal </w:t>
            </w:r>
            <w:r w:rsidRPr="000D01F1">
              <w:rPr>
                <w:b/>
                <w:color w:val="333333"/>
                <w:sz w:val="24"/>
                <w:szCs w:val="24"/>
                <w:shd w:val="clear" w:color="auto" w:fill="FFFFFF"/>
              </w:rPr>
              <w:t>vaistinio preparato registracijos tipą, įtvirtintą</w:t>
            </w:r>
            <w:r w:rsidRPr="000D01F1">
              <w:rPr>
                <w:b/>
                <w:sz w:val="24"/>
                <w:szCs w:val="24"/>
              </w:rPr>
              <w:t xml:space="preserve"> Direktyvos 2001/83/EB straipsniuose)</w:t>
            </w:r>
          </w:p>
          <w:p w14:paraId="126CD514" w14:textId="77777777" w:rsidR="00E64747" w:rsidRPr="000D01F1" w:rsidRDefault="00E64747" w:rsidP="007A7371">
            <w:pPr>
              <w:tabs>
                <w:tab w:val="left" w:pos="284"/>
              </w:tabs>
              <w:spacing w:line="280" w:lineRule="atLeast"/>
              <w:rPr>
                <w:b/>
                <w:bCs/>
                <w:color w:val="000000"/>
                <w:sz w:val="24"/>
                <w:szCs w:val="24"/>
              </w:rPr>
            </w:pPr>
          </w:p>
        </w:tc>
        <w:tc>
          <w:tcPr>
            <w:tcW w:w="4713" w:type="dxa"/>
          </w:tcPr>
          <w:p w14:paraId="7437292B" w14:textId="77777777" w:rsidR="00E64747" w:rsidRPr="000D01F1" w:rsidRDefault="001B1426" w:rsidP="007A7371">
            <w:pPr>
              <w:pStyle w:val="Sraopastraipa"/>
              <w:spacing w:after="120"/>
              <w:ind w:left="0"/>
              <w:contextualSpacing w:val="0"/>
              <w:jc w:val="both"/>
              <w:rPr>
                <w:sz w:val="24"/>
                <w:szCs w:val="24"/>
              </w:rPr>
            </w:pPr>
            <w:sdt>
              <w:sdtPr>
                <w:rPr>
                  <w:rStyle w:val="Style2"/>
                  <w:sz w:val="24"/>
                </w:rPr>
                <w:id w:val="526292078"/>
                <w15:color w:val="FFCC00"/>
                <w14:checkbox>
                  <w14:checked w14:val="1"/>
                  <w14:checkedState w14:val="2612" w14:font="MS Gothic"/>
                  <w14:uncheckedState w14:val="2610" w14:font="MS Gothic"/>
                </w14:checkbox>
              </w:sdtPr>
              <w:sdtEndPr>
                <w:rPr>
                  <w:rStyle w:val="Style2"/>
                </w:rPr>
              </w:sdtEndPr>
              <w:sdtContent>
                <w:r w:rsidR="00E64747" w:rsidRPr="000D01F1">
                  <w:rPr>
                    <w:rStyle w:val="Style2"/>
                    <w:rFonts w:ascii="Segoe UI Symbol" w:eastAsia="MS Gothic" w:hAnsi="Segoe UI Symbol" w:cs="Segoe UI Symbol"/>
                    <w:sz w:val="24"/>
                    <w:szCs w:val="24"/>
                  </w:rPr>
                  <w:t>☒</w:t>
                </w:r>
              </w:sdtContent>
            </w:sdt>
            <w:r w:rsidR="00E64747" w:rsidRPr="000D01F1">
              <w:rPr>
                <w:sz w:val="24"/>
                <w:szCs w:val="24"/>
              </w:rPr>
              <w:t xml:space="preserve">8.3 str. (pilna byla, pagrįsta savais tyrimais) </w:t>
            </w:r>
          </w:p>
          <w:p w14:paraId="03334CB6" w14:textId="77777777" w:rsidR="00E64747" w:rsidRPr="000D01F1" w:rsidRDefault="001B1426" w:rsidP="007A7371">
            <w:pPr>
              <w:pStyle w:val="Sraopastraipa"/>
              <w:spacing w:after="120"/>
              <w:ind w:left="0"/>
              <w:contextualSpacing w:val="0"/>
              <w:jc w:val="both"/>
              <w:rPr>
                <w:sz w:val="24"/>
                <w:szCs w:val="24"/>
              </w:rPr>
            </w:pPr>
            <w:sdt>
              <w:sdtPr>
                <w:rPr>
                  <w:rStyle w:val="Style2"/>
                  <w:sz w:val="24"/>
                </w:rPr>
                <w:id w:val="-1497953736"/>
                <w15:color w:val="FFCC00"/>
                <w14:checkbox>
                  <w14:checked w14:val="0"/>
                  <w14:checkedState w14:val="2612" w14:font="MS Gothic"/>
                  <w14:uncheckedState w14:val="2610" w14:font="MS Gothic"/>
                </w14:checkbox>
              </w:sdtPr>
              <w:sdtEndPr>
                <w:rPr>
                  <w:rStyle w:val="Style2"/>
                </w:rPr>
              </w:sdtEndPr>
              <w:sdtContent>
                <w:r w:rsidR="00E64747" w:rsidRPr="000D01F1">
                  <w:rPr>
                    <w:rStyle w:val="Style2"/>
                    <w:rFonts w:ascii="Segoe UI Symbol" w:eastAsia="MS Gothic" w:hAnsi="Segoe UI Symbol" w:cs="Segoe UI Symbol"/>
                    <w:sz w:val="24"/>
                    <w:szCs w:val="24"/>
                  </w:rPr>
                  <w:t>☐</w:t>
                </w:r>
              </w:sdtContent>
            </w:sdt>
            <w:r w:rsidR="00E64747" w:rsidRPr="000D01F1">
              <w:rPr>
                <w:sz w:val="24"/>
                <w:szCs w:val="24"/>
              </w:rPr>
              <w:t xml:space="preserve">10 a str. (pripažintas medicininis vartojimas) </w:t>
            </w:r>
          </w:p>
          <w:p w14:paraId="62129FC8" w14:textId="77777777" w:rsidR="00E64747" w:rsidRPr="000D01F1" w:rsidRDefault="001B1426" w:rsidP="007A7371">
            <w:pPr>
              <w:pStyle w:val="Sraopastraipa"/>
              <w:spacing w:after="120"/>
              <w:ind w:left="0"/>
              <w:contextualSpacing w:val="0"/>
              <w:jc w:val="both"/>
              <w:rPr>
                <w:sz w:val="24"/>
                <w:szCs w:val="24"/>
              </w:rPr>
            </w:pPr>
            <w:sdt>
              <w:sdtPr>
                <w:rPr>
                  <w:rStyle w:val="Style2"/>
                  <w:sz w:val="24"/>
                </w:rPr>
                <w:id w:val="204142496"/>
                <w15:color w:val="FFCC00"/>
                <w14:checkbox>
                  <w14:checked w14:val="0"/>
                  <w14:checkedState w14:val="2612" w14:font="MS Gothic"/>
                  <w14:uncheckedState w14:val="2610" w14:font="MS Gothic"/>
                </w14:checkbox>
              </w:sdtPr>
              <w:sdtEndPr>
                <w:rPr>
                  <w:rStyle w:val="Style2"/>
                </w:rPr>
              </w:sdtEndPr>
              <w:sdtContent>
                <w:r w:rsidR="00E64747" w:rsidRPr="000D01F1">
                  <w:rPr>
                    <w:rStyle w:val="Style2"/>
                    <w:rFonts w:ascii="Segoe UI Symbol" w:eastAsia="MS Gothic" w:hAnsi="Segoe UI Symbol" w:cs="Segoe UI Symbol"/>
                    <w:sz w:val="24"/>
                    <w:szCs w:val="24"/>
                  </w:rPr>
                  <w:t>☐</w:t>
                </w:r>
              </w:sdtContent>
            </w:sdt>
            <w:r w:rsidR="00E64747" w:rsidRPr="000D01F1">
              <w:rPr>
                <w:sz w:val="24"/>
                <w:szCs w:val="24"/>
              </w:rPr>
              <w:t>10.1 str. (generinis)</w:t>
            </w:r>
          </w:p>
          <w:p w14:paraId="7F88A84D" w14:textId="77777777" w:rsidR="00E64747" w:rsidRPr="000D01F1" w:rsidRDefault="001B1426" w:rsidP="007A7371">
            <w:pPr>
              <w:pStyle w:val="Sraopastraipa"/>
              <w:spacing w:after="120"/>
              <w:ind w:left="0"/>
              <w:contextualSpacing w:val="0"/>
              <w:jc w:val="both"/>
              <w:rPr>
                <w:rStyle w:val="Style2"/>
                <w:sz w:val="24"/>
                <w:szCs w:val="24"/>
              </w:rPr>
            </w:pPr>
            <w:sdt>
              <w:sdtPr>
                <w:rPr>
                  <w:rStyle w:val="Style2"/>
                  <w:sz w:val="24"/>
                </w:rPr>
                <w:id w:val="820305101"/>
                <w15:color w:val="FFCC00"/>
                <w14:checkbox>
                  <w14:checked w14:val="0"/>
                  <w14:checkedState w14:val="2612" w14:font="MS Gothic"/>
                  <w14:uncheckedState w14:val="2610" w14:font="MS Gothic"/>
                </w14:checkbox>
              </w:sdtPr>
              <w:sdtEndPr>
                <w:rPr>
                  <w:rStyle w:val="Style2"/>
                </w:rPr>
              </w:sdtEndPr>
              <w:sdtContent>
                <w:r w:rsidR="00E64747" w:rsidRPr="000D01F1">
                  <w:rPr>
                    <w:rStyle w:val="Style2"/>
                    <w:rFonts w:ascii="Segoe UI Symbol" w:eastAsia="MS Gothic" w:hAnsi="Segoe UI Symbol" w:cs="Segoe UI Symbol"/>
                    <w:sz w:val="24"/>
                    <w:szCs w:val="24"/>
                  </w:rPr>
                  <w:t>☐</w:t>
                </w:r>
              </w:sdtContent>
            </w:sdt>
            <w:r w:rsidR="00E64747" w:rsidRPr="000D01F1">
              <w:rPr>
                <w:sz w:val="24"/>
                <w:szCs w:val="24"/>
              </w:rPr>
              <w:t>10.3 str. (hibridinis)</w:t>
            </w:r>
          </w:p>
        </w:tc>
      </w:tr>
      <w:tr w:rsidR="00E64747" w:rsidRPr="000D01F1" w14:paraId="0BEB2277" w14:textId="77777777" w:rsidTr="007A7371">
        <w:trPr>
          <w:trHeight w:val="1442"/>
        </w:trPr>
        <w:tc>
          <w:tcPr>
            <w:tcW w:w="632" w:type="dxa"/>
          </w:tcPr>
          <w:p w14:paraId="75ADFB70" w14:textId="77777777" w:rsidR="00E64747" w:rsidRPr="000D01F1" w:rsidRDefault="00E64747" w:rsidP="007A7371">
            <w:pPr>
              <w:tabs>
                <w:tab w:val="left" w:pos="284"/>
              </w:tabs>
              <w:spacing w:line="280" w:lineRule="atLeast"/>
              <w:rPr>
                <w:rFonts w:eastAsia="Arial"/>
                <w:b/>
                <w:sz w:val="24"/>
                <w:szCs w:val="24"/>
              </w:rPr>
            </w:pPr>
            <w:r w:rsidRPr="000D01F1">
              <w:rPr>
                <w:rFonts w:eastAsia="Arial"/>
                <w:b/>
                <w:sz w:val="24"/>
                <w:szCs w:val="24"/>
              </w:rPr>
              <w:t>1.4</w:t>
            </w:r>
          </w:p>
        </w:tc>
        <w:tc>
          <w:tcPr>
            <w:tcW w:w="3694" w:type="dxa"/>
          </w:tcPr>
          <w:p w14:paraId="2E93FE69" w14:textId="77777777" w:rsidR="00E64747" w:rsidRPr="000D01F1" w:rsidRDefault="00E64747" w:rsidP="007A7371">
            <w:pPr>
              <w:tabs>
                <w:tab w:val="left" w:pos="284"/>
              </w:tabs>
              <w:spacing w:line="280" w:lineRule="atLeast"/>
              <w:rPr>
                <w:b/>
                <w:bCs/>
                <w:color w:val="000000"/>
                <w:sz w:val="24"/>
                <w:szCs w:val="24"/>
              </w:rPr>
            </w:pPr>
            <w:r w:rsidRPr="000D01F1">
              <w:rPr>
                <w:b/>
                <w:bCs/>
                <w:color w:val="000000"/>
                <w:sz w:val="24"/>
                <w:szCs w:val="24"/>
              </w:rPr>
              <w:t xml:space="preserve">Ar vaistinis preparatas įrašytas į Bendrijos retųjų vaistinių preparatų registrą? </w:t>
            </w:r>
          </w:p>
          <w:p w14:paraId="7E93CC65" w14:textId="77777777" w:rsidR="00E64747" w:rsidRPr="000D01F1" w:rsidRDefault="00E64747" w:rsidP="007A7371">
            <w:pPr>
              <w:tabs>
                <w:tab w:val="left" w:pos="284"/>
              </w:tabs>
              <w:spacing w:line="280" w:lineRule="atLeast"/>
              <w:rPr>
                <w:b/>
                <w:bCs/>
                <w:color w:val="000000"/>
                <w:sz w:val="24"/>
                <w:szCs w:val="24"/>
              </w:rPr>
            </w:pPr>
          </w:p>
        </w:tc>
        <w:tc>
          <w:tcPr>
            <w:tcW w:w="4713" w:type="dxa"/>
          </w:tcPr>
          <w:p w14:paraId="07153F1F" w14:textId="77777777" w:rsidR="00E64747" w:rsidRPr="000D01F1" w:rsidRDefault="001B1426" w:rsidP="007A7371">
            <w:pPr>
              <w:pStyle w:val="Sraopastraipa"/>
              <w:spacing w:after="120"/>
              <w:ind w:left="0"/>
              <w:contextualSpacing w:val="0"/>
              <w:jc w:val="both"/>
              <w:rPr>
                <w:sz w:val="24"/>
                <w:szCs w:val="24"/>
              </w:rPr>
            </w:pPr>
            <w:sdt>
              <w:sdtPr>
                <w:rPr>
                  <w:rStyle w:val="Style2"/>
                  <w:sz w:val="24"/>
                </w:rPr>
                <w:id w:val="2024432173"/>
                <w15:color w:val="FFCC00"/>
                <w14:checkbox>
                  <w14:checked w14:val="0"/>
                  <w14:checkedState w14:val="2612" w14:font="MS Gothic"/>
                  <w14:uncheckedState w14:val="2610" w14:font="MS Gothic"/>
                </w14:checkbox>
              </w:sdtPr>
              <w:sdtEndPr>
                <w:rPr>
                  <w:rStyle w:val="Style2"/>
                </w:rPr>
              </w:sdtEndPr>
              <w:sdtContent>
                <w:r w:rsidR="0072762B">
                  <w:rPr>
                    <w:rStyle w:val="Style2"/>
                    <w:rFonts w:ascii="MS Gothic" w:eastAsia="MS Gothic" w:hint="eastAsia"/>
                    <w:sz w:val="24"/>
                  </w:rPr>
                  <w:t>☐</w:t>
                </w:r>
              </w:sdtContent>
            </w:sdt>
            <w:r w:rsidR="00E64747" w:rsidRPr="000D01F1">
              <w:rPr>
                <w:sz w:val="24"/>
                <w:szCs w:val="24"/>
              </w:rPr>
              <w:t xml:space="preserve"> Taip</w:t>
            </w:r>
          </w:p>
          <w:p w14:paraId="552348A0" w14:textId="77777777" w:rsidR="00E64747" w:rsidRPr="000D01F1" w:rsidRDefault="001B1426" w:rsidP="007A7371">
            <w:pPr>
              <w:pStyle w:val="Sraopastraipa"/>
              <w:spacing w:after="120"/>
              <w:ind w:left="0"/>
              <w:contextualSpacing w:val="0"/>
              <w:jc w:val="both"/>
              <w:rPr>
                <w:sz w:val="24"/>
                <w:szCs w:val="24"/>
              </w:rPr>
            </w:pPr>
            <w:sdt>
              <w:sdtPr>
                <w:rPr>
                  <w:rStyle w:val="Style2"/>
                  <w:sz w:val="24"/>
                </w:rPr>
                <w:id w:val="-970507926"/>
                <w15:color w:val="FFCC00"/>
                <w14:checkbox>
                  <w14:checked w14:val="1"/>
                  <w14:checkedState w14:val="2612" w14:font="MS Gothic"/>
                  <w14:uncheckedState w14:val="2610" w14:font="MS Gothic"/>
                </w14:checkbox>
              </w:sdtPr>
              <w:sdtEndPr>
                <w:rPr>
                  <w:rStyle w:val="Style2"/>
                </w:rPr>
              </w:sdtEndPr>
              <w:sdtContent>
                <w:r w:rsidR="0072762B">
                  <w:rPr>
                    <w:rStyle w:val="Style2"/>
                    <w:rFonts w:ascii="MS Gothic" w:eastAsia="MS Gothic" w:hint="eastAsia"/>
                    <w:sz w:val="24"/>
                  </w:rPr>
                  <w:t>☒</w:t>
                </w:r>
              </w:sdtContent>
            </w:sdt>
            <w:r w:rsidR="00E64747" w:rsidRPr="000D01F1">
              <w:rPr>
                <w:sz w:val="24"/>
                <w:szCs w:val="24"/>
              </w:rPr>
              <w:t xml:space="preserve"> Ne</w:t>
            </w:r>
          </w:p>
          <w:p w14:paraId="45A5FD17" w14:textId="77777777" w:rsidR="00E64747" w:rsidRPr="000D01F1" w:rsidRDefault="001B1426" w:rsidP="007A7371">
            <w:pPr>
              <w:rPr>
                <w:sz w:val="24"/>
                <w:szCs w:val="24"/>
              </w:rPr>
            </w:pPr>
            <w:sdt>
              <w:sdtPr>
                <w:rPr>
                  <w:lang w:val="fi-FI"/>
                </w:rPr>
                <w:alias w:val="Nurodykite konkrečią dieną"/>
                <w:tag w:val="Nurodykite pradžios datą"/>
                <w:id w:val="693498901"/>
                <w:placeholder>
                  <w:docPart w:val="71C9817F07586444B83A06F816DE2E85"/>
                </w:placeholder>
                <w:showingPlcHdr/>
                <w15:color w:val="FFCC99"/>
                <w:date>
                  <w:dateFormat w:val="yyyy 'm.' MMMM d 'd.'"/>
                  <w:lid w:val="lt-LT"/>
                  <w:storeMappedDataAs w:val="dateTime"/>
                  <w:calendar w:val="gregorian"/>
                </w:date>
              </w:sdtPr>
              <w:sdtEndPr/>
              <w:sdtContent>
                <w:r w:rsidR="0072762B">
                  <w:rPr>
                    <w:rStyle w:val="Vietosrezervavimoenklotekstas"/>
                  </w:rPr>
                  <w:t>Click here to enter a date.</w:t>
                </w:r>
              </w:sdtContent>
            </w:sdt>
          </w:p>
        </w:tc>
      </w:tr>
      <w:tr w:rsidR="00E64747" w:rsidRPr="000D01F1" w14:paraId="0F25A6D0" w14:textId="77777777" w:rsidTr="007A7371">
        <w:trPr>
          <w:trHeight w:val="1922"/>
        </w:trPr>
        <w:tc>
          <w:tcPr>
            <w:tcW w:w="632" w:type="dxa"/>
          </w:tcPr>
          <w:p w14:paraId="5695F12B" w14:textId="77777777" w:rsidR="00E64747" w:rsidRPr="000D01F1" w:rsidRDefault="00E64747" w:rsidP="007A7371">
            <w:pPr>
              <w:tabs>
                <w:tab w:val="left" w:pos="284"/>
              </w:tabs>
              <w:spacing w:line="280" w:lineRule="atLeast"/>
              <w:rPr>
                <w:rFonts w:eastAsia="Arial"/>
                <w:b/>
                <w:sz w:val="24"/>
                <w:szCs w:val="24"/>
              </w:rPr>
            </w:pPr>
            <w:r w:rsidRPr="000D01F1">
              <w:rPr>
                <w:rFonts w:eastAsia="Arial"/>
                <w:b/>
                <w:sz w:val="24"/>
                <w:szCs w:val="24"/>
              </w:rPr>
              <w:t>1.5</w:t>
            </w:r>
          </w:p>
        </w:tc>
        <w:tc>
          <w:tcPr>
            <w:tcW w:w="3694" w:type="dxa"/>
          </w:tcPr>
          <w:p w14:paraId="4B0402E2" w14:textId="76B0D05F" w:rsidR="00E64747" w:rsidRPr="000D01F1" w:rsidRDefault="00E64747" w:rsidP="00B6624A">
            <w:pPr>
              <w:tabs>
                <w:tab w:val="left" w:pos="284"/>
              </w:tabs>
              <w:spacing w:line="280" w:lineRule="atLeast"/>
              <w:rPr>
                <w:b/>
                <w:bCs/>
                <w:color w:val="000000"/>
                <w:sz w:val="24"/>
                <w:szCs w:val="24"/>
              </w:rPr>
            </w:pPr>
            <w:r w:rsidRPr="000D01F1">
              <w:rPr>
                <w:b/>
                <w:bCs/>
                <w:color w:val="000000"/>
                <w:sz w:val="24"/>
                <w:szCs w:val="24"/>
              </w:rPr>
              <w:t>Teikiama (-os) kompensuoti registruota (-os) vaistinio preparato indikacija (-os), TLK kodas</w:t>
            </w:r>
          </w:p>
        </w:tc>
        <w:tc>
          <w:tcPr>
            <w:tcW w:w="4713" w:type="dxa"/>
          </w:tcPr>
          <w:p w14:paraId="379557D7" w14:textId="77777777" w:rsidR="00EB7BB2" w:rsidRPr="00135A3E" w:rsidRDefault="00EB7BB2" w:rsidP="00EB7BB2">
            <w:pPr>
              <w:rPr>
                <w:rFonts w:eastAsia="Arial"/>
                <w:iCs/>
                <w:sz w:val="24"/>
                <w:szCs w:val="24"/>
              </w:rPr>
            </w:pPr>
            <w:r w:rsidRPr="00135A3E">
              <w:rPr>
                <w:rFonts w:eastAsia="Arial"/>
                <w:iCs/>
                <w:sz w:val="24"/>
                <w:szCs w:val="24"/>
              </w:rPr>
              <w:t>RINVOQ skirtas suaugusių pacientų gigantinių ląstelių arteritui gydyti.</w:t>
            </w:r>
          </w:p>
          <w:p w14:paraId="77579664" w14:textId="77777777" w:rsidR="00EB7BB2" w:rsidRPr="00135A3E" w:rsidRDefault="00EB7BB2" w:rsidP="00EB7BB2">
            <w:pPr>
              <w:rPr>
                <w:rFonts w:eastAsia="Arial"/>
                <w:iCs/>
                <w:sz w:val="24"/>
                <w:szCs w:val="24"/>
              </w:rPr>
            </w:pPr>
          </w:p>
          <w:p w14:paraId="738D4F3C" w14:textId="76316F83" w:rsidR="00E64747" w:rsidRPr="000D01F1" w:rsidRDefault="00EB7BB2" w:rsidP="00EB7BB2">
            <w:pPr>
              <w:pStyle w:val="Sraopastraipa"/>
              <w:spacing w:after="120"/>
              <w:ind w:left="0"/>
              <w:contextualSpacing w:val="0"/>
              <w:jc w:val="both"/>
              <w:rPr>
                <w:sz w:val="24"/>
                <w:szCs w:val="24"/>
              </w:rPr>
            </w:pPr>
            <w:r w:rsidRPr="00135A3E">
              <w:rPr>
                <w:rFonts w:eastAsia="Arial"/>
                <w:iCs/>
                <w:sz w:val="24"/>
                <w:szCs w:val="24"/>
              </w:rPr>
              <w:t>TLK-10-AM – M31.5, M31.6.</w:t>
            </w:r>
          </w:p>
        </w:tc>
      </w:tr>
      <w:tr w:rsidR="00E64747" w:rsidRPr="000D01F1" w14:paraId="462AB5B8" w14:textId="77777777" w:rsidTr="0072762B">
        <w:trPr>
          <w:trHeight w:val="248"/>
        </w:trPr>
        <w:tc>
          <w:tcPr>
            <w:tcW w:w="632" w:type="dxa"/>
          </w:tcPr>
          <w:p w14:paraId="327D3056" w14:textId="77777777" w:rsidR="00E64747" w:rsidRPr="000D01F1" w:rsidRDefault="00E64747" w:rsidP="007A7371">
            <w:pPr>
              <w:tabs>
                <w:tab w:val="left" w:pos="284"/>
              </w:tabs>
              <w:spacing w:line="280" w:lineRule="atLeast"/>
              <w:rPr>
                <w:rFonts w:eastAsia="Arial"/>
                <w:b/>
                <w:sz w:val="24"/>
                <w:szCs w:val="24"/>
              </w:rPr>
            </w:pPr>
            <w:r w:rsidRPr="000D01F1">
              <w:rPr>
                <w:rFonts w:eastAsia="Arial"/>
                <w:b/>
                <w:sz w:val="24"/>
                <w:szCs w:val="24"/>
              </w:rPr>
              <w:t>1.6</w:t>
            </w:r>
          </w:p>
        </w:tc>
        <w:tc>
          <w:tcPr>
            <w:tcW w:w="3694" w:type="dxa"/>
          </w:tcPr>
          <w:p w14:paraId="07B4249E" w14:textId="77777777" w:rsidR="00E64747" w:rsidRPr="000D01F1" w:rsidRDefault="00E64747" w:rsidP="007A7371">
            <w:pPr>
              <w:tabs>
                <w:tab w:val="left" w:pos="284"/>
              </w:tabs>
              <w:spacing w:line="280" w:lineRule="atLeast"/>
              <w:rPr>
                <w:bCs/>
                <w:color w:val="000000"/>
                <w:sz w:val="24"/>
                <w:szCs w:val="24"/>
                <w:u w:val="single"/>
              </w:rPr>
            </w:pPr>
            <w:r w:rsidRPr="000D01F1">
              <w:rPr>
                <w:b/>
                <w:bCs/>
                <w:color w:val="000000"/>
                <w:sz w:val="24"/>
                <w:szCs w:val="24"/>
              </w:rPr>
              <w:t xml:space="preserve">Teikiamos skyrimo sąlygos </w:t>
            </w:r>
          </w:p>
        </w:tc>
        <w:tc>
          <w:tcPr>
            <w:tcW w:w="4713" w:type="dxa"/>
          </w:tcPr>
          <w:p w14:paraId="24ED7EEB" w14:textId="7BF0CE86" w:rsidR="00E64747" w:rsidRPr="00135A3E" w:rsidRDefault="00EB7BB2" w:rsidP="007A7371">
            <w:pPr>
              <w:pStyle w:val="Sraopastraipa"/>
              <w:spacing w:after="120"/>
              <w:ind w:left="0"/>
              <w:contextualSpacing w:val="0"/>
              <w:jc w:val="both"/>
              <w:rPr>
                <w:sz w:val="24"/>
                <w:szCs w:val="24"/>
              </w:rPr>
            </w:pPr>
            <w:r w:rsidRPr="00135A3E">
              <w:rPr>
                <w:sz w:val="24"/>
                <w:szCs w:val="24"/>
              </w:rPr>
              <w:t xml:space="preserve">Skiriamas, jei po 4 savaičių gliukokortikoidų skyrimas vidutinėmis dozėmis yra nepakankamas ir po 6 savaičių metotreksato </w:t>
            </w:r>
            <w:r w:rsidRPr="00135A3E">
              <w:rPr>
                <w:sz w:val="24"/>
                <w:szCs w:val="24"/>
              </w:rPr>
              <w:lastRenderedPageBreak/>
              <w:t>minimalių dozių skyrimas nėra pakankamas atkryčiui išvengti.</w:t>
            </w:r>
          </w:p>
        </w:tc>
      </w:tr>
      <w:tr w:rsidR="00E64747" w:rsidRPr="000D01F1" w14:paraId="24D26D96" w14:textId="77777777" w:rsidTr="007A7371">
        <w:trPr>
          <w:trHeight w:val="378"/>
        </w:trPr>
        <w:tc>
          <w:tcPr>
            <w:tcW w:w="632" w:type="dxa"/>
          </w:tcPr>
          <w:p w14:paraId="6F8A1E18" w14:textId="77777777" w:rsidR="00E64747" w:rsidRPr="000D01F1" w:rsidRDefault="00E64747" w:rsidP="007A7371">
            <w:pPr>
              <w:tabs>
                <w:tab w:val="left" w:pos="284"/>
              </w:tabs>
              <w:spacing w:line="280" w:lineRule="atLeast"/>
              <w:rPr>
                <w:rFonts w:eastAsia="Arial"/>
                <w:b/>
                <w:sz w:val="24"/>
                <w:szCs w:val="24"/>
              </w:rPr>
            </w:pPr>
            <w:r w:rsidRPr="000D01F1">
              <w:rPr>
                <w:rFonts w:eastAsia="Arial"/>
                <w:b/>
                <w:sz w:val="24"/>
                <w:szCs w:val="24"/>
              </w:rPr>
              <w:lastRenderedPageBreak/>
              <w:t>1.7</w:t>
            </w:r>
          </w:p>
        </w:tc>
        <w:tc>
          <w:tcPr>
            <w:tcW w:w="3694" w:type="dxa"/>
          </w:tcPr>
          <w:p w14:paraId="20B17F26" w14:textId="77777777" w:rsidR="00E64747" w:rsidRPr="000D01F1" w:rsidRDefault="00E64747" w:rsidP="007A7371">
            <w:pPr>
              <w:tabs>
                <w:tab w:val="left" w:pos="284"/>
              </w:tabs>
              <w:spacing w:line="280" w:lineRule="atLeast"/>
              <w:rPr>
                <w:b/>
                <w:bCs/>
                <w:color w:val="000000"/>
                <w:sz w:val="24"/>
                <w:szCs w:val="24"/>
              </w:rPr>
            </w:pPr>
            <w:r w:rsidRPr="000D01F1">
              <w:rPr>
                <w:b/>
                <w:bCs/>
                <w:color w:val="000000"/>
                <w:sz w:val="24"/>
                <w:szCs w:val="24"/>
              </w:rPr>
              <w:t xml:space="preserve">Palyginamasis gydymas </w:t>
            </w:r>
          </w:p>
        </w:tc>
        <w:tc>
          <w:tcPr>
            <w:tcW w:w="4713" w:type="dxa"/>
          </w:tcPr>
          <w:p w14:paraId="5467952B" w14:textId="2134518E" w:rsidR="00E64747" w:rsidRPr="000D01F1" w:rsidRDefault="00EB7BB2" w:rsidP="007A7371">
            <w:pPr>
              <w:spacing w:after="120"/>
              <w:jc w:val="both"/>
              <w:rPr>
                <w:sz w:val="24"/>
                <w:szCs w:val="24"/>
              </w:rPr>
            </w:pPr>
            <w:r>
              <w:rPr>
                <w:sz w:val="24"/>
                <w:szCs w:val="24"/>
              </w:rPr>
              <w:t>Tocilizumabas</w:t>
            </w:r>
          </w:p>
        </w:tc>
      </w:tr>
    </w:tbl>
    <w:p w14:paraId="37C2DA9A" w14:textId="77777777" w:rsidR="00E64747" w:rsidRDefault="00E64747" w:rsidP="00E64747">
      <w:pPr>
        <w:pStyle w:val="Sraopastraipa"/>
        <w:tabs>
          <w:tab w:val="left" w:pos="426"/>
        </w:tabs>
        <w:ind w:left="0"/>
        <w:rPr>
          <w:b/>
          <w:bCs/>
          <w:caps/>
        </w:rPr>
      </w:pPr>
    </w:p>
    <w:p w14:paraId="494907E2" w14:textId="47594306" w:rsidR="00E64747" w:rsidRPr="00EB7BB2" w:rsidRDefault="00E64747" w:rsidP="00EB7BB2">
      <w:pPr>
        <w:pStyle w:val="Sraopastraipa"/>
        <w:numPr>
          <w:ilvl w:val="1"/>
          <w:numId w:val="1"/>
        </w:numPr>
        <w:spacing w:line="276" w:lineRule="auto"/>
        <w:jc w:val="both"/>
        <w:rPr>
          <w:rFonts w:eastAsia="Arial"/>
          <w:b/>
        </w:rPr>
      </w:pPr>
      <w:r w:rsidRPr="00EB7BB2">
        <w:rPr>
          <w:rFonts w:eastAsia="Arial"/>
          <w:b/>
        </w:rPr>
        <w:t>Kitų valstybių atsakingų institucijų atlikto Sveikatos technologijų vertinimo (toliau – STV) išvados</w:t>
      </w:r>
    </w:p>
    <w:p w14:paraId="41BE94A5" w14:textId="77777777" w:rsidR="00EB7BB2" w:rsidRPr="00EB7BB2" w:rsidRDefault="00EB7BB2" w:rsidP="00EB7BB2">
      <w:pPr>
        <w:spacing w:line="276" w:lineRule="auto"/>
        <w:ind w:left="360"/>
        <w:jc w:val="both"/>
        <w:rPr>
          <w:rFonts w:eastAsia="Arial"/>
          <w:b/>
        </w:rPr>
      </w:pPr>
    </w:p>
    <w:tbl>
      <w:tblPr>
        <w:tblStyle w:val="Lentelstinklelis"/>
        <w:tblW w:w="9025" w:type="dxa"/>
        <w:tblLook w:val="04A0" w:firstRow="1" w:lastRow="0" w:firstColumn="1" w:lastColumn="0" w:noHBand="0" w:noVBand="1"/>
      </w:tblPr>
      <w:tblGrid>
        <w:gridCol w:w="2663"/>
        <w:gridCol w:w="1742"/>
        <w:gridCol w:w="2140"/>
        <w:gridCol w:w="2480"/>
      </w:tblGrid>
      <w:tr w:rsidR="00EB7BB2" w:rsidRPr="00A469C2" w14:paraId="3FEC9268" w14:textId="77777777" w:rsidTr="00EB7BB2">
        <w:trPr>
          <w:trHeight w:val="937"/>
        </w:trPr>
        <w:tc>
          <w:tcPr>
            <w:tcW w:w="2663" w:type="dxa"/>
          </w:tcPr>
          <w:p w14:paraId="5832C2EF" w14:textId="77777777" w:rsidR="00EB7BB2" w:rsidRPr="00A469C2" w:rsidRDefault="00EB7BB2" w:rsidP="00AA7428">
            <w:pPr>
              <w:spacing w:line="276" w:lineRule="auto"/>
              <w:rPr>
                <w:rFonts w:eastAsia="Arial"/>
                <w:szCs w:val="24"/>
              </w:rPr>
            </w:pPr>
            <w:r w:rsidRPr="00A469C2">
              <w:rPr>
                <w:rFonts w:eastAsia="Arial"/>
                <w:szCs w:val="24"/>
              </w:rPr>
              <w:t>STV agentūros pavadinimas, šalis</w:t>
            </w:r>
          </w:p>
        </w:tc>
        <w:tc>
          <w:tcPr>
            <w:tcW w:w="1742" w:type="dxa"/>
          </w:tcPr>
          <w:p w14:paraId="2E6D4209" w14:textId="77777777" w:rsidR="00EB7BB2" w:rsidRPr="00A469C2" w:rsidRDefault="00EB7BB2" w:rsidP="00AA7428">
            <w:pPr>
              <w:spacing w:line="276" w:lineRule="auto"/>
              <w:rPr>
                <w:rFonts w:eastAsia="Arial"/>
                <w:szCs w:val="24"/>
              </w:rPr>
            </w:pPr>
            <w:r w:rsidRPr="00A469C2">
              <w:rPr>
                <w:rFonts w:eastAsia="Arial"/>
                <w:szCs w:val="24"/>
              </w:rPr>
              <w:t>STV vertinimas atliktas</w:t>
            </w:r>
          </w:p>
        </w:tc>
        <w:tc>
          <w:tcPr>
            <w:tcW w:w="2140" w:type="dxa"/>
          </w:tcPr>
          <w:p w14:paraId="308B2CBC" w14:textId="77777777" w:rsidR="00EB7BB2" w:rsidRPr="00A469C2" w:rsidRDefault="00EB7BB2" w:rsidP="00AA7428">
            <w:pPr>
              <w:spacing w:line="276" w:lineRule="auto"/>
              <w:rPr>
                <w:rFonts w:eastAsia="Arial"/>
                <w:szCs w:val="24"/>
              </w:rPr>
            </w:pPr>
            <w:r w:rsidRPr="00A469C2">
              <w:rPr>
                <w:rFonts w:eastAsia="Arial"/>
                <w:szCs w:val="24"/>
              </w:rPr>
              <w:t>Klinikinio vertinimo išvada</w:t>
            </w:r>
          </w:p>
        </w:tc>
        <w:tc>
          <w:tcPr>
            <w:tcW w:w="2480" w:type="dxa"/>
          </w:tcPr>
          <w:p w14:paraId="663FFD7D" w14:textId="77777777" w:rsidR="00EB7BB2" w:rsidRPr="00A469C2" w:rsidRDefault="00EB7BB2" w:rsidP="00AA7428">
            <w:pPr>
              <w:spacing w:line="276" w:lineRule="auto"/>
              <w:rPr>
                <w:rFonts w:eastAsia="Arial"/>
                <w:szCs w:val="24"/>
              </w:rPr>
            </w:pPr>
            <w:r w:rsidRPr="00A469C2">
              <w:rPr>
                <w:rFonts w:eastAsia="Arial"/>
                <w:szCs w:val="24"/>
              </w:rPr>
              <w:t>Farmakoekonominio vertinimo išvada</w:t>
            </w:r>
          </w:p>
        </w:tc>
      </w:tr>
      <w:tr w:rsidR="00EB7BB2" w:rsidRPr="00A469C2" w14:paraId="0196FF7A" w14:textId="77777777" w:rsidTr="00EB7BB2">
        <w:trPr>
          <w:trHeight w:val="1792"/>
        </w:trPr>
        <w:tc>
          <w:tcPr>
            <w:tcW w:w="2663" w:type="dxa"/>
          </w:tcPr>
          <w:p w14:paraId="71B96C21" w14:textId="77777777" w:rsidR="00EB7BB2" w:rsidRPr="00A469C2" w:rsidRDefault="00EB7BB2" w:rsidP="00AA7428">
            <w:pPr>
              <w:autoSpaceDE w:val="0"/>
              <w:autoSpaceDN w:val="0"/>
              <w:adjustRightInd w:val="0"/>
              <w:rPr>
                <w:bCs/>
                <w:szCs w:val="24"/>
              </w:rPr>
            </w:pPr>
            <w:r w:rsidRPr="00A469C2">
              <w:rPr>
                <w:bCs/>
                <w:szCs w:val="24"/>
              </w:rPr>
              <w:t>Nacionalinis sveikatos ir klinikinės kompetencijos institutas, Didžioji Britanija</w:t>
            </w:r>
          </w:p>
          <w:p w14:paraId="717631B6" w14:textId="77777777" w:rsidR="00EB7BB2" w:rsidRPr="00A469C2" w:rsidRDefault="00EB7BB2" w:rsidP="00AA7428">
            <w:pPr>
              <w:spacing w:line="276" w:lineRule="auto"/>
              <w:rPr>
                <w:rFonts w:eastAsia="Arial"/>
                <w:szCs w:val="24"/>
              </w:rPr>
            </w:pPr>
            <w:r w:rsidRPr="00A469C2">
              <w:rPr>
                <w:rFonts w:eastAsia="Arial"/>
                <w:szCs w:val="24"/>
              </w:rPr>
              <w:t xml:space="preserve">(angl. </w:t>
            </w:r>
            <w:r w:rsidRPr="00A469C2">
              <w:rPr>
                <w:rFonts w:eastAsia="Arial"/>
                <w:i/>
                <w:szCs w:val="24"/>
              </w:rPr>
              <w:t>National Institute for Health and Care Excellence, NICE</w:t>
            </w:r>
            <w:r w:rsidRPr="00A469C2">
              <w:rPr>
                <w:rFonts w:eastAsia="Arial"/>
                <w:szCs w:val="24"/>
              </w:rPr>
              <w:t>)</w:t>
            </w:r>
          </w:p>
        </w:tc>
        <w:tc>
          <w:tcPr>
            <w:tcW w:w="1742" w:type="dxa"/>
          </w:tcPr>
          <w:p w14:paraId="5E5DF98B" w14:textId="77777777" w:rsidR="00EB7BB2" w:rsidRPr="00A469C2" w:rsidRDefault="001B1426" w:rsidP="00AA7428">
            <w:sdt>
              <w:sdtPr>
                <w:rPr>
                  <w:rStyle w:val="Style2"/>
                  <w:sz w:val="24"/>
                </w:rPr>
                <w:id w:val="1558205022"/>
                <w15:color w:val="FFCC00"/>
                <w14:checkbox>
                  <w14:checked w14:val="0"/>
                  <w14:checkedState w14:val="2612" w14:font="MS Gothic"/>
                  <w14:uncheckedState w14:val="2610" w14:font="MS Gothic"/>
                </w14:checkbox>
              </w:sdtPr>
              <w:sdtEndPr>
                <w:rPr>
                  <w:rStyle w:val="Style2"/>
                </w:rPr>
              </w:sdtEndPr>
              <w:sdtContent>
                <w:r w:rsidR="00EB7BB2" w:rsidRPr="00A469C2">
                  <w:rPr>
                    <w:rStyle w:val="Style2"/>
                    <w:rFonts w:ascii="MS Gothic" w:eastAsia="MS Gothic" w:hAnsi="MS Gothic"/>
                    <w:sz w:val="24"/>
                    <w:szCs w:val="24"/>
                  </w:rPr>
                  <w:t>☐</w:t>
                </w:r>
              </w:sdtContent>
            </w:sdt>
            <w:r w:rsidR="00EB7BB2" w:rsidRPr="00A469C2">
              <w:t xml:space="preserve"> Taip</w:t>
            </w:r>
          </w:p>
          <w:p w14:paraId="563B2F06" w14:textId="77777777" w:rsidR="00EB7BB2" w:rsidRPr="00A469C2" w:rsidRDefault="001B1426" w:rsidP="00AA7428">
            <w:sdt>
              <w:sdtPr>
                <w:rPr>
                  <w:rStyle w:val="Style2"/>
                  <w:sz w:val="24"/>
                </w:rPr>
                <w:id w:val="866029625"/>
                <w15:color w:val="FFCC00"/>
                <w14:checkbox>
                  <w14:checked w14:val="1"/>
                  <w14:checkedState w14:val="2612" w14:font="MS Gothic"/>
                  <w14:uncheckedState w14:val="2610" w14:font="MS Gothic"/>
                </w14:checkbox>
              </w:sdtPr>
              <w:sdtEndPr>
                <w:rPr>
                  <w:rStyle w:val="Style2"/>
                </w:rPr>
              </w:sdtEndPr>
              <w:sdtContent>
                <w:r w:rsidR="00EB7BB2" w:rsidRPr="00A469C2">
                  <w:rPr>
                    <w:rStyle w:val="Style2"/>
                    <w:rFonts w:ascii="MS Gothic" w:eastAsia="MS Gothic" w:hAnsi="MS Gothic"/>
                    <w:sz w:val="24"/>
                    <w:szCs w:val="24"/>
                  </w:rPr>
                  <w:t>☒</w:t>
                </w:r>
              </w:sdtContent>
            </w:sdt>
            <w:r w:rsidR="00EB7BB2" w:rsidRPr="00A469C2">
              <w:t xml:space="preserve"> Ne</w:t>
            </w:r>
          </w:p>
          <w:p w14:paraId="3787D7BD" w14:textId="77777777" w:rsidR="00EB7BB2" w:rsidRPr="00A469C2" w:rsidRDefault="001B1426" w:rsidP="00AA7428">
            <w:pPr>
              <w:rPr>
                <w:rFonts w:eastAsia="Arial"/>
              </w:rPr>
            </w:pPr>
            <w:sdt>
              <w:sdtPr>
                <w:alias w:val="Nurodykite konkrečią dieną"/>
                <w:tag w:val="Nurodykite pradžios datą"/>
                <w:id w:val="922837954"/>
                <w:placeholder>
                  <w:docPart w:val="75B33C3CC8CD964AB84BDF0401E26B13"/>
                </w:placeholder>
                <w:showingPlcHdr/>
                <w15:color w:val="FFCC99"/>
                <w:date>
                  <w:dateFormat w:val="yyyy 'm.' MMMM d 'd.'"/>
                  <w:lid w:val="lt-LT"/>
                  <w:storeMappedDataAs w:val="dateTime"/>
                  <w:calendar w:val="gregorian"/>
                </w:date>
              </w:sdtPr>
              <w:sdtEndPr/>
              <w:sdtContent>
                <w:r w:rsidR="00EB7BB2" w:rsidRPr="00A469C2">
                  <w:rPr>
                    <w:rStyle w:val="Vietosrezervavimoenklotekstas"/>
                  </w:rPr>
                  <w:t>Click here to enter a date.</w:t>
                </w:r>
              </w:sdtContent>
            </w:sdt>
          </w:p>
          <w:p w14:paraId="716C5057" w14:textId="77777777" w:rsidR="00EB7BB2" w:rsidRPr="00A469C2" w:rsidRDefault="00EB7BB2" w:rsidP="00AA7428">
            <w:pPr>
              <w:rPr>
                <w:rFonts w:eastAsia="Arial"/>
              </w:rPr>
            </w:pPr>
            <w:r w:rsidRPr="00A469C2">
              <w:rPr>
                <w:rFonts w:eastAsia="Arial"/>
              </w:rPr>
              <w:t>Atliekamas</w:t>
            </w:r>
          </w:p>
        </w:tc>
        <w:tc>
          <w:tcPr>
            <w:tcW w:w="4620" w:type="dxa"/>
            <w:gridSpan w:val="2"/>
          </w:tcPr>
          <w:p w14:paraId="6352FBE9" w14:textId="77777777" w:rsidR="00EB7BB2" w:rsidRPr="00A469C2" w:rsidRDefault="00EB7BB2" w:rsidP="00AA7428">
            <w:pPr>
              <w:spacing w:line="276" w:lineRule="auto"/>
              <w:rPr>
                <w:rFonts w:eastAsia="Arial"/>
                <w:szCs w:val="24"/>
              </w:rPr>
            </w:pPr>
          </w:p>
        </w:tc>
      </w:tr>
      <w:tr w:rsidR="00EB7BB2" w:rsidRPr="00A469C2" w14:paraId="7E60076B" w14:textId="77777777" w:rsidTr="00EB7BB2">
        <w:trPr>
          <w:trHeight w:val="1570"/>
        </w:trPr>
        <w:tc>
          <w:tcPr>
            <w:tcW w:w="2663" w:type="dxa"/>
          </w:tcPr>
          <w:p w14:paraId="18D39907" w14:textId="77777777" w:rsidR="00EB7BB2" w:rsidRPr="00A469C2" w:rsidRDefault="00EB7BB2" w:rsidP="00AA7428">
            <w:pPr>
              <w:spacing w:line="276" w:lineRule="auto"/>
              <w:rPr>
                <w:rFonts w:eastAsia="Arial"/>
                <w:szCs w:val="24"/>
              </w:rPr>
            </w:pPr>
            <w:r w:rsidRPr="00A469C2">
              <w:rPr>
                <w:rFonts w:eastAsia="Arial"/>
                <w:szCs w:val="24"/>
              </w:rPr>
              <w:t>Kanados sveikatos technologijų agentūra</w:t>
            </w:r>
          </w:p>
          <w:p w14:paraId="08A273BF" w14:textId="77777777" w:rsidR="00EB7BB2" w:rsidRPr="00A469C2" w:rsidRDefault="00EB7BB2" w:rsidP="00AA7428">
            <w:pPr>
              <w:spacing w:line="276" w:lineRule="auto"/>
              <w:rPr>
                <w:rFonts w:eastAsia="Arial"/>
                <w:szCs w:val="24"/>
              </w:rPr>
            </w:pPr>
            <w:r w:rsidRPr="00A469C2">
              <w:rPr>
                <w:rFonts w:eastAsia="Arial"/>
                <w:szCs w:val="24"/>
              </w:rPr>
              <w:t xml:space="preserve">(angl. </w:t>
            </w:r>
            <w:r w:rsidRPr="00A469C2">
              <w:rPr>
                <w:rFonts w:eastAsia="Arial"/>
                <w:i/>
                <w:szCs w:val="24"/>
              </w:rPr>
              <w:t>Canadian health Technology Assessment agency, CADTH</w:t>
            </w:r>
            <w:r w:rsidRPr="00A469C2">
              <w:rPr>
                <w:rFonts w:eastAsia="Arial"/>
                <w:szCs w:val="24"/>
              </w:rPr>
              <w:t>)</w:t>
            </w:r>
          </w:p>
        </w:tc>
        <w:tc>
          <w:tcPr>
            <w:tcW w:w="1742" w:type="dxa"/>
          </w:tcPr>
          <w:p w14:paraId="5B3F08F7" w14:textId="77777777" w:rsidR="00EB7BB2" w:rsidRPr="00A469C2" w:rsidRDefault="001B1426" w:rsidP="00AA7428">
            <w:sdt>
              <w:sdtPr>
                <w:rPr>
                  <w:rStyle w:val="Style2"/>
                  <w:sz w:val="24"/>
                </w:rPr>
                <w:id w:val="-372539057"/>
                <w15:color w:val="FFCC00"/>
                <w14:checkbox>
                  <w14:checked w14:val="0"/>
                  <w14:checkedState w14:val="2612" w14:font="MS Gothic"/>
                  <w14:uncheckedState w14:val="2610" w14:font="MS Gothic"/>
                </w14:checkbox>
              </w:sdtPr>
              <w:sdtEndPr>
                <w:rPr>
                  <w:rStyle w:val="Style2"/>
                </w:rPr>
              </w:sdtEndPr>
              <w:sdtContent>
                <w:r w:rsidR="00EB7BB2" w:rsidRPr="00A469C2">
                  <w:rPr>
                    <w:rStyle w:val="Style2"/>
                    <w:rFonts w:ascii="MS Gothic" w:eastAsia="MS Gothic" w:hAnsi="MS Gothic"/>
                    <w:sz w:val="24"/>
                    <w:szCs w:val="24"/>
                  </w:rPr>
                  <w:t>☐</w:t>
                </w:r>
              </w:sdtContent>
            </w:sdt>
            <w:r w:rsidR="00EB7BB2" w:rsidRPr="00A469C2">
              <w:t xml:space="preserve"> Taip</w:t>
            </w:r>
          </w:p>
          <w:p w14:paraId="1C47D21F" w14:textId="77777777" w:rsidR="00EB7BB2" w:rsidRPr="00A469C2" w:rsidRDefault="001B1426" w:rsidP="00AA7428">
            <w:sdt>
              <w:sdtPr>
                <w:rPr>
                  <w:rStyle w:val="Style2"/>
                  <w:sz w:val="24"/>
                </w:rPr>
                <w:id w:val="594442222"/>
                <w15:color w:val="FFCC00"/>
                <w14:checkbox>
                  <w14:checked w14:val="1"/>
                  <w14:checkedState w14:val="2612" w14:font="MS Gothic"/>
                  <w14:uncheckedState w14:val="2610" w14:font="MS Gothic"/>
                </w14:checkbox>
              </w:sdtPr>
              <w:sdtEndPr>
                <w:rPr>
                  <w:rStyle w:val="Style2"/>
                </w:rPr>
              </w:sdtEndPr>
              <w:sdtContent>
                <w:r w:rsidR="00EB7BB2" w:rsidRPr="00A469C2">
                  <w:rPr>
                    <w:rStyle w:val="Style2"/>
                    <w:rFonts w:ascii="MS Gothic" w:eastAsia="MS Gothic" w:hAnsi="MS Gothic"/>
                    <w:sz w:val="24"/>
                    <w:szCs w:val="24"/>
                  </w:rPr>
                  <w:t>☒</w:t>
                </w:r>
              </w:sdtContent>
            </w:sdt>
            <w:r w:rsidR="00EB7BB2" w:rsidRPr="00A469C2">
              <w:t xml:space="preserve"> Ne</w:t>
            </w:r>
          </w:p>
          <w:p w14:paraId="0A54BE17" w14:textId="77777777" w:rsidR="00EB7BB2" w:rsidRPr="00A469C2" w:rsidRDefault="001B1426" w:rsidP="00AA7428">
            <w:pPr>
              <w:spacing w:line="276" w:lineRule="auto"/>
              <w:rPr>
                <w:rFonts w:eastAsia="Arial"/>
                <w:szCs w:val="24"/>
              </w:rPr>
            </w:pPr>
            <w:sdt>
              <w:sdtPr>
                <w:alias w:val="Nurodykite konkrečią dieną"/>
                <w:tag w:val="Nurodykite pradžios datą"/>
                <w:id w:val="1072468416"/>
                <w:placeholder>
                  <w:docPart w:val="991E362653613E49B5164B7199B4DFDD"/>
                </w:placeholder>
                <w:showingPlcHdr/>
                <w15:color w:val="FFCC99"/>
                <w:date>
                  <w:dateFormat w:val="yyyy 'm.' MMMM d 'd.'"/>
                  <w:lid w:val="lt-LT"/>
                  <w:storeMappedDataAs w:val="dateTime"/>
                  <w:calendar w:val="gregorian"/>
                </w:date>
              </w:sdtPr>
              <w:sdtEndPr/>
              <w:sdtContent>
                <w:r w:rsidR="00EB7BB2" w:rsidRPr="00A469C2">
                  <w:rPr>
                    <w:rStyle w:val="Vietosrezervavimoenklotekstas"/>
                  </w:rPr>
                  <w:t>Click here to enter a date.</w:t>
                </w:r>
              </w:sdtContent>
            </w:sdt>
          </w:p>
          <w:p w14:paraId="700D2F20" w14:textId="77777777" w:rsidR="00EB7BB2" w:rsidRPr="00A469C2" w:rsidRDefault="00EB7BB2" w:rsidP="00AA7428">
            <w:pPr>
              <w:rPr>
                <w:rFonts w:eastAsia="Arial"/>
                <w:szCs w:val="24"/>
              </w:rPr>
            </w:pPr>
          </w:p>
          <w:p w14:paraId="44D5D65C" w14:textId="77777777" w:rsidR="00EB7BB2" w:rsidRPr="00A469C2" w:rsidRDefault="00EB7BB2" w:rsidP="00AA7428">
            <w:pPr>
              <w:rPr>
                <w:rFonts w:eastAsia="Arial"/>
                <w:szCs w:val="24"/>
              </w:rPr>
            </w:pPr>
            <w:r w:rsidRPr="00A469C2">
              <w:rPr>
                <w:rFonts w:eastAsia="Arial"/>
                <w:szCs w:val="24"/>
              </w:rPr>
              <w:t>Atliekamas</w:t>
            </w:r>
          </w:p>
        </w:tc>
        <w:tc>
          <w:tcPr>
            <w:tcW w:w="4620" w:type="dxa"/>
            <w:gridSpan w:val="2"/>
          </w:tcPr>
          <w:p w14:paraId="5A8D6B73" w14:textId="77777777" w:rsidR="00EB7BB2" w:rsidRPr="00A469C2" w:rsidRDefault="00EB7BB2" w:rsidP="00AA7428">
            <w:pPr>
              <w:spacing w:line="276" w:lineRule="auto"/>
              <w:rPr>
                <w:rFonts w:eastAsia="Arial"/>
                <w:szCs w:val="24"/>
              </w:rPr>
            </w:pPr>
          </w:p>
        </w:tc>
      </w:tr>
      <w:tr w:rsidR="00815EA2" w:rsidRPr="00A469C2" w14:paraId="7EB5C3FA" w14:textId="77777777" w:rsidTr="00827B2E">
        <w:trPr>
          <w:trHeight w:val="1956"/>
        </w:trPr>
        <w:tc>
          <w:tcPr>
            <w:tcW w:w="2663" w:type="dxa"/>
          </w:tcPr>
          <w:p w14:paraId="4509A29C" w14:textId="77777777" w:rsidR="00815EA2" w:rsidRPr="00A469C2" w:rsidRDefault="00815EA2" w:rsidP="00AA7428">
            <w:pPr>
              <w:spacing w:line="276" w:lineRule="auto"/>
              <w:rPr>
                <w:rFonts w:eastAsia="Arial"/>
                <w:szCs w:val="24"/>
              </w:rPr>
            </w:pPr>
            <w:r w:rsidRPr="00A469C2">
              <w:rPr>
                <w:rFonts w:eastAsia="Arial"/>
                <w:szCs w:val="24"/>
              </w:rPr>
              <w:t>Nacionalinis farmakoekonomikos centras, Airija</w:t>
            </w:r>
          </w:p>
          <w:p w14:paraId="1DB01590" w14:textId="77777777" w:rsidR="00815EA2" w:rsidRPr="00A469C2" w:rsidRDefault="00815EA2" w:rsidP="00AA7428">
            <w:pPr>
              <w:spacing w:line="276" w:lineRule="auto"/>
              <w:rPr>
                <w:rFonts w:eastAsia="Arial"/>
                <w:szCs w:val="24"/>
              </w:rPr>
            </w:pPr>
            <w:r w:rsidRPr="00A469C2">
              <w:rPr>
                <w:rFonts w:eastAsia="Arial"/>
                <w:szCs w:val="24"/>
              </w:rPr>
              <w:t>(angl.</w:t>
            </w:r>
            <w:r w:rsidRPr="00A469C2">
              <w:rPr>
                <w:rFonts w:eastAsia="Arial"/>
                <w:i/>
                <w:szCs w:val="24"/>
              </w:rPr>
              <w:t xml:space="preserve"> National Centre for Pharmacoeconomics, NCPE</w:t>
            </w:r>
            <w:r w:rsidRPr="00A469C2">
              <w:rPr>
                <w:rFonts w:eastAsia="Arial"/>
                <w:szCs w:val="24"/>
              </w:rPr>
              <w:t>)</w:t>
            </w:r>
          </w:p>
        </w:tc>
        <w:tc>
          <w:tcPr>
            <w:tcW w:w="1742" w:type="dxa"/>
          </w:tcPr>
          <w:p w14:paraId="0737F574" w14:textId="77777777" w:rsidR="00815EA2" w:rsidRPr="00A469C2" w:rsidRDefault="001B1426" w:rsidP="00AA7428">
            <w:sdt>
              <w:sdtPr>
                <w:rPr>
                  <w:rStyle w:val="Style2"/>
                  <w:sz w:val="24"/>
                </w:rPr>
                <w:id w:val="-1888403732"/>
                <w15:color w:val="FFCC00"/>
                <w14:checkbox>
                  <w14:checked w14:val="0"/>
                  <w14:checkedState w14:val="2612" w14:font="MS Gothic"/>
                  <w14:uncheckedState w14:val="2610" w14:font="MS Gothic"/>
                </w14:checkbox>
              </w:sdtPr>
              <w:sdtEndPr>
                <w:rPr>
                  <w:rStyle w:val="Style2"/>
                </w:rPr>
              </w:sdtEndPr>
              <w:sdtContent>
                <w:r w:rsidR="00815EA2" w:rsidRPr="00A469C2">
                  <w:rPr>
                    <w:rStyle w:val="Style2"/>
                    <w:rFonts w:ascii="Segoe UI Symbol" w:eastAsia="MS Gothic" w:hAnsi="Segoe UI Symbol" w:cs="Segoe UI Symbol"/>
                    <w:sz w:val="24"/>
                    <w:szCs w:val="24"/>
                  </w:rPr>
                  <w:t>☐</w:t>
                </w:r>
              </w:sdtContent>
            </w:sdt>
            <w:r w:rsidR="00815EA2" w:rsidRPr="00A469C2">
              <w:t xml:space="preserve"> Taip</w:t>
            </w:r>
          </w:p>
          <w:p w14:paraId="08D02934" w14:textId="77777777" w:rsidR="00815EA2" w:rsidRPr="00A469C2" w:rsidRDefault="001B1426" w:rsidP="00AA7428">
            <w:sdt>
              <w:sdtPr>
                <w:rPr>
                  <w:rStyle w:val="Style2"/>
                  <w:sz w:val="24"/>
                </w:rPr>
                <w:id w:val="1092201793"/>
                <w15:color w:val="FFCC00"/>
                <w14:checkbox>
                  <w14:checked w14:val="1"/>
                  <w14:checkedState w14:val="2612" w14:font="MS Gothic"/>
                  <w14:uncheckedState w14:val="2610" w14:font="MS Gothic"/>
                </w14:checkbox>
              </w:sdtPr>
              <w:sdtEndPr>
                <w:rPr>
                  <w:rStyle w:val="Style2"/>
                </w:rPr>
              </w:sdtEndPr>
              <w:sdtContent>
                <w:r w:rsidR="00815EA2" w:rsidRPr="00A469C2">
                  <w:rPr>
                    <w:rStyle w:val="Style2"/>
                    <w:rFonts w:ascii="MS Gothic" w:eastAsia="MS Gothic" w:hAnsi="MS Gothic"/>
                    <w:sz w:val="24"/>
                    <w:szCs w:val="24"/>
                  </w:rPr>
                  <w:t>☒</w:t>
                </w:r>
              </w:sdtContent>
            </w:sdt>
            <w:r w:rsidR="00815EA2" w:rsidRPr="00A469C2">
              <w:t xml:space="preserve"> Ne</w:t>
            </w:r>
          </w:p>
          <w:p w14:paraId="34C95D00" w14:textId="77777777" w:rsidR="00815EA2" w:rsidRPr="00A469C2" w:rsidRDefault="001B1426" w:rsidP="00AA7428">
            <w:pPr>
              <w:spacing w:line="276" w:lineRule="auto"/>
              <w:rPr>
                <w:szCs w:val="24"/>
              </w:rPr>
            </w:pPr>
            <w:sdt>
              <w:sdtPr>
                <w:alias w:val="Nurodykite konkrečią dieną"/>
                <w:tag w:val="Nurodykite pradžios datą"/>
                <w:id w:val="-198323198"/>
                <w:placeholder>
                  <w:docPart w:val="9AC09CF72BD24FA5864DAACA04B5A68C"/>
                </w:placeholder>
                <w:showingPlcHdr/>
                <w15:color w:val="FFCC99"/>
                <w:date w:fullDate="2022-05-18T00:00:00Z">
                  <w:dateFormat w:val="yyyy 'm.' MMMM d 'd.'"/>
                  <w:lid w:val="lt-LT"/>
                  <w:storeMappedDataAs w:val="dateTime"/>
                  <w:calendar w:val="gregorian"/>
                </w:date>
              </w:sdtPr>
              <w:sdtEndPr/>
              <w:sdtContent>
                <w:r w:rsidR="00815EA2" w:rsidRPr="00A469C2">
                  <w:rPr>
                    <w:rStyle w:val="Vietosrezervavimoenklotekstas"/>
                    <w:szCs w:val="24"/>
                  </w:rPr>
                  <w:t>Click here to enter a date.</w:t>
                </w:r>
              </w:sdtContent>
            </w:sdt>
          </w:p>
          <w:p w14:paraId="2C0189D1" w14:textId="77777777" w:rsidR="00815EA2" w:rsidRPr="00A469C2" w:rsidRDefault="00815EA2" w:rsidP="00AA7428">
            <w:pPr>
              <w:spacing w:line="276" w:lineRule="auto"/>
              <w:rPr>
                <w:rFonts w:eastAsia="Arial"/>
                <w:szCs w:val="24"/>
              </w:rPr>
            </w:pPr>
          </w:p>
          <w:p w14:paraId="5210CEF9" w14:textId="77777777" w:rsidR="00815EA2" w:rsidRPr="00A469C2" w:rsidRDefault="00815EA2" w:rsidP="00AA7428">
            <w:pPr>
              <w:spacing w:line="276" w:lineRule="auto"/>
              <w:rPr>
                <w:rFonts w:eastAsia="Arial"/>
                <w:szCs w:val="24"/>
              </w:rPr>
            </w:pPr>
            <w:r w:rsidRPr="00A469C2">
              <w:rPr>
                <w:rFonts w:eastAsia="Arial"/>
                <w:szCs w:val="24"/>
              </w:rPr>
              <w:t>Atliekamas</w:t>
            </w:r>
          </w:p>
        </w:tc>
        <w:tc>
          <w:tcPr>
            <w:tcW w:w="4620" w:type="dxa"/>
            <w:gridSpan w:val="2"/>
          </w:tcPr>
          <w:p w14:paraId="7711BE13" w14:textId="77777777" w:rsidR="00815EA2" w:rsidRPr="00A469C2" w:rsidRDefault="00815EA2" w:rsidP="00AA7428">
            <w:pPr>
              <w:spacing w:line="276" w:lineRule="auto"/>
              <w:rPr>
                <w:rFonts w:eastAsia="Arial"/>
                <w:szCs w:val="24"/>
              </w:rPr>
            </w:pPr>
          </w:p>
        </w:tc>
      </w:tr>
    </w:tbl>
    <w:p w14:paraId="11C03CF3" w14:textId="77777777" w:rsidR="00E64747" w:rsidRDefault="00E64747" w:rsidP="00E64747">
      <w:pPr>
        <w:spacing w:line="276" w:lineRule="auto"/>
        <w:rPr>
          <w:rFonts w:eastAsia="Arial"/>
        </w:rPr>
      </w:pPr>
    </w:p>
    <w:p w14:paraId="1F0F60A9" w14:textId="77777777" w:rsidR="00E64747" w:rsidRDefault="00E64747" w:rsidP="00E64747">
      <w:pPr>
        <w:pStyle w:val="Sraopastraipa"/>
        <w:tabs>
          <w:tab w:val="left" w:pos="426"/>
        </w:tabs>
        <w:ind w:left="0"/>
        <w:rPr>
          <w:b/>
          <w:bCs/>
          <w:caps/>
        </w:rPr>
      </w:pPr>
    </w:p>
    <w:p w14:paraId="2BFBF75B" w14:textId="1D5E1676" w:rsidR="00E64747" w:rsidRDefault="00E64747" w:rsidP="00E64747">
      <w:pPr>
        <w:pStyle w:val="Sraopastraipa"/>
        <w:numPr>
          <w:ilvl w:val="0"/>
          <w:numId w:val="1"/>
        </w:numPr>
        <w:tabs>
          <w:tab w:val="left" w:pos="284"/>
        </w:tabs>
        <w:rPr>
          <w:b/>
          <w:bCs/>
          <w:caps/>
        </w:rPr>
      </w:pPr>
      <w:r w:rsidRPr="00937907">
        <w:rPr>
          <w:b/>
          <w:bCs/>
          <w:caps/>
        </w:rPr>
        <w:t>Klinikinio vertinimo apibendrinimas</w:t>
      </w:r>
    </w:p>
    <w:p w14:paraId="3D905E18" w14:textId="77777777" w:rsidR="00B35F85" w:rsidRPr="00937907" w:rsidRDefault="00B35F85" w:rsidP="00B35F85">
      <w:pPr>
        <w:pStyle w:val="Sraopastraipa"/>
        <w:tabs>
          <w:tab w:val="left" w:pos="284"/>
        </w:tabs>
        <w:rPr>
          <w:b/>
          <w:bCs/>
          <w:caps/>
        </w:rPr>
      </w:pPr>
    </w:p>
    <w:p w14:paraId="610B55EF" w14:textId="77777777" w:rsidR="00EB7BB2" w:rsidRPr="00A469C2" w:rsidRDefault="00EB7BB2" w:rsidP="00135A3E">
      <w:pPr>
        <w:spacing w:line="276" w:lineRule="auto"/>
        <w:ind w:firstLine="851"/>
        <w:jc w:val="both"/>
      </w:pPr>
      <w:r w:rsidRPr="00A469C2">
        <w:t xml:space="preserve">Hortono liga (gigantinių ląstelių arteritas, GLA) yra labiausiai paplitęs stambiųjų kraujagyslių vaskulitas, įprastai stebimas vyresniems nei 50 metų pacientams. Hortono ligos patofiziologija daugialypė, sąlygojama dėl senėjimo sutrikusios imuninės sistemos reguliacijos, kuri apima tiek įgimtą, tiek įgytą imuninį atsaką, genetinio polinkio bei kraujagyslių dendritinių ląstelių aktyvavimo iki šiol neišaiškintu faktoriumi. Manoma, kad patologijos klinika nulemta hipererginės imuninės sistemos reakcijos į kraujagyslių endotelio pažeidimą sąlygojamos limfocitų proliferacijos ir gigantinių ląstelių formavimosi. Dėl šių procesų reikšmės kraujagyslių spindžio susiaurėjimui ir vidinės elastinės membranos pažeidimui sutrinka pažeistų kraujagyslių maitinamų organų perfuzija. Hortono ligos metu įprastai pažeidžiamos didelės bei vidutinio dydžio arterijos, kurių skersmuo didesnis nei 2000 μm. Dažniausiai pažeidžiama aorta ir jos antros – penktos eilės šakos. </w:t>
      </w:r>
    </w:p>
    <w:p w14:paraId="0AEC9BDA" w14:textId="77777777" w:rsidR="00EB7BB2" w:rsidRPr="00A469C2" w:rsidRDefault="00EB7BB2" w:rsidP="00135A3E">
      <w:pPr>
        <w:spacing w:line="276" w:lineRule="auto"/>
        <w:ind w:firstLine="851"/>
        <w:jc w:val="both"/>
      </w:pPr>
      <w:r w:rsidRPr="00A469C2">
        <w:t>Epidemiologinių studijų duomenimis, pasaulinis Hortono ligos paplitimas gyventojų per 50 metų amžiaus grupėje yra 10 atvejų 100 000, didžiausias rodiklis fiksuojamas Skandinavijos pusiasalio šalyse (21,6 atvejo 100 000 gyventojų).</w:t>
      </w:r>
    </w:p>
    <w:p w14:paraId="3223AE7F" w14:textId="77777777" w:rsidR="00EB7BB2" w:rsidRPr="00A469C2" w:rsidRDefault="00EB7BB2" w:rsidP="00135A3E">
      <w:pPr>
        <w:spacing w:line="276" w:lineRule="auto"/>
        <w:ind w:firstLine="851"/>
        <w:jc w:val="both"/>
      </w:pPr>
      <w:r w:rsidRPr="00A469C2">
        <w:t xml:space="preserve">GLA dėl nuolatinio regėjimo praradimo ir insulto rizikos yra skubios diagnostikos ir gydymo reikalaujantis susirgimas. Nuolatinis regėjimo praradimas pasireiškia 8–28% pacientų, sergančių </w:t>
      </w:r>
      <w:r w:rsidRPr="00A469C2">
        <w:lastRenderedPageBreak/>
        <w:t>GLA, ir tai daugiausia įvyksta dėl išeminių reiškinių. Gali išsivystyti širdies ir kraujagyslių komplikacijų, sukeliančių aortos aneurizmas, insultus ir arterijų sienelių pažeidimus.</w:t>
      </w:r>
    </w:p>
    <w:p w14:paraId="1DEA0FBC" w14:textId="09F57B76" w:rsidR="00EB7BB2" w:rsidRPr="00A469C2" w:rsidRDefault="00EB7BB2" w:rsidP="00135A3E">
      <w:pPr>
        <w:spacing w:line="276" w:lineRule="auto"/>
        <w:ind w:firstLine="851"/>
        <w:jc w:val="both"/>
        <w:rPr>
          <w:rFonts w:eastAsia="Arial"/>
          <w:color w:val="000000"/>
        </w:rPr>
      </w:pPr>
      <w:r w:rsidRPr="00A469C2">
        <w:rPr>
          <w:rFonts w:eastAsia="Arial"/>
          <w:color w:val="000000"/>
        </w:rPr>
        <w:t xml:space="preserve">Įprastinė klinikinė praktika Lietuvoje gigantinių ląstelių arteritui gydyti apima gliukokortikoidus, metotreksatą bei tocilizumabą. Lietuvoje nėra patvirtinto gydymo tvarkos aprašo, tačiau yra vadovaujamasi tarptautinėmis, plačiai naudojamomis ACR (American College of Rheumatology) ir EULAR (European Alliance of Associations for Rheumatology) gairėmis. Jose rekomenduojama GLA gydymą pradėti vartojant didelę geriamųjų gliukokortikoidų paros dozę (40–60 mg prednizono per parą arba 1 mg/kg per parą iki 80 mg ar lygiavertės dozės). Suvaldžius ligą, gliukokortikoidų dozę reikia mažinti (15–20 mg per parą per 2–3 mėnesius ir ≤5 mg per parą po vienerių metų). ACR gairėse taip pat rekomenduojama kartu su didelėmis gliukokortikoidų dozėmis, kaip papildomą terapiją pirmos eilės gydymui, skirti tocilizumabą, tuo tarpu EULAR gairėse nurodoma tocilizumabą skirti pacientams, kuriems yra padidėjusi su gliukokortikoidais susijusių nepageidaujamų reiškinių rizika arba sergantiems recidyvuojančia/atsparia liga. Abejos gairės, pasireiškus atkryčiui, rekomenduoja padidinti gliukokortikoidų dozę bei papildomai skirti tocilizumabą </w:t>
      </w:r>
      <w:r w:rsidR="00FB3C81">
        <w:rPr>
          <w:rFonts w:eastAsia="Arial"/>
          <w:color w:val="000000"/>
        </w:rPr>
        <w:t>(</w:t>
      </w:r>
      <w:r w:rsidR="00FB3C81" w:rsidRPr="00A469C2">
        <w:rPr>
          <w:rFonts w:eastAsia="Arial"/>
          <w:color w:val="000000"/>
        </w:rPr>
        <w:t>metotreksat</w:t>
      </w:r>
      <w:r w:rsidR="00FB3C81">
        <w:rPr>
          <w:rFonts w:eastAsia="Arial"/>
          <w:color w:val="000000"/>
        </w:rPr>
        <w:t>o skyrimas yra galimas, tačiau jo veiksmingumas yra abejotinas)</w:t>
      </w:r>
      <w:r w:rsidR="00FB3C81" w:rsidRPr="00A469C2">
        <w:rPr>
          <w:rFonts w:eastAsia="Arial"/>
          <w:color w:val="000000"/>
        </w:rPr>
        <w:t>.</w:t>
      </w:r>
    </w:p>
    <w:p w14:paraId="376A71B8" w14:textId="04FF18C6" w:rsidR="00EB7BB2" w:rsidRPr="00A469C2" w:rsidRDefault="00EB7BB2" w:rsidP="00135A3E">
      <w:pPr>
        <w:spacing w:line="276" w:lineRule="auto"/>
        <w:ind w:firstLine="851"/>
        <w:jc w:val="both"/>
        <w:rPr>
          <w:rFonts w:eastAsia="Arial"/>
          <w:color w:val="000000"/>
          <w:szCs w:val="20"/>
        </w:rPr>
      </w:pPr>
      <w:r w:rsidRPr="00A469C2">
        <w:rPr>
          <w:rFonts w:eastAsia="Arial"/>
          <w:color w:val="000000"/>
        </w:rPr>
        <w:t xml:space="preserve">Lietuvoje gliukokortikoidai dažniausiai skiriami pirmos eilės gydymui dėl greitos ligos kontrolės ir užkertamo kelio regėjimo praradimui, vėliau pacientai gydomi metotreksatu. Nors pastarasis vaistinis preparatas neturi EVA registruotos indikacijos GLA gydymui, tačiau yra naudojamas ir rekomenduojamas tarptautinių gairių, skiriamas siekiant sumažinti </w:t>
      </w:r>
      <w:r w:rsidR="00FB3C81">
        <w:rPr>
          <w:rFonts w:eastAsia="Arial"/>
          <w:color w:val="000000"/>
        </w:rPr>
        <w:t xml:space="preserve">kumuliacines </w:t>
      </w:r>
      <w:r w:rsidRPr="00A469C2">
        <w:rPr>
          <w:rFonts w:eastAsia="Arial"/>
          <w:color w:val="000000"/>
        </w:rPr>
        <w:t>gliukokortikoidų dozes. Dar vėliau, pagal galiojančią skyrimo sąlygą pradedamas gydymas tocilizumabu - skiriamas, jei 4 savaičių gydymas gliukokortikoidais vidutinėmis dozėmis yra nepakankamas ir po 6 savaičių metotreksato minimalių dozių skyrimas nėra pakankamas atkryčiui išvengti.</w:t>
      </w:r>
    </w:p>
    <w:p w14:paraId="5EBE8D2D" w14:textId="77777777" w:rsidR="00EB7BB2" w:rsidRPr="00A469C2" w:rsidRDefault="00EB7BB2" w:rsidP="00135A3E">
      <w:pPr>
        <w:spacing w:line="276" w:lineRule="auto"/>
        <w:ind w:firstLine="567"/>
        <w:jc w:val="both"/>
        <w:rPr>
          <w:lang w:eastAsia="lt-LT"/>
        </w:rPr>
      </w:pPr>
      <w:r w:rsidRPr="00A469C2">
        <w:rPr>
          <w:lang w:eastAsia="lt-LT"/>
        </w:rPr>
        <w:t xml:space="preserve">Pareiškėjas upadacitinibą (Rinvoq) siūlo kompensuoti tokiomis pačiomis sąlygomis kaip ir dabar kompensuojamą tocilizumabą. Pareiškėjo pasiriktas </w:t>
      </w:r>
      <w:r w:rsidRPr="00A469C2">
        <w:rPr>
          <w:bCs/>
          <w:lang w:eastAsia="lt-LT"/>
        </w:rPr>
        <w:t>palyginamasis gydymas (</w:t>
      </w:r>
      <w:r w:rsidRPr="00A469C2">
        <w:rPr>
          <w:lang w:eastAsia="lt-LT"/>
        </w:rPr>
        <w:t>tocilizumabas)</w:t>
      </w:r>
      <w:r w:rsidRPr="00A469C2">
        <w:rPr>
          <w:bCs/>
          <w:lang w:eastAsia="lt-LT"/>
        </w:rPr>
        <w:t>, atitinka įprastinę klinikinę praktiką Lietuvoje.</w:t>
      </w:r>
    </w:p>
    <w:p w14:paraId="4F3AED36" w14:textId="77777777" w:rsidR="00EB7BB2" w:rsidRPr="00A469C2" w:rsidRDefault="00EB7BB2" w:rsidP="00EB7BB2">
      <w:pPr>
        <w:spacing w:line="276" w:lineRule="auto"/>
        <w:jc w:val="both"/>
        <w:rPr>
          <w:i/>
          <w:lang w:eastAsia="lt-LT"/>
        </w:rPr>
      </w:pPr>
    </w:p>
    <w:p w14:paraId="22AAFFBE" w14:textId="77777777" w:rsidR="00EB7BB2" w:rsidRPr="00A469C2" w:rsidRDefault="00EB7BB2" w:rsidP="00EB7BB2">
      <w:pPr>
        <w:spacing w:line="276" w:lineRule="auto"/>
        <w:ind w:firstLine="567"/>
        <w:jc w:val="both"/>
        <w:rPr>
          <w:i/>
          <w:lang w:eastAsia="lt-LT"/>
        </w:rPr>
      </w:pPr>
      <w:r w:rsidRPr="00A469C2">
        <w:rPr>
          <w:i/>
          <w:lang w:eastAsia="lt-LT"/>
        </w:rPr>
        <w:t>Netiesioginio palyginimo tyrimai</w:t>
      </w:r>
    </w:p>
    <w:p w14:paraId="1521EEAC" w14:textId="77777777" w:rsidR="00EB7BB2" w:rsidRPr="00A469C2" w:rsidRDefault="00EB7BB2" w:rsidP="00EB7BB2">
      <w:pPr>
        <w:tabs>
          <w:tab w:val="left" w:pos="426"/>
        </w:tabs>
        <w:spacing w:line="276" w:lineRule="auto"/>
        <w:ind w:firstLine="567"/>
        <w:jc w:val="both"/>
        <w:rPr>
          <w:bCs/>
          <w:lang w:eastAsia="lt-LT"/>
        </w:rPr>
      </w:pPr>
      <w:r w:rsidRPr="00A469C2">
        <w:rPr>
          <w:bCs/>
          <w:lang w:eastAsia="lt-LT"/>
        </w:rPr>
        <w:t>Buvo atliktas MAIC palyginimas, kurio metu vertintas tocilizumabo ir upadacitinibo veikmsingumas, pacientams, sergantiems recidyvuojančia GLA.</w:t>
      </w:r>
    </w:p>
    <w:p w14:paraId="51CDFD5F" w14:textId="77777777" w:rsidR="00EB7BB2" w:rsidRPr="00A469C2" w:rsidRDefault="00EB7BB2" w:rsidP="00EB7BB2">
      <w:pPr>
        <w:tabs>
          <w:tab w:val="left" w:pos="492"/>
        </w:tabs>
        <w:spacing w:line="276" w:lineRule="auto"/>
        <w:ind w:firstLine="567"/>
        <w:jc w:val="both"/>
        <w:outlineLvl w:val="1"/>
        <w:rPr>
          <w:bCs/>
          <w:lang w:eastAsia="lt-LT"/>
        </w:rPr>
      </w:pPr>
      <w:r w:rsidRPr="00A469C2">
        <w:rPr>
          <w:rFonts w:eastAsia="Arial"/>
        </w:rPr>
        <w:t xml:space="preserve">Tyrimų populiacija atitinka vertinamą indikaciją ir skyrimo sąlygą – t.y. populiacijose buvo įtraukti </w:t>
      </w:r>
      <w:r w:rsidRPr="00A469C2">
        <w:rPr>
          <w:bCs/>
          <w:lang w:eastAsia="lt-LT"/>
        </w:rPr>
        <w:t xml:space="preserve">pacientai, sergantys recidyvuojančia GLA, kuriems buvo taikytas gydymas gliukokortikoidais, ir kuriems toks gydymas buvo nepakankamai veiksmingas. </w:t>
      </w:r>
    </w:p>
    <w:p w14:paraId="667E0AE3" w14:textId="77777777" w:rsidR="00EB7BB2" w:rsidRPr="00A469C2" w:rsidRDefault="00EB7BB2" w:rsidP="00EB7BB2">
      <w:pPr>
        <w:tabs>
          <w:tab w:val="left" w:pos="284"/>
        </w:tabs>
        <w:spacing w:line="276" w:lineRule="auto"/>
        <w:ind w:firstLine="567"/>
        <w:jc w:val="both"/>
        <w:rPr>
          <w:rFonts w:eastAsia="Arial"/>
        </w:rPr>
      </w:pPr>
      <w:r w:rsidRPr="00A469C2">
        <w:rPr>
          <w:rFonts w:eastAsia="Arial"/>
        </w:rPr>
        <w:t>Vertinant išlaikytą visiškos remisijos dažnį, pacientų, patyrusių bent 1 paūmėjimą, skaičių, laiką iki pirmo paūmėjimo, upadacitinibo ir tocilizumabo veiksmingumas buvo panašus, t.y. statistiškai reikšmingų skirtumų nenustatyta. Upadacitinibas buvo susijęs su statistiškai reikšmingu gliukokortikoidų kumuliacinės dozės sumažėjimu. Saugumo profilis taip pat buvo panašus, statistiškai reikšmingo skirtumo nebuvo.</w:t>
      </w:r>
    </w:p>
    <w:p w14:paraId="0C749D74" w14:textId="77777777" w:rsidR="00EB7BB2" w:rsidRPr="00A469C2" w:rsidRDefault="00EB7BB2" w:rsidP="00EB7BB2">
      <w:pPr>
        <w:tabs>
          <w:tab w:val="left" w:pos="426"/>
        </w:tabs>
        <w:spacing w:line="276" w:lineRule="auto"/>
        <w:ind w:firstLine="567"/>
        <w:jc w:val="both"/>
      </w:pPr>
      <w:r w:rsidRPr="00A469C2">
        <w:rPr>
          <w:rFonts w:eastAsia="Arial"/>
          <w:color w:val="000000" w:themeColor="text1"/>
        </w:rPr>
        <w:t xml:space="preserve">Apibendrinant </w:t>
      </w:r>
      <w:r w:rsidRPr="00A469C2">
        <w:rPr>
          <w:rFonts w:eastAsia="Arial"/>
          <w:bCs/>
          <w:color w:val="000000" w:themeColor="text1"/>
        </w:rPr>
        <w:t xml:space="preserve">netiesioginio palyginimo analizėje pateiktus duomenis, upadacitinibo palyginamasis veiksmingumas vertinamas kaip </w:t>
      </w:r>
      <w:r w:rsidRPr="00A469C2">
        <w:t>iš esmės nesiskiriantis, lyginant su įprasta klinikine praktika (tocilizumabu</w:t>
      </w:r>
      <w:r w:rsidRPr="00A469C2">
        <w:rPr>
          <w:lang w:eastAsia="lt-LT"/>
        </w:rPr>
        <w:t>)</w:t>
      </w:r>
      <w:r w:rsidRPr="00A469C2">
        <w:t>.</w:t>
      </w:r>
    </w:p>
    <w:p w14:paraId="20837FAD" w14:textId="77777777" w:rsidR="00E64747" w:rsidRPr="007B6B4A" w:rsidRDefault="00E64747" w:rsidP="00E64747">
      <w:pPr>
        <w:pStyle w:val="Pagrindinistekstas"/>
        <w:spacing w:line="276" w:lineRule="auto"/>
        <w:jc w:val="both"/>
      </w:pPr>
    </w:p>
    <w:p w14:paraId="6FC5D95A" w14:textId="2E17F572" w:rsidR="00E64747" w:rsidRPr="001B1426" w:rsidRDefault="00E64747" w:rsidP="001B1426">
      <w:pPr>
        <w:pStyle w:val="Sraopastraipa"/>
        <w:numPr>
          <w:ilvl w:val="0"/>
          <w:numId w:val="1"/>
        </w:numPr>
        <w:tabs>
          <w:tab w:val="left" w:pos="426"/>
        </w:tabs>
        <w:rPr>
          <w:b/>
          <w:bCs/>
          <w:caps/>
        </w:rPr>
      </w:pPr>
      <w:r w:rsidRPr="001B1426">
        <w:rPr>
          <w:b/>
          <w:bCs/>
          <w:caps/>
        </w:rPr>
        <w:t>Farmakoekonominio vertinimo apibendrinimas</w:t>
      </w:r>
    </w:p>
    <w:p w14:paraId="7AD80817" w14:textId="77777777" w:rsidR="00B35F85" w:rsidRDefault="00B35F85" w:rsidP="00B35F85">
      <w:pPr>
        <w:pStyle w:val="Sraopastraipa"/>
        <w:tabs>
          <w:tab w:val="left" w:pos="426"/>
        </w:tabs>
        <w:rPr>
          <w:b/>
          <w:bCs/>
          <w:caps/>
        </w:rPr>
      </w:pPr>
    </w:p>
    <w:p w14:paraId="480FCE68" w14:textId="5F94B127" w:rsidR="00B35F85" w:rsidRPr="0019135A" w:rsidRDefault="00B35F85" w:rsidP="00B35F85">
      <w:pPr>
        <w:spacing w:line="276" w:lineRule="auto"/>
        <w:ind w:firstLine="360"/>
        <w:jc w:val="both"/>
        <w:rPr>
          <w:bCs/>
        </w:rPr>
      </w:pPr>
      <w:bookmarkStart w:id="0" w:name="_Hlk201005636"/>
      <w:r w:rsidRPr="0019135A">
        <w:lastRenderedPageBreak/>
        <w:t xml:space="preserve">Atsižvelgiant į tai, kad detalaus klinikinio vertinimo metu nustatyta, kad siūlomo kompensuoti vaistinio preparato </w:t>
      </w:r>
      <w:r w:rsidR="00EB7BB2">
        <w:rPr>
          <w:bCs/>
          <w:i/>
          <w:iCs/>
        </w:rPr>
        <w:t>Rinvoq</w:t>
      </w:r>
      <w:r w:rsidRPr="0019135A">
        <w:rPr>
          <w:bCs/>
        </w:rPr>
        <w:t xml:space="preserve"> </w:t>
      </w:r>
      <w:r w:rsidR="00815EA2">
        <w:rPr>
          <w:bCs/>
        </w:rPr>
        <w:t xml:space="preserve">(upadacitinibas) </w:t>
      </w:r>
      <w:r w:rsidRPr="0019135A">
        <w:t>palyginamasis veiksmingumas yra įvertintas kaip iš esmės nesiskiriantis lyginant su įprasta klinikine praktika (</w:t>
      </w:r>
      <w:r w:rsidR="00EB7BB2">
        <w:t>tocilizumabu</w:t>
      </w:r>
      <w:r w:rsidRPr="0019135A">
        <w:t xml:space="preserve">) </w:t>
      </w:r>
      <w:r w:rsidRPr="0019135A">
        <w:rPr>
          <w:bCs/>
        </w:rPr>
        <w:t>ir v</w:t>
      </w:r>
      <w:r w:rsidRPr="0019135A">
        <w:t xml:space="preserve">adovaujantis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w:t>
      </w:r>
      <w:r w:rsidRPr="0019135A">
        <w:rPr>
          <w:color w:val="000000"/>
        </w:rPr>
        <w:t>5</w:t>
      </w:r>
      <w:r w:rsidRPr="0019135A">
        <w:rPr>
          <w:color w:val="000000"/>
          <w:vertAlign w:val="superscript"/>
        </w:rPr>
        <w:t xml:space="preserve">2 </w:t>
      </w:r>
      <w:r w:rsidRPr="0019135A">
        <w:rPr>
          <w:color w:val="000000"/>
        </w:rPr>
        <w:t xml:space="preserve">ir </w:t>
      </w:r>
      <w:r w:rsidRPr="0019135A">
        <w:t>17</w:t>
      </w:r>
      <w:r w:rsidRPr="0019135A">
        <w:rPr>
          <w:vertAlign w:val="superscript"/>
        </w:rPr>
        <w:t>3</w:t>
      </w:r>
      <w:r w:rsidRPr="0019135A">
        <w:t xml:space="preserve"> punktais, 17</w:t>
      </w:r>
      <w:r w:rsidRPr="0019135A">
        <w:rPr>
          <w:vertAlign w:val="superscript"/>
        </w:rPr>
        <w:t>3</w:t>
      </w:r>
      <w:r w:rsidRPr="0019135A">
        <w:t>.1. papunkčiu ir 17</w:t>
      </w:r>
      <w:r w:rsidRPr="0019135A">
        <w:rPr>
          <w:vertAlign w:val="superscript"/>
        </w:rPr>
        <w:t xml:space="preserve">5 </w:t>
      </w:r>
      <w:r w:rsidRPr="0019135A">
        <w:t xml:space="preserve">punktu, ekonominis vertinimas neatliekamas ir išvados dėl kaštų naudingumo neteikiamos. </w:t>
      </w:r>
    </w:p>
    <w:bookmarkEnd w:id="0"/>
    <w:p w14:paraId="51B5D2B9" w14:textId="77777777" w:rsidR="00DC2292" w:rsidRPr="00EA5574" w:rsidRDefault="00DC2292" w:rsidP="00E64747">
      <w:pPr>
        <w:tabs>
          <w:tab w:val="left" w:pos="426"/>
        </w:tabs>
        <w:rPr>
          <w:bCs/>
          <w:caps/>
        </w:rPr>
      </w:pPr>
    </w:p>
    <w:p w14:paraId="30AFFFD6" w14:textId="77777777" w:rsidR="00E64747" w:rsidRPr="006D52FA" w:rsidRDefault="00E64747" w:rsidP="00E64747">
      <w:pPr>
        <w:pStyle w:val="Sraopastraipa"/>
        <w:numPr>
          <w:ilvl w:val="0"/>
          <w:numId w:val="1"/>
        </w:numPr>
        <w:tabs>
          <w:tab w:val="left" w:pos="284"/>
        </w:tabs>
        <w:rPr>
          <w:b/>
          <w:bCs/>
          <w:caps/>
        </w:rPr>
      </w:pPr>
      <w:r w:rsidRPr="006D52FA">
        <w:rPr>
          <w:b/>
          <w:bCs/>
          <w:caps/>
        </w:rPr>
        <w:t xml:space="preserve">Pacientų organizacijų pateikti duomenys </w:t>
      </w:r>
    </w:p>
    <w:p w14:paraId="6AF680F1" w14:textId="77777777" w:rsidR="00E64747" w:rsidRPr="006D52FA" w:rsidRDefault="001B1426" w:rsidP="00E64747">
      <w:pPr>
        <w:spacing w:after="120"/>
        <w:jc w:val="both"/>
      </w:pPr>
      <w:sdt>
        <w:sdtPr>
          <w:rPr>
            <w:rStyle w:val="Style2"/>
            <w:rFonts w:ascii="MS Gothic" w:eastAsia="MS Gothic" w:hAnsi="MS Gothic"/>
          </w:rPr>
          <w:id w:val="1150014178"/>
          <w15:color w:val="FFCC00"/>
          <w14:checkbox>
            <w14:checked w14:val="0"/>
            <w14:checkedState w14:val="2612" w14:font="MS Gothic"/>
            <w14:uncheckedState w14:val="2610" w14:font="MS Gothic"/>
          </w14:checkbox>
        </w:sdtPr>
        <w:sdtEndPr>
          <w:rPr>
            <w:rStyle w:val="Style2"/>
          </w:rPr>
        </w:sdtEndPr>
        <w:sdtContent>
          <w:r w:rsidR="00E64747" w:rsidRPr="006D52FA">
            <w:rPr>
              <w:rStyle w:val="Style2"/>
              <w:rFonts w:ascii="MS Gothic" w:eastAsia="MS Gothic" w:hAnsi="MS Gothic" w:hint="eastAsia"/>
            </w:rPr>
            <w:t>☐</w:t>
          </w:r>
        </w:sdtContent>
      </w:sdt>
      <w:r w:rsidR="00E64747" w:rsidRPr="006D52FA">
        <w:t xml:space="preserve"> Pacientų organizacijos pozicija pateikta. Žr. priedą.</w:t>
      </w:r>
    </w:p>
    <w:p w14:paraId="0DBD9357" w14:textId="77777777" w:rsidR="00E64747" w:rsidRPr="006D52FA" w:rsidRDefault="001B1426" w:rsidP="00E64747">
      <w:pPr>
        <w:spacing w:after="120"/>
        <w:jc w:val="both"/>
      </w:pPr>
      <w:sdt>
        <w:sdtPr>
          <w:rPr>
            <w:rStyle w:val="Style2"/>
            <w:rFonts w:ascii="MS Gothic" w:eastAsia="MS Gothic" w:hAnsi="MS Gothic"/>
          </w:rPr>
          <w:id w:val="-1545513810"/>
          <w15:color w:val="FFCC00"/>
          <w14:checkbox>
            <w14:checked w14:val="1"/>
            <w14:checkedState w14:val="2612" w14:font="MS Gothic"/>
            <w14:uncheckedState w14:val="2610" w14:font="MS Gothic"/>
          </w14:checkbox>
        </w:sdtPr>
        <w:sdtEndPr>
          <w:rPr>
            <w:rStyle w:val="Style2"/>
          </w:rPr>
        </w:sdtEndPr>
        <w:sdtContent>
          <w:r w:rsidR="00E64747" w:rsidRPr="006D52FA">
            <w:rPr>
              <w:rStyle w:val="Style2"/>
              <w:rFonts w:ascii="MS Gothic" w:eastAsia="MS Gothic" w:hAnsi="MS Gothic" w:hint="eastAsia"/>
            </w:rPr>
            <w:t>☒</w:t>
          </w:r>
        </w:sdtContent>
      </w:sdt>
      <w:r w:rsidR="00E64747" w:rsidRPr="006D52FA">
        <w:t xml:space="preserve"> Pacientų organizacijos pozicija nepateikta.</w:t>
      </w:r>
    </w:p>
    <w:p w14:paraId="3CCA38C3" w14:textId="77777777" w:rsidR="00E64747" w:rsidRPr="006D52FA" w:rsidRDefault="00E64747" w:rsidP="00E64747">
      <w:pPr>
        <w:pStyle w:val="Sraopastraipa"/>
        <w:numPr>
          <w:ilvl w:val="0"/>
          <w:numId w:val="1"/>
        </w:numPr>
        <w:tabs>
          <w:tab w:val="left" w:pos="426"/>
        </w:tabs>
        <w:rPr>
          <w:b/>
          <w:bCs/>
          <w:caps/>
        </w:rPr>
      </w:pPr>
      <w:r w:rsidRPr="006D52FA">
        <w:rPr>
          <w:b/>
          <w:bCs/>
          <w:caps/>
        </w:rPr>
        <w:t>Gydytojų organizacijų pateikti duomenys</w:t>
      </w:r>
    </w:p>
    <w:p w14:paraId="34F0679C" w14:textId="77777777" w:rsidR="00E64747" w:rsidRPr="006D52FA" w:rsidRDefault="001B1426" w:rsidP="00E64747">
      <w:pPr>
        <w:spacing w:after="120"/>
        <w:jc w:val="both"/>
      </w:pPr>
      <w:sdt>
        <w:sdtPr>
          <w:rPr>
            <w:rStyle w:val="Style2"/>
            <w:rFonts w:ascii="MS Gothic" w:eastAsia="MS Gothic" w:hAnsi="MS Gothic"/>
          </w:rPr>
          <w:id w:val="1613862788"/>
          <w15:color w:val="FFCC00"/>
          <w14:checkbox>
            <w14:checked w14:val="0"/>
            <w14:checkedState w14:val="2612" w14:font="MS Gothic"/>
            <w14:uncheckedState w14:val="2610" w14:font="MS Gothic"/>
          </w14:checkbox>
        </w:sdtPr>
        <w:sdtEndPr>
          <w:rPr>
            <w:rStyle w:val="Style2"/>
          </w:rPr>
        </w:sdtEndPr>
        <w:sdtContent>
          <w:r w:rsidR="0072762B">
            <w:rPr>
              <w:rStyle w:val="Style2"/>
              <w:rFonts w:ascii="MS Gothic" w:eastAsia="MS Gothic" w:hAnsi="MS Gothic" w:hint="eastAsia"/>
            </w:rPr>
            <w:t>☐</w:t>
          </w:r>
        </w:sdtContent>
      </w:sdt>
      <w:r w:rsidR="00E64747" w:rsidRPr="006D52FA">
        <w:t xml:space="preserve"> Gydytojų specialistų organizacijos pozicija pateikta. Žr. priedą.</w:t>
      </w:r>
    </w:p>
    <w:p w14:paraId="05C38C30" w14:textId="77777777" w:rsidR="00E64747" w:rsidRDefault="001B1426" w:rsidP="00E64747">
      <w:pPr>
        <w:spacing w:after="120"/>
        <w:jc w:val="both"/>
      </w:pPr>
      <w:sdt>
        <w:sdtPr>
          <w:rPr>
            <w:rStyle w:val="Style2"/>
            <w:rFonts w:ascii="MS Gothic" w:eastAsia="MS Gothic" w:hAnsi="MS Gothic"/>
          </w:rPr>
          <w:id w:val="-41988141"/>
          <w15:color w:val="FFCC00"/>
          <w14:checkbox>
            <w14:checked w14:val="1"/>
            <w14:checkedState w14:val="2612" w14:font="MS Gothic"/>
            <w14:uncheckedState w14:val="2610" w14:font="MS Gothic"/>
          </w14:checkbox>
        </w:sdtPr>
        <w:sdtEndPr>
          <w:rPr>
            <w:rStyle w:val="Style2"/>
          </w:rPr>
        </w:sdtEndPr>
        <w:sdtContent>
          <w:r w:rsidR="0072762B">
            <w:rPr>
              <w:rStyle w:val="Style2"/>
              <w:rFonts w:ascii="MS Gothic" w:eastAsia="MS Gothic" w:hAnsi="MS Gothic" w:hint="eastAsia"/>
            </w:rPr>
            <w:t>☒</w:t>
          </w:r>
        </w:sdtContent>
      </w:sdt>
      <w:r w:rsidR="00E64747" w:rsidRPr="006D52FA">
        <w:t xml:space="preserve"> Gydytojų specialistų organizacijos pozicija nepateikta.</w:t>
      </w:r>
    </w:p>
    <w:p w14:paraId="1E76E156" w14:textId="77777777" w:rsidR="00DC2292" w:rsidRPr="006D52FA" w:rsidRDefault="00DC2292" w:rsidP="00E64747">
      <w:pPr>
        <w:spacing w:after="120"/>
        <w:jc w:val="both"/>
      </w:pPr>
    </w:p>
    <w:p w14:paraId="39E5CFF9" w14:textId="77777777" w:rsidR="00E64747" w:rsidRPr="000D01F1" w:rsidRDefault="00E64747" w:rsidP="00E64747">
      <w:pPr>
        <w:pStyle w:val="Sraopastraipa"/>
        <w:numPr>
          <w:ilvl w:val="0"/>
          <w:numId w:val="1"/>
        </w:numPr>
        <w:tabs>
          <w:tab w:val="left" w:pos="426"/>
        </w:tabs>
        <w:rPr>
          <w:b/>
          <w:bCs/>
          <w:caps/>
        </w:rPr>
      </w:pPr>
      <w:r w:rsidRPr="000D01F1">
        <w:rPr>
          <w:b/>
          <w:bCs/>
          <w:caps/>
        </w:rPr>
        <w:t xml:space="preserve">Išvada </w:t>
      </w:r>
    </w:p>
    <w:p w14:paraId="406868AF" w14:textId="77777777" w:rsidR="00E64747" w:rsidRPr="00797153" w:rsidRDefault="00E64747" w:rsidP="00E64747">
      <w:pPr>
        <w:tabs>
          <w:tab w:val="left" w:pos="426"/>
        </w:tabs>
        <w:rPr>
          <w:b/>
          <w:bCs/>
          <w:caps/>
        </w:rPr>
      </w:pPr>
    </w:p>
    <w:tbl>
      <w:tblPr>
        <w:tblStyle w:val="Lentelstinklelis"/>
        <w:tblW w:w="0" w:type="auto"/>
        <w:tblInd w:w="-5" w:type="dxa"/>
        <w:tblLook w:val="04A0" w:firstRow="1" w:lastRow="0" w:firstColumn="1" w:lastColumn="0" w:noHBand="0" w:noVBand="1"/>
      </w:tblPr>
      <w:tblGrid>
        <w:gridCol w:w="4820"/>
        <w:gridCol w:w="4814"/>
      </w:tblGrid>
      <w:tr w:rsidR="00E64747" w:rsidRPr="00EA0893" w14:paraId="0629C8EE" w14:textId="77777777" w:rsidTr="00135A3E">
        <w:trPr>
          <w:trHeight w:val="510"/>
        </w:trPr>
        <w:tc>
          <w:tcPr>
            <w:tcW w:w="9629" w:type="dxa"/>
            <w:gridSpan w:val="2"/>
            <w:vAlign w:val="center"/>
          </w:tcPr>
          <w:p w14:paraId="0084EAA1" w14:textId="77777777" w:rsidR="00E64747" w:rsidRPr="00EA0893" w:rsidRDefault="00E64747" w:rsidP="007A7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szCs w:val="24"/>
              </w:rPr>
            </w:pPr>
            <w:bookmarkStart w:id="1" w:name="_Hlk185374656"/>
            <w:r w:rsidRPr="00EA0893">
              <w:rPr>
                <w:rStyle w:val="Style2"/>
                <w:rFonts w:eastAsia="MS Gothic"/>
                <w:b/>
                <w:bCs/>
                <w:sz w:val="24"/>
                <w:szCs w:val="24"/>
              </w:rPr>
              <w:t>Palyginamasis veiksmingumas</w:t>
            </w:r>
          </w:p>
        </w:tc>
      </w:tr>
      <w:tr w:rsidR="00E64747" w:rsidRPr="00EA0893" w14:paraId="699F8A37" w14:textId="77777777" w:rsidTr="00135A3E">
        <w:tc>
          <w:tcPr>
            <w:tcW w:w="4815" w:type="dxa"/>
          </w:tcPr>
          <w:p w14:paraId="0C0E0CE9" w14:textId="5E684837" w:rsidR="00E64747" w:rsidRPr="00EA0893" w:rsidRDefault="001B1426" w:rsidP="007A7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sdt>
              <w:sdtPr>
                <w:rPr>
                  <w:rStyle w:val="Style2"/>
                  <w:sz w:val="24"/>
                </w:rPr>
                <w:id w:val="1397324644"/>
                <w15:color w:val="FFCC00"/>
                <w14:checkbox>
                  <w14:checked w14:val="0"/>
                  <w14:checkedState w14:val="2612" w14:font="MS Gothic"/>
                  <w14:uncheckedState w14:val="2610" w14:font="MS Gothic"/>
                </w14:checkbox>
              </w:sdtPr>
              <w:sdtEndPr>
                <w:rPr>
                  <w:rStyle w:val="Style2"/>
                </w:rPr>
              </w:sdtEndPr>
              <w:sdtContent>
                <w:r w:rsidR="001C4DAE">
                  <w:rPr>
                    <w:rStyle w:val="Style2"/>
                    <w:rFonts w:ascii="MS Gothic" w:eastAsia="MS Gothic" w:hAnsi="MS Gothic" w:hint="eastAsia"/>
                    <w:sz w:val="24"/>
                  </w:rPr>
                  <w:t>☐</w:t>
                </w:r>
              </w:sdtContent>
            </w:sdt>
            <w:r w:rsidR="00E64747" w:rsidRPr="00EA0893">
              <w:rPr>
                <w:rStyle w:val="Style2"/>
                <w:sz w:val="24"/>
                <w:szCs w:val="24"/>
              </w:rPr>
              <w:t xml:space="preserve"> 29</w:t>
            </w:r>
            <w:r w:rsidR="00E64747" w:rsidRPr="00EA0893">
              <w:rPr>
                <w:sz w:val="24"/>
                <w:szCs w:val="24"/>
              </w:rPr>
              <w:t>.1.1 yra didesnis, lyginant su įprasta klinikine praktika</w:t>
            </w:r>
          </w:p>
          <w:p w14:paraId="1211F955" w14:textId="77777777" w:rsidR="00E64747" w:rsidRPr="00EA0893" w:rsidRDefault="00E64747" w:rsidP="007A7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5696EC4E" w14:textId="1077EEF7" w:rsidR="00E64747" w:rsidRPr="00EA0893" w:rsidRDefault="001B1426" w:rsidP="007A7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szCs w:val="24"/>
              </w:rPr>
            </w:pPr>
            <w:sdt>
              <w:sdtPr>
                <w:rPr>
                  <w:rStyle w:val="Style2"/>
                  <w:sz w:val="24"/>
                </w:rPr>
                <w:id w:val="418297090"/>
                <w15:color w:val="FFCC00"/>
                <w14:checkbox>
                  <w14:checked w14:val="1"/>
                  <w14:checkedState w14:val="2612" w14:font="MS Gothic"/>
                  <w14:uncheckedState w14:val="2610" w14:font="MS Gothic"/>
                </w14:checkbox>
              </w:sdtPr>
              <w:sdtEndPr>
                <w:rPr>
                  <w:rStyle w:val="Style2"/>
                </w:rPr>
              </w:sdtEndPr>
              <w:sdtContent>
                <w:r w:rsidR="001C4DAE">
                  <w:rPr>
                    <w:rStyle w:val="Style2"/>
                    <w:rFonts w:ascii="MS Gothic" w:eastAsia="MS Gothic" w:hAnsi="MS Gothic" w:hint="eastAsia"/>
                    <w:sz w:val="24"/>
                  </w:rPr>
                  <w:t>☒</w:t>
                </w:r>
              </w:sdtContent>
            </w:sdt>
            <w:r w:rsidR="00E64747" w:rsidRPr="00EA0893">
              <w:rPr>
                <w:sz w:val="24"/>
                <w:szCs w:val="24"/>
              </w:rPr>
              <w:t xml:space="preserve"> </w:t>
            </w:r>
            <w:r w:rsidR="00E64747" w:rsidRPr="00EA0893">
              <w:rPr>
                <w:rStyle w:val="Style2"/>
                <w:sz w:val="24"/>
                <w:szCs w:val="24"/>
              </w:rPr>
              <w:t>29</w:t>
            </w:r>
            <w:r w:rsidR="00E64747" w:rsidRPr="00EA0893">
              <w:rPr>
                <w:sz w:val="24"/>
                <w:szCs w:val="24"/>
              </w:rPr>
              <w:t>.1.2 iš esmės nesiskiria, lyginant su įprasta klinikine praktika</w:t>
            </w:r>
          </w:p>
        </w:tc>
        <w:tc>
          <w:tcPr>
            <w:tcW w:w="4814" w:type="dxa"/>
          </w:tcPr>
          <w:p w14:paraId="76F441BC" w14:textId="77777777" w:rsidR="00E64747" w:rsidRPr="00EA0893" w:rsidRDefault="001B1426" w:rsidP="007A7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sdt>
              <w:sdtPr>
                <w:rPr>
                  <w:rStyle w:val="Style2"/>
                  <w:sz w:val="24"/>
                </w:rPr>
                <w:id w:val="-724755596"/>
                <w15:color w:val="FFCC00"/>
                <w14:checkbox>
                  <w14:checked w14:val="0"/>
                  <w14:checkedState w14:val="2612" w14:font="MS Gothic"/>
                  <w14:uncheckedState w14:val="2610" w14:font="MS Gothic"/>
                </w14:checkbox>
              </w:sdtPr>
              <w:sdtEndPr>
                <w:rPr>
                  <w:rStyle w:val="Style2"/>
                </w:rPr>
              </w:sdtEndPr>
              <w:sdtContent>
                <w:r w:rsidR="00E64747" w:rsidRPr="00EA0893">
                  <w:rPr>
                    <w:rStyle w:val="Style2"/>
                    <w:rFonts w:ascii="Segoe UI Symbol" w:eastAsia="MS Gothic" w:hAnsi="Segoe UI Symbol" w:cs="Segoe UI Symbol"/>
                    <w:sz w:val="24"/>
                    <w:szCs w:val="24"/>
                  </w:rPr>
                  <w:t>☐</w:t>
                </w:r>
              </w:sdtContent>
            </w:sdt>
            <w:r w:rsidR="00E64747" w:rsidRPr="00EA0893">
              <w:rPr>
                <w:sz w:val="24"/>
                <w:szCs w:val="24"/>
              </w:rPr>
              <w:t xml:space="preserve"> </w:t>
            </w:r>
            <w:r w:rsidR="00E64747" w:rsidRPr="00EA0893">
              <w:rPr>
                <w:rStyle w:val="Style2"/>
                <w:sz w:val="24"/>
                <w:szCs w:val="24"/>
              </w:rPr>
              <w:t>29</w:t>
            </w:r>
            <w:r w:rsidR="00E64747" w:rsidRPr="00EA0893">
              <w:rPr>
                <w:sz w:val="24"/>
                <w:szCs w:val="24"/>
              </w:rPr>
              <w:t xml:space="preserve">.1.3 yra neįrodytas kaip didesnis  ar iš esmės nesiskiriantis, lyginant su įprasta klinikine praktika  </w:t>
            </w:r>
          </w:p>
          <w:p w14:paraId="138AADB4" w14:textId="77777777" w:rsidR="00E64747" w:rsidRPr="00EA0893" w:rsidRDefault="00E64747" w:rsidP="007A7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4A369527" w14:textId="77777777" w:rsidR="00E64747" w:rsidRPr="00EA0893" w:rsidRDefault="001B1426" w:rsidP="007A7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sdt>
              <w:sdtPr>
                <w:rPr>
                  <w:rStyle w:val="Style2"/>
                  <w:sz w:val="24"/>
                </w:rPr>
                <w:id w:val="1862168479"/>
                <w15:color w:val="FFCC00"/>
                <w14:checkbox>
                  <w14:checked w14:val="0"/>
                  <w14:checkedState w14:val="2612" w14:font="MS Gothic"/>
                  <w14:uncheckedState w14:val="2610" w14:font="MS Gothic"/>
                </w14:checkbox>
              </w:sdtPr>
              <w:sdtEndPr>
                <w:rPr>
                  <w:rStyle w:val="Style2"/>
                </w:rPr>
              </w:sdtEndPr>
              <w:sdtContent>
                <w:r w:rsidR="00E64747" w:rsidRPr="00EA0893">
                  <w:rPr>
                    <w:rStyle w:val="Style2"/>
                    <w:rFonts w:ascii="Segoe UI Symbol" w:eastAsia="MS Gothic" w:hAnsi="Segoe UI Symbol" w:cs="Segoe UI Symbol"/>
                    <w:sz w:val="24"/>
                    <w:szCs w:val="24"/>
                  </w:rPr>
                  <w:t>☐</w:t>
                </w:r>
              </w:sdtContent>
            </w:sdt>
            <w:r w:rsidR="00E64747" w:rsidRPr="00EA0893">
              <w:rPr>
                <w:sz w:val="24"/>
                <w:szCs w:val="24"/>
              </w:rPr>
              <w:t xml:space="preserve"> </w:t>
            </w:r>
            <w:r w:rsidR="00E64747" w:rsidRPr="00EA0893">
              <w:rPr>
                <w:rStyle w:val="Style2"/>
                <w:sz w:val="24"/>
                <w:szCs w:val="24"/>
              </w:rPr>
              <w:t>29</w:t>
            </w:r>
            <w:r w:rsidR="00E64747" w:rsidRPr="00EA0893">
              <w:rPr>
                <w:sz w:val="24"/>
                <w:szCs w:val="24"/>
              </w:rPr>
              <w:t>.1.4 yra mažesnis, lyginant su įprasta klinikine praktika</w:t>
            </w:r>
          </w:p>
          <w:p w14:paraId="2B04CCF0" w14:textId="77777777" w:rsidR="00E64747" w:rsidRPr="00EA0893" w:rsidRDefault="00E64747" w:rsidP="007A7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7236EFDF" w14:textId="39A07E31" w:rsidR="00E64747" w:rsidRPr="00EA0893" w:rsidRDefault="001B1426" w:rsidP="007A7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sdt>
              <w:sdtPr>
                <w:rPr>
                  <w:rStyle w:val="Style2"/>
                  <w:sz w:val="24"/>
                </w:rPr>
                <w:id w:val="-1857960180"/>
                <w15:color w:val="FFCC00"/>
                <w14:checkbox>
                  <w14:checked w14:val="0"/>
                  <w14:checkedState w14:val="2612" w14:font="MS Gothic"/>
                  <w14:uncheckedState w14:val="2610" w14:font="MS Gothic"/>
                </w14:checkbox>
              </w:sdtPr>
              <w:sdtEndPr>
                <w:rPr>
                  <w:rStyle w:val="Style2"/>
                </w:rPr>
              </w:sdtEndPr>
              <w:sdtContent>
                <w:r w:rsidR="00E64747" w:rsidRPr="00EA0893">
                  <w:rPr>
                    <w:rStyle w:val="Style2"/>
                    <w:rFonts w:ascii="Segoe UI Symbol" w:eastAsia="MS Gothic" w:hAnsi="Segoe UI Symbol" w:cs="Segoe UI Symbol"/>
                    <w:sz w:val="24"/>
                    <w:szCs w:val="24"/>
                  </w:rPr>
                  <w:t>☐</w:t>
                </w:r>
              </w:sdtContent>
            </w:sdt>
            <w:r w:rsidR="00E64747" w:rsidRPr="00EA0893">
              <w:rPr>
                <w:sz w:val="24"/>
                <w:szCs w:val="24"/>
              </w:rPr>
              <w:t xml:space="preserve"> </w:t>
            </w:r>
            <w:r w:rsidR="00E64747" w:rsidRPr="00EA0893">
              <w:rPr>
                <w:rStyle w:val="Style2"/>
                <w:sz w:val="24"/>
                <w:szCs w:val="24"/>
              </w:rPr>
              <w:t>29</w:t>
            </w:r>
            <w:r w:rsidR="00E64747" w:rsidRPr="00EA0893">
              <w:rPr>
                <w:sz w:val="24"/>
                <w:szCs w:val="24"/>
              </w:rPr>
              <w:t>.1.5 pateikti duomenys apie palyginamąjį veiksmingumą yra netinkami vertinti</w:t>
            </w:r>
          </w:p>
          <w:p w14:paraId="409D324D" w14:textId="77777777" w:rsidR="00E64747" w:rsidRPr="00EA0893" w:rsidRDefault="00E64747" w:rsidP="007A7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szCs w:val="24"/>
              </w:rPr>
            </w:pPr>
          </w:p>
        </w:tc>
      </w:tr>
      <w:tr w:rsidR="00135A3E" w:rsidRPr="00B811A4" w14:paraId="3C33B646" w14:textId="77777777" w:rsidTr="00135A3E">
        <w:trPr>
          <w:trHeight w:val="510"/>
        </w:trPr>
        <w:tc>
          <w:tcPr>
            <w:tcW w:w="9634" w:type="dxa"/>
            <w:gridSpan w:val="2"/>
            <w:vAlign w:val="center"/>
          </w:tcPr>
          <w:p w14:paraId="37A47BF2" w14:textId="77777777" w:rsidR="00135A3E" w:rsidRPr="00B811A4" w:rsidRDefault="00135A3E" w:rsidP="00A37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3"/>
                <w:szCs w:val="23"/>
              </w:rPr>
            </w:pPr>
            <w:bookmarkStart w:id="2" w:name="_Hlk201005524"/>
            <w:bookmarkEnd w:id="1"/>
            <w:r w:rsidRPr="00B811A4">
              <w:rPr>
                <w:rStyle w:val="Style2"/>
                <w:rFonts w:eastAsia="MS Gothic"/>
                <w:b/>
                <w:bCs/>
                <w:sz w:val="23"/>
                <w:szCs w:val="23"/>
              </w:rPr>
              <w:t>Kaštų naudingumas</w:t>
            </w:r>
          </w:p>
        </w:tc>
      </w:tr>
      <w:tr w:rsidR="00135A3E" w:rsidRPr="00B811A4" w14:paraId="08A0F372" w14:textId="77777777" w:rsidTr="00135A3E">
        <w:tc>
          <w:tcPr>
            <w:tcW w:w="4820" w:type="dxa"/>
          </w:tcPr>
          <w:p w14:paraId="26E48096" w14:textId="77777777" w:rsidR="00135A3E" w:rsidRPr="00B811A4" w:rsidRDefault="001B1426" w:rsidP="00A37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301657889"/>
                <w15:color w:val="FFCC00"/>
                <w14:checkbox>
                  <w14:checked w14:val="0"/>
                  <w14:checkedState w14:val="2612" w14:font="MS Gothic"/>
                  <w14:uncheckedState w14:val="2610" w14:font="MS Gothic"/>
                </w14:checkbox>
              </w:sdtPr>
              <w:sdtEndPr>
                <w:rPr>
                  <w:rStyle w:val="Style2"/>
                </w:rPr>
              </w:sdtEndPr>
              <w:sdtContent>
                <w:r w:rsidR="00135A3E" w:rsidRPr="00B811A4">
                  <w:rPr>
                    <w:rStyle w:val="Style2"/>
                    <w:rFonts w:ascii="Segoe UI Symbol" w:eastAsia="MS Gothic" w:hAnsi="Segoe UI Symbol" w:cs="Segoe UI Symbol"/>
                    <w:sz w:val="23"/>
                    <w:szCs w:val="23"/>
                  </w:rPr>
                  <w:t>☐</w:t>
                </w:r>
              </w:sdtContent>
            </w:sdt>
            <w:r w:rsidR="00135A3E" w:rsidRPr="00B811A4">
              <w:rPr>
                <w:sz w:val="23"/>
                <w:szCs w:val="23"/>
              </w:rPr>
              <w:t xml:space="preserve"> 29.2.1 atitinka referencinę naudingumo vertę taikant arba netaikant</w:t>
            </w:r>
            <w:r w:rsidR="00135A3E">
              <w:rPr>
                <w:b/>
                <w:bCs/>
                <w:sz w:val="23"/>
                <w:szCs w:val="23"/>
              </w:rPr>
              <w:t xml:space="preserve"> </w:t>
            </w:r>
            <w:r w:rsidR="00135A3E" w:rsidRPr="00B811A4">
              <w:rPr>
                <w:sz w:val="23"/>
                <w:szCs w:val="23"/>
              </w:rPr>
              <w:t>PGS</w:t>
            </w:r>
          </w:p>
          <w:p w14:paraId="2725B636" w14:textId="77777777" w:rsidR="00135A3E" w:rsidRPr="00B811A4" w:rsidRDefault="00135A3E" w:rsidP="00A37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6CCC068A" w14:textId="77777777" w:rsidR="00135A3E" w:rsidRPr="00B811A4" w:rsidRDefault="00135A3E" w:rsidP="00A37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3"/>
                <w:szCs w:val="23"/>
              </w:rPr>
            </w:pPr>
          </w:p>
        </w:tc>
        <w:tc>
          <w:tcPr>
            <w:tcW w:w="4814" w:type="dxa"/>
          </w:tcPr>
          <w:p w14:paraId="6A23BC90" w14:textId="77777777" w:rsidR="00135A3E" w:rsidRPr="00B811A4" w:rsidRDefault="001B1426" w:rsidP="00A37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791860283"/>
                <w15:color w:val="FFCC00"/>
                <w14:checkbox>
                  <w14:checked w14:val="0"/>
                  <w14:checkedState w14:val="2612" w14:font="MS Gothic"/>
                  <w14:uncheckedState w14:val="2610" w14:font="MS Gothic"/>
                </w14:checkbox>
              </w:sdtPr>
              <w:sdtEndPr>
                <w:rPr>
                  <w:rStyle w:val="Style2"/>
                </w:rPr>
              </w:sdtEndPr>
              <w:sdtContent>
                <w:r w:rsidR="00135A3E" w:rsidRPr="00B811A4">
                  <w:rPr>
                    <w:rStyle w:val="Style2"/>
                    <w:rFonts w:ascii="Segoe UI Symbol" w:eastAsia="MS Gothic" w:hAnsi="Segoe UI Symbol" w:cs="Segoe UI Symbol"/>
                    <w:sz w:val="23"/>
                    <w:szCs w:val="23"/>
                  </w:rPr>
                  <w:t>☐</w:t>
                </w:r>
              </w:sdtContent>
            </w:sdt>
            <w:r w:rsidR="00135A3E" w:rsidRPr="00B811A4">
              <w:rPr>
                <w:sz w:val="23"/>
                <w:szCs w:val="23"/>
              </w:rPr>
              <w:t xml:space="preserve"> 29.2.3 neatitinka referencinės naudingumo vertės taikant arba netaikant PGS</w:t>
            </w:r>
          </w:p>
          <w:p w14:paraId="7805D7D2" w14:textId="77777777" w:rsidR="00135A3E" w:rsidRPr="00B811A4" w:rsidRDefault="00135A3E" w:rsidP="00A37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133588A1" w14:textId="77777777" w:rsidR="00135A3E" w:rsidRPr="00B811A4" w:rsidRDefault="00135A3E" w:rsidP="00A37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07C74D5A" w14:textId="77777777" w:rsidR="00135A3E" w:rsidRPr="00B811A4" w:rsidRDefault="001B1426" w:rsidP="00A37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3"/>
                <w:szCs w:val="23"/>
              </w:rPr>
            </w:pPr>
            <w:sdt>
              <w:sdtPr>
                <w:rPr>
                  <w:rStyle w:val="Style2"/>
                  <w:sz w:val="23"/>
                  <w:szCs w:val="23"/>
                </w:rPr>
                <w:id w:val="-943849855"/>
                <w15:color w:val="FFCC00"/>
                <w14:checkbox>
                  <w14:checked w14:val="0"/>
                  <w14:checkedState w14:val="2612" w14:font="MS Gothic"/>
                  <w14:uncheckedState w14:val="2610" w14:font="MS Gothic"/>
                </w14:checkbox>
              </w:sdtPr>
              <w:sdtEndPr>
                <w:rPr>
                  <w:rStyle w:val="Style2"/>
                </w:rPr>
              </w:sdtEndPr>
              <w:sdtContent>
                <w:r w:rsidR="00135A3E" w:rsidRPr="00B811A4">
                  <w:rPr>
                    <w:rStyle w:val="Style2"/>
                    <w:rFonts w:ascii="Segoe UI Symbol" w:eastAsia="MS Gothic" w:hAnsi="Segoe UI Symbol" w:cs="Segoe UI Symbol"/>
                    <w:sz w:val="23"/>
                    <w:szCs w:val="23"/>
                  </w:rPr>
                  <w:t>☐</w:t>
                </w:r>
              </w:sdtContent>
            </w:sdt>
            <w:r w:rsidR="00135A3E" w:rsidRPr="00B811A4">
              <w:rPr>
                <w:sz w:val="23"/>
                <w:szCs w:val="23"/>
              </w:rPr>
              <w:t xml:space="preserve"> 29.2.5 pateikti duomenys apie kaštų naudingumą yra netinkami vertinti</w:t>
            </w:r>
          </w:p>
          <w:p w14:paraId="03EF2667" w14:textId="77777777" w:rsidR="00135A3E" w:rsidRPr="00B811A4" w:rsidRDefault="00135A3E" w:rsidP="00A37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3"/>
                <w:szCs w:val="23"/>
              </w:rPr>
            </w:pPr>
          </w:p>
        </w:tc>
      </w:tr>
      <w:tr w:rsidR="00135A3E" w14:paraId="473FD1F5" w14:textId="77777777" w:rsidTr="00135A3E">
        <w:tc>
          <w:tcPr>
            <w:tcW w:w="9634" w:type="dxa"/>
            <w:gridSpan w:val="2"/>
          </w:tcPr>
          <w:p w14:paraId="21A80E78" w14:textId="42C1BC8A" w:rsidR="00135A3E" w:rsidRDefault="001B1426" w:rsidP="00A37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3"/>
                <w:szCs w:val="23"/>
              </w:rPr>
            </w:pPr>
            <w:sdt>
              <w:sdtPr>
                <w:rPr>
                  <w:rStyle w:val="Style2"/>
                  <w:sz w:val="23"/>
                  <w:szCs w:val="23"/>
                </w:rPr>
                <w:id w:val="1266579562"/>
                <w15:color w:val="FFCC00"/>
                <w14:checkbox>
                  <w14:checked w14:val="1"/>
                  <w14:checkedState w14:val="2612" w14:font="MS Gothic"/>
                  <w14:uncheckedState w14:val="2610" w14:font="MS Gothic"/>
                </w14:checkbox>
              </w:sdtPr>
              <w:sdtEndPr>
                <w:rPr>
                  <w:rStyle w:val="Style2"/>
                </w:rPr>
              </w:sdtEndPr>
              <w:sdtContent>
                <w:r w:rsidR="00135A3E">
                  <w:rPr>
                    <w:rStyle w:val="Style2"/>
                    <w:rFonts w:ascii="MS Gothic" w:eastAsia="MS Gothic" w:hAnsi="MS Gothic" w:hint="eastAsia"/>
                    <w:sz w:val="23"/>
                    <w:szCs w:val="23"/>
                  </w:rPr>
                  <w:t>☒</w:t>
                </w:r>
              </w:sdtContent>
            </w:sdt>
            <w:r w:rsidR="00135A3E">
              <w:rPr>
                <w:sz w:val="23"/>
                <w:szCs w:val="23"/>
              </w:rPr>
              <w:t xml:space="preserve"> </w:t>
            </w:r>
            <w:r w:rsidR="00135A3E" w:rsidRPr="007111C4">
              <w:rPr>
                <w:color w:val="000000"/>
                <w:sz w:val="23"/>
                <w:szCs w:val="23"/>
              </w:rPr>
              <w:t>Vykdant Aprašo 17</w:t>
            </w:r>
            <w:r w:rsidR="00135A3E" w:rsidRPr="007111C4">
              <w:rPr>
                <w:color w:val="000000"/>
                <w:sz w:val="23"/>
                <w:szCs w:val="23"/>
                <w:vertAlign w:val="superscript"/>
              </w:rPr>
              <w:t>3</w:t>
            </w:r>
            <w:r w:rsidR="00135A3E" w:rsidRPr="007111C4">
              <w:rPr>
                <w:color w:val="000000"/>
                <w:sz w:val="23"/>
                <w:szCs w:val="23"/>
              </w:rPr>
              <w:t>.</w:t>
            </w:r>
            <w:r w:rsidR="00135A3E">
              <w:rPr>
                <w:color w:val="000000"/>
                <w:sz w:val="23"/>
                <w:szCs w:val="23"/>
              </w:rPr>
              <w:t xml:space="preserve">1 </w:t>
            </w:r>
            <w:r w:rsidR="00135A3E" w:rsidRPr="007111C4">
              <w:rPr>
                <w:color w:val="000000"/>
                <w:sz w:val="23"/>
                <w:szCs w:val="23"/>
              </w:rPr>
              <w:t>punktą vaistinio (-ų) preparato (-ų) ekonominis vertinimas neatliekamas, išvados dėl kaštų naudingumo neteikiamos</w:t>
            </w:r>
          </w:p>
        </w:tc>
      </w:tr>
    </w:tbl>
    <w:p w14:paraId="37D0CC95" w14:textId="77777777" w:rsidR="00E64747" w:rsidRDefault="00E64747" w:rsidP="00E64747">
      <w:pPr>
        <w:pStyle w:val="Sraopastraipa"/>
        <w:shd w:val="clear" w:color="auto" w:fill="FFFFFF"/>
        <w:tabs>
          <w:tab w:val="left" w:pos="284"/>
        </w:tabs>
        <w:spacing w:line="276" w:lineRule="auto"/>
        <w:rPr>
          <w:rFonts w:eastAsia="Arial"/>
          <w:b/>
        </w:rPr>
      </w:pPr>
    </w:p>
    <w:p w14:paraId="6045306A" w14:textId="77777777" w:rsidR="00E64747" w:rsidRPr="00253CF8" w:rsidRDefault="00E64747" w:rsidP="00E64747">
      <w:pPr>
        <w:pStyle w:val="Sraopastraipa"/>
        <w:numPr>
          <w:ilvl w:val="0"/>
          <w:numId w:val="1"/>
        </w:numPr>
        <w:shd w:val="clear" w:color="auto" w:fill="FFFFFF"/>
        <w:tabs>
          <w:tab w:val="left" w:pos="284"/>
        </w:tabs>
        <w:spacing w:line="276" w:lineRule="auto"/>
        <w:rPr>
          <w:rFonts w:eastAsia="Arial"/>
          <w:b/>
        </w:rPr>
      </w:pPr>
      <w:r w:rsidRPr="00253CF8">
        <w:rPr>
          <w:rFonts w:eastAsia="Arial"/>
          <w:b/>
        </w:rPr>
        <w:t>REKOMENDACIJA</w:t>
      </w:r>
    </w:p>
    <w:p w14:paraId="595F4CDD" w14:textId="77777777" w:rsidR="00E64747" w:rsidRDefault="00E64747" w:rsidP="00E64747">
      <w:pPr>
        <w:pStyle w:val="Sraopastraipa"/>
        <w:shd w:val="clear" w:color="auto" w:fill="FFFFFF"/>
        <w:tabs>
          <w:tab w:val="left" w:pos="284"/>
        </w:tabs>
        <w:spacing w:line="276" w:lineRule="auto"/>
        <w:ind w:left="426"/>
        <w:rPr>
          <w:rFonts w:eastAsia="Arial"/>
          <w:b/>
        </w:rPr>
      </w:pPr>
    </w:p>
    <w:p w14:paraId="0C12984E" w14:textId="08AFD321" w:rsidR="00E64747" w:rsidRDefault="00030268" w:rsidP="00030268">
      <w:pPr>
        <w:spacing w:line="276" w:lineRule="auto"/>
        <w:jc w:val="both"/>
        <w:rPr>
          <w:color w:val="000000"/>
          <w:lang w:eastAsia="lt-LT"/>
        </w:rPr>
      </w:pPr>
      <w:bookmarkStart w:id="3" w:name="_Hlk201006303"/>
      <w:r>
        <w:t>V</w:t>
      </w:r>
      <w:r w:rsidRPr="002A024D">
        <w:t xml:space="preserve">adovaujantis Vaistinių preparatų ir medicinos pagalbos priemonių įrašymo į kompensavimo sąrašus ir jų keitimo tvarkos aprašo, patvirtinto Lietuvos Respublikos sveikatos apsaugos ministro 2002 m. </w:t>
      </w:r>
      <w:r w:rsidRPr="002A024D">
        <w:lastRenderedPageBreak/>
        <w:t>balandžio 5 d. įsakymu Nr. V-159 „Dėl vaistinių preparatų ir medicinos pagalbos priemonių įrašymo į kompensavimo sąrašus ir jų keitimo tvarkos aprašo patvirtinimo“</w:t>
      </w:r>
      <w:r>
        <w:t xml:space="preserve"> </w:t>
      </w:r>
      <w:r w:rsidR="00FB2D33">
        <w:t xml:space="preserve">(toliau -Aprašas) </w:t>
      </w:r>
      <w:r w:rsidR="00E64747" w:rsidRPr="00471EC6">
        <w:rPr>
          <w:color w:val="000000"/>
          <w:lang w:eastAsia="lt-LT"/>
        </w:rPr>
        <w:t>30</w:t>
      </w:r>
      <w:r w:rsidR="00E64747" w:rsidRPr="00471EC6">
        <w:rPr>
          <w:color w:val="000000"/>
          <w:vertAlign w:val="superscript"/>
          <w:lang w:eastAsia="lt-LT"/>
        </w:rPr>
        <w:t>1</w:t>
      </w:r>
      <w:r w:rsidR="00E64747" w:rsidRPr="00471EC6">
        <w:rPr>
          <w:color w:val="000000"/>
          <w:lang w:eastAsia="lt-LT"/>
        </w:rPr>
        <w:t>.</w:t>
      </w:r>
      <w:r>
        <w:rPr>
          <w:color w:val="000000"/>
          <w:lang w:eastAsia="lt-LT"/>
        </w:rPr>
        <w:t>5</w:t>
      </w:r>
      <w:r w:rsidR="00E64747" w:rsidRPr="00471EC6">
        <w:rPr>
          <w:color w:val="000000"/>
          <w:lang w:eastAsia="lt-LT"/>
        </w:rPr>
        <w:t>.</w:t>
      </w:r>
      <w:r w:rsidR="00E64747">
        <w:rPr>
          <w:color w:val="000000"/>
          <w:lang w:eastAsia="lt-LT"/>
        </w:rPr>
        <w:t xml:space="preserve"> </w:t>
      </w:r>
      <w:r>
        <w:rPr>
          <w:color w:val="000000"/>
          <w:lang w:eastAsia="lt-LT"/>
        </w:rPr>
        <w:t xml:space="preserve">punktu, </w:t>
      </w:r>
      <w:r w:rsidRPr="00030268">
        <w:rPr>
          <w:color w:val="000000"/>
          <w:lang w:eastAsia="lt-LT"/>
        </w:rPr>
        <w:t>kai vertinimo išvados atitinka Aprašo 29.1.2 papunktyje numatytas sąlygas</w:t>
      </w:r>
      <w:r>
        <w:rPr>
          <w:color w:val="000000"/>
          <w:lang w:eastAsia="lt-LT"/>
        </w:rPr>
        <w:t>, siūloma</w:t>
      </w:r>
      <w:r w:rsidR="00E64747" w:rsidRPr="00471EC6">
        <w:rPr>
          <w:color w:val="000000"/>
          <w:lang w:eastAsia="lt-LT"/>
        </w:rPr>
        <w:t xml:space="preserve"> kompensuoti vaistinį preparatą pagal paraiškoje nurodytą indikaciją </w:t>
      </w:r>
      <w:r w:rsidR="003A4E29">
        <w:rPr>
          <w:color w:val="000000"/>
          <w:lang w:eastAsia="lt-LT"/>
        </w:rPr>
        <w:t>su skyrimo sąlygomis.</w:t>
      </w:r>
    </w:p>
    <w:p w14:paraId="7ADF2523" w14:textId="77777777" w:rsidR="00B16F6D" w:rsidRDefault="00B16F6D" w:rsidP="00B16F6D">
      <w:pPr>
        <w:jc w:val="both"/>
        <w:rPr>
          <w:i/>
          <w:iCs/>
        </w:rPr>
      </w:pPr>
      <w:bookmarkStart w:id="4" w:name="_Hlk199454650"/>
      <w:bookmarkStart w:id="5" w:name="_Hlk201137988"/>
      <w:bookmarkEnd w:id="3"/>
    </w:p>
    <w:p w14:paraId="63D123C8" w14:textId="39472EE7" w:rsidR="00B16F6D" w:rsidRDefault="00B16F6D" w:rsidP="00B16F6D">
      <w:pPr>
        <w:jc w:val="both"/>
        <w:rPr>
          <w:i/>
          <w:iCs/>
        </w:rPr>
      </w:pPr>
      <w:r w:rsidRPr="001156E5">
        <w:rPr>
          <w:i/>
          <w:iCs/>
        </w:rPr>
        <w:t>Pastab</w:t>
      </w:r>
      <w:r>
        <w:rPr>
          <w:i/>
          <w:iCs/>
        </w:rPr>
        <w:t>a</w:t>
      </w:r>
    </w:p>
    <w:p w14:paraId="695692B6" w14:textId="77777777" w:rsidR="00B16F6D" w:rsidRPr="00135A3E" w:rsidRDefault="00B16F6D" w:rsidP="00B16F6D">
      <w:pPr>
        <w:spacing w:line="276" w:lineRule="auto"/>
        <w:jc w:val="both"/>
        <w:rPr>
          <w:color w:val="000000"/>
        </w:rPr>
      </w:pPr>
      <w:bookmarkStart w:id="6" w:name="_Hlk199193506"/>
      <w:r w:rsidRPr="00135A3E">
        <w:rPr>
          <w:color w:val="000000"/>
          <w:lang w:eastAsia="lt-LT"/>
        </w:rPr>
        <w:t xml:space="preserve">Tarnybos pateikta rekomendacija kompensuoti siūlomą vaistinį preparatą taikytina, jei PSDF biudžeto išlaidos dėl kompensuoti siūlomo vaistinio preparato, lyginant su palyginamuoju gydymu atitinka Aprašo </w:t>
      </w:r>
      <w:r w:rsidRPr="00135A3E">
        <w:rPr>
          <w:color w:val="000000"/>
        </w:rPr>
        <w:t>54.1</w:t>
      </w:r>
      <w:r w:rsidRPr="00135A3E">
        <w:rPr>
          <w:color w:val="000000"/>
          <w:vertAlign w:val="superscript"/>
        </w:rPr>
        <w:t>1</w:t>
      </w:r>
      <w:r w:rsidRPr="00135A3E">
        <w:rPr>
          <w:color w:val="000000"/>
        </w:rPr>
        <w:t xml:space="preserve"> papunktį. </w:t>
      </w:r>
      <w:bookmarkEnd w:id="4"/>
      <w:bookmarkEnd w:id="5"/>
      <w:bookmarkEnd w:id="6"/>
    </w:p>
    <w:p w14:paraId="2F932826" w14:textId="77777777" w:rsidR="00FB2D33" w:rsidRDefault="00FB2D33" w:rsidP="00030268">
      <w:pPr>
        <w:spacing w:line="276" w:lineRule="auto"/>
        <w:jc w:val="both"/>
        <w:rPr>
          <w:color w:val="000000"/>
          <w:lang w:eastAsia="lt-LT"/>
        </w:rPr>
      </w:pPr>
    </w:p>
    <w:bookmarkEnd w:id="2"/>
    <w:p w14:paraId="2E2C7081" w14:textId="77777777" w:rsidR="00E64747" w:rsidRPr="001000A6" w:rsidRDefault="00E64747" w:rsidP="00E64747">
      <w:pPr>
        <w:pStyle w:val="Sraopastraipa"/>
        <w:numPr>
          <w:ilvl w:val="0"/>
          <w:numId w:val="1"/>
        </w:numPr>
        <w:shd w:val="clear" w:color="auto" w:fill="FFFFFF"/>
        <w:tabs>
          <w:tab w:val="left" w:pos="284"/>
        </w:tabs>
        <w:spacing w:line="276" w:lineRule="auto"/>
        <w:rPr>
          <w:rFonts w:eastAsia="Arial"/>
          <w:b/>
        </w:rPr>
      </w:pPr>
      <w:r w:rsidRPr="001000A6">
        <w:rPr>
          <w:rFonts w:eastAsia="Arial"/>
          <w:b/>
        </w:rPr>
        <w:t>SKYRIMO SĄLYGOS</w:t>
      </w:r>
    </w:p>
    <w:p w14:paraId="79E4CCCB" w14:textId="77777777" w:rsidR="00E64747" w:rsidRDefault="00E64747" w:rsidP="00E64747">
      <w:pPr>
        <w:spacing w:line="276" w:lineRule="auto"/>
        <w:jc w:val="both"/>
      </w:pPr>
    </w:p>
    <w:p w14:paraId="2D36021A" w14:textId="77777777" w:rsidR="00EB7BB2" w:rsidRPr="00A469C2" w:rsidRDefault="00EB7BB2" w:rsidP="00EB7BB2">
      <w:pPr>
        <w:pStyle w:val="Betarp"/>
        <w:rPr>
          <w:rFonts w:ascii="Times New Roman" w:hAnsi="Times New Roman"/>
          <w:b/>
          <w:sz w:val="24"/>
          <w:szCs w:val="24"/>
          <w:lang w:eastAsia="lt-LT"/>
        </w:rPr>
      </w:pPr>
      <w:r w:rsidRPr="00A469C2">
        <w:rPr>
          <w:rFonts w:ascii="Times New Roman" w:hAnsi="Times New Roman"/>
          <w:b/>
          <w:sz w:val="24"/>
          <w:szCs w:val="24"/>
          <w:lang w:eastAsia="lt-LT"/>
        </w:rPr>
        <w:t>Terapinės indikacijos</w:t>
      </w:r>
    </w:p>
    <w:p w14:paraId="0BFB5DF0" w14:textId="77777777" w:rsidR="00EB7BB2" w:rsidRPr="00A469C2" w:rsidRDefault="00EB7BB2" w:rsidP="00EB7BB2">
      <w:pPr>
        <w:tabs>
          <w:tab w:val="left" w:pos="1741"/>
        </w:tabs>
        <w:spacing w:line="276" w:lineRule="auto"/>
        <w:rPr>
          <w:i/>
          <w:iCs/>
        </w:rPr>
      </w:pPr>
    </w:p>
    <w:p w14:paraId="454F8665" w14:textId="77777777" w:rsidR="00EB7BB2" w:rsidRPr="00A469C2" w:rsidRDefault="00EB7BB2" w:rsidP="00EB7BB2">
      <w:pPr>
        <w:rPr>
          <w:rFonts w:eastAsia="Arial"/>
          <w:iCs/>
        </w:rPr>
      </w:pPr>
      <w:r w:rsidRPr="00A469C2">
        <w:rPr>
          <w:rFonts w:eastAsia="Arial"/>
          <w:iCs/>
        </w:rPr>
        <w:t>RINVOQ skirtas suaugusių pacientų gigantinių ląstelių arteritui gydyti.</w:t>
      </w:r>
    </w:p>
    <w:p w14:paraId="16E3B21A" w14:textId="77777777" w:rsidR="00EB7BB2" w:rsidRPr="00A469C2" w:rsidRDefault="00EB7BB2" w:rsidP="00EB7BB2"/>
    <w:p w14:paraId="38344804" w14:textId="77777777" w:rsidR="00EB7BB2" w:rsidRPr="00A469C2" w:rsidRDefault="00EB7BB2" w:rsidP="00EB7BB2">
      <w:pPr>
        <w:pStyle w:val="Betarp"/>
        <w:rPr>
          <w:rFonts w:ascii="Times New Roman" w:eastAsia="Times New Roman" w:hAnsi="Times New Roman"/>
          <w:sz w:val="24"/>
          <w:szCs w:val="24"/>
        </w:rPr>
      </w:pPr>
      <w:r w:rsidRPr="00A469C2">
        <w:rPr>
          <w:rFonts w:ascii="Times New Roman" w:eastAsia="Times New Roman" w:hAnsi="Times New Roman"/>
          <w:sz w:val="24"/>
          <w:szCs w:val="24"/>
        </w:rPr>
        <w:t xml:space="preserve">TLK-10 AM – </w:t>
      </w:r>
      <w:r w:rsidRPr="00A469C2">
        <w:rPr>
          <w:rFonts w:ascii="Times New Roman" w:eastAsia="Arial" w:hAnsi="Times New Roman"/>
          <w:iCs/>
          <w:sz w:val="24"/>
          <w:szCs w:val="20"/>
        </w:rPr>
        <w:t>M31.5, M31.6.</w:t>
      </w:r>
    </w:p>
    <w:p w14:paraId="48BBA09D" w14:textId="77777777" w:rsidR="00EB7BB2" w:rsidRPr="00A469C2" w:rsidRDefault="00EB7BB2" w:rsidP="00EB7BB2">
      <w:pPr>
        <w:pStyle w:val="Betarp"/>
        <w:rPr>
          <w:rFonts w:ascii="Times New Roman" w:hAnsi="Times New Roman"/>
          <w:sz w:val="24"/>
          <w:szCs w:val="24"/>
        </w:rPr>
      </w:pPr>
    </w:p>
    <w:p w14:paraId="610D74BC" w14:textId="77777777" w:rsidR="00EB7BB2" w:rsidRPr="00A469C2" w:rsidRDefault="00EB7BB2" w:rsidP="00EB7BB2">
      <w:pPr>
        <w:pStyle w:val="Betarp"/>
        <w:rPr>
          <w:rFonts w:ascii="Times New Roman" w:hAnsi="Times New Roman"/>
          <w:b/>
          <w:sz w:val="24"/>
          <w:szCs w:val="24"/>
        </w:rPr>
      </w:pPr>
      <w:r w:rsidRPr="00A469C2">
        <w:rPr>
          <w:rFonts w:ascii="Times New Roman" w:hAnsi="Times New Roman"/>
          <w:b/>
          <w:sz w:val="24"/>
          <w:szCs w:val="24"/>
        </w:rPr>
        <w:t>Skyrimo sąlygos</w:t>
      </w:r>
    </w:p>
    <w:p w14:paraId="40251A76" w14:textId="77777777" w:rsidR="00EB7BB2" w:rsidRPr="00A469C2" w:rsidRDefault="00EB7BB2" w:rsidP="00EB7BB2">
      <w:pPr>
        <w:pStyle w:val="Betarp"/>
        <w:rPr>
          <w:rFonts w:ascii="Times New Roman" w:eastAsia="Arial" w:hAnsi="Times New Roman"/>
          <w:iCs/>
          <w:sz w:val="24"/>
          <w:szCs w:val="20"/>
        </w:rPr>
      </w:pPr>
      <w:r w:rsidRPr="00A469C2">
        <w:rPr>
          <w:rFonts w:ascii="Times New Roman" w:eastAsia="Arial" w:hAnsi="Times New Roman"/>
          <w:iCs/>
          <w:sz w:val="24"/>
          <w:szCs w:val="20"/>
        </w:rPr>
        <w:t>Skiriamas, jei po 4 savaičių gliukokortikoidų skyrimas vidutinėmis dozėmis yra nepakankamas ir po 6 savaičių metotreksato minimalių dozių skyrimas nėra pakankamas atkryčiui išvengti.</w:t>
      </w:r>
    </w:p>
    <w:p w14:paraId="499A8EE7" w14:textId="6A74FF20" w:rsidR="0072762B" w:rsidRDefault="0072762B" w:rsidP="0072762B">
      <w:pPr>
        <w:pStyle w:val="Betarp"/>
        <w:rPr>
          <w:rFonts w:ascii="Times New Roman" w:hAnsi="Times New Roman"/>
          <w:sz w:val="24"/>
          <w:szCs w:val="24"/>
          <w:lang w:eastAsia="lt-LT"/>
        </w:rPr>
      </w:pPr>
    </w:p>
    <w:sectPr w:rsidR="0072762B" w:rsidSect="005D30E1">
      <w:headerReference w:type="first" r:id="rId7"/>
      <w:footerReference w:type="first" r:id="rId8"/>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33D9A" w14:textId="77777777" w:rsidR="006B4D63" w:rsidRDefault="006B4D63">
      <w:r>
        <w:separator/>
      </w:r>
    </w:p>
  </w:endnote>
  <w:endnote w:type="continuationSeparator" w:id="0">
    <w:p w14:paraId="629AE773" w14:textId="77777777" w:rsidR="006B4D63" w:rsidRDefault="006B4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3022A" w14:textId="77777777" w:rsidR="00EB5DD2" w:rsidRDefault="00EB5DD2">
    <w:pPr>
      <w:pStyle w:val="Pora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15F46" w14:textId="77777777" w:rsidR="006B4D63" w:rsidRDefault="006B4D63">
      <w:r>
        <w:separator/>
      </w:r>
    </w:p>
  </w:footnote>
  <w:footnote w:type="continuationSeparator" w:id="0">
    <w:p w14:paraId="718B0AE7" w14:textId="77777777" w:rsidR="006B4D63" w:rsidRDefault="006B4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AD515" w14:textId="77777777" w:rsidR="00EB5DD2" w:rsidRDefault="00EB5DD2" w:rsidP="00FD793C">
    <w:pPr>
      <w:pStyle w:val="Antrats"/>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4D55"/>
    <w:multiLevelType w:val="hybridMultilevel"/>
    <w:tmpl w:val="D8C6C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957A2E"/>
    <w:multiLevelType w:val="hybridMultilevel"/>
    <w:tmpl w:val="2B54A0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D5E7A28"/>
    <w:multiLevelType w:val="multilevel"/>
    <w:tmpl w:val="E9702CE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AD2E58"/>
    <w:multiLevelType w:val="multilevel"/>
    <w:tmpl w:val="8CD8C99E"/>
    <w:lvl w:ilvl="0">
      <w:start w:val="1"/>
      <w:numFmt w:val="decimal"/>
      <w:lvlText w:val="%1."/>
      <w:lvlJc w:val="left"/>
      <w:pPr>
        <w:ind w:left="720" w:hanging="360"/>
      </w:p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0702DCA"/>
    <w:multiLevelType w:val="hybridMultilevel"/>
    <w:tmpl w:val="BA6E808A"/>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4563180"/>
    <w:multiLevelType w:val="hybridMultilevel"/>
    <w:tmpl w:val="AD16B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B7476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FF8660A"/>
    <w:multiLevelType w:val="hybridMultilevel"/>
    <w:tmpl w:val="06600F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14026B7"/>
    <w:multiLevelType w:val="hybridMultilevel"/>
    <w:tmpl w:val="9A2E512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322272643">
    <w:abstractNumId w:val="3"/>
  </w:num>
  <w:num w:numId="2" w16cid:durableId="409617144">
    <w:abstractNumId w:val="1"/>
  </w:num>
  <w:num w:numId="3" w16cid:durableId="1202283471">
    <w:abstractNumId w:val="6"/>
  </w:num>
  <w:num w:numId="4" w16cid:durableId="530344230">
    <w:abstractNumId w:val="2"/>
  </w:num>
  <w:num w:numId="5" w16cid:durableId="1869676593">
    <w:abstractNumId w:val="8"/>
  </w:num>
  <w:num w:numId="6" w16cid:durableId="1538083236">
    <w:abstractNumId w:val="7"/>
  </w:num>
  <w:num w:numId="7" w16cid:durableId="1816292146">
    <w:abstractNumId w:val="4"/>
  </w:num>
  <w:num w:numId="8" w16cid:durableId="1096249486">
    <w:abstractNumId w:val="5"/>
  </w:num>
  <w:num w:numId="9" w16cid:durableId="1929731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747"/>
    <w:rsid w:val="0001095A"/>
    <w:rsid w:val="00025E44"/>
    <w:rsid w:val="00030268"/>
    <w:rsid w:val="000649CE"/>
    <w:rsid w:val="00080DB9"/>
    <w:rsid w:val="000D345D"/>
    <w:rsid w:val="001137F1"/>
    <w:rsid w:val="00135A3E"/>
    <w:rsid w:val="00165F80"/>
    <w:rsid w:val="0016734A"/>
    <w:rsid w:val="001916A3"/>
    <w:rsid w:val="00197042"/>
    <w:rsid w:val="001A465F"/>
    <w:rsid w:val="001B1426"/>
    <w:rsid w:val="001C4DAE"/>
    <w:rsid w:val="001D516F"/>
    <w:rsid w:val="002A0C91"/>
    <w:rsid w:val="002A1E88"/>
    <w:rsid w:val="002A4216"/>
    <w:rsid w:val="002C0709"/>
    <w:rsid w:val="002D3E73"/>
    <w:rsid w:val="0030743D"/>
    <w:rsid w:val="00312BC5"/>
    <w:rsid w:val="00324DBB"/>
    <w:rsid w:val="0034074F"/>
    <w:rsid w:val="003607DF"/>
    <w:rsid w:val="0038441A"/>
    <w:rsid w:val="003A2096"/>
    <w:rsid w:val="003A4E29"/>
    <w:rsid w:val="003B0682"/>
    <w:rsid w:val="003C30AD"/>
    <w:rsid w:val="0040215F"/>
    <w:rsid w:val="004039B0"/>
    <w:rsid w:val="004A479F"/>
    <w:rsid w:val="004C47BC"/>
    <w:rsid w:val="004D1F5A"/>
    <w:rsid w:val="004E2B3F"/>
    <w:rsid w:val="00563FAC"/>
    <w:rsid w:val="00595C48"/>
    <w:rsid w:val="00613362"/>
    <w:rsid w:val="00622897"/>
    <w:rsid w:val="00645DC6"/>
    <w:rsid w:val="00676FC4"/>
    <w:rsid w:val="006B4D63"/>
    <w:rsid w:val="006C6423"/>
    <w:rsid w:val="006E0C10"/>
    <w:rsid w:val="006F64F1"/>
    <w:rsid w:val="006F7769"/>
    <w:rsid w:val="006F7D17"/>
    <w:rsid w:val="0072762B"/>
    <w:rsid w:val="007D62AA"/>
    <w:rsid w:val="007F376F"/>
    <w:rsid w:val="00807E63"/>
    <w:rsid w:val="00815EA2"/>
    <w:rsid w:val="00892F58"/>
    <w:rsid w:val="0090029E"/>
    <w:rsid w:val="009037D8"/>
    <w:rsid w:val="009110E9"/>
    <w:rsid w:val="0091634E"/>
    <w:rsid w:val="00946CE0"/>
    <w:rsid w:val="00954853"/>
    <w:rsid w:val="009F06B7"/>
    <w:rsid w:val="00A72C58"/>
    <w:rsid w:val="00A94D2C"/>
    <w:rsid w:val="00AF15D3"/>
    <w:rsid w:val="00B16F6D"/>
    <w:rsid w:val="00B35F85"/>
    <w:rsid w:val="00B6624A"/>
    <w:rsid w:val="00BD7424"/>
    <w:rsid w:val="00BF5B71"/>
    <w:rsid w:val="00C07B44"/>
    <w:rsid w:val="00C45C9F"/>
    <w:rsid w:val="00C57D2A"/>
    <w:rsid w:val="00CF7088"/>
    <w:rsid w:val="00D030A5"/>
    <w:rsid w:val="00D46E0B"/>
    <w:rsid w:val="00DC2292"/>
    <w:rsid w:val="00DF2DB6"/>
    <w:rsid w:val="00E64747"/>
    <w:rsid w:val="00E75EED"/>
    <w:rsid w:val="00EA5574"/>
    <w:rsid w:val="00EB5DD2"/>
    <w:rsid w:val="00EB7BB2"/>
    <w:rsid w:val="00EC0FC7"/>
    <w:rsid w:val="00EF5063"/>
    <w:rsid w:val="00F20184"/>
    <w:rsid w:val="00F5798D"/>
    <w:rsid w:val="00FB2D33"/>
    <w:rsid w:val="00FB3C81"/>
    <w:rsid w:val="00FD74BB"/>
    <w:rsid w:val="00FF27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91C9B"/>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4747"/>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E64747"/>
    <w:pPr>
      <w:tabs>
        <w:tab w:val="center" w:pos="4986"/>
        <w:tab w:val="right" w:pos="9972"/>
      </w:tabs>
    </w:pPr>
  </w:style>
  <w:style w:type="character" w:customStyle="1" w:styleId="AntratsDiagrama">
    <w:name w:val="Antraštės Diagrama"/>
    <w:basedOn w:val="Numatytasispastraiposriftas"/>
    <w:link w:val="Antrats"/>
    <w:rsid w:val="00E64747"/>
    <w:rPr>
      <w:rFonts w:ascii="Times New Roman" w:eastAsia="Times New Roman" w:hAnsi="Times New Roman" w:cs="Times New Roman"/>
      <w:lang w:val="lt-LT"/>
    </w:rPr>
  </w:style>
  <w:style w:type="paragraph" w:styleId="Porat">
    <w:name w:val="footer"/>
    <w:basedOn w:val="prastasis"/>
    <w:link w:val="PoratDiagrama"/>
    <w:uiPriority w:val="99"/>
    <w:rsid w:val="00E64747"/>
    <w:pPr>
      <w:tabs>
        <w:tab w:val="center" w:pos="4986"/>
        <w:tab w:val="right" w:pos="9972"/>
      </w:tabs>
    </w:pPr>
  </w:style>
  <w:style w:type="character" w:customStyle="1" w:styleId="PoratDiagrama">
    <w:name w:val="Poraštė Diagrama"/>
    <w:basedOn w:val="Numatytasispastraiposriftas"/>
    <w:link w:val="Porat"/>
    <w:uiPriority w:val="99"/>
    <w:rsid w:val="00E64747"/>
    <w:rPr>
      <w:rFonts w:ascii="Times New Roman" w:eastAsia="Times New Roman" w:hAnsi="Times New Roman" w:cs="Times New Roman"/>
      <w:lang w:val="lt-LT"/>
    </w:rPr>
  </w:style>
  <w:style w:type="character" w:styleId="Puslapionumeris">
    <w:name w:val="page number"/>
    <w:basedOn w:val="Numatytasispastraiposriftas"/>
    <w:rsid w:val="00E64747"/>
  </w:style>
  <w:style w:type="table" w:styleId="Lentelstinklelis">
    <w:name w:val="Table Grid"/>
    <w:aliases w:val="Summary box,Dossier Table,Dossier table,Section 3- footnotes,GW Pharma 2,Table Grid No Line,Legemiddelverket 3,Table Grid nm,YHEC table,Lash Style Table"/>
    <w:basedOn w:val="prastojilentel"/>
    <w:rsid w:val="00E64747"/>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List,Bullet1,Use Case List Paragraph,List Paragraph1,Body Bullet,Table Number Paragraph,Colorful List - Accent 11,List Paragraph 1,Ref,B1,Figure_name,bu1,bu1 + Before:  0 pt,After:  6 pt,Bullet for no #'s,Paragraph,lp1"/>
    <w:basedOn w:val="prastasis"/>
    <w:link w:val="SraopastraipaDiagrama"/>
    <w:uiPriority w:val="34"/>
    <w:qFormat/>
    <w:rsid w:val="00E64747"/>
    <w:pPr>
      <w:ind w:left="720"/>
      <w:contextualSpacing/>
    </w:pPr>
  </w:style>
  <w:style w:type="character" w:customStyle="1" w:styleId="Style2">
    <w:name w:val="Style2"/>
    <w:basedOn w:val="Numatytasispastraiposriftas"/>
    <w:uiPriority w:val="1"/>
    <w:rsid w:val="00E64747"/>
    <w:rPr>
      <w:sz w:val="32"/>
    </w:rPr>
  </w:style>
  <w:style w:type="paragraph" w:styleId="Betarp">
    <w:name w:val="No Spacing"/>
    <w:aliases w:val="~BaseStyle,PBAC Table Footnote"/>
    <w:link w:val="BetarpDiagrama"/>
    <w:uiPriority w:val="1"/>
    <w:qFormat/>
    <w:rsid w:val="00E64747"/>
    <w:rPr>
      <w:rFonts w:ascii="Calibri" w:eastAsia="Calibri" w:hAnsi="Calibri" w:cs="Times New Roman"/>
      <w:sz w:val="22"/>
      <w:szCs w:val="22"/>
      <w:lang w:val="lt-LT"/>
    </w:rPr>
  </w:style>
  <w:style w:type="character" w:customStyle="1" w:styleId="SraopastraipaDiagrama">
    <w:name w:val="Sąrašo pastraipa Diagrama"/>
    <w:aliases w:val="Bullet List Diagrama,Bullet1 Diagrama,Use Case List Paragraph Diagrama,List Paragraph1 Diagrama,Body Bullet Diagrama,Table Number Paragraph Diagrama,Colorful List - Accent 11 Diagrama,List Paragraph 1 Diagrama,Ref Diagrama"/>
    <w:basedOn w:val="Numatytasispastraiposriftas"/>
    <w:link w:val="Sraopastraipa"/>
    <w:uiPriority w:val="34"/>
    <w:qFormat/>
    <w:rsid w:val="00E64747"/>
    <w:rPr>
      <w:rFonts w:ascii="Times New Roman" w:eastAsia="Times New Roman" w:hAnsi="Times New Roman" w:cs="Times New Roman"/>
      <w:lang w:val="lt-LT"/>
    </w:rPr>
  </w:style>
  <w:style w:type="paragraph" w:styleId="Pagrindinistekstas">
    <w:name w:val="Body Text"/>
    <w:basedOn w:val="prastasis"/>
    <w:link w:val="PagrindinistekstasDiagrama"/>
    <w:uiPriority w:val="1"/>
    <w:unhideWhenUsed/>
    <w:qFormat/>
    <w:rsid w:val="00E64747"/>
    <w:pPr>
      <w:spacing w:after="120"/>
    </w:pPr>
    <w:rPr>
      <w:szCs w:val="20"/>
    </w:rPr>
  </w:style>
  <w:style w:type="character" w:customStyle="1" w:styleId="PagrindinistekstasDiagrama">
    <w:name w:val="Pagrindinis tekstas Diagrama"/>
    <w:basedOn w:val="Numatytasispastraiposriftas"/>
    <w:link w:val="Pagrindinistekstas"/>
    <w:uiPriority w:val="1"/>
    <w:rsid w:val="00E64747"/>
    <w:rPr>
      <w:rFonts w:ascii="Times New Roman" w:eastAsia="Times New Roman" w:hAnsi="Times New Roman" w:cs="Times New Roman"/>
      <w:szCs w:val="20"/>
      <w:lang w:val="lt-LT"/>
    </w:rPr>
  </w:style>
  <w:style w:type="paragraph" w:customStyle="1" w:styleId="TableHeading">
    <w:name w:val="Table Heading"/>
    <w:basedOn w:val="prastasis"/>
    <w:next w:val="prastasis"/>
    <w:link w:val="TableHeadingChar"/>
    <w:qFormat/>
    <w:rsid w:val="00E64747"/>
    <w:pPr>
      <w:keepNext/>
      <w:keepLines/>
      <w:spacing w:before="40" w:after="40" w:line="288" w:lineRule="auto"/>
    </w:pPr>
    <w:rPr>
      <w:rFonts w:ascii="Verdana" w:eastAsiaTheme="minorHAnsi" w:hAnsi="Verdana" w:cstheme="minorBidi"/>
      <w:b/>
      <w:color w:val="F8F8F8"/>
      <w:sz w:val="20"/>
      <w:lang w:val="en-GB"/>
    </w:rPr>
  </w:style>
  <w:style w:type="character" w:customStyle="1" w:styleId="TableHeadingChar">
    <w:name w:val="Table Heading Char"/>
    <w:basedOn w:val="Numatytasispastraiposriftas"/>
    <w:link w:val="TableHeading"/>
    <w:rsid w:val="00E64747"/>
    <w:rPr>
      <w:rFonts w:ascii="Verdana" w:hAnsi="Verdana"/>
      <w:b/>
      <w:color w:val="F8F8F8"/>
      <w:sz w:val="20"/>
    </w:rPr>
  </w:style>
  <w:style w:type="character" w:styleId="Grietas">
    <w:name w:val="Strong"/>
    <w:basedOn w:val="Numatytasispastraiposriftas"/>
    <w:uiPriority w:val="22"/>
    <w:qFormat/>
    <w:rsid w:val="00E64747"/>
    <w:rPr>
      <w:b/>
      <w:bCs/>
    </w:rPr>
  </w:style>
  <w:style w:type="table" w:customStyle="1" w:styleId="Lentelstinklelis1">
    <w:name w:val="Lentelės tinklelis1"/>
    <w:basedOn w:val="prastojilentel"/>
    <w:next w:val="Lentelstinklelis"/>
    <w:rsid w:val="00E64747"/>
    <w:rPr>
      <w:rFonts w:ascii="Times New Roman" w:eastAsia="Times New Roman" w:hAnsi="Times New Roman" w:cs="Times New Roman"/>
      <w:szCs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aliases w:val="~BaseStyle Diagrama,PBAC Table Footnote Diagrama"/>
    <w:basedOn w:val="Numatytasispastraiposriftas"/>
    <w:link w:val="Betarp"/>
    <w:uiPriority w:val="1"/>
    <w:locked/>
    <w:rsid w:val="00E64747"/>
    <w:rPr>
      <w:rFonts w:ascii="Calibri" w:eastAsia="Calibri" w:hAnsi="Calibri" w:cs="Times New Roman"/>
      <w:sz w:val="22"/>
      <w:szCs w:val="22"/>
      <w:lang w:val="lt-LT"/>
    </w:rPr>
  </w:style>
  <w:style w:type="character" w:styleId="Vietosrezervavimoenklotekstas">
    <w:name w:val="Placeholder Text"/>
    <w:basedOn w:val="Numatytasispastraiposriftas"/>
    <w:uiPriority w:val="99"/>
    <w:rsid w:val="0072762B"/>
    <w:rPr>
      <w:color w:val="808080"/>
    </w:rPr>
  </w:style>
  <w:style w:type="paragraph" w:styleId="Debesliotekstas">
    <w:name w:val="Balloon Text"/>
    <w:basedOn w:val="prastasis"/>
    <w:link w:val="DebesliotekstasDiagrama"/>
    <w:semiHidden/>
    <w:unhideWhenUsed/>
    <w:rsid w:val="0072762B"/>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2762B"/>
    <w:rPr>
      <w:rFonts w:ascii="Segoe UI" w:eastAsia="Times New Roman" w:hAnsi="Segoe UI" w:cs="Segoe UI"/>
      <w:sz w:val="18"/>
      <w:szCs w:val="18"/>
      <w:lang w:val="lt-LT"/>
    </w:rPr>
  </w:style>
  <w:style w:type="character" w:styleId="Komentaronuoroda">
    <w:name w:val="annotation reference"/>
    <w:basedOn w:val="Numatytasispastraiposriftas"/>
    <w:semiHidden/>
    <w:unhideWhenUsed/>
    <w:rsid w:val="0072762B"/>
    <w:rPr>
      <w:sz w:val="16"/>
      <w:szCs w:val="16"/>
    </w:rPr>
  </w:style>
  <w:style w:type="paragraph" w:styleId="Komentarotekstas">
    <w:name w:val="annotation text"/>
    <w:basedOn w:val="prastasis"/>
    <w:link w:val="KomentarotekstasDiagrama"/>
    <w:unhideWhenUsed/>
    <w:rsid w:val="0072762B"/>
    <w:rPr>
      <w:sz w:val="20"/>
      <w:szCs w:val="20"/>
    </w:rPr>
  </w:style>
  <w:style w:type="character" w:customStyle="1" w:styleId="KomentarotekstasDiagrama">
    <w:name w:val="Komentaro tekstas Diagrama"/>
    <w:basedOn w:val="Numatytasispastraiposriftas"/>
    <w:link w:val="Komentarotekstas"/>
    <w:rsid w:val="0072762B"/>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72762B"/>
    <w:rPr>
      <w:b/>
      <w:bCs/>
    </w:rPr>
  </w:style>
  <w:style w:type="character" w:customStyle="1" w:styleId="KomentarotemaDiagrama">
    <w:name w:val="Komentaro tema Diagrama"/>
    <w:basedOn w:val="KomentarotekstasDiagrama"/>
    <w:link w:val="Komentarotema"/>
    <w:uiPriority w:val="99"/>
    <w:semiHidden/>
    <w:rsid w:val="0072762B"/>
    <w:rPr>
      <w:rFonts w:ascii="Times New Roman" w:eastAsia="Times New Roman"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1ADF7F185C81C4183FAD20BB772CF7B"/>
        <w:category>
          <w:name w:val="General"/>
          <w:gallery w:val="placeholder"/>
        </w:category>
        <w:types>
          <w:type w:val="bbPlcHdr"/>
        </w:types>
        <w:behaviors>
          <w:behavior w:val="content"/>
        </w:behaviors>
        <w:guid w:val="{01B7E329-8313-3B47-8A4D-40E4A703AA4D}"/>
      </w:docPartPr>
      <w:docPartBody>
        <w:p w:rsidR="00BE61F1" w:rsidRDefault="003C6A69" w:rsidP="003C6A69">
          <w:pPr>
            <w:pStyle w:val="11ADF7F185C81C4183FAD20BB772CF7B"/>
          </w:pPr>
          <w:r>
            <w:rPr>
              <w:rStyle w:val="Vietosrezervavimoenklotekstas"/>
            </w:rPr>
            <w:t>Click here to enter a date.</w:t>
          </w:r>
        </w:p>
      </w:docPartBody>
    </w:docPart>
    <w:docPart>
      <w:docPartPr>
        <w:name w:val="71C9817F07586444B83A06F816DE2E85"/>
        <w:category>
          <w:name w:val="General"/>
          <w:gallery w:val="placeholder"/>
        </w:category>
        <w:types>
          <w:type w:val="bbPlcHdr"/>
        </w:types>
        <w:behaviors>
          <w:behavior w:val="content"/>
        </w:behaviors>
        <w:guid w:val="{28569A40-D57A-5B47-B261-C5258BD21D18}"/>
      </w:docPartPr>
      <w:docPartBody>
        <w:p w:rsidR="00BE61F1" w:rsidRDefault="003C6A69" w:rsidP="003C6A69">
          <w:pPr>
            <w:pStyle w:val="71C9817F07586444B83A06F816DE2E85"/>
          </w:pPr>
          <w:r>
            <w:rPr>
              <w:rStyle w:val="Vietosrezervavimoenklotekstas"/>
            </w:rPr>
            <w:t>Click here to enter a date.</w:t>
          </w:r>
        </w:p>
      </w:docPartBody>
    </w:docPart>
    <w:docPart>
      <w:docPartPr>
        <w:name w:val="75B33C3CC8CD964AB84BDF0401E26B13"/>
        <w:category>
          <w:name w:val="General"/>
          <w:gallery w:val="placeholder"/>
        </w:category>
        <w:types>
          <w:type w:val="bbPlcHdr"/>
        </w:types>
        <w:behaviors>
          <w:behavior w:val="content"/>
        </w:behaviors>
        <w:guid w:val="{72F37386-BDE4-1446-ADAF-629B78CF7257}"/>
      </w:docPartPr>
      <w:docPartBody>
        <w:p w:rsidR="0063699F" w:rsidRDefault="00716A4B" w:rsidP="00716A4B">
          <w:pPr>
            <w:pStyle w:val="75B33C3CC8CD964AB84BDF0401E26B13"/>
          </w:pPr>
          <w:r>
            <w:rPr>
              <w:rStyle w:val="Vietosrezervavimoenklotekstas"/>
            </w:rPr>
            <w:t>Click here to enter a date.</w:t>
          </w:r>
        </w:p>
      </w:docPartBody>
    </w:docPart>
    <w:docPart>
      <w:docPartPr>
        <w:name w:val="991E362653613E49B5164B7199B4DFDD"/>
        <w:category>
          <w:name w:val="General"/>
          <w:gallery w:val="placeholder"/>
        </w:category>
        <w:types>
          <w:type w:val="bbPlcHdr"/>
        </w:types>
        <w:behaviors>
          <w:behavior w:val="content"/>
        </w:behaviors>
        <w:guid w:val="{4F629F77-10A5-1848-AE3B-5EABBB654FE7}"/>
      </w:docPartPr>
      <w:docPartBody>
        <w:p w:rsidR="0063699F" w:rsidRDefault="00716A4B" w:rsidP="00716A4B">
          <w:pPr>
            <w:pStyle w:val="991E362653613E49B5164B7199B4DFDD"/>
          </w:pPr>
          <w:r>
            <w:rPr>
              <w:rStyle w:val="Vietosrezervavimoenklotekstas"/>
            </w:rPr>
            <w:t>Click here to enter a date.</w:t>
          </w:r>
        </w:p>
      </w:docPartBody>
    </w:docPart>
    <w:docPart>
      <w:docPartPr>
        <w:name w:val="9AC09CF72BD24FA5864DAACA04B5A68C"/>
        <w:category>
          <w:name w:val="General"/>
          <w:gallery w:val="placeholder"/>
        </w:category>
        <w:types>
          <w:type w:val="bbPlcHdr"/>
        </w:types>
        <w:behaviors>
          <w:behavior w:val="content"/>
        </w:behaviors>
        <w:guid w:val="{A3045BBB-9E42-4B28-AD2A-F9F3172787DF}"/>
      </w:docPartPr>
      <w:docPartBody>
        <w:p w:rsidR="00983F3B" w:rsidRDefault="0063699F" w:rsidP="0063699F">
          <w:pPr>
            <w:pStyle w:val="9AC09CF72BD24FA5864DAACA04B5A68C"/>
          </w:pPr>
          <w:r>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A69"/>
    <w:rsid w:val="000E2A77"/>
    <w:rsid w:val="00165F80"/>
    <w:rsid w:val="00174D61"/>
    <w:rsid w:val="001C6195"/>
    <w:rsid w:val="0035559A"/>
    <w:rsid w:val="003A2096"/>
    <w:rsid w:val="003C30AD"/>
    <w:rsid w:val="003C6A69"/>
    <w:rsid w:val="004400D2"/>
    <w:rsid w:val="00456E9F"/>
    <w:rsid w:val="00495BA2"/>
    <w:rsid w:val="0063699F"/>
    <w:rsid w:val="00645DC6"/>
    <w:rsid w:val="006A6842"/>
    <w:rsid w:val="00716A4B"/>
    <w:rsid w:val="00796884"/>
    <w:rsid w:val="0090029E"/>
    <w:rsid w:val="00946CE0"/>
    <w:rsid w:val="00983F3B"/>
    <w:rsid w:val="00BE61F1"/>
    <w:rsid w:val="00BF35A1"/>
    <w:rsid w:val="00C51A48"/>
    <w:rsid w:val="00C54D64"/>
    <w:rsid w:val="00C85257"/>
    <w:rsid w:val="00D96048"/>
    <w:rsid w:val="00E67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63699F"/>
    <w:rPr>
      <w:color w:val="808080"/>
    </w:rPr>
  </w:style>
  <w:style w:type="paragraph" w:customStyle="1" w:styleId="11ADF7F185C81C4183FAD20BB772CF7B">
    <w:name w:val="11ADF7F185C81C4183FAD20BB772CF7B"/>
    <w:rsid w:val="003C6A69"/>
  </w:style>
  <w:style w:type="paragraph" w:customStyle="1" w:styleId="71C9817F07586444B83A06F816DE2E85">
    <w:name w:val="71C9817F07586444B83A06F816DE2E85"/>
    <w:rsid w:val="003C6A69"/>
  </w:style>
  <w:style w:type="paragraph" w:customStyle="1" w:styleId="75B33C3CC8CD964AB84BDF0401E26B13">
    <w:name w:val="75B33C3CC8CD964AB84BDF0401E26B13"/>
    <w:rsid w:val="00716A4B"/>
  </w:style>
  <w:style w:type="paragraph" w:customStyle="1" w:styleId="991E362653613E49B5164B7199B4DFDD">
    <w:name w:val="991E362653613E49B5164B7199B4DFDD"/>
    <w:rsid w:val="00716A4B"/>
  </w:style>
  <w:style w:type="paragraph" w:customStyle="1" w:styleId="9AC09CF72BD24FA5864DAACA04B5A68C">
    <w:name w:val="9AC09CF72BD24FA5864DAACA04B5A68C"/>
    <w:rsid w:val="0063699F"/>
    <w:pPr>
      <w:spacing w:after="160" w:line="259" w:lineRule="auto"/>
    </w:pPr>
    <w:rPr>
      <w:sz w:val="22"/>
      <w:szCs w:val="22"/>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6471</Words>
  <Characters>3689</Characters>
  <Application>Microsoft Office Word</Application>
  <DocSecurity>0</DocSecurity>
  <Lines>30</Lines>
  <Paragraphs>20</Paragraphs>
  <ScaleCrop>false</ScaleCrop>
  <Company/>
  <LinksUpToDate>false</LinksUpToDate>
  <CharactersWithSpaces>10140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2025-10-27T05:57:00Z</dcterms:created>
  <dcterms:modified xsi:type="dcterms:W3CDTF">2025-10-27T05:57:00Z</dcterms:modified>
</cp:coreProperties>
</file>