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Pr="00775355" w:rsidRDefault="005F7602" w:rsidP="002946C7">
      <w:pPr>
        <w:ind w:left="5529"/>
      </w:pPr>
    </w:p>
    <w:p w14:paraId="12FA4B9E" w14:textId="77777777" w:rsidR="001B3C5B" w:rsidRPr="00775355" w:rsidRDefault="001B3C5B" w:rsidP="001B3C5B">
      <w:pPr>
        <w:ind w:left="6096"/>
      </w:pPr>
      <w:r w:rsidRPr="00775355">
        <w:t>Forma patvirtinta</w:t>
      </w:r>
    </w:p>
    <w:p w14:paraId="7206970B" w14:textId="70E9BD2E" w:rsidR="004C263A" w:rsidRPr="00775355" w:rsidRDefault="001B3C5B" w:rsidP="001B3C5B">
      <w:pPr>
        <w:ind w:left="6096"/>
      </w:pPr>
      <w:r w:rsidRPr="00775355">
        <w:t>Valstybinės vaistų kontrolės tarnybos prie Lietuvos Respublikos sveikatos apsaugos ministerijos viršininko 2021 m</w:t>
      </w:r>
      <w:r w:rsidR="004C263A" w:rsidRPr="00775355">
        <w:t xml:space="preserve">. lapkričio 12 </w:t>
      </w:r>
      <w:r w:rsidRPr="00775355">
        <w:t>d. įsakymu Nr.</w:t>
      </w:r>
      <w:r w:rsidR="004C263A" w:rsidRPr="00775355">
        <w:t xml:space="preserve"> (1.72E)1A-1418</w:t>
      </w:r>
    </w:p>
    <w:p w14:paraId="5B219AA6" w14:textId="520B9136" w:rsidR="001B3C5B" w:rsidRPr="00775355" w:rsidRDefault="004C263A" w:rsidP="001B3C5B">
      <w:pPr>
        <w:ind w:left="6096"/>
      </w:pPr>
      <w:r w:rsidRPr="00775355">
        <w:t>(Valstybinės vaistų kontrolės tarnybos prie Lietuvos Respublikos sveikatos apsaugos ministerijos viršininko 2022 m.                         d. įsakymo Nr.                    redakcija)</w:t>
      </w:r>
    </w:p>
    <w:p w14:paraId="3336BD74" w14:textId="77777777" w:rsidR="001B3C5B" w:rsidRPr="00775355" w:rsidRDefault="001B3C5B" w:rsidP="00FA4169"/>
    <w:p w14:paraId="77AFB67E" w14:textId="16397257" w:rsidR="00613501" w:rsidRPr="00775355" w:rsidRDefault="002F0E4F" w:rsidP="003B211A">
      <w:pPr>
        <w:jc w:val="center"/>
        <w:rPr>
          <w:b/>
          <w:bCs/>
          <w:caps/>
        </w:rPr>
      </w:pPr>
      <w:r w:rsidRPr="00775355">
        <w:rPr>
          <w:b/>
        </w:rPr>
        <w:t xml:space="preserve">REKOMENDACIJA DĖL VAISTINIO PREPARATO </w:t>
      </w:r>
      <w:r w:rsidRPr="00775355">
        <w:rPr>
          <w:b/>
          <w:bCs/>
          <w:caps/>
        </w:rPr>
        <w:t>Lietuvos Respublikos Sveikatos apsaugos ministerijos vaistinių preparatų ir medicinos pagalbos priemonių kompensavimo komisijai</w:t>
      </w:r>
    </w:p>
    <w:p w14:paraId="34E4395D" w14:textId="15FB10DF" w:rsidR="00B13D65" w:rsidRPr="00775355" w:rsidRDefault="00B13D65" w:rsidP="003B211A">
      <w:pPr>
        <w:jc w:val="center"/>
        <w:rPr>
          <w:b/>
        </w:rPr>
      </w:pPr>
    </w:p>
    <w:p w14:paraId="4A1B44B6" w14:textId="2878C199" w:rsidR="00CE4842" w:rsidRPr="00775355" w:rsidRDefault="00CE4842" w:rsidP="00CE4842">
      <w:pPr>
        <w:spacing w:line="276" w:lineRule="auto"/>
        <w:jc w:val="center"/>
        <w:rPr>
          <w:b/>
          <w:color w:val="000000" w:themeColor="text1"/>
        </w:rPr>
      </w:pPr>
      <w:bookmarkStart w:id="0" w:name="_Hlk212235814"/>
      <w:r w:rsidRPr="00775355">
        <w:rPr>
          <w:b/>
          <w:color w:val="000000" w:themeColor="text1"/>
        </w:rPr>
        <w:t>BRAFTOVI</w:t>
      </w:r>
      <w:r w:rsidRPr="00775355">
        <w:rPr>
          <w:color w:val="000000" w:themeColor="text1"/>
        </w:rPr>
        <w:t xml:space="preserve"> </w:t>
      </w:r>
      <w:r w:rsidRPr="00775355">
        <w:rPr>
          <w:b/>
          <w:color w:val="000000" w:themeColor="text1"/>
        </w:rPr>
        <w:t>50 mg kietosios kapsulės</w:t>
      </w:r>
    </w:p>
    <w:p w14:paraId="51223A82" w14:textId="1F92C6E3" w:rsidR="004E3F6B" w:rsidRPr="00775355" w:rsidRDefault="004E3F6B" w:rsidP="004E3F6B">
      <w:pPr>
        <w:spacing w:line="276" w:lineRule="auto"/>
        <w:jc w:val="center"/>
        <w:rPr>
          <w:b/>
          <w:color w:val="000000" w:themeColor="text1"/>
        </w:rPr>
      </w:pPr>
      <w:r w:rsidRPr="00775355">
        <w:rPr>
          <w:b/>
          <w:color w:val="000000" w:themeColor="text1"/>
        </w:rPr>
        <w:t>BRAFTOVI</w:t>
      </w:r>
      <w:r w:rsidRPr="00775355">
        <w:rPr>
          <w:color w:val="000000" w:themeColor="text1"/>
        </w:rPr>
        <w:t xml:space="preserve"> </w:t>
      </w:r>
      <w:r w:rsidRPr="00775355">
        <w:rPr>
          <w:b/>
          <w:color w:val="000000" w:themeColor="text1"/>
        </w:rPr>
        <w:t>75 mg kietosios kapsulės</w:t>
      </w:r>
    </w:p>
    <w:bookmarkEnd w:id="0"/>
    <w:p w14:paraId="3514860B" w14:textId="77777777" w:rsidR="004E3F6B" w:rsidRPr="00775355" w:rsidRDefault="004E3F6B" w:rsidP="00CE4842">
      <w:pPr>
        <w:spacing w:line="276" w:lineRule="auto"/>
        <w:jc w:val="center"/>
        <w:rPr>
          <w:color w:val="000000" w:themeColor="text1"/>
        </w:rPr>
      </w:pPr>
    </w:p>
    <w:p w14:paraId="7B963D2E" w14:textId="77777777" w:rsidR="00CE4842" w:rsidRPr="00775355" w:rsidRDefault="00CE4842" w:rsidP="00CE4842">
      <w:pPr>
        <w:spacing w:line="276" w:lineRule="auto"/>
        <w:jc w:val="center"/>
        <w:rPr>
          <w:color w:val="000000" w:themeColor="text1"/>
        </w:rPr>
      </w:pPr>
      <w:r w:rsidRPr="00775355">
        <w:rPr>
          <w:color w:val="000000" w:themeColor="text1"/>
        </w:rPr>
        <w:t>(</w:t>
      </w:r>
      <w:proofErr w:type="spellStart"/>
      <w:r w:rsidRPr="00775355">
        <w:rPr>
          <w:rFonts w:eastAsia="Arial"/>
          <w:color w:val="000000" w:themeColor="text1"/>
        </w:rPr>
        <w:t>Enkorafenibas</w:t>
      </w:r>
      <w:proofErr w:type="spellEnd"/>
      <w:r w:rsidRPr="00775355">
        <w:rPr>
          <w:color w:val="000000" w:themeColor="text1"/>
        </w:rPr>
        <w:t>)</w:t>
      </w:r>
    </w:p>
    <w:p w14:paraId="4DB5FF9A" w14:textId="77777777" w:rsidR="00CE4842" w:rsidRPr="00775355" w:rsidRDefault="00CE4842" w:rsidP="00CE4842">
      <w:pPr>
        <w:spacing w:line="276" w:lineRule="auto"/>
        <w:jc w:val="center"/>
        <w:rPr>
          <w:color w:val="000000" w:themeColor="text1"/>
        </w:rPr>
      </w:pPr>
    </w:p>
    <w:p w14:paraId="5A1B9461" w14:textId="4B8DD6E9" w:rsidR="00CE4842" w:rsidRPr="00775355" w:rsidRDefault="00CE4842" w:rsidP="00CE4842">
      <w:pPr>
        <w:spacing w:line="276" w:lineRule="auto"/>
        <w:jc w:val="center"/>
        <w:rPr>
          <w:b/>
          <w:color w:val="000000" w:themeColor="text1"/>
        </w:rPr>
      </w:pPr>
      <w:r w:rsidRPr="00775355">
        <w:rPr>
          <w:b/>
          <w:color w:val="000000" w:themeColor="text1"/>
        </w:rPr>
        <w:t>Paraiškos numeris STV</w:t>
      </w:r>
      <w:r w:rsidR="004E3F6B" w:rsidRPr="00775355">
        <w:rPr>
          <w:b/>
          <w:color w:val="000000" w:themeColor="text1"/>
        </w:rPr>
        <w:t>-</w:t>
      </w:r>
      <w:r w:rsidRPr="00775355">
        <w:rPr>
          <w:b/>
          <w:color w:val="000000" w:themeColor="text1"/>
        </w:rPr>
        <w:t>219</w:t>
      </w:r>
    </w:p>
    <w:p w14:paraId="7B545CB3" w14:textId="77777777" w:rsidR="00CE4842" w:rsidRPr="00775355" w:rsidRDefault="00CE4842" w:rsidP="00CE4842">
      <w:pPr>
        <w:tabs>
          <w:tab w:val="left" w:pos="284"/>
        </w:tabs>
        <w:spacing w:line="276" w:lineRule="auto"/>
        <w:jc w:val="both"/>
        <w:rPr>
          <w:rFonts w:eastAsia="Arial"/>
          <w:b/>
          <w:color w:val="000000" w:themeColor="text1"/>
        </w:rPr>
      </w:pPr>
      <w:r w:rsidRPr="00775355">
        <w:rPr>
          <w:rFonts w:eastAsia="Arial"/>
          <w:b/>
          <w:color w:val="000000" w:themeColor="text1"/>
        </w:rPr>
        <w:t>I. BENDROJI DALIS</w:t>
      </w:r>
    </w:p>
    <w:p w14:paraId="6E753004" w14:textId="77777777" w:rsidR="00CE4842" w:rsidRPr="00775355" w:rsidRDefault="00CE4842" w:rsidP="00CE4842">
      <w:pPr>
        <w:spacing w:line="276" w:lineRule="auto"/>
        <w:jc w:val="both"/>
        <w:rPr>
          <w:rFonts w:eastAsia="Arial"/>
          <w:color w:val="000000" w:themeColor="text1"/>
        </w:rPr>
      </w:pPr>
    </w:p>
    <w:tbl>
      <w:tblPr>
        <w:tblStyle w:val="Lentelstinklelis"/>
        <w:tblW w:w="9918" w:type="dxa"/>
        <w:tblLook w:val="04A0" w:firstRow="1" w:lastRow="0" w:firstColumn="1" w:lastColumn="0" w:noHBand="0" w:noVBand="1"/>
      </w:tblPr>
      <w:tblGrid>
        <w:gridCol w:w="705"/>
        <w:gridCol w:w="4117"/>
        <w:gridCol w:w="5096"/>
      </w:tblGrid>
      <w:tr w:rsidR="00CE4842" w:rsidRPr="00775355" w14:paraId="34194CDB" w14:textId="77777777" w:rsidTr="00B26B22">
        <w:trPr>
          <w:trHeight w:val="342"/>
        </w:trPr>
        <w:tc>
          <w:tcPr>
            <w:tcW w:w="705" w:type="dxa"/>
          </w:tcPr>
          <w:p w14:paraId="20C0065C" w14:textId="77777777" w:rsidR="00CE4842" w:rsidRPr="00775355" w:rsidRDefault="00CE4842" w:rsidP="00B26B22">
            <w:pPr>
              <w:tabs>
                <w:tab w:val="left" w:pos="284"/>
              </w:tabs>
              <w:spacing w:line="276" w:lineRule="auto"/>
              <w:jc w:val="both"/>
              <w:rPr>
                <w:rFonts w:eastAsia="Arial"/>
                <w:b/>
                <w:color w:val="000000" w:themeColor="text1"/>
              </w:rPr>
            </w:pPr>
            <w:r w:rsidRPr="00775355">
              <w:rPr>
                <w:rFonts w:eastAsia="Arial"/>
                <w:b/>
                <w:color w:val="000000" w:themeColor="text1"/>
              </w:rPr>
              <w:t>1.1</w:t>
            </w:r>
          </w:p>
        </w:tc>
        <w:tc>
          <w:tcPr>
            <w:tcW w:w="4117" w:type="dxa"/>
          </w:tcPr>
          <w:p w14:paraId="01C0C979" w14:textId="77777777" w:rsidR="00CE4842" w:rsidRPr="00775355" w:rsidRDefault="00CE4842" w:rsidP="00B26B22">
            <w:pPr>
              <w:tabs>
                <w:tab w:val="left" w:pos="284"/>
              </w:tabs>
              <w:spacing w:line="276" w:lineRule="auto"/>
              <w:jc w:val="both"/>
              <w:rPr>
                <w:b/>
                <w:bCs/>
                <w:color w:val="000000" w:themeColor="text1"/>
                <w:lang w:eastAsia="lt-LT"/>
              </w:rPr>
            </w:pPr>
            <w:r w:rsidRPr="00775355">
              <w:rPr>
                <w:b/>
                <w:bCs/>
                <w:color w:val="000000" w:themeColor="text1"/>
                <w:lang w:eastAsia="lt-LT"/>
              </w:rPr>
              <w:t>Pareiškėjas</w:t>
            </w:r>
          </w:p>
        </w:tc>
        <w:tc>
          <w:tcPr>
            <w:tcW w:w="5096" w:type="dxa"/>
          </w:tcPr>
          <w:p w14:paraId="5BFDD676" w14:textId="77777777" w:rsidR="00CE4842" w:rsidRPr="00775355" w:rsidRDefault="00CE4842" w:rsidP="00B26B22">
            <w:pPr>
              <w:pStyle w:val="Sraopastraipa"/>
              <w:spacing w:after="120" w:line="276" w:lineRule="auto"/>
              <w:ind w:left="0"/>
              <w:contextualSpacing w:val="0"/>
              <w:jc w:val="both"/>
              <w:rPr>
                <w:i/>
                <w:iCs/>
                <w:color w:val="000000" w:themeColor="text1"/>
              </w:rPr>
            </w:pPr>
            <w:r w:rsidRPr="00775355">
              <w:rPr>
                <w:i/>
                <w:iCs/>
                <w:color w:val="000000" w:themeColor="text1"/>
              </w:rPr>
              <w:t>Laura Spece, UAB „Medis Pharma Lithuania“</w:t>
            </w:r>
          </w:p>
        </w:tc>
      </w:tr>
      <w:tr w:rsidR="00CE4842" w:rsidRPr="00775355" w14:paraId="50590B2E" w14:textId="77777777" w:rsidTr="00B26B22">
        <w:trPr>
          <w:trHeight w:val="479"/>
        </w:trPr>
        <w:tc>
          <w:tcPr>
            <w:tcW w:w="705" w:type="dxa"/>
          </w:tcPr>
          <w:p w14:paraId="49A62BD3" w14:textId="77777777" w:rsidR="00CE4842" w:rsidRPr="00775355" w:rsidRDefault="00CE4842" w:rsidP="00B26B22">
            <w:pPr>
              <w:tabs>
                <w:tab w:val="left" w:pos="284"/>
              </w:tabs>
              <w:spacing w:line="276" w:lineRule="auto"/>
              <w:jc w:val="both"/>
              <w:rPr>
                <w:rFonts w:eastAsia="Arial"/>
                <w:b/>
                <w:color w:val="000000" w:themeColor="text1"/>
              </w:rPr>
            </w:pPr>
            <w:r w:rsidRPr="00775355">
              <w:rPr>
                <w:rFonts w:eastAsia="Arial"/>
                <w:b/>
                <w:color w:val="000000" w:themeColor="text1"/>
              </w:rPr>
              <w:t>1.2</w:t>
            </w:r>
          </w:p>
        </w:tc>
        <w:tc>
          <w:tcPr>
            <w:tcW w:w="4117" w:type="dxa"/>
          </w:tcPr>
          <w:p w14:paraId="06EC1552" w14:textId="77777777" w:rsidR="00CE4842" w:rsidRPr="00775355" w:rsidRDefault="00CE4842" w:rsidP="00B26B22">
            <w:pPr>
              <w:tabs>
                <w:tab w:val="left" w:pos="284"/>
              </w:tabs>
              <w:spacing w:line="276" w:lineRule="auto"/>
              <w:jc w:val="both"/>
              <w:rPr>
                <w:b/>
                <w:bCs/>
                <w:color w:val="000000" w:themeColor="text1"/>
                <w:lang w:eastAsia="lt-LT"/>
              </w:rPr>
            </w:pPr>
            <w:r w:rsidRPr="00775355">
              <w:rPr>
                <w:b/>
                <w:bCs/>
                <w:color w:val="000000" w:themeColor="text1"/>
                <w:lang w:eastAsia="lt-LT"/>
              </w:rPr>
              <w:t>Registracijos data (EVA)</w:t>
            </w:r>
          </w:p>
          <w:p w14:paraId="29FAB233" w14:textId="77777777" w:rsidR="00CE4842" w:rsidRPr="00775355" w:rsidRDefault="00CE4842" w:rsidP="00B26B22">
            <w:pPr>
              <w:tabs>
                <w:tab w:val="left" w:pos="284"/>
              </w:tabs>
              <w:spacing w:line="276" w:lineRule="auto"/>
              <w:jc w:val="both"/>
              <w:rPr>
                <w:bCs/>
                <w:color w:val="000000" w:themeColor="text1"/>
                <w:lang w:eastAsia="lt-LT"/>
              </w:rPr>
            </w:pPr>
          </w:p>
        </w:tc>
        <w:tc>
          <w:tcPr>
            <w:tcW w:w="5096" w:type="dxa"/>
          </w:tcPr>
          <w:p w14:paraId="119305FA" w14:textId="77777777" w:rsidR="00CE4842" w:rsidRPr="00775355" w:rsidRDefault="00000000" w:rsidP="00B26B22">
            <w:pPr>
              <w:pStyle w:val="Sraopastraipa"/>
              <w:spacing w:after="120" w:line="276" w:lineRule="auto"/>
              <w:ind w:left="0"/>
              <w:contextualSpacing w:val="0"/>
              <w:jc w:val="both"/>
              <w:rPr>
                <w:rStyle w:val="Style2"/>
                <w:color w:val="000000" w:themeColor="text1"/>
              </w:rPr>
            </w:pPr>
            <w:sdt>
              <w:sdtPr>
                <w:rPr>
                  <w:color w:val="000000" w:themeColor="text1"/>
                  <w:sz w:val="32"/>
                </w:rPr>
                <w:alias w:val="Nurodykite konkrečią dieną"/>
                <w:tag w:val="Nurodykite pradžios datą"/>
                <w:id w:val="1458366449"/>
                <w:placeholder>
                  <w:docPart w:val="9E5EB76ED23E0046AE7B184ADE041B43"/>
                </w:placeholder>
                <w15:color w:val="FFCC99"/>
                <w:date>
                  <w:dateFormat w:val="yyyy 'm.' MMMM d 'd.'"/>
                  <w:lid w:val="lt-LT"/>
                  <w:storeMappedDataAs w:val="dateTime"/>
                  <w:calendar w:val="gregorian"/>
                </w:date>
              </w:sdtPr>
              <w:sdtContent>
                <w:r w:rsidR="00CE4842" w:rsidRPr="00775355">
                  <w:rPr>
                    <w:color w:val="000000" w:themeColor="text1"/>
                  </w:rPr>
                  <w:t>2018 m. rugsėjo 20 d.</w:t>
                </w:r>
              </w:sdtContent>
            </w:sdt>
          </w:p>
        </w:tc>
      </w:tr>
      <w:tr w:rsidR="00CE4842" w:rsidRPr="00775355" w14:paraId="74B1B9D9" w14:textId="77777777" w:rsidTr="00B26B22">
        <w:trPr>
          <w:trHeight w:val="1328"/>
        </w:trPr>
        <w:tc>
          <w:tcPr>
            <w:tcW w:w="705" w:type="dxa"/>
          </w:tcPr>
          <w:p w14:paraId="030EC8DE" w14:textId="77777777" w:rsidR="00CE4842" w:rsidRPr="00775355" w:rsidRDefault="00CE4842" w:rsidP="00B26B22">
            <w:pPr>
              <w:tabs>
                <w:tab w:val="left" w:pos="284"/>
              </w:tabs>
              <w:spacing w:line="276" w:lineRule="auto"/>
              <w:jc w:val="both"/>
              <w:rPr>
                <w:rFonts w:eastAsia="Arial"/>
                <w:b/>
                <w:color w:val="000000" w:themeColor="text1"/>
              </w:rPr>
            </w:pPr>
            <w:r w:rsidRPr="00775355">
              <w:rPr>
                <w:rFonts w:eastAsia="Arial"/>
                <w:b/>
                <w:color w:val="000000" w:themeColor="text1"/>
              </w:rPr>
              <w:t>1.3</w:t>
            </w:r>
          </w:p>
        </w:tc>
        <w:tc>
          <w:tcPr>
            <w:tcW w:w="4117" w:type="dxa"/>
          </w:tcPr>
          <w:p w14:paraId="693CA85D" w14:textId="77777777" w:rsidR="00CE4842" w:rsidRPr="00775355" w:rsidRDefault="00CE4842" w:rsidP="00B26B22">
            <w:pPr>
              <w:pStyle w:val="Betarp"/>
              <w:spacing w:line="276" w:lineRule="auto"/>
              <w:jc w:val="both"/>
              <w:rPr>
                <w:rFonts w:ascii="Times New Roman" w:hAnsi="Times New Roman"/>
                <w:b/>
                <w:color w:val="000000" w:themeColor="text1"/>
                <w:sz w:val="24"/>
                <w:szCs w:val="24"/>
              </w:rPr>
            </w:pPr>
            <w:r w:rsidRPr="00775355">
              <w:rPr>
                <w:rFonts w:ascii="Times New Roman" w:hAnsi="Times New Roman"/>
                <w:b/>
                <w:color w:val="000000" w:themeColor="text1"/>
                <w:sz w:val="24"/>
                <w:szCs w:val="24"/>
              </w:rPr>
              <w:t xml:space="preserve">Paraiškos tipas </w:t>
            </w:r>
          </w:p>
          <w:p w14:paraId="5713EF12" w14:textId="77777777" w:rsidR="00CE4842" w:rsidRPr="00775355" w:rsidRDefault="00CE4842" w:rsidP="00B26B22">
            <w:pPr>
              <w:spacing w:line="276" w:lineRule="auto"/>
              <w:jc w:val="both"/>
              <w:rPr>
                <w:b/>
                <w:color w:val="000000" w:themeColor="text1"/>
              </w:rPr>
            </w:pPr>
            <w:r w:rsidRPr="00775355">
              <w:rPr>
                <w:b/>
                <w:color w:val="000000" w:themeColor="text1"/>
              </w:rPr>
              <w:t xml:space="preserve">(pagal </w:t>
            </w:r>
            <w:r w:rsidRPr="00775355">
              <w:rPr>
                <w:b/>
                <w:color w:val="000000" w:themeColor="text1"/>
                <w:shd w:val="clear" w:color="auto" w:fill="FFFFFF"/>
              </w:rPr>
              <w:t>vaistinio preparato registracijos tipą, įtvirtintą</w:t>
            </w:r>
            <w:r w:rsidRPr="00775355">
              <w:rPr>
                <w:b/>
                <w:color w:val="000000" w:themeColor="text1"/>
              </w:rPr>
              <w:t xml:space="preserve"> Direktyvos 2001/83/EB straipsniuose)</w:t>
            </w:r>
          </w:p>
          <w:p w14:paraId="32C77CFA" w14:textId="77777777" w:rsidR="00CE4842" w:rsidRPr="00775355" w:rsidRDefault="00CE4842" w:rsidP="00B26B22">
            <w:pPr>
              <w:tabs>
                <w:tab w:val="left" w:pos="284"/>
              </w:tabs>
              <w:spacing w:line="276" w:lineRule="auto"/>
              <w:jc w:val="both"/>
              <w:rPr>
                <w:b/>
                <w:bCs/>
                <w:color w:val="000000" w:themeColor="text1"/>
                <w:lang w:eastAsia="lt-LT"/>
              </w:rPr>
            </w:pPr>
          </w:p>
        </w:tc>
        <w:tc>
          <w:tcPr>
            <w:tcW w:w="5096" w:type="dxa"/>
          </w:tcPr>
          <w:p w14:paraId="2A124AD4" w14:textId="77777777" w:rsidR="00CE4842" w:rsidRPr="00775355" w:rsidRDefault="00000000" w:rsidP="00B26B22">
            <w:pPr>
              <w:spacing w:line="276" w:lineRule="auto"/>
              <w:jc w:val="both"/>
              <w:rPr>
                <w:color w:val="000000" w:themeColor="text1"/>
              </w:rPr>
            </w:pPr>
            <w:sdt>
              <w:sdtPr>
                <w:rPr>
                  <w:rStyle w:val="Style2"/>
                  <w:color w:val="000000" w:themeColor="text1"/>
                </w:rPr>
                <w:id w:val="1902626569"/>
                <w15:color w:val="FFCC00"/>
                <w14:checkbox>
                  <w14:checked w14:val="1"/>
                  <w14:checkedState w14:val="2612" w14:font="MS Gothic"/>
                  <w14:uncheckedState w14:val="2610" w14:font="MS Gothic"/>
                </w14:checkbox>
              </w:sdtPr>
              <w:sdtContent>
                <w:r w:rsidR="00CE4842" w:rsidRPr="00775355">
                  <w:rPr>
                    <w:rStyle w:val="Style2"/>
                    <w:rFonts w:ascii="MS Gothic" w:eastAsia="MS Gothic" w:hAnsi="MS Gothic"/>
                    <w:color w:val="000000" w:themeColor="text1"/>
                  </w:rPr>
                  <w:t>☒</w:t>
                </w:r>
              </w:sdtContent>
            </w:sdt>
            <w:r w:rsidR="00CE4842" w:rsidRPr="00775355">
              <w:rPr>
                <w:color w:val="000000" w:themeColor="text1"/>
              </w:rPr>
              <w:t xml:space="preserve"> 8.3 str. (pilna byla, pagrįsta savais tyrimais) </w:t>
            </w:r>
          </w:p>
          <w:p w14:paraId="1ACD6FD9" w14:textId="77777777" w:rsidR="00CE4842" w:rsidRPr="00775355" w:rsidRDefault="00000000" w:rsidP="00B26B22">
            <w:pPr>
              <w:spacing w:line="276" w:lineRule="auto"/>
              <w:jc w:val="both"/>
              <w:rPr>
                <w:color w:val="000000" w:themeColor="text1"/>
              </w:rPr>
            </w:pPr>
            <w:sdt>
              <w:sdtPr>
                <w:rPr>
                  <w:rStyle w:val="Style2"/>
                  <w:color w:val="000000" w:themeColor="text1"/>
                </w:rPr>
                <w:id w:val="283544292"/>
                <w15:color w:val="FFCC00"/>
                <w14:checkbox>
                  <w14:checked w14:val="0"/>
                  <w14:checkedState w14:val="2612" w14:font="MS Gothic"/>
                  <w14:uncheckedState w14:val="2610" w14:font="MS Gothic"/>
                </w14:checkbox>
              </w:sdtPr>
              <w:sdtContent>
                <w:r w:rsidR="00CE4842" w:rsidRPr="00775355">
                  <w:rPr>
                    <w:rStyle w:val="Style2"/>
                    <w:rFonts w:ascii="Segoe UI Symbol" w:eastAsia="MS Gothic" w:hAnsi="Segoe UI Symbol" w:cs="Segoe UI Symbol"/>
                    <w:color w:val="000000" w:themeColor="text1"/>
                  </w:rPr>
                  <w:t>☐</w:t>
                </w:r>
              </w:sdtContent>
            </w:sdt>
            <w:r w:rsidR="00CE4842" w:rsidRPr="00775355">
              <w:rPr>
                <w:color w:val="000000" w:themeColor="text1"/>
              </w:rPr>
              <w:t xml:space="preserve"> 10 a str. (pripažintas medicininis vartojimas) </w:t>
            </w:r>
          </w:p>
          <w:p w14:paraId="5648A096" w14:textId="77777777" w:rsidR="00CE4842" w:rsidRPr="00775355" w:rsidRDefault="00000000" w:rsidP="00B26B22">
            <w:pPr>
              <w:spacing w:line="276" w:lineRule="auto"/>
              <w:jc w:val="both"/>
              <w:rPr>
                <w:color w:val="000000" w:themeColor="text1"/>
              </w:rPr>
            </w:pPr>
            <w:sdt>
              <w:sdtPr>
                <w:rPr>
                  <w:rStyle w:val="Style2"/>
                  <w:color w:val="000000" w:themeColor="text1"/>
                </w:rPr>
                <w:id w:val="-1318638944"/>
                <w15:color w:val="FFCC00"/>
                <w14:checkbox>
                  <w14:checked w14:val="0"/>
                  <w14:checkedState w14:val="2612" w14:font="MS Gothic"/>
                  <w14:uncheckedState w14:val="2610" w14:font="MS Gothic"/>
                </w14:checkbox>
              </w:sdtPr>
              <w:sdtContent>
                <w:r w:rsidR="00CE4842" w:rsidRPr="00775355">
                  <w:rPr>
                    <w:rStyle w:val="Style2"/>
                    <w:rFonts w:ascii="MS Gothic" w:eastAsia="MS Gothic" w:hAnsi="MS Gothic"/>
                    <w:color w:val="000000" w:themeColor="text1"/>
                  </w:rPr>
                  <w:t>☐</w:t>
                </w:r>
              </w:sdtContent>
            </w:sdt>
            <w:r w:rsidR="00CE4842" w:rsidRPr="00775355">
              <w:rPr>
                <w:color w:val="000000" w:themeColor="text1"/>
              </w:rPr>
              <w:t xml:space="preserve"> 10.1 str. (</w:t>
            </w:r>
            <w:proofErr w:type="spellStart"/>
            <w:r w:rsidR="00CE4842" w:rsidRPr="00775355">
              <w:rPr>
                <w:color w:val="000000" w:themeColor="text1"/>
              </w:rPr>
              <w:t>generinis</w:t>
            </w:r>
            <w:proofErr w:type="spellEnd"/>
            <w:r w:rsidR="00CE4842" w:rsidRPr="00775355">
              <w:rPr>
                <w:color w:val="000000" w:themeColor="text1"/>
              </w:rPr>
              <w:t>)</w:t>
            </w:r>
          </w:p>
          <w:p w14:paraId="3B4582A5" w14:textId="77777777" w:rsidR="00CE4842" w:rsidRPr="00775355" w:rsidRDefault="00000000" w:rsidP="00B26B22">
            <w:pPr>
              <w:spacing w:line="276" w:lineRule="auto"/>
              <w:jc w:val="both"/>
              <w:rPr>
                <w:rStyle w:val="Style2"/>
                <w:color w:val="000000" w:themeColor="text1"/>
              </w:rPr>
            </w:pPr>
            <w:sdt>
              <w:sdtPr>
                <w:rPr>
                  <w:rStyle w:val="Style2"/>
                  <w:color w:val="000000" w:themeColor="text1"/>
                </w:rPr>
                <w:id w:val="-1873225577"/>
                <w15:color w:val="FFCC00"/>
                <w14:checkbox>
                  <w14:checked w14:val="0"/>
                  <w14:checkedState w14:val="2612" w14:font="MS Gothic"/>
                  <w14:uncheckedState w14:val="2610" w14:font="MS Gothic"/>
                </w14:checkbox>
              </w:sdtPr>
              <w:sdtContent>
                <w:r w:rsidR="00CE4842" w:rsidRPr="00775355">
                  <w:rPr>
                    <w:rStyle w:val="Style2"/>
                    <w:rFonts w:ascii="Segoe UI Symbol" w:eastAsia="MS Gothic" w:hAnsi="Segoe UI Symbol" w:cs="Segoe UI Symbol"/>
                    <w:color w:val="000000" w:themeColor="text1"/>
                  </w:rPr>
                  <w:t>☐</w:t>
                </w:r>
              </w:sdtContent>
            </w:sdt>
            <w:r w:rsidR="00CE4842" w:rsidRPr="00775355">
              <w:rPr>
                <w:color w:val="000000" w:themeColor="text1"/>
              </w:rPr>
              <w:t xml:space="preserve"> 10.3 str. (hibridinis)</w:t>
            </w:r>
          </w:p>
        </w:tc>
      </w:tr>
      <w:tr w:rsidR="00CE4842" w:rsidRPr="00775355" w14:paraId="38BD1944" w14:textId="77777777" w:rsidTr="00B26B22">
        <w:trPr>
          <w:trHeight w:val="1109"/>
        </w:trPr>
        <w:tc>
          <w:tcPr>
            <w:tcW w:w="705" w:type="dxa"/>
          </w:tcPr>
          <w:p w14:paraId="6133A5BA" w14:textId="77777777" w:rsidR="00CE4842" w:rsidRPr="00775355" w:rsidRDefault="00CE4842" w:rsidP="00B26B22">
            <w:pPr>
              <w:tabs>
                <w:tab w:val="left" w:pos="284"/>
              </w:tabs>
              <w:spacing w:line="276" w:lineRule="auto"/>
              <w:jc w:val="both"/>
              <w:rPr>
                <w:rFonts w:eastAsia="Arial"/>
                <w:b/>
                <w:color w:val="000000" w:themeColor="text1"/>
              </w:rPr>
            </w:pPr>
            <w:r w:rsidRPr="00775355">
              <w:rPr>
                <w:rFonts w:eastAsia="Arial"/>
                <w:b/>
                <w:color w:val="000000" w:themeColor="text1"/>
              </w:rPr>
              <w:t>1.4</w:t>
            </w:r>
          </w:p>
        </w:tc>
        <w:tc>
          <w:tcPr>
            <w:tcW w:w="4117" w:type="dxa"/>
          </w:tcPr>
          <w:p w14:paraId="1569BFFE" w14:textId="77777777" w:rsidR="00CE4842" w:rsidRPr="00775355" w:rsidRDefault="00CE4842" w:rsidP="00B26B22">
            <w:pPr>
              <w:tabs>
                <w:tab w:val="left" w:pos="284"/>
              </w:tabs>
              <w:spacing w:line="276" w:lineRule="auto"/>
              <w:jc w:val="both"/>
              <w:rPr>
                <w:b/>
                <w:bCs/>
                <w:color w:val="000000" w:themeColor="text1"/>
                <w:lang w:eastAsia="lt-LT"/>
              </w:rPr>
            </w:pPr>
            <w:r w:rsidRPr="00775355">
              <w:rPr>
                <w:b/>
                <w:bCs/>
                <w:color w:val="000000" w:themeColor="text1"/>
                <w:lang w:eastAsia="lt-LT"/>
              </w:rPr>
              <w:t>Ar vaistinis preparatas įrašytas į Bendrijos retųjų vaistinių preparatų registrą?</w:t>
            </w:r>
          </w:p>
          <w:p w14:paraId="14F72A93" w14:textId="77777777" w:rsidR="00CE4842" w:rsidRPr="00775355" w:rsidRDefault="00CE4842" w:rsidP="00B26B22">
            <w:pPr>
              <w:tabs>
                <w:tab w:val="left" w:pos="284"/>
              </w:tabs>
              <w:spacing w:line="276" w:lineRule="auto"/>
              <w:jc w:val="both"/>
              <w:rPr>
                <w:b/>
                <w:bCs/>
                <w:color w:val="000000" w:themeColor="text1"/>
                <w:sz w:val="22"/>
                <w:szCs w:val="22"/>
                <w:lang w:eastAsia="lt-LT"/>
              </w:rPr>
            </w:pPr>
          </w:p>
        </w:tc>
        <w:tc>
          <w:tcPr>
            <w:tcW w:w="5096" w:type="dxa"/>
          </w:tcPr>
          <w:p w14:paraId="6928FED3" w14:textId="77777777" w:rsidR="00CE4842" w:rsidRPr="00775355" w:rsidRDefault="00000000" w:rsidP="00B26B22">
            <w:pPr>
              <w:spacing w:line="276" w:lineRule="auto"/>
              <w:jc w:val="both"/>
              <w:rPr>
                <w:color w:val="000000" w:themeColor="text1"/>
              </w:rPr>
            </w:pPr>
            <w:sdt>
              <w:sdtPr>
                <w:rPr>
                  <w:rStyle w:val="Style2"/>
                  <w:color w:val="000000" w:themeColor="text1"/>
                </w:rPr>
                <w:id w:val="1967393183"/>
                <w15:color w:val="FFCC00"/>
                <w14:checkbox>
                  <w14:checked w14:val="0"/>
                  <w14:checkedState w14:val="2612" w14:font="MS Gothic"/>
                  <w14:uncheckedState w14:val="2610" w14:font="MS Gothic"/>
                </w14:checkbox>
              </w:sdtPr>
              <w:sdtContent>
                <w:r w:rsidR="00CE4842" w:rsidRPr="00775355">
                  <w:rPr>
                    <w:rStyle w:val="Style2"/>
                    <w:rFonts w:ascii="Segoe UI Symbol" w:eastAsia="MS Gothic" w:hAnsi="Segoe UI Symbol" w:cs="Segoe UI Symbol"/>
                    <w:color w:val="000000" w:themeColor="text1"/>
                  </w:rPr>
                  <w:t>☐</w:t>
                </w:r>
              </w:sdtContent>
            </w:sdt>
            <w:r w:rsidR="00CE4842" w:rsidRPr="00775355">
              <w:rPr>
                <w:color w:val="000000" w:themeColor="text1"/>
              </w:rPr>
              <w:t xml:space="preserve"> Taip</w:t>
            </w:r>
          </w:p>
          <w:p w14:paraId="64C4D20C" w14:textId="77777777" w:rsidR="00CE4842" w:rsidRPr="00775355" w:rsidRDefault="00000000" w:rsidP="00B26B22">
            <w:pPr>
              <w:spacing w:line="276" w:lineRule="auto"/>
              <w:jc w:val="both"/>
              <w:rPr>
                <w:color w:val="000000" w:themeColor="text1"/>
              </w:rPr>
            </w:pPr>
            <w:sdt>
              <w:sdtPr>
                <w:rPr>
                  <w:rStyle w:val="Style2"/>
                  <w:color w:val="000000" w:themeColor="text1"/>
                </w:rPr>
                <w:id w:val="1399241833"/>
                <w15:color w:val="FFCC00"/>
                <w14:checkbox>
                  <w14:checked w14:val="1"/>
                  <w14:checkedState w14:val="2612" w14:font="MS Gothic"/>
                  <w14:uncheckedState w14:val="2610" w14:font="MS Gothic"/>
                </w14:checkbox>
              </w:sdtPr>
              <w:sdtContent>
                <w:r w:rsidR="00CE4842" w:rsidRPr="00775355">
                  <w:rPr>
                    <w:rStyle w:val="Style2"/>
                    <w:rFonts w:ascii="MS Gothic" w:eastAsia="MS Gothic" w:hAnsi="MS Gothic"/>
                    <w:color w:val="000000" w:themeColor="text1"/>
                  </w:rPr>
                  <w:t>☒</w:t>
                </w:r>
              </w:sdtContent>
            </w:sdt>
            <w:r w:rsidR="00CE4842" w:rsidRPr="00775355">
              <w:rPr>
                <w:color w:val="000000" w:themeColor="text1"/>
              </w:rPr>
              <w:t xml:space="preserve"> Ne</w:t>
            </w:r>
          </w:p>
          <w:p w14:paraId="6DBAF7B0" w14:textId="77777777" w:rsidR="00CE4842" w:rsidRPr="00775355" w:rsidRDefault="00000000" w:rsidP="00B26B22">
            <w:pPr>
              <w:spacing w:line="276" w:lineRule="auto"/>
              <w:jc w:val="both"/>
              <w:rPr>
                <w:rFonts w:eastAsia="Arial"/>
                <w:b/>
                <w:color w:val="000000" w:themeColor="text1"/>
              </w:rPr>
            </w:pPr>
            <w:sdt>
              <w:sdtPr>
                <w:rPr>
                  <w:color w:val="000000" w:themeColor="text1"/>
                </w:rPr>
                <w:alias w:val="Nurodykite konkrečią dieną"/>
                <w:tag w:val="Nurodykite pradžios datą"/>
                <w:id w:val="1748302974"/>
                <w:placeholder>
                  <w:docPart w:val="D56FBF115EF9CC40B9B4AF9C0C52E3AC"/>
                </w:placeholder>
                <w:showingPlcHdr/>
                <w15:color w:val="FFCC99"/>
                <w:date w:fullDate="2022-05-18T00:00:00Z">
                  <w:dateFormat w:val="yyyy 'm.' MMMM d 'd.'"/>
                  <w:lid w:val="lt-LT"/>
                  <w:storeMappedDataAs w:val="dateTime"/>
                  <w:calendar w:val="gregorian"/>
                </w:date>
              </w:sdtPr>
              <w:sdtContent>
                <w:r w:rsidR="00CE4842" w:rsidRPr="00775355">
                  <w:rPr>
                    <w:rStyle w:val="Vietosrezervavimoenklotekstas"/>
                    <w:color w:val="000000" w:themeColor="text1"/>
                  </w:rPr>
                  <w:t>Click here to enter a date.</w:t>
                </w:r>
              </w:sdtContent>
            </w:sdt>
          </w:p>
        </w:tc>
      </w:tr>
      <w:tr w:rsidR="00CE4842" w:rsidRPr="00775355" w14:paraId="1650C51F" w14:textId="77777777" w:rsidTr="00B26B22">
        <w:trPr>
          <w:trHeight w:val="958"/>
        </w:trPr>
        <w:tc>
          <w:tcPr>
            <w:tcW w:w="705" w:type="dxa"/>
            <w:tcBorders>
              <w:bottom w:val="single" w:sz="4" w:space="0" w:color="auto"/>
            </w:tcBorders>
          </w:tcPr>
          <w:p w14:paraId="497F28FC" w14:textId="77777777" w:rsidR="00CE4842" w:rsidRPr="00775355" w:rsidRDefault="00CE4842" w:rsidP="00B26B22">
            <w:pPr>
              <w:tabs>
                <w:tab w:val="left" w:pos="284"/>
              </w:tabs>
              <w:spacing w:line="276" w:lineRule="auto"/>
              <w:jc w:val="both"/>
              <w:rPr>
                <w:rFonts w:eastAsia="Arial"/>
                <w:b/>
                <w:color w:val="000000" w:themeColor="text1"/>
              </w:rPr>
            </w:pPr>
            <w:r w:rsidRPr="00775355">
              <w:rPr>
                <w:rFonts w:eastAsia="Arial"/>
                <w:b/>
                <w:color w:val="000000" w:themeColor="text1"/>
              </w:rPr>
              <w:t>1.5</w:t>
            </w:r>
          </w:p>
        </w:tc>
        <w:tc>
          <w:tcPr>
            <w:tcW w:w="4117" w:type="dxa"/>
            <w:tcBorders>
              <w:bottom w:val="single" w:sz="4" w:space="0" w:color="auto"/>
            </w:tcBorders>
          </w:tcPr>
          <w:p w14:paraId="2E5418E0" w14:textId="77777777" w:rsidR="00CE4842" w:rsidRPr="00775355" w:rsidRDefault="00CE4842" w:rsidP="00B26B22">
            <w:pPr>
              <w:tabs>
                <w:tab w:val="left" w:pos="284"/>
              </w:tabs>
              <w:spacing w:line="276" w:lineRule="auto"/>
              <w:jc w:val="both"/>
              <w:rPr>
                <w:b/>
                <w:bCs/>
                <w:color w:val="000000" w:themeColor="text1"/>
                <w:lang w:eastAsia="lt-LT"/>
              </w:rPr>
            </w:pPr>
            <w:r w:rsidRPr="00775355">
              <w:rPr>
                <w:b/>
                <w:bCs/>
                <w:color w:val="000000" w:themeColor="text1"/>
                <w:lang w:eastAsia="lt-LT"/>
              </w:rPr>
              <w:t>Pareiškėjo teikiama (-</w:t>
            </w:r>
            <w:proofErr w:type="spellStart"/>
            <w:r w:rsidRPr="00775355">
              <w:rPr>
                <w:b/>
                <w:bCs/>
                <w:color w:val="000000" w:themeColor="text1"/>
                <w:lang w:eastAsia="lt-LT"/>
              </w:rPr>
              <w:t>os</w:t>
            </w:r>
            <w:proofErr w:type="spellEnd"/>
            <w:r w:rsidRPr="00775355">
              <w:rPr>
                <w:b/>
                <w:bCs/>
                <w:color w:val="000000" w:themeColor="text1"/>
                <w:lang w:eastAsia="lt-LT"/>
              </w:rPr>
              <w:t>) kompensuoti preparato indikacija (-</w:t>
            </w:r>
            <w:proofErr w:type="spellStart"/>
            <w:r w:rsidRPr="00775355">
              <w:rPr>
                <w:b/>
                <w:bCs/>
                <w:color w:val="000000" w:themeColor="text1"/>
                <w:lang w:eastAsia="lt-LT"/>
              </w:rPr>
              <w:t>os</w:t>
            </w:r>
            <w:proofErr w:type="spellEnd"/>
            <w:r w:rsidRPr="00775355">
              <w:rPr>
                <w:b/>
                <w:bCs/>
                <w:color w:val="000000" w:themeColor="text1"/>
                <w:lang w:eastAsia="lt-LT"/>
              </w:rPr>
              <w:t>)</w:t>
            </w:r>
          </w:p>
          <w:p w14:paraId="6B4B0E3B" w14:textId="77777777" w:rsidR="00CE4842" w:rsidRPr="00775355" w:rsidRDefault="00CE4842" w:rsidP="00B26B22">
            <w:pPr>
              <w:tabs>
                <w:tab w:val="left" w:pos="284"/>
              </w:tabs>
              <w:spacing w:line="276" w:lineRule="auto"/>
              <w:jc w:val="both"/>
              <w:rPr>
                <w:b/>
                <w:bCs/>
                <w:color w:val="000000" w:themeColor="text1"/>
                <w:lang w:eastAsia="lt-LT"/>
              </w:rPr>
            </w:pPr>
          </w:p>
          <w:p w14:paraId="396DEADD" w14:textId="77777777" w:rsidR="00CE4842" w:rsidRPr="00775355" w:rsidRDefault="00CE4842" w:rsidP="00B26B22">
            <w:pPr>
              <w:tabs>
                <w:tab w:val="left" w:pos="284"/>
              </w:tabs>
              <w:spacing w:line="276" w:lineRule="auto"/>
              <w:jc w:val="both"/>
              <w:rPr>
                <w:b/>
                <w:bCs/>
                <w:color w:val="000000" w:themeColor="text1"/>
                <w:lang w:eastAsia="lt-LT"/>
              </w:rPr>
            </w:pPr>
          </w:p>
          <w:p w14:paraId="48D7FCAC" w14:textId="77777777" w:rsidR="00CE4842" w:rsidRPr="00775355" w:rsidRDefault="00CE4842" w:rsidP="00B26B22">
            <w:pPr>
              <w:tabs>
                <w:tab w:val="left" w:pos="284"/>
              </w:tabs>
              <w:spacing w:line="276" w:lineRule="auto"/>
              <w:jc w:val="both"/>
              <w:rPr>
                <w:b/>
                <w:bCs/>
                <w:color w:val="000000" w:themeColor="text1"/>
                <w:lang w:eastAsia="lt-LT"/>
              </w:rPr>
            </w:pPr>
            <w:r w:rsidRPr="00775355">
              <w:rPr>
                <w:b/>
                <w:bCs/>
                <w:color w:val="000000" w:themeColor="text1"/>
                <w:lang w:eastAsia="lt-LT"/>
              </w:rPr>
              <w:t xml:space="preserve">Kodas pagal TLK-10 AM  </w:t>
            </w:r>
          </w:p>
        </w:tc>
        <w:tc>
          <w:tcPr>
            <w:tcW w:w="5096" w:type="dxa"/>
            <w:tcBorders>
              <w:bottom w:val="single" w:sz="4" w:space="0" w:color="auto"/>
            </w:tcBorders>
          </w:tcPr>
          <w:p w14:paraId="21052AE7" w14:textId="77777777" w:rsidR="00CE4842" w:rsidRPr="00775355" w:rsidRDefault="00CE4842" w:rsidP="00B26B22">
            <w:pPr>
              <w:spacing w:line="276" w:lineRule="auto"/>
              <w:jc w:val="both"/>
              <w:rPr>
                <w:color w:val="000000" w:themeColor="text1"/>
              </w:rPr>
            </w:pPr>
            <w:r w:rsidRPr="00775355">
              <w:rPr>
                <w:color w:val="000000" w:themeColor="text1"/>
              </w:rPr>
              <w:t>BRAFTOVI (</w:t>
            </w:r>
            <w:proofErr w:type="spellStart"/>
            <w:r w:rsidRPr="00775355">
              <w:rPr>
                <w:color w:val="000000" w:themeColor="text1"/>
              </w:rPr>
              <w:t>enkorafenibas</w:t>
            </w:r>
            <w:proofErr w:type="spellEnd"/>
            <w:r w:rsidRPr="00775355">
              <w:rPr>
                <w:color w:val="000000" w:themeColor="text1"/>
              </w:rPr>
              <w:t xml:space="preserve">) suaugusiems pacientams, sergantiems </w:t>
            </w:r>
            <w:proofErr w:type="spellStart"/>
            <w:r w:rsidRPr="00775355">
              <w:rPr>
                <w:color w:val="000000" w:themeColor="text1"/>
              </w:rPr>
              <w:t>metastazavusiu</w:t>
            </w:r>
            <w:proofErr w:type="spellEnd"/>
            <w:r w:rsidRPr="00775355">
              <w:rPr>
                <w:color w:val="000000" w:themeColor="text1"/>
              </w:rPr>
              <w:t xml:space="preserve"> storosios žarnos vėžiu (SŽV) su BRAF V600 mutacija, kuriems anksčiau taikytas sisteminis gydymas, gydyti derinyje su </w:t>
            </w:r>
            <w:proofErr w:type="spellStart"/>
            <w:r w:rsidRPr="00775355">
              <w:rPr>
                <w:color w:val="000000" w:themeColor="text1"/>
              </w:rPr>
              <w:t>cetuksimabu</w:t>
            </w:r>
            <w:proofErr w:type="spellEnd"/>
            <w:r w:rsidRPr="00775355">
              <w:rPr>
                <w:color w:val="000000" w:themeColor="text1"/>
              </w:rPr>
              <w:t>.</w:t>
            </w:r>
          </w:p>
          <w:p w14:paraId="5E4BA048" w14:textId="77777777" w:rsidR="00CE4842" w:rsidRPr="00775355" w:rsidRDefault="00CE4842" w:rsidP="00B26B22">
            <w:pPr>
              <w:spacing w:line="276" w:lineRule="auto"/>
              <w:jc w:val="both"/>
              <w:rPr>
                <w:color w:val="000000" w:themeColor="text1"/>
              </w:rPr>
            </w:pPr>
            <w:r w:rsidRPr="00775355">
              <w:rPr>
                <w:color w:val="000000" w:themeColor="text1"/>
              </w:rPr>
              <w:t>TLK-10 kodas: C18-C21, gaubtinės ir tiesiosios žarnos vėžys</w:t>
            </w:r>
          </w:p>
        </w:tc>
      </w:tr>
      <w:tr w:rsidR="00CE4842" w:rsidRPr="00775355" w14:paraId="21EC896B" w14:textId="77777777" w:rsidTr="00B26B22">
        <w:trPr>
          <w:trHeight w:val="479"/>
        </w:trPr>
        <w:tc>
          <w:tcPr>
            <w:tcW w:w="705" w:type="dxa"/>
            <w:tcBorders>
              <w:top w:val="single" w:sz="4" w:space="0" w:color="auto"/>
              <w:left w:val="single" w:sz="4" w:space="0" w:color="auto"/>
              <w:bottom w:val="single" w:sz="4" w:space="0" w:color="auto"/>
              <w:right w:val="single" w:sz="4" w:space="0" w:color="auto"/>
            </w:tcBorders>
          </w:tcPr>
          <w:p w14:paraId="33A6FD5F" w14:textId="77777777" w:rsidR="00CE4842" w:rsidRPr="00775355" w:rsidRDefault="00CE4842" w:rsidP="00B26B22">
            <w:pPr>
              <w:tabs>
                <w:tab w:val="left" w:pos="284"/>
              </w:tabs>
              <w:spacing w:line="276" w:lineRule="auto"/>
              <w:jc w:val="both"/>
              <w:rPr>
                <w:rFonts w:eastAsia="Arial"/>
                <w:b/>
                <w:color w:val="000000" w:themeColor="text1"/>
              </w:rPr>
            </w:pPr>
            <w:r w:rsidRPr="00775355">
              <w:rPr>
                <w:rFonts w:eastAsia="Arial"/>
                <w:b/>
                <w:color w:val="000000" w:themeColor="text1"/>
              </w:rPr>
              <w:t>1.6</w:t>
            </w:r>
          </w:p>
        </w:tc>
        <w:tc>
          <w:tcPr>
            <w:tcW w:w="4117" w:type="dxa"/>
            <w:tcBorders>
              <w:top w:val="single" w:sz="4" w:space="0" w:color="auto"/>
              <w:left w:val="single" w:sz="4" w:space="0" w:color="auto"/>
              <w:bottom w:val="single" w:sz="4" w:space="0" w:color="auto"/>
              <w:right w:val="single" w:sz="4" w:space="0" w:color="auto"/>
            </w:tcBorders>
          </w:tcPr>
          <w:p w14:paraId="2852E773" w14:textId="77777777" w:rsidR="00CE4842" w:rsidRPr="00775355" w:rsidRDefault="00CE4842" w:rsidP="00B26B22">
            <w:pPr>
              <w:tabs>
                <w:tab w:val="left" w:pos="284"/>
              </w:tabs>
              <w:spacing w:line="276" w:lineRule="auto"/>
              <w:jc w:val="both"/>
              <w:rPr>
                <w:bCs/>
                <w:color w:val="000000" w:themeColor="text1"/>
                <w:u w:val="single"/>
                <w:lang w:eastAsia="lt-LT"/>
              </w:rPr>
            </w:pPr>
            <w:r w:rsidRPr="00775355">
              <w:rPr>
                <w:b/>
                <w:bCs/>
                <w:color w:val="000000" w:themeColor="text1"/>
                <w:lang w:eastAsia="lt-LT"/>
              </w:rPr>
              <w:t xml:space="preserve">Pareiškėjo teikiamos skyrimo sąlygos </w:t>
            </w:r>
          </w:p>
        </w:tc>
        <w:tc>
          <w:tcPr>
            <w:tcW w:w="5096" w:type="dxa"/>
            <w:tcBorders>
              <w:top w:val="single" w:sz="4" w:space="0" w:color="auto"/>
              <w:left w:val="single" w:sz="4" w:space="0" w:color="auto"/>
              <w:bottom w:val="single" w:sz="4" w:space="0" w:color="auto"/>
              <w:right w:val="single" w:sz="4" w:space="0" w:color="auto"/>
            </w:tcBorders>
          </w:tcPr>
          <w:p w14:paraId="0F85FAA0" w14:textId="77777777" w:rsidR="00CE4842" w:rsidRPr="00775355" w:rsidRDefault="00CE4842" w:rsidP="00B26B22">
            <w:pPr>
              <w:pStyle w:val="Sraopastraipa"/>
              <w:spacing w:after="120" w:line="276" w:lineRule="auto"/>
              <w:ind w:left="0"/>
              <w:contextualSpacing w:val="0"/>
              <w:jc w:val="both"/>
              <w:rPr>
                <w:color w:val="000000" w:themeColor="text1"/>
              </w:rPr>
            </w:pPr>
            <w:r w:rsidRPr="00775355">
              <w:rPr>
                <w:color w:val="000000" w:themeColor="text1"/>
              </w:rPr>
              <w:t>Neteikiamos</w:t>
            </w:r>
          </w:p>
        </w:tc>
      </w:tr>
      <w:tr w:rsidR="00CE4842" w:rsidRPr="00775355" w14:paraId="54036B51" w14:textId="77777777" w:rsidTr="00B26B22">
        <w:trPr>
          <w:trHeight w:val="479"/>
        </w:trPr>
        <w:tc>
          <w:tcPr>
            <w:tcW w:w="705" w:type="dxa"/>
            <w:tcBorders>
              <w:top w:val="single" w:sz="4" w:space="0" w:color="auto"/>
              <w:left w:val="single" w:sz="4" w:space="0" w:color="auto"/>
              <w:bottom w:val="single" w:sz="4" w:space="0" w:color="auto"/>
              <w:right w:val="single" w:sz="4" w:space="0" w:color="auto"/>
            </w:tcBorders>
          </w:tcPr>
          <w:p w14:paraId="0A6097AE" w14:textId="77777777" w:rsidR="00CE4842" w:rsidRPr="00775355" w:rsidRDefault="00CE4842" w:rsidP="00B26B22">
            <w:pPr>
              <w:tabs>
                <w:tab w:val="left" w:pos="284"/>
              </w:tabs>
              <w:spacing w:line="276" w:lineRule="auto"/>
              <w:jc w:val="both"/>
              <w:rPr>
                <w:rFonts w:eastAsia="Arial"/>
                <w:b/>
                <w:color w:val="000000" w:themeColor="text1"/>
              </w:rPr>
            </w:pPr>
            <w:r w:rsidRPr="00775355">
              <w:rPr>
                <w:rFonts w:eastAsia="Arial"/>
                <w:b/>
                <w:color w:val="000000" w:themeColor="text1"/>
              </w:rPr>
              <w:lastRenderedPageBreak/>
              <w:t>1.7</w:t>
            </w:r>
          </w:p>
        </w:tc>
        <w:tc>
          <w:tcPr>
            <w:tcW w:w="4117" w:type="dxa"/>
            <w:tcBorders>
              <w:top w:val="single" w:sz="4" w:space="0" w:color="auto"/>
              <w:left w:val="single" w:sz="4" w:space="0" w:color="auto"/>
              <w:bottom w:val="single" w:sz="4" w:space="0" w:color="auto"/>
              <w:right w:val="single" w:sz="4" w:space="0" w:color="auto"/>
            </w:tcBorders>
          </w:tcPr>
          <w:p w14:paraId="36A79E77" w14:textId="77777777" w:rsidR="00CE4842" w:rsidRPr="00775355" w:rsidRDefault="00CE4842" w:rsidP="00B26B22">
            <w:pPr>
              <w:tabs>
                <w:tab w:val="left" w:pos="284"/>
              </w:tabs>
              <w:spacing w:line="276" w:lineRule="auto"/>
              <w:jc w:val="both"/>
              <w:rPr>
                <w:b/>
                <w:bCs/>
                <w:color w:val="000000" w:themeColor="text1"/>
                <w:lang w:eastAsia="lt-LT"/>
              </w:rPr>
            </w:pPr>
            <w:r w:rsidRPr="00775355">
              <w:rPr>
                <w:b/>
                <w:color w:val="000000" w:themeColor="text1"/>
              </w:rPr>
              <w:t>STV paraiškos pobūdis</w:t>
            </w:r>
          </w:p>
        </w:tc>
        <w:tc>
          <w:tcPr>
            <w:tcW w:w="5096" w:type="dxa"/>
            <w:tcBorders>
              <w:top w:val="single" w:sz="4" w:space="0" w:color="auto"/>
              <w:left w:val="single" w:sz="4" w:space="0" w:color="auto"/>
              <w:bottom w:val="single" w:sz="4" w:space="0" w:color="auto"/>
              <w:right w:val="single" w:sz="4" w:space="0" w:color="auto"/>
            </w:tcBorders>
          </w:tcPr>
          <w:p w14:paraId="5777142B" w14:textId="77777777" w:rsidR="00CE4842" w:rsidRPr="00775355" w:rsidRDefault="00000000" w:rsidP="00B26B22">
            <w:pPr>
              <w:spacing w:line="276" w:lineRule="auto"/>
              <w:jc w:val="both"/>
              <w:rPr>
                <w:color w:val="000000" w:themeColor="text1"/>
              </w:rPr>
            </w:pPr>
            <w:sdt>
              <w:sdtPr>
                <w:rPr>
                  <w:rStyle w:val="Style2"/>
                  <w:color w:val="000000" w:themeColor="text1"/>
                </w:rPr>
                <w:id w:val="-745724179"/>
                <w15:color w:val="FFCC00"/>
                <w14:checkbox>
                  <w14:checked w14:val="1"/>
                  <w14:checkedState w14:val="2612" w14:font="MS Gothic"/>
                  <w14:uncheckedState w14:val="2610" w14:font="MS Gothic"/>
                </w14:checkbox>
              </w:sdtPr>
              <w:sdtContent>
                <w:r w:rsidR="00CE4842" w:rsidRPr="00775355">
                  <w:rPr>
                    <w:rStyle w:val="Style2"/>
                    <w:rFonts w:ascii="MS Gothic" w:eastAsia="MS Gothic" w:hAnsi="MS Gothic"/>
                    <w:color w:val="000000" w:themeColor="text1"/>
                  </w:rPr>
                  <w:t>☒</w:t>
                </w:r>
              </w:sdtContent>
            </w:sdt>
            <w:r w:rsidR="00CE4842" w:rsidRPr="00775355">
              <w:rPr>
                <w:color w:val="000000" w:themeColor="text1"/>
              </w:rPr>
              <w:t xml:space="preserve"> Pilna paraiška</w:t>
            </w:r>
          </w:p>
          <w:p w14:paraId="0E4DA6C4" w14:textId="77777777" w:rsidR="00CE4842" w:rsidRPr="00775355" w:rsidRDefault="00000000" w:rsidP="00B26B22">
            <w:pPr>
              <w:spacing w:line="276" w:lineRule="auto"/>
              <w:jc w:val="both"/>
              <w:rPr>
                <w:rStyle w:val="Style2"/>
                <w:color w:val="000000" w:themeColor="text1"/>
              </w:rPr>
            </w:pPr>
            <w:sdt>
              <w:sdtPr>
                <w:rPr>
                  <w:rStyle w:val="Style2"/>
                  <w:color w:val="000000" w:themeColor="text1"/>
                </w:rPr>
                <w:id w:val="-1767839007"/>
                <w15:color w:val="FFCC00"/>
                <w14:checkbox>
                  <w14:checked w14:val="0"/>
                  <w14:checkedState w14:val="2612" w14:font="MS Gothic"/>
                  <w14:uncheckedState w14:val="2610" w14:font="MS Gothic"/>
                </w14:checkbox>
              </w:sdtPr>
              <w:sdtContent>
                <w:r w:rsidR="00CE4842" w:rsidRPr="00775355">
                  <w:rPr>
                    <w:rStyle w:val="Style2"/>
                    <w:rFonts w:ascii="MS Gothic" w:eastAsia="MS Gothic" w:hAnsi="MS Gothic"/>
                    <w:color w:val="000000" w:themeColor="text1"/>
                  </w:rPr>
                  <w:t>☐</w:t>
                </w:r>
              </w:sdtContent>
            </w:sdt>
            <w:r w:rsidR="00CE4842" w:rsidRPr="00775355">
              <w:rPr>
                <w:color w:val="000000" w:themeColor="text1"/>
              </w:rPr>
              <w:t xml:space="preserve"> Supaprastinta paraiška</w:t>
            </w:r>
          </w:p>
        </w:tc>
      </w:tr>
      <w:tr w:rsidR="00CE4842" w:rsidRPr="00775355" w14:paraId="2C795ACF" w14:textId="77777777" w:rsidTr="00B26B22">
        <w:trPr>
          <w:trHeight w:val="479"/>
        </w:trPr>
        <w:tc>
          <w:tcPr>
            <w:tcW w:w="705" w:type="dxa"/>
            <w:tcBorders>
              <w:top w:val="single" w:sz="4" w:space="0" w:color="auto"/>
              <w:left w:val="single" w:sz="4" w:space="0" w:color="auto"/>
              <w:bottom w:val="single" w:sz="4" w:space="0" w:color="auto"/>
              <w:right w:val="single" w:sz="4" w:space="0" w:color="auto"/>
            </w:tcBorders>
          </w:tcPr>
          <w:p w14:paraId="2238F285" w14:textId="77777777" w:rsidR="00CE4842" w:rsidRPr="00775355" w:rsidRDefault="00CE4842" w:rsidP="00B26B22">
            <w:pPr>
              <w:tabs>
                <w:tab w:val="left" w:pos="284"/>
              </w:tabs>
              <w:spacing w:line="276" w:lineRule="auto"/>
              <w:jc w:val="both"/>
              <w:rPr>
                <w:rFonts w:eastAsia="Arial"/>
                <w:b/>
                <w:color w:val="000000" w:themeColor="text1"/>
              </w:rPr>
            </w:pPr>
            <w:r w:rsidRPr="00775355">
              <w:rPr>
                <w:rFonts w:eastAsia="Arial"/>
                <w:b/>
                <w:color w:val="000000" w:themeColor="text1"/>
              </w:rPr>
              <w:t>1.8</w:t>
            </w:r>
          </w:p>
        </w:tc>
        <w:tc>
          <w:tcPr>
            <w:tcW w:w="4117" w:type="dxa"/>
            <w:tcBorders>
              <w:top w:val="single" w:sz="4" w:space="0" w:color="auto"/>
              <w:left w:val="single" w:sz="4" w:space="0" w:color="auto"/>
              <w:bottom w:val="single" w:sz="4" w:space="0" w:color="auto"/>
              <w:right w:val="single" w:sz="4" w:space="0" w:color="auto"/>
            </w:tcBorders>
          </w:tcPr>
          <w:p w14:paraId="7DBCA7F6" w14:textId="77777777" w:rsidR="00CE4842" w:rsidRPr="00775355" w:rsidRDefault="00CE4842" w:rsidP="00B26B22">
            <w:pPr>
              <w:tabs>
                <w:tab w:val="left" w:pos="284"/>
              </w:tabs>
              <w:spacing w:line="276" w:lineRule="auto"/>
              <w:jc w:val="both"/>
              <w:rPr>
                <w:b/>
                <w:bCs/>
                <w:color w:val="000000" w:themeColor="text1"/>
                <w:lang w:eastAsia="lt-LT"/>
              </w:rPr>
            </w:pPr>
            <w:r w:rsidRPr="00775355">
              <w:rPr>
                <w:b/>
                <w:bCs/>
                <w:color w:val="000000" w:themeColor="text1"/>
                <w:lang w:eastAsia="lt-LT"/>
              </w:rPr>
              <w:t xml:space="preserve">Klinikinių tyrimų tipas </w:t>
            </w:r>
          </w:p>
        </w:tc>
        <w:tc>
          <w:tcPr>
            <w:tcW w:w="5096" w:type="dxa"/>
            <w:tcBorders>
              <w:top w:val="single" w:sz="4" w:space="0" w:color="auto"/>
              <w:left w:val="single" w:sz="4" w:space="0" w:color="auto"/>
              <w:bottom w:val="single" w:sz="4" w:space="0" w:color="auto"/>
              <w:right w:val="single" w:sz="4" w:space="0" w:color="auto"/>
            </w:tcBorders>
          </w:tcPr>
          <w:p w14:paraId="49848BCB" w14:textId="77777777" w:rsidR="00CE4842" w:rsidRPr="00775355" w:rsidRDefault="00000000" w:rsidP="00B26B22">
            <w:pPr>
              <w:spacing w:line="276" w:lineRule="auto"/>
              <w:jc w:val="both"/>
              <w:rPr>
                <w:color w:val="000000" w:themeColor="text1"/>
              </w:rPr>
            </w:pPr>
            <w:sdt>
              <w:sdtPr>
                <w:rPr>
                  <w:rStyle w:val="Style2"/>
                  <w:color w:val="000000" w:themeColor="text1"/>
                </w:rPr>
                <w:id w:val="788315464"/>
                <w15:color w:val="FFCC00"/>
                <w14:checkbox>
                  <w14:checked w14:val="1"/>
                  <w14:checkedState w14:val="2612" w14:font="MS Gothic"/>
                  <w14:uncheckedState w14:val="2610" w14:font="MS Gothic"/>
                </w14:checkbox>
              </w:sdtPr>
              <w:sdtContent>
                <w:r w:rsidR="00CE4842" w:rsidRPr="00775355">
                  <w:rPr>
                    <w:rStyle w:val="Style2"/>
                    <w:rFonts w:ascii="MS Gothic" w:eastAsia="MS Gothic" w:hAnsi="MS Gothic"/>
                    <w:color w:val="000000" w:themeColor="text1"/>
                  </w:rPr>
                  <w:t>☒</w:t>
                </w:r>
              </w:sdtContent>
            </w:sdt>
            <w:r w:rsidR="00CE4842" w:rsidRPr="00775355">
              <w:rPr>
                <w:color w:val="000000" w:themeColor="text1"/>
              </w:rPr>
              <w:t xml:space="preserve"> Tiesioginis palyginimas</w:t>
            </w:r>
          </w:p>
          <w:p w14:paraId="7CF3B526" w14:textId="0FFA82B1" w:rsidR="00CE4842" w:rsidRPr="00775355" w:rsidRDefault="00000000" w:rsidP="00B26B22">
            <w:pPr>
              <w:spacing w:line="276" w:lineRule="auto"/>
              <w:jc w:val="both"/>
              <w:rPr>
                <w:color w:val="000000" w:themeColor="text1"/>
              </w:rPr>
            </w:pPr>
            <w:sdt>
              <w:sdtPr>
                <w:rPr>
                  <w:color w:val="000000" w:themeColor="text1"/>
                </w:rPr>
                <w:id w:val="-394741429"/>
                <w15:color w:val="FFCC00"/>
                <w14:checkbox>
                  <w14:checked w14:val="1"/>
                  <w14:checkedState w14:val="2612" w14:font="MS Gothic"/>
                  <w14:uncheckedState w14:val="2610" w14:font="MS Gothic"/>
                </w14:checkbox>
              </w:sdtPr>
              <w:sdtContent>
                <w:r w:rsidR="00D21AC2" w:rsidRPr="00775355">
                  <w:rPr>
                    <w:rFonts w:ascii="MS Gothic" w:eastAsia="MS Gothic" w:hAnsi="MS Gothic"/>
                    <w:color w:val="000000" w:themeColor="text1"/>
                  </w:rPr>
                  <w:t>☒</w:t>
                </w:r>
              </w:sdtContent>
            </w:sdt>
            <w:r w:rsidR="00CE4842" w:rsidRPr="00775355">
              <w:rPr>
                <w:color w:val="000000" w:themeColor="text1"/>
              </w:rPr>
              <w:t xml:space="preserve"> Netiesioginis palyginimas</w:t>
            </w:r>
          </w:p>
        </w:tc>
      </w:tr>
      <w:tr w:rsidR="00CE4842" w:rsidRPr="00775355" w14:paraId="3DFC718E" w14:textId="77777777" w:rsidTr="00B26B22">
        <w:trPr>
          <w:trHeight w:val="479"/>
        </w:trPr>
        <w:tc>
          <w:tcPr>
            <w:tcW w:w="705" w:type="dxa"/>
            <w:tcBorders>
              <w:top w:val="single" w:sz="4" w:space="0" w:color="auto"/>
              <w:left w:val="single" w:sz="4" w:space="0" w:color="auto"/>
              <w:bottom w:val="single" w:sz="4" w:space="0" w:color="auto"/>
              <w:right w:val="single" w:sz="4" w:space="0" w:color="auto"/>
            </w:tcBorders>
          </w:tcPr>
          <w:p w14:paraId="469D6F2C" w14:textId="77777777" w:rsidR="00CE4842" w:rsidRPr="00775355" w:rsidRDefault="00CE4842" w:rsidP="00B26B22">
            <w:pPr>
              <w:tabs>
                <w:tab w:val="left" w:pos="284"/>
              </w:tabs>
              <w:spacing w:line="276" w:lineRule="auto"/>
              <w:jc w:val="both"/>
              <w:rPr>
                <w:rFonts w:eastAsia="Arial"/>
                <w:b/>
                <w:color w:val="000000" w:themeColor="text1"/>
              </w:rPr>
            </w:pPr>
            <w:r w:rsidRPr="00775355">
              <w:rPr>
                <w:rFonts w:eastAsia="Arial"/>
                <w:b/>
                <w:color w:val="000000" w:themeColor="text1"/>
              </w:rPr>
              <w:t>1.9</w:t>
            </w:r>
          </w:p>
        </w:tc>
        <w:tc>
          <w:tcPr>
            <w:tcW w:w="4117" w:type="dxa"/>
            <w:tcBorders>
              <w:top w:val="single" w:sz="4" w:space="0" w:color="auto"/>
              <w:left w:val="single" w:sz="4" w:space="0" w:color="auto"/>
              <w:bottom w:val="single" w:sz="4" w:space="0" w:color="auto"/>
              <w:right w:val="single" w:sz="4" w:space="0" w:color="auto"/>
            </w:tcBorders>
          </w:tcPr>
          <w:p w14:paraId="20BEB8C3" w14:textId="77777777" w:rsidR="00CE4842" w:rsidRPr="00775355" w:rsidRDefault="00CE4842" w:rsidP="00B26B22">
            <w:pPr>
              <w:tabs>
                <w:tab w:val="left" w:pos="284"/>
              </w:tabs>
              <w:spacing w:line="276" w:lineRule="auto"/>
              <w:jc w:val="both"/>
              <w:rPr>
                <w:b/>
                <w:bCs/>
                <w:color w:val="000000" w:themeColor="text1"/>
                <w:lang w:eastAsia="lt-LT"/>
              </w:rPr>
            </w:pPr>
            <w:r w:rsidRPr="00775355">
              <w:rPr>
                <w:b/>
                <w:bCs/>
                <w:color w:val="000000" w:themeColor="text1"/>
                <w:lang w:eastAsia="lt-LT"/>
              </w:rPr>
              <w:t>Ekonominės analizės rūšis</w:t>
            </w:r>
          </w:p>
        </w:tc>
        <w:tc>
          <w:tcPr>
            <w:tcW w:w="5096" w:type="dxa"/>
            <w:tcBorders>
              <w:top w:val="single" w:sz="4" w:space="0" w:color="auto"/>
              <w:left w:val="single" w:sz="4" w:space="0" w:color="auto"/>
              <w:bottom w:val="single" w:sz="4" w:space="0" w:color="auto"/>
              <w:right w:val="single" w:sz="4" w:space="0" w:color="auto"/>
            </w:tcBorders>
          </w:tcPr>
          <w:p w14:paraId="4FC2D925" w14:textId="77777777" w:rsidR="00CE4842" w:rsidRPr="00775355" w:rsidRDefault="00000000" w:rsidP="00B26B22">
            <w:pPr>
              <w:spacing w:line="276" w:lineRule="auto"/>
              <w:jc w:val="both"/>
              <w:rPr>
                <w:color w:val="000000" w:themeColor="text1"/>
              </w:rPr>
            </w:pPr>
            <w:sdt>
              <w:sdtPr>
                <w:rPr>
                  <w:rStyle w:val="Style2"/>
                  <w:color w:val="000000" w:themeColor="text1"/>
                </w:rPr>
                <w:id w:val="-467825377"/>
                <w15:color w:val="FFCC00"/>
                <w14:checkbox>
                  <w14:checked w14:val="0"/>
                  <w14:checkedState w14:val="2612" w14:font="MS Gothic"/>
                  <w14:uncheckedState w14:val="2610" w14:font="MS Gothic"/>
                </w14:checkbox>
              </w:sdtPr>
              <w:sdtContent>
                <w:r w:rsidR="00CE4842" w:rsidRPr="00775355">
                  <w:rPr>
                    <w:rStyle w:val="Style2"/>
                    <w:rFonts w:ascii="Segoe UI Symbol" w:eastAsia="MS Gothic" w:hAnsi="Segoe UI Symbol" w:cs="Segoe UI Symbol"/>
                    <w:color w:val="000000" w:themeColor="text1"/>
                  </w:rPr>
                  <w:t>☐</w:t>
                </w:r>
              </w:sdtContent>
            </w:sdt>
            <w:r w:rsidR="00CE4842" w:rsidRPr="00775355">
              <w:rPr>
                <w:color w:val="000000" w:themeColor="text1"/>
              </w:rPr>
              <w:t xml:space="preserve"> Kaštų naudingumo analizė</w:t>
            </w:r>
          </w:p>
          <w:p w14:paraId="01114526" w14:textId="77777777" w:rsidR="00CE4842" w:rsidRPr="00775355" w:rsidRDefault="00000000" w:rsidP="00B26B22">
            <w:pPr>
              <w:spacing w:line="276" w:lineRule="auto"/>
              <w:jc w:val="both"/>
              <w:rPr>
                <w:color w:val="000000" w:themeColor="text1"/>
              </w:rPr>
            </w:pPr>
            <w:sdt>
              <w:sdtPr>
                <w:rPr>
                  <w:rStyle w:val="Style2"/>
                  <w:color w:val="000000" w:themeColor="text1"/>
                </w:rPr>
                <w:id w:val="1040482992"/>
                <w15:color w:val="FFCC00"/>
                <w14:checkbox>
                  <w14:checked w14:val="0"/>
                  <w14:checkedState w14:val="2612" w14:font="MS Gothic"/>
                  <w14:uncheckedState w14:val="2610" w14:font="MS Gothic"/>
                </w14:checkbox>
              </w:sdtPr>
              <w:sdtContent>
                <w:r w:rsidR="00CE4842" w:rsidRPr="00775355">
                  <w:rPr>
                    <w:rStyle w:val="Style2"/>
                    <w:rFonts w:ascii="MS Gothic" w:eastAsia="MS Gothic" w:hAnsi="MS Gothic"/>
                    <w:color w:val="000000" w:themeColor="text1"/>
                  </w:rPr>
                  <w:t>☐</w:t>
                </w:r>
              </w:sdtContent>
            </w:sdt>
            <w:r w:rsidR="00CE4842" w:rsidRPr="00775355">
              <w:rPr>
                <w:color w:val="000000" w:themeColor="text1"/>
              </w:rPr>
              <w:t xml:space="preserve"> Kaštų mažinimo analizė</w:t>
            </w:r>
          </w:p>
          <w:p w14:paraId="0E967B14" w14:textId="77777777" w:rsidR="00CE4842" w:rsidRPr="00775355" w:rsidRDefault="00000000" w:rsidP="00B26B22">
            <w:pPr>
              <w:spacing w:line="276" w:lineRule="auto"/>
              <w:jc w:val="both"/>
              <w:rPr>
                <w:color w:val="000000" w:themeColor="text1"/>
              </w:rPr>
            </w:pPr>
            <w:sdt>
              <w:sdtPr>
                <w:rPr>
                  <w:rStyle w:val="Style2"/>
                  <w:color w:val="000000" w:themeColor="text1"/>
                </w:rPr>
                <w:id w:val="-220976986"/>
                <w15:color w:val="FFCC00"/>
                <w14:checkbox>
                  <w14:checked w14:val="0"/>
                  <w14:checkedState w14:val="2612" w14:font="MS Gothic"/>
                  <w14:uncheckedState w14:val="2610" w14:font="MS Gothic"/>
                </w14:checkbox>
              </w:sdtPr>
              <w:sdtContent>
                <w:r w:rsidR="00CE4842" w:rsidRPr="00775355">
                  <w:rPr>
                    <w:rStyle w:val="Style2"/>
                    <w:rFonts w:ascii="Segoe UI Symbol" w:eastAsia="MS Gothic" w:hAnsi="Segoe UI Symbol" w:cs="Segoe UI Symbol"/>
                    <w:color w:val="000000" w:themeColor="text1"/>
                  </w:rPr>
                  <w:t>☐</w:t>
                </w:r>
              </w:sdtContent>
            </w:sdt>
            <w:r w:rsidR="00CE4842" w:rsidRPr="00775355">
              <w:rPr>
                <w:color w:val="000000" w:themeColor="text1"/>
              </w:rPr>
              <w:t xml:space="preserve"> Kita: </w:t>
            </w:r>
            <w:sdt>
              <w:sdtPr>
                <w:rPr>
                  <w:color w:val="000000" w:themeColor="text1"/>
                </w:rPr>
                <w:alias w:val="Įrašykite"/>
                <w:tag w:val="Įrašykite"/>
                <w:id w:val="-1011137410"/>
                <w:placeholder>
                  <w:docPart w:val="B39A444F05EEFD449A05BFAA5CC2F771"/>
                </w:placeholder>
                <w15:color w:val="FFCC99"/>
              </w:sdtPr>
              <w:sdtContent>
                <w:r w:rsidR="00CE4842" w:rsidRPr="00775355">
                  <w:rPr>
                    <w:color w:val="000000" w:themeColor="text1"/>
                  </w:rPr>
                  <w:t>_________________</w:t>
                </w:r>
              </w:sdtContent>
            </w:sdt>
            <w:r w:rsidR="00CE4842" w:rsidRPr="00775355">
              <w:rPr>
                <w:color w:val="000000" w:themeColor="text1"/>
              </w:rPr>
              <w:t xml:space="preserve"> </w:t>
            </w:r>
          </w:p>
        </w:tc>
      </w:tr>
    </w:tbl>
    <w:p w14:paraId="1B7644C8" w14:textId="77777777" w:rsidR="00D66CCF" w:rsidRPr="00775355" w:rsidRDefault="00D66CCF" w:rsidP="00D66CCF">
      <w:pPr>
        <w:spacing w:line="276" w:lineRule="auto"/>
        <w:ind w:left="360"/>
        <w:jc w:val="both"/>
        <w:rPr>
          <w:rFonts w:eastAsia="Arial"/>
          <w:b/>
        </w:rPr>
      </w:pPr>
    </w:p>
    <w:p w14:paraId="2871CA7F" w14:textId="34221B18" w:rsidR="00F70C9E" w:rsidRPr="00775355" w:rsidRDefault="00F70C9E" w:rsidP="004537D0">
      <w:pPr>
        <w:pStyle w:val="Sraopastraipa"/>
        <w:numPr>
          <w:ilvl w:val="1"/>
          <w:numId w:val="12"/>
        </w:numPr>
        <w:spacing w:line="276" w:lineRule="auto"/>
        <w:jc w:val="both"/>
        <w:rPr>
          <w:rFonts w:eastAsia="Arial"/>
          <w:b/>
        </w:rPr>
      </w:pPr>
      <w:r w:rsidRPr="00775355">
        <w:rPr>
          <w:rFonts w:eastAsia="Arial"/>
          <w:b/>
        </w:rPr>
        <w:t xml:space="preserve">Kitų </w:t>
      </w:r>
      <w:r w:rsidR="00DF583C" w:rsidRPr="00775355">
        <w:rPr>
          <w:rFonts w:eastAsia="Arial"/>
          <w:b/>
        </w:rPr>
        <w:t xml:space="preserve">valstybių </w:t>
      </w:r>
      <w:r w:rsidRPr="00775355">
        <w:rPr>
          <w:rFonts w:eastAsia="Arial"/>
          <w:b/>
        </w:rPr>
        <w:t xml:space="preserve">atsakingų institucijų atlikto </w:t>
      </w:r>
      <w:r w:rsidR="00DF583C" w:rsidRPr="00775355">
        <w:rPr>
          <w:rFonts w:eastAsia="Arial"/>
          <w:b/>
        </w:rPr>
        <w:t>Sveikatos technologijų vertinimo (toliau – STV)</w:t>
      </w:r>
      <w:r w:rsidRPr="00775355">
        <w:rPr>
          <w:rFonts w:eastAsia="Arial"/>
          <w:b/>
        </w:rPr>
        <w:t xml:space="preserve"> išvados</w:t>
      </w:r>
    </w:p>
    <w:p w14:paraId="3A30D5AF" w14:textId="77777777" w:rsidR="00997A8D" w:rsidRPr="00775355" w:rsidRDefault="00997A8D" w:rsidP="00997A8D">
      <w:pPr>
        <w:spacing w:line="276" w:lineRule="auto"/>
        <w:jc w:val="both"/>
        <w:rPr>
          <w:rFonts w:eastAsia="Arial"/>
          <w:b/>
        </w:rPr>
      </w:pPr>
    </w:p>
    <w:p w14:paraId="15A27F0A" w14:textId="77777777" w:rsidR="00CE4842" w:rsidRPr="00775355" w:rsidRDefault="00CE4842" w:rsidP="00CE4842">
      <w:pPr>
        <w:spacing w:line="276" w:lineRule="auto"/>
        <w:jc w:val="both"/>
        <w:rPr>
          <w:rFonts w:eastAsia="Arial"/>
          <w:color w:val="000000" w:themeColor="text1"/>
        </w:rPr>
      </w:pPr>
    </w:p>
    <w:tbl>
      <w:tblPr>
        <w:tblStyle w:val="Lentelstinklelis"/>
        <w:tblW w:w="9918" w:type="dxa"/>
        <w:tblLook w:val="04A0" w:firstRow="1" w:lastRow="0" w:firstColumn="1" w:lastColumn="0" w:noHBand="0" w:noVBand="1"/>
      </w:tblPr>
      <w:tblGrid>
        <w:gridCol w:w="3009"/>
        <w:gridCol w:w="1765"/>
        <w:gridCol w:w="2883"/>
        <w:gridCol w:w="2261"/>
      </w:tblGrid>
      <w:tr w:rsidR="00CE4842" w:rsidRPr="00775355" w14:paraId="42033111" w14:textId="77777777" w:rsidTr="00B26B22">
        <w:trPr>
          <w:trHeight w:val="924"/>
        </w:trPr>
        <w:tc>
          <w:tcPr>
            <w:tcW w:w="3009" w:type="dxa"/>
          </w:tcPr>
          <w:p w14:paraId="15F05AAF" w14:textId="77777777" w:rsidR="00CE4842" w:rsidRPr="00775355" w:rsidRDefault="00CE4842" w:rsidP="00B26B22">
            <w:pPr>
              <w:spacing w:line="276" w:lineRule="auto"/>
              <w:jc w:val="both"/>
              <w:rPr>
                <w:rFonts w:eastAsia="Arial"/>
                <w:color w:val="000000" w:themeColor="text1"/>
              </w:rPr>
            </w:pPr>
            <w:r w:rsidRPr="00775355">
              <w:rPr>
                <w:rFonts w:eastAsia="Arial"/>
                <w:color w:val="000000" w:themeColor="text1"/>
              </w:rPr>
              <w:t>STV agentūros pavadinimas, šalis</w:t>
            </w:r>
          </w:p>
        </w:tc>
        <w:tc>
          <w:tcPr>
            <w:tcW w:w="1765" w:type="dxa"/>
          </w:tcPr>
          <w:p w14:paraId="40D399F5" w14:textId="77777777" w:rsidR="00CE4842" w:rsidRPr="00775355" w:rsidRDefault="00CE4842" w:rsidP="00B26B22">
            <w:pPr>
              <w:spacing w:line="276" w:lineRule="auto"/>
              <w:jc w:val="both"/>
              <w:rPr>
                <w:rFonts w:eastAsia="Arial"/>
                <w:color w:val="000000" w:themeColor="text1"/>
              </w:rPr>
            </w:pPr>
            <w:r w:rsidRPr="00775355">
              <w:rPr>
                <w:rFonts w:eastAsia="Arial"/>
                <w:color w:val="000000" w:themeColor="text1"/>
              </w:rPr>
              <w:t>STV vertinimas atliktas</w:t>
            </w:r>
          </w:p>
        </w:tc>
        <w:tc>
          <w:tcPr>
            <w:tcW w:w="2883" w:type="dxa"/>
          </w:tcPr>
          <w:p w14:paraId="10C61031" w14:textId="77777777" w:rsidR="00CE4842" w:rsidRPr="00775355" w:rsidRDefault="00CE4842" w:rsidP="00B26B22">
            <w:pPr>
              <w:spacing w:line="276" w:lineRule="auto"/>
              <w:jc w:val="both"/>
              <w:rPr>
                <w:rFonts w:eastAsia="Arial"/>
                <w:color w:val="000000" w:themeColor="text1"/>
              </w:rPr>
            </w:pPr>
            <w:r w:rsidRPr="00775355">
              <w:rPr>
                <w:rFonts w:eastAsia="Arial"/>
                <w:color w:val="000000" w:themeColor="text1"/>
              </w:rPr>
              <w:t>Klinikinio vertinimo išvada</w:t>
            </w:r>
          </w:p>
        </w:tc>
        <w:tc>
          <w:tcPr>
            <w:tcW w:w="2261" w:type="dxa"/>
          </w:tcPr>
          <w:p w14:paraId="1967E685" w14:textId="77777777" w:rsidR="00CE4842" w:rsidRPr="00775355" w:rsidRDefault="00CE4842" w:rsidP="00B26B22">
            <w:pPr>
              <w:spacing w:line="276" w:lineRule="auto"/>
              <w:jc w:val="both"/>
              <w:rPr>
                <w:rFonts w:eastAsia="Arial"/>
                <w:color w:val="000000" w:themeColor="text1"/>
              </w:rPr>
            </w:pPr>
            <w:proofErr w:type="spellStart"/>
            <w:r w:rsidRPr="00775355">
              <w:rPr>
                <w:rFonts w:eastAsia="Arial"/>
                <w:color w:val="000000" w:themeColor="text1"/>
              </w:rPr>
              <w:t>Farmakoekonominio</w:t>
            </w:r>
            <w:proofErr w:type="spellEnd"/>
            <w:r w:rsidRPr="00775355">
              <w:rPr>
                <w:rFonts w:eastAsia="Arial"/>
                <w:color w:val="000000" w:themeColor="text1"/>
              </w:rPr>
              <w:t xml:space="preserve"> vertinimo išvada</w:t>
            </w:r>
          </w:p>
        </w:tc>
      </w:tr>
      <w:tr w:rsidR="0021519A" w:rsidRPr="00775355" w14:paraId="79BE3505" w14:textId="77777777" w:rsidTr="00D135B9">
        <w:trPr>
          <w:trHeight w:val="1984"/>
        </w:trPr>
        <w:tc>
          <w:tcPr>
            <w:tcW w:w="3009" w:type="dxa"/>
          </w:tcPr>
          <w:p w14:paraId="0F7E2E39" w14:textId="77777777" w:rsidR="0021519A" w:rsidRPr="00775355" w:rsidRDefault="0021519A" w:rsidP="00B26B22">
            <w:pPr>
              <w:autoSpaceDE w:val="0"/>
              <w:autoSpaceDN w:val="0"/>
              <w:adjustRightInd w:val="0"/>
              <w:spacing w:line="276" w:lineRule="auto"/>
              <w:jc w:val="both"/>
              <w:rPr>
                <w:bCs/>
                <w:color w:val="000000" w:themeColor="text1"/>
              </w:rPr>
            </w:pPr>
            <w:r w:rsidRPr="00775355">
              <w:rPr>
                <w:bCs/>
                <w:color w:val="000000" w:themeColor="text1"/>
              </w:rPr>
              <w:t>Nacionalinis sveikatos ir klinikinės kompetencijos institutas, Didžioji Britanija</w:t>
            </w:r>
          </w:p>
          <w:p w14:paraId="76BFFA66" w14:textId="77777777" w:rsidR="0021519A" w:rsidRPr="00775355" w:rsidRDefault="0021519A" w:rsidP="00B26B22">
            <w:pPr>
              <w:spacing w:line="276" w:lineRule="auto"/>
              <w:jc w:val="both"/>
              <w:rPr>
                <w:rFonts w:eastAsia="Arial"/>
                <w:color w:val="000000" w:themeColor="text1"/>
              </w:rPr>
            </w:pPr>
            <w:r w:rsidRPr="00775355">
              <w:rPr>
                <w:rFonts w:eastAsia="Arial"/>
                <w:color w:val="000000" w:themeColor="text1"/>
              </w:rPr>
              <w:t xml:space="preserve">(angl. </w:t>
            </w:r>
            <w:proofErr w:type="spellStart"/>
            <w:r w:rsidRPr="00775355">
              <w:rPr>
                <w:rFonts w:eastAsia="Arial"/>
                <w:i/>
                <w:color w:val="000000" w:themeColor="text1"/>
              </w:rPr>
              <w:t>National</w:t>
            </w:r>
            <w:proofErr w:type="spellEnd"/>
            <w:r w:rsidRPr="00775355">
              <w:rPr>
                <w:rFonts w:eastAsia="Arial"/>
                <w:i/>
                <w:color w:val="000000" w:themeColor="text1"/>
              </w:rPr>
              <w:t xml:space="preserve"> Institute </w:t>
            </w:r>
            <w:proofErr w:type="spellStart"/>
            <w:r w:rsidRPr="00775355">
              <w:rPr>
                <w:rFonts w:eastAsia="Arial"/>
                <w:i/>
                <w:color w:val="000000" w:themeColor="text1"/>
              </w:rPr>
              <w:t>for</w:t>
            </w:r>
            <w:proofErr w:type="spellEnd"/>
            <w:r w:rsidRPr="00775355">
              <w:rPr>
                <w:rFonts w:eastAsia="Arial"/>
                <w:i/>
                <w:color w:val="000000" w:themeColor="text1"/>
              </w:rPr>
              <w:t xml:space="preserve"> </w:t>
            </w:r>
            <w:proofErr w:type="spellStart"/>
            <w:r w:rsidRPr="00775355">
              <w:rPr>
                <w:rFonts w:eastAsia="Arial"/>
                <w:i/>
                <w:color w:val="000000" w:themeColor="text1"/>
              </w:rPr>
              <w:t>Health</w:t>
            </w:r>
            <w:proofErr w:type="spellEnd"/>
            <w:r w:rsidRPr="00775355">
              <w:rPr>
                <w:rFonts w:eastAsia="Arial"/>
                <w:i/>
                <w:color w:val="000000" w:themeColor="text1"/>
              </w:rPr>
              <w:t xml:space="preserve"> </w:t>
            </w:r>
            <w:proofErr w:type="spellStart"/>
            <w:r w:rsidRPr="00775355">
              <w:rPr>
                <w:rFonts w:eastAsia="Arial"/>
                <w:i/>
                <w:color w:val="000000" w:themeColor="text1"/>
              </w:rPr>
              <w:t>and</w:t>
            </w:r>
            <w:proofErr w:type="spellEnd"/>
            <w:r w:rsidRPr="00775355">
              <w:rPr>
                <w:rFonts w:eastAsia="Arial"/>
                <w:i/>
                <w:color w:val="000000" w:themeColor="text1"/>
              </w:rPr>
              <w:t xml:space="preserve"> Care </w:t>
            </w:r>
            <w:proofErr w:type="spellStart"/>
            <w:r w:rsidRPr="00775355">
              <w:rPr>
                <w:rFonts w:eastAsia="Arial"/>
                <w:i/>
                <w:color w:val="000000" w:themeColor="text1"/>
              </w:rPr>
              <w:t>Excellence</w:t>
            </w:r>
            <w:proofErr w:type="spellEnd"/>
            <w:r w:rsidRPr="00775355">
              <w:rPr>
                <w:rFonts w:eastAsia="Arial"/>
                <w:i/>
                <w:color w:val="000000" w:themeColor="text1"/>
              </w:rPr>
              <w:t>, NICE</w:t>
            </w:r>
            <w:r w:rsidRPr="00775355">
              <w:rPr>
                <w:rFonts w:eastAsia="Arial"/>
                <w:color w:val="000000" w:themeColor="text1"/>
              </w:rPr>
              <w:t>)</w:t>
            </w:r>
          </w:p>
        </w:tc>
        <w:tc>
          <w:tcPr>
            <w:tcW w:w="1765" w:type="dxa"/>
          </w:tcPr>
          <w:p w14:paraId="3DF61603" w14:textId="77777777" w:rsidR="0021519A" w:rsidRPr="00775355" w:rsidRDefault="00000000" w:rsidP="00B26B22">
            <w:pPr>
              <w:spacing w:line="276" w:lineRule="auto"/>
              <w:jc w:val="both"/>
              <w:rPr>
                <w:color w:val="000000" w:themeColor="text1"/>
              </w:rPr>
            </w:pPr>
            <w:sdt>
              <w:sdtPr>
                <w:rPr>
                  <w:rStyle w:val="Style2"/>
                  <w:color w:val="000000" w:themeColor="text1"/>
                </w:rPr>
                <w:id w:val="1558205022"/>
                <w15:color w:val="FFCC00"/>
                <w14:checkbox>
                  <w14:checked w14:val="1"/>
                  <w14:checkedState w14:val="2612" w14:font="MS Gothic"/>
                  <w14:uncheckedState w14:val="2610" w14:font="MS Gothic"/>
                </w14:checkbox>
              </w:sdtPr>
              <w:sdtContent>
                <w:r w:rsidR="0021519A" w:rsidRPr="00775355">
                  <w:rPr>
                    <w:rStyle w:val="Style2"/>
                    <w:rFonts w:ascii="MS Gothic" w:eastAsia="MS Gothic" w:hAnsi="MS Gothic"/>
                    <w:color w:val="000000" w:themeColor="text1"/>
                  </w:rPr>
                  <w:t>☒</w:t>
                </w:r>
              </w:sdtContent>
            </w:sdt>
            <w:r w:rsidR="0021519A" w:rsidRPr="00775355">
              <w:rPr>
                <w:color w:val="000000" w:themeColor="text1"/>
              </w:rPr>
              <w:t xml:space="preserve"> Taip</w:t>
            </w:r>
          </w:p>
          <w:p w14:paraId="24B74DC7" w14:textId="77777777" w:rsidR="0021519A" w:rsidRPr="00775355" w:rsidRDefault="00000000" w:rsidP="00B26B22">
            <w:pPr>
              <w:spacing w:line="276" w:lineRule="auto"/>
              <w:jc w:val="both"/>
              <w:rPr>
                <w:color w:val="000000" w:themeColor="text1"/>
              </w:rPr>
            </w:pPr>
            <w:sdt>
              <w:sdtPr>
                <w:rPr>
                  <w:rStyle w:val="Style2"/>
                  <w:color w:val="000000" w:themeColor="text1"/>
                </w:rPr>
                <w:id w:val="866029625"/>
                <w15:color w:val="FFCC00"/>
                <w14:checkbox>
                  <w14:checked w14:val="0"/>
                  <w14:checkedState w14:val="2612" w14:font="MS Gothic"/>
                  <w14:uncheckedState w14:val="2610" w14:font="MS Gothic"/>
                </w14:checkbox>
              </w:sdtPr>
              <w:sdtContent>
                <w:r w:rsidR="0021519A" w:rsidRPr="00775355">
                  <w:rPr>
                    <w:rStyle w:val="Style2"/>
                    <w:rFonts w:ascii="MS Gothic" w:eastAsia="MS Gothic" w:hAnsi="MS Gothic"/>
                    <w:color w:val="000000" w:themeColor="text1"/>
                  </w:rPr>
                  <w:t>☐</w:t>
                </w:r>
              </w:sdtContent>
            </w:sdt>
            <w:r w:rsidR="0021519A" w:rsidRPr="00775355">
              <w:rPr>
                <w:color w:val="000000" w:themeColor="text1"/>
              </w:rPr>
              <w:t xml:space="preserve"> Ne</w:t>
            </w:r>
          </w:p>
          <w:p w14:paraId="272F9938" w14:textId="77777777" w:rsidR="0021519A" w:rsidRPr="00775355" w:rsidRDefault="00000000" w:rsidP="00B26B22">
            <w:pPr>
              <w:spacing w:line="276" w:lineRule="auto"/>
              <w:jc w:val="both"/>
              <w:rPr>
                <w:rFonts w:eastAsia="Arial"/>
                <w:color w:val="000000" w:themeColor="text1"/>
              </w:rPr>
            </w:pPr>
            <w:sdt>
              <w:sdtPr>
                <w:rPr>
                  <w:color w:val="000000" w:themeColor="text1"/>
                </w:rPr>
                <w:alias w:val="Nurodykite konkrečią dieną"/>
                <w:tag w:val="Nurodykite pradžios datą"/>
                <w:id w:val="922837954"/>
                <w:placeholder>
                  <w:docPart w:val="AED2A8537C474BE9A96A462A41EA9FB7"/>
                </w:placeholder>
                <w15:color w:val="FFCC99"/>
                <w:date>
                  <w:dateFormat w:val="yyyy 'm.' MMMM d 'd.'"/>
                  <w:lid w:val="lt-LT"/>
                  <w:storeMappedDataAs w:val="dateTime"/>
                  <w:calendar w:val="gregorian"/>
                </w:date>
              </w:sdtPr>
              <w:sdtContent>
                <w:r w:rsidR="0021519A" w:rsidRPr="00775355">
                  <w:rPr>
                    <w:color w:val="000000" w:themeColor="text1"/>
                  </w:rPr>
                  <w:t>2021 m. sausio 6 d.</w:t>
                </w:r>
              </w:sdtContent>
            </w:sdt>
          </w:p>
        </w:tc>
        <w:tc>
          <w:tcPr>
            <w:tcW w:w="5144" w:type="dxa"/>
            <w:gridSpan w:val="2"/>
          </w:tcPr>
          <w:p w14:paraId="27C989F5" w14:textId="25914447" w:rsidR="0021519A" w:rsidRPr="00775355" w:rsidRDefault="0021519A" w:rsidP="00B26B22">
            <w:pPr>
              <w:spacing w:line="276" w:lineRule="auto"/>
              <w:jc w:val="both"/>
              <w:rPr>
                <w:rFonts w:eastAsia="Arial"/>
                <w:color w:val="000000" w:themeColor="text1"/>
              </w:rPr>
            </w:pPr>
            <w:proofErr w:type="spellStart"/>
            <w:r w:rsidRPr="00775355">
              <w:rPr>
                <w:rFonts w:eastAsia="Arial"/>
                <w:color w:val="000000" w:themeColor="text1"/>
              </w:rPr>
              <w:t>Enkorafenibas</w:t>
            </w:r>
            <w:proofErr w:type="spellEnd"/>
            <w:r w:rsidRPr="00775355">
              <w:rPr>
                <w:rFonts w:eastAsia="Arial"/>
                <w:color w:val="000000" w:themeColor="text1"/>
              </w:rPr>
              <w:t xml:space="preserve"> ir </w:t>
            </w:r>
            <w:proofErr w:type="spellStart"/>
            <w:r w:rsidRPr="00775355">
              <w:rPr>
                <w:rFonts w:eastAsia="Arial"/>
                <w:color w:val="000000" w:themeColor="text1"/>
              </w:rPr>
              <w:t>cetuksimabas</w:t>
            </w:r>
            <w:proofErr w:type="spellEnd"/>
            <w:r w:rsidRPr="00775355">
              <w:rPr>
                <w:rFonts w:eastAsia="Arial"/>
                <w:color w:val="000000" w:themeColor="text1"/>
              </w:rPr>
              <w:t xml:space="preserve"> rekomenduojamas kaip BRAF V600E mutacijai teigiamos </w:t>
            </w:r>
            <w:proofErr w:type="spellStart"/>
            <w:r w:rsidRPr="00775355">
              <w:rPr>
                <w:rFonts w:eastAsia="Arial"/>
                <w:color w:val="000000" w:themeColor="text1"/>
              </w:rPr>
              <w:t>metastazavusio</w:t>
            </w:r>
            <w:proofErr w:type="spellEnd"/>
            <w:r w:rsidRPr="00775355">
              <w:rPr>
                <w:rFonts w:eastAsia="Arial"/>
                <w:color w:val="000000" w:themeColor="text1"/>
              </w:rPr>
              <w:t xml:space="preserve"> </w:t>
            </w:r>
            <w:proofErr w:type="spellStart"/>
            <w:r w:rsidRPr="00775355">
              <w:rPr>
                <w:rFonts w:eastAsia="Arial"/>
                <w:color w:val="000000" w:themeColor="text1"/>
              </w:rPr>
              <w:t>kolorektalinio</w:t>
            </w:r>
            <w:proofErr w:type="spellEnd"/>
            <w:r w:rsidRPr="00775355">
              <w:rPr>
                <w:rFonts w:eastAsia="Arial"/>
                <w:color w:val="000000" w:themeColor="text1"/>
              </w:rPr>
              <w:t xml:space="preserve"> vėžio gydymo alternatyva suaugusiesiems, kuriems anksčiau buvo taikytas sisteminis gydymas. Jis rekomenduojamas tik tuo atveju, jei bendrovė jį teikia pagal komercinius susitarimus.</w:t>
            </w:r>
          </w:p>
        </w:tc>
      </w:tr>
      <w:tr w:rsidR="00CE4842" w:rsidRPr="00775355" w14:paraId="45963FBD" w14:textId="77777777" w:rsidTr="00B26B22">
        <w:trPr>
          <w:trHeight w:val="1547"/>
        </w:trPr>
        <w:tc>
          <w:tcPr>
            <w:tcW w:w="3009" w:type="dxa"/>
          </w:tcPr>
          <w:p w14:paraId="110509CA" w14:textId="77777777" w:rsidR="00CE4842" w:rsidRPr="00775355" w:rsidRDefault="00CE4842" w:rsidP="00B26B22">
            <w:pPr>
              <w:spacing w:line="276" w:lineRule="auto"/>
              <w:jc w:val="both"/>
              <w:rPr>
                <w:rFonts w:eastAsia="Arial"/>
                <w:color w:val="000000" w:themeColor="text1"/>
              </w:rPr>
            </w:pPr>
            <w:r w:rsidRPr="00775355">
              <w:rPr>
                <w:rFonts w:eastAsia="Arial"/>
                <w:color w:val="000000" w:themeColor="text1"/>
              </w:rPr>
              <w:t>Kanados sveikatos technologijų agentūra</w:t>
            </w:r>
          </w:p>
          <w:p w14:paraId="09553F5C" w14:textId="77777777" w:rsidR="00CE4842" w:rsidRPr="00775355" w:rsidRDefault="00CE4842" w:rsidP="00B26B22">
            <w:pPr>
              <w:spacing w:line="276" w:lineRule="auto"/>
              <w:jc w:val="both"/>
              <w:rPr>
                <w:rFonts w:eastAsia="Arial"/>
                <w:color w:val="000000" w:themeColor="text1"/>
              </w:rPr>
            </w:pPr>
            <w:r w:rsidRPr="00775355">
              <w:rPr>
                <w:rFonts w:eastAsia="Arial"/>
                <w:color w:val="000000" w:themeColor="text1"/>
              </w:rPr>
              <w:t xml:space="preserve">(angl. </w:t>
            </w:r>
            <w:proofErr w:type="spellStart"/>
            <w:r w:rsidRPr="00775355">
              <w:rPr>
                <w:rFonts w:eastAsia="Arial"/>
                <w:i/>
                <w:color w:val="000000" w:themeColor="text1"/>
              </w:rPr>
              <w:t>Canadian</w:t>
            </w:r>
            <w:proofErr w:type="spellEnd"/>
            <w:r w:rsidRPr="00775355">
              <w:rPr>
                <w:rFonts w:eastAsia="Arial"/>
                <w:i/>
                <w:color w:val="000000" w:themeColor="text1"/>
              </w:rPr>
              <w:t xml:space="preserve"> </w:t>
            </w:r>
            <w:proofErr w:type="spellStart"/>
            <w:r w:rsidRPr="00775355">
              <w:rPr>
                <w:rFonts w:eastAsia="Arial"/>
                <w:i/>
                <w:color w:val="000000" w:themeColor="text1"/>
              </w:rPr>
              <w:t>health</w:t>
            </w:r>
            <w:proofErr w:type="spellEnd"/>
            <w:r w:rsidRPr="00775355">
              <w:rPr>
                <w:rFonts w:eastAsia="Arial"/>
                <w:i/>
                <w:color w:val="000000" w:themeColor="text1"/>
              </w:rPr>
              <w:t xml:space="preserve"> </w:t>
            </w:r>
            <w:proofErr w:type="spellStart"/>
            <w:r w:rsidRPr="00775355">
              <w:rPr>
                <w:rFonts w:eastAsia="Arial"/>
                <w:i/>
                <w:color w:val="000000" w:themeColor="text1"/>
              </w:rPr>
              <w:t>Technology</w:t>
            </w:r>
            <w:proofErr w:type="spellEnd"/>
            <w:r w:rsidRPr="00775355">
              <w:rPr>
                <w:rFonts w:eastAsia="Arial"/>
                <w:i/>
                <w:color w:val="000000" w:themeColor="text1"/>
              </w:rPr>
              <w:t xml:space="preserve"> </w:t>
            </w:r>
            <w:proofErr w:type="spellStart"/>
            <w:r w:rsidRPr="00775355">
              <w:rPr>
                <w:rFonts w:eastAsia="Arial"/>
                <w:i/>
                <w:color w:val="000000" w:themeColor="text1"/>
              </w:rPr>
              <w:t>Assessment</w:t>
            </w:r>
            <w:proofErr w:type="spellEnd"/>
            <w:r w:rsidRPr="00775355">
              <w:rPr>
                <w:rFonts w:eastAsia="Arial"/>
                <w:i/>
                <w:color w:val="000000" w:themeColor="text1"/>
              </w:rPr>
              <w:t xml:space="preserve"> </w:t>
            </w:r>
            <w:proofErr w:type="spellStart"/>
            <w:r w:rsidRPr="00775355">
              <w:rPr>
                <w:rFonts w:eastAsia="Arial"/>
                <w:i/>
                <w:color w:val="000000" w:themeColor="text1"/>
              </w:rPr>
              <w:t>agency</w:t>
            </w:r>
            <w:proofErr w:type="spellEnd"/>
            <w:r w:rsidRPr="00775355">
              <w:rPr>
                <w:rFonts w:eastAsia="Arial"/>
                <w:i/>
                <w:color w:val="000000" w:themeColor="text1"/>
              </w:rPr>
              <w:t>, CADTH</w:t>
            </w:r>
            <w:r w:rsidRPr="00775355">
              <w:rPr>
                <w:rFonts w:eastAsia="Arial"/>
                <w:color w:val="000000" w:themeColor="text1"/>
              </w:rPr>
              <w:t>)</w:t>
            </w:r>
          </w:p>
        </w:tc>
        <w:tc>
          <w:tcPr>
            <w:tcW w:w="1765" w:type="dxa"/>
          </w:tcPr>
          <w:p w14:paraId="266C7002" w14:textId="77777777" w:rsidR="00CE4842" w:rsidRPr="00775355" w:rsidRDefault="00000000" w:rsidP="00B26B22">
            <w:pPr>
              <w:spacing w:line="276" w:lineRule="auto"/>
              <w:jc w:val="both"/>
              <w:rPr>
                <w:color w:val="000000" w:themeColor="text1"/>
              </w:rPr>
            </w:pPr>
            <w:sdt>
              <w:sdtPr>
                <w:rPr>
                  <w:rStyle w:val="Style2"/>
                  <w:color w:val="000000" w:themeColor="text1"/>
                </w:rPr>
                <w:id w:val="-372539057"/>
                <w15:color w:val="FFCC00"/>
                <w14:checkbox>
                  <w14:checked w14:val="1"/>
                  <w14:checkedState w14:val="2612" w14:font="MS Gothic"/>
                  <w14:uncheckedState w14:val="2610" w14:font="MS Gothic"/>
                </w14:checkbox>
              </w:sdtPr>
              <w:sdtContent>
                <w:r w:rsidR="00CE4842" w:rsidRPr="00775355">
                  <w:rPr>
                    <w:rStyle w:val="Style2"/>
                    <w:rFonts w:ascii="MS Gothic" w:eastAsia="MS Gothic" w:hAnsi="MS Gothic"/>
                    <w:color w:val="000000" w:themeColor="text1"/>
                  </w:rPr>
                  <w:t>☒</w:t>
                </w:r>
              </w:sdtContent>
            </w:sdt>
            <w:r w:rsidR="00CE4842" w:rsidRPr="00775355">
              <w:rPr>
                <w:color w:val="000000" w:themeColor="text1"/>
              </w:rPr>
              <w:t xml:space="preserve"> Taip</w:t>
            </w:r>
          </w:p>
          <w:p w14:paraId="2911D06C" w14:textId="77777777" w:rsidR="00CE4842" w:rsidRPr="00775355" w:rsidRDefault="00000000" w:rsidP="00B26B22">
            <w:pPr>
              <w:spacing w:line="276" w:lineRule="auto"/>
              <w:jc w:val="both"/>
              <w:rPr>
                <w:color w:val="000000" w:themeColor="text1"/>
              </w:rPr>
            </w:pPr>
            <w:sdt>
              <w:sdtPr>
                <w:rPr>
                  <w:rStyle w:val="Style2"/>
                  <w:color w:val="000000" w:themeColor="text1"/>
                </w:rPr>
                <w:id w:val="594442222"/>
                <w15:color w:val="FFCC00"/>
                <w14:checkbox>
                  <w14:checked w14:val="0"/>
                  <w14:checkedState w14:val="2612" w14:font="MS Gothic"/>
                  <w14:uncheckedState w14:val="2610" w14:font="MS Gothic"/>
                </w14:checkbox>
              </w:sdtPr>
              <w:sdtContent>
                <w:r w:rsidR="00CE4842" w:rsidRPr="00775355">
                  <w:rPr>
                    <w:rStyle w:val="Style2"/>
                    <w:rFonts w:ascii="MS Gothic" w:eastAsia="MS Gothic" w:hAnsi="MS Gothic"/>
                    <w:color w:val="000000" w:themeColor="text1"/>
                  </w:rPr>
                  <w:t>☐</w:t>
                </w:r>
              </w:sdtContent>
            </w:sdt>
            <w:r w:rsidR="00CE4842" w:rsidRPr="00775355">
              <w:rPr>
                <w:color w:val="000000" w:themeColor="text1"/>
              </w:rPr>
              <w:t xml:space="preserve"> Ne</w:t>
            </w:r>
          </w:p>
          <w:p w14:paraId="2B7594F4" w14:textId="77777777" w:rsidR="00CE4842" w:rsidRPr="00775355" w:rsidRDefault="00000000" w:rsidP="00B26B22">
            <w:pPr>
              <w:spacing w:line="276" w:lineRule="auto"/>
              <w:jc w:val="both"/>
              <w:rPr>
                <w:rFonts w:eastAsia="Arial"/>
                <w:color w:val="000000" w:themeColor="text1"/>
              </w:rPr>
            </w:pPr>
            <w:sdt>
              <w:sdtPr>
                <w:rPr>
                  <w:color w:val="000000" w:themeColor="text1"/>
                </w:rPr>
                <w:alias w:val="Nurodykite konkrečią dieną"/>
                <w:tag w:val="Nurodykite pradžios datą"/>
                <w:id w:val="1072468416"/>
                <w:placeholder>
                  <w:docPart w:val="2AC8B9159C36DC48A6DF20B0AF6FE9B4"/>
                </w:placeholder>
                <w15:color w:val="FFCC99"/>
                <w:date>
                  <w:dateFormat w:val="yyyy 'm.' MMMM d 'd.'"/>
                  <w:lid w:val="lt-LT"/>
                  <w:storeMappedDataAs w:val="dateTime"/>
                  <w:calendar w:val="gregorian"/>
                </w:date>
              </w:sdtPr>
              <w:sdtContent>
                <w:r w:rsidR="00CE4842" w:rsidRPr="00775355">
                  <w:rPr>
                    <w:color w:val="000000" w:themeColor="text1"/>
                  </w:rPr>
                  <w:t>2021 m. rugsėjo. 16 d.</w:t>
                </w:r>
              </w:sdtContent>
            </w:sdt>
          </w:p>
        </w:tc>
        <w:tc>
          <w:tcPr>
            <w:tcW w:w="5144" w:type="dxa"/>
            <w:gridSpan w:val="2"/>
          </w:tcPr>
          <w:p w14:paraId="58E026B0" w14:textId="77777777" w:rsidR="00CE4842" w:rsidRPr="00775355" w:rsidRDefault="00CE4842" w:rsidP="00B26B22">
            <w:pPr>
              <w:spacing w:line="276" w:lineRule="auto"/>
              <w:jc w:val="both"/>
              <w:rPr>
                <w:rFonts w:eastAsia="Arial"/>
                <w:color w:val="000000" w:themeColor="text1"/>
              </w:rPr>
            </w:pPr>
            <w:proofErr w:type="spellStart"/>
            <w:r w:rsidRPr="00775355">
              <w:rPr>
                <w:rFonts w:eastAsia="Arial"/>
                <w:color w:val="000000" w:themeColor="text1"/>
              </w:rPr>
              <w:t>Enkorafenibas</w:t>
            </w:r>
            <w:proofErr w:type="spellEnd"/>
            <w:r w:rsidRPr="00775355">
              <w:rPr>
                <w:rFonts w:eastAsia="Arial"/>
                <w:color w:val="000000" w:themeColor="text1"/>
              </w:rPr>
              <w:t xml:space="preserve">, kombinacijoje su </w:t>
            </w:r>
            <w:proofErr w:type="spellStart"/>
            <w:r w:rsidRPr="00775355">
              <w:rPr>
                <w:rFonts w:eastAsia="Arial"/>
                <w:color w:val="000000" w:themeColor="text1"/>
              </w:rPr>
              <w:t>cetuksimabu</w:t>
            </w:r>
            <w:proofErr w:type="spellEnd"/>
            <w:r w:rsidRPr="00775355">
              <w:rPr>
                <w:rFonts w:eastAsia="Arial"/>
                <w:color w:val="000000" w:themeColor="text1"/>
              </w:rPr>
              <w:t xml:space="preserve">, rekomenduojamas BRAF V600E mutacijai teigiamos </w:t>
            </w:r>
            <w:proofErr w:type="spellStart"/>
            <w:r w:rsidRPr="00775355">
              <w:rPr>
                <w:rFonts w:eastAsia="Arial"/>
                <w:color w:val="000000" w:themeColor="text1"/>
              </w:rPr>
              <w:t>metastazavusio</w:t>
            </w:r>
            <w:proofErr w:type="spellEnd"/>
            <w:r w:rsidRPr="00775355">
              <w:rPr>
                <w:rFonts w:eastAsia="Arial"/>
                <w:color w:val="000000" w:themeColor="text1"/>
              </w:rPr>
              <w:t xml:space="preserve"> </w:t>
            </w:r>
            <w:proofErr w:type="spellStart"/>
            <w:r w:rsidRPr="00775355">
              <w:rPr>
                <w:rFonts w:eastAsia="Arial"/>
                <w:color w:val="000000" w:themeColor="text1"/>
              </w:rPr>
              <w:t>kolorektalinio</w:t>
            </w:r>
            <w:proofErr w:type="spellEnd"/>
            <w:r w:rsidRPr="00775355">
              <w:rPr>
                <w:rFonts w:eastAsia="Arial"/>
                <w:color w:val="000000" w:themeColor="text1"/>
              </w:rPr>
              <w:t xml:space="preserve"> vėžio gydymui suaugusiesiems, kuriems anksčiau buvo taikytas sisteminis gydymas, jeigu išpildomos tam tikros sąlygos:</w:t>
            </w:r>
          </w:p>
          <w:p w14:paraId="2A3903CF" w14:textId="77777777" w:rsidR="00CE4842" w:rsidRPr="00775355" w:rsidRDefault="00CE4842" w:rsidP="00CE4842">
            <w:pPr>
              <w:pStyle w:val="Sraopastraipa"/>
              <w:numPr>
                <w:ilvl w:val="0"/>
                <w:numId w:val="14"/>
              </w:numPr>
              <w:spacing w:line="276" w:lineRule="auto"/>
              <w:jc w:val="both"/>
              <w:rPr>
                <w:rFonts w:eastAsia="Arial"/>
                <w:color w:val="000000" w:themeColor="text1"/>
              </w:rPr>
            </w:pPr>
            <w:r w:rsidRPr="00775355">
              <w:rPr>
                <w:rFonts w:eastAsia="Arial"/>
                <w:color w:val="000000" w:themeColor="text1"/>
              </w:rPr>
              <w:t xml:space="preserve">Kompensuojamas tik kombinacijoje su </w:t>
            </w:r>
            <w:proofErr w:type="spellStart"/>
            <w:r w:rsidRPr="00775355">
              <w:rPr>
                <w:rFonts w:eastAsia="Arial"/>
                <w:color w:val="000000" w:themeColor="text1"/>
              </w:rPr>
              <w:t>cetuksimabu</w:t>
            </w:r>
            <w:proofErr w:type="spellEnd"/>
            <w:r w:rsidRPr="00775355">
              <w:rPr>
                <w:rFonts w:eastAsia="Arial"/>
                <w:color w:val="000000" w:themeColor="text1"/>
              </w:rPr>
              <w:t xml:space="preserve">, jeigu jį paskyrė gydytojai,  turintys </w:t>
            </w:r>
            <w:proofErr w:type="spellStart"/>
            <w:r w:rsidRPr="00775355">
              <w:rPr>
                <w:rFonts w:eastAsia="Arial"/>
                <w:color w:val="000000" w:themeColor="text1"/>
              </w:rPr>
              <w:t>kolorektalinio</w:t>
            </w:r>
            <w:proofErr w:type="spellEnd"/>
            <w:r w:rsidRPr="00775355">
              <w:rPr>
                <w:rFonts w:eastAsia="Arial"/>
                <w:color w:val="000000" w:themeColor="text1"/>
              </w:rPr>
              <w:t xml:space="preserve"> vėžio gydymo patirties</w:t>
            </w:r>
          </w:p>
          <w:p w14:paraId="6853D5D1" w14:textId="77777777" w:rsidR="00CE4842" w:rsidRPr="00775355" w:rsidRDefault="00CE4842" w:rsidP="00CE4842">
            <w:pPr>
              <w:pStyle w:val="Sraopastraipa"/>
              <w:numPr>
                <w:ilvl w:val="0"/>
                <w:numId w:val="14"/>
              </w:numPr>
              <w:spacing w:line="276" w:lineRule="auto"/>
              <w:jc w:val="both"/>
              <w:rPr>
                <w:rFonts w:eastAsia="Arial"/>
                <w:color w:val="000000" w:themeColor="text1"/>
              </w:rPr>
            </w:pPr>
            <w:r w:rsidRPr="00775355">
              <w:rPr>
                <w:rFonts w:eastAsia="Arial"/>
                <w:color w:val="000000" w:themeColor="text1"/>
              </w:rPr>
              <w:t>Sumažinama vaisto kaina</w:t>
            </w:r>
          </w:p>
          <w:p w14:paraId="733EA6E9" w14:textId="77777777" w:rsidR="00CE4842" w:rsidRPr="00775355" w:rsidRDefault="00CE4842" w:rsidP="00CE4842">
            <w:pPr>
              <w:pStyle w:val="Sraopastraipa"/>
              <w:numPr>
                <w:ilvl w:val="0"/>
                <w:numId w:val="14"/>
              </w:numPr>
              <w:spacing w:line="276" w:lineRule="auto"/>
              <w:jc w:val="both"/>
              <w:rPr>
                <w:rFonts w:eastAsia="Arial"/>
                <w:color w:val="000000" w:themeColor="text1"/>
              </w:rPr>
            </w:pPr>
            <w:r w:rsidRPr="00775355">
              <w:rPr>
                <w:rFonts w:eastAsia="Arial"/>
                <w:color w:val="000000" w:themeColor="text1"/>
              </w:rPr>
              <w:t>Nekompensuojamas pacientams, kurie anksčiau gydyti BRAF arba EGFR inhibitoriais</w:t>
            </w:r>
          </w:p>
        </w:tc>
      </w:tr>
      <w:tr w:rsidR="0021519A" w:rsidRPr="00775355" w14:paraId="085EDF4D" w14:textId="77777777" w:rsidTr="005F7CB6">
        <w:trPr>
          <w:trHeight w:val="1927"/>
        </w:trPr>
        <w:tc>
          <w:tcPr>
            <w:tcW w:w="3009" w:type="dxa"/>
          </w:tcPr>
          <w:p w14:paraId="301822AF" w14:textId="77777777" w:rsidR="0021519A" w:rsidRPr="00775355" w:rsidRDefault="0021519A" w:rsidP="00B26B22">
            <w:pPr>
              <w:spacing w:line="276" w:lineRule="auto"/>
              <w:jc w:val="both"/>
              <w:rPr>
                <w:rFonts w:eastAsia="Arial"/>
                <w:color w:val="000000" w:themeColor="text1"/>
              </w:rPr>
            </w:pPr>
            <w:r w:rsidRPr="00775355">
              <w:rPr>
                <w:rFonts w:eastAsia="Arial"/>
                <w:color w:val="000000" w:themeColor="text1"/>
              </w:rPr>
              <w:t xml:space="preserve">Nacionalinis </w:t>
            </w:r>
            <w:proofErr w:type="spellStart"/>
            <w:r w:rsidRPr="00775355">
              <w:rPr>
                <w:rFonts w:eastAsia="Arial"/>
                <w:color w:val="000000" w:themeColor="text1"/>
              </w:rPr>
              <w:t>farmakoekonomikos</w:t>
            </w:r>
            <w:proofErr w:type="spellEnd"/>
            <w:r w:rsidRPr="00775355">
              <w:rPr>
                <w:rFonts w:eastAsia="Arial"/>
                <w:color w:val="000000" w:themeColor="text1"/>
              </w:rPr>
              <w:t xml:space="preserve"> centras, Airija</w:t>
            </w:r>
          </w:p>
          <w:p w14:paraId="28F75211" w14:textId="77777777" w:rsidR="0021519A" w:rsidRPr="00775355" w:rsidRDefault="0021519A" w:rsidP="00B26B22">
            <w:pPr>
              <w:spacing w:line="276" w:lineRule="auto"/>
              <w:jc w:val="both"/>
              <w:rPr>
                <w:rFonts w:eastAsia="Arial"/>
                <w:color w:val="000000" w:themeColor="text1"/>
              </w:rPr>
            </w:pPr>
            <w:r w:rsidRPr="00775355">
              <w:rPr>
                <w:rFonts w:eastAsia="Arial"/>
                <w:color w:val="000000" w:themeColor="text1"/>
              </w:rPr>
              <w:t>(angl.</w:t>
            </w:r>
            <w:r w:rsidRPr="00775355">
              <w:rPr>
                <w:rFonts w:eastAsia="Arial"/>
                <w:i/>
                <w:color w:val="000000" w:themeColor="text1"/>
              </w:rPr>
              <w:t xml:space="preserve"> </w:t>
            </w:r>
            <w:proofErr w:type="spellStart"/>
            <w:r w:rsidRPr="00775355">
              <w:rPr>
                <w:rFonts w:eastAsia="Arial"/>
                <w:i/>
                <w:color w:val="000000" w:themeColor="text1"/>
              </w:rPr>
              <w:t>National</w:t>
            </w:r>
            <w:proofErr w:type="spellEnd"/>
            <w:r w:rsidRPr="00775355">
              <w:rPr>
                <w:rFonts w:eastAsia="Arial"/>
                <w:i/>
                <w:color w:val="000000" w:themeColor="text1"/>
              </w:rPr>
              <w:t xml:space="preserve"> Centre </w:t>
            </w:r>
            <w:proofErr w:type="spellStart"/>
            <w:r w:rsidRPr="00775355">
              <w:rPr>
                <w:rFonts w:eastAsia="Arial"/>
                <w:i/>
                <w:color w:val="000000" w:themeColor="text1"/>
              </w:rPr>
              <w:t>for</w:t>
            </w:r>
            <w:proofErr w:type="spellEnd"/>
            <w:r w:rsidRPr="00775355">
              <w:rPr>
                <w:rFonts w:eastAsia="Arial"/>
                <w:i/>
                <w:color w:val="000000" w:themeColor="text1"/>
              </w:rPr>
              <w:t xml:space="preserve"> </w:t>
            </w:r>
            <w:proofErr w:type="spellStart"/>
            <w:r w:rsidRPr="00775355">
              <w:rPr>
                <w:rFonts w:eastAsia="Arial"/>
                <w:i/>
                <w:color w:val="000000" w:themeColor="text1"/>
              </w:rPr>
              <w:t>Pharmacoeconomics</w:t>
            </w:r>
            <w:proofErr w:type="spellEnd"/>
            <w:r w:rsidRPr="00775355">
              <w:rPr>
                <w:rFonts w:eastAsia="Arial"/>
                <w:i/>
                <w:color w:val="000000" w:themeColor="text1"/>
              </w:rPr>
              <w:t>, NCPE</w:t>
            </w:r>
            <w:r w:rsidRPr="00775355">
              <w:rPr>
                <w:rFonts w:eastAsia="Arial"/>
                <w:color w:val="000000" w:themeColor="text1"/>
              </w:rPr>
              <w:t>)</w:t>
            </w:r>
          </w:p>
        </w:tc>
        <w:tc>
          <w:tcPr>
            <w:tcW w:w="1765" w:type="dxa"/>
          </w:tcPr>
          <w:p w14:paraId="33141C62" w14:textId="77777777" w:rsidR="0021519A" w:rsidRPr="00775355" w:rsidRDefault="00000000" w:rsidP="00B26B22">
            <w:pPr>
              <w:spacing w:line="276" w:lineRule="auto"/>
              <w:jc w:val="both"/>
              <w:rPr>
                <w:color w:val="000000" w:themeColor="text1"/>
              </w:rPr>
            </w:pPr>
            <w:sdt>
              <w:sdtPr>
                <w:rPr>
                  <w:rStyle w:val="Style2"/>
                  <w:color w:val="000000" w:themeColor="text1"/>
                </w:rPr>
                <w:id w:val="-1888403732"/>
                <w15:color w:val="FFCC00"/>
                <w14:checkbox>
                  <w14:checked w14:val="1"/>
                  <w14:checkedState w14:val="2612" w14:font="MS Gothic"/>
                  <w14:uncheckedState w14:val="2610" w14:font="MS Gothic"/>
                </w14:checkbox>
              </w:sdtPr>
              <w:sdtContent>
                <w:r w:rsidR="0021519A" w:rsidRPr="00775355">
                  <w:rPr>
                    <w:rStyle w:val="Style2"/>
                    <w:rFonts w:ascii="MS Gothic" w:eastAsia="MS Gothic" w:hAnsi="MS Gothic"/>
                    <w:color w:val="000000" w:themeColor="text1"/>
                  </w:rPr>
                  <w:t>☒</w:t>
                </w:r>
              </w:sdtContent>
            </w:sdt>
            <w:r w:rsidR="0021519A" w:rsidRPr="00775355">
              <w:rPr>
                <w:color w:val="000000" w:themeColor="text1"/>
              </w:rPr>
              <w:t xml:space="preserve"> Taip</w:t>
            </w:r>
          </w:p>
          <w:p w14:paraId="2591BD03" w14:textId="77777777" w:rsidR="0021519A" w:rsidRPr="00775355" w:rsidRDefault="00000000" w:rsidP="00B26B22">
            <w:pPr>
              <w:spacing w:line="276" w:lineRule="auto"/>
              <w:jc w:val="both"/>
              <w:rPr>
                <w:color w:val="000000" w:themeColor="text1"/>
              </w:rPr>
            </w:pPr>
            <w:sdt>
              <w:sdtPr>
                <w:rPr>
                  <w:rStyle w:val="Style2"/>
                  <w:color w:val="000000" w:themeColor="text1"/>
                </w:rPr>
                <w:id w:val="1092201793"/>
                <w15:color w:val="FFCC00"/>
                <w14:checkbox>
                  <w14:checked w14:val="0"/>
                  <w14:checkedState w14:val="2612" w14:font="MS Gothic"/>
                  <w14:uncheckedState w14:val="2610" w14:font="MS Gothic"/>
                </w14:checkbox>
              </w:sdtPr>
              <w:sdtContent>
                <w:r w:rsidR="0021519A" w:rsidRPr="00775355">
                  <w:rPr>
                    <w:rStyle w:val="Style2"/>
                    <w:rFonts w:ascii="MS Gothic" w:eastAsia="MS Gothic" w:hAnsi="MS Gothic"/>
                    <w:color w:val="000000" w:themeColor="text1"/>
                  </w:rPr>
                  <w:t>☐</w:t>
                </w:r>
              </w:sdtContent>
            </w:sdt>
            <w:r w:rsidR="0021519A" w:rsidRPr="00775355">
              <w:rPr>
                <w:color w:val="000000" w:themeColor="text1"/>
              </w:rPr>
              <w:t xml:space="preserve"> Ne</w:t>
            </w:r>
          </w:p>
          <w:p w14:paraId="630CD4A9" w14:textId="77777777" w:rsidR="0021519A" w:rsidRPr="00775355" w:rsidRDefault="00000000" w:rsidP="00B26B22">
            <w:pPr>
              <w:spacing w:line="276" w:lineRule="auto"/>
              <w:jc w:val="both"/>
              <w:rPr>
                <w:rFonts w:eastAsia="Arial"/>
                <w:i/>
                <w:iCs/>
                <w:color w:val="000000" w:themeColor="text1"/>
              </w:rPr>
            </w:pPr>
            <w:sdt>
              <w:sdtPr>
                <w:rPr>
                  <w:color w:val="000000" w:themeColor="text1"/>
                </w:rPr>
                <w:alias w:val="Nurodykite konkrečią dieną"/>
                <w:tag w:val="Nurodykite pradžios datą"/>
                <w:id w:val="596295199"/>
                <w:placeholder>
                  <w:docPart w:val="88DD40B7ACE8463ABE5023CCE6B93395"/>
                </w:placeholder>
                <w15:color w:val="FFCC99"/>
                <w:date>
                  <w:dateFormat w:val="yyyy 'm.' MMMM d 'd.'"/>
                  <w:lid w:val="lt-LT"/>
                  <w:storeMappedDataAs w:val="dateTime"/>
                  <w:calendar w:val="gregorian"/>
                </w:date>
              </w:sdtPr>
              <w:sdtContent>
                <w:r w:rsidR="0021519A" w:rsidRPr="00775355">
                  <w:rPr>
                    <w:color w:val="000000" w:themeColor="text1"/>
                  </w:rPr>
                  <w:t>2021 m. sausio 28 d.</w:t>
                </w:r>
              </w:sdtContent>
            </w:sdt>
          </w:p>
        </w:tc>
        <w:tc>
          <w:tcPr>
            <w:tcW w:w="5144" w:type="dxa"/>
            <w:gridSpan w:val="2"/>
          </w:tcPr>
          <w:p w14:paraId="0D04B34A" w14:textId="4FAC0D0D" w:rsidR="0021519A" w:rsidRPr="00775355" w:rsidRDefault="0021519A" w:rsidP="00B26B22">
            <w:pPr>
              <w:spacing w:line="276" w:lineRule="auto"/>
              <w:jc w:val="both"/>
              <w:rPr>
                <w:rFonts w:eastAsia="Arial"/>
                <w:color w:val="000000" w:themeColor="text1"/>
              </w:rPr>
            </w:pPr>
            <w:r w:rsidRPr="00775355">
              <w:rPr>
                <w:rFonts w:eastAsia="Arial"/>
                <w:color w:val="000000" w:themeColor="text1"/>
              </w:rPr>
              <w:t xml:space="preserve">NCPE rekomenduoja nesvarstyti galimybės kompensuoti </w:t>
            </w:r>
            <w:proofErr w:type="spellStart"/>
            <w:r w:rsidRPr="00775355">
              <w:rPr>
                <w:rFonts w:eastAsia="Arial"/>
                <w:color w:val="000000" w:themeColor="text1"/>
              </w:rPr>
              <w:t>enkorafenibo</w:t>
            </w:r>
            <w:proofErr w:type="spellEnd"/>
            <w:r w:rsidRPr="00775355">
              <w:rPr>
                <w:rFonts w:eastAsia="Arial"/>
                <w:color w:val="000000" w:themeColor="text1"/>
              </w:rPr>
              <w:t xml:space="preserve"> kartu su </w:t>
            </w:r>
            <w:proofErr w:type="spellStart"/>
            <w:r w:rsidRPr="00775355">
              <w:rPr>
                <w:rFonts w:eastAsia="Arial"/>
                <w:color w:val="000000" w:themeColor="text1"/>
              </w:rPr>
              <w:t>cetuksimabu</w:t>
            </w:r>
            <w:proofErr w:type="spellEnd"/>
            <w:r w:rsidRPr="00775355">
              <w:rPr>
                <w:rFonts w:eastAsia="Arial"/>
                <w:color w:val="000000" w:themeColor="text1"/>
              </w:rPr>
              <w:t>, nebent būtų pagerintas ekonominis efektyvumas, palyginus su esamais gydymo būdais.</w:t>
            </w:r>
          </w:p>
        </w:tc>
      </w:tr>
    </w:tbl>
    <w:p w14:paraId="25F89291" w14:textId="03338545" w:rsidR="00D4485B" w:rsidRPr="00775355" w:rsidRDefault="00CC7832" w:rsidP="004537D0">
      <w:pPr>
        <w:pStyle w:val="Sraopastraipa"/>
        <w:numPr>
          <w:ilvl w:val="0"/>
          <w:numId w:val="12"/>
        </w:numPr>
        <w:tabs>
          <w:tab w:val="left" w:pos="567"/>
        </w:tabs>
        <w:ind w:hanging="720"/>
        <w:rPr>
          <w:b/>
          <w:bCs/>
          <w:caps/>
        </w:rPr>
      </w:pPr>
      <w:r w:rsidRPr="00775355">
        <w:rPr>
          <w:b/>
          <w:bCs/>
          <w:caps/>
        </w:rPr>
        <w:lastRenderedPageBreak/>
        <w:t>Klinikinio vertinimo a</w:t>
      </w:r>
      <w:r w:rsidR="00D4485B" w:rsidRPr="00775355">
        <w:rPr>
          <w:b/>
          <w:bCs/>
          <w:caps/>
        </w:rPr>
        <w:t>pibendrinimas</w:t>
      </w:r>
    </w:p>
    <w:p w14:paraId="23702E64" w14:textId="77777777" w:rsidR="004537D0" w:rsidRPr="00775355" w:rsidRDefault="004537D0" w:rsidP="004537D0">
      <w:pPr>
        <w:tabs>
          <w:tab w:val="left" w:pos="567"/>
        </w:tabs>
        <w:rPr>
          <w:b/>
          <w:bCs/>
          <w:caps/>
        </w:rPr>
      </w:pPr>
    </w:p>
    <w:p w14:paraId="2AF7DF2B" w14:textId="43B14277" w:rsidR="00D21AC2" w:rsidRPr="00775355" w:rsidRDefault="00D21AC2" w:rsidP="00D21AC2">
      <w:pPr>
        <w:tabs>
          <w:tab w:val="left" w:pos="426"/>
        </w:tabs>
        <w:spacing w:line="276" w:lineRule="auto"/>
        <w:jc w:val="both"/>
        <w:rPr>
          <w:rFonts w:eastAsia="Arial"/>
          <w:color w:val="000000" w:themeColor="text1"/>
        </w:rPr>
      </w:pPr>
    </w:p>
    <w:p w14:paraId="023948D8" w14:textId="77777777" w:rsidR="00D21AC2" w:rsidRPr="00775355" w:rsidRDefault="00D21AC2" w:rsidP="00D21AC2">
      <w:pPr>
        <w:tabs>
          <w:tab w:val="left" w:pos="426"/>
        </w:tabs>
        <w:spacing w:line="276" w:lineRule="auto"/>
        <w:jc w:val="both"/>
        <w:rPr>
          <w:rFonts w:eastAsia="Arial"/>
          <w:color w:val="000000" w:themeColor="text1"/>
        </w:rPr>
      </w:pPr>
      <w:r w:rsidRPr="00775355">
        <w:rPr>
          <w:rFonts w:eastAsia="Arial"/>
          <w:color w:val="000000" w:themeColor="text1"/>
        </w:rPr>
        <w:tab/>
        <w:t xml:space="preserve">Storosios (gaubtinės) ir tiesiosios žarnos vėžys (angl. </w:t>
      </w:r>
      <w:proofErr w:type="spellStart"/>
      <w:r w:rsidRPr="00775355">
        <w:rPr>
          <w:rFonts w:eastAsia="Arial"/>
          <w:i/>
          <w:iCs/>
          <w:color w:val="000000" w:themeColor="text1"/>
        </w:rPr>
        <w:t>colorectal</w:t>
      </w:r>
      <w:proofErr w:type="spellEnd"/>
      <w:r w:rsidRPr="00775355">
        <w:rPr>
          <w:rFonts w:eastAsia="Arial"/>
          <w:i/>
          <w:iCs/>
          <w:color w:val="000000" w:themeColor="text1"/>
        </w:rPr>
        <w:t xml:space="preserve"> </w:t>
      </w:r>
      <w:proofErr w:type="spellStart"/>
      <w:r w:rsidRPr="00775355">
        <w:rPr>
          <w:rFonts w:eastAsia="Arial"/>
          <w:i/>
          <w:iCs/>
          <w:color w:val="000000" w:themeColor="text1"/>
        </w:rPr>
        <w:t>cancer</w:t>
      </w:r>
      <w:proofErr w:type="spellEnd"/>
      <w:r w:rsidRPr="00775355">
        <w:rPr>
          <w:rFonts w:eastAsia="Arial"/>
          <w:i/>
          <w:iCs/>
          <w:color w:val="000000" w:themeColor="text1"/>
        </w:rPr>
        <w:t>, CRC</w:t>
      </w:r>
      <w:r w:rsidRPr="00775355">
        <w:rPr>
          <w:rFonts w:eastAsia="Arial"/>
          <w:color w:val="000000" w:themeColor="text1"/>
        </w:rPr>
        <w:t xml:space="preserve">) yra trečias dažniausias vėžinis susirgimas pasaulyje, sudarantis apie 10 proc. visų diagnozuojamų navikų, bei mirčių dėl onkologinių susirgimų dalį. </w:t>
      </w:r>
    </w:p>
    <w:p w14:paraId="6AAC403C" w14:textId="77777777" w:rsidR="00D21AC2" w:rsidRPr="00775355" w:rsidRDefault="00D21AC2" w:rsidP="00D21AC2">
      <w:pPr>
        <w:tabs>
          <w:tab w:val="left" w:pos="426"/>
        </w:tabs>
        <w:spacing w:line="276" w:lineRule="auto"/>
        <w:jc w:val="both"/>
        <w:rPr>
          <w:color w:val="000000" w:themeColor="text1"/>
        </w:rPr>
      </w:pPr>
      <w:r w:rsidRPr="00775355">
        <w:rPr>
          <w:rFonts w:eastAsia="Arial"/>
          <w:color w:val="000000" w:themeColor="text1"/>
        </w:rPr>
        <w:tab/>
        <w:t xml:space="preserve">Ši agresyvi vėžio forma dažnai diagnozuojama vėlyvose stadijose, kai chirurginis gydymas yra neįmanomas: </w:t>
      </w:r>
      <w:r w:rsidRPr="00775355">
        <w:rPr>
          <w:color w:val="000000" w:themeColor="text1"/>
        </w:rPr>
        <w:t xml:space="preserve">diagnozės metu, nuo 19 iki 31 proc. atvejų, liga jau būna </w:t>
      </w:r>
      <w:proofErr w:type="spellStart"/>
      <w:r w:rsidRPr="00775355">
        <w:rPr>
          <w:color w:val="000000" w:themeColor="text1"/>
        </w:rPr>
        <w:t>metastazavusi</w:t>
      </w:r>
      <w:proofErr w:type="spellEnd"/>
      <w:r w:rsidRPr="00775355">
        <w:rPr>
          <w:color w:val="000000" w:themeColor="text1"/>
        </w:rPr>
        <w:t xml:space="preserve"> (angl. </w:t>
      </w:r>
      <w:proofErr w:type="spellStart"/>
      <w:r w:rsidRPr="00775355">
        <w:rPr>
          <w:i/>
          <w:iCs/>
          <w:color w:val="000000" w:themeColor="text1"/>
        </w:rPr>
        <w:t>metastatic</w:t>
      </w:r>
      <w:proofErr w:type="spellEnd"/>
      <w:r w:rsidRPr="00775355">
        <w:rPr>
          <w:i/>
          <w:iCs/>
          <w:color w:val="000000" w:themeColor="text1"/>
        </w:rPr>
        <w:t xml:space="preserve"> </w:t>
      </w:r>
      <w:proofErr w:type="spellStart"/>
      <w:r w:rsidRPr="00775355">
        <w:rPr>
          <w:i/>
          <w:iCs/>
          <w:color w:val="000000" w:themeColor="text1"/>
        </w:rPr>
        <w:t>colorectal</w:t>
      </w:r>
      <w:proofErr w:type="spellEnd"/>
      <w:r w:rsidRPr="00775355">
        <w:rPr>
          <w:i/>
          <w:iCs/>
          <w:color w:val="000000" w:themeColor="text1"/>
        </w:rPr>
        <w:t xml:space="preserve"> </w:t>
      </w:r>
      <w:proofErr w:type="spellStart"/>
      <w:r w:rsidRPr="00775355">
        <w:rPr>
          <w:i/>
          <w:iCs/>
          <w:color w:val="000000" w:themeColor="text1"/>
        </w:rPr>
        <w:t>cancer</w:t>
      </w:r>
      <w:proofErr w:type="spellEnd"/>
      <w:r w:rsidRPr="00775355">
        <w:rPr>
          <w:i/>
          <w:iCs/>
          <w:color w:val="000000" w:themeColor="text1"/>
        </w:rPr>
        <w:t xml:space="preserve">, </w:t>
      </w:r>
      <w:proofErr w:type="spellStart"/>
      <w:r w:rsidRPr="00775355">
        <w:rPr>
          <w:i/>
          <w:iCs/>
          <w:color w:val="000000" w:themeColor="text1"/>
        </w:rPr>
        <w:t>mCRC</w:t>
      </w:r>
      <w:proofErr w:type="spellEnd"/>
      <w:r w:rsidRPr="00775355">
        <w:rPr>
          <w:color w:val="000000" w:themeColor="text1"/>
        </w:rPr>
        <w:t xml:space="preserve">). </w:t>
      </w:r>
      <w:r w:rsidRPr="00775355">
        <w:rPr>
          <w:rFonts w:eastAsia="Arial"/>
          <w:color w:val="000000" w:themeColor="text1"/>
        </w:rPr>
        <w:t xml:space="preserve">Kasmet dėl CRC miršta daugiau nei 900 000 žmonių visame pasaulyje, </w:t>
      </w:r>
      <w:r w:rsidRPr="00775355">
        <w:rPr>
          <w:color w:val="000000" w:themeColor="text1"/>
        </w:rPr>
        <w:t>prognozuojama, kad ilgainiui sergamumas CRC pasaulyje didės ir 2035 m. sieks iki 2-5 mln. daugiau naujų atvejų.</w:t>
      </w:r>
    </w:p>
    <w:p w14:paraId="6D293FB9" w14:textId="77777777" w:rsidR="00D21AC2" w:rsidRPr="00775355" w:rsidRDefault="00D21AC2" w:rsidP="00D21AC2">
      <w:pPr>
        <w:tabs>
          <w:tab w:val="left" w:pos="426"/>
        </w:tabs>
        <w:spacing w:line="276" w:lineRule="auto"/>
        <w:jc w:val="both"/>
        <w:rPr>
          <w:rFonts w:eastAsia="Arial"/>
          <w:color w:val="000000" w:themeColor="text1"/>
        </w:rPr>
      </w:pPr>
      <w:r w:rsidRPr="00775355">
        <w:rPr>
          <w:rFonts w:eastAsia="Arial"/>
          <w:color w:val="000000" w:themeColor="text1"/>
        </w:rPr>
        <w:tab/>
        <w:t xml:space="preserve">Remiantis </w:t>
      </w:r>
      <w:r w:rsidRPr="00775355">
        <w:rPr>
          <w:color w:val="000000" w:themeColor="text1"/>
        </w:rPr>
        <w:t>Nacionalinio vėžio instituto duomenimis, 2012 m. Lietuvoje buvo diagnozuoti 1 679 nauji</w:t>
      </w:r>
      <w:r w:rsidRPr="00775355">
        <w:rPr>
          <w:rFonts w:eastAsia="Arial"/>
          <w:color w:val="000000" w:themeColor="text1"/>
        </w:rPr>
        <w:t xml:space="preserve"> </w:t>
      </w:r>
      <w:r w:rsidRPr="00775355">
        <w:rPr>
          <w:color w:val="000000" w:themeColor="text1"/>
        </w:rPr>
        <w:t>storosios žarnos piktybinių navikų atvejai (952 gaubtinės žarnos ir 727 tiesiosios žarnos). 2012 m.</w:t>
      </w:r>
      <w:r w:rsidRPr="00775355">
        <w:rPr>
          <w:rFonts w:eastAsia="Arial"/>
          <w:color w:val="000000" w:themeColor="text1"/>
        </w:rPr>
        <w:t xml:space="preserve"> </w:t>
      </w:r>
      <w:r w:rsidRPr="00775355">
        <w:rPr>
          <w:color w:val="000000" w:themeColor="text1"/>
        </w:rPr>
        <w:t>nuo storosios žarnos piktybinių navikų mirė 927 asmenys (516 nuo gaubtinės žarnos piktybinio</w:t>
      </w:r>
    </w:p>
    <w:p w14:paraId="627E8BB3" w14:textId="77777777" w:rsidR="00D21AC2" w:rsidRPr="00775355" w:rsidRDefault="00D21AC2" w:rsidP="00D21AC2">
      <w:pPr>
        <w:tabs>
          <w:tab w:val="left" w:pos="426"/>
        </w:tabs>
        <w:spacing w:line="276" w:lineRule="auto"/>
        <w:jc w:val="both"/>
        <w:rPr>
          <w:rFonts w:eastAsia="Arial"/>
          <w:color w:val="000000" w:themeColor="text1"/>
        </w:rPr>
      </w:pPr>
      <w:r w:rsidRPr="00775355">
        <w:rPr>
          <w:color w:val="000000" w:themeColor="text1"/>
        </w:rPr>
        <w:t>naviko ir 411 nuo tiesiosios žarnos piktybinio naviko). Sergamumo ir mirštamumo rodikliai skirtinguose Lietuvos regionuose netolygūs, tačiau stebima tolygiai didėjanti sergamumo tendencija</w:t>
      </w:r>
      <w:r w:rsidRPr="00775355">
        <w:rPr>
          <w:rFonts w:eastAsia="Arial"/>
          <w:color w:val="000000" w:themeColor="text1"/>
        </w:rPr>
        <w:t xml:space="preserve">.  </w:t>
      </w:r>
    </w:p>
    <w:p w14:paraId="2BC236A8" w14:textId="77777777" w:rsidR="00D21AC2" w:rsidRPr="00775355" w:rsidRDefault="00D21AC2" w:rsidP="00D21AC2">
      <w:pPr>
        <w:tabs>
          <w:tab w:val="left" w:pos="426"/>
        </w:tabs>
        <w:spacing w:line="276" w:lineRule="auto"/>
        <w:jc w:val="both"/>
        <w:rPr>
          <w:rFonts w:eastAsia="Arial"/>
          <w:color w:val="000000" w:themeColor="text1"/>
        </w:rPr>
      </w:pPr>
      <w:r w:rsidRPr="00775355">
        <w:rPr>
          <w:rFonts w:eastAsia="Arial"/>
          <w:color w:val="FF0000"/>
        </w:rPr>
        <w:tab/>
      </w:r>
      <w:r w:rsidRPr="00775355">
        <w:rPr>
          <w:rFonts w:eastAsia="Arial"/>
          <w:color w:val="000000" w:themeColor="text1"/>
        </w:rPr>
        <w:t xml:space="preserve">Lietuvoje taikomas CRC gydymas, remiantis SAM pateikta išplitusio CRC gydymo schema apima šiuos vaistinius preparatus: </w:t>
      </w:r>
      <w:proofErr w:type="spellStart"/>
      <w:r w:rsidRPr="00775355">
        <w:rPr>
          <w:color w:val="000000" w:themeColor="text1"/>
        </w:rPr>
        <w:t>oksaliplatiną</w:t>
      </w:r>
      <w:proofErr w:type="spellEnd"/>
      <w:r w:rsidRPr="00775355">
        <w:rPr>
          <w:color w:val="000000" w:themeColor="text1"/>
        </w:rPr>
        <w:t xml:space="preserve">, kalcio </w:t>
      </w:r>
      <w:proofErr w:type="spellStart"/>
      <w:r w:rsidRPr="00775355">
        <w:rPr>
          <w:color w:val="000000" w:themeColor="text1"/>
        </w:rPr>
        <w:t>folinatą</w:t>
      </w:r>
      <w:proofErr w:type="spellEnd"/>
      <w:r w:rsidRPr="00775355">
        <w:rPr>
          <w:color w:val="000000" w:themeColor="text1"/>
        </w:rPr>
        <w:t xml:space="preserve"> (</w:t>
      </w:r>
      <w:proofErr w:type="spellStart"/>
      <w:r w:rsidRPr="00775355">
        <w:rPr>
          <w:color w:val="000000" w:themeColor="text1"/>
        </w:rPr>
        <w:t>folino</w:t>
      </w:r>
      <w:proofErr w:type="spellEnd"/>
      <w:r w:rsidRPr="00775355">
        <w:rPr>
          <w:color w:val="000000" w:themeColor="text1"/>
        </w:rPr>
        <w:t xml:space="preserve"> rūgštį), 5-fluorouracilą, </w:t>
      </w:r>
      <w:proofErr w:type="spellStart"/>
      <w:r w:rsidRPr="00775355">
        <w:rPr>
          <w:color w:val="000000" w:themeColor="text1"/>
        </w:rPr>
        <w:t>kapecitabiną</w:t>
      </w:r>
      <w:proofErr w:type="spellEnd"/>
      <w:r w:rsidRPr="00775355">
        <w:rPr>
          <w:color w:val="000000" w:themeColor="text1"/>
        </w:rPr>
        <w:t xml:space="preserve">, </w:t>
      </w:r>
      <w:proofErr w:type="spellStart"/>
      <w:r w:rsidRPr="00775355">
        <w:rPr>
          <w:color w:val="000000" w:themeColor="text1"/>
        </w:rPr>
        <w:t>irinotekaną</w:t>
      </w:r>
      <w:proofErr w:type="spellEnd"/>
      <w:r w:rsidRPr="00775355">
        <w:rPr>
          <w:color w:val="000000" w:themeColor="text1"/>
        </w:rPr>
        <w:t xml:space="preserve"> ir </w:t>
      </w:r>
      <w:proofErr w:type="spellStart"/>
      <w:r w:rsidRPr="00775355">
        <w:rPr>
          <w:color w:val="000000" w:themeColor="text1"/>
        </w:rPr>
        <w:t>tegafurą</w:t>
      </w:r>
      <w:proofErr w:type="spellEnd"/>
      <w:r w:rsidRPr="00775355">
        <w:rPr>
          <w:color w:val="000000" w:themeColor="text1"/>
        </w:rPr>
        <w:t xml:space="preserve">. Šie vaistai dažnai derinami schemose, tokiose kaip FOLFOX (5-fluorouracilas, </w:t>
      </w:r>
      <w:proofErr w:type="spellStart"/>
      <w:r w:rsidRPr="00775355">
        <w:rPr>
          <w:color w:val="000000" w:themeColor="text1"/>
        </w:rPr>
        <w:t>folino</w:t>
      </w:r>
      <w:proofErr w:type="spellEnd"/>
      <w:r w:rsidRPr="00775355">
        <w:rPr>
          <w:color w:val="000000" w:themeColor="text1"/>
        </w:rPr>
        <w:t xml:space="preserve"> rūgštis ir </w:t>
      </w:r>
      <w:proofErr w:type="spellStart"/>
      <w:r w:rsidRPr="00775355">
        <w:rPr>
          <w:color w:val="000000" w:themeColor="text1"/>
        </w:rPr>
        <w:t>oksaliplatina</w:t>
      </w:r>
      <w:proofErr w:type="spellEnd"/>
      <w:r w:rsidRPr="00775355">
        <w:rPr>
          <w:color w:val="000000" w:themeColor="text1"/>
        </w:rPr>
        <w:t xml:space="preserve">) arba FOLFIRI (5-fluorouracilas, </w:t>
      </w:r>
      <w:proofErr w:type="spellStart"/>
      <w:r w:rsidRPr="00775355">
        <w:rPr>
          <w:color w:val="000000" w:themeColor="text1"/>
        </w:rPr>
        <w:t>folino</w:t>
      </w:r>
      <w:proofErr w:type="spellEnd"/>
      <w:r w:rsidRPr="00775355">
        <w:rPr>
          <w:color w:val="000000" w:themeColor="text1"/>
        </w:rPr>
        <w:t xml:space="preserve"> rūgštis ir </w:t>
      </w:r>
      <w:proofErr w:type="spellStart"/>
      <w:r w:rsidRPr="00775355">
        <w:rPr>
          <w:color w:val="000000" w:themeColor="text1"/>
        </w:rPr>
        <w:t>irinotekanas</w:t>
      </w:r>
      <w:proofErr w:type="spellEnd"/>
      <w:r w:rsidRPr="00775355">
        <w:rPr>
          <w:color w:val="000000" w:themeColor="text1"/>
        </w:rPr>
        <w:t xml:space="preserve">), kurios yra standartinės pirmos eilės gydymo galimybės.​ Taip pat naudojami ir biologinės terapijos vaistai: </w:t>
      </w:r>
      <w:proofErr w:type="spellStart"/>
      <w:r w:rsidRPr="00775355">
        <w:rPr>
          <w:color w:val="000000" w:themeColor="text1"/>
        </w:rPr>
        <w:t>bevacizumabas</w:t>
      </w:r>
      <w:proofErr w:type="spellEnd"/>
      <w:r w:rsidRPr="00775355">
        <w:rPr>
          <w:color w:val="000000" w:themeColor="text1"/>
        </w:rPr>
        <w:t xml:space="preserve">, </w:t>
      </w:r>
      <w:proofErr w:type="spellStart"/>
      <w:r w:rsidRPr="00775355">
        <w:rPr>
          <w:color w:val="000000" w:themeColor="text1"/>
        </w:rPr>
        <w:t>cetuksimabas</w:t>
      </w:r>
      <w:proofErr w:type="spellEnd"/>
      <w:r w:rsidRPr="00775355">
        <w:rPr>
          <w:color w:val="000000" w:themeColor="text1"/>
        </w:rPr>
        <w:t xml:space="preserve">, </w:t>
      </w:r>
      <w:proofErr w:type="spellStart"/>
      <w:r w:rsidRPr="00775355">
        <w:rPr>
          <w:color w:val="000000" w:themeColor="text1"/>
        </w:rPr>
        <w:t>panitumabas</w:t>
      </w:r>
      <w:proofErr w:type="spellEnd"/>
      <w:r w:rsidRPr="00775355">
        <w:rPr>
          <w:color w:val="000000" w:themeColor="text1"/>
        </w:rPr>
        <w:t xml:space="preserve">, </w:t>
      </w:r>
      <w:proofErr w:type="spellStart"/>
      <w:r w:rsidRPr="00775355">
        <w:rPr>
          <w:color w:val="000000" w:themeColor="text1"/>
        </w:rPr>
        <w:t>afliberceptas</w:t>
      </w:r>
      <w:proofErr w:type="spellEnd"/>
      <w:r w:rsidRPr="00775355">
        <w:rPr>
          <w:color w:val="000000" w:themeColor="text1"/>
        </w:rPr>
        <w:t>. Antros eilės gydymas paprastai skiriamas pacientams, kuriems liga progresuoja po pirmos eilės terapijos. Antros eilės gydymo pasirinkimas priklauso nuo anksčiau taikytos chemoterapijos schemos ir paciento būklės.</w:t>
      </w:r>
      <w:r w:rsidRPr="00775355">
        <w:rPr>
          <w:rFonts w:eastAsia="Arial"/>
          <w:color w:val="000000" w:themeColor="text1"/>
        </w:rPr>
        <w:tab/>
      </w:r>
    </w:p>
    <w:p w14:paraId="54B7A2B2" w14:textId="77777777" w:rsidR="00D21AC2" w:rsidRPr="00775355" w:rsidRDefault="00D21AC2" w:rsidP="00D21AC2">
      <w:pPr>
        <w:tabs>
          <w:tab w:val="left" w:pos="426"/>
        </w:tabs>
        <w:spacing w:line="276" w:lineRule="auto"/>
        <w:jc w:val="both"/>
        <w:rPr>
          <w:rFonts w:eastAsia="Arial"/>
          <w:color w:val="000000" w:themeColor="text1"/>
        </w:rPr>
      </w:pPr>
      <w:r w:rsidRPr="00775355">
        <w:rPr>
          <w:rFonts w:eastAsia="Arial"/>
          <w:color w:val="000000" w:themeColor="text1"/>
        </w:rPr>
        <w:tab/>
        <w:t xml:space="preserve">Remiantis įprastine klinikine praktika Lietuvoje, </w:t>
      </w:r>
      <w:proofErr w:type="spellStart"/>
      <w:r w:rsidRPr="00775355">
        <w:rPr>
          <w:rFonts w:eastAsia="Arial"/>
          <w:color w:val="000000" w:themeColor="text1"/>
        </w:rPr>
        <w:t>mCRC</w:t>
      </w:r>
      <w:proofErr w:type="spellEnd"/>
      <w:r w:rsidRPr="00775355">
        <w:rPr>
          <w:rFonts w:eastAsia="Arial"/>
          <w:color w:val="000000" w:themeColor="text1"/>
        </w:rPr>
        <w:t xml:space="preserve"> gydymui naudojami antros ir vėlesnės eilės preparatai apima FOLFIRI derinį su </w:t>
      </w:r>
      <w:proofErr w:type="spellStart"/>
      <w:r w:rsidRPr="00775355">
        <w:rPr>
          <w:rFonts w:eastAsia="Arial"/>
          <w:color w:val="000000" w:themeColor="text1"/>
        </w:rPr>
        <w:t>bevacizumabu</w:t>
      </w:r>
      <w:proofErr w:type="spellEnd"/>
      <w:r w:rsidRPr="00775355">
        <w:rPr>
          <w:rFonts w:eastAsia="Arial"/>
          <w:color w:val="000000" w:themeColor="text1"/>
        </w:rPr>
        <w:t xml:space="preserve"> arba </w:t>
      </w:r>
      <w:proofErr w:type="spellStart"/>
      <w:r w:rsidRPr="00775355">
        <w:rPr>
          <w:rFonts w:eastAsia="Arial"/>
          <w:color w:val="000000" w:themeColor="text1"/>
        </w:rPr>
        <w:t>afliberceptu</w:t>
      </w:r>
      <w:proofErr w:type="spellEnd"/>
      <w:r w:rsidRPr="00775355">
        <w:rPr>
          <w:rFonts w:eastAsia="Arial"/>
          <w:color w:val="000000" w:themeColor="text1"/>
        </w:rPr>
        <w:t xml:space="preserve">, XELOX, FOLFOX režimus, </w:t>
      </w:r>
      <w:proofErr w:type="spellStart"/>
      <w:r w:rsidRPr="00775355">
        <w:rPr>
          <w:rFonts w:eastAsia="Arial"/>
          <w:color w:val="000000" w:themeColor="text1"/>
        </w:rPr>
        <w:t>regorafenibą</w:t>
      </w:r>
      <w:proofErr w:type="spellEnd"/>
      <w:r w:rsidRPr="00775355">
        <w:rPr>
          <w:rFonts w:eastAsia="Arial"/>
          <w:color w:val="000000" w:themeColor="text1"/>
        </w:rPr>
        <w:t xml:space="preserve">, </w:t>
      </w:r>
      <w:proofErr w:type="spellStart"/>
      <w:r w:rsidRPr="00775355">
        <w:rPr>
          <w:rFonts w:eastAsia="Arial"/>
          <w:color w:val="000000" w:themeColor="text1"/>
        </w:rPr>
        <w:t>trifluridiną</w:t>
      </w:r>
      <w:proofErr w:type="spellEnd"/>
      <w:r w:rsidRPr="00775355">
        <w:rPr>
          <w:rFonts w:eastAsia="Arial"/>
          <w:color w:val="000000" w:themeColor="text1"/>
        </w:rPr>
        <w:t>/</w:t>
      </w:r>
      <w:proofErr w:type="spellStart"/>
      <w:r w:rsidRPr="00775355">
        <w:rPr>
          <w:rFonts w:eastAsia="Arial"/>
          <w:color w:val="000000" w:themeColor="text1"/>
        </w:rPr>
        <w:t>tipiracilą</w:t>
      </w:r>
      <w:proofErr w:type="spellEnd"/>
      <w:r w:rsidRPr="00775355">
        <w:rPr>
          <w:rFonts w:eastAsia="Arial"/>
          <w:color w:val="000000" w:themeColor="text1"/>
        </w:rPr>
        <w:t xml:space="preserve">, </w:t>
      </w:r>
      <w:proofErr w:type="spellStart"/>
      <w:r w:rsidRPr="00775355">
        <w:rPr>
          <w:rFonts w:eastAsia="Arial"/>
          <w:color w:val="000000" w:themeColor="text1"/>
        </w:rPr>
        <w:t>panitumabo</w:t>
      </w:r>
      <w:proofErr w:type="spellEnd"/>
      <w:r w:rsidRPr="00775355">
        <w:rPr>
          <w:rFonts w:eastAsia="Arial"/>
          <w:color w:val="000000" w:themeColor="text1"/>
        </w:rPr>
        <w:t xml:space="preserve"> arba </w:t>
      </w:r>
      <w:proofErr w:type="spellStart"/>
      <w:r w:rsidRPr="00775355">
        <w:rPr>
          <w:rFonts w:eastAsia="Arial"/>
          <w:color w:val="000000" w:themeColor="text1"/>
        </w:rPr>
        <w:t>cetuksimabo</w:t>
      </w:r>
      <w:proofErr w:type="spellEnd"/>
      <w:r w:rsidRPr="00775355">
        <w:rPr>
          <w:rFonts w:eastAsia="Arial"/>
          <w:color w:val="000000" w:themeColor="text1"/>
        </w:rPr>
        <w:t xml:space="preserve"> </w:t>
      </w:r>
      <w:proofErr w:type="spellStart"/>
      <w:r w:rsidRPr="00775355">
        <w:rPr>
          <w:rFonts w:eastAsia="Arial"/>
          <w:color w:val="000000" w:themeColor="text1"/>
        </w:rPr>
        <w:t>monoterapiją</w:t>
      </w:r>
      <w:proofErr w:type="spellEnd"/>
      <w:r w:rsidRPr="00775355">
        <w:rPr>
          <w:rFonts w:eastAsia="Arial"/>
          <w:color w:val="000000" w:themeColor="text1"/>
        </w:rPr>
        <w:t>, pacientams, neturintiems RAS mutacijų ir negavusiems šio gydymo ankstesnėje eilėje</w:t>
      </w:r>
    </w:p>
    <w:p w14:paraId="23E97470" w14:textId="77777777" w:rsidR="00D21AC2" w:rsidRPr="00775355" w:rsidRDefault="00D21AC2" w:rsidP="00D21AC2">
      <w:pPr>
        <w:tabs>
          <w:tab w:val="left" w:pos="426"/>
        </w:tabs>
        <w:spacing w:line="276" w:lineRule="auto"/>
        <w:jc w:val="both"/>
        <w:rPr>
          <w:rFonts w:eastAsia="Arial"/>
          <w:color w:val="FF0000"/>
        </w:rPr>
      </w:pPr>
      <w:r w:rsidRPr="00775355">
        <w:rPr>
          <w:i/>
          <w:iCs/>
          <w:color w:val="000000" w:themeColor="text1"/>
        </w:rPr>
        <w:tab/>
      </w:r>
      <w:r w:rsidRPr="00775355">
        <w:rPr>
          <w:color w:val="000000" w:themeColor="text1"/>
        </w:rPr>
        <w:t xml:space="preserve">Įvertinus paraiškoje pateiktus  klinikinius duomenis, siūlomą kompensuoti terapinę indikaciją bei įprastinę klinikinę praktiką Lietuvoje, šiuo metu Lietuvos įprastoje klinikinėje praktikoje </w:t>
      </w:r>
      <w:proofErr w:type="spellStart"/>
      <w:r w:rsidRPr="00775355">
        <w:rPr>
          <w:color w:val="000000" w:themeColor="text1"/>
        </w:rPr>
        <w:t>mCRC</w:t>
      </w:r>
      <w:proofErr w:type="spellEnd"/>
      <w:r w:rsidRPr="00775355">
        <w:rPr>
          <w:color w:val="000000" w:themeColor="text1"/>
        </w:rPr>
        <w:t xml:space="preserve"> taikomas antros ir vėlesnės eilės gydymas apima FOLFIRI derinį su </w:t>
      </w:r>
      <w:proofErr w:type="spellStart"/>
      <w:r w:rsidRPr="00775355">
        <w:rPr>
          <w:color w:val="000000" w:themeColor="text1"/>
        </w:rPr>
        <w:t>bevacizumabu</w:t>
      </w:r>
      <w:proofErr w:type="spellEnd"/>
      <w:r w:rsidRPr="00775355">
        <w:rPr>
          <w:color w:val="000000" w:themeColor="text1"/>
        </w:rPr>
        <w:t xml:space="preserve"> arba </w:t>
      </w:r>
      <w:proofErr w:type="spellStart"/>
      <w:r w:rsidRPr="00775355">
        <w:rPr>
          <w:color w:val="000000" w:themeColor="text1"/>
        </w:rPr>
        <w:t>afliberceptu</w:t>
      </w:r>
      <w:proofErr w:type="spellEnd"/>
      <w:r w:rsidRPr="00775355">
        <w:rPr>
          <w:color w:val="000000" w:themeColor="text1"/>
        </w:rPr>
        <w:t xml:space="preserve">, XELOX, FOLFOX režimus, </w:t>
      </w:r>
      <w:proofErr w:type="spellStart"/>
      <w:r w:rsidRPr="00775355">
        <w:rPr>
          <w:color w:val="000000" w:themeColor="text1"/>
        </w:rPr>
        <w:t>regorafenibą</w:t>
      </w:r>
      <w:proofErr w:type="spellEnd"/>
      <w:r w:rsidRPr="00775355">
        <w:rPr>
          <w:color w:val="000000" w:themeColor="text1"/>
        </w:rPr>
        <w:t xml:space="preserve">, </w:t>
      </w:r>
      <w:proofErr w:type="spellStart"/>
      <w:r w:rsidRPr="00775355">
        <w:rPr>
          <w:color w:val="000000" w:themeColor="text1"/>
        </w:rPr>
        <w:t>trifluridiną</w:t>
      </w:r>
      <w:proofErr w:type="spellEnd"/>
      <w:r w:rsidRPr="00775355">
        <w:rPr>
          <w:color w:val="000000" w:themeColor="text1"/>
        </w:rPr>
        <w:t>/</w:t>
      </w:r>
      <w:proofErr w:type="spellStart"/>
      <w:r w:rsidRPr="00775355">
        <w:rPr>
          <w:color w:val="000000" w:themeColor="text1"/>
        </w:rPr>
        <w:t>tipiracilą</w:t>
      </w:r>
      <w:proofErr w:type="spellEnd"/>
      <w:r w:rsidRPr="00775355">
        <w:rPr>
          <w:color w:val="000000" w:themeColor="text1"/>
        </w:rPr>
        <w:t xml:space="preserve">, </w:t>
      </w:r>
      <w:proofErr w:type="spellStart"/>
      <w:r w:rsidRPr="00775355">
        <w:rPr>
          <w:color w:val="000000" w:themeColor="text1"/>
        </w:rPr>
        <w:t>panitumabo</w:t>
      </w:r>
      <w:proofErr w:type="spellEnd"/>
      <w:r w:rsidRPr="00775355">
        <w:rPr>
          <w:color w:val="000000" w:themeColor="text1"/>
        </w:rPr>
        <w:t xml:space="preserve"> arba </w:t>
      </w:r>
      <w:proofErr w:type="spellStart"/>
      <w:r w:rsidRPr="00775355">
        <w:rPr>
          <w:color w:val="000000" w:themeColor="text1"/>
        </w:rPr>
        <w:t>cetuksimabo</w:t>
      </w:r>
      <w:proofErr w:type="spellEnd"/>
      <w:r w:rsidRPr="00775355">
        <w:rPr>
          <w:color w:val="000000" w:themeColor="text1"/>
        </w:rPr>
        <w:t xml:space="preserve"> </w:t>
      </w:r>
      <w:proofErr w:type="spellStart"/>
      <w:r w:rsidRPr="00775355">
        <w:rPr>
          <w:color w:val="000000" w:themeColor="text1"/>
        </w:rPr>
        <w:t>monoterapiją</w:t>
      </w:r>
      <w:proofErr w:type="spellEnd"/>
      <w:r w:rsidRPr="00775355">
        <w:rPr>
          <w:color w:val="000000" w:themeColor="text1"/>
        </w:rPr>
        <w:t xml:space="preserve">, pacientams, neturintiems RAS mutacijų ir negavusiems šio gydymo ankstesnėje eilėje. </w:t>
      </w:r>
      <w:proofErr w:type="spellStart"/>
      <w:r w:rsidRPr="00775355">
        <w:rPr>
          <w:color w:val="000000" w:themeColor="text1"/>
        </w:rPr>
        <w:t>Cetuksimabas</w:t>
      </w:r>
      <w:proofErr w:type="spellEnd"/>
      <w:r w:rsidRPr="00775355">
        <w:rPr>
          <w:color w:val="000000" w:themeColor="text1"/>
        </w:rPr>
        <w:t xml:space="preserve"> yra skiriamas </w:t>
      </w:r>
      <w:proofErr w:type="spellStart"/>
      <w:r w:rsidRPr="00775355">
        <w:rPr>
          <w:color w:val="000000" w:themeColor="text1"/>
        </w:rPr>
        <w:t>mCRC</w:t>
      </w:r>
      <w:proofErr w:type="spellEnd"/>
      <w:r w:rsidRPr="00775355">
        <w:rPr>
          <w:color w:val="000000" w:themeColor="text1"/>
        </w:rPr>
        <w:t xml:space="preserve"> pirmos eilės gydymui (derinyje su </w:t>
      </w:r>
      <w:proofErr w:type="spellStart"/>
      <w:r w:rsidRPr="00775355">
        <w:rPr>
          <w:color w:val="000000" w:themeColor="text1"/>
        </w:rPr>
        <w:t>irinotekanu</w:t>
      </w:r>
      <w:proofErr w:type="spellEnd"/>
      <w:r w:rsidRPr="00775355">
        <w:rPr>
          <w:color w:val="000000" w:themeColor="text1"/>
        </w:rPr>
        <w:t xml:space="preserve"> arba </w:t>
      </w:r>
      <w:proofErr w:type="spellStart"/>
      <w:r w:rsidRPr="00775355">
        <w:rPr>
          <w:color w:val="000000" w:themeColor="text1"/>
        </w:rPr>
        <w:t>oksaliplatina</w:t>
      </w:r>
      <w:proofErr w:type="spellEnd"/>
      <w:r w:rsidRPr="00775355">
        <w:rPr>
          <w:color w:val="000000" w:themeColor="text1"/>
        </w:rPr>
        <w:t xml:space="preserve">, kai nėra nustatyta RAS mutacija), taip pat, kaip </w:t>
      </w:r>
      <w:proofErr w:type="spellStart"/>
      <w:r w:rsidRPr="00775355">
        <w:rPr>
          <w:color w:val="000000" w:themeColor="text1"/>
        </w:rPr>
        <w:t>monoterapija</w:t>
      </w:r>
      <w:proofErr w:type="spellEnd"/>
      <w:r w:rsidRPr="00775355">
        <w:rPr>
          <w:color w:val="000000" w:themeColor="text1"/>
        </w:rPr>
        <w:t xml:space="preserve"> trečios eilės gydymui (kai nėra nustatyta RAS mutacijų ir vaistas nebuvo naudotas </w:t>
      </w:r>
      <w:proofErr w:type="spellStart"/>
      <w:r w:rsidRPr="00775355">
        <w:rPr>
          <w:color w:val="000000" w:themeColor="text1"/>
        </w:rPr>
        <w:t>mCRC</w:t>
      </w:r>
      <w:proofErr w:type="spellEnd"/>
      <w:r w:rsidRPr="00775355">
        <w:rPr>
          <w:color w:val="000000" w:themeColor="text1"/>
        </w:rPr>
        <w:t xml:space="preserve"> gydymui anksčiau). Todėl </w:t>
      </w:r>
      <w:proofErr w:type="spellStart"/>
      <w:r w:rsidRPr="00775355">
        <w:rPr>
          <w:color w:val="000000" w:themeColor="text1"/>
        </w:rPr>
        <w:t>irinotekanas</w:t>
      </w:r>
      <w:proofErr w:type="spellEnd"/>
      <w:r w:rsidRPr="00775355">
        <w:rPr>
          <w:color w:val="000000" w:themeColor="text1"/>
        </w:rPr>
        <w:t xml:space="preserve"> arba FOLFIRI derinyje su </w:t>
      </w:r>
      <w:proofErr w:type="spellStart"/>
      <w:r w:rsidRPr="00775355">
        <w:rPr>
          <w:color w:val="000000" w:themeColor="text1"/>
        </w:rPr>
        <w:t>cetuksimabu</w:t>
      </w:r>
      <w:proofErr w:type="spellEnd"/>
      <w:r w:rsidRPr="00775355">
        <w:rPr>
          <w:color w:val="000000" w:themeColor="text1"/>
        </w:rPr>
        <w:t xml:space="preserve"> </w:t>
      </w:r>
      <w:r w:rsidRPr="00775355">
        <w:rPr>
          <w:b/>
          <w:bCs/>
          <w:color w:val="000000" w:themeColor="text1"/>
        </w:rPr>
        <w:t>nėra</w:t>
      </w:r>
      <w:r w:rsidRPr="00775355">
        <w:rPr>
          <w:color w:val="000000" w:themeColor="text1"/>
        </w:rPr>
        <w:t xml:space="preserve"> laikomas tinkamu palyginamuoju gydymu</w:t>
      </w:r>
      <w:r w:rsidRPr="00775355">
        <w:rPr>
          <w:rFonts w:eastAsia="Arial"/>
          <w:color w:val="000000" w:themeColor="text1"/>
        </w:rPr>
        <w:t>.</w:t>
      </w:r>
    </w:p>
    <w:p w14:paraId="4E24A422" w14:textId="77777777" w:rsidR="00D21AC2" w:rsidRPr="00775355" w:rsidRDefault="00D21AC2" w:rsidP="00D21AC2">
      <w:pPr>
        <w:tabs>
          <w:tab w:val="left" w:pos="426"/>
        </w:tabs>
        <w:spacing w:line="276" w:lineRule="auto"/>
        <w:jc w:val="both"/>
        <w:rPr>
          <w:bCs/>
          <w:iCs/>
          <w:color w:val="000000" w:themeColor="text1"/>
          <w:lang w:eastAsia="lt-LT"/>
        </w:rPr>
      </w:pPr>
      <w:r w:rsidRPr="00775355">
        <w:rPr>
          <w:rFonts w:eastAsia="Arial"/>
          <w:color w:val="000000" w:themeColor="text1"/>
        </w:rPr>
        <w:tab/>
      </w:r>
      <w:r w:rsidRPr="00775355">
        <w:rPr>
          <w:bCs/>
          <w:iCs/>
          <w:color w:val="000000" w:themeColor="text1"/>
          <w:lang w:eastAsia="lt-LT"/>
        </w:rPr>
        <w:t xml:space="preserve">Palyginamasis gydymas, </w:t>
      </w:r>
      <w:proofErr w:type="spellStart"/>
      <w:r w:rsidRPr="00775355">
        <w:rPr>
          <w:bCs/>
          <w:iCs/>
          <w:color w:val="000000" w:themeColor="text1"/>
          <w:lang w:eastAsia="lt-LT"/>
        </w:rPr>
        <w:t>irinotekanas</w:t>
      </w:r>
      <w:proofErr w:type="spellEnd"/>
      <w:r w:rsidRPr="00775355">
        <w:rPr>
          <w:bCs/>
          <w:iCs/>
          <w:color w:val="000000" w:themeColor="text1"/>
          <w:lang w:eastAsia="lt-LT"/>
        </w:rPr>
        <w:t xml:space="preserve"> arba FOLFIRI derinyje su </w:t>
      </w:r>
      <w:proofErr w:type="spellStart"/>
      <w:r w:rsidRPr="00775355">
        <w:rPr>
          <w:bCs/>
          <w:iCs/>
          <w:color w:val="000000" w:themeColor="text1"/>
          <w:lang w:eastAsia="lt-LT"/>
        </w:rPr>
        <w:t>cetuksimabu</w:t>
      </w:r>
      <w:proofErr w:type="spellEnd"/>
      <w:r w:rsidRPr="00775355">
        <w:rPr>
          <w:bCs/>
          <w:iCs/>
          <w:color w:val="000000" w:themeColor="text1"/>
          <w:lang w:eastAsia="lt-LT"/>
        </w:rPr>
        <w:t xml:space="preserve"> </w:t>
      </w:r>
      <w:r w:rsidRPr="00775355">
        <w:rPr>
          <w:bCs/>
          <w:iCs/>
          <w:color w:val="000000" w:themeColor="text1"/>
          <w:u w:val="single"/>
          <w:lang w:eastAsia="lt-LT"/>
        </w:rPr>
        <w:t>nėra</w:t>
      </w:r>
      <w:r w:rsidRPr="00775355">
        <w:rPr>
          <w:bCs/>
          <w:iCs/>
          <w:color w:val="000000" w:themeColor="text1"/>
          <w:lang w:eastAsia="lt-LT"/>
        </w:rPr>
        <w:t xml:space="preserve"> laikomas atitinkančiu Paraiškos įrašyti vaistinį preparatą į kompensavimo sąrašus rengimo taisyklių patvirtintų Lietuvos Respublikos sveikatos apsaugos ministro 2002 m. balandžio 5 d. įsakymu Nr. V-159 „Dėl vaistinių preparatų ir medicinos pagalbos priemonių įrašymo į kompensavimo sąrašus ir jų keitimo tvarkos aprašo patvirtinimo“ 116–119 punktus.</w:t>
      </w:r>
    </w:p>
    <w:p w14:paraId="6EB99613" w14:textId="77777777" w:rsidR="00D21AC2" w:rsidRPr="00775355" w:rsidRDefault="00D21AC2" w:rsidP="00D21AC2">
      <w:pPr>
        <w:tabs>
          <w:tab w:val="left" w:pos="426"/>
        </w:tabs>
        <w:spacing w:line="276" w:lineRule="auto"/>
        <w:jc w:val="both"/>
        <w:rPr>
          <w:rFonts w:eastAsia="Arial"/>
          <w:color w:val="000000" w:themeColor="text1"/>
        </w:rPr>
      </w:pPr>
    </w:p>
    <w:p w14:paraId="60BF3C0E" w14:textId="77777777" w:rsidR="00D21AC2" w:rsidRPr="00775355" w:rsidRDefault="00D21AC2" w:rsidP="00D21AC2">
      <w:pPr>
        <w:tabs>
          <w:tab w:val="left" w:pos="426"/>
        </w:tabs>
        <w:spacing w:line="276" w:lineRule="auto"/>
        <w:jc w:val="both"/>
        <w:rPr>
          <w:rFonts w:eastAsia="Arial"/>
          <w:color w:val="000000" w:themeColor="text1"/>
        </w:rPr>
      </w:pPr>
      <w:r w:rsidRPr="00775355">
        <w:rPr>
          <w:rFonts w:eastAsia="Arial"/>
          <w:color w:val="000000" w:themeColor="text1"/>
        </w:rPr>
        <w:tab/>
      </w:r>
      <w:r w:rsidRPr="00775355">
        <w:rPr>
          <w:rFonts w:eastAsia="Arial"/>
          <w:color w:val="000000" w:themeColor="text1"/>
          <w:u w:val="single"/>
        </w:rPr>
        <w:t>Tiesioginis palyginimas</w:t>
      </w:r>
    </w:p>
    <w:p w14:paraId="236FC72B" w14:textId="77777777" w:rsidR="00D21AC2" w:rsidRPr="00775355" w:rsidRDefault="00D21AC2" w:rsidP="00D21AC2">
      <w:pPr>
        <w:spacing w:line="276" w:lineRule="auto"/>
        <w:ind w:firstLine="720"/>
        <w:jc w:val="both"/>
        <w:rPr>
          <w:rFonts w:eastAsia="Arial"/>
          <w:bCs/>
          <w:color w:val="000000" w:themeColor="text1"/>
        </w:rPr>
      </w:pPr>
      <w:r w:rsidRPr="00775355">
        <w:rPr>
          <w:rFonts w:eastAsia="Arial"/>
          <w:bCs/>
          <w:color w:val="000000" w:themeColor="text1"/>
        </w:rPr>
        <w:lastRenderedPageBreak/>
        <w:t xml:space="preserve">Klinikinis </w:t>
      </w:r>
      <w:proofErr w:type="spellStart"/>
      <w:r w:rsidRPr="00775355">
        <w:rPr>
          <w:rFonts w:eastAsia="Arial"/>
          <w:bCs/>
          <w:color w:val="000000" w:themeColor="text1"/>
        </w:rPr>
        <w:t>enkorafenibo</w:t>
      </w:r>
      <w:proofErr w:type="spellEnd"/>
      <w:r w:rsidRPr="00775355">
        <w:rPr>
          <w:rFonts w:eastAsia="Arial"/>
          <w:bCs/>
          <w:color w:val="000000" w:themeColor="text1"/>
        </w:rPr>
        <w:t xml:space="preserve"> efektyvumas vertinamas remiantis paraiškoje pateikto </w:t>
      </w:r>
      <w:proofErr w:type="spellStart"/>
      <w:r w:rsidRPr="00775355">
        <w:rPr>
          <w:rFonts w:eastAsia="Arial"/>
          <w:bCs/>
          <w:color w:val="000000" w:themeColor="text1"/>
        </w:rPr>
        <w:t>daugiacentrio</w:t>
      </w:r>
      <w:proofErr w:type="spellEnd"/>
      <w:r w:rsidRPr="00775355">
        <w:rPr>
          <w:rFonts w:eastAsia="Arial"/>
          <w:bCs/>
          <w:color w:val="000000" w:themeColor="text1"/>
        </w:rPr>
        <w:t xml:space="preserve">, atviro, atsitiktinių imčių </w:t>
      </w:r>
      <w:r w:rsidRPr="00775355">
        <w:rPr>
          <w:rFonts w:eastAsia="Arial"/>
          <w:color w:val="000000" w:themeColor="text1"/>
        </w:rPr>
        <w:t xml:space="preserve">BEACON CRC </w:t>
      </w:r>
      <w:r w:rsidRPr="00775355">
        <w:rPr>
          <w:rFonts w:eastAsia="Arial"/>
          <w:bCs/>
          <w:color w:val="000000" w:themeColor="text1"/>
        </w:rPr>
        <w:t xml:space="preserve">klinikinio tyrimo metu. BEACON CRC tai 3 fazės klinikinis tyrimas, kuriame </w:t>
      </w:r>
      <w:proofErr w:type="spellStart"/>
      <w:r w:rsidRPr="00775355">
        <w:rPr>
          <w:rFonts w:eastAsia="Arial"/>
          <w:bCs/>
          <w:color w:val="000000" w:themeColor="text1"/>
        </w:rPr>
        <w:t>enkorafenibo</w:t>
      </w:r>
      <w:proofErr w:type="spellEnd"/>
      <w:r w:rsidRPr="00775355">
        <w:rPr>
          <w:rFonts w:eastAsia="Arial"/>
          <w:bCs/>
          <w:color w:val="000000" w:themeColor="text1"/>
        </w:rPr>
        <w:t xml:space="preserve"> ir </w:t>
      </w:r>
      <w:proofErr w:type="spellStart"/>
      <w:r w:rsidRPr="00775355">
        <w:rPr>
          <w:rFonts w:eastAsia="Arial"/>
          <w:bCs/>
          <w:color w:val="000000" w:themeColor="text1"/>
        </w:rPr>
        <w:t>cetuksimabo</w:t>
      </w:r>
      <w:proofErr w:type="spellEnd"/>
      <w:r w:rsidRPr="00775355">
        <w:rPr>
          <w:rFonts w:eastAsia="Arial"/>
          <w:bCs/>
          <w:color w:val="000000" w:themeColor="text1"/>
        </w:rPr>
        <w:t xml:space="preserve"> derinio su arba be </w:t>
      </w:r>
      <w:proofErr w:type="spellStart"/>
      <w:r w:rsidRPr="00775355">
        <w:rPr>
          <w:rFonts w:eastAsia="Arial"/>
          <w:bCs/>
          <w:color w:val="000000" w:themeColor="text1"/>
        </w:rPr>
        <w:t>binimetinibo</w:t>
      </w:r>
      <w:proofErr w:type="spellEnd"/>
      <w:r w:rsidRPr="00775355">
        <w:rPr>
          <w:rFonts w:eastAsia="Arial"/>
          <w:bCs/>
          <w:color w:val="000000" w:themeColor="text1"/>
        </w:rPr>
        <w:t xml:space="preserve"> klinikinis veiksmingumas ir saugumas buvo palygintas su gydymu kontrolinėje grupėje (</w:t>
      </w:r>
      <w:proofErr w:type="spellStart"/>
      <w:r w:rsidRPr="00775355">
        <w:rPr>
          <w:rFonts w:eastAsia="Arial"/>
          <w:bCs/>
          <w:color w:val="000000" w:themeColor="text1"/>
        </w:rPr>
        <w:t>irinotekano</w:t>
      </w:r>
      <w:proofErr w:type="spellEnd"/>
      <w:r w:rsidRPr="00775355">
        <w:rPr>
          <w:rFonts w:eastAsia="Arial"/>
          <w:bCs/>
          <w:color w:val="000000" w:themeColor="text1"/>
        </w:rPr>
        <w:t>/</w:t>
      </w:r>
      <w:proofErr w:type="spellStart"/>
      <w:r w:rsidRPr="00775355">
        <w:rPr>
          <w:rFonts w:eastAsia="Arial"/>
          <w:bCs/>
          <w:color w:val="000000" w:themeColor="text1"/>
        </w:rPr>
        <w:t>cetuksimabo</w:t>
      </w:r>
      <w:proofErr w:type="spellEnd"/>
      <w:r w:rsidRPr="00775355">
        <w:rPr>
          <w:rFonts w:eastAsia="Arial"/>
          <w:bCs/>
          <w:color w:val="000000" w:themeColor="text1"/>
        </w:rPr>
        <w:t xml:space="preserve"> arba FOLFIRI/</w:t>
      </w:r>
      <w:proofErr w:type="spellStart"/>
      <w:r w:rsidRPr="00775355">
        <w:rPr>
          <w:rFonts w:eastAsia="Arial"/>
          <w:bCs/>
          <w:color w:val="000000" w:themeColor="text1"/>
        </w:rPr>
        <w:t>cetuksimabo</w:t>
      </w:r>
      <w:proofErr w:type="spellEnd"/>
      <w:r w:rsidRPr="00775355">
        <w:rPr>
          <w:rFonts w:eastAsia="Arial"/>
          <w:bCs/>
          <w:color w:val="000000" w:themeColor="text1"/>
        </w:rPr>
        <w:t xml:space="preserve"> deriniu) gydant suaugusius pacientus, sergančius </w:t>
      </w:r>
      <w:proofErr w:type="spellStart"/>
      <w:r w:rsidRPr="00775355">
        <w:rPr>
          <w:rFonts w:eastAsia="Arial"/>
          <w:bCs/>
          <w:color w:val="000000" w:themeColor="text1"/>
        </w:rPr>
        <w:t>metastazavusiu</w:t>
      </w:r>
      <w:proofErr w:type="spellEnd"/>
      <w:r w:rsidRPr="00775355">
        <w:rPr>
          <w:rFonts w:eastAsia="Arial"/>
          <w:bCs/>
          <w:color w:val="000000" w:themeColor="text1"/>
        </w:rPr>
        <w:t xml:space="preserve"> </w:t>
      </w:r>
      <w:proofErr w:type="spellStart"/>
      <w:r w:rsidRPr="00775355">
        <w:rPr>
          <w:rFonts w:eastAsia="Arial"/>
          <w:bCs/>
          <w:color w:val="000000" w:themeColor="text1"/>
        </w:rPr>
        <w:t>kolorektaliniu</w:t>
      </w:r>
      <w:proofErr w:type="spellEnd"/>
      <w:r w:rsidRPr="00775355">
        <w:rPr>
          <w:rFonts w:eastAsia="Arial"/>
          <w:bCs/>
          <w:color w:val="000000" w:themeColor="text1"/>
        </w:rPr>
        <w:t xml:space="preserve"> vėžiu (</w:t>
      </w:r>
      <w:proofErr w:type="spellStart"/>
      <w:r w:rsidRPr="00775355">
        <w:rPr>
          <w:rFonts w:eastAsia="Arial"/>
          <w:bCs/>
          <w:color w:val="000000" w:themeColor="text1"/>
        </w:rPr>
        <w:t>mCRC</w:t>
      </w:r>
      <w:proofErr w:type="spellEnd"/>
      <w:r w:rsidRPr="00775355">
        <w:rPr>
          <w:rFonts w:eastAsia="Arial"/>
          <w:bCs/>
          <w:color w:val="000000" w:themeColor="text1"/>
        </w:rPr>
        <w:t xml:space="preserve">) su BRAF V600E mutacija, kurie anksčiau buvo gydyti viena ar dviem sisteminėmis </w:t>
      </w:r>
      <w:proofErr w:type="spellStart"/>
      <w:r w:rsidRPr="00775355">
        <w:rPr>
          <w:rFonts w:eastAsia="Arial"/>
          <w:bCs/>
          <w:color w:val="000000" w:themeColor="text1"/>
        </w:rPr>
        <w:t>terapijomis</w:t>
      </w:r>
      <w:proofErr w:type="spellEnd"/>
      <w:r w:rsidRPr="00775355">
        <w:rPr>
          <w:rFonts w:eastAsia="Arial"/>
          <w:bCs/>
          <w:color w:val="000000" w:themeColor="text1"/>
        </w:rPr>
        <w:t xml:space="preserve"> </w:t>
      </w:r>
      <w:proofErr w:type="spellStart"/>
      <w:r w:rsidRPr="00775355">
        <w:rPr>
          <w:rFonts w:eastAsia="Arial"/>
          <w:bCs/>
          <w:color w:val="000000" w:themeColor="text1"/>
        </w:rPr>
        <w:t>metastazavusiai</w:t>
      </w:r>
      <w:proofErr w:type="spellEnd"/>
      <w:r w:rsidRPr="00775355">
        <w:rPr>
          <w:rFonts w:eastAsia="Arial"/>
          <w:bCs/>
          <w:color w:val="000000" w:themeColor="text1"/>
        </w:rPr>
        <w:t xml:space="preserve"> ligai gydyti. </w:t>
      </w:r>
    </w:p>
    <w:p w14:paraId="12388D8C" w14:textId="77777777" w:rsidR="00D21AC2" w:rsidRPr="00775355" w:rsidRDefault="00D21AC2" w:rsidP="00D21AC2">
      <w:pPr>
        <w:tabs>
          <w:tab w:val="left" w:pos="492"/>
        </w:tabs>
        <w:spacing w:line="276" w:lineRule="auto"/>
        <w:jc w:val="both"/>
        <w:outlineLvl w:val="1"/>
        <w:rPr>
          <w:rFonts w:eastAsia="Arial"/>
          <w:color w:val="000000" w:themeColor="text1"/>
        </w:rPr>
      </w:pPr>
      <w:r w:rsidRPr="00775355">
        <w:rPr>
          <w:rFonts w:eastAsia="Arial"/>
          <w:color w:val="FF0000"/>
        </w:rPr>
        <w:tab/>
      </w:r>
      <w:r w:rsidRPr="00775355">
        <w:rPr>
          <w:rFonts w:eastAsia="Arial"/>
          <w:color w:val="000000" w:themeColor="text1"/>
        </w:rPr>
        <w:t xml:space="preserve">BEACON CRC (NCT02928224) tyrimo populiacija – 665 suaugę pacientai, sergantys </w:t>
      </w:r>
      <w:proofErr w:type="spellStart"/>
      <w:r w:rsidRPr="00775355">
        <w:rPr>
          <w:rFonts w:eastAsia="Arial"/>
          <w:color w:val="000000" w:themeColor="text1"/>
        </w:rPr>
        <w:t>metastazavusiu</w:t>
      </w:r>
      <w:proofErr w:type="spellEnd"/>
      <w:r w:rsidRPr="00775355">
        <w:rPr>
          <w:rFonts w:eastAsia="Arial"/>
          <w:color w:val="000000" w:themeColor="text1"/>
        </w:rPr>
        <w:t xml:space="preserve"> </w:t>
      </w:r>
      <w:proofErr w:type="spellStart"/>
      <w:r w:rsidRPr="00775355">
        <w:rPr>
          <w:rFonts w:eastAsia="Arial"/>
          <w:color w:val="000000" w:themeColor="text1"/>
        </w:rPr>
        <w:t>kolorektaliniu</w:t>
      </w:r>
      <w:proofErr w:type="spellEnd"/>
      <w:r w:rsidRPr="00775355">
        <w:rPr>
          <w:rFonts w:eastAsia="Arial"/>
          <w:color w:val="000000" w:themeColor="text1"/>
        </w:rPr>
        <w:t xml:space="preserve"> vėžiu su BRAF V600E mutacija, kuriems liga progresavo po vienos ar dviejų ankstesnių gydymo eilių.</w:t>
      </w:r>
    </w:p>
    <w:p w14:paraId="1E9AEDEE" w14:textId="77777777" w:rsidR="00D21AC2" w:rsidRPr="00775355" w:rsidRDefault="00D21AC2" w:rsidP="00D21AC2">
      <w:pPr>
        <w:tabs>
          <w:tab w:val="left" w:pos="426"/>
        </w:tabs>
        <w:spacing w:line="276" w:lineRule="auto"/>
        <w:jc w:val="both"/>
        <w:rPr>
          <w:rFonts w:eastAsia="Arial"/>
          <w:color w:val="FF0000"/>
        </w:rPr>
      </w:pPr>
      <w:r w:rsidRPr="00775355">
        <w:rPr>
          <w:rFonts w:eastAsia="Arial"/>
          <w:color w:val="FF0000"/>
        </w:rPr>
        <w:tab/>
      </w:r>
      <w:r w:rsidRPr="00775355">
        <w:rPr>
          <w:rFonts w:eastAsia="Arial"/>
          <w:color w:val="000000" w:themeColor="text1"/>
        </w:rPr>
        <w:t xml:space="preserve">Tyrimo pacientų populiacija atitinka egzistuojančią Lietuvos pacientų populiaciją, kuriai gydymas gali būti skiriamas pagal numatomas </w:t>
      </w:r>
      <w:proofErr w:type="spellStart"/>
      <w:r w:rsidRPr="00775355">
        <w:rPr>
          <w:rFonts w:eastAsia="Arial"/>
          <w:color w:val="000000" w:themeColor="text1"/>
        </w:rPr>
        <w:t>enkorafenibo</w:t>
      </w:r>
      <w:proofErr w:type="spellEnd"/>
      <w:r w:rsidRPr="00775355">
        <w:rPr>
          <w:rFonts w:eastAsia="Arial"/>
          <w:color w:val="000000" w:themeColor="text1"/>
        </w:rPr>
        <w:t xml:space="preserve"> skyrimo indikacijas ir siūlomas skyrimo sąlygas.. </w:t>
      </w:r>
    </w:p>
    <w:p w14:paraId="38A69489" w14:textId="77777777" w:rsidR="00D21AC2" w:rsidRPr="00775355" w:rsidRDefault="00D21AC2" w:rsidP="00D21AC2">
      <w:pPr>
        <w:tabs>
          <w:tab w:val="left" w:pos="426"/>
        </w:tabs>
        <w:spacing w:line="276" w:lineRule="auto"/>
        <w:jc w:val="both"/>
        <w:rPr>
          <w:rFonts w:eastAsia="Arial"/>
          <w:iCs/>
        </w:rPr>
      </w:pPr>
      <w:r w:rsidRPr="00775355">
        <w:rPr>
          <w:rFonts w:eastAsia="Arial"/>
          <w:color w:val="FF0000"/>
        </w:rPr>
        <w:tab/>
      </w:r>
      <w:r w:rsidRPr="00775355">
        <w:rPr>
          <w:rFonts w:eastAsia="Arial"/>
          <w:color w:val="000000" w:themeColor="text1"/>
        </w:rPr>
        <w:t>Tyrime i</w:t>
      </w:r>
      <w:r w:rsidRPr="00775355">
        <w:rPr>
          <w:rFonts w:eastAsia="Arial"/>
          <w:iCs/>
          <w:color w:val="000000" w:themeColor="text1"/>
        </w:rPr>
        <w:t xml:space="preserve">š anksto numatyta 1 tarpinė analizė ir 1 galutinė analizė. </w:t>
      </w:r>
      <w:r w:rsidRPr="00775355">
        <w:rPr>
          <w:rFonts w:eastAsia="Arial"/>
          <w:color w:val="000000" w:themeColor="text1"/>
        </w:rPr>
        <w:t xml:space="preserve">Buvo taikyta iš anksto nustatyta hierarchinė analizė, griežtai kontroliuojant I tipo klaidų lygį (≤ 0,05), vertinant BI ir objektyvaus atsako dažnį ir OAD. Siekiant užtikrinti rezultatų patikimumą ir nuoseklumą, atlikta jautrumo ir pogrupių analizė. Suplanuotos pirmosios tarpinės analizės (angl. </w:t>
      </w:r>
      <w:proofErr w:type="spellStart"/>
      <w:r w:rsidRPr="00775355">
        <w:rPr>
          <w:rFonts w:eastAsia="Arial"/>
          <w:i/>
          <w:iCs/>
          <w:color w:val="000000" w:themeColor="text1"/>
        </w:rPr>
        <w:t>interim</w:t>
      </w:r>
      <w:proofErr w:type="spellEnd"/>
      <w:r w:rsidRPr="00775355">
        <w:rPr>
          <w:rFonts w:eastAsia="Arial"/>
          <w:i/>
          <w:iCs/>
          <w:color w:val="000000" w:themeColor="text1"/>
        </w:rPr>
        <w:t xml:space="preserve"> </w:t>
      </w:r>
      <w:proofErr w:type="spellStart"/>
      <w:r w:rsidRPr="00775355">
        <w:rPr>
          <w:rFonts w:eastAsia="Arial"/>
          <w:i/>
          <w:iCs/>
          <w:color w:val="000000" w:themeColor="text1"/>
        </w:rPr>
        <w:t>analysis</w:t>
      </w:r>
      <w:proofErr w:type="spellEnd"/>
      <w:r w:rsidRPr="00775355">
        <w:rPr>
          <w:rFonts w:eastAsia="Arial"/>
          <w:i/>
          <w:iCs/>
          <w:color w:val="000000" w:themeColor="text1"/>
        </w:rPr>
        <w:t xml:space="preserve">, </w:t>
      </w:r>
      <w:r w:rsidRPr="00775355">
        <w:rPr>
          <w:rFonts w:eastAsia="Arial"/>
          <w:color w:val="000000" w:themeColor="text1"/>
        </w:rPr>
        <w:t xml:space="preserve">IA) metu buvo užfiksuoti 189 BI įvykiai, BI duomenys nebuvo pakankamai brandūs, todėl BI analizė atlikta galutinės analizės (angl. </w:t>
      </w:r>
      <w:proofErr w:type="spellStart"/>
      <w:r w:rsidRPr="00775355">
        <w:rPr>
          <w:rFonts w:eastAsia="Arial"/>
          <w:i/>
          <w:iCs/>
          <w:color w:val="000000" w:themeColor="text1"/>
        </w:rPr>
        <w:t>final</w:t>
      </w:r>
      <w:proofErr w:type="spellEnd"/>
      <w:r w:rsidRPr="00775355">
        <w:rPr>
          <w:rFonts w:eastAsia="Arial"/>
          <w:i/>
          <w:iCs/>
          <w:color w:val="000000" w:themeColor="text1"/>
        </w:rPr>
        <w:t xml:space="preserve"> </w:t>
      </w:r>
      <w:proofErr w:type="spellStart"/>
      <w:r w:rsidRPr="00775355">
        <w:rPr>
          <w:rFonts w:eastAsia="Arial"/>
          <w:i/>
          <w:iCs/>
          <w:color w:val="000000" w:themeColor="text1"/>
        </w:rPr>
        <w:t>analysis</w:t>
      </w:r>
      <w:proofErr w:type="spellEnd"/>
      <w:r w:rsidRPr="00775355">
        <w:rPr>
          <w:rFonts w:eastAsia="Arial"/>
          <w:i/>
          <w:iCs/>
          <w:color w:val="000000" w:themeColor="text1"/>
        </w:rPr>
        <w:t xml:space="preserve">, </w:t>
      </w:r>
      <w:r w:rsidRPr="00775355">
        <w:rPr>
          <w:rFonts w:eastAsia="Arial"/>
          <w:color w:val="000000" w:themeColor="text1"/>
        </w:rPr>
        <w:t xml:space="preserve">FA) metu, kai buvo pasiektas numatytas duomenų brandumas. Klinikinio veiksmingumo ir saugumo vertinimas buvo pagrįstas galutine analize ITT populiacijoje, FA metu, įvykus 435 BI įvykiams. Tyrimo rezultatai paskelbti 2019 m. vasario 22 d., kai BI duomenų </w:t>
      </w:r>
      <w:r w:rsidRPr="00775355">
        <w:rPr>
          <w:rFonts w:eastAsia="Arial"/>
        </w:rPr>
        <w:t>brandumas pasiekė 80 proc. duomenų brandumą, BI duomenys laikomi subrendusiais (480 iš 665 dalyvių).</w:t>
      </w:r>
      <w:r w:rsidRPr="00775355">
        <w:rPr>
          <w:rFonts w:eastAsia="Arial"/>
          <w:iCs/>
        </w:rPr>
        <w:t xml:space="preserve"> </w:t>
      </w:r>
    </w:p>
    <w:p w14:paraId="699D13C6" w14:textId="77777777" w:rsidR="00D21AC2" w:rsidRPr="00775355" w:rsidRDefault="00D21AC2" w:rsidP="00D21AC2">
      <w:pPr>
        <w:tabs>
          <w:tab w:val="left" w:pos="426"/>
        </w:tabs>
        <w:spacing w:line="276" w:lineRule="auto"/>
        <w:jc w:val="both"/>
        <w:rPr>
          <w:rFonts w:eastAsia="Arial"/>
          <w:iCs/>
        </w:rPr>
      </w:pPr>
    </w:p>
    <w:p w14:paraId="4A0C821F" w14:textId="77777777" w:rsidR="00D21AC2" w:rsidRPr="00775355" w:rsidRDefault="00D21AC2" w:rsidP="00D21AC2">
      <w:pPr>
        <w:spacing w:line="276" w:lineRule="auto"/>
        <w:ind w:firstLine="720"/>
        <w:jc w:val="both"/>
        <w:rPr>
          <w:iCs/>
          <w:color w:val="000000" w:themeColor="text1"/>
        </w:rPr>
      </w:pPr>
      <w:r w:rsidRPr="00775355">
        <w:rPr>
          <w:rFonts w:eastAsia="Arial"/>
          <w:iCs/>
          <w:color w:val="000000" w:themeColor="text1"/>
          <w:u w:val="single"/>
        </w:rPr>
        <w:t>Pirminė vertinamoji baigtis</w:t>
      </w:r>
      <w:r w:rsidRPr="00775355">
        <w:rPr>
          <w:rFonts w:eastAsia="Arial"/>
          <w:iCs/>
          <w:color w:val="000000" w:themeColor="text1"/>
        </w:rPr>
        <w:t>, bendras išgyvenamumas (BI) – laikas nuo atsitiktinės atrankos iki mirties nuo bet kokios priežasties datos. G</w:t>
      </w:r>
      <w:r w:rsidRPr="00775355">
        <w:rPr>
          <w:iCs/>
          <w:color w:val="000000" w:themeColor="text1"/>
        </w:rPr>
        <w:t xml:space="preserve">alutinė BI analizė parodė, kad gydymas </w:t>
      </w:r>
      <w:proofErr w:type="spellStart"/>
      <w:r w:rsidRPr="00775355">
        <w:rPr>
          <w:iCs/>
          <w:color w:val="000000" w:themeColor="text1"/>
        </w:rPr>
        <w:t>enkorafenibu</w:t>
      </w:r>
      <w:proofErr w:type="spellEnd"/>
      <w:r w:rsidRPr="00775355">
        <w:rPr>
          <w:iCs/>
          <w:color w:val="000000" w:themeColor="text1"/>
        </w:rPr>
        <w:t xml:space="preserve"> ir </w:t>
      </w:r>
      <w:proofErr w:type="spellStart"/>
      <w:r w:rsidRPr="00775355">
        <w:rPr>
          <w:iCs/>
          <w:color w:val="000000" w:themeColor="text1"/>
        </w:rPr>
        <w:t>cetuksimabu</w:t>
      </w:r>
      <w:proofErr w:type="spellEnd"/>
      <w:r w:rsidRPr="00775355">
        <w:rPr>
          <w:iCs/>
          <w:color w:val="000000" w:themeColor="text1"/>
        </w:rPr>
        <w:t xml:space="preserve"> statistiškai reikšmingai sumažino mirties riziką 39 proc., lyginant su </w:t>
      </w:r>
      <w:proofErr w:type="spellStart"/>
      <w:r w:rsidRPr="00775355">
        <w:rPr>
          <w:iCs/>
          <w:color w:val="000000" w:themeColor="text1"/>
        </w:rPr>
        <w:t>irinotekano</w:t>
      </w:r>
      <w:proofErr w:type="spellEnd"/>
      <w:r w:rsidRPr="00775355">
        <w:rPr>
          <w:iCs/>
          <w:color w:val="000000" w:themeColor="text1"/>
        </w:rPr>
        <w:t xml:space="preserve"> pagrindu grįsta chemoterapijos deriniu su </w:t>
      </w:r>
      <w:proofErr w:type="spellStart"/>
      <w:r w:rsidRPr="00775355">
        <w:rPr>
          <w:iCs/>
          <w:color w:val="000000" w:themeColor="text1"/>
        </w:rPr>
        <w:t>cetuksimabu</w:t>
      </w:r>
      <w:proofErr w:type="spellEnd"/>
      <w:r w:rsidRPr="00775355">
        <w:rPr>
          <w:iCs/>
          <w:color w:val="000000" w:themeColor="text1"/>
        </w:rPr>
        <w:t xml:space="preserve"> (BI mediana – 9,3 mėn. vs. 5,9 mėn., RS=0,61; 95 proc. PI: 0,48–0,77; p&lt;0,0001). </w:t>
      </w:r>
    </w:p>
    <w:p w14:paraId="5CE8CE61" w14:textId="77777777" w:rsidR="00D21AC2" w:rsidRPr="00775355" w:rsidRDefault="00D21AC2" w:rsidP="00D21AC2">
      <w:pPr>
        <w:spacing w:line="276" w:lineRule="auto"/>
        <w:ind w:firstLine="720"/>
        <w:jc w:val="both"/>
        <w:rPr>
          <w:rFonts w:eastAsia="Arial"/>
          <w:iCs/>
          <w:color w:val="000000" w:themeColor="text1"/>
        </w:rPr>
      </w:pPr>
      <w:r w:rsidRPr="00775355">
        <w:rPr>
          <w:rFonts w:eastAsia="Arial"/>
          <w:iCs/>
          <w:color w:val="000000" w:themeColor="text1"/>
        </w:rPr>
        <w:t xml:space="preserve">Vertinant iš anksto numatytus pogrupius, gydymo nauda buvo stebima daugumoje jų, gydymas </w:t>
      </w:r>
      <w:proofErr w:type="spellStart"/>
      <w:r w:rsidRPr="00775355">
        <w:rPr>
          <w:rFonts w:eastAsia="Arial"/>
          <w:iCs/>
          <w:color w:val="000000" w:themeColor="text1"/>
        </w:rPr>
        <w:t>enkorafenibu</w:t>
      </w:r>
      <w:proofErr w:type="spellEnd"/>
      <w:r w:rsidRPr="00775355">
        <w:rPr>
          <w:rFonts w:eastAsia="Arial"/>
          <w:iCs/>
          <w:color w:val="000000" w:themeColor="text1"/>
        </w:rPr>
        <w:t xml:space="preserve"> ir </w:t>
      </w:r>
      <w:proofErr w:type="spellStart"/>
      <w:r w:rsidRPr="00775355">
        <w:rPr>
          <w:rFonts w:eastAsia="Arial"/>
          <w:iCs/>
          <w:color w:val="000000" w:themeColor="text1"/>
        </w:rPr>
        <w:t>cetuksimabu</w:t>
      </w:r>
      <w:proofErr w:type="spellEnd"/>
      <w:r w:rsidRPr="00775355">
        <w:rPr>
          <w:rFonts w:eastAsia="Arial"/>
          <w:iCs/>
          <w:color w:val="000000" w:themeColor="text1"/>
        </w:rPr>
        <w:t xml:space="preserve"> buvo pranašesnis, nepriklausomai nuo amžiaus, lyties, ankstesnio </w:t>
      </w:r>
      <w:proofErr w:type="spellStart"/>
      <w:r w:rsidRPr="00775355">
        <w:rPr>
          <w:rFonts w:eastAsia="Arial"/>
          <w:iCs/>
          <w:color w:val="000000" w:themeColor="text1"/>
        </w:rPr>
        <w:t>irinotekano</w:t>
      </w:r>
      <w:proofErr w:type="spellEnd"/>
      <w:r w:rsidRPr="00775355">
        <w:rPr>
          <w:rFonts w:eastAsia="Arial"/>
          <w:iCs/>
          <w:color w:val="000000" w:themeColor="text1"/>
        </w:rPr>
        <w:t xml:space="preserve"> vartojimo ar naviko lokalizacijos. Keliuose pogrupiuose, kaip MSI-H ar gydytų Šiaurės Amerikoje pacientų, RS priartėjo prie 1, tačiau dėl mažų imčių (≤44 pacientai) šie rezultatai laikomi neinformatyviais.</w:t>
      </w:r>
    </w:p>
    <w:p w14:paraId="6A424763" w14:textId="77777777" w:rsidR="00D21AC2" w:rsidRPr="00775355" w:rsidRDefault="00D21AC2" w:rsidP="00D21AC2">
      <w:pPr>
        <w:spacing w:line="276" w:lineRule="auto"/>
        <w:jc w:val="both"/>
        <w:rPr>
          <w:rFonts w:eastAsia="Arial"/>
          <w:iCs/>
          <w:color w:val="000000" w:themeColor="text1"/>
        </w:rPr>
      </w:pPr>
    </w:p>
    <w:p w14:paraId="0BB98D3D" w14:textId="77777777" w:rsidR="00D21AC2" w:rsidRPr="00775355" w:rsidRDefault="00D21AC2" w:rsidP="00D21AC2">
      <w:pPr>
        <w:spacing w:line="276" w:lineRule="auto"/>
        <w:jc w:val="both"/>
        <w:rPr>
          <w:rFonts w:eastAsia="Arial"/>
          <w:iCs/>
          <w:color w:val="000000" w:themeColor="text1"/>
        </w:rPr>
      </w:pPr>
      <w:r w:rsidRPr="00775355">
        <w:rPr>
          <w:rFonts w:eastAsia="Arial"/>
          <w:iCs/>
          <w:color w:val="000000" w:themeColor="text1"/>
        </w:rPr>
        <w:tab/>
      </w:r>
      <w:r w:rsidRPr="00775355">
        <w:rPr>
          <w:rFonts w:eastAsia="Arial"/>
          <w:iCs/>
          <w:color w:val="000000" w:themeColor="text1"/>
          <w:u w:val="single"/>
        </w:rPr>
        <w:t>Antrinės vertinamosios baigtys,</w:t>
      </w:r>
      <w:r w:rsidRPr="00775355">
        <w:rPr>
          <w:rFonts w:eastAsia="Arial"/>
          <w:iCs/>
          <w:color w:val="000000" w:themeColor="text1"/>
        </w:rPr>
        <w:t xml:space="preserve"> išgyvenamumas be ligos progresavimo (IBLP arba PFS, angl. </w:t>
      </w:r>
      <w:proofErr w:type="spellStart"/>
      <w:r w:rsidRPr="00775355">
        <w:rPr>
          <w:rFonts w:eastAsia="Arial"/>
          <w:iCs/>
          <w:color w:val="000000" w:themeColor="text1"/>
        </w:rPr>
        <w:t>progression</w:t>
      </w:r>
      <w:proofErr w:type="spellEnd"/>
      <w:r w:rsidRPr="00775355">
        <w:rPr>
          <w:rFonts w:eastAsia="Arial"/>
          <w:iCs/>
          <w:color w:val="000000" w:themeColor="text1"/>
        </w:rPr>
        <w:t xml:space="preserve"> </w:t>
      </w:r>
      <w:proofErr w:type="spellStart"/>
      <w:r w:rsidRPr="00775355">
        <w:rPr>
          <w:rFonts w:eastAsia="Arial"/>
          <w:iCs/>
          <w:color w:val="000000" w:themeColor="text1"/>
        </w:rPr>
        <w:t>free</w:t>
      </w:r>
      <w:proofErr w:type="spellEnd"/>
      <w:r w:rsidRPr="00775355">
        <w:rPr>
          <w:rFonts w:eastAsia="Arial"/>
          <w:iCs/>
          <w:color w:val="000000" w:themeColor="text1"/>
        </w:rPr>
        <w:t xml:space="preserve"> </w:t>
      </w:r>
      <w:proofErr w:type="spellStart"/>
      <w:r w:rsidRPr="00775355">
        <w:rPr>
          <w:rFonts w:eastAsia="Arial"/>
          <w:iCs/>
          <w:color w:val="000000" w:themeColor="text1"/>
        </w:rPr>
        <w:t>survival</w:t>
      </w:r>
      <w:proofErr w:type="spellEnd"/>
      <w:r w:rsidRPr="00775355">
        <w:rPr>
          <w:rFonts w:eastAsia="Arial"/>
          <w:iCs/>
          <w:color w:val="000000" w:themeColor="text1"/>
        </w:rPr>
        <w:t xml:space="preserve">), apibrėžiamas kaip laikas nuo atsitiktinių imčių sudarymo datos iki pirmojo radiologiniu tyrimu patvirtinto ligos progresavimo ar mirties dėl bet kokios priežasties, atsižvelgiant į tai, kas įvyksta anksčiau; visiškas ir dalinis atsakas; atsako trukmė; ligos valdymo dažnis; pacientų praneštos baigtys (vertinami naudojant EORTC QLQ-C30 klausimyną). </w:t>
      </w:r>
    </w:p>
    <w:p w14:paraId="686C22B1" w14:textId="77777777" w:rsidR="00D21AC2" w:rsidRPr="00775355" w:rsidRDefault="00D21AC2" w:rsidP="00D21AC2">
      <w:pPr>
        <w:tabs>
          <w:tab w:val="left" w:pos="426"/>
        </w:tabs>
        <w:spacing w:line="276" w:lineRule="auto"/>
        <w:jc w:val="both"/>
        <w:rPr>
          <w:rFonts w:eastAsia="Arial"/>
          <w:iCs/>
          <w:color w:val="000000" w:themeColor="text1"/>
        </w:rPr>
      </w:pPr>
      <w:r w:rsidRPr="00775355">
        <w:rPr>
          <w:iCs/>
          <w:color w:val="000000" w:themeColor="text1"/>
        </w:rPr>
        <w:tab/>
        <w:t xml:space="preserve">Bendroje populiacijoje gydymas </w:t>
      </w:r>
      <w:proofErr w:type="spellStart"/>
      <w:r w:rsidRPr="00775355">
        <w:rPr>
          <w:rFonts w:eastAsia="Arial"/>
          <w:iCs/>
          <w:color w:val="000000" w:themeColor="text1"/>
        </w:rPr>
        <w:t>enkorafenibo</w:t>
      </w:r>
      <w:proofErr w:type="spellEnd"/>
      <w:r w:rsidRPr="00775355">
        <w:rPr>
          <w:rFonts w:eastAsia="Arial"/>
          <w:iCs/>
          <w:color w:val="000000" w:themeColor="text1"/>
        </w:rPr>
        <w:t xml:space="preserve"> ir </w:t>
      </w:r>
      <w:proofErr w:type="spellStart"/>
      <w:r w:rsidRPr="00775355">
        <w:rPr>
          <w:rFonts w:eastAsia="Arial"/>
          <w:iCs/>
          <w:color w:val="000000" w:themeColor="text1"/>
        </w:rPr>
        <w:t>cetuksimabo</w:t>
      </w:r>
      <w:proofErr w:type="spellEnd"/>
      <w:r w:rsidRPr="00775355">
        <w:rPr>
          <w:rFonts w:eastAsia="Arial"/>
          <w:iCs/>
          <w:color w:val="000000" w:themeColor="text1"/>
        </w:rPr>
        <w:t xml:space="preserve"> deriniu 56 proc. statistiškai reikšmingai sumažino IBLP įvykių – ligos progresavimo ar mirties dėl bet kokios priežasties – tikimybę, palyginti su gydymu kontrolinėje grupėje (rizikos santykis [RS] = 0,44; 95 proc. pasikliautinas intervalas [PI]: 0,35–0,55; P &lt; 0,0001). IBLP  mediana </w:t>
      </w:r>
      <w:proofErr w:type="spellStart"/>
      <w:r w:rsidRPr="00775355">
        <w:rPr>
          <w:rFonts w:eastAsia="Arial"/>
          <w:iCs/>
          <w:color w:val="000000" w:themeColor="text1"/>
        </w:rPr>
        <w:t>enkorafenibo</w:t>
      </w:r>
      <w:proofErr w:type="spellEnd"/>
      <w:r w:rsidRPr="00775355">
        <w:rPr>
          <w:rFonts w:eastAsia="Arial"/>
          <w:iCs/>
          <w:color w:val="000000" w:themeColor="text1"/>
        </w:rPr>
        <w:t xml:space="preserve"> ir </w:t>
      </w:r>
      <w:proofErr w:type="spellStart"/>
      <w:r w:rsidRPr="00775355">
        <w:rPr>
          <w:rFonts w:eastAsia="Arial"/>
          <w:iCs/>
          <w:color w:val="000000" w:themeColor="text1"/>
        </w:rPr>
        <w:t>cetuksimabo</w:t>
      </w:r>
      <w:proofErr w:type="spellEnd"/>
      <w:r w:rsidRPr="00775355">
        <w:rPr>
          <w:rFonts w:eastAsia="Arial"/>
          <w:iCs/>
          <w:color w:val="000000" w:themeColor="text1"/>
        </w:rPr>
        <w:t xml:space="preserve"> derinio grupėje buvo 4,3 mėnesio (95 proc. PI: 4,1–5,4), kontrolinėje – 1,5 mėnesio (95 proc. PI: 1,5–1,9).</w:t>
      </w:r>
    </w:p>
    <w:p w14:paraId="177BCFB9" w14:textId="77777777" w:rsidR="00D21AC2" w:rsidRPr="00775355" w:rsidRDefault="00D21AC2" w:rsidP="00D21AC2">
      <w:pPr>
        <w:spacing w:line="276" w:lineRule="auto"/>
        <w:ind w:firstLine="720"/>
        <w:jc w:val="both"/>
        <w:rPr>
          <w:rFonts w:eastAsia="Arial"/>
          <w:iCs/>
          <w:color w:val="000000" w:themeColor="text1"/>
        </w:rPr>
      </w:pPr>
      <w:r w:rsidRPr="00775355">
        <w:rPr>
          <w:iCs/>
          <w:color w:val="000000" w:themeColor="text1"/>
        </w:rPr>
        <w:lastRenderedPageBreak/>
        <w:t xml:space="preserve">Vertinant iš anksto numatytus pogrupius, geresni IBLP rodikliai iš anksto numatytuose pogrupiuose išliko tolygiai geresni </w:t>
      </w:r>
      <w:proofErr w:type="spellStart"/>
      <w:r w:rsidRPr="00775355">
        <w:rPr>
          <w:iCs/>
          <w:color w:val="000000" w:themeColor="text1"/>
        </w:rPr>
        <w:t>enkorafenibo</w:t>
      </w:r>
      <w:proofErr w:type="spellEnd"/>
      <w:r w:rsidRPr="00775355">
        <w:rPr>
          <w:iCs/>
          <w:color w:val="000000" w:themeColor="text1"/>
        </w:rPr>
        <w:t xml:space="preserve"> ir </w:t>
      </w:r>
      <w:proofErr w:type="spellStart"/>
      <w:r w:rsidRPr="00775355">
        <w:rPr>
          <w:iCs/>
          <w:color w:val="000000" w:themeColor="text1"/>
        </w:rPr>
        <w:t>cetuksimabo</w:t>
      </w:r>
      <w:proofErr w:type="spellEnd"/>
      <w:r w:rsidRPr="00775355">
        <w:rPr>
          <w:iCs/>
          <w:color w:val="000000" w:themeColor="text1"/>
        </w:rPr>
        <w:t xml:space="preserve"> grupėje, palyginus su kontroline grupe</w:t>
      </w:r>
      <w:r w:rsidRPr="00775355">
        <w:rPr>
          <w:rFonts w:eastAsia="Arial"/>
          <w:iCs/>
          <w:color w:val="000000" w:themeColor="text1"/>
        </w:rPr>
        <w:t>.</w:t>
      </w:r>
    </w:p>
    <w:p w14:paraId="03DCA382" w14:textId="77777777" w:rsidR="00D21AC2" w:rsidRPr="00775355" w:rsidRDefault="00D21AC2" w:rsidP="00D21AC2">
      <w:pPr>
        <w:tabs>
          <w:tab w:val="left" w:pos="284"/>
        </w:tabs>
        <w:spacing w:line="276" w:lineRule="auto"/>
        <w:jc w:val="both"/>
        <w:rPr>
          <w:rFonts w:eastAsia="Arial"/>
          <w:color w:val="FF0000"/>
        </w:rPr>
      </w:pPr>
      <w:r w:rsidRPr="00775355">
        <w:rPr>
          <w:rFonts w:eastAsia="Arial"/>
          <w:color w:val="000000" w:themeColor="text1"/>
        </w:rPr>
        <w:tab/>
        <w:t>Vertinant nepageidaujamus reiškiniu, g</w:t>
      </w:r>
      <w:r w:rsidRPr="00775355">
        <w:rPr>
          <w:color w:val="000000" w:themeColor="text1"/>
        </w:rPr>
        <w:t xml:space="preserve">ydymas </w:t>
      </w:r>
      <w:proofErr w:type="spellStart"/>
      <w:r w:rsidRPr="00775355">
        <w:rPr>
          <w:color w:val="000000" w:themeColor="text1"/>
        </w:rPr>
        <w:t>enkorafenibu</w:t>
      </w:r>
      <w:proofErr w:type="spellEnd"/>
      <w:r w:rsidRPr="00775355">
        <w:rPr>
          <w:color w:val="000000" w:themeColor="text1"/>
        </w:rPr>
        <w:t xml:space="preserve"> derinyje su </w:t>
      </w:r>
      <w:proofErr w:type="spellStart"/>
      <w:r w:rsidRPr="00775355">
        <w:rPr>
          <w:color w:val="000000" w:themeColor="text1"/>
        </w:rPr>
        <w:t>cetuksimabu</w:t>
      </w:r>
      <w:proofErr w:type="spellEnd"/>
      <w:r w:rsidRPr="00775355">
        <w:rPr>
          <w:color w:val="000000" w:themeColor="text1"/>
        </w:rPr>
        <w:t xml:space="preserve">, lyginant kontroline grupe, neparodė statistiškai reikšmingai blogesnių ar geresnių gyvenimo kokybės, skausmo ar nuovargio rodiklių, vertinant </w:t>
      </w:r>
      <w:r w:rsidRPr="00775355">
        <w:rPr>
          <w:color w:val="000000" w:themeColor="text1"/>
          <w:u w:val="single"/>
        </w:rPr>
        <w:t>pacientų praneštas baigtis</w:t>
      </w:r>
      <w:r w:rsidRPr="00775355">
        <w:rPr>
          <w:color w:val="000000" w:themeColor="text1"/>
        </w:rPr>
        <w:t xml:space="preserve">. </w:t>
      </w:r>
      <w:r w:rsidRPr="00775355">
        <w:rPr>
          <w:rFonts w:eastAsia="Arial"/>
          <w:color w:val="000000" w:themeColor="text1"/>
        </w:rPr>
        <w:t xml:space="preserve">NP atitiko PCS </w:t>
      </w:r>
      <w:r w:rsidRPr="00775355">
        <w:rPr>
          <w:rFonts w:eastAsia="Arial"/>
          <w:color w:val="000000" w:themeColor="text1"/>
          <w:u w:val="single"/>
        </w:rPr>
        <w:t>saugumo</w:t>
      </w:r>
      <w:r w:rsidRPr="00775355">
        <w:rPr>
          <w:rFonts w:eastAsia="Arial"/>
          <w:color w:val="000000" w:themeColor="text1"/>
        </w:rPr>
        <w:t xml:space="preserve"> duomenis, BEACON CRC esant registraciniam tyrimui, vidutinis laikas, per kurį pablogėjo bendra sveikatos būklė arba gyvenimo kokybė (6,2 mėn. palyginti su 2,8 mėn.; RS 0,61, 95 proc. PI 0,49-0,75) buvo ilgesnis vartojant </w:t>
      </w:r>
      <w:proofErr w:type="spellStart"/>
      <w:r w:rsidRPr="00775355">
        <w:rPr>
          <w:rFonts w:eastAsia="Arial"/>
          <w:color w:val="000000" w:themeColor="text1"/>
        </w:rPr>
        <w:t>enkorafenibą</w:t>
      </w:r>
      <w:proofErr w:type="spellEnd"/>
      <w:r w:rsidRPr="00775355">
        <w:rPr>
          <w:rFonts w:eastAsia="Arial"/>
          <w:color w:val="000000" w:themeColor="text1"/>
        </w:rPr>
        <w:t xml:space="preserve"> su </w:t>
      </w:r>
      <w:proofErr w:type="spellStart"/>
      <w:r w:rsidRPr="00775355">
        <w:rPr>
          <w:rFonts w:eastAsia="Arial"/>
          <w:color w:val="000000" w:themeColor="text1"/>
        </w:rPr>
        <w:t>cetuksimabu</w:t>
      </w:r>
      <w:proofErr w:type="spellEnd"/>
      <w:r w:rsidRPr="00775355">
        <w:rPr>
          <w:rFonts w:eastAsia="Arial"/>
          <w:color w:val="000000" w:themeColor="text1"/>
        </w:rPr>
        <w:t xml:space="preserve">, palyginti su kontroline grupe. Gydymas </w:t>
      </w:r>
      <w:proofErr w:type="spellStart"/>
      <w:r w:rsidRPr="00775355">
        <w:rPr>
          <w:rFonts w:eastAsia="Arial"/>
          <w:color w:val="000000" w:themeColor="text1"/>
        </w:rPr>
        <w:t>enkorafenibo</w:t>
      </w:r>
      <w:proofErr w:type="spellEnd"/>
      <w:r w:rsidRPr="00775355">
        <w:rPr>
          <w:rFonts w:eastAsia="Arial"/>
          <w:color w:val="000000" w:themeColor="text1"/>
        </w:rPr>
        <w:t xml:space="preserve"> ir </w:t>
      </w:r>
      <w:proofErr w:type="spellStart"/>
      <w:r w:rsidRPr="00775355">
        <w:rPr>
          <w:rFonts w:eastAsia="Arial"/>
          <w:color w:val="000000" w:themeColor="text1"/>
        </w:rPr>
        <w:t>cetuksimabo</w:t>
      </w:r>
      <w:proofErr w:type="spellEnd"/>
      <w:r w:rsidRPr="00775355">
        <w:rPr>
          <w:rFonts w:eastAsia="Arial"/>
          <w:color w:val="000000" w:themeColor="text1"/>
        </w:rPr>
        <w:t xml:space="preserve"> deriniu 3,4 mėn. pailgino laiką iki sveikatos būklės pablogėjimo.</w:t>
      </w:r>
    </w:p>
    <w:p w14:paraId="427967A7" w14:textId="77777777" w:rsidR="00D21AC2" w:rsidRPr="00775355" w:rsidRDefault="00D21AC2" w:rsidP="00D21AC2">
      <w:pPr>
        <w:spacing w:line="276" w:lineRule="auto"/>
        <w:ind w:firstLine="720"/>
        <w:jc w:val="both"/>
        <w:rPr>
          <w:color w:val="000000" w:themeColor="text1"/>
        </w:rPr>
      </w:pPr>
      <w:r w:rsidRPr="00775355">
        <w:rPr>
          <w:rFonts w:eastAsia="Arial"/>
          <w:color w:val="000000" w:themeColor="text1"/>
        </w:rPr>
        <w:t xml:space="preserve">Apibendrinant, detalus </w:t>
      </w:r>
      <w:proofErr w:type="spellStart"/>
      <w:r w:rsidRPr="00775355">
        <w:rPr>
          <w:rFonts w:eastAsia="Arial"/>
          <w:color w:val="000000" w:themeColor="text1"/>
        </w:rPr>
        <w:t>detalus</w:t>
      </w:r>
      <w:proofErr w:type="spellEnd"/>
      <w:r w:rsidRPr="00775355">
        <w:rPr>
          <w:rFonts w:eastAsia="Arial"/>
          <w:color w:val="000000" w:themeColor="text1"/>
        </w:rPr>
        <w:t xml:space="preserve"> klinikinis vertinimas, parodė, kad b</w:t>
      </w:r>
      <w:r w:rsidRPr="00775355">
        <w:rPr>
          <w:color w:val="000000" w:themeColor="text1"/>
        </w:rPr>
        <w:t xml:space="preserve">endroje populiacijoje gydymas </w:t>
      </w:r>
      <w:proofErr w:type="spellStart"/>
      <w:r w:rsidRPr="00775355">
        <w:rPr>
          <w:color w:val="000000" w:themeColor="text1"/>
        </w:rPr>
        <w:t>enkorafenibu</w:t>
      </w:r>
      <w:proofErr w:type="spellEnd"/>
      <w:r w:rsidRPr="00775355">
        <w:rPr>
          <w:color w:val="000000" w:themeColor="text1"/>
        </w:rPr>
        <w:t xml:space="preserve"> derinyje su </w:t>
      </w:r>
      <w:proofErr w:type="spellStart"/>
      <w:r w:rsidRPr="00775355">
        <w:rPr>
          <w:color w:val="000000" w:themeColor="text1"/>
        </w:rPr>
        <w:t>cetuksimabu</w:t>
      </w:r>
      <w:proofErr w:type="spellEnd"/>
      <w:r w:rsidRPr="00775355">
        <w:rPr>
          <w:color w:val="000000" w:themeColor="text1"/>
        </w:rPr>
        <w:t xml:space="preserve"> 56 proc. sumažino ligos progresijos ir mirties dėl bet kokios priežasties tikimybę, lyginant su </w:t>
      </w:r>
      <w:r w:rsidRPr="00775355">
        <w:rPr>
          <w:rFonts w:eastAsia="Arial"/>
          <w:color w:val="000000" w:themeColor="text1"/>
        </w:rPr>
        <w:t xml:space="preserve">gydymu </w:t>
      </w:r>
      <w:proofErr w:type="spellStart"/>
      <w:r w:rsidRPr="00775355">
        <w:rPr>
          <w:rFonts w:eastAsia="Arial"/>
          <w:color w:val="000000" w:themeColor="text1"/>
        </w:rPr>
        <w:t>irinotekanu</w:t>
      </w:r>
      <w:proofErr w:type="spellEnd"/>
      <w:r w:rsidRPr="00775355">
        <w:rPr>
          <w:rFonts w:eastAsia="Arial"/>
          <w:color w:val="000000" w:themeColor="text1"/>
        </w:rPr>
        <w:t xml:space="preserve"> arba FOLFIRI derinyje su </w:t>
      </w:r>
      <w:proofErr w:type="spellStart"/>
      <w:r w:rsidRPr="00775355">
        <w:rPr>
          <w:rFonts w:eastAsia="Arial"/>
          <w:color w:val="000000" w:themeColor="text1"/>
        </w:rPr>
        <w:t>cetuksimabu</w:t>
      </w:r>
      <w:proofErr w:type="spellEnd"/>
      <w:r w:rsidRPr="00775355">
        <w:rPr>
          <w:color w:val="000000" w:themeColor="text1"/>
        </w:rPr>
        <w:t xml:space="preserve">. BI buvo vidutiniškai 3,4 mėnesio ilgesnis </w:t>
      </w:r>
      <w:proofErr w:type="spellStart"/>
      <w:r w:rsidRPr="00775355">
        <w:rPr>
          <w:rFonts w:eastAsia="Arial"/>
          <w:iCs/>
          <w:color w:val="000000" w:themeColor="text1"/>
        </w:rPr>
        <w:t>enkorafenibo</w:t>
      </w:r>
      <w:proofErr w:type="spellEnd"/>
      <w:r w:rsidRPr="00775355">
        <w:rPr>
          <w:rFonts w:eastAsia="Arial"/>
          <w:iCs/>
          <w:color w:val="000000" w:themeColor="text1"/>
        </w:rPr>
        <w:t xml:space="preserve"> ir </w:t>
      </w:r>
      <w:proofErr w:type="spellStart"/>
      <w:r w:rsidRPr="00775355">
        <w:rPr>
          <w:rFonts w:eastAsia="Arial"/>
          <w:iCs/>
          <w:color w:val="000000" w:themeColor="text1"/>
        </w:rPr>
        <w:t>cetuksimabo</w:t>
      </w:r>
      <w:proofErr w:type="spellEnd"/>
      <w:r w:rsidRPr="00775355">
        <w:rPr>
          <w:rFonts w:eastAsia="Arial"/>
          <w:iCs/>
          <w:color w:val="000000" w:themeColor="text1"/>
        </w:rPr>
        <w:t xml:space="preserve"> grupėje, palyginti su kontroline grupe, </w:t>
      </w:r>
      <w:r w:rsidRPr="00775355">
        <w:rPr>
          <w:color w:val="000000" w:themeColor="text1"/>
        </w:rPr>
        <w:t xml:space="preserve">šis skirtumas buvo statistiškai reikšmingas, o mirties rizika, taikant gydymą </w:t>
      </w:r>
      <w:proofErr w:type="spellStart"/>
      <w:r w:rsidRPr="00775355">
        <w:rPr>
          <w:color w:val="000000" w:themeColor="text1"/>
        </w:rPr>
        <w:t>enkorafenibu</w:t>
      </w:r>
      <w:proofErr w:type="spellEnd"/>
      <w:r w:rsidRPr="00775355">
        <w:rPr>
          <w:color w:val="000000" w:themeColor="text1"/>
        </w:rPr>
        <w:t xml:space="preserve"> su  </w:t>
      </w:r>
      <w:proofErr w:type="spellStart"/>
      <w:r w:rsidRPr="00775355">
        <w:rPr>
          <w:rFonts w:eastAsia="Arial"/>
          <w:color w:val="000000" w:themeColor="text1"/>
        </w:rPr>
        <w:t>cetuksimabu</w:t>
      </w:r>
      <w:proofErr w:type="spellEnd"/>
      <w:r w:rsidRPr="00775355">
        <w:rPr>
          <w:rFonts w:eastAsia="Arial"/>
          <w:color w:val="000000" w:themeColor="text1"/>
        </w:rPr>
        <w:t xml:space="preserve"> </w:t>
      </w:r>
      <w:r w:rsidRPr="00775355">
        <w:rPr>
          <w:color w:val="000000" w:themeColor="text1"/>
        </w:rPr>
        <w:t xml:space="preserve">sumažėjo 39 proc., lyginant su gydymu </w:t>
      </w:r>
      <w:proofErr w:type="spellStart"/>
      <w:r w:rsidRPr="00775355">
        <w:rPr>
          <w:color w:val="000000" w:themeColor="text1"/>
        </w:rPr>
        <w:t>irinotekanu</w:t>
      </w:r>
      <w:proofErr w:type="spellEnd"/>
      <w:r w:rsidRPr="00775355">
        <w:rPr>
          <w:color w:val="000000" w:themeColor="text1"/>
        </w:rPr>
        <w:t xml:space="preserve"> arba FOLFIRI kombinacijoje su </w:t>
      </w:r>
      <w:proofErr w:type="spellStart"/>
      <w:r w:rsidRPr="00775355">
        <w:rPr>
          <w:color w:val="000000" w:themeColor="text1"/>
        </w:rPr>
        <w:t>cetuksimabu</w:t>
      </w:r>
      <w:proofErr w:type="spellEnd"/>
      <w:r w:rsidRPr="00775355">
        <w:rPr>
          <w:color w:val="000000" w:themeColor="text1"/>
        </w:rPr>
        <w:t xml:space="preserve">. </w:t>
      </w:r>
    </w:p>
    <w:p w14:paraId="468A38B3" w14:textId="77777777" w:rsidR="00D21AC2" w:rsidRPr="00775355" w:rsidRDefault="00D21AC2" w:rsidP="00D21AC2">
      <w:pPr>
        <w:spacing w:line="276" w:lineRule="auto"/>
        <w:ind w:firstLine="720"/>
        <w:jc w:val="both"/>
        <w:rPr>
          <w:iCs/>
          <w:color w:val="000000" w:themeColor="text1"/>
        </w:rPr>
      </w:pPr>
      <w:r w:rsidRPr="00775355">
        <w:rPr>
          <w:rFonts w:eastAsia="Arial"/>
          <w:iCs/>
          <w:color w:val="000000" w:themeColor="text1"/>
        </w:rPr>
        <w:t xml:space="preserve">Remiantis šiais duomenimis, </w:t>
      </w:r>
      <w:proofErr w:type="spellStart"/>
      <w:r w:rsidRPr="00775355">
        <w:rPr>
          <w:rFonts w:eastAsia="Arial"/>
          <w:iCs/>
          <w:color w:val="000000" w:themeColor="text1"/>
        </w:rPr>
        <w:t>enkorafenibo</w:t>
      </w:r>
      <w:proofErr w:type="spellEnd"/>
      <w:r w:rsidRPr="00775355">
        <w:rPr>
          <w:rFonts w:eastAsia="Arial"/>
          <w:iCs/>
          <w:color w:val="000000" w:themeColor="text1"/>
        </w:rPr>
        <w:t xml:space="preserve"> ir </w:t>
      </w:r>
      <w:proofErr w:type="spellStart"/>
      <w:r w:rsidRPr="00775355">
        <w:rPr>
          <w:rFonts w:eastAsia="Arial"/>
          <w:iCs/>
          <w:color w:val="000000" w:themeColor="text1"/>
        </w:rPr>
        <w:t>cetuksimabo</w:t>
      </w:r>
      <w:proofErr w:type="spellEnd"/>
      <w:r w:rsidRPr="00775355">
        <w:rPr>
          <w:rFonts w:eastAsia="Arial"/>
          <w:iCs/>
          <w:color w:val="000000" w:themeColor="text1"/>
        </w:rPr>
        <w:t xml:space="preserve"> kombinacijos palyginamasis efektyvumas yra įvertintas, kaip didesnis, o klinikinis veiksmingumas </w:t>
      </w:r>
      <w:r w:rsidRPr="00775355">
        <w:rPr>
          <w:iCs/>
          <w:color w:val="000000" w:themeColor="text1"/>
        </w:rPr>
        <w:t xml:space="preserve">yra įvertintas kaip pagrindžiantis papildomos naudos pacientų sveikatai sukūrimą, lyginant su gydymu </w:t>
      </w:r>
      <w:proofErr w:type="spellStart"/>
      <w:r w:rsidRPr="00775355">
        <w:rPr>
          <w:iCs/>
          <w:color w:val="000000" w:themeColor="text1"/>
        </w:rPr>
        <w:t>irinotekano</w:t>
      </w:r>
      <w:proofErr w:type="spellEnd"/>
      <w:r w:rsidRPr="00775355">
        <w:rPr>
          <w:iCs/>
          <w:color w:val="000000" w:themeColor="text1"/>
        </w:rPr>
        <w:t xml:space="preserve"> arba FOLFIRI kombinacija su </w:t>
      </w:r>
      <w:proofErr w:type="spellStart"/>
      <w:r w:rsidRPr="00775355">
        <w:rPr>
          <w:iCs/>
          <w:color w:val="000000" w:themeColor="text1"/>
        </w:rPr>
        <w:t>cetuksimabu</w:t>
      </w:r>
      <w:proofErr w:type="spellEnd"/>
      <w:r w:rsidRPr="00775355">
        <w:rPr>
          <w:iCs/>
          <w:color w:val="000000" w:themeColor="text1"/>
        </w:rPr>
        <w:t xml:space="preserve">. Tačiau gydymas </w:t>
      </w:r>
      <w:proofErr w:type="spellStart"/>
      <w:r w:rsidRPr="00775355">
        <w:rPr>
          <w:iCs/>
          <w:color w:val="000000" w:themeColor="text1"/>
        </w:rPr>
        <w:t>irinotekano</w:t>
      </w:r>
      <w:proofErr w:type="spellEnd"/>
      <w:r w:rsidRPr="00775355">
        <w:rPr>
          <w:iCs/>
          <w:color w:val="000000" w:themeColor="text1"/>
        </w:rPr>
        <w:t xml:space="preserve"> arba FOLFIRI kombinacija su </w:t>
      </w:r>
      <w:proofErr w:type="spellStart"/>
      <w:r w:rsidRPr="00775355">
        <w:rPr>
          <w:iCs/>
          <w:color w:val="000000" w:themeColor="text1"/>
        </w:rPr>
        <w:t>cetuksimabu</w:t>
      </w:r>
      <w:proofErr w:type="spellEnd"/>
      <w:r w:rsidRPr="00775355">
        <w:rPr>
          <w:iCs/>
          <w:color w:val="000000" w:themeColor="text1"/>
        </w:rPr>
        <w:t xml:space="preserve"> neatitinka įprastinės klinikinės praktikos Lietuvoje, todėl negali būti laikomas tinkamu palyginamuoju gydymu.</w:t>
      </w:r>
    </w:p>
    <w:p w14:paraId="3FAE0C5C" w14:textId="77777777" w:rsidR="00D21AC2" w:rsidRPr="00775355" w:rsidRDefault="00D21AC2" w:rsidP="00D21AC2">
      <w:pPr>
        <w:spacing w:line="276" w:lineRule="auto"/>
        <w:ind w:firstLine="720"/>
        <w:jc w:val="both"/>
      </w:pPr>
      <w:r w:rsidRPr="00775355">
        <w:rPr>
          <w:rFonts w:eastAsia="Arial"/>
          <w:color w:val="000000" w:themeColor="text1"/>
        </w:rPr>
        <w:t xml:space="preserve">Apibendrinant, </w:t>
      </w:r>
      <w:proofErr w:type="spellStart"/>
      <w:r w:rsidRPr="00775355">
        <w:rPr>
          <w:rFonts w:eastAsia="Arial"/>
          <w:color w:val="000000" w:themeColor="text1"/>
        </w:rPr>
        <w:t>enkorafenibo</w:t>
      </w:r>
      <w:proofErr w:type="spellEnd"/>
      <w:r w:rsidRPr="00775355">
        <w:rPr>
          <w:rFonts w:eastAsia="Arial"/>
          <w:color w:val="000000" w:themeColor="text1"/>
        </w:rPr>
        <w:t xml:space="preserve"> derinys su </w:t>
      </w:r>
      <w:proofErr w:type="spellStart"/>
      <w:r w:rsidRPr="00775355">
        <w:rPr>
          <w:rFonts w:eastAsia="Arial"/>
          <w:color w:val="000000" w:themeColor="text1"/>
        </w:rPr>
        <w:t>cetuksimabu</w:t>
      </w:r>
      <w:proofErr w:type="spellEnd"/>
      <w:r w:rsidRPr="00775355">
        <w:rPr>
          <w:rFonts w:eastAsia="Arial"/>
          <w:color w:val="000000" w:themeColor="text1"/>
        </w:rPr>
        <w:t xml:space="preserve">, skirtas pacientams, </w:t>
      </w:r>
      <w:r w:rsidRPr="00775355">
        <w:rPr>
          <w:color w:val="000000" w:themeColor="text1"/>
        </w:rPr>
        <w:t xml:space="preserve">sergantiems </w:t>
      </w:r>
      <w:proofErr w:type="spellStart"/>
      <w:r w:rsidRPr="00775355">
        <w:rPr>
          <w:color w:val="000000" w:themeColor="text1"/>
        </w:rPr>
        <w:t>metastaziniu</w:t>
      </w:r>
      <w:proofErr w:type="spellEnd"/>
      <w:r w:rsidRPr="00775355">
        <w:rPr>
          <w:color w:val="000000" w:themeColor="text1"/>
        </w:rPr>
        <w:t xml:space="preserve"> storosios (gaubtinės) ir tiesiosios žarnos vėžiu (angl. </w:t>
      </w:r>
      <w:proofErr w:type="spellStart"/>
      <w:r w:rsidRPr="00775355">
        <w:rPr>
          <w:i/>
          <w:iCs/>
          <w:color w:val="000000" w:themeColor="text1"/>
        </w:rPr>
        <w:t>metastatic</w:t>
      </w:r>
      <w:proofErr w:type="spellEnd"/>
      <w:r w:rsidRPr="00775355">
        <w:rPr>
          <w:i/>
          <w:iCs/>
          <w:color w:val="000000" w:themeColor="text1"/>
        </w:rPr>
        <w:t xml:space="preserve"> </w:t>
      </w:r>
      <w:proofErr w:type="spellStart"/>
      <w:r w:rsidRPr="00775355">
        <w:rPr>
          <w:i/>
          <w:iCs/>
          <w:color w:val="000000" w:themeColor="text1"/>
        </w:rPr>
        <w:t>colorectal</w:t>
      </w:r>
      <w:proofErr w:type="spellEnd"/>
      <w:r w:rsidRPr="00775355">
        <w:rPr>
          <w:i/>
          <w:iCs/>
          <w:color w:val="000000" w:themeColor="text1"/>
        </w:rPr>
        <w:t xml:space="preserve"> </w:t>
      </w:r>
      <w:proofErr w:type="spellStart"/>
      <w:r w:rsidRPr="00775355">
        <w:rPr>
          <w:i/>
          <w:iCs/>
          <w:color w:val="000000" w:themeColor="text1"/>
        </w:rPr>
        <w:t>cancer</w:t>
      </w:r>
      <w:proofErr w:type="spellEnd"/>
      <w:r w:rsidRPr="00775355">
        <w:rPr>
          <w:color w:val="000000" w:themeColor="text1"/>
        </w:rPr>
        <w:t xml:space="preserve">, </w:t>
      </w:r>
      <w:proofErr w:type="spellStart"/>
      <w:r w:rsidRPr="00775355">
        <w:rPr>
          <w:color w:val="000000" w:themeColor="text1"/>
        </w:rPr>
        <w:t>mCRC</w:t>
      </w:r>
      <w:proofErr w:type="spellEnd"/>
      <w:r w:rsidRPr="00775355">
        <w:rPr>
          <w:color w:val="000000" w:themeColor="text1"/>
        </w:rPr>
        <w:t>), su BRAF V600 mutacija, kuriems anksčiau taikytas sisteminis gydymas,</w:t>
      </w:r>
      <w:r w:rsidRPr="00775355">
        <w:rPr>
          <w:rFonts w:eastAsia="Arial"/>
          <w:color w:val="000000" w:themeColor="text1"/>
        </w:rPr>
        <w:t xml:space="preserve"> lyginant su gydymu </w:t>
      </w:r>
      <w:proofErr w:type="spellStart"/>
      <w:r w:rsidRPr="00775355">
        <w:rPr>
          <w:rFonts w:eastAsia="Arial"/>
          <w:color w:val="000000" w:themeColor="text1"/>
        </w:rPr>
        <w:t>irinotekanu</w:t>
      </w:r>
      <w:proofErr w:type="spellEnd"/>
      <w:r w:rsidRPr="00775355">
        <w:rPr>
          <w:rFonts w:eastAsia="Arial"/>
          <w:color w:val="000000" w:themeColor="text1"/>
        </w:rPr>
        <w:t xml:space="preserve"> arba FOLFIRI derinyje su </w:t>
      </w:r>
      <w:proofErr w:type="spellStart"/>
      <w:r w:rsidRPr="00775355">
        <w:rPr>
          <w:rFonts w:eastAsia="Arial"/>
          <w:color w:val="000000" w:themeColor="text1"/>
        </w:rPr>
        <w:t>cetuksimabu</w:t>
      </w:r>
      <w:proofErr w:type="spellEnd"/>
      <w:r w:rsidRPr="00775355">
        <w:rPr>
          <w:rFonts w:eastAsia="Arial"/>
          <w:color w:val="000000" w:themeColor="text1"/>
        </w:rPr>
        <w:t xml:space="preserve">, pasižymėjo didesniu klinikiniu veiksmingumu. Tačiau </w:t>
      </w:r>
      <w:proofErr w:type="spellStart"/>
      <w:r w:rsidRPr="00775355">
        <w:rPr>
          <w:rFonts w:eastAsia="Arial"/>
          <w:color w:val="000000" w:themeColor="text1"/>
        </w:rPr>
        <w:t>irinotekanas</w:t>
      </w:r>
      <w:proofErr w:type="spellEnd"/>
      <w:r w:rsidRPr="00775355">
        <w:rPr>
          <w:rFonts w:eastAsia="Arial"/>
          <w:color w:val="000000" w:themeColor="text1"/>
        </w:rPr>
        <w:t xml:space="preserve"> arba FOLFIRI derinyje su </w:t>
      </w:r>
      <w:proofErr w:type="spellStart"/>
      <w:r w:rsidRPr="00775355">
        <w:rPr>
          <w:rFonts w:eastAsia="Arial"/>
          <w:color w:val="000000" w:themeColor="text1"/>
        </w:rPr>
        <w:t>cetuksimabu</w:t>
      </w:r>
      <w:proofErr w:type="spellEnd"/>
      <w:r w:rsidRPr="00775355">
        <w:rPr>
          <w:rFonts w:eastAsia="Arial"/>
          <w:color w:val="000000" w:themeColor="text1"/>
        </w:rPr>
        <w:t xml:space="preserve"> negali būti laikomas </w:t>
      </w:r>
      <w:r w:rsidRPr="00775355">
        <w:rPr>
          <w:rFonts w:eastAsia="Arial"/>
        </w:rPr>
        <w:t>tinkamu palyginamuoju gydymu, nes neatitinka šiuo metu šiems pacientams Lietuvoje taikomo gydymo</w:t>
      </w:r>
      <w:r w:rsidRPr="00775355">
        <w:rPr>
          <w:rFonts w:eastAsia="Arial"/>
          <w:i/>
          <w:iCs/>
        </w:rPr>
        <w:t>.</w:t>
      </w:r>
    </w:p>
    <w:p w14:paraId="131CFD64" w14:textId="77777777" w:rsidR="00D21AC2" w:rsidRPr="00775355" w:rsidRDefault="00D21AC2" w:rsidP="00D21AC2">
      <w:pPr>
        <w:spacing w:line="276" w:lineRule="auto"/>
        <w:ind w:firstLine="720"/>
        <w:jc w:val="both"/>
        <w:rPr>
          <w:iCs/>
        </w:rPr>
      </w:pPr>
    </w:p>
    <w:p w14:paraId="5A31A23E" w14:textId="77777777" w:rsidR="00D21AC2" w:rsidRPr="00775355" w:rsidRDefault="00D21AC2" w:rsidP="00D21AC2">
      <w:pPr>
        <w:spacing w:line="276" w:lineRule="auto"/>
        <w:ind w:firstLine="720"/>
        <w:jc w:val="both"/>
        <w:rPr>
          <w:iCs/>
          <w:u w:val="single"/>
        </w:rPr>
      </w:pPr>
      <w:r w:rsidRPr="00775355">
        <w:rPr>
          <w:iCs/>
          <w:u w:val="single"/>
        </w:rPr>
        <w:t>Netiesioginis palyginimas</w:t>
      </w:r>
    </w:p>
    <w:p w14:paraId="3D2A1837" w14:textId="77777777" w:rsidR="00D21AC2" w:rsidRPr="00775355" w:rsidRDefault="00D21AC2" w:rsidP="00D21AC2">
      <w:pPr>
        <w:spacing w:line="276" w:lineRule="auto"/>
        <w:jc w:val="both"/>
        <w:rPr>
          <w:iCs/>
        </w:rPr>
      </w:pPr>
    </w:p>
    <w:p w14:paraId="7390FBF1" w14:textId="77777777" w:rsidR="004E3F6B" w:rsidRPr="00775355" w:rsidRDefault="00D21AC2" w:rsidP="004E3F6B">
      <w:pPr>
        <w:spacing w:line="276" w:lineRule="auto"/>
        <w:ind w:firstLine="720"/>
        <w:jc w:val="both"/>
        <w:rPr>
          <w:iCs/>
          <w:color w:val="000000" w:themeColor="text1"/>
        </w:rPr>
      </w:pPr>
      <w:r w:rsidRPr="00775355">
        <w:rPr>
          <w:iCs/>
        </w:rPr>
        <w:t xml:space="preserve">Nustačius, kad BEACON CRC tyrime taikytas gydymas nėra tinkamas palyginamasis </w:t>
      </w:r>
      <w:r w:rsidRPr="00775355">
        <w:rPr>
          <w:iCs/>
          <w:color w:val="000000" w:themeColor="text1"/>
        </w:rPr>
        <w:t xml:space="preserve">gydymas Lietuvos pacientų populiacijai, klinikinis palyginamasis veiksmingumas grindžiamas netiesioginio palyginimo rezultatais, remiantis Paraiškoje pateikta sistemine literatūros apžvalga, </w:t>
      </w:r>
      <w:r w:rsidRPr="00775355">
        <w:rPr>
          <w:color w:val="000000"/>
        </w:rPr>
        <w:t>klinikinei veiksmingumo analizei buvo panaudoti du klinikiniai tyrimai, identifikuoti sisteminės literatūros apžvalgos metu: BEACON CRC bei tyrimas 20050181 / NCT0039183.</w:t>
      </w:r>
      <w:r w:rsidRPr="00775355">
        <w:rPr>
          <w:rFonts w:eastAsia="Arial"/>
          <w:i/>
          <w:iCs/>
          <w:color w:val="000000" w:themeColor="text1"/>
        </w:rPr>
        <w:t xml:space="preserve"> </w:t>
      </w:r>
      <w:r w:rsidRPr="00775355">
        <w:rPr>
          <w:rFonts w:eastAsia="Arial"/>
          <w:color w:val="000000" w:themeColor="text1"/>
        </w:rPr>
        <w:t>K</w:t>
      </w:r>
      <w:r w:rsidRPr="00775355">
        <w:rPr>
          <w:iCs/>
          <w:color w:val="000000" w:themeColor="text1"/>
        </w:rPr>
        <w:t xml:space="preserve">linikinis palyginamasis veiksmingumas grindžiamas netiesiogine analize, lyginant su įprastine klinikine praktika Lietuvoje: FOLFIRI derinyje su </w:t>
      </w:r>
      <w:proofErr w:type="spellStart"/>
      <w:r w:rsidRPr="00775355">
        <w:rPr>
          <w:iCs/>
          <w:color w:val="000000" w:themeColor="text1"/>
        </w:rPr>
        <w:t>bevacizumabu</w:t>
      </w:r>
      <w:proofErr w:type="spellEnd"/>
      <w:r w:rsidRPr="00775355">
        <w:rPr>
          <w:iCs/>
          <w:color w:val="000000" w:themeColor="text1"/>
        </w:rPr>
        <w:t>.</w:t>
      </w:r>
      <w:r w:rsidR="004E3F6B" w:rsidRPr="00775355">
        <w:rPr>
          <w:iCs/>
          <w:color w:val="000000" w:themeColor="text1"/>
        </w:rPr>
        <w:t xml:space="preserve"> </w:t>
      </w:r>
    </w:p>
    <w:p w14:paraId="4B36F15F" w14:textId="16847BE0" w:rsidR="00D21AC2" w:rsidRPr="00775355" w:rsidRDefault="00D21AC2" w:rsidP="004E3F6B">
      <w:pPr>
        <w:spacing w:line="276" w:lineRule="auto"/>
        <w:ind w:firstLine="720"/>
        <w:jc w:val="both"/>
        <w:rPr>
          <w:color w:val="000000"/>
        </w:rPr>
      </w:pPr>
      <w:r w:rsidRPr="00775355">
        <w:rPr>
          <w:color w:val="000000"/>
        </w:rPr>
        <w:t>Netiesioginio palyginimo rezultatai, rodo, kad </w:t>
      </w:r>
      <w:proofErr w:type="spellStart"/>
      <w:r w:rsidRPr="00775355">
        <w:rPr>
          <w:color w:val="000000"/>
        </w:rPr>
        <w:t>enkorafenibo</w:t>
      </w:r>
      <w:proofErr w:type="spellEnd"/>
      <w:r w:rsidRPr="00775355">
        <w:rPr>
          <w:color w:val="000000"/>
        </w:rPr>
        <w:t xml:space="preserve"> derinys su </w:t>
      </w:r>
      <w:proofErr w:type="spellStart"/>
      <w:r w:rsidRPr="00775355">
        <w:rPr>
          <w:color w:val="000000"/>
        </w:rPr>
        <w:t>cetuksimabu</w:t>
      </w:r>
      <w:proofErr w:type="spellEnd"/>
      <w:r w:rsidRPr="00775355">
        <w:rPr>
          <w:color w:val="000000"/>
        </w:rPr>
        <w:t xml:space="preserve"> yra kliniškai efektyvesnis, lyginant su </w:t>
      </w:r>
      <w:proofErr w:type="spellStart"/>
      <w:r w:rsidRPr="00775355">
        <w:rPr>
          <w:color w:val="000000"/>
        </w:rPr>
        <w:t>FOLFIRI+bevacizumabu</w:t>
      </w:r>
      <w:proofErr w:type="spellEnd"/>
      <w:r w:rsidRPr="00775355">
        <w:rPr>
          <w:color w:val="000000"/>
        </w:rPr>
        <w:t xml:space="preserve">. Nustatyta, kad išgyvenamumas be ligos progresavimo buvo reikšmingai ilgesnis, kai taikytas </w:t>
      </w:r>
      <w:proofErr w:type="spellStart"/>
      <w:r w:rsidRPr="00775355">
        <w:rPr>
          <w:color w:val="000000"/>
        </w:rPr>
        <w:t>enkorafenibo</w:t>
      </w:r>
      <w:proofErr w:type="spellEnd"/>
      <w:r w:rsidRPr="00775355">
        <w:rPr>
          <w:color w:val="000000"/>
        </w:rPr>
        <w:t xml:space="preserve"> derinys su </w:t>
      </w:r>
      <w:proofErr w:type="spellStart"/>
      <w:r w:rsidRPr="00775355">
        <w:rPr>
          <w:color w:val="000000"/>
        </w:rPr>
        <w:t>cetuksimabu</w:t>
      </w:r>
      <w:proofErr w:type="spellEnd"/>
      <w:r w:rsidRPr="00775355">
        <w:rPr>
          <w:color w:val="000000"/>
        </w:rPr>
        <w:t xml:space="preserve"> (RS = 0,30; 95 proc. PI: 0,14–0,68), o bendras išgyvenamumas buvo geresnis (RS = 0,39; 95 proc. PI: 0,19–0,81). Tai reiškia, kad mirties nuo bet kokios priežasties rizika </w:t>
      </w:r>
      <w:proofErr w:type="spellStart"/>
      <w:r w:rsidRPr="00775355">
        <w:rPr>
          <w:color w:val="000000"/>
        </w:rPr>
        <w:t>enkorafenibo</w:t>
      </w:r>
      <w:proofErr w:type="spellEnd"/>
      <w:r w:rsidRPr="00775355">
        <w:rPr>
          <w:color w:val="000000"/>
        </w:rPr>
        <w:t xml:space="preserve"> grupėje buvo 62 proc. mažesnė, nei </w:t>
      </w:r>
      <w:proofErr w:type="spellStart"/>
      <w:r w:rsidRPr="00775355">
        <w:rPr>
          <w:color w:val="000000"/>
        </w:rPr>
        <w:t>FOLFIRI+bevacizumabo</w:t>
      </w:r>
      <w:proofErr w:type="spellEnd"/>
      <w:r w:rsidRPr="00775355">
        <w:rPr>
          <w:color w:val="000000"/>
        </w:rPr>
        <w:t xml:space="preserve"> grupėje.</w:t>
      </w:r>
    </w:p>
    <w:p w14:paraId="574D3486" w14:textId="0FEBCE55" w:rsidR="004537D0" w:rsidRPr="00775355" w:rsidRDefault="00D21AC2" w:rsidP="00452C19">
      <w:pPr>
        <w:spacing w:before="100" w:beforeAutospacing="1" w:after="100" w:afterAutospacing="1" w:line="276" w:lineRule="auto"/>
        <w:ind w:firstLine="720"/>
        <w:rPr>
          <w:b/>
          <w:bCs/>
          <w:caps/>
        </w:rPr>
      </w:pPr>
      <w:r w:rsidRPr="00775355">
        <w:rPr>
          <w:color w:val="000000"/>
        </w:rPr>
        <w:lastRenderedPageBreak/>
        <w:t xml:space="preserve">Pažymėtina, kad dėl netiesioginio analizės pobūdžio ir mažesnės FOLFIRI tyrimo BRAF V600 pacientų imties (n = 45), rezultatai laikomi sąlygiškai neapibrėžtais. Vis dėlto, esami duomenys sudaro pagrindą manyti, kad </w:t>
      </w:r>
      <w:proofErr w:type="spellStart"/>
      <w:r w:rsidRPr="00775355">
        <w:rPr>
          <w:color w:val="000000"/>
        </w:rPr>
        <w:t>enkorafenibo</w:t>
      </w:r>
      <w:proofErr w:type="spellEnd"/>
      <w:r w:rsidRPr="00775355">
        <w:rPr>
          <w:color w:val="000000"/>
        </w:rPr>
        <w:t xml:space="preserve"> su </w:t>
      </w:r>
      <w:proofErr w:type="spellStart"/>
      <w:r w:rsidRPr="00775355">
        <w:rPr>
          <w:color w:val="000000"/>
        </w:rPr>
        <w:t>cetuksimabu</w:t>
      </w:r>
      <w:proofErr w:type="spellEnd"/>
      <w:r w:rsidRPr="00775355">
        <w:rPr>
          <w:color w:val="000000"/>
        </w:rPr>
        <w:t xml:space="preserve"> derinys gali būti veiksmingesnis pasirinkimas antros eilės gydymui pacientams, sergantiems BRAF V600 mutacijos CRC Lietuvoje, lyginant su įprastine klinikine praktika.</w:t>
      </w:r>
    </w:p>
    <w:p w14:paraId="7DE09EB5" w14:textId="69E9DD74" w:rsidR="00E03C3F" w:rsidRPr="00775355" w:rsidRDefault="00CC7832" w:rsidP="00CC09D4">
      <w:pPr>
        <w:pStyle w:val="Sraopastraipa"/>
        <w:numPr>
          <w:ilvl w:val="0"/>
          <w:numId w:val="12"/>
        </w:numPr>
        <w:tabs>
          <w:tab w:val="left" w:pos="567"/>
        </w:tabs>
        <w:ind w:hanging="720"/>
        <w:rPr>
          <w:b/>
          <w:bCs/>
          <w:caps/>
        </w:rPr>
      </w:pPr>
      <w:r w:rsidRPr="00775355">
        <w:rPr>
          <w:b/>
          <w:bCs/>
          <w:caps/>
        </w:rPr>
        <w:t xml:space="preserve">ekonominio vertinimo </w:t>
      </w:r>
      <w:r w:rsidR="002F0E4F" w:rsidRPr="00775355">
        <w:rPr>
          <w:b/>
          <w:bCs/>
          <w:caps/>
        </w:rPr>
        <w:t>apibendrinimas</w:t>
      </w:r>
    </w:p>
    <w:p w14:paraId="1A900598" w14:textId="35B28BA6" w:rsidR="00C62B36" w:rsidRPr="00775355" w:rsidRDefault="00C62B36" w:rsidP="00A93AA6">
      <w:pPr>
        <w:tabs>
          <w:tab w:val="left" w:pos="426"/>
        </w:tabs>
        <w:rPr>
          <w:i/>
          <w:color w:val="00B050"/>
          <w:sz w:val="22"/>
          <w:szCs w:val="22"/>
        </w:rPr>
      </w:pPr>
    </w:p>
    <w:p w14:paraId="3DED6DC4" w14:textId="77777777" w:rsidR="00452C19" w:rsidRPr="00775355" w:rsidRDefault="00452C19" w:rsidP="00452C19">
      <w:pPr>
        <w:spacing w:line="276" w:lineRule="auto"/>
        <w:ind w:firstLine="360"/>
        <w:jc w:val="both"/>
        <w:rPr>
          <w:rFonts w:eastAsia="Arial"/>
          <w:color w:val="000000" w:themeColor="text1"/>
        </w:rPr>
      </w:pPr>
      <w:proofErr w:type="spellStart"/>
      <w:r w:rsidRPr="00775355">
        <w:rPr>
          <w:rFonts w:eastAsia="Arial"/>
          <w:bCs/>
          <w:color w:val="000000" w:themeColor="text1"/>
        </w:rPr>
        <w:t>Enkorafenibo+cetuksimabas</w:t>
      </w:r>
      <w:proofErr w:type="spellEnd"/>
      <w:r w:rsidRPr="00775355">
        <w:rPr>
          <w:rFonts w:eastAsia="Arial"/>
          <w:bCs/>
          <w:color w:val="000000" w:themeColor="text1"/>
        </w:rPr>
        <w:t xml:space="preserve"> klinikinio efektyvumo (BI, IBLP) bei gydymo trukmės duomenys KNA įtraukti remiantis </w:t>
      </w:r>
      <w:r w:rsidRPr="00775355">
        <w:rPr>
          <w:rFonts w:eastAsia="Arial"/>
          <w:color w:val="000000" w:themeColor="text1"/>
        </w:rPr>
        <w:t xml:space="preserve">BEACON CRC klinikinio tyrimo rezultatais. </w:t>
      </w:r>
      <w:r w:rsidRPr="00775355">
        <w:rPr>
          <w:rFonts w:eastAsia="Arial"/>
          <w:bCs/>
          <w:color w:val="000000" w:themeColor="text1"/>
        </w:rPr>
        <w:t xml:space="preserve">BEACON CRC tai 3 fazės klinikinis tyrimas, kuriame </w:t>
      </w:r>
      <w:proofErr w:type="spellStart"/>
      <w:r w:rsidRPr="00775355">
        <w:rPr>
          <w:rFonts w:eastAsia="Arial"/>
          <w:bCs/>
          <w:color w:val="000000" w:themeColor="text1"/>
        </w:rPr>
        <w:t>enkorafenibo</w:t>
      </w:r>
      <w:proofErr w:type="spellEnd"/>
      <w:r w:rsidRPr="00775355">
        <w:rPr>
          <w:rFonts w:eastAsia="Arial"/>
          <w:bCs/>
          <w:color w:val="000000" w:themeColor="text1"/>
        </w:rPr>
        <w:t xml:space="preserve"> ir </w:t>
      </w:r>
      <w:proofErr w:type="spellStart"/>
      <w:r w:rsidRPr="00775355">
        <w:rPr>
          <w:rFonts w:eastAsia="Arial"/>
          <w:bCs/>
          <w:color w:val="000000" w:themeColor="text1"/>
        </w:rPr>
        <w:t>cetuksimabo</w:t>
      </w:r>
      <w:proofErr w:type="spellEnd"/>
      <w:r w:rsidRPr="00775355">
        <w:rPr>
          <w:rFonts w:eastAsia="Arial"/>
          <w:bCs/>
          <w:color w:val="000000" w:themeColor="text1"/>
        </w:rPr>
        <w:t xml:space="preserve"> derinio su arba be </w:t>
      </w:r>
      <w:proofErr w:type="spellStart"/>
      <w:r w:rsidRPr="00775355">
        <w:rPr>
          <w:rFonts w:eastAsia="Arial"/>
          <w:bCs/>
          <w:color w:val="000000" w:themeColor="text1"/>
        </w:rPr>
        <w:t>binimetinibo</w:t>
      </w:r>
      <w:proofErr w:type="spellEnd"/>
      <w:r w:rsidRPr="00775355">
        <w:rPr>
          <w:rFonts w:eastAsia="Arial"/>
          <w:bCs/>
          <w:color w:val="000000" w:themeColor="text1"/>
        </w:rPr>
        <w:t xml:space="preserve"> klinikinis veiksmingumas ir saugumas buvo palygintas su gydymu kontrolinėje grupėje (</w:t>
      </w:r>
      <w:proofErr w:type="spellStart"/>
      <w:r w:rsidRPr="00775355">
        <w:rPr>
          <w:rFonts w:eastAsia="Arial"/>
          <w:bCs/>
          <w:color w:val="000000" w:themeColor="text1"/>
        </w:rPr>
        <w:t>irinotekano</w:t>
      </w:r>
      <w:proofErr w:type="spellEnd"/>
      <w:r w:rsidRPr="00775355">
        <w:rPr>
          <w:rFonts w:eastAsia="Arial"/>
          <w:bCs/>
          <w:color w:val="000000" w:themeColor="text1"/>
        </w:rPr>
        <w:t>/</w:t>
      </w:r>
      <w:proofErr w:type="spellStart"/>
      <w:r w:rsidRPr="00775355">
        <w:rPr>
          <w:rFonts w:eastAsia="Arial"/>
          <w:bCs/>
          <w:color w:val="000000" w:themeColor="text1"/>
        </w:rPr>
        <w:t>cetuksimabo</w:t>
      </w:r>
      <w:proofErr w:type="spellEnd"/>
      <w:r w:rsidRPr="00775355">
        <w:rPr>
          <w:rFonts w:eastAsia="Arial"/>
          <w:bCs/>
          <w:color w:val="000000" w:themeColor="text1"/>
        </w:rPr>
        <w:t xml:space="preserve"> arba FOLFIRI/</w:t>
      </w:r>
      <w:proofErr w:type="spellStart"/>
      <w:r w:rsidRPr="00775355">
        <w:rPr>
          <w:rFonts w:eastAsia="Arial"/>
          <w:bCs/>
          <w:color w:val="000000" w:themeColor="text1"/>
        </w:rPr>
        <w:t>cetuksimabo</w:t>
      </w:r>
      <w:proofErr w:type="spellEnd"/>
      <w:r w:rsidRPr="00775355">
        <w:rPr>
          <w:rFonts w:eastAsia="Arial"/>
          <w:bCs/>
          <w:color w:val="000000" w:themeColor="text1"/>
        </w:rPr>
        <w:t xml:space="preserve"> deriniu) gydant suaugusius pacientus, sergančius </w:t>
      </w:r>
      <w:proofErr w:type="spellStart"/>
      <w:r w:rsidRPr="00775355">
        <w:rPr>
          <w:rFonts w:eastAsia="Arial"/>
          <w:bCs/>
          <w:color w:val="000000" w:themeColor="text1"/>
        </w:rPr>
        <w:t>metastazavusiu</w:t>
      </w:r>
      <w:proofErr w:type="spellEnd"/>
      <w:r w:rsidRPr="00775355">
        <w:rPr>
          <w:rFonts w:eastAsia="Arial"/>
          <w:bCs/>
          <w:color w:val="000000" w:themeColor="text1"/>
        </w:rPr>
        <w:t xml:space="preserve"> </w:t>
      </w:r>
      <w:proofErr w:type="spellStart"/>
      <w:r w:rsidRPr="00775355">
        <w:rPr>
          <w:rFonts w:eastAsia="Arial"/>
          <w:bCs/>
          <w:color w:val="000000" w:themeColor="text1"/>
        </w:rPr>
        <w:t>kolorektaliniu</w:t>
      </w:r>
      <w:proofErr w:type="spellEnd"/>
      <w:r w:rsidRPr="00775355">
        <w:rPr>
          <w:rFonts w:eastAsia="Arial"/>
          <w:bCs/>
          <w:color w:val="000000" w:themeColor="text1"/>
        </w:rPr>
        <w:t xml:space="preserve"> vėžiu (</w:t>
      </w:r>
      <w:proofErr w:type="spellStart"/>
      <w:r w:rsidRPr="00775355">
        <w:rPr>
          <w:rFonts w:eastAsia="Arial"/>
          <w:bCs/>
          <w:color w:val="000000" w:themeColor="text1"/>
        </w:rPr>
        <w:t>mCRC</w:t>
      </w:r>
      <w:proofErr w:type="spellEnd"/>
      <w:r w:rsidRPr="00775355">
        <w:rPr>
          <w:rFonts w:eastAsia="Arial"/>
          <w:bCs/>
          <w:color w:val="000000" w:themeColor="text1"/>
        </w:rPr>
        <w:t xml:space="preserve">) su BRAF V600E mutacija, kurie anksčiau buvo gydyti viena ar dviem sisteminėmis </w:t>
      </w:r>
      <w:proofErr w:type="spellStart"/>
      <w:r w:rsidRPr="00775355">
        <w:rPr>
          <w:rFonts w:eastAsia="Arial"/>
          <w:bCs/>
          <w:color w:val="000000" w:themeColor="text1"/>
        </w:rPr>
        <w:t>terapijomis</w:t>
      </w:r>
      <w:proofErr w:type="spellEnd"/>
      <w:r w:rsidRPr="00775355">
        <w:rPr>
          <w:rFonts w:eastAsia="Arial"/>
          <w:bCs/>
          <w:color w:val="000000" w:themeColor="text1"/>
        </w:rPr>
        <w:t xml:space="preserve"> </w:t>
      </w:r>
      <w:proofErr w:type="spellStart"/>
      <w:r w:rsidRPr="00775355">
        <w:rPr>
          <w:rFonts w:eastAsia="Arial"/>
          <w:bCs/>
          <w:color w:val="000000" w:themeColor="text1"/>
        </w:rPr>
        <w:t>metastazavusiai</w:t>
      </w:r>
      <w:proofErr w:type="spellEnd"/>
      <w:r w:rsidRPr="00775355">
        <w:rPr>
          <w:rFonts w:eastAsia="Arial"/>
          <w:bCs/>
          <w:color w:val="000000" w:themeColor="text1"/>
        </w:rPr>
        <w:t xml:space="preserve"> ligai gydyti. </w:t>
      </w:r>
      <w:r w:rsidRPr="00775355">
        <w:rPr>
          <w:rFonts w:eastAsia="Arial"/>
          <w:color w:val="000000" w:themeColor="text1"/>
        </w:rPr>
        <w:t xml:space="preserve">Tyrimo pacientų populiacija atitinka egzistuojančią Lietuvos pacientų populiaciją, kuriai gydymas gali būti skiriamas pagal numatomas </w:t>
      </w:r>
      <w:proofErr w:type="spellStart"/>
      <w:r w:rsidRPr="00775355">
        <w:rPr>
          <w:rFonts w:eastAsia="Arial"/>
          <w:color w:val="000000" w:themeColor="text1"/>
        </w:rPr>
        <w:t>enkorafenibo</w:t>
      </w:r>
      <w:proofErr w:type="spellEnd"/>
      <w:r w:rsidRPr="00775355">
        <w:rPr>
          <w:rFonts w:eastAsia="Arial"/>
          <w:color w:val="000000" w:themeColor="text1"/>
        </w:rPr>
        <w:t xml:space="preserve"> skyrimo indikacijas ir siūlomas skyrimo sąlygas. </w:t>
      </w:r>
    </w:p>
    <w:p w14:paraId="5898BE7C" w14:textId="77777777" w:rsidR="00452C19" w:rsidRPr="00775355" w:rsidRDefault="00452C19" w:rsidP="00452C19">
      <w:pPr>
        <w:spacing w:line="276" w:lineRule="auto"/>
        <w:ind w:firstLine="360"/>
        <w:jc w:val="both"/>
      </w:pPr>
      <w:proofErr w:type="spellStart"/>
      <w:r w:rsidRPr="00775355">
        <w:t>Farmakoekonominėje</w:t>
      </w:r>
      <w:proofErr w:type="spellEnd"/>
      <w:r w:rsidRPr="00775355">
        <w:t xml:space="preserve"> analizėje taikomas padalintos kohortos išgyvenamumo (angl. </w:t>
      </w:r>
      <w:proofErr w:type="spellStart"/>
      <w:r w:rsidRPr="00775355">
        <w:rPr>
          <w:i/>
        </w:rPr>
        <w:t>partitioned</w:t>
      </w:r>
      <w:proofErr w:type="spellEnd"/>
      <w:r w:rsidRPr="00775355">
        <w:rPr>
          <w:i/>
        </w:rPr>
        <w:t xml:space="preserve"> </w:t>
      </w:r>
      <w:proofErr w:type="spellStart"/>
      <w:r w:rsidRPr="00775355">
        <w:rPr>
          <w:i/>
        </w:rPr>
        <w:t>survival</w:t>
      </w:r>
      <w:proofErr w:type="spellEnd"/>
      <w:r w:rsidRPr="00775355">
        <w:rPr>
          <w:i/>
        </w:rPr>
        <w:t xml:space="preserve"> </w:t>
      </w:r>
      <w:proofErr w:type="spellStart"/>
      <w:r w:rsidRPr="00775355">
        <w:rPr>
          <w:i/>
        </w:rPr>
        <w:t>model</w:t>
      </w:r>
      <w:proofErr w:type="spellEnd"/>
      <w:r w:rsidRPr="00775355">
        <w:t>) trijų sveikatos būklių modeliavimas. Pareiškėjas KNA taiko 30 m. laiko perspektyvą (atsižvelgiant, kad efektyvumo duomenys pagrįsti netiesioginiu palyginimu ir trūksta duomenų pagrindimo ilgalaikei ekstrapoliacijai, laiko perspektyva trumpinama iki 20 m. Laikoma, kad 20 m. laikotarpis apims viso gyvenimo laiko perspektyvą.</w:t>
      </w:r>
    </w:p>
    <w:p w14:paraId="76D0836B" w14:textId="5FA0C007" w:rsidR="00452C19" w:rsidRPr="00775355" w:rsidRDefault="00452C19" w:rsidP="00452C19">
      <w:pPr>
        <w:spacing w:line="276" w:lineRule="auto"/>
        <w:ind w:firstLine="360"/>
        <w:jc w:val="both"/>
      </w:pPr>
      <w:r w:rsidRPr="00775355">
        <w:rPr>
          <w:rFonts w:eastAsia="Arial"/>
          <w:color w:val="000000" w:themeColor="text1"/>
        </w:rPr>
        <w:t xml:space="preserve">Kadangi </w:t>
      </w:r>
      <w:proofErr w:type="spellStart"/>
      <w:r w:rsidRPr="00775355">
        <w:rPr>
          <w:rFonts w:eastAsia="Arial"/>
          <w:color w:val="000000" w:themeColor="text1"/>
        </w:rPr>
        <w:t>irinotekanas</w:t>
      </w:r>
      <w:proofErr w:type="spellEnd"/>
      <w:r w:rsidRPr="00775355">
        <w:rPr>
          <w:rFonts w:eastAsia="Arial"/>
          <w:color w:val="000000" w:themeColor="text1"/>
        </w:rPr>
        <w:t xml:space="preserve"> arba FOLFIRI derinyje su </w:t>
      </w:r>
      <w:proofErr w:type="spellStart"/>
      <w:r w:rsidRPr="00775355">
        <w:rPr>
          <w:rFonts w:eastAsia="Arial"/>
          <w:color w:val="000000" w:themeColor="text1"/>
        </w:rPr>
        <w:t>cetuksimabu</w:t>
      </w:r>
      <w:proofErr w:type="spellEnd"/>
      <w:r w:rsidRPr="00775355">
        <w:rPr>
          <w:rFonts w:eastAsia="Arial"/>
          <w:color w:val="000000" w:themeColor="text1"/>
        </w:rPr>
        <w:t xml:space="preserve"> negali būti laikomas tinkamu palyginamuoju gydymu, nes neatitinka šiuo metu šiems pacientams Lietuvoje taikomo gydymo, tinkamo palyginamojo gydymo </w:t>
      </w:r>
      <w:proofErr w:type="spellStart"/>
      <w:r w:rsidRPr="00775355">
        <w:rPr>
          <w:rFonts w:eastAsia="Arial"/>
          <w:color w:val="000000" w:themeColor="text1"/>
        </w:rPr>
        <w:t>FOLFIRI+bevacizumabas</w:t>
      </w:r>
      <w:proofErr w:type="spellEnd"/>
      <w:r w:rsidRPr="00775355">
        <w:rPr>
          <w:rFonts w:eastAsia="Arial"/>
          <w:color w:val="000000" w:themeColor="text1"/>
        </w:rPr>
        <w:t xml:space="preserve"> klinikinio efektyvumo duomenys KNA pagrįsti netiesioginio palyginimo rezultatais. </w:t>
      </w:r>
      <w:r w:rsidRPr="00775355">
        <w:rPr>
          <w:iCs/>
          <w:color w:val="000000" w:themeColor="text1"/>
        </w:rPr>
        <w:t xml:space="preserve">Remiantis Paraiškoje pateikta sistemine literatūros apžvalga, </w:t>
      </w:r>
      <w:r w:rsidRPr="00775355">
        <w:rPr>
          <w:color w:val="000000"/>
        </w:rPr>
        <w:t>klinikinei veiksmingumo analizei buvo panaudoti du klinikiniai tyrimai, identifikuoti sisteminės literatūros apžvalgos metu: BEACON CRC bei tyrimas 20050181 / NCT0039183.</w:t>
      </w:r>
      <w:r w:rsidRPr="00775355">
        <w:rPr>
          <w:rFonts w:eastAsia="Arial"/>
          <w:i/>
          <w:iCs/>
          <w:color w:val="000000" w:themeColor="text1"/>
        </w:rPr>
        <w:t xml:space="preserve"> </w:t>
      </w:r>
      <w:r w:rsidRPr="00775355">
        <w:rPr>
          <w:color w:val="000000"/>
        </w:rPr>
        <w:t>Nors netiesioginio palyginimo rezultatai, rodo, kad </w:t>
      </w:r>
      <w:proofErr w:type="spellStart"/>
      <w:r w:rsidRPr="00775355">
        <w:rPr>
          <w:color w:val="000000"/>
        </w:rPr>
        <w:t>enkorafenibo</w:t>
      </w:r>
      <w:proofErr w:type="spellEnd"/>
      <w:r w:rsidRPr="00775355">
        <w:rPr>
          <w:color w:val="000000"/>
        </w:rPr>
        <w:t xml:space="preserve"> derinys su </w:t>
      </w:r>
      <w:proofErr w:type="spellStart"/>
      <w:r w:rsidRPr="00775355">
        <w:rPr>
          <w:color w:val="000000"/>
        </w:rPr>
        <w:t>cetuksimabu</w:t>
      </w:r>
      <w:proofErr w:type="spellEnd"/>
      <w:r w:rsidRPr="00775355">
        <w:rPr>
          <w:color w:val="000000"/>
        </w:rPr>
        <w:t xml:space="preserve"> yra kliniškai efektyvesnis nei </w:t>
      </w:r>
      <w:proofErr w:type="spellStart"/>
      <w:r w:rsidRPr="00775355">
        <w:rPr>
          <w:color w:val="000000"/>
        </w:rPr>
        <w:t>FOLFIRI+bevacizumabas</w:t>
      </w:r>
      <w:proofErr w:type="spellEnd"/>
      <w:r w:rsidRPr="00775355">
        <w:rPr>
          <w:color w:val="000000"/>
        </w:rPr>
        <w:t xml:space="preserve">, </w:t>
      </w:r>
      <w:r w:rsidRPr="00775355">
        <w:t xml:space="preserve">Tarnyba atkreipia dėmesį, kad KNA pasižymi dideliais neapibrėžtumais, nes duomenys pagrįsti netiesioginio palyginimo analizės pobūdžio duomenimis: </w:t>
      </w:r>
      <w:r w:rsidRPr="00775355">
        <w:rPr>
          <w:color w:val="000000"/>
        </w:rPr>
        <w:t xml:space="preserve">mažos FOLFIRI tyrimo BRAF V600 pacientų imtys (n = </w:t>
      </w:r>
      <w:r w:rsidR="00775355">
        <w:rPr>
          <w:sz w:val="22"/>
          <w:szCs w:val="22"/>
          <w:lang w:val="en-US"/>
        </w:rPr>
        <w:t>***</w:t>
      </w:r>
      <w:r w:rsidRPr="00775355">
        <w:rPr>
          <w:color w:val="000000"/>
        </w:rPr>
        <w:t>), </w:t>
      </w:r>
      <w:r w:rsidRPr="00775355">
        <w:rPr>
          <w:lang w:eastAsia="lt-LT"/>
        </w:rPr>
        <w:t xml:space="preserve">netiesioginis palyginimas atliekamas pagal grupinį susiejimą, </w:t>
      </w:r>
      <w:proofErr w:type="spellStart"/>
      <w:r w:rsidRPr="00775355">
        <w:rPr>
          <w:lang w:eastAsia="lt-LT"/>
        </w:rPr>
        <w:t>t.y</w:t>
      </w:r>
      <w:proofErr w:type="spellEnd"/>
      <w:r w:rsidRPr="00775355">
        <w:rPr>
          <w:lang w:eastAsia="lt-LT"/>
        </w:rPr>
        <w:t>. nebuvo galimybės</w:t>
      </w:r>
      <w:r w:rsidRPr="00775355">
        <w:t xml:space="preserve"> </w:t>
      </w:r>
      <w:r w:rsidRPr="00775355">
        <w:rPr>
          <w:lang w:eastAsia="lt-LT"/>
        </w:rPr>
        <w:t xml:space="preserve">susieti įrodymų tinklą per tą patį palyginamąjį gydymą. Paminėtina, kad išorės šaltiniais </w:t>
      </w:r>
      <w:proofErr w:type="spellStart"/>
      <w:r w:rsidRPr="00775355">
        <w:rPr>
          <w:lang w:eastAsia="lt-LT"/>
        </w:rPr>
        <w:t>validuojamas</w:t>
      </w:r>
      <w:proofErr w:type="spellEnd"/>
      <w:r w:rsidRPr="00775355">
        <w:rPr>
          <w:lang w:eastAsia="lt-LT"/>
        </w:rPr>
        <w:t xml:space="preserve"> tik 4 m. BI laikotarpis. Laikoma, kad tikrasis gydymo efektas tarp palyginamųjų lieka neaiškus, todėl </w:t>
      </w:r>
      <w:proofErr w:type="spellStart"/>
      <w:r w:rsidRPr="00775355">
        <w:rPr>
          <w:lang w:eastAsia="lt-LT"/>
        </w:rPr>
        <w:t>ekstrapoliuojant</w:t>
      </w:r>
      <w:proofErr w:type="spellEnd"/>
      <w:r w:rsidRPr="00775355">
        <w:rPr>
          <w:lang w:eastAsia="lt-LT"/>
        </w:rPr>
        <w:t xml:space="preserve"> duomenis laikomasi konservatyvesnio scenarijaus: IBLP ir BI duomenų ekstrapoliacijai taikomas </w:t>
      </w:r>
      <w:proofErr w:type="spellStart"/>
      <w:r w:rsidRPr="00775355">
        <w:rPr>
          <w:lang w:eastAsia="lt-LT"/>
        </w:rPr>
        <w:t>Weibul</w:t>
      </w:r>
      <w:proofErr w:type="spellEnd"/>
      <w:r w:rsidRPr="00775355">
        <w:rPr>
          <w:lang w:eastAsia="lt-LT"/>
        </w:rPr>
        <w:t xml:space="preserve"> modeliavimas</w:t>
      </w:r>
      <w:r w:rsidRPr="00775355">
        <w:rPr>
          <w:bCs/>
          <w:i/>
        </w:rPr>
        <w:t xml:space="preserve">. </w:t>
      </w:r>
      <w:r w:rsidRPr="00775355">
        <w:t xml:space="preserve">Svarbu tai, kad jautrumo analizės duomenys patvirtina Tarnybos vertinimą, jog modelis pasižymi dideliais neapibrėžtumais dėl netiesioginio pobūdžio analizės duomenų įtraukimo KNA (ir netiesioginio palyginimo analizės trūkumų). Galutiniais duomenimis, keičiant modelyje taikomas prielaidas lyginant su </w:t>
      </w:r>
      <w:proofErr w:type="spellStart"/>
      <w:r w:rsidRPr="00775355">
        <w:t>FOLFIRI+bevacizumabas</w:t>
      </w:r>
      <w:proofErr w:type="spellEnd"/>
      <w:r w:rsidRPr="00775355">
        <w:t xml:space="preserve"> apskaičiuotas ICER (taikant viršutinę RS </w:t>
      </w:r>
      <w:r w:rsidR="00775355">
        <w:rPr>
          <w:sz w:val="22"/>
          <w:szCs w:val="22"/>
          <w:lang w:val="en-US"/>
        </w:rPr>
        <w:t>***</w:t>
      </w:r>
      <w:r w:rsidR="00775355" w:rsidRPr="00AD6E81">
        <w:rPr>
          <w:b/>
          <w:color w:val="000000"/>
        </w:rPr>
        <w:t xml:space="preserve"> </w:t>
      </w:r>
      <w:r w:rsidRPr="00775355">
        <w:t>proc. PI ribą) viršija sunkiai ligos naštai taikomą referencinę kaštų naudingumo vertę (</w:t>
      </w:r>
      <w:r w:rsidR="00775355">
        <w:rPr>
          <w:sz w:val="22"/>
          <w:szCs w:val="22"/>
          <w:lang w:val="en-US"/>
        </w:rPr>
        <w:t>***</w:t>
      </w:r>
      <w:r w:rsidR="00775355" w:rsidRPr="00AD6E81">
        <w:rPr>
          <w:b/>
          <w:color w:val="000000"/>
        </w:rPr>
        <w:t xml:space="preserve"> </w:t>
      </w:r>
      <w:r w:rsidRPr="00775355">
        <w:t>proc. nuo referencinės vertės).</w:t>
      </w:r>
    </w:p>
    <w:p w14:paraId="384EA10C" w14:textId="77777777" w:rsidR="00452C19" w:rsidRPr="00775355" w:rsidRDefault="00452C19" w:rsidP="00452C19">
      <w:pPr>
        <w:pStyle w:val="NormalBMS"/>
        <w:tabs>
          <w:tab w:val="left" w:pos="360"/>
        </w:tabs>
        <w:spacing w:line="276" w:lineRule="auto"/>
        <w:ind w:firstLine="360"/>
        <w:rPr>
          <w:lang w:val="lt-LT"/>
        </w:rPr>
      </w:pPr>
      <w:r w:rsidRPr="00775355">
        <w:rPr>
          <w:lang w:val="lt-LT"/>
        </w:rPr>
        <w:t xml:space="preserve">Tarnyba gyvenimo kokybės įverčius, KNA taikomus remiantis pagal BEACON tyrimo duomenis, adaptuoja pagal anksčiau </w:t>
      </w:r>
      <w:proofErr w:type="spellStart"/>
      <w:r w:rsidRPr="00775355">
        <w:rPr>
          <w:lang w:val="lt-LT"/>
        </w:rPr>
        <w:t>mGTV</w:t>
      </w:r>
      <w:proofErr w:type="spellEnd"/>
      <w:r w:rsidRPr="00775355">
        <w:rPr>
          <w:lang w:val="lt-LT"/>
        </w:rPr>
        <w:t xml:space="preserve"> vertintų paraiškų duomenis. Įprastinėje atvejo analizėje pareiškėjas taiko santykinio dozės intensyvumo, praradimo koeficientus. Tarnyba įprastinėje atvejo analizėje neįtraukia santykinio dozės intensyvumo įverčių, kadangi duomenys nėra adaptuoti pagal Lietuvos </w:t>
      </w:r>
      <w:r w:rsidRPr="00775355">
        <w:rPr>
          <w:lang w:val="lt-LT"/>
        </w:rPr>
        <w:lastRenderedPageBreak/>
        <w:t xml:space="preserve">klinikinę praktiką. Buteliukų dalijimo prielaida (angl. </w:t>
      </w:r>
      <w:proofErr w:type="spellStart"/>
      <w:r w:rsidRPr="00775355">
        <w:rPr>
          <w:lang w:val="lt-LT"/>
        </w:rPr>
        <w:t>vial</w:t>
      </w:r>
      <w:proofErr w:type="spellEnd"/>
      <w:r w:rsidRPr="00775355">
        <w:rPr>
          <w:lang w:val="lt-LT"/>
        </w:rPr>
        <w:t xml:space="preserve"> </w:t>
      </w:r>
      <w:proofErr w:type="spellStart"/>
      <w:r w:rsidRPr="00775355">
        <w:rPr>
          <w:lang w:val="lt-LT"/>
        </w:rPr>
        <w:t>share</w:t>
      </w:r>
      <w:proofErr w:type="spellEnd"/>
      <w:r w:rsidRPr="00775355">
        <w:rPr>
          <w:lang w:val="lt-LT"/>
        </w:rPr>
        <w:t>) netaikoma.</w:t>
      </w:r>
    </w:p>
    <w:p w14:paraId="1DA4340D" w14:textId="45428655" w:rsidR="00452C19" w:rsidRPr="00775355" w:rsidRDefault="00452C19" w:rsidP="00452C19">
      <w:pPr>
        <w:tabs>
          <w:tab w:val="left" w:pos="567"/>
        </w:tabs>
        <w:spacing w:line="276" w:lineRule="auto"/>
        <w:ind w:firstLine="360"/>
        <w:jc w:val="both"/>
      </w:pPr>
      <w:r w:rsidRPr="00775355">
        <w:rPr>
          <w:iCs/>
          <w:lang w:eastAsia="lt-LT"/>
        </w:rPr>
        <w:t xml:space="preserve">Pareiškėjas KNA įtraukia vaistinių preparatų įsigijimo, skyrimo ir stebėsenos, gydymo (sveikatos būklių), nepageidaujamo poveikio ir gyvenimo pabaigos kaštus. </w:t>
      </w:r>
      <w:r w:rsidRPr="00775355">
        <w:t xml:space="preserve">Analizė atlikta iš PSDF biudžeto perspektyvos, įtraukti tiesiogiai su sveikatos sistema susiję kaštai. Tai atitinka teisės aktuose nustatytus paraiškos rengimo taisyklių reikalavimus. Tarnyba adaptuoja įkainius (2025 m. II </w:t>
      </w:r>
      <w:proofErr w:type="spellStart"/>
      <w:r w:rsidRPr="00775355">
        <w:t>pusm</w:t>
      </w:r>
      <w:proofErr w:type="spellEnd"/>
      <w:r w:rsidRPr="00775355">
        <w:t>.) ir kai kurias prielaidas, tačiau apibendrinant vertinama, kad kaštai ekonominėje analizėje apskaičiuoti ir įtraukti tinkamai.</w:t>
      </w:r>
    </w:p>
    <w:p w14:paraId="174D84D7" w14:textId="2A98EE7C" w:rsidR="0035172D" w:rsidRPr="00775355" w:rsidRDefault="0035172D" w:rsidP="00452C19">
      <w:pPr>
        <w:tabs>
          <w:tab w:val="left" w:pos="426"/>
        </w:tabs>
        <w:jc w:val="center"/>
        <w:rPr>
          <w:b/>
          <w:lang w:eastAsia="lt-LT"/>
        </w:rPr>
      </w:pPr>
      <w:r w:rsidRPr="00775355">
        <w:rPr>
          <w:b/>
          <w:lang w:eastAsia="lt-LT"/>
        </w:rPr>
        <w:t>Ekonominės analizės rezultatas</w:t>
      </w:r>
    </w:p>
    <w:p w14:paraId="4801D227" w14:textId="77777777" w:rsidR="009E44AE" w:rsidRPr="00775355" w:rsidRDefault="009E44AE" w:rsidP="00A93AA6">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9E44AE" w:rsidRPr="00775355" w14:paraId="42D6C843" w14:textId="77777777" w:rsidTr="00BE7489">
        <w:trPr>
          <w:trHeight w:val="344"/>
          <w:jc w:val="center"/>
        </w:trPr>
        <w:tc>
          <w:tcPr>
            <w:tcW w:w="9439" w:type="dxa"/>
            <w:gridSpan w:val="2"/>
            <w:tcBorders>
              <w:top w:val="single" w:sz="12" w:space="0" w:color="auto"/>
              <w:left w:val="single" w:sz="4" w:space="0" w:color="auto"/>
              <w:right w:val="single" w:sz="4" w:space="0" w:color="auto"/>
            </w:tcBorders>
            <w:vAlign w:val="center"/>
          </w:tcPr>
          <w:p w14:paraId="39FD3B40" w14:textId="77777777" w:rsidR="009E44AE" w:rsidRPr="00775355" w:rsidRDefault="009E44AE" w:rsidP="009E44AE">
            <w:pPr>
              <w:tabs>
                <w:tab w:val="left" w:pos="567"/>
              </w:tabs>
              <w:jc w:val="center"/>
              <w:rPr>
                <w:b/>
                <w:bCs/>
                <w:sz w:val="26"/>
                <w:szCs w:val="26"/>
                <w:lang w:eastAsia="lt-LT"/>
              </w:rPr>
            </w:pPr>
            <w:r w:rsidRPr="00775355">
              <w:rPr>
                <w:b/>
                <w:bCs/>
                <w:sz w:val="26"/>
                <w:szCs w:val="26"/>
                <w:lang w:eastAsia="lt-LT"/>
              </w:rPr>
              <w:t>Rezultatai</w:t>
            </w:r>
          </w:p>
        </w:tc>
      </w:tr>
      <w:tr w:rsidR="00BA5DBC" w:rsidRPr="00775355" w14:paraId="319AF392" w14:textId="77777777" w:rsidTr="00BE7489">
        <w:trPr>
          <w:trHeight w:val="267"/>
          <w:jc w:val="center"/>
        </w:trPr>
        <w:tc>
          <w:tcPr>
            <w:tcW w:w="6200" w:type="dxa"/>
            <w:tcBorders>
              <w:left w:val="single" w:sz="4" w:space="0" w:color="auto"/>
            </w:tcBorders>
          </w:tcPr>
          <w:p w14:paraId="44CD8D27" w14:textId="27245A0B" w:rsidR="00BA5DBC" w:rsidRPr="00775355" w:rsidRDefault="00BA5DBC" w:rsidP="00BA5DBC">
            <w:pPr>
              <w:tabs>
                <w:tab w:val="left" w:pos="567"/>
              </w:tabs>
              <w:jc w:val="right"/>
              <w:rPr>
                <w:iCs/>
                <w:lang w:eastAsia="lt-LT"/>
              </w:rPr>
            </w:pPr>
            <w:r w:rsidRPr="00775355">
              <w:rPr>
                <w:iCs/>
                <w:lang w:eastAsia="lt-LT"/>
              </w:rPr>
              <w:t>Kaštų skirtumas</w:t>
            </w:r>
          </w:p>
        </w:tc>
        <w:tc>
          <w:tcPr>
            <w:tcW w:w="3238" w:type="dxa"/>
            <w:tcBorders>
              <w:right w:val="single" w:sz="4" w:space="0" w:color="auto"/>
            </w:tcBorders>
          </w:tcPr>
          <w:p w14:paraId="1CACF0B4" w14:textId="0D4FBADF" w:rsidR="00BA5DBC" w:rsidRPr="00775355" w:rsidRDefault="008439DC" w:rsidP="00BA5DBC">
            <w:pPr>
              <w:tabs>
                <w:tab w:val="left" w:pos="567"/>
              </w:tabs>
              <w:jc w:val="both"/>
              <w:rPr>
                <w:i/>
                <w:iCs/>
                <w:lang w:eastAsia="lt-LT"/>
              </w:rPr>
            </w:pPr>
            <w:r w:rsidRPr="00775355">
              <w:rPr>
                <w:sz w:val="22"/>
                <w:szCs w:val="22"/>
              </w:rPr>
              <w:t>***</w:t>
            </w:r>
            <w:r w:rsidR="00452C19" w:rsidRPr="00775355">
              <w:rPr>
                <w:b/>
                <w:color w:val="000000"/>
              </w:rPr>
              <w:t xml:space="preserve"> </w:t>
            </w:r>
            <w:r w:rsidR="00452C19" w:rsidRPr="00775355">
              <w:rPr>
                <w:lang w:eastAsia="lt-LT"/>
              </w:rPr>
              <w:t>Eur.</w:t>
            </w:r>
          </w:p>
        </w:tc>
      </w:tr>
      <w:tr w:rsidR="00BA5DBC" w:rsidRPr="00775355" w14:paraId="49F818A3" w14:textId="77777777" w:rsidTr="00BE7489">
        <w:trPr>
          <w:trHeight w:val="267"/>
          <w:jc w:val="center"/>
        </w:trPr>
        <w:tc>
          <w:tcPr>
            <w:tcW w:w="6200" w:type="dxa"/>
            <w:tcBorders>
              <w:left w:val="single" w:sz="4" w:space="0" w:color="auto"/>
            </w:tcBorders>
          </w:tcPr>
          <w:p w14:paraId="021DB925" w14:textId="389F1BF5" w:rsidR="00BA5DBC" w:rsidRPr="00775355" w:rsidRDefault="00BA5DBC" w:rsidP="00BA5DBC">
            <w:pPr>
              <w:tabs>
                <w:tab w:val="left" w:pos="567"/>
              </w:tabs>
              <w:jc w:val="right"/>
              <w:rPr>
                <w:iCs/>
                <w:lang w:eastAsia="lt-LT"/>
              </w:rPr>
            </w:pPr>
            <w:r w:rsidRPr="00775355">
              <w:rPr>
                <w:iCs/>
                <w:lang w:eastAsia="lt-LT"/>
              </w:rPr>
              <w:t>Papildomi gyvenimo metai (LY)</w:t>
            </w:r>
          </w:p>
        </w:tc>
        <w:tc>
          <w:tcPr>
            <w:tcW w:w="3238" w:type="dxa"/>
            <w:tcBorders>
              <w:right w:val="single" w:sz="4" w:space="0" w:color="auto"/>
            </w:tcBorders>
          </w:tcPr>
          <w:p w14:paraId="4954817B" w14:textId="279D2089" w:rsidR="00BA5DBC" w:rsidRPr="00775355" w:rsidRDefault="00775355" w:rsidP="00BA5DBC">
            <w:pPr>
              <w:tabs>
                <w:tab w:val="left" w:pos="567"/>
              </w:tabs>
              <w:jc w:val="both"/>
              <w:rPr>
                <w:iCs/>
                <w:lang w:eastAsia="lt-LT"/>
              </w:rPr>
            </w:pPr>
            <w:r w:rsidRPr="00775355">
              <w:rPr>
                <w:sz w:val="22"/>
                <w:szCs w:val="22"/>
              </w:rPr>
              <w:t>***</w:t>
            </w:r>
          </w:p>
        </w:tc>
      </w:tr>
      <w:tr w:rsidR="00BA5DBC" w:rsidRPr="00775355" w14:paraId="20ADA742" w14:textId="77777777" w:rsidTr="00BE7489">
        <w:trPr>
          <w:trHeight w:val="267"/>
          <w:jc w:val="center"/>
        </w:trPr>
        <w:tc>
          <w:tcPr>
            <w:tcW w:w="6200" w:type="dxa"/>
            <w:tcBorders>
              <w:left w:val="single" w:sz="4" w:space="0" w:color="auto"/>
            </w:tcBorders>
          </w:tcPr>
          <w:p w14:paraId="0F567576" w14:textId="2606A2E9" w:rsidR="00BA5DBC" w:rsidRPr="00775355" w:rsidRDefault="0058712F" w:rsidP="00BA5DBC">
            <w:pPr>
              <w:tabs>
                <w:tab w:val="left" w:pos="567"/>
              </w:tabs>
              <w:jc w:val="right"/>
              <w:rPr>
                <w:iCs/>
                <w:lang w:eastAsia="lt-LT"/>
              </w:rPr>
            </w:pPr>
            <w:r w:rsidRPr="00775355">
              <w:rPr>
                <w:iCs/>
                <w:lang w:eastAsia="lt-LT"/>
              </w:rPr>
              <w:t>Papildomi k</w:t>
            </w:r>
            <w:r w:rsidR="00BA5DBC" w:rsidRPr="00775355">
              <w:rPr>
                <w:iCs/>
                <w:lang w:eastAsia="lt-LT"/>
              </w:rPr>
              <w:t>okybiški gyvenimo metai (QALY)</w:t>
            </w:r>
          </w:p>
        </w:tc>
        <w:tc>
          <w:tcPr>
            <w:tcW w:w="3238" w:type="dxa"/>
            <w:tcBorders>
              <w:right w:val="single" w:sz="4" w:space="0" w:color="auto"/>
            </w:tcBorders>
          </w:tcPr>
          <w:p w14:paraId="02E4DAE1" w14:textId="64C299B0" w:rsidR="00BA5DBC" w:rsidRPr="00775355" w:rsidRDefault="00775355" w:rsidP="00BA5DBC">
            <w:pPr>
              <w:tabs>
                <w:tab w:val="left" w:pos="567"/>
              </w:tabs>
              <w:jc w:val="both"/>
              <w:rPr>
                <w:i/>
                <w:iCs/>
                <w:lang w:eastAsia="lt-LT"/>
              </w:rPr>
            </w:pPr>
            <w:r w:rsidRPr="00775355">
              <w:rPr>
                <w:sz w:val="22"/>
                <w:szCs w:val="22"/>
              </w:rPr>
              <w:t>***</w:t>
            </w:r>
          </w:p>
        </w:tc>
      </w:tr>
      <w:tr w:rsidR="00BA5DBC" w:rsidRPr="00775355" w14:paraId="1FADA2B3" w14:textId="77777777" w:rsidTr="00BE7489">
        <w:trPr>
          <w:trHeight w:val="267"/>
          <w:jc w:val="center"/>
        </w:trPr>
        <w:tc>
          <w:tcPr>
            <w:tcW w:w="6200" w:type="dxa"/>
            <w:tcBorders>
              <w:left w:val="single" w:sz="4" w:space="0" w:color="auto"/>
            </w:tcBorders>
          </w:tcPr>
          <w:p w14:paraId="13E089E8" w14:textId="0BCEB339" w:rsidR="00BA5DBC" w:rsidRPr="00775355" w:rsidRDefault="00BA5DBC" w:rsidP="009E44AE">
            <w:pPr>
              <w:tabs>
                <w:tab w:val="left" w:pos="567"/>
              </w:tabs>
              <w:jc w:val="right"/>
              <w:rPr>
                <w:iCs/>
                <w:lang w:eastAsia="lt-LT"/>
              </w:rPr>
            </w:pPr>
            <w:r w:rsidRPr="00775355">
              <w:rPr>
                <w:iCs/>
                <w:lang w:eastAsia="lt-LT"/>
              </w:rPr>
              <w:t>ICER už LY</w:t>
            </w:r>
          </w:p>
        </w:tc>
        <w:tc>
          <w:tcPr>
            <w:tcW w:w="3238" w:type="dxa"/>
            <w:tcBorders>
              <w:right w:val="single" w:sz="4" w:space="0" w:color="auto"/>
            </w:tcBorders>
          </w:tcPr>
          <w:p w14:paraId="2817448D" w14:textId="6EFBEAAB" w:rsidR="00BA5DBC" w:rsidRPr="00775355" w:rsidRDefault="008439DC" w:rsidP="009E44AE">
            <w:pPr>
              <w:tabs>
                <w:tab w:val="left" w:pos="567"/>
              </w:tabs>
              <w:jc w:val="both"/>
              <w:rPr>
                <w:i/>
                <w:iCs/>
                <w:lang w:eastAsia="lt-LT"/>
              </w:rPr>
            </w:pPr>
            <w:r w:rsidRPr="00775355">
              <w:rPr>
                <w:sz w:val="22"/>
                <w:szCs w:val="22"/>
              </w:rPr>
              <w:t>***</w:t>
            </w:r>
            <w:r w:rsidR="00452C19" w:rsidRPr="00775355">
              <w:rPr>
                <w:color w:val="000000"/>
              </w:rPr>
              <w:t xml:space="preserve"> Eur./</w:t>
            </w:r>
            <w:proofErr w:type="spellStart"/>
            <w:r w:rsidR="00452C19" w:rsidRPr="00775355">
              <w:rPr>
                <w:color w:val="000000"/>
              </w:rPr>
              <w:t>LYs</w:t>
            </w:r>
            <w:proofErr w:type="spellEnd"/>
          </w:p>
        </w:tc>
      </w:tr>
      <w:tr w:rsidR="009E44AE" w:rsidRPr="00775355" w14:paraId="250DE960" w14:textId="77777777" w:rsidTr="00BE7489">
        <w:trPr>
          <w:trHeight w:val="267"/>
          <w:jc w:val="center"/>
        </w:trPr>
        <w:tc>
          <w:tcPr>
            <w:tcW w:w="6200" w:type="dxa"/>
            <w:tcBorders>
              <w:left w:val="single" w:sz="4" w:space="0" w:color="auto"/>
            </w:tcBorders>
          </w:tcPr>
          <w:p w14:paraId="207EFB23" w14:textId="77777777" w:rsidR="009E44AE" w:rsidRPr="00775355" w:rsidRDefault="009E44AE" w:rsidP="009E44AE">
            <w:pPr>
              <w:tabs>
                <w:tab w:val="left" w:pos="567"/>
              </w:tabs>
              <w:jc w:val="right"/>
              <w:rPr>
                <w:iCs/>
                <w:lang w:eastAsia="lt-LT"/>
              </w:rPr>
            </w:pPr>
            <w:r w:rsidRPr="00775355">
              <w:rPr>
                <w:iCs/>
                <w:lang w:eastAsia="lt-LT"/>
              </w:rPr>
              <w:t>ICER už QALY</w:t>
            </w:r>
          </w:p>
        </w:tc>
        <w:tc>
          <w:tcPr>
            <w:tcW w:w="3238" w:type="dxa"/>
            <w:tcBorders>
              <w:right w:val="single" w:sz="4" w:space="0" w:color="auto"/>
            </w:tcBorders>
          </w:tcPr>
          <w:p w14:paraId="4275320D" w14:textId="02CC2461" w:rsidR="009E44AE" w:rsidRPr="00775355" w:rsidRDefault="008439DC" w:rsidP="009E44AE">
            <w:pPr>
              <w:tabs>
                <w:tab w:val="left" w:pos="567"/>
              </w:tabs>
              <w:jc w:val="both"/>
              <w:rPr>
                <w:i/>
                <w:iCs/>
                <w:lang w:eastAsia="lt-LT"/>
              </w:rPr>
            </w:pPr>
            <w:r w:rsidRPr="00775355">
              <w:rPr>
                <w:sz w:val="22"/>
                <w:szCs w:val="22"/>
              </w:rPr>
              <w:t>***</w:t>
            </w:r>
            <w:r w:rsidR="00452C19" w:rsidRPr="00775355">
              <w:rPr>
                <w:color w:val="000000"/>
              </w:rPr>
              <w:t xml:space="preserve"> Eur./QALY</w:t>
            </w:r>
          </w:p>
        </w:tc>
      </w:tr>
      <w:tr w:rsidR="009E44AE" w:rsidRPr="00775355" w14:paraId="2C4C68BA" w14:textId="77777777" w:rsidTr="00BE7489">
        <w:trPr>
          <w:trHeight w:val="267"/>
          <w:jc w:val="center"/>
        </w:trPr>
        <w:tc>
          <w:tcPr>
            <w:tcW w:w="6200" w:type="dxa"/>
            <w:tcBorders>
              <w:left w:val="single" w:sz="4" w:space="0" w:color="auto"/>
              <w:bottom w:val="single" w:sz="4" w:space="0" w:color="auto"/>
              <w:right w:val="single" w:sz="4" w:space="0" w:color="auto"/>
            </w:tcBorders>
          </w:tcPr>
          <w:p w14:paraId="21BEDABF" w14:textId="77777777" w:rsidR="009E44AE" w:rsidRPr="00775355" w:rsidRDefault="009E44AE" w:rsidP="009E44AE">
            <w:pPr>
              <w:tabs>
                <w:tab w:val="left" w:pos="567"/>
              </w:tabs>
              <w:jc w:val="right"/>
              <w:rPr>
                <w:iCs/>
                <w:lang w:eastAsia="lt-LT"/>
              </w:rPr>
            </w:pPr>
            <w:r w:rsidRPr="00775355">
              <w:rPr>
                <w:iCs/>
                <w:lang w:eastAsia="lt-LT"/>
              </w:rPr>
              <w:t>Referentinė kaštų naudingumo vertė</w:t>
            </w:r>
          </w:p>
        </w:tc>
        <w:tc>
          <w:tcPr>
            <w:tcW w:w="3238" w:type="dxa"/>
            <w:tcBorders>
              <w:left w:val="single" w:sz="4" w:space="0" w:color="auto"/>
              <w:bottom w:val="single" w:sz="4" w:space="0" w:color="auto"/>
              <w:right w:val="single" w:sz="4" w:space="0" w:color="auto"/>
            </w:tcBorders>
          </w:tcPr>
          <w:p w14:paraId="31DAA72E" w14:textId="3CF8136D" w:rsidR="009E44AE" w:rsidRPr="00775355" w:rsidRDefault="00775355" w:rsidP="009E44AE">
            <w:pPr>
              <w:tabs>
                <w:tab w:val="left" w:pos="567"/>
              </w:tabs>
              <w:jc w:val="both"/>
              <w:rPr>
                <w:i/>
                <w:iCs/>
                <w:lang w:eastAsia="lt-LT"/>
              </w:rPr>
            </w:pPr>
            <w:r w:rsidRPr="00775355">
              <w:rPr>
                <w:sz w:val="22"/>
                <w:szCs w:val="22"/>
              </w:rPr>
              <w:t>***</w:t>
            </w:r>
            <w:r w:rsidRPr="00775355">
              <w:rPr>
                <w:b/>
                <w:color w:val="000000"/>
              </w:rPr>
              <w:t xml:space="preserve"> </w:t>
            </w:r>
            <w:r w:rsidR="00452C19" w:rsidRPr="00775355">
              <w:rPr>
                <w:lang w:eastAsia="lt-LT"/>
              </w:rPr>
              <w:t xml:space="preserve"> Eur.</w:t>
            </w:r>
          </w:p>
        </w:tc>
      </w:tr>
    </w:tbl>
    <w:p w14:paraId="5FC8C737" w14:textId="4136B7F4" w:rsidR="0035172D" w:rsidRPr="00775355" w:rsidRDefault="00E5102E" w:rsidP="0035172D">
      <w:pPr>
        <w:tabs>
          <w:tab w:val="left" w:pos="567"/>
        </w:tabs>
        <w:jc w:val="both"/>
        <w:rPr>
          <w:iCs/>
          <w:sz w:val="20"/>
          <w:lang w:eastAsia="lt-LT"/>
        </w:rPr>
      </w:pPr>
      <w:r w:rsidRPr="00775355">
        <w:rPr>
          <w:iCs/>
          <w:sz w:val="20"/>
          <w:lang w:eastAsia="lt-LT"/>
        </w:rPr>
        <w:t xml:space="preserve">ICER </w:t>
      </w:r>
      <w:r w:rsidR="00453862" w:rsidRPr="00775355">
        <w:rPr>
          <w:iCs/>
          <w:sz w:val="20"/>
          <w:lang w:eastAsia="lt-LT"/>
        </w:rPr>
        <w:t>– (</w:t>
      </w:r>
      <w:r w:rsidR="00453862" w:rsidRPr="00775355">
        <w:rPr>
          <w:i/>
          <w:sz w:val="20"/>
          <w:lang w:eastAsia="lt-LT"/>
        </w:rPr>
        <w:t xml:space="preserve">angl. </w:t>
      </w:r>
      <w:proofErr w:type="spellStart"/>
      <w:r w:rsidR="00453862" w:rsidRPr="00775355">
        <w:rPr>
          <w:i/>
          <w:sz w:val="20"/>
          <w:lang w:eastAsia="lt-LT"/>
        </w:rPr>
        <w:t>incremental</w:t>
      </w:r>
      <w:proofErr w:type="spellEnd"/>
      <w:r w:rsidR="00453862" w:rsidRPr="00775355">
        <w:rPr>
          <w:i/>
          <w:sz w:val="20"/>
          <w:lang w:eastAsia="lt-LT"/>
        </w:rPr>
        <w:t xml:space="preserve"> </w:t>
      </w:r>
      <w:proofErr w:type="spellStart"/>
      <w:r w:rsidR="00453862" w:rsidRPr="00775355">
        <w:rPr>
          <w:i/>
          <w:sz w:val="20"/>
          <w:lang w:eastAsia="lt-LT"/>
        </w:rPr>
        <w:t>cost-effectiveness</w:t>
      </w:r>
      <w:proofErr w:type="spellEnd"/>
      <w:r w:rsidR="00453862" w:rsidRPr="00775355">
        <w:rPr>
          <w:i/>
          <w:sz w:val="20"/>
          <w:lang w:eastAsia="lt-LT"/>
        </w:rPr>
        <w:t xml:space="preserve"> </w:t>
      </w:r>
      <w:proofErr w:type="spellStart"/>
      <w:r w:rsidR="00453862" w:rsidRPr="00775355">
        <w:rPr>
          <w:i/>
          <w:sz w:val="20"/>
          <w:lang w:eastAsia="lt-LT"/>
        </w:rPr>
        <w:t>ratio</w:t>
      </w:r>
      <w:proofErr w:type="spellEnd"/>
      <w:r w:rsidR="00453862" w:rsidRPr="00775355">
        <w:rPr>
          <w:iCs/>
          <w:sz w:val="20"/>
          <w:lang w:eastAsia="lt-LT"/>
        </w:rPr>
        <w:t xml:space="preserve">) </w:t>
      </w:r>
      <w:proofErr w:type="spellStart"/>
      <w:r w:rsidR="00453862" w:rsidRPr="00775355">
        <w:rPr>
          <w:iCs/>
          <w:sz w:val="20"/>
          <w:lang w:eastAsia="lt-LT"/>
        </w:rPr>
        <w:t>inkrementinis</w:t>
      </w:r>
      <w:proofErr w:type="spellEnd"/>
      <w:r w:rsidR="00453862" w:rsidRPr="00775355">
        <w:rPr>
          <w:iCs/>
          <w:sz w:val="20"/>
          <w:lang w:eastAsia="lt-LT"/>
        </w:rPr>
        <w:t xml:space="preserve"> kaštų naudingumo koeficientas</w:t>
      </w:r>
      <w:r w:rsidRPr="00775355">
        <w:rPr>
          <w:iCs/>
          <w:sz w:val="20"/>
          <w:lang w:eastAsia="lt-LT"/>
        </w:rPr>
        <w:t>; LY –</w:t>
      </w:r>
      <w:r w:rsidR="00453862" w:rsidRPr="00775355">
        <w:rPr>
          <w:iCs/>
          <w:sz w:val="20"/>
          <w:lang w:eastAsia="lt-LT"/>
        </w:rPr>
        <w:t xml:space="preserve"> (</w:t>
      </w:r>
      <w:r w:rsidR="00453862" w:rsidRPr="00775355">
        <w:rPr>
          <w:i/>
          <w:sz w:val="20"/>
          <w:lang w:eastAsia="lt-LT"/>
        </w:rPr>
        <w:t xml:space="preserve">angl. </w:t>
      </w:r>
      <w:proofErr w:type="spellStart"/>
      <w:r w:rsidR="00453862" w:rsidRPr="00775355">
        <w:rPr>
          <w:i/>
          <w:sz w:val="20"/>
          <w:lang w:eastAsia="lt-LT"/>
        </w:rPr>
        <w:t>life</w:t>
      </w:r>
      <w:proofErr w:type="spellEnd"/>
      <w:r w:rsidR="00453862" w:rsidRPr="00775355">
        <w:rPr>
          <w:i/>
          <w:sz w:val="20"/>
          <w:lang w:eastAsia="lt-LT"/>
        </w:rPr>
        <w:t xml:space="preserve"> </w:t>
      </w:r>
      <w:proofErr w:type="spellStart"/>
      <w:r w:rsidR="00453862" w:rsidRPr="00775355">
        <w:rPr>
          <w:i/>
          <w:sz w:val="20"/>
          <w:lang w:eastAsia="lt-LT"/>
        </w:rPr>
        <w:t>years</w:t>
      </w:r>
      <w:proofErr w:type="spellEnd"/>
      <w:r w:rsidR="00453862" w:rsidRPr="00775355">
        <w:rPr>
          <w:iCs/>
          <w:sz w:val="20"/>
          <w:lang w:eastAsia="lt-LT"/>
        </w:rPr>
        <w:t>) gyvenimo metai</w:t>
      </w:r>
      <w:r w:rsidRPr="00775355">
        <w:rPr>
          <w:iCs/>
          <w:sz w:val="20"/>
          <w:lang w:eastAsia="lt-LT"/>
        </w:rPr>
        <w:t xml:space="preserve">; QALY- </w:t>
      </w:r>
      <w:r w:rsidR="00453862" w:rsidRPr="00775355">
        <w:rPr>
          <w:iCs/>
          <w:sz w:val="20"/>
          <w:lang w:eastAsia="lt-LT"/>
        </w:rPr>
        <w:t>(</w:t>
      </w:r>
      <w:r w:rsidR="00453862" w:rsidRPr="00775355">
        <w:rPr>
          <w:i/>
          <w:sz w:val="20"/>
          <w:lang w:eastAsia="lt-LT"/>
        </w:rPr>
        <w:t xml:space="preserve">angl. </w:t>
      </w:r>
      <w:proofErr w:type="spellStart"/>
      <w:r w:rsidR="00453862" w:rsidRPr="00775355">
        <w:rPr>
          <w:i/>
          <w:sz w:val="20"/>
          <w:lang w:eastAsia="lt-LT"/>
        </w:rPr>
        <w:t>quality</w:t>
      </w:r>
      <w:proofErr w:type="spellEnd"/>
      <w:r w:rsidR="00453862" w:rsidRPr="00775355">
        <w:rPr>
          <w:i/>
          <w:sz w:val="20"/>
          <w:lang w:eastAsia="lt-LT"/>
        </w:rPr>
        <w:t xml:space="preserve"> </w:t>
      </w:r>
      <w:proofErr w:type="spellStart"/>
      <w:r w:rsidR="00453862" w:rsidRPr="00775355">
        <w:rPr>
          <w:i/>
          <w:sz w:val="20"/>
          <w:lang w:eastAsia="lt-LT"/>
        </w:rPr>
        <w:t>adjusted</w:t>
      </w:r>
      <w:proofErr w:type="spellEnd"/>
      <w:r w:rsidR="00453862" w:rsidRPr="00775355">
        <w:rPr>
          <w:i/>
          <w:sz w:val="20"/>
          <w:lang w:eastAsia="lt-LT"/>
        </w:rPr>
        <w:t xml:space="preserve"> </w:t>
      </w:r>
      <w:proofErr w:type="spellStart"/>
      <w:r w:rsidR="00453862" w:rsidRPr="00775355">
        <w:rPr>
          <w:i/>
          <w:sz w:val="20"/>
          <w:lang w:eastAsia="lt-LT"/>
        </w:rPr>
        <w:t>life</w:t>
      </w:r>
      <w:proofErr w:type="spellEnd"/>
      <w:r w:rsidR="00453862" w:rsidRPr="00775355">
        <w:rPr>
          <w:i/>
          <w:sz w:val="20"/>
          <w:lang w:eastAsia="lt-LT"/>
        </w:rPr>
        <w:t xml:space="preserve"> </w:t>
      </w:r>
      <w:proofErr w:type="spellStart"/>
      <w:r w:rsidR="00453862" w:rsidRPr="00775355">
        <w:rPr>
          <w:i/>
          <w:sz w:val="20"/>
          <w:lang w:eastAsia="lt-LT"/>
        </w:rPr>
        <w:t>years</w:t>
      </w:r>
      <w:proofErr w:type="spellEnd"/>
      <w:r w:rsidR="00453862" w:rsidRPr="00775355">
        <w:rPr>
          <w:i/>
          <w:sz w:val="20"/>
          <w:lang w:eastAsia="lt-LT"/>
        </w:rPr>
        <w:t xml:space="preserve">) </w:t>
      </w:r>
      <w:r w:rsidR="00453862" w:rsidRPr="00775355">
        <w:rPr>
          <w:iCs/>
          <w:sz w:val="20"/>
          <w:lang w:eastAsia="lt-LT"/>
        </w:rPr>
        <w:t>kokybiški gyvenimo metai.</w:t>
      </w:r>
    </w:p>
    <w:p w14:paraId="33875138" w14:textId="1167304E" w:rsidR="0035172D" w:rsidRPr="00775355" w:rsidRDefault="0035172D" w:rsidP="00A93AA6">
      <w:pPr>
        <w:tabs>
          <w:tab w:val="left" w:pos="426"/>
        </w:tabs>
        <w:rPr>
          <w:b/>
          <w:bCs/>
          <w:caps/>
        </w:rPr>
      </w:pPr>
    </w:p>
    <w:p w14:paraId="009FAFAD" w14:textId="52B7696E" w:rsidR="00452C19" w:rsidRPr="00775355" w:rsidRDefault="00452C19" w:rsidP="00452C19">
      <w:pPr>
        <w:spacing w:line="276" w:lineRule="auto"/>
        <w:ind w:firstLine="446"/>
        <w:jc w:val="both"/>
        <w:rPr>
          <w:lang w:eastAsia="lt-LT"/>
        </w:rPr>
      </w:pPr>
      <w:r w:rsidRPr="00775355">
        <w:rPr>
          <w:rFonts w:eastAsia="Arial"/>
        </w:rPr>
        <w:t xml:space="preserve">Iš ekonominės analizės rezultatų matyti, kad </w:t>
      </w:r>
      <w:proofErr w:type="spellStart"/>
      <w:r w:rsidRPr="00775355">
        <w:rPr>
          <w:rFonts w:eastAsia="Arial"/>
        </w:rPr>
        <w:t>e</w:t>
      </w:r>
      <w:r w:rsidRPr="00775355">
        <w:rPr>
          <w:color w:val="000000"/>
        </w:rPr>
        <w:t>nkorafenibas+cetuksimabas</w:t>
      </w:r>
      <w:proofErr w:type="spellEnd"/>
      <w:r w:rsidRPr="00775355">
        <w:rPr>
          <w:color w:val="000000"/>
        </w:rPr>
        <w:t xml:space="preserve"> lyginant </w:t>
      </w:r>
      <w:r w:rsidRPr="00775355">
        <w:rPr>
          <w:rFonts w:eastAsia="Arial"/>
        </w:rPr>
        <w:t>su įprastiniu gydymu (</w:t>
      </w:r>
      <w:proofErr w:type="spellStart"/>
      <w:r w:rsidRPr="00775355">
        <w:rPr>
          <w:color w:val="000000"/>
        </w:rPr>
        <w:t>FOLFIRI+bevecizumabas</w:t>
      </w:r>
      <w:proofErr w:type="spellEnd"/>
      <w:r w:rsidRPr="00775355">
        <w:rPr>
          <w:rFonts w:eastAsia="Arial"/>
        </w:rPr>
        <w:t>) sveikatai sukuriama papildoma nauda (</w:t>
      </w:r>
      <w:proofErr w:type="spellStart"/>
      <w:r w:rsidRPr="00775355">
        <w:rPr>
          <w:rFonts w:eastAsia="Arial"/>
        </w:rPr>
        <w:t>inkrementiniai</w:t>
      </w:r>
      <w:proofErr w:type="spellEnd"/>
      <w:r w:rsidRPr="00775355">
        <w:rPr>
          <w:rFonts w:eastAsia="Arial"/>
        </w:rPr>
        <w:t xml:space="preserve"> QALYS) – </w:t>
      </w:r>
      <w:r w:rsidR="00775355" w:rsidRPr="00775355">
        <w:rPr>
          <w:sz w:val="22"/>
          <w:szCs w:val="22"/>
        </w:rPr>
        <w:t>***</w:t>
      </w:r>
      <w:r w:rsidRPr="00775355">
        <w:rPr>
          <w:rFonts w:eastAsia="Arial"/>
        </w:rPr>
        <w:t xml:space="preserve">, </w:t>
      </w:r>
      <w:r w:rsidRPr="00775355">
        <w:t xml:space="preserve">o gydymo </w:t>
      </w:r>
      <w:proofErr w:type="spellStart"/>
      <w:r w:rsidRPr="00775355">
        <w:t>Enco+Cetux</w:t>
      </w:r>
      <w:proofErr w:type="spellEnd"/>
      <w:r w:rsidRPr="00775355">
        <w:t xml:space="preserve"> kaštai yra </w:t>
      </w:r>
      <w:r w:rsidR="008439DC" w:rsidRPr="00775355">
        <w:rPr>
          <w:sz w:val="22"/>
          <w:szCs w:val="22"/>
        </w:rPr>
        <w:t>***</w:t>
      </w:r>
      <w:r w:rsidRPr="00775355">
        <w:rPr>
          <w:b/>
          <w:color w:val="000000"/>
        </w:rPr>
        <w:t xml:space="preserve"> </w:t>
      </w:r>
      <w:r w:rsidRPr="00775355">
        <w:rPr>
          <w:lang w:eastAsia="lt-LT"/>
        </w:rPr>
        <w:t xml:space="preserve">Eur. </w:t>
      </w:r>
      <w:r w:rsidRPr="00775355">
        <w:t>didesni nei standartinio šiuo metu Lietuvoje taikomo gydymo.</w:t>
      </w:r>
      <w:r w:rsidRPr="00775355">
        <w:rPr>
          <w:lang w:eastAsia="lt-LT"/>
        </w:rPr>
        <w:t xml:space="preserve"> Apskaičiuotas ICER – </w:t>
      </w:r>
      <w:r w:rsidR="008439DC" w:rsidRPr="00775355">
        <w:rPr>
          <w:sz w:val="22"/>
          <w:szCs w:val="22"/>
        </w:rPr>
        <w:t>***</w:t>
      </w:r>
      <w:r w:rsidRPr="00775355">
        <w:rPr>
          <w:color w:val="000000"/>
        </w:rPr>
        <w:t xml:space="preserve"> Eur./QALY</w:t>
      </w:r>
      <w:r w:rsidRPr="00775355">
        <w:rPr>
          <w:color w:val="000000"/>
          <w:lang w:eastAsia="lt-LT"/>
        </w:rPr>
        <w:t xml:space="preserve"> </w:t>
      </w:r>
      <w:r w:rsidRPr="00775355">
        <w:rPr>
          <w:lang w:eastAsia="lt-LT"/>
        </w:rPr>
        <w:t>atitinka sunkiai ligos naštai taikomą referencinę kaštų naudingumo vertę (&lt;</w:t>
      </w:r>
      <w:r w:rsidR="00775355" w:rsidRPr="00775355">
        <w:rPr>
          <w:sz w:val="22"/>
          <w:szCs w:val="22"/>
        </w:rPr>
        <w:t>***</w:t>
      </w:r>
      <w:r w:rsidR="00775355" w:rsidRPr="00775355">
        <w:rPr>
          <w:b/>
          <w:color w:val="000000"/>
        </w:rPr>
        <w:t xml:space="preserve"> </w:t>
      </w:r>
      <w:r w:rsidRPr="00775355">
        <w:rPr>
          <w:lang w:eastAsia="lt-LT"/>
        </w:rPr>
        <w:t xml:space="preserve"> Eur.). </w:t>
      </w:r>
    </w:p>
    <w:p w14:paraId="3EB4CE0B" w14:textId="77777777" w:rsidR="00452C19" w:rsidRPr="00775355" w:rsidRDefault="00452C19" w:rsidP="00A93AA6">
      <w:pPr>
        <w:tabs>
          <w:tab w:val="left" w:pos="426"/>
        </w:tabs>
        <w:rPr>
          <w:b/>
          <w:bCs/>
          <w:caps/>
        </w:rPr>
      </w:pPr>
    </w:p>
    <w:p w14:paraId="4FC424F9" w14:textId="4E767245" w:rsidR="00C62B36" w:rsidRPr="00775355" w:rsidRDefault="00C62B36" w:rsidP="00CC09D4">
      <w:pPr>
        <w:pStyle w:val="Sraopastraipa"/>
        <w:numPr>
          <w:ilvl w:val="0"/>
          <w:numId w:val="12"/>
        </w:numPr>
        <w:tabs>
          <w:tab w:val="left" w:pos="567"/>
        </w:tabs>
        <w:ind w:hanging="720"/>
        <w:rPr>
          <w:b/>
          <w:bCs/>
          <w:caps/>
        </w:rPr>
      </w:pPr>
      <w:r w:rsidRPr="00775355">
        <w:rPr>
          <w:b/>
          <w:bCs/>
          <w:caps/>
        </w:rPr>
        <w:t xml:space="preserve">Pacientų organizacijų pateikti duomenys </w:t>
      </w:r>
    </w:p>
    <w:p w14:paraId="79BCFF40" w14:textId="1992DF4A" w:rsidR="00937907" w:rsidRPr="00775355" w:rsidRDefault="00000000"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Content>
          <w:r w:rsidR="00937907" w:rsidRPr="00775355">
            <w:rPr>
              <w:rStyle w:val="Style2"/>
              <w:rFonts w:ascii="MS Gothic" w:eastAsia="MS Gothic" w:hAnsi="MS Gothic"/>
              <w:sz w:val="24"/>
            </w:rPr>
            <w:t>☐</w:t>
          </w:r>
        </w:sdtContent>
      </w:sdt>
      <w:r w:rsidR="00937907" w:rsidRPr="00775355">
        <w:t xml:space="preserve"> Pacientų organizacijos pozicija pateikta. Žr. priedą.</w:t>
      </w:r>
    </w:p>
    <w:p w14:paraId="62992180" w14:textId="121952C0" w:rsidR="00937907" w:rsidRPr="00775355" w:rsidRDefault="00000000"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Content>
          <w:r w:rsidR="00C630AE" w:rsidRPr="00775355">
            <w:rPr>
              <w:rStyle w:val="Style2"/>
              <w:rFonts w:ascii="MS Gothic" w:eastAsia="MS Gothic" w:hAnsi="MS Gothic"/>
              <w:sz w:val="24"/>
            </w:rPr>
            <w:t>☒</w:t>
          </w:r>
        </w:sdtContent>
      </w:sdt>
      <w:r w:rsidR="00937907" w:rsidRPr="00775355">
        <w:t xml:space="preserve"> Pacientų organizacijos pozicija </w:t>
      </w:r>
      <w:r w:rsidR="00880A44" w:rsidRPr="00775355">
        <w:t>ne</w:t>
      </w:r>
      <w:r w:rsidR="00937907" w:rsidRPr="00775355">
        <w:t>pateikta.</w:t>
      </w:r>
    </w:p>
    <w:p w14:paraId="03E73D82" w14:textId="77777777" w:rsidR="00D417D2" w:rsidRPr="00775355" w:rsidRDefault="00D417D2" w:rsidP="00937907">
      <w:pPr>
        <w:spacing w:after="120"/>
        <w:jc w:val="both"/>
      </w:pPr>
    </w:p>
    <w:p w14:paraId="3D3277FA" w14:textId="3CEEB2D2" w:rsidR="00C62B36" w:rsidRPr="00775355" w:rsidRDefault="00C62B36" w:rsidP="00CC09D4">
      <w:pPr>
        <w:pStyle w:val="Sraopastraipa"/>
        <w:numPr>
          <w:ilvl w:val="0"/>
          <w:numId w:val="12"/>
        </w:numPr>
        <w:tabs>
          <w:tab w:val="left" w:pos="567"/>
        </w:tabs>
        <w:ind w:hanging="720"/>
        <w:rPr>
          <w:b/>
          <w:bCs/>
          <w:caps/>
        </w:rPr>
      </w:pPr>
      <w:r w:rsidRPr="00775355">
        <w:rPr>
          <w:b/>
          <w:bCs/>
          <w:caps/>
        </w:rPr>
        <w:t>Gydytojų organizacijų pateikti duomenys</w:t>
      </w:r>
    </w:p>
    <w:p w14:paraId="389A346C" w14:textId="17184B64" w:rsidR="00937907" w:rsidRPr="00775355" w:rsidRDefault="00000000" w:rsidP="00662983">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Content>
          <w:r w:rsidR="00937907" w:rsidRPr="00775355">
            <w:rPr>
              <w:rStyle w:val="Style2"/>
              <w:rFonts w:ascii="MS Gothic" w:eastAsia="MS Gothic" w:hAnsi="MS Gothic"/>
              <w:sz w:val="24"/>
            </w:rPr>
            <w:t>☐</w:t>
          </w:r>
        </w:sdtContent>
      </w:sdt>
      <w:r w:rsidR="00662983" w:rsidRPr="00775355">
        <w:t xml:space="preserve"> </w:t>
      </w:r>
      <w:r w:rsidR="00937907" w:rsidRPr="00775355">
        <w:t xml:space="preserve">Gydytojų specialistų organizacijos pozicija pateikta. </w:t>
      </w:r>
      <w:r w:rsidR="00662983" w:rsidRPr="00775355">
        <w:t>Žr. priedą</w:t>
      </w:r>
      <w:r w:rsidR="00937907" w:rsidRPr="00775355">
        <w:t>.</w:t>
      </w:r>
    </w:p>
    <w:p w14:paraId="5D8CC48C" w14:textId="36A77852" w:rsidR="00662983" w:rsidRPr="00775355" w:rsidRDefault="00000000"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Content>
          <w:r w:rsidR="00C630AE" w:rsidRPr="00775355">
            <w:rPr>
              <w:rStyle w:val="Style2"/>
              <w:rFonts w:ascii="MS Gothic" w:eastAsia="MS Gothic" w:hAnsi="MS Gothic"/>
              <w:sz w:val="24"/>
            </w:rPr>
            <w:t>☒</w:t>
          </w:r>
        </w:sdtContent>
      </w:sdt>
      <w:r w:rsidR="00662983" w:rsidRPr="00775355">
        <w:t xml:space="preserve"> </w:t>
      </w:r>
      <w:r w:rsidR="00937907" w:rsidRPr="00775355">
        <w:t xml:space="preserve">Gydytojų specialistų organizacijos pozicija </w:t>
      </w:r>
      <w:r w:rsidR="00880A44" w:rsidRPr="00775355">
        <w:t>ne</w:t>
      </w:r>
      <w:r w:rsidR="00937907" w:rsidRPr="00775355">
        <w:t>pateikta.</w:t>
      </w:r>
    </w:p>
    <w:p w14:paraId="60468DD9" w14:textId="77777777" w:rsidR="00452C19" w:rsidRPr="00775355" w:rsidRDefault="00452C19" w:rsidP="00452C19">
      <w:pPr>
        <w:shd w:val="clear" w:color="auto" w:fill="FFFFFF"/>
        <w:spacing w:line="276" w:lineRule="auto"/>
        <w:rPr>
          <w:rFonts w:eastAsia="Arial"/>
          <w:b/>
        </w:rPr>
      </w:pPr>
    </w:p>
    <w:p w14:paraId="0DBC98F3" w14:textId="56044416" w:rsidR="00452C19" w:rsidRPr="00775355" w:rsidRDefault="00452C19" w:rsidP="00452C19">
      <w:pPr>
        <w:pStyle w:val="Sraopastraipa"/>
        <w:numPr>
          <w:ilvl w:val="0"/>
          <w:numId w:val="12"/>
        </w:numPr>
        <w:shd w:val="clear" w:color="auto" w:fill="FFFFFF"/>
        <w:tabs>
          <w:tab w:val="left" w:pos="284"/>
        </w:tabs>
        <w:spacing w:line="276" w:lineRule="auto"/>
        <w:rPr>
          <w:rFonts w:eastAsia="Arial"/>
          <w:b/>
        </w:rPr>
      </w:pPr>
      <w:r w:rsidRPr="00775355">
        <w:rPr>
          <w:rFonts w:eastAsia="Arial"/>
          <w:b/>
        </w:rPr>
        <w:t xml:space="preserve">IŠVADA </w:t>
      </w:r>
    </w:p>
    <w:p w14:paraId="174450F6" w14:textId="77777777" w:rsidR="00452C19" w:rsidRPr="00775355" w:rsidRDefault="00452C19" w:rsidP="00452C19"/>
    <w:tbl>
      <w:tblPr>
        <w:tblStyle w:val="Lentelstinklelis"/>
        <w:tblW w:w="0" w:type="auto"/>
        <w:tblLook w:val="04A0" w:firstRow="1" w:lastRow="0" w:firstColumn="1" w:lastColumn="0" w:noHBand="0" w:noVBand="1"/>
      </w:tblPr>
      <w:tblGrid>
        <w:gridCol w:w="4814"/>
        <w:gridCol w:w="4815"/>
      </w:tblGrid>
      <w:tr w:rsidR="003D7C29" w:rsidRPr="00775355" w14:paraId="2762932F" w14:textId="77777777" w:rsidTr="001E75D5">
        <w:trPr>
          <w:trHeight w:val="510"/>
        </w:trPr>
        <w:tc>
          <w:tcPr>
            <w:tcW w:w="9629" w:type="dxa"/>
            <w:gridSpan w:val="2"/>
            <w:vAlign w:val="center"/>
          </w:tcPr>
          <w:p w14:paraId="6E900D7E" w14:textId="4498A868" w:rsidR="003D7C29" w:rsidRPr="00775355" w:rsidRDefault="003D7C29" w:rsidP="001E7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775355">
              <w:rPr>
                <w:rStyle w:val="Style2"/>
                <w:rFonts w:eastAsia="MS Gothic"/>
                <w:b/>
                <w:bCs/>
                <w:sz w:val="24"/>
              </w:rPr>
              <w:t>Palyginamasis veiksmingumas</w:t>
            </w:r>
          </w:p>
        </w:tc>
      </w:tr>
      <w:tr w:rsidR="003D7C29" w:rsidRPr="00775355" w14:paraId="4DACBB18" w14:textId="77777777" w:rsidTr="00F31598">
        <w:trPr>
          <w:trHeight w:val="510"/>
        </w:trPr>
        <w:tc>
          <w:tcPr>
            <w:tcW w:w="4814" w:type="dxa"/>
            <w:vAlign w:val="center"/>
          </w:tcPr>
          <w:p w14:paraId="774AFF31" w14:textId="52539754" w:rsidR="003D7C29" w:rsidRPr="00775355" w:rsidRDefault="00000000" w:rsidP="003D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253974781"/>
                <w15:color w:val="FFCC00"/>
                <w14:checkbox>
                  <w14:checked w14:val="1"/>
                  <w14:checkedState w14:val="2612" w14:font="MS Gothic"/>
                  <w14:uncheckedState w14:val="2610" w14:font="MS Gothic"/>
                </w14:checkbox>
              </w:sdtPr>
              <w:sdtContent>
                <w:r w:rsidR="003D7C29" w:rsidRPr="00775355">
                  <w:rPr>
                    <w:rStyle w:val="Style2"/>
                    <w:rFonts w:ascii="MS Gothic" w:eastAsia="MS Gothic" w:hAnsi="MS Gothic"/>
                    <w:sz w:val="24"/>
                  </w:rPr>
                  <w:t>☒</w:t>
                </w:r>
              </w:sdtContent>
            </w:sdt>
            <w:r w:rsidR="003D7C29" w:rsidRPr="00775355">
              <w:t xml:space="preserve"> 29.1.1 yra didesnis, lyginant su įprasta klinikine praktika</w:t>
            </w:r>
          </w:p>
          <w:p w14:paraId="5E11A4E8" w14:textId="77777777" w:rsidR="003D7C29" w:rsidRPr="00775355" w:rsidRDefault="003D7C29" w:rsidP="003D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1491F6A7" w14:textId="6F61664B" w:rsidR="003D7C29" w:rsidRPr="00775355" w:rsidRDefault="00000000" w:rsidP="003D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dt>
              <w:sdtPr>
                <w:rPr>
                  <w:rStyle w:val="Style2"/>
                  <w:sz w:val="24"/>
                </w:rPr>
                <w:id w:val="-2042735340"/>
                <w15:color w:val="FFCC00"/>
                <w14:checkbox>
                  <w14:checked w14:val="0"/>
                  <w14:checkedState w14:val="2612" w14:font="MS Gothic"/>
                  <w14:uncheckedState w14:val="2610" w14:font="MS Gothic"/>
                </w14:checkbox>
              </w:sdtPr>
              <w:sdtContent>
                <w:r w:rsidR="003D7C29" w:rsidRPr="00775355">
                  <w:rPr>
                    <w:rStyle w:val="Style2"/>
                    <w:rFonts w:ascii="MS Gothic" w:eastAsia="MS Gothic" w:hAnsi="MS Gothic"/>
                    <w:sz w:val="24"/>
                  </w:rPr>
                  <w:t>☐</w:t>
                </w:r>
              </w:sdtContent>
            </w:sdt>
            <w:r w:rsidR="003D7C29" w:rsidRPr="00775355">
              <w:t xml:space="preserve"> 29.1.2 iš esmės nesiskiria, lyginant su įprasta klinikine praktika</w:t>
            </w:r>
          </w:p>
          <w:p w14:paraId="04927581" w14:textId="77777777" w:rsidR="003D7C29" w:rsidRPr="00775355" w:rsidRDefault="003D7C29" w:rsidP="003D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tyle2"/>
                <w:rFonts w:eastAsia="MS Gothic"/>
                <w:b/>
                <w:bCs/>
                <w:sz w:val="24"/>
              </w:rPr>
            </w:pPr>
          </w:p>
          <w:p w14:paraId="19A4AA13" w14:textId="77777777" w:rsidR="003D7C29" w:rsidRPr="00775355" w:rsidRDefault="003D7C29" w:rsidP="003D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tyle2"/>
                <w:rFonts w:eastAsia="MS Gothic"/>
                <w:b/>
                <w:bCs/>
                <w:sz w:val="24"/>
              </w:rPr>
            </w:pPr>
          </w:p>
          <w:p w14:paraId="3822E23F" w14:textId="71EAEA5E" w:rsidR="003D7C29" w:rsidRPr="00775355" w:rsidRDefault="003D7C29" w:rsidP="003D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tyle2"/>
                <w:rFonts w:eastAsia="MS Gothic"/>
                <w:b/>
                <w:bCs/>
                <w:sz w:val="24"/>
              </w:rPr>
            </w:pPr>
          </w:p>
        </w:tc>
        <w:tc>
          <w:tcPr>
            <w:tcW w:w="4815" w:type="dxa"/>
            <w:vAlign w:val="center"/>
          </w:tcPr>
          <w:p w14:paraId="205F7B38" w14:textId="2D5DFF58" w:rsidR="003D7C29" w:rsidRPr="00775355" w:rsidRDefault="00000000" w:rsidP="003D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1223253010"/>
                <w15:color w:val="FFCC00"/>
                <w14:checkbox>
                  <w14:checked w14:val="0"/>
                  <w14:checkedState w14:val="2612" w14:font="MS Gothic"/>
                  <w14:uncheckedState w14:val="2610" w14:font="MS Gothic"/>
                </w14:checkbox>
              </w:sdtPr>
              <w:sdtContent>
                <w:r w:rsidR="003D7C29" w:rsidRPr="00775355">
                  <w:rPr>
                    <w:rStyle w:val="Style2"/>
                    <w:rFonts w:ascii="MS Gothic" w:eastAsia="MS Gothic" w:hAnsi="MS Gothic"/>
                    <w:sz w:val="24"/>
                  </w:rPr>
                  <w:t>☐</w:t>
                </w:r>
              </w:sdtContent>
            </w:sdt>
            <w:r w:rsidR="003D7C29" w:rsidRPr="00775355">
              <w:t xml:space="preserve"> 29.1.3 yra neįrodytas kaip didesnis  ar iš esmės nesiskiriantis, lyginant su įprasta klinikine praktika  </w:t>
            </w:r>
          </w:p>
          <w:p w14:paraId="0A06E432" w14:textId="77777777" w:rsidR="003D7C29" w:rsidRPr="00775355" w:rsidRDefault="003D7C29" w:rsidP="003D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456D0544" w14:textId="2F9E7863" w:rsidR="003D7C29" w:rsidRPr="00775355" w:rsidRDefault="00000000" w:rsidP="003D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2100856797"/>
                <w15:color w:val="FFCC00"/>
                <w14:checkbox>
                  <w14:checked w14:val="0"/>
                  <w14:checkedState w14:val="2612" w14:font="MS Gothic"/>
                  <w14:uncheckedState w14:val="2610" w14:font="MS Gothic"/>
                </w14:checkbox>
              </w:sdtPr>
              <w:sdtContent>
                <w:r w:rsidR="003D7C29" w:rsidRPr="00775355">
                  <w:rPr>
                    <w:rStyle w:val="Style2"/>
                    <w:rFonts w:ascii="MS Gothic" w:eastAsia="MS Gothic" w:hAnsi="MS Gothic"/>
                    <w:sz w:val="24"/>
                  </w:rPr>
                  <w:t>☐</w:t>
                </w:r>
              </w:sdtContent>
            </w:sdt>
            <w:r w:rsidR="003D7C29" w:rsidRPr="00775355">
              <w:t xml:space="preserve"> 29.1.4 yra mažesnis, lyginant su įprasta klinikine praktika</w:t>
            </w:r>
          </w:p>
          <w:p w14:paraId="026FD6E7" w14:textId="77777777" w:rsidR="003D7C29" w:rsidRPr="00775355" w:rsidRDefault="003D7C29" w:rsidP="003D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1793FD30" w14:textId="07D6734F" w:rsidR="003D7C29" w:rsidRPr="00775355" w:rsidRDefault="00000000" w:rsidP="003D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1085991623"/>
                <w15:color w:val="FFCC00"/>
                <w14:checkbox>
                  <w14:checked w14:val="0"/>
                  <w14:checkedState w14:val="2612" w14:font="MS Gothic"/>
                  <w14:uncheckedState w14:val="2610" w14:font="MS Gothic"/>
                </w14:checkbox>
              </w:sdtPr>
              <w:sdtContent>
                <w:r w:rsidR="003D7C29" w:rsidRPr="00775355">
                  <w:rPr>
                    <w:rStyle w:val="Style2"/>
                    <w:rFonts w:ascii="MS Gothic" w:eastAsia="MS Gothic" w:hAnsi="MS Gothic"/>
                    <w:sz w:val="24"/>
                  </w:rPr>
                  <w:t>☐</w:t>
                </w:r>
              </w:sdtContent>
            </w:sdt>
            <w:r w:rsidR="003D7C29" w:rsidRPr="00775355">
              <w:t xml:space="preserve"> 29.1.5 pateikti duomenys apie palyginamąjį veiksmingumą yra netinkami vertinti</w:t>
            </w:r>
          </w:p>
          <w:p w14:paraId="7D194659" w14:textId="0A45F05D" w:rsidR="003D7C29" w:rsidRPr="00775355" w:rsidRDefault="003D7C29" w:rsidP="001E7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452C19" w:rsidRPr="00775355" w14:paraId="3C2FE568" w14:textId="77777777" w:rsidTr="001E75D5">
        <w:trPr>
          <w:trHeight w:val="510"/>
        </w:trPr>
        <w:tc>
          <w:tcPr>
            <w:tcW w:w="9629" w:type="dxa"/>
            <w:gridSpan w:val="2"/>
            <w:vAlign w:val="center"/>
          </w:tcPr>
          <w:p w14:paraId="32E2A710" w14:textId="77777777" w:rsidR="00452C19" w:rsidRPr="00775355" w:rsidRDefault="00452C19" w:rsidP="001E7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775355">
              <w:rPr>
                <w:rStyle w:val="Style2"/>
                <w:rFonts w:eastAsia="MS Gothic"/>
                <w:b/>
                <w:bCs/>
                <w:sz w:val="24"/>
              </w:rPr>
              <w:lastRenderedPageBreak/>
              <w:t>Kaštų naudingumas</w:t>
            </w:r>
          </w:p>
        </w:tc>
      </w:tr>
      <w:tr w:rsidR="00452C19" w:rsidRPr="00775355" w14:paraId="0424B7E8" w14:textId="77777777" w:rsidTr="001E75D5">
        <w:tc>
          <w:tcPr>
            <w:tcW w:w="4815" w:type="dxa"/>
          </w:tcPr>
          <w:p w14:paraId="1480A365" w14:textId="77777777" w:rsidR="00452C19" w:rsidRPr="00775355" w:rsidRDefault="00000000" w:rsidP="001E7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1"/>
                  <w14:checkedState w14:val="2612" w14:font="MS Gothic"/>
                  <w14:uncheckedState w14:val="2610" w14:font="MS Gothic"/>
                </w14:checkbox>
              </w:sdtPr>
              <w:sdtContent>
                <w:r w:rsidR="00452C19" w:rsidRPr="00775355">
                  <w:rPr>
                    <w:rStyle w:val="Style2"/>
                    <w:rFonts w:ascii="Segoe UI Symbol" w:eastAsia="MS Gothic" w:hAnsi="Segoe UI Symbol" w:cs="Segoe UI Symbol"/>
                    <w:sz w:val="24"/>
                  </w:rPr>
                  <w:t>☒</w:t>
                </w:r>
              </w:sdtContent>
            </w:sdt>
            <w:r w:rsidR="00452C19" w:rsidRPr="00775355">
              <w:t xml:space="preserve"> 29.2.1 atitinka referencinę naudingumo vertę</w:t>
            </w:r>
          </w:p>
          <w:p w14:paraId="260920A7" w14:textId="77777777" w:rsidR="00452C19" w:rsidRPr="00775355" w:rsidRDefault="00452C19" w:rsidP="001E7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7365AAB" w14:textId="77777777" w:rsidR="00452C19" w:rsidRPr="00775355" w:rsidRDefault="00000000" w:rsidP="001E7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sdt>
              <w:sdtPr>
                <w:rPr>
                  <w:rStyle w:val="Style2"/>
                  <w:sz w:val="24"/>
                </w:rPr>
                <w:id w:val="-1308081728"/>
                <w15:color w:val="FFCC00"/>
                <w14:checkbox>
                  <w14:checked w14:val="0"/>
                  <w14:checkedState w14:val="2612" w14:font="MS Gothic"/>
                  <w14:uncheckedState w14:val="2610" w14:font="MS Gothic"/>
                </w14:checkbox>
              </w:sdtPr>
              <w:sdtContent>
                <w:r w:rsidR="00452C19" w:rsidRPr="00775355">
                  <w:rPr>
                    <w:rStyle w:val="Style2"/>
                    <w:rFonts w:ascii="Segoe UI Symbol" w:eastAsia="MS Gothic" w:hAnsi="Segoe UI Symbol" w:cs="Segoe UI Symbol"/>
                    <w:sz w:val="24"/>
                  </w:rPr>
                  <w:t>☐</w:t>
                </w:r>
              </w:sdtContent>
            </w:sdt>
            <w:r w:rsidR="00452C19" w:rsidRPr="00775355">
              <w:t xml:space="preserve"> 29.2.2 gydymo juo kaštai yra mažesni ar tokie patys esant iš esmės nesiskiriančiam palyginamajam efektyvumui, taikant arba netaikant  PGS</w:t>
            </w:r>
          </w:p>
        </w:tc>
        <w:tc>
          <w:tcPr>
            <w:tcW w:w="4814" w:type="dxa"/>
          </w:tcPr>
          <w:p w14:paraId="0B412E36" w14:textId="77777777" w:rsidR="00452C19" w:rsidRPr="00775355" w:rsidRDefault="00000000" w:rsidP="001E7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Content>
                <w:r w:rsidR="00452C19" w:rsidRPr="00775355">
                  <w:rPr>
                    <w:rStyle w:val="Style2"/>
                    <w:rFonts w:ascii="Segoe UI Symbol" w:eastAsia="MS Gothic" w:hAnsi="Segoe UI Symbol" w:cs="Segoe UI Symbol"/>
                    <w:sz w:val="24"/>
                  </w:rPr>
                  <w:t>☐</w:t>
                </w:r>
              </w:sdtContent>
            </w:sdt>
            <w:r w:rsidR="00452C19" w:rsidRPr="00775355">
              <w:t xml:space="preserve"> 29.2.3 neatitinka referencinės naudingumo vertės taikant arba netaikant PGS</w:t>
            </w:r>
          </w:p>
          <w:p w14:paraId="5E968A28" w14:textId="77777777" w:rsidR="00452C19" w:rsidRPr="00775355" w:rsidRDefault="00452C19" w:rsidP="001E7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03F17BE" w14:textId="77777777" w:rsidR="00452C19" w:rsidRPr="00775355" w:rsidRDefault="00000000" w:rsidP="001E7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dt>
              <w:sdtPr>
                <w:rPr>
                  <w:rStyle w:val="Style2"/>
                  <w:sz w:val="24"/>
                </w:rPr>
                <w:id w:val="-1135473618"/>
                <w15:color w:val="FFCC00"/>
                <w14:checkbox>
                  <w14:checked w14:val="0"/>
                  <w14:checkedState w14:val="2612" w14:font="MS Gothic"/>
                  <w14:uncheckedState w14:val="2610" w14:font="MS Gothic"/>
                </w14:checkbox>
              </w:sdtPr>
              <w:sdtContent>
                <w:r w:rsidR="00452C19" w:rsidRPr="00775355">
                  <w:rPr>
                    <w:rStyle w:val="Style2"/>
                    <w:rFonts w:ascii="Segoe UI Symbol" w:eastAsia="MS Gothic" w:hAnsi="Segoe UI Symbol" w:cs="Segoe UI Symbol"/>
                    <w:sz w:val="24"/>
                  </w:rPr>
                  <w:t>☐</w:t>
                </w:r>
              </w:sdtContent>
            </w:sdt>
            <w:r w:rsidR="00452C19" w:rsidRPr="00775355">
              <w:t xml:space="preserve"> 29.2.4 gydymo juo kaštai yra didesni esant iš esmės nesiskiriančiam palyginamajam veiksmingumui, taikant arba netaikant PGS</w:t>
            </w:r>
          </w:p>
          <w:p w14:paraId="1F7EAD7D" w14:textId="77777777" w:rsidR="00452C19" w:rsidRPr="00775355" w:rsidRDefault="00452C19" w:rsidP="001E7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9D2699A" w14:textId="77777777" w:rsidR="00452C19" w:rsidRPr="00775355" w:rsidRDefault="00000000" w:rsidP="001E7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dt>
              <w:sdtPr>
                <w:rPr>
                  <w:rStyle w:val="Style2"/>
                  <w:sz w:val="24"/>
                </w:rPr>
                <w:id w:val="-2008360022"/>
                <w15:color w:val="FFCC00"/>
                <w14:checkbox>
                  <w14:checked w14:val="0"/>
                  <w14:checkedState w14:val="2612" w14:font="MS Gothic"/>
                  <w14:uncheckedState w14:val="2610" w14:font="MS Gothic"/>
                </w14:checkbox>
              </w:sdtPr>
              <w:sdtContent>
                <w:r w:rsidR="00452C19" w:rsidRPr="00775355">
                  <w:rPr>
                    <w:rStyle w:val="Style2"/>
                    <w:rFonts w:ascii="Segoe UI Symbol" w:eastAsia="MS Gothic" w:hAnsi="Segoe UI Symbol" w:cs="Segoe UI Symbol"/>
                    <w:sz w:val="24"/>
                  </w:rPr>
                  <w:t>☐</w:t>
                </w:r>
              </w:sdtContent>
            </w:sdt>
            <w:r w:rsidR="00452C19" w:rsidRPr="00775355">
              <w:t xml:space="preserve"> 29.2.5 pateikti duomenys apie kaštų naudingumą yra netinkami vertinti</w:t>
            </w:r>
          </w:p>
          <w:p w14:paraId="782A26F0" w14:textId="77777777" w:rsidR="00452C19" w:rsidRPr="00775355" w:rsidRDefault="00452C19" w:rsidP="001E7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0FAFF65B" w14:textId="77777777" w:rsidR="00452C19" w:rsidRPr="00775355" w:rsidRDefault="00452C19" w:rsidP="00452C19"/>
    <w:p w14:paraId="6C8AC7F0" w14:textId="77777777" w:rsidR="00452C19" w:rsidRPr="00775355" w:rsidRDefault="00452C19" w:rsidP="00452C19">
      <w:pPr>
        <w:pStyle w:val="Sraopastraipa"/>
        <w:numPr>
          <w:ilvl w:val="0"/>
          <w:numId w:val="12"/>
        </w:numPr>
        <w:ind w:left="567" w:hanging="567"/>
        <w:rPr>
          <w:b/>
        </w:rPr>
      </w:pPr>
      <w:r w:rsidRPr="00775355">
        <w:rPr>
          <w:b/>
        </w:rPr>
        <w:t>REKOMENDACIJA</w:t>
      </w:r>
    </w:p>
    <w:p w14:paraId="23253BF3" w14:textId="77777777" w:rsidR="00452C19" w:rsidRPr="00775355" w:rsidRDefault="00452C19" w:rsidP="00452C19"/>
    <w:p w14:paraId="66799332" w14:textId="2C8CAC98" w:rsidR="00452C19" w:rsidRPr="00775355" w:rsidRDefault="00452C19" w:rsidP="00452C19">
      <w:pPr>
        <w:spacing w:line="276" w:lineRule="auto"/>
        <w:jc w:val="both"/>
        <w:rPr>
          <w:color w:val="000000"/>
          <w:lang w:eastAsia="lt-LT"/>
        </w:rPr>
      </w:pPr>
      <w:r w:rsidRPr="00775355">
        <w:t xml:space="preserve">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 </w:t>
      </w:r>
      <w:r w:rsidRPr="00775355">
        <w:rPr>
          <w:color w:val="000000"/>
        </w:rPr>
        <w:t>30</w:t>
      </w:r>
      <w:r w:rsidRPr="00775355">
        <w:rPr>
          <w:color w:val="000000"/>
          <w:vertAlign w:val="superscript"/>
        </w:rPr>
        <w:t>1</w:t>
      </w:r>
      <w:r w:rsidRPr="00775355">
        <w:rPr>
          <w:color w:val="000000"/>
        </w:rPr>
        <w:t>.1.</w:t>
      </w:r>
      <w:r w:rsidR="00FE6F58" w:rsidRPr="00775355">
        <w:rPr>
          <w:color w:val="000000"/>
        </w:rPr>
        <w:t>,</w:t>
      </w:r>
      <w:r w:rsidRPr="00775355">
        <w:rPr>
          <w:color w:val="000000"/>
        </w:rPr>
        <w:t xml:space="preserve"> kai vertinimo išvados atitinka Aprašo 29.1.1 ir 29.2.1 papunkčiuose numatytas sąlygas arba Aprašo 29.1.2 ir 29.2.2 papunkčiuose numatytas sąlygas, teikiama rekomendacija </w:t>
      </w:r>
      <w:r w:rsidRPr="00775355">
        <w:rPr>
          <w:i/>
          <w:color w:val="000000"/>
        </w:rPr>
        <w:t>kompensuoti</w:t>
      </w:r>
      <w:r w:rsidRPr="00775355">
        <w:rPr>
          <w:color w:val="000000"/>
        </w:rPr>
        <w:t xml:space="preserve"> vaistinį preparatą pagal paraiškoje nurodytą indikaciją (arba jos dalį) su arba be skyrimo sąlygų, taikant ar netaikant PGS</w:t>
      </w:r>
      <w:r w:rsidRPr="00775355">
        <w:rPr>
          <w:color w:val="000000"/>
          <w:lang w:eastAsia="lt-LT"/>
        </w:rPr>
        <w:t>.</w:t>
      </w:r>
    </w:p>
    <w:p w14:paraId="06BC01EE" w14:textId="44333E0B" w:rsidR="000723FF" w:rsidRPr="00775355" w:rsidRDefault="000723FF" w:rsidP="00381024"/>
    <w:p w14:paraId="18B4292E" w14:textId="52B7A138" w:rsidR="000723FF" w:rsidRPr="00775355" w:rsidRDefault="00CC09D4" w:rsidP="00CC09D4">
      <w:pPr>
        <w:tabs>
          <w:tab w:val="left" w:pos="567"/>
        </w:tabs>
        <w:ind w:left="567" w:hanging="567"/>
        <w:jc w:val="both"/>
        <w:rPr>
          <w:b/>
          <w:color w:val="000000"/>
          <w:lang w:eastAsia="lt-LT"/>
        </w:rPr>
      </w:pPr>
      <w:r w:rsidRPr="00775355">
        <w:rPr>
          <w:b/>
          <w:color w:val="000000"/>
          <w:lang w:eastAsia="lt-LT"/>
        </w:rPr>
        <w:t>8.</w:t>
      </w:r>
      <w:r w:rsidRPr="00775355">
        <w:rPr>
          <w:b/>
          <w:color w:val="000000"/>
          <w:lang w:eastAsia="lt-LT"/>
        </w:rPr>
        <w:tab/>
      </w:r>
      <w:r w:rsidR="000723FF" w:rsidRPr="00775355">
        <w:rPr>
          <w:b/>
          <w:color w:val="000000"/>
          <w:lang w:eastAsia="lt-LT"/>
        </w:rPr>
        <w:t>SIŪLOMOS KOMPENSUOTI TERAPINĖS INDIKACIJOS IR SKYRIMO SĄLYGOS</w:t>
      </w:r>
    </w:p>
    <w:p w14:paraId="691340BB" w14:textId="77777777" w:rsidR="000723FF" w:rsidRPr="00775355" w:rsidRDefault="000723FF" w:rsidP="000723FF">
      <w:pPr>
        <w:tabs>
          <w:tab w:val="left" w:pos="426"/>
        </w:tabs>
        <w:jc w:val="both"/>
        <w:rPr>
          <w:b/>
          <w:color w:val="000000"/>
          <w:lang w:eastAsia="lt-LT"/>
        </w:rPr>
      </w:pPr>
    </w:p>
    <w:p w14:paraId="1CB3CF76" w14:textId="77777777" w:rsidR="00D21AC2" w:rsidRPr="00775355" w:rsidRDefault="00D21AC2" w:rsidP="00D21AC2">
      <w:pPr>
        <w:pStyle w:val="Betarp"/>
        <w:spacing w:line="276" w:lineRule="auto"/>
        <w:jc w:val="both"/>
        <w:rPr>
          <w:rFonts w:ascii="Times New Roman" w:hAnsi="Times New Roman"/>
          <w:b/>
          <w:color w:val="000000" w:themeColor="text1"/>
          <w:sz w:val="24"/>
          <w:szCs w:val="24"/>
          <w:lang w:eastAsia="lt-LT"/>
        </w:rPr>
      </w:pPr>
      <w:r w:rsidRPr="00775355">
        <w:rPr>
          <w:rFonts w:ascii="Times New Roman" w:hAnsi="Times New Roman"/>
          <w:b/>
          <w:color w:val="000000" w:themeColor="text1"/>
          <w:sz w:val="24"/>
          <w:szCs w:val="24"/>
          <w:lang w:eastAsia="lt-LT"/>
        </w:rPr>
        <w:t>Terapinės indikacijos</w:t>
      </w:r>
    </w:p>
    <w:p w14:paraId="392AA082" w14:textId="77777777" w:rsidR="00D21AC2" w:rsidRPr="00775355" w:rsidRDefault="00000000" w:rsidP="00D21AC2">
      <w:pPr>
        <w:pStyle w:val="Betarp"/>
        <w:spacing w:line="276" w:lineRule="auto"/>
        <w:jc w:val="both"/>
        <w:rPr>
          <w:rFonts w:ascii="Times New Roman" w:hAnsi="Times New Roman"/>
          <w:color w:val="000000" w:themeColor="text1"/>
          <w:sz w:val="24"/>
          <w:szCs w:val="24"/>
        </w:rPr>
      </w:pPr>
      <w:sdt>
        <w:sdtPr>
          <w:rPr>
            <w:rStyle w:val="Style2"/>
            <w:rFonts w:ascii="Times New Roman" w:hAnsi="Times New Roman"/>
            <w:color w:val="000000" w:themeColor="text1"/>
            <w:sz w:val="24"/>
            <w:szCs w:val="24"/>
          </w:rPr>
          <w:id w:val="1146316688"/>
          <w15:color w:val="FFCC00"/>
          <w14:checkbox>
            <w14:checked w14:val="1"/>
            <w14:checkedState w14:val="2612" w14:font="MS Gothic"/>
            <w14:uncheckedState w14:val="2610" w14:font="MS Gothic"/>
          </w14:checkbox>
        </w:sdtPr>
        <w:sdtContent>
          <w:r w:rsidR="00D21AC2" w:rsidRPr="00775355">
            <w:rPr>
              <w:rStyle w:val="Style2"/>
              <w:rFonts w:ascii="MS Gothic" w:eastAsia="MS Gothic" w:hAnsi="MS Gothic"/>
              <w:color w:val="000000" w:themeColor="text1"/>
              <w:sz w:val="24"/>
              <w:szCs w:val="24"/>
            </w:rPr>
            <w:t>☒</w:t>
          </w:r>
        </w:sdtContent>
      </w:sdt>
      <w:r w:rsidR="00D21AC2" w:rsidRPr="00775355">
        <w:rPr>
          <w:rFonts w:ascii="Times New Roman" w:hAnsi="Times New Roman"/>
          <w:color w:val="000000" w:themeColor="text1"/>
          <w:sz w:val="24"/>
          <w:szCs w:val="24"/>
        </w:rPr>
        <w:t xml:space="preserve"> Siūloma kompensuoti Pareiškėjo teikiamą indikaciją be pakeitimų.</w:t>
      </w:r>
    </w:p>
    <w:p w14:paraId="0E8E0E1F" w14:textId="77777777" w:rsidR="00D112A1" w:rsidRPr="00775355" w:rsidRDefault="00D112A1" w:rsidP="00D112A1">
      <w:pPr>
        <w:spacing w:line="276" w:lineRule="auto"/>
        <w:jc w:val="both"/>
        <w:rPr>
          <w:color w:val="000000" w:themeColor="text1"/>
        </w:rPr>
      </w:pPr>
      <w:bookmarkStart w:id="1" w:name="_Hlk212238195"/>
      <w:r w:rsidRPr="00775355">
        <w:rPr>
          <w:color w:val="000000" w:themeColor="text1"/>
        </w:rPr>
        <w:t>BRAFTOVI (</w:t>
      </w:r>
      <w:proofErr w:type="spellStart"/>
      <w:r w:rsidRPr="00775355">
        <w:rPr>
          <w:color w:val="000000" w:themeColor="text1"/>
        </w:rPr>
        <w:t>enkorafenibas</w:t>
      </w:r>
      <w:proofErr w:type="spellEnd"/>
      <w:r w:rsidRPr="00775355">
        <w:rPr>
          <w:color w:val="000000" w:themeColor="text1"/>
        </w:rPr>
        <w:t xml:space="preserve">) suaugusiems pacientams, sergantiems </w:t>
      </w:r>
      <w:proofErr w:type="spellStart"/>
      <w:r w:rsidRPr="00775355">
        <w:rPr>
          <w:color w:val="000000" w:themeColor="text1"/>
        </w:rPr>
        <w:t>metastazavusiu</w:t>
      </w:r>
      <w:proofErr w:type="spellEnd"/>
      <w:r w:rsidRPr="00775355">
        <w:rPr>
          <w:color w:val="000000" w:themeColor="text1"/>
        </w:rPr>
        <w:t xml:space="preserve"> storosios žarnos vėžiu (SŽV) su BRAF V600 mutacija, kuriems anksčiau taikytas sisteminis gydymas, gydyti derinyje su </w:t>
      </w:r>
      <w:proofErr w:type="spellStart"/>
      <w:r w:rsidRPr="00775355">
        <w:rPr>
          <w:color w:val="000000" w:themeColor="text1"/>
        </w:rPr>
        <w:t>cetuksimabu</w:t>
      </w:r>
      <w:proofErr w:type="spellEnd"/>
      <w:r w:rsidRPr="00775355">
        <w:rPr>
          <w:color w:val="000000" w:themeColor="text1"/>
        </w:rPr>
        <w:t>.</w:t>
      </w:r>
    </w:p>
    <w:p w14:paraId="7C2968AC" w14:textId="207EE3EB" w:rsidR="00D21AC2" w:rsidRPr="00775355" w:rsidRDefault="00D112A1" w:rsidP="00D112A1">
      <w:pPr>
        <w:pStyle w:val="Betarp"/>
        <w:spacing w:line="276" w:lineRule="auto"/>
        <w:jc w:val="both"/>
        <w:rPr>
          <w:rFonts w:ascii="Times New Roman" w:hAnsi="Times New Roman"/>
          <w:color w:val="000000" w:themeColor="text1"/>
          <w:sz w:val="24"/>
          <w:szCs w:val="24"/>
        </w:rPr>
      </w:pPr>
      <w:r w:rsidRPr="00775355">
        <w:rPr>
          <w:rFonts w:ascii="Times New Roman" w:hAnsi="Times New Roman"/>
          <w:color w:val="000000" w:themeColor="text1"/>
          <w:sz w:val="24"/>
          <w:szCs w:val="24"/>
        </w:rPr>
        <w:t>TLK-10 koda</w:t>
      </w:r>
      <w:r w:rsidR="003D7C29" w:rsidRPr="00775355">
        <w:rPr>
          <w:rFonts w:ascii="Times New Roman" w:hAnsi="Times New Roman"/>
          <w:color w:val="000000" w:themeColor="text1"/>
          <w:sz w:val="24"/>
          <w:szCs w:val="24"/>
        </w:rPr>
        <w:t>i</w:t>
      </w:r>
      <w:r w:rsidRPr="00775355">
        <w:rPr>
          <w:rFonts w:ascii="Times New Roman" w:hAnsi="Times New Roman"/>
          <w:color w:val="000000" w:themeColor="text1"/>
          <w:sz w:val="24"/>
          <w:szCs w:val="24"/>
        </w:rPr>
        <w:t>: C18-C21</w:t>
      </w:r>
    </w:p>
    <w:bookmarkEnd w:id="1"/>
    <w:p w14:paraId="0691D055" w14:textId="77777777" w:rsidR="00D112A1" w:rsidRPr="00775355" w:rsidRDefault="00D112A1" w:rsidP="00D21AC2">
      <w:pPr>
        <w:pStyle w:val="Betarp"/>
        <w:spacing w:line="276" w:lineRule="auto"/>
        <w:jc w:val="both"/>
        <w:rPr>
          <w:rFonts w:ascii="Times New Roman" w:hAnsi="Times New Roman"/>
          <w:color w:val="000000" w:themeColor="text1"/>
          <w:sz w:val="24"/>
          <w:szCs w:val="24"/>
        </w:rPr>
      </w:pPr>
    </w:p>
    <w:p w14:paraId="5BA19488" w14:textId="77777777" w:rsidR="00D21AC2" w:rsidRPr="00775355" w:rsidRDefault="00D21AC2" w:rsidP="00D21AC2">
      <w:pPr>
        <w:pStyle w:val="Betarp"/>
        <w:spacing w:line="276" w:lineRule="auto"/>
        <w:jc w:val="both"/>
        <w:rPr>
          <w:rFonts w:ascii="Times New Roman" w:hAnsi="Times New Roman"/>
          <w:b/>
          <w:color w:val="000000" w:themeColor="text1"/>
          <w:sz w:val="24"/>
          <w:szCs w:val="24"/>
        </w:rPr>
      </w:pPr>
      <w:r w:rsidRPr="00775355">
        <w:rPr>
          <w:rFonts w:ascii="Times New Roman" w:hAnsi="Times New Roman"/>
          <w:b/>
          <w:color w:val="000000" w:themeColor="text1"/>
          <w:sz w:val="24"/>
          <w:szCs w:val="24"/>
        </w:rPr>
        <w:t>Skyrimo sąlygos</w:t>
      </w:r>
    </w:p>
    <w:p w14:paraId="0CCCA868" w14:textId="615E0711" w:rsidR="00D21AC2" w:rsidRPr="00775355" w:rsidRDefault="000A0332" w:rsidP="004E3F6B">
      <w:pPr>
        <w:spacing w:line="276" w:lineRule="auto"/>
        <w:jc w:val="both"/>
        <w:rPr>
          <w:color w:val="000000" w:themeColor="text1"/>
        </w:rPr>
      </w:pPr>
      <w:bookmarkStart w:id="2" w:name="_Hlk212238101"/>
      <w:r w:rsidRPr="00775355">
        <w:rPr>
          <w:color w:val="000000" w:themeColor="text1"/>
        </w:rPr>
        <w:t xml:space="preserve">Skiriamas </w:t>
      </w:r>
      <w:r w:rsidR="00D21AC2" w:rsidRPr="00775355">
        <w:rPr>
          <w:color w:val="000000" w:themeColor="text1"/>
        </w:rPr>
        <w:t xml:space="preserve">derinyje su </w:t>
      </w:r>
      <w:proofErr w:type="spellStart"/>
      <w:r w:rsidR="00D21AC2" w:rsidRPr="00775355">
        <w:rPr>
          <w:color w:val="000000" w:themeColor="text1"/>
        </w:rPr>
        <w:t>cetuksimabu</w:t>
      </w:r>
      <w:proofErr w:type="spellEnd"/>
      <w:r w:rsidR="00D21AC2" w:rsidRPr="00775355">
        <w:rPr>
          <w:color w:val="000000" w:themeColor="text1"/>
        </w:rPr>
        <w:t xml:space="preserve"> </w:t>
      </w:r>
      <w:proofErr w:type="spellStart"/>
      <w:r w:rsidR="00D21AC2" w:rsidRPr="00775355">
        <w:rPr>
          <w:color w:val="000000" w:themeColor="text1"/>
        </w:rPr>
        <w:t>metastazavusiu</w:t>
      </w:r>
      <w:proofErr w:type="spellEnd"/>
      <w:r w:rsidR="00D21AC2" w:rsidRPr="00775355">
        <w:rPr>
          <w:color w:val="000000" w:themeColor="text1"/>
        </w:rPr>
        <w:t xml:space="preserve"> storosios žarnos vėžiu su BRAF V600 mutacija</w:t>
      </w:r>
      <w:r w:rsidRPr="00775355">
        <w:rPr>
          <w:color w:val="000000" w:themeColor="text1"/>
        </w:rPr>
        <w:t xml:space="preserve"> sergantiems suaugusiems pacientams</w:t>
      </w:r>
      <w:r w:rsidR="00D54F13" w:rsidRPr="00775355">
        <w:rPr>
          <w:color w:val="000000" w:themeColor="text1"/>
        </w:rPr>
        <w:t xml:space="preserve"> antros ar vėlesnės eilės gydymui.</w:t>
      </w:r>
      <w:bookmarkEnd w:id="2"/>
    </w:p>
    <w:sectPr w:rsidR="00D21AC2" w:rsidRPr="00775355" w:rsidSect="005D30E1">
      <w:headerReference w:type="first" r:id="rId7"/>
      <w:footerReference w:type="first" r:id="rId8"/>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585C6" w14:textId="77777777" w:rsidR="00BB1B70" w:rsidRDefault="00BB1B70">
      <w:r>
        <w:separator/>
      </w:r>
    </w:p>
  </w:endnote>
  <w:endnote w:type="continuationSeparator" w:id="0">
    <w:p w14:paraId="4B6B5BA6" w14:textId="77777777" w:rsidR="00BB1B70" w:rsidRDefault="00BB1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8D3E0" w14:textId="77777777" w:rsidR="00BB1B70" w:rsidRDefault="00BB1B70">
      <w:r>
        <w:separator/>
      </w:r>
    </w:p>
  </w:footnote>
  <w:footnote w:type="continuationSeparator" w:id="0">
    <w:p w14:paraId="3D9D3520" w14:textId="77777777" w:rsidR="00BB1B70" w:rsidRDefault="00BB1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multilevel"/>
    <w:tmpl w:val="79D2DBD2"/>
    <w:lvl w:ilvl="0">
      <w:start w:val="1"/>
      <w:numFmt w:val="decimal"/>
      <w:lvlText w:val="%1."/>
      <w:lvlJc w:val="left"/>
      <w:pPr>
        <w:ind w:left="720" w:hanging="360"/>
      </w:pPr>
      <w:rPr>
        <w:b/>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1A816B09"/>
    <w:multiLevelType w:val="hybridMultilevel"/>
    <w:tmpl w:val="8FBEE17A"/>
    <w:lvl w:ilvl="0" w:tplc="0427000F">
      <w:start w:val="16"/>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7" w15:restartNumberingAfterBreak="0">
    <w:nsid w:val="3FB4173D"/>
    <w:multiLevelType w:val="hybridMultilevel"/>
    <w:tmpl w:val="45BEFCF4"/>
    <w:lvl w:ilvl="0" w:tplc="7CEC0E98">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13478E"/>
    <w:multiLevelType w:val="hybridMultilevel"/>
    <w:tmpl w:val="14A43BC8"/>
    <w:lvl w:ilvl="0" w:tplc="365E1E2E">
      <w:start w:val="2021"/>
      <w:numFmt w:val="bullet"/>
      <w:lvlText w:val="-"/>
      <w:lvlJc w:val="left"/>
      <w:pPr>
        <w:ind w:left="720" w:hanging="360"/>
      </w:pPr>
      <w:rPr>
        <w:rFonts w:ascii="Times New Roman" w:eastAsia="Arial"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20630937">
    <w:abstractNumId w:val="8"/>
  </w:num>
  <w:num w:numId="2" w16cid:durableId="2117476941">
    <w:abstractNumId w:val="1"/>
  </w:num>
  <w:num w:numId="3" w16cid:durableId="1841700529">
    <w:abstractNumId w:val="11"/>
  </w:num>
  <w:num w:numId="4" w16cid:durableId="374887823">
    <w:abstractNumId w:val="10"/>
  </w:num>
  <w:num w:numId="5" w16cid:durableId="1385134881">
    <w:abstractNumId w:val="6"/>
  </w:num>
  <w:num w:numId="6" w16cid:durableId="894125041">
    <w:abstractNumId w:val="5"/>
  </w:num>
  <w:num w:numId="7" w16cid:durableId="1927111863">
    <w:abstractNumId w:val="3"/>
  </w:num>
  <w:num w:numId="8" w16cid:durableId="832643897">
    <w:abstractNumId w:val="14"/>
  </w:num>
  <w:num w:numId="9" w16cid:durableId="782266067">
    <w:abstractNumId w:val="0"/>
  </w:num>
  <w:num w:numId="10" w16cid:durableId="1018237706">
    <w:abstractNumId w:val="12"/>
  </w:num>
  <w:num w:numId="11" w16cid:durableId="1616861146">
    <w:abstractNumId w:val="13"/>
  </w:num>
  <w:num w:numId="12" w16cid:durableId="42875877">
    <w:abstractNumId w:val="2"/>
  </w:num>
  <w:num w:numId="13" w16cid:durableId="750733130">
    <w:abstractNumId w:val="7"/>
  </w:num>
  <w:num w:numId="14" w16cid:durableId="1338731168">
    <w:abstractNumId w:val="9"/>
  </w:num>
  <w:num w:numId="15" w16cid:durableId="20210794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686C"/>
    <w:rsid w:val="00031D0E"/>
    <w:rsid w:val="000337E6"/>
    <w:rsid w:val="0003402E"/>
    <w:rsid w:val="00034EAE"/>
    <w:rsid w:val="00042924"/>
    <w:rsid w:val="00053975"/>
    <w:rsid w:val="00057A2B"/>
    <w:rsid w:val="000606BE"/>
    <w:rsid w:val="000723FF"/>
    <w:rsid w:val="000736B8"/>
    <w:rsid w:val="0008190F"/>
    <w:rsid w:val="00081D9C"/>
    <w:rsid w:val="00082907"/>
    <w:rsid w:val="0008378D"/>
    <w:rsid w:val="000908A5"/>
    <w:rsid w:val="00092805"/>
    <w:rsid w:val="000A0332"/>
    <w:rsid w:val="000C454C"/>
    <w:rsid w:val="000D5038"/>
    <w:rsid w:val="000E29D4"/>
    <w:rsid w:val="000F3540"/>
    <w:rsid w:val="00100491"/>
    <w:rsid w:val="00104E2E"/>
    <w:rsid w:val="00107287"/>
    <w:rsid w:val="00117406"/>
    <w:rsid w:val="00121EF0"/>
    <w:rsid w:val="00124A9E"/>
    <w:rsid w:val="00130703"/>
    <w:rsid w:val="0013153F"/>
    <w:rsid w:val="001408B8"/>
    <w:rsid w:val="001517E2"/>
    <w:rsid w:val="001521D9"/>
    <w:rsid w:val="001554E2"/>
    <w:rsid w:val="00160105"/>
    <w:rsid w:val="00164146"/>
    <w:rsid w:val="0017369C"/>
    <w:rsid w:val="00175D57"/>
    <w:rsid w:val="00180C39"/>
    <w:rsid w:val="00180D96"/>
    <w:rsid w:val="00184BD3"/>
    <w:rsid w:val="001921F3"/>
    <w:rsid w:val="001B3C5B"/>
    <w:rsid w:val="001C2727"/>
    <w:rsid w:val="001D746F"/>
    <w:rsid w:val="001E4BBB"/>
    <w:rsid w:val="001E6304"/>
    <w:rsid w:val="00200C53"/>
    <w:rsid w:val="0020381E"/>
    <w:rsid w:val="00213471"/>
    <w:rsid w:val="0021519A"/>
    <w:rsid w:val="00215906"/>
    <w:rsid w:val="00241CD8"/>
    <w:rsid w:val="00244B09"/>
    <w:rsid w:val="002519CB"/>
    <w:rsid w:val="0025697F"/>
    <w:rsid w:val="00260258"/>
    <w:rsid w:val="0026588E"/>
    <w:rsid w:val="00272428"/>
    <w:rsid w:val="00272948"/>
    <w:rsid w:val="00292392"/>
    <w:rsid w:val="002946C7"/>
    <w:rsid w:val="002B3CC1"/>
    <w:rsid w:val="002C09E0"/>
    <w:rsid w:val="002C1BB1"/>
    <w:rsid w:val="002C2786"/>
    <w:rsid w:val="002C3A10"/>
    <w:rsid w:val="002C4A90"/>
    <w:rsid w:val="002C4ED5"/>
    <w:rsid w:val="002D02EF"/>
    <w:rsid w:val="002E0702"/>
    <w:rsid w:val="002E57AD"/>
    <w:rsid w:val="002E6F80"/>
    <w:rsid w:val="002F0E4F"/>
    <w:rsid w:val="002F1053"/>
    <w:rsid w:val="00302825"/>
    <w:rsid w:val="00317B0E"/>
    <w:rsid w:val="00347FAA"/>
    <w:rsid w:val="0035172D"/>
    <w:rsid w:val="0036187D"/>
    <w:rsid w:val="00367EDB"/>
    <w:rsid w:val="00381024"/>
    <w:rsid w:val="00386307"/>
    <w:rsid w:val="003874DE"/>
    <w:rsid w:val="00393E9F"/>
    <w:rsid w:val="0039696E"/>
    <w:rsid w:val="003A1129"/>
    <w:rsid w:val="003B211A"/>
    <w:rsid w:val="003C141F"/>
    <w:rsid w:val="003C6B0E"/>
    <w:rsid w:val="003C7257"/>
    <w:rsid w:val="003C7E35"/>
    <w:rsid w:val="003D1877"/>
    <w:rsid w:val="003D1E99"/>
    <w:rsid w:val="003D6208"/>
    <w:rsid w:val="003D7C29"/>
    <w:rsid w:val="00404E8A"/>
    <w:rsid w:val="0040622F"/>
    <w:rsid w:val="00413F24"/>
    <w:rsid w:val="00422853"/>
    <w:rsid w:val="00423160"/>
    <w:rsid w:val="00425088"/>
    <w:rsid w:val="00431C47"/>
    <w:rsid w:val="00452C19"/>
    <w:rsid w:val="004537D0"/>
    <w:rsid w:val="00453862"/>
    <w:rsid w:val="0045469B"/>
    <w:rsid w:val="00461338"/>
    <w:rsid w:val="004677DB"/>
    <w:rsid w:val="0047414A"/>
    <w:rsid w:val="00476256"/>
    <w:rsid w:val="0048630F"/>
    <w:rsid w:val="004947A1"/>
    <w:rsid w:val="0049482A"/>
    <w:rsid w:val="004979D3"/>
    <w:rsid w:val="004A00E7"/>
    <w:rsid w:val="004A3A61"/>
    <w:rsid w:val="004B205D"/>
    <w:rsid w:val="004B59BA"/>
    <w:rsid w:val="004B5A03"/>
    <w:rsid w:val="004C23D5"/>
    <w:rsid w:val="004C263A"/>
    <w:rsid w:val="004D44A4"/>
    <w:rsid w:val="004D48A6"/>
    <w:rsid w:val="004D7B8F"/>
    <w:rsid w:val="004E3F6B"/>
    <w:rsid w:val="004E6458"/>
    <w:rsid w:val="004E6E7D"/>
    <w:rsid w:val="004F1AAC"/>
    <w:rsid w:val="004F1AE2"/>
    <w:rsid w:val="004F34F0"/>
    <w:rsid w:val="004F3B2B"/>
    <w:rsid w:val="004F6050"/>
    <w:rsid w:val="005003D4"/>
    <w:rsid w:val="005005EF"/>
    <w:rsid w:val="005123C2"/>
    <w:rsid w:val="0052144B"/>
    <w:rsid w:val="00524066"/>
    <w:rsid w:val="00534E11"/>
    <w:rsid w:val="005378D8"/>
    <w:rsid w:val="005400D9"/>
    <w:rsid w:val="00543E23"/>
    <w:rsid w:val="005476A4"/>
    <w:rsid w:val="0055019B"/>
    <w:rsid w:val="00556E63"/>
    <w:rsid w:val="005601A4"/>
    <w:rsid w:val="005669BD"/>
    <w:rsid w:val="00566DBB"/>
    <w:rsid w:val="005767DB"/>
    <w:rsid w:val="005815E6"/>
    <w:rsid w:val="0058712F"/>
    <w:rsid w:val="005976CE"/>
    <w:rsid w:val="005A23D4"/>
    <w:rsid w:val="005A2D1E"/>
    <w:rsid w:val="005B3756"/>
    <w:rsid w:val="005C493F"/>
    <w:rsid w:val="005C6BF7"/>
    <w:rsid w:val="005C71BF"/>
    <w:rsid w:val="005D002C"/>
    <w:rsid w:val="005D30E1"/>
    <w:rsid w:val="005D6555"/>
    <w:rsid w:val="005D7BDF"/>
    <w:rsid w:val="005E4870"/>
    <w:rsid w:val="005F71D9"/>
    <w:rsid w:val="005F7602"/>
    <w:rsid w:val="006031C8"/>
    <w:rsid w:val="006062BE"/>
    <w:rsid w:val="00613143"/>
    <w:rsid w:val="00613501"/>
    <w:rsid w:val="0061611B"/>
    <w:rsid w:val="006166A8"/>
    <w:rsid w:val="006174A1"/>
    <w:rsid w:val="00621D6C"/>
    <w:rsid w:val="00633B49"/>
    <w:rsid w:val="0064297F"/>
    <w:rsid w:val="00645102"/>
    <w:rsid w:val="00646CF3"/>
    <w:rsid w:val="00653D11"/>
    <w:rsid w:val="00662983"/>
    <w:rsid w:val="006834D3"/>
    <w:rsid w:val="00686395"/>
    <w:rsid w:val="00692625"/>
    <w:rsid w:val="00695CD3"/>
    <w:rsid w:val="006A38B6"/>
    <w:rsid w:val="006B1987"/>
    <w:rsid w:val="006B5B71"/>
    <w:rsid w:val="006B6CB0"/>
    <w:rsid w:val="006C0296"/>
    <w:rsid w:val="006C1BB2"/>
    <w:rsid w:val="006C2B64"/>
    <w:rsid w:val="006D4C85"/>
    <w:rsid w:val="006D66AC"/>
    <w:rsid w:val="006E29DE"/>
    <w:rsid w:val="006E33F6"/>
    <w:rsid w:val="006F1251"/>
    <w:rsid w:val="006F1C23"/>
    <w:rsid w:val="00702C18"/>
    <w:rsid w:val="00703166"/>
    <w:rsid w:val="00704571"/>
    <w:rsid w:val="007127F3"/>
    <w:rsid w:val="00716DD9"/>
    <w:rsid w:val="00721275"/>
    <w:rsid w:val="007301CF"/>
    <w:rsid w:val="007316FB"/>
    <w:rsid w:val="00734DF9"/>
    <w:rsid w:val="007374D0"/>
    <w:rsid w:val="00737E2D"/>
    <w:rsid w:val="007424D5"/>
    <w:rsid w:val="00750A88"/>
    <w:rsid w:val="007523DD"/>
    <w:rsid w:val="00757B7E"/>
    <w:rsid w:val="007656B2"/>
    <w:rsid w:val="0077016F"/>
    <w:rsid w:val="007713AD"/>
    <w:rsid w:val="00775355"/>
    <w:rsid w:val="00795DC5"/>
    <w:rsid w:val="00797153"/>
    <w:rsid w:val="007A21F7"/>
    <w:rsid w:val="007A2B68"/>
    <w:rsid w:val="007B0DDA"/>
    <w:rsid w:val="007C0875"/>
    <w:rsid w:val="007C6794"/>
    <w:rsid w:val="007C7519"/>
    <w:rsid w:val="007D3347"/>
    <w:rsid w:val="007E5466"/>
    <w:rsid w:val="007F1949"/>
    <w:rsid w:val="007F2592"/>
    <w:rsid w:val="00800A08"/>
    <w:rsid w:val="00817A84"/>
    <w:rsid w:val="008225A4"/>
    <w:rsid w:val="00824899"/>
    <w:rsid w:val="00824B92"/>
    <w:rsid w:val="00826D5E"/>
    <w:rsid w:val="00832013"/>
    <w:rsid w:val="00832DB7"/>
    <w:rsid w:val="00834732"/>
    <w:rsid w:val="008439DC"/>
    <w:rsid w:val="0085200C"/>
    <w:rsid w:val="00857C52"/>
    <w:rsid w:val="00860D5F"/>
    <w:rsid w:val="00870DB7"/>
    <w:rsid w:val="00880A44"/>
    <w:rsid w:val="0088345E"/>
    <w:rsid w:val="0088656F"/>
    <w:rsid w:val="00891EF6"/>
    <w:rsid w:val="008A0303"/>
    <w:rsid w:val="008A5FDD"/>
    <w:rsid w:val="008C3947"/>
    <w:rsid w:val="008E473B"/>
    <w:rsid w:val="008E51A6"/>
    <w:rsid w:val="008E7329"/>
    <w:rsid w:val="008F2ED5"/>
    <w:rsid w:val="009122E1"/>
    <w:rsid w:val="0092297E"/>
    <w:rsid w:val="00923651"/>
    <w:rsid w:val="00927B56"/>
    <w:rsid w:val="009341BF"/>
    <w:rsid w:val="00937907"/>
    <w:rsid w:val="00941739"/>
    <w:rsid w:val="00943E06"/>
    <w:rsid w:val="00951573"/>
    <w:rsid w:val="00963003"/>
    <w:rsid w:val="00966EEF"/>
    <w:rsid w:val="00971B28"/>
    <w:rsid w:val="00973567"/>
    <w:rsid w:val="00983471"/>
    <w:rsid w:val="00984BC1"/>
    <w:rsid w:val="009909AB"/>
    <w:rsid w:val="00997A8D"/>
    <w:rsid w:val="009B37DB"/>
    <w:rsid w:val="009C793D"/>
    <w:rsid w:val="009C7A8C"/>
    <w:rsid w:val="009D23F9"/>
    <w:rsid w:val="009D4FA8"/>
    <w:rsid w:val="009E44AE"/>
    <w:rsid w:val="009E6CD6"/>
    <w:rsid w:val="009F4D66"/>
    <w:rsid w:val="00A00C3C"/>
    <w:rsid w:val="00A01091"/>
    <w:rsid w:val="00A042B9"/>
    <w:rsid w:val="00A06DBB"/>
    <w:rsid w:val="00A22ADF"/>
    <w:rsid w:val="00A31E86"/>
    <w:rsid w:val="00A54D87"/>
    <w:rsid w:val="00A5553C"/>
    <w:rsid w:val="00A67712"/>
    <w:rsid w:val="00A701C9"/>
    <w:rsid w:val="00A81785"/>
    <w:rsid w:val="00A84803"/>
    <w:rsid w:val="00A84C51"/>
    <w:rsid w:val="00A86F2B"/>
    <w:rsid w:val="00A91366"/>
    <w:rsid w:val="00A93AA6"/>
    <w:rsid w:val="00AA3027"/>
    <w:rsid w:val="00AA4E48"/>
    <w:rsid w:val="00AA6202"/>
    <w:rsid w:val="00AA7B57"/>
    <w:rsid w:val="00AC26FC"/>
    <w:rsid w:val="00AC4A99"/>
    <w:rsid w:val="00AC64D2"/>
    <w:rsid w:val="00AD02E7"/>
    <w:rsid w:val="00AE0FE8"/>
    <w:rsid w:val="00AE1322"/>
    <w:rsid w:val="00AF60D5"/>
    <w:rsid w:val="00B00959"/>
    <w:rsid w:val="00B03C00"/>
    <w:rsid w:val="00B04415"/>
    <w:rsid w:val="00B06509"/>
    <w:rsid w:val="00B11D60"/>
    <w:rsid w:val="00B13D65"/>
    <w:rsid w:val="00B21805"/>
    <w:rsid w:val="00B3072E"/>
    <w:rsid w:val="00B36E15"/>
    <w:rsid w:val="00B37245"/>
    <w:rsid w:val="00B4017A"/>
    <w:rsid w:val="00B4468D"/>
    <w:rsid w:val="00B71C72"/>
    <w:rsid w:val="00B81E92"/>
    <w:rsid w:val="00B908D7"/>
    <w:rsid w:val="00B915AB"/>
    <w:rsid w:val="00B935E8"/>
    <w:rsid w:val="00B93B30"/>
    <w:rsid w:val="00B94CB5"/>
    <w:rsid w:val="00BA0DD9"/>
    <w:rsid w:val="00BA5DBC"/>
    <w:rsid w:val="00BB1B70"/>
    <w:rsid w:val="00BB6312"/>
    <w:rsid w:val="00BC4D06"/>
    <w:rsid w:val="00BD18D3"/>
    <w:rsid w:val="00BD585E"/>
    <w:rsid w:val="00BD6919"/>
    <w:rsid w:val="00BE1EA7"/>
    <w:rsid w:val="00BE7489"/>
    <w:rsid w:val="00BF2E0D"/>
    <w:rsid w:val="00BF3927"/>
    <w:rsid w:val="00BF3F8B"/>
    <w:rsid w:val="00BF76DA"/>
    <w:rsid w:val="00C07C7B"/>
    <w:rsid w:val="00C16245"/>
    <w:rsid w:val="00C22DC5"/>
    <w:rsid w:val="00C24479"/>
    <w:rsid w:val="00C273F2"/>
    <w:rsid w:val="00C37B53"/>
    <w:rsid w:val="00C517D2"/>
    <w:rsid w:val="00C556D9"/>
    <w:rsid w:val="00C5772E"/>
    <w:rsid w:val="00C62B36"/>
    <w:rsid w:val="00C630AE"/>
    <w:rsid w:val="00C7012C"/>
    <w:rsid w:val="00C712EA"/>
    <w:rsid w:val="00C8605C"/>
    <w:rsid w:val="00CA217D"/>
    <w:rsid w:val="00CC09D4"/>
    <w:rsid w:val="00CC668D"/>
    <w:rsid w:val="00CC7832"/>
    <w:rsid w:val="00CE4842"/>
    <w:rsid w:val="00CF0C1C"/>
    <w:rsid w:val="00CF27FD"/>
    <w:rsid w:val="00CF5F12"/>
    <w:rsid w:val="00D00D8F"/>
    <w:rsid w:val="00D112A1"/>
    <w:rsid w:val="00D21AC2"/>
    <w:rsid w:val="00D21F3A"/>
    <w:rsid w:val="00D23808"/>
    <w:rsid w:val="00D3016A"/>
    <w:rsid w:val="00D31225"/>
    <w:rsid w:val="00D417D2"/>
    <w:rsid w:val="00D42960"/>
    <w:rsid w:val="00D43BD7"/>
    <w:rsid w:val="00D4485B"/>
    <w:rsid w:val="00D4708D"/>
    <w:rsid w:val="00D4744C"/>
    <w:rsid w:val="00D521DE"/>
    <w:rsid w:val="00D5470B"/>
    <w:rsid w:val="00D54F13"/>
    <w:rsid w:val="00D63068"/>
    <w:rsid w:val="00D6498C"/>
    <w:rsid w:val="00D66CCF"/>
    <w:rsid w:val="00D76A70"/>
    <w:rsid w:val="00D83182"/>
    <w:rsid w:val="00D8521E"/>
    <w:rsid w:val="00D9144E"/>
    <w:rsid w:val="00D9291C"/>
    <w:rsid w:val="00D93A97"/>
    <w:rsid w:val="00D970E4"/>
    <w:rsid w:val="00DB1F64"/>
    <w:rsid w:val="00DC2F53"/>
    <w:rsid w:val="00DC5BAC"/>
    <w:rsid w:val="00DC6816"/>
    <w:rsid w:val="00DC76C2"/>
    <w:rsid w:val="00DD1CF2"/>
    <w:rsid w:val="00DD362B"/>
    <w:rsid w:val="00DE4484"/>
    <w:rsid w:val="00DF41B7"/>
    <w:rsid w:val="00DF4A4A"/>
    <w:rsid w:val="00DF583C"/>
    <w:rsid w:val="00E03C3F"/>
    <w:rsid w:val="00E06FD7"/>
    <w:rsid w:val="00E07417"/>
    <w:rsid w:val="00E24D45"/>
    <w:rsid w:val="00E33DB8"/>
    <w:rsid w:val="00E33EFF"/>
    <w:rsid w:val="00E34387"/>
    <w:rsid w:val="00E348BA"/>
    <w:rsid w:val="00E369FE"/>
    <w:rsid w:val="00E37C6F"/>
    <w:rsid w:val="00E475F8"/>
    <w:rsid w:val="00E5102E"/>
    <w:rsid w:val="00E510F2"/>
    <w:rsid w:val="00E549D9"/>
    <w:rsid w:val="00E5721C"/>
    <w:rsid w:val="00E619C6"/>
    <w:rsid w:val="00E745A1"/>
    <w:rsid w:val="00E81529"/>
    <w:rsid w:val="00E83A13"/>
    <w:rsid w:val="00EB0708"/>
    <w:rsid w:val="00EB6FC5"/>
    <w:rsid w:val="00EC2356"/>
    <w:rsid w:val="00EC2582"/>
    <w:rsid w:val="00EC337C"/>
    <w:rsid w:val="00ED0CFF"/>
    <w:rsid w:val="00ED31D2"/>
    <w:rsid w:val="00EE0EAC"/>
    <w:rsid w:val="00EE3322"/>
    <w:rsid w:val="00EE33CB"/>
    <w:rsid w:val="00F0061A"/>
    <w:rsid w:val="00F02834"/>
    <w:rsid w:val="00F04EEB"/>
    <w:rsid w:val="00F05467"/>
    <w:rsid w:val="00F055D2"/>
    <w:rsid w:val="00F07CD7"/>
    <w:rsid w:val="00F127E9"/>
    <w:rsid w:val="00F14B5D"/>
    <w:rsid w:val="00F259FC"/>
    <w:rsid w:val="00F2734D"/>
    <w:rsid w:val="00F36972"/>
    <w:rsid w:val="00F42426"/>
    <w:rsid w:val="00F456BC"/>
    <w:rsid w:val="00F50666"/>
    <w:rsid w:val="00F70C9E"/>
    <w:rsid w:val="00F72185"/>
    <w:rsid w:val="00F74A74"/>
    <w:rsid w:val="00F7572C"/>
    <w:rsid w:val="00F8382C"/>
    <w:rsid w:val="00F855D7"/>
    <w:rsid w:val="00F92035"/>
    <w:rsid w:val="00F92748"/>
    <w:rsid w:val="00FA4169"/>
    <w:rsid w:val="00FB0D41"/>
    <w:rsid w:val="00FB2030"/>
    <w:rsid w:val="00FD0E46"/>
    <w:rsid w:val="00FD1CF2"/>
    <w:rsid w:val="00FD3EDF"/>
    <w:rsid w:val="00FD793C"/>
    <w:rsid w:val="00FE0FD5"/>
    <w:rsid w:val="00FE20E6"/>
    <w:rsid w:val="00FE3E3B"/>
    <w:rsid w:val="00FE6F58"/>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link w:val="Antrat1Diagrama"/>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aliases w:val="Summary box,Dossier Table,Tabellengitternetz 9pt,Dossier table,Section 3- footnotes,Legemiddelverket 3,Summary Table,ASD Table,Key messages box,Table Grid nm,YHEC table,Lash Style Table,GW Pharma 2,Table Grid No Line"/>
    <w:basedOn w:val="prastojilentel"/>
    <w:uiPriority w:val="39"/>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Summary Bullets,Bullet 1,Bullet1,Bullet List,Section 5,List Paragraph CCT minutes,Table Legend,Bullets Points,Use Case List Paragraph,List Paragraph1,Body Bullet,Table Number Paragraph,Colorful List - Accent 11,List Paragraph 1,Ref,B1"/>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Summary Bullets Diagrama,Bullet 1 Diagrama,Bullet1 Diagrama,Bullet List Diagrama,Section 5 Diagrama,List Paragraph CCT minutes Diagrama,Table Legend Diagrama,Bullets Points Diagrama,Use Case List Paragraph Diagrama,Ref Diagrama"/>
    <w:basedOn w:val="Numatytasispastraiposriftas"/>
    <w:link w:val="Sraopastraipa"/>
    <w:uiPriority w:val="34"/>
    <w:qFormat/>
    <w:rsid w:val="003D1877"/>
    <w:rPr>
      <w:sz w:val="24"/>
      <w:szCs w:val="24"/>
      <w:lang w:eastAsia="en-US"/>
    </w:rPr>
  </w:style>
  <w:style w:type="paragraph" w:customStyle="1" w:styleId="Tekstas">
    <w:name w:val="Tekstas"/>
    <w:basedOn w:val="prastasis"/>
    <w:link w:val="TekstasChar"/>
    <w:qFormat/>
    <w:rsid w:val="00704571"/>
    <w:pPr>
      <w:spacing w:after="120"/>
      <w:jc w:val="both"/>
    </w:pPr>
  </w:style>
  <w:style w:type="character" w:customStyle="1" w:styleId="TekstasChar">
    <w:name w:val="Tekstas Char"/>
    <w:link w:val="Tekstas"/>
    <w:rsid w:val="00704571"/>
    <w:rPr>
      <w:sz w:val="24"/>
      <w:szCs w:val="24"/>
      <w:lang w:eastAsia="en-US"/>
    </w:rPr>
  </w:style>
  <w:style w:type="character" w:customStyle="1" w:styleId="Antrat1Diagrama">
    <w:name w:val="Antraštė 1 Diagrama"/>
    <w:basedOn w:val="Numatytasispastraiposriftas"/>
    <w:link w:val="Antrat1"/>
    <w:rsid w:val="00D21AC2"/>
    <w:rPr>
      <w:b/>
      <w:bCs/>
      <w:caps/>
      <w:sz w:val="24"/>
      <w:szCs w:val="24"/>
      <w:lang w:eastAsia="en-US"/>
    </w:rPr>
  </w:style>
  <w:style w:type="paragraph" w:customStyle="1" w:styleId="NormalBMS">
    <w:name w:val="Normal_BMS"/>
    <w:basedOn w:val="prastasis"/>
    <w:qFormat/>
    <w:rsid w:val="00452C19"/>
    <w:pPr>
      <w:widowControl w:val="0"/>
      <w:ind w:firstLine="567"/>
      <w:jc w:val="both"/>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5EB76ED23E0046AE7B184ADE041B43"/>
        <w:category>
          <w:name w:val="General"/>
          <w:gallery w:val="placeholder"/>
        </w:category>
        <w:types>
          <w:type w:val="bbPlcHdr"/>
        </w:types>
        <w:behaviors>
          <w:behavior w:val="content"/>
        </w:behaviors>
        <w:guid w:val="{19C73B9E-169C-734C-B41F-D907C99DB9C1}"/>
      </w:docPartPr>
      <w:docPartBody>
        <w:p w:rsidR="00166C3E" w:rsidRDefault="00F62041" w:rsidP="00F62041">
          <w:pPr>
            <w:pStyle w:val="9E5EB76ED23E0046AE7B184ADE041B43"/>
          </w:pPr>
          <w:r>
            <w:rPr>
              <w:rStyle w:val="Vietosrezervavimoenklotekstas"/>
            </w:rPr>
            <w:t>Click here to enter a date.</w:t>
          </w:r>
        </w:p>
      </w:docPartBody>
    </w:docPart>
    <w:docPart>
      <w:docPartPr>
        <w:name w:val="D56FBF115EF9CC40B9B4AF9C0C52E3AC"/>
        <w:category>
          <w:name w:val="General"/>
          <w:gallery w:val="placeholder"/>
        </w:category>
        <w:types>
          <w:type w:val="bbPlcHdr"/>
        </w:types>
        <w:behaviors>
          <w:behavior w:val="content"/>
        </w:behaviors>
        <w:guid w:val="{9505E36C-AEAE-C343-8A7A-304282951AFA}"/>
      </w:docPartPr>
      <w:docPartBody>
        <w:p w:rsidR="00166C3E" w:rsidRDefault="00F62041" w:rsidP="00F62041">
          <w:pPr>
            <w:pStyle w:val="D56FBF115EF9CC40B9B4AF9C0C52E3AC"/>
          </w:pPr>
          <w:r>
            <w:rPr>
              <w:rStyle w:val="Vietosrezervavimoenklotekstas"/>
            </w:rPr>
            <w:t>Click here to enter a date.</w:t>
          </w:r>
        </w:p>
      </w:docPartBody>
    </w:docPart>
    <w:docPart>
      <w:docPartPr>
        <w:name w:val="B39A444F05EEFD449A05BFAA5CC2F771"/>
        <w:category>
          <w:name w:val="General"/>
          <w:gallery w:val="placeholder"/>
        </w:category>
        <w:types>
          <w:type w:val="bbPlcHdr"/>
        </w:types>
        <w:behaviors>
          <w:behavior w:val="content"/>
        </w:behaviors>
        <w:guid w:val="{54D13CEA-76E2-7A44-BA37-88F1B904385A}"/>
      </w:docPartPr>
      <w:docPartBody>
        <w:p w:rsidR="00166C3E" w:rsidRDefault="00F62041" w:rsidP="00F62041">
          <w:pPr>
            <w:pStyle w:val="B39A444F05EEFD449A05BFAA5CC2F771"/>
          </w:pPr>
          <w:r w:rsidRPr="00546469">
            <w:rPr>
              <w:rStyle w:val="Vietosrezervavimoenklotekstas"/>
            </w:rPr>
            <w:t>Click or tap here to enter text.</w:t>
          </w:r>
        </w:p>
      </w:docPartBody>
    </w:docPart>
    <w:docPart>
      <w:docPartPr>
        <w:name w:val="2AC8B9159C36DC48A6DF20B0AF6FE9B4"/>
        <w:category>
          <w:name w:val="General"/>
          <w:gallery w:val="placeholder"/>
        </w:category>
        <w:types>
          <w:type w:val="bbPlcHdr"/>
        </w:types>
        <w:behaviors>
          <w:behavior w:val="content"/>
        </w:behaviors>
        <w:guid w:val="{B5639AAC-F418-5743-954C-CB571F052CCF}"/>
      </w:docPartPr>
      <w:docPartBody>
        <w:p w:rsidR="00166C3E" w:rsidRDefault="00F62041" w:rsidP="00F62041">
          <w:pPr>
            <w:pStyle w:val="2AC8B9159C36DC48A6DF20B0AF6FE9B4"/>
          </w:pPr>
          <w:r>
            <w:rPr>
              <w:rStyle w:val="Vietosrezervavimoenklotekstas"/>
            </w:rPr>
            <w:t>Click here to enter a date.</w:t>
          </w:r>
        </w:p>
      </w:docPartBody>
    </w:docPart>
    <w:docPart>
      <w:docPartPr>
        <w:name w:val="AED2A8537C474BE9A96A462A41EA9FB7"/>
        <w:category>
          <w:name w:val="General"/>
          <w:gallery w:val="placeholder"/>
        </w:category>
        <w:types>
          <w:type w:val="bbPlcHdr"/>
        </w:types>
        <w:behaviors>
          <w:behavior w:val="content"/>
        </w:behaviors>
        <w:guid w:val="{DD333A67-3150-4F99-96A7-2C04E3BB652B}"/>
      </w:docPartPr>
      <w:docPartBody>
        <w:p w:rsidR="00AE5A89" w:rsidRDefault="00401D6D" w:rsidP="00401D6D">
          <w:pPr>
            <w:pStyle w:val="AED2A8537C474BE9A96A462A41EA9FB7"/>
          </w:pPr>
          <w:r>
            <w:rPr>
              <w:rStyle w:val="Vietosrezervavimoenklotekstas"/>
            </w:rPr>
            <w:t>Click here to enter a date.</w:t>
          </w:r>
        </w:p>
      </w:docPartBody>
    </w:docPart>
    <w:docPart>
      <w:docPartPr>
        <w:name w:val="88DD40B7ACE8463ABE5023CCE6B93395"/>
        <w:category>
          <w:name w:val="General"/>
          <w:gallery w:val="placeholder"/>
        </w:category>
        <w:types>
          <w:type w:val="bbPlcHdr"/>
        </w:types>
        <w:behaviors>
          <w:behavior w:val="content"/>
        </w:behaviors>
        <w:guid w:val="{B3C48DA6-7108-434E-AE19-E1664B0D26B2}"/>
      </w:docPartPr>
      <w:docPartBody>
        <w:p w:rsidR="00AE5A89" w:rsidRDefault="00401D6D" w:rsidP="00401D6D">
          <w:pPr>
            <w:pStyle w:val="88DD40B7ACE8463ABE5023CCE6B93395"/>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61157"/>
    <w:rsid w:val="000937FE"/>
    <w:rsid w:val="000A559A"/>
    <w:rsid w:val="000D24D4"/>
    <w:rsid w:val="00166C3E"/>
    <w:rsid w:val="0016720C"/>
    <w:rsid w:val="001C2727"/>
    <w:rsid w:val="001C35A9"/>
    <w:rsid w:val="001D6377"/>
    <w:rsid w:val="001F47C5"/>
    <w:rsid w:val="00237556"/>
    <w:rsid w:val="00252976"/>
    <w:rsid w:val="003742A2"/>
    <w:rsid w:val="0039303B"/>
    <w:rsid w:val="00401D6D"/>
    <w:rsid w:val="004144A3"/>
    <w:rsid w:val="004160E7"/>
    <w:rsid w:val="00425088"/>
    <w:rsid w:val="004416C6"/>
    <w:rsid w:val="00483CD7"/>
    <w:rsid w:val="004C23D5"/>
    <w:rsid w:val="004F5AB2"/>
    <w:rsid w:val="005074B9"/>
    <w:rsid w:val="00586E17"/>
    <w:rsid w:val="005A002F"/>
    <w:rsid w:val="005E40DD"/>
    <w:rsid w:val="007219C1"/>
    <w:rsid w:val="0074261C"/>
    <w:rsid w:val="00753462"/>
    <w:rsid w:val="00772325"/>
    <w:rsid w:val="007810F2"/>
    <w:rsid w:val="007A2FE0"/>
    <w:rsid w:val="007C6D1D"/>
    <w:rsid w:val="00870DB7"/>
    <w:rsid w:val="008955AB"/>
    <w:rsid w:val="0090074D"/>
    <w:rsid w:val="00984BC1"/>
    <w:rsid w:val="009B3BF0"/>
    <w:rsid w:val="009C793D"/>
    <w:rsid w:val="009D5E5E"/>
    <w:rsid w:val="009F1BB4"/>
    <w:rsid w:val="00AA3027"/>
    <w:rsid w:val="00AB6ED4"/>
    <w:rsid w:val="00AE5A89"/>
    <w:rsid w:val="00B14210"/>
    <w:rsid w:val="00B23DC0"/>
    <w:rsid w:val="00B96656"/>
    <w:rsid w:val="00BE29C1"/>
    <w:rsid w:val="00C2401D"/>
    <w:rsid w:val="00C53A68"/>
    <w:rsid w:val="00C8605C"/>
    <w:rsid w:val="00CA5BB4"/>
    <w:rsid w:val="00CB4BD1"/>
    <w:rsid w:val="00CE2DA9"/>
    <w:rsid w:val="00CE44BE"/>
    <w:rsid w:val="00D107CD"/>
    <w:rsid w:val="00D4356B"/>
    <w:rsid w:val="00D7162F"/>
    <w:rsid w:val="00E3528B"/>
    <w:rsid w:val="00E44A86"/>
    <w:rsid w:val="00E456CB"/>
    <w:rsid w:val="00E522EB"/>
    <w:rsid w:val="00E60827"/>
    <w:rsid w:val="00E73FF6"/>
    <w:rsid w:val="00EF6E0C"/>
    <w:rsid w:val="00F55028"/>
    <w:rsid w:val="00F62041"/>
    <w:rsid w:val="00F72185"/>
    <w:rsid w:val="00F77BEF"/>
    <w:rsid w:val="00FC755C"/>
    <w:rsid w:val="00FE0D46"/>
    <w:rsid w:val="00FE64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401D6D"/>
    <w:rPr>
      <w:color w:val="808080"/>
    </w:rPr>
  </w:style>
  <w:style w:type="paragraph" w:customStyle="1" w:styleId="9E5EB76ED23E0046AE7B184ADE041B43">
    <w:name w:val="9E5EB76ED23E0046AE7B184ADE041B43"/>
    <w:rsid w:val="00F62041"/>
    <w:pPr>
      <w:spacing w:line="278" w:lineRule="auto"/>
    </w:pPr>
    <w:rPr>
      <w:kern w:val="2"/>
      <w:sz w:val="24"/>
      <w:szCs w:val="24"/>
      <w:lang w:eastAsia="en-GB"/>
      <w14:ligatures w14:val="standardContextual"/>
    </w:rPr>
  </w:style>
  <w:style w:type="paragraph" w:customStyle="1" w:styleId="D56FBF115EF9CC40B9B4AF9C0C52E3AC">
    <w:name w:val="D56FBF115EF9CC40B9B4AF9C0C52E3AC"/>
    <w:rsid w:val="00F62041"/>
    <w:pPr>
      <w:spacing w:line="278" w:lineRule="auto"/>
    </w:pPr>
    <w:rPr>
      <w:kern w:val="2"/>
      <w:sz w:val="24"/>
      <w:szCs w:val="24"/>
      <w:lang w:eastAsia="en-GB"/>
      <w14:ligatures w14:val="standardContextual"/>
    </w:rPr>
  </w:style>
  <w:style w:type="paragraph" w:customStyle="1" w:styleId="B39A444F05EEFD449A05BFAA5CC2F771">
    <w:name w:val="B39A444F05EEFD449A05BFAA5CC2F771"/>
    <w:rsid w:val="00F62041"/>
    <w:pPr>
      <w:spacing w:line="278" w:lineRule="auto"/>
    </w:pPr>
    <w:rPr>
      <w:kern w:val="2"/>
      <w:sz w:val="24"/>
      <w:szCs w:val="24"/>
      <w:lang w:eastAsia="en-GB"/>
      <w14:ligatures w14:val="standardContextual"/>
    </w:rPr>
  </w:style>
  <w:style w:type="paragraph" w:customStyle="1" w:styleId="2AC8B9159C36DC48A6DF20B0AF6FE9B4">
    <w:name w:val="2AC8B9159C36DC48A6DF20B0AF6FE9B4"/>
    <w:rsid w:val="00F62041"/>
    <w:pPr>
      <w:spacing w:line="278" w:lineRule="auto"/>
    </w:pPr>
    <w:rPr>
      <w:kern w:val="2"/>
      <w:sz w:val="24"/>
      <w:szCs w:val="24"/>
      <w:lang w:eastAsia="en-GB"/>
      <w14:ligatures w14:val="standardContextual"/>
    </w:rPr>
  </w:style>
  <w:style w:type="paragraph" w:customStyle="1" w:styleId="AED2A8537C474BE9A96A462A41EA9FB7">
    <w:name w:val="AED2A8537C474BE9A96A462A41EA9FB7"/>
    <w:rsid w:val="00401D6D"/>
  </w:style>
  <w:style w:type="paragraph" w:customStyle="1" w:styleId="88DD40B7ACE8463ABE5023CCE6B93395">
    <w:name w:val="88DD40B7ACE8463ABE5023CCE6B93395"/>
    <w:rsid w:val="00401D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14177</Words>
  <Characters>8081</Characters>
  <Application>Microsoft Office Word</Application>
  <DocSecurity>0</DocSecurity>
  <Lines>67</Lines>
  <Paragraphs>44</Paragraphs>
  <ScaleCrop>false</ScaleCrop>
  <Company/>
  <LinksUpToDate>false</LinksUpToDate>
  <CharactersWithSpaces>22214</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2025-10-27T10:11:00Z</dcterms:created>
  <dcterms:modified xsi:type="dcterms:W3CDTF">2025-11-05T06:23:00Z</dcterms:modified>
</cp:coreProperties>
</file>