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0203E1" w:rsidRDefault="005F7602" w:rsidP="002946C7">
      <w:pPr>
        <w:ind w:left="5529"/>
      </w:pPr>
    </w:p>
    <w:p w14:paraId="12FA4B9E" w14:textId="77777777" w:rsidR="001B3C5B" w:rsidRPr="000203E1" w:rsidRDefault="001B3C5B" w:rsidP="001B3C5B">
      <w:pPr>
        <w:ind w:left="6096"/>
      </w:pPr>
      <w:r w:rsidRPr="000203E1">
        <w:t>Forma patvirtinta</w:t>
      </w:r>
    </w:p>
    <w:p w14:paraId="7206970B" w14:textId="70E9BD2E" w:rsidR="004C263A" w:rsidRPr="000203E1" w:rsidRDefault="001B3C5B" w:rsidP="001B3C5B">
      <w:pPr>
        <w:ind w:left="6096"/>
      </w:pPr>
      <w:r w:rsidRPr="000203E1">
        <w:t>Valstybinės vaistų kontrolės tarnybos prie Lietuvos Respublikos sveikatos apsaugos ministerijos viršininko 2021 m</w:t>
      </w:r>
      <w:r w:rsidR="004C263A" w:rsidRPr="000203E1">
        <w:t xml:space="preserve">. lapkričio 12 </w:t>
      </w:r>
      <w:r w:rsidRPr="000203E1">
        <w:t>d. įsakymu Nr.</w:t>
      </w:r>
      <w:r w:rsidR="004C263A" w:rsidRPr="000203E1">
        <w:t xml:space="preserve"> (1.72E)1A-1418</w:t>
      </w:r>
    </w:p>
    <w:p w14:paraId="5B219AA6" w14:textId="520B9136" w:rsidR="001B3C5B" w:rsidRPr="000203E1" w:rsidRDefault="004C263A" w:rsidP="001B3C5B">
      <w:pPr>
        <w:ind w:left="6096"/>
      </w:pPr>
      <w:r w:rsidRPr="000203E1">
        <w:t>(Valstybinės vaistų kontrolės tarnybos prie Lietuvos Respublikos sveikatos apsaugos ministerijos viršininko 2022 m.                         d. įsakymo Nr.                    redakcija)</w:t>
      </w:r>
    </w:p>
    <w:p w14:paraId="3336BD74" w14:textId="77777777" w:rsidR="001B3C5B" w:rsidRPr="000203E1" w:rsidRDefault="001B3C5B" w:rsidP="00FA4169"/>
    <w:p w14:paraId="77AFB67E" w14:textId="16397257" w:rsidR="00613501" w:rsidRPr="000203E1" w:rsidRDefault="002F0E4F" w:rsidP="003B211A">
      <w:pPr>
        <w:jc w:val="center"/>
        <w:rPr>
          <w:b/>
          <w:bCs/>
          <w:caps/>
        </w:rPr>
      </w:pPr>
      <w:r w:rsidRPr="000203E1">
        <w:rPr>
          <w:b/>
        </w:rPr>
        <w:t xml:space="preserve">REKOMENDACIJA DĖL VAISTINIO PREPARATO </w:t>
      </w:r>
      <w:r w:rsidRPr="000203E1">
        <w:rPr>
          <w:b/>
          <w:bCs/>
          <w:caps/>
        </w:rPr>
        <w:t>Lietuvos Respublikos Sveikatos apsaugos ministerijos vaistinių preparatų ir medicinos pagalbos priemonių kompensavimo komisijai</w:t>
      </w:r>
    </w:p>
    <w:p w14:paraId="34E4395D" w14:textId="15FB10DF" w:rsidR="00B13D65" w:rsidRPr="000203E1" w:rsidRDefault="00B13D65" w:rsidP="003B211A">
      <w:pPr>
        <w:jc w:val="center"/>
        <w:rPr>
          <w:b/>
        </w:rPr>
      </w:pPr>
    </w:p>
    <w:p w14:paraId="177A9980" w14:textId="4DF6EB4F" w:rsidR="00DC5359" w:rsidRPr="0073329D" w:rsidRDefault="00DC5359" w:rsidP="00DC5359">
      <w:pPr>
        <w:jc w:val="center"/>
        <w:rPr>
          <w:b/>
        </w:rPr>
      </w:pPr>
      <w:r>
        <w:rPr>
          <w:b/>
        </w:rPr>
        <w:t>Tevimbra</w:t>
      </w:r>
      <w:r w:rsidRPr="0073329D">
        <w:rPr>
          <w:b/>
        </w:rPr>
        <w:t xml:space="preserve"> </w:t>
      </w:r>
      <w:r>
        <w:rPr>
          <w:b/>
        </w:rPr>
        <w:t>100 mg koncentratas infuziniam tirpalui</w:t>
      </w:r>
    </w:p>
    <w:p w14:paraId="555F8463" w14:textId="77777777" w:rsidR="00DC5359" w:rsidRPr="0073329D" w:rsidRDefault="00DC5359" w:rsidP="00DC5359">
      <w:pPr>
        <w:jc w:val="center"/>
      </w:pPr>
    </w:p>
    <w:p w14:paraId="4C66AF58" w14:textId="77777777" w:rsidR="00DC5359" w:rsidRPr="0073329D" w:rsidRDefault="00DC5359" w:rsidP="00DC5359">
      <w:pPr>
        <w:jc w:val="center"/>
      </w:pPr>
      <w:r>
        <w:rPr>
          <w:b/>
        </w:rPr>
        <w:t>Tislelizumabas</w:t>
      </w:r>
    </w:p>
    <w:p w14:paraId="1A619398" w14:textId="77777777" w:rsidR="00DC5359" w:rsidRPr="0073329D" w:rsidRDefault="00DC5359" w:rsidP="00DC5359">
      <w:pPr>
        <w:jc w:val="center"/>
      </w:pPr>
    </w:p>
    <w:p w14:paraId="2C67F2C8" w14:textId="2C740FB5" w:rsidR="00DC5359" w:rsidRPr="0073329D" w:rsidRDefault="00DC5359" w:rsidP="00DC5359">
      <w:pPr>
        <w:jc w:val="center"/>
        <w:rPr>
          <w:b/>
        </w:rPr>
      </w:pPr>
      <w:r>
        <w:rPr>
          <w:b/>
        </w:rPr>
        <w:t>STV-</w:t>
      </w:r>
      <w:r w:rsidR="00905EC5">
        <w:rPr>
          <w:b/>
        </w:rPr>
        <w:t>221</w:t>
      </w:r>
    </w:p>
    <w:p w14:paraId="453197C8" w14:textId="77777777" w:rsidR="00D4708D" w:rsidRPr="000203E1" w:rsidRDefault="00D4708D" w:rsidP="003B211A">
      <w:pPr>
        <w:jc w:val="center"/>
        <w:rPr>
          <w:b/>
        </w:rPr>
      </w:pPr>
    </w:p>
    <w:p w14:paraId="78C89D1C" w14:textId="0DEFFAA5" w:rsidR="00D4485B" w:rsidRPr="000203E1" w:rsidRDefault="00B13D65" w:rsidP="00CC09D4">
      <w:pPr>
        <w:pStyle w:val="Sraopastraipa"/>
        <w:numPr>
          <w:ilvl w:val="0"/>
          <w:numId w:val="12"/>
        </w:numPr>
        <w:tabs>
          <w:tab w:val="left" w:pos="567"/>
        </w:tabs>
        <w:ind w:left="567" w:hanging="567"/>
        <w:rPr>
          <w:b/>
          <w:bCs/>
          <w:caps/>
        </w:rPr>
      </w:pPr>
      <w:r w:rsidRPr="000203E1">
        <w:rPr>
          <w:b/>
          <w:bCs/>
          <w:caps/>
        </w:rPr>
        <w:t>Bendroji dalis</w:t>
      </w:r>
    </w:p>
    <w:p w14:paraId="04A7C7A7" w14:textId="77777777" w:rsidR="00B13D65" w:rsidRPr="000203E1"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DC5359" w:rsidRPr="000203E1" w14:paraId="18A83EC2" w14:textId="77777777" w:rsidTr="00BE7489">
        <w:trPr>
          <w:trHeight w:val="538"/>
        </w:trPr>
        <w:tc>
          <w:tcPr>
            <w:tcW w:w="632" w:type="dxa"/>
          </w:tcPr>
          <w:p w14:paraId="0646FBEA" w14:textId="77777777" w:rsidR="00DC5359" w:rsidRPr="000203E1" w:rsidRDefault="00DC5359" w:rsidP="00DC5359">
            <w:pPr>
              <w:rPr>
                <w:rFonts w:eastAsia="Arial"/>
              </w:rPr>
            </w:pPr>
            <w:r w:rsidRPr="000203E1">
              <w:rPr>
                <w:rFonts w:eastAsia="Arial"/>
              </w:rPr>
              <w:t>1.1</w:t>
            </w:r>
          </w:p>
        </w:tc>
        <w:tc>
          <w:tcPr>
            <w:tcW w:w="3694" w:type="dxa"/>
          </w:tcPr>
          <w:p w14:paraId="6C3AE864" w14:textId="77777777" w:rsidR="00DC5359" w:rsidRPr="000203E1" w:rsidRDefault="00DC5359" w:rsidP="00DC5359">
            <w:pPr>
              <w:rPr>
                <w:rFonts w:eastAsia="Arial"/>
              </w:rPr>
            </w:pPr>
            <w:r w:rsidRPr="000203E1">
              <w:rPr>
                <w:rFonts w:eastAsia="Arial"/>
              </w:rPr>
              <w:t>Pareiškėjas</w:t>
            </w:r>
          </w:p>
          <w:p w14:paraId="2AF240DC" w14:textId="77777777" w:rsidR="00DC5359" w:rsidRPr="000203E1" w:rsidRDefault="00DC5359" w:rsidP="00DC5359">
            <w:pPr>
              <w:rPr>
                <w:rFonts w:eastAsia="Arial"/>
              </w:rPr>
            </w:pPr>
          </w:p>
        </w:tc>
        <w:tc>
          <w:tcPr>
            <w:tcW w:w="5167" w:type="dxa"/>
          </w:tcPr>
          <w:p w14:paraId="2AAF0D91" w14:textId="735ED06B" w:rsidR="00DC5359" w:rsidRPr="000203E1" w:rsidRDefault="00DC5359" w:rsidP="00DC5359">
            <w:pPr>
              <w:rPr>
                <w:rFonts w:eastAsia="Arial"/>
              </w:rPr>
            </w:pPr>
            <w:r w:rsidRPr="009A5C99">
              <w:t>BeiGene Switzerland GmbH</w:t>
            </w:r>
          </w:p>
        </w:tc>
      </w:tr>
      <w:tr w:rsidR="00DC5359" w:rsidRPr="000203E1" w14:paraId="31998B0D" w14:textId="77777777" w:rsidTr="00BE7489">
        <w:trPr>
          <w:trHeight w:val="538"/>
        </w:trPr>
        <w:tc>
          <w:tcPr>
            <w:tcW w:w="632" w:type="dxa"/>
          </w:tcPr>
          <w:p w14:paraId="2005EC67" w14:textId="662300D0" w:rsidR="00DC5359" w:rsidRPr="000203E1" w:rsidRDefault="00DC5359" w:rsidP="00DC5359">
            <w:pPr>
              <w:rPr>
                <w:rFonts w:eastAsia="Arial"/>
              </w:rPr>
            </w:pPr>
            <w:r w:rsidRPr="000203E1">
              <w:rPr>
                <w:rFonts w:eastAsia="Arial"/>
              </w:rPr>
              <w:t>1.2</w:t>
            </w:r>
          </w:p>
        </w:tc>
        <w:tc>
          <w:tcPr>
            <w:tcW w:w="3694" w:type="dxa"/>
          </w:tcPr>
          <w:p w14:paraId="1E4AE3B1" w14:textId="77777777" w:rsidR="00DC5359" w:rsidRPr="000203E1" w:rsidRDefault="00DC5359" w:rsidP="00DC5359">
            <w:pPr>
              <w:rPr>
                <w:bCs/>
                <w:lang w:eastAsia="lt-LT"/>
              </w:rPr>
            </w:pPr>
            <w:r w:rsidRPr="000203E1">
              <w:rPr>
                <w:bCs/>
                <w:lang w:eastAsia="lt-LT"/>
              </w:rPr>
              <w:t xml:space="preserve">Registracijos data </w:t>
            </w:r>
          </w:p>
          <w:p w14:paraId="3A0DC096" w14:textId="77777777" w:rsidR="00DC5359" w:rsidRPr="000203E1" w:rsidRDefault="00DC5359" w:rsidP="00DC5359">
            <w:pPr>
              <w:rPr>
                <w:bCs/>
                <w:lang w:eastAsia="lt-LT"/>
              </w:rPr>
            </w:pPr>
          </w:p>
        </w:tc>
        <w:tc>
          <w:tcPr>
            <w:tcW w:w="5167" w:type="dxa"/>
          </w:tcPr>
          <w:p w14:paraId="3CA218AD" w14:textId="08CFFC14" w:rsidR="00DC5359" w:rsidRPr="000203E1" w:rsidRDefault="00000000" w:rsidP="00DC5359">
            <w:pPr>
              <w:rPr>
                <w:rStyle w:val="Style2"/>
              </w:rPr>
            </w:pPr>
            <w:sdt>
              <w:sdtPr>
                <w:rPr>
                  <w:sz w:val="32"/>
                </w:rPr>
                <w:alias w:val="Nurodykite konkrečią dieną"/>
                <w:tag w:val="Nurodykite pradžios datą"/>
                <w:id w:val="423238108"/>
                <w:placeholder>
                  <w:docPart w:val="D23D438FDDC84AEA82E299BC599CBC25"/>
                </w:placeholder>
                <w15:color w:val="FFCC99"/>
                <w:date>
                  <w:dateFormat w:val="yyyy 'm.' MMMM d 'd.'"/>
                  <w:lid w:val="lt-LT"/>
                  <w:storeMappedDataAs w:val="dateTime"/>
                  <w:calendar w:val="gregorian"/>
                </w:date>
              </w:sdtPr>
              <w:sdtEndPr>
                <w:rPr>
                  <w:sz w:val="24"/>
                </w:rPr>
              </w:sdtEndPr>
              <w:sdtContent>
                <w:r w:rsidR="00DC5359" w:rsidRPr="00870CC5">
                  <w:t>20</w:t>
                </w:r>
                <w:r w:rsidR="00DC5359">
                  <w:t>2</w:t>
                </w:r>
                <w:r w:rsidR="00905EC5">
                  <w:t>1</w:t>
                </w:r>
                <w:r w:rsidR="00DC5359">
                  <w:t xml:space="preserve"> m. </w:t>
                </w:r>
                <w:r w:rsidR="00905EC5">
                  <w:t>gruodžio</w:t>
                </w:r>
                <w:r w:rsidR="00DC5359">
                  <w:t xml:space="preserve"> </w:t>
                </w:r>
                <w:r w:rsidR="00905EC5">
                  <w:t>9</w:t>
                </w:r>
                <w:r w:rsidR="00DC5359">
                  <w:t xml:space="preserve"> d.</w:t>
                </w:r>
              </w:sdtContent>
            </w:sdt>
          </w:p>
        </w:tc>
      </w:tr>
      <w:tr w:rsidR="00DC5359" w:rsidRPr="000203E1" w14:paraId="15968AE1" w14:textId="77777777" w:rsidTr="00BE7489">
        <w:trPr>
          <w:trHeight w:val="1500"/>
        </w:trPr>
        <w:tc>
          <w:tcPr>
            <w:tcW w:w="632" w:type="dxa"/>
          </w:tcPr>
          <w:p w14:paraId="6A784245" w14:textId="1E461489" w:rsidR="00DC5359" w:rsidRPr="000203E1" w:rsidRDefault="00DC5359" w:rsidP="00DC5359">
            <w:pPr>
              <w:rPr>
                <w:rFonts w:eastAsia="Arial"/>
              </w:rPr>
            </w:pPr>
            <w:r w:rsidRPr="000203E1">
              <w:rPr>
                <w:rFonts w:eastAsia="Arial"/>
              </w:rPr>
              <w:t>1.3</w:t>
            </w:r>
          </w:p>
        </w:tc>
        <w:tc>
          <w:tcPr>
            <w:tcW w:w="3694" w:type="dxa"/>
          </w:tcPr>
          <w:p w14:paraId="22933506" w14:textId="77777777" w:rsidR="00DC5359" w:rsidRPr="000203E1" w:rsidRDefault="00DC5359" w:rsidP="00DC5359">
            <w:r w:rsidRPr="000203E1">
              <w:t xml:space="preserve">Paraiškos tipas </w:t>
            </w:r>
          </w:p>
          <w:p w14:paraId="0465E680" w14:textId="7F0A0714" w:rsidR="00DC5359" w:rsidRPr="000203E1" w:rsidRDefault="00DC5359" w:rsidP="00DC5359">
            <w:r w:rsidRPr="000203E1">
              <w:t xml:space="preserve">(pagal </w:t>
            </w:r>
            <w:r w:rsidRPr="000203E1">
              <w:rPr>
                <w:shd w:val="clear" w:color="auto" w:fill="FFFFFF"/>
              </w:rPr>
              <w:t>vaistinio preparato registracijos tipą, įtvirtintą</w:t>
            </w:r>
            <w:r w:rsidRPr="000203E1">
              <w:t xml:space="preserve"> Direktyvos 2001/83/EB straipsiuose)</w:t>
            </w:r>
          </w:p>
          <w:p w14:paraId="77089D80" w14:textId="6681D72A" w:rsidR="00DC5359" w:rsidRPr="000203E1" w:rsidRDefault="00DC5359" w:rsidP="00DC5359">
            <w:pPr>
              <w:rPr>
                <w:bCs/>
                <w:lang w:eastAsia="lt-LT"/>
              </w:rPr>
            </w:pPr>
          </w:p>
        </w:tc>
        <w:tc>
          <w:tcPr>
            <w:tcW w:w="5167" w:type="dxa"/>
          </w:tcPr>
          <w:p w14:paraId="38A58149" w14:textId="77777777" w:rsidR="00DC5359" w:rsidRPr="0073329D" w:rsidRDefault="00000000" w:rsidP="00DC5359">
            <w:sdt>
              <w:sdtPr>
                <w:rPr>
                  <w:rStyle w:val="Style2"/>
                </w:rPr>
                <w:id w:val="-366596377"/>
                <w15:color w:val="FFCC00"/>
                <w14:checkbox>
                  <w14:checked w14:val="1"/>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8.3 str. (pilna byla, pagrįsta savais tyrimais) </w:t>
            </w:r>
          </w:p>
          <w:p w14:paraId="405DB093" w14:textId="77777777" w:rsidR="00DC5359" w:rsidRPr="0073329D" w:rsidRDefault="00000000" w:rsidP="00DC5359">
            <w:sdt>
              <w:sdtPr>
                <w:rPr>
                  <w:rStyle w:val="Style2"/>
                </w:rPr>
                <w:id w:val="675462298"/>
                <w15:color w:val="FFCC00"/>
                <w14:checkbox>
                  <w14:checked w14:val="0"/>
                  <w14:checkedState w14:val="2612" w14:font="MS Gothic"/>
                  <w14:uncheckedState w14:val="2610" w14:font="MS Gothic"/>
                </w14:checkbox>
              </w:sdtPr>
              <w:sdtContent>
                <w:r w:rsidR="00DC5359" w:rsidRPr="0073329D">
                  <w:rPr>
                    <w:rStyle w:val="Style2"/>
                    <w:rFonts w:ascii="Segoe UI Symbol" w:eastAsia="MS Gothic" w:hAnsi="Segoe UI Symbol" w:cs="Segoe UI Symbol"/>
                  </w:rPr>
                  <w:t>☐</w:t>
                </w:r>
              </w:sdtContent>
            </w:sdt>
            <w:r w:rsidR="00DC5359" w:rsidRPr="0073329D">
              <w:t xml:space="preserve"> 10 a str. (pripažintas medicininis vartojimas) </w:t>
            </w:r>
          </w:p>
          <w:p w14:paraId="654BD62F" w14:textId="77777777" w:rsidR="00DC5359" w:rsidRPr="0073329D" w:rsidRDefault="00000000" w:rsidP="00DC5359">
            <w:sdt>
              <w:sdtPr>
                <w:rPr>
                  <w:rStyle w:val="Style2"/>
                </w:rPr>
                <w:id w:val="-1290435890"/>
                <w15:color w:val="FFCC00"/>
                <w14:checkbox>
                  <w14:checked w14:val="0"/>
                  <w14:checkedState w14:val="2612" w14:font="MS Gothic"/>
                  <w14:uncheckedState w14:val="2610" w14:font="MS Gothic"/>
                </w14:checkbox>
              </w:sdtPr>
              <w:sdtContent>
                <w:r w:rsidR="00DC5359" w:rsidRPr="0073329D">
                  <w:rPr>
                    <w:rStyle w:val="Style2"/>
                    <w:rFonts w:ascii="MS Gothic" w:eastAsia="MS Gothic" w:hAnsi="MS Gothic" w:hint="eastAsia"/>
                  </w:rPr>
                  <w:t>☐</w:t>
                </w:r>
              </w:sdtContent>
            </w:sdt>
            <w:r w:rsidR="00DC5359" w:rsidRPr="0073329D">
              <w:t xml:space="preserve"> 10.1 str. (generinis)</w:t>
            </w:r>
          </w:p>
          <w:p w14:paraId="3B0A4F72" w14:textId="2964C0A9" w:rsidR="00DC5359" w:rsidRPr="000203E1" w:rsidRDefault="00000000" w:rsidP="00DC5359">
            <w:pPr>
              <w:rPr>
                <w:rStyle w:val="Style2"/>
                <w:sz w:val="24"/>
              </w:rPr>
            </w:pPr>
            <w:sdt>
              <w:sdtPr>
                <w:rPr>
                  <w:rStyle w:val="Style2"/>
                </w:rPr>
                <w:id w:val="-124545030"/>
                <w15:color w:val="FFCC00"/>
                <w14:checkbox>
                  <w14:checked w14:val="0"/>
                  <w14:checkedState w14:val="2612" w14:font="MS Gothic"/>
                  <w14:uncheckedState w14:val="2610" w14:font="MS Gothic"/>
                </w14:checkbox>
              </w:sdtPr>
              <w:sdtContent>
                <w:r w:rsidR="00DC5359" w:rsidRPr="0073329D">
                  <w:rPr>
                    <w:rStyle w:val="Style2"/>
                    <w:rFonts w:ascii="Segoe UI Symbol" w:eastAsia="MS Gothic" w:hAnsi="Segoe UI Symbol" w:cs="Segoe UI Symbol"/>
                  </w:rPr>
                  <w:t>☐</w:t>
                </w:r>
              </w:sdtContent>
            </w:sdt>
            <w:r w:rsidR="00DC5359" w:rsidRPr="0073329D">
              <w:t xml:space="preserve"> 10.3 str. (hibridinis)</w:t>
            </w:r>
          </w:p>
        </w:tc>
      </w:tr>
      <w:tr w:rsidR="00DC5359" w:rsidRPr="000203E1" w14:paraId="310E9662" w14:textId="77777777" w:rsidTr="00BE7489">
        <w:trPr>
          <w:trHeight w:val="1442"/>
        </w:trPr>
        <w:tc>
          <w:tcPr>
            <w:tcW w:w="632" w:type="dxa"/>
          </w:tcPr>
          <w:p w14:paraId="4B5A91A2" w14:textId="561B5E5F" w:rsidR="00DC5359" w:rsidRPr="000203E1" w:rsidRDefault="00DC5359" w:rsidP="00DC5359">
            <w:pPr>
              <w:rPr>
                <w:rFonts w:eastAsia="Arial"/>
              </w:rPr>
            </w:pPr>
            <w:r w:rsidRPr="000203E1">
              <w:rPr>
                <w:rFonts w:eastAsia="Arial"/>
              </w:rPr>
              <w:t>1.4</w:t>
            </w:r>
          </w:p>
        </w:tc>
        <w:tc>
          <w:tcPr>
            <w:tcW w:w="3694" w:type="dxa"/>
          </w:tcPr>
          <w:p w14:paraId="6C91E105" w14:textId="77777777" w:rsidR="00DC5359" w:rsidRPr="000203E1" w:rsidRDefault="00DC5359" w:rsidP="00DC5359">
            <w:pPr>
              <w:rPr>
                <w:bCs/>
                <w:lang w:eastAsia="lt-LT"/>
              </w:rPr>
            </w:pPr>
            <w:r w:rsidRPr="000203E1">
              <w:rPr>
                <w:bCs/>
                <w:lang w:eastAsia="lt-LT"/>
              </w:rPr>
              <w:t xml:space="preserve">Ar vaistinis preparatas įrašytas į Bendrijos retųjų vaistinių preparatų registrą? </w:t>
            </w:r>
          </w:p>
          <w:p w14:paraId="33726F9C" w14:textId="77777777" w:rsidR="00DC5359" w:rsidRPr="000203E1" w:rsidRDefault="00DC5359" w:rsidP="00DC5359">
            <w:pPr>
              <w:rPr>
                <w:bCs/>
                <w:i/>
                <w:lang w:eastAsia="lt-LT"/>
              </w:rPr>
            </w:pPr>
          </w:p>
          <w:p w14:paraId="483071A3" w14:textId="0F633FFC" w:rsidR="00DC5359" w:rsidRPr="000203E1" w:rsidRDefault="00DC5359" w:rsidP="00DC5359">
            <w:pPr>
              <w:rPr>
                <w:bCs/>
                <w:lang w:eastAsia="lt-LT"/>
              </w:rPr>
            </w:pPr>
            <w:r w:rsidRPr="000203E1">
              <w:rPr>
                <w:bCs/>
                <w:i/>
                <w:sz w:val="20"/>
                <w:lang w:eastAsia="lt-LT"/>
              </w:rPr>
              <w:t>Jei taip, nurodykite įrašymo datą ir numerį</w:t>
            </w:r>
          </w:p>
        </w:tc>
        <w:tc>
          <w:tcPr>
            <w:tcW w:w="5167" w:type="dxa"/>
          </w:tcPr>
          <w:p w14:paraId="43E76F32" w14:textId="77777777" w:rsidR="00DC5359" w:rsidRPr="0073329D" w:rsidRDefault="00000000" w:rsidP="00DC5359">
            <w:sdt>
              <w:sdtPr>
                <w:rPr>
                  <w:rStyle w:val="Style2"/>
                </w:rPr>
                <w:id w:val="2024432173"/>
                <w15:color w:val="FFCC00"/>
                <w14:checkbox>
                  <w14:checked w14:val="0"/>
                  <w14:checkedState w14:val="2612" w14:font="MS Gothic"/>
                  <w14:uncheckedState w14:val="2610" w14:font="MS Gothic"/>
                </w14:checkbox>
              </w:sdtPr>
              <w:sdtContent>
                <w:r w:rsidR="00DC5359" w:rsidRPr="0073329D">
                  <w:rPr>
                    <w:rStyle w:val="Style2"/>
                    <w:rFonts w:ascii="Segoe UI Symbol" w:eastAsia="MS Gothic" w:hAnsi="Segoe UI Symbol" w:cs="Segoe UI Symbol"/>
                  </w:rPr>
                  <w:t>☐</w:t>
                </w:r>
              </w:sdtContent>
            </w:sdt>
            <w:r w:rsidR="00DC5359" w:rsidRPr="0073329D">
              <w:t xml:space="preserve"> Taip</w:t>
            </w:r>
          </w:p>
          <w:p w14:paraId="20A19AAC" w14:textId="77777777" w:rsidR="00DC5359" w:rsidRPr="0073329D" w:rsidRDefault="00000000" w:rsidP="00DC5359">
            <w:sdt>
              <w:sdtPr>
                <w:rPr>
                  <w:rStyle w:val="Style2"/>
                </w:rPr>
                <w:id w:val="-970507926"/>
                <w15:color w:val="FFCC00"/>
                <w14:checkbox>
                  <w14:checked w14:val="1"/>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Ne</w:t>
            </w:r>
          </w:p>
          <w:p w14:paraId="29C2CBBB" w14:textId="72B7733A" w:rsidR="00DC5359" w:rsidRPr="000203E1" w:rsidRDefault="00000000" w:rsidP="00DC5359">
            <w:pPr>
              <w:rPr>
                <w:rFonts w:eastAsia="Arial"/>
              </w:rPr>
            </w:pPr>
            <w:sdt>
              <w:sdtPr>
                <w:alias w:val="Nurodykite konkrečią dieną"/>
                <w:tag w:val="Nurodykite pradžios datą"/>
                <w:id w:val="693498901"/>
                <w:placeholder>
                  <w:docPart w:val="8705C79A471446CD9DB13F7B9EBFF01E"/>
                </w:placeholder>
                <w:showingPlcHdr/>
                <w15:color w:val="FFCC99"/>
                <w:date w:fullDate="2022-05-18T00:00:00Z">
                  <w:dateFormat w:val="yyyy 'm.' MMMM d 'd.'"/>
                  <w:lid w:val="lt-LT"/>
                  <w:storeMappedDataAs w:val="dateTime"/>
                  <w:calendar w:val="gregorian"/>
                </w:date>
              </w:sdtPr>
              <w:sdtContent>
                <w:r w:rsidR="00DC5359" w:rsidRPr="0073329D">
                  <w:rPr>
                    <w:rStyle w:val="Vietosrezervavimoenklotekstas"/>
                  </w:rPr>
                  <w:t>Click here to enter a date.</w:t>
                </w:r>
              </w:sdtContent>
            </w:sdt>
          </w:p>
        </w:tc>
      </w:tr>
      <w:tr w:rsidR="000203E1" w:rsidRPr="000203E1" w14:paraId="7841E5F8" w14:textId="77777777" w:rsidTr="00BE7489">
        <w:trPr>
          <w:trHeight w:val="476"/>
        </w:trPr>
        <w:tc>
          <w:tcPr>
            <w:tcW w:w="632" w:type="dxa"/>
          </w:tcPr>
          <w:p w14:paraId="109D2861" w14:textId="73BF27DF" w:rsidR="00D417D2" w:rsidRPr="000203E1" w:rsidRDefault="00D417D2" w:rsidP="00824B92">
            <w:pPr>
              <w:rPr>
                <w:rFonts w:eastAsia="Arial"/>
              </w:rPr>
            </w:pPr>
            <w:r w:rsidRPr="000203E1">
              <w:rPr>
                <w:rFonts w:eastAsia="Arial"/>
              </w:rPr>
              <w:t>1.5</w:t>
            </w:r>
          </w:p>
        </w:tc>
        <w:tc>
          <w:tcPr>
            <w:tcW w:w="3694" w:type="dxa"/>
          </w:tcPr>
          <w:p w14:paraId="7822D63E" w14:textId="68C38334" w:rsidR="00D417D2" w:rsidRPr="000203E1" w:rsidRDefault="00D417D2" w:rsidP="00824B92">
            <w:pPr>
              <w:rPr>
                <w:bCs/>
                <w:lang w:eastAsia="lt-LT"/>
              </w:rPr>
            </w:pPr>
            <w:r w:rsidRPr="000203E1">
              <w:t>STV paraiškos pobūdis</w:t>
            </w:r>
          </w:p>
        </w:tc>
        <w:tc>
          <w:tcPr>
            <w:tcW w:w="5167" w:type="dxa"/>
          </w:tcPr>
          <w:p w14:paraId="403461B9" w14:textId="671ADAEE" w:rsidR="00D417D2" w:rsidRPr="000203E1" w:rsidRDefault="00000000" w:rsidP="00824B92">
            <w:sdt>
              <w:sdtPr>
                <w:rPr>
                  <w:rStyle w:val="Style2"/>
                  <w:sz w:val="24"/>
                </w:rPr>
                <w:id w:val="-468433535"/>
                <w15:color w:val="FFCC00"/>
                <w14:checkbox>
                  <w14:checked w14:val="1"/>
                  <w14:checkedState w14:val="2612" w14:font="MS Gothic"/>
                  <w14:uncheckedState w14:val="2610" w14:font="MS Gothic"/>
                </w14:checkbox>
              </w:sdtPr>
              <w:sdtContent>
                <w:r w:rsidR="00016F32">
                  <w:rPr>
                    <w:rStyle w:val="Style2"/>
                    <w:rFonts w:ascii="MS Gothic" w:eastAsia="MS Gothic" w:hAnsi="MS Gothic" w:hint="eastAsia"/>
                    <w:sz w:val="24"/>
                  </w:rPr>
                  <w:t>☒</w:t>
                </w:r>
              </w:sdtContent>
            </w:sdt>
            <w:r w:rsidR="00D417D2" w:rsidRPr="000203E1">
              <w:t xml:space="preserve"> Pilna paraiška</w:t>
            </w:r>
          </w:p>
          <w:p w14:paraId="6B8213E3" w14:textId="3495CDF4" w:rsidR="00D417D2" w:rsidRPr="000203E1" w:rsidRDefault="00000000" w:rsidP="00824B92">
            <w:sdt>
              <w:sdtPr>
                <w:rPr>
                  <w:rStyle w:val="Style2"/>
                  <w:sz w:val="24"/>
                </w:rPr>
                <w:id w:val="-1489014904"/>
                <w15:color w:val="FFCC00"/>
                <w14:checkbox>
                  <w14:checked w14:val="0"/>
                  <w14:checkedState w14:val="2612" w14:font="MS Gothic"/>
                  <w14:uncheckedState w14:val="2610" w14:font="MS Gothic"/>
                </w14:checkbox>
              </w:sdtPr>
              <w:sdtContent>
                <w:r w:rsidR="00D417D2" w:rsidRPr="000203E1">
                  <w:rPr>
                    <w:rStyle w:val="Style2"/>
                    <w:rFonts w:ascii="MS Gothic" w:eastAsia="MS Gothic" w:hAnsi="MS Gothic" w:hint="eastAsia"/>
                    <w:sz w:val="24"/>
                  </w:rPr>
                  <w:t>☐</w:t>
                </w:r>
              </w:sdtContent>
            </w:sdt>
            <w:r w:rsidR="00D417D2" w:rsidRPr="000203E1">
              <w:t xml:space="preserve"> Supaprastinta paraiška</w:t>
            </w:r>
          </w:p>
        </w:tc>
      </w:tr>
      <w:tr w:rsidR="00DC5359" w:rsidRPr="000203E1" w14:paraId="274D1DAF" w14:textId="77777777" w:rsidTr="00410D53">
        <w:trPr>
          <w:trHeight w:val="1922"/>
        </w:trPr>
        <w:tc>
          <w:tcPr>
            <w:tcW w:w="632" w:type="dxa"/>
          </w:tcPr>
          <w:p w14:paraId="17ABF217" w14:textId="14AC00D7" w:rsidR="00DC5359" w:rsidRPr="000203E1" w:rsidRDefault="00DC5359" w:rsidP="00DC5359">
            <w:pPr>
              <w:rPr>
                <w:rFonts w:eastAsia="Arial"/>
              </w:rPr>
            </w:pPr>
            <w:r w:rsidRPr="000203E1">
              <w:rPr>
                <w:rFonts w:eastAsia="Arial"/>
              </w:rPr>
              <w:t>1.6</w:t>
            </w:r>
          </w:p>
        </w:tc>
        <w:tc>
          <w:tcPr>
            <w:tcW w:w="3694" w:type="dxa"/>
          </w:tcPr>
          <w:p w14:paraId="4D49DBF5" w14:textId="77777777" w:rsidR="00DC5359" w:rsidRPr="000203E1" w:rsidRDefault="00DC5359" w:rsidP="00DC5359">
            <w:pPr>
              <w:rPr>
                <w:bCs/>
                <w:lang w:eastAsia="lt-LT"/>
              </w:rPr>
            </w:pPr>
            <w:r w:rsidRPr="000203E1">
              <w:rPr>
                <w:bCs/>
                <w:lang w:eastAsia="lt-LT"/>
              </w:rPr>
              <w:t>Pareiškėjo teikiama (-os) kompensuoti vaistinio preparato indikacija (-os)</w:t>
            </w:r>
          </w:p>
          <w:p w14:paraId="6B4FEEC1" w14:textId="6A619694" w:rsidR="00DC5359" w:rsidRPr="000203E1" w:rsidRDefault="00DC5359" w:rsidP="00DC5359">
            <w:pPr>
              <w:rPr>
                <w:bCs/>
                <w:lang w:eastAsia="lt-LT"/>
              </w:rPr>
            </w:pPr>
            <w:r w:rsidRPr="000203E1">
              <w:rPr>
                <w:bCs/>
                <w:lang w:eastAsia="lt-LT"/>
              </w:rPr>
              <w:t>Kodas pagal TLK-10 AM</w:t>
            </w:r>
          </w:p>
        </w:tc>
        <w:tc>
          <w:tcPr>
            <w:tcW w:w="5167" w:type="dxa"/>
            <w:vAlign w:val="center"/>
          </w:tcPr>
          <w:p w14:paraId="0A7A7F5A" w14:textId="77777777" w:rsidR="00905EC5" w:rsidRPr="00905EC5" w:rsidRDefault="00905EC5" w:rsidP="00905EC5">
            <w:pPr>
              <w:spacing w:after="120"/>
              <w:jc w:val="both"/>
            </w:pPr>
            <w:r w:rsidRPr="00905EC5">
              <w:rPr>
                <w:bCs/>
              </w:rPr>
              <w:t>Tevimbra, kartu su chemoterapija platinos pagrindu, skirtas suaugusių pacientų, sergančių neoperuotina, vietiškai išplitusia arba metastazavusia SPLK, kurių navikai turi PD-L1 išraišką su TAP įverčiu ≥ 5, pirmos eilės gydymui.</w:t>
            </w:r>
          </w:p>
          <w:p w14:paraId="13F7DFB0" w14:textId="1874598B" w:rsidR="00DC5359" w:rsidRPr="000203E1" w:rsidRDefault="00905EC5" w:rsidP="00905EC5">
            <w:pPr>
              <w:pStyle w:val="Sraopastraipa"/>
              <w:spacing w:after="120" w:line="276" w:lineRule="auto"/>
              <w:ind w:left="0"/>
              <w:jc w:val="both"/>
            </w:pPr>
            <w:r w:rsidRPr="00905EC5">
              <w:t>TLK-10 AM kodai: C15</w:t>
            </w:r>
          </w:p>
        </w:tc>
      </w:tr>
      <w:tr w:rsidR="00DC5359" w:rsidRPr="000203E1" w14:paraId="2F79DC08" w14:textId="77777777" w:rsidTr="00BE7489">
        <w:trPr>
          <w:trHeight w:val="378"/>
        </w:trPr>
        <w:tc>
          <w:tcPr>
            <w:tcW w:w="632" w:type="dxa"/>
          </w:tcPr>
          <w:p w14:paraId="547885A2" w14:textId="2EE70237" w:rsidR="00DC5359" w:rsidRPr="000203E1" w:rsidRDefault="00DC5359" w:rsidP="00DC5359">
            <w:pPr>
              <w:rPr>
                <w:rFonts w:eastAsia="Arial"/>
              </w:rPr>
            </w:pPr>
            <w:r w:rsidRPr="000203E1">
              <w:rPr>
                <w:rFonts w:eastAsia="Arial"/>
              </w:rPr>
              <w:t>1.</w:t>
            </w:r>
            <w:r>
              <w:rPr>
                <w:rFonts w:eastAsia="Arial"/>
              </w:rPr>
              <w:t>7</w:t>
            </w:r>
          </w:p>
        </w:tc>
        <w:tc>
          <w:tcPr>
            <w:tcW w:w="3694" w:type="dxa"/>
          </w:tcPr>
          <w:p w14:paraId="2EAB877F" w14:textId="39A36941" w:rsidR="00DC5359" w:rsidRPr="000203E1" w:rsidRDefault="00DC5359" w:rsidP="00DC5359">
            <w:pPr>
              <w:rPr>
                <w:bCs/>
                <w:u w:val="single"/>
                <w:lang w:eastAsia="lt-LT"/>
              </w:rPr>
            </w:pPr>
            <w:r w:rsidRPr="000203E1">
              <w:rPr>
                <w:bCs/>
                <w:lang w:eastAsia="lt-LT"/>
              </w:rPr>
              <w:t xml:space="preserve">Pareiškėjo teikiamos skyrimo sąlygos </w:t>
            </w:r>
          </w:p>
        </w:tc>
        <w:tc>
          <w:tcPr>
            <w:tcW w:w="5167" w:type="dxa"/>
          </w:tcPr>
          <w:p w14:paraId="0579DF58" w14:textId="37DEF499" w:rsidR="00DC5359" w:rsidRPr="000203E1" w:rsidRDefault="00DC5359" w:rsidP="00DC5359">
            <w:r>
              <w:t>Neteikiamos.</w:t>
            </w:r>
          </w:p>
        </w:tc>
      </w:tr>
      <w:tr w:rsidR="00B13D65" w:rsidRPr="000203E1" w14:paraId="3B125269" w14:textId="77777777" w:rsidTr="00BE7489">
        <w:trPr>
          <w:trHeight w:val="378"/>
        </w:trPr>
        <w:tc>
          <w:tcPr>
            <w:tcW w:w="632" w:type="dxa"/>
          </w:tcPr>
          <w:p w14:paraId="0058E11F" w14:textId="3C0D7626" w:rsidR="00B13D65" w:rsidRPr="000203E1" w:rsidRDefault="00B13D65" w:rsidP="00164D64">
            <w:pPr>
              <w:rPr>
                <w:rFonts w:eastAsia="Arial"/>
              </w:rPr>
            </w:pPr>
            <w:r w:rsidRPr="000203E1">
              <w:rPr>
                <w:rFonts w:eastAsia="Arial"/>
              </w:rPr>
              <w:lastRenderedPageBreak/>
              <w:t>1.</w:t>
            </w:r>
            <w:r w:rsidR="00164D64">
              <w:rPr>
                <w:rFonts w:eastAsia="Arial"/>
              </w:rPr>
              <w:t>8</w:t>
            </w:r>
          </w:p>
        </w:tc>
        <w:tc>
          <w:tcPr>
            <w:tcW w:w="3694" w:type="dxa"/>
          </w:tcPr>
          <w:p w14:paraId="738E1926" w14:textId="77777777" w:rsidR="00B13D65" w:rsidRPr="000203E1" w:rsidRDefault="007656B2" w:rsidP="00824B92">
            <w:pPr>
              <w:rPr>
                <w:bCs/>
                <w:lang w:eastAsia="lt-LT"/>
              </w:rPr>
            </w:pPr>
            <w:r w:rsidRPr="000203E1">
              <w:rPr>
                <w:bCs/>
                <w:lang w:eastAsia="lt-LT"/>
              </w:rPr>
              <w:t>Pareiškėjo teikiamas p</w:t>
            </w:r>
            <w:r w:rsidR="00B13D65" w:rsidRPr="000203E1">
              <w:rPr>
                <w:bCs/>
                <w:lang w:eastAsia="lt-LT"/>
              </w:rPr>
              <w:t>alyginamasis</w:t>
            </w:r>
            <w:r w:rsidR="005B3756" w:rsidRPr="000203E1">
              <w:rPr>
                <w:bCs/>
                <w:lang w:eastAsia="lt-LT"/>
              </w:rPr>
              <w:t xml:space="preserve"> </w:t>
            </w:r>
            <w:r w:rsidR="00B13D65" w:rsidRPr="000203E1">
              <w:rPr>
                <w:bCs/>
                <w:lang w:eastAsia="lt-LT"/>
              </w:rPr>
              <w:t xml:space="preserve">gydymas </w:t>
            </w:r>
          </w:p>
          <w:p w14:paraId="61EC5BBD" w14:textId="7A8BD8B4" w:rsidR="009F4D66" w:rsidRPr="000203E1" w:rsidRDefault="009F4D66" w:rsidP="00824B92">
            <w:pPr>
              <w:rPr>
                <w:bCs/>
                <w:lang w:eastAsia="lt-LT"/>
              </w:rPr>
            </w:pPr>
          </w:p>
          <w:p w14:paraId="62057D94" w14:textId="77777777" w:rsidR="00413F24" w:rsidRPr="000203E1" w:rsidRDefault="00413F24" w:rsidP="00824B92">
            <w:pPr>
              <w:rPr>
                <w:bCs/>
                <w:lang w:eastAsia="lt-LT"/>
              </w:rPr>
            </w:pPr>
          </w:p>
          <w:p w14:paraId="6CC1022E" w14:textId="2B6BCEE1" w:rsidR="009F4D66" w:rsidRPr="000203E1" w:rsidRDefault="009F4D66" w:rsidP="00824B92">
            <w:pPr>
              <w:rPr>
                <w:bCs/>
                <w:lang w:eastAsia="lt-LT"/>
              </w:rPr>
            </w:pPr>
          </w:p>
        </w:tc>
        <w:tc>
          <w:tcPr>
            <w:tcW w:w="5167" w:type="dxa"/>
          </w:tcPr>
          <w:p w14:paraId="1F113AC0" w14:textId="6B3F51FF" w:rsidR="009F4D66" w:rsidRPr="000203E1"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BC22A0">
                  <w:rPr>
                    <w:rStyle w:val="Style2"/>
                    <w:rFonts w:ascii="MS Gothic" w:eastAsia="MS Gothic" w:hAnsi="MS Gothic" w:hint="eastAsia"/>
                    <w:sz w:val="24"/>
                  </w:rPr>
                  <w:t>☒</w:t>
                </w:r>
              </w:sdtContent>
            </w:sdt>
            <w:r w:rsidR="009F4D66" w:rsidRPr="000203E1">
              <w:t xml:space="preserve"> Tinkamas</w:t>
            </w:r>
            <w:r w:rsidR="00BC22A0">
              <w:t xml:space="preserve"> (</w:t>
            </w:r>
            <w:r w:rsidR="00DC5359">
              <w:t xml:space="preserve">chemoterapija, </w:t>
            </w:r>
            <w:r w:rsidR="00905EC5">
              <w:t>pembrolizumabo ir chemoterapijos derinys</w:t>
            </w:r>
            <w:r w:rsidR="00BC22A0">
              <w:t>)</w:t>
            </w:r>
          </w:p>
          <w:p w14:paraId="41B44044" w14:textId="56DA01C7" w:rsidR="00B13D65" w:rsidRPr="000203E1"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DC5359">
                  <w:rPr>
                    <w:rStyle w:val="Style2"/>
                    <w:rFonts w:ascii="MS Gothic" w:eastAsia="MS Gothic" w:hAnsi="MS Gothic" w:hint="eastAsia"/>
                    <w:sz w:val="24"/>
                  </w:rPr>
                  <w:t>☐</w:t>
                </w:r>
              </w:sdtContent>
            </w:sdt>
            <w:r w:rsidR="009F4D66" w:rsidRPr="000203E1">
              <w:t xml:space="preserve"> Netinkama</w:t>
            </w:r>
            <w:r w:rsidR="00016F32">
              <w:t>s</w:t>
            </w:r>
          </w:p>
        </w:tc>
      </w:tr>
    </w:tbl>
    <w:p w14:paraId="108176F7" w14:textId="640C6F75" w:rsidR="00F70C9E" w:rsidRPr="000203E1" w:rsidRDefault="00F70C9E" w:rsidP="00E03C3F">
      <w:pPr>
        <w:pStyle w:val="Sraopastraipa"/>
        <w:tabs>
          <w:tab w:val="left" w:pos="426"/>
        </w:tabs>
        <w:ind w:left="0"/>
        <w:rPr>
          <w:b/>
          <w:bCs/>
          <w:caps/>
        </w:rPr>
      </w:pPr>
    </w:p>
    <w:p w14:paraId="2871CA7F" w14:textId="3B173597" w:rsidR="00F70C9E" w:rsidRPr="000203E1" w:rsidRDefault="00F70C9E" w:rsidP="00880A44">
      <w:pPr>
        <w:spacing w:line="276" w:lineRule="auto"/>
        <w:jc w:val="both"/>
        <w:rPr>
          <w:rFonts w:eastAsia="Arial"/>
          <w:b/>
        </w:rPr>
      </w:pPr>
      <w:r w:rsidRPr="000203E1">
        <w:rPr>
          <w:rFonts w:eastAsia="Arial"/>
          <w:b/>
        </w:rPr>
        <w:t>1.</w:t>
      </w:r>
      <w:r w:rsidR="00164D64">
        <w:rPr>
          <w:rFonts w:eastAsia="Arial"/>
          <w:b/>
        </w:rPr>
        <w:t>9</w:t>
      </w:r>
      <w:r w:rsidRPr="000203E1">
        <w:rPr>
          <w:rFonts w:eastAsia="Arial"/>
          <w:b/>
        </w:rPr>
        <w:t xml:space="preserve"> Kitų </w:t>
      </w:r>
      <w:r w:rsidR="00DF583C" w:rsidRPr="000203E1">
        <w:rPr>
          <w:rFonts w:eastAsia="Arial"/>
          <w:b/>
        </w:rPr>
        <w:t xml:space="preserve">valstybių </w:t>
      </w:r>
      <w:r w:rsidRPr="000203E1">
        <w:rPr>
          <w:rFonts w:eastAsia="Arial"/>
          <w:b/>
        </w:rPr>
        <w:t xml:space="preserve">atsakingų institucijų atlikto </w:t>
      </w:r>
      <w:r w:rsidR="00DF583C" w:rsidRPr="000203E1">
        <w:rPr>
          <w:rFonts w:eastAsia="Arial"/>
          <w:b/>
        </w:rPr>
        <w:t>Sveikatos technologijų vertinimo (toliau – STV)</w:t>
      </w:r>
      <w:r w:rsidRPr="000203E1">
        <w:rPr>
          <w:rFonts w:eastAsia="Arial"/>
          <w:b/>
        </w:rPr>
        <w:t xml:space="preserve"> išvados</w:t>
      </w:r>
    </w:p>
    <w:p w14:paraId="30721FDD" w14:textId="77777777" w:rsidR="00F70C9E" w:rsidRPr="000203E1" w:rsidRDefault="00F70C9E" w:rsidP="00F70C9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DC5359" w:rsidRPr="0073329D" w14:paraId="76E5CF26" w14:textId="77777777" w:rsidTr="00FE6F95">
        <w:trPr>
          <w:trHeight w:val="924"/>
        </w:trPr>
        <w:tc>
          <w:tcPr>
            <w:tcW w:w="2927" w:type="dxa"/>
          </w:tcPr>
          <w:p w14:paraId="0F0792A9" w14:textId="77777777" w:rsidR="00DC5359" w:rsidRPr="0073329D" w:rsidRDefault="00DC5359" w:rsidP="00FE6F95">
            <w:pPr>
              <w:spacing w:line="276" w:lineRule="auto"/>
              <w:rPr>
                <w:rFonts w:eastAsia="Arial"/>
              </w:rPr>
            </w:pPr>
            <w:r w:rsidRPr="0073329D">
              <w:rPr>
                <w:rFonts w:eastAsia="Arial"/>
              </w:rPr>
              <w:t>STV agentūros pavadinimas, šalis</w:t>
            </w:r>
          </w:p>
        </w:tc>
        <w:tc>
          <w:tcPr>
            <w:tcW w:w="1915" w:type="dxa"/>
          </w:tcPr>
          <w:p w14:paraId="30921A17" w14:textId="77777777" w:rsidR="00DC5359" w:rsidRPr="0073329D" w:rsidRDefault="00DC5359" w:rsidP="00FE6F95">
            <w:pPr>
              <w:spacing w:line="276" w:lineRule="auto"/>
              <w:rPr>
                <w:rFonts w:eastAsia="Arial"/>
              </w:rPr>
            </w:pPr>
            <w:r w:rsidRPr="0073329D">
              <w:rPr>
                <w:rFonts w:eastAsia="Arial"/>
              </w:rPr>
              <w:t>STV vertinimas atliktas</w:t>
            </w:r>
          </w:p>
        </w:tc>
        <w:tc>
          <w:tcPr>
            <w:tcW w:w="2351" w:type="dxa"/>
          </w:tcPr>
          <w:p w14:paraId="6FFFA846" w14:textId="77777777" w:rsidR="00DC5359" w:rsidRPr="0073329D" w:rsidRDefault="00DC5359" w:rsidP="00FE6F95">
            <w:pPr>
              <w:spacing w:line="276" w:lineRule="auto"/>
              <w:rPr>
                <w:rFonts w:eastAsia="Arial"/>
              </w:rPr>
            </w:pPr>
            <w:r w:rsidRPr="0073329D">
              <w:rPr>
                <w:rFonts w:eastAsia="Arial"/>
              </w:rPr>
              <w:t>Klinikinio vertinimo išvada</w:t>
            </w:r>
          </w:p>
        </w:tc>
        <w:tc>
          <w:tcPr>
            <w:tcW w:w="2725" w:type="dxa"/>
          </w:tcPr>
          <w:p w14:paraId="3DE78BAA" w14:textId="77777777" w:rsidR="00DC5359" w:rsidRPr="0073329D" w:rsidRDefault="00DC5359" w:rsidP="00FE6F95">
            <w:pPr>
              <w:spacing w:line="276" w:lineRule="auto"/>
              <w:rPr>
                <w:rFonts w:eastAsia="Arial"/>
              </w:rPr>
            </w:pPr>
            <w:r w:rsidRPr="0073329D">
              <w:rPr>
                <w:rFonts w:eastAsia="Arial"/>
              </w:rPr>
              <w:t>Farmakoekonominio vertinimo išvada</w:t>
            </w:r>
          </w:p>
        </w:tc>
      </w:tr>
      <w:tr w:rsidR="00DC5359" w:rsidRPr="00504C19" w14:paraId="5776987E" w14:textId="77777777" w:rsidTr="00FE6F95">
        <w:trPr>
          <w:trHeight w:val="1765"/>
        </w:trPr>
        <w:tc>
          <w:tcPr>
            <w:tcW w:w="2927" w:type="dxa"/>
          </w:tcPr>
          <w:p w14:paraId="6948CF33" w14:textId="77777777" w:rsidR="00DC5359" w:rsidRPr="0073329D" w:rsidRDefault="00DC5359" w:rsidP="00FE6F95">
            <w:pPr>
              <w:autoSpaceDE w:val="0"/>
              <w:autoSpaceDN w:val="0"/>
              <w:adjustRightInd w:val="0"/>
              <w:rPr>
                <w:bCs/>
              </w:rPr>
            </w:pPr>
            <w:r w:rsidRPr="0073329D">
              <w:rPr>
                <w:bCs/>
              </w:rPr>
              <w:t>Nacionalinis sveikatos ir klinikinės kompetencijos institutas, Didžioji Britanija</w:t>
            </w:r>
          </w:p>
          <w:p w14:paraId="2941D509" w14:textId="77777777" w:rsidR="00DC5359" w:rsidRPr="0073329D" w:rsidRDefault="00DC5359" w:rsidP="00FE6F95">
            <w:pPr>
              <w:spacing w:line="276" w:lineRule="auto"/>
              <w:rPr>
                <w:rFonts w:eastAsia="Arial"/>
              </w:rPr>
            </w:pPr>
            <w:r w:rsidRPr="0073329D">
              <w:rPr>
                <w:rFonts w:eastAsia="Arial"/>
              </w:rPr>
              <w:t xml:space="preserve">(angl. </w:t>
            </w:r>
            <w:r w:rsidRPr="0073329D">
              <w:rPr>
                <w:rFonts w:eastAsia="Arial"/>
                <w:i/>
              </w:rPr>
              <w:t>National Institute for Health and Care Excellence, NICE</w:t>
            </w:r>
            <w:r w:rsidRPr="0073329D">
              <w:rPr>
                <w:rFonts w:eastAsia="Arial"/>
              </w:rPr>
              <w:t>)</w:t>
            </w:r>
          </w:p>
        </w:tc>
        <w:tc>
          <w:tcPr>
            <w:tcW w:w="1915" w:type="dxa"/>
          </w:tcPr>
          <w:p w14:paraId="5D967742" w14:textId="77777777" w:rsidR="00DC5359" w:rsidRPr="0073329D" w:rsidRDefault="00000000" w:rsidP="00FE6F95">
            <w:sdt>
              <w:sdtPr>
                <w:rPr>
                  <w:rStyle w:val="Style2"/>
                </w:rPr>
                <w:id w:val="1558205022"/>
                <w15:color w:val="FFCC00"/>
                <w14:checkbox>
                  <w14:checked w14:val="0"/>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Taip</w:t>
            </w:r>
          </w:p>
          <w:p w14:paraId="706A19A2" w14:textId="77777777" w:rsidR="00DC5359" w:rsidRPr="0073329D" w:rsidRDefault="00000000" w:rsidP="00FE6F95">
            <w:sdt>
              <w:sdtPr>
                <w:rPr>
                  <w:rStyle w:val="Style2"/>
                </w:rPr>
                <w:id w:val="866029625"/>
                <w15:color w:val="FFCC00"/>
                <w14:checkbox>
                  <w14:checked w14:val="1"/>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Ne</w:t>
            </w:r>
          </w:p>
          <w:p w14:paraId="316642F4" w14:textId="77777777" w:rsidR="00DC5359" w:rsidRPr="0073329D" w:rsidRDefault="00DC5359" w:rsidP="00FE6F95">
            <w:pPr>
              <w:rPr>
                <w:rFonts w:eastAsia="Arial"/>
              </w:rPr>
            </w:pPr>
          </w:p>
        </w:tc>
        <w:tc>
          <w:tcPr>
            <w:tcW w:w="5076" w:type="dxa"/>
            <w:gridSpan w:val="2"/>
            <w:vAlign w:val="center"/>
          </w:tcPr>
          <w:p w14:paraId="3B236215" w14:textId="77777777" w:rsidR="00DC5359" w:rsidRPr="00504C19" w:rsidRDefault="00DC5359" w:rsidP="00FE6F95">
            <w:pPr>
              <w:spacing w:line="276" w:lineRule="auto"/>
              <w:jc w:val="center"/>
              <w:rPr>
                <w:rFonts w:eastAsia="Arial"/>
              </w:rPr>
            </w:pPr>
            <w:r>
              <w:rPr>
                <w:rFonts w:eastAsia="Arial"/>
              </w:rPr>
              <w:t>–</w:t>
            </w:r>
          </w:p>
        </w:tc>
      </w:tr>
      <w:tr w:rsidR="00DC5359" w:rsidRPr="0073329D" w14:paraId="443B0440" w14:textId="77777777" w:rsidTr="00FE6F95">
        <w:trPr>
          <w:trHeight w:val="275"/>
        </w:trPr>
        <w:tc>
          <w:tcPr>
            <w:tcW w:w="2927" w:type="dxa"/>
          </w:tcPr>
          <w:p w14:paraId="7BC503F2" w14:textId="77777777" w:rsidR="00DC5359" w:rsidRPr="0073329D" w:rsidRDefault="00DC5359" w:rsidP="00FE6F95">
            <w:pPr>
              <w:spacing w:line="276" w:lineRule="auto"/>
              <w:rPr>
                <w:rFonts w:eastAsia="Arial"/>
              </w:rPr>
            </w:pPr>
            <w:r w:rsidRPr="0073329D">
              <w:rPr>
                <w:rFonts w:eastAsia="Arial"/>
              </w:rPr>
              <w:t>Kanados sveikatos technologijų agentūra</w:t>
            </w:r>
          </w:p>
          <w:p w14:paraId="50354383" w14:textId="77777777" w:rsidR="00DC5359" w:rsidRPr="0073329D" w:rsidRDefault="00DC5359" w:rsidP="00FE6F95">
            <w:pPr>
              <w:spacing w:line="276" w:lineRule="auto"/>
              <w:rPr>
                <w:rFonts w:eastAsia="Arial"/>
              </w:rPr>
            </w:pPr>
            <w:r w:rsidRPr="0073329D">
              <w:rPr>
                <w:rFonts w:eastAsia="Arial"/>
              </w:rPr>
              <w:t xml:space="preserve">(angl. </w:t>
            </w:r>
            <w:r w:rsidRPr="0073329D">
              <w:rPr>
                <w:rFonts w:eastAsia="Arial"/>
                <w:i/>
              </w:rPr>
              <w:t>Canadian health Technology Assessment agency, CADTH</w:t>
            </w:r>
            <w:r w:rsidRPr="0073329D">
              <w:rPr>
                <w:rFonts w:eastAsia="Arial"/>
              </w:rPr>
              <w:t>)</w:t>
            </w:r>
          </w:p>
        </w:tc>
        <w:tc>
          <w:tcPr>
            <w:tcW w:w="1915" w:type="dxa"/>
          </w:tcPr>
          <w:p w14:paraId="266BE84F" w14:textId="77777777" w:rsidR="00DC5359" w:rsidRPr="0073329D" w:rsidRDefault="00000000" w:rsidP="00FE6F95">
            <w:sdt>
              <w:sdtPr>
                <w:rPr>
                  <w:rStyle w:val="Style2"/>
                </w:rPr>
                <w:id w:val="-372539057"/>
                <w15:color w:val="FFCC00"/>
                <w14:checkbox>
                  <w14:checked w14:val="0"/>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Taip</w:t>
            </w:r>
          </w:p>
          <w:p w14:paraId="14BBF1DF" w14:textId="77777777" w:rsidR="00DC5359" w:rsidRPr="0073329D" w:rsidRDefault="00000000" w:rsidP="00FE6F95">
            <w:sdt>
              <w:sdtPr>
                <w:rPr>
                  <w:rStyle w:val="Style2"/>
                </w:rPr>
                <w:id w:val="594442222"/>
                <w15:color w:val="FFCC00"/>
                <w14:checkbox>
                  <w14:checked w14:val="1"/>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Ne</w:t>
            </w:r>
          </w:p>
          <w:p w14:paraId="093AC351" w14:textId="77777777" w:rsidR="00DC5359" w:rsidRPr="0073329D" w:rsidRDefault="00DC5359" w:rsidP="00FE6F95">
            <w:pPr>
              <w:spacing w:line="276" w:lineRule="auto"/>
              <w:rPr>
                <w:rFonts w:eastAsia="Arial"/>
              </w:rPr>
            </w:pPr>
          </w:p>
        </w:tc>
        <w:tc>
          <w:tcPr>
            <w:tcW w:w="5076" w:type="dxa"/>
            <w:gridSpan w:val="2"/>
            <w:vAlign w:val="center"/>
          </w:tcPr>
          <w:p w14:paraId="2E63C2F5" w14:textId="77777777" w:rsidR="00DC5359" w:rsidRPr="0073329D" w:rsidRDefault="00DC5359" w:rsidP="00FE6F95">
            <w:pPr>
              <w:spacing w:line="276" w:lineRule="auto"/>
              <w:jc w:val="center"/>
              <w:rPr>
                <w:rFonts w:eastAsia="Arial"/>
              </w:rPr>
            </w:pPr>
            <w:r>
              <w:rPr>
                <w:rFonts w:eastAsia="Arial"/>
              </w:rPr>
              <w:t>–</w:t>
            </w:r>
          </w:p>
        </w:tc>
      </w:tr>
      <w:tr w:rsidR="00DC5359" w:rsidRPr="0073329D" w14:paraId="61BD47E4" w14:textId="77777777" w:rsidTr="00FE6F95">
        <w:trPr>
          <w:trHeight w:val="1927"/>
        </w:trPr>
        <w:tc>
          <w:tcPr>
            <w:tcW w:w="2927" w:type="dxa"/>
          </w:tcPr>
          <w:p w14:paraId="271EDD86" w14:textId="77777777" w:rsidR="00DC5359" w:rsidRPr="0073329D" w:rsidRDefault="00DC5359" w:rsidP="00FE6F95">
            <w:pPr>
              <w:spacing w:line="276" w:lineRule="auto"/>
              <w:rPr>
                <w:rFonts w:eastAsia="Arial"/>
              </w:rPr>
            </w:pPr>
            <w:r w:rsidRPr="0073329D">
              <w:rPr>
                <w:rFonts w:eastAsia="Arial"/>
              </w:rPr>
              <w:t>Nacionalinis farmakoekonomikos centras, Airija</w:t>
            </w:r>
          </w:p>
          <w:p w14:paraId="66252216" w14:textId="77777777" w:rsidR="00DC5359" w:rsidRPr="0073329D" w:rsidRDefault="00DC5359" w:rsidP="00FE6F95">
            <w:pPr>
              <w:spacing w:line="276" w:lineRule="auto"/>
              <w:rPr>
                <w:rFonts w:eastAsia="Arial"/>
              </w:rPr>
            </w:pPr>
            <w:r w:rsidRPr="0073329D">
              <w:rPr>
                <w:rFonts w:eastAsia="Arial"/>
              </w:rPr>
              <w:t>(angl.</w:t>
            </w:r>
            <w:r w:rsidRPr="0073329D">
              <w:rPr>
                <w:rFonts w:eastAsia="Arial"/>
                <w:i/>
              </w:rPr>
              <w:t xml:space="preserve"> National Centre for Pharmacoeconomics, NCPE</w:t>
            </w:r>
            <w:r w:rsidRPr="0073329D">
              <w:rPr>
                <w:rFonts w:eastAsia="Arial"/>
              </w:rPr>
              <w:t>)</w:t>
            </w:r>
          </w:p>
        </w:tc>
        <w:tc>
          <w:tcPr>
            <w:tcW w:w="1915" w:type="dxa"/>
          </w:tcPr>
          <w:p w14:paraId="39999FFA" w14:textId="77777777" w:rsidR="00DC5359" w:rsidRPr="0073329D" w:rsidRDefault="00000000" w:rsidP="00FE6F95">
            <w:sdt>
              <w:sdtPr>
                <w:rPr>
                  <w:rStyle w:val="Style2"/>
                </w:rPr>
                <w:id w:val="-1888403732"/>
                <w15:color w:val="FFCC00"/>
                <w14:checkbox>
                  <w14:checked w14:val="0"/>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Taip</w:t>
            </w:r>
          </w:p>
          <w:p w14:paraId="559B0892" w14:textId="77777777" w:rsidR="00DC5359" w:rsidRPr="0073329D" w:rsidRDefault="00000000" w:rsidP="00FE6F95">
            <w:sdt>
              <w:sdtPr>
                <w:rPr>
                  <w:rStyle w:val="Style2"/>
                </w:rPr>
                <w:id w:val="1092201793"/>
                <w15:color w:val="FFCC00"/>
                <w14:checkbox>
                  <w14:checked w14:val="1"/>
                  <w14:checkedState w14:val="2612" w14:font="MS Gothic"/>
                  <w14:uncheckedState w14:val="2610" w14:font="MS Gothic"/>
                </w14:checkbox>
              </w:sdtPr>
              <w:sdtContent>
                <w:r w:rsidR="00DC5359">
                  <w:rPr>
                    <w:rStyle w:val="Style2"/>
                    <w:rFonts w:ascii="MS Gothic" w:eastAsia="MS Gothic" w:hAnsi="MS Gothic" w:hint="eastAsia"/>
                  </w:rPr>
                  <w:t>☒</w:t>
                </w:r>
              </w:sdtContent>
            </w:sdt>
            <w:r w:rsidR="00DC5359" w:rsidRPr="0073329D">
              <w:t xml:space="preserve"> Ne</w:t>
            </w:r>
          </w:p>
          <w:p w14:paraId="37A49F35" w14:textId="77777777" w:rsidR="00DC5359" w:rsidRPr="0073329D" w:rsidRDefault="00DC5359" w:rsidP="00FE6F95">
            <w:pPr>
              <w:spacing w:line="276" w:lineRule="auto"/>
              <w:rPr>
                <w:rFonts w:eastAsia="Arial"/>
              </w:rPr>
            </w:pPr>
          </w:p>
        </w:tc>
        <w:tc>
          <w:tcPr>
            <w:tcW w:w="5076" w:type="dxa"/>
            <w:gridSpan w:val="2"/>
            <w:vAlign w:val="center"/>
          </w:tcPr>
          <w:p w14:paraId="417C89BF" w14:textId="77777777" w:rsidR="00DC5359" w:rsidRPr="0073329D" w:rsidRDefault="00DC5359" w:rsidP="00FE6F95">
            <w:pPr>
              <w:spacing w:line="276" w:lineRule="auto"/>
              <w:jc w:val="center"/>
              <w:rPr>
                <w:rFonts w:eastAsia="Arial"/>
              </w:rPr>
            </w:pPr>
            <w:r>
              <w:rPr>
                <w:rFonts w:eastAsia="Arial"/>
              </w:rPr>
              <w:t>–</w:t>
            </w:r>
          </w:p>
        </w:tc>
      </w:tr>
    </w:tbl>
    <w:p w14:paraId="2EB7FD31" w14:textId="4D2A8479" w:rsidR="007A2B68" w:rsidRPr="000203E1" w:rsidRDefault="007A2B68" w:rsidP="00E03C3F">
      <w:pPr>
        <w:pStyle w:val="Sraopastraipa"/>
        <w:tabs>
          <w:tab w:val="left" w:pos="426"/>
        </w:tabs>
        <w:ind w:left="0"/>
        <w:rPr>
          <w:b/>
          <w:bCs/>
          <w:caps/>
        </w:rPr>
      </w:pPr>
    </w:p>
    <w:p w14:paraId="73290081" w14:textId="77777777" w:rsidR="007A2B68" w:rsidRPr="000203E1" w:rsidRDefault="007A2B68">
      <w:pPr>
        <w:rPr>
          <w:b/>
          <w:bCs/>
          <w:caps/>
        </w:rPr>
      </w:pPr>
      <w:r w:rsidRPr="000203E1">
        <w:rPr>
          <w:b/>
          <w:bCs/>
          <w:caps/>
        </w:rPr>
        <w:br w:type="page"/>
      </w:r>
    </w:p>
    <w:p w14:paraId="5055E8A8" w14:textId="471A9757" w:rsidR="002E6F80" w:rsidRPr="000203E1" w:rsidRDefault="00CC7832" w:rsidP="00CC09D4">
      <w:pPr>
        <w:pStyle w:val="Sraopastraipa"/>
        <w:numPr>
          <w:ilvl w:val="0"/>
          <w:numId w:val="12"/>
        </w:numPr>
        <w:tabs>
          <w:tab w:val="left" w:pos="567"/>
        </w:tabs>
        <w:ind w:hanging="720"/>
        <w:rPr>
          <w:b/>
          <w:bCs/>
          <w:caps/>
        </w:rPr>
      </w:pPr>
      <w:r w:rsidRPr="000203E1">
        <w:rPr>
          <w:b/>
          <w:bCs/>
          <w:caps/>
        </w:rPr>
        <w:lastRenderedPageBreak/>
        <w:t>Klinikinio vertinimo a</w:t>
      </w:r>
      <w:r w:rsidR="00D4485B" w:rsidRPr="000203E1">
        <w:rPr>
          <w:b/>
          <w:bCs/>
          <w:caps/>
        </w:rPr>
        <w:t>pibendrinimas</w:t>
      </w:r>
    </w:p>
    <w:p w14:paraId="25F89291" w14:textId="5C45C8FC" w:rsidR="00D4485B" w:rsidRDefault="00D4485B" w:rsidP="00A93AA6">
      <w:pPr>
        <w:pStyle w:val="Sraopastraipa"/>
        <w:tabs>
          <w:tab w:val="left" w:pos="426"/>
        </w:tabs>
        <w:ind w:left="0"/>
        <w:rPr>
          <w:b/>
          <w:bCs/>
          <w:caps/>
        </w:rPr>
      </w:pPr>
    </w:p>
    <w:p w14:paraId="0D40E530" w14:textId="77777777" w:rsidR="00905EC5" w:rsidRDefault="00905EC5" w:rsidP="00905EC5">
      <w:pPr>
        <w:tabs>
          <w:tab w:val="left" w:pos="426"/>
        </w:tabs>
        <w:spacing w:line="276" w:lineRule="auto"/>
        <w:jc w:val="both"/>
        <w:rPr>
          <w:rFonts w:eastAsia="Arial"/>
          <w:iCs/>
        </w:rPr>
      </w:pPr>
      <w:r>
        <w:rPr>
          <w:rFonts w:eastAsia="Arial"/>
          <w:iCs/>
        </w:rPr>
        <w:tab/>
      </w:r>
      <w:r>
        <w:rPr>
          <w:rFonts w:eastAsia="Arial"/>
          <w:iCs/>
        </w:rPr>
        <w:tab/>
        <w:t>Stemplės vėžys – septintas dažniausiai nustatomas onkologinis susirgimas ir šešta dažniausia mirties nuo onkologinės ligos priežastis pasaulyje. Išskiriami du pagrindiniai stemplės vėžio tipai – plokščiųjų ląstelių karcinoma ir adenokarcinoma. Šiaurės Amerikoje ir Europoje vyrauja stemplės adenokarcinomos atvejai, kurie susiję su gastroezofaginio refliukso liga ir nutukimu. Vyrai serga tris kartus dažniausiai ne moterys. Sergant stemplės vėžiu, prognozė bloga: 5 metų išgyvenamumas nesiekia 20%, nes liga ankstyvojoje jos fazėje dažniausiai yra asimptomė ir nustatoma jau vėlyvoje fazėje.</w:t>
      </w:r>
    </w:p>
    <w:p w14:paraId="0DA51671" w14:textId="77777777" w:rsidR="00905EC5" w:rsidRDefault="00905EC5" w:rsidP="00905EC5">
      <w:pPr>
        <w:tabs>
          <w:tab w:val="left" w:pos="426"/>
        </w:tabs>
        <w:spacing w:line="276" w:lineRule="auto"/>
        <w:jc w:val="both"/>
        <w:rPr>
          <w:rFonts w:eastAsia="Arial"/>
          <w:iCs/>
          <w:szCs w:val="20"/>
        </w:rPr>
      </w:pPr>
      <w:r>
        <w:tab/>
      </w:r>
      <w:r>
        <w:tab/>
        <w:t xml:space="preserve">2022 m. ESMO (angl. </w:t>
      </w:r>
      <w:r>
        <w:rPr>
          <w:i/>
          <w:iCs/>
        </w:rPr>
        <w:t xml:space="preserve">European Society of Medical </w:t>
      </w:r>
      <w:r>
        <w:t xml:space="preserve">Oncology) stemplės vėžio diagnostikos ir gydymo gairėse nurodoma, jog pirmos eilės vietiškai išplitusios nerezekuotinos ar metastazavusios stemplės plokščiųjų ląstelių karcinomos gydymui rekomenduojamas </w:t>
      </w:r>
      <w:r>
        <w:rPr>
          <w:spacing w:val="-4"/>
        </w:rPr>
        <w:t xml:space="preserve">platinos ir fluoropirimidino derinys (IIA rekomendacija). </w:t>
      </w:r>
      <w:r>
        <w:t xml:space="preserve">Esant vietiškai išplitusiai nerezekuotinai ar metastazavusiai stemplės plokščiųjų ląstelių karcinomai, kuri ekspresuoja PD-L1 (angl. </w:t>
      </w:r>
      <w:r>
        <w:rPr>
          <w:i/>
          <w:iCs/>
        </w:rPr>
        <w:t>Programmed death-ligand 1</w:t>
      </w:r>
      <w:r>
        <w:t>) ir PD-L1 raiška yra ≥ 1%, pirmos eilės gydymui rekomenduojamas nivolumabo, platinos ir fluoropirimidino (IA rekomendacija) arba nivolumabo ir ipilimumabo (IB rekomendacija) deriniai.</w:t>
      </w:r>
    </w:p>
    <w:p w14:paraId="115AA2C7" w14:textId="77777777" w:rsidR="00905EC5" w:rsidRDefault="00905EC5" w:rsidP="00905EC5">
      <w:pPr>
        <w:tabs>
          <w:tab w:val="left" w:pos="426"/>
        </w:tabs>
        <w:spacing w:line="276" w:lineRule="auto"/>
        <w:jc w:val="both"/>
      </w:pPr>
      <w:r>
        <w:rPr>
          <w:rFonts w:eastAsia="Arial"/>
          <w:iCs/>
        </w:rPr>
        <w:tab/>
      </w:r>
      <w:r>
        <w:rPr>
          <w:rFonts w:eastAsia="Arial"/>
          <w:iCs/>
        </w:rPr>
        <w:tab/>
      </w:r>
      <w:r>
        <w:t xml:space="preserve">Lietuvoje </w:t>
      </w:r>
      <w:r>
        <w:rPr>
          <w:bCs/>
          <w:iCs/>
          <w:lang w:eastAsia="lt-LT"/>
        </w:rPr>
        <w:t>stemplės vėžiui kompensuojamas 5-FU ir</w:t>
      </w:r>
      <w:r>
        <w:rPr>
          <w:b/>
          <w:iCs/>
          <w:lang w:eastAsia="lt-LT"/>
        </w:rPr>
        <w:t xml:space="preserve"> </w:t>
      </w:r>
      <w:r>
        <w:rPr>
          <w:bCs/>
          <w:iCs/>
          <w:lang w:eastAsia="lt-LT"/>
        </w:rPr>
        <w:t>cisplatina.</w:t>
      </w:r>
      <w:r>
        <w:rPr>
          <w:rFonts w:eastAsia="Arial"/>
          <w:iCs/>
        </w:rPr>
        <w:t xml:space="preserve"> </w:t>
      </w:r>
      <w:r>
        <w:t>Pareiškėjas siūlo, jog tislelizumabas šiuo metu Lietuvoje kompensuojamoje ir įrodymus atitinkančioje gydymo schemoje turėtų papildyti pirmos eilės gydymą platinos vaistiniais preparatais ir fluoropirimidinu. Atkreiptinas dėmesys, jog 2024 m. gruodžio mėn. buvo priimtas sprendimas geros funkcinės būklės (ECOG 0 ar 1) pacientams, kurių lokaliai išplitusios ar metastazavusios stemplės karcinomos ląstelės ekspresuoja PD-L1 ir CPS rodmuo yra ≥10, kompensuoti pembrolizumabą derinyje su platinos ir fluoropirimidino grupės vaistiniais preparatais, tačiau tai nelaikytina aktualiu palyginamuoju gydymu, nes pareiškėjas pateikė tislelizumabo paraišką nepraėjus 6 mėnesiams nuo sprendimo pembrolizumabą įrašyti į kompensavimo ar Rezervinį vaistų sąrašą.</w:t>
      </w:r>
    </w:p>
    <w:p w14:paraId="5D2368D5" w14:textId="77777777" w:rsidR="00905EC5" w:rsidRDefault="00905EC5" w:rsidP="00905EC5">
      <w:pPr>
        <w:tabs>
          <w:tab w:val="left" w:pos="426"/>
        </w:tabs>
        <w:spacing w:line="276" w:lineRule="auto"/>
        <w:jc w:val="both"/>
        <w:rPr>
          <w:rFonts w:eastAsia="Arial"/>
          <w:iCs/>
          <w:highlight w:val="yellow"/>
        </w:rPr>
      </w:pPr>
    </w:p>
    <w:p w14:paraId="3279AA97" w14:textId="77777777" w:rsidR="00905EC5" w:rsidRDefault="00905EC5" w:rsidP="00905EC5">
      <w:pPr>
        <w:widowControl w:val="0"/>
        <w:jc w:val="both"/>
        <w:rPr>
          <w:bCs/>
          <w:i/>
          <w:iCs/>
          <w:color w:val="000000"/>
          <w:lang w:eastAsia="lt-LT"/>
        </w:rPr>
      </w:pPr>
      <w:r>
        <w:rPr>
          <w:bCs/>
          <w:i/>
          <w:iCs/>
          <w:color w:val="000000"/>
          <w:lang w:eastAsia="lt-LT"/>
        </w:rPr>
        <w:t>Tiesioginis palyginimas</w:t>
      </w:r>
    </w:p>
    <w:p w14:paraId="00923C53" w14:textId="77777777" w:rsidR="00905EC5" w:rsidRDefault="00905EC5" w:rsidP="00905EC5">
      <w:pPr>
        <w:widowControl w:val="0"/>
        <w:jc w:val="both"/>
        <w:rPr>
          <w:bCs/>
          <w:i/>
          <w:iCs/>
          <w:color w:val="000000"/>
          <w:highlight w:val="yellow"/>
          <w:lang w:eastAsia="lt-LT"/>
        </w:rPr>
      </w:pPr>
    </w:p>
    <w:p w14:paraId="0520EAFD" w14:textId="190AC68C" w:rsidR="00905EC5" w:rsidRDefault="00905EC5" w:rsidP="00905EC5">
      <w:pPr>
        <w:widowControl w:val="0"/>
        <w:spacing w:line="276" w:lineRule="auto"/>
        <w:ind w:firstLine="720"/>
        <w:jc w:val="both"/>
        <w:rPr>
          <w:rFonts w:eastAsia="Arial"/>
          <w:bCs/>
        </w:rPr>
      </w:pPr>
      <w:r>
        <w:rPr>
          <w:bCs/>
          <w:color w:val="000000"/>
          <w:lang w:eastAsia="lt-LT"/>
        </w:rPr>
        <w:t xml:space="preserve">Palyginamasis veiksmingumas grindžiamas klinikinio tyrimo RATIONALE-306 duomenimis. Jame įrodyta, jog 18 metų ir vyresniems geros funkcinės būklės (ECOG 0 arba 1) pacientams, kuriems </w:t>
      </w:r>
      <w:r>
        <w:rPr>
          <w:rFonts w:eastAsia="Arial"/>
          <w:bCs/>
        </w:rPr>
        <w:t xml:space="preserve">nustatyta anksčiau negydyta </w:t>
      </w:r>
      <w:r>
        <w:rPr>
          <w:bCs/>
        </w:rPr>
        <w:t xml:space="preserve">vietiškai išplitusi nerezekuotina ar metastazavusi stemplės </w:t>
      </w:r>
      <w:r>
        <w:t>plokščiųjų ląstelių</w:t>
      </w:r>
      <w:r>
        <w:rPr>
          <w:bCs/>
        </w:rPr>
        <w:t xml:space="preserve"> karcinoma, chemoterapijos papildymas tislelizumabu (T+Chemo grupė)</w:t>
      </w:r>
      <w:r>
        <w:rPr>
          <w:rFonts w:eastAsia="Arial"/>
          <w:bCs/>
        </w:rPr>
        <w:t xml:space="preserve"> ITT populiacijoje </w:t>
      </w:r>
      <w:r w:rsidR="009C7861">
        <w:rPr>
          <w:rFonts w:eastAsia="Arial"/>
          <w:bCs/>
        </w:rPr>
        <w:t>***</w:t>
      </w:r>
      <w:r>
        <w:rPr>
          <w:rFonts w:eastAsia="Arial"/>
          <w:bCs/>
        </w:rPr>
        <w:t xml:space="preserve"> </w:t>
      </w:r>
      <w:r>
        <w:rPr>
          <w:rFonts w:eastAsia="Arial"/>
        </w:rPr>
        <w:t>mirties nuo bet kokios priežasties (pirminė vertinamoji baigtis) riziką, lyginant su kontroline grupe</w:t>
      </w:r>
      <w:r>
        <w:rPr>
          <w:rFonts w:eastAsia="Arial"/>
          <w:bCs/>
        </w:rPr>
        <w:t xml:space="preserve"> (gydymas platinos ir fluoropirimidinų/paklitakselio deriniu; Chemo grupė). Panašios tendencijos išliko ir iš anksto numatytų pogrupių analizėje. </w:t>
      </w:r>
      <w:r w:rsidR="009C7861">
        <w:rPr>
          <w:rFonts w:eastAsia="Arial"/>
          <w:bCs/>
          <w:i/>
          <w:iCs/>
        </w:rPr>
        <w:t>***</w:t>
      </w:r>
    </w:p>
    <w:p w14:paraId="5AE38D2E" w14:textId="5256BCED" w:rsidR="00905EC5" w:rsidRDefault="00905EC5" w:rsidP="00905EC5">
      <w:pPr>
        <w:widowControl w:val="0"/>
        <w:spacing w:line="276" w:lineRule="auto"/>
        <w:ind w:firstLine="720"/>
        <w:jc w:val="both"/>
        <w:rPr>
          <w:rFonts w:eastAsia="Arial"/>
          <w:bCs/>
          <w:highlight w:val="yellow"/>
        </w:rPr>
      </w:pPr>
      <w:r>
        <w:rPr>
          <w:rFonts w:eastAsia="Arial"/>
          <w:bCs/>
        </w:rPr>
        <w:t xml:space="preserve">Vertinant pacientų </w:t>
      </w:r>
      <w:r>
        <w:rPr>
          <w:rFonts w:eastAsia="Arial"/>
        </w:rPr>
        <w:t xml:space="preserve">išgyvenamumą be ligos progresavimo </w:t>
      </w:r>
      <w:r>
        <w:rPr>
          <w:rFonts w:eastAsia="Arial"/>
          <w:bCs/>
        </w:rPr>
        <w:t xml:space="preserve">(IBLP) ITT populiacijoje, ligos progresavimo ar mirties nuo bet kokios priežasties rizika T+Chemo grupėje metu buvo </w:t>
      </w:r>
      <w:r w:rsidR="009C7861">
        <w:rPr>
          <w:rFonts w:eastAsia="Arial"/>
          <w:bCs/>
        </w:rPr>
        <w:t>***</w:t>
      </w:r>
      <w:r>
        <w:rPr>
          <w:rFonts w:eastAsia="Arial"/>
          <w:bCs/>
        </w:rPr>
        <w:t xml:space="preserve"> lyginant su Chemo grupe. </w:t>
      </w:r>
      <w:r>
        <w:rPr>
          <w:rFonts w:eastAsia="Arial"/>
          <w:bCs/>
          <w:i/>
          <w:iCs/>
        </w:rPr>
        <w:t xml:space="preserve">Ad hoc </w:t>
      </w:r>
      <w:r>
        <w:rPr>
          <w:rFonts w:eastAsia="Arial"/>
          <w:bCs/>
        </w:rPr>
        <w:t>analizėje pacientų, kurių navikai ekspresuoja PD-L1 (TAP ≥ 5%), populiacijoje ši rizika T+Chemo grupėje buvo</w:t>
      </w:r>
      <w:r w:rsidR="009C7861">
        <w:rPr>
          <w:rFonts w:eastAsia="Arial"/>
          <w:bCs/>
        </w:rPr>
        <w:t xml:space="preserve"> ***,</w:t>
      </w:r>
      <w:r>
        <w:rPr>
          <w:rFonts w:eastAsia="Arial"/>
          <w:bCs/>
        </w:rPr>
        <w:t xml:space="preserve"> lyginant su Chemo grupe.</w:t>
      </w:r>
    </w:p>
    <w:p w14:paraId="66ABF58F" w14:textId="10B37EB1" w:rsidR="00905EC5" w:rsidRDefault="00905EC5" w:rsidP="00905EC5">
      <w:pPr>
        <w:tabs>
          <w:tab w:val="left" w:pos="492"/>
        </w:tabs>
        <w:spacing w:line="276" w:lineRule="auto"/>
        <w:jc w:val="both"/>
        <w:outlineLvl w:val="1"/>
        <w:rPr>
          <w:rFonts w:eastAsia="Arial"/>
          <w:bCs/>
        </w:rPr>
      </w:pPr>
      <w:r>
        <w:rPr>
          <w:rFonts w:eastAsia="Arial"/>
          <w:bCs/>
        </w:rPr>
        <w:tab/>
      </w:r>
      <w:r>
        <w:rPr>
          <w:rFonts w:eastAsia="Arial"/>
          <w:bCs/>
        </w:rPr>
        <w:tab/>
        <w:t xml:space="preserve">Vertinant naviko atsaką į gydymą, objektyvus atsakas į gydymą T+Chemo gautas </w:t>
      </w:r>
      <w:r w:rsidR="009C7861">
        <w:rPr>
          <w:rFonts w:eastAsia="Arial"/>
          <w:bCs/>
        </w:rPr>
        <w:t>****</w:t>
      </w:r>
      <w:r>
        <w:rPr>
          <w:rFonts w:eastAsia="Arial"/>
          <w:bCs/>
        </w:rPr>
        <w:t xml:space="preserve"> pacientų. </w:t>
      </w:r>
      <w:r>
        <w:rPr>
          <w:rFonts w:eastAsia="Arial"/>
          <w:bCs/>
          <w:i/>
          <w:iCs/>
        </w:rPr>
        <w:t xml:space="preserve">Ad hoc </w:t>
      </w:r>
      <w:r>
        <w:rPr>
          <w:rFonts w:eastAsia="Arial"/>
          <w:bCs/>
        </w:rPr>
        <w:t xml:space="preserve">analizėje pacientų, kurių navikai ekspresuoja PD-L1 (TAP ≥ 5%), populiacijoje tikimybė pasiekti objektyvų atsaką į gydymą T+Chemo grupėje buvo </w:t>
      </w:r>
      <w:r w:rsidR="009C7861">
        <w:rPr>
          <w:rFonts w:eastAsia="Arial"/>
          <w:bCs/>
        </w:rPr>
        <w:t>***</w:t>
      </w:r>
      <w:r>
        <w:rPr>
          <w:rFonts w:eastAsia="Arial"/>
          <w:bCs/>
        </w:rPr>
        <w:t>, lyginant su Chemo grupe.</w:t>
      </w:r>
    </w:p>
    <w:p w14:paraId="6DF8535A" w14:textId="0670C208" w:rsidR="00905EC5" w:rsidRDefault="00905EC5" w:rsidP="00905EC5">
      <w:pPr>
        <w:tabs>
          <w:tab w:val="left" w:pos="492"/>
        </w:tabs>
        <w:spacing w:line="276" w:lineRule="auto"/>
        <w:jc w:val="both"/>
        <w:outlineLvl w:val="1"/>
        <w:rPr>
          <w:rFonts w:eastAsia="Arial"/>
          <w:bCs/>
        </w:rPr>
      </w:pPr>
      <w:r>
        <w:rPr>
          <w:rFonts w:eastAsia="Arial"/>
          <w:bCs/>
        </w:rPr>
        <w:tab/>
      </w:r>
      <w:r>
        <w:rPr>
          <w:rFonts w:eastAsia="Arial"/>
          <w:bCs/>
        </w:rPr>
        <w:tab/>
      </w:r>
      <w:r>
        <w:rPr>
          <w:rFonts w:eastAsia="Arial"/>
          <w:iCs/>
        </w:rPr>
        <w:t xml:space="preserve">Pacientų praneštos baigtys buvo įvertintos pacientams užpildant </w:t>
      </w:r>
      <w:r>
        <w:rPr>
          <w:rFonts w:eastAsia="Arial"/>
        </w:rPr>
        <w:t>EORTC QLQ-C30, EQ-</w:t>
      </w:r>
      <w:r>
        <w:rPr>
          <w:rFonts w:eastAsia="Arial"/>
          <w:bCs/>
        </w:rPr>
        <w:t xml:space="preserve">5D-5L, EORTC QLQ-OES18 </w:t>
      </w:r>
      <w:r>
        <w:rPr>
          <w:rFonts w:eastAsia="Arial"/>
          <w:iCs/>
        </w:rPr>
        <w:t xml:space="preserve">klausimynus. </w:t>
      </w:r>
      <w:r w:rsidR="009C7861">
        <w:rPr>
          <w:rFonts w:eastAsia="Arial"/>
          <w:iCs/>
        </w:rPr>
        <w:t>***</w:t>
      </w:r>
    </w:p>
    <w:p w14:paraId="6AA28CD1" w14:textId="77777777" w:rsidR="00905EC5" w:rsidRDefault="00905EC5" w:rsidP="00905EC5">
      <w:pPr>
        <w:tabs>
          <w:tab w:val="left" w:pos="426"/>
        </w:tabs>
        <w:spacing w:line="276" w:lineRule="auto"/>
        <w:jc w:val="both"/>
        <w:rPr>
          <w:szCs w:val="20"/>
        </w:rPr>
      </w:pPr>
      <w:r>
        <w:tab/>
      </w:r>
      <w:r>
        <w:tab/>
        <w:t xml:space="preserve">Atsižvelgiant į tai, jog dėl pembrolizumabo paraiškos vertinimo metu jau buvo priimtas sprendimas kompensuoti jį derinyje su platinos ir fluoropirimidino grupės vaistiniais preparatais, o </w:t>
      </w:r>
      <w:r>
        <w:lastRenderedPageBreak/>
        <w:t>pareiškėjas savo iniciatyva pateikė netiesioginio palyginimo analizę su pembrolizumabu, nuspręsta priimti pembrolizumabą kaip aktualų palyginamąjį gydymą šioje pacientų populiacijoje.</w:t>
      </w:r>
    </w:p>
    <w:p w14:paraId="79012821" w14:textId="77777777" w:rsidR="00905EC5" w:rsidRDefault="00905EC5" w:rsidP="00905EC5">
      <w:pPr>
        <w:tabs>
          <w:tab w:val="left" w:pos="426"/>
        </w:tabs>
        <w:spacing w:line="276" w:lineRule="auto"/>
        <w:jc w:val="both"/>
      </w:pPr>
    </w:p>
    <w:p w14:paraId="3C6D8402" w14:textId="77777777" w:rsidR="00905EC5" w:rsidRDefault="00905EC5" w:rsidP="00905EC5">
      <w:pPr>
        <w:widowControl w:val="0"/>
        <w:spacing w:line="276" w:lineRule="auto"/>
        <w:jc w:val="both"/>
        <w:rPr>
          <w:bCs/>
          <w:i/>
          <w:iCs/>
          <w:color w:val="000000"/>
          <w:lang w:eastAsia="lt-LT"/>
        </w:rPr>
      </w:pPr>
      <w:r>
        <w:rPr>
          <w:bCs/>
          <w:i/>
          <w:iCs/>
          <w:color w:val="000000"/>
          <w:lang w:eastAsia="lt-LT"/>
        </w:rPr>
        <w:t>Netiesioginis palyginimas</w:t>
      </w:r>
    </w:p>
    <w:p w14:paraId="506E0AAE" w14:textId="77777777" w:rsidR="00905EC5" w:rsidRDefault="00905EC5" w:rsidP="00905EC5">
      <w:pPr>
        <w:widowControl w:val="0"/>
        <w:spacing w:line="276" w:lineRule="auto"/>
        <w:jc w:val="both"/>
        <w:rPr>
          <w:bCs/>
          <w:i/>
          <w:iCs/>
          <w:color w:val="000000"/>
          <w:lang w:eastAsia="lt-LT"/>
        </w:rPr>
      </w:pPr>
    </w:p>
    <w:p w14:paraId="289C99C4" w14:textId="77777777" w:rsidR="00905EC5" w:rsidRDefault="00905EC5" w:rsidP="00905EC5">
      <w:pPr>
        <w:widowControl w:val="0"/>
        <w:spacing w:line="276" w:lineRule="auto"/>
        <w:ind w:firstLine="720"/>
        <w:jc w:val="both"/>
        <w:rPr>
          <w:rFonts w:eastAsia="Arial"/>
        </w:rPr>
      </w:pPr>
      <w:r>
        <w:rPr>
          <w:bCs/>
          <w:color w:val="000000"/>
          <w:lang w:eastAsia="lt-LT"/>
        </w:rPr>
        <w:t xml:space="preserve">Klinikinis vertinimas buvo atliktas pagal paraiškoje pateiktą netiesioginio palyginimo analizę, į kurią įtraukti III fazės klinikiniai tyrimai, kuriuose buvo tiriamos skirtingos imunoterapijos gydant </w:t>
      </w:r>
      <w:r>
        <w:rPr>
          <w:bCs/>
        </w:rPr>
        <w:t xml:space="preserve">vietiškai išplitusią nerezekuotiną ar metastazavusią stemplės plokščiųjų ląstelių karcinomą. </w:t>
      </w:r>
      <w:r>
        <w:rPr>
          <w:rFonts w:eastAsia="Arial"/>
        </w:rPr>
        <w:t xml:space="preserve">Pareiškėjas pateikė išskirtos tislelizumabo (RATIONALE-302) ir pembrolizumabo (KEYNOTE-590) </w:t>
      </w:r>
      <w:r>
        <w:rPr>
          <w:rFonts w:eastAsia="Arial"/>
          <w:bCs/>
        </w:rPr>
        <w:t>tinklinės meta-analizės</w:t>
      </w:r>
      <w:r>
        <w:rPr>
          <w:lang w:eastAsia="lt-LT"/>
        </w:rPr>
        <w:t xml:space="preserve"> </w:t>
      </w:r>
      <w:r>
        <w:rPr>
          <w:rFonts w:eastAsia="Arial"/>
          <w:bCs/>
        </w:rPr>
        <w:t xml:space="preserve">(angl. </w:t>
      </w:r>
      <w:r>
        <w:rPr>
          <w:rFonts w:eastAsia="Arial"/>
          <w:bCs/>
          <w:i/>
          <w:iCs/>
        </w:rPr>
        <w:t>network meta-analysis</w:t>
      </w:r>
      <w:r>
        <w:rPr>
          <w:rFonts w:eastAsia="Arial"/>
          <w:bCs/>
        </w:rPr>
        <w:t>) rezultatus</w:t>
      </w:r>
      <w:r>
        <w:rPr>
          <w:rFonts w:eastAsia="Arial"/>
        </w:rPr>
        <w:t>.</w:t>
      </w:r>
    </w:p>
    <w:p w14:paraId="1AC3C4E7" w14:textId="5EC139B2" w:rsidR="00905EC5" w:rsidRDefault="009C7861" w:rsidP="00905EC5">
      <w:pPr>
        <w:widowControl w:val="0"/>
        <w:spacing w:line="276" w:lineRule="auto"/>
        <w:ind w:firstLine="720"/>
        <w:jc w:val="both"/>
        <w:rPr>
          <w:rFonts w:eastAsia="Arial"/>
          <w:bCs/>
        </w:rPr>
      </w:pPr>
      <w:r>
        <w:rPr>
          <w:rFonts w:eastAsia="Arial"/>
          <w:bCs/>
        </w:rPr>
        <w:t>***</w:t>
      </w:r>
    </w:p>
    <w:p w14:paraId="63659D72" w14:textId="77777777" w:rsidR="00905EC5" w:rsidRDefault="00905EC5" w:rsidP="00905EC5">
      <w:pPr>
        <w:widowControl w:val="0"/>
        <w:spacing w:line="276" w:lineRule="auto"/>
        <w:ind w:firstLine="720"/>
        <w:jc w:val="both"/>
        <w:rPr>
          <w:rFonts w:eastAsia="Arial"/>
          <w:bCs/>
        </w:rPr>
      </w:pPr>
    </w:p>
    <w:p w14:paraId="4C55FBD9" w14:textId="6CC9D225" w:rsidR="00905EC5" w:rsidRDefault="00905EC5" w:rsidP="00905EC5">
      <w:pPr>
        <w:widowControl w:val="0"/>
        <w:spacing w:line="276" w:lineRule="auto"/>
        <w:ind w:firstLine="720"/>
        <w:jc w:val="both"/>
        <w:rPr>
          <w:rFonts w:eastAsia="Arial"/>
          <w:szCs w:val="20"/>
        </w:rPr>
      </w:pPr>
      <w:r>
        <w:rPr>
          <w:rFonts w:eastAsia="Arial"/>
          <w:bCs/>
        </w:rPr>
        <w:t xml:space="preserve">Apibendrinant tiesioginio ir netiesioginio palyginimo analizėje pateiktus duomenis, </w:t>
      </w:r>
      <w:r w:rsidR="007D01AD">
        <w:rPr>
          <w:rFonts w:eastAsia="Arial"/>
        </w:rPr>
        <w:t>***.</w:t>
      </w:r>
    </w:p>
    <w:p w14:paraId="06AC265A" w14:textId="77777777" w:rsidR="00DC5359" w:rsidRDefault="00DC5359">
      <w:pPr>
        <w:rPr>
          <w:rFonts w:eastAsia="Arial"/>
          <w:bCs/>
        </w:rPr>
      </w:pPr>
      <w:r>
        <w:rPr>
          <w:rFonts w:eastAsia="Arial"/>
          <w:bCs/>
        </w:rPr>
        <w:br w:type="page"/>
      </w:r>
    </w:p>
    <w:p w14:paraId="0A7CA11B" w14:textId="052FCCFD" w:rsidR="00AB6C7B" w:rsidRPr="00BF62C4" w:rsidRDefault="00CC7832" w:rsidP="00ED76EB">
      <w:pPr>
        <w:pStyle w:val="Sraopastraipa"/>
        <w:numPr>
          <w:ilvl w:val="0"/>
          <w:numId w:val="12"/>
        </w:numPr>
        <w:tabs>
          <w:tab w:val="left" w:pos="567"/>
        </w:tabs>
        <w:spacing w:line="276" w:lineRule="auto"/>
        <w:ind w:hanging="720"/>
        <w:rPr>
          <w:b/>
          <w:bCs/>
          <w:caps/>
        </w:rPr>
      </w:pPr>
      <w:r w:rsidRPr="00BF62C4">
        <w:rPr>
          <w:b/>
          <w:bCs/>
          <w:caps/>
        </w:rPr>
        <w:lastRenderedPageBreak/>
        <w:t xml:space="preserve">ekonominio vertinimo </w:t>
      </w:r>
      <w:r w:rsidR="002F0E4F" w:rsidRPr="00BF62C4">
        <w:rPr>
          <w:b/>
          <w:bCs/>
          <w:caps/>
        </w:rPr>
        <w:t>apibendrinima</w:t>
      </w:r>
      <w:r w:rsidR="00DC5359" w:rsidRPr="00BF62C4">
        <w:rPr>
          <w:b/>
          <w:bCs/>
          <w:caps/>
        </w:rPr>
        <w:t>S</w:t>
      </w:r>
    </w:p>
    <w:p w14:paraId="2EF3F216" w14:textId="27B71D42" w:rsidR="002A236C" w:rsidRDefault="002A236C" w:rsidP="002A236C">
      <w:pPr>
        <w:tabs>
          <w:tab w:val="left" w:pos="567"/>
        </w:tabs>
        <w:spacing w:line="276" w:lineRule="auto"/>
        <w:rPr>
          <w:b/>
          <w:bCs/>
          <w:caps/>
          <w:highlight w:val="yellow"/>
        </w:rPr>
      </w:pPr>
    </w:p>
    <w:p w14:paraId="5F9B12C0" w14:textId="77777777" w:rsidR="002A236C" w:rsidRDefault="002A236C" w:rsidP="002A236C">
      <w:pPr>
        <w:spacing w:line="276" w:lineRule="auto"/>
        <w:ind w:firstLine="450"/>
        <w:jc w:val="both"/>
      </w:pPr>
      <w:r>
        <w:t xml:space="preserve">Pareiškėjas kaštų analizei pateikia dvi analizes: kaštų naudingumo (KNA) ir kaštų mažinimo (KMA). KNA įtraukiami populiaciniai duomenys pagrįsti </w:t>
      </w:r>
      <w:r>
        <w:rPr>
          <w:rFonts w:eastAsia="Arial"/>
          <w:bCs/>
        </w:rPr>
        <w:t xml:space="preserve">RATIONALE-306 </w:t>
      </w:r>
      <w:r>
        <w:rPr>
          <w:lang w:eastAsia="nl-NL"/>
        </w:rPr>
        <w:t xml:space="preserve">klinikiniu tyrimu (ITT populiacija, </w:t>
      </w:r>
      <w:r>
        <w:rPr>
          <w:rFonts w:eastAsia="Arial"/>
          <w:bCs/>
        </w:rPr>
        <w:t>3 fazės, daugiacentrinis, atsitiktini</w:t>
      </w:r>
      <w:r w:rsidRPr="00E82DAB">
        <w:rPr>
          <w:rFonts w:eastAsia="Arial"/>
          <w:bCs/>
        </w:rPr>
        <w:t xml:space="preserve">ų imčių </w:t>
      </w:r>
      <w:r>
        <w:rPr>
          <w:rFonts w:eastAsia="Arial"/>
          <w:bCs/>
        </w:rPr>
        <w:t xml:space="preserve">atviras (angl. </w:t>
      </w:r>
      <w:r>
        <w:rPr>
          <w:rFonts w:eastAsia="Arial"/>
          <w:bCs/>
          <w:i/>
          <w:iCs/>
        </w:rPr>
        <w:t>open label</w:t>
      </w:r>
      <w:r>
        <w:rPr>
          <w:rFonts w:eastAsia="Arial"/>
          <w:bCs/>
        </w:rPr>
        <w:t>) tyrimas</w:t>
      </w:r>
      <w:r>
        <w:rPr>
          <w:lang w:eastAsia="nl-NL"/>
        </w:rPr>
        <w:t>) ir atitinka k</w:t>
      </w:r>
      <w:r>
        <w:t xml:space="preserve">ompensavimui teikiamą indikaciją: </w:t>
      </w:r>
      <w:r w:rsidRPr="004E457A">
        <w:rPr>
          <w:bCs/>
        </w:rPr>
        <w:t>suaugusių pacientų, sergančių neoperuotina, vietiškai išplitusia arba metastazavusia SPLK, kurių navikai turi PD-L1 išraišką su TAP įverčiu ≥ 5, pirmos eilės gydymui</w:t>
      </w:r>
      <w:r>
        <w:t xml:space="preserve"> (</w:t>
      </w:r>
      <w:r w:rsidRPr="00504C19">
        <w:t>TLK-10 AM kodas - C15</w:t>
      </w:r>
      <w:r>
        <w:t>)</w:t>
      </w:r>
      <w:r w:rsidRPr="00504C19">
        <w:t>.</w:t>
      </w:r>
      <w:r>
        <w:t xml:space="preserve"> Pareiškėjo pateikiamoje netiesioginio palyginimo analizėje (KMA lyginant su pembrolizumabu), analizuojama populiacija taip pat atitinka kompensavimui teikiamą.</w:t>
      </w:r>
      <w:r w:rsidRPr="00196092">
        <w:rPr>
          <w:lang w:eastAsia="lt-LT"/>
        </w:rPr>
        <w:t xml:space="preserve"> </w:t>
      </w:r>
      <w:r>
        <w:rPr>
          <w:lang w:eastAsia="lt-LT"/>
        </w:rPr>
        <w:t>Klinikinei ir ekonominei daliai teikiami šaltiniai sutampa, į</w:t>
      </w:r>
      <w:r w:rsidRPr="0073329D">
        <w:rPr>
          <w:lang w:eastAsia="lt-LT"/>
        </w:rPr>
        <w:t xml:space="preserve"> ekonominę analizę įtraukti pacientai atitinka kompensacijai teikiamas terapines indikacijas</w:t>
      </w:r>
      <w:r>
        <w:rPr>
          <w:lang w:eastAsia="lt-LT"/>
        </w:rPr>
        <w:t>, laikoma, kad populiacija atitiktų gydomą Lietuvoje.</w:t>
      </w:r>
    </w:p>
    <w:p w14:paraId="5B2B4B01" w14:textId="77777777" w:rsidR="002A236C" w:rsidRDefault="002A236C" w:rsidP="002A236C">
      <w:pPr>
        <w:spacing w:line="276" w:lineRule="auto"/>
        <w:ind w:firstLine="450"/>
        <w:jc w:val="both"/>
      </w:pPr>
      <w:r w:rsidRPr="004E457A">
        <w:rPr>
          <w:bCs/>
          <w:iCs/>
          <w:lang w:eastAsia="lt-LT"/>
        </w:rPr>
        <w:t xml:space="preserve">Pagal </w:t>
      </w:r>
      <w:r>
        <w:rPr>
          <w:bCs/>
          <w:iCs/>
          <w:lang w:eastAsia="lt-LT"/>
        </w:rPr>
        <w:t xml:space="preserve">Lietuvos </w:t>
      </w:r>
      <w:r w:rsidRPr="004E457A">
        <w:rPr>
          <w:rFonts w:eastAsia="Arial"/>
          <w:color w:val="000000" w:themeColor="text1"/>
        </w:rPr>
        <w:t xml:space="preserve">Respublikos sveikatos apsaugos ministro 2000 m. sausio 28 d. įsakyme Nr. 49 </w:t>
      </w:r>
      <w:r w:rsidRPr="004E457A">
        <w:rPr>
          <w:bCs/>
          <w:iCs/>
          <w:lang w:eastAsia="lt-LT"/>
        </w:rPr>
        <w:t xml:space="preserve"> „Dėl kompensuojamųjų vaistų sąrašų patvirtinimo“ pateiktą ligų ir kompensuojamųjų vaistų joms gydyti sąrašą </w:t>
      </w:r>
      <w:r w:rsidRPr="004E457A">
        <w:rPr>
          <w:rFonts w:eastAsia="Arial"/>
          <w:color w:val="000000" w:themeColor="text1"/>
        </w:rPr>
        <w:t xml:space="preserve">palyginamasis gydymas atitinka Lietuvos Respublikos sveikatos apsaugos ministro 2002 m. balandžio 5 d. įsakymo Nr. V-159 „Dėl vaistinių preparatų ir medicinos </w:t>
      </w:r>
      <w:r w:rsidRPr="00A4574D">
        <w:rPr>
          <w:rFonts w:eastAsia="Arial"/>
          <w:color w:val="000000" w:themeColor="text1"/>
        </w:rPr>
        <w:t xml:space="preserve">pagalbos priemonių įrašymo į kompensavimo sąrašus ir jų keitimo tvarkos aprašo patvirtinimo“ 116.1 punktą, nes </w:t>
      </w:r>
      <w:r w:rsidRPr="00A4574D">
        <w:rPr>
          <w:rFonts w:eastAsia="Arial"/>
          <w:bCs/>
          <w:color w:val="000000" w:themeColor="text1"/>
        </w:rPr>
        <w:t>stemplės plokščiųjų ląstelių karcinomos</w:t>
      </w:r>
      <w:r w:rsidRPr="00A4574D">
        <w:rPr>
          <w:rFonts w:eastAsia="Arial"/>
          <w:color w:val="000000" w:themeColor="text1"/>
        </w:rPr>
        <w:t xml:space="preserve"> pirmos eilės </w:t>
      </w:r>
      <w:r w:rsidRPr="00A4574D">
        <w:t xml:space="preserve">gydymas </w:t>
      </w:r>
      <w:r w:rsidRPr="00A4574D">
        <w:rPr>
          <w:bCs/>
        </w:rPr>
        <w:t xml:space="preserve">platinos </w:t>
      </w:r>
      <w:r w:rsidRPr="00A4574D">
        <w:t>(cisplatinos)</w:t>
      </w:r>
      <w:r w:rsidRPr="00A4574D">
        <w:rPr>
          <w:bCs/>
        </w:rPr>
        <w:t xml:space="preserve"> </w:t>
      </w:r>
      <w:r w:rsidRPr="00A4574D">
        <w:t>ir</w:t>
      </w:r>
      <w:r w:rsidRPr="00A4574D">
        <w:rPr>
          <w:bCs/>
        </w:rPr>
        <w:t xml:space="preserve"> fluoropirimidino</w:t>
      </w:r>
      <w:r w:rsidRPr="00A4574D">
        <w:t xml:space="preserve"> (5-FU/kapecitabino) </w:t>
      </w:r>
      <w:r w:rsidRPr="00A4574D">
        <w:rPr>
          <w:bCs/>
        </w:rPr>
        <w:t xml:space="preserve">deriniu </w:t>
      </w:r>
      <w:r w:rsidRPr="00A4574D">
        <w:t>yra</w:t>
      </w:r>
      <w:r w:rsidRPr="00A4574D">
        <w:rPr>
          <w:rFonts w:eastAsia="Arial"/>
          <w:color w:val="000000" w:themeColor="text1"/>
        </w:rPr>
        <w:t xml:space="preserve"> „</w:t>
      </w:r>
      <w:r w:rsidRPr="00A4574D">
        <w:rPr>
          <w:rFonts w:eastAsia="Arial"/>
          <w:i/>
          <w:color w:val="000000" w:themeColor="text1"/>
        </w:rPr>
        <w:t>paraiškos vertinimo metu atitinkantis įprastą</w:t>
      </w:r>
      <w:r w:rsidRPr="004E457A">
        <w:rPr>
          <w:rFonts w:eastAsia="Arial"/>
          <w:i/>
          <w:color w:val="000000" w:themeColor="text1"/>
        </w:rPr>
        <w:t xml:space="preserve"> klinikinę praktiką ir pagrįstai laikomas atitinkančiu pripažintas konkrečios ligos gydymo gaires“.</w:t>
      </w:r>
      <w:r>
        <w:rPr>
          <w:rFonts w:eastAsia="Arial"/>
          <w:i/>
          <w:color w:val="000000" w:themeColor="text1"/>
        </w:rPr>
        <w:t xml:space="preserve"> </w:t>
      </w:r>
      <w:r>
        <w:rPr>
          <w:rFonts w:eastAsia="Arial"/>
        </w:rPr>
        <w:t xml:space="preserve">Kadangi </w:t>
      </w:r>
      <w:r w:rsidRPr="00F83732">
        <w:rPr>
          <w:rFonts w:eastAsia="Arial"/>
        </w:rPr>
        <w:t>2024 m. gruodžio mėn. buvo priimtas sprendimas geros funkcinės būklės (ECOG 0 ar 1) pacientams, kurių lokaliai išplitusios ar metastazavusios stemplės karcinomos ląstelės ekspresuoja PD-L1 ir CPS rodmuo yra ≥10</w:t>
      </w:r>
      <w:r w:rsidRPr="002259E9">
        <w:rPr>
          <w:rFonts w:eastAsia="Arial"/>
        </w:rPr>
        <w:t xml:space="preserve">, kompensuoti pembrolizumabą derinyje su platinos ir fluoropirimidino grupės vaistiniais preparatais, pembrolizumabas yra laikomas tinkamu palyginamuoju. </w:t>
      </w:r>
    </w:p>
    <w:p w14:paraId="26E95DDA" w14:textId="77777777" w:rsidR="002A236C" w:rsidRPr="00820F40" w:rsidRDefault="002A236C" w:rsidP="002A236C">
      <w:pPr>
        <w:spacing w:line="276" w:lineRule="auto"/>
        <w:ind w:firstLine="450"/>
        <w:jc w:val="both"/>
      </w:pPr>
      <w:r w:rsidRPr="002259E9">
        <w:t>Tarnyba atnaujina chemoterapijos vaistinių preparatų krepšelį atsižvelgiant į tikėtiną Lietuvos klinikinėje praktikoje, t.y. pagal onkologų ekspertų praktiką „</w:t>
      </w:r>
      <w:r w:rsidRPr="002259E9">
        <w:rPr>
          <w:i/>
        </w:rPr>
        <w:t>pagrindinis pasirinkimas - platina su fluoropirimidinais. Oksaliplatina ar cisplatina su paklitakseliu nėra pasirinkimas, dėl didelio toksiškumo, ypač ženklių neuropatijų</w:t>
      </w:r>
      <w:r w:rsidRPr="002259E9">
        <w:t>.“ Tarnyba atsižvelgia į ankstesnės stemplės karcinomos paraiškos metu gydytojų Lietuvoje pateiktas proporcijas (pembrolizumabo C15 paraiška).</w:t>
      </w:r>
    </w:p>
    <w:p w14:paraId="61C22AAB" w14:textId="77777777" w:rsidR="002A236C" w:rsidRPr="002259E9" w:rsidRDefault="002A236C" w:rsidP="002A236C">
      <w:pPr>
        <w:spacing w:line="276" w:lineRule="auto"/>
        <w:jc w:val="both"/>
        <w:rPr>
          <w:rFonts w:eastAsiaTheme="minorHAnsi"/>
        </w:rPr>
      </w:pPr>
      <w:r w:rsidRPr="002259E9">
        <w:rPr>
          <w:rFonts w:eastAsia="Arial"/>
        </w:rPr>
        <w:t>Kadangi, Pareiškėjas Tarnybai pateikė dvi analizes: kaštų naudingumo (tislelizumabo kaštų efektyvumą lyginant su standartiniu gydymu Lietuvoje (chemoterapija) ir kaštų mažinimo (lyginant su pembrolizumabu ir nivolumabu), Tarnyba atlieka abiejų analizių vertinimą ir teikia bendrą išvadą ir rekomendacijas.</w:t>
      </w:r>
    </w:p>
    <w:p w14:paraId="70EBBDFB" w14:textId="77777777" w:rsidR="002A236C" w:rsidRPr="002259E9" w:rsidRDefault="002A236C" w:rsidP="002A236C">
      <w:pPr>
        <w:spacing w:line="276" w:lineRule="auto"/>
        <w:ind w:firstLine="360"/>
        <w:jc w:val="both"/>
      </w:pPr>
      <w:r w:rsidRPr="002259E9">
        <w:rPr>
          <w:rFonts w:eastAsia="Arial"/>
        </w:rPr>
        <w:t xml:space="preserve">KNA įtraukiami tislelizumabo ir chemoterapijos klinikiniai duomenys pagrįsti </w:t>
      </w:r>
      <w:r w:rsidRPr="002259E9">
        <w:rPr>
          <w:rFonts w:eastAsia="Arial"/>
          <w:bCs/>
        </w:rPr>
        <w:t xml:space="preserve">RATIONALE-306 </w:t>
      </w:r>
      <w:r w:rsidRPr="002259E9">
        <w:rPr>
          <w:lang w:eastAsia="nl-NL"/>
        </w:rPr>
        <w:t xml:space="preserve">klinikiniu tyrimu. Pagal pateiktus duomenis </w:t>
      </w:r>
      <w:r w:rsidRPr="002259E9">
        <w:rPr>
          <w:rFonts w:eastAsia="Arial"/>
        </w:rPr>
        <w:t xml:space="preserve">yra laikoma, kad tislelizumabo sveikatai sukuriama nauda lyginant su įprastine klinikine praktika yra didesnė (plačiau aprašyta vertinimo protokolo klinikinėje dalyje). </w:t>
      </w:r>
      <w:r w:rsidRPr="002259E9">
        <w:rPr>
          <w:bCs/>
        </w:rPr>
        <w:t xml:space="preserve">Pareiškėjo taikomas </w:t>
      </w:r>
      <w:r w:rsidRPr="002259E9">
        <w:t>padalintos kohortos išgyvenamumo trijų sveikatos būklių modelis yra plačiai taikomas sveikatos technologijų vertinimo praktikoje onkologinių ligų KNA modeliavimui ir yra tinkamas ir priimtinas. Ekonominėje analizėje duomenys ekstrapoliuojami po klinikinio tyrimo pabaigos (taikoma viso gyvenimo laiko perspektyva). Literatūros duomenimis, santykinis penkerių metų išgyvenamumas pacientams, sergantiems metastazavusiu stemplės vėžiu siekia 10 arba mažiau proc. Tarnyba taiko</w:t>
      </w:r>
      <w:r>
        <w:t xml:space="preserve"> 2</w:t>
      </w:r>
      <w:r w:rsidRPr="00C448E0">
        <w:t>0 m. laiko perspektyvą kaip viso gyvenimo trukmę, atsižvelgiant į ESCC pacie</w:t>
      </w:r>
      <w:r>
        <w:t xml:space="preserve">ntų </w:t>
      </w:r>
      <w:r w:rsidRPr="002259E9">
        <w:t xml:space="preserve">išgyvenamumą </w:t>
      </w:r>
      <w:r w:rsidRPr="002259E9">
        <w:rPr>
          <w:lang w:eastAsia="lt-LT"/>
        </w:rPr>
        <w:t>ir yra laikoma, kad 20 m. laikotarpis yra pakankamas sveikatai sukuriamai naudai ir patiriamiems kaštams užfiksuoti</w:t>
      </w:r>
      <w:r>
        <w:rPr>
          <w:lang w:eastAsia="lt-LT"/>
        </w:rPr>
        <w:t>.</w:t>
      </w:r>
    </w:p>
    <w:p w14:paraId="1EE43A8D" w14:textId="24D70786" w:rsidR="002A236C" w:rsidRDefault="002A236C" w:rsidP="002A236C">
      <w:pPr>
        <w:pStyle w:val="Tekstas"/>
        <w:spacing w:after="0" w:line="276" w:lineRule="auto"/>
        <w:ind w:firstLine="360"/>
        <w:rPr>
          <w:lang w:val="en-US" w:eastAsia="en-GB"/>
        </w:rPr>
      </w:pPr>
      <w:r w:rsidRPr="00414429">
        <w:rPr>
          <w:lang w:eastAsia="en-GB"/>
        </w:rPr>
        <w:t xml:space="preserve">Tarnyba vertina, kad trūksta pagrindimo Pareiškėjo taikomoms prielaidoms duomenų ekstrapoliacijai ilguoju laikotarpiu. </w:t>
      </w:r>
      <w:r w:rsidRPr="00414429">
        <w:rPr>
          <w:lang w:val="en-US"/>
        </w:rPr>
        <w:t>Parei</w:t>
      </w:r>
      <w:r w:rsidRPr="00414429">
        <w:t>škėjas</w:t>
      </w:r>
      <w:r w:rsidRPr="00096C71">
        <w:t xml:space="preserve"> nepateikia </w:t>
      </w:r>
      <w:r>
        <w:t>klinikinių</w:t>
      </w:r>
      <w:r w:rsidRPr="00096C71">
        <w:t xml:space="preserve"> duomenų, kurie būtų ilgesnio </w:t>
      </w:r>
      <w:r w:rsidRPr="00096C71">
        <w:lastRenderedPageBreak/>
        <w:t>laikotarpio nei pagrindinis klinikinis tyrimas vertinant analizuoja</w:t>
      </w:r>
      <w:r>
        <w:t>mą populiaciją. Taip pat nepateikiamos klinikinių ekspertų įžvalgos apie tikėtinas baigtis. Tarnyba pabrėžia, kad ilgalaikiai klinikiniai rezultatai</w:t>
      </w:r>
      <w:r w:rsidRPr="00096C71">
        <w:t xml:space="preserve"> </w:t>
      </w:r>
      <w:r>
        <w:t>nėra validuojami</w:t>
      </w:r>
      <w:r w:rsidRPr="00096C71">
        <w:t xml:space="preserve"> išorės</w:t>
      </w:r>
      <w:r>
        <w:t xml:space="preserve"> duomenimis (ar papildomais</w:t>
      </w:r>
      <w:r w:rsidRPr="00096C71">
        <w:t xml:space="preserve"> </w:t>
      </w:r>
      <w:r>
        <w:t>literatūros šaltiniais) ir tai lemia didelius duomenų ekstrapoliacijos neapibrėžtumus, kadangi KNA taikoma viso gyvenimo laiko perspektyva (iki 100 m.) ir po klinikinio tyrimo pabaigos duomenų ekstrapoliavimui taikomas modeliavimas laikomas nepagrįstu. Svarbu tai, kad skirtingų parametrinių funkcijų taikymas turi reikšmingos įtakos galutiniam ekonominės analizės rezultatui (</w:t>
      </w:r>
      <w:r w:rsidRPr="008A7669">
        <w:t xml:space="preserve">ICER kinta nuo </w:t>
      </w:r>
      <w:r w:rsidR="00EA1289">
        <w:t>***</w:t>
      </w:r>
      <w:r w:rsidRPr="008A7669">
        <w:t xml:space="preserve"> tūkst. Eur. (log normal) iki </w:t>
      </w:r>
      <w:r w:rsidR="00EA1289">
        <w:t>***</w:t>
      </w:r>
      <w:r w:rsidRPr="008A7669">
        <w:t xml:space="preserve"> tūkst. Eur. (Gompertz)).</w:t>
      </w:r>
      <w:r>
        <w:t xml:space="preserve"> </w:t>
      </w:r>
      <w:r w:rsidRPr="00191B93">
        <w:rPr>
          <w:lang w:val="en-US"/>
        </w:rPr>
        <w:t xml:space="preserve">Atsižvelgiant į minėtus duomenų ekstrapoliacijos trūkumus, Tarnyba duomenų modeliavimui pagrįsti vadovaujasi ankstesnių stemplės karcinomos vertinimų metu </w:t>
      </w:r>
      <w:r>
        <w:rPr>
          <w:lang w:val="en-US"/>
        </w:rPr>
        <w:t xml:space="preserve">(pembrolizumabo ir nivolumabo) </w:t>
      </w:r>
      <w:r w:rsidRPr="00191B93">
        <w:rPr>
          <w:lang w:val="en-US"/>
        </w:rPr>
        <w:t xml:space="preserve">taikytomis prielaidomis ir </w:t>
      </w:r>
      <w:r>
        <w:rPr>
          <w:lang w:val="en-US"/>
        </w:rPr>
        <w:t>tikėtinomis rezultatų baigtimis. Kadangi Paraiškoje pateikti duomenys (klinikiniai ir kaštų mažinimo analizės) tislelizumabą (skiriant deriniuose su chemoterapija) lyginant su nivolumabu ir pembrolizumabu ir sveikatai sukuriama nauda yra laikoma nesiskiriančia, Tarnyba vadovaujasi ankstesnių paraiškų vertinimo metu duomenų ekstrapoliacijai taikytomis prielaidomis ir tikėtinomis klinikinėmis baigtimis, laikantis prielaidos, kad tislelizumabo klinikinės baigtys vertinant ilguoju laikotarpiu turėtų būti panašios kaip nivolumabo ir pembrolizumabo atveju.</w:t>
      </w:r>
      <w:r w:rsidRPr="003B40EF">
        <w:t xml:space="preserve"> </w:t>
      </w:r>
      <w:r w:rsidRPr="002A55B1">
        <w:rPr>
          <w:lang w:eastAsia="en-GB"/>
        </w:rPr>
        <w:t xml:space="preserve">Atitinkamai, įprastinėje atvejo analizėje, Tarnyba taiko prielaidą, kad gydymo </w:t>
      </w:r>
      <w:r>
        <w:rPr>
          <w:lang w:eastAsia="en-GB"/>
        </w:rPr>
        <w:t>tislelizumabu</w:t>
      </w:r>
      <w:r w:rsidRPr="002A55B1">
        <w:rPr>
          <w:lang w:eastAsia="en-GB"/>
        </w:rPr>
        <w:t xml:space="preserve"> efektas pradeda mažėti antraisiais metais (po klinikinio tyrimo pabaigos) ir sulyginamas su palyginamosios grupės rizikos santykiu penktaisiais metais (HR</w:t>
      </w:r>
      <w:r w:rsidRPr="002A55B1">
        <w:rPr>
          <w:lang w:val="en-US" w:eastAsia="en-GB"/>
        </w:rPr>
        <w:t>=1)</w:t>
      </w:r>
      <w:r>
        <w:rPr>
          <w:lang w:val="en-US" w:eastAsia="en-GB"/>
        </w:rPr>
        <w:t>.</w:t>
      </w:r>
    </w:p>
    <w:p w14:paraId="34A6EA25" w14:textId="77D77953" w:rsidR="002A236C" w:rsidRPr="004503E9" w:rsidRDefault="002A236C" w:rsidP="002A236C">
      <w:pPr>
        <w:pStyle w:val="Tekstas"/>
        <w:spacing w:after="0" w:line="276" w:lineRule="auto"/>
        <w:ind w:firstLine="360"/>
      </w:pPr>
      <w:r>
        <w:t>Tislelizumabo gydymo nutraukimo taisyklė nėra taikoma (remiantis SmPC),</w:t>
      </w:r>
      <w:r w:rsidRPr="0019492B">
        <w:t xml:space="preserve"> Tarnyba įprastinėje atvejo analizėje</w:t>
      </w:r>
      <w:r>
        <w:t xml:space="preserve"> netaiko dozės praradimų, taikomas </w:t>
      </w:r>
      <w:r w:rsidR="009A3AD1">
        <w:rPr>
          <w:rFonts w:eastAsia="Arial"/>
        </w:rPr>
        <w:t xml:space="preserve">*** </w:t>
      </w:r>
      <w:r>
        <w:t>proc. santykinis dozės intensyvumas, netaikomas buteliukų dalijimas</w:t>
      </w:r>
      <w:r w:rsidRPr="0019492B">
        <w:t xml:space="preserve"> todėl, kad Lietuvos klinikinės praktikos duomenys pagal fakt</w:t>
      </w:r>
      <w:r>
        <w:t>iškai gaunamas dozes nepateikti. Tislelizumabo s</w:t>
      </w:r>
      <w:r w:rsidRPr="00D321C5">
        <w:t xml:space="preserve">veikatai sukuriama nauda buvo vertinama pagal su sveikata susijusią gyvenimo kokybę (angl. </w:t>
      </w:r>
      <w:r w:rsidRPr="00D321C5">
        <w:rPr>
          <w:i/>
          <w:iCs/>
        </w:rPr>
        <w:t xml:space="preserve">Health realated quality of life, </w:t>
      </w:r>
      <w:r w:rsidRPr="00D321C5">
        <w:t xml:space="preserve">HRQoL), kuri buvo įvertinta naudojant EQ-5D klausimyną, </w:t>
      </w:r>
      <w:r>
        <w:rPr>
          <w:rFonts w:eastAsia="Arial"/>
          <w:bCs/>
        </w:rPr>
        <w:t xml:space="preserve">RATIONALE-306 </w:t>
      </w:r>
      <w:r w:rsidRPr="00D321C5">
        <w:t>klinikinio tyrimo metu</w:t>
      </w:r>
      <w:r>
        <w:t xml:space="preserve">. </w:t>
      </w:r>
      <w:r w:rsidRPr="00E41BBE">
        <w:t>Tarnyba sutinka su Pareiškėjo taikomais gyvenimo kokybės įverčiais, kadangi jie yra grindžiami pagrindinio tislelizumabo klinikinio tyrimo duomenimis. Įprastinėje atvejo analizėje Tarnyba taiko gyvenimo kokybės įverčius nespecifiškus gydymui ir priklausomus nuo ligos progreso (sveikatos būklei iki ligos progreso ir progresavusios ligos).</w:t>
      </w:r>
      <w:r>
        <w:t xml:space="preserve"> </w:t>
      </w:r>
      <w:r w:rsidRPr="00B408C6">
        <w:t>Analizė atlikta iš PSDF biudžeto perspektyvos, įtraukti tiesiogiai su sveikatos sistema susiję kaštai. Tai atitinka teisės aktuose nustatytus paraiškos r</w:t>
      </w:r>
      <w:r>
        <w:t xml:space="preserve">engimo taisyklių reikalavimus. </w:t>
      </w:r>
      <w:r w:rsidRPr="00BF426F">
        <w:t xml:space="preserve">Tarnyba atnaujino kaštus pagal 2025 m. II pusm. įkainius. </w:t>
      </w:r>
      <w:r w:rsidRPr="00BF426F">
        <w:rPr>
          <w:rFonts w:eastAsia="Arial"/>
        </w:rPr>
        <w:t>Iš KNA gautų rezultatų matyti, kad tislelizumabą lyginant su į</w:t>
      </w:r>
      <w:r>
        <w:rPr>
          <w:rFonts w:eastAsia="Arial"/>
        </w:rPr>
        <w:t>prastiniu gydymu (chemoterapija</w:t>
      </w:r>
      <w:r w:rsidRPr="00BF426F">
        <w:rPr>
          <w:rFonts w:eastAsia="Arial"/>
        </w:rPr>
        <w:t>) sveikatai sukuriama papildo</w:t>
      </w:r>
      <w:r>
        <w:rPr>
          <w:rFonts w:eastAsia="Arial"/>
        </w:rPr>
        <w:t xml:space="preserve">ma nauda (inkrementiniai QALYS) - </w:t>
      </w:r>
      <w:r w:rsidR="009A3AD1">
        <w:rPr>
          <w:rFonts w:eastAsia="Arial"/>
        </w:rPr>
        <w:t>***</w:t>
      </w:r>
      <w:r w:rsidRPr="00AD6E81">
        <w:rPr>
          <w:rFonts w:eastAsia="Arial"/>
        </w:rPr>
        <w:t xml:space="preserve">, </w:t>
      </w:r>
      <w:r w:rsidRPr="00AD6E81">
        <w:t xml:space="preserve">o gydymo tislelizumabu kaštai yra </w:t>
      </w:r>
      <w:r w:rsidR="009A3AD1">
        <w:rPr>
          <w:rFonts w:eastAsia="Arial"/>
        </w:rPr>
        <w:t>***</w:t>
      </w:r>
      <w:r w:rsidR="009A3AD1" w:rsidRPr="00AD6E81">
        <w:rPr>
          <w:rFonts w:eastAsia="Arial"/>
        </w:rPr>
        <w:t xml:space="preserve">, </w:t>
      </w:r>
      <w:r w:rsidRPr="00AD6E81">
        <w:rPr>
          <w:lang w:eastAsia="lt-LT"/>
        </w:rPr>
        <w:t xml:space="preserve">Eur. </w:t>
      </w:r>
      <w:r w:rsidRPr="00AD6E81">
        <w:t>didesni nei standartinio šiuo metu Lietuvoje taikomo gydymo.</w:t>
      </w:r>
      <w:r w:rsidRPr="00AD6E81">
        <w:rPr>
          <w:lang w:eastAsia="lt-LT"/>
        </w:rPr>
        <w:t xml:space="preserve"> Apskaičiuotas ICER – </w:t>
      </w:r>
      <w:r w:rsidR="009A3AD1">
        <w:rPr>
          <w:rFonts w:eastAsia="Arial"/>
        </w:rPr>
        <w:t>***</w:t>
      </w:r>
      <w:r w:rsidR="009A3AD1" w:rsidRPr="00AD6E81">
        <w:rPr>
          <w:rFonts w:eastAsia="Arial"/>
        </w:rPr>
        <w:t xml:space="preserve">, </w:t>
      </w:r>
      <w:r w:rsidRPr="00AD6E81">
        <w:rPr>
          <w:color w:val="000000"/>
        </w:rPr>
        <w:t>Eur./QALY</w:t>
      </w:r>
      <w:r w:rsidRPr="00AD6E81">
        <w:rPr>
          <w:color w:val="000000"/>
          <w:lang w:eastAsia="lt-LT"/>
        </w:rPr>
        <w:t xml:space="preserve"> </w:t>
      </w:r>
      <w:r w:rsidRPr="00AD6E81">
        <w:rPr>
          <w:lang w:eastAsia="lt-LT"/>
        </w:rPr>
        <w:t>atitinka sunkiai ligos naštai taikomą referencinę kaštų naudingumo vertę.</w:t>
      </w:r>
    </w:p>
    <w:p w14:paraId="02716CC1" w14:textId="77777777" w:rsidR="002A236C" w:rsidRPr="00ED76EB" w:rsidRDefault="002A236C" w:rsidP="002A236C">
      <w:pPr>
        <w:tabs>
          <w:tab w:val="left" w:pos="567"/>
        </w:tabs>
        <w:spacing w:line="276" w:lineRule="auto"/>
        <w:rPr>
          <w:b/>
          <w:bCs/>
          <w:caps/>
          <w:highlight w:val="yellow"/>
        </w:rPr>
      </w:pPr>
    </w:p>
    <w:p w14:paraId="5465DD63" w14:textId="77777777" w:rsidR="002A236C" w:rsidRPr="0024319B" w:rsidRDefault="002A236C" w:rsidP="002A236C">
      <w:pPr>
        <w:tabs>
          <w:tab w:val="left" w:pos="426"/>
        </w:tabs>
        <w:jc w:val="center"/>
        <w:rPr>
          <w:b/>
          <w:lang w:eastAsia="lt-LT"/>
        </w:rPr>
      </w:pPr>
      <w:r w:rsidRPr="0024319B">
        <w:rPr>
          <w:b/>
          <w:lang w:eastAsia="lt-LT"/>
        </w:rPr>
        <w:t>Ekonominės analizės rezultatas</w:t>
      </w:r>
    </w:p>
    <w:p w14:paraId="62EAFE6D" w14:textId="77777777" w:rsidR="002A236C" w:rsidRPr="0024319B" w:rsidRDefault="002A236C" w:rsidP="002A236C">
      <w:pPr>
        <w:tabs>
          <w:tab w:val="left" w:pos="426"/>
        </w:tabs>
        <w:rPr>
          <w:b/>
          <w:lang w:eastAsia="lt-LT"/>
        </w:rPr>
      </w:pPr>
    </w:p>
    <w:tbl>
      <w:tblPr>
        <w:tblStyle w:val="Lentelstinklelis1"/>
        <w:tblW w:w="9439"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6200"/>
        <w:gridCol w:w="3239"/>
      </w:tblGrid>
      <w:tr w:rsidR="002A236C" w:rsidRPr="0024319B" w14:paraId="73C77AB6" w14:textId="77777777" w:rsidTr="00AE5A4D">
        <w:trPr>
          <w:trHeight w:val="344"/>
          <w:jc w:val="center"/>
        </w:trPr>
        <w:tc>
          <w:tcPr>
            <w:tcW w:w="9439" w:type="dxa"/>
            <w:gridSpan w:val="2"/>
            <w:tcBorders>
              <w:top w:val="single" w:sz="12" w:space="0" w:color="auto"/>
              <w:left w:val="single" w:sz="4" w:space="0" w:color="auto"/>
              <w:right w:val="single" w:sz="4" w:space="0" w:color="auto"/>
            </w:tcBorders>
            <w:vAlign w:val="center"/>
          </w:tcPr>
          <w:p w14:paraId="6C2F75CF" w14:textId="77777777" w:rsidR="002A236C" w:rsidRPr="0024319B" w:rsidRDefault="002A236C" w:rsidP="00AE5A4D">
            <w:pPr>
              <w:tabs>
                <w:tab w:val="left" w:pos="567"/>
              </w:tabs>
              <w:jc w:val="center"/>
              <w:rPr>
                <w:b/>
                <w:bCs/>
                <w:sz w:val="26"/>
                <w:szCs w:val="26"/>
                <w:lang w:eastAsia="lt-LT"/>
              </w:rPr>
            </w:pPr>
            <w:r w:rsidRPr="0024319B">
              <w:rPr>
                <w:b/>
                <w:bCs/>
                <w:sz w:val="26"/>
                <w:szCs w:val="26"/>
                <w:lang w:eastAsia="lt-LT"/>
              </w:rPr>
              <w:t>Rezultatai</w:t>
            </w:r>
          </w:p>
        </w:tc>
      </w:tr>
      <w:tr w:rsidR="002A236C" w:rsidRPr="0024319B" w14:paraId="00C0BDBF" w14:textId="77777777" w:rsidTr="00AE5A4D">
        <w:trPr>
          <w:trHeight w:val="267"/>
          <w:jc w:val="center"/>
        </w:trPr>
        <w:tc>
          <w:tcPr>
            <w:tcW w:w="6200" w:type="dxa"/>
            <w:tcBorders>
              <w:left w:val="single" w:sz="4" w:space="0" w:color="auto"/>
            </w:tcBorders>
          </w:tcPr>
          <w:p w14:paraId="46BB8357" w14:textId="77777777" w:rsidR="002A236C" w:rsidRPr="0024319B" w:rsidRDefault="002A236C" w:rsidP="00AE5A4D">
            <w:pPr>
              <w:tabs>
                <w:tab w:val="left" w:pos="567"/>
              </w:tabs>
              <w:jc w:val="right"/>
              <w:rPr>
                <w:iCs/>
                <w:lang w:eastAsia="lt-LT"/>
              </w:rPr>
            </w:pPr>
            <w:r w:rsidRPr="0024319B">
              <w:rPr>
                <w:iCs/>
                <w:lang w:eastAsia="lt-LT"/>
              </w:rPr>
              <w:t>Kaštų skirtumas</w:t>
            </w:r>
          </w:p>
        </w:tc>
        <w:tc>
          <w:tcPr>
            <w:tcW w:w="3239" w:type="dxa"/>
            <w:tcBorders>
              <w:right w:val="single" w:sz="4" w:space="0" w:color="auto"/>
            </w:tcBorders>
          </w:tcPr>
          <w:p w14:paraId="22AA77C0" w14:textId="2C673239" w:rsidR="002A236C" w:rsidRPr="00F55C09" w:rsidRDefault="009A3AD1" w:rsidP="00AE5A4D">
            <w:pPr>
              <w:tabs>
                <w:tab w:val="left" w:pos="567"/>
              </w:tabs>
              <w:jc w:val="both"/>
              <w:rPr>
                <w:iCs/>
                <w:lang w:eastAsia="lt-LT"/>
              </w:rPr>
            </w:pPr>
            <w:r>
              <w:rPr>
                <w:rFonts w:eastAsia="Arial"/>
              </w:rPr>
              <w:t>***</w:t>
            </w:r>
          </w:p>
        </w:tc>
      </w:tr>
      <w:tr w:rsidR="002A236C" w:rsidRPr="0024319B" w14:paraId="4D67E606" w14:textId="77777777" w:rsidTr="00AE5A4D">
        <w:trPr>
          <w:trHeight w:val="267"/>
          <w:jc w:val="center"/>
        </w:trPr>
        <w:tc>
          <w:tcPr>
            <w:tcW w:w="6200" w:type="dxa"/>
            <w:tcBorders>
              <w:left w:val="single" w:sz="4" w:space="0" w:color="auto"/>
            </w:tcBorders>
          </w:tcPr>
          <w:p w14:paraId="7D3BF650" w14:textId="77777777" w:rsidR="002A236C" w:rsidRPr="0024319B" w:rsidRDefault="002A236C" w:rsidP="00AE5A4D">
            <w:pPr>
              <w:tabs>
                <w:tab w:val="left" w:pos="567"/>
              </w:tabs>
              <w:jc w:val="right"/>
              <w:rPr>
                <w:iCs/>
                <w:lang w:eastAsia="lt-LT"/>
              </w:rPr>
            </w:pPr>
            <w:r w:rsidRPr="0024319B">
              <w:rPr>
                <w:iCs/>
                <w:lang w:eastAsia="lt-LT"/>
              </w:rPr>
              <w:t>Papildomi gyvenimo metai (LY)</w:t>
            </w:r>
          </w:p>
        </w:tc>
        <w:tc>
          <w:tcPr>
            <w:tcW w:w="3239" w:type="dxa"/>
            <w:tcBorders>
              <w:right w:val="single" w:sz="4" w:space="0" w:color="auto"/>
            </w:tcBorders>
          </w:tcPr>
          <w:p w14:paraId="00656888" w14:textId="0DFE7AB2" w:rsidR="002A236C" w:rsidRPr="00F55C09" w:rsidRDefault="009A3AD1" w:rsidP="00AE5A4D">
            <w:pPr>
              <w:tabs>
                <w:tab w:val="left" w:pos="567"/>
              </w:tabs>
              <w:jc w:val="both"/>
              <w:rPr>
                <w:iCs/>
                <w:lang w:eastAsia="lt-LT"/>
              </w:rPr>
            </w:pPr>
            <w:r>
              <w:rPr>
                <w:rFonts w:eastAsia="Arial"/>
              </w:rPr>
              <w:t>***</w:t>
            </w:r>
          </w:p>
        </w:tc>
      </w:tr>
      <w:tr w:rsidR="002A236C" w:rsidRPr="0024319B" w14:paraId="38913BEC" w14:textId="77777777" w:rsidTr="00AE5A4D">
        <w:trPr>
          <w:trHeight w:val="267"/>
          <w:jc w:val="center"/>
        </w:trPr>
        <w:tc>
          <w:tcPr>
            <w:tcW w:w="6200" w:type="dxa"/>
            <w:tcBorders>
              <w:left w:val="single" w:sz="4" w:space="0" w:color="auto"/>
            </w:tcBorders>
          </w:tcPr>
          <w:p w14:paraId="25F04C00" w14:textId="77777777" w:rsidR="002A236C" w:rsidRPr="0024319B" w:rsidRDefault="002A236C" w:rsidP="00AE5A4D">
            <w:pPr>
              <w:tabs>
                <w:tab w:val="left" w:pos="567"/>
              </w:tabs>
              <w:jc w:val="right"/>
              <w:rPr>
                <w:iCs/>
                <w:lang w:eastAsia="lt-LT"/>
              </w:rPr>
            </w:pPr>
            <w:r w:rsidRPr="0024319B">
              <w:rPr>
                <w:iCs/>
                <w:lang w:eastAsia="lt-LT"/>
              </w:rPr>
              <w:t>Papildomi kokybiški gyvenimo metai (QALY)</w:t>
            </w:r>
          </w:p>
        </w:tc>
        <w:tc>
          <w:tcPr>
            <w:tcW w:w="3239" w:type="dxa"/>
            <w:tcBorders>
              <w:right w:val="single" w:sz="4" w:space="0" w:color="auto"/>
            </w:tcBorders>
          </w:tcPr>
          <w:p w14:paraId="0EA0595F" w14:textId="76B5A4CD" w:rsidR="002A236C" w:rsidRPr="00F55C09" w:rsidRDefault="009A3AD1" w:rsidP="00AE5A4D">
            <w:pPr>
              <w:tabs>
                <w:tab w:val="left" w:pos="567"/>
              </w:tabs>
              <w:jc w:val="both"/>
              <w:rPr>
                <w:iCs/>
                <w:lang w:eastAsia="lt-LT"/>
              </w:rPr>
            </w:pPr>
            <w:r>
              <w:rPr>
                <w:rFonts w:eastAsia="Arial"/>
              </w:rPr>
              <w:t>***</w:t>
            </w:r>
          </w:p>
        </w:tc>
      </w:tr>
      <w:tr w:rsidR="002A236C" w:rsidRPr="0024319B" w14:paraId="185E5402" w14:textId="77777777" w:rsidTr="00AE5A4D">
        <w:trPr>
          <w:trHeight w:val="267"/>
          <w:jc w:val="center"/>
        </w:trPr>
        <w:tc>
          <w:tcPr>
            <w:tcW w:w="6200" w:type="dxa"/>
            <w:tcBorders>
              <w:left w:val="single" w:sz="4" w:space="0" w:color="auto"/>
            </w:tcBorders>
          </w:tcPr>
          <w:p w14:paraId="36B49F3B" w14:textId="77777777" w:rsidR="002A236C" w:rsidRPr="0024319B" w:rsidRDefault="002A236C" w:rsidP="00AE5A4D">
            <w:pPr>
              <w:tabs>
                <w:tab w:val="left" w:pos="567"/>
              </w:tabs>
              <w:jc w:val="right"/>
              <w:rPr>
                <w:iCs/>
                <w:lang w:eastAsia="lt-LT"/>
              </w:rPr>
            </w:pPr>
            <w:r w:rsidRPr="0024319B">
              <w:rPr>
                <w:iCs/>
                <w:lang w:eastAsia="lt-LT"/>
              </w:rPr>
              <w:t>ICER už LY</w:t>
            </w:r>
          </w:p>
        </w:tc>
        <w:tc>
          <w:tcPr>
            <w:tcW w:w="3239" w:type="dxa"/>
            <w:tcBorders>
              <w:right w:val="single" w:sz="4" w:space="0" w:color="auto"/>
            </w:tcBorders>
          </w:tcPr>
          <w:p w14:paraId="4A4D73BF" w14:textId="318037C5" w:rsidR="002A236C" w:rsidRPr="00F55C09" w:rsidRDefault="009A3AD1" w:rsidP="00AE5A4D">
            <w:pPr>
              <w:jc w:val="both"/>
              <w:rPr>
                <w:color w:val="000000"/>
              </w:rPr>
            </w:pPr>
            <w:r>
              <w:rPr>
                <w:rFonts w:eastAsia="Arial"/>
              </w:rPr>
              <w:t xml:space="preserve">*** </w:t>
            </w:r>
            <w:r w:rsidR="002A236C" w:rsidRPr="005915CD">
              <w:t>Eur./LYs</w:t>
            </w:r>
          </w:p>
        </w:tc>
      </w:tr>
      <w:tr w:rsidR="002A236C" w:rsidRPr="0024319B" w14:paraId="00B28258" w14:textId="77777777" w:rsidTr="00AE5A4D">
        <w:trPr>
          <w:trHeight w:val="90"/>
          <w:jc w:val="center"/>
        </w:trPr>
        <w:tc>
          <w:tcPr>
            <w:tcW w:w="6200" w:type="dxa"/>
            <w:tcBorders>
              <w:left w:val="single" w:sz="4" w:space="0" w:color="auto"/>
            </w:tcBorders>
          </w:tcPr>
          <w:p w14:paraId="75C9A099" w14:textId="77777777" w:rsidR="002A236C" w:rsidRPr="0024319B" w:rsidRDefault="002A236C" w:rsidP="00AE5A4D">
            <w:pPr>
              <w:tabs>
                <w:tab w:val="left" w:pos="567"/>
              </w:tabs>
              <w:jc w:val="right"/>
              <w:rPr>
                <w:iCs/>
                <w:lang w:eastAsia="lt-LT"/>
              </w:rPr>
            </w:pPr>
            <w:r w:rsidRPr="0024319B">
              <w:rPr>
                <w:iCs/>
                <w:lang w:eastAsia="lt-LT"/>
              </w:rPr>
              <w:t>ICER už QALY</w:t>
            </w:r>
          </w:p>
        </w:tc>
        <w:tc>
          <w:tcPr>
            <w:tcW w:w="3239" w:type="dxa"/>
            <w:tcBorders>
              <w:right w:val="single" w:sz="4" w:space="0" w:color="auto"/>
            </w:tcBorders>
          </w:tcPr>
          <w:p w14:paraId="5322FF8C" w14:textId="1EE85E9B" w:rsidR="002A236C" w:rsidRPr="00F55C09" w:rsidRDefault="009A3AD1" w:rsidP="00AE5A4D">
            <w:pPr>
              <w:tabs>
                <w:tab w:val="left" w:pos="567"/>
              </w:tabs>
              <w:jc w:val="both"/>
              <w:rPr>
                <w:b/>
                <w:iCs/>
                <w:lang w:eastAsia="lt-LT"/>
              </w:rPr>
            </w:pPr>
            <w:r>
              <w:rPr>
                <w:rFonts w:eastAsia="Arial"/>
              </w:rPr>
              <w:t xml:space="preserve">*** </w:t>
            </w:r>
            <w:r w:rsidR="002A236C" w:rsidRPr="005915CD">
              <w:t>Eur./QALY</w:t>
            </w:r>
          </w:p>
        </w:tc>
      </w:tr>
      <w:tr w:rsidR="002A236C" w:rsidRPr="0024319B" w14:paraId="280AF25B" w14:textId="77777777" w:rsidTr="00AE5A4D">
        <w:trPr>
          <w:trHeight w:val="267"/>
          <w:jc w:val="center"/>
        </w:trPr>
        <w:tc>
          <w:tcPr>
            <w:tcW w:w="6200" w:type="dxa"/>
            <w:tcBorders>
              <w:left w:val="single" w:sz="4" w:space="0" w:color="auto"/>
              <w:bottom w:val="single" w:sz="4" w:space="0" w:color="auto"/>
              <w:right w:val="single" w:sz="4" w:space="0" w:color="auto"/>
            </w:tcBorders>
          </w:tcPr>
          <w:p w14:paraId="5B3F0D55" w14:textId="77777777" w:rsidR="002A236C" w:rsidRPr="0024319B" w:rsidRDefault="002A236C" w:rsidP="00AE5A4D">
            <w:pPr>
              <w:tabs>
                <w:tab w:val="left" w:pos="567"/>
              </w:tabs>
              <w:jc w:val="right"/>
              <w:rPr>
                <w:iCs/>
                <w:lang w:eastAsia="lt-LT"/>
              </w:rPr>
            </w:pPr>
            <w:r w:rsidRPr="0024319B">
              <w:rPr>
                <w:iCs/>
                <w:lang w:eastAsia="lt-LT"/>
              </w:rPr>
              <w:t>Referentinė kaštų naudingumo vertė</w:t>
            </w:r>
          </w:p>
        </w:tc>
        <w:tc>
          <w:tcPr>
            <w:tcW w:w="3239" w:type="dxa"/>
            <w:tcBorders>
              <w:left w:val="single" w:sz="4" w:space="0" w:color="auto"/>
              <w:bottom w:val="single" w:sz="4" w:space="0" w:color="auto"/>
              <w:right w:val="single" w:sz="4" w:space="0" w:color="auto"/>
            </w:tcBorders>
          </w:tcPr>
          <w:p w14:paraId="1CEF6BE5" w14:textId="53821236" w:rsidR="002A236C" w:rsidRPr="00F55C09" w:rsidRDefault="009A3AD1" w:rsidP="00AE5A4D">
            <w:pPr>
              <w:tabs>
                <w:tab w:val="left" w:pos="567"/>
              </w:tabs>
              <w:jc w:val="both"/>
              <w:rPr>
                <w:iCs/>
                <w:lang w:eastAsia="lt-LT"/>
              </w:rPr>
            </w:pPr>
            <w:r>
              <w:rPr>
                <w:rFonts w:eastAsia="Arial"/>
              </w:rPr>
              <w:t xml:space="preserve">*** </w:t>
            </w:r>
            <w:r w:rsidR="002A236C" w:rsidRPr="005915CD">
              <w:rPr>
                <w:i/>
                <w:iCs/>
                <w:lang w:eastAsia="lt-LT"/>
              </w:rPr>
              <w:t>Eur.</w:t>
            </w:r>
          </w:p>
        </w:tc>
      </w:tr>
    </w:tbl>
    <w:p w14:paraId="47004F72" w14:textId="77777777" w:rsidR="002A236C" w:rsidRPr="0024319B" w:rsidRDefault="002A236C" w:rsidP="002A236C">
      <w:pPr>
        <w:tabs>
          <w:tab w:val="left" w:pos="567"/>
        </w:tabs>
        <w:jc w:val="both"/>
        <w:rPr>
          <w:iCs/>
          <w:sz w:val="20"/>
          <w:lang w:eastAsia="lt-LT"/>
        </w:rPr>
      </w:pPr>
      <w:r w:rsidRPr="0024319B">
        <w:rPr>
          <w:iCs/>
          <w:sz w:val="20"/>
          <w:lang w:eastAsia="lt-LT"/>
        </w:rPr>
        <w:t>ICER – (</w:t>
      </w:r>
      <w:r w:rsidRPr="0024319B">
        <w:rPr>
          <w:i/>
          <w:sz w:val="20"/>
          <w:lang w:eastAsia="lt-LT"/>
        </w:rPr>
        <w:t>angl. incremental cost-effectiveness ratio</w:t>
      </w:r>
      <w:r w:rsidRPr="0024319B">
        <w:rPr>
          <w:iCs/>
          <w:sz w:val="20"/>
          <w:lang w:eastAsia="lt-LT"/>
        </w:rPr>
        <w:t>) inkrementinis kaštų naudingumo koeficientas; LY – (</w:t>
      </w:r>
      <w:r w:rsidRPr="0024319B">
        <w:rPr>
          <w:i/>
          <w:sz w:val="20"/>
          <w:lang w:eastAsia="lt-LT"/>
        </w:rPr>
        <w:t>angl. life years</w:t>
      </w:r>
      <w:r w:rsidRPr="0024319B">
        <w:rPr>
          <w:iCs/>
          <w:sz w:val="20"/>
          <w:lang w:eastAsia="lt-LT"/>
        </w:rPr>
        <w:t>) gyvenimo metai; QALY- (</w:t>
      </w:r>
      <w:r w:rsidRPr="0024319B">
        <w:rPr>
          <w:i/>
          <w:sz w:val="20"/>
          <w:lang w:eastAsia="lt-LT"/>
        </w:rPr>
        <w:t xml:space="preserve">angl. quality adjusted life years) </w:t>
      </w:r>
      <w:r w:rsidRPr="0024319B">
        <w:rPr>
          <w:iCs/>
          <w:sz w:val="20"/>
          <w:lang w:eastAsia="lt-LT"/>
        </w:rPr>
        <w:t>kokybiški gyvenimo metai.</w:t>
      </w:r>
    </w:p>
    <w:p w14:paraId="71F49FB4" w14:textId="77777777" w:rsidR="002A236C" w:rsidRDefault="002A236C" w:rsidP="002A236C">
      <w:pPr>
        <w:spacing w:line="276" w:lineRule="auto"/>
        <w:jc w:val="both"/>
      </w:pPr>
    </w:p>
    <w:p w14:paraId="509FADAE" w14:textId="20565E2A" w:rsidR="002A236C" w:rsidRDefault="002A236C" w:rsidP="002A236C">
      <w:pPr>
        <w:spacing w:line="276" w:lineRule="auto"/>
        <w:ind w:firstLine="360"/>
        <w:jc w:val="both"/>
        <w:rPr>
          <w:rFonts w:eastAsia="Arial"/>
        </w:rPr>
      </w:pPr>
      <w:r w:rsidRPr="00B041CA">
        <w:rPr>
          <w:rFonts w:eastAsia="Arial"/>
        </w:rPr>
        <w:lastRenderedPageBreak/>
        <w:t>Pareiškėjas pateikė netiesioginio palyginimo duomenis pagal kur</w:t>
      </w:r>
      <w:r>
        <w:rPr>
          <w:rFonts w:eastAsia="Arial"/>
        </w:rPr>
        <w:t>iuos tislelizumabo ir pembrolizumabo</w:t>
      </w:r>
      <w:r w:rsidRPr="00B041CA">
        <w:rPr>
          <w:rFonts w:eastAsia="Arial"/>
        </w:rPr>
        <w:t xml:space="preserve"> sveikatai sukuriama nauda yra laikoma panašia. Remiantis Kompensuojamųjų vaistinių preparatų Tvarkos aprašo yra atliekama kaštų mažinimo analizė.</w:t>
      </w:r>
      <w:r>
        <w:rPr>
          <w:rFonts w:eastAsia="Arial"/>
        </w:rPr>
        <w:t xml:space="preserve"> Pareiškėjo</w:t>
      </w:r>
      <w:r w:rsidRPr="00B041CA">
        <w:rPr>
          <w:rFonts w:eastAsia="Arial"/>
        </w:rPr>
        <w:t xml:space="preserve"> teikiama KMA apima vienerių metų laikotarpį ir yra įtraukiami tik vaistinių preparatų įsigijimo ir skyrimo </w:t>
      </w:r>
      <w:r w:rsidRPr="001A7673">
        <w:rPr>
          <w:rFonts w:eastAsia="Arial"/>
        </w:rPr>
        <w:t xml:space="preserve">kaštai. Tarnyba sutinka, atsižvelgiant, kad sveikatai sukuriama nauda yra panaši, t.y. sveikatos būklių kaštai laikomi panašiais, saugumo profilis panašus. Pirmieji ir sekančiai skyrimo metai (dozavimas) nesiskiria. Kadangi skiriasi VP dozavimo dažnis, KMA apima skyrimo kaštus. </w:t>
      </w:r>
      <w:r>
        <w:rPr>
          <w:rFonts w:eastAsia="Arial"/>
        </w:rPr>
        <w:t>KMA analizėje taikoma tisleli</w:t>
      </w:r>
      <w:r w:rsidRPr="001A7673">
        <w:rPr>
          <w:rFonts w:eastAsia="Arial"/>
        </w:rPr>
        <w:t>zumabo teikiama kaina (</w:t>
      </w:r>
      <w:r w:rsidRPr="001A7673">
        <w:t>100 mg koncentratas infuziniam tirpalui 10 ml</w:t>
      </w:r>
      <w:r>
        <w:t xml:space="preserve"> buteliukas, N1) - </w:t>
      </w:r>
      <w:r w:rsidR="009A3AD1">
        <w:rPr>
          <w:rFonts w:eastAsia="Arial"/>
        </w:rPr>
        <w:t xml:space="preserve">*** </w:t>
      </w:r>
      <w:r>
        <w:t xml:space="preserve">Eur. ir konfidenciali pembrolizumabo (su PGS) bei </w:t>
      </w:r>
      <w:r w:rsidRPr="001A7673">
        <w:t xml:space="preserve">bazinė nivolumabo kainyno kaina. VP dozavimas taikomas remiantis numatytu SmPC ir </w:t>
      </w:r>
      <w:r>
        <w:t>taikytu klinikinių tyrimų metu.</w:t>
      </w:r>
      <w:r>
        <w:rPr>
          <w:rFonts w:eastAsia="Arial"/>
        </w:rPr>
        <w:t xml:space="preserve"> Tarnyba sutinka su Pareiškėjo taikomomis KMA prielaidomis, taikomi skyrimo kaštai (onkologijos dienos stacionaro paslaugos) pagal 2025 m. II pusm. ASPPĮ.</w:t>
      </w:r>
    </w:p>
    <w:p w14:paraId="18D6DEA1" w14:textId="77777777" w:rsidR="002A236C" w:rsidRDefault="002A236C" w:rsidP="002A236C">
      <w:pPr>
        <w:spacing w:line="276" w:lineRule="auto"/>
        <w:ind w:firstLine="360"/>
        <w:jc w:val="both"/>
        <w:rPr>
          <w:rFonts w:eastAsia="Arial"/>
        </w:rPr>
      </w:pPr>
    </w:p>
    <w:p w14:paraId="062787FB" w14:textId="77777777" w:rsidR="002A236C" w:rsidRPr="0035172D" w:rsidRDefault="002A236C" w:rsidP="002A236C">
      <w:pPr>
        <w:tabs>
          <w:tab w:val="left" w:pos="426"/>
        </w:tabs>
        <w:jc w:val="center"/>
        <w:rPr>
          <w:b/>
          <w:lang w:eastAsia="lt-LT"/>
        </w:rPr>
      </w:pPr>
      <w:r w:rsidRPr="0035172D">
        <w:rPr>
          <w:b/>
          <w:lang w:eastAsia="lt-LT"/>
        </w:rPr>
        <w:t>Ekonominės analizės rezultatas</w:t>
      </w:r>
      <w:r>
        <w:rPr>
          <w:b/>
          <w:lang w:eastAsia="lt-LT"/>
        </w:rPr>
        <w:t xml:space="preserve"> (papildoma)</w:t>
      </w:r>
    </w:p>
    <w:p w14:paraId="35985238" w14:textId="77777777" w:rsidR="002A236C" w:rsidRDefault="002A236C" w:rsidP="002A236C">
      <w:pPr>
        <w:tabs>
          <w:tab w:val="left" w:pos="426"/>
        </w:tabs>
        <w:rPr>
          <w:lang w:eastAsia="lt-LT"/>
        </w:rPr>
      </w:pPr>
    </w:p>
    <w:tbl>
      <w:tblPr>
        <w:tblW w:w="98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8"/>
        <w:gridCol w:w="1707"/>
        <w:gridCol w:w="2153"/>
        <w:gridCol w:w="3211"/>
      </w:tblGrid>
      <w:tr w:rsidR="002A236C" w:rsidRPr="00855B02" w14:paraId="7241FE3F" w14:textId="77777777" w:rsidTr="00AE5A4D">
        <w:trPr>
          <w:trHeight w:val="254"/>
          <w:jc w:val="center"/>
        </w:trPr>
        <w:tc>
          <w:tcPr>
            <w:tcW w:w="2788" w:type="dxa"/>
            <w:noWrap/>
            <w:hideMark/>
          </w:tcPr>
          <w:p w14:paraId="2F97045D" w14:textId="77777777" w:rsidR="002A236C" w:rsidRPr="0006427F" w:rsidRDefault="002A236C" w:rsidP="00AE5A4D">
            <w:pPr>
              <w:spacing w:line="276" w:lineRule="auto"/>
              <w:rPr>
                <w:lang w:eastAsia="lt-LT"/>
              </w:rPr>
            </w:pPr>
            <w:r w:rsidRPr="0006427F">
              <w:rPr>
                <w:lang w:eastAsia="lt-LT"/>
              </w:rPr>
              <w:t>Kaštų struktūra</w:t>
            </w:r>
          </w:p>
        </w:tc>
        <w:tc>
          <w:tcPr>
            <w:tcW w:w="1707" w:type="dxa"/>
            <w:noWrap/>
          </w:tcPr>
          <w:p w14:paraId="4F8F2B57" w14:textId="77777777" w:rsidR="002A236C" w:rsidRPr="0006427F" w:rsidRDefault="002A236C" w:rsidP="00AE5A4D">
            <w:pPr>
              <w:spacing w:line="276" w:lineRule="auto"/>
              <w:jc w:val="center"/>
              <w:rPr>
                <w:color w:val="000000" w:themeColor="text1"/>
                <w:lang w:eastAsia="lt-LT"/>
              </w:rPr>
            </w:pPr>
            <w:r>
              <w:rPr>
                <w:color w:val="000000" w:themeColor="text1"/>
                <w:lang w:eastAsia="lt-LT"/>
              </w:rPr>
              <w:t>Tislelizumabas (Tevimbra)</w:t>
            </w:r>
          </w:p>
        </w:tc>
        <w:tc>
          <w:tcPr>
            <w:tcW w:w="2153" w:type="dxa"/>
            <w:noWrap/>
          </w:tcPr>
          <w:p w14:paraId="427E945A" w14:textId="302E4630" w:rsidR="002A236C" w:rsidRPr="0006427F" w:rsidRDefault="00B624B4" w:rsidP="00AE5A4D">
            <w:pPr>
              <w:spacing w:line="276" w:lineRule="auto"/>
              <w:jc w:val="center"/>
              <w:rPr>
                <w:color w:val="000000" w:themeColor="text1"/>
                <w:lang w:eastAsia="lt-LT"/>
              </w:rPr>
            </w:pPr>
            <w:r>
              <w:rPr>
                <w:color w:val="000000" w:themeColor="text1"/>
                <w:lang w:eastAsia="lt-LT"/>
              </w:rPr>
              <w:t>Pembrolizumabas</w:t>
            </w:r>
          </w:p>
        </w:tc>
        <w:tc>
          <w:tcPr>
            <w:tcW w:w="3211" w:type="dxa"/>
            <w:noWrap/>
            <w:hideMark/>
          </w:tcPr>
          <w:p w14:paraId="0D0E222E" w14:textId="77777777" w:rsidR="002A236C" w:rsidRPr="0006427F" w:rsidRDefault="002A236C" w:rsidP="00AE5A4D">
            <w:pPr>
              <w:spacing w:line="276" w:lineRule="auto"/>
              <w:jc w:val="center"/>
              <w:rPr>
                <w:lang w:eastAsia="lt-LT"/>
              </w:rPr>
            </w:pPr>
            <w:r w:rsidRPr="0006427F">
              <w:rPr>
                <w:lang w:eastAsia="lt-LT"/>
              </w:rPr>
              <w:t>Skirtumas, Eur.</w:t>
            </w:r>
          </w:p>
        </w:tc>
      </w:tr>
      <w:tr w:rsidR="002A236C" w:rsidRPr="00855B02" w14:paraId="5857DEDE" w14:textId="77777777" w:rsidTr="00AE5A4D">
        <w:trPr>
          <w:trHeight w:val="242"/>
          <w:jc w:val="center"/>
        </w:trPr>
        <w:tc>
          <w:tcPr>
            <w:tcW w:w="2788" w:type="dxa"/>
            <w:noWrap/>
            <w:hideMark/>
          </w:tcPr>
          <w:p w14:paraId="68C3B849" w14:textId="77777777" w:rsidR="002A236C" w:rsidRPr="0006427F" w:rsidRDefault="002A236C" w:rsidP="00AE5A4D">
            <w:pPr>
              <w:spacing w:line="276" w:lineRule="auto"/>
              <w:rPr>
                <w:lang w:eastAsia="lt-LT"/>
              </w:rPr>
            </w:pPr>
            <w:r w:rsidRPr="0006427F">
              <w:rPr>
                <w:lang w:eastAsia="lt-LT"/>
              </w:rPr>
              <w:t xml:space="preserve">Vaistinių preparatų įsigijimo </w:t>
            </w:r>
          </w:p>
        </w:tc>
        <w:tc>
          <w:tcPr>
            <w:tcW w:w="1707" w:type="dxa"/>
            <w:noWrap/>
          </w:tcPr>
          <w:p w14:paraId="3781BD09" w14:textId="4DBE53DB" w:rsidR="002A236C" w:rsidRPr="0006427F" w:rsidRDefault="009A3AD1" w:rsidP="00AE5A4D">
            <w:pPr>
              <w:rPr>
                <w:color w:val="000000"/>
              </w:rPr>
            </w:pPr>
            <w:r>
              <w:rPr>
                <w:rFonts w:eastAsia="Arial"/>
              </w:rPr>
              <w:t xml:space="preserve">*** </w:t>
            </w:r>
            <w:r w:rsidR="002A236C" w:rsidRPr="008A089F">
              <w:rPr>
                <w:sz w:val="22"/>
                <w:szCs w:val="22"/>
              </w:rPr>
              <w:t>€</w:t>
            </w:r>
          </w:p>
        </w:tc>
        <w:tc>
          <w:tcPr>
            <w:tcW w:w="2153" w:type="dxa"/>
            <w:noWrap/>
          </w:tcPr>
          <w:p w14:paraId="073DC70F" w14:textId="0DCCE523" w:rsidR="002A236C" w:rsidRPr="002A236C" w:rsidRDefault="00201892" w:rsidP="00AE5A4D">
            <w:pPr>
              <w:jc w:val="both"/>
              <w:outlineLvl w:val="0"/>
              <w:rPr>
                <w:sz w:val="22"/>
                <w:szCs w:val="22"/>
              </w:rPr>
            </w:pPr>
            <w:r>
              <w:rPr>
                <w:sz w:val="22"/>
                <w:szCs w:val="22"/>
                <w:lang w:val="en-US"/>
              </w:rPr>
              <w:t>***</w:t>
            </w:r>
            <w:r w:rsidR="002A236C" w:rsidRPr="002A236C">
              <w:rPr>
                <w:sz w:val="22"/>
                <w:szCs w:val="22"/>
              </w:rPr>
              <w:t xml:space="preserve"> €</w:t>
            </w:r>
          </w:p>
          <w:p w14:paraId="680A342F" w14:textId="77777777" w:rsidR="002A236C" w:rsidRPr="002A236C" w:rsidRDefault="002A236C" w:rsidP="00AE5A4D">
            <w:pPr>
              <w:rPr>
                <w:lang w:eastAsia="lt-LT"/>
              </w:rPr>
            </w:pPr>
          </w:p>
        </w:tc>
        <w:tc>
          <w:tcPr>
            <w:tcW w:w="3211" w:type="dxa"/>
            <w:noWrap/>
          </w:tcPr>
          <w:p w14:paraId="6A80CF94" w14:textId="676F0F63" w:rsidR="002A236C" w:rsidRPr="002A236C" w:rsidRDefault="00201892" w:rsidP="00AE5A4D">
            <w:pPr>
              <w:rPr>
                <w:sz w:val="22"/>
                <w:szCs w:val="22"/>
                <w:lang w:eastAsia="lt-LT"/>
              </w:rPr>
            </w:pPr>
            <w:r>
              <w:rPr>
                <w:sz w:val="22"/>
                <w:szCs w:val="22"/>
              </w:rPr>
              <w:t>***</w:t>
            </w:r>
            <w:r w:rsidR="002A236C" w:rsidRPr="002A236C">
              <w:rPr>
                <w:sz w:val="22"/>
                <w:szCs w:val="22"/>
              </w:rPr>
              <w:t xml:space="preserve"> €</w:t>
            </w:r>
          </w:p>
          <w:p w14:paraId="6AA85F2B" w14:textId="77777777" w:rsidR="002A236C" w:rsidRPr="002A236C" w:rsidRDefault="002A236C" w:rsidP="00AE5A4D">
            <w:pPr>
              <w:outlineLvl w:val="0"/>
              <w:rPr>
                <w:lang w:eastAsia="lt-LT"/>
              </w:rPr>
            </w:pPr>
          </w:p>
        </w:tc>
      </w:tr>
      <w:tr w:rsidR="002A236C" w:rsidRPr="00855B02" w14:paraId="09437540" w14:textId="77777777" w:rsidTr="00AE5A4D">
        <w:trPr>
          <w:trHeight w:val="242"/>
          <w:jc w:val="center"/>
        </w:trPr>
        <w:tc>
          <w:tcPr>
            <w:tcW w:w="2788" w:type="dxa"/>
            <w:noWrap/>
          </w:tcPr>
          <w:p w14:paraId="3E0DDA38" w14:textId="77777777" w:rsidR="002A236C" w:rsidRPr="0006427F" w:rsidRDefault="002A236C" w:rsidP="00AE5A4D">
            <w:pPr>
              <w:spacing w:line="276" w:lineRule="auto"/>
              <w:rPr>
                <w:lang w:eastAsia="lt-LT"/>
              </w:rPr>
            </w:pPr>
            <w:r w:rsidRPr="0006427F">
              <w:rPr>
                <w:lang w:eastAsia="lt-LT"/>
              </w:rPr>
              <w:t>Vaistinių preparatų skyrimo</w:t>
            </w:r>
          </w:p>
        </w:tc>
        <w:tc>
          <w:tcPr>
            <w:tcW w:w="1707" w:type="dxa"/>
            <w:noWrap/>
          </w:tcPr>
          <w:p w14:paraId="34795B94" w14:textId="4E8B36B3" w:rsidR="002A236C" w:rsidRPr="008A089F" w:rsidRDefault="009A3AD1" w:rsidP="00AE5A4D">
            <w:pPr>
              <w:outlineLvl w:val="0"/>
              <w:rPr>
                <w:color w:val="000000"/>
                <w:sz w:val="22"/>
                <w:szCs w:val="22"/>
              </w:rPr>
            </w:pPr>
            <w:r>
              <w:rPr>
                <w:rFonts w:eastAsia="Arial"/>
              </w:rPr>
              <w:t xml:space="preserve">*** </w:t>
            </w:r>
            <w:r w:rsidR="002A236C" w:rsidRPr="008A089F">
              <w:rPr>
                <w:color w:val="000000"/>
                <w:sz w:val="22"/>
                <w:szCs w:val="22"/>
              </w:rPr>
              <w:t>€</w:t>
            </w:r>
          </w:p>
          <w:p w14:paraId="2EBB1050" w14:textId="77777777" w:rsidR="002A236C" w:rsidRPr="0006427F" w:rsidRDefault="002A236C" w:rsidP="00AE5A4D"/>
        </w:tc>
        <w:tc>
          <w:tcPr>
            <w:tcW w:w="2153" w:type="dxa"/>
            <w:noWrap/>
          </w:tcPr>
          <w:p w14:paraId="596D94D8" w14:textId="43F95052" w:rsidR="002A236C" w:rsidRPr="002A236C" w:rsidRDefault="009A3AD1" w:rsidP="00AE5A4D">
            <w:pPr>
              <w:outlineLvl w:val="0"/>
              <w:rPr>
                <w:sz w:val="22"/>
                <w:szCs w:val="22"/>
              </w:rPr>
            </w:pPr>
            <w:r>
              <w:rPr>
                <w:rFonts w:eastAsia="Arial"/>
              </w:rPr>
              <w:t xml:space="preserve">*** </w:t>
            </w:r>
            <w:r w:rsidR="002A236C" w:rsidRPr="002A236C">
              <w:rPr>
                <w:sz w:val="22"/>
                <w:szCs w:val="22"/>
              </w:rPr>
              <w:t>€</w:t>
            </w:r>
          </w:p>
          <w:p w14:paraId="5BF3FCC2" w14:textId="77777777" w:rsidR="002A236C" w:rsidRPr="002A236C" w:rsidRDefault="002A236C" w:rsidP="00AE5A4D">
            <w:pPr>
              <w:jc w:val="both"/>
              <w:outlineLvl w:val="0"/>
            </w:pPr>
          </w:p>
        </w:tc>
        <w:tc>
          <w:tcPr>
            <w:tcW w:w="3211" w:type="dxa"/>
            <w:noWrap/>
          </w:tcPr>
          <w:p w14:paraId="3A347399" w14:textId="77777777" w:rsidR="002A236C" w:rsidRPr="002A236C" w:rsidRDefault="002A236C" w:rsidP="00AE5A4D">
            <w:pPr>
              <w:rPr>
                <w:lang w:eastAsia="lt-LT"/>
              </w:rPr>
            </w:pPr>
            <w:r w:rsidRPr="002A236C">
              <w:rPr>
                <w:lang w:eastAsia="lt-LT"/>
              </w:rPr>
              <w:t>-</w:t>
            </w:r>
          </w:p>
        </w:tc>
      </w:tr>
      <w:tr w:rsidR="002A236C" w:rsidRPr="00855B02" w14:paraId="2EF4B851" w14:textId="77777777" w:rsidTr="00AE5A4D">
        <w:trPr>
          <w:trHeight w:val="231"/>
          <w:jc w:val="center"/>
        </w:trPr>
        <w:tc>
          <w:tcPr>
            <w:tcW w:w="2788" w:type="dxa"/>
            <w:noWrap/>
            <w:hideMark/>
          </w:tcPr>
          <w:p w14:paraId="7BF5C25B" w14:textId="77777777" w:rsidR="002A236C" w:rsidRPr="0006427F" w:rsidRDefault="002A236C" w:rsidP="00AE5A4D">
            <w:pPr>
              <w:spacing w:line="276" w:lineRule="auto"/>
              <w:rPr>
                <w:b/>
                <w:bCs/>
                <w:highlight w:val="yellow"/>
                <w:lang w:eastAsia="lt-LT"/>
              </w:rPr>
            </w:pPr>
            <w:r w:rsidRPr="006A1BF0">
              <w:rPr>
                <w:b/>
                <w:bCs/>
                <w:lang w:eastAsia="lt-LT"/>
              </w:rPr>
              <w:t xml:space="preserve">Viso kaštai (Eur.) </w:t>
            </w:r>
          </w:p>
        </w:tc>
        <w:tc>
          <w:tcPr>
            <w:tcW w:w="1707" w:type="dxa"/>
            <w:noWrap/>
            <w:vAlign w:val="bottom"/>
          </w:tcPr>
          <w:p w14:paraId="1E2E2069" w14:textId="5EF3B438" w:rsidR="002A236C" w:rsidRPr="0006427F" w:rsidRDefault="009A3AD1" w:rsidP="00AE5A4D">
            <w:pPr>
              <w:rPr>
                <w:color w:val="000000"/>
              </w:rPr>
            </w:pPr>
            <w:r>
              <w:rPr>
                <w:rFonts w:eastAsia="Arial"/>
              </w:rPr>
              <w:t xml:space="preserve">*** </w:t>
            </w:r>
            <w:r w:rsidR="00201892">
              <w:rPr>
                <w:b/>
                <w:bCs/>
              </w:rPr>
              <w:t>Eur.</w:t>
            </w:r>
          </w:p>
        </w:tc>
        <w:tc>
          <w:tcPr>
            <w:tcW w:w="2153" w:type="dxa"/>
            <w:noWrap/>
          </w:tcPr>
          <w:p w14:paraId="6A9E1FA7" w14:textId="72926025" w:rsidR="002A236C" w:rsidRPr="002A236C" w:rsidRDefault="00201892" w:rsidP="00AE5A4D">
            <w:pPr>
              <w:rPr>
                <w:b/>
                <w:bCs/>
                <w:highlight w:val="yellow"/>
                <w:lang w:eastAsia="lt-LT"/>
              </w:rPr>
            </w:pPr>
            <w:r>
              <w:rPr>
                <w:b/>
              </w:rPr>
              <w:t>***</w:t>
            </w:r>
            <w:r w:rsidR="002A236C" w:rsidRPr="002A236C">
              <w:rPr>
                <w:b/>
              </w:rPr>
              <w:t xml:space="preserve"> Eur.</w:t>
            </w:r>
          </w:p>
        </w:tc>
        <w:tc>
          <w:tcPr>
            <w:tcW w:w="3211" w:type="dxa"/>
            <w:noWrap/>
          </w:tcPr>
          <w:p w14:paraId="4F313CC2" w14:textId="5B61E057" w:rsidR="002A236C" w:rsidRPr="002A236C" w:rsidRDefault="00201892" w:rsidP="00AE5A4D">
            <w:pPr>
              <w:rPr>
                <w:b/>
              </w:rPr>
            </w:pPr>
            <w:r>
              <w:rPr>
                <w:b/>
                <w:u w:val="single"/>
              </w:rPr>
              <w:t>*** Eur., (***</w:t>
            </w:r>
            <w:r w:rsidR="002A236C" w:rsidRPr="002A236C">
              <w:rPr>
                <w:b/>
                <w:u w:val="single"/>
              </w:rPr>
              <w:t xml:space="preserve"> proc.)</w:t>
            </w:r>
          </w:p>
        </w:tc>
      </w:tr>
    </w:tbl>
    <w:p w14:paraId="7D4FCD18" w14:textId="77777777" w:rsidR="002A236C" w:rsidRDefault="002A236C" w:rsidP="002A236C">
      <w:pPr>
        <w:spacing w:line="276" w:lineRule="auto"/>
        <w:ind w:firstLine="360"/>
        <w:jc w:val="both"/>
        <w:rPr>
          <w:rFonts w:eastAsia="Arial"/>
        </w:rPr>
      </w:pPr>
    </w:p>
    <w:p w14:paraId="797C1178" w14:textId="369CE1C8" w:rsidR="002A236C" w:rsidRDefault="002A236C" w:rsidP="002A236C">
      <w:pPr>
        <w:spacing w:line="276" w:lineRule="auto"/>
        <w:ind w:firstLine="360"/>
        <w:jc w:val="both"/>
        <w:rPr>
          <w:color w:val="000000"/>
          <w:lang w:eastAsia="lt-LT"/>
        </w:rPr>
      </w:pPr>
      <w:r w:rsidRPr="00B30355">
        <w:rPr>
          <w:rFonts w:eastAsia="Arial"/>
        </w:rPr>
        <w:t>Apibendrinant, kadangi Pareiškėjas teikia tą pačią tislelizumabo pakuotės kainą KNA ir KMA</w:t>
      </w:r>
      <w:r>
        <w:rPr>
          <w:rFonts w:eastAsia="Arial"/>
        </w:rPr>
        <w:t>,</w:t>
      </w:r>
      <w:r w:rsidRPr="00B30355">
        <w:rPr>
          <w:rFonts w:eastAsia="Arial"/>
        </w:rPr>
        <w:t xml:space="preserve"> (</w:t>
      </w:r>
      <w:r w:rsidRPr="00FB178A">
        <w:rPr>
          <w:i/>
          <w:color w:val="000000"/>
        </w:rPr>
        <w:t xml:space="preserve">Tevimbra 100 mg </w:t>
      </w:r>
      <w:r w:rsidRPr="001669B0">
        <w:rPr>
          <w:i/>
          <w:color w:val="000000"/>
        </w:rPr>
        <w:t>koncentratas infuziniam tirpalui</w:t>
      </w:r>
      <w:r w:rsidRPr="00FB178A">
        <w:rPr>
          <w:i/>
          <w:color w:val="000000"/>
        </w:rPr>
        <w:t xml:space="preserve">, 10 ml vial, N1 – </w:t>
      </w:r>
      <w:r w:rsidR="009A3AD1">
        <w:rPr>
          <w:rFonts w:eastAsia="Arial"/>
        </w:rPr>
        <w:t xml:space="preserve">*** </w:t>
      </w:r>
      <w:r w:rsidRPr="00FB178A">
        <w:rPr>
          <w:i/>
          <w:color w:val="000000"/>
        </w:rPr>
        <w:t>Eur.</w:t>
      </w:r>
      <w:r>
        <w:rPr>
          <w:color w:val="000000"/>
        </w:rPr>
        <w:t xml:space="preserve">) bei pembrolizumabas (ir nivolumabas) </w:t>
      </w:r>
      <w:r w:rsidRPr="00B30355">
        <w:rPr>
          <w:rFonts w:eastAsia="Arial"/>
        </w:rPr>
        <w:t xml:space="preserve">yra laikomas </w:t>
      </w:r>
      <w:r>
        <w:rPr>
          <w:rFonts w:eastAsia="Arial"/>
        </w:rPr>
        <w:t>aktualiu palyginamuoju gydymu, yra laikoma,</w:t>
      </w:r>
      <w:r w:rsidRPr="00B30355">
        <w:rPr>
          <w:rFonts w:eastAsia="Arial"/>
        </w:rPr>
        <w:t xml:space="preserve"> kad tislelizumabo kaštai </w:t>
      </w:r>
      <w:r>
        <w:rPr>
          <w:rFonts w:eastAsia="Arial"/>
        </w:rPr>
        <w:t>turi atitikti</w:t>
      </w:r>
      <w:r w:rsidRPr="00B30355">
        <w:rPr>
          <w:rFonts w:eastAsia="Arial"/>
        </w:rPr>
        <w:t xml:space="preserve"> sunkiai ligos naštai taikomą referencinę kaštų naudingumo vertę</w:t>
      </w:r>
      <w:r>
        <w:rPr>
          <w:rFonts w:eastAsia="Arial"/>
        </w:rPr>
        <w:t xml:space="preserve"> (pagal KNA)</w:t>
      </w:r>
      <w:r w:rsidRPr="00B30355">
        <w:rPr>
          <w:rFonts w:eastAsia="Arial"/>
        </w:rPr>
        <w:t xml:space="preserve"> ir pagal KMA</w:t>
      </w:r>
      <w:r>
        <w:rPr>
          <w:rFonts w:eastAsia="Arial"/>
        </w:rPr>
        <w:t>:</w:t>
      </w:r>
      <w:r w:rsidRPr="00B30355">
        <w:rPr>
          <w:rFonts w:eastAsia="Arial"/>
        </w:rPr>
        <w:t xml:space="preserve"> Kompensuojamųjų vaistinių preparatų Tvarkos apraše numatytą </w:t>
      </w:r>
      <w:r w:rsidRPr="00B30355">
        <w:rPr>
          <w:color w:val="000000"/>
        </w:rPr>
        <w:t>54.1</w:t>
      </w:r>
      <w:r w:rsidRPr="00B30355">
        <w:rPr>
          <w:color w:val="000000"/>
          <w:vertAlign w:val="superscript"/>
        </w:rPr>
        <w:t>1</w:t>
      </w:r>
      <w:r w:rsidRPr="00B30355">
        <w:rPr>
          <w:rFonts w:eastAsia="Arial"/>
        </w:rPr>
        <w:t>punktą (</w:t>
      </w:r>
      <w:r w:rsidRPr="00FB178A">
        <w:rPr>
          <w:i/>
          <w:color w:val="000000"/>
        </w:rPr>
        <w:t xml:space="preserve">siūlyti įrašyti vaistinį preparatą, dėl kurio pateikta Aprašo 29.1.2 papunktyje nurodyta išvada, į A sąrašą ar Centralizuotai apmokamų vaistinių preparatų ir medicinos pagalbos priemonių sąrašą, jei PSDF biudžeto išlaidos vaistiniams preparatams, lyginant su palyginamuoju gydymu, </w:t>
      </w:r>
      <w:r w:rsidRPr="00FB178A">
        <w:rPr>
          <w:i/>
          <w:color w:val="000000"/>
          <w:u w:val="single"/>
        </w:rPr>
        <w:t>mažėja ne mažiau kaip 5 proc. pirmaisiais kompensavimo metais ir šis mažėjimas išlaikomas per pirmuosius penkerius vaistinio preparato kompensavimo metus</w:t>
      </w:r>
      <w:r w:rsidRPr="00B30355">
        <w:rPr>
          <w:color w:val="000000"/>
        </w:rPr>
        <w:t>)</w:t>
      </w:r>
      <w:r>
        <w:rPr>
          <w:color w:val="000000"/>
        </w:rPr>
        <w:t>. Kadangi a</w:t>
      </w:r>
      <w:r w:rsidRPr="00B30355">
        <w:rPr>
          <w:color w:val="000000"/>
        </w:rPr>
        <w:t xml:space="preserve">pskaičiuotais KMA rezultatais tislelizumabas yra </w:t>
      </w:r>
      <w:r w:rsidR="00201892">
        <w:rPr>
          <w:color w:val="000000"/>
        </w:rPr>
        <w:t>***</w:t>
      </w:r>
      <w:r w:rsidRPr="009A6D7A">
        <w:rPr>
          <w:color w:val="000000"/>
        </w:rPr>
        <w:t xml:space="preserve"> proc. brangesnė gydymo alternatyva</w:t>
      </w:r>
      <w:r>
        <w:rPr>
          <w:color w:val="000000"/>
        </w:rPr>
        <w:t xml:space="preserve"> nei pembrolizumabas</w:t>
      </w:r>
      <w:r w:rsidRPr="009A6D7A">
        <w:rPr>
          <w:color w:val="000000"/>
        </w:rPr>
        <w:t xml:space="preserve"> ir siekiant, kad kaštai būtų mažinami ne mažiau 5 proc., reikalinga apie </w:t>
      </w:r>
      <w:r w:rsidR="00201892">
        <w:rPr>
          <w:color w:val="000000"/>
          <w:u w:val="single"/>
        </w:rPr>
        <w:t>***</w:t>
      </w:r>
      <w:r w:rsidRPr="00B46902">
        <w:rPr>
          <w:color w:val="000000"/>
          <w:u w:val="single"/>
        </w:rPr>
        <w:t xml:space="preserve"> proc. kainos nuolaida</w:t>
      </w:r>
      <w:r w:rsidRPr="009A6D7A">
        <w:rPr>
          <w:color w:val="000000"/>
        </w:rPr>
        <w:t xml:space="preserve">, t.y. tislelizumabo pakuotės (Tevimbra 100 mg koncentratas infuziniam tirpalui, 10 ml vial, N1) kaina turi būti ne didesnė nei </w:t>
      </w:r>
      <w:r w:rsidR="009A3AD1">
        <w:rPr>
          <w:rFonts w:eastAsia="Arial"/>
        </w:rPr>
        <w:t xml:space="preserve">*** </w:t>
      </w:r>
      <w:r w:rsidRPr="009A6D7A">
        <w:rPr>
          <w:color w:val="000000"/>
        </w:rPr>
        <w:t>Eur.</w:t>
      </w:r>
    </w:p>
    <w:p w14:paraId="2B6057E6" w14:textId="198429F3" w:rsidR="00EC194E" w:rsidRPr="000203E1" w:rsidRDefault="00EC194E" w:rsidP="00434D0C">
      <w:pPr>
        <w:tabs>
          <w:tab w:val="left" w:pos="426"/>
        </w:tabs>
        <w:spacing w:line="276" w:lineRule="auto"/>
        <w:rPr>
          <w:b/>
          <w:bCs/>
          <w:caps/>
        </w:rPr>
      </w:pPr>
    </w:p>
    <w:p w14:paraId="4FC424F9" w14:textId="4E767245" w:rsidR="00C62B36" w:rsidRPr="000203E1" w:rsidRDefault="00C62B36" w:rsidP="00434D0C">
      <w:pPr>
        <w:pStyle w:val="Sraopastraipa"/>
        <w:numPr>
          <w:ilvl w:val="0"/>
          <w:numId w:val="12"/>
        </w:numPr>
        <w:tabs>
          <w:tab w:val="left" w:pos="567"/>
        </w:tabs>
        <w:spacing w:line="276" w:lineRule="auto"/>
        <w:ind w:hanging="720"/>
        <w:rPr>
          <w:b/>
          <w:bCs/>
          <w:caps/>
        </w:rPr>
      </w:pPr>
      <w:r w:rsidRPr="000203E1">
        <w:rPr>
          <w:b/>
          <w:bCs/>
          <w:caps/>
        </w:rPr>
        <w:t xml:space="preserve">Pacientų organizacijų pateikti duomenys </w:t>
      </w:r>
    </w:p>
    <w:p w14:paraId="79BCFF40" w14:textId="3B292590" w:rsidR="00937907" w:rsidRPr="000203E1" w:rsidRDefault="00000000" w:rsidP="00434D0C">
      <w:pPr>
        <w:spacing w:after="120" w:line="276" w:lineRule="auto"/>
        <w:jc w:val="both"/>
      </w:pPr>
      <w:sdt>
        <w:sdtPr>
          <w:rPr>
            <w:rStyle w:val="Style2"/>
            <w:rFonts w:ascii="MS Gothic" w:eastAsia="MS Gothic" w:hAnsi="MS Gothic"/>
            <w:sz w:val="24"/>
          </w:rPr>
          <w:id w:val="1150014178"/>
          <w15:color w:val="FFCC00"/>
          <w14:checkbox>
            <w14:checked w14:val="0"/>
            <w14:checkedState w14:val="2612" w14:font="MS Gothic"/>
            <w14:uncheckedState w14:val="2610" w14:font="MS Gothic"/>
          </w14:checkbox>
        </w:sdtPr>
        <w:sdtContent>
          <w:r w:rsidR="00937907" w:rsidRPr="000203E1">
            <w:rPr>
              <w:rStyle w:val="Style2"/>
              <w:rFonts w:ascii="MS Gothic" w:eastAsia="MS Gothic" w:hAnsi="MS Gothic" w:hint="eastAsia"/>
              <w:sz w:val="24"/>
            </w:rPr>
            <w:t>☐</w:t>
          </w:r>
        </w:sdtContent>
      </w:sdt>
      <w:r w:rsidR="00937907" w:rsidRPr="000203E1">
        <w:t xml:space="preserve"> Pacientų organizacijos pozicija pateikta</w:t>
      </w:r>
      <w:r w:rsidR="00016F32">
        <w:t>.</w:t>
      </w:r>
    </w:p>
    <w:p w14:paraId="62992180" w14:textId="1624820D" w:rsidR="00937907" w:rsidRPr="000203E1" w:rsidRDefault="00000000" w:rsidP="00434D0C">
      <w:pPr>
        <w:spacing w:after="120" w:line="276" w:lineRule="auto"/>
        <w:jc w:val="both"/>
      </w:pPr>
      <w:sdt>
        <w:sdtPr>
          <w:rPr>
            <w:rStyle w:val="Style2"/>
            <w:rFonts w:ascii="MS Gothic" w:eastAsia="MS Gothic" w:hAnsi="MS Gothic"/>
            <w:sz w:val="24"/>
          </w:rPr>
          <w:id w:val="-1545513810"/>
          <w15:color w:val="FFCC00"/>
          <w14:checkbox>
            <w14:checked w14:val="1"/>
            <w14:checkedState w14:val="2612" w14:font="MS Gothic"/>
            <w14:uncheckedState w14:val="2610" w14:font="MS Gothic"/>
          </w14:checkbox>
        </w:sdtPr>
        <w:sdtContent>
          <w:r w:rsidR="008E329C">
            <w:rPr>
              <w:rStyle w:val="Style2"/>
              <w:rFonts w:ascii="MS Gothic" w:eastAsia="MS Gothic" w:hAnsi="MS Gothic" w:hint="eastAsia"/>
              <w:sz w:val="24"/>
            </w:rPr>
            <w:t>☒</w:t>
          </w:r>
        </w:sdtContent>
      </w:sdt>
      <w:r w:rsidR="00937907" w:rsidRPr="000203E1">
        <w:t xml:space="preserve"> Pacientų organizacijos pozicija </w:t>
      </w:r>
      <w:r w:rsidR="00880A44" w:rsidRPr="000203E1">
        <w:t>ne</w:t>
      </w:r>
      <w:r w:rsidR="00937907" w:rsidRPr="000203E1">
        <w:t>pateikta.</w:t>
      </w:r>
    </w:p>
    <w:p w14:paraId="03E73D82" w14:textId="77777777" w:rsidR="00D417D2" w:rsidRPr="000203E1" w:rsidRDefault="00D417D2" w:rsidP="00434D0C">
      <w:pPr>
        <w:spacing w:after="120" w:line="276" w:lineRule="auto"/>
        <w:jc w:val="both"/>
      </w:pPr>
    </w:p>
    <w:p w14:paraId="3D3277FA" w14:textId="3CEEB2D2" w:rsidR="00C62B36" w:rsidRPr="000203E1" w:rsidRDefault="00C62B36" w:rsidP="00434D0C">
      <w:pPr>
        <w:pStyle w:val="Sraopastraipa"/>
        <w:numPr>
          <w:ilvl w:val="0"/>
          <w:numId w:val="12"/>
        </w:numPr>
        <w:tabs>
          <w:tab w:val="left" w:pos="567"/>
        </w:tabs>
        <w:spacing w:line="276" w:lineRule="auto"/>
        <w:ind w:hanging="720"/>
        <w:rPr>
          <w:b/>
          <w:bCs/>
          <w:caps/>
        </w:rPr>
      </w:pPr>
      <w:r w:rsidRPr="000203E1">
        <w:rPr>
          <w:b/>
          <w:bCs/>
          <w:caps/>
        </w:rPr>
        <w:t>Gydytojų organizacijų pateikti duomenys</w:t>
      </w:r>
    </w:p>
    <w:p w14:paraId="389A346C" w14:textId="7E07BB13" w:rsidR="00937907" w:rsidRPr="000203E1" w:rsidRDefault="00000000" w:rsidP="00434D0C">
      <w:pPr>
        <w:spacing w:after="120" w:line="276" w:lineRule="auto"/>
        <w:jc w:val="both"/>
      </w:pPr>
      <w:sdt>
        <w:sdtPr>
          <w:rPr>
            <w:rStyle w:val="Style2"/>
            <w:rFonts w:ascii="MS Gothic" w:eastAsia="MS Gothic" w:hAnsi="MS Gothic"/>
            <w:sz w:val="24"/>
          </w:rPr>
          <w:id w:val="1613862788"/>
          <w15:color w:val="FFCC00"/>
          <w14:checkbox>
            <w14:checked w14:val="0"/>
            <w14:checkedState w14:val="2612" w14:font="MS Gothic"/>
            <w14:uncheckedState w14:val="2610" w14:font="MS Gothic"/>
          </w14:checkbox>
        </w:sdtPr>
        <w:sdtContent>
          <w:r w:rsidR="00905EC5">
            <w:rPr>
              <w:rStyle w:val="Style2"/>
              <w:rFonts w:ascii="MS Gothic" w:eastAsia="MS Gothic" w:hAnsi="MS Gothic" w:hint="eastAsia"/>
              <w:sz w:val="24"/>
            </w:rPr>
            <w:t>☐</w:t>
          </w:r>
        </w:sdtContent>
      </w:sdt>
      <w:r w:rsidR="00662983" w:rsidRPr="000203E1">
        <w:t xml:space="preserve"> </w:t>
      </w:r>
      <w:r w:rsidR="00937907" w:rsidRPr="000203E1">
        <w:t>Gydytojų specialistų organizacijos pozicija pateikta.</w:t>
      </w:r>
    </w:p>
    <w:p w14:paraId="3701D46A" w14:textId="77AB0B3E" w:rsidR="00A042B9" w:rsidRDefault="00000000" w:rsidP="00434D0C">
      <w:pPr>
        <w:spacing w:after="120" w:line="276" w:lineRule="auto"/>
        <w:jc w:val="both"/>
      </w:pPr>
      <w:sdt>
        <w:sdtPr>
          <w:rPr>
            <w:rStyle w:val="Style2"/>
            <w:rFonts w:ascii="MS Gothic" w:eastAsia="MS Gothic" w:hAnsi="MS Gothic"/>
            <w:sz w:val="24"/>
          </w:rPr>
          <w:id w:val="-41988141"/>
          <w15:color w:val="FFCC00"/>
          <w14:checkbox>
            <w14:checked w14:val="1"/>
            <w14:checkedState w14:val="2612" w14:font="MS Gothic"/>
            <w14:uncheckedState w14:val="2610" w14:font="MS Gothic"/>
          </w14:checkbox>
        </w:sdtPr>
        <w:sdtContent>
          <w:r w:rsidR="00905EC5">
            <w:rPr>
              <w:rStyle w:val="Style2"/>
              <w:rFonts w:ascii="MS Gothic" w:eastAsia="MS Gothic" w:hAnsi="MS Gothic" w:hint="eastAsia"/>
              <w:sz w:val="24"/>
            </w:rPr>
            <w:t>☒</w:t>
          </w:r>
        </w:sdtContent>
      </w:sdt>
      <w:r w:rsidR="00662983" w:rsidRPr="000203E1">
        <w:t xml:space="preserve"> </w:t>
      </w:r>
      <w:r w:rsidR="00937907" w:rsidRPr="000203E1">
        <w:t xml:space="preserve">Gydytojų specialistų organizacijos pozicija </w:t>
      </w:r>
      <w:r w:rsidR="00880A44" w:rsidRPr="000203E1">
        <w:t>ne</w:t>
      </w:r>
      <w:r w:rsidR="00937907" w:rsidRPr="000203E1">
        <w:t>pateikta.</w:t>
      </w:r>
    </w:p>
    <w:p w14:paraId="6B18CF25" w14:textId="77777777" w:rsidR="00F533A8" w:rsidRPr="000203E1" w:rsidRDefault="00F533A8" w:rsidP="00434D0C">
      <w:pPr>
        <w:spacing w:after="120" w:line="276" w:lineRule="auto"/>
        <w:jc w:val="both"/>
      </w:pPr>
    </w:p>
    <w:p w14:paraId="78F23ECB" w14:textId="23A3A002" w:rsidR="002F0E4F" w:rsidRPr="000203E1" w:rsidRDefault="002F0E4F" w:rsidP="00434D0C">
      <w:pPr>
        <w:pStyle w:val="Sraopastraipa"/>
        <w:numPr>
          <w:ilvl w:val="0"/>
          <w:numId w:val="12"/>
        </w:numPr>
        <w:tabs>
          <w:tab w:val="left" w:pos="567"/>
        </w:tabs>
        <w:spacing w:line="276" w:lineRule="auto"/>
        <w:ind w:hanging="720"/>
        <w:rPr>
          <w:b/>
          <w:bCs/>
          <w:caps/>
        </w:rPr>
      </w:pPr>
      <w:r w:rsidRPr="000203E1">
        <w:rPr>
          <w:b/>
          <w:bCs/>
          <w:caps/>
        </w:rPr>
        <w:t xml:space="preserve">Išvada </w:t>
      </w:r>
    </w:p>
    <w:p w14:paraId="08D5B3B6" w14:textId="3492CFB8" w:rsidR="0061611B" w:rsidRDefault="0061611B" w:rsidP="00045709">
      <w:pPr>
        <w:spacing w:line="276" w:lineRule="auto"/>
        <w:ind w:firstLine="720"/>
        <w:rPr>
          <w:i/>
          <w:szCs w:val="22"/>
        </w:rPr>
      </w:pPr>
    </w:p>
    <w:tbl>
      <w:tblPr>
        <w:tblStyle w:val="Lentelstinklelis"/>
        <w:tblW w:w="0" w:type="auto"/>
        <w:tblLook w:val="04A0" w:firstRow="1" w:lastRow="0" w:firstColumn="1" w:lastColumn="0" w:noHBand="0" w:noVBand="1"/>
      </w:tblPr>
      <w:tblGrid>
        <w:gridCol w:w="4815"/>
        <w:gridCol w:w="4814"/>
      </w:tblGrid>
      <w:tr w:rsidR="00931A54" w:rsidRPr="00034325" w14:paraId="5BF2B94B" w14:textId="77777777" w:rsidTr="00427779">
        <w:trPr>
          <w:trHeight w:val="510"/>
        </w:trPr>
        <w:tc>
          <w:tcPr>
            <w:tcW w:w="9629" w:type="dxa"/>
            <w:gridSpan w:val="2"/>
            <w:tcBorders>
              <w:top w:val="single" w:sz="4" w:space="0" w:color="auto"/>
              <w:left w:val="single" w:sz="4" w:space="0" w:color="auto"/>
              <w:bottom w:val="single" w:sz="4" w:space="0" w:color="auto"/>
              <w:right w:val="single" w:sz="4" w:space="0" w:color="auto"/>
            </w:tcBorders>
            <w:vAlign w:val="center"/>
            <w:hideMark/>
          </w:tcPr>
          <w:p w14:paraId="301CCD0A" w14:textId="77777777" w:rsidR="00931A54" w:rsidRPr="00034325" w:rsidRDefault="00931A54" w:rsidP="00931A54">
            <w:pPr>
              <w:spacing w:line="276" w:lineRule="auto"/>
              <w:jc w:val="center"/>
              <w:rPr>
                <w:rFonts w:eastAsia="Arial"/>
                <w:b/>
                <w:bCs/>
                <w:iCs/>
              </w:rPr>
            </w:pPr>
            <w:r w:rsidRPr="00034325">
              <w:rPr>
                <w:rFonts w:eastAsia="Arial"/>
                <w:b/>
                <w:bCs/>
                <w:iCs/>
              </w:rPr>
              <w:t>Palyginamasis veiksmingumas</w:t>
            </w:r>
          </w:p>
        </w:tc>
      </w:tr>
      <w:tr w:rsidR="00931A54" w:rsidRPr="00034325" w14:paraId="147A875A" w14:textId="77777777" w:rsidTr="00427779">
        <w:tc>
          <w:tcPr>
            <w:tcW w:w="4815" w:type="dxa"/>
            <w:tcBorders>
              <w:top w:val="single" w:sz="4" w:space="0" w:color="auto"/>
              <w:left w:val="single" w:sz="4" w:space="0" w:color="auto"/>
              <w:bottom w:val="single" w:sz="4" w:space="0" w:color="auto"/>
              <w:right w:val="single" w:sz="4" w:space="0" w:color="auto"/>
            </w:tcBorders>
          </w:tcPr>
          <w:p w14:paraId="09BB6916" w14:textId="3BC6D671" w:rsidR="00931A54" w:rsidRPr="00034325" w:rsidRDefault="00000000" w:rsidP="00427779">
            <w:pPr>
              <w:spacing w:line="276" w:lineRule="auto"/>
              <w:rPr>
                <w:rFonts w:eastAsia="Arial"/>
                <w:bCs/>
                <w:iCs/>
              </w:rPr>
            </w:pPr>
            <w:sdt>
              <w:sdtPr>
                <w:rPr>
                  <w:rFonts w:eastAsia="Arial"/>
                  <w:bCs/>
                  <w:iCs/>
                </w:rPr>
                <w:id w:val="1397324644"/>
                <w14:checkbox>
                  <w14:checked w14:val="1"/>
                  <w14:checkedState w14:val="2612" w14:font="MS Gothic"/>
                  <w14:uncheckedState w14:val="2610" w14:font="MS Gothic"/>
                </w14:checkbox>
              </w:sdtPr>
              <w:sdtContent>
                <w:r w:rsidR="00931A54">
                  <w:rPr>
                    <w:rFonts w:ascii="MS Gothic" w:eastAsia="MS Gothic" w:hAnsi="MS Gothic" w:hint="eastAsia"/>
                    <w:bCs/>
                    <w:iCs/>
                  </w:rPr>
                  <w:t>☒</w:t>
                </w:r>
              </w:sdtContent>
            </w:sdt>
            <w:r w:rsidR="00931A54" w:rsidRPr="00034325">
              <w:rPr>
                <w:rFonts w:eastAsia="Arial"/>
                <w:bCs/>
                <w:iCs/>
              </w:rPr>
              <w:t xml:space="preserve"> 29.1.1 yra didesnis, lyginant su įprasta klinikine praktika</w:t>
            </w:r>
            <w:r w:rsidR="00DC5359">
              <w:rPr>
                <w:rFonts w:eastAsia="Arial"/>
                <w:bCs/>
                <w:iCs/>
              </w:rPr>
              <w:t xml:space="preserve"> (chemoterapija)</w:t>
            </w:r>
          </w:p>
          <w:p w14:paraId="75BB279D" w14:textId="77777777" w:rsidR="00931A54" w:rsidRPr="00034325" w:rsidRDefault="00931A54" w:rsidP="00427779">
            <w:pPr>
              <w:spacing w:line="276" w:lineRule="auto"/>
              <w:rPr>
                <w:rFonts w:eastAsia="Arial"/>
                <w:bCs/>
                <w:iCs/>
              </w:rPr>
            </w:pPr>
          </w:p>
          <w:p w14:paraId="27EB9BD6" w14:textId="418CDDC5" w:rsidR="00931A54" w:rsidRPr="00034325" w:rsidRDefault="00000000" w:rsidP="00427779">
            <w:pPr>
              <w:spacing w:line="276" w:lineRule="auto"/>
              <w:rPr>
                <w:rFonts w:eastAsia="Arial"/>
                <w:bCs/>
                <w:iCs/>
              </w:rPr>
            </w:pPr>
            <w:sdt>
              <w:sdtPr>
                <w:rPr>
                  <w:rFonts w:eastAsia="Arial"/>
                  <w:bCs/>
                  <w:iCs/>
                </w:rPr>
                <w:id w:val="418297090"/>
                <w14:checkbox>
                  <w14:checked w14:val="1"/>
                  <w14:checkedState w14:val="2612" w14:font="MS Gothic"/>
                  <w14:uncheckedState w14:val="2610" w14:font="MS Gothic"/>
                </w14:checkbox>
              </w:sdtPr>
              <w:sdtContent>
                <w:r w:rsidR="00DC5359">
                  <w:rPr>
                    <w:rFonts w:ascii="MS Gothic" w:eastAsia="MS Gothic" w:hAnsi="MS Gothic" w:hint="eastAsia"/>
                    <w:bCs/>
                    <w:iCs/>
                  </w:rPr>
                  <w:t>☒</w:t>
                </w:r>
              </w:sdtContent>
            </w:sdt>
            <w:r w:rsidR="00931A54" w:rsidRPr="00034325">
              <w:rPr>
                <w:rFonts w:eastAsia="Arial"/>
                <w:bCs/>
                <w:iCs/>
              </w:rPr>
              <w:t xml:space="preserve"> 29.1.2 iš esmės nesiskiria, lyginant su įprasta klinikine praktika</w:t>
            </w:r>
            <w:r w:rsidR="00DC5359">
              <w:rPr>
                <w:rFonts w:eastAsia="Arial"/>
                <w:bCs/>
                <w:iCs/>
              </w:rPr>
              <w:t xml:space="preserve"> (</w:t>
            </w:r>
            <w:r w:rsidR="00905EC5" w:rsidRPr="00905EC5">
              <w:rPr>
                <w:rFonts w:eastAsia="Arial"/>
                <w:bCs/>
                <w:iCs/>
              </w:rPr>
              <w:t>pembrolizumabo ir chemoterapijos deriniu</w:t>
            </w:r>
            <w:r w:rsidR="00DC5359">
              <w:rPr>
                <w:rFonts w:eastAsia="Arial"/>
                <w:bCs/>
                <w:iCs/>
              </w:rPr>
              <w:t>)</w:t>
            </w:r>
          </w:p>
        </w:tc>
        <w:tc>
          <w:tcPr>
            <w:tcW w:w="4814" w:type="dxa"/>
            <w:tcBorders>
              <w:top w:val="single" w:sz="4" w:space="0" w:color="auto"/>
              <w:left w:val="single" w:sz="4" w:space="0" w:color="auto"/>
              <w:bottom w:val="single" w:sz="4" w:space="0" w:color="auto"/>
              <w:right w:val="single" w:sz="4" w:space="0" w:color="auto"/>
            </w:tcBorders>
          </w:tcPr>
          <w:p w14:paraId="14C62681" w14:textId="77777777" w:rsidR="00931A54" w:rsidRPr="00034325" w:rsidRDefault="00000000" w:rsidP="00427779">
            <w:pPr>
              <w:spacing w:line="276" w:lineRule="auto"/>
              <w:rPr>
                <w:rFonts w:eastAsia="Arial"/>
                <w:bCs/>
                <w:iCs/>
              </w:rPr>
            </w:pPr>
            <w:sdt>
              <w:sdtPr>
                <w:rPr>
                  <w:rFonts w:eastAsia="Arial"/>
                  <w:bCs/>
                  <w:iCs/>
                </w:rPr>
                <w:id w:val="-724755596"/>
                <w14:checkbox>
                  <w14:checked w14:val="0"/>
                  <w14:checkedState w14:val="2612" w14:font="MS Gothic"/>
                  <w14:uncheckedState w14:val="2610" w14:font="MS Gothic"/>
                </w14:checkbox>
              </w:sdt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29.1.3 yra neįrodytas kaip didesnis  ar iš esmės nesiskiriantis, lyginant su įprasta klinikine praktika  </w:t>
            </w:r>
          </w:p>
          <w:p w14:paraId="10BFDA77" w14:textId="77777777" w:rsidR="00931A54" w:rsidRPr="00034325" w:rsidRDefault="00931A54" w:rsidP="00427779">
            <w:pPr>
              <w:spacing w:line="276" w:lineRule="auto"/>
              <w:rPr>
                <w:rFonts w:eastAsia="Arial"/>
                <w:bCs/>
                <w:iCs/>
              </w:rPr>
            </w:pPr>
          </w:p>
          <w:p w14:paraId="2B2CB22A" w14:textId="77777777" w:rsidR="00931A54" w:rsidRPr="00034325" w:rsidRDefault="00000000" w:rsidP="00427779">
            <w:pPr>
              <w:spacing w:line="276" w:lineRule="auto"/>
              <w:rPr>
                <w:rFonts w:eastAsia="Arial"/>
                <w:bCs/>
                <w:iCs/>
              </w:rPr>
            </w:pPr>
            <w:sdt>
              <w:sdtPr>
                <w:rPr>
                  <w:rFonts w:eastAsia="Arial"/>
                  <w:bCs/>
                  <w:iCs/>
                </w:rPr>
                <w:id w:val="1862168479"/>
                <w14:checkbox>
                  <w14:checked w14:val="0"/>
                  <w14:checkedState w14:val="2612" w14:font="MS Gothic"/>
                  <w14:uncheckedState w14:val="2610" w14:font="MS Gothic"/>
                </w14:checkbox>
              </w:sdt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29.1.4 yra mažesnis, lyginant su įprasta klinikine praktika</w:t>
            </w:r>
          </w:p>
          <w:p w14:paraId="6CBBD22B" w14:textId="77777777" w:rsidR="00931A54" w:rsidRPr="00034325" w:rsidRDefault="00931A54" w:rsidP="00427779">
            <w:pPr>
              <w:spacing w:line="276" w:lineRule="auto"/>
              <w:rPr>
                <w:rFonts w:eastAsia="Arial"/>
                <w:bCs/>
                <w:iCs/>
              </w:rPr>
            </w:pPr>
          </w:p>
          <w:p w14:paraId="7C7A9E73" w14:textId="77777777" w:rsidR="00931A54" w:rsidRPr="00034325" w:rsidRDefault="00000000" w:rsidP="00427779">
            <w:pPr>
              <w:spacing w:line="276" w:lineRule="auto"/>
              <w:rPr>
                <w:rFonts w:eastAsia="Arial"/>
                <w:bCs/>
                <w:iCs/>
              </w:rPr>
            </w:pPr>
            <w:sdt>
              <w:sdtPr>
                <w:rPr>
                  <w:rFonts w:eastAsia="Arial"/>
                  <w:bCs/>
                  <w:iCs/>
                </w:rPr>
                <w:id w:val="-1857960180"/>
                <w14:checkbox>
                  <w14:checked w14:val="0"/>
                  <w14:checkedState w14:val="2612" w14:font="MS Gothic"/>
                  <w14:uncheckedState w14:val="2610" w14:font="MS Gothic"/>
                </w14:checkbox>
              </w:sdtPr>
              <w:sdtContent>
                <w:r w:rsidR="00931A54" w:rsidRPr="00034325">
                  <w:rPr>
                    <w:rFonts w:ascii="Segoe UI Symbol" w:eastAsia="Arial" w:hAnsi="Segoe UI Symbol" w:cs="Segoe UI Symbol"/>
                    <w:bCs/>
                    <w:iCs/>
                  </w:rPr>
                  <w:t>☐</w:t>
                </w:r>
              </w:sdtContent>
            </w:sdt>
            <w:r w:rsidR="00931A54" w:rsidRPr="00034325">
              <w:rPr>
                <w:rFonts w:eastAsia="Arial"/>
                <w:bCs/>
                <w:iCs/>
              </w:rPr>
              <w:t xml:space="preserve">  29.1.5 pateikti duomenys apie palyginamąjį veiksmingumą yra netinkami vertinti</w:t>
            </w:r>
          </w:p>
          <w:p w14:paraId="071D9219" w14:textId="77777777" w:rsidR="00931A54" w:rsidRPr="00034325" w:rsidRDefault="00931A54" w:rsidP="00427779">
            <w:pPr>
              <w:spacing w:line="276" w:lineRule="auto"/>
              <w:rPr>
                <w:rFonts w:eastAsia="Arial"/>
                <w:bCs/>
                <w:iCs/>
              </w:rPr>
            </w:pPr>
          </w:p>
        </w:tc>
      </w:tr>
    </w:tbl>
    <w:tbl>
      <w:tblPr>
        <w:tblStyle w:val="DossierTable1"/>
        <w:tblW w:w="0" w:type="auto"/>
        <w:tblInd w:w="-5" w:type="dxa"/>
        <w:tblLook w:val="04A0" w:firstRow="1" w:lastRow="0" w:firstColumn="1" w:lastColumn="0" w:noHBand="0" w:noVBand="1"/>
      </w:tblPr>
      <w:tblGrid>
        <w:gridCol w:w="4820"/>
        <w:gridCol w:w="4814"/>
      </w:tblGrid>
      <w:tr w:rsidR="00AB6C7B" w:rsidRPr="009300B3" w14:paraId="723C0DAD" w14:textId="77777777" w:rsidTr="008E0D5B">
        <w:trPr>
          <w:trHeight w:val="510"/>
        </w:trPr>
        <w:tc>
          <w:tcPr>
            <w:tcW w:w="9634" w:type="dxa"/>
            <w:gridSpan w:val="2"/>
            <w:vAlign w:val="center"/>
          </w:tcPr>
          <w:p w14:paraId="1DEEEE63"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3"/>
                <w:szCs w:val="23"/>
              </w:rPr>
            </w:pPr>
            <w:r w:rsidRPr="009300B3">
              <w:rPr>
                <w:rStyle w:val="Style2"/>
                <w:rFonts w:eastAsia="MS Gothic"/>
                <w:b/>
                <w:bCs/>
                <w:sz w:val="23"/>
                <w:szCs w:val="23"/>
              </w:rPr>
              <w:t>Kaštų naudingumas</w:t>
            </w:r>
          </w:p>
        </w:tc>
      </w:tr>
      <w:tr w:rsidR="00AB6C7B" w:rsidRPr="009300B3" w14:paraId="2B14E2A9" w14:textId="77777777" w:rsidTr="008E0D5B">
        <w:tc>
          <w:tcPr>
            <w:tcW w:w="4820" w:type="dxa"/>
          </w:tcPr>
          <w:p w14:paraId="04E58B28" w14:textId="1ADD822A" w:rsidR="00AB6C7B" w:rsidRPr="009300B3" w:rsidRDefault="00000000"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sdt>
              <w:sdtPr>
                <w:rPr>
                  <w:rStyle w:val="Style2"/>
                  <w:sz w:val="23"/>
                  <w:szCs w:val="23"/>
                </w:rPr>
                <w:id w:val="301657889"/>
                <w15:color w:val="FFCC00"/>
                <w14:checkbox>
                  <w14:checked w14:val="1"/>
                  <w14:checkedState w14:val="2612" w14:font="MS Gothic"/>
                  <w14:uncheckedState w14:val="2610" w14:font="MS Gothic"/>
                </w14:checkbox>
              </w:sdtPr>
              <w:sdtContent>
                <w:r w:rsidR="00EC194E">
                  <w:rPr>
                    <w:rStyle w:val="Style2"/>
                    <w:rFonts w:ascii="MS Gothic" w:eastAsia="MS Gothic" w:hAnsi="MS Gothic" w:hint="eastAsia"/>
                    <w:sz w:val="23"/>
                    <w:szCs w:val="23"/>
                  </w:rPr>
                  <w:t>☒</w:t>
                </w:r>
              </w:sdtContent>
            </w:sdt>
            <w:r w:rsidR="00AB6C7B" w:rsidRPr="009300B3">
              <w:rPr>
                <w:sz w:val="23"/>
                <w:szCs w:val="23"/>
              </w:rPr>
              <w:t xml:space="preserve"> 29.2.1 atitinka referencinę naudingumo vertę taikant arba netaikant</w:t>
            </w:r>
            <w:r w:rsidR="00AB6C7B" w:rsidRPr="009300B3">
              <w:rPr>
                <w:b/>
                <w:bCs/>
                <w:sz w:val="23"/>
                <w:szCs w:val="23"/>
              </w:rPr>
              <w:t> </w:t>
            </w:r>
            <w:r w:rsidR="00AB6C7B" w:rsidRPr="009300B3">
              <w:rPr>
                <w:sz w:val="23"/>
                <w:szCs w:val="23"/>
              </w:rPr>
              <w:t>PGS</w:t>
            </w:r>
          </w:p>
          <w:p w14:paraId="751820D2"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3"/>
                <w:szCs w:val="23"/>
              </w:rPr>
            </w:pPr>
          </w:p>
          <w:p w14:paraId="39B00755" w14:textId="77777777" w:rsidR="00AB6C7B" w:rsidRPr="009300B3" w:rsidRDefault="00000000"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sdt>
              <w:sdtPr>
                <w:rPr>
                  <w:rStyle w:val="Style2"/>
                  <w:sz w:val="23"/>
                  <w:szCs w:val="23"/>
                </w:rPr>
                <w:id w:val="865947106"/>
                <w15:color w:val="FFCC00"/>
                <w14:checkbox>
                  <w14:checked w14:val="0"/>
                  <w14:checkedState w14:val="2612" w14:font="MS Gothic"/>
                  <w14:uncheckedState w14:val="2610" w14:font="MS Gothic"/>
                </w14:checkbox>
              </w:sdt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29.2.2 gydymo juo kaštai yra mažesni ar tokie patys esant iš esmės nesiskiriančiam palyginamajam efektyvumui, taikant arba netaikant PGS</w:t>
            </w:r>
          </w:p>
        </w:tc>
        <w:tc>
          <w:tcPr>
            <w:tcW w:w="4814" w:type="dxa"/>
          </w:tcPr>
          <w:p w14:paraId="31162936" w14:textId="12C89C72" w:rsidR="00AB6C7B" w:rsidRPr="009300B3" w:rsidRDefault="00000000"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791860283"/>
                <w15:color w:val="FFCC00"/>
                <w14:checkbox>
                  <w14:checked w14:val="0"/>
                  <w14:checkedState w14:val="2612" w14:font="MS Gothic"/>
                  <w14:uncheckedState w14:val="2610" w14:font="MS Gothic"/>
                </w14:checkbox>
              </w:sdtPr>
              <w:sdtContent>
                <w:r w:rsidR="00864B81">
                  <w:rPr>
                    <w:rStyle w:val="Style2"/>
                    <w:rFonts w:ascii="MS Gothic" w:eastAsia="MS Gothic" w:hAnsi="MS Gothic" w:hint="eastAsia"/>
                    <w:sz w:val="23"/>
                    <w:szCs w:val="23"/>
                  </w:rPr>
                  <w:t>☐</w:t>
                </w:r>
              </w:sdtContent>
            </w:sdt>
            <w:r w:rsidR="00AB6C7B" w:rsidRPr="009300B3">
              <w:rPr>
                <w:sz w:val="23"/>
                <w:szCs w:val="23"/>
              </w:rPr>
              <w:t xml:space="preserve"> 29.2.3 neatitinka referencinės naudingumo vertės taikant arba netaikant PGS</w:t>
            </w:r>
          </w:p>
          <w:p w14:paraId="3A37D495"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AE33B6A" w14:textId="77777777" w:rsidR="00AB6C7B" w:rsidRPr="009300B3" w:rsidRDefault="00000000"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1118650590"/>
                <w15:color w:val="FFCC00"/>
                <w14:checkbox>
                  <w14:checked w14:val="0"/>
                  <w14:checkedState w14:val="2612" w14:font="MS Gothic"/>
                  <w14:uncheckedState w14:val="2610" w14:font="MS Gothic"/>
                </w14:checkbox>
              </w:sdt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29.2.4 gydymo juo kaštai yra didesni esant iš esmės nesiskiriančiam palyginamajam veiksmingumui, taikant arba netaikant PGS</w:t>
            </w:r>
          </w:p>
          <w:p w14:paraId="4A6AF878"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p>
          <w:p w14:paraId="04CAFED2" w14:textId="77777777" w:rsidR="00AB6C7B" w:rsidRPr="009300B3" w:rsidRDefault="00000000"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3"/>
                <w:szCs w:val="23"/>
              </w:rPr>
            </w:pPr>
            <w:sdt>
              <w:sdtPr>
                <w:rPr>
                  <w:rStyle w:val="Style2"/>
                  <w:sz w:val="23"/>
                  <w:szCs w:val="23"/>
                </w:rPr>
                <w:id w:val="-943849855"/>
                <w15:color w:val="FFCC00"/>
                <w14:checkbox>
                  <w14:checked w14:val="0"/>
                  <w14:checkedState w14:val="2612" w14:font="MS Gothic"/>
                  <w14:uncheckedState w14:val="2610" w14:font="MS Gothic"/>
                </w14:checkbox>
              </w:sdtPr>
              <w:sdtContent>
                <w:r w:rsidR="00AB6C7B" w:rsidRPr="009300B3">
                  <w:rPr>
                    <w:rStyle w:val="Style2"/>
                    <w:rFonts w:ascii="Segoe UI Symbol" w:eastAsia="MS Gothic" w:hAnsi="Segoe UI Symbol" w:cs="Segoe UI Symbol"/>
                    <w:sz w:val="23"/>
                    <w:szCs w:val="23"/>
                  </w:rPr>
                  <w:t>☐</w:t>
                </w:r>
              </w:sdtContent>
            </w:sdt>
            <w:r w:rsidR="00AB6C7B" w:rsidRPr="009300B3">
              <w:rPr>
                <w:sz w:val="23"/>
                <w:szCs w:val="23"/>
              </w:rPr>
              <w:t xml:space="preserve"> 29.2.5 pateikti duomenys apie kaštų naudingumą yra netinkami vertinti</w:t>
            </w:r>
          </w:p>
          <w:p w14:paraId="7A9E6EFD" w14:textId="77777777" w:rsidR="00AB6C7B" w:rsidRPr="009300B3" w:rsidRDefault="00AB6C7B" w:rsidP="008E0D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3"/>
                <w:szCs w:val="23"/>
              </w:rPr>
            </w:pPr>
          </w:p>
        </w:tc>
      </w:tr>
    </w:tbl>
    <w:p w14:paraId="1B85C083" w14:textId="77777777" w:rsidR="009E44AE" w:rsidRPr="000203E1" w:rsidRDefault="009E44AE" w:rsidP="00434D0C">
      <w:pPr>
        <w:spacing w:line="276" w:lineRule="auto"/>
      </w:pPr>
    </w:p>
    <w:p w14:paraId="3B2D1F25" w14:textId="371104F0" w:rsidR="000001B0" w:rsidRPr="00EC194E" w:rsidRDefault="000001B0" w:rsidP="00434D0C">
      <w:pPr>
        <w:pStyle w:val="Sraopastraipa"/>
        <w:numPr>
          <w:ilvl w:val="0"/>
          <w:numId w:val="12"/>
        </w:numPr>
        <w:spacing w:line="276" w:lineRule="auto"/>
        <w:ind w:left="567" w:hanging="567"/>
      </w:pPr>
      <w:r w:rsidRPr="00EC194E">
        <w:rPr>
          <w:b/>
        </w:rPr>
        <w:t>REKOME</w:t>
      </w:r>
      <w:r w:rsidR="00D83182" w:rsidRPr="00EC194E">
        <w:rPr>
          <w:b/>
        </w:rPr>
        <w:t>N</w:t>
      </w:r>
      <w:r w:rsidRPr="00EC194E">
        <w:rPr>
          <w:b/>
        </w:rPr>
        <w:t>DACIJA</w:t>
      </w:r>
    </w:p>
    <w:p w14:paraId="227E7870" w14:textId="77777777" w:rsidR="002A236C" w:rsidRDefault="002A236C" w:rsidP="002A236C">
      <w:pPr>
        <w:spacing w:line="276" w:lineRule="auto"/>
        <w:jc w:val="both"/>
      </w:pPr>
    </w:p>
    <w:p w14:paraId="753C7A38" w14:textId="729749D2" w:rsidR="00D8151D" w:rsidRPr="002A236C" w:rsidRDefault="002A236C" w:rsidP="002A236C">
      <w:pPr>
        <w:spacing w:line="276" w:lineRule="auto"/>
        <w:jc w:val="both"/>
        <w:rPr>
          <w:color w:val="000000"/>
          <w:lang w:eastAsia="lt-LT"/>
        </w:rPr>
      </w:pPr>
      <w:r w:rsidRPr="002A024D">
        <w:t>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r>
        <w:t xml:space="preserve"> </w:t>
      </w:r>
      <w:r w:rsidRPr="002A236C">
        <w:rPr>
          <w:color w:val="000000"/>
        </w:rPr>
        <w:t>30</w:t>
      </w:r>
      <w:r w:rsidRPr="002A236C">
        <w:rPr>
          <w:color w:val="000000"/>
          <w:vertAlign w:val="superscript"/>
        </w:rPr>
        <w:t>1</w:t>
      </w:r>
      <w:r w:rsidRPr="002A236C">
        <w:rPr>
          <w:color w:val="000000"/>
        </w:rPr>
        <w:t>.1.</w:t>
      </w:r>
      <w:r w:rsidR="0040068E">
        <w:rPr>
          <w:color w:val="000000"/>
        </w:rPr>
        <w:t>,</w:t>
      </w:r>
      <w:r w:rsidRPr="002A236C">
        <w:rPr>
          <w:color w:val="000000"/>
        </w:rPr>
        <w:t xml:space="preserve"> kai vertinimo išvados atitinka Aprašo 29.1.1 ir 29.2.1 papunkčiuose numatytas sąlygas arba Aprašo 29.1.2 ir 29.2.2 papunkčiuose numatytas sąlygas, teikiama rekomendacija </w:t>
      </w:r>
      <w:r w:rsidRPr="002A236C">
        <w:rPr>
          <w:i/>
          <w:color w:val="000000"/>
        </w:rPr>
        <w:t>kompensuoti</w:t>
      </w:r>
      <w:r w:rsidRPr="002A236C">
        <w:rPr>
          <w:color w:val="000000"/>
        </w:rPr>
        <w:t xml:space="preserve"> vaistinį preparatą pagal paraiškoje nurodytą indikaciją (arba jos dalį) su arba be skyrimo sąlygų, taikant ar netaikant PGS</w:t>
      </w:r>
      <w:r w:rsidRPr="002A236C">
        <w:rPr>
          <w:color w:val="000000"/>
          <w:lang w:eastAsia="lt-LT"/>
        </w:rPr>
        <w:t>.</w:t>
      </w:r>
    </w:p>
    <w:p w14:paraId="562A1372" w14:textId="0CBC7803" w:rsidR="00283E59" w:rsidRDefault="00283E59" w:rsidP="00283E59">
      <w:pPr>
        <w:jc w:val="both"/>
        <w:rPr>
          <w:b/>
          <w:sz w:val="20"/>
        </w:rPr>
      </w:pPr>
    </w:p>
    <w:p w14:paraId="6E31080F" w14:textId="77777777" w:rsidR="002D48DF" w:rsidRPr="003925B2" w:rsidRDefault="002D48DF" w:rsidP="00B225D8">
      <w:pPr>
        <w:pStyle w:val="Betarp"/>
        <w:spacing w:line="276" w:lineRule="auto"/>
        <w:rPr>
          <w:rFonts w:ascii="Times New Roman" w:hAnsi="Times New Roman"/>
          <w:b/>
          <w:sz w:val="24"/>
          <w:szCs w:val="24"/>
          <w:lang w:eastAsia="lt-LT"/>
        </w:rPr>
      </w:pPr>
      <w:r w:rsidRPr="003925B2">
        <w:rPr>
          <w:rFonts w:ascii="Times New Roman" w:hAnsi="Times New Roman"/>
          <w:b/>
          <w:sz w:val="24"/>
          <w:szCs w:val="24"/>
          <w:lang w:eastAsia="lt-LT"/>
        </w:rPr>
        <w:t>Terapinės indikacijos</w:t>
      </w:r>
    </w:p>
    <w:p w14:paraId="6A0F1D29" w14:textId="77777777" w:rsidR="002D48DF" w:rsidRPr="003925B2" w:rsidRDefault="00000000" w:rsidP="00B225D8">
      <w:pPr>
        <w:pStyle w:val="Betarp"/>
        <w:spacing w:line="276" w:lineRule="auto"/>
        <w:rPr>
          <w:rFonts w:ascii="Times New Roman" w:hAnsi="Times New Roman"/>
          <w:sz w:val="24"/>
          <w:szCs w:val="24"/>
        </w:rPr>
      </w:pPr>
      <w:sdt>
        <w:sdtPr>
          <w:rPr>
            <w:rStyle w:val="Style2"/>
            <w:rFonts w:ascii="Times New Roman" w:hAnsi="Times New Roman"/>
            <w:sz w:val="24"/>
            <w:szCs w:val="24"/>
          </w:rPr>
          <w:id w:val="1146316688"/>
          <w15:color w:val="FFCC00"/>
          <w14:checkbox>
            <w14:checked w14:val="1"/>
            <w14:checkedState w14:val="2612" w14:font="MS Gothic"/>
            <w14:uncheckedState w14:val="2610" w14:font="MS Gothic"/>
          </w14:checkbox>
        </w:sdtPr>
        <w:sdtContent>
          <w:r w:rsidR="002D48DF" w:rsidRPr="003925B2">
            <w:rPr>
              <w:rStyle w:val="Style2"/>
              <w:rFonts w:ascii="Segoe UI Symbol" w:eastAsia="MS Gothic" w:hAnsi="Segoe UI Symbol" w:cs="Segoe UI Symbol"/>
              <w:sz w:val="24"/>
              <w:szCs w:val="24"/>
            </w:rPr>
            <w:t>☒</w:t>
          </w:r>
        </w:sdtContent>
      </w:sdt>
      <w:r w:rsidR="002D48DF" w:rsidRPr="003925B2">
        <w:rPr>
          <w:rFonts w:ascii="Times New Roman" w:hAnsi="Times New Roman"/>
          <w:sz w:val="24"/>
          <w:szCs w:val="24"/>
        </w:rPr>
        <w:t xml:space="preserve"> Siūloma kompensuoti Pareiškėjo teikiamą indikaciją be pakeitimų.</w:t>
      </w:r>
    </w:p>
    <w:p w14:paraId="3C222CB4" w14:textId="77777777" w:rsidR="00905EC5" w:rsidRPr="003925B2" w:rsidRDefault="00905EC5" w:rsidP="00B225D8">
      <w:pPr>
        <w:spacing w:line="276" w:lineRule="auto"/>
        <w:jc w:val="both"/>
      </w:pPr>
      <w:r w:rsidRPr="003925B2">
        <w:rPr>
          <w:bCs/>
        </w:rPr>
        <w:t>Tevimbra, kartu su chemoterapija platinos pagrindu, skirtas suaugusių pacientų, sergančių neoperuotina, vietiškai išplitusia arba metastazavusia SPLK, kurių navikai turi PD-L1 išraišką su TAP įverčiu ≥ 5, pirmos eilės gydymui.</w:t>
      </w:r>
    </w:p>
    <w:p w14:paraId="0619CAF6" w14:textId="77777777" w:rsidR="00905EC5" w:rsidRPr="003925B2" w:rsidRDefault="00905EC5" w:rsidP="00B225D8">
      <w:pPr>
        <w:pStyle w:val="Betarp"/>
        <w:spacing w:line="276" w:lineRule="auto"/>
        <w:rPr>
          <w:rFonts w:ascii="Times New Roman" w:hAnsi="Times New Roman"/>
          <w:sz w:val="24"/>
          <w:szCs w:val="24"/>
        </w:rPr>
      </w:pPr>
      <w:r w:rsidRPr="003925B2">
        <w:rPr>
          <w:rFonts w:ascii="Times New Roman" w:hAnsi="Times New Roman"/>
          <w:sz w:val="24"/>
          <w:szCs w:val="24"/>
        </w:rPr>
        <w:t>TLK-10 AM kodai: C15.</w:t>
      </w:r>
    </w:p>
    <w:p w14:paraId="235E6795" w14:textId="77777777" w:rsidR="002D48DF" w:rsidRPr="003925B2" w:rsidRDefault="002D48DF" w:rsidP="00B225D8">
      <w:pPr>
        <w:pStyle w:val="Betarp"/>
        <w:spacing w:line="276" w:lineRule="auto"/>
        <w:rPr>
          <w:rFonts w:ascii="Times New Roman" w:hAnsi="Times New Roman"/>
          <w:sz w:val="24"/>
          <w:szCs w:val="24"/>
        </w:rPr>
      </w:pPr>
    </w:p>
    <w:p w14:paraId="77B88F13" w14:textId="77777777" w:rsidR="002D48DF" w:rsidRPr="003925B2" w:rsidRDefault="002D48DF" w:rsidP="00B225D8">
      <w:pPr>
        <w:pStyle w:val="Betarp"/>
        <w:spacing w:line="276" w:lineRule="auto"/>
        <w:rPr>
          <w:rFonts w:ascii="Times New Roman" w:hAnsi="Times New Roman"/>
          <w:b/>
          <w:sz w:val="24"/>
          <w:szCs w:val="24"/>
        </w:rPr>
      </w:pPr>
      <w:r w:rsidRPr="003925B2">
        <w:rPr>
          <w:rFonts w:ascii="Times New Roman" w:hAnsi="Times New Roman"/>
          <w:b/>
          <w:sz w:val="24"/>
          <w:szCs w:val="24"/>
        </w:rPr>
        <w:lastRenderedPageBreak/>
        <w:t>Skyrimo sąlygos</w:t>
      </w:r>
    </w:p>
    <w:p w14:paraId="3B6D262D" w14:textId="77777777" w:rsidR="002D48DF" w:rsidRPr="003925B2" w:rsidRDefault="00000000" w:rsidP="00B225D8">
      <w:pPr>
        <w:pStyle w:val="Betarp"/>
        <w:spacing w:line="276" w:lineRule="auto"/>
        <w:rPr>
          <w:rFonts w:ascii="Times New Roman" w:hAnsi="Times New Roman"/>
          <w:sz w:val="24"/>
          <w:szCs w:val="24"/>
        </w:rPr>
      </w:pPr>
      <w:sdt>
        <w:sdtPr>
          <w:rPr>
            <w:rStyle w:val="Style2"/>
            <w:rFonts w:ascii="Times New Roman" w:hAnsi="Times New Roman"/>
            <w:sz w:val="24"/>
            <w:szCs w:val="24"/>
          </w:rPr>
          <w:id w:val="1823936883"/>
          <w15:color w:val="FFCC00"/>
          <w14:checkbox>
            <w14:checked w14:val="1"/>
            <w14:checkedState w14:val="2612" w14:font="MS Gothic"/>
            <w14:uncheckedState w14:val="2610" w14:font="MS Gothic"/>
          </w14:checkbox>
        </w:sdtPr>
        <w:sdtContent>
          <w:r w:rsidR="002D48DF" w:rsidRPr="003925B2">
            <w:rPr>
              <w:rStyle w:val="Style2"/>
              <w:rFonts w:ascii="Segoe UI Symbol" w:eastAsia="MS Gothic" w:hAnsi="Segoe UI Symbol" w:cs="Segoe UI Symbol"/>
              <w:sz w:val="24"/>
              <w:szCs w:val="24"/>
            </w:rPr>
            <w:t>☒</w:t>
          </w:r>
        </w:sdtContent>
      </w:sdt>
      <w:r w:rsidR="002D48DF" w:rsidRPr="003925B2">
        <w:rPr>
          <w:rFonts w:ascii="Times New Roman" w:hAnsi="Times New Roman"/>
          <w:sz w:val="24"/>
          <w:szCs w:val="24"/>
        </w:rPr>
        <w:t xml:space="preserve"> Pareiškėjo siūlomos skyrimo sąlygos nepriimtinos.</w:t>
      </w:r>
    </w:p>
    <w:p w14:paraId="2718738E" w14:textId="77777777" w:rsidR="00905EC5" w:rsidRPr="003925B2" w:rsidRDefault="00905EC5" w:rsidP="00B225D8">
      <w:pPr>
        <w:spacing w:line="276" w:lineRule="auto"/>
        <w:rPr>
          <w:rFonts w:eastAsia="Calibri"/>
        </w:rPr>
      </w:pPr>
      <w:r w:rsidRPr="003925B2">
        <w:rPr>
          <w:rFonts w:eastAsia="Calibri"/>
          <w:b/>
          <w:bCs/>
        </w:rPr>
        <w:t>Siūlomos skyrimo sąlygos</w:t>
      </w:r>
      <w:r w:rsidRPr="003925B2">
        <w:rPr>
          <w:rFonts w:eastAsia="Calibri"/>
        </w:rPr>
        <w:t>:</w:t>
      </w:r>
    </w:p>
    <w:p w14:paraId="7015DA7C" w14:textId="2B447E04" w:rsidR="00905EC5" w:rsidRPr="003925B2" w:rsidRDefault="00905EC5" w:rsidP="00B225D8">
      <w:pPr>
        <w:spacing w:line="276" w:lineRule="auto"/>
        <w:jc w:val="both"/>
        <w:rPr>
          <w:rFonts w:eastAsia="Calibri"/>
          <w:lang w:eastAsia="lt-LT"/>
        </w:rPr>
      </w:pPr>
      <w:r w:rsidRPr="003925B2">
        <w:rPr>
          <w:rFonts w:eastAsia="Calibri"/>
          <w:lang w:eastAsia="lt-LT"/>
        </w:rPr>
        <w:t>Skiriamas derinant su chemoterapija, kurios sudėtyje yra platinos preparatų ir fluoropirimidinų, skirta metastazavusios ar nerezekuotinos stemplės plokščiųjų ląstelių karcinomos pirmaeiliam gydymui geros funkcinės būklės (ECOG 0 ar 1) suaugusiesiems, kurių navikai ekspresuoja PD-L1 ir TAP rodmuo yra ≥ 5 %. Gydymas tęsiamas iki nepriimtino toksinio poveikio atsiradimo, ligos progresavimo arba planuoto gydymo užbaigimo.</w:t>
      </w:r>
    </w:p>
    <w:p w14:paraId="7DA31C37" w14:textId="757E7618" w:rsidR="002A236C" w:rsidRDefault="002A236C" w:rsidP="00905EC5">
      <w:pPr>
        <w:jc w:val="both"/>
        <w:rPr>
          <w:rFonts w:eastAsia="Calibri"/>
          <w:lang w:eastAsia="lt-LT"/>
        </w:rPr>
      </w:pPr>
    </w:p>
    <w:p w14:paraId="0C4D2336" w14:textId="77777777" w:rsidR="002A236C" w:rsidRDefault="002A236C" w:rsidP="002A236C">
      <w:pPr>
        <w:spacing w:line="276" w:lineRule="auto"/>
        <w:jc w:val="both"/>
        <w:rPr>
          <w:b/>
          <w:i/>
          <w:color w:val="000000"/>
          <w:lang w:eastAsia="lt-LT"/>
        </w:rPr>
      </w:pPr>
      <w:r>
        <w:rPr>
          <w:b/>
          <w:i/>
          <w:color w:val="000000"/>
          <w:lang w:eastAsia="lt-LT"/>
        </w:rPr>
        <w:t>Pastaba</w:t>
      </w:r>
    </w:p>
    <w:p w14:paraId="064C8A6A" w14:textId="77777777" w:rsidR="002A236C" w:rsidRPr="00681C5C" w:rsidRDefault="002A236C" w:rsidP="002A236C">
      <w:pPr>
        <w:spacing w:line="276" w:lineRule="auto"/>
        <w:jc w:val="both"/>
      </w:pPr>
      <w:r>
        <w:rPr>
          <w:color w:val="000000"/>
          <w:lang w:eastAsia="lt-LT"/>
        </w:rPr>
        <w:t xml:space="preserve">Vadovaujantis Kompensuojamųjų vaistinių preparatų Tvarkos aprašo 35 punktu, atsižvelgiant į papildomos analizės (KMA) rezultatus, Tarnyba rekomenduoja kompensuoti tislelizumabą su sąlyga, kad bus pasiekiami Tvarkos aprašo </w:t>
      </w:r>
      <w:r w:rsidRPr="00B30355">
        <w:rPr>
          <w:color w:val="000000"/>
        </w:rPr>
        <w:t>54.1</w:t>
      </w:r>
      <w:r w:rsidRPr="00B30355">
        <w:rPr>
          <w:color w:val="000000"/>
          <w:vertAlign w:val="superscript"/>
        </w:rPr>
        <w:t>1</w:t>
      </w:r>
      <w:r>
        <w:rPr>
          <w:rFonts w:eastAsia="Arial"/>
        </w:rPr>
        <w:t xml:space="preserve">punkte numatyti reikalavimai: t.y., </w:t>
      </w:r>
      <w:r>
        <w:rPr>
          <w:color w:val="000000"/>
        </w:rPr>
        <w:t xml:space="preserve">lyginant su pembrolizumabu, </w:t>
      </w:r>
      <w:r>
        <w:rPr>
          <w:rFonts w:eastAsia="Arial"/>
        </w:rPr>
        <w:t xml:space="preserve">tislelizumabo kaštai </w:t>
      </w:r>
      <w:r>
        <w:rPr>
          <w:color w:val="000000"/>
          <w:u w:val="single"/>
        </w:rPr>
        <w:t>mažės</w:t>
      </w:r>
      <w:r w:rsidRPr="00565F9E">
        <w:rPr>
          <w:color w:val="000000"/>
          <w:u w:val="single"/>
        </w:rPr>
        <w:t xml:space="preserve"> ne mažiau kaip 5 proc. pirmaisiais kompensavimo metais ir šis mažėjimas </w:t>
      </w:r>
      <w:r>
        <w:rPr>
          <w:color w:val="000000"/>
          <w:u w:val="single"/>
        </w:rPr>
        <w:t xml:space="preserve">bus </w:t>
      </w:r>
      <w:r w:rsidRPr="00565F9E">
        <w:rPr>
          <w:color w:val="000000"/>
          <w:u w:val="single"/>
        </w:rPr>
        <w:t>išlaikomas per pirmuosius penkerius vaistinio preparato kompensavimo metus</w:t>
      </w:r>
      <w:r w:rsidRPr="00565F9E">
        <w:rPr>
          <w:color w:val="000000"/>
        </w:rPr>
        <w:t>.</w:t>
      </w:r>
    </w:p>
    <w:p w14:paraId="0F856A56" w14:textId="77777777" w:rsidR="002A236C" w:rsidRPr="00905EC5" w:rsidRDefault="002A236C" w:rsidP="00905EC5">
      <w:pPr>
        <w:jc w:val="both"/>
        <w:rPr>
          <w:rFonts w:eastAsia="Calibri"/>
          <w:lang w:eastAsia="lt-LT"/>
        </w:rPr>
      </w:pPr>
    </w:p>
    <w:p w14:paraId="7347B9C4" w14:textId="77777777" w:rsidR="002D48DF" w:rsidRDefault="002D48DF" w:rsidP="002D48DF">
      <w:pPr>
        <w:spacing w:line="276" w:lineRule="auto"/>
        <w:jc w:val="both"/>
        <w:rPr>
          <w:b/>
          <w:i/>
          <w:color w:val="000000"/>
          <w:lang w:eastAsia="lt-LT"/>
        </w:rPr>
      </w:pPr>
    </w:p>
    <w:p w14:paraId="7CDFF220" w14:textId="511AD42E" w:rsidR="000723FF" w:rsidRPr="00681C5C" w:rsidRDefault="000723FF" w:rsidP="00681C5C">
      <w:pPr>
        <w:spacing w:line="276" w:lineRule="auto"/>
        <w:jc w:val="both"/>
      </w:pPr>
    </w:p>
    <w:sectPr w:rsidR="000723FF" w:rsidRPr="00681C5C" w:rsidSect="005D30E1">
      <w:headerReference w:type="first" r:id="rId7"/>
      <w:footerReference w:type="first" r:id="rId8"/>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9E0A69" w14:textId="77777777" w:rsidR="002166C9" w:rsidRDefault="002166C9">
      <w:r>
        <w:separator/>
      </w:r>
    </w:p>
  </w:endnote>
  <w:endnote w:type="continuationSeparator" w:id="0">
    <w:p w14:paraId="71AFA3D1" w14:textId="77777777" w:rsidR="002166C9" w:rsidRDefault="00216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3F08" w14:textId="77777777" w:rsidR="002166C9" w:rsidRDefault="002166C9">
      <w:r>
        <w:separator/>
      </w:r>
    </w:p>
  </w:footnote>
  <w:footnote w:type="continuationSeparator" w:id="0">
    <w:p w14:paraId="5CFDCD0F" w14:textId="77777777" w:rsidR="002166C9" w:rsidRDefault="00216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BA2A34"/>
    <w:multiLevelType w:val="hybridMultilevel"/>
    <w:tmpl w:val="2E500B54"/>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5" w15:restartNumberingAfterBreak="0">
    <w:nsid w:val="35216AB5"/>
    <w:multiLevelType w:val="hybridMultilevel"/>
    <w:tmpl w:val="113CAFF0"/>
    <w:lvl w:ilvl="0" w:tplc="E90295A2">
      <w:start w:val="31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717613"/>
    <w:multiLevelType w:val="hybridMultilevel"/>
    <w:tmpl w:val="FCD2D0E8"/>
    <w:lvl w:ilvl="0" w:tplc="CFBE42C6">
      <w:start w:val="31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CB85A00"/>
    <w:multiLevelType w:val="hybridMultilevel"/>
    <w:tmpl w:val="E2B4AC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5111115"/>
    <w:multiLevelType w:val="hybridMultilevel"/>
    <w:tmpl w:val="22EAE5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E6945CA"/>
    <w:multiLevelType w:val="hybridMultilevel"/>
    <w:tmpl w:val="65C2244C"/>
    <w:lvl w:ilvl="0" w:tplc="2F5C4CA2">
      <w:start w:val="3138"/>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7F4131FC"/>
    <w:multiLevelType w:val="multilevel"/>
    <w:tmpl w:val="A5A8ACE8"/>
    <w:lvl w:ilvl="0">
      <w:start w:val="3138"/>
      <w:numFmt w:val="decimal"/>
      <w:lvlText w:val="%1"/>
      <w:lvlJc w:val="left"/>
      <w:pPr>
        <w:ind w:left="765" w:hanging="765"/>
      </w:pPr>
      <w:rPr>
        <w:rFonts w:hint="default"/>
      </w:rPr>
    </w:lvl>
    <w:lvl w:ilvl="1">
      <w:start w:val="72"/>
      <w:numFmt w:val="decimal"/>
      <w:lvlText w:val="%1.%2"/>
      <w:lvlJc w:val="left"/>
      <w:pPr>
        <w:ind w:left="765" w:hanging="765"/>
      </w:pPr>
      <w:rPr>
        <w:rFonts w:hint="default"/>
      </w:rPr>
    </w:lvl>
    <w:lvl w:ilvl="2">
      <w:start w:val="1"/>
      <w:numFmt w:val="decimal"/>
      <w:lvlText w:val="%1.%2.%3"/>
      <w:lvlJc w:val="left"/>
      <w:pPr>
        <w:ind w:left="765" w:hanging="765"/>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52569823">
    <w:abstractNumId w:val="8"/>
  </w:num>
  <w:num w:numId="2" w16cid:durableId="852065446">
    <w:abstractNumId w:val="1"/>
  </w:num>
  <w:num w:numId="3" w16cid:durableId="1868252703">
    <w:abstractNumId w:val="11"/>
  </w:num>
  <w:num w:numId="4" w16cid:durableId="121924469">
    <w:abstractNumId w:val="10"/>
  </w:num>
  <w:num w:numId="5" w16cid:durableId="907150512">
    <w:abstractNumId w:val="7"/>
  </w:num>
  <w:num w:numId="6" w16cid:durableId="1494181501">
    <w:abstractNumId w:val="6"/>
  </w:num>
  <w:num w:numId="7" w16cid:durableId="1418748825">
    <w:abstractNumId w:val="4"/>
  </w:num>
  <w:num w:numId="8" w16cid:durableId="906722407">
    <w:abstractNumId w:val="16"/>
  </w:num>
  <w:num w:numId="9" w16cid:durableId="1794324979">
    <w:abstractNumId w:val="0"/>
  </w:num>
  <w:num w:numId="10" w16cid:durableId="941766203">
    <w:abstractNumId w:val="12"/>
  </w:num>
  <w:num w:numId="11" w16cid:durableId="319357382">
    <w:abstractNumId w:val="15"/>
  </w:num>
  <w:num w:numId="12" w16cid:durableId="946812404">
    <w:abstractNumId w:val="3"/>
  </w:num>
  <w:num w:numId="13" w16cid:durableId="1719714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89164395">
    <w:abstractNumId w:val="13"/>
  </w:num>
  <w:num w:numId="15" w16cid:durableId="1901476481">
    <w:abstractNumId w:val="2"/>
  </w:num>
  <w:num w:numId="16" w16cid:durableId="219755120">
    <w:abstractNumId w:val="17"/>
  </w:num>
  <w:num w:numId="17" w16cid:durableId="1227767006">
    <w:abstractNumId w:val="18"/>
  </w:num>
  <w:num w:numId="18" w16cid:durableId="279652181">
    <w:abstractNumId w:val="9"/>
  </w:num>
  <w:num w:numId="19" w16cid:durableId="9432664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16F32"/>
    <w:rsid w:val="000203E1"/>
    <w:rsid w:val="0002686C"/>
    <w:rsid w:val="00031D0E"/>
    <w:rsid w:val="000337E6"/>
    <w:rsid w:val="0003402E"/>
    <w:rsid w:val="00034EAE"/>
    <w:rsid w:val="00042924"/>
    <w:rsid w:val="00045709"/>
    <w:rsid w:val="00053975"/>
    <w:rsid w:val="00057A2B"/>
    <w:rsid w:val="000606BE"/>
    <w:rsid w:val="000723FF"/>
    <w:rsid w:val="000736B8"/>
    <w:rsid w:val="0008190F"/>
    <w:rsid w:val="00081D9C"/>
    <w:rsid w:val="00082907"/>
    <w:rsid w:val="0008378D"/>
    <w:rsid w:val="000908A5"/>
    <w:rsid w:val="0009140B"/>
    <w:rsid w:val="00092805"/>
    <w:rsid w:val="000C454C"/>
    <w:rsid w:val="000D5038"/>
    <w:rsid w:val="000E29D4"/>
    <w:rsid w:val="000E5CF2"/>
    <w:rsid w:val="000F0099"/>
    <w:rsid w:val="000F3540"/>
    <w:rsid w:val="00100491"/>
    <w:rsid w:val="00104E2E"/>
    <w:rsid w:val="00107287"/>
    <w:rsid w:val="00117406"/>
    <w:rsid w:val="00121EF0"/>
    <w:rsid w:val="00124A9E"/>
    <w:rsid w:val="00130703"/>
    <w:rsid w:val="0013153F"/>
    <w:rsid w:val="001408B8"/>
    <w:rsid w:val="00143850"/>
    <w:rsid w:val="001478D2"/>
    <w:rsid w:val="001517E2"/>
    <w:rsid w:val="001521D9"/>
    <w:rsid w:val="001554E2"/>
    <w:rsid w:val="00164146"/>
    <w:rsid w:val="00164D64"/>
    <w:rsid w:val="0017369C"/>
    <w:rsid w:val="00175D57"/>
    <w:rsid w:val="00180C39"/>
    <w:rsid w:val="00180D96"/>
    <w:rsid w:val="00184BD3"/>
    <w:rsid w:val="00184F42"/>
    <w:rsid w:val="001921F3"/>
    <w:rsid w:val="001A35F9"/>
    <w:rsid w:val="001A5428"/>
    <w:rsid w:val="001B3C5B"/>
    <w:rsid w:val="001D1DCA"/>
    <w:rsid w:val="001D5B91"/>
    <w:rsid w:val="001D746F"/>
    <w:rsid w:val="001E4BBB"/>
    <w:rsid w:val="001E6304"/>
    <w:rsid w:val="001E6693"/>
    <w:rsid w:val="00201892"/>
    <w:rsid w:val="0020381E"/>
    <w:rsid w:val="00207DD4"/>
    <w:rsid w:val="00213471"/>
    <w:rsid w:val="00215906"/>
    <w:rsid w:val="002166C9"/>
    <w:rsid w:val="00225A7A"/>
    <w:rsid w:val="00241CD8"/>
    <w:rsid w:val="00244B09"/>
    <w:rsid w:val="002519CB"/>
    <w:rsid w:val="0025697F"/>
    <w:rsid w:val="00260258"/>
    <w:rsid w:val="0026519C"/>
    <w:rsid w:val="0026588E"/>
    <w:rsid w:val="00272428"/>
    <w:rsid w:val="00272948"/>
    <w:rsid w:val="00283E59"/>
    <w:rsid w:val="0029066D"/>
    <w:rsid w:val="00292392"/>
    <w:rsid w:val="002946C7"/>
    <w:rsid w:val="002A236C"/>
    <w:rsid w:val="002A3E57"/>
    <w:rsid w:val="002B3CC1"/>
    <w:rsid w:val="002C09E0"/>
    <w:rsid w:val="002C1BB1"/>
    <w:rsid w:val="002C2786"/>
    <w:rsid w:val="002C3A10"/>
    <w:rsid w:val="002C4A90"/>
    <w:rsid w:val="002C4ED5"/>
    <w:rsid w:val="002D02EF"/>
    <w:rsid w:val="002D48DF"/>
    <w:rsid w:val="002E0702"/>
    <w:rsid w:val="002E57AD"/>
    <w:rsid w:val="002E6F80"/>
    <w:rsid w:val="002F0E4F"/>
    <w:rsid w:val="002F1053"/>
    <w:rsid w:val="0030069A"/>
    <w:rsid w:val="00314816"/>
    <w:rsid w:val="00317B0E"/>
    <w:rsid w:val="00325933"/>
    <w:rsid w:val="003450D7"/>
    <w:rsid w:val="00347FAA"/>
    <w:rsid w:val="0035172D"/>
    <w:rsid w:val="0036187D"/>
    <w:rsid w:val="00367EDB"/>
    <w:rsid w:val="0037543E"/>
    <w:rsid w:val="00381024"/>
    <w:rsid w:val="00386307"/>
    <w:rsid w:val="003874DE"/>
    <w:rsid w:val="003925B2"/>
    <w:rsid w:val="00393E9F"/>
    <w:rsid w:val="0039696E"/>
    <w:rsid w:val="003B211A"/>
    <w:rsid w:val="003C141F"/>
    <w:rsid w:val="003C6B0E"/>
    <w:rsid w:val="003C7257"/>
    <w:rsid w:val="003C7E35"/>
    <w:rsid w:val="003D1E99"/>
    <w:rsid w:val="003D6208"/>
    <w:rsid w:val="0040068E"/>
    <w:rsid w:val="00404E8A"/>
    <w:rsid w:val="0040622F"/>
    <w:rsid w:val="00407189"/>
    <w:rsid w:val="00413F24"/>
    <w:rsid w:val="00422853"/>
    <w:rsid w:val="00423160"/>
    <w:rsid w:val="00434D0C"/>
    <w:rsid w:val="00453862"/>
    <w:rsid w:val="0045469B"/>
    <w:rsid w:val="00461338"/>
    <w:rsid w:val="004677DB"/>
    <w:rsid w:val="00476256"/>
    <w:rsid w:val="00483A57"/>
    <w:rsid w:val="004841A2"/>
    <w:rsid w:val="0048630F"/>
    <w:rsid w:val="0048680D"/>
    <w:rsid w:val="004947A1"/>
    <w:rsid w:val="0049482A"/>
    <w:rsid w:val="004979D3"/>
    <w:rsid w:val="004A00E7"/>
    <w:rsid w:val="004A3A61"/>
    <w:rsid w:val="004B59BA"/>
    <w:rsid w:val="004B5A03"/>
    <w:rsid w:val="004C263A"/>
    <w:rsid w:val="004D48A6"/>
    <w:rsid w:val="004D7B8F"/>
    <w:rsid w:val="004E15EA"/>
    <w:rsid w:val="004E241F"/>
    <w:rsid w:val="004E6458"/>
    <w:rsid w:val="004E6E7D"/>
    <w:rsid w:val="004F1AAC"/>
    <w:rsid w:val="004F1AE2"/>
    <w:rsid w:val="004F34F0"/>
    <w:rsid w:val="004F3B2B"/>
    <w:rsid w:val="004F6050"/>
    <w:rsid w:val="005005EF"/>
    <w:rsid w:val="005123C2"/>
    <w:rsid w:val="0052144B"/>
    <w:rsid w:val="00524066"/>
    <w:rsid w:val="0053001B"/>
    <w:rsid w:val="00534E11"/>
    <w:rsid w:val="005378D8"/>
    <w:rsid w:val="005400D9"/>
    <w:rsid w:val="005476A4"/>
    <w:rsid w:val="0055019B"/>
    <w:rsid w:val="00551207"/>
    <w:rsid w:val="00556E63"/>
    <w:rsid w:val="005601A4"/>
    <w:rsid w:val="00566DBB"/>
    <w:rsid w:val="00571D03"/>
    <w:rsid w:val="005767DB"/>
    <w:rsid w:val="005815E6"/>
    <w:rsid w:val="00586EE7"/>
    <w:rsid w:val="0058712F"/>
    <w:rsid w:val="005976CE"/>
    <w:rsid w:val="005A23D4"/>
    <w:rsid w:val="005A2D1E"/>
    <w:rsid w:val="005A4698"/>
    <w:rsid w:val="005B3756"/>
    <w:rsid w:val="005C493F"/>
    <w:rsid w:val="005C6BF7"/>
    <w:rsid w:val="005C71BF"/>
    <w:rsid w:val="005D002C"/>
    <w:rsid w:val="005D30E1"/>
    <w:rsid w:val="005D6555"/>
    <w:rsid w:val="005D7BDF"/>
    <w:rsid w:val="005E4870"/>
    <w:rsid w:val="005F10C1"/>
    <w:rsid w:val="005F71D9"/>
    <w:rsid w:val="005F7602"/>
    <w:rsid w:val="006062BE"/>
    <w:rsid w:val="00613143"/>
    <w:rsid w:val="00613501"/>
    <w:rsid w:val="0061611B"/>
    <w:rsid w:val="006166A8"/>
    <w:rsid w:val="006174A1"/>
    <w:rsid w:val="00621D6C"/>
    <w:rsid w:val="006334AA"/>
    <w:rsid w:val="00633B49"/>
    <w:rsid w:val="0064297F"/>
    <w:rsid w:val="00645102"/>
    <w:rsid w:val="00646CF3"/>
    <w:rsid w:val="00653D11"/>
    <w:rsid w:val="00662983"/>
    <w:rsid w:val="0066796B"/>
    <w:rsid w:val="0067524F"/>
    <w:rsid w:val="00681C5C"/>
    <w:rsid w:val="006834D3"/>
    <w:rsid w:val="00687DC7"/>
    <w:rsid w:val="00692625"/>
    <w:rsid w:val="00695CD3"/>
    <w:rsid w:val="006A38B6"/>
    <w:rsid w:val="006B1987"/>
    <w:rsid w:val="006B5B71"/>
    <w:rsid w:val="006B5D3E"/>
    <w:rsid w:val="006B6CB0"/>
    <w:rsid w:val="006C2B64"/>
    <w:rsid w:val="006C4126"/>
    <w:rsid w:val="006C6F33"/>
    <w:rsid w:val="006D1BF3"/>
    <w:rsid w:val="006D4C85"/>
    <w:rsid w:val="006D66AC"/>
    <w:rsid w:val="006E33F6"/>
    <w:rsid w:val="006F1251"/>
    <w:rsid w:val="006F1C23"/>
    <w:rsid w:val="00702C18"/>
    <w:rsid w:val="00703166"/>
    <w:rsid w:val="007127F3"/>
    <w:rsid w:val="007301CF"/>
    <w:rsid w:val="007316FB"/>
    <w:rsid w:val="00737E2D"/>
    <w:rsid w:val="007424D5"/>
    <w:rsid w:val="00750A88"/>
    <w:rsid w:val="007523DD"/>
    <w:rsid w:val="00757B7E"/>
    <w:rsid w:val="00764378"/>
    <w:rsid w:val="007656B2"/>
    <w:rsid w:val="0077016F"/>
    <w:rsid w:val="007713AD"/>
    <w:rsid w:val="00795DC5"/>
    <w:rsid w:val="00797153"/>
    <w:rsid w:val="007A21F7"/>
    <w:rsid w:val="007A2B68"/>
    <w:rsid w:val="007B0DDA"/>
    <w:rsid w:val="007B6CE3"/>
    <w:rsid w:val="007C5D3B"/>
    <w:rsid w:val="007D01AD"/>
    <w:rsid w:val="007D3347"/>
    <w:rsid w:val="007E2C2F"/>
    <w:rsid w:val="007E5466"/>
    <w:rsid w:val="007F1949"/>
    <w:rsid w:val="007F2592"/>
    <w:rsid w:val="00800A08"/>
    <w:rsid w:val="0080146E"/>
    <w:rsid w:val="00817A84"/>
    <w:rsid w:val="008225A4"/>
    <w:rsid w:val="00824B92"/>
    <w:rsid w:val="00826D5E"/>
    <w:rsid w:val="00832013"/>
    <w:rsid w:val="00832DB7"/>
    <w:rsid w:val="00834732"/>
    <w:rsid w:val="00843FB8"/>
    <w:rsid w:val="0085200C"/>
    <w:rsid w:val="00857C52"/>
    <w:rsid w:val="00860D5F"/>
    <w:rsid w:val="00864B81"/>
    <w:rsid w:val="00880A44"/>
    <w:rsid w:val="0088345E"/>
    <w:rsid w:val="0088656F"/>
    <w:rsid w:val="00891EF6"/>
    <w:rsid w:val="008A0303"/>
    <w:rsid w:val="008A5FDD"/>
    <w:rsid w:val="008C01DC"/>
    <w:rsid w:val="008C3947"/>
    <w:rsid w:val="008D73F4"/>
    <w:rsid w:val="008E329C"/>
    <w:rsid w:val="008E473B"/>
    <w:rsid w:val="008E51A6"/>
    <w:rsid w:val="008E7329"/>
    <w:rsid w:val="008F09B0"/>
    <w:rsid w:val="008F2ED5"/>
    <w:rsid w:val="009017F0"/>
    <w:rsid w:val="00905EC5"/>
    <w:rsid w:val="0092297E"/>
    <w:rsid w:val="00923651"/>
    <w:rsid w:val="00927B56"/>
    <w:rsid w:val="00931A54"/>
    <w:rsid w:val="009341BF"/>
    <w:rsid w:val="00937907"/>
    <w:rsid w:val="00941739"/>
    <w:rsid w:val="00951573"/>
    <w:rsid w:val="00963003"/>
    <w:rsid w:val="00966EEF"/>
    <w:rsid w:val="00971B28"/>
    <w:rsid w:val="00972219"/>
    <w:rsid w:val="00983471"/>
    <w:rsid w:val="009909AB"/>
    <w:rsid w:val="009A33BF"/>
    <w:rsid w:val="009A3AD1"/>
    <w:rsid w:val="009A69EC"/>
    <w:rsid w:val="009B37DB"/>
    <w:rsid w:val="009C7861"/>
    <w:rsid w:val="009C7A8C"/>
    <w:rsid w:val="009D23F9"/>
    <w:rsid w:val="009D4FA8"/>
    <w:rsid w:val="009E44AE"/>
    <w:rsid w:val="009E6CD6"/>
    <w:rsid w:val="009F4D66"/>
    <w:rsid w:val="00A00C3C"/>
    <w:rsid w:val="00A01091"/>
    <w:rsid w:val="00A042B9"/>
    <w:rsid w:val="00A06DBB"/>
    <w:rsid w:val="00A22ADF"/>
    <w:rsid w:val="00A31E86"/>
    <w:rsid w:val="00A54D87"/>
    <w:rsid w:val="00A5553C"/>
    <w:rsid w:val="00A701C9"/>
    <w:rsid w:val="00A81785"/>
    <w:rsid w:val="00A84803"/>
    <w:rsid w:val="00A84C51"/>
    <w:rsid w:val="00A86F2B"/>
    <w:rsid w:val="00A91366"/>
    <w:rsid w:val="00A92F91"/>
    <w:rsid w:val="00A93AA6"/>
    <w:rsid w:val="00AA0CD3"/>
    <w:rsid w:val="00AA4E48"/>
    <w:rsid w:val="00AA6202"/>
    <w:rsid w:val="00AA7B57"/>
    <w:rsid w:val="00AB2806"/>
    <w:rsid w:val="00AB6C7B"/>
    <w:rsid w:val="00AC26FC"/>
    <w:rsid w:val="00AC4A99"/>
    <w:rsid w:val="00AC64D2"/>
    <w:rsid w:val="00AD02E7"/>
    <w:rsid w:val="00AE0FE8"/>
    <w:rsid w:val="00AE3B31"/>
    <w:rsid w:val="00AF60D5"/>
    <w:rsid w:val="00B00959"/>
    <w:rsid w:val="00B04415"/>
    <w:rsid w:val="00B06509"/>
    <w:rsid w:val="00B11D60"/>
    <w:rsid w:val="00B13D65"/>
    <w:rsid w:val="00B21805"/>
    <w:rsid w:val="00B225D8"/>
    <w:rsid w:val="00B3072E"/>
    <w:rsid w:val="00B33E91"/>
    <w:rsid w:val="00B33FA8"/>
    <w:rsid w:val="00B36E15"/>
    <w:rsid w:val="00B37245"/>
    <w:rsid w:val="00B4017A"/>
    <w:rsid w:val="00B4468D"/>
    <w:rsid w:val="00B624B4"/>
    <w:rsid w:val="00B71C72"/>
    <w:rsid w:val="00B72A0A"/>
    <w:rsid w:val="00B81E92"/>
    <w:rsid w:val="00B908D7"/>
    <w:rsid w:val="00B935E8"/>
    <w:rsid w:val="00B93B30"/>
    <w:rsid w:val="00B94CB5"/>
    <w:rsid w:val="00BA0DD9"/>
    <w:rsid w:val="00BA5DBC"/>
    <w:rsid w:val="00BA6584"/>
    <w:rsid w:val="00BB6312"/>
    <w:rsid w:val="00BC22A0"/>
    <w:rsid w:val="00BC4D06"/>
    <w:rsid w:val="00BD585E"/>
    <w:rsid w:val="00BD6919"/>
    <w:rsid w:val="00BE1EA7"/>
    <w:rsid w:val="00BE7489"/>
    <w:rsid w:val="00BF2E0D"/>
    <w:rsid w:val="00BF3927"/>
    <w:rsid w:val="00BF3F8B"/>
    <w:rsid w:val="00BF62C4"/>
    <w:rsid w:val="00BF76DA"/>
    <w:rsid w:val="00C07C7B"/>
    <w:rsid w:val="00C16245"/>
    <w:rsid w:val="00C1763F"/>
    <w:rsid w:val="00C22DC5"/>
    <w:rsid w:val="00C24479"/>
    <w:rsid w:val="00C273F2"/>
    <w:rsid w:val="00C37B53"/>
    <w:rsid w:val="00C434EB"/>
    <w:rsid w:val="00C517D2"/>
    <w:rsid w:val="00C5772E"/>
    <w:rsid w:val="00C62B36"/>
    <w:rsid w:val="00C7012C"/>
    <w:rsid w:val="00C712EA"/>
    <w:rsid w:val="00C80E90"/>
    <w:rsid w:val="00CA217D"/>
    <w:rsid w:val="00CC09D4"/>
    <w:rsid w:val="00CC668D"/>
    <w:rsid w:val="00CC7832"/>
    <w:rsid w:val="00CD488E"/>
    <w:rsid w:val="00CF0C1C"/>
    <w:rsid w:val="00CF27FD"/>
    <w:rsid w:val="00CF5F12"/>
    <w:rsid w:val="00D00D8F"/>
    <w:rsid w:val="00D118FB"/>
    <w:rsid w:val="00D21F3A"/>
    <w:rsid w:val="00D23808"/>
    <w:rsid w:val="00D3016A"/>
    <w:rsid w:val="00D417D2"/>
    <w:rsid w:val="00D42960"/>
    <w:rsid w:val="00D43BD7"/>
    <w:rsid w:val="00D4485B"/>
    <w:rsid w:val="00D46CCD"/>
    <w:rsid w:val="00D4708D"/>
    <w:rsid w:val="00D4744C"/>
    <w:rsid w:val="00D51824"/>
    <w:rsid w:val="00D521DE"/>
    <w:rsid w:val="00D5470B"/>
    <w:rsid w:val="00D63068"/>
    <w:rsid w:val="00D64441"/>
    <w:rsid w:val="00D6498C"/>
    <w:rsid w:val="00D76A70"/>
    <w:rsid w:val="00D8151D"/>
    <w:rsid w:val="00D83182"/>
    <w:rsid w:val="00D8521E"/>
    <w:rsid w:val="00D9291C"/>
    <w:rsid w:val="00D93A97"/>
    <w:rsid w:val="00DB1F64"/>
    <w:rsid w:val="00DC2F53"/>
    <w:rsid w:val="00DC5359"/>
    <w:rsid w:val="00DC5BAC"/>
    <w:rsid w:val="00DC6816"/>
    <w:rsid w:val="00DC76C2"/>
    <w:rsid w:val="00DD1CF2"/>
    <w:rsid w:val="00DD72FA"/>
    <w:rsid w:val="00DE4484"/>
    <w:rsid w:val="00DF380D"/>
    <w:rsid w:val="00DF41B7"/>
    <w:rsid w:val="00DF4A4A"/>
    <w:rsid w:val="00DF583C"/>
    <w:rsid w:val="00E03C3F"/>
    <w:rsid w:val="00E06FD7"/>
    <w:rsid w:val="00E07417"/>
    <w:rsid w:val="00E24D45"/>
    <w:rsid w:val="00E300BD"/>
    <w:rsid w:val="00E33DB8"/>
    <w:rsid w:val="00E33EFF"/>
    <w:rsid w:val="00E34387"/>
    <w:rsid w:val="00E348BA"/>
    <w:rsid w:val="00E36132"/>
    <w:rsid w:val="00E369FE"/>
    <w:rsid w:val="00E37C6F"/>
    <w:rsid w:val="00E475F8"/>
    <w:rsid w:val="00E5102E"/>
    <w:rsid w:val="00E549A3"/>
    <w:rsid w:val="00E5721C"/>
    <w:rsid w:val="00E619C6"/>
    <w:rsid w:val="00E649DA"/>
    <w:rsid w:val="00E654B9"/>
    <w:rsid w:val="00E745A1"/>
    <w:rsid w:val="00E81529"/>
    <w:rsid w:val="00E83A13"/>
    <w:rsid w:val="00EA1289"/>
    <w:rsid w:val="00EB6FC5"/>
    <w:rsid w:val="00EC194E"/>
    <w:rsid w:val="00EC2356"/>
    <w:rsid w:val="00EC2582"/>
    <w:rsid w:val="00EC337C"/>
    <w:rsid w:val="00ED0CFF"/>
    <w:rsid w:val="00ED2708"/>
    <w:rsid w:val="00ED31D2"/>
    <w:rsid w:val="00ED76EB"/>
    <w:rsid w:val="00EE0EAC"/>
    <w:rsid w:val="00EE3322"/>
    <w:rsid w:val="00EE33CB"/>
    <w:rsid w:val="00F0061A"/>
    <w:rsid w:val="00F02834"/>
    <w:rsid w:val="00F04EEB"/>
    <w:rsid w:val="00F05467"/>
    <w:rsid w:val="00F055D2"/>
    <w:rsid w:val="00F07CD7"/>
    <w:rsid w:val="00F1235C"/>
    <w:rsid w:val="00F127E9"/>
    <w:rsid w:val="00F14B5D"/>
    <w:rsid w:val="00F167B5"/>
    <w:rsid w:val="00F259FC"/>
    <w:rsid w:val="00F36972"/>
    <w:rsid w:val="00F37DBD"/>
    <w:rsid w:val="00F42426"/>
    <w:rsid w:val="00F456BC"/>
    <w:rsid w:val="00F50666"/>
    <w:rsid w:val="00F533A8"/>
    <w:rsid w:val="00F55C09"/>
    <w:rsid w:val="00F70731"/>
    <w:rsid w:val="00F70C9E"/>
    <w:rsid w:val="00F74A74"/>
    <w:rsid w:val="00F7572C"/>
    <w:rsid w:val="00F8382C"/>
    <w:rsid w:val="00F855D7"/>
    <w:rsid w:val="00F92035"/>
    <w:rsid w:val="00F92748"/>
    <w:rsid w:val="00F938DF"/>
    <w:rsid w:val="00FA4169"/>
    <w:rsid w:val="00FB0D41"/>
    <w:rsid w:val="00FB2030"/>
    <w:rsid w:val="00FB71B8"/>
    <w:rsid w:val="00FC22D9"/>
    <w:rsid w:val="00FC3102"/>
    <w:rsid w:val="00FD0E46"/>
    <w:rsid w:val="00FD1CF2"/>
    <w:rsid w:val="00FD309A"/>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Dossier table,Section 3- footnotes,Legemiddelverket 3,Summary Table,ASD Table,Key messages box,Table Grid nm,YHEC table,Lash Style Table,GW Pharma 2,Table Grid No Line"/>
    <w:basedOn w:val="prastojilentel"/>
    <w:uiPriority w:val="59"/>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s Points,Table Header Row,Bullet Paragraph,Bullet Point,Dairy Paragraphe,Table Legend,Bullet List,Bullet1,List Paragraph CCT minutes,Bullet 1,Section 5,1. Bullet Blank,Bulleted - 2,FooterText,List Paragraph1,numbered,列出段落,Ref,B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character" w:customStyle="1" w:styleId="SraopastraipaDiagrama">
    <w:name w:val="Sąrašo pastraipa Diagrama"/>
    <w:aliases w:val="Bullets Points Diagrama,Table Header Row Diagrama,Bullet Paragraph Diagrama,Bullet Point Diagrama,Dairy Paragraphe Diagrama,Table Legend Diagrama,Bullet List Diagrama,Bullet1 Diagrama,List Paragraph CCT minutes Diagrama"/>
    <w:link w:val="Sraopastraipa"/>
    <w:uiPriority w:val="34"/>
    <w:qFormat/>
    <w:locked/>
    <w:rsid w:val="00016F32"/>
    <w:rPr>
      <w:sz w:val="24"/>
      <w:szCs w:val="24"/>
      <w:lang w:eastAsia="en-US"/>
    </w:rPr>
  </w:style>
  <w:style w:type="paragraph" w:customStyle="1" w:styleId="Tekstas">
    <w:name w:val="Tekstas"/>
    <w:basedOn w:val="prastasis"/>
    <w:link w:val="TekstasChar"/>
    <w:qFormat/>
    <w:rsid w:val="00931A54"/>
    <w:pPr>
      <w:spacing w:after="120"/>
      <w:jc w:val="both"/>
    </w:pPr>
  </w:style>
  <w:style w:type="character" w:customStyle="1" w:styleId="TekstasChar">
    <w:name w:val="Tekstas Char"/>
    <w:link w:val="Tekstas"/>
    <w:locked/>
    <w:rsid w:val="00931A54"/>
    <w:rPr>
      <w:sz w:val="24"/>
      <w:szCs w:val="24"/>
      <w:lang w:eastAsia="en-US"/>
    </w:rPr>
  </w:style>
  <w:style w:type="character" w:styleId="Emfaz">
    <w:name w:val="Emphasis"/>
    <w:basedOn w:val="Numatytasispastraiposriftas"/>
    <w:qFormat/>
    <w:rsid w:val="00AB6C7B"/>
    <w:rPr>
      <w:i/>
      <w:iCs/>
    </w:rPr>
  </w:style>
  <w:style w:type="table" w:customStyle="1" w:styleId="DossierTable1">
    <w:name w:val="Dossier Table1"/>
    <w:basedOn w:val="prastojilentel"/>
    <w:next w:val="Lentelstinklelis"/>
    <w:rsid w:val="00AB6C7B"/>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 w:id="2007320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3D438FDDC84AEA82E299BC599CBC25"/>
        <w:category>
          <w:name w:val="Bendrosios nuostatos"/>
          <w:gallery w:val="placeholder"/>
        </w:category>
        <w:types>
          <w:type w:val="bbPlcHdr"/>
        </w:types>
        <w:behaviors>
          <w:behavior w:val="content"/>
        </w:behaviors>
        <w:guid w:val="{8F0C27AA-2F75-4564-BE94-0A3EE869DBED}"/>
      </w:docPartPr>
      <w:docPartBody>
        <w:p w:rsidR="00C819B5" w:rsidRDefault="00C819B5" w:rsidP="00C819B5">
          <w:pPr>
            <w:pStyle w:val="D23D438FDDC84AEA82E299BC599CBC25"/>
          </w:pPr>
          <w:r>
            <w:rPr>
              <w:rStyle w:val="Vietosrezervavimoenklotekstas"/>
            </w:rPr>
            <w:t>Click here to enter a date.</w:t>
          </w:r>
        </w:p>
      </w:docPartBody>
    </w:docPart>
    <w:docPart>
      <w:docPartPr>
        <w:name w:val="8705C79A471446CD9DB13F7B9EBFF01E"/>
        <w:category>
          <w:name w:val="Bendrosios nuostatos"/>
          <w:gallery w:val="placeholder"/>
        </w:category>
        <w:types>
          <w:type w:val="bbPlcHdr"/>
        </w:types>
        <w:behaviors>
          <w:behavior w:val="content"/>
        </w:behaviors>
        <w:guid w:val="{16CBF5F8-2D4F-4987-B110-887BAF9737C8}"/>
      </w:docPartPr>
      <w:docPartBody>
        <w:p w:rsidR="00C819B5" w:rsidRDefault="00C819B5" w:rsidP="00C819B5">
          <w:pPr>
            <w:pStyle w:val="8705C79A471446CD9DB13F7B9EBFF01E"/>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61157"/>
    <w:rsid w:val="00065284"/>
    <w:rsid w:val="000937FE"/>
    <w:rsid w:val="000A559A"/>
    <w:rsid w:val="000D24D4"/>
    <w:rsid w:val="00143850"/>
    <w:rsid w:val="001A35F9"/>
    <w:rsid w:val="001C35A9"/>
    <w:rsid w:val="001C3BD0"/>
    <w:rsid w:val="001D1DCA"/>
    <w:rsid w:val="001E6693"/>
    <w:rsid w:val="00233573"/>
    <w:rsid w:val="00237556"/>
    <w:rsid w:val="0029066D"/>
    <w:rsid w:val="00325933"/>
    <w:rsid w:val="003450D7"/>
    <w:rsid w:val="0039303B"/>
    <w:rsid w:val="00407189"/>
    <w:rsid w:val="004144A3"/>
    <w:rsid w:val="004160E7"/>
    <w:rsid w:val="004416C6"/>
    <w:rsid w:val="00456E96"/>
    <w:rsid w:val="0048680D"/>
    <w:rsid w:val="004C798E"/>
    <w:rsid w:val="004E15EA"/>
    <w:rsid w:val="004F5AB2"/>
    <w:rsid w:val="005074B9"/>
    <w:rsid w:val="00512455"/>
    <w:rsid w:val="0053001B"/>
    <w:rsid w:val="00586EE7"/>
    <w:rsid w:val="005C62E5"/>
    <w:rsid w:val="005E40DD"/>
    <w:rsid w:val="005F10C1"/>
    <w:rsid w:val="006328CD"/>
    <w:rsid w:val="007219C1"/>
    <w:rsid w:val="00753462"/>
    <w:rsid w:val="00772325"/>
    <w:rsid w:val="007A2FE0"/>
    <w:rsid w:val="007C5D3B"/>
    <w:rsid w:val="007C6D1D"/>
    <w:rsid w:val="007C76AC"/>
    <w:rsid w:val="007F014A"/>
    <w:rsid w:val="008526F7"/>
    <w:rsid w:val="008D5053"/>
    <w:rsid w:val="0090074D"/>
    <w:rsid w:val="009017F0"/>
    <w:rsid w:val="00972219"/>
    <w:rsid w:val="009A33BF"/>
    <w:rsid w:val="009B3BF0"/>
    <w:rsid w:val="009D5E5E"/>
    <w:rsid w:val="009F1BB4"/>
    <w:rsid w:val="00A92BBA"/>
    <w:rsid w:val="00AB6ED4"/>
    <w:rsid w:val="00AE3B31"/>
    <w:rsid w:val="00B14210"/>
    <w:rsid w:val="00B22ED6"/>
    <w:rsid w:val="00B23DC0"/>
    <w:rsid w:val="00B306EB"/>
    <w:rsid w:val="00B96656"/>
    <w:rsid w:val="00BE0C79"/>
    <w:rsid w:val="00C2401D"/>
    <w:rsid w:val="00C250D7"/>
    <w:rsid w:val="00C53A68"/>
    <w:rsid w:val="00C819B5"/>
    <w:rsid w:val="00CA5BB4"/>
    <w:rsid w:val="00CB4BD1"/>
    <w:rsid w:val="00CD139C"/>
    <w:rsid w:val="00CE2DA9"/>
    <w:rsid w:val="00CE44BE"/>
    <w:rsid w:val="00D0142D"/>
    <w:rsid w:val="00D4356B"/>
    <w:rsid w:val="00D51824"/>
    <w:rsid w:val="00D7162F"/>
    <w:rsid w:val="00D90870"/>
    <w:rsid w:val="00DB4DB5"/>
    <w:rsid w:val="00DE4D10"/>
    <w:rsid w:val="00E44A86"/>
    <w:rsid w:val="00E522EB"/>
    <w:rsid w:val="00E60827"/>
    <w:rsid w:val="00E64C33"/>
    <w:rsid w:val="00EF395F"/>
    <w:rsid w:val="00EF6E0C"/>
    <w:rsid w:val="00F1235C"/>
    <w:rsid w:val="00F55028"/>
    <w:rsid w:val="00F77BEF"/>
    <w:rsid w:val="00FB0CFA"/>
    <w:rsid w:val="00FC755C"/>
    <w:rsid w:val="00FD309A"/>
    <w:rsid w:val="00FE0D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4C798E"/>
  </w:style>
  <w:style w:type="paragraph" w:customStyle="1" w:styleId="D23D438FDDC84AEA82E299BC599CBC25">
    <w:name w:val="D23D438FDDC84AEA82E299BC599CBC25"/>
    <w:rsid w:val="00C819B5"/>
    <w:pPr>
      <w:spacing w:line="278" w:lineRule="auto"/>
    </w:pPr>
    <w:rPr>
      <w:kern w:val="2"/>
      <w:sz w:val="24"/>
      <w:szCs w:val="24"/>
      <w14:ligatures w14:val="standardContextual"/>
    </w:rPr>
  </w:style>
  <w:style w:type="paragraph" w:customStyle="1" w:styleId="8705C79A471446CD9DB13F7B9EBFF01E">
    <w:name w:val="8705C79A471446CD9DB13F7B9EBFF01E"/>
    <w:rsid w:val="00C819B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13084</Words>
  <Characters>7459</Characters>
  <Application>Microsoft Office Word</Application>
  <DocSecurity>0</DocSecurity>
  <Lines>62</Lines>
  <Paragraphs>41</Paragraphs>
  <ScaleCrop>false</ScaleCrop>
  <Company/>
  <LinksUpToDate>false</LinksUpToDate>
  <CharactersWithSpaces>20502</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2025-10-27T10:00:00Z</dcterms:created>
  <dcterms:modified xsi:type="dcterms:W3CDTF">2025-11-07T12:33:00Z</dcterms:modified>
</cp:coreProperties>
</file>