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Default="005F7602" w:rsidP="002946C7">
      <w:pPr>
        <w:ind w:left="5529"/>
        <w:rPr>
          <w:lang w:val="en-US"/>
        </w:rPr>
      </w:pPr>
    </w:p>
    <w:p w14:paraId="38457810" w14:textId="77777777" w:rsidR="0040369C" w:rsidRPr="00C579B6" w:rsidRDefault="0040369C" w:rsidP="002946C7">
      <w:pPr>
        <w:ind w:left="5529"/>
        <w:rPr>
          <w:lang w:val="en-US"/>
        </w:rPr>
      </w:pPr>
    </w:p>
    <w:p w14:paraId="12FA4B9E" w14:textId="39AA3336" w:rsidR="001B3C5B" w:rsidRPr="00334F18" w:rsidRDefault="00DC261A" w:rsidP="001B3C5B">
      <w:pPr>
        <w:ind w:left="6096"/>
      </w:pPr>
      <w:bookmarkStart w:id="0" w:name="_Hlk189565243"/>
      <w:r w:rsidRPr="00334F18">
        <w:t>PATVIRTINTA</w:t>
      </w:r>
    </w:p>
    <w:p w14:paraId="7206970B" w14:textId="70E9BD2E" w:rsidR="004C263A" w:rsidRPr="00334F18" w:rsidRDefault="001B3C5B" w:rsidP="001B3C5B">
      <w:pPr>
        <w:ind w:left="6096"/>
      </w:pPr>
      <w:r w:rsidRPr="00334F18">
        <w:t>Valstybinės vaistų kontrolės tarnybos prie Lietuvos Respublikos sveikatos apsaugos ministerijos viršininko 2021 m</w:t>
      </w:r>
      <w:r w:rsidR="004C263A" w:rsidRPr="00334F18">
        <w:t xml:space="preserve">. lapkričio 12 </w:t>
      </w:r>
      <w:r w:rsidRPr="00334F18">
        <w:t>d. įsakymu Nr.</w:t>
      </w:r>
      <w:r w:rsidR="004C263A" w:rsidRPr="00334F18">
        <w:t xml:space="preserve"> (1.72E)1A-1418</w:t>
      </w:r>
    </w:p>
    <w:p w14:paraId="5B219AA6" w14:textId="3A5D6CB4" w:rsidR="001B3C5B" w:rsidRPr="00334F18" w:rsidRDefault="004C263A" w:rsidP="001B3C5B">
      <w:pPr>
        <w:ind w:left="6096"/>
      </w:pPr>
      <w:r w:rsidRPr="00334F18">
        <w:t>(Valstybinės vaistų kontrolės tarnybos prie Lietuvos Respublikos sveikatos apsaugos ministerijos viršininko 202</w:t>
      </w:r>
      <w:r w:rsidR="00A2310D" w:rsidRPr="00334F18">
        <w:t>5</w:t>
      </w:r>
      <w:r w:rsidRPr="00334F18">
        <w:t xml:space="preserve"> m.                         d. įsakymo Nr.                    redakcija)</w:t>
      </w:r>
    </w:p>
    <w:p w14:paraId="3336BD74" w14:textId="77777777" w:rsidR="001B3C5B" w:rsidRPr="00334F18" w:rsidRDefault="001B3C5B" w:rsidP="00FA4169"/>
    <w:bookmarkEnd w:id="0"/>
    <w:p w14:paraId="77AFB67E" w14:textId="0FB133A2" w:rsidR="00613501" w:rsidRPr="00334F18" w:rsidRDefault="002F0E4F" w:rsidP="003B211A">
      <w:pPr>
        <w:jc w:val="center"/>
        <w:rPr>
          <w:b/>
          <w:bCs/>
          <w:caps/>
        </w:rPr>
      </w:pPr>
      <w:r w:rsidRPr="00334F18">
        <w:rPr>
          <w:b/>
        </w:rPr>
        <w:t xml:space="preserve">REKOMENDACIJA DĖL VAISTINIO PREPARATO </w:t>
      </w:r>
      <w:r w:rsidRPr="00334F18">
        <w:rPr>
          <w:b/>
          <w:bCs/>
          <w:caps/>
        </w:rPr>
        <w:t>Lietuvos Respublikos Sveikatos apsaugos ministerijos vaistinių preparatų ir medicinos pagalbos priemonių kompensavimo komisijai</w:t>
      </w:r>
    </w:p>
    <w:p w14:paraId="34E4395D" w14:textId="15FB10DF" w:rsidR="00B13D65" w:rsidRPr="00334F18" w:rsidRDefault="00B13D65" w:rsidP="003B211A">
      <w:pPr>
        <w:jc w:val="center"/>
        <w:rPr>
          <w:b/>
        </w:rPr>
      </w:pPr>
    </w:p>
    <w:p w14:paraId="4C4B7606" w14:textId="5914FADA" w:rsidR="00FB3DC4" w:rsidRDefault="00FB3DC4" w:rsidP="00FB3DC4">
      <w:pPr>
        <w:jc w:val="center"/>
        <w:rPr>
          <w:b/>
        </w:rPr>
      </w:pPr>
      <w:bookmarkStart w:id="1" w:name="_Hlk212456862"/>
      <w:r w:rsidRPr="003718F3">
        <w:rPr>
          <w:b/>
        </w:rPr>
        <w:t xml:space="preserve">RUBRACA </w:t>
      </w:r>
      <w:r w:rsidRPr="001A3FF0">
        <w:rPr>
          <w:b/>
        </w:rPr>
        <w:t>200 mg</w:t>
      </w:r>
      <w:r w:rsidR="00D259CF">
        <w:rPr>
          <w:b/>
        </w:rPr>
        <w:t xml:space="preserve"> </w:t>
      </w:r>
      <w:r w:rsidRPr="001A3FF0">
        <w:rPr>
          <w:b/>
        </w:rPr>
        <w:t>plėvele dengtos tabletės</w:t>
      </w:r>
    </w:p>
    <w:p w14:paraId="6CA2EC16" w14:textId="31349360" w:rsidR="00D259CF" w:rsidRPr="00603B3A" w:rsidRDefault="00D259CF" w:rsidP="00D259CF">
      <w:pPr>
        <w:jc w:val="center"/>
        <w:rPr>
          <w:b/>
        </w:rPr>
      </w:pPr>
      <w:r w:rsidRPr="003718F3">
        <w:rPr>
          <w:b/>
        </w:rPr>
        <w:t xml:space="preserve">RUBRACA </w:t>
      </w:r>
      <w:r w:rsidRPr="001A3FF0">
        <w:rPr>
          <w:b/>
        </w:rPr>
        <w:t>250 mg plėvele dengtos tabletės</w:t>
      </w:r>
    </w:p>
    <w:p w14:paraId="4147FDEE" w14:textId="49069C25" w:rsidR="00D259CF" w:rsidRPr="00603B3A" w:rsidRDefault="00D259CF" w:rsidP="00D259CF">
      <w:pPr>
        <w:jc w:val="center"/>
        <w:rPr>
          <w:b/>
        </w:rPr>
      </w:pPr>
      <w:r w:rsidRPr="003718F3">
        <w:rPr>
          <w:b/>
        </w:rPr>
        <w:t xml:space="preserve">RUBRACA </w:t>
      </w:r>
      <w:r w:rsidRPr="001A3FF0">
        <w:rPr>
          <w:b/>
        </w:rPr>
        <w:t>300 mg plėvele dengtos tabletės</w:t>
      </w:r>
    </w:p>
    <w:bookmarkEnd w:id="1"/>
    <w:p w14:paraId="05FB91F6" w14:textId="77777777" w:rsidR="00FB3DC4" w:rsidRPr="00603B3A" w:rsidRDefault="00FB3DC4" w:rsidP="00FB3DC4">
      <w:pPr>
        <w:jc w:val="center"/>
      </w:pPr>
    </w:p>
    <w:p w14:paraId="1F1B2C50" w14:textId="77777777" w:rsidR="00FB3DC4" w:rsidRPr="00603B3A" w:rsidRDefault="00FB3DC4" w:rsidP="00FB3DC4">
      <w:pPr>
        <w:jc w:val="center"/>
      </w:pPr>
      <w:proofErr w:type="spellStart"/>
      <w:r>
        <w:rPr>
          <w:b/>
        </w:rPr>
        <w:t>R</w:t>
      </w:r>
      <w:r w:rsidRPr="001C76D9">
        <w:rPr>
          <w:b/>
        </w:rPr>
        <w:t>ukaparibas</w:t>
      </w:r>
      <w:proofErr w:type="spellEnd"/>
    </w:p>
    <w:p w14:paraId="707FB766" w14:textId="77777777" w:rsidR="00FB3DC4" w:rsidRPr="00603B3A" w:rsidRDefault="00FB3DC4" w:rsidP="00FB3DC4">
      <w:pPr>
        <w:jc w:val="center"/>
      </w:pPr>
    </w:p>
    <w:p w14:paraId="6EABC90D" w14:textId="35E8CD11" w:rsidR="00FB3DC4" w:rsidRPr="00603B3A" w:rsidRDefault="00FB3DC4" w:rsidP="00FB3DC4">
      <w:pPr>
        <w:jc w:val="center"/>
        <w:rPr>
          <w:b/>
        </w:rPr>
      </w:pPr>
      <w:r w:rsidRPr="00603B3A">
        <w:rPr>
          <w:b/>
        </w:rPr>
        <w:t>Paraiškos numeris</w:t>
      </w:r>
      <w:r>
        <w:rPr>
          <w:b/>
        </w:rPr>
        <w:t xml:space="preserve"> STV</w:t>
      </w:r>
      <w:r w:rsidR="00D259CF">
        <w:rPr>
          <w:b/>
        </w:rPr>
        <w:t>-</w:t>
      </w:r>
      <w:r>
        <w:rPr>
          <w:b/>
        </w:rPr>
        <w:t>239</w:t>
      </w:r>
    </w:p>
    <w:p w14:paraId="453197C8" w14:textId="77777777" w:rsidR="00D4708D" w:rsidRPr="00334F18" w:rsidRDefault="00D4708D" w:rsidP="003B211A">
      <w:pPr>
        <w:jc w:val="center"/>
        <w:rPr>
          <w:b/>
        </w:rPr>
      </w:pPr>
    </w:p>
    <w:p w14:paraId="78C89D1C" w14:textId="0DEFFAA5" w:rsidR="00D4485B" w:rsidRPr="00334F18" w:rsidRDefault="00B13D65" w:rsidP="00CC09D4">
      <w:pPr>
        <w:pStyle w:val="Sraopastraipa"/>
        <w:numPr>
          <w:ilvl w:val="0"/>
          <w:numId w:val="12"/>
        </w:numPr>
        <w:tabs>
          <w:tab w:val="left" w:pos="567"/>
        </w:tabs>
        <w:ind w:left="567" w:hanging="567"/>
        <w:rPr>
          <w:b/>
          <w:bCs/>
          <w:caps/>
        </w:rPr>
      </w:pPr>
      <w:r w:rsidRPr="00334F18">
        <w:rPr>
          <w:b/>
          <w:bCs/>
          <w:caps/>
        </w:rPr>
        <w:t>Bendroji dalis</w:t>
      </w:r>
    </w:p>
    <w:p w14:paraId="04A7C7A7" w14:textId="77777777" w:rsidR="00B13D65" w:rsidRPr="00334F18"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899"/>
        <w:gridCol w:w="4962"/>
      </w:tblGrid>
      <w:tr w:rsidR="00FB3DC4" w:rsidRPr="00334F18" w14:paraId="16A7BC7B" w14:textId="77777777" w:rsidTr="003F3FFF">
        <w:trPr>
          <w:trHeight w:val="538"/>
        </w:trPr>
        <w:tc>
          <w:tcPr>
            <w:tcW w:w="632" w:type="dxa"/>
          </w:tcPr>
          <w:p w14:paraId="4572808D" w14:textId="77777777" w:rsidR="00FB3DC4" w:rsidRPr="00334F18" w:rsidRDefault="00FB3DC4" w:rsidP="00FB3DC4">
            <w:pPr>
              <w:rPr>
                <w:rFonts w:eastAsia="Arial"/>
                <w:b/>
                <w:bCs/>
              </w:rPr>
            </w:pPr>
            <w:r w:rsidRPr="00334F18">
              <w:rPr>
                <w:rFonts w:eastAsia="Arial"/>
                <w:b/>
                <w:bCs/>
              </w:rPr>
              <w:t>1.1</w:t>
            </w:r>
          </w:p>
        </w:tc>
        <w:tc>
          <w:tcPr>
            <w:tcW w:w="3899" w:type="dxa"/>
          </w:tcPr>
          <w:p w14:paraId="54BA6EB3" w14:textId="77777777" w:rsidR="00FB3DC4" w:rsidRPr="00334F18" w:rsidRDefault="00FB3DC4" w:rsidP="00FB3DC4">
            <w:pPr>
              <w:rPr>
                <w:rFonts w:eastAsia="Arial"/>
                <w:b/>
                <w:bCs/>
              </w:rPr>
            </w:pPr>
            <w:r w:rsidRPr="00334F18">
              <w:rPr>
                <w:rFonts w:eastAsia="Arial"/>
                <w:b/>
                <w:bCs/>
              </w:rPr>
              <w:t>Pareiškėjas/ pareiškėjo atstovas</w:t>
            </w:r>
          </w:p>
        </w:tc>
        <w:tc>
          <w:tcPr>
            <w:tcW w:w="4962" w:type="dxa"/>
          </w:tcPr>
          <w:p w14:paraId="0F359BD4" w14:textId="774C66EF" w:rsidR="00FB3DC4" w:rsidRPr="00334F18" w:rsidRDefault="00FB3DC4" w:rsidP="00FB3DC4">
            <w:pPr>
              <w:rPr>
                <w:rFonts w:eastAsia="Arial"/>
              </w:rPr>
            </w:pPr>
            <w:r>
              <w:t xml:space="preserve">UAB </w:t>
            </w:r>
            <w:proofErr w:type="spellStart"/>
            <w:r>
              <w:t>Norameda</w:t>
            </w:r>
            <w:proofErr w:type="spellEnd"/>
          </w:p>
        </w:tc>
      </w:tr>
      <w:tr w:rsidR="00FB3DC4" w:rsidRPr="00334F18" w14:paraId="101EA148" w14:textId="77777777" w:rsidTr="003F3FFF">
        <w:trPr>
          <w:trHeight w:val="538"/>
        </w:trPr>
        <w:tc>
          <w:tcPr>
            <w:tcW w:w="632" w:type="dxa"/>
          </w:tcPr>
          <w:p w14:paraId="3BF67175" w14:textId="77777777" w:rsidR="00FB3DC4" w:rsidRPr="00334F18" w:rsidRDefault="00FB3DC4" w:rsidP="00FB3DC4">
            <w:pPr>
              <w:rPr>
                <w:rFonts w:eastAsia="Arial"/>
                <w:b/>
                <w:bCs/>
              </w:rPr>
            </w:pPr>
            <w:r w:rsidRPr="00334F18">
              <w:rPr>
                <w:rFonts w:eastAsia="Arial"/>
                <w:b/>
                <w:bCs/>
              </w:rPr>
              <w:t>1.2</w:t>
            </w:r>
          </w:p>
        </w:tc>
        <w:tc>
          <w:tcPr>
            <w:tcW w:w="3899" w:type="dxa"/>
          </w:tcPr>
          <w:p w14:paraId="786B66DF" w14:textId="77777777" w:rsidR="00FB3DC4" w:rsidRPr="00334F18" w:rsidRDefault="00FB3DC4" w:rsidP="00FB3DC4">
            <w:pPr>
              <w:rPr>
                <w:b/>
                <w:bCs/>
                <w:lang w:eastAsia="lt-LT"/>
              </w:rPr>
            </w:pPr>
            <w:r w:rsidRPr="00334F18">
              <w:rPr>
                <w:b/>
                <w:bCs/>
                <w:lang w:eastAsia="lt-LT"/>
              </w:rPr>
              <w:t xml:space="preserve">Vaistinio preparato registracijos data </w:t>
            </w:r>
          </w:p>
          <w:p w14:paraId="4B568341" w14:textId="77777777" w:rsidR="00FB3DC4" w:rsidRPr="00334F18" w:rsidRDefault="00FB3DC4" w:rsidP="00FB3DC4">
            <w:pPr>
              <w:rPr>
                <w:b/>
                <w:bCs/>
                <w:lang w:eastAsia="lt-LT"/>
              </w:rPr>
            </w:pPr>
          </w:p>
        </w:tc>
        <w:tc>
          <w:tcPr>
            <w:tcW w:w="4962" w:type="dxa"/>
          </w:tcPr>
          <w:p w14:paraId="65B57153" w14:textId="77777777" w:rsidR="00FB3DC4" w:rsidRDefault="00000000" w:rsidP="00FB3DC4">
            <w:pPr>
              <w:jc w:val="both"/>
              <w:rPr>
                <w:sz w:val="32"/>
              </w:rPr>
            </w:pPr>
            <w:sdt>
              <w:sdtPr>
                <w:rPr>
                  <w:lang w:bidi="lt-LT"/>
                </w:rPr>
                <w:alias w:val="Nurodykite konkrečią dieną"/>
                <w:tag w:val="Nurodykite pradžios datą"/>
                <w:id w:val="1772196685"/>
                <w:placeholder>
                  <w:docPart w:val="87DF66B8A4CD4EE4AEFB4ECC61F4FD5A"/>
                </w:placeholder>
                <w15:color w:val="FFCC99"/>
                <w:date>
                  <w:dateFormat w:val="yyyy 'm.' MMMM d 'd.'"/>
                  <w:lid w:val="lt-LT"/>
                  <w:storeMappedDataAs w:val="dateTime"/>
                  <w:calendar w:val="gregorian"/>
                </w:date>
              </w:sdtPr>
              <w:sdtContent>
                <w:r w:rsidR="00FB3DC4">
                  <w:rPr>
                    <w:lang w:bidi="lt-LT"/>
                  </w:rPr>
                  <w:t xml:space="preserve">2018 m. gegužės 24 d.  </w:t>
                </w:r>
              </w:sdtContent>
            </w:sdt>
          </w:p>
          <w:p w14:paraId="50F63366" w14:textId="4915D5BC" w:rsidR="00FB3DC4" w:rsidRPr="00334F18" w:rsidRDefault="00FB3DC4" w:rsidP="00FB3DC4">
            <w:pPr>
              <w:rPr>
                <w:rStyle w:val="Style2"/>
              </w:rPr>
            </w:pPr>
          </w:p>
        </w:tc>
      </w:tr>
      <w:tr w:rsidR="00334F18" w:rsidRPr="00334F18" w14:paraId="3D70E0FA" w14:textId="77777777" w:rsidTr="001F115E">
        <w:trPr>
          <w:trHeight w:val="1643"/>
        </w:trPr>
        <w:tc>
          <w:tcPr>
            <w:tcW w:w="632" w:type="dxa"/>
          </w:tcPr>
          <w:p w14:paraId="021DF6BD" w14:textId="77777777" w:rsidR="00E70CED" w:rsidRPr="00334F18" w:rsidRDefault="00E70CED" w:rsidP="001F115E">
            <w:pPr>
              <w:rPr>
                <w:rFonts w:eastAsia="Arial"/>
                <w:b/>
                <w:bCs/>
              </w:rPr>
            </w:pPr>
            <w:r w:rsidRPr="00334F18">
              <w:rPr>
                <w:rFonts w:eastAsia="Arial"/>
                <w:b/>
                <w:bCs/>
              </w:rPr>
              <w:t>1.3</w:t>
            </w:r>
          </w:p>
        </w:tc>
        <w:tc>
          <w:tcPr>
            <w:tcW w:w="3899" w:type="dxa"/>
          </w:tcPr>
          <w:p w14:paraId="528F713F" w14:textId="77777777" w:rsidR="00E70CED" w:rsidRPr="00334F18" w:rsidRDefault="00E70CED" w:rsidP="001F115E">
            <w:pPr>
              <w:pStyle w:val="Betarp"/>
              <w:rPr>
                <w:rFonts w:ascii="Times New Roman" w:hAnsi="Times New Roman"/>
                <w:b/>
                <w:sz w:val="24"/>
                <w:szCs w:val="24"/>
                <w:shd w:val="clear" w:color="auto" w:fill="FFFFFF"/>
              </w:rPr>
            </w:pPr>
            <w:r w:rsidRPr="00334F18">
              <w:rPr>
                <w:rFonts w:ascii="Times New Roman" w:hAnsi="Times New Roman"/>
                <w:b/>
                <w:sz w:val="24"/>
                <w:szCs w:val="24"/>
              </w:rPr>
              <w:t xml:space="preserve">Vaistinio preparato </w:t>
            </w:r>
            <w:r w:rsidRPr="00334F18">
              <w:rPr>
                <w:rFonts w:ascii="Times New Roman" w:hAnsi="Times New Roman"/>
                <w:b/>
                <w:sz w:val="24"/>
                <w:szCs w:val="24"/>
                <w:shd w:val="clear" w:color="auto" w:fill="FFFFFF"/>
              </w:rPr>
              <w:t>registracijos teisinis pagrindas</w:t>
            </w:r>
          </w:p>
          <w:p w14:paraId="63F86DC1" w14:textId="77777777" w:rsidR="00E70CED" w:rsidRPr="00334F18" w:rsidRDefault="00E70CED" w:rsidP="001F115E">
            <w:pPr>
              <w:pStyle w:val="Betarp"/>
              <w:rPr>
                <w:rFonts w:ascii="Times New Roman" w:hAnsi="Times New Roman"/>
                <w:b/>
                <w:bCs/>
                <w:sz w:val="24"/>
                <w:szCs w:val="24"/>
                <w:lang w:eastAsia="lt-LT"/>
              </w:rPr>
            </w:pPr>
            <w:r w:rsidRPr="00334F18">
              <w:rPr>
                <w:rFonts w:ascii="Times New Roman" w:hAnsi="Times New Roman"/>
                <w:b/>
                <w:sz w:val="24"/>
                <w:szCs w:val="24"/>
                <w:shd w:val="clear" w:color="auto" w:fill="FFFFFF"/>
              </w:rPr>
              <w:t>(</w:t>
            </w:r>
            <w:r w:rsidRPr="00334F18">
              <w:rPr>
                <w:rFonts w:ascii="Times New Roman" w:hAnsi="Times New Roman"/>
                <w:b/>
                <w:sz w:val="24"/>
                <w:szCs w:val="24"/>
              </w:rPr>
              <w:t>Direktyvos 2001/83/EB str.)</w:t>
            </w:r>
          </w:p>
        </w:tc>
        <w:tc>
          <w:tcPr>
            <w:tcW w:w="4962" w:type="dxa"/>
          </w:tcPr>
          <w:p w14:paraId="4C977D39" w14:textId="5F579146" w:rsidR="00E70CED" w:rsidRPr="00334F18" w:rsidRDefault="00000000" w:rsidP="001F115E">
            <w:sdt>
              <w:sdtPr>
                <w:rPr>
                  <w:rStyle w:val="Style2"/>
                  <w:sz w:val="24"/>
                </w:rPr>
                <w:id w:val="526292078"/>
                <w15:color w:val="FFCC00"/>
                <w14:checkbox>
                  <w14:checked w14:val="1"/>
                  <w14:checkedState w14:val="2612" w14:font="MS Gothic"/>
                  <w14:uncheckedState w14:val="2610" w14:font="MS Gothic"/>
                </w14:checkbox>
              </w:sdtPr>
              <w:sdtContent>
                <w:r w:rsidR="00FB3DC4">
                  <w:rPr>
                    <w:rStyle w:val="Style2"/>
                    <w:rFonts w:ascii="MS Gothic" w:eastAsia="MS Gothic" w:hAnsi="MS Gothic" w:hint="eastAsia"/>
                    <w:sz w:val="24"/>
                  </w:rPr>
                  <w:t>☒</w:t>
                </w:r>
              </w:sdtContent>
            </w:sdt>
            <w:r w:rsidR="00E70CED" w:rsidRPr="00334F18">
              <w:t>8.3 str. (pilna byla, pagrįsta savais tyrimais)</w:t>
            </w:r>
          </w:p>
          <w:p w14:paraId="6AABD410" w14:textId="77777777" w:rsidR="00E70CED" w:rsidRPr="00334F18" w:rsidRDefault="00000000" w:rsidP="001F115E">
            <w:sdt>
              <w:sdtPr>
                <w:rPr>
                  <w:rStyle w:val="Style2"/>
                  <w:sz w:val="24"/>
                </w:rPr>
                <w:id w:val="-1497953736"/>
                <w15:color w:val="FFCC00"/>
                <w14:checkbox>
                  <w14:checked w14:val="0"/>
                  <w14:checkedState w14:val="2612" w14:font="MS Gothic"/>
                  <w14:uncheckedState w14:val="2610" w14:font="MS Gothic"/>
                </w14:checkbox>
              </w:sdtPr>
              <w:sdtContent>
                <w:r w:rsidR="00E70CED" w:rsidRPr="00334F18">
                  <w:rPr>
                    <w:rStyle w:val="Style2"/>
                    <w:rFonts w:ascii="Segoe UI Symbol" w:eastAsia="MS Gothic" w:hAnsi="Segoe UI Symbol" w:cs="Segoe UI Symbol"/>
                    <w:sz w:val="24"/>
                  </w:rPr>
                  <w:t>☐</w:t>
                </w:r>
              </w:sdtContent>
            </w:sdt>
            <w:r w:rsidR="00E70CED" w:rsidRPr="00334F18">
              <w:t>10 a str. (pripažintas medicininis vartojimas)</w:t>
            </w:r>
          </w:p>
          <w:p w14:paraId="5CF35A47" w14:textId="77777777" w:rsidR="00E70CED" w:rsidRPr="00334F18" w:rsidRDefault="00000000" w:rsidP="001F115E">
            <w:sdt>
              <w:sdtPr>
                <w:rPr>
                  <w:rStyle w:val="Style2"/>
                  <w:sz w:val="24"/>
                </w:rPr>
                <w:id w:val="204142496"/>
                <w15:color w:val="FFCC00"/>
                <w14:checkbox>
                  <w14:checked w14:val="0"/>
                  <w14:checkedState w14:val="2612" w14:font="MS Gothic"/>
                  <w14:uncheckedState w14:val="2610" w14:font="MS Gothic"/>
                </w14:checkbox>
              </w:sdtPr>
              <w:sdtContent>
                <w:r w:rsidR="00E70CED" w:rsidRPr="00334F18">
                  <w:rPr>
                    <w:rStyle w:val="Style2"/>
                    <w:rFonts w:ascii="Segoe UI Symbol" w:eastAsia="MS Gothic" w:hAnsi="Segoe UI Symbol" w:cs="Segoe UI Symbol"/>
                    <w:sz w:val="24"/>
                  </w:rPr>
                  <w:t>☐</w:t>
                </w:r>
              </w:sdtContent>
            </w:sdt>
            <w:r w:rsidR="00E70CED" w:rsidRPr="00334F18">
              <w:t>10.1 str. (</w:t>
            </w:r>
            <w:proofErr w:type="spellStart"/>
            <w:r w:rsidR="00E70CED" w:rsidRPr="00334F18">
              <w:t>generinis</w:t>
            </w:r>
            <w:proofErr w:type="spellEnd"/>
            <w:r w:rsidR="00E70CED" w:rsidRPr="00334F18">
              <w:t>)</w:t>
            </w:r>
          </w:p>
          <w:p w14:paraId="0517A1B2" w14:textId="77777777" w:rsidR="00E70CED" w:rsidRPr="00334F18" w:rsidRDefault="00000000" w:rsidP="001F115E">
            <w:sdt>
              <w:sdtPr>
                <w:rPr>
                  <w:rStyle w:val="Style2"/>
                  <w:sz w:val="24"/>
                </w:rPr>
                <w:id w:val="820305101"/>
                <w15:color w:val="FFCC00"/>
                <w14:checkbox>
                  <w14:checked w14:val="0"/>
                  <w14:checkedState w14:val="2612" w14:font="MS Gothic"/>
                  <w14:uncheckedState w14:val="2610" w14:font="MS Gothic"/>
                </w14:checkbox>
              </w:sdtPr>
              <w:sdtContent>
                <w:r w:rsidR="00E70CED" w:rsidRPr="00334F18">
                  <w:rPr>
                    <w:rStyle w:val="Style2"/>
                    <w:rFonts w:ascii="Segoe UI Symbol" w:eastAsia="MS Gothic" w:hAnsi="Segoe UI Symbol" w:cs="Segoe UI Symbol"/>
                    <w:sz w:val="24"/>
                  </w:rPr>
                  <w:t>☐</w:t>
                </w:r>
              </w:sdtContent>
            </w:sdt>
            <w:r w:rsidR="00E70CED" w:rsidRPr="00334F18">
              <w:t>10.3 str. (hibridinis)</w:t>
            </w:r>
          </w:p>
          <w:p w14:paraId="0F37DDE0" w14:textId="78AF6516" w:rsidR="00063A50" w:rsidRPr="00334F18" w:rsidRDefault="00000000" w:rsidP="00063A50">
            <w:sdt>
              <w:sdtPr>
                <w:rPr>
                  <w:rStyle w:val="Style2"/>
                  <w:sz w:val="24"/>
                </w:rPr>
                <w:id w:val="1800953328"/>
                <w15:color w:val="FFCC00"/>
                <w14:checkbox>
                  <w14:checked w14:val="0"/>
                  <w14:checkedState w14:val="2612" w14:font="MS Gothic"/>
                  <w14:uncheckedState w14:val="2610" w14:font="MS Gothic"/>
                </w14:checkbox>
              </w:sdtPr>
              <w:sdtContent>
                <w:r w:rsidR="00063A50" w:rsidRPr="00334F18">
                  <w:rPr>
                    <w:rStyle w:val="Style2"/>
                    <w:rFonts w:ascii="Segoe UI Symbol" w:eastAsia="MS Gothic" w:hAnsi="Segoe UI Symbol" w:cs="Segoe UI Symbol"/>
                    <w:sz w:val="24"/>
                  </w:rPr>
                  <w:t>☐</w:t>
                </w:r>
              </w:sdtContent>
            </w:sdt>
            <w:r w:rsidR="00063A50" w:rsidRPr="00334F18">
              <w:t>10.4 str. (panašus biologinis)</w:t>
            </w:r>
          </w:p>
          <w:p w14:paraId="7EDB4848" w14:textId="77777777" w:rsidR="00063A50" w:rsidRPr="00334F18" w:rsidRDefault="00063A50" w:rsidP="001F115E">
            <w:pPr>
              <w:rPr>
                <w:rStyle w:val="Style2"/>
                <w:sz w:val="24"/>
              </w:rPr>
            </w:pPr>
          </w:p>
        </w:tc>
      </w:tr>
      <w:tr w:rsidR="00334F18" w:rsidRPr="00334F18" w14:paraId="31641941" w14:textId="77777777" w:rsidTr="003F3FFF">
        <w:trPr>
          <w:trHeight w:val="1011"/>
        </w:trPr>
        <w:tc>
          <w:tcPr>
            <w:tcW w:w="632" w:type="dxa"/>
          </w:tcPr>
          <w:p w14:paraId="2E73A32C" w14:textId="77777777" w:rsidR="00E70CED" w:rsidRPr="00334F18" w:rsidRDefault="00E70CED" w:rsidP="001F115E">
            <w:pPr>
              <w:rPr>
                <w:rFonts w:eastAsia="Arial"/>
                <w:b/>
                <w:bCs/>
              </w:rPr>
            </w:pPr>
            <w:r w:rsidRPr="00334F18">
              <w:rPr>
                <w:rFonts w:eastAsia="Arial"/>
                <w:b/>
              </w:rPr>
              <w:t>1.4</w:t>
            </w:r>
          </w:p>
        </w:tc>
        <w:tc>
          <w:tcPr>
            <w:tcW w:w="3899" w:type="dxa"/>
          </w:tcPr>
          <w:p w14:paraId="2547AC59" w14:textId="77777777" w:rsidR="00E70CED" w:rsidRPr="00334F18" w:rsidRDefault="00E70CED" w:rsidP="001F115E">
            <w:pPr>
              <w:tabs>
                <w:tab w:val="left" w:pos="284"/>
              </w:tabs>
              <w:rPr>
                <w:b/>
                <w:bCs/>
                <w:lang w:eastAsia="lt-LT"/>
              </w:rPr>
            </w:pPr>
            <w:r w:rsidRPr="00334F18">
              <w:rPr>
                <w:b/>
                <w:bCs/>
                <w:lang w:eastAsia="lt-LT"/>
              </w:rPr>
              <w:t>Ar vaistinis preparatas įrašytas į Bendrijos retųjų vaistinių preparatų registrą?</w:t>
            </w:r>
          </w:p>
        </w:tc>
        <w:tc>
          <w:tcPr>
            <w:tcW w:w="4962" w:type="dxa"/>
          </w:tcPr>
          <w:p w14:paraId="49AB923F" w14:textId="261348BA" w:rsidR="00E70CED" w:rsidRPr="00334F18" w:rsidRDefault="00000000" w:rsidP="001F115E">
            <w:sdt>
              <w:sdtPr>
                <w:rPr>
                  <w:rStyle w:val="Style2"/>
                  <w:sz w:val="24"/>
                </w:rPr>
                <w:id w:val="1190730465"/>
                <w15:color w:val="FFCC00"/>
                <w14:checkbox>
                  <w14:checked w14:val="0"/>
                  <w14:checkedState w14:val="2612" w14:font="MS Gothic"/>
                  <w14:uncheckedState w14:val="2610" w14:font="MS Gothic"/>
                </w14:checkbox>
              </w:sdtPr>
              <w:sdtContent>
                <w:r w:rsidR="00E70CED" w:rsidRPr="00334F18">
                  <w:rPr>
                    <w:rStyle w:val="Style2"/>
                    <w:rFonts w:ascii="Segoe UI Symbol" w:eastAsia="MS Gothic" w:hAnsi="Segoe UI Symbol" w:cs="Segoe UI Symbol"/>
                    <w:sz w:val="24"/>
                  </w:rPr>
                  <w:t>☐</w:t>
                </w:r>
              </w:sdtContent>
            </w:sdt>
            <w:r w:rsidR="00E70CED" w:rsidRPr="00334F18">
              <w:t xml:space="preserve"> Taip       </w:t>
            </w:r>
            <w:r w:rsidR="00E70CED" w:rsidRPr="00334F18">
              <w:rPr>
                <w:rStyle w:val="Style2"/>
                <w:sz w:val="24"/>
              </w:rPr>
              <w:t xml:space="preserve"> </w:t>
            </w:r>
            <w:sdt>
              <w:sdtPr>
                <w:rPr>
                  <w:rStyle w:val="Style2"/>
                  <w:sz w:val="24"/>
                </w:rPr>
                <w:id w:val="-1760283509"/>
                <w15:color w:val="FFCC00"/>
                <w14:checkbox>
                  <w14:checked w14:val="1"/>
                  <w14:checkedState w14:val="2612" w14:font="MS Gothic"/>
                  <w14:uncheckedState w14:val="2610" w14:font="MS Gothic"/>
                </w14:checkbox>
              </w:sdtPr>
              <w:sdtContent>
                <w:r w:rsidR="00FB3DC4">
                  <w:rPr>
                    <w:rStyle w:val="Style2"/>
                    <w:rFonts w:ascii="MS Gothic" w:eastAsia="MS Gothic" w:hAnsi="MS Gothic" w:hint="eastAsia"/>
                    <w:sz w:val="24"/>
                  </w:rPr>
                  <w:t>☒</w:t>
                </w:r>
              </w:sdtContent>
            </w:sdt>
            <w:r w:rsidR="00E70CED" w:rsidRPr="00334F18">
              <w:t xml:space="preserve"> Ne</w:t>
            </w:r>
          </w:p>
          <w:p w14:paraId="56165267" w14:textId="77777777" w:rsidR="00E70CED" w:rsidRPr="00334F18" w:rsidRDefault="00E70CED" w:rsidP="001F115E">
            <w:pPr>
              <w:rPr>
                <w:rFonts w:eastAsia="Arial"/>
              </w:rPr>
            </w:pPr>
            <w:r w:rsidRPr="00334F18">
              <w:t xml:space="preserve">Data: </w:t>
            </w:r>
            <w:sdt>
              <w:sdtPr>
                <w:alias w:val="Nurodykite konkrečią dieną"/>
                <w:tag w:val="Nurodykite pradžios datą"/>
                <w:id w:val="1784158105"/>
                <w:placeholder>
                  <w:docPart w:val="93D7EBE30A7F432F9AB1114CDC0B27A0"/>
                </w:placeholder>
                <w:showingPlcHdr/>
                <w15:color w:val="FFCC99"/>
                <w:date w:fullDate="2022-05-18T00:00:00Z">
                  <w:dateFormat w:val="yyyy 'm.' MMMM d 'd.'"/>
                  <w:lid w:val="lt-LT"/>
                  <w:storeMappedDataAs w:val="dateTime"/>
                  <w:calendar w:val="gregorian"/>
                </w:date>
              </w:sdtPr>
              <w:sdtContent>
                <w:r w:rsidRPr="00334F18">
                  <w:rPr>
                    <w:rStyle w:val="Vietosrezervavimoenklotekstas"/>
                    <w:color w:val="auto"/>
                  </w:rPr>
                  <w:t>Click here to enter a date.</w:t>
                </w:r>
              </w:sdtContent>
            </w:sdt>
            <w:r w:rsidRPr="00334F18">
              <w:t xml:space="preserve"> Nr.</w:t>
            </w:r>
          </w:p>
        </w:tc>
      </w:tr>
      <w:tr w:rsidR="00334F18" w:rsidRPr="00334F18" w14:paraId="5E0775EB" w14:textId="77777777" w:rsidTr="003F3FFF">
        <w:trPr>
          <w:trHeight w:val="1011"/>
        </w:trPr>
        <w:tc>
          <w:tcPr>
            <w:tcW w:w="632" w:type="dxa"/>
          </w:tcPr>
          <w:p w14:paraId="6829924D" w14:textId="77777777" w:rsidR="00E70CED" w:rsidRPr="00334F18" w:rsidRDefault="00E70CED" w:rsidP="001F115E">
            <w:pPr>
              <w:rPr>
                <w:rFonts w:eastAsia="Arial"/>
                <w:b/>
              </w:rPr>
            </w:pPr>
            <w:r w:rsidRPr="00334F18">
              <w:rPr>
                <w:rFonts w:eastAsia="Arial"/>
                <w:b/>
                <w:bCs/>
              </w:rPr>
              <w:t>1.5</w:t>
            </w:r>
          </w:p>
        </w:tc>
        <w:tc>
          <w:tcPr>
            <w:tcW w:w="3899" w:type="dxa"/>
          </w:tcPr>
          <w:p w14:paraId="1DDE7CF3" w14:textId="2FF7A402" w:rsidR="00E70CED" w:rsidRPr="00334F18" w:rsidRDefault="00E70CED" w:rsidP="001F115E">
            <w:pPr>
              <w:tabs>
                <w:tab w:val="left" w:pos="284"/>
              </w:tabs>
              <w:rPr>
                <w:b/>
                <w:bCs/>
                <w:lang w:eastAsia="lt-LT"/>
              </w:rPr>
            </w:pPr>
            <w:r w:rsidRPr="00334F18">
              <w:rPr>
                <w:b/>
                <w:bCs/>
                <w:lang w:eastAsia="lt-LT"/>
              </w:rPr>
              <w:t>Ar atliktas bendras klinikinis vertinimas</w:t>
            </w:r>
          </w:p>
          <w:p w14:paraId="0961228D" w14:textId="77777777" w:rsidR="00E70CED" w:rsidRPr="00334F18" w:rsidRDefault="00E70CED" w:rsidP="001F115E">
            <w:pPr>
              <w:tabs>
                <w:tab w:val="left" w:pos="284"/>
              </w:tabs>
              <w:rPr>
                <w:b/>
                <w:bCs/>
                <w:lang w:eastAsia="lt-LT"/>
              </w:rPr>
            </w:pPr>
            <w:r w:rsidRPr="00334F18">
              <w:rPr>
                <w:b/>
                <w:bCs/>
                <w:lang w:eastAsia="lt-LT"/>
              </w:rPr>
              <w:t>(Europos Parlamento ir Tarybos reglamentas (ES) 2021/2282)</w:t>
            </w:r>
          </w:p>
          <w:p w14:paraId="7B6C3C1B" w14:textId="77777777" w:rsidR="00336238" w:rsidRPr="00334F18" w:rsidRDefault="00336238" w:rsidP="001F115E">
            <w:pPr>
              <w:tabs>
                <w:tab w:val="left" w:pos="284"/>
              </w:tabs>
              <w:rPr>
                <w:b/>
                <w:bCs/>
                <w:lang w:eastAsia="lt-LT"/>
              </w:rPr>
            </w:pPr>
          </w:p>
        </w:tc>
        <w:tc>
          <w:tcPr>
            <w:tcW w:w="4962" w:type="dxa"/>
          </w:tcPr>
          <w:p w14:paraId="024AE31B" w14:textId="5C4D7A77" w:rsidR="00E70CED" w:rsidRPr="00334F18" w:rsidRDefault="00000000" w:rsidP="001F115E">
            <w:sdt>
              <w:sdtPr>
                <w:rPr>
                  <w:rStyle w:val="Style2"/>
                  <w:sz w:val="24"/>
                </w:rPr>
                <w:id w:val="-1171564470"/>
                <w15:color w:val="FFCC00"/>
                <w14:checkbox>
                  <w14:checked w14:val="0"/>
                  <w14:checkedState w14:val="2612" w14:font="MS Gothic"/>
                  <w14:uncheckedState w14:val="2610" w14:font="MS Gothic"/>
                </w14:checkbox>
              </w:sdtPr>
              <w:sdtContent>
                <w:r w:rsidR="00E70CED" w:rsidRPr="00334F18">
                  <w:rPr>
                    <w:rStyle w:val="Style2"/>
                    <w:rFonts w:ascii="Segoe UI Symbol" w:eastAsia="MS Gothic" w:hAnsi="Segoe UI Symbol" w:cs="Segoe UI Symbol"/>
                    <w:sz w:val="24"/>
                  </w:rPr>
                  <w:t>☐</w:t>
                </w:r>
              </w:sdtContent>
            </w:sdt>
            <w:r w:rsidR="00E70CED" w:rsidRPr="00334F18">
              <w:t xml:space="preserve"> Taip       </w:t>
            </w:r>
            <w:r w:rsidR="00E70CED" w:rsidRPr="00334F18">
              <w:rPr>
                <w:rStyle w:val="Style2"/>
                <w:sz w:val="24"/>
              </w:rPr>
              <w:t xml:space="preserve"> </w:t>
            </w:r>
            <w:sdt>
              <w:sdtPr>
                <w:rPr>
                  <w:rStyle w:val="Style2"/>
                  <w:sz w:val="24"/>
                </w:rPr>
                <w:id w:val="1448122567"/>
                <w15:color w:val="FFCC00"/>
                <w14:checkbox>
                  <w14:checked w14:val="1"/>
                  <w14:checkedState w14:val="2612" w14:font="MS Gothic"/>
                  <w14:uncheckedState w14:val="2610" w14:font="MS Gothic"/>
                </w14:checkbox>
              </w:sdtPr>
              <w:sdtContent>
                <w:r w:rsidR="00FB3DC4">
                  <w:rPr>
                    <w:rStyle w:val="Style2"/>
                    <w:rFonts w:ascii="MS Gothic" w:eastAsia="MS Gothic" w:hAnsi="MS Gothic" w:hint="eastAsia"/>
                    <w:sz w:val="24"/>
                  </w:rPr>
                  <w:t>☒</w:t>
                </w:r>
              </w:sdtContent>
            </w:sdt>
            <w:r w:rsidR="00E70CED" w:rsidRPr="00334F18">
              <w:t xml:space="preserve"> Ne</w:t>
            </w:r>
          </w:p>
          <w:p w14:paraId="0DF729B3" w14:textId="042856F7" w:rsidR="00E70CED" w:rsidRPr="00334F18" w:rsidRDefault="00E70CED" w:rsidP="001F115E">
            <w:pPr>
              <w:rPr>
                <w:rStyle w:val="Style2"/>
                <w:sz w:val="24"/>
              </w:rPr>
            </w:pPr>
            <w:r w:rsidRPr="00334F18">
              <w:t xml:space="preserve">Data: </w:t>
            </w:r>
            <w:sdt>
              <w:sdtPr>
                <w:alias w:val="Nurodykite konkrečią dieną"/>
                <w:tag w:val="Nurodykite pradžios datą"/>
                <w:id w:val="1516880001"/>
                <w:placeholder>
                  <w:docPart w:val="313EC56AA2FD440FAB92ED675BD36BA0"/>
                </w:placeholder>
                <w:showingPlcHdr/>
                <w15:color w:val="FFCC99"/>
                <w:date w:fullDate="2022-05-18T00:00:00Z">
                  <w:dateFormat w:val="yyyy 'm.' MMMM d 'd.'"/>
                  <w:lid w:val="lt-LT"/>
                  <w:storeMappedDataAs w:val="dateTime"/>
                  <w:calendar w:val="gregorian"/>
                </w:date>
              </w:sdtPr>
              <w:sdtContent>
                <w:r w:rsidRPr="00334F18">
                  <w:rPr>
                    <w:rStyle w:val="Vietosrezervavimoenklotekstas"/>
                    <w:color w:val="auto"/>
                  </w:rPr>
                  <w:t>Click here to enter a date.</w:t>
                </w:r>
              </w:sdtContent>
            </w:sdt>
            <w:r w:rsidRPr="00334F18">
              <w:t xml:space="preserve"> </w:t>
            </w:r>
          </w:p>
        </w:tc>
      </w:tr>
      <w:tr w:rsidR="00FB3DC4" w:rsidRPr="00334F18" w14:paraId="15E36E93" w14:textId="77777777" w:rsidTr="003F3FFF">
        <w:trPr>
          <w:trHeight w:val="1278"/>
        </w:trPr>
        <w:tc>
          <w:tcPr>
            <w:tcW w:w="632" w:type="dxa"/>
          </w:tcPr>
          <w:p w14:paraId="5F43AA8F" w14:textId="77777777" w:rsidR="00FB3DC4" w:rsidRPr="00334F18" w:rsidRDefault="00FB3DC4" w:rsidP="00FB3DC4">
            <w:pPr>
              <w:rPr>
                <w:rFonts w:eastAsia="Arial"/>
                <w:b/>
                <w:bCs/>
              </w:rPr>
            </w:pPr>
            <w:r w:rsidRPr="00334F18">
              <w:rPr>
                <w:rFonts w:eastAsia="Arial"/>
                <w:b/>
                <w:bCs/>
              </w:rPr>
              <w:lastRenderedPageBreak/>
              <w:t>1.6</w:t>
            </w:r>
          </w:p>
        </w:tc>
        <w:tc>
          <w:tcPr>
            <w:tcW w:w="3899" w:type="dxa"/>
          </w:tcPr>
          <w:p w14:paraId="41F32942" w14:textId="77777777" w:rsidR="00FB3DC4" w:rsidRPr="00334F18" w:rsidRDefault="00FB3DC4" w:rsidP="00FB3DC4">
            <w:pPr>
              <w:rPr>
                <w:b/>
                <w:bCs/>
                <w:lang w:eastAsia="lt-LT"/>
              </w:rPr>
            </w:pPr>
            <w:r w:rsidRPr="00334F18">
              <w:rPr>
                <w:b/>
                <w:bCs/>
                <w:lang w:eastAsia="lt-LT"/>
              </w:rPr>
              <w:t xml:space="preserve">Teikiama kompensuoti terapinė indikacija </w:t>
            </w:r>
          </w:p>
          <w:p w14:paraId="2882A5BD" w14:textId="77777777" w:rsidR="00FB3DC4" w:rsidRPr="00334F18" w:rsidRDefault="00FB3DC4" w:rsidP="00FB3DC4">
            <w:pPr>
              <w:rPr>
                <w:b/>
                <w:bCs/>
                <w:lang w:eastAsia="lt-LT"/>
              </w:rPr>
            </w:pPr>
          </w:p>
          <w:p w14:paraId="371D188E" w14:textId="77777777" w:rsidR="00FB3DC4" w:rsidRPr="00334F18" w:rsidRDefault="00FB3DC4" w:rsidP="00FB3DC4">
            <w:pPr>
              <w:rPr>
                <w:b/>
                <w:bCs/>
                <w:lang w:eastAsia="lt-LT"/>
              </w:rPr>
            </w:pPr>
            <w:r w:rsidRPr="00334F18">
              <w:rPr>
                <w:b/>
                <w:bCs/>
                <w:lang w:eastAsia="lt-LT"/>
              </w:rPr>
              <w:t>Kodas pagal TLK-10 AM</w:t>
            </w:r>
          </w:p>
        </w:tc>
        <w:tc>
          <w:tcPr>
            <w:tcW w:w="4962" w:type="dxa"/>
          </w:tcPr>
          <w:p w14:paraId="10833DB8" w14:textId="7B87A96D" w:rsidR="00FB3DC4" w:rsidRPr="00334F18" w:rsidRDefault="00FB3DC4" w:rsidP="00FB3DC4">
            <w:proofErr w:type="spellStart"/>
            <w:r w:rsidRPr="00123504">
              <w:t>Rubraca</w:t>
            </w:r>
            <w:proofErr w:type="spellEnd"/>
            <w:r w:rsidRPr="00123504">
              <w:t xml:space="preserve"> skirtas </w:t>
            </w:r>
            <w:proofErr w:type="spellStart"/>
            <w:r w:rsidRPr="00123504">
              <w:t>monoterapijai</w:t>
            </w:r>
            <w:proofErr w:type="spellEnd"/>
            <w:r w:rsidRPr="00123504">
              <w:t xml:space="preserve"> palaikomajam gydymui suaugusioms pacientėms, sergančioms išplitusiu (III ir IV stadijos pagal FIGO) aukšto piktybiškumo </w:t>
            </w:r>
            <w:proofErr w:type="spellStart"/>
            <w:r w:rsidRPr="00123504">
              <w:t>epiteliniu</w:t>
            </w:r>
            <w:proofErr w:type="spellEnd"/>
            <w:r w:rsidRPr="00123504">
              <w:t xml:space="preserve"> kiaušidžių, kiaušintakių ar pirminiu pilvaplėvės vėžiu, kai stebimas atsakas (visiškas arba dalinis) į pirmaeilį gydymą chemoterapija platinos pagrindu.</w:t>
            </w:r>
          </w:p>
        </w:tc>
      </w:tr>
      <w:tr w:rsidR="00FB3DC4" w:rsidRPr="00334F18" w14:paraId="01C3C4F5" w14:textId="77777777" w:rsidTr="003F3FFF">
        <w:trPr>
          <w:trHeight w:val="378"/>
        </w:trPr>
        <w:tc>
          <w:tcPr>
            <w:tcW w:w="632" w:type="dxa"/>
          </w:tcPr>
          <w:p w14:paraId="5115AFC1" w14:textId="77777777" w:rsidR="00FB3DC4" w:rsidRPr="00334F18" w:rsidRDefault="00FB3DC4" w:rsidP="00FB3DC4">
            <w:pPr>
              <w:rPr>
                <w:rFonts w:eastAsia="Arial"/>
                <w:b/>
                <w:bCs/>
              </w:rPr>
            </w:pPr>
            <w:r w:rsidRPr="00334F18">
              <w:rPr>
                <w:rFonts w:eastAsia="Arial"/>
                <w:b/>
                <w:bCs/>
              </w:rPr>
              <w:t>1.7</w:t>
            </w:r>
          </w:p>
        </w:tc>
        <w:tc>
          <w:tcPr>
            <w:tcW w:w="3899" w:type="dxa"/>
          </w:tcPr>
          <w:p w14:paraId="48045B5A" w14:textId="77777777" w:rsidR="00FB3DC4" w:rsidRPr="00334F18" w:rsidRDefault="00FB3DC4" w:rsidP="00FB3DC4">
            <w:pPr>
              <w:rPr>
                <w:b/>
                <w:bCs/>
                <w:u w:val="single"/>
                <w:lang w:eastAsia="lt-LT"/>
              </w:rPr>
            </w:pPr>
            <w:r w:rsidRPr="00334F18">
              <w:rPr>
                <w:b/>
                <w:bCs/>
                <w:lang w:eastAsia="lt-LT"/>
              </w:rPr>
              <w:t xml:space="preserve">Teikiamos skyrimo sąlygos </w:t>
            </w:r>
          </w:p>
        </w:tc>
        <w:tc>
          <w:tcPr>
            <w:tcW w:w="4962" w:type="dxa"/>
          </w:tcPr>
          <w:p w14:paraId="6A31562C" w14:textId="1E7BB4BC" w:rsidR="00FB3DC4" w:rsidRPr="00D259CF" w:rsidRDefault="00FB3DC4" w:rsidP="00FB3DC4">
            <w:r w:rsidRPr="00D259CF">
              <w:rPr>
                <w:lang w:bidi="lt-LT"/>
              </w:rPr>
              <w:t xml:space="preserve">Gydymą </w:t>
            </w:r>
            <w:proofErr w:type="spellStart"/>
            <w:r w:rsidRPr="00D259CF">
              <w:rPr>
                <w:lang w:bidi="lt-LT"/>
              </w:rPr>
              <w:t>Rubraca</w:t>
            </w:r>
            <w:proofErr w:type="spellEnd"/>
            <w:r w:rsidRPr="00D259CF">
              <w:rPr>
                <w:lang w:bidi="lt-LT"/>
              </w:rPr>
              <w:t xml:space="preserve"> reikia pradėti ir tęsti prižiūrint patyrusiam priešvėžinių vaistinių preparatų skyrime gydytojui. Pacientai turi pradėti palaikomąjį gydymą </w:t>
            </w:r>
            <w:proofErr w:type="spellStart"/>
            <w:r w:rsidRPr="00D259CF">
              <w:rPr>
                <w:lang w:bidi="lt-LT"/>
              </w:rPr>
              <w:t>Rubraca</w:t>
            </w:r>
            <w:proofErr w:type="spellEnd"/>
            <w:r w:rsidRPr="00D259CF">
              <w:rPr>
                <w:lang w:bidi="lt-LT"/>
              </w:rPr>
              <w:t xml:space="preserve"> ne vėliau kaip per 8 savaites nuo paskutinės dozės suvartojimo taikant gydymą platinos pagrindu. Pacientės gali tęsti gydymą iki ligos progresavimo, nepageidaujamo toksinio poveikio arba 2 metų gydymo kurso pabaigos. </w:t>
            </w:r>
          </w:p>
        </w:tc>
      </w:tr>
      <w:tr w:rsidR="00334F18" w:rsidRPr="00334F18" w14:paraId="3C32C984" w14:textId="77777777" w:rsidTr="003F3FFF">
        <w:trPr>
          <w:trHeight w:val="378"/>
        </w:trPr>
        <w:tc>
          <w:tcPr>
            <w:tcW w:w="632" w:type="dxa"/>
          </w:tcPr>
          <w:p w14:paraId="4E679EDB" w14:textId="77777777" w:rsidR="00E70CED" w:rsidRPr="00334F18" w:rsidRDefault="00E70CED" w:rsidP="001F115E">
            <w:pPr>
              <w:rPr>
                <w:rFonts w:eastAsia="Arial"/>
                <w:b/>
                <w:bCs/>
              </w:rPr>
            </w:pPr>
            <w:r w:rsidRPr="00334F18">
              <w:rPr>
                <w:rFonts w:eastAsia="Arial"/>
                <w:b/>
                <w:bCs/>
              </w:rPr>
              <w:t>1.8</w:t>
            </w:r>
          </w:p>
        </w:tc>
        <w:tc>
          <w:tcPr>
            <w:tcW w:w="3899" w:type="dxa"/>
          </w:tcPr>
          <w:p w14:paraId="784605B5" w14:textId="3A924C79" w:rsidR="00E70CED" w:rsidRPr="00334F18" w:rsidRDefault="00E70CED" w:rsidP="001F115E">
            <w:pPr>
              <w:rPr>
                <w:b/>
                <w:bCs/>
                <w:lang w:eastAsia="lt-LT"/>
              </w:rPr>
            </w:pPr>
            <w:r w:rsidRPr="00334F18">
              <w:rPr>
                <w:b/>
                <w:bCs/>
                <w:lang w:eastAsia="lt-LT"/>
              </w:rPr>
              <w:t>Ekonominė analizė</w:t>
            </w:r>
          </w:p>
        </w:tc>
        <w:tc>
          <w:tcPr>
            <w:tcW w:w="4962" w:type="dxa"/>
          </w:tcPr>
          <w:p w14:paraId="3155F2E8" w14:textId="1994CF6E" w:rsidR="00E70CED" w:rsidRPr="00334F18" w:rsidRDefault="00000000" w:rsidP="001F115E">
            <w:sdt>
              <w:sdtPr>
                <w:rPr>
                  <w:rStyle w:val="Style2"/>
                  <w:sz w:val="24"/>
                </w:rPr>
                <w:id w:val="356323367"/>
                <w15:color w:val="FFCC00"/>
                <w14:checkbox>
                  <w14:checked w14:val="1"/>
                  <w14:checkedState w14:val="2612" w14:font="MS Gothic"/>
                  <w14:uncheckedState w14:val="2610" w14:font="MS Gothic"/>
                </w14:checkbox>
              </w:sdtPr>
              <w:sdtContent>
                <w:r w:rsidR="00FB3DC4">
                  <w:rPr>
                    <w:rStyle w:val="Style2"/>
                    <w:rFonts w:ascii="MS Gothic" w:eastAsia="MS Gothic" w:hAnsi="MS Gothic" w:hint="eastAsia"/>
                    <w:sz w:val="24"/>
                  </w:rPr>
                  <w:t>☒</w:t>
                </w:r>
              </w:sdtContent>
            </w:sdt>
            <w:r w:rsidR="00E70CED" w:rsidRPr="00334F18">
              <w:t xml:space="preserve"> Kaštų naudingumo analizė</w:t>
            </w:r>
          </w:p>
          <w:p w14:paraId="49547563" w14:textId="77777777" w:rsidR="00E70CED" w:rsidRPr="00334F18" w:rsidRDefault="00000000" w:rsidP="001F115E">
            <w:sdt>
              <w:sdtPr>
                <w:rPr>
                  <w:rStyle w:val="Style2"/>
                  <w:sz w:val="24"/>
                </w:rPr>
                <w:id w:val="-250506580"/>
                <w15:color w:val="FFCC00"/>
                <w14:checkbox>
                  <w14:checked w14:val="0"/>
                  <w14:checkedState w14:val="2612" w14:font="MS Gothic"/>
                  <w14:uncheckedState w14:val="2610" w14:font="MS Gothic"/>
                </w14:checkbox>
              </w:sdtPr>
              <w:sdtContent>
                <w:r w:rsidR="00E70CED" w:rsidRPr="00334F18">
                  <w:rPr>
                    <w:rStyle w:val="Style2"/>
                    <w:rFonts w:ascii="Segoe UI Symbol" w:eastAsia="MS Gothic" w:hAnsi="Segoe UI Symbol" w:cs="Segoe UI Symbol"/>
                    <w:sz w:val="24"/>
                  </w:rPr>
                  <w:t>☐</w:t>
                </w:r>
              </w:sdtContent>
            </w:sdt>
            <w:r w:rsidR="00E70CED" w:rsidRPr="00334F18">
              <w:t xml:space="preserve"> Kaštų mažinimo analizė</w:t>
            </w:r>
          </w:p>
          <w:p w14:paraId="42039008" w14:textId="5726D9D8" w:rsidR="00FE5878" w:rsidRPr="00334F18" w:rsidRDefault="00000000" w:rsidP="00FE5878">
            <w:sdt>
              <w:sdtPr>
                <w:rPr>
                  <w:rStyle w:val="Style2"/>
                  <w:sz w:val="24"/>
                </w:rPr>
                <w:id w:val="-1570647133"/>
                <w15:color w:val="FFCC00"/>
                <w14:checkbox>
                  <w14:checked w14:val="0"/>
                  <w14:checkedState w14:val="2612" w14:font="MS Gothic"/>
                  <w14:uncheckedState w14:val="2610" w14:font="MS Gothic"/>
                </w14:checkbox>
              </w:sdtPr>
              <w:sdtContent>
                <w:r w:rsidR="00FE5878" w:rsidRPr="00334F18">
                  <w:rPr>
                    <w:rStyle w:val="Style2"/>
                    <w:rFonts w:ascii="Segoe UI Symbol" w:eastAsia="MS Gothic" w:hAnsi="Segoe UI Symbol" w:cs="Segoe UI Symbol"/>
                    <w:sz w:val="24"/>
                  </w:rPr>
                  <w:t>☐</w:t>
                </w:r>
              </w:sdtContent>
            </w:sdt>
            <w:r w:rsidR="00FE5878" w:rsidRPr="00334F18">
              <w:t xml:space="preserve"> Neteikiama</w:t>
            </w:r>
          </w:p>
          <w:p w14:paraId="5DC5A0C1" w14:textId="77777777" w:rsidR="00FE5878" w:rsidRPr="00334F18" w:rsidRDefault="00FE5878" w:rsidP="001F115E"/>
          <w:p w14:paraId="4B0FE78C" w14:textId="77777777" w:rsidR="00E70CED" w:rsidRPr="00334F18" w:rsidRDefault="00E70CED" w:rsidP="001F115E"/>
        </w:tc>
      </w:tr>
    </w:tbl>
    <w:p w14:paraId="2EB7FD31" w14:textId="5615B363" w:rsidR="007A2B68" w:rsidRPr="00334F18" w:rsidRDefault="00DC261A" w:rsidP="00063A50">
      <w:pPr>
        <w:pStyle w:val="Sraopastraipa"/>
        <w:tabs>
          <w:tab w:val="left" w:pos="426"/>
        </w:tabs>
        <w:ind w:left="0"/>
        <w:jc w:val="center"/>
        <w:rPr>
          <w:b/>
          <w:bCs/>
          <w:caps/>
        </w:rPr>
      </w:pPr>
      <w:r w:rsidRPr="00334F18">
        <w:rPr>
          <w:b/>
          <w:bCs/>
          <w:caps/>
        </w:rPr>
        <w:t>___________________</w:t>
      </w:r>
    </w:p>
    <w:p w14:paraId="73290081" w14:textId="77777777" w:rsidR="007A2B68" w:rsidRPr="00334F18" w:rsidRDefault="007A2B68">
      <w:pPr>
        <w:rPr>
          <w:b/>
          <w:bCs/>
          <w:caps/>
        </w:rPr>
      </w:pPr>
      <w:r w:rsidRPr="00334F18">
        <w:rPr>
          <w:b/>
          <w:bCs/>
          <w:caps/>
        </w:rPr>
        <w:br w:type="page"/>
      </w:r>
    </w:p>
    <w:p w14:paraId="5055E8A8" w14:textId="556A0C21" w:rsidR="002E6F80" w:rsidRPr="00334F18" w:rsidRDefault="00CC7832" w:rsidP="00CC09D4">
      <w:pPr>
        <w:pStyle w:val="Sraopastraipa"/>
        <w:numPr>
          <w:ilvl w:val="0"/>
          <w:numId w:val="12"/>
        </w:numPr>
        <w:tabs>
          <w:tab w:val="left" w:pos="567"/>
        </w:tabs>
        <w:ind w:hanging="720"/>
        <w:rPr>
          <w:b/>
          <w:bCs/>
          <w:caps/>
        </w:rPr>
      </w:pPr>
      <w:r w:rsidRPr="00334F18">
        <w:rPr>
          <w:b/>
          <w:bCs/>
          <w:caps/>
        </w:rPr>
        <w:lastRenderedPageBreak/>
        <w:t>Klinikinio vertinimo a</w:t>
      </w:r>
      <w:r w:rsidR="00D4485B" w:rsidRPr="00334F18">
        <w:rPr>
          <w:b/>
          <w:bCs/>
          <w:caps/>
        </w:rPr>
        <w:t>pibendrinimas</w:t>
      </w:r>
    </w:p>
    <w:p w14:paraId="25F89291" w14:textId="5C45C8FC" w:rsidR="00D4485B" w:rsidRDefault="00D4485B" w:rsidP="00A93AA6">
      <w:pPr>
        <w:pStyle w:val="Sraopastraipa"/>
        <w:tabs>
          <w:tab w:val="left" w:pos="426"/>
        </w:tabs>
        <w:ind w:left="0"/>
        <w:rPr>
          <w:b/>
          <w:bCs/>
          <w:caps/>
        </w:rPr>
      </w:pPr>
    </w:p>
    <w:p w14:paraId="629CFCC2" w14:textId="513BFEF3" w:rsidR="00FB3DC4" w:rsidRPr="0044192A" w:rsidRDefault="00FB3DC4" w:rsidP="0083723C">
      <w:pPr>
        <w:tabs>
          <w:tab w:val="left" w:pos="426"/>
        </w:tabs>
        <w:spacing w:line="276" w:lineRule="auto"/>
        <w:ind w:firstLine="680"/>
        <w:jc w:val="both"/>
        <w:rPr>
          <w:rFonts w:eastAsia="Arial"/>
          <w:iCs/>
        </w:rPr>
      </w:pPr>
      <w:r w:rsidRPr="0044192A">
        <w:rPr>
          <w:rFonts w:eastAsia="Arial"/>
          <w:iCs/>
        </w:rPr>
        <w:t>Kiaušidžių vėžys yra trečia pagal dažnį ginekologinė vėžinė liga visame pasaulyje ir antra mirties nuo ginekologinio vėžio priežastis. Be</w:t>
      </w:r>
      <w:r>
        <w:rPr>
          <w:rFonts w:eastAsia="Arial"/>
          <w:iCs/>
        </w:rPr>
        <w:t xml:space="preserve"> išankstinės profilaktikos </w:t>
      </w:r>
      <w:r w:rsidRPr="0044192A">
        <w:rPr>
          <w:rFonts w:eastAsia="Arial"/>
          <w:iCs/>
        </w:rPr>
        <w:t>veiksnių kiaušidžių vėžio išsivystymo per visą gyvenimą rizika yra maždaug 2,7 %. Remiantis GLOBOCAN, 2022 m. užregistruoti 324 398 kiaušidžių vėžio atvejai, sudarantys 3,4 % visų moterims diagnozuotų vėžio atvej</w:t>
      </w:r>
      <w:r>
        <w:rPr>
          <w:rFonts w:eastAsia="Arial"/>
          <w:iCs/>
        </w:rPr>
        <w:t>ų</w:t>
      </w:r>
      <w:r w:rsidRPr="0044192A">
        <w:rPr>
          <w:rFonts w:eastAsia="Arial"/>
          <w:iCs/>
        </w:rPr>
        <w:t>. Europoje 2022 m. apskaičiuotasis pagal amžių standartizuotas naujų KV atvejų dažnis buvo 15,5 atvejo 100 000 gyventojų, o mirštamumo rodiklis – 10,3 atvejo 100 000 gyventojų</w:t>
      </w:r>
    </w:p>
    <w:p w14:paraId="3B998B6C" w14:textId="77777777" w:rsidR="00FB3DC4" w:rsidRPr="0044192A" w:rsidRDefault="00FB3DC4" w:rsidP="0083723C">
      <w:pPr>
        <w:tabs>
          <w:tab w:val="left" w:pos="426"/>
        </w:tabs>
        <w:spacing w:line="276" w:lineRule="auto"/>
        <w:ind w:firstLine="680"/>
        <w:jc w:val="both"/>
        <w:rPr>
          <w:rFonts w:eastAsia="Arial"/>
          <w:iCs/>
        </w:rPr>
      </w:pPr>
      <w:r w:rsidRPr="0044192A">
        <w:rPr>
          <w:rFonts w:eastAsia="Arial"/>
          <w:iCs/>
        </w:rPr>
        <w:t xml:space="preserve">Nustatant pirminio naviko stadiją vadovaujamasi Tarptautinės ginekologijos ir akušerijos federacijos (FIGO) nustatytais kriterijais, pagal kuriuos išskiriamos ankstyvosios navikų stadijos (FIGO I ir II stadijos) ir išplitusių navikų stadijos (FIGO III ir IV stadijos). KV pagal mikroskopinę naviko ląstelių išvaizdą, palyginti su sveikomis ląstelėmis, skirstomas pagal 1–3 laipsnių skalę. Didelio piktybiško (3 laipsnio) navikai yra prastai diferencijuoti, agresyvesni, tikėtina, kad jie augs ir plis greičiau nei mažo ar vidutinio piktybiškumo (1 ir 2 laipsnių) navikai. </w:t>
      </w:r>
    </w:p>
    <w:p w14:paraId="16ACC7F7" w14:textId="77777777" w:rsidR="00AA4BBB" w:rsidRDefault="00AA4BBB" w:rsidP="0040369C">
      <w:pPr>
        <w:tabs>
          <w:tab w:val="left" w:pos="426"/>
        </w:tabs>
        <w:spacing w:line="276" w:lineRule="auto"/>
        <w:ind w:firstLine="680"/>
        <w:jc w:val="both"/>
        <w:rPr>
          <w:rFonts w:eastAsia="Arial"/>
          <w:i/>
        </w:rPr>
      </w:pPr>
      <w:bookmarkStart w:id="2" w:name="_Hlk212824572"/>
    </w:p>
    <w:p w14:paraId="197E93A7" w14:textId="39AC00F0" w:rsidR="001172EC" w:rsidRDefault="00FB3DC4" w:rsidP="00A1657F">
      <w:pPr>
        <w:tabs>
          <w:tab w:val="left" w:pos="426"/>
        </w:tabs>
        <w:spacing w:line="360" w:lineRule="auto"/>
        <w:jc w:val="both"/>
        <w:rPr>
          <w:rFonts w:eastAsia="Arial"/>
          <w:i/>
        </w:rPr>
      </w:pPr>
      <w:r w:rsidRPr="00F14E07">
        <w:rPr>
          <w:rFonts w:eastAsia="Arial"/>
          <w:i/>
        </w:rPr>
        <w:t>Palyginamasis gydymas</w:t>
      </w:r>
    </w:p>
    <w:p w14:paraId="7FF37634" w14:textId="7D7FFADC" w:rsidR="00824102" w:rsidRDefault="0040369C" w:rsidP="0040369C">
      <w:pPr>
        <w:tabs>
          <w:tab w:val="left" w:pos="426"/>
        </w:tabs>
        <w:spacing w:line="276" w:lineRule="auto"/>
        <w:ind w:firstLine="680"/>
        <w:jc w:val="both"/>
        <w:rPr>
          <w:rFonts w:eastAsia="Arial"/>
        </w:rPr>
      </w:pPr>
      <w:r w:rsidRPr="00F14E07">
        <w:rPr>
          <w:rFonts w:eastAsia="Arial"/>
          <w:iCs/>
        </w:rPr>
        <w:t xml:space="preserve">Lietuvoje išplitusiu kiaušidžių, kiaušintakių ir pirminiu pilvaplėvės vėžiu sergančioms pacientėms kompensuojamas gydymas </w:t>
      </w:r>
      <w:proofErr w:type="spellStart"/>
      <w:r w:rsidRPr="00F14E07">
        <w:rPr>
          <w:rFonts w:eastAsia="Arial"/>
          <w:iCs/>
        </w:rPr>
        <w:t>olaparibu</w:t>
      </w:r>
      <w:proofErr w:type="spellEnd"/>
      <w:r w:rsidRPr="00F14E07">
        <w:rPr>
          <w:rFonts w:eastAsia="Arial"/>
          <w:iCs/>
        </w:rPr>
        <w:t xml:space="preserve"> ir </w:t>
      </w:r>
      <w:proofErr w:type="spellStart"/>
      <w:r w:rsidRPr="00F14E07">
        <w:rPr>
          <w:rFonts w:eastAsia="Arial"/>
          <w:iCs/>
        </w:rPr>
        <w:t>bevacizumabu</w:t>
      </w:r>
      <w:proofErr w:type="spellEnd"/>
      <w:r w:rsidRPr="00F14E07">
        <w:rPr>
          <w:rFonts w:eastAsia="Arial"/>
          <w:iCs/>
        </w:rPr>
        <w:t xml:space="preserve">. </w:t>
      </w:r>
      <w:proofErr w:type="spellStart"/>
      <w:r w:rsidRPr="00F14E07">
        <w:rPr>
          <w:rFonts w:eastAsia="Arial"/>
          <w:iCs/>
        </w:rPr>
        <w:t>Olaparibas</w:t>
      </w:r>
      <w:proofErr w:type="spellEnd"/>
      <w:r w:rsidRPr="00F14E07">
        <w:rPr>
          <w:rFonts w:eastAsia="Arial"/>
          <w:iCs/>
        </w:rPr>
        <w:t xml:space="preserve"> skirtas gydyti vėžiui su nustatytomis BRCA1/2 mutacijomis, </w:t>
      </w:r>
      <w:proofErr w:type="spellStart"/>
      <w:r w:rsidRPr="00F14E07">
        <w:rPr>
          <w:rFonts w:eastAsia="Arial"/>
          <w:iCs/>
        </w:rPr>
        <w:t>bevacizumabas</w:t>
      </w:r>
      <w:proofErr w:type="spellEnd"/>
      <w:r w:rsidRPr="00F14E07">
        <w:rPr>
          <w:rFonts w:eastAsia="Arial"/>
          <w:iCs/>
        </w:rPr>
        <w:t xml:space="preserve"> - nepriklausomai nuo BRCA mutacijų buvimo</w:t>
      </w:r>
      <w:r w:rsidR="007A60C9" w:rsidRPr="00F14E07">
        <w:rPr>
          <w:rFonts w:eastAsia="Arial"/>
          <w:iCs/>
        </w:rPr>
        <w:t xml:space="preserve"> ir HRD statuso</w:t>
      </w:r>
      <w:r w:rsidRPr="00F14E07">
        <w:rPr>
          <w:rFonts w:eastAsia="Arial"/>
          <w:iCs/>
        </w:rPr>
        <w:t xml:space="preserve">. </w:t>
      </w:r>
    </w:p>
    <w:p w14:paraId="0EFD981F" w14:textId="31C7C99A" w:rsidR="0040369C" w:rsidRDefault="007A60C9" w:rsidP="0040369C">
      <w:pPr>
        <w:tabs>
          <w:tab w:val="left" w:pos="426"/>
        </w:tabs>
        <w:spacing w:line="276" w:lineRule="auto"/>
        <w:ind w:firstLine="680"/>
        <w:jc w:val="both"/>
        <w:rPr>
          <w:bCs/>
          <w:iCs/>
          <w:lang w:eastAsia="lt-LT"/>
        </w:rPr>
      </w:pPr>
      <w:r w:rsidRPr="00F14E07">
        <w:rPr>
          <w:rFonts w:eastAsia="Arial"/>
        </w:rPr>
        <w:t>Remiantis mokslinės literatūros duomenims bei tarptautine klinikine praktika</w:t>
      </w:r>
      <w:r w:rsidRPr="00F14E07">
        <w:rPr>
          <w:bCs/>
          <w:iCs/>
          <w:lang w:eastAsia="lt-LT"/>
        </w:rPr>
        <w:t xml:space="preserve"> </w:t>
      </w:r>
      <w:proofErr w:type="spellStart"/>
      <w:r w:rsidRPr="00F14E07">
        <w:rPr>
          <w:bCs/>
          <w:iCs/>
          <w:lang w:eastAsia="lt-LT"/>
        </w:rPr>
        <w:t>homologinės</w:t>
      </w:r>
      <w:proofErr w:type="spellEnd"/>
      <w:r w:rsidRPr="00F14E07">
        <w:rPr>
          <w:bCs/>
          <w:iCs/>
          <w:lang w:eastAsia="lt-LT"/>
        </w:rPr>
        <w:t xml:space="preserve"> rekombinacijos nepakankamumas (įskaitant BRCA 1 arba 2 mutacijas)</w:t>
      </w:r>
      <w:r w:rsidR="00ED1229" w:rsidRPr="00F14E07">
        <w:rPr>
          <w:rFonts w:eastAsia="Arial"/>
        </w:rPr>
        <w:t xml:space="preserve"> nustatomas maždaug pusei kiaušidžių vėžiu sergančių pacienčių.</w:t>
      </w:r>
      <w:r w:rsidRPr="00F14E07">
        <w:rPr>
          <w:bCs/>
          <w:iCs/>
          <w:lang w:eastAsia="lt-LT"/>
        </w:rPr>
        <w:t xml:space="preserve"> Todėl detaliai įvertinus </w:t>
      </w:r>
      <w:bookmarkStart w:id="3" w:name="_Hlk212726990"/>
      <w:r w:rsidR="00BB446A" w:rsidRPr="00F14E07">
        <w:rPr>
          <w:bCs/>
          <w:iCs/>
          <w:lang w:eastAsia="lt-LT"/>
        </w:rPr>
        <w:t>mokslinės literatūros</w:t>
      </w:r>
      <w:r w:rsidR="00E05307" w:rsidRPr="00F14E07">
        <w:rPr>
          <w:bCs/>
          <w:iCs/>
          <w:lang w:eastAsia="lt-LT"/>
        </w:rPr>
        <w:t xml:space="preserve"> duomenis</w:t>
      </w:r>
      <w:r w:rsidR="00BB446A" w:rsidRPr="00F14E07">
        <w:rPr>
          <w:bCs/>
          <w:iCs/>
          <w:lang w:eastAsia="lt-LT"/>
        </w:rPr>
        <w:t xml:space="preserve"> ir </w:t>
      </w:r>
      <w:bookmarkEnd w:id="3"/>
      <w:r w:rsidR="00ED1229" w:rsidRPr="00F14E07">
        <w:rPr>
          <w:bCs/>
          <w:iCs/>
          <w:lang w:eastAsia="lt-LT"/>
        </w:rPr>
        <w:t>Lietuvos klinikinę praktiką atspindinči</w:t>
      </w:r>
      <w:r w:rsidR="00E05307" w:rsidRPr="00F14E07">
        <w:rPr>
          <w:bCs/>
          <w:iCs/>
          <w:lang w:eastAsia="lt-LT"/>
        </w:rPr>
        <w:t>ą informaciją</w:t>
      </w:r>
      <w:r w:rsidRPr="00F14E07">
        <w:rPr>
          <w:bCs/>
          <w:iCs/>
          <w:lang w:eastAsia="lt-LT"/>
        </w:rPr>
        <w:t>, tinkamu palyginamuoju gydymu bendroje pacien</w:t>
      </w:r>
      <w:r w:rsidR="00ED1229" w:rsidRPr="00F14E07">
        <w:rPr>
          <w:bCs/>
          <w:iCs/>
          <w:lang w:eastAsia="lt-LT"/>
        </w:rPr>
        <w:t xml:space="preserve">čių populiacijoje </w:t>
      </w:r>
      <w:r w:rsidRPr="00F14E07">
        <w:rPr>
          <w:bCs/>
          <w:iCs/>
          <w:lang w:eastAsia="lt-LT"/>
        </w:rPr>
        <w:t>laik</w:t>
      </w:r>
      <w:r w:rsidR="00ED1229" w:rsidRPr="00F14E07">
        <w:rPr>
          <w:bCs/>
          <w:iCs/>
          <w:lang w:eastAsia="lt-LT"/>
        </w:rPr>
        <w:t>ytina</w:t>
      </w:r>
      <w:r w:rsidRPr="00F14E07">
        <w:rPr>
          <w:bCs/>
          <w:iCs/>
          <w:lang w:eastAsia="lt-LT"/>
        </w:rPr>
        <w:t xml:space="preserve"> </w:t>
      </w:r>
      <w:proofErr w:type="spellStart"/>
      <w:r w:rsidRPr="00F14E07">
        <w:rPr>
          <w:bCs/>
          <w:iCs/>
          <w:lang w:eastAsia="lt-LT"/>
        </w:rPr>
        <w:t>monoterapija</w:t>
      </w:r>
      <w:proofErr w:type="spellEnd"/>
      <w:r w:rsidRPr="00F14E07">
        <w:rPr>
          <w:bCs/>
          <w:iCs/>
          <w:lang w:eastAsia="lt-LT"/>
        </w:rPr>
        <w:t xml:space="preserve"> </w:t>
      </w:r>
      <w:proofErr w:type="spellStart"/>
      <w:r w:rsidRPr="00F14E07">
        <w:rPr>
          <w:bCs/>
          <w:iCs/>
          <w:lang w:eastAsia="lt-LT"/>
        </w:rPr>
        <w:t>bevacizumabu</w:t>
      </w:r>
      <w:proofErr w:type="spellEnd"/>
      <w:r w:rsidRPr="00F14E07">
        <w:rPr>
          <w:bCs/>
          <w:iCs/>
          <w:lang w:eastAsia="lt-LT"/>
        </w:rPr>
        <w:t>.</w:t>
      </w:r>
    </w:p>
    <w:p w14:paraId="25F2C0E4" w14:textId="44BE8FD2" w:rsidR="00FB3DC4" w:rsidRDefault="00FB3DC4" w:rsidP="0083723C">
      <w:pPr>
        <w:tabs>
          <w:tab w:val="left" w:pos="426"/>
        </w:tabs>
        <w:spacing w:line="276" w:lineRule="auto"/>
        <w:ind w:firstLine="680"/>
        <w:jc w:val="both"/>
        <w:rPr>
          <w:rFonts w:eastAsia="Arial"/>
        </w:rPr>
      </w:pPr>
      <w:proofErr w:type="spellStart"/>
      <w:r w:rsidRPr="006E41F3">
        <w:rPr>
          <w:rFonts w:eastAsia="Arial"/>
        </w:rPr>
        <w:t>Rukaparibas</w:t>
      </w:r>
      <w:proofErr w:type="spellEnd"/>
      <w:r w:rsidRPr="006E41F3">
        <w:rPr>
          <w:rFonts w:eastAsia="Arial"/>
        </w:rPr>
        <w:t xml:space="preserve"> yra poli(ADP </w:t>
      </w:r>
      <w:proofErr w:type="spellStart"/>
      <w:r w:rsidRPr="006E41F3">
        <w:rPr>
          <w:rFonts w:eastAsia="Arial"/>
        </w:rPr>
        <w:t>ribozės</w:t>
      </w:r>
      <w:proofErr w:type="spellEnd"/>
      <w:r w:rsidRPr="006E41F3">
        <w:rPr>
          <w:rFonts w:eastAsia="Arial"/>
        </w:rPr>
        <w:t>) polimerazės (PARP) fermentų, įskaitant PARP-1, PARP-2 ir PARP-3, kurie dalyvauja DNR atstatyme, inhibitorius.</w:t>
      </w:r>
      <w:r>
        <w:rPr>
          <w:b/>
          <w:bCs/>
          <w:caps/>
        </w:rPr>
        <w:t xml:space="preserve"> </w:t>
      </w:r>
      <w:r w:rsidRPr="00A5395B">
        <w:rPr>
          <w:rFonts w:eastAsia="Arial"/>
        </w:rPr>
        <w:t xml:space="preserve">Manoma, kad </w:t>
      </w:r>
      <w:proofErr w:type="spellStart"/>
      <w:r w:rsidRPr="00A5395B">
        <w:rPr>
          <w:rFonts w:eastAsia="Arial"/>
        </w:rPr>
        <w:t>rukaparibas</w:t>
      </w:r>
      <w:proofErr w:type="spellEnd"/>
      <w:r w:rsidRPr="00A5395B">
        <w:rPr>
          <w:rFonts w:eastAsia="Arial"/>
        </w:rPr>
        <w:t xml:space="preserve"> sumažina žmogaus vėžio sukeltą naviko augimą pelių </w:t>
      </w:r>
      <w:proofErr w:type="spellStart"/>
      <w:r w:rsidRPr="00A5395B">
        <w:rPr>
          <w:rFonts w:eastAsia="Arial"/>
        </w:rPr>
        <w:t>ksenotransplantacijos</w:t>
      </w:r>
      <w:proofErr w:type="spellEnd"/>
      <w:r w:rsidRPr="00A5395B">
        <w:rPr>
          <w:rFonts w:eastAsia="Arial"/>
        </w:rPr>
        <w:t xml:space="preserve"> modeliuose su BRCA </w:t>
      </w:r>
      <w:r>
        <w:rPr>
          <w:rFonts w:eastAsia="Arial"/>
        </w:rPr>
        <w:t>mutacijomis</w:t>
      </w:r>
      <w:r w:rsidRPr="00A5395B">
        <w:rPr>
          <w:rFonts w:eastAsia="Arial"/>
        </w:rPr>
        <w:t xml:space="preserve"> arba be j</w:t>
      </w:r>
      <w:r>
        <w:rPr>
          <w:rFonts w:eastAsia="Arial"/>
        </w:rPr>
        <w:t>ų</w:t>
      </w:r>
      <w:r w:rsidRPr="00A5395B">
        <w:rPr>
          <w:rFonts w:eastAsia="Arial"/>
        </w:rPr>
        <w:t>.</w:t>
      </w:r>
      <w:r>
        <w:rPr>
          <w:rFonts w:eastAsia="Arial"/>
        </w:rPr>
        <w:t xml:space="preserve"> </w:t>
      </w:r>
    </w:p>
    <w:p w14:paraId="6CDEA6EB" w14:textId="3105EF5D" w:rsidR="00FB3DC4" w:rsidRDefault="00FB3DC4" w:rsidP="0083723C">
      <w:pPr>
        <w:spacing w:line="276" w:lineRule="auto"/>
        <w:ind w:firstLine="680"/>
        <w:jc w:val="both"/>
        <w:rPr>
          <w:rFonts w:eastAsia="Arial"/>
        </w:rPr>
      </w:pPr>
      <w:proofErr w:type="spellStart"/>
      <w:r>
        <w:rPr>
          <w:rFonts w:eastAsia="Arial"/>
        </w:rPr>
        <w:t>Rukaparibo</w:t>
      </w:r>
      <w:proofErr w:type="spellEnd"/>
      <w:r>
        <w:rPr>
          <w:rFonts w:eastAsia="Arial"/>
        </w:rPr>
        <w:t xml:space="preserve"> klinikinis veiksmingumas grindžiamas netiesioginiu palyginimu su </w:t>
      </w:r>
      <w:proofErr w:type="spellStart"/>
      <w:r>
        <w:rPr>
          <w:rFonts w:eastAsia="Arial"/>
        </w:rPr>
        <w:t>bevacizumabu</w:t>
      </w:r>
      <w:proofErr w:type="spellEnd"/>
      <w:r>
        <w:rPr>
          <w:rFonts w:eastAsia="Arial"/>
        </w:rPr>
        <w:t xml:space="preserve"> ir </w:t>
      </w:r>
      <w:proofErr w:type="spellStart"/>
      <w:r>
        <w:rPr>
          <w:rFonts w:eastAsia="Arial"/>
        </w:rPr>
        <w:t>olaparibu</w:t>
      </w:r>
      <w:proofErr w:type="spellEnd"/>
      <w:r>
        <w:rPr>
          <w:rFonts w:eastAsia="Arial"/>
        </w:rPr>
        <w:t xml:space="preserve"> derinyje su </w:t>
      </w:r>
      <w:proofErr w:type="spellStart"/>
      <w:r>
        <w:rPr>
          <w:rFonts w:eastAsia="Arial"/>
        </w:rPr>
        <w:t>bevacizumabu</w:t>
      </w:r>
      <w:proofErr w:type="spellEnd"/>
      <w:r>
        <w:rPr>
          <w:rFonts w:eastAsia="Arial"/>
        </w:rPr>
        <w:t xml:space="preserve">. Tiesioginio palyginimo klinikinis tyrimas AHENA-MONO buvo vertinamas kaip papildoma informacija, dėl netinkamo palyginamojo gydymo - placebo. </w:t>
      </w:r>
    </w:p>
    <w:p w14:paraId="6B4E9708" w14:textId="77777777" w:rsidR="0083723C" w:rsidRDefault="0083723C" w:rsidP="00FB3DC4">
      <w:pPr>
        <w:tabs>
          <w:tab w:val="left" w:pos="426"/>
        </w:tabs>
        <w:spacing w:line="276" w:lineRule="auto"/>
        <w:jc w:val="both"/>
        <w:rPr>
          <w:rFonts w:eastAsia="Arial"/>
          <w:i/>
          <w:iCs/>
        </w:rPr>
      </w:pPr>
    </w:p>
    <w:p w14:paraId="34B67923" w14:textId="69C2A55C" w:rsidR="00FB3DC4" w:rsidRDefault="00FB3DC4" w:rsidP="00A1657F">
      <w:pPr>
        <w:tabs>
          <w:tab w:val="left" w:pos="426"/>
        </w:tabs>
        <w:spacing w:line="360" w:lineRule="auto"/>
        <w:jc w:val="both"/>
        <w:rPr>
          <w:rFonts w:eastAsia="Arial"/>
          <w:i/>
          <w:iCs/>
        </w:rPr>
      </w:pPr>
      <w:r w:rsidRPr="002B7C11">
        <w:rPr>
          <w:rFonts w:eastAsia="Arial"/>
          <w:i/>
          <w:iCs/>
        </w:rPr>
        <w:t>Tiesioginis palyginimas</w:t>
      </w:r>
    </w:p>
    <w:p w14:paraId="5751FF9E" w14:textId="517DFF94" w:rsidR="00FB3DC4" w:rsidRPr="00126630" w:rsidRDefault="00FB3DC4" w:rsidP="0083723C">
      <w:pPr>
        <w:tabs>
          <w:tab w:val="left" w:pos="426"/>
        </w:tabs>
        <w:spacing w:line="276" w:lineRule="auto"/>
        <w:ind w:firstLine="680"/>
        <w:jc w:val="both"/>
        <w:rPr>
          <w:rFonts w:eastAsia="Arial"/>
        </w:rPr>
      </w:pPr>
      <w:r>
        <w:rPr>
          <w:rFonts w:eastAsia="Arial"/>
        </w:rPr>
        <w:t>Klinikinio tyrimo ATHENA-MONO b</w:t>
      </w:r>
      <w:r w:rsidRPr="00126630">
        <w:rPr>
          <w:rFonts w:eastAsia="Arial"/>
        </w:rPr>
        <w:t xml:space="preserve">endra pacientų populiacija atitiko  vertinamą indikaciją, tyrime dalyvavo pacientai, kuriems buvo naujai diagnozuotas, </w:t>
      </w:r>
      <w:proofErr w:type="spellStart"/>
      <w:r w:rsidRPr="00126630">
        <w:rPr>
          <w:rFonts w:eastAsia="Arial"/>
        </w:rPr>
        <w:t>histologiškai</w:t>
      </w:r>
      <w:proofErr w:type="spellEnd"/>
      <w:r w:rsidRPr="00126630">
        <w:rPr>
          <w:rFonts w:eastAsia="Arial"/>
        </w:rPr>
        <w:t xml:space="preserve"> patvirtintas, išplitęs (Tarptautinės ginekologijos ir akušerijos federacijos III–IV stadijos), didelio piktybiškumo epitelio kiaušidžių, kiaušintakių arba pirminis pilvaplėvės vėžys. </w:t>
      </w:r>
      <w:r>
        <w:rPr>
          <w:rFonts w:eastAsia="Arial"/>
        </w:rPr>
        <w:t xml:space="preserve">Pacientams buvo </w:t>
      </w:r>
      <w:r w:rsidRPr="00126630">
        <w:rPr>
          <w:rFonts w:eastAsia="Arial"/>
        </w:rPr>
        <w:t>stebimas atsakas (visiškas arba dalinis) į pirmaeilį gydymą</w:t>
      </w:r>
      <w:r w:rsidRPr="00CA0F69">
        <w:rPr>
          <w:rFonts w:eastAsia="Arial"/>
          <w:i/>
          <w:iCs/>
        </w:rPr>
        <w:t xml:space="preserve"> chemoterapija platinos pagrindu, populiaciją</w:t>
      </w:r>
    </w:p>
    <w:p w14:paraId="7FC82A4F" w14:textId="29964EA4" w:rsidR="00FB3DC4" w:rsidRPr="00425E4F" w:rsidRDefault="00FB3DC4" w:rsidP="0083723C">
      <w:pPr>
        <w:tabs>
          <w:tab w:val="left" w:pos="426"/>
        </w:tabs>
        <w:spacing w:line="276" w:lineRule="auto"/>
        <w:ind w:firstLine="680"/>
        <w:jc w:val="both"/>
        <w:rPr>
          <w:rFonts w:eastAsia="Arial"/>
        </w:rPr>
      </w:pPr>
      <w:r w:rsidRPr="00126630">
        <w:rPr>
          <w:rFonts w:eastAsia="Arial"/>
        </w:rPr>
        <w:t xml:space="preserve">Vertinamosios baigtys vertinamos bendroje pacientų populiacijoje ir iš anksto numatytuose pacientų pogrupiuose pagal BRCA 1/2 mutacijas, be BRCA mutacijų bei atsižvelgiant į </w:t>
      </w:r>
      <w:proofErr w:type="spellStart"/>
      <w:r w:rsidRPr="00126630">
        <w:rPr>
          <w:rFonts w:eastAsia="Arial"/>
        </w:rPr>
        <w:t>homologinės</w:t>
      </w:r>
      <w:proofErr w:type="spellEnd"/>
      <w:r w:rsidRPr="00126630">
        <w:rPr>
          <w:rFonts w:eastAsia="Arial"/>
        </w:rPr>
        <w:t xml:space="preserve"> rekombinacijos trūkumą.</w:t>
      </w:r>
      <w:r>
        <w:rPr>
          <w:rFonts w:eastAsia="Arial"/>
        </w:rPr>
        <w:t xml:space="preserve"> Pirminė vertinamoji baigtis – Tyrėjo vertintas išgyvenamumas be ligos progresavimo </w:t>
      </w:r>
      <w:r w:rsidR="00D259CF">
        <w:rPr>
          <w:rFonts w:eastAsia="Arial"/>
        </w:rPr>
        <w:t xml:space="preserve">(angl. </w:t>
      </w:r>
      <w:proofErr w:type="spellStart"/>
      <w:r w:rsidR="00D259CF" w:rsidRPr="00D259CF">
        <w:rPr>
          <w:rFonts w:eastAsia="Arial"/>
        </w:rPr>
        <w:t>Progression-free</w:t>
      </w:r>
      <w:proofErr w:type="spellEnd"/>
      <w:r w:rsidR="00D259CF" w:rsidRPr="00D259CF">
        <w:rPr>
          <w:rFonts w:eastAsia="Arial"/>
        </w:rPr>
        <w:t xml:space="preserve"> </w:t>
      </w:r>
      <w:proofErr w:type="spellStart"/>
      <w:r w:rsidR="00D259CF" w:rsidRPr="00D259CF">
        <w:rPr>
          <w:rFonts w:eastAsia="Arial"/>
        </w:rPr>
        <w:t>survival</w:t>
      </w:r>
      <w:proofErr w:type="spellEnd"/>
      <w:r w:rsidR="00D259CF" w:rsidRPr="00D259CF">
        <w:rPr>
          <w:rFonts w:eastAsia="Arial"/>
        </w:rPr>
        <w:t xml:space="preserve"> </w:t>
      </w:r>
      <w:proofErr w:type="spellStart"/>
      <w:r w:rsidR="00D259CF" w:rsidRPr="00D259CF">
        <w:rPr>
          <w:rFonts w:eastAsia="Arial"/>
        </w:rPr>
        <w:t>by</w:t>
      </w:r>
      <w:proofErr w:type="spellEnd"/>
      <w:r w:rsidR="00D259CF" w:rsidRPr="00D259CF">
        <w:rPr>
          <w:rFonts w:eastAsia="Arial"/>
        </w:rPr>
        <w:t xml:space="preserve"> </w:t>
      </w:r>
      <w:proofErr w:type="spellStart"/>
      <w:r w:rsidR="00D259CF" w:rsidRPr="00D259CF">
        <w:rPr>
          <w:rFonts w:eastAsia="Arial"/>
        </w:rPr>
        <w:t>Investigator</w:t>
      </w:r>
      <w:proofErr w:type="spellEnd"/>
      <w:r w:rsidR="00D259CF">
        <w:rPr>
          <w:rFonts w:eastAsia="Arial"/>
        </w:rPr>
        <w:t xml:space="preserve">, </w:t>
      </w:r>
      <w:proofErr w:type="spellStart"/>
      <w:r>
        <w:rPr>
          <w:rFonts w:eastAsia="Arial"/>
        </w:rPr>
        <w:t>invPFS</w:t>
      </w:r>
      <w:proofErr w:type="spellEnd"/>
      <w:r>
        <w:rPr>
          <w:rFonts w:eastAsia="Arial"/>
        </w:rPr>
        <w:t xml:space="preserve">). Antrinės vertinamosios baigtys buvo bendras išgyvenamumas (BI) ir PFS2 (išgyvenamumas po sekančio taikyto gydymo dėl ligos progresijos). Pirminė analizė parodė, kad </w:t>
      </w:r>
      <w:proofErr w:type="spellStart"/>
      <w:r w:rsidRPr="00425E4F">
        <w:rPr>
          <w:rFonts w:eastAsia="Arial"/>
        </w:rPr>
        <w:t>invPFS</w:t>
      </w:r>
      <w:proofErr w:type="spellEnd"/>
      <w:r w:rsidRPr="00425E4F">
        <w:rPr>
          <w:rFonts w:eastAsia="Arial"/>
        </w:rPr>
        <w:t xml:space="preserve"> buvo statistiškai reikšmingai geresnis </w:t>
      </w:r>
      <w:proofErr w:type="spellStart"/>
      <w:r w:rsidRPr="00425E4F">
        <w:rPr>
          <w:rFonts w:eastAsia="Arial"/>
        </w:rPr>
        <w:lastRenderedPageBreak/>
        <w:t>rukaparibo</w:t>
      </w:r>
      <w:proofErr w:type="spellEnd"/>
      <w:r w:rsidRPr="00425E4F">
        <w:rPr>
          <w:rFonts w:eastAsia="Arial"/>
        </w:rPr>
        <w:t xml:space="preserve"> grupėje, </w:t>
      </w:r>
      <w:proofErr w:type="spellStart"/>
      <w:r w:rsidRPr="00425E4F">
        <w:rPr>
          <w:rFonts w:eastAsia="Arial"/>
        </w:rPr>
        <w:t>invPFS</w:t>
      </w:r>
      <w:proofErr w:type="spellEnd"/>
      <w:r w:rsidRPr="00425E4F">
        <w:rPr>
          <w:rFonts w:eastAsia="Arial"/>
        </w:rPr>
        <w:t xml:space="preserve"> mediana buvo dvigubai ilgesnė (20,2 mėn.) palyginus su placebo grupe (9,2 mėn.). Rizikos santykis: 0,52 (95 proc. PI: 0,4-0,68; p&lt;0,001 [</w:t>
      </w:r>
      <w:proofErr w:type="spellStart"/>
      <w:r w:rsidRPr="00425E4F">
        <w:rPr>
          <w:rFonts w:eastAsia="Arial"/>
        </w:rPr>
        <w:t>long-rank</w:t>
      </w:r>
      <w:proofErr w:type="spellEnd"/>
      <w:r w:rsidRPr="00425E4F">
        <w:rPr>
          <w:rFonts w:eastAsia="Arial"/>
        </w:rPr>
        <w:t xml:space="preserve"> testas) bendroje populiacijoje. HRRT populiacijoje rezultatai buvo panašūs: RS=0,47 (95 proc. PI: 0,31-0,72; p=0,004)</w:t>
      </w:r>
    </w:p>
    <w:p w14:paraId="3D0C17B4" w14:textId="77777777" w:rsidR="00FB3DC4" w:rsidRDefault="00FB3DC4" w:rsidP="0083723C">
      <w:pPr>
        <w:tabs>
          <w:tab w:val="left" w:pos="426"/>
        </w:tabs>
        <w:spacing w:line="276" w:lineRule="auto"/>
        <w:ind w:firstLine="680"/>
        <w:jc w:val="both"/>
        <w:rPr>
          <w:rFonts w:eastAsia="Arial"/>
        </w:rPr>
      </w:pPr>
      <w:r w:rsidRPr="00425E4F">
        <w:rPr>
          <w:rFonts w:eastAsia="Arial"/>
        </w:rPr>
        <w:t xml:space="preserve">Bendro išgyvenamumo duomeny buvo nebrandūs, BI mediana nebuvo pasiekta abejose tyrimo grupėse bendroje ir HRT populiacijose. Tiktina, kad BI rezultatai gydant </w:t>
      </w:r>
      <w:proofErr w:type="spellStart"/>
      <w:r w:rsidRPr="00425E4F">
        <w:rPr>
          <w:rFonts w:eastAsia="Arial"/>
        </w:rPr>
        <w:t>rukaparibu</w:t>
      </w:r>
      <w:proofErr w:type="spellEnd"/>
      <w:r w:rsidRPr="00425E4F">
        <w:rPr>
          <w:rFonts w:eastAsia="Arial"/>
        </w:rPr>
        <w:t xml:space="preserve"> bus jo naudai, </w:t>
      </w:r>
      <w:proofErr w:type="spellStart"/>
      <w:r w:rsidRPr="00425E4F">
        <w:rPr>
          <w:rFonts w:eastAsia="Arial"/>
        </w:rPr>
        <w:t>taččiu</w:t>
      </w:r>
      <w:proofErr w:type="spellEnd"/>
      <w:r w:rsidRPr="00425E4F">
        <w:rPr>
          <w:rFonts w:eastAsia="Arial"/>
        </w:rPr>
        <w:t xml:space="preserve"> tam reikalingas ilgesnis stebėjimo laikotarpis: 5- metai, atsižvelgiant į </w:t>
      </w:r>
      <w:proofErr w:type="spellStart"/>
      <w:r w:rsidRPr="00425E4F">
        <w:rPr>
          <w:rFonts w:eastAsia="Arial"/>
        </w:rPr>
        <w:t>olaparibo</w:t>
      </w:r>
      <w:proofErr w:type="spellEnd"/>
      <w:r w:rsidRPr="00425E4F">
        <w:rPr>
          <w:rFonts w:eastAsia="Arial"/>
        </w:rPr>
        <w:t xml:space="preserve"> klinikinius duomenis šioje pacientų populiacijoje.</w:t>
      </w:r>
    </w:p>
    <w:p w14:paraId="13F629BD" w14:textId="77777777" w:rsidR="00FB3DC4" w:rsidRPr="00126630" w:rsidRDefault="00FB3DC4" w:rsidP="0083723C">
      <w:pPr>
        <w:tabs>
          <w:tab w:val="left" w:pos="426"/>
        </w:tabs>
        <w:spacing w:line="276" w:lineRule="auto"/>
        <w:ind w:firstLine="680"/>
        <w:jc w:val="both"/>
        <w:rPr>
          <w:rFonts w:eastAsia="Arial"/>
        </w:rPr>
      </w:pPr>
      <w:r w:rsidRPr="00A26376">
        <w:rPr>
          <w:rFonts w:eastAsia="Arial"/>
        </w:rPr>
        <w:t>Bendrai NR buvo būdingi PARP inhibitorių klasei, naujų NR pastabėta nebuvo. NR detaliai aprašyti preparato charakteristikos santraukoje</w:t>
      </w:r>
    </w:p>
    <w:p w14:paraId="10FE8D5F" w14:textId="77777777" w:rsidR="00D259CF" w:rsidRDefault="00D259CF" w:rsidP="00FB3DC4">
      <w:pPr>
        <w:tabs>
          <w:tab w:val="left" w:pos="567"/>
        </w:tabs>
        <w:jc w:val="both"/>
        <w:rPr>
          <w:rFonts w:eastAsia="Arial"/>
          <w:i/>
          <w:iCs/>
        </w:rPr>
      </w:pPr>
    </w:p>
    <w:p w14:paraId="65ABE6DD" w14:textId="2087B384" w:rsidR="00FB3DC4" w:rsidRPr="00470D1A" w:rsidRDefault="00FB3DC4" w:rsidP="00A1657F">
      <w:pPr>
        <w:tabs>
          <w:tab w:val="left" w:pos="567"/>
        </w:tabs>
        <w:spacing w:line="360" w:lineRule="auto"/>
        <w:jc w:val="both"/>
        <w:rPr>
          <w:rFonts w:eastAsia="Arial"/>
          <w:i/>
          <w:iCs/>
        </w:rPr>
      </w:pPr>
      <w:r w:rsidRPr="00470D1A">
        <w:rPr>
          <w:rFonts w:eastAsia="Arial"/>
          <w:i/>
          <w:iCs/>
        </w:rPr>
        <w:t>Netiesioginis p</w:t>
      </w:r>
      <w:r>
        <w:rPr>
          <w:rFonts w:eastAsia="Arial"/>
          <w:i/>
          <w:iCs/>
        </w:rPr>
        <w:t>a</w:t>
      </w:r>
      <w:r w:rsidRPr="00470D1A">
        <w:rPr>
          <w:rFonts w:eastAsia="Arial"/>
          <w:i/>
          <w:iCs/>
        </w:rPr>
        <w:t>lyginimas</w:t>
      </w:r>
    </w:p>
    <w:p w14:paraId="0EC496C3" w14:textId="78F2E37B" w:rsidR="00FB3DC4" w:rsidRPr="002823F1" w:rsidRDefault="0040369C" w:rsidP="0083723C">
      <w:pPr>
        <w:tabs>
          <w:tab w:val="left" w:pos="492"/>
        </w:tabs>
        <w:spacing w:line="276" w:lineRule="auto"/>
        <w:ind w:firstLine="680"/>
        <w:jc w:val="both"/>
        <w:outlineLvl w:val="1"/>
        <w:rPr>
          <w:rFonts w:eastAsia="Arial"/>
          <w:bCs/>
        </w:rPr>
      </w:pPr>
      <w:r>
        <w:rPr>
          <w:rFonts w:eastAsia="Arial"/>
        </w:rPr>
        <w:t>Palyginamajam</w:t>
      </w:r>
      <w:r w:rsidR="00FB3DC4">
        <w:rPr>
          <w:rFonts w:eastAsia="Arial"/>
        </w:rPr>
        <w:t xml:space="preserve"> veiksmingumui pagristi pareiškėjas pateikė netiesioginio palyginimo analizę, remiantis </w:t>
      </w:r>
      <w:proofErr w:type="spellStart"/>
      <w:r w:rsidR="00FB3DC4" w:rsidRPr="009C3B5C">
        <w:rPr>
          <w:rFonts w:eastAsia="Arial"/>
          <w:i/>
          <w:iCs/>
        </w:rPr>
        <w:t>unanchor</w:t>
      </w:r>
      <w:r w:rsidR="00FB3DC4">
        <w:rPr>
          <w:rFonts w:eastAsia="Arial"/>
          <w:i/>
          <w:iCs/>
        </w:rPr>
        <w:t>e</w:t>
      </w:r>
      <w:r w:rsidR="00FB3DC4" w:rsidRPr="009C3B5C">
        <w:rPr>
          <w:rFonts w:eastAsia="Arial"/>
          <w:i/>
          <w:iCs/>
        </w:rPr>
        <w:t>d</w:t>
      </w:r>
      <w:proofErr w:type="spellEnd"/>
      <w:r w:rsidR="00FB3DC4">
        <w:rPr>
          <w:rFonts w:eastAsia="Arial"/>
        </w:rPr>
        <w:t xml:space="preserve"> MAIC </w:t>
      </w:r>
      <w:r w:rsidR="00FB3DC4" w:rsidRPr="006677AA">
        <w:rPr>
          <w:rFonts w:eastAsia="Arial"/>
          <w:i/>
          <w:iCs/>
        </w:rPr>
        <w:t xml:space="preserve">(angl. </w:t>
      </w:r>
      <w:proofErr w:type="spellStart"/>
      <w:r w:rsidR="00FB3DC4" w:rsidRPr="006677AA">
        <w:rPr>
          <w:rFonts w:eastAsia="Arial"/>
          <w:i/>
          <w:iCs/>
        </w:rPr>
        <w:t>matching-adjusted</w:t>
      </w:r>
      <w:proofErr w:type="spellEnd"/>
      <w:r w:rsidR="00FB3DC4" w:rsidRPr="006677AA">
        <w:rPr>
          <w:rFonts w:eastAsia="Arial"/>
          <w:i/>
          <w:iCs/>
        </w:rPr>
        <w:t xml:space="preserve"> </w:t>
      </w:r>
      <w:proofErr w:type="spellStart"/>
      <w:r w:rsidR="00FB3DC4" w:rsidRPr="006677AA">
        <w:rPr>
          <w:rFonts w:eastAsia="Arial"/>
          <w:i/>
          <w:iCs/>
        </w:rPr>
        <w:t>indirect</w:t>
      </w:r>
      <w:proofErr w:type="spellEnd"/>
      <w:r w:rsidR="00FB3DC4" w:rsidRPr="006677AA">
        <w:rPr>
          <w:rFonts w:eastAsia="Arial"/>
          <w:i/>
          <w:iCs/>
        </w:rPr>
        <w:t xml:space="preserve"> </w:t>
      </w:r>
      <w:proofErr w:type="spellStart"/>
      <w:r w:rsidR="00FB3DC4" w:rsidRPr="006677AA">
        <w:rPr>
          <w:rFonts w:eastAsia="Arial"/>
          <w:i/>
          <w:iCs/>
        </w:rPr>
        <w:t>comparison</w:t>
      </w:r>
      <w:proofErr w:type="spellEnd"/>
      <w:r w:rsidR="00FB3DC4" w:rsidRPr="006677AA">
        <w:rPr>
          <w:rFonts w:eastAsia="Arial"/>
        </w:rPr>
        <w:t>,</w:t>
      </w:r>
      <w:r w:rsidR="00FB3DC4">
        <w:rPr>
          <w:rFonts w:eastAsia="Arial"/>
        </w:rPr>
        <w:t xml:space="preserve"> neįtvirtintas </w:t>
      </w:r>
      <w:r w:rsidR="00FB3DC4" w:rsidRPr="002965FF">
        <w:rPr>
          <w:rFonts w:eastAsia="Arial"/>
        </w:rPr>
        <w:t>atitikimo pakoreguotas netiesioginis palyginimas</w:t>
      </w:r>
      <w:r w:rsidR="00FB3DC4">
        <w:rPr>
          <w:rFonts w:eastAsia="Arial"/>
        </w:rPr>
        <w:t xml:space="preserve">) metodu. Šis metodas taikomas tada, kai </w:t>
      </w:r>
      <w:r w:rsidR="00FB3DC4" w:rsidRPr="00E504B1">
        <w:rPr>
          <w:rFonts w:eastAsia="Arial"/>
        </w:rPr>
        <w:t>bendro lyginamojo elemento</w:t>
      </w:r>
      <w:r w:rsidR="00FB3DC4">
        <w:rPr>
          <w:rFonts w:eastAsia="Arial"/>
        </w:rPr>
        <w:t xml:space="preserve"> (palyginamojo gydymo)</w:t>
      </w:r>
      <w:r w:rsidR="00FB3DC4" w:rsidRPr="00E504B1">
        <w:rPr>
          <w:rFonts w:eastAsia="Arial"/>
        </w:rPr>
        <w:t xml:space="preserve"> </w:t>
      </w:r>
      <w:r w:rsidR="00FB3DC4">
        <w:rPr>
          <w:rFonts w:eastAsia="Arial"/>
        </w:rPr>
        <w:t xml:space="preserve">klinikiniuose tyrimuose </w:t>
      </w:r>
      <w:r w:rsidR="00FB3DC4" w:rsidRPr="00E504B1">
        <w:rPr>
          <w:rFonts w:eastAsia="Arial"/>
        </w:rPr>
        <w:t>nėra</w:t>
      </w:r>
      <w:r w:rsidR="00FB3DC4">
        <w:rPr>
          <w:rFonts w:eastAsia="Arial"/>
        </w:rPr>
        <w:t xml:space="preserve"> ir dėl šios priežasties</w:t>
      </w:r>
      <w:r w:rsidR="00FB3DC4" w:rsidRPr="00E504B1">
        <w:rPr>
          <w:rFonts w:eastAsia="Arial"/>
        </w:rPr>
        <w:t xml:space="preserve"> </w:t>
      </w:r>
      <w:r w:rsidR="00FB3DC4">
        <w:rPr>
          <w:rFonts w:eastAsia="Arial"/>
        </w:rPr>
        <w:t xml:space="preserve">individualių pacientų duomenis </w:t>
      </w:r>
      <w:r w:rsidR="00FB3DC4" w:rsidRPr="00E504B1">
        <w:rPr>
          <w:rFonts w:eastAsia="Arial"/>
        </w:rPr>
        <w:t>ir paskelbtų apibendrintų duomenų rezultat</w:t>
      </w:r>
      <w:r w:rsidR="00FB3DC4">
        <w:rPr>
          <w:rFonts w:eastAsia="Arial"/>
        </w:rPr>
        <w:t>ai</w:t>
      </w:r>
      <w:r w:rsidR="00FB3DC4" w:rsidRPr="00E504B1">
        <w:rPr>
          <w:rFonts w:eastAsia="Arial"/>
        </w:rPr>
        <w:t xml:space="preserve"> </w:t>
      </w:r>
      <w:r w:rsidR="00FB3DC4">
        <w:rPr>
          <w:rFonts w:eastAsia="Arial"/>
        </w:rPr>
        <w:t>lyginami</w:t>
      </w:r>
      <w:r w:rsidR="00FB3DC4" w:rsidRPr="00E504B1">
        <w:rPr>
          <w:rFonts w:eastAsia="Arial"/>
        </w:rPr>
        <w:t xml:space="preserve"> tiesiogiai.</w:t>
      </w:r>
      <w:r w:rsidR="00FB3DC4">
        <w:rPr>
          <w:rFonts w:eastAsia="Arial"/>
        </w:rPr>
        <w:t xml:space="preserve"> </w:t>
      </w:r>
      <w:r w:rsidR="00FB3DC4">
        <w:rPr>
          <w:rFonts w:eastAsia="Arial"/>
          <w:bCs/>
        </w:rPr>
        <w:t xml:space="preserve">Duomenų bazė netiesioginiam palyginimui atlikti sudarė klinikinio tyrimo ATHENA-MONO ir PAOLA-1 duomenys. PAOLA-1 tyriame </w:t>
      </w:r>
      <w:r w:rsidR="00FB3DC4" w:rsidRPr="002771AD">
        <w:rPr>
          <w:rFonts w:eastAsia="Arial"/>
          <w:bCs/>
        </w:rPr>
        <w:t xml:space="preserve">buvo lyginamas </w:t>
      </w:r>
      <w:proofErr w:type="spellStart"/>
      <w:r w:rsidR="00FB3DC4" w:rsidRPr="002771AD">
        <w:rPr>
          <w:rFonts w:eastAsia="Arial"/>
          <w:bCs/>
        </w:rPr>
        <w:t>olaparibo</w:t>
      </w:r>
      <w:proofErr w:type="spellEnd"/>
      <w:r w:rsidR="00FB3DC4" w:rsidRPr="002771AD">
        <w:rPr>
          <w:rFonts w:eastAsia="Arial"/>
          <w:bCs/>
        </w:rPr>
        <w:t xml:space="preserve"> ir </w:t>
      </w:r>
      <w:proofErr w:type="spellStart"/>
      <w:r w:rsidR="00FB3DC4" w:rsidRPr="002771AD">
        <w:rPr>
          <w:rFonts w:eastAsia="Arial"/>
          <w:bCs/>
        </w:rPr>
        <w:t>bevacizumabo</w:t>
      </w:r>
      <w:proofErr w:type="spellEnd"/>
      <w:r w:rsidR="00FB3DC4" w:rsidRPr="002771AD">
        <w:rPr>
          <w:rFonts w:eastAsia="Arial"/>
          <w:bCs/>
        </w:rPr>
        <w:t xml:space="preserve"> veiksmingumas su placebo ir </w:t>
      </w:r>
      <w:proofErr w:type="spellStart"/>
      <w:r w:rsidR="00FB3DC4" w:rsidRPr="002771AD">
        <w:rPr>
          <w:rFonts w:eastAsia="Arial"/>
          <w:bCs/>
        </w:rPr>
        <w:t>bevacizumabo</w:t>
      </w:r>
      <w:proofErr w:type="spellEnd"/>
      <w:r w:rsidR="00FB3DC4" w:rsidRPr="002771AD">
        <w:rPr>
          <w:rFonts w:eastAsia="Arial"/>
          <w:bCs/>
        </w:rPr>
        <w:t xml:space="preserve"> veiksmingumu palaikomajam gydymui pacientėms, kurioms neseniai diagnozuotas išplitęs kiaušidžių vėžys ir kurios gavo chemoterapiją </w:t>
      </w:r>
      <w:proofErr w:type="spellStart"/>
      <w:r w:rsidR="00FB3DC4" w:rsidRPr="002771AD">
        <w:rPr>
          <w:rFonts w:eastAsia="Arial"/>
          <w:bCs/>
        </w:rPr>
        <w:t>bevacizumabu</w:t>
      </w:r>
      <w:proofErr w:type="spellEnd"/>
      <w:r w:rsidR="00FB3DC4" w:rsidRPr="002771AD">
        <w:rPr>
          <w:rFonts w:eastAsia="Arial"/>
          <w:bCs/>
        </w:rPr>
        <w:t xml:space="preserve">, o vėliau – </w:t>
      </w:r>
      <w:proofErr w:type="spellStart"/>
      <w:r w:rsidR="00FB3DC4" w:rsidRPr="002771AD">
        <w:rPr>
          <w:rFonts w:eastAsia="Arial"/>
          <w:bCs/>
        </w:rPr>
        <w:t>bevacizumabu</w:t>
      </w:r>
      <w:proofErr w:type="spellEnd"/>
      <w:r w:rsidR="00FB3DC4" w:rsidRPr="002771AD">
        <w:rPr>
          <w:rFonts w:eastAsia="Arial"/>
          <w:bCs/>
        </w:rPr>
        <w:t>.</w:t>
      </w:r>
      <w:r w:rsidR="00FB3DC4">
        <w:rPr>
          <w:rFonts w:eastAsia="Arial"/>
          <w:bCs/>
        </w:rPr>
        <w:t xml:space="preserve"> </w:t>
      </w:r>
      <w:r w:rsidR="00FB3DC4" w:rsidRPr="002823F1">
        <w:rPr>
          <w:rFonts w:eastAsia="Arial"/>
          <w:bCs/>
        </w:rPr>
        <w:t>Taikytas MAIC metodas atitiko Nacionalinio sveikatos ir priežiūros kompetencijos instituto (NICE) sprendimų palaikymo skyriaus techninių gairių dėl populiacijos pakoreguotų netiesioginių palyginimų technologijų vertinimams (angl. TSD18) rekomendacijas.</w:t>
      </w:r>
    </w:p>
    <w:p w14:paraId="26D86E97" w14:textId="77777777" w:rsidR="00FB3DC4" w:rsidRDefault="00FB3DC4" w:rsidP="0083723C">
      <w:pPr>
        <w:tabs>
          <w:tab w:val="left" w:pos="492"/>
        </w:tabs>
        <w:spacing w:line="276" w:lineRule="auto"/>
        <w:ind w:firstLine="680"/>
        <w:jc w:val="both"/>
        <w:outlineLvl w:val="1"/>
        <w:rPr>
          <w:rFonts w:eastAsia="Arial"/>
          <w:bCs/>
        </w:rPr>
      </w:pPr>
      <w:r w:rsidRPr="002823F1">
        <w:rPr>
          <w:rFonts w:eastAsia="Arial"/>
          <w:bCs/>
        </w:rPr>
        <w:t>Įvertinus įtraukimo kriterijus, palyginamųjų pacientų populiacijas atitinka vertinamą terapinę indikaciją.</w:t>
      </w:r>
    </w:p>
    <w:p w14:paraId="58174FBA" w14:textId="0C898C4A" w:rsidR="00FB3DC4" w:rsidRDefault="00FB3DC4" w:rsidP="0083723C">
      <w:pPr>
        <w:spacing w:line="276" w:lineRule="auto"/>
        <w:ind w:firstLine="680"/>
        <w:jc w:val="both"/>
        <w:rPr>
          <w:rFonts w:eastAsia="Arial"/>
          <w:i/>
          <w:iCs/>
        </w:rPr>
      </w:pPr>
      <w:r w:rsidRPr="00F14E07">
        <w:rPr>
          <w:rFonts w:eastAsia="Arial"/>
        </w:rPr>
        <w:t xml:space="preserve">Netiesioginio palyginimo analizėje </w:t>
      </w:r>
      <w:r w:rsidR="00512DFC" w:rsidRPr="00F14E07">
        <w:rPr>
          <w:rFonts w:eastAsia="Arial"/>
        </w:rPr>
        <w:t>pagrindini</w:t>
      </w:r>
      <w:r w:rsidR="0040369C" w:rsidRPr="00F14E07">
        <w:rPr>
          <w:rFonts w:eastAsia="Arial"/>
        </w:rPr>
        <w:t>u</w:t>
      </w:r>
      <w:r w:rsidR="00512DFC" w:rsidRPr="00F14E07">
        <w:rPr>
          <w:rFonts w:eastAsia="Arial"/>
        </w:rPr>
        <w:t xml:space="preserve"> </w:t>
      </w:r>
      <w:r w:rsidRPr="00F14E07">
        <w:rPr>
          <w:rFonts w:eastAsia="Arial"/>
        </w:rPr>
        <w:t>palyginam</w:t>
      </w:r>
      <w:r w:rsidR="0040369C" w:rsidRPr="00F14E07">
        <w:rPr>
          <w:rFonts w:eastAsia="Arial"/>
        </w:rPr>
        <w:t>uoju</w:t>
      </w:r>
      <w:r w:rsidRPr="00F14E07">
        <w:rPr>
          <w:rFonts w:eastAsia="Arial"/>
        </w:rPr>
        <w:t xml:space="preserve"> </w:t>
      </w:r>
      <w:r w:rsidR="00167A98" w:rsidRPr="00F14E07">
        <w:rPr>
          <w:rFonts w:eastAsia="Arial"/>
        </w:rPr>
        <w:t>gydym</w:t>
      </w:r>
      <w:r w:rsidR="0040369C" w:rsidRPr="00F14E07">
        <w:rPr>
          <w:rFonts w:eastAsia="Arial"/>
        </w:rPr>
        <w:t>u</w:t>
      </w:r>
      <w:r w:rsidR="00167A98" w:rsidRPr="00F14E07">
        <w:rPr>
          <w:rFonts w:eastAsia="Arial"/>
        </w:rPr>
        <w:t xml:space="preserve"> buvo laikomas </w:t>
      </w:r>
      <w:proofErr w:type="spellStart"/>
      <w:r w:rsidRPr="00F14E07">
        <w:rPr>
          <w:rFonts w:eastAsia="Arial"/>
        </w:rPr>
        <w:t>bevacizumabas</w:t>
      </w:r>
      <w:proofErr w:type="spellEnd"/>
      <w:r w:rsidR="003520E8" w:rsidRPr="00F14E07">
        <w:rPr>
          <w:rFonts w:eastAsia="Arial"/>
        </w:rPr>
        <w:t xml:space="preserve">. </w:t>
      </w:r>
    </w:p>
    <w:p w14:paraId="115A673E" w14:textId="77777777" w:rsidR="00FB3DC4" w:rsidRPr="002823F1" w:rsidRDefault="00FB3DC4" w:rsidP="0083723C">
      <w:pPr>
        <w:spacing w:line="276" w:lineRule="auto"/>
        <w:ind w:firstLine="680"/>
        <w:jc w:val="both"/>
        <w:rPr>
          <w:rFonts w:eastAsia="Arial"/>
        </w:rPr>
      </w:pPr>
      <w:r w:rsidRPr="002823F1">
        <w:rPr>
          <w:rFonts w:eastAsia="Arial"/>
        </w:rPr>
        <w:t xml:space="preserve">Įvertinus patektus </w:t>
      </w:r>
      <w:proofErr w:type="spellStart"/>
      <w:r w:rsidRPr="00D259CF">
        <w:rPr>
          <w:rFonts w:eastAsia="Arial"/>
          <w:i/>
          <w:iCs/>
        </w:rPr>
        <w:t>unanchored</w:t>
      </w:r>
      <w:proofErr w:type="spellEnd"/>
      <w:r w:rsidRPr="002823F1">
        <w:rPr>
          <w:rFonts w:eastAsia="Arial"/>
        </w:rPr>
        <w:t xml:space="preserve"> MAIC rezultatus, nustatyta, kad remiantis </w:t>
      </w:r>
      <w:proofErr w:type="spellStart"/>
      <w:r w:rsidRPr="002823F1">
        <w:rPr>
          <w:rFonts w:eastAsia="Arial"/>
        </w:rPr>
        <w:t>invPFS</w:t>
      </w:r>
      <w:proofErr w:type="spellEnd"/>
      <w:r w:rsidRPr="002823F1">
        <w:rPr>
          <w:rFonts w:eastAsia="Arial"/>
        </w:rPr>
        <w:t xml:space="preserve"> rezultatų palyginimu, tikėtina, kad gydymas </w:t>
      </w:r>
      <w:proofErr w:type="spellStart"/>
      <w:r w:rsidRPr="002823F1">
        <w:rPr>
          <w:rFonts w:eastAsia="Arial"/>
        </w:rPr>
        <w:t>rukaparibu</w:t>
      </w:r>
      <w:proofErr w:type="spellEnd"/>
      <w:r w:rsidRPr="002823F1">
        <w:rPr>
          <w:rFonts w:eastAsia="Arial"/>
        </w:rPr>
        <w:t xml:space="preserve"> yra efektyvesnis nei tęsiamas arba skiriamas po chemoterapijos gydymas vien </w:t>
      </w:r>
      <w:proofErr w:type="spellStart"/>
      <w:r w:rsidRPr="002823F1">
        <w:rPr>
          <w:rFonts w:eastAsia="Arial"/>
        </w:rPr>
        <w:t>bevacizumabu</w:t>
      </w:r>
      <w:proofErr w:type="spellEnd"/>
      <w:r w:rsidRPr="002823F1">
        <w:rPr>
          <w:rFonts w:eastAsia="Arial"/>
        </w:rPr>
        <w:t xml:space="preserve">. PFS2 palyginimo rezultatai taip pat patvirtino, kad </w:t>
      </w:r>
      <w:proofErr w:type="spellStart"/>
      <w:r w:rsidRPr="002823F1">
        <w:rPr>
          <w:rFonts w:eastAsia="Arial"/>
        </w:rPr>
        <w:t>rukaparibas</w:t>
      </w:r>
      <w:proofErr w:type="spellEnd"/>
      <w:r w:rsidRPr="002823F1">
        <w:rPr>
          <w:rFonts w:eastAsia="Arial"/>
        </w:rPr>
        <w:t xml:space="preserve"> atitolina sekančios terapijos taikymą dėl atsiradusios ligos progresijos. Todėl laikoma, kad </w:t>
      </w:r>
      <w:proofErr w:type="spellStart"/>
      <w:r w:rsidRPr="002823F1">
        <w:rPr>
          <w:rFonts w:eastAsia="Arial"/>
        </w:rPr>
        <w:t>rukaparibo</w:t>
      </w:r>
      <w:proofErr w:type="spellEnd"/>
      <w:r w:rsidRPr="002823F1">
        <w:rPr>
          <w:rFonts w:eastAsia="Arial"/>
        </w:rPr>
        <w:t xml:space="preserve"> pranašumas prieš tęsiamą arba skiriamą po chemoterapijos palaikomąjį gydymą </w:t>
      </w:r>
      <w:proofErr w:type="spellStart"/>
      <w:r w:rsidRPr="002823F1">
        <w:rPr>
          <w:rFonts w:eastAsia="Arial"/>
        </w:rPr>
        <w:t>bevacizumabu</w:t>
      </w:r>
      <w:proofErr w:type="spellEnd"/>
      <w:r w:rsidRPr="002823F1">
        <w:rPr>
          <w:rFonts w:eastAsia="Arial"/>
        </w:rPr>
        <w:t xml:space="preserve"> yra įrodytas.</w:t>
      </w:r>
    </w:p>
    <w:p w14:paraId="543772BD" w14:textId="37FDDC6E" w:rsidR="00FB3DC4" w:rsidRPr="002823F1" w:rsidRDefault="003520E8" w:rsidP="0083723C">
      <w:pPr>
        <w:spacing w:line="276" w:lineRule="auto"/>
        <w:ind w:firstLine="680"/>
        <w:jc w:val="both"/>
        <w:rPr>
          <w:rFonts w:eastAsia="Arial"/>
        </w:rPr>
      </w:pPr>
      <w:r w:rsidRPr="00F14E07">
        <w:rPr>
          <w:rFonts w:eastAsia="Arial"/>
        </w:rPr>
        <w:t xml:space="preserve">Palyginimas su </w:t>
      </w:r>
      <w:proofErr w:type="spellStart"/>
      <w:r w:rsidRPr="00F14E07">
        <w:rPr>
          <w:rFonts w:eastAsia="Arial"/>
        </w:rPr>
        <w:t>olaparibo</w:t>
      </w:r>
      <w:proofErr w:type="spellEnd"/>
      <w:r w:rsidRPr="00F14E07">
        <w:rPr>
          <w:rFonts w:eastAsia="Arial"/>
        </w:rPr>
        <w:t xml:space="preserve"> ir </w:t>
      </w:r>
      <w:proofErr w:type="spellStart"/>
      <w:r w:rsidRPr="00F14E07">
        <w:rPr>
          <w:rFonts w:eastAsia="Arial"/>
        </w:rPr>
        <w:t>bevacizumabo</w:t>
      </w:r>
      <w:proofErr w:type="spellEnd"/>
      <w:r w:rsidRPr="00F14E07">
        <w:rPr>
          <w:rFonts w:eastAsia="Arial"/>
        </w:rPr>
        <w:t xml:space="preserve"> deriniu buvo vertinamas kaip papildoma informacija. Pateikti palyginamojo</w:t>
      </w:r>
      <w:r w:rsidR="00FB3DC4" w:rsidRPr="00F14E07">
        <w:rPr>
          <w:rFonts w:eastAsia="Arial"/>
        </w:rPr>
        <w:t xml:space="preserve"> veiksmingumo rezultat</w:t>
      </w:r>
      <w:r w:rsidRPr="00F14E07">
        <w:rPr>
          <w:rFonts w:eastAsia="Arial"/>
        </w:rPr>
        <w:t>ai</w:t>
      </w:r>
      <w:r w:rsidR="00FB3DC4" w:rsidRPr="00F14E07">
        <w:rPr>
          <w:rFonts w:eastAsia="Arial"/>
        </w:rPr>
        <w:t xml:space="preserve"> teigiamo </w:t>
      </w:r>
      <w:proofErr w:type="spellStart"/>
      <w:r w:rsidR="00FB3DC4" w:rsidRPr="00F14E07">
        <w:rPr>
          <w:rFonts w:eastAsia="Arial"/>
        </w:rPr>
        <w:t>homologinės</w:t>
      </w:r>
      <w:proofErr w:type="spellEnd"/>
      <w:r w:rsidR="00FB3DC4" w:rsidRPr="00F14E07">
        <w:rPr>
          <w:rFonts w:eastAsia="Arial"/>
        </w:rPr>
        <w:t xml:space="preserve"> rekombinacijos trūkumo testo (HRT) populiacijoje, </w:t>
      </w:r>
      <w:r w:rsidR="00D1775F" w:rsidRPr="00F14E07">
        <w:rPr>
          <w:rFonts w:eastAsia="Arial"/>
        </w:rPr>
        <w:t xml:space="preserve">parodė, kad </w:t>
      </w:r>
      <w:r w:rsidR="00FB3DC4" w:rsidRPr="00F14E07">
        <w:rPr>
          <w:rFonts w:eastAsia="Arial"/>
        </w:rPr>
        <w:t xml:space="preserve">tikėtina gydymas </w:t>
      </w:r>
      <w:proofErr w:type="spellStart"/>
      <w:r w:rsidR="00FB3DC4" w:rsidRPr="00F14E07">
        <w:rPr>
          <w:rFonts w:eastAsia="Arial"/>
        </w:rPr>
        <w:t>rukaparibu</w:t>
      </w:r>
      <w:proofErr w:type="spellEnd"/>
      <w:r w:rsidR="00FB3DC4" w:rsidRPr="00F14E07">
        <w:rPr>
          <w:rFonts w:eastAsia="Arial"/>
        </w:rPr>
        <w:t xml:space="preserve"> </w:t>
      </w:r>
      <w:r w:rsidR="007C4D95" w:rsidRPr="00F14E07">
        <w:rPr>
          <w:rFonts w:eastAsia="Arial"/>
        </w:rPr>
        <w:t>nenusileidžia savo pranašumu</w:t>
      </w:r>
      <w:r w:rsidR="00FB3DC4" w:rsidRPr="00F14E07">
        <w:rPr>
          <w:rFonts w:eastAsia="Arial"/>
        </w:rPr>
        <w:t xml:space="preserve"> gydym</w:t>
      </w:r>
      <w:r w:rsidR="007C4D95" w:rsidRPr="00F14E07">
        <w:rPr>
          <w:rFonts w:eastAsia="Arial"/>
        </w:rPr>
        <w:t>ui</w:t>
      </w:r>
      <w:r w:rsidR="00FB3DC4" w:rsidRPr="00F14E07">
        <w:rPr>
          <w:rFonts w:eastAsia="Arial"/>
        </w:rPr>
        <w:t xml:space="preserve"> </w:t>
      </w:r>
      <w:proofErr w:type="spellStart"/>
      <w:r w:rsidR="00FB3DC4" w:rsidRPr="00F14E07">
        <w:rPr>
          <w:rFonts w:eastAsia="Arial"/>
        </w:rPr>
        <w:t>olaparibu</w:t>
      </w:r>
      <w:proofErr w:type="spellEnd"/>
      <w:r w:rsidR="00FB3DC4" w:rsidRPr="00F14E07">
        <w:rPr>
          <w:rFonts w:eastAsia="Arial"/>
        </w:rPr>
        <w:t xml:space="preserve"> derinyje su </w:t>
      </w:r>
      <w:proofErr w:type="spellStart"/>
      <w:r w:rsidR="00FB3DC4" w:rsidRPr="00F14E07">
        <w:rPr>
          <w:rFonts w:eastAsia="Arial"/>
        </w:rPr>
        <w:t>bevacizumabu</w:t>
      </w:r>
      <w:proofErr w:type="spellEnd"/>
      <w:r w:rsidR="00732D0B" w:rsidRPr="00F14E07">
        <w:rPr>
          <w:rFonts w:eastAsia="Arial"/>
        </w:rPr>
        <w:t>.</w:t>
      </w:r>
    </w:p>
    <w:p w14:paraId="6B017704" w14:textId="32B5C049" w:rsidR="00762255" w:rsidRPr="002823F1" w:rsidRDefault="00762255" w:rsidP="0083723C">
      <w:pPr>
        <w:spacing w:line="276" w:lineRule="auto"/>
        <w:ind w:firstLine="680"/>
        <w:jc w:val="both"/>
        <w:rPr>
          <w:rFonts w:eastAsia="Arial"/>
        </w:rPr>
      </w:pPr>
      <w:r w:rsidRPr="006C3626">
        <w:rPr>
          <w:bCs/>
          <w:lang w:eastAsia="lt-LT"/>
        </w:rPr>
        <w:t xml:space="preserve">Bendro išgyvenamumo rezultatai yra neapibrėžti. Tikėtina, kad kai kurie </w:t>
      </w:r>
      <w:proofErr w:type="spellStart"/>
      <w:r w:rsidRPr="006C3626">
        <w:rPr>
          <w:bCs/>
          <w:lang w:eastAsia="lt-LT"/>
        </w:rPr>
        <w:t>rukaparibą</w:t>
      </w:r>
      <w:proofErr w:type="spellEnd"/>
      <w:r w:rsidRPr="006C3626">
        <w:rPr>
          <w:bCs/>
          <w:lang w:eastAsia="lt-LT"/>
        </w:rPr>
        <w:t xml:space="preserve"> vartojantys pacientai patirs ilgalaikę remisiją, tačiau iš pateiktų paraiškoje</w:t>
      </w:r>
      <w:r>
        <w:rPr>
          <w:bCs/>
          <w:lang w:eastAsia="lt-LT"/>
        </w:rPr>
        <w:t xml:space="preserve"> bendro išgyvenamumo </w:t>
      </w:r>
      <w:r w:rsidRPr="006C3626">
        <w:rPr>
          <w:bCs/>
          <w:lang w:eastAsia="lt-LT"/>
        </w:rPr>
        <w:t xml:space="preserve">duomenų tokia išvada nėra akivaizdi. </w:t>
      </w:r>
      <w:r>
        <w:rPr>
          <w:bCs/>
          <w:lang w:eastAsia="lt-LT"/>
        </w:rPr>
        <w:t>Nors r</w:t>
      </w:r>
      <w:r w:rsidRPr="006C3626">
        <w:rPr>
          <w:bCs/>
          <w:lang w:eastAsia="lt-LT"/>
        </w:rPr>
        <w:t>eikalin</w:t>
      </w:r>
      <w:r>
        <w:rPr>
          <w:bCs/>
          <w:lang w:eastAsia="lt-LT"/>
        </w:rPr>
        <w:t>gas</w:t>
      </w:r>
      <w:r w:rsidRPr="006C3626">
        <w:rPr>
          <w:bCs/>
          <w:lang w:eastAsia="lt-LT"/>
        </w:rPr>
        <w:t xml:space="preserve"> ilg</w:t>
      </w:r>
      <w:r>
        <w:rPr>
          <w:bCs/>
          <w:lang w:eastAsia="lt-LT"/>
        </w:rPr>
        <w:t xml:space="preserve">alaikis </w:t>
      </w:r>
      <w:r w:rsidRPr="006C3626">
        <w:rPr>
          <w:bCs/>
          <w:lang w:eastAsia="lt-LT"/>
        </w:rPr>
        <w:t>stebėjim</w:t>
      </w:r>
      <w:r>
        <w:rPr>
          <w:bCs/>
          <w:lang w:eastAsia="lt-LT"/>
        </w:rPr>
        <w:t>as</w:t>
      </w:r>
      <w:r w:rsidRPr="006C3626">
        <w:rPr>
          <w:bCs/>
          <w:lang w:eastAsia="lt-LT"/>
        </w:rPr>
        <w:t xml:space="preserve"> </w:t>
      </w:r>
      <w:r>
        <w:rPr>
          <w:bCs/>
          <w:lang w:eastAsia="lt-LT"/>
        </w:rPr>
        <w:t xml:space="preserve">galutiniams BI </w:t>
      </w:r>
      <w:r w:rsidRPr="006C3626">
        <w:rPr>
          <w:bCs/>
          <w:lang w:eastAsia="lt-LT"/>
        </w:rPr>
        <w:t>rezultata</w:t>
      </w:r>
      <w:r>
        <w:rPr>
          <w:bCs/>
          <w:lang w:eastAsia="lt-LT"/>
        </w:rPr>
        <w:t xml:space="preserve">ms gauti, </w:t>
      </w:r>
      <w:r w:rsidRPr="006C3626">
        <w:rPr>
          <w:bCs/>
          <w:lang w:eastAsia="lt-LT"/>
        </w:rPr>
        <w:t>atsižvelgiant</w:t>
      </w:r>
      <w:r>
        <w:rPr>
          <w:bCs/>
          <w:lang w:eastAsia="lt-LT"/>
        </w:rPr>
        <w:t xml:space="preserve"> į</w:t>
      </w:r>
      <w:r w:rsidRPr="006C3626">
        <w:rPr>
          <w:bCs/>
          <w:lang w:eastAsia="lt-LT"/>
        </w:rPr>
        <w:t xml:space="preserve"> </w:t>
      </w:r>
      <w:r>
        <w:rPr>
          <w:bCs/>
          <w:lang w:eastAsia="lt-LT"/>
        </w:rPr>
        <w:t>BI rezultatus</w:t>
      </w:r>
      <w:r w:rsidRPr="006C3626">
        <w:rPr>
          <w:bCs/>
          <w:lang w:eastAsia="lt-LT"/>
        </w:rPr>
        <w:t xml:space="preserve"> kli</w:t>
      </w:r>
      <w:r w:rsidR="00AA4BBB">
        <w:rPr>
          <w:bCs/>
          <w:lang w:eastAsia="lt-LT"/>
        </w:rPr>
        <w:t>ni</w:t>
      </w:r>
      <w:r w:rsidRPr="006C3626">
        <w:rPr>
          <w:bCs/>
          <w:lang w:eastAsia="lt-LT"/>
        </w:rPr>
        <w:t>kin</w:t>
      </w:r>
      <w:r>
        <w:rPr>
          <w:bCs/>
          <w:lang w:eastAsia="lt-LT"/>
        </w:rPr>
        <w:t>iuose tyrimuose su</w:t>
      </w:r>
      <w:r w:rsidR="000573A2">
        <w:rPr>
          <w:bCs/>
          <w:lang w:eastAsia="lt-LT"/>
        </w:rPr>
        <w:t xml:space="preserve"> </w:t>
      </w:r>
      <w:r w:rsidRPr="006C3626">
        <w:rPr>
          <w:bCs/>
          <w:lang w:eastAsia="lt-LT"/>
        </w:rPr>
        <w:t>kit</w:t>
      </w:r>
      <w:r>
        <w:rPr>
          <w:bCs/>
          <w:lang w:eastAsia="lt-LT"/>
        </w:rPr>
        <w:t>ais</w:t>
      </w:r>
      <w:r w:rsidRPr="006C3626">
        <w:rPr>
          <w:bCs/>
          <w:lang w:eastAsia="lt-LT"/>
        </w:rPr>
        <w:t xml:space="preserve"> PARP inhibitori</w:t>
      </w:r>
      <w:r>
        <w:rPr>
          <w:bCs/>
          <w:lang w:eastAsia="lt-LT"/>
        </w:rPr>
        <w:t>ais</w:t>
      </w:r>
      <w:r w:rsidRPr="006C3626">
        <w:rPr>
          <w:bCs/>
          <w:lang w:eastAsia="lt-LT"/>
        </w:rPr>
        <w:t xml:space="preserve">, </w:t>
      </w:r>
      <w:r>
        <w:rPr>
          <w:bCs/>
          <w:lang w:eastAsia="lt-LT"/>
        </w:rPr>
        <w:t xml:space="preserve">gydymas </w:t>
      </w:r>
      <w:proofErr w:type="spellStart"/>
      <w:r w:rsidRPr="006C3626">
        <w:rPr>
          <w:bCs/>
          <w:lang w:eastAsia="lt-LT"/>
        </w:rPr>
        <w:t>rukaparib</w:t>
      </w:r>
      <w:r>
        <w:rPr>
          <w:bCs/>
          <w:lang w:eastAsia="lt-LT"/>
        </w:rPr>
        <w:t>u</w:t>
      </w:r>
      <w:proofErr w:type="spellEnd"/>
      <w:r>
        <w:rPr>
          <w:bCs/>
          <w:lang w:eastAsia="lt-LT"/>
        </w:rPr>
        <w:t xml:space="preserve"> tikėtina prailgina</w:t>
      </w:r>
      <w:r w:rsidRPr="006C3626">
        <w:rPr>
          <w:bCs/>
          <w:lang w:eastAsia="lt-LT"/>
        </w:rPr>
        <w:t xml:space="preserve"> </w:t>
      </w:r>
      <w:r>
        <w:rPr>
          <w:bCs/>
          <w:lang w:eastAsia="lt-LT"/>
        </w:rPr>
        <w:t>bendrąją išgyvenamumą.</w:t>
      </w:r>
    </w:p>
    <w:bookmarkEnd w:id="2"/>
    <w:p w14:paraId="39C1ADA8" w14:textId="77777777" w:rsidR="00AC5129" w:rsidRDefault="00AC5129" w:rsidP="00A93AA6">
      <w:pPr>
        <w:pStyle w:val="Sraopastraipa"/>
        <w:tabs>
          <w:tab w:val="left" w:pos="426"/>
        </w:tabs>
        <w:ind w:left="0"/>
        <w:rPr>
          <w:b/>
          <w:bCs/>
          <w:caps/>
        </w:rPr>
      </w:pPr>
    </w:p>
    <w:p w14:paraId="2A9803B1" w14:textId="77777777" w:rsidR="00984CDC" w:rsidRDefault="00984CDC" w:rsidP="00A93AA6">
      <w:pPr>
        <w:pStyle w:val="Sraopastraipa"/>
        <w:tabs>
          <w:tab w:val="left" w:pos="426"/>
        </w:tabs>
        <w:ind w:left="0"/>
        <w:rPr>
          <w:b/>
          <w:bCs/>
          <w:caps/>
        </w:rPr>
      </w:pPr>
    </w:p>
    <w:p w14:paraId="36BBEE13" w14:textId="77777777" w:rsidR="00984CDC" w:rsidRPr="00334F18" w:rsidRDefault="00984CDC" w:rsidP="00A93AA6">
      <w:pPr>
        <w:pStyle w:val="Sraopastraipa"/>
        <w:tabs>
          <w:tab w:val="left" w:pos="426"/>
        </w:tabs>
        <w:ind w:left="0"/>
        <w:rPr>
          <w:b/>
          <w:bCs/>
          <w:caps/>
        </w:rPr>
      </w:pPr>
    </w:p>
    <w:p w14:paraId="7DE09EB5" w14:textId="69E9DD74" w:rsidR="00E03C3F" w:rsidRPr="00334F18" w:rsidRDefault="00CC7832" w:rsidP="00CC09D4">
      <w:pPr>
        <w:pStyle w:val="Sraopastraipa"/>
        <w:numPr>
          <w:ilvl w:val="0"/>
          <w:numId w:val="12"/>
        </w:numPr>
        <w:tabs>
          <w:tab w:val="left" w:pos="567"/>
        </w:tabs>
        <w:ind w:hanging="720"/>
        <w:rPr>
          <w:b/>
          <w:bCs/>
          <w:caps/>
        </w:rPr>
      </w:pPr>
      <w:r w:rsidRPr="00334F18">
        <w:rPr>
          <w:b/>
          <w:bCs/>
          <w:caps/>
        </w:rPr>
        <w:lastRenderedPageBreak/>
        <w:t xml:space="preserve">ekonominio vertinimo </w:t>
      </w:r>
      <w:r w:rsidR="002F0E4F" w:rsidRPr="00334F18">
        <w:rPr>
          <w:b/>
          <w:bCs/>
          <w:caps/>
        </w:rPr>
        <w:t>apibendrinimas</w:t>
      </w:r>
    </w:p>
    <w:p w14:paraId="1A900598" w14:textId="4826E5DF" w:rsidR="00C62B36" w:rsidRDefault="00C62B36" w:rsidP="00A93AA6">
      <w:pPr>
        <w:tabs>
          <w:tab w:val="left" w:pos="426"/>
        </w:tabs>
        <w:rPr>
          <w:i/>
        </w:rPr>
      </w:pPr>
    </w:p>
    <w:p w14:paraId="3BBC0E20" w14:textId="77777777" w:rsidR="005B58A1" w:rsidRDefault="005B58A1" w:rsidP="0083723C">
      <w:pPr>
        <w:shd w:val="clear" w:color="auto" w:fill="FFFFFF"/>
        <w:spacing w:line="276" w:lineRule="auto"/>
        <w:ind w:firstLine="680"/>
        <w:jc w:val="both"/>
        <w:rPr>
          <w:lang w:eastAsia="lt-LT"/>
        </w:rPr>
      </w:pPr>
      <w:r>
        <w:rPr>
          <w:rFonts w:eastAsia="Arial"/>
          <w:iCs/>
        </w:rPr>
        <w:t xml:space="preserve">Pateikta kaštų naudingumo analizė, kurioje nagrinėjamas </w:t>
      </w:r>
      <w:proofErr w:type="spellStart"/>
      <w:r>
        <w:rPr>
          <w:rFonts w:eastAsia="Arial"/>
          <w:iCs/>
        </w:rPr>
        <w:t>rukaparibo</w:t>
      </w:r>
      <w:proofErr w:type="spellEnd"/>
      <w:r>
        <w:rPr>
          <w:rFonts w:eastAsia="Arial"/>
          <w:iCs/>
        </w:rPr>
        <w:t xml:space="preserve"> kaštų naudingumas. Nagrinėjami pacientai, </w:t>
      </w:r>
      <w:r>
        <w:rPr>
          <w:lang w:eastAsia="lt-LT"/>
        </w:rPr>
        <w:t xml:space="preserve">sergantys pažengusiu (III, IV stadijos pagal FIGO) </w:t>
      </w:r>
      <w:proofErr w:type="spellStart"/>
      <w:r>
        <w:rPr>
          <w:lang w:eastAsia="lt-LT"/>
        </w:rPr>
        <w:t>aukšo</w:t>
      </w:r>
      <w:proofErr w:type="spellEnd"/>
      <w:r>
        <w:rPr>
          <w:lang w:eastAsia="lt-LT"/>
        </w:rPr>
        <w:t xml:space="preserve"> </w:t>
      </w:r>
      <w:proofErr w:type="spellStart"/>
      <w:r>
        <w:rPr>
          <w:lang w:eastAsia="lt-LT"/>
        </w:rPr>
        <w:t>pyktibiškumo</w:t>
      </w:r>
      <w:proofErr w:type="spellEnd"/>
      <w:r>
        <w:rPr>
          <w:lang w:eastAsia="lt-LT"/>
        </w:rPr>
        <w:t xml:space="preserve"> </w:t>
      </w:r>
      <w:proofErr w:type="spellStart"/>
      <w:r>
        <w:rPr>
          <w:lang w:eastAsia="lt-LT"/>
        </w:rPr>
        <w:t>epiteliniu</w:t>
      </w:r>
      <w:proofErr w:type="spellEnd"/>
      <w:r>
        <w:rPr>
          <w:lang w:eastAsia="lt-LT"/>
        </w:rPr>
        <w:t xml:space="preserve"> kiaušidžių, kiaušintakių, pirminiu pilvaplėvės vėžiu, kurie patyrė pilną ar dalinį atsaką pirmos eilės gydymui chemoterapija platinos pagrindu. Ši nagrinėjama pacientų populiacija atitinka ATHENA-MONO klinikinio tyrimo populiaciją.</w:t>
      </w:r>
    </w:p>
    <w:p w14:paraId="3876BBFD" w14:textId="210F2496" w:rsidR="005B58A1" w:rsidRDefault="005B58A1" w:rsidP="0083723C">
      <w:pPr>
        <w:shd w:val="clear" w:color="auto" w:fill="FFFFFF"/>
        <w:spacing w:line="276" w:lineRule="auto"/>
        <w:ind w:firstLine="680"/>
        <w:jc w:val="both"/>
      </w:pPr>
      <w:r>
        <w:rPr>
          <w:lang w:eastAsia="lt-LT"/>
        </w:rPr>
        <w:t xml:space="preserve">Palyginamasis gydymas analizėje yra </w:t>
      </w:r>
      <w:proofErr w:type="spellStart"/>
      <w:r>
        <w:rPr>
          <w:lang w:eastAsia="lt-LT"/>
        </w:rPr>
        <w:t>monoterapija</w:t>
      </w:r>
      <w:proofErr w:type="spellEnd"/>
      <w:r>
        <w:rPr>
          <w:lang w:eastAsia="lt-LT"/>
        </w:rPr>
        <w:t xml:space="preserve"> </w:t>
      </w:r>
      <w:proofErr w:type="spellStart"/>
      <w:r>
        <w:rPr>
          <w:lang w:eastAsia="lt-LT"/>
        </w:rPr>
        <w:t>bevacizumabu</w:t>
      </w:r>
      <w:proofErr w:type="spellEnd"/>
      <w:r w:rsidR="00907CBA">
        <w:rPr>
          <w:lang w:eastAsia="lt-LT"/>
        </w:rPr>
        <w:t>.</w:t>
      </w:r>
      <w:r>
        <w:t xml:space="preserve"> Taikomų vaistų dozavimas atitinka preparatų charakteristikų santraukas. </w:t>
      </w:r>
    </w:p>
    <w:p w14:paraId="3E16B4FF" w14:textId="77777777" w:rsidR="005B58A1" w:rsidRDefault="005B58A1" w:rsidP="0083723C">
      <w:pPr>
        <w:shd w:val="clear" w:color="auto" w:fill="FFFFFF"/>
        <w:spacing w:line="276" w:lineRule="auto"/>
        <w:ind w:firstLine="680"/>
        <w:jc w:val="both"/>
      </w:pPr>
      <w:r>
        <w:t xml:space="preserve">Analizėje taikoma viso gyvenimo laiko perspektyva ir analizė atliekama iš PSDF biudžeto perspektyvos. Pasirinkta laiko perspektyva, atsižvelgiant į ligos eigą yra tinkama. </w:t>
      </w:r>
    </w:p>
    <w:p w14:paraId="082A7D8C" w14:textId="77777777" w:rsidR="005B58A1" w:rsidRDefault="005B58A1" w:rsidP="0083723C">
      <w:pPr>
        <w:shd w:val="clear" w:color="auto" w:fill="FFFFFF"/>
        <w:spacing w:line="276" w:lineRule="auto"/>
        <w:ind w:firstLine="680"/>
        <w:jc w:val="both"/>
      </w:pPr>
      <w:r>
        <w:t>Taikomas padalintos kohortos išgyvenamumo modelis, tokia modelio struktūra yra laikoma tinkama.</w:t>
      </w:r>
    </w:p>
    <w:p w14:paraId="611F0E58" w14:textId="77777777" w:rsidR="005B58A1" w:rsidRDefault="005B58A1" w:rsidP="0083723C">
      <w:pPr>
        <w:shd w:val="clear" w:color="auto" w:fill="FFFFFF"/>
        <w:spacing w:line="276" w:lineRule="auto"/>
        <w:ind w:firstLine="680"/>
        <w:jc w:val="both"/>
      </w:pPr>
      <w:r>
        <w:t xml:space="preserve">Ekonominėje analizėje naudojami klinikiniai duomenys sutampa su klinikinėje vertinimo dalyje naudotais duomenimis. </w:t>
      </w:r>
      <w:proofErr w:type="spellStart"/>
      <w:r>
        <w:t>T.y</w:t>
      </w:r>
      <w:proofErr w:type="spellEnd"/>
      <w:r>
        <w:t xml:space="preserve">. analizė yra grindžiama ATHENA-MONO klinikinio tyrimo duomenimis bei netiesioginiu palyginimu – MAIC – su </w:t>
      </w:r>
      <w:proofErr w:type="spellStart"/>
      <w:r>
        <w:t>bevacizumabu</w:t>
      </w:r>
      <w:proofErr w:type="spellEnd"/>
      <w:r>
        <w:t>.</w:t>
      </w:r>
    </w:p>
    <w:p w14:paraId="7F761F6E" w14:textId="2CEE651C" w:rsidR="005B58A1" w:rsidRDefault="005B58A1" w:rsidP="0083723C">
      <w:pPr>
        <w:spacing w:line="276" w:lineRule="auto"/>
        <w:ind w:firstLine="680"/>
        <w:jc w:val="both"/>
      </w:pPr>
      <w:r>
        <w:t xml:space="preserve">Tarnyba pabrėžia, jog nagrinėjamo ATHENA- MONO klinikinio tyrimo BI duomenys yra nebrandūs ir BI mediana šiame tyrime nepasiekta (BI įvykių brandumas </w:t>
      </w:r>
      <w:proofErr w:type="spellStart"/>
      <w:r>
        <w:t>rukaparibo</w:t>
      </w:r>
      <w:proofErr w:type="spellEnd"/>
      <w:r>
        <w:t xml:space="preserve"> grupėje yra </w:t>
      </w:r>
      <w:r w:rsidR="00274FA6">
        <w:t xml:space="preserve">*** </w:t>
      </w:r>
      <w:r>
        <w:t xml:space="preserve">proc.) ATHENA-MONO klinikiniame tyrime, nepasiekus BI įvykių medianos, </w:t>
      </w:r>
      <w:proofErr w:type="spellStart"/>
      <w:r>
        <w:t>rukaparibo</w:t>
      </w:r>
      <w:proofErr w:type="spellEnd"/>
      <w:r>
        <w:t xml:space="preserve"> veiksmingumas BI atžvilgiu palyginus su placebu statistiškai galėtų būti laikomas nesiskiriantis, nes nustatytas rizikos santykis yra </w:t>
      </w:r>
      <w:r w:rsidR="00274FA6">
        <w:t>***</w:t>
      </w:r>
      <w:r>
        <w:t xml:space="preserve"> (</w:t>
      </w:r>
      <w:r w:rsidR="00274FA6">
        <w:t>***</w:t>
      </w:r>
      <w:r>
        <w:t xml:space="preserve">; </w:t>
      </w:r>
      <w:r w:rsidR="00274FA6">
        <w:t>***</w:t>
      </w:r>
      <w:r>
        <w:t xml:space="preserve">), kurio </w:t>
      </w:r>
      <w:proofErr w:type="spellStart"/>
      <w:r>
        <w:t>pasikliautinasis</w:t>
      </w:r>
      <w:proofErr w:type="spellEnd"/>
      <w:r>
        <w:t xml:space="preserve"> intervalas kerta 1. Vis dėlto, interpretuojant duomenis pastebima tendencija </w:t>
      </w:r>
      <w:proofErr w:type="spellStart"/>
      <w:r>
        <w:t>rukaparibo</w:t>
      </w:r>
      <w:proofErr w:type="spellEnd"/>
      <w:r>
        <w:t xml:space="preserve"> naudai, tačiau siekiant sumažinti neapibrėžtumą ir pateikti patikimą išvadą, reikalingi brandūs BI duomenys. Atitinkamai, Tarnyba vertina, jog pateikta nebrandžių BI duomenų ilgalaikė ekstrapoliacija pasižymi neapibrėžtumu ir yra sunkiai interpretuojama. Tarnybos vertinimu, parametrinių funkcijų tinkamumas turimiems Kaplano </w:t>
      </w:r>
      <w:proofErr w:type="spellStart"/>
      <w:r>
        <w:t>Mėjerio</w:t>
      </w:r>
      <w:proofErr w:type="spellEnd"/>
      <w:r>
        <w:t xml:space="preserve"> duomenims yra panašus, o Pareiškėjas pagrindinio atvejo analizėje renkasi optimistinį scenarijų  (</w:t>
      </w:r>
      <w:r w:rsidR="00274FA6">
        <w:t xml:space="preserve">*** </w:t>
      </w:r>
      <w:r>
        <w:t xml:space="preserve">metų išgyvenamumo tikimybė, taikant </w:t>
      </w:r>
      <w:proofErr w:type="spellStart"/>
      <w:r>
        <w:t>log-normal</w:t>
      </w:r>
      <w:proofErr w:type="spellEnd"/>
      <w:r>
        <w:t xml:space="preserve"> funkciją yra </w:t>
      </w:r>
      <w:r w:rsidR="00EC7F3C">
        <w:rPr>
          <w:i/>
          <w:iCs/>
          <w:lang w:eastAsia="lt-LT"/>
        </w:rPr>
        <w:t xml:space="preserve">***  </w:t>
      </w:r>
      <w:r>
        <w:t xml:space="preserve">proc.) BI duomenys yra analizės rezultatui didžiausią įtaką turintis ir atitinkamai analizės rezultatą lemiantis veiksnys. Akcentuojame, jog </w:t>
      </w:r>
      <w:proofErr w:type="spellStart"/>
      <w:r>
        <w:t>esktrapoliuojami</w:t>
      </w:r>
      <w:proofErr w:type="spellEnd"/>
      <w:r>
        <w:t xml:space="preserve"> nebrandūs BI duomenys, todėl Pareiškėjo pagrindinio atvejo analizėje pasirinktas optimistinis BI įvertinimo scenarijus Tarnybai nėra priimtinas ir pagrindinio atvejo analizėje, siekiant konservatyvesnio analizės rezultato (atsižvelgiant į mažą duomenų brandumą), Tarnyba pagrindinio atvejo analizėje taiko konservatyviausią BI funkciją – </w:t>
      </w:r>
      <w:proofErr w:type="spellStart"/>
      <w:r>
        <w:t>Gompertz</w:t>
      </w:r>
      <w:proofErr w:type="spellEnd"/>
      <w:r>
        <w:t xml:space="preserve">. </w:t>
      </w:r>
    </w:p>
    <w:p w14:paraId="71A0BA84" w14:textId="3AE100B7" w:rsidR="005B58A1" w:rsidRDefault="005B58A1" w:rsidP="0083723C">
      <w:pPr>
        <w:spacing w:line="276" w:lineRule="auto"/>
        <w:ind w:firstLine="680"/>
        <w:jc w:val="both"/>
      </w:pPr>
      <w:r>
        <w:t xml:space="preserve">Siekiant palyginti </w:t>
      </w:r>
      <w:proofErr w:type="spellStart"/>
      <w:r>
        <w:t>bevacizumabo</w:t>
      </w:r>
      <w:proofErr w:type="spellEnd"/>
      <w:r>
        <w:t xml:space="preserve"> ir </w:t>
      </w:r>
      <w:proofErr w:type="spellStart"/>
      <w:r>
        <w:t>rukaparibo</w:t>
      </w:r>
      <w:proofErr w:type="spellEnd"/>
      <w:r>
        <w:t xml:space="preserve"> klinikinį veiksmingumą, taikomas netiesioginio palyginimo metodas. </w:t>
      </w:r>
      <w:proofErr w:type="spellStart"/>
      <w:r>
        <w:t>Rukaparibo</w:t>
      </w:r>
      <w:proofErr w:type="spellEnd"/>
      <w:r>
        <w:t xml:space="preserve"> duomenys gauti iš ATHENA-MONO tyrimo, o </w:t>
      </w:r>
      <w:proofErr w:type="spellStart"/>
      <w:r>
        <w:t>bevacizumabo</w:t>
      </w:r>
      <w:proofErr w:type="spellEnd"/>
      <w:r>
        <w:t xml:space="preserve"> iš PAOLA-1 klinikinio tyrimo. Remiantis pateiktais MAIC analizės rezultatais, nustatyta tendencija, jog </w:t>
      </w:r>
      <w:proofErr w:type="spellStart"/>
      <w:r>
        <w:t>rukaparibas</w:t>
      </w:r>
      <w:proofErr w:type="spellEnd"/>
      <w:r>
        <w:t xml:space="preserve"> sugeneruoja didesnę klinikinę naudą pacientams. Vis dėlto, siekiant šią tendenciją patvirtinti, yra reikalingi brandūs </w:t>
      </w:r>
      <w:proofErr w:type="spellStart"/>
      <w:r>
        <w:t>rukaparibo</w:t>
      </w:r>
      <w:proofErr w:type="spellEnd"/>
      <w:r>
        <w:t xml:space="preserve"> BI duomenys. Vertinant BI rizikos santykio įtaką analizės rezultatui, nustatyta, jog keičiant rizikos santykio vertes, </w:t>
      </w:r>
      <w:proofErr w:type="spellStart"/>
      <w:r>
        <w:t>pasikliautinojo</w:t>
      </w:r>
      <w:proofErr w:type="spellEnd"/>
      <w:r>
        <w:t xml:space="preserve"> intervalo ribose, ICER vertė drastiškai kinta ( nuo ⁓</w:t>
      </w:r>
      <w:r w:rsidR="00E05A7D">
        <w:rPr>
          <w:i/>
          <w:iCs/>
          <w:lang w:eastAsia="lt-LT"/>
        </w:rPr>
        <w:t xml:space="preserve">*** </w:t>
      </w:r>
      <w:r w:rsidR="0083723C">
        <w:t>E</w:t>
      </w:r>
      <w:r>
        <w:t>ur/QALY iki ⁓</w:t>
      </w:r>
      <w:r w:rsidR="00E05A7D">
        <w:rPr>
          <w:i/>
          <w:iCs/>
          <w:lang w:eastAsia="lt-LT"/>
        </w:rPr>
        <w:t xml:space="preserve">*** </w:t>
      </w:r>
      <w:r w:rsidR="0083723C">
        <w:t>E</w:t>
      </w:r>
      <w:r>
        <w:t xml:space="preserve">ur/QALY). Tai įrodo, jog analizė pasižymi neapibrėžtumu ir kertinis šio neapibrėžtumo šaltinis yra bendro išgyvenamumo įvertinimas. Atsižvelgiant į tai, jog </w:t>
      </w:r>
      <w:proofErr w:type="spellStart"/>
      <w:r>
        <w:t>rukaparibo</w:t>
      </w:r>
      <w:proofErr w:type="spellEnd"/>
      <w:r>
        <w:t xml:space="preserve"> klinikinio tyrimo BI duomenys analizės vertinimo metu yra nebrandūs, tikėtina, jog gavus brandesnius duomenis, nustatyta tendencija </w:t>
      </w:r>
      <w:proofErr w:type="spellStart"/>
      <w:r>
        <w:t>rukaparibo</w:t>
      </w:r>
      <w:proofErr w:type="spellEnd"/>
      <w:r>
        <w:t xml:space="preserve"> naudai pasitvirtins ir atitinkamai rizikos santykio </w:t>
      </w:r>
      <w:proofErr w:type="spellStart"/>
      <w:r>
        <w:t>pasikliautina</w:t>
      </w:r>
      <w:r w:rsidRPr="007F5ED6">
        <w:t>sis</w:t>
      </w:r>
      <w:proofErr w:type="spellEnd"/>
      <w:r w:rsidRPr="007F5ED6">
        <w:t xml:space="preserve"> intervalas susiaurės. Vis dėlto, analizės atlikimo laikotarpiu, Tarnyba siekdama išvengti klaidingo teigiamo </w:t>
      </w:r>
      <w:r w:rsidRPr="007F5ED6">
        <w:lastRenderedPageBreak/>
        <w:t>sprendimo (ar sumažinti klaidin</w:t>
      </w:r>
      <w:r>
        <w:t>g</w:t>
      </w:r>
      <w:r w:rsidRPr="007F5ED6">
        <w:t xml:space="preserve">o teigiamo sprendimo priėmimo riziką), BI analizėje vertina konservatyviai. </w:t>
      </w:r>
    </w:p>
    <w:p w14:paraId="3E204806" w14:textId="1B156A25" w:rsidR="005B58A1" w:rsidRPr="007F5ED6" w:rsidRDefault="005B58A1" w:rsidP="0083723C">
      <w:pPr>
        <w:spacing w:line="276" w:lineRule="auto"/>
        <w:ind w:firstLine="680"/>
        <w:jc w:val="both"/>
        <w:rPr>
          <w:lang w:eastAsia="lt-LT"/>
        </w:rPr>
      </w:pPr>
      <w:r>
        <w:rPr>
          <w:iCs/>
          <w:lang w:eastAsia="lt-LT"/>
        </w:rPr>
        <w:t xml:space="preserve">Analizėje sveikatos būklėms priskiriami gyvenimo kokybės įverčiai. Gyvenimo kokybės įverčiai analizėje grindžiami ATHENA-MONO klinikiniu tyrimu. </w:t>
      </w:r>
      <w:r w:rsidRPr="007F5ED6">
        <w:rPr>
          <w:lang w:eastAsia="lt-LT"/>
        </w:rPr>
        <w:t xml:space="preserve">Atsižvelgiant į tai, jog laikoma, kad kitų nepageidaujamų reiškinių įtaka gyvenimo kokybei atsispindi sveikatos būklės gyvenimo kokybės įverčiuose, Tarnyba pagrindinio atvejo analizėje netaiko </w:t>
      </w:r>
      <w:r w:rsidR="00274FA6">
        <w:t xml:space="preserve">*** </w:t>
      </w:r>
      <w:r w:rsidRPr="007F5ED6">
        <w:rPr>
          <w:lang w:eastAsia="lt-LT"/>
        </w:rPr>
        <w:t xml:space="preserve">gyvenimo kokybės įverčio sumažėjimo </w:t>
      </w:r>
      <w:proofErr w:type="spellStart"/>
      <w:r w:rsidRPr="007F5ED6">
        <w:rPr>
          <w:lang w:eastAsia="lt-LT"/>
        </w:rPr>
        <w:t>bevacizumabo</w:t>
      </w:r>
      <w:proofErr w:type="spellEnd"/>
      <w:r w:rsidRPr="007F5ED6">
        <w:rPr>
          <w:lang w:eastAsia="lt-LT"/>
        </w:rPr>
        <w:t xml:space="preserve"> grupei.</w:t>
      </w:r>
    </w:p>
    <w:p w14:paraId="7777E192" w14:textId="5997254C" w:rsidR="005B58A1" w:rsidRPr="007F5ED6" w:rsidRDefault="005B58A1" w:rsidP="0083723C">
      <w:pPr>
        <w:tabs>
          <w:tab w:val="left" w:pos="567"/>
        </w:tabs>
        <w:ind w:firstLine="680"/>
        <w:jc w:val="both"/>
        <w:rPr>
          <w:lang w:eastAsia="lt-LT"/>
        </w:rPr>
      </w:pPr>
      <w:r w:rsidRPr="007F5ED6">
        <w:rPr>
          <w:lang w:eastAsia="lt-LT"/>
        </w:rPr>
        <w:t xml:space="preserve">Pagrindinio atvejo analizėje taikomas </w:t>
      </w:r>
      <w:r w:rsidR="00E05A7D">
        <w:rPr>
          <w:i/>
          <w:iCs/>
          <w:lang w:eastAsia="lt-LT"/>
        </w:rPr>
        <w:t xml:space="preserve">*** </w:t>
      </w:r>
      <w:r w:rsidRPr="007F5ED6">
        <w:rPr>
          <w:lang w:eastAsia="lt-LT"/>
        </w:rPr>
        <w:t xml:space="preserve">proc. RDI lyginamosioms </w:t>
      </w:r>
      <w:proofErr w:type="spellStart"/>
      <w:r w:rsidRPr="007F5ED6">
        <w:rPr>
          <w:lang w:eastAsia="lt-LT"/>
        </w:rPr>
        <w:t>terapijoms</w:t>
      </w:r>
      <w:proofErr w:type="spellEnd"/>
      <w:r w:rsidRPr="007F5ED6">
        <w:rPr>
          <w:lang w:eastAsia="lt-LT"/>
        </w:rPr>
        <w:t>. Tarnyba vertina, jog analizėje ASPP poreikis nėra pilnai pritaikytas Lietuvos praktikai o paslaugų poreikio įvertinimas, remiantis kitų tarnybų atliktu vertinimu, nėra absoliutus argumentas Lietuvos situacijos apibūdinimui. Atsižvelgiant į ASPP poreikio įtaką analizės rezultatui, Tarnyba vertina, jog rezultatą galima interpretuoti.</w:t>
      </w:r>
    </w:p>
    <w:p w14:paraId="4D15A49C" w14:textId="281184B9" w:rsidR="005B58A1" w:rsidRDefault="005B58A1" w:rsidP="0083723C">
      <w:pPr>
        <w:spacing w:line="276" w:lineRule="auto"/>
        <w:ind w:firstLine="680"/>
        <w:jc w:val="both"/>
      </w:pPr>
      <w:r>
        <w:t xml:space="preserve">Analizėje ligos našta nustatyta sunki, o pasirengimo mokėti slenkstis (referencinė kaštų naudingumo vertė) – </w:t>
      </w:r>
      <w:r w:rsidR="00E05A7D">
        <w:rPr>
          <w:i/>
          <w:iCs/>
          <w:lang w:eastAsia="lt-LT"/>
        </w:rPr>
        <w:t xml:space="preserve">*** </w:t>
      </w:r>
      <w:r>
        <w:t xml:space="preserve"> BVP </w:t>
      </w:r>
      <w:r w:rsidRPr="0083723C">
        <w:rPr>
          <w:i/>
          <w:iCs/>
        </w:rPr>
        <w:t xml:space="preserve">per </w:t>
      </w:r>
      <w:proofErr w:type="spellStart"/>
      <w:r w:rsidRPr="0083723C">
        <w:rPr>
          <w:i/>
          <w:iCs/>
        </w:rPr>
        <w:t>capita</w:t>
      </w:r>
      <w:proofErr w:type="spellEnd"/>
      <w:r>
        <w:t xml:space="preserve">. Įvertinta, jog </w:t>
      </w:r>
      <w:proofErr w:type="spellStart"/>
      <w:r>
        <w:t>rukaparibas</w:t>
      </w:r>
      <w:proofErr w:type="spellEnd"/>
      <w:r>
        <w:t xml:space="preserve"> nėra kaštams naudingas ir reikalinga papildoma, bent </w:t>
      </w:r>
      <w:r w:rsidR="00E05A7D">
        <w:rPr>
          <w:i/>
          <w:iCs/>
          <w:lang w:eastAsia="lt-LT"/>
        </w:rPr>
        <w:t xml:space="preserve">*** </w:t>
      </w:r>
      <w:r w:rsidRPr="00AD22D8">
        <w:rPr>
          <w:b/>
          <w:bCs/>
        </w:rPr>
        <w:t xml:space="preserve"> proc.</w:t>
      </w:r>
      <w:r>
        <w:t xml:space="preserve"> nuolaida.</w:t>
      </w:r>
    </w:p>
    <w:p w14:paraId="7391A561" w14:textId="77777777" w:rsidR="00B92FA5" w:rsidRPr="00334F18" w:rsidRDefault="00B92FA5" w:rsidP="00A93AA6">
      <w:pPr>
        <w:tabs>
          <w:tab w:val="left" w:pos="426"/>
        </w:tabs>
        <w:rPr>
          <w:b/>
          <w:bCs/>
          <w:caps/>
        </w:rPr>
      </w:pPr>
    </w:p>
    <w:p w14:paraId="174D84D7" w14:textId="09C7BC2B" w:rsidR="0035172D" w:rsidRPr="00334F18" w:rsidRDefault="00164D64" w:rsidP="00A93AA6">
      <w:pPr>
        <w:tabs>
          <w:tab w:val="left" w:pos="426"/>
        </w:tabs>
        <w:rPr>
          <w:b/>
          <w:lang w:eastAsia="lt-LT"/>
        </w:rPr>
      </w:pPr>
      <w:r w:rsidRPr="00334F18">
        <w:rPr>
          <w:b/>
          <w:lang w:eastAsia="lt-LT"/>
        </w:rPr>
        <w:t xml:space="preserve">3.1 </w:t>
      </w:r>
      <w:r w:rsidR="0035172D" w:rsidRPr="00334F18">
        <w:rPr>
          <w:b/>
          <w:lang w:eastAsia="lt-LT"/>
        </w:rPr>
        <w:t>Ekonominės analizės rezultatas</w:t>
      </w:r>
    </w:p>
    <w:p w14:paraId="4801D227" w14:textId="77777777" w:rsidR="009E44AE" w:rsidRPr="00334F18" w:rsidRDefault="009E44AE" w:rsidP="00A93AA6">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334F18" w:rsidRPr="00334F18" w14:paraId="42D6C843" w14:textId="77777777" w:rsidTr="00BE7489">
        <w:trPr>
          <w:trHeight w:val="344"/>
          <w:jc w:val="center"/>
        </w:trPr>
        <w:tc>
          <w:tcPr>
            <w:tcW w:w="9439" w:type="dxa"/>
            <w:gridSpan w:val="2"/>
            <w:tcBorders>
              <w:top w:val="single" w:sz="12" w:space="0" w:color="auto"/>
              <w:left w:val="single" w:sz="4" w:space="0" w:color="auto"/>
              <w:right w:val="single" w:sz="4" w:space="0" w:color="auto"/>
            </w:tcBorders>
            <w:vAlign w:val="center"/>
          </w:tcPr>
          <w:p w14:paraId="39FD3B40" w14:textId="77777777" w:rsidR="009E44AE" w:rsidRPr="00334F18" w:rsidRDefault="009E44AE" w:rsidP="009E44AE">
            <w:pPr>
              <w:tabs>
                <w:tab w:val="left" w:pos="567"/>
              </w:tabs>
              <w:jc w:val="center"/>
              <w:rPr>
                <w:b/>
                <w:bCs/>
                <w:sz w:val="26"/>
                <w:szCs w:val="26"/>
                <w:lang w:eastAsia="lt-LT"/>
              </w:rPr>
            </w:pPr>
            <w:r w:rsidRPr="00334F18">
              <w:rPr>
                <w:b/>
                <w:bCs/>
                <w:sz w:val="26"/>
                <w:szCs w:val="26"/>
                <w:lang w:eastAsia="lt-LT"/>
              </w:rPr>
              <w:t>Rezultatai</w:t>
            </w:r>
          </w:p>
        </w:tc>
      </w:tr>
      <w:tr w:rsidR="00334F18" w:rsidRPr="00334F18" w14:paraId="319AF392" w14:textId="77777777" w:rsidTr="00BE7489">
        <w:trPr>
          <w:trHeight w:val="267"/>
          <w:jc w:val="center"/>
        </w:trPr>
        <w:tc>
          <w:tcPr>
            <w:tcW w:w="6200" w:type="dxa"/>
            <w:tcBorders>
              <w:left w:val="single" w:sz="4" w:space="0" w:color="auto"/>
            </w:tcBorders>
          </w:tcPr>
          <w:p w14:paraId="44CD8D27" w14:textId="27245A0B" w:rsidR="00BA5DBC" w:rsidRPr="00334F18" w:rsidRDefault="00BA5DBC" w:rsidP="00BA5DBC">
            <w:pPr>
              <w:tabs>
                <w:tab w:val="left" w:pos="567"/>
              </w:tabs>
              <w:jc w:val="right"/>
              <w:rPr>
                <w:iCs/>
                <w:lang w:eastAsia="lt-LT"/>
              </w:rPr>
            </w:pPr>
            <w:r w:rsidRPr="00334F18">
              <w:rPr>
                <w:iCs/>
                <w:lang w:eastAsia="lt-LT"/>
              </w:rPr>
              <w:t>Kaštų skirtumas</w:t>
            </w:r>
          </w:p>
        </w:tc>
        <w:tc>
          <w:tcPr>
            <w:tcW w:w="3238" w:type="dxa"/>
            <w:tcBorders>
              <w:right w:val="single" w:sz="4" w:space="0" w:color="auto"/>
            </w:tcBorders>
          </w:tcPr>
          <w:p w14:paraId="1CACF0B4" w14:textId="4AD2F37E" w:rsidR="00BA5DBC" w:rsidRPr="00334F18" w:rsidRDefault="00E05A7D" w:rsidP="00BA5DBC">
            <w:pPr>
              <w:tabs>
                <w:tab w:val="left" w:pos="567"/>
              </w:tabs>
              <w:jc w:val="both"/>
              <w:rPr>
                <w:i/>
                <w:iCs/>
                <w:lang w:eastAsia="lt-LT"/>
              </w:rPr>
            </w:pPr>
            <w:r>
              <w:rPr>
                <w:i/>
                <w:iCs/>
                <w:lang w:eastAsia="lt-LT"/>
              </w:rPr>
              <w:t>***</w:t>
            </w:r>
            <w:r w:rsidR="00B92FA5">
              <w:rPr>
                <w:i/>
                <w:iCs/>
                <w:lang w:eastAsia="lt-LT"/>
              </w:rPr>
              <w:t xml:space="preserve"> </w:t>
            </w:r>
            <w:proofErr w:type="spellStart"/>
            <w:r w:rsidR="00B92FA5">
              <w:rPr>
                <w:i/>
                <w:iCs/>
                <w:lang w:eastAsia="lt-LT"/>
              </w:rPr>
              <w:t>eur</w:t>
            </w:r>
            <w:proofErr w:type="spellEnd"/>
          </w:p>
        </w:tc>
      </w:tr>
      <w:tr w:rsidR="00334F18" w:rsidRPr="00334F18" w14:paraId="49F818A3" w14:textId="77777777" w:rsidTr="00BE7489">
        <w:trPr>
          <w:trHeight w:val="267"/>
          <w:jc w:val="center"/>
        </w:trPr>
        <w:tc>
          <w:tcPr>
            <w:tcW w:w="6200" w:type="dxa"/>
            <w:tcBorders>
              <w:left w:val="single" w:sz="4" w:space="0" w:color="auto"/>
            </w:tcBorders>
          </w:tcPr>
          <w:p w14:paraId="021DB925" w14:textId="389F1BF5" w:rsidR="00BA5DBC" w:rsidRPr="00334F18" w:rsidRDefault="00BA5DBC" w:rsidP="00BA5DBC">
            <w:pPr>
              <w:tabs>
                <w:tab w:val="left" w:pos="567"/>
              </w:tabs>
              <w:jc w:val="right"/>
              <w:rPr>
                <w:iCs/>
                <w:lang w:eastAsia="lt-LT"/>
              </w:rPr>
            </w:pPr>
            <w:r w:rsidRPr="00334F18">
              <w:rPr>
                <w:iCs/>
                <w:lang w:eastAsia="lt-LT"/>
              </w:rPr>
              <w:t>Papildomi gyvenimo metai (LY)</w:t>
            </w:r>
          </w:p>
        </w:tc>
        <w:tc>
          <w:tcPr>
            <w:tcW w:w="3238" w:type="dxa"/>
            <w:tcBorders>
              <w:right w:val="single" w:sz="4" w:space="0" w:color="auto"/>
            </w:tcBorders>
          </w:tcPr>
          <w:p w14:paraId="4954817B" w14:textId="500ED67F" w:rsidR="00BA5DBC" w:rsidRPr="00334F18" w:rsidRDefault="00E05A7D" w:rsidP="00BA5DBC">
            <w:pPr>
              <w:tabs>
                <w:tab w:val="left" w:pos="567"/>
              </w:tabs>
              <w:jc w:val="both"/>
              <w:rPr>
                <w:i/>
                <w:iCs/>
                <w:lang w:eastAsia="lt-LT"/>
              </w:rPr>
            </w:pPr>
            <w:r>
              <w:rPr>
                <w:i/>
                <w:iCs/>
                <w:lang w:eastAsia="lt-LT"/>
              </w:rPr>
              <w:t>***</w:t>
            </w:r>
          </w:p>
        </w:tc>
      </w:tr>
      <w:tr w:rsidR="00334F18" w:rsidRPr="00334F18" w14:paraId="20ADA742" w14:textId="77777777" w:rsidTr="00BE7489">
        <w:trPr>
          <w:trHeight w:val="267"/>
          <w:jc w:val="center"/>
        </w:trPr>
        <w:tc>
          <w:tcPr>
            <w:tcW w:w="6200" w:type="dxa"/>
            <w:tcBorders>
              <w:left w:val="single" w:sz="4" w:space="0" w:color="auto"/>
            </w:tcBorders>
          </w:tcPr>
          <w:p w14:paraId="0F567576" w14:textId="2606A2E9" w:rsidR="00BA5DBC" w:rsidRPr="00334F18" w:rsidRDefault="0058712F" w:rsidP="00BA5DBC">
            <w:pPr>
              <w:tabs>
                <w:tab w:val="left" w:pos="567"/>
              </w:tabs>
              <w:jc w:val="right"/>
              <w:rPr>
                <w:iCs/>
                <w:lang w:eastAsia="lt-LT"/>
              </w:rPr>
            </w:pPr>
            <w:r w:rsidRPr="00334F18">
              <w:rPr>
                <w:iCs/>
                <w:lang w:eastAsia="lt-LT"/>
              </w:rPr>
              <w:t>Papildomi k</w:t>
            </w:r>
            <w:r w:rsidR="00BA5DBC" w:rsidRPr="00334F18">
              <w:rPr>
                <w:iCs/>
                <w:lang w:eastAsia="lt-LT"/>
              </w:rPr>
              <w:t>okybiški gyvenimo metai (QALY)</w:t>
            </w:r>
          </w:p>
        </w:tc>
        <w:tc>
          <w:tcPr>
            <w:tcW w:w="3238" w:type="dxa"/>
            <w:tcBorders>
              <w:right w:val="single" w:sz="4" w:space="0" w:color="auto"/>
            </w:tcBorders>
          </w:tcPr>
          <w:p w14:paraId="02E4DAE1" w14:textId="28FF6072" w:rsidR="00BA5DBC" w:rsidRPr="00334F18" w:rsidRDefault="00E05A7D" w:rsidP="00BA5DBC">
            <w:pPr>
              <w:tabs>
                <w:tab w:val="left" w:pos="567"/>
              </w:tabs>
              <w:jc w:val="both"/>
              <w:rPr>
                <w:i/>
                <w:iCs/>
                <w:lang w:eastAsia="lt-LT"/>
              </w:rPr>
            </w:pPr>
            <w:r>
              <w:rPr>
                <w:i/>
                <w:iCs/>
                <w:lang w:eastAsia="lt-LT"/>
              </w:rPr>
              <w:t>***</w:t>
            </w:r>
          </w:p>
        </w:tc>
      </w:tr>
      <w:tr w:rsidR="00334F18" w:rsidRPr="00334F18" w14:paraId="1FADA2B3" w14:textId="77777777" w:rsidTr="00BE7489">
        <w:trPr>
          <w:trHeight w:val="267"/>
          <w:jc w:val="center"/>
        </w:trPr>
        <w:tc>
          <w:tcPr>
            <w:tcW w:w="6200" w:type="dxa"/>
            <w:tcBorders>
              <w:left w:val="single" w:sz="4" w:space="0" w:color="auto"/>
            </w:tcBorders>
          </w:tcPr>
          <w:p w14:paraId="13E089E8" w14:textId="0BCEB339" w:rsidR="00BA5DBC" w:rsidRPr="00334F18" w:rsidRDefault="00BA5DBC" w:rsidP="009E44AE">
            <w:pPr>
              <w:tabs>
                <w:tab w:val="left" w:pos="567"/>
              </w:tabs>
              <w:jc w:val="right"/>
              <w:rPr>
                <w:iCs/>
                <w:lang w:eastAsia="lt-LT"/>
              </w:rPr>
            </w:pPr>
            <w:r w:rsidRPr="00334F18">
              <w:rPr>
                <w:iCs/>
                <w:lang w:eastAsia="lt-LT"/>
              </w:rPr>
              <w:t>ICER už LY</w:t>
            </w:r>
          </w:p>
        </w:tc>
        <w:tc>
          <w:tcPr>
            <w:tcW w:w="3238" w:type="dxa"/>
            <w:tcBorders>
              <w:right w:val="single" w:sz="4" w:space="0" w:color="auto"/>
            </w:tcBorders>
          </w:tcPr>
          <w:p w14:paraId="2817448D" w14:textId="3543055F" w:rsidR="00BA5DBC" w:rsidRPr="00334F18" w:rsidRDefault="00E05A7D" w:rsidP="009E44AE">
            <w:pPr>
              <w:tabs>
                <w:tab w:val="left" w:pos="567"/>
              </w:tabs>
              <w:jc w:val="both"/>
              <w:rPr>
                <w:i/>
                <w:iCs/>
                <w:lang w:eastAsia="lt-LT"/>
              </w:rPr>
            </w:pPr>
            <w:r>
              <w:rPr>
                <w:i/>
                <w:iCs/>
                <w:lang w:eastAsia="lt-LT"/>
              </w:rPr>
              <w:t xml:space="preserve">*** </w:t>
            </w:r>
            <w:proofErr w:type="spellStart"/>
            <w:r w:rsidR="00B92FA5">
              <w:rPr>
                <w:i/>
                <w:iCs/>
                <w:lang w:eastAsia="lt-LT"/>
              </w:rPr>
              <w:t>eur</w:t>
            </w:r>
            <w:proofErr w:type="spellEnd"/>
            <w:r w:rsidR="00B92FA5">
              <w:rPr>
                <w:i/>
                <w:iCs/>
                <w:lang w:eastAsia="lt-LT"/>
              </w:rPr>
              <w:t>/LY</w:t>
            </w:r>
          </w:p>
        </w:tc>
      </w:tr>
      <w:tr w:rsidR="00334F18" w:rsidRPr="00334F18" w14:paraId="250DE960" w14:textId="77777777" w:rsidTr="00BE7489">
        <w:trPr>
          <w:trHeight w:val="267"/>
          <w:jc w:val="center"/>
        </w:trPr>
        <w:tc>
          <w:tcPr>
            <w:tcW w:w="6200" w:type="dxa"/>
            <w:tcBorders>
              <w:left w:val="single" w:sz="4" w:space="0" w:color="auto"/>
            </w:tcBorders>
          </w:tcPr>
          <w:p w14:paraId="207EFB23" w14:textId="77777777" w:rsidR="009E44AE" w:rsidRPr="00334F18" w:rsidRDefault="009E44AE" w:rsidP="009E44AE">
            <w:pPr>
              <w:tabs>
                <w:tab w:val="left" w:pos="567"/>
              </w:tabs>
              <w:jc w:val="right"/>
              <w:rPr>
                <w:iCs/>
                <w:lang w:eastAsia="lt-LT"/>
              </w:rPr>
            </w:pPr>
            <w:r w:rsidRPr="00334F18">
              <w:rPr>
                <w:iCs/>
                <w:lang w:eastAsia="lt-LT"/>
              </w:rPr>
              <w:t>ICER už QALY</w:t>
            </w:r>
          </w:p>
        </w:tc>
        <w:tc>
          <w:tcPr>
            <w:tcW w:w="3238" w:type="dxa"/>
            <w:tcBorders>
              <w:right w:val="single" w:sz="4" w:space="0" w:color="auto"/>
            </w:tcBorders>
          </w:tcPr>
          <w:p w14:paraId="4275320D" w14:textId="003A7CBC" w:rsidR="009E44AE" w:rsidRPr="00334F18" w:rsidRDefault="00E05A7D" w:rsidP="009E44AE">
            <w:pPr>
              <w:tabs>
                <w:tab w:val="left" w:pos="567"/>
              </w:tabs>
              <w:jc w:val="both"/>
              <w:rPr>
                <w:i/>
                <w:iCs/>
                <w:lang w:eastAsia="lt-LT"/>
              </w:rPr>
            </w:pPr>
            <w:r>
              <w:rPr>
                <w:i/>
                <w:iCs/>
                <w:lang w:eastAsia="lt-LT"/>
              </w:rPr>
              <w:t xml:space="preserve">*** </w:t>
            </w:r>
            <w:proofErr w:type="spellStart"/>
            <w:r w:rsidR="00B92FA5">
              <w:rPr>
                <w:i/>
                <w:iCs/>
                <w:lang w:eastAsia="lt-LT"/>
              </w:rPr>
              <w:t>eur</w:t>
            </w:r>
            <w:proofErr w:type="spellEnd"/>
            <w:r w:rsidR="00B92FA5">
              <w:rPr>
                <w:i/>
                <w:iCs/>
                <w:lang w:eastAsia="lt-LT"/>
              </w:rPr>
              <w:t>/QALY</w:t>
            </w:r>
          </w:p>
        </w:tc>
      </w:tr>
      <w:tr w:rsidR="00334F18" w:rsidRPr="00334F18" w14:paraId="2C4C68BA" w14:textId="77777777" w:rsidTr="00BE7489">
        <w:trPr>
          <w:trHeight w:val="267"/>
          <w:jc w:val="center"/>
        </w:trPr>
        <w:tc>
          <w:tcPr>
            <w:tcW w:w="6200" w:type="dxa"/>
            <w:tcBorders>
              <w:left w:val="single" w:sz="4" w:space="0" w:color="auto"/>
              <w:bottom w:val="single" w:sz="4" w:space="0" w:color="auto"/>
              <w:right w:val="single" w:sz="4" w:space="0" w:color="auto"/>
            </w:tcBorders>
          </w:tcPr>
          <w:p w14:paraId="21BEDABF" w14:textId="3471AFB3" w:rsidR="009E44AE" w:rsidRPr="00334F18" w:rsidRDefault="00437623" w:rsidP="009E44AE">
            <w:pPr>
              <w:tabs>
                <w:tab w:val="left" w:pos="567"/>
              </w:tabs>
              <w:jc w:val="right"/>
              <w:rPr>
                <w:iCs/>
                <w:lang w:eastAsia="lt-LT"/>
              </w:rPr>
            </w:pPr>
            <w:r w:rsidRPr="00334F18">
              <w:rPr>
                <w:iCs/>
                <w:lang w:eastAsia="lt-LT"/>
              </w:rPr>
              <w:t>Referenc</w:t>
            </w:r>
            <w:r w:rsidR="009E44AE" w:rsidRPr="00334F18">
              <w:rPr>
                <w:iCs/>
                <w:lang w:eastAsia="lt-LT"/>
              </w:rPr>
              <w:t>inė kaštų naudingumo vertė</w:t>
            </w:r>
          </w:p>
        </w:tc>
        <w:tc>
          <w:tcPr>
            <w:tcW w:w="3238" w:type="dxa"/>
            <w:tcBorders>
              <w:left w:val="single" w:sz="4" w:space="0" w:color="auto"/>
              <w:bottom w:val="single" w:sz="4" w:space="0" w:color="auto"/>
              <w:right w:val="single" w:sz="4" w:space="0" w:color="auto"/>
            </w:tcBorders>
          </w:tcPr>
          <w:p w14:paraId="31DAA72E" w14:textId="6852EB16" w:rsidR="009E44AE" w:rsidRPr="00334F18" w:rsidRDefault="00E05A7D" w:rsidP="009E44AE">
            <w:pPr>
              <w:tabs>
                <w:tab w:val="left" w:pos="567"/>
              </w:tabs>
              <w:jc w:val="both"/>
              <w:rPr>
                <w:i/>
                <w:iCs/>
                <w:lang w:eastAsia="lt-LT"/>
              </w:rPr>
            </w:pPr>
            <w:r>
              <w:rPr>
                <w:i/>
                <w:iCs/>
                <w:lang w:eastAsia="lt-LT"/>
              </w:rPr>
              <w:t xml:space="preserve">*** </w:t>
            </w:r>
            <w:proofErr w:type="spellStart"/>
            <w:r w:rsidR="00B92FA5">
              <w:rPr>
                <w:i/>
                <w:iCs/>
                <w:lang w:eastAsia="lt-LT"/>
              </w:rPr>
              <w:t>eur</w:t>
            </w:r>
            <w:proofErr w:type="spellEnd"/>
            <w:r w:rsidR="00B92FA5">
              <w:rPr>
                <w:i/>
                <w:iCs/>
                <w:lang w:eastAsia="lt-LT"/>
              </w:rPr>
              <w:t>/QALY</w:t>
            </w:r>
          </w:p>
        </w:tc>
      </w:tr>
    </w:tbl>
    <w:p w14:paraId="5FC8C737" w14:textId="4136B7F4" w:rsidR="0035172D" w:rsidRPr="00334F18" w:rsidRDefault="00E5102E" w:rsidP="0035172D">
      <w:pPr>
        <w:tabs>
          <w:tab w:val="left" w:pos="567"/>
        </w:tabs>
        <w:jc w:val="both"/>
        <w:rPr>
          <w:iCs/>
          <w:sz w:val="20"/>
          <w:lang w:eastAsia="lt-LT"/>
        </w:rPr>
      </w:pPr>
      <w:r w:rsidRPr="00334F18">
        <w:rPr>
          <w:iCs/>
          <w:sz w:val="20"/>
          <w:lang w:eastAsia="lt-LT"/>
        </w:rPr>
        <w:t xml:space="preserve">ICER </w:t>
      </w:r>
      <w:r w:rsidR="00453862" w:rsidRPr="00334F18">
        <w:rPr>
          <w:iCs/>
          <w:sz w:val="20"/>
          <w:lang w:eastAsia="lt-LT"/>
        </w:rPr>
        <w:t>– (</w:t>
      </w:r>
      <w:r w:rsidR="00453862" w:rsidRPr="00334F18">
        <w:rPr>
          <w:i/>
          <w:sz w:val="20"/>
          <w:lang w:eastAsia="lt-LT"/>
        </w:rPr>
        <w:t xml:space="preserve">angl. </w:t>
      </w:r>
      <w:proofErr w:type="spellStart"/>
      <w:r w:rsidR="00453862" w:rsidRPr="00334F18">
        <w:rPr>
          <w:i/>
          <w:sz w:val="20"/>
          <w:lang w:eastAsia="lt-LT"/>
        </w:rPr>
        <w:t>incremental</w:t>
      </w:r>
      <w:proofErr w:type="spellEnd"/>
      <w:r w:rsidR="00453862" w:rsidRPr="00334F18">
        <w:rPr>
          <w:i/>
          <w:sz w:val="20"/>
          <w:lang w:eastAsia="lt-LT"/>
        </w:rPr>
        <w:t xml:space="preserve"> </w:t>
      </w:r>
      <w:proofErr w:type="spellStart"/>
      <w:r w:rsidR="00453862" w:rsidRPr="00334F18">
        <w:rPr>
          <w:i/>
          <w:sz w:val="20"/>
          <w:lang w:eastAsia="lt-LT"/>
        </w:rPr>
        <w:t>cost-effectiveness</w:t>
      </w:r>
      <w:proofErr w:type="spellEnd"/>
      <w:r w:rsidR="00453862" w:rsidRPr="00334F18">
        <w:rPr>
          <w:i/>
          <w:sz w:val="20"/>
          <w:lang w:eastAsia="lt-LT"/>
        </w:rPr>
        <w:t xml:space="preserve"> </w:t>
      </w:r>
      <w:proofErr w:type="spellStart"/>
      <w:r w:rsidR="00453862" w:rsidRPr="00334F18">
        <w:rPr>
          <w:i/>
          <w:sz w:val="20"/>
          <w:lang w:eastAsia="lt-LT"/>
        </w:rPr>
        <w:t>ratio</w:t>
      </w:r>
      <w:proofErr w:type="spellEnd"/>
      <w:r w:rsidR="00453862" w:rsidRPr="00334F18">
        <w:rPr>
          <w:iCs/>
          <w:sz w:val="20"/>
          <w:lang w:eastAsia="lt-LT"/>
        </w:rPr>
        <w:t xml:space="preserve">) </w:t>
      </w:r>
      <w:proofErr w:type="spellStart"/>
      <w:r w:rsidR="00453862" w:rsidRPr="00334F18">
        <w:rPr>
          <w:iCs/>
          <w:sz w:val="20"/>
          <w:lang w:eastAsia="lt-LT"/>
        </w:rPr>
        <w:t>inkrementinis</w:t>
      </w:r>
      <w:proofErr w:type="spellEnd"/>
      <w:r w:rsidR="00453862" w:rsidRPr="00334F18">
        <w:rPr>
          <w:iCs/>
          <w:sz w:val="20"/>
          <w:lang w:eastAsia="lt-LT"/>
        </w:rPr>
        <w:t xml:space="preserve"> kaštų naudingumo koeficientas</w:t>
      </w:r>
      <w:r w:rsidRPr="00334F18">
        <w:rPr>
          <w:iCs/>
          <w:sz w:val="20"/>
          <w:lang w:eastAsia="lt-LT"/>
        </w:rPr>
        <w:t>; LY –</w:t>
      </w:r>
      <w:r w:rsidR="00453862" w:rsidRPr="00334F18">
        <w:rPr>
          <w:iCs/>
          <w:sz w:val="20"/>
          <w:lang w:eastAsia="lt-LT"/>
        </w:rPr>
        <w:t xml:space="preserve"> (</w:t>
      </w:r>
      <w:r w:rsidR="00453862" w:rsidRPr="00334F18">
        <w:rPr>
          <w:i/>
          <w:sz w:val="20"/>
          <w:lang w:eastAsia="lt-LT"/>
        </w:rPr>
        <w:t xml:space="preserve">angl. </w:t>
      </w:r>
      <w:proofErr w:type="spellStart"/>
      <w:r w:rsidR="00453862" w:rsidRPr="00334F18">
        <w:rPr>
          <w:i/>
          <w:sz w:val="20"/>
          <w:lang w:eastAsia="lt-LT"/>
        </w:rPr>
        <w:t>life</w:t>
      </w:r>
      <w:proofErr w:type="spellEnd"/>
      <w:r w:rsidR="00453862" w:rsidRPr="00334F18">
        <w:rPr>
          <w:i/>
          <w:sz w:val="20"/>
          <w:lang w:eastAsia="lt-LT"/>
        </w:rPr>
        <w:t xml:space="preserve"> </w:t>
      </w:r>
      <w:proofErr w:type="spellStart"/>
      <w:r w:rsidR="00453862" w:rsidRPr="00334F18">
        <w:rPr>
          <w:i/>
          <w:sz w:val="20"/>
          <w:lang w:eastAsia="lt-LT"/>
        </w:rPr>
        <w:t>years</w:t>
      </w:r>
      <w:proofErr w:type="spellEnd"/>
      <w:r w:rsidR="00453862" w:rsidRPr="00334F18">
        <w:rPr>
          <w:iCs/>
          <w:sz w:val="20"/>
          <w:lang w:eastAsia="lt-LT"/>
        </w:rPr>
        <w:t>) gyvenimo metai</w:t>
      </w:r>
      <w:r w:rsidRPr="00334F18">
        <w:rPr>
          <w:iCs/>
          <w:sz w:val="20"/>
          <w:lang w:eastAsia="lt-LT"/>
        </w:rPr>
        <w:t xml:space="preserve">; QALY- </w:t>
      </w:r>
      <w:r w:rsidR="00453862" w:rsidRPr="00334F18">
        <w:rPr>
          <w:iCs/>
          <w:sz w:val="20"/>
          <w:lang w:eastAsia="lt-LT"/>
        </w:rPr>
        <w:t>(</w:t>
      </w:r>
      <w:r w:rsidR="00453862" w:rsidRPr="00334F18">
        <w:rPr>
          <w:i/>
          <w:sz w:val="20"/>
          <w:lang w:eastAsia="lt-LT"/>
        </w:rPr>
        <w:t xml:space="preserve">angl. </w:t>
      </w:r>
      <w:proofErr w:type="spellStart"/>
      <w:r w:rsidR="00453862" w:rsidRPr="00334F18">
        <w:rPr>
          <w:i/>
          <w:sz w:val="20"/>
          <w:lang w:eastAsia="lt-LT"/>
        </w:rPr>
        <w:t>quality</w:t>
      </w:r>
      <w:proofErr w:type="spellEnd"/>
      <w:r w:rsidR="00453862" w:rsidRPr="00334F18">
        <w:rPr>
          <w:i/>
          <w:sz w:val="20"/>
          <w:lang w:eastAsia="lt-LT"/>
        </w:rPr>
        <w:t xml:space="preserve"> </w:t>
      </w:r>
      <w:proofErr w:type="spellStart"/>
      <w:r w:rsidR="00453862" w:rsidRPr="00334F18">
        <w:rPr>
          <w:i/>
          <w:sz w:val="20"/>
          <w:lang w:eastAsia="lt-LT"/>
        </w:rPr>
        <w:t>adjusted</w:t>
      </w:r>
      <w:proofErr w:type="spellEnd"/>
      <w:r w:rsidR="00453862" w:rsidRPr="00334F18">
        <w:rPr>
          <w:i/>
          <w:sz w:val="20"/>
          <w:lang w:eastAsia="lt-LT"/>
        </w:rPr>
        <w:t xml:space="preserve"> </w:t>
      </w:r>
      <w:proofErr w:type="spellStart"/>
      <w:r w:rsidR="00453862" w:rsidRPr="00334F18">
        <w:rPr>
          <w:i/>
          <w:sz w:val="20"/>
          <w:lang w:eastAsia="lt-LT"/>
        </w:rPr>
        <w:t>life</w:t>
      </w:r>
      <w:proofErr w:type="spellEnd"/>
      <w:r w:rsidR="00453862" w:rsidRPr="00334F18">
        <w:rPr>
          <w:i/>
          <w:sz w:val="20"/>
          <w:lang w:eastAsia="lt-LT"/>
        </w:rPr>
        <w:t xml:space="preserve"> </w:t>
      </w:r>
      <w:proofErr w:type="spellStart"/>
      <w:r w:rsidR="00453862" w:rsidRPr="00334F18">
        <w:rPr>
          <w:i/>
          <w:sz w:val="20"/>
          <w:lang w:eastAsia="lt-LT"/>
        </w:rPr>
        <w:t>years</w:t>
      </w:r>
      <w:proofErr w:type="spellEnd"/>
      <w:r w:rsidR="00453862" w:rsidRPr="00334F18">
        <w:rPr>
          <w:i/>
          <w:sz w:val="20"/>
          <w:lang w:eastAsia="lt-LT"/>
        </w:rPr>
        <w:t xml:space="preserve">) </w:t>
      </w:r>
      <w:r w:rsidR="00453862" w:rsidRPr="00334F18">
        <w:rPr>
          <w:iCs/>
          <w:sz w:val="20"/>
          <w:lang w:eastAsia="lt-LT"/>
        </w:rPr>
        <w:t>kokybiški gyvenimo metai.</w:t>
      </w:r>
    </w:p>
    <w:p w14:paraId="33875138" w14:textId="77777777" w:rsidR="0035172D" w:rsidRPr="00334F18" w:rsidRDefault="0035172D" w:rsidP="00A93AA6">
      <w:pPr>
        <w:tabs>
          <w:tab w:val="left" w:pos="426"/>
        </w:tabs>
        <w:rPr>
          <w:b/>
          <w:bCs/>
          <w:caps/>
        </w:rPr>
      </w:pPr>
    </w:p>
    <w:p w14:paraId="4FC424F9" w14:textId="4E767245" w:rsidR="00C62B36" w:rsidRPr="00334F18" w:rsidRDefault="00C62B36" w:rsidP="00CC09D4">
      <w:pPr>
        <w:pStyle w:val="Sraopastraipa"/>
        <w:numPr>
          <w:ilvl w:val="0"/>
          <w:numId w:val="12"/>
        </w:numPr>
        <w:tabs>
          <w:tab w:val="left" w:pos="567"/>
        </w:tabs>
        <w:ind w:hanging="720"/>
        <w:rPr>
          <w:b/>
          <w:bCs/>
          <w:caps/>
        </w:rPr>
      </w:pPr>
      <w:r w:rsidRPr="00334F18">
        <w:rPr>
          <w:b/>
          <w:bCs/>
          <w:caps/>
        </w:rPr>
        <w:t xml:space="preserve">Pacientų organizacijų pateikti duomenys </w:t>
      </w:r>
    </w:p>
    <w:p w14:paraId="62992180" w14:textId="3D26520B" w:rsidR="00937907" w:rsidRPr="00334F18" w:rsidRDefault="00937907" w:rsidP="00937907">
      <w:pPr>
        <w:spacing w:after="120"/>
        <w:jc w:val="both"/>
      </w:pPr>
      <w:r w:rsidRPr="00334F18">
        <w:t xml:space="preserve">Pacientų organizacijos pozicija </w:t>
      </w:r>
      <w:r w:rsidR="00880A44" w:rsidRPr="00334F18">
        <w:t>ne</w:t>
      </w:r>
      <w:r w:rsidRPr="00334F18">
        <w:t>pateikta.</w:t>
      </w:r>
    </w:p>
    <w:p w14:paraId="03E73D82" w14:textId="77777777" w:rsidR="00D417D2" w:rsidRPr="00334F18" w:rsidRDefault="00D417D2" w:rsidP="00937907">
      <w:pPr>
        <w:spacing w:after="120"/>
        <w:jc w:val="both"/>
      </w:pPr>
    </w:p>
    <w:p w14:paraId="3D3277FA" w14:textId="09414FFF" w:rsidR="00C62B36" w:rsidRPr="00334F18" w:rsidRDefault="00D67BAF" w:rsidP="00CC09D4">
      <w:pPr>
        <w:pStyle w:val="Sraopastraipa"/>
        <w:numPr>
          <w:ilvl w:val="0"/>
          <w:numId w:val="12"/>
        </w:numPr>
        <w:tabs>
          <w:tab w:val="left" w:pos="567"/>
        </w:tabs>
        <w:ind w:hanging="720"/>
        <w:rPr>
          <w:b/>
          <w:bCs/>
          <w:caps/>
        </w:rPr>
      </w:pPr>
      <w:r w:rsidRPr="00334F18">
        <w:rPr>
          <w:b/>
          <w:bCs/>
          <w:caps/>
        </w:rPr>
        <w:t xml:space="preserve">SVEIKATOS PRIEŽIŪROS SPECIALISTŲ </w:t>
      </w:r>
      <w:r w:rsidR="00C62B36" w:rsidRPr="00334F18">
        <w:rPr>
          <w:b/>
          <w:bCs/>
          <w:caps/>
        </w:rPr>
        <w:t xml:space="preserve"> organizacijų pateikti duomenys</w:t>
      </w:r>
    </w:p>
    <w:p w14:paraId="5D8CC48C" w14:textId="56D58926" w:rsidR="00662983" w:rsidRPr="00334F18" w:rsidRDefault="00D67BAF" w:rsidP="00662983">
      <w:pPr>
        <w:spacing w:after="120"/>
        <w:jc w:val="both"/>
      </w:pPr>
      <w:r w:rsidRPr="00334F18">
        <w:t>S</w:t>
      </w:r>
      <w:r w:rsidRPr="00334F18">
        <w:rPr>
          <w:bCs/>
        </w:rPr>
        <w:t>veikatos priežiūros specialistų</w:t>
      </w:r>
      <w:r w:rsidR="00937907" w:rsidRPr="00334F18">
        <w:t xml:space="preserve"> organizacijos pozicija </w:t>
      </w:r>
      <w:r w:rsidR="00880A44" w:rsidRPr="00334F18">
        <w:t>ne</w:t>
      </w:r>
      <w:r w:rsidR="00937907" w:rsidRPr="00334F18">
        <w:t>pateikta.</w:t>
      </w:r>
    </w:p>
    <w:p w14:paraId="3701D46A" w14:textId="77777777" w:rsidR="00A042B9" w:rsidRPr="00334F18" w:rsidRDefault="00A042B9" w:rsidP="00662983">
      <w:pPr>
        <w:spacing w:after="120"/>
        <w:jc w:val="both"/>
      </w:pPr>
    </w:p>
    <w:p w14:paraId="78F23ECB" w14:textId="3ED5BFD5" w:rsidR="002F0E4F" w:rsidRPr="00334F18" w:rsidRDefault="002F0E4F" w:rsidP="00CC09D4">
      <w:pPr>
        <w:pStyle w:val="Sraopastraipa"/>
        <w:numPr>
          <w:ilvl w:val="0"/>
          <w:numId w:val="12"/>
        </w:numPr>
        <w:tabs>
          <w:tab w:val="left" w:pos="567"/>
        </w:tabs>
        <w:ind w:hanging="720"/>
        <w:rPr>
          <w:b/>
          <w:bCs/>
          <w:caps/>
        </w:rPr>
      </w:pPr>
      <w:r w:rsidRPr="00334F18">
        <w:rPr>
          <w:b/>
          <w:bCs/>
          <w:caps/>
        </w:rPr>
        <w:t>Išvad</w:t>
      </w:r>
      <w:r w:rsidR="00B811A4" w:rsidRPr="00334F18">
        <w:rPr>
          <w:b/>
          <w:bCs/>
          <w:caps/>
        </w:rPr>
        <w:t>OS</w:t>
      </w:r>
      <w:r w:rsidRPr="00334F18">
        <w:rPr>
          <w:b/>
          <w:bCs/>
          <w:caps/>
        </w:rPr>
        <w:t xml:space="preserve"> </w:t>
      </w:r>
    </w:p>
    <w:p w14:paraId="30069D85" w14:textId="77777777" w:rsidR="0061611B" w:rsidRPr="00334F18" w:rsidRDefault="0061611B" w:rsidP="0061611B">
      <w:pPr>
        <w:ind w:left="360"/>
        <w:rPr>
          <w:i/>
          <w:szCs w:val="22"/>
        </w:rPr>
      </w:pPr>
    </w:p>
    <w:tbl>
      <w:tblPr>
        <w:tblStyle w:val="Lentelstinklelis"/>
        <w:tblW w:w="0" w:type="auto"/>
        <w:tblInd w:w="-5" w:type="dxa"/>
        <w:tblLook w:val="04A0" w:firstRow="1" w:lastRow="0" w:firstColumn="1" w:lastColumn="0" w:noHBand="0" w:noVBand="1"/>
      </w:tblPr>
      <w:tblGrid>
        <w:gridCol w:w="4820"/>
        <w:gridCol w:w="4814"/>
      </w:tblGrid>
      <w:tr w:rsidR="00334F18" w:rsidRPr="00334F18" w14:paraId="4D5EFB83" w14:textId="77777777" w:rsidTr="007111C4">
        <w:trPr>
          <w:trHeight w:val="510"/>
        </w:trPr>
        <w:tc>
          <w:tcPr>
            <w:tcW w:w="9634" w:type="dxa"/>
            <w:gridSpan w:val="2"/>
            <w:vAlign w:val="center"/>
          </w:tcPr>
          <w:p w14:paraId="294EC16B" w14:textId="77777777" w:rsidR="00B811A4" w:rsidRPr="0083723C"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highlight w:val="yellow"/>
              </w:rPr>
            </w:pPr>
            <w:bookmarkStart w:id="4" w:name="_Hlk185430554"/>
            <w:r w:rsidRPr="00C579B6">
              <w:rPr>
                <w:rStyle w:val="Style2"/>
                <w:rFonts w:eastAsia="MS Gothic"/>
                <w:b/>
                <w:bCs/>
                <w:sz w:val="23"/>
                <w:szCs w:val="23"/>
              </w:rPr>
              <w:t>Palyginamasis veiksmingumas</w:t>
            </w:r>
          </w:p>
        </w:tc>
      </w:tr>
      <w:tr w:rsidR="00334F18" w:rsidRPr="00334F18" w14:paraId="30B67515" w14:textId="77777777" w:rsidTr="007111C4">
        <w:tc>
          <w:tcPr>
            <w:tcW w:w="4820" w:type="dxa"/>
          </w:tcPr>
          <w:p w14:paraId="4FE3C208" w14:textId="79D8CD7B" w:rsidR="00B811A4" w:rsidRPr="00C579B6"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397324644"/>
                <w15:color w:val="FFCC00"/>
                <w14:checkbox>
                  <w14:checked w14:val="1"/>
                  <w14:checkedState w14:val="2612" w14:font="MS Gothic"/>
                  <w14:uncheckedState w14:val="2610" w14:font="MS Gothic"/>
                </w14:checkbox>
              </w:sdtPr>
              <w:sdtContent>
                <w:r w:rsidR="00C579B6">
                  <w:rPr>
                    <w:rStyle w:val="Style2"/>
                    <w:rFonts w:ascii="MS Gothic" w:eastAsia="MS Gothic" w:hAnsi="MS Gothic" w:hint="eastAsia"/>
                    <w:sz w:val="23"/>
                    <w:szCs w:val="23"/>
                  </w:rPr>
                  <w:t>☒</w:t>
                </w:r>
              </w:sdtContent>
            </w:sdt>
            <w:r w:rsidR="00B811A4" w:rsidRPr="00C579B6">
              <w:rPr>
                <w:rStyle w:val="Style2"/>
                <w:sz w:val="23"/>
                <w:szCs w:val="23"/>
              </w:rPr>
              <w:t xml:space="preserve"> 29</w:t>
            </w:r>
            <w:r w:rsidR="00B811A4" w:rsidRPr="00C579B6">
              <w:rPr>
                <w:sz w:val="23"/>
                <w:szCs w:val="23"/>
              </w:rPr>
              <w:t>.1.1 yra didesnis, lyginant su įprasta klinikine praktika</w:t>
            </w:r>
          </w:p>
          <w:p w14:paraId="6F9786E4" w14:textId="77777777" w:rsidR="00B811A4" w:rsidRPr="00C579B6"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231EDECD" w14:textId="77777777" w:rsidR="00B811A4" w:rsidRPr="00C579B6"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418297090"/>
                <w15:color w:val="FFCC00"/>
                <w14:checkbox>
                  <w14:checked w14:val="0"/>
                  <w14:checkedState w14:val="2612" w14:font="MS Gothic"/>
                  <w14:uncheckedState w14:val="2610" w14:font="MS Gothic"/>
                </w14:checkbox>
              </w:sdtPr>
              <w:sdtContent>
                <w:r w:rsidR="00B811A4" w:rsidRPr="00C579B6">
                  <w:rPr>
                    <w:rStyle w:val="Style2"/>
                    <w:rFonts w:ascii="Segoe UI Symbol" w:eastAsia="MS Gothic" w:hAnsi="Segoe UI Symbol" w:cs="Segoe UI Symbol"/>
                    <w:sz w:val="23"/>
                    <w:szCs w:val="23"/>
                  </w:rPr>
                  <w:t>☐</w:t>
                </w:r>
              </w:sdtContent>
            </w:sdt>
            <w:r w:rsidR="00B811A4" w:rsidRPr="00C579B6">
              <w:rPr>
                <w:sz w:val="23"/>
                <w:szCs w:val="23"/>
              </w:rPr>
              <w:t xml:space="preserve"> </w:t>
            </w:r>
            <w:r w:rsidR="00B811A4" w:rsidRPr="00C579B6">
              <w:rPr>
                <w:rStyle w:val="Style2"/>
                <w:sz w:val="23"/>
                <w:szCs w:val="23"/>
              </w:rPr>
              <w:t>29</w:t>
            </w:r>
            <w:r w:rsidR="00B811A4" w:rsidRPr="00C579B6">
              <w:rPr>
                <w:sz w:val="23"/>
                <w:szCs w:val="23"/>
              </w:rPr>
              <w:t>.1.2 iš esmės nesiskiria, lyginant su įprasta klinikine praktika</w:t>
            </w:r>
          </w:p>
        </w:tc>
        <w:tc>
          <w:tcPr>
            <w:tcW w:w="4814" w:type="dxa"/>
          </w:tcPr>
          <w:p w14:paraId="72562F9E" w14:textId="77777777" w:rsidR="00B811A4" w:rsidRPr="00C579B6"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24755596"/>
                <w15:color w:val="FFCC00"/>
                <w14:checkbox>
                  <w14:checked w14:val="0"/>
                  <w14:checkedState w14:val="2612" w14:font="MS Gothic"/>
                  <w14:uncheckedState w14:val="2610" w14:font="MS Gothic"/>
                </w14:checkbox>
              </w:sdtPr>
              <w:sdtContent>
                <w:r w:rsidR="00B811A4" w:rsidRPr="00C579B6">
                  <w:rPr>
                    <w:rStyle w:val="Style2"/>
                    <w:rFonts w:ascii="Segoe UI Symbol" w:eastAsia="MS Gothic" w:hAnsi="Segoe UI Symbol" w:cs="Segoe UI Symbol"/>
                    <w:sz w:val="23"/>
                    <w:szCs w:val="23"/>
                  </w:rPr>
                  <w:t>☐</w:t>
                </w:r>
              </w:sdtContent>
            </w:sdt>
            <w:r w:rsidR="00B811A4" w:rsidRPr="00C579B6">
              <w:rPr>
                <w:sz w:val="23"/>
                <w:szCs w:val="23"/>
              </w:rPr>
              <w:t xml:space="preserve"> </w:t>
            </w:r>
            <w:r w:rsidR="00B811A4" w:rsidRPr="00C579B6">
              <w:rPr>
                <w:rStyle w:val="Style2"/>
                <w:sz w:val="23"/>
                <w:szCs w:val="23"/>
              </w:rPr>
              <w:t>29</w:t>
            </w:r>
            <w:r w:rsidR="00B811A4" w:rsidRPr="00C579B6">
              <w:rPr>
                <w:sz w:val="23"/>
                <w:szCs w:val="23"/>
              </w:rPr>
              <w:t xml:space="preserve">.1.3 yra neįrodytas kaip didesnis  ar iš esmės nesiskiriantis, lyginant su įprasta klinikine praktika  </w:t>
            </w:r>
          </w:p>
          <w:p w14:paraId="6F6DB5BC" w14:textId="77777777" w:rsidR="00B811A4" w:rsidRPr="00C579B6"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EE1D885" w14:textId="77777777" w:rsidR="00B811A4" w:rsidRPr="00C579B6"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62168479"/>
                <w15:color w:val="FFCC00"/>
                <w14:checkbox>
                  <w14:checked w14:val="0"/>
                  <w14:checkedState w14:val="2612" w14:font="MS Gothic"/>
                  <w14:uncheckedState w14:val="2610" w14:font="MS Gothic"/>
                </w14:checkbox>
              </w:sdtPr>
              <w:sdtContent>
                <w:r w:rsidR="00B811A4" w:rsidRPr="00C579B6">
                  <w:rPr>
                    <w:rStyle w:val="Style2"/>
                    <w:rFonts w:ascii="Segoe UI Symbol" w:eastAsia="MS Gothic" w:hAnsi="Segoe UI Symbol" w:cs="Segoe UI Symbol"/>
                    <w:sz w:val="23"/>
                    <w:szCs w:val="23"/>
                  </w:rPr>
                  <w:t>☐</w:t>
                </w:r>
              </w:sdtContent>
            </w:sdt>
            <w:r w:rsidR="00B811A4" w:rsidRPr="00C579B6">
              <w:rPr>
                <w:sz w:val="23"/>
                <w:szCs w:val="23"/>
              </w:rPr>
              <w:t xml:space="preserve"> </w:t>
            </w:r>
            <w:r w:rsidR="00B811A4" w:rsidRPr="00C579B6">
              <w:rPr>
                <w:rStyle w:val="Style2"/>
                <w:sz w:val="23"/>
                <w:szCs w:val="23"/>
              </w:rPr>
              <w:t>29</w:t>
            </w:r>
            <w:r w:rsidR="00B811A4" w:rsidRPr="00C579B6">
              <w:rPr>
                <w:sz w:val="23"/>
                <w:szCs w:val="23"/>
              </w:rPr>
              <w:t>.1.4 yra mažesnis, lyginant su įprasta klinikine praktika</w:t>
            </w:r>
          </w:p>
          <w:p w14:paraId="193C3D76" w14:textId="77777777" w:rsidR="00B811A4" w:rsidRPr="00C579B6"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370E94DC" w14:textId="4EC80DB9" w:rsidR="00B811A4" w:rsidRPr="00C579B6"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57960180"/>
                <w15:color w:val="FFCC00"/>
                <w14:checkbox>
                  <w14:checked w14:val="0"/>
                  <w14:checkedState w14:val="2612" w14:font="MS Gothic"/>
                  <w14:uncheckedState w14:val="2610" w14:font="MS Gothic"/>
                </w14:checkbox>
              </w:sdtPr>
              <w:sdtContent>
                <w:r w:rsidR="00B811A4" w:rsidRPr="00C579B6">
                  <w:rPr>
                    <w:rStyle w:val="Style2"/>
                    <w:rFonts w:ascii="Segoe UI Symbol" w:eastAsia="MS Gothic" w:hAnsi="Segoe UI Symbol" w:cs="Segoe UI Symbol"/>
                    <w:sz w:val="23"/>
                    <w:szCs w:val="23"/>
                  </w:rPr>
                  <w:t>☐</w:t>
                </w:r>
              </w:sdtContent>
            </w:sdt>
            <w:r w:rsidR="00B811A4" w:rsidRPr="00C579B6">
              <w:rPr>
                <w:sz w:val="23"/>
                <w:szCs w:val="23"/>
              </w:rPr>
              <w:t xml:space="preserve"> </w:t>
            </w:r>
            <w:r w:rsidR="00B811A4" w:rsidRPr="00C579B6">
              <w:rPr>
                <w:rStyle w:val="Style2"/>
                <w:sz w:val="23"/>
                <w:szCs w:val="23"/>
              </w:rPr>
              <w:t>29</w:t>
            </w:r>
            <w:r w:rsidR="00B811A4" w:rsidRPr="00C579B6">
              <w:rPr>
                <w:sz w:val="23"/>
                <w:szCs w:val="23"/>
              </w:rPr>
              <w:t>.1.5 pateikti duomenys apie palyginamąjį veiksmingumą yra netinkami vertinti</w:t>
            </w:r>
          </w:p>
          <w:p w14:paraId="45719037" w14:textId="77777777" w:rsidR="00B811A4" w:rsidRPr="00C579B6"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bookmarkEnd w:id="4"/>
      <w:tr w:rsidR="00334F18" w:rsidRPr="00334F18" w14:paraId="0E0F5168" w14:textId="77777777" w:rsidTr="00743956">
        <w:trPr>
          <w:trHeight w:val="510"/>
        </w:trPr>
        <w:tc>
          <w:tcPr>
            <w:tcW w:w="9634" w:type="dxa"/>
            <w:gridSpan w:val="2"/>
            <w:vAlign w:val="center"/>
          </w:tcPr>
          <w:p w14:paraId="62B67E12"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r w:rsidRPr="00334F18">
              <w:rPr>
                <w:rStyle w:val="Style2"/>
                <w:rFonts w:eastAsia="MS Gothic"/>
                <w:b/>
                <w:bCs/>
                <w:sz w:val="23"/>
                <w:szCs w:val="23"/>
              </w:rPr>
              <w:lastRenderedPageBreak/>
              <w:t>Kaštų naudingumas</w:t>
            </w:r>
          </w:p>
        </w:tc>
      </w:tr>
      <w:tr w:rsidR="00334F18" w:rsidRPr="00334F18" w14:paraId="6A2F62B2" w14:textId="77777777" w:rsidTr="00743956">
        <w:tc>
          <w:tcPr>
            <w:tcW w:w="4820" w:type="dxa"/>
          </w:tcPr>
          <w:p w14:paraId="7CB2C697" w14:textId="44A4E1DF" w:rsidR="00B811A4" w:rsidRPr="00334F18"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301657889"/>
                <w15:color w:val="FFCC00"/>
                <w14:checkbox>
                  <w14:checked w14:val="0"/>
                  <w14:checkedState w14:val="2612" w14:font="MS Gothic"/>
                  <w14:uncheckedState w14:val="2610" w14:font="MS Gothic"/>
                </w14:checkbox>
              </w:sdtPr>
              <w:sdtContent>
                <w:r w:rsidR="00B811A4" w:rsidRPr="00334F18">
                  <w:rPr>
                    <w:rStyle w:val="Style2"/>
                    <w:rFonts w:ascii="Segoe UI Symbol" w:eastAsia="MS Gothic" w:hAnsi="Segoe UI Symbol" w:cs="Segoe UI Symbol"/>
                    <w:sz w:val="23"/>
                    <w:szCs w:val="23"/>
                  </w:rPr>
                  <w:t>☐</w:t>
                </w:r>
              </w:sdtContent>
            </w:sdt>
            <w:r w:rsidR="00B811A4" w:rsidRPr="00334F18">
              <w:rPr>
                <w:sz w:val="23"/>
                <w:szCs w:val="23"/>
              </w:rPr>
              <w:t xml:space="preserve"> 29.2.1 atitinka referencinę naudingumo vertę taikant arba netaikant</w:t>
            </w:r>
            <w:r w:rsidR="00437623" w:rsidRPr="00334F18">
              <w:rPr>
                <w:b/>
                <w:bCs/>
                <w:sz w:val="23"/>
                <w:szCs w:val="23"/>
              </w:rPr>
              <w:t xml:space="preserve"> </w:t>
            </w:r>
            <w:r w:rsidR="00B811A4" w:rsidRPr="00334F18">
              <w:rPr>
                <w:sz w:val="23"/>
                <w:szCs w:val="23"/>
              </w:rPr>
              <w:t>PGS</w:t>
            </w:r>
          </w:p>
          <w:p w14:paraId="71797774"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BE88CDB" w14:textId="60C4FFA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c>
          <w:tcPr>
            <w:tcW w:w="4814" w:type="dxa"/>
          </w:tcPr>
          <w:p w14:paraId="0370A72C" w14:textId="041125EB" w:rsidR="00B811A4" w:rsidRPr="00334F18"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91860283"/>
                <w15:color w:val="FFCC00"/>
                <w14:checkbox>
                  <w14:checked w14:val="1"/>
                  <w14:checkedState w14:val="2612" w14:font="MS Gothic"/>
                  <w14:uncheckedState w14:val="2610" w14:font="MS Gothic"/>
                </w14:checkbox>
              </w:sdtPr>
              <w:sdtContent>
                <w:r w:rsidR="00B92FA5">
                  <w:rPr>
                    <w:rStyle w:val="Style2"/>
                    <w:rFonts w:ascii="MS Gothic" w:eastAsia="MS Gothic" w:hAnsi="MS Gothic" w:hint="eastAsia"/>
                    <w:sz w:val="23"/>
                    <w:szCs w:val="23"/>
                  </w:rPr>
                  <w:t>☒</w:t>
                </w:r>
              </w:sdtContent>
            </w:sdt>
            <w:r w:rsidR="00B811A4" w:rsidRPr="00334F18">
              <w:rPr>
                <w:sz w:val="23"/>
                <w:szCs w:val="23"/>
              </w:rPr>
              <w:t xml:space="preserve"> 29.2.3 neatitinka referencinės naudingumo vertės taikant arba netaikant PGS</w:t>
            </w:r>
          </w:p>
          <w:p w14:paraId="289E6691"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FD1976C" w14:textId="77777777" w:rsidR="00B811A4" w:rsidRPr="00334F18"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943849855"/>
                <w15:color w:val="FFCC00"/>
                <w14:checkbox>
                  <w14:checked w14:val="0"/>
                  <w14:checkedState w14:val="2612" w14:font="MS Gothic"/>
                  <w14:uncheckedState w14:val="2610" w14:font="MS Gothic"/>
                </w14:checkbox>
              </w:sdtPr>
              <w:sdtContent>
                <w:r w:rsidR="00B811A4" w:rsidRPr="00334F18">
                  <w:rPr>
                    <w:rStyle w:val="Style2"/>
                    <w:rFonts w:ascii="Segoe UI Symbol" w:eastAsia="MS Gothic" w:hAnsi="Segoe UI Symbol" w:cs="Segoe UI Symbol"/>
                    <w:sz w:val="23"/>
                    <w:szCs w:val="23"/>
                  </w:rPr>
                  <w:t>☐</w:t>
                </w:r>
              </w:sdtContent>
            </w:sdt>
            <w:r w:rsidR="00B811A4" w:rsidRPr="00334F18">
              <w:rPr>
                <w:sz w:val="23"/>
                <w:szCs w:val="23"/>
              </w:rPr>
              <w:t xml:space="preserve"> 29.2.5 pateikti duomenys apie kaštų naudingumą yra netinkami vertinti</w:t>
            </w:r>
          </w:p>
          <w:p w14:paraId="06AB06C5"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tr w:rsidR="00334F18" w:rsidRPr="00334F18" w14:paraId="632C9193" w14:textId="77777777" w:rsidTr="00027464">
        <w:tc>
          <w:tcPr>
            <w:tcW w:w="9634" w:type="dxa"/>
            <w:gridSpan w:val="2"/>
          </w:tcPr>
          <w:p w14:paraId="15C289C9" w14:textId="4DDBBD13" w:rsidR="007111C4" w:rsidRPr="00334F18"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1266579562"/>
                <w15:color w:val="FFCC00"/>
                <w14:checkbox>
                  <w14:checked w14:val="0"/>
                  <w14:checkedState w14:val="2612" w14:font="MS Gothic"/>
                  <w14:uncheckedState w14:val="2610" w14:font="MS Gothic"/>
                </w14:checkbox>
              </w:sdtPr>
              <w:sdtContent>
                <w:r w:rsidR="00C579B6" w:rsidRPr="00C579B6">
                  <w:rPr>
                    <w:rStyle w:val="Style2"/>
                    <w:rFonts w:ascii="MS Gothic" w:eastAsia="MS Gothic" w:hAnsi="MS Gothic" w:hint="eastAsia"/>
                    <w:sz w:val="23"/>
                    <w:szCs w:val="23"/>
                  </w:rPr>
                  <w:t>☐</w:t>
                </w:r>
              </w:sdtContent>
            </w:sdt>
            <w:r w:rsidR="007111C4" w:rsidRPr="00C579B6">
              <w:rPr>
                <w:sz w:val="23"/>
                <w:szCs w:val="23"/>
              </w:rPr>
              <w:t xml:space="preserve"> Vykdant Aprašo 17</w:t>
            </w:r>
            <w:r w:rsidR="007111C4" w:rsidRPr="00C579B6">
              <w:rPr>
                <w:sz w:val="23"/>
                <w:szCs w:val="23"/>
                <w:vertAlign w:val="superscript"/>
              </w:rPr>
              <w:t>3</w:t>
            </w:r>
            <w:r w:rsidR="007111C4" w:rsidRPr="00C579B6">
              <w:rPr>
                <w:sz w:val="23"/>
                <w:szCs w:val="23"/>
              </w:rPr>
              <w:t>.1 punktą vaistinio (-ų) preparato (-ų) ekonominis vertinimas neatliekamas, išvados dėl kaštų naudingumo neteikiamos</w:t>
            </w:r>
          </w:p>
        </w:tc>
      </w:tr>
    </w:tbl>
    <w:p w14:paraId="08D5B3B6" w14:textId="292D1124" w:rsidR="0061611B" w:rsidRPr="00334F18" w:rsidRDefault="0061611B" w:rsidP="0061611B">
      <w:pPr>
        <w:rPr>
          <w:i/>
          <w:szCs w:val="22"/>
        </w:rPr>
      </w:pPr>
    </w:p>
    <w:p w14:paraId="1B85C083" w14:textId="77777777" w:rsidR="009E44AE" w:rsidRPr="00334F18" w:rsidRDefault="009E44AE" w:rsidP="00381024"/>
    <w:p w14:paraId="3B2D1F25" w14:textId="3A80E19F" w:rsidR="000001B0" w:rsidRPr="00334F18" w:rsidRDefault="000001B0" w:rsidP="00CC09D4">
      <w:pPr>
        <w:pStyle w:val="Sraopastraipa"/>
        <w:numPr>
          <w:ilvl w:val="0"/>
          <w:numId w:val="12"/>
        </w:numPr>
        <w:ind w:left="567" w:hanging="567"/>
      </w:pPr>
      <w:r w:rsidRPr="00334F18">
        <w:rPr>
          <w:b/>
        </w:rPr>
        <w:t>REKOME</w:t>
      </w:r>
      <w:r w:rsidR="00D83182" w:rsidRPr="00334F18">
        <w:rPr>
          <w:b/>
        </w:rPr>
        <w:t>N</w:t>
      </w:r>
      <w:r w:rsidRPr="00334F18">
        <w:rPr>
          <w:b/>
        </w:rPr>
        <w:t>DACIJA</w:t>
      </w:r>
    </w:p>
    <w:p w14:paraId="35E33D78" w14:textId="59232BB3" w:rsidR="00B811A4" w:rsidRDefault="00B811A4" w:rsidP="00F71162">
      <w:pPr>
        <w:rPr>
          <w:b/>
        </w:rPr>
      </w:pPr>
    </w:p>
    <w:p w14:paraId="02115800" w14:textId="213E2A32" w:rsidR="00F71162" w:rsidRPr="00C579B6" w:rsidRDefault="00F71162" w:rsidP="00AD22D8">
      <w:pPr>
        <w:spacing w:line="276" w:lineRule="auto"/>
        <w:ind w:firstLine="680"/>
        <w:jc w:val="both"/>
        <w:rPr>
          <w:lang w:eastAsia="lt-LT"/>
        </w:rPr>
      </w:pPr>
      <w:r w:rsidRPr="00C579B6">
        <w:t xml:space="preserve">Vadovaujantis Aprašo </w:t>
      </w:r>
      <w:r w:rsidRPr="00C579B6">
        <w:rPr>
          <w:lang w:eastAsia="lt-LT"/>
        </w:rPr>
        <w:t>30</w:t>
      </w:r>
      <w:r w:rsidRPr="00C579B6">
        <w:rPr>
          <w:vertAlign w:val="superscript"/>
          <w:lang w:eastAsia="lt-LT"/>
        </w:rPr>
        <w:t>1</w:t>
      </w:r>
      <w:r w:rsidRPr="00C579B6">
        <w:rPr>
          <w:lang w:eastAsia="lt-LT"/>
        </w:rPr>
        <w:t>.2. papunkčiu rekomenduojama kompensuoti vaistinį preparatą pagal paraiškoje nurodytą indikaciją (arba jos dalį) su arba be skyrimo sąlygų, jei, pateikus naują ar atnaujintą PGS, kaštų naudingumas atitinka referencinę naudingumo vertę, kai vertinimo išvados atitinka Aprašo 29.1.1 ir 29.2.3 papunkčiuose numatytas sąlygas.</w:t>
      </w:r>
    </w:p>
    <w:p w14:paraId="3511AC72" w14:textId="77777777" w:rsidR="00F71162" w:rsidRPr="0083723C" w:rsidRDefault="00F71162" w:rsidP="00F71162">
      <w:pPr>
        <w:rPr>
          <w:b/>
          <w:highlight w:val="yellow"/>
        </w:rPr>
      </w:pPr>
    </w:p>
    <w:p w14:paraId="227CE884" w14:textId="77777777" w:rsidR="00F71162" w:rsidRPr="00334F18" w:rsidRDefault="00F71162" w:rsidP="00B92FA5">
      <w:pPr>
        <w:widowControl w:val="0"/>
        <w:tabs>
          <w:tab w:val="left" w:pos="1418"/>
        </w:tabs>
        <w:suppressAutoHyphens/>
        <w:spacing w:line="360" w:lineRule="atLeast"/>
        <w:jc w:val="center"/>
        <w:textAlignment w:val="center"/>
        <w:rPr>
          <w:lang w:eastAsia="lt-LT"/>
        </w:rPr>
      </w:pPr>
    </w:p>
    <w:p w14:paraId="42F3A222" w14:textId="77777777" w:rsidR="00B811A4" w:rsidRPr="00334F18" w:rsidRDefault="00B811A4" w:rsidP="00B811A4">
      <w:pPr>
        <w:tabs>
          <w:tab w:val="left" w:pos="426"/>
        </w:tabs>
        <w:jc w:val="both"/>
        <w:rPr>
          <w:b/>
          <w:lang w:eastAsia="lt-LT"/>
        </w:rPr>
      </w:pPr>
      <w:r w:rsidRPr="00334F18">
        <w:rPr>
          <w:b/>
          <w:lang w:eastAsia="lt-LT"/>
        </w:rPr>
        <w:t>4.3 Siūloma (-</w:t>
      </w:r>
      <w:proofErr w:type="spellStart"/>
      <w:r w:rsidRPr="00334F18">
        <w:rPr>
          <w:b/>
          <w:lang w:eastAsia="lt-LT"/>
        </w:rPr>
        <w:t>os</w:t>
      </w:r>
      <w:proofErr w:type="spellEnd"/>
      <w:r w:rsidRPr="00334F18">
        <w:rPr>
          <w:b/>
          <w:lang w:eastAsia="lt-LT"/>
        </w:rPr>
        <w:t xml:space="preserve">) kompensuoti terapinės indikacijos ir skyrimo sąlygos </w:t>
      </w:r>
    </w:p>
    <w:p w14:paraId="179FBABC" w14:textId="77777777" w:rsidR="00B811A4" w:rsidRPr="00334F18" w:rsidRDefault="00B811A4" w:rsidP="00B811A4">
      <w:pPr>
        <w:tabs>
          <w:tab w:val="left" w:pos="426"/>
        </w:tabs>
        <w:jc w:val="both"/>
        <w:rPr>
          <w:b/>
          <w:lang w:eastAsia="lt-LT"/>
        </w:rPr>
      </w:pPr>
    </w:p>
    <w:p w14:paraId="65CB839B" w14:textId="77777777" w:rsidR="00B811A4" w:rsidRPr="00334F18" w:rsidRDefault="00B811A4" w:rsidP="00B811A4">
      <w:pPr>
        <w:pStyle w:val="Betarp"/>
        <w:rPr>
          <w:rFonts w:ascii="Times New Roman" w:hAnsi="Times New Roman"/>
          <w:b/>
          <w:sz w:val="24"/>
          <w:szCs w:val="24"/>
          <w:lang w:eastAsia="lt-LT"/>
        </w:rPr>
      </w:pPr>
      <w:r w:rsidRPr="00334F18">
        <w:rPr>
          <w:rFonts w:ascii="Times New Roman" w:hAnsi="Times New Roman"/>
          <w:b/>
          <w:sz w:val="24"/>
          <w:szCs w:val="24"/>
          <w:lang w:eastAsia="lt-LT"/>
        </w:rPr>
        <w:t>Terapinės indikacijos</w:t>
      </w:r>
    </w:p>
    <w:p w14:paraId="3BC08150" w14:textId="77777777" w:rsidR="00B811A4" w:rsidRDefault="00B811A4" w:rsidP="00B811A4">
      <w:pPr>
        <w:pStyle w:val="Betarp"/>
        <w:rPr>
          <w:rFonts w:ascii="Times New Roman" w:hAnsi="Times New Roman"/>
          <w:bCs/>
          <w:i/>
          <w:iCs/>
          <w:sz w:val="24"/>
          <w:szCs w:val="24"/>
          <w:lang w:eastAsia="lt-LT"/>
        </w:rPr>
      </w:pPr>
    </w:p>
    <w:p w14:paraId="45C23939" w14:textId="77777777" w:rsidR="00B92FA5" w:rsidRPr="0083723C" w:rsidRDefault="00B92FA5" w:rsidP="001D1E9D">
      <w:pPr>
        <w:pStyle w:val="Betarp"/>
        <w:spacing w:line="276" w:lineRule="auto"/>
        <w:jc w:val="both"/>
        <w:rPr>
          <w:rFonts w:ascii="Times New Roman" w:hAnsi="Times New Roman"/>
          <w:sz w:val="24"/>
          <w:szCs w:val="24"/>
        </w:rPr>
      </w:pPr>
      <w:proofErr w:type="spellStart"/>
      <w:r w:rsidRPr="0083723C">
        <w:rPr>
          <w:rFonts w:ascii="Times New Roman" w:hAnsi="Times New Roman"/>
          <w:bCs/>
          <w:sz w:val="24"/>
          <w:szCs w:val="24"/>
          <w:lang w:eastAsia="lt-LT"/>
        </w:rPr>
        <w:t>Rubraca</w:t>
      </w:r>
      <w:proofErr w:type="spellEnd"/>
      <w:r w:rsidRPr="0083723C">
        <w:rPr>
          <w:rFonts w:ascii="Times New Roman" w:hAnsi="Times New Roman"/>
          <w:bCs/>
          <w:sz w:val="24"/>
          <w:szCs w:val="24"/>
          <w:lang w:eastAsia="lt-LT"/>
        </w:rPr>
        <w:t xml:space="preserve"> skirtas </w:t>
      </w:r>
      <w:proofErr w:type="spellStart"/>
      <w:r w:rsidRPr="0083723C">
        <w:rPr>
          <w:rFonts w:ascii="Times New Roman" w:hAnsi="Times New Roman"/>
          <w:bCs/>
          <w:sz w:val="24"/>
          <w:szCs w:val="24"/>
          <w:lang w:eastAsia="lt-LT"/>
        </w:rPr>
        <w:t>monoterapijai</w:t>
      </w:r>
      <w:proofErr w:type="spellEnd"/>
      <w:r w:rsidRPr="0083723C">
        <w:rPr>
          <w:rFonts w:ascii="Times New Roman" w:hAnsi="Times New Roman"/>
          <w:bCs/>
          <w:sz w:val="24"/>
          <w:szCs w:val="24"/>
          <w:lang w:eastAsia="lt-LT"/>
        </w:rPr>
        <w:t xml:space="preserve"> palaikomajam gydymui suaugusioms pacientėms, sergančioms išplitusiu (III ir IV stadijos pagal FIGO) aukšto piktybiškumo </w:t>
      </w:r>
      <w:proofErr w:type="spellStart"/>
      <w:r w:rsidRPr="0083723C">
        <w:rPr>
          <w:rFonts w:ascii="Times New Roman" w:hAnsi="Times New Roman"/>
          <w:bCs/>
          <w:sz w:val="24"/>
          <w:szCs w:val="24"/>
          <w:lang w:eastAsia="lt-LT"/>
        </w:rPr>
        <w:t>epiteliniu</w:t>
      </w:r>
      <w:proofErr w:type="spellEnd"/>
      <w:r w:rsidRPr="0083723C">
        <w:rPr>
          <w:rFonts w:ascii="Times New Roman" w:hAnsi="Times New Roman"/>
          <w:bCs/>
          <w:sz w:val="24"/>
          <w:szCs w:val="24"/>
          <w:lang w:eastAsia="lt-LT"/>
        </w:rPr>
        <w:t xml:space="preserve"> kiaušidžių, kiaušintakių ar pirminiu pilvaplėvės vėžiu, kai stebimas atsakas (visiškas arba dalinis) į pirmaeilį gydymą chemoterapija platinos pagrindu.</w:t>
      </w:r>
    </w:p>
    <w:p w14:paraId="682DF2A3" w14:textId="77777777" w:rsidR="00B92FA5" w:rsidRPr="00334F18" w:rsidRDefault="00B92FA5" w:rsidP="001D1E9D">
      <w:pPr>
        <w:pStyle w:val="Betarp"/>
        <w:spacing w:line="276" w:lineRule="auto"/>
        <w:jc w:val="both"/>
        <w:rPr>
          <w:rFonts w:ascii="Times New Roman" w:hAnsi="Times New Roman"/>
          <w:sz w:val="24"/>
          <w:szCs w:val="24"/>
        </w:rPr>
      </w:pPr>
    </w:p>
    <w:p w14:paraId="632DB4B9" w14:textId="77777777" w:rsidR="00B811A4" w:rsidRPr="00334F18" w:rsidRDefault="00B811A4" w:rsidP="001D1E9D">
      <w:pPr>
        <w:pStyle w:val="Betarp"/>
        <w:spacing w:line="276" w:lineRule="auto"/>
        <w:jc w:val="both"/>
        <w:rPr>
          <w:rFonts w:ascii="Times New Roman" w:hAnsi="Times New Roman"/>
          <w:b/>
          <w:sz w:val="24"/>
          <w:szCs w:val="24"/>
        </w:rPr>
      </w:pPr>
      <w:r w:rsidRPr="00334F18">
        <w:rPr>
          <w:rFonts w:ascii="Times New Roman" w:hAnsi="Times New Roman"/>
          <w:b/>
          <w:sz w:val="24"/>
          <w:szCs w:val="24"/>
        </w:rPr>
        <w:t>Skyrimo sąlygos</w:t>
      </w:r>
    </w:p>
    <w:p w14:paraId="7D5C6700" w14:textId="671BFC98" w:rsidR="00D5470B" w:rsidRPr="00334F18" w:rsidRDefault="00001366" w:rsidP="001D1E9D">
      <w:pPr>
        <w:pStyle w:val="Sraopastraipa"/>
        <w:spacing w:line="276" w:lineRule="auto"/>
        <w:ind w:left="0"/>
        <w:jc w:val="both"/>
      </w:pPr>
      <w:bookmarkStart w:id="5" w:name="_Hlk212473516"/>
      <w:r w:rsidRPr="00001366">
        <w:t xml:space="preserve">Skiriamas palaikomajai </w:t>
      </w:r>
      <w:proofErr w:type="spellStart"/>
      <w:r w:rsidRPr="00001366">
        <w:t>monoterapijai</w:t>
      </w:r>
      <w:proofErr w:type="spellEnd"/>
      <w:r w:rsidRPr="00001366">
        <w:t xml:space="preserve"> suaugusioms pacientėms, sergančioms progresavusiu (pagal Tarptautinės akušerių-ginekologų federacijos (angl. International </w:t>
      </w:r>
      <w:proofErr w:type="spellStart"/>
      <w:r w:rsidRPr="00001366">
        <w:t>Federation</w:t>
      </w:r>
      <w:proofErr w:type="spellEnd"/>
      <w:r w:rsidRPr="00001366">
        <w:t xml:space="preserve"> </w:t>
      </w:r>
      <w:proofErr w:type="spellStart"/>
      <w:r w:rsidRPr="00001366">
        <w:t>of</w:t>
      </w:r>
      <w:proofErr w:type="spellEnd"/>
      <w:r w:rsidRPr="00001366">
        <w:t xml:space="preserve"> </w:t>
      </w:r>
      <w:proofErr w:type="spellStart"/>
      <w:r w:rsidRPr="00001366">
        <w:t>Gynecology</w:t>
      </w:r>
      <w:proofErr w:type="spellEnd"/>
      <w:r w:rsidRPr="00001366">
        <w:t xml:space="preserve"> </w:t>
      </w:r>
      <w:proofErr w:type="spellStart"/>
      <w:r w:rsidRPr="00001366">
        <w:t>and</w:t>
      </w:r>
      <w:proofErr w:type="spellEnd"/>
      <w:r w:rsidRPr="00001366">
        <w:t xml:space="preserve"> </w:t>
      </w:r>
      <w:proofErr w:type="spellStart"/>
      <w:r w:rsidRPr="00001366">
        <w:t>Obstetrics</w:t>
      </w:r>
      <w:proofErr w:type="spellEnd"/>
      <w:r w:rsidRPr="00001366">
        <w:t xml:space="preserve">, toliau – FIGO) klasifikaciją III ir IV stadijų) didelio piktybiškumo laipsnio </w:t>
      </w:r>
      <w:proofErr w:type="spellStart"/>
      <w:r w:rsidRPr="00001366">
        <w:t>epiteliniu</w:t>
      </w:r>
      <w:proofErr w:type="spellEnd"/>
      <w:r w:rsidRPr="00001366">
        <w:t xml:space="preserve"> kiaušidžių, kiaušintakių arba pirminiu pilvaplėvės vėžiu, kai yra pasireiškęs visiškas arba dalinis atsakas į baigtą pirmos eilės chemoterapiją platinos pagrindu. Skiriamas pacientėms, kurios buvo gydytos daugiausiai aštuoniais chemoterapijos platinos pagrindu ciklais (arba keturiais tuo atveju, jei gydymas nutrauktas dėl toksiškumo) ir gydymas </w:t>
      </w:r>
      <w:proofErr w:type="spellStart"/>
      <w:r w:rsidRPr="00001366">
        <w:t>bevacizumabu</w:t>
      </w:r>
      <w:proofErr w:type="spellEnd"/>
      <w:r w:rsidRPr="00001366">
        <w:t xml:space="preserve"> buvo tik chemoterapijos fazės metu. Gydymo trukmė ne ilgesnė nei 24 mėnesiai</w:t>
      </w:r>
      <w:r w:rsidR="00C579B6" w:rsidRPr="00843BD7">
        <w:t>.</w:t>
      </w:r>
    </w:p>
    <w:bookmarkEnd w:id="5"/>
    <w:p w14:paraId="33B8DE04" w14:textId="77777777" w:rsidR="00283E59" w:rsidRPr="00334F18" w:rsidRDefault="00283E59" w:rsidP="00283E59">
      <w:pPr>
        <w:widowControl w:val="0"/>
        <w:tabs>
          <w:tab w:val="left" w:pos="1418"/>
        </w:tabs>
        <w:suppressAutoHyphens/>
        <w:spacing w:line="360" w:lineRule="atLeast"/>
        <w:jc w:val="center"/>
        <w:textAlignment w:val="center"/>
      </w:pPr>
      <w:r w:rsidRPr="00334F18">
        <w:rPr>
          <w:lang w:eastAsia="lt-LT"/>
        </w:rPr>
        <w:t>____________________________</w:t>
      </w:r>
    </w:p>
    <w:p w14:paraId="562A1372" w14:textId="77777777" w:rsidR="00283E59" w:rsidRPr="00334F18" w:rsidRDefault="00283E59" w:rsidP="00283E59">
      <w:pPr>
        <w:jc w:val="both"/>
        <w:rPr>
          <w:b/>
          <w:sz w:val="20"/>
        </w:rPr>
      </w:pPr>
    </w:p>
    <w:p w14:paraId="7CDFF220" w14:textId="58191D98" w:rsidR="000723FF" w:rsidRPr="00334F18" w:rsidRDefault="000723FF" w:rsidP="00824B92">
      <w:pPr>
        <w:rPr>
          <w:b/>
        </w:rPr>
      </w:pPr>
    </w:p>
    <w:sectPr w:rsidR="000723FF" w:rsidRPr="00334F18" w:rsidSect="00063A50">
      <w:headerReference w:type="first" r:id="rId8"/>
      <w:footerReference w:type="first" r:id="rId9"/>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AB040" w14:textId="77777777" w:rsidR="00BE0770" w:rsidRDefault="00BE0770">
      <w:r>
        <w:separator/>
      </w:r>
    </w:p>
  </w:endnote>
  <w:endnote w:type="continuationSeparator" w:id="0">
    <w:p w14:paraId="463BC770" w14:textId="77777777" w:rsidR="00BE0770" w:rsidRDefault="00BE0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84D76" w14:textId="77777777" w:rsidR="00BE0770" w:rsidRDefault="00BE0770">
      <w:r>
        <w:separator/>
      </w:r>
    </w:p>
  </w:footnote>
  <w:footnote w:type="continuationSeparator" w:id="0">
    <w:p w14:paraId="78A6DEEB" w14:textId="77777777" w:rsidR="00BE0770" w:rsidRDefault="00BE0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1276250"/>
    <w:multiLevelType w:val="hybridMultilevel"/>
    <w:tmpl w:val="3B6C29F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5" w15:restartNumberingAfterBreak="0">
    <w:nsid w:val="1A816B09"/>
    <w:multiLevelType w:val="hybridMultilevel"/>
    <w:tmpl w:val="8FBEE17A"/>
    <w:lvl w:ilvl="0" w:tplc="0427000F">
      <w:start w:val="16"/>
      <w:numFmt w:val="decimal"/>
      <w:lvlText w:val="%1."/>
      <w:lvlJc w:val="left"/>
      <w:pPr>
        <w:ind w:left="501" w:hanging="36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6"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8"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29035017">
    <w:abstractNumId w:val="8"/>
  </w:num>
  <w:num w:numId="2" w16cid:durableId="985162166">
    <w:abstractNumId w:val="2"/>
  </w:num>
  <w:num w:numId="3" w16cid:durableId="480578891">
    <w:abstractNumId w:val="10"/>
  </w:num>
  <w:num w:numId="4" w16cid:durableId="442387534">
    <w:abstractNumId w:val="9"/>
  </w:num>
  <w:num w:numId="5" w16cid:durableId="823667834">
    <w:abstractNumId w:val="7"/>
  </w:num>
  <w:num w:numId="6" w16cid:durableId="417020125">
    <w:abstractNumId w:val="6"/>
  </w:num>
  <w:num w:numId="7" w16cid:durableId="1843550031">
    <w:abstractNumId w:val="4"/>
  </w:num>
  <w:num w:numId="8" w16cid:durableId="580068462">
    <w:abstractNumId w:val="13"/>
  </w:num>
  <w:num w:numId="9" w16cid:durableId="257183606">
    <w:abstractNumId w:val="0"/>
  </w:num>
  <w:num w:numId="10" w16cid:durableId="131410136">
    <w:abstractNumId w:val="11"/>
  </w:num>
  <w:num w:numId="11" w16cid:durableId="1133251921">
    <w:abstractNumId w:val="12"/>
  </w:num>
  <w:num w:numId="12" w16cid:durableId="700133012">
    <w:abstractNumId w:val="3"/>
  </w:num>
  <w:num w:numId="13" w16cid:durableId="373774129">
    <w:abstractNumId w:val="5"/>
  </w:num>
  <w:num w:numId="14" w16cid:durableId="1004668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1366"/>
    <w:rsid w:val="00003F5B"/>
    <w:rsid w:val="000114DD"/>
    <w:rsid w:val="000136F7"/>
    <w:rsid w:val="000203E1"/>
    <w:rsid w:val="0002686C"/>
    <w:rsid w:val="00031D0E"/>
    <w:rsid w:val="000337E6"/>
    <w:rsid w:val="0003402E"/>
    <w:rsid w:val="00034EAE"/>
    <w:rsid w:val="00042924"/>
    <w:rsid w:val="000448C6"/>
    <w:rsid w:val="00050336"/>
    <w:rsid w:val="00052BD8"/>
    <w:rsid w:val="00053975"/>
    <w:rsid w:val="000573A2"/>
    <w:rsid w:val="00057A2B"/>
    <w:rsid w:val="000606BE"/>
    <w:rsid w:val="000624FF"/>
    <w:rsid w:val="00063A50"/>
    <w:rsid w:val="00066A03"/>
    <w:rsid w:val="000723FF"/>
    <w:rsid w:val="000736B8"/>
    <w:rsid w:val="0008190F"/>
    <w:rsid w:val="00081D9C"/>
    <w:rsid w:val="00082907"/>
    <w:rsid w:val="0008378D"/>
    <w:rsid w:val="000908A5"/>
    <w:rsid w:val="00092805"/>
    <w:rsid w:val="000A50C9"/>
    <w:rsid w:val="000B239A"/>
    <w:rsid w:val="000B2B2C"/>
    <w:rsid w:val="000B76AD"/>
    <w:rsid w:val="000C454C"/>
    <w:rsid w:val="000D5038"/>
    <w:rsid w:val="000E29D4"/>
    <w:rsid w:val="000F3540"/>
    <w:rsid w:val="00100491"/>
    <w:rsid w:val="00104E2E"/>
    <w:rsid w:val="00107287"/>
    <w:rsid w:val="00117194"/>
    <w:rsid w:val="001172EC"/>
    <w:rsid w:val="00117406"/>
    <w:rsid w:val="00121EF0"/>
    <w:rsid w:val="00124A9E"/>
    <w:rsid w:val="00130703"/>
    <w:rsid w:val="0013153F"/>
    <w:rsid w:val="001408B8"/>
    <w:rsid w:val="001466FE"/>
    <w:rsid w:val="001517E2"/>
    <w:rsid w:val="001521D9"/>
    <w:rsid w:val="001554E2"/>
    <w:rsid w:val="00164146"/>
    <w:rsid w:val="00164D64"/>
    <w:rsid w:val="00167A98"/>
    <w:rsid w:val="0017369C"/>
    <w:rsid w:val="00175D57"/>
    <w:rsid w:val="00180C39"/>
    <w:rsid w:val="00180D96"/>
    <w:rsid w:val="00184BD3"/>
    <w:rsid w:val="00185371"/>
    <w:rsid w:val="00187EB9"/>
    <w:rsid w:val="001921F3"/>
    <w:rsid w:val="001A0CAA"/>
    <w:rsid w:val="001B3C5B"/>
    <w:rsid w:val="001C2FC8"/>
    <w:rsid w:val="001C6353"/>
    <w:rsid w:val="001D1E9D"/>
    <w:rsid w:val="001D5B91"/>
    <w:rsid w:val="001D746F"/>
    <w:rsid w:val="001D7A95"/>
    <w:rsid w:val="001E0B2D"/>
    <w:rsid w:val="001E4BBB"/>
    <w:rsid w:val="001E6304"/>
    <w:rsid w:val="001F115E"/>
    <w:rsid w:val="0020381E"/>
    <w:rsid w:val="00213471"/>
    <w:rsid w:val="00215906"/>
    <w:rsid w:val="00233363"/>
    <w:rsid w:val="00241CD8"/>
    <w:rsid w:val="00244B09"/>
    <w:rsid w:val="002519CB"/>
    <w:rsid w:val="0025697F"/>
    <w:rsid w:val="00260258"/>
    <w:rsid w:val="0026588E"/>
    <w:rsid w:val="00272428"/>
    <w:rsid w:val="00272948"/>
    <w:rsid w:val="00274FA6"/>
    <w:rsid w:val="00275718"/>
    <w:rsid w:val="00283E59"/>
    <w:rsid w:val="00292392"/>
    <w:rsid w:val="002946C7"/>
    <w:rsid w:val="00296886"/>
    <w:rsid w:val="002A35D8"/>
    <w:rsid w:val="002B3CC1"/>
    <w:rsid w:val="002C0686"/>
    <w:rsid w:val="002C09E0"/>
    <w:rsid w:val="002C100E"/>
    <w:rsid w:val="002C1BB1"/>
    <w:rsid w:val="002C2786"/>
    <w:rsid w:val="002C3A10"/>
    <w:rsid w:val="002C4A90"/>
    <w:rsid w:val="002C4ED5"/>
    <w:rsid w:val="002D02EF"/>
    <w:rsid w:val="002E0702"/>
    <w:rsid w:val="002E1A83"/>
    <w:rsid w:val="002E4E47"/>
    <w:rsid w:val="002E57AD"/>
    <w:rsid w:val="002E6F80"/>
    <w:rsid w:val="002F0E4F"/>
    <w:rsid w:val="002F1053"/>
    <w:rsid w:val="00314816"/>
    <w:rsid w:val="00317B0E"/>
    <w:rsid w:val="00325D36"/>
    <w:rsid w:val="00334F18"/>
    <w:rsid w:val="00336238"/>
    <w:rsid w:val="00347580"/>
    <w:rsid w:val="00347FAA"/>
    <w:rsid w:val="0035172D"/>
    <w:rsid w:val="003520E8"/>
    <w:rsid w:val="0036187D"/>
    <w:rsid w:val="00367EDB"/>
    <w:rsid w:val="003705F0"/>
    <w:rsid w:val="00381024"/>
    <w:rsid w:val="00386307"/>
    <w:rsid w:val="003874DE"/>
    <w:rsid w:val="00393E9F"/>
    <w:rsid w:val="0039696E"/>
    <w:rsid w:val="003A29D4"/>
    <w:rsid w:val="003B211A"/>
    <w:rsid w:val="003C141F"/>
    <w:rsid w:val="003C6B0E"/>
    <w:rsid w:val="003C6EA8"/>
    <w:rsid w:val="003C7257"/>
    <w:rsid w:val="003C7E35"/>
    <w:rsid w:val="003D1E99"/>
    <w:rsid w:val="003D3542"/>
    <w:rsid w:val="003D6208"/>
    <w:rsid w:val="0040369C"/>
    <w:rsid w:val="00404E8A"/>
    <w:rsid w:val="0040622F"/>
    <w:rsid w:val="00413F24"/>
    <w:rsid w:val="00422853"/>
    <w:rsid w:val="00423160"/>
    <w:rsid w:val="00437623"/>
    <w:rsid w:val="00444A2B"/>
    <w:rsid w:val="00453862"/>
    <w:rsid w:val="0045469B"/>
    <w:rsid w:val="00461338"/>
    <w:rsid w:val="004677DB"/>
    <w:rsid w:val="00472F6B"/>
    <w:rsid w:val="00476256"/>
    <w:rsid w:val="0048630F"/>
    <w:rsid w:val="004947A1"/>
    <w:rsid w:val="0049482A"/>
    <w:rsid w:val="004979D3"/>
    <w:rsid w:val="004A00E7"/>
    <w:rsid w:val="004A3A61"/>
    <w:rsid w:val="004B59BA"/>
    <w:rsid w:val="004B5A03"/>
    <w:rsid w:val="004C263A"/>
    <w:rsid w:val="004C6221"/>
    <w:rsid w:val="004D48A6"/>
    <w:rsid w:val="004D70B6"/>
    <w:rsid w:val="004D7B8F"/>
    <w:rsid w:val="004E241F"/>
    <w:rsid w:val="004E6458"/>
    <w:rsid w:val="004E6E7D"/>
    <w:rsid w:val="004F1AAC"/>
    <w:rsid w:val="004F1AE2"/>
    <w:rsid w:val="004F34F0"/>
    <w:rsid w:val="004F3B2B"/>
    <w:rsid w:val="004F6050"/>
    <w:rsid w:val="005005EF"/>
    <w:rsid w:val="005123C2"/>
    <w:rsid w:val="00512DFC"/>
    <w:rsid w:val="0052144B"/>
    <w:rsid w:val="00524066"/>
    <w:rsid w:val="00526A0F"/>
    <w:rsid w:val="00534E11"/>
    <w:rsid w:val="005378D8"/>
    <w:rsid w:val="005400D9"/>
    <w:rsid w:val="005416E7"/>
    <w:rsid w:val="005476A4"/>
    <w:rsid w:val="0055019B"/>
    <w:rsid w:val="00556E63"/>
    <w:rsid w:val="005601A4"/>
    <w:rsid w:val="005610A0"/>
    <w:rsid w:val="00566DBB"/>
    <w:rsid w:val="00567B14"/>
    <w:rsid w:val="005767DB"/>
    <w:rsid w:val="005815E6"/>
    <w:rsid w:val="0058712F"/>
    <w:rsid w:val="005976CE"/>
    <w:rsid w:val="005A23D4"/>
    <w:rsid w:val="005A2D1E"/>
    <w:rsid w:val="005A4698"/>
    <w:rsid w:val="005B3756"/>
    <w:rsid w:val="005B58A1"/>
    <w:rsid w:val="005C493F"/>
    <w:rsid w:val="005C6BF7"/>
    <w:rsid w:val="005C71BF"/>
    <w:rsid w:val="005D002C"/>
    <w:rsid w:val="005D30E1"/>
    <w:rsid w:val="005D6555"/>
    <w:rsid w:val="005D7BDF"/>
    <w:rsid w:val="005E2336"/>
    <w:rsid w:val="005E4870"/>
    <w:rsid w:val="005F71D9"/>
    <w:rsid w:val="005F7602"/>
    <w:rsid w:val="006062BE"/>
    <w:rsid w:val="00613143"/>
    <w:rsid w:val="00613501"/>
    <w:rsid w:val="0061611B"/>
    <w:rsid w:val="006166A8"/>
    <w:rsid w:val="006174A1"/>
    <w:rsid w:val="00621D6C"/>
    <w:rsid w:val="00633B49"/>
    <w:rsid w:val="0064297F"/>
    <w:rsid w:val="00645102"/>
    <w:rsid w:val="00646CF3"/>
    <w:rsid w:val="00653D11"/>
    <w:rsid w:val="00662983"/>
    <w:rsid w:val="006834D3"/>
    <w:rsid w:val="00692625"/>
    <w:rsid w:val="00695CD3"/>
    <w:rsid w:val="006A38B6"/>
    <w:rsid w:val="006B1987"/>
    <w:rsid w:val="006B3FEA"/>
    <w:rsid w:val="006B5B71"/>
    <w:rsid w:val="006B5D3E"/>
    <w:rsid w:val="006B6CB0"/>
    <w:rsid w:val="006C2B64"/>
    <w:rsid w:val="006C459B"/>
    <w:rsid w:val="006D1BF3"/>
    <w:rsid w:val="006D4C85"/>
    <w:rsid w:val="006D66AC"/>
    <w:rsid w:val="006E33F6"/>
    <w:rsid w:val="006F1251"/>
    <w:rsid w:val="006F1C23"/>
    <w:rsid w:val="00702C18"/>
    <w:rsid w:val="00703166"/>
    <w:rsid w:val="007111C4"/>
    <w:rsid w:val="007127F3"/>
    <w:rsid w:val="007301CF"/>
    <w:rsid w:val="007316FB"/>
    <w:rsid w:val="00732D0B"/>
    <w:rsid w:val="00737E2D"/>
    <w:rsid w:val="007424D5"/>
    <w:rsid w:val="00745C63"/>
    <w:rsid w:val="00750A88"/>
    <w:rsid w:val="007523DD"/>
    <w:rsid w:val="00757B7E"/>
    <w:rsid w:val="00762255"/>
    <w:rsid w:val="007656B2"/>
    <w:rsid w:val="0077016F"/>
    <w:rsid w:val="007713AD"/>
    <w:rsid w:val="007729F6"/>
    <w:rsid w:val="00795DC5"/>
    <w:rsid w:val="00797153"/>
    <w:rsid w:val="007A21F7"/>
    <w:rsid w:val="007A2B68"/>
    <w:rsid w:val="007A60C9"/>
    <w:rsid w:val="007B0DDA"/>
    <w:rsid w:val="007C4D95"/>
    <w:rsid w:val="007D3347"/>
    <w:rsid w:val="007D654E"/>
    <w:rsid w:val="007E5466"/>
    <w:rsid w:val="007F1949"/>
    <w:rsid w:val="007F2592"/>
    <w:rsid w:val="007F41DE"/>
    <w:rsid w:val="00800A08"/>
    <w:rsid w:val="00817A84"/>
    <w:rsid w:val="008225A4"/>
    <w:rsid w:val="00824102"/>
    <w:rsid w:val="00824B92"/>
    <w:rsid w:val="00826D5E"/>
    <w:rsid w:val="00832013"/>
    <w:rsid w:val="00832DB7"/>
    <w:rsid w:val="00834732"/>
    <w:rsid w:val="0083723C"/>
    <w:rsid w:val="0085200C"/>
    <w:rsid w:val="00853487"/>
    <w:rsid w:val="00857C52"/>
    <w:rsid w:val="00860D5F"/>
    <w:rsid w:val="00880A44"/>
    <w:rsid w:val="0088345E"/>
    <w:rsid w:val="0088656F"/>
    <w:rsid w:val="008875BC"/>
    <w:rsid w:val="00891EF6"/>
    <w:rsid w:val="00892FF4"/>
    <w:rsid w:val="0089345A"/>
    <w:rsid w:val="008A0303"/>
    <w:rsid w:val="008A5FDD"/>
    <w:rsid w:val="008C3947"/>
    <w:rsid w:val="008D3F5F"/>
    <w:rsid w:val="008D6881"/>
    <w:rsid w:val="008E473B"/>
    <w:rsid w:val="008E51A6"/>
    <w:rsid w:val="008E7329"/>
    <w:rsid w:val="008F2ED5"/>
    <w:rsid w:val="00907CBA"/>
    <w:rsid w:val="0092297E"/>
    <w:rsid w:val="00923292"/>
    <w:rsid w:val="00923651"/>
    <w:rsid w:val="00924DF7"/>
    <w:rsid w:val="00927B56"/>
    <w:rsid w:val="009341BF"/>
    <w:rsid w:val="00937907"/>
    <w:rsid w:val="00941739"/>
    <w:rsid w:val="00951573"/>
    <w:rsid w:val="00963003"/>
    <w:rsid w:val="00965919"/>
    <w:rsid w:val="00966EEF"/>
    <w:rsid w:val="00971B28"/>
    <w:rsid w:val="00983471"/>
    <w:rsid w:val="00984CDC"/>
    <w:rsid w:val="009909AB"/>
    <w:rsid w:val="009B37DB"/>
    <w:rsid w:val="009C7A8C"/>
    <w:rsid w:val="009D23F9"/>
    <w:rsid w:val="009D4FA8"/>
    <w:rsid w:val="009E44AE"/>
    <w:rsid w:val="009E6CD6"/>
    <w:rsid w:val="009F4D66"/>
    <w:rsid w:val="00A00C3C"/>
    <w:rsid w:val="00A01091"/>
    <w:rsid w:val="00A042B9"/>
    <w:rsid w:val="00A06DBB"/>
    <w:rsid w:val="00A1657F"/>
    <w:rsid w:val="00A22ADF"/>
    <w:rsid w:val="00A2310D"/>
    <w:rsid w:val="00A254A2"/>
    <w:rsid w:val="00A31E86"/>
    <w:rsid w:val="00A54D87"/>
    <w:rsid w:val="00A5553C"/>
    <w:rsid w:val="00A701C9"/>
    <w:rsid w:val="00A81785"/>
    <w:rsid w:val="00A84803"/>
    <w:rsid w:val="00A84C51"/>
    <w:rsid w:val="00A86F2B"/>
    <w:rsid w:val="00A91366"/>
    <w:rsid w:val="00A92F91"/>
    <w:rsid w:val="00A93AA6"/>
    <w:rsid w:val="00AA4BBB"/>
    <w:rsid w:val="00AA4E48"/>
    <w:rsid w:val="00AA6202"/>
    <w:rsid w:val="00AA7B57"/>
    <w:rsid w:val="00AB2806"/>
    <w:rsid w:val="00AB2D54"/>
    <w:rsid w:val="00AC26FC"/>
    <w:rsid w:val="00AC4A99"/>
    <w:rsid w:val="00AC5129"/>
    <w:rsid w:val="00AC64D2"/>
    <w:rsid w:val="00AD02E7"/>
    <w:rsid w:val="00AD22D8"/>
    <w:rsid w:val="00AE0FE8"/>
    <w:rsid w:val="00AF60D5"/>
    <w:rsid w:val="00B00959"/>
    <w:rsid w:val="00B04415"/>
    <w:rsid w:val="00B06509"/>
    <w:rsid w:val="00B11D60"/>
    <w:rsid w:val="00B13D65"/>
    <w:rsid w:val="00B21805"/>
    <w:rsid w:val="00B3072E"/>
    <w:rsid w:val="00B36E15"/>
    <w:rsid w:val="00B37245"/>
    <w:rsid w:val="00B4017A"/>
    <w:rsid w:val="00B4468D"/>
    <w:rsid w:val="00B71C72"/>
    <w:rsid w:val="00B71F04"/>
    <w:rsid w:val="00B74A62"/>
    <w:rsid w:val="00B811A4"/>
    <w:rsid w:val="00B81E92"/>
    <w:rsid w:val="00B83E7E"/>
    <w:rsid w:val="00B908D7"/>
    <w:rsid w:val="00B92FA5"/>
    <w:rsid w:val="00B935E8"/>
    <w:rsid w:val="00B93B30"/>
    <w:rsid w:val="00B94CB5"/>
    <w:rsid w:val="00BA0DD9"/>
    <w:rsid w:val="00BA5DBC"/>
    <w:rsid w:val="00BA6584"/>
    <w:rsid w:val="00BB446A"/>
    <w:rsid w:val="00BB6312"/>
    <w:rsid w:val="00BC39C2"/>
    <w:rsid w:val="00BC4D06"/>
    <w:rsid w:val="00BD05E1"/>
    <w:rsid w:val="00BD585E"/>
    <w:rsid w:val="00BD6919"/>
    <w:rsid w:val="00BE0770"/>
    <w:rsid w:val="00BE1EA7"/>
    <w:rsid w:val="00BE7489"/>
    <w:rsid w:val="00BF2E0D"/>
    <w:rsid w:val="00BF3927"/>
    <w:rsid w:val="00BF3F8B"/>
    <w:rsid w:val="00BF76DA"/>
    <w:rsid w:val="00C00CDB"/>
    <w:rsid w:val="00C07C7B"/>
    <w:rsid w:val="00C16245"/>
    <w:rsid w:val="00C22DC5"/>
    <w:rsid w:val="00C24479"/>
    <w:rsid w:val="00C25F38"/>
    <w:rsid w:val="00C273F2"/>
    <w:rsid w:val="00C37B53"/>
    <w:rsid w:val="00C434EB"/>
    <w:rsid w:val="00C517D2"/>
    <w:rsid w:val="00C5772E"/>
    <w:rsid w:val="00C579B6"/>
    <w:rsid w:val="00C62B36"/>
    <w:rsid w:val="00C7012C"/>
    <w:rsid w:val="00C712EA"/>
    <w:rsid w:val="00C9728E"/>
    <w:rsid w:val="00CA217D"/>
    <w:rsid w:val="00CA3131"/>
    <w:rsid w:val="00CC09D4"/>
    <w:rsid w:val="00CC4F5F"/>
    <w:rsid w:val="00CC668D"/>
    <w:rsid w:val="00CC7832"/>
    <w:rsid w:val="00CD488E"/>
    <w:rsid w:val="00CE4B0B"/>
    <w:rsid w:val="00CF0C1C"/>
    <w:rsid w:val="00CF0EC5"/>
    <w:rsid w:val="00CF111A"/>
    <w:rsid w:val="00CF27FD"/>
    <w:rsid w:val="00CF5F12"/>
    <w:rsid w:val="00D00D8F"/>
    <w:rsid w:val="00D12869"/>
    <w:rsid w:val="00D14512"/>
    <w:rsid w:val="00D15ED6"/>
    <w:rsid w:val="00D1775F"/>
    <w:rsid w:val="00D21F3A"/>
    <w:rsid w:val="00D23808"/>
    <w:rsid w:val="00D24A44"/>
    <w:rsid w:val="00D259CF"/>
    <w:rsid w:val="00D3016A"/>
    <w:rsid w:val="00D417D2"/>
    <w:rsid w:val="00D42960"/>
    <w:rsid w:val="00D43BD7"/>
    <w:rsid w:val="00D4485B"/>
    <w:rsid w:val="00D46CCD"/>
    <w:rsid w:val="00D4708D"/>
    <w:rsid w:val="00D4744C"/>
    <w:rsid w:val="00D51046"/>
    <w:rsid w:val="00D521DE"/>
    <w:rsid w:val="00D5470B"/>
    <w:rsid w:val="00D63068"/>
    <w:rsid w:val="00D6498C"/>
    <w:rsid w:val="00D67BAF"/>
    <w:rsid w:val="00D76A70"/>
    <w:rsid w:val="00D83182"/>
    <w:rsid w:val="00D8521E"/>
    <w:rsid w:val="00D9291C"/>
    <w:rsid w:val="00D93A97"/>
    <w:rsid w:val="00DA5602"/>
    <w:rsid w:val="00DB1F64"/>
    <w:rsid w:val="00DC261A"/>
    <w:rsid w:val="00DC2F53"/>
    <w:rsid w:val="00DC5BAC"/>
    <w:rsid w:val="00DC6816"/>
    <w:rsid w:val="00DC76C2"/>
    <w:rsid w:val="00DD1CF2"/>
    <w:rsid w:val="00DE4484"/>
    <w:rsid w:val="00DF41B7"/>
    <w:rsid w:val="00DF4A4A"/>
    <w:rsid w:val="00DF583C"/>
    <w:rsid w:val="00E01566"/>
    <w:rsid w:val="00E03C3F"/>
    <w:rsid w:val="00E05307"/>
    <w:rsid w:val="00E05A7D"/>
    <w:rsid w:val="00E06FD7"/>
    <w:rsid w:val="00E071A6"/>
    <w:rsid w:val="00E07417"/>
    <w:rsid w:val="00E22351"/>
    <w:rsid w:val="00E24D45"/>
    <w:rsid w:val="00E33DB8"/>
    <w:rsid w:val="00E33EFF"/>
    <w:rsid w:val="00E34387"/>
    <w:rsid w:val="00E348BA"/>
    <w:rsid w:val="00E369FE"/>
    <w:rsid w:val="00E37C6F"/>
    <w:rsid w:val="00E475F8"/>
    <w:rsid w:val="00E5102E"/>
    <w:rsid w:val="00E5721C"/>
    <w:rsid w:val="00E619C6"/>
    <w:rsid w:val="00E70CED"/>
    <w:rsid w:val="00E745A1"/>
    <w:rsid w:val="00E81529"/>
    <w:rsid w:val="00E83A13"/>
    <w:rsid w:val="00E97CCE"/>
    <w:rsid w:val="00EB1151"/>
    <w:rsid w:val="00EB6FC5"/>
    <w:rsid w:val="00EC2356"/>
    <w:rsid w:val="00EC2582"/>
    <w:rsid w:val="00EC337C"/>
    <w:rsid w:val="00EC7F3C"/>
    <w:rsid w:val="00ED0CFF"/>
    <w:rsid w:val="00ED1229"/>
    <w:rsid w:val="00ED31D2"/>
    <w:rsid w:val="00EE01C6"/>
    <w:rsid w:val="00EE0EAC"/>
    <w:rsid w:val="00EE3322"/>
    <w:rsid w:val="00EE33CB"/>
    <w:rsid w:val="00F0061A"/>
    <w:rsid w:val="00F02834"/>
    <w:rsid w:val="00F04EEB"/>
    <w:rsid w:val="00F05467"/>
    <w:rsid w:val="00F055D2"/>
    <w:rsid w:val="00F07CD7"/>
    <w:rsid w:val="00F127E9"/>
    <w:rsid w:val="00F14477"/>
    <w:rsid w:val="00F14B5D"/>
    <w:rsid w:val="00F14E07"/>
    <w:rsid w:val="00F259FC"/>
    <w:rsid w:val="00F313F4"/>
    <w:rsid w:val="00F36972"/>
    <w:rsid w:val="00F411AD"/>
    <w:rsid w:val="00F42426"/>
    <w:rsid w:val="00F44F01"/>
    <w:rsid w:val="00F456BC"/>
    <w:rsid w:val="00F50666"/>
    <w:rsid w:val="00F70731"/>
    <w:rsid w:val="00F70C9E"/>
    <w:rsid w:val="00F71162"/>
    <w:rsid w:val="00F74A74"/>
    <w:rsid w:val="00F7572C"/>
    <w:rsid w:val="00F8382C"/>
    <w:rsid w:val="00F855D7"/>
    <w:rsid w:val="00F92035"/>
    <w:rsid w:val="00F92748"/>
    <w:rsid w:val="00FA180D"/>
    <w:rsid w:val="00FA4169"/>
    <w:rsid w:val="00FB0D41"/>
    <w:rsid w:val="00FB2030"/>
    <w:rsid w:val="00FB3DC4"/>
    <w:rsid w:val="00FD0E46"/>
    <w:rsid w:val="00FD1060"/>
    <w:rsid w:val="00FD1CF2"/>
    <w:rsid w:val="00FD3EDF"/>
    <w:rsid w:val="00FD793C"/>
    <w:rsid w:val="00FE0FD5"/>
    <w:rsid w:val="00FE20E6"/>
    <w:rsid w:val="00FE3E3B"/>
    <w:rsid w:val="00FE5878"/>
    <w:rsid w:val="00FF4032"/>
    <w:rsid w:val="00FF4A2E"/>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basedOn w:val="prastasis"/>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D7EBE30A7F432F9AB1114CDC0B27A0"/>
        <w:category>
          <w:name w:val="Bendrosios nuostatos"/>
          <w:gallery w:val="placeholder"/>
        </w:category>
        <w:types>
          <w:type w:val="bbPlcHdr"/>
        </w:types>
        <w:behaviors>
          <w:behavior w:val="content"/>
        </w:behaviors>
        <w:guid w:val="{17F62492-AACD-4837-966A-2DF1151E6A27}"/>
      </w:docPartPr>
      <w:docPartBody>
        <w:p w:rsidR="00A20D39" w:rsidRDefault="00C66578" w:rsidP="00C66578">
          <w:pPr>
            <w:pStyle w:val="93D7EBE30A7F432F9AB1114CDC0B27A0"/>
          </w:pPr>
          <w:r>
            <w:rPr>
              <w:rStyle w:val="Vietosrezervavimoenklotekstas"/>
            </w:rPr>
            <w:t>Click here to enter a date.</w:t>
          </w:r>
        </w:p>
      </w:docPartBody>
    </w:docPart>
    <w:docPart>
      <w:docPartPr>
        <w:name w:val="313EC56AA2FD440FAB92ED675BD36BA0"/>
        <w:category>
          <w:name w:val="Bendrosios nuostatos"/>
          <w:gallery w:val="placeholder"/>
        </w:category>
        <w:types>
          <w:type w:val="bbPlcHdr"/>
        </w:types>
        <w:behaviors>
          <w:behavior w:val="content"/>
        </w:behaviors>
        <w:guid w:val="{930DD3CB-97DE-4BCB-96BE-0677BB5CE856}"/>
      </w:docPartPr>
      <w:docPartBody>
        <w:p w:rsidR="00A20D39" w:rsidRDefault="00C66578" w:rsidP="00C66578">
          <w:pPr>
            <w:pStyle w:val="313EC56AA2FD440FAB92ED675BD36BA0"/>
          </w:pPr>
          <w:r>
            <w:rPr>
              <w:rStyle w:val="Vietosrezervavimoenklotekstas"/>
            </w:rPr>
            <w:t>Click here to enter a date.</w:t>
          </w:r>
        </w:p>
      </w:docPartBody>
    </w:docPart>
    <w:docPart>
      <w:docPartPr>
        <w:name w:val="87DF66B8A4CD4EE4AEFB4ECC61F4FD5A"/>
        <w:category>
          <w:name w:val="Bendrosios nuostatos"/>
          <w:gallery w:val="placeholder"/>
        </w:category>
        <w:types>
          <w:type w:val="bbPlcHdr"/>
        </w:types>
        <w:behaviors>
          <w:behavior w:val="content"/>
        </w:behaviors>
        <w:guid w:val="{3F67B0C1-941F-43FB-9032-87DDCB43B01D}"/>
      </w:docPartPr>
      <w:docPartBody>
        <w:p w:rsidR="009F269C" w:rsidRDefault="009F269C" w:rsidP="009F269C">
          <w:pPr>
            <w:pStyle w:val="87DF66B8A4CD4EE4AEFB4ECC61F4FD5A"/>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47C19"/>
    <w:rsid w:val="00061157"/>
    <w:rsid w:val="000624FF"/>
    <w:rsid w:val="000937FE"/>
    <w:rsid w:val="000A50C9"/>
    <w:rsid w:val="000A559A"/>
    <w:rsid w:val="000B2A67"/>
    <w:rsid w:val="000D24D4"/>
    <w:rsid w:val="000D6217"/>
    <w:rsid w:val="0014006D"/>
    <w:rsid w:val="00187EB9"/>
    <w:rsid w:val="001C35A9"/>
    <w:rsid w:val="002247BD"/>
    <w:rsid w:val="00237556"/>
    <w:rsid w:val="00275718"/>
    <w:rsid w:val="002C0686"/>
    <w:rsid w:val="00347580"/>
    <w:rsid w:val="0039303B"/>
    <w:rsid w:val="003A29D4"/>
    <w:rsid w:val="004144A3"/>
    <w:rsid w:val="004160E7"/>
    <w:rsid w:val="004416C6"/>
    <w:rsid w:val="00456E96"/>
    <w:rsid w:val="00470EA4"/>
    <w:rsid w:val="00472F6B"/>
    <w:rsid w:val="004C6221"/>
    <w:rsid w:val="004D038D"/>
    <w:rsid w:val="004F4E20"/>
    <w:rsid w:val="004F5AB2"/>
    <w:rsid w:val="005074B9"/>
    <w:rsid w:val="005610A0"/>
    <w:rsid w:val="00563A5F"/>
    <w:rsid w:val="005C62E5"/>
    <w:rsid w:val="005E2336"/>
    <w:rsid w:val="005E40DD"/>
    <w:rsid w:val="00601F4E"/>
    <w:rsid w:val="006B3FEA"/>
    <w:rsid w:val="006E6A2C"/>
    <w:rsid w:val="007219C1"/>
    <w:rsid w:val="00745C63"/>
    <w:rsid w:val="00753462"/>
    <w:rsid w:val="00772325"/>
    <w:rsid w:val="00785AA6"/>
    <w:rsid w:val="007A2FE0"/>
    <w:rsid w:val="007B1B7D"/>
    <w:rsid w:val="007C6D1D"/>
    <w:rsid w:val="007D654E"/>
    <w:rsid w:val="00853487"/>
    <w:rsid w:val="00892FF4"/>
    <w:rsid w:val="008C0DC0"/>
    <w:rsid w:val="0090074D"/>
    <w:rsid w:val="009019EA"/>
    <w:rsid w:val="00901A35"/>
    <w:rsid w:val="009B3BF0"/>
    <w:rsid w:val="009D5E5E"/>
    <w:rsid w:val="009F1BB4"/>
    <w:rsid w:val="009F269C"/>
    <w:rsid w:val="00A20D39"/>
    <w:rsid w:val="00A254A2"/>
    <w:rsid w:val="00AB2D54"/>
    <w:rsid w:val="00AB6ED4"/>
    <w:rsid w:val="00B14210"/>
    <w:rsid w:val="00B22ED6"/>
    <w:rsid w:val="00B23DC0"/>
    <w:rsid w:val="00B71F04"/>
    <w:rsid w:val="00B83E7E"/>
    <w:rsid w:val="00B96656"/>
    <w:rsid w:val="00BA0A8E"/>
    <w:rsid w:val="00BE3364"/>
    <w:rsid w:val="00C2401D"/>
    <w:rsid w:val="00C240B4"/>
    <w:rsid w:val="00C250D7"/>
    <w:rsid w:val="00C25F38"/>
    <w:rsid w:val="00C53A68"/>
    <w:rsid w:val="00C66578"/>
    <w:rsid w:val="00CA5BB4"/>
    <w:rsid w:val="00CB4BD1"/>
    <w:rsid w:val="00CD139C"/>
    <w:rsid w:val="00CE2DA9"/>
    <w:rsid w:val="00CE44BE"/>
    <w:rsid w:val="00D008F3"/>
    <w:rsid w:val="00D0142D"/>
    <w:rsid w:val="00D04DFF"/>
    <w:rsid w:val="00D15ED6"/>
    <w:rsid w:val="00D20347"/>
    <w:rsid w:val="00D4356B"/>
    <w:rsid w:val="00D65F68"/>
    <w:rsid w:val="00D7162F"/>
    <w:rsid w:val="00DA599C"/>
    <w:rsid w:val="00DB4DB5"/>
    <w:rsid w:val="00DE4D10"/>
    <w:rsid w:val="00DE543C"/>
    <w:rsid w:val="00E01566"/>
    <w:rsid w:val="00E11A5D"/>
    <w:rsid w:val="00E44A86"/>
    <w:rsid w:val="00E522EB"/>
    <w:rsid w:val="00E60827"/>
    <w:rsid w:val="00E800B9"/>
    <w:rsid w:val="00E97CCE"/>
    <w:rsid w:val="00EE01C6"/>
    <w:rsid w:val="00EF6E0C"/>
    <w:rsid w:val="00F14477"/>
    <w:rsid w:val="00F16942"/>
    <w:rsid w:val="00F370E5"/>
    <w:rsid w:val="00F55028"/>
    <w:rsid w:val="00F677F0"/>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9F269C"/>
    <w:rPr>
      <w:color w:val="808080"/>
    </w:rPr>
  </w:style>
  <w:style w:type="paragraph" w:customStyle="1" w:styleId="93D7EBE30A7F432F9AB1114CDC0B27A0">
    <w:name w:val="93D7EBE30A7F432F9AB1114CDC0B27A0"/>
    <w:rsid w:val="00C66578"/>
    <w:pPr>
      <w:spacing w:line="278" w:lineRule="auto"/>
    </w:pPr>
    <w:rPr>
      <w:kern w:val="2"/>
      <w:sz w:val="24"/>
      <w:szCs w:val="24"/>
      <w14:ligatures w14:val="standardContextual"/>
    </w:rPr>
  </w:style>
  <w:style w:type="paragraph" w:customStyle="1" w:styleId="313EC56AA2FD440FAB92ED675BD36BA0">
    <w:name w:val="313EC56AA2FD440FAB92ED675BD36BA0"/>
    <w:rsid w:val="00C66578"/>
    <w:pPr>
      <w:spacing w:line="278" w:lineRule="auto"/>
    </w:pPr>
    <w:rPr>
      <w:kern w:val="2"/>
      <w:sz w:val="24"/>
      <w:szCs w:val="24"/>
      <w14:ligatures w14:val="standardContextual"/>
    </w:rPr>
  </w:style>
  <w:style w:type="paragraph" w:customStyle="1" w:styleId="87DF66B8A4CD4EE4AEFB4ECC61F4FD5A">
    <w:name w:val="87DF66B8A4CD4EE4AEFB4ECC61F4FD5A"/>
    <w:rsid w:val="009F269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F0943-FC13-4F31-B4C5-BE0D5B231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10928</Words>
  <Characters>6229</Characters>
  <Application>Microsoft Office Word</Application>
  <DocSecurity>0</DocSecurity>
  <Lines>51</Lines>
  <Paragraphs>34</Paragraphs>
  <ScaleCrop>false</ScaleCrop>
  <Company/>
  <LinksUpToDate>false</LinksUpToDate>
  <CharactersWithSpaces>17123</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2025-11-03T06:35:00Z</dcterms:created>
  <dcterms:modified xsi:type="dcterms:W3CDTF">2025-11-11T06:27:00Z</dcterms:modified>
</cp:coreProperties>
</file>