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97609" w:rsidRDefault="005F7602" w:rsidP="002946C7">
      <w:pPr>
        <w:ind w:left="5529"/>
        <w:rPr>
          <w:lang w:val="en-US"/>
        </w:rPr>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bookmarkEnd w:id="0"/>
    <w:p w14:paraId="56604434" w14:textId="3DDBE1E9"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46C2D966" w14:textId="27B5564E" w:rsidR="00937907" w:rsidRPr="00334F18" w:rsidRDefault="002D0476" w:rsidP="00937907">
      <w:pPr>
        <w:jc w:val="center"/>
      </w:pPr>
      <w:r>
        <w:rPr>
          <w:b/>
        </w:rPr>
        <w:t>Repatha</w:t>
      </w:r>
      <w:r w:rsidRPr="009300B3">
        <w:rPr>
          <w:b/>
        </w:rPr>
        <w:t xml:space="preserve"> </w:t>
      </w:r>
      <w:r>
        <w:rPr>
          <w:b/>
        </w:rPr>
        <w:t>140 mg</w:t>
      </w:r>
      <w:r w:rsidRPr="009300B3">
        <w:rPr>
          <w:b/>
        </w:rPr>
        <w:t xml:space="preserve"> </w:t>
      </w:r>
      <w:r>
        <w:rPr>
          <w:b/>
        </w:rPr>
        <w:t xml:space="preserve">injekcinis tirpalas užpildytame </w:t>
      </w:r>
      <w:proofErr w:type="spellStart"/>
      <w:r>
        <w:rPr>
          <w:b/>
        </w:rPr>
        <w:t>švirkštiklyje</w:t>
      </w:r>
      <w:proofErr w:type="spellEnd"/>
    </w:p>
    <w:p w14:paraId="76E94434" w14:textId="77777777" w:rsidR="002D0476" w:rsidRPr="009300B3" w:rsidRDefault="002D0476" w:rsidP="002D0476">
      <w:pPr>
        <w:jc w:val="center"/>
      </w:pPr>
      <w:r>
        <w:rPr>
          <w:b/>
        </w:rPr>
        <w:t>Evolokumabas</w:t>
      </w:r>
    </w:p>
    <w:p w14:paraId="7245D69E" w14:textId="77777777" w:rsidR="00937907" w:rsidRPr="00334F18" w:rsidRDefault="00937907" w:rsidP="00937907">
      <w:pPr>
        <w:jc w:val="center"/>
      </w:pPr>
    </w:p>
    <w:p w14:paraId="7FC80C20" w14:textId="77777777" w:rsidR="002D0476" w:rsidRPr="009300B3" w:rsidRDefault="002D0476" w:rsidP="002D0476">
      <w:pPr>
        <w:jc w:val="center"/>
        <w:rPr>
          <w:b/>
        </w:rPr>
      </w:pPr>
      <w:r>
        <w:rPr>
          <w:b/>
        </w:rPr>
        <w:t>STV-241</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334F18" w:rsidRPr="00334F18" w14:paraId="16A7BC7B" w14:textId="77777777" w:rsidTr="003F3FFF">
        <w:trPr>
          <w:trHeight w:val="538"/>
        </w:trPr>
        <w:tc>
          <w:tcPr>
            <w:tcW w:w="632" w:type="dxa"/>
          </w:tcPr>
          <w:p w14:paraId="4572808D" w14:textId="77777777" w:rsidR="00E70CED" w:rsidRPr="00334F18" w:rsidRDefault="00E70CED" w:rsidP="001F115E">
            <w:pPr>
              <w:rPr>
                <w:rFonts w:eastAsia="Arial"/>
                <w:b/>
                <w:bCs/>
              </w:rPr>
            </w:pPr>
            <w:r w:rsidRPr="00334F18">
              <w:rPr>
                <w:rFonts w:eastAsia="Arial"/>
                <w:b/>
                <w:bCs/>
              </w:rPr>
              <w:t>1.1</w:t>
            </w:r>
          </w:p>
        </w:tc>
        <w:tc>
          <w:tcPr>
            <w:tcW w:w="3899" w:type="dxa"/>
          </w:tcPr>
          <w:p w14:paraId="54BA6EB3" w14:textId="77777777" w:rsidR="00E70CED" w:rsidRPr="00334F18" w:rsidRDefault="00E70CED" w:rsidP="001F115E">
            <w:pPr>
              <w:rPr>
                <w:rFonts w:eastAsia="Arial"/>
                <w:b/>
                <w:bCs/>
              </w:rPr>
            </w:pPr>
            <w:r w:rsidRPr="00334F18">
              <w:rPr>
                <w:rFonts w:eastAsia="Arial"/>
                <w:b/>
                <w:bCs/>
              </w:rPr>
              <w:t>Pareiškėjas/ pareiškėjo atstovas</w:t>
            </w:r>
          </w:p>
        </w:tc>
        <w:tc>
          <w:tcPr>
            <w:tcW w:w="4962" w:type="dxa"/>
          </w:tcPr>
          <w:p w14:paraId="0F359BD4" w14:textId="4D6B2480" w:rsidR="00E70CED" w:rsidRPr="00334F18" w:rsidRDefault="002D0476" w:rsidP="001F115E">
            <w:pPr>
              <w:rPr>
                <w:rFonts w:eastAsia="Arial"/>
              </w:rPr>
            </w:pPr>
            <w:r w:rsidRPr="003E6FD9">
              <w:t>Amgen Switzerland AG Vilniaus filialas</w:t>
            </w:r>
          </w:p>
        </w:tc>
      </w:tr>
      <w:tr w:rsidR="00334F18" w:rsidRPr="00334F18" w14:paraId="101EA148" w14:textId="77777777" w:rsidTr="003F3FFF">
        <w:trPr>
          <w:trHeight w:val="538"/>
        </w:trPr>
        <w:tc>
          <w:tcPr>
            <w:tcW w:w="632" w:type="dxa"/>
          </w:tcPr>
          <w:p w14:paraId="3BF67175" w14:textId="77777777" w:rsidR="00E70CED" w:rsidRPr="00334F18" w:rsidRDefault="00E70CED" w:rsidP="001F115E">
            <w:pPr>
              <w:rPr>
                <w:rFonts w:eastAsia="Arial"/>
                <w:b/>
                <w:bCs/>
              </w:rPr>
            </w:pPr>
            <w:r w:rsidRPr="00334F18">
              <w:rPr>
                <w:rFonts w:eastAsia="Arial"/>
                <w:b/>
                <w:bCs/>
              </w:rPr>
              <w:t>1.2</w:t>
            </w:r>
          </w:p>
        </w:tc>
        <w:tc>
          <w:tcPr>
            <w:tcW w:w="3899" w:type="dxa"/>
          </w:tcPr>
          <w:p w14:paraId="786B66DF" w14:textId="77777777" w:rsidR="00E70CED" w:rsidRPr="00334F18" w:rsidRDefault="00E70CED" w:rsidP="001F115E">
            <w:pPr>
              <w:rPr>
                <w:b/>
                <w:bCs/>
                <w:lang w:eastAsia="lt-LT"/>
              </w:rPr>
            </w:pPr>
            <w:r w:rsidRPr="00334F18">
              <w:rPr>
                <w:b/>
                <w:bCs/>
                <w:lang w:eastAsia="lt-LT"/>
              </w:rPr>
              <w:t xml:space="preserve">Vaistinio preparato registracijos data </w:t>
            </w:r>
          </w:p>
          <w:p w14:paraId="4B568341" w14:textId="77777777" w:rsidR="00E70CED" w:rsidRPr="00334F18" w:rsidRDefault="00E70CED" w:rsidP="001F115E">
            <w:pPr>
              <w:rPr>
                <w:b/>
                <w:bCs/>
                <w:lang w:eastAsia="lt-LT"/>
              </w:rPr>
            </w:pPr>
          </w:p>
        </w:tc>
        <w:tc>
          <w:tcPr>
            <w:tcW w:w="4962" w:type="dxa"/>
          </w:tcPr>
          <w:p w14:paraId="50F63366" w14:textId="7CE9736F" w:rsidR="00E70CED" w:rsidRPr="00334F18" w:rsidRDefault="00A12C77" w:rsidP="001F115E">
            <w:pPr>
              <w:rPr>
                <w:rStyle w:val="Style2"/>
              </w:rPr>
            </w:pPr>
            <w:sdt>
              <w:sdtPr>
                <w:rPr>
                  <w:sz w:val="32"/>
                </w:rPr>
                <w:alias w:val="Nurodykite konkrečią dieną"/>
                <w:tag w:val="Nurodykite pradžios datą"/>
                <w:id w:val="1772196685"/>
                <w:placeholder>
                  <w:docPart w:val="9F03AA1B603F47D3BD40A45F2A0F7814"/>
                </w:placeholder>
                <w15:color w:val="FFCC99"/>
                <w:date>
                  <w:dateFormat w:val="yyyy 'm.' MMMM d 'd.'"/>
                  <w:lid w:val="lt-LT"/>
                  <w:storeMappedDataAs w:val="dateTime"/>
                  <w:calendar w:val="gregorian"/>
                </w:date>
              </w:sdtPr>
              <w:sdtEndPr>
                <w:rPr>
                  <w:sz w:val="24"/>
                </w:rPr>
              </w:sdtEndPr>
              <w:sdtContent>
                <w:r w:rsidR="002D0476" w:rsidRPr="002D0476">
                  <w:t>2015 m. liepos 17 d.</w:t>
                </w:r>
              </w:sdtContent>
            </w:sdt>
          </w:p>
        </w:tc>
      </w:tr>
      <w:tr w:rsidR="00334F18" w:rsidRPr="00334F18" w14:paraId="3D70E0FA" w14:textId="77777777" w:rsidTr="001F115E">
        <w:trPr>
          <w:trHeight w:val="1643"/>
        </w:trPr>
        <w:tc>
          <w:tcPr>
            <w:tcW w:w="632" w:type="dxa"/>
          </w:tcPr>
          <w:p w14:paraId="021DF6BD" w14:textId="77777777" w:rsidR="00E70CED" w:rsidRPr="00334F18" w:rsidRDefault="00E70CED" w:rsidP="001F115E">
            <w:pPr>
              <w:rPr>
                <w:rFonts w:eastAsia="Arial"/>
                <w:b/>
                <w:bCs/>
              </w:rPr>
            </w:pPr>
            <w:r w:rsidRPr="00334F18">
              <w:rPr>
                <w:rFonts w:eastAsia="Arial"/>
                <w:b/>
                <w:bCs/>
              </w:rPr>
              <w:t>1.3</w:t>
            </w:r>
          </w:p>
        </w:tc>
        <w:tc>
          <w:tcPr>
            <w:tcW w:w="3899" w:type="dxa"/>
          </w:tcPr>
          <w:p w14:paraId="528F713F" w14:textId="77777777" w:rsidR="00E70CED" w:rsidRPr="00334F18" w:rsidRDefault="00E70CED" w:rsidP="001F115E">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1F115E">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2191291C" w:rsidR="00E70CED" w:rsidRPr="00334F18" w:rsidRDefault="00A12C77" w:rsidP="001F115E">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2D0476">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A12C77" w:rsidP="001F115E">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A12C77" w:rsidP="001F115E">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10.1 str. (</w:t>
            </w:r>
            <w:proofErr w:type="spellStart"/>
            <w:r w:rsidR="00E70CED" w:rsidRPr="00334F18">
              <w:t>generinis</w:t>
            </w:r>
            <w:proofErr w:type="spellEnd"/>
            <w:r w:rsidR="00E70CED" w:rsidRPr="00334F18">
              <w:t>)</w:t>
            </w:r>
          </w:p>
          <w:p w14:paraId="0517A1B2" w14:textId="77777777" w:rsidR="00E70CED" w:rsidRPr="00334F18" w:rsidRDefault="00A12C77" w:rsidP="001F115E">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78AF6516" w:rsidR="00063A50" w:rsidRPr="00334F18" w:rsidRDefault="00A12C77" w:rsidP="00063A50">
            <w:sdt>
              <w:sdtPr>
                <w:rPr>
                  <w:rStyle w:val="Style2"/>
                  <w:sz w:val="24"/>
                </w:rPr>
                <w:id w:val="1800953328"/>
                <w15:color w:val="FFCC00"/>
                <w14:checkbox>
                  <w14:checked w14:val="0"/>
                  <w14:checkedState w14:val="2612" w14:font="MS Gothic"/>
                  <w14:uncheckedState w14:val="2610" w14:font="MS Gothic"/>
                </w14:checkbox>
              </w:sdtPr>
              <w:sdtEndPr>
                <w:rPr>
                  <w:rStyle w:val="Style2"/>
                </w:rPr>
              </w:sdtEndPr>
              <w:sdtContent>
                <w:r w:rsidR="00063A50" w:rsidRPr="00334F18">
                  <w:rPr>
                    <w:rStyle w:val="Style2"/>
                    <w:rFonts w:ascii="Segoe UI Symbol" w:eastAsia="MS Gothic" w:hAnsi="Segoe UI Symbol" w:cs="Segoe UI Symbol"/>
                    <w:sz w:val="24"/>
                  </w:rPr>
                  <w:t>☐</w:t>
                </w:r>
              </w:sdtContent>
            </w:sdt>
            <w:r w:rsidR="00063A50" w:rsidRPr="00334F18">
              <w:t>10.4 str. (panašus biologinis)</w:t>
            </w:r>
          </w:p>
          <w:p w14:paraId="7EDB4848" w14:textId="77777777" w:rsidR="00063A50" w:rsidRPr="00334F18" w:rsidRDefault="00063A50" w:rsidP="001F115E">
            <w:pPr>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1F115E">
            <w:pPr>
              <w:rPr>
                <w:rFonts w:eastAsia="Arial"/>
                <w:b/>
                <w:bCs/>
              </w:rPr>
            </w:pPr>
            <w:r w:rsidRPr="00334F18">
              <w:rPr>
                <w:rFonts w:eastAsia="Arial"/>
                <w:b/>
              </w:rPr>
              <w:t>1.4</w:t>
            </w:r>
          </w:p>
        </w:tc>
        <w:tc>
          <w:tcPr>
            <w:tcW w:w="3899" w:type="dxa"/>
          </w:tcPr>
          <w:p w14:paraId="2547AC59" w14:textId="77777777" w:rsidR="00E70CED" w:rsidRPr="00334F18" w:rsidRDefault="00E70CED" w:rsidP="001F115E">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49AB923F" w14:textId="0F45D6D3" w:rsidR="00E70CED" w:rsidRPr="00334F18" w:rsidRDefault="00A12C77" w:rsidP="001F115E">
            <w:sdt>
              <w:sdtPr>
                <w:rPr>
                  <w:rStyle w:val="Style2"/>
                  <w:sz w:val="24"/>
                </w:rPr>
                <w:id w:val="1190730465"/>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EndPr>
                <w:rPr>
                  <w:rStyle w:val="Style2"/>
                </w:rPr>
              </w:sdtEndPr>
              <w:sdtContent>
                <w:r w:rsidR="002D0476">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1F115E">
            <w:pPr>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1F115E">
            <w:pPr>
              <w:rPr>
                <w:rFonts w:eastAsia="Arial"/>
                <w:b/>
              </w:rPr>
            </w:pPr>
            <w:r w:rsidRPr="00334F18">
              <w:rPr>
                <w:rFonts w:eastAsia="Arial"/>
                <w:b/>
                <w:bCs/>
              </w:rPr>
              <w:t>1.5</w:t>
            </w:r>
          </w:p>
        </w:tc>
        <w:tc>
          <w:tcPr>
            <w:tcW w:w="3899" w:type="dxa"/>
          </w:tcPr>
          <w:p w14:paraId="1DDE7CF3" w14:textId="2FF7A402" w:rsidR="00E70CED" w:rsidRPr="00334F18" w:rsidRDefault="00E70CED" w:rsidP="001F115E">
            <w:pPr>
              <w:tabs>
                <w:tab w:val="left" w:pos="284"/>
              </w:tabs>
              <w:rPr>
                <w:b/>
                <w:bCs/>
                <w:lang w:eastAsia="lt-LT"/>
              </w:rPr>
            </w:pPr>
            <w:r w:rsidRPr="00334F18">
              <w:rPr>
                <w:b/>
                <w:bCs/>
                <w:lang w:eastAsia="lt-LT"/>
              </w:rPr>
              <w:t>Ar atliktas bendras klinikinis vertinimas</w:t>
            </w:r>
          </w:p>
          <w:p w14:paraId="0961228D" w14:textId="77777777" w:rsidR="00E70CED" w:rsidRPr="00334F18" w:rsidRDefault="00E70CED" w:rsidP="001F115E">
            <w:pPr>
              <w:tabs>
                <w:tab w:val="left" w:pos="284"/>
              </w:tabs>
              <w:rPr>
                <w:b/>
                <w:bCs/>
                <w:lang w:eastAsia="lt-LT"/>
              </w:rPr>
            </w:pPr>
            <w:r w:rsidRPr="00334F18">
              <w:rPr>
                <w:b/>
                <w:bCs/>
                <w:lang w:eastAsia="lt-LT"/>
              </w:rPr>
              <w:t>(Europos Parlamento ir Tarybos reglamentas (ES) 2021/2282)</w:t>
            </w:r>
          </w:p>
          <w:p w14:paraId="7B6C3C1B" w14:textId="77777777" w:rsidR="00336238" w:rsidRPr="00334F18" w:rsidRDefault="00336238" w:rsidP="001F115E">
            <w:pPr>
              <w:tabs>
                <w:tab w:val="left" w:pos="284"/>
              </w:tabs>
              <w:rPr>
                <w:b/>
                <w:bCs/>
                <w:lang w:eastAsia="lt-LT"/>
              </w:rPr>
            </w:pPr>
          </w:p>
        </w:tc>
        <w:tc>
          <w:tcPr>
            <w:tcW w:w="4962" w:type="dxa"/>
          </w:tcPr>
          <w:p w14:paraId="024AE31B" w14:textId="472FFC62" w:rsidR="00E70CED" w:rsidRPr="00334F18" w:rsidRDefault="00A12C77" w:rsidP="001F115E">
            <w:sdt>
              <w:sdtPr>
                <w:rPr>
                  <w:rStyle w:val="Style2"/>
                  <w:sz w:val="24"/>
                </w:rPr>
                <w:id w:val="-117156447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EndPr>
                <w:rPr>
                  <w:rStyle w:val="Style2"/>
                </w:rPr>
              </w:sdtEndPr>
              <w:sdtContent>
                <w:r w:rsidR="002D0476">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1F115E">
            <w:pPr>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w:t>
            </w:r>
          </w:p>
        </w:tc>
      </w:tr>
      <w:tr w:rsidR="00334F18" w:rsidRPr="00334F18" w14:paraId="15E36E93" w14:textId="77777777" w:rsidTr="003F3FFF">
        <w:trPr>
          <w:trHeight w:val="1278"/>
        </w:trPr>
        <w:tc>
          <w:tcPr>
            <w:tcW w:w="632" w:type="dxa"/>
          </w:tcPr>
          <w:p w14:paraId="5F43AA8F" w14:textId="77777777" w:rsidR="00E70CED" w:rsidRPr="00334F18" w:rsidRDefault="00E70CED" w:rsidP="001F115E">
            <w:pPr>
              <w:rPr>
                <w:rFonts w:eastAsia="Arial"/>
                <w:b/>
                <w:bCs/>
              </w:rPr>
            </w:pPr>
            <w:r w:rsidRPr="00334F18">
              <w:rPr>
                <w:rFonts w:eastAsia="Arial"/>
                <w:b/>
                <w:bCs/>
              </w:rPr>
              <w:t>1.6</w:t>
            </w:r>
          </w:p>
        </w:tc>
        <w:tc>
          <w:tcPr>
            <w:tcW w:w="3899" w:type="dxa"/>
          </w:tcPr>
          <w:p w14:paraId="41F32942" w14:textId="77777777" w:rsidR="00E70CED" w:rsidRPr="00334F18" w:rsidRDefault="00E70CED" w:rsidP="001F115E">
            <w:pPr>
              <w:rPr>
                <w:b/>
                <w:bCs/>
                <w:lang w:eastAsia="lt-LT"/>
              </w:rPr>
            </w:pPr>
            <w:r w:rsidRPr="00334F18">
              <w:rPr>
                <w:b/>
                <w:bCs/>
                <w:lang w:eastAsia="lt-LT"/>
              </w:rPr>
              <w:t xml:space="preserve">Teikiama kompensuoti terapinė indikacija </w:t>
            </w:r>
          </w:p>
          <w:p w14:paraId="2882A5BD" w14:textId="77777777" w:rsidR="00E70CED" w:rsidRPr="00334F18" w:rsidRDefault="00E70CED" w:rsidP="001F115E">
            <w:pPr>
              <w:rPr>
                <w:b/>
                <w:bCs/>
                <w:lang w:eastAsia="lt-LT"/>
              </w:rPr>
            </w:pPr>
          </w:p>
          <w:p w14:paraId="371D188E" w14:textId="77777777" w:rsidR="00E70CED" w:rsidRPr="00334F18" w:rsidRDefault="00E70CED" w:rsidP="001F115E">
            <w:pPr>
              <w:rPr>
                <w:b/>
                <w:bCs/>
                <w:lang w:eastAsia="lt-LT"/>
              </w:rPr>
            </w:pPr>
            <w:r w:rsidRPr="00334F18">
              <w:rPr>
                <w:b/>
                <w:bCs/>
                <w:lang w:eastAsia="lt-LT"/>
              </w:rPr>
              <w:t>Kodas pagal TLK-10 AM</w:t>
            </w:r>
          </w:p>
        </w:tc>
        <w:tc>
          <w:tcPr>
            <w:tcW w:w="4962" w:type="dxa"/>
          </w:tcPr>
          <w:p w14:paraId="362A54CA" w14:textId="77777777" w:rsidR="002D0476" w:rsidRPr="003E6FD9" w:rsidRDefault="002D0476" w:rsidP="002D0476">
            <w:pPr>
              <w:jc w:val="both"/>
            </w:pPr>
            <w:r w:rsidRPr="003E6FD9">
              <w:t xml:space="preserve">Repatha yra skirtas papildomam gydymui koreguojant kitus rizikos veiksnius suaugusiesiems, sergantiems aterosklerozine kardiovaskuline liga (miokardo infarktu, smegenų infarktu arba periferinių arterijų liga), siekiant sumažinti MTL-C koncentraciją bei kardiovaskulinę riziką: </w:t>
            </w:r>
          </w:p>
          <w:p w14:paraId="1103925E" w14:textId="77777777" w:rsidR="002D0476" w:rsidRPr="003E6FD9" w:rsidRDefault="002D0476" w:rsidP="002D0476">
            <w:pPr>
              <w:numPr>
                <w:ilvl w:val="0"/>
                <w:numId w:val="15"/>
              </w:numPr>
              <w:jc w:val="both"/>
            </w:pPr>
            <w:r w:rsidRPr="003E6FD9">
              <w:lastRenderedPageBreak/>
              <w:t xml:space="preserve">derinyje su didžiausiomis toleruojamomis statinų dozėmis kartu su kitais lipidų koncentraciją mažinančiais vaistiniais preparatais arba be jų; </w:t>
            </w:r>
          </w:p>
          <w:p w14:paraId="5112D07A" w14:textId="77777777" w:rsidR="002D0476" w:rsidRPr="003E6FD9" w:rsidRDefault="002D0476" w:rsidP="002D0476">
            <w:pPr>
              <w:numPr>
                <w:ilvl w:val="0"/>
                <w:numId w:val="15"/>
              </w:numPr>
              <w:jc w:val="both"/>
              <w:rPr>
                <w:u w:val="single"/>
              </w:rPr>
            </w:pPr>
            <w:r w:rsidRPr="003E6FD9">
              <w:t>vienas arba derinyje su kitais lipidų koncentraciją mažinančiais vaistiniais preparatais pacientams, kurie netoleruoja statinų arba kuriems statinai yra kontraindikuotini.</w:t>
            </w:r>
          </w:p>
          <w:p w14:paraId="59D4B83A" w14:textId="77777777" w:rsidR="002D0476" w:rsidRPr="009300B3" w:rsidRDefault="002D0476" w:rsidP="002D0476">
            <w:pPr>
              <w:jc w:val="both"/>
            </w:pPr>
          </w:p>
          <w:p w14:paraId="7243D1B4" w14:textId="50AC7617" w:rsidR="00E70CED" w:rsidRPr="00334F18" w:rsidRDefault="002D0476" w:rsidP="002D0476">
            <w:r w:rsidRPr="003E6FD9">
              <w:t>TLK-AM kodai: E78 kartu su I</w:t>
            </w:r>
            <w:r w:rsidRPr="003E6FD9">
              <w:rPr>
                <w:lang w:val="en-US"/>
              </w:rPr>
              <w:t xml:space="preserve">20.0, I20.8, I21, </w:t>
            </w:r>
            <w:r w:rsidRPr="003E6FD9">
              <w:t>I25.2; I63; I69.3; Z95.1; Z95.5</w:t>
            </w:r>
          </w:p>
          <w:p w14:paraId="2ED0E997" w14:textId="77777777" w:rsidR="00E70CED" w:rsidRPr="00334F18" w:rsidRDefault="00E70CED" w:rsidP="001F115E"/>
          <w:p w14:paraId="1F9E21CB" w14:textId="77777777" w:rsidR="00E70CED" w:rsidRPr="00334F18" w:rsidRDefault="00E70CED" w:rsidP="001F115E"/>
          <w:p w14:paraId="10833DB8" w14:textId="7678DD02" w:rsidR="00E70CED" w:rsidRPr="00334F18" w:rsidRDefault="00E70CED" w:rsidP="001F115E"/>
        </w:tc>
      </w:tr>
      <w:tr w:rsidR="00334F18" w:rsidRPr="00334F18" w14:paraId="01C3C4F5" w14:textId="77777777" w:rsidTr="003F3FFF">
        <w:trPr>
          <w:trHeight w:val="378"/>
        </w:trPr>
        <w:tc>
          <w:tcPr>
            <w:tcW w:w="632" w:type="dxa"/>
          </w:tcPr>
          <w:p w14:paraId="5115AFC1" w14:textId="77777777" w:rsidR="00E70CED" w:rsidRPr="00334F18" w:rsidRDefault="00E70CED" w:rsidP="001F115E">
            <w:pPr>
              <w:rPr>
                <w:rFonts w:eastAsia="Arial"/>
                <w:b/>
                <w:bCs/>
              </w:rPr>
            </w:pPr>
            <w:r w:rsidRPr="00334F18">
              <w:rPr>
                <w:rFonts w:eastAsia="Arial"/>
                <w:b/>
                <w:bCs/>
              </w:rPr>
              <w:lastRenderedPageBreak/>
              <w:t>1.7</w:t>
            </w:r>
          </w:p>
        </w:tc>
        <w:tc>
          <w:tcPr>
            <w:tcW w:w="3899" w:type="dxa"/>
          </w:tcPr>
          <w:p w14:paraId="48045B5A" w14:textId="77777777" w:rsidR="00E70CED" w:rsidRPr="00334F18" w:rsidRDefault="00E70CED" w:rsidP="001F115E">
            <w:pPr>
              <w:rPr>
                <w:b/>
                <w:bCs/>
                <w:u w:val="single"/>
                <w:lang w:eastAsia="lt-LT"/>
              </w:rPr>
            </w:pPr>
            <w:r w:rsidRPr="00334F18">
              <w:rPr>
                <w:b/>
                <w:bCs/>
                <w:lang w:eastAsia="lt-LT"/>
              </w:rPr>
              <w:t xml:space="preserve">Teikiamos skyrimo sąlygos </w:t>
            </w:r>
          </w:p>
        </w:tc>
        <w:tc>
          <w:tcPr>
            <w:tcW w:w="4962" w:type="dxa"/>
          </w:tcPr>
          <w:p w14:paraId="7BE0EEB0" w14:textId="77777777" w:rsidR="002D0476" w:rsidRPr="00705511" w:rsidRDefault="002D0476" w:rsidP="002D0476">
            <w:pPr>
              <w:jc w:val="both"/>
            </w:pPr>
            <w:r w:rsidRPr="00705511">
              <w:t>Skiria ir išrašo gydytojas kardiologas, didelės ir labai didelės kardiovaskulinės rizikos pacientams, kuriems diagnozuota dislipidemija (E78) ir MTLC koncentracija išlieka ≥2,6 mmol/l, taikant gydymą maksimaliomis toleruojamomis statinų dozėmis kartu su ezitimibu (arba tik ezetimibu, kuomet statinas yra kontraindikuotinas) ir kuriems yra diagnozuotas ūminis vainikinių arterijų sindromas arba lėtinis vainikinių arterijų sindromas, patvirtinus viena ar keliomis diagnozėmis:</w:t>
            </w:r>
          </w:p>
          <w:p w14:paraId="7F31D457" w14:textId="77777777" w:rsidR="002D0476" w:rsidRPr="00705511" w:rsidRDefault="002D0476" w:rsidP="002D0476">
            <w:pPr>
              <w:jc w:val="both"/>
            </w:pPr>
            <w:r w:rsidRPr="00705511">
              <w:t xml:space="preserve">• Nestabilioji krūtinės angina (I20.0) arba / ir </w:t>
            </w:r>
          </w:p>
          <w:p w14:paraId="35ABF7EE" w14:textId="77777777" w:rsidR="002D0476" w:rsidRPr="00705511" w:rsidRDefault="002D0476" w:rsidP="002D0476">
            <w:pPr>
              <w:jc w:val="both"/>
            </w:pPr>
            <w:r w:rsidRPr="00705511">
              <w:t xml:space="preserve">• Stabilioji krūtinės angina (I20.8) arba / ir </w:t>
            </w:r>
          </w:p>
          <w:p w14:paraId="215335B6" w14:textId="77777777" w:rsidR="002D0476" w:rsidRPr="00705511" w:rsidRDefault="002D0476" w:rsidP="002D0476">
            <w:pPr>
              <w:jc w:val="both"/>
            </w:pPr>
            <w:r w:rsidRPr="00705511">
              <w:t xml:space="preserve">• Ūminis miokardo infarktas (I21) arba / ir </w:t>
            </w:r>
          </w:p>
          <w:p w14:paraId="10404F34" w14:textId="77777777" w:rsidR="002D0476" w:rsidRPr="00705511" w:rsidRDefault="002D0476" w:rsidP="002D0476">
            <w:pPr>
              <w:jc w:val="both"/>
            </w:pPr>
            <w:r w:rsidRPr="00705511">
              <w:t xml:space="preserve">• Persirgtas miokardo infarktas (I25.2) arba / ir </w:t>
            </w:r>
          </w:p>
          <w:p w14:paraId="0E2B2754" w14:textId="77777777" w:rsidR="002D0476" w:rsidRPr="00705511" w:rsidRDefault="002D0476" w:rsidP="002D0476">
            <w:pPr>
              <w:jc w:val="both"/>
            </w:pPr>
            <w:r w:rsidRPr="00705511">
              <w:t>• Smegenų infarktas (I63) arba /ir</w:t>
            </w:r>
          </w:p>
          <w:p w14:paraId="28908627" w14:textId="77777777" w:rsidR="002D0476" w:rsidRPr="00705511" w:rsidRDefault="002D0476" w:rsidP="002D0476">
            <w:pPr>
              <w:jc w:val="both"/>
            </w:pPr>
            <w:r w:rsidRPr="00705511">
              <w:t>• Smegenų infarkto pasekmės (I69.3) arba /ir</w:t>
            </w:r>
          </w:p>
          <w:p w14:paraId="4B774854" w14:textId="77777777" w:rsidR="002D0476" w:rsidRPr="00705511" w:rsidRDefault="002D0476" w:rsidP="002D0476">
            <w:pPr>
              <w:jc w:val="both"/>
            </w:pPr>
            <w:r w:rsidRPr="00705511">
              <w:t xml:space="preserve">• Atlikta perkutaninė vainikinių arterijų intervencija (Z95.5) arba / ir </w:t>
            </w:r>
          </w:p>
          <w:p w14:paraId="6A31562C" w14:textId="3A1EA744" w:rsidR="00E70CED" w:rsidRPr="00334F18" w:rsidRDefault="002D0476" w:rsidP="002D0476">
            <w:r w:rsidRPr="00705511">
              <w:t xml:space="preserve">• Atlikta aortos vainikinių arterijų jungčių operacija (Z95.1).  </w:t>
            </w:r>
          </w:p>
        </w:tc>
      </w:tr>
      <w:tr w:rsidR="00334F18" w:rsidRPr="00334F18" w14:paraId="3C32C984" w14:textId="77777777" w:rsidTr="003F3FFF">
        <w:trPr>
          <w:trHeight w:val="378"/>
        </w:trPr>
        <w:tc>
          <w:tcPr>
            <w:tcW w:w="632" w:type="dxa"/>
          </w:tcPr>
          <w:p w14:paraId="4E679EDB" w14:textId="77777777" w:rsidR="00E70CED" w:rsidRPr="00334F18" w:rsidRDefault="00E70CED" w:rsidP="001F115E">
            <w:pPr>
              <w:rPr>
                <w:rFonts w:eastAsia="Arial"/>
                <w:b/>
                <w:bCs/>
              </w:rPr>
            </w:pPr>
            <w:r w:rsidRPr="00334F18">
              <w:rPr>
                <w:rFonts w:eastAsia="Arial"/>
                <w:b/>
                <w:bCs/>
              </w:rPr>
              <w:t>1.8</w:t>
            </w:r>
          </w:p>
        </w:tc>
        <w:tc>
          <w:tcPr>
            <w:tcW w:w="3899" w:type="dxa"/>
          </w:tcPr>
          <w:p w14:paraId="784605B5" w14:textId="3A924C79" w:rsidR="00E70CED" w:rsidRPr="00334F18" w:rsidRDefault="00E70CED" w:rsidP="001F115E">
            <w:pPr>
              <w:rPr>
                <w:b/>
                <w:bCs/>
                <w:lang w:eastAsia="lt-LT"/>
              </w:rPr>
            </w:pPr>
            <w:r w:rsidRPr="00334F18">
              <w:rPr>
                <w:b/>
                <w:bCs/>
                <w:lang w:eastAsia="lt-LT"/>
              </w:rPr>
              <w:t>Ekonominė analizė</w:t>
            </w:r>
          </w:p>
        </w:tc>
        <w:tc>
          <w:tcPr>
            <w:tcW w:w="4962" w:type="dxa"/>
          </w:tcPr>
          <w:p w14:paraId="3155F2E8" w14:textId="78C34423" w:rsidR="00E70CED" w:rsidRPr="00334F18" w:rsidRDefault="00A12C77" w:rsidP="001F115E">
            <w:sdt>
              <w:sdtPr>
                <w:rPr>
                  <w:rStyle w:val="Style2"/>
                  <w:sz w:val="24"/>
                </w:rPr>
                <w:id w:val="356323367"/>
                <w15:color w:val="FFCC00"/>
                <w14:checkbox>
                  <w14:checked w14:val="1"/>
                  <w14:checkedState w14:val="2612" w14:font="MS Gothic"/>
                  <w14:uncheckedState w14:val="2610" w14:font="MS Gothic"/>
                </w14:checkbox>
              </w:sdtPr>
              <w:sdtEndPr>
                <w:rPr>
                  <w:rStyle w:val="Style2"/>
                </w:rPr>
              </w:sdtEndPr>
              <w:sdtContent>
                <w:r w:rsidR="002D0476">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A12C77" w:rsidP="001F115E">
            <w:sdt>
              <w:sdtPr>
                <w:rPr>
                  <w:rStyle w:val="Style2"/>
                  <w:sz w:val="24"/>
                </w:rPr>
                <w:id w:val="-25050658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A12C77" w:rsidP="00FE5878">
            <w:sdt>
              <w:sdtPr>
                <w:rPr>
                  <w:rStyle w:val="Style2"/>
                  <w:sz w:val="24"/>
                </w:rPr>
                <w:id w:val="-1570647133"/>
                <w15:color w:val="FFCC00"/>
                <w14:checkbox>
                  <w14:checked w14:val="0"/>
                  <w14:checkedState w14:val="2612" w14:font="MS Gothic"/>
                  <w14:uncheckedState w14:val="2610" w14:font="MS Gothic"/>
                </w14:checkbox>
              </w:sdtPr>
              <w:sdtEndPr>
                <w:rPr>
                  <w:rStyle w:val="Style2"/>
                </w:rPr>
              </w:sdtEnd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1F115E"/>
          <w:p w14:paraId="4B0FE78C" w14:textId="77777777" w:rsidR="00E70CED" w:rsidRPr="00334F18" w:rsidRDefault="00E70CED" w:rsidP="001F115E"/>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0719029A"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5C45C8FC" w:rsidR="00D4485B" w:rsidRDefault="00D4485B" w:rsidP="00A93AA6">
      <w:pPr>
        <w:pStyle w:val="Sraopastraipa"/>
        <w:tabs>
          <w:tab w:val="left" w:pos="426"/>
        </w:tabs>
        <w:ind w:left="0"/>
        <w:rPr>
          <w:b/>
          <w:bCs/>
          <w:caps/>
        </w:rPr>
      </w:pPr>
    </w:p>
    <w:p w14:paraId="1EB93FA0" w14:textId="72489F34" w:rsidR="00BA6DD7" w:rsidRDefault="00BA6DD7" w:rsidP="00BA6DD7">
      <w:pPr>
        <w:tabs>
          <w:tab w:val="left" w:pos="284"/>
        </w:tabs>
        <w:spacing w:line="276" w:lineRule="auto"/>
        <w:jc w:val="both"/>
        <w:rPr>
          <w:iCs/>
        </w:rPr>
      </w:pPr>
      <w:r>
        <w:rPr>
          <w:iCs/>
        </w:rPr>
        <w:tab/>
      </w:r>
      <w:r>
        <w:rPr>
          <w:iCs/>
        </w:rPr>
        <w:tab/>
      </w:r>
      <w:r w:rsidRPr="009300B3">
        <w:rPr>
          <w:iCs/>
        </w:rPr>
        <w:t xml:space="preserve">Bendras klinikinis vertinimas pagal 2021 m. gruodžio 15 d. Europos Parlamento ir Tarybos reglamentu (ES) 2021/2282 dėl sveikatos technologijų vertinimo, kuriuo iš dalies keičiama direktyva 2011/24/ES, vaistiniam preparatui </w:t>
      </w:r>
      <w:r>
        <w:rPr>
          <w:iCs/>
        </w:rPr>
        <w:t xml:space="preserve">Repatha </w:t>
      </w:r>
      <w:r w:rsidRPr="009300B3">
        <w:rPr>
          <w:iCs/>
        </w:rPr>
        <w:t>neatliktas.</w:t>
      </w:r>
    </w:p>
    <w:p w14:paraId="01981B80" w14:textId="6F172E51" w:rsidR="00BA6DD7" w:rsidRDefault="00BA6DD7" w:rsidP="00BA6DD7">
      <w:pPr>
        <w:tabs>
          <w:tab w:val="left" w:pos="284"/>
        </w:tabs>
        <w:spacing w:line="276" w:lineRule="auto"/>
        <w:jc w:val="both"/>
        <w:rPr>
          <w:iCs/>
        </w:rPr>
      </w:pPr>
      <w:r>
        <w:rPr>
          <w:iCs/>
        </w:rPr>
        <w:tab/>
      </w:r>
      <w:r>
        <w:rPr>
          <w:iCs/>
        </w:rPr>
        <w:tab/>
        <w:t xml:space="preserve">Pareiškėjas pateikė paraišką </w:t>
      </w:r>
      <w:r>
        <w:t>evolokumabo kompensavimui labai didelės kardiovaskulinės rizikos pacientams, kuriems nustatyta dislipidemija, ūminis ar lėtinis vainikinių arterijų sindromas ir skiriant</w:t>
      </w:r>
      <w:r w:rsidR="008F6011">
        <w:t xml:space="preserve"> </w:t>
      </w:r>
      <w:r w:rsidR="00D24E38" w:rsidRPr="00D24E38">
        <w:t>gydymą maksimaliomis toleruojamomis statinų dozėmis kartu su ezetimibu (arba tik ezetimibu, jei statinas yra kontraindikuotinas</w:t>
      </w:r>
      <w:r w:rsidR="00D24E38">
        <w:t xml:space="preserve">), nepasiektos tikslinės MTL-C reikšmės. </w:t>
      </w:r>
      <w:r w:rsidR="00D24E38" w:rsidRPr="00D24E38">
        <w:rPr>
          <w:iCs/>
        </w:rPr>
        <w:t>Dislipidemijos gydymas statino ir ezetimibo deriniu (toleruojant statinus) bei ezetimibo monoterapija (netoleruojant statinų ar esant kontraindikacijų juos vartoti)</w:t>
      </w:r>
      <w:r w:rsidR="00D24E38">
        <w:rPr>
          <w:iCs/>
        </w:rPr>
        <w:t xml:space="preserve"> atitinka įprastą klinikinę praktiką Lietuvoje.</w:t>
      </w:r>
    </w:p>
    <w:p w14:paraId="43474063" w14:textId="77777777" w:rsidR="00EE70AF" w:rsidRDefault="00D24E38" w:rsidP="00BA6DD7">
      <w:pPr>
        <w:tabs>
          <w:tab w:val="left" w:pos="284"/>
        </w:tabs>
        <w:spacing w:line="276" w:lineRule="auto"/>
        <w:jc w:val="both"/>
        <w:rPr>
          <w:iCs/>
        </w:rPr>
      </w:pPr>
      <w:r>
        <w:rPr>
          <w:iCs/>
        </w:rPr>
        <w:tab/>
      </w:r>
      <w:r>
        <w:rPr>
          <w:iCs/>
        </w:rPr>
        <w:tab/>
      </w:r>
      <w:r w:rsidR="00EE70AF">
        <w:rPr>
          <w:iCs/>
        </w:rPr>
        <w:t>Pareiškėjas pateikė 6 tiesioginio palyginimo tyrimus (</w:t>
      </w:r>
      <w:r w:rsidR="00EE70AF" w:rsidRPr="00EE70AF">
        <w:rPr>
          <w:iCs/>
        </w:rPr>
        <w:t>FOURIER, EVOPACS, EVACS, GLAGOV, HUYGENS ir DESCARTES</w:t>
      </w:r>
      <w:r w:rsidR="00EE70AF">
        <w:rPr>
          <w:iCs/>
        </w:rPr>
        <w:t>). Visų šių tyrimų populiacijos ar dalis jų atitinka</w:t>
      </w:r>
      <w:r w:rsidR="00EE70AF" w:rsidRPr="00EE70AF">
        <w:rPr>
          <w:iCs/>
        </w:rPr>
        <w:t xml:space="preserve"> Lietuvos pacientų, kuriems nustatyta aterosklerozinė kardiovaskulinė liga, populiaciją.</w:t>
      </w:r>
    </w:p>
    <w:p w14:paraId="707791BC" w14:textId="77777777" w:rsidR="00011933" w:rsidRDefault="00EE70AF" w:rsidP="00BA6DD7">
      <w:pPr>
        <w:tabs>
          <w:tab w:val="left" w:pos="284"/>
        </w:tabs>
        <w:spacing w:line="276" w:lineRule="auto"/>
        <w:jc w:val="both"/>
        <w:rPr>
          <w:iCs/>
        </w:rPr>
      </w:pPr>
      <w:r>
        <w:rPr>
          <w:iCs/>
        </w:rPr>
        <w:tab/>
      </w:r>
      <w:r>
        <w:rPr>
          <w:iCs/>
        </w:rPr>
        <w:tab/>
      </w:r>
      <w:r w:rsidRPr="00EE70AF">
        <w:rPr>
          <w:iCs/>
        </w:rPr>
        <w:t xml:space="preserve">FOURIER ir DESCARTES (labai didelės rizikos pacientų </w:t>
      </w:r>
      <w:r>
        <w:rPr>
          <w:iCs/>
        </w:rPr>
        <w:t>pogrupis</w:t>
      </w:r>
      <w:r w:rsidRPr="00EE70AF">
        <w:rPr>
          <w:iCs/>
        </w:rPr>
        <w:t>) klinikiniuose tyrimuose pacientų pogrupių vartotas palyginamasis gydymas statinu ir ezetimibu atitinka įprastinę klinikinę praktiką Lietuvoje. GLAGOV, HUYGENS, EVOPACS ir EVACS klinikiniuose tyrimuose vartotas palyginamasis gydymas statinu neatitinka įprastinės klinikinės praktikos Lietuvoje</w:t>
      </w:r>
      <w:r>
        <w:rPr>
          <w:iCs/>
        </w:rPr>
        <w:t>.</w:t>
      </w:r>
    </w:p>
    <w:p w14:paraId="5CC07045" w14:textId="50FFB7C4" w:rsidR="00011933" w:rsidRDefault="00011933" w:rsidP="00BA6DD7">
      <w:pPr>
        <w:tabs>
          <w:tab w:val="left" w:pos="284"/>
        </w:tabs>
        <w:spacing w:line="276" w:lineRule="auto"/>
        <w:jc w:val="both"/>
        <w:rPr>
          <w:iCs/>
        </w:rPr>
      </w:pPr>
      <w:r>
        <w:rPr>
          <w:iCs/>
        </w:rPr>
        <w:tab/>
      </w:r>
      <w:r>
        <w:rPr>
          <w:iCs/>
        </w:rPr>
        <w:tab/>
      </w:r>
      <w:r w:rsidR="00AE34F5">
        <w:rPr>
          <w:bCs/>
          <w:lang w:eastAsia="lt-LT"/>
        </w:rPr>
        <w:t>Š</w:t>
      </w:r>
      <w:r w:rsidR="00AE34F5" w:rsidRPr="007A28E9">
        <w:rPr>
          <w:bCs/>
          <w:lang w:eastAsia="lt-LT"/>
        </w:rPr>
        <w:t xml:space="preserve">iame </w:t>
      </w:r>
      <w:r w:rsidR="00AE34F5">
        <w:rPr>
          <w:bCs/>
          <w:lang w:eastAsia="lt-LT"/>
        </w:rPr>
        <w:t xml:space="preserve">FOURIER tyrimo </w:t>
      </w:r>
      <w:r w:rsidR="00AE34F5" w:rsidRPr="007A28E9">
        <w:rPr>
          <w:bCs/>
          <w:lang w:eastAsia="lt-LT"/>
        </w:rPr>
        <w:t>pogrupyje nebuvo nustatytas statistiškai reikšmingas pirminės</w:t>
      </w:r>
      <w:r w:rsidR="00AE34F5">
        <w:rPr>
          <w:bCs/>
          <w:lang w:eastAsia="lt-LT"/>
        </w:rPr>
        <w:t xml:space="preserve"> (</w:t>
      </w:r>
      <w:r w:rsidR="00AE34F5">
        <w:rPr>
          <w:rFonts w:eastAsia="Arial"/>
          <w:bCs/>
        </w:rPr>
        <w:t>m</w:t>
      </w:r>
      <w:r w:rsidR="00AE34F5" w:rsidRPr="0035020E">
        <w:rPr>
          <w:rFonts w:eastAsia="Arial"/>
          <w:bCs/>
        </w:rPr>
        <w:t xml:space="preserve">irtis nuo </w:t>
      </w:r>
      <w:r w:rsidR="00AE34F5">
        <w:rPr>
          <w:rFonts w:eastAsia="Arial"/>
          <w:bCs/>
        </w:rPr>
        <w:t>širdies ir kraujagyslių ligų</w:t>
      </w:r>
      <w:r w:rsidR="00AE34F5" w:rsidRPr="0035020E">
        <w:rPr>
          <w:rFonts w:eastAsia="Arial"/>
          <w:bCs/>
        </w:rPr>
        <w:t xml:space="preserve"> ar kardiovaskulini</w:t>
      </w:r>
      <w:r w:rsidR="00AE34F5">
        <w:rPr>
          <w:rFonts w:eastAsia="Arial"/>
          <w:bCs/>
        </w:rPr>
        <w:t>s</w:t>
      </w:r>
      <w:r w:rsidR="00AE34F5" w:rsidRPr="0035020E">
        <w:rPr>
          <w:rFonts w:eastAsia="Arial"/>
          <w:bCs/>
        </w:rPr>
        <w:t xml:space="preserve"> įvyk</w:t>
      </w:r>
      <w:r w:rsidR="00AE34F5">
        <w:rPr>
          <w:rFonts w:eastAsia="Arial"/>
          <w:bCs/>
        </w:rPr>
        <w:t xml:space="preserve">is – </w:t>
      </w:r>
      <w:r w:rsidR="00AE34F5" w:rsidRPr="0035020E">
        <w:rPr>
          <w:rFonts w:eastAsia="Arial"/>
          <w:bCs/>
        </w:rPr>
        <w:t>miokardo infarkt</w:t>
      </w:r>
      <w:r w:rsidR="00AE34F5">
        <w:rPr>
          <w:rFonts w:eastAsia="Arial"/>
          <w:bCs/>
        </w:rPr>
        <w:t>as</w:t>
      </w:r>
      <w:r w:rsidR="00AE34F5" w:rsidRPr="0035020E">
        <w:rPr>
          <w:rFonts w:eastAsia="Arial"/>
          <w:bCs/>
        </w:rPr>
        <w:t>, insult</w:t>
      </w:r>
      <w:r w:rsidR="00AE34F5">
        <w:rPr>
          <w:rFonts w:eastAsia="Arial"/>
          <w:bCs/>
        </w:rPr>
        <w:t>as,</w:t>
      </w:r>
      <w:r w:rsidR="00AE34F5" w:rsidRPr="0035020E">
        <w:rPr>
          <w:rFonts w:eastAsia="Arial"/>
          <w:bCs/>
        </w:rPr>
        <w:t xml:space="preserve"> vainikinių arterijų </w:t>
      </w:r>
      <w:proofErr w:type="spellStart"/>
      <w:r w:rsidR="00AE34F5" w:rsidRPr="0035020E">
        <w:rPr>
          <w:rFonts w:eastAsia="Arial"/>
          <w:bCs/>
        </w:rPr>
        <w:t>revaskuliarizacij</w:t>
      </w:r>
      <w:r w:rsidR="00AE34F5">
        <w:rPr>
          <w:rFonts w:eastAsia="Arial"/>
          <w:bCs/>
        </w:rPr>
        <w:t>a</w:t>
      </w:r>
      <w:proofErr w:type="spellEnd"/>
      <w:r w:rsidR="00AE34F5" w:rsidRPr="0035020E">
        <w:rPr>
          <w:rFonts w:eastAsia="Arial"/>
          <w:bCs/>
        </w:rPr>
        <w:t>, hospitalizacij</w:t>
      </w:r>
      <w:r w:rsidR="00AE34F5">
        <w:rPr>
          <w:rFonts w:eastAsia="Arial"/>
          <w:bCs/>
        </w:rPr>
        <w:t>a</w:t>
      </w:r>
      <w:r w:rsidR="00AE34F5" w:rsidRPr="0035020E">
        <w:rPr>
          <w:rFonts w:eastAsia="Arial"/>
          <w:bCs/>
        </w:rPr>
        <w:t xml:space="preserve"> dėl nestabilios krūtinės anginos)</w:t>
      </w:r>
      <w:r w:rsidR="00AE34F5">
        <w:rPr>
          <w:rFonts w:eastAsia="Arial"/>
          <w:b/>
        </w:rPr>
        <w:t xml:space="preserve"> </w:t>
      </w:r>
      <w:r w:rsidR="00AE34F5" w:rsidRPr="007A28E9">
        <w:rPr>
          <w:bCs/>
          <w:lang w:eastAsia="lt-LT"/>
        </w:rPr>
        <w:t xml:space="preserve"> ar svarbiausios antrinės </w:t>
      </w:r>
      <w:r w:rsidR="00AE34F5">
        <w:rPr>
          <w:bCs/>
          <w:lang w:eastAsia="lt-LT"/>
        </w:rPr>
        <w:t>(</w:t>
      </w:r>
      <w:r w:rsidR="00AE34F5">
        <w:rPr>
          <w:rFonts w:eastAsia="Arial"/>
          <w:bCs/>
        </w:rPr>
        <w:t>m</w:t>
      </w:r>
      <w:r w:rsidR="00AE34F5" w:rsidRPr="0035020E">
        <w:rPr>
          <w:rFonts w:eastAsia="Arial"/>
          <w:bCs/>
        </w:rPr>
        <w:t xml:space="preserve">irtis nuo </w:t>
      </w:r>
      <w:r w:rsidR="00AE34F5">
        <w:rPr>
          <w:rFonts w:eastAsia="Arial"/>
          <w:bCs/>
        </w:rPr>
        <w:t>širdies ir kraujagyslių ligų</w:t>
      </w:r>
      <w:r w:rsidR="00AE34F5" w:rsidRPr="0035020E">
        <w:rPr>
          <w:rFonts w:eastAsia="Arial"/>
          <w:bCs/>
        </w:rPr>
        <w:t xml:space="preserve"> ar kardiovaskulini</w:t>
      </w:r>
      <w:r w:rsidR="00AE34F5">
        <w:rPr>
          <w:rFonts w:eastAsia="Arial"/>
          <w:bCs/>
        </w:rPr>
        <w:t>s</w:t>
      </w:r>
      <w:r w:rsidR="00AE34F5" w:rsidRPr="0035020E">
        <w:rPr>
          <w:rFonts w:eastAsia="Arial"/>
          <w:bCs/>
        </w:rPr>
        <w:t xml:space="preserve"> įvyk</w:t>
      </w:r>
      <w:r w:rsidR="00AE34F5">
        <w:rPr>
          <w:rFonts w:eastAsia="Arial"/>
          <w:bCs/>
        </w:rPr>
        <w:t xml:space="preserve">is – </w:t>
      </w:r>
      <w:r w:rsidR="00AE34F5" w:rsidRPr="0035020E">
        <w:rPr>
          <w:rFonts w:eastAsia="Arial"/>
          <w:bCs/>
        </w:rPr>
        <w:t>miokardo infarkt</w:t>
      </w:r>
      <w:r w:rsidR="00AE34F5">
        <w:rPr>
          <w:rFonts w:eastAsia="Arial"/>
          <w:bCs/>
        </w:rPr>
        <w:t>as</w:t>
      </w:r>
      <w:r w:rsidR="00AE34F5" w:rsidRPr="0035020E">
        <w:rPr>
          <w:rFonts w:eastAsia="Arial"/>
          <w:bCs/>
        </w:rPr>
        <w:t>, insult</w:t>
      </w:r>
      <w:r w:rsidR="00AE34F5">
        <w:rPr>
          <w:rFonts w:eastAsia="Arial"/>
          <w:bCs/>
        </w:rPr>
        <w:t>as</w:t>
      </w:r>
      <w:r w:rsidR="00AE34F5">
        <w:rPr>
          <w:rFonts w:eastAsia="Arial"/>
          <w:bCs/>
          <w:iCs/>
        </w:rPr>
        <w:t xml:space="preserve">) </w:t>
      </w:r>
      <w:r w:rsidR="00AE34F5" w:rsidRPr="007A28E9">
        <w:rPr>
          <w:bCs/>
          <w:lang w:eastAsia="lt-LT"/>
        </w:rPr>
        <w:t>baigties rizikos sumažėjimas, tik pastebėta</w:t>
      </w:r>
      <w:r w:rsidR="00AE34F5">
        <w:rPr>
          <w:bCs/>
          <w:lang w:eastAsia="lt-LT"/>
        </w:rPr>
        <w:t>s</w:t>
      </w:r>
      <w:r w:rsidR="00AE34F5" w:rsidRPr="007A28E9">
        <w:rPr>
          <w:bCs/>
          <w:lang w:eastAsia="lt-LT"/>
        </w:rPr>
        <w:t xml:space="preserve"> svarbiausios antrinės baigties tendencija</w:t>
      </w:r>
      <w:r w:rsidR="00AE34F5">
        <w:rPr>
          <w:bCs/>
          <w:lang w:eastAsia="lt-LT"/>
        </w:rPr>
        <w:t xml:space="preserve"> </w:t>
      </w:r>
      <w:r w:rsidR="00AE34F5" w:rsidRPr="007A28E9">
        <w:rPr>
          <w:bCs/>
          <w:lang w:eastAsia="lt-LT"/>
        </w:rPr>
        <w:t>evolokumabo naudai</w:t>
      </w:r>
      <w:r w:rsidR="00AE34F5">
        <w:rPr>
          <w:bCs/>
          <w:lang w:eastAsia="lt-LT"/>
        </w:rPr>
        <w:t xml:space="preserve"> </w:t>
      </w:r>
      <w:r w:rsidR="00AE34F5" w:rsidRPr="00011933">
        <w:rPr>
          <w:bCs/>
          <w:lang w:eastAsia="lt-LT"/>
        </w:rPr>
        <w:t>(RS 0,74; 95% PI 0,52-1,06)</w:t>
      </w:r>
      <w:r w:rsidR="00AE34F5">
        <w:rPr>
          <w:bCs/>
          <w:lang w:eastAsia="lt-LT"/>
        </w:rPr>
        <w:t xml:space="preserve">, </w:t>
      </w:r>
      <w:r w:rsidR="00AE34F5" w:rsidRPr="00011933">
        <w:rPr>
          <w:bCs/>
          <w:lang w:eastAsia="lt-LT"/>
        </w:rPr>
        <w:t>kas leidžia svarstyti apie galimą kardiovaskulinių įvykių mažėjimą šiame pogrupyje</w:t>
      </w:r>
      <w:r w:rsidR="00AE34F5">
        <w:rPr>
          <w:bCs/>
          <w:lang w:eastAsia="lt-LT"/>
        </w:rPr>
        <w:t xml:space="preserve">. Darant </w:t>
      </w:r>
      <w:r w:rsidR="00AE34F5" w:rsidRPr="007A28E9">
        <w:rPr>
          <w:bCs/>
          <w:lang w:eastAsia="lt-LT"/>
        </w:rPr>
        <w:t>prielaid</w:t>
      </w:r>
      <w:r w:rsidR="00AE34F5">
        <w:rPr>
          <w:bCs/>
          <w:lang w:eastAsia="lt-LT"/>
        </w:rPr>
        <w:t>ą</w:t>
      </w:r>
      <w:r w:rsidR="00AE34F5" w:rsidRPr="007A28E9">
        <w:rPr>
          <w:bCs/>
          <w:lang w:eastAsia="lt-LT"/>
        </w:rPr>
        <w:t xml:space="preserve">, jog </w:t>
      </w:r>
      <w:r w:rsidR="00AE34F5" w:rsidRPr="007A28E9">
        <w:rPr>
          <w:iCs/>
        </w:rPr>
        <w:t>daliai šios grupės pacientų, kurių MTL-C išliktų ≥ 2,6 mmol/l nepaisant dvigubo gydymo (statinu ir ezetimibu), būtų nustatoma pirminės</w:t>
      </w:r>
      <w:r w:rsidR="00AE34F5">
        <w:rPr>
          <w:iCs/>
        </w:rPr>
        <w:t xml:space="preserve"> </w:t>
      </w:r>
      <w:r w:rsidR="00AE34F5" w:rsidRPr="007A28E9">
        <w:rPr>
          <w:iCs/>
        </w:rPr>
        <w:t>hipercholesterolemijos</w:t>
      </w:r>
      <w:r w:rsidR="00AE34F5">
        <w:rPr>
          <w:iCs/>
        </w:rPr>
        <w:t xml:space="preserve"> f</w:t>
      </w:r>
      <w:r w:rsidR="00AE34F5" w:rsidRPr="007A28E9">
        <w:rPr>
          <w:iCs/>
        </w:rPr>
        <w:t>orm</w:t>
      </w:r>
      <w:r w:rsidR="00AE34F5">
        <w:rPr>
          <w:iCs/>
        </w:rPr>
        <w:t>a, kurių</w:t>
      </w:r>
      <w:r w:rsidR="00AE34F5" w:rsidRPr="007A28E9">
        <w:rPr>
          <w:iCs/>
        </w:rPr>
        <w:t xml:space="preserve"> atvej</w:t>
      </w:r>
      <w:r w:rsidR="00AE34F5">
        <w:rPr>
          <w:iCs/>
        </w:rPr>
        <w:t xml:space="preserve">ais </w:t>
      </w:r>
      <w:r w:rsidR="00AE34F5" w:rsidRPr="007A28E9">
        <w:rPr>
          <w:iCs/>
        </w:rPr>
        <w:t>pagal Europos komisijos išleistas lipidų apykaitos sutrikimų gydymui skirtų vaistinių preparatų vertinimo gaires</w:t>
      </w:r>
      <w:r w:rsidR="00AE34F5">
        <w:rPr>
          <w:iCs/>
        </w:rPr>
        <w:t xml:space="preserve"> (</w:t>
      </w:r>
      <w:r w:rsidR="00AE34F5" w:rsidRPr="00C27AF2">
        <w:rPr>
          <w:iCs/>
        </w:rPr>
        <w:t>EMA/CHMP/748108/2013),</w:t>
      </w:r>
      <w:r w:rsidR="00AE34F5" w:rsidRPr="007A28E9">
        <w:rPr>
          <w:iCs/>
        </w:rPr>
        <w:t xml:space="preserve"> izoliuotas MTL-C ir kitų lipidų koncentracijos sumažėjimas laikomas tinkama baigtimi</w:t>
      </w:r>
      <w:r w:rsidR="00AE34F5">
        <w:rPr>
          <w:iCs/>
        </w:rPr>
        <w:t>, e</w:t>
      </w:r>
      <w:r w:rsidR="00AE34F5" w:rsidRPr="00F83DBB">
        <w:rPr>
          <w:iCs/>
        </w:rPr>
        <w:t>volokumabo gebėjimą ženkliai mažinti lipidų kiekį net ir esant maksimaliam gydymui didelio intensyvumo statinu ir ezetimibu patvirtina DESCARTES tyrimas</w:t>
      </w:r>
      <w:r w:rsidR="00AE34F5">
        <w:rPr>
          <w:iCs/>
        </w:rPr>
        <w:t>, kuriame evolokumabas MTL-C koncentraciją sumažino daugiau nei 40%. Evolokumabo saugumo problemų nenustatyta.</w:t>
      </w:r>
    </w:p>
    <w:p w14:paraId="4D056F60" w14:textId="5A251475" w:rsidR="00D24E38" w:rsidRPr="009300B3" w:rsidRDefault="00F83DBB" w:rsidP="00BA6DD7">
      <w:pPr>
        <w:tabs>
          <w:tab w:val="left" w:pos="284"/>
        </w:tabs>
        <w:spacing w:line="276" w:lineRule="auto"/>
        <w:jc w:val="both"/>
        <w:rPr>
          <w:iCs/>
        </w:rPr>
      </w:pPr>
      <w:r>
        <w:rPr>
          <w:iCs/>
        </w:rPr>
        <w:tab/>
      </w:r>
      <w:r>
        <w:rPr>
          <w:iCs/>
        </w:rPr>
        <w:tab/>
        <w:t xml:space="preserve">Kadangi </w:t>
      </w:r>
      <w:r w:rsidRPr="00F83DBB">
        <w:rPr>
          <w:iCs/>
        </w:rPr>
        <w:t xml:space="preserve">klinikinėje praktikoje išlieka nepatenkintas gydymo poreikis (angl. </w:t>
      </w:r>
      <w:proofErr w:type="spellStart"/>
      <w:r w:rsidRPr="00F83DBB">
        <w:rPr>
          <w:i/>
        </w:rPr>
        <w:t>unmet</w:t>
      </w:r>
      <w:proofErr w:type="spellEnd"/>
      <w:r w:rsidRPr="00F83DBB">
        <w:rPr>
          <w:i/>
        </w:rPr>
        <w:t xml:space="preserve"> </w:t>
      </w:r>
      <w:proofErr w:type="spellStart"/>
      <w:r w:rsidRPr="00F83DBB">
        <w:rPr>
          <w:i/>
        </w:rPr>
        <w:t>medical</w:t>
      </w:r>
      <w:proofErr w:type="spellEnd"/>
      <w:r w:rsidRPr="00F83DBB">
        <w:rPr>
          <w:i/>
        </w:rPr>
        <w:t xml:space="preserve"> </w:t>
      </w:r>
      <w:proofErr w:type="spellStart"/>
      <w:r w:rsidRPr="00F83DBB">
        <w:rPr>
          <w:i/>
        </w:rPr>
        <w:t>need</w:t>
      </w:r>
      <w:proofErr w:type="spellEnd"/>
      <w:r w:rsidRPr="00F83DBB">
        <w:rPr>
          <w:iCs/>
        </w:rPr>
        <w:t>) pacientams, kurie</w:t>
      </w:r>
      <w:r w:rsidR="00CE3BC6">
        <w:rPr>
          <w:iCs/>
        </w:rPr>
        <w:t>ms</w:t>
      </w:r>
      <w:r w:rsidRPr="00F83DBB">
        <w:rPr>
          <w:iCs/>
        </w:rPr>
        <w:t xml:space="preserve"> nepaisant optimalaus dvigubo gydymo (didelio intensyvumo statinu ir ezetimibu) nepasiekiamos rekomenduojamos MTL-C reikšmės</w:t>
      </w:r>
      <w:r>
        <w:rPr>
          <w:iCs/>
        </w:rPr>
        <w:t xml:space="preserve">, atsižvelgiant į </w:t>
      </w:r>
      <w:r w:rsidR="00CE3BC6">
        <w:rPr>
          <w:iCs/>
        </w:rPr>
        <w:t>padarytą</w:t>
      </w:r>
      <w:r>
        <w:rPr>
          <w:iCs/>
        </w:rPr>
        <w:t xml:space="preserve"> prielaidą, FOURIER ir DESCARTES tyrimų rezultatus, statino, ezetimibo derinio</w:t>
      </w:r>
      <w:r w:rsidR="00CE3BC6">
        <w:rPr>
          <w:iCs/>
        </w:rPr>
        <w:t xml:space="preserve"> papildymas evolokumabu </w:t>
      </w:r>
      <w:r w:rsidR="001401E0">
        <w:rPr>
          <w:iCs/>
        </w:rPr>
        <w:t xml:space="preserve">labai didelės rizikos pacientams, kuriems nustatyta aterosklerozinė kardiovaskulinė liga, </w:t>
      </w:r>
      <w:r w:rsidR="00CE3BC6">
        <w:rPr>
          <w:iCs/>
        </w:rPr>
        <w:t>sukuria papildomą klinikinę naudą</w:t>
      </w:r>
      <w:r>
        <w:rPr>
          <w:iCs/>
        </w:rPr>
        <w:t>, lyginant su įprasta klinikine praktika.</w:t>
      </w:r>
    </w:p>
    <w:p w14:paraId="2A0F0ED8" w14:textId="77777777" w:rsidR="00BA6DD7" w:rsidRPr="00334F18" w:rsidRDefault="00BA6DD7" w:rsidP="00A93AA6">
      <w:pPr>
        <w:pStyle w:val="Sraopastraipa"/>
        <w:tabs>
          <w:tab w:val="left" w:pos="426"/>
        </w:tabs>
        <w:ind w:left="0"/>
        <w:rPr>
          <w:b/>
          <w:bCs/>
          <w:caps/>
        </w:rPr>
      </w:pPr>
    </w:p>
    <w:p w14:paraId="39C1ADA8" w14:textId="77777777" w:rsidR="00AC5129" w:rsidRPr="00334F18" w:rsidRDefault="00AC5129"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1A900598" w14:textId="4826E5DF" w:rsidR="00C62B36" w:rsidRDefault="00C62B36" w:rsidP="00A93AA6">
      <w:pPr>
        <w:tabs>
          <w:tab w:val="left" w:pos="426"/>
        </w:tabs>
        <w:rPr>
          <w:i/>
        </w:rPr>
      </w:pPr>
    </w:p>
    <w:p w14:paraId="670CE734" w14:textId="77777777" w:rsidR="002D0476" w:rsidRPr="00495955" w:rsidRDefault="002D0476" w:rsidP="002D0476">
      <w:pPr>
        <w:shd w:val="clear" w:color="auto" w:fill="FFFFFF"/>
        <w:spacing w:line="276" w:lineRule="auto"/>
        <w:jc w:val="both"/>
        <w:rPr>
          <w:rFonts w:eastAsia="Arial"/>
        </w:rPr>
      </w:pPr>
      <w:r w:rsidRPr="00495955">
        <w:rPr>
          <w:rFonts w:eastAsia="Arial"/>
        </w:rPr>
        <w:t xml:space="preserve">Vertinimui pateikta kaštų naudingumo analizė, kurioje nagrinėjamas </w:t>
      </w:r>
      <w:proofErr w:type="spellStart"/>
      <w:r w:rsidRPr="00495955">
        <w:rPr>
          <w:rFonts w:eastAsia="Arial"/>
        </w:rPr>
        <w:t>evolokumabo</w:t>
      </w:r>
      <w:proofErr w:type="spellEnd"/>
      <w:r w:rsidRPr="00495955">
        <w:rPr>
          <w:rFonts w:eastAsia="Arial"/>
        </w:rPr>
        <w:t xml:space="preserve"> (</w:t>
      </w:r>
      <w:proofErr w:type="spellStart"/>
      <w:r w:rsidRPr="00495955">
        <w:rPr>
          <w:rFonts w:eastAsia="Arial"/>
        </w:rPr>
        <w:t>repatha</w:t>
      </w:r>
      <w:proofErr w:type="spellEnd"/>
      <w:r w:rsidRPr="00495955">
        <w:rPr>
          <w:rFonts w:eastAsia="Arial"/>
        </w:rPr>
        <w:t xml:space="preserve">), kaip papildomo gydymo, kaštų naudingumas, pacientams, sergantiems aterosklerozine kardiovaskuline liga, siekiant sumažinti MTL-C koncentraciją bei kardiovaskulinę riziką, derinyje su didžiausiomis toleruojamomis statinų dozėmis kartu su kitais lipidų koncentraciją mažinančiais vaistiniais </w:t>
      </w:r>
      <w:r w:rsidRPr="00495955">
        <w:rPr>
          <w:rFonts w:eastAsia="Arial"/>
        </w:rPr>
        <w:lastRenderedPageBreak/>
        <w:t xml:space="preserve">preparatais arba derinyje su kitais lipidų koncentraciją mažinančiais preparatais, pacientams, kurie netoleruoja </w:t>
      </w:r>
      <w:proofErr w:type="spellStart"/>
      <w:r w:rsidRPr="00495955">
        <w:rPr>
          <w:rFonts w:eastAsia="Arial"/>
        </w:rPr>
        <w:t>statinų</w:t>
      </w:r>
      <w:proofErr w:type="spellEnd"/>
      <w:r w:rsidRPr="00495955">
        <w:rPr>
          <w:rFonts w:eastAsia="Arial"/>
        </w:rPr>
        <w:t xml:space="preserve"> (arba </w:t>
      </w:r>
      <w:proofErr w:type="spellStart"/>
      <w:r w:rsidRPr="00495955">
        <w:rPr>
          <w:rFonts w:eastAsia="Arial"/>
        </w:rPr>
        <w:t>statinai</w:t>
      </w:r>
      <w:proofErr w:type="spellEnd"/>
      <w:r w:rsidRPr="00495955">
        <w:rPr>
          <w:rFonts w:eastAsia="Arial"/>
        </w:rPr>
        <w:t xml:space="preserve"> </w:t>
      </w:r>
      <w:proofErr w:type="spellStart"/>
      <w:r w:rsidRPr="00495955">
        <w:rPr>
          <w:rFonts w:eastAsia="Arial"/>
        </w:rPr>
        <w:t>kotraindikuotini</w:t>
      </w:r>
      <w:proofErr w:type="spellEnd"/>
      <w:r w:rsidRPr="00495955">
        <w:rPr>
          <w:rFonts w:eastAsia="Arial"/>
        </w:rPr>
        <w:t xml:space="preserve">). Analizė atliekama iš PSDF biudžeto perspektyvos, o pasirinkta laiko perspektyva sudarė viso gyvenimo trukmę. Tokia laiko perspektyva yra laikoma tinkama, nes analizėje nagrinėjama liga turi įtakos pacientų išgyvenamumui. Analizėje taikomas modeliavimas – </w:t>
      </w:r>
      <w:proofErr w:type="spellStart"/>
      <w:r w:rsidRPr="00495955">
        <w:rPr>
          <w:rFonts w:eastAsia="Arial"/>
        </w:rPr>
        <w:t>Markovo</w:t>
      </w:r>
      <w:proofErr w:type="spellEnd"/>
      <w:r w:rsidRPr="00495955">
        <w:rPr>
          <w:rFonts w:eastAsia="Arial"/>
        </w:rPr>
        <w:t xml:space="preserve"> kohortos metodas. </w:t>
      </w:r>
    </w:p>
    <w:p w14:paraId="750EA9A7" w14:textId="77777777" w:rsidR="002D0476" w:rsidRDefault="002D0476" w:rsidP="002D0476">
      <w:pPr>
        <w:spacing w:line="280" w:lineRule="atLeast"/>
        <w:jc w:val="both"/>
        <w:rPr>
          <w:lang w:eastAsia="lt-LT"/>
        </w:rPr>
      </w:pPr>
      <w:r w:rsidRPr="00495955">
        <w:rPr>
          <w:rFonts w:eastAsia="Arial"/>
        </w:rPr>
        <w:t xml:space="preserve">Pradinis kardiovaskulinių įvykių dažnis analizėje įvertintas remiantis </w:t>
      </w:r>
      <w:proofErr w:type="spellStart"/>
      <w:r w:rsidRPr="00495955">
        <w:rPr>
          <w:rFonts w:eastAsia="Arial"/>
        </w:rPr>
        <w:t>Lindh</w:t>
      </w:r>
      <w:proofErr w:type="spellEnd"/>
      <w:r w:rsidRPr="00495955">
        <w:rPr>
          <w:rFonts w:eastAsia="Arial"/>
        </w:rPr>
        <w:t xml:space="preserve">, 2019 publikacija (kuri grįsta Švedijos registro duomenimis). Gydymo poveikis </w:t>
      </w:r>
      <w:proofErr w:type="spellStart"/>
      <w:r w:rsidRPr="00495955">
        <w:rPr>
          <w:rFonts w:eastAsia="Arial"/>
        </w:rPr>
        <w:t>anlaizėje</w:t>
      </w:r>
      <w:proofErr w:type="spellEnd"/>
      <w:r w:rsidRPr="00495955">
        <w:rPr>
          <w:rFonts w:eastAsia="Arial"/>
        </w:rPr>
        <w:t xml:space="preserve"> įvertintas pagal MTL-C koncentracijos sumažėjimą, </w:t>
      </w:r>
      <w:proofErr w:type="spellStart"/>
      <w:r w:rsidRPr="00495955">
        <w:rPr>
          <w:rFonts w:eastAsia="Arial"/>
        </w:rPr>
        <w:t>įvertintinant</w:t>
      </w:r>
      <w:proofErr w:type="spellEnd"/>
      <w:r w:rsidRPr="00495955">
        <w:rPr>
          <w:rFonts w:eastAsia="Arial"/>
        </w:rPr>
        <w:t xml:space="preserve"> MTL-C koncentracijos sumažėjimo ir KV įvykių rizikos ryšį. Nustatyta, jog </w:t>
      </w:r>
      <w:r w:rsidRPr="00495955">
        <w:t xml:space="preserve">MTL-C koncentracijai sumažėjus 1 mmol/L, KV įvykio rizikos santykis - </w:t>
      </w:r>
      <w:r w:rsidRPr="00495955">
        <w:rPr>
          <w:color w:val="000000" w:themeColor="text1"/>
        </w:rPr>
        <w:t xml:space="preserve">0.78 (95% CI: 0.76 to 0.80). </w:t>
      </w:r>
      <w:r w:rsidRPr="00495955">
        <w:rPr>
          <w:lang w:eastAsia="lt-LT"/>
        </w:rPr>
        <w:t>Tarnyba vertina, jog kardiovaskulinių įvykių dažnio bei mirties dėl kardiovaskulinių priežasčių įvertinimas taikant MTL-C koncentracijos ir įvykių pasireiškimo riziką, analizėje yra laikomas neapibrėžtumu, nes analizė nėra grįsta tiesioginiais įvykių duomenimis skirtingoms pacientų grupėms. Vis dėlto, atsižvelgiant į turimus duomenis, Tarnyba laiko, jog analizės rezultatas, taikant Pareiškėjo pateiktą modelį, gali būti įvertinamas, interpretuojamas bei gali būti priimtas sprendimas dėl vaisto kompensavimo.</w:t>
      </w:r>
    </w:p>
    <w:p w14:paraId="4E8F5DDC" w14:textId="77777777" w:rsidR="002D0476" w:rsidRDefault="002D0476" w:rsidP="002D0476">
      <w:pPr>
        <w:spacing w:line="280" w:lineRule="atLeast"/>
        <w:jc w:val="both"/>
        <w:rPr>
          <w:lang w:eastAsia="lt-LT"/>
        </w:rPr>
      </w:pPr>
      <w:r>
        <w:rPr>
          <w:lang w:eastAsia="lt-LT"/>
        </w:rPr>
        <w:t xml:space="preserve">Siekiant įvertinti pacientų gyvenimo kokybę, analizėje pateikti du metodai: MATZA et al ir </w:t>
      </w:r>
      <w:proofErr w:type="spellStart"/>
      <w:r>
        <w:rPr>
          <w:lang w:eastAsia="lt-LT"/>
        </w:rPr>
        <w:t>Ara</w:t>
      </w:r>
      <w:proofErr w:type="spellEnd"/>
      <w:r>
        <w:rPr>
          <w:lang w:eastAsia="lt-LT"/>
        </w:rPr>
        <w:t xml:space="preserve"> </w:t>
      </w:r>
      <w:proofErr w:type="spellStart"/>
      <w:r>
        <w:rPr>
          <w:lang w:eastAsia="lt-LT"/>
        </w:rPr>
        <w:t>and</w:t>
      </w:r>
      <w:proofErr w:type="spellEnd"/>
      <w:r>
        <w:rPr>
          <w:lang w:eastAsia="lt-LT"/>
        </w:rPr>
        <w:t xml:space="preserve"> </w:t>
      </w:r>
      <w:proofErr w:type="spellStart"/>
      <w:r>
        <w:rPr>
          <w:lang w:eastAsia="lt-LT"/>
        </w:rPr>
        <w:t>Brazier</w:t>
      </w:r>
      <w:proofErr w:type="spellEnd"/>
      <w:r>
        <w:rPr>
          <w:lang w:eastAsia="lt-LT"/>
        </w:rPr>
        <w:t xml:space="preserve">. Tarnyba siekdama panašumo tarp atliktų vertinimų panašiai indikacijai, pagrindinio atvejo analizėje renkasi </w:t>
      </w:r>
      <w:proofErr w:type="spellStart"/>
      <w:r>
        <w:rPr>
          <w:lang w:eastAsia="lt-LT"/>
        </w:rPr>
        <w:t>Ara</w:t>
      </w:r>
      <w:proofErr w:type="spellEnd"/>
      <w:r>
        <w:rPr>
          <w:lang w:eastAsia="lt-LT"/>
        </w:rPr>
        <w:t xml:space="preserve"> </w:t>
      </w:r>
      <w:proofErr w:type="spellStart"/>
      <w:r>
        <w:rPr>
          <w:lang w:eastAsia="lt-LT"/>
        </w:rPr>
        <w:t>and</w:t>
      </w:r>
      <w:proofErr w:type="spellEnd"/>
      <w:r>
        <w:rPr>
          <w:lang w:eastAsia="lt-LT"/>
        </w:rPr>
        <w:t xml:space="preserve"> </w:t>
      </w:r>
      <w:proofErr w:type="spellStart"/>
      <w:r>
        <w:rPr>
          <w:lang w:eastAsia="lt-LT"/>
        </w:rPr>
        <w:t>Brazier</w:t>
      </w:r>
      <w:proofErr w:type="spellEnd"/>
      <w:r>
        <w:rPr>
          <w:lang w:eastAsia="lt-LT"/>
        </w:rPr>
        <w:t xml:space="preserve"> metodą gyvenimo kokybės įvertinimui. </w:t>
      </w:r>
    </w:p>
    <w:p w14:paraId="6D1093DD" w14:textId="6D0F153B" w:rsidR="002D0476" w:rsidRPr="00495955" w:rsidRDefault="00A12C77" w:rsidP="002D0476">
      <w:pPr>
        <w:spacing w:line="280" w:lineRule="atLeast"/>
        <w:jc w:val="both"/>
        <w:rPr>
          <w:lang w:eastAsia="lt-LT"/>
        </w:rPr>
      </w:pPr>
      <w:r w:rsidRPr="00A12C77">
        <w:rPr>
          <w:rFonts w:eastAsia="Arial"/>
        </w:rPr>
        <w:t>****</w:t>
      </w:r>
      <w:r w:rsidR="002D0476" w:rsidRPr="00A12C77">
        <w:rPr>
          <w:lang w:eastAsia="lt-LT"/>
        </w:rPr>
        <w:t>.</w:t>
      </w:r>
    </w:p>
    <w:p w14:paraId="2CDE4BC1" w14:textId="77777777" w:rsidR="002D0476" w:rsidRPr="00334F18" w:rsidRDefault="002D0476" w:rsidP="00A93AA6">
      <w:pPr>
        <w:tabs>
          <w:tab w:val="left" w:pos="426"/>
        </w:tabs>
        <w:rPr>
          <w:b/>
          <w:bCs/>
          <w:caps/>
        </w:rPr>
      </w:pPr>
    </w:p>
    <w:p w14:paraId="174D84D7" w14:textId="09C7BC2B" w:rsidR="0035172D" w:rsidRPr="00334F18" w:rsidRDefault="00164D64" w:rsidP="00A93AA6">
      <w:pPr>
        <w:tabs>
          <w:tab w:val="left" w:pos="426"/>
        </w:tabs>
        <w:rPr>
          <w:b/>
          <w:lang w:eastAsia="lt-LT"/>
        </w:rPr>
      </w:pPr>
      <w:r w:rsidRPr="00334F18">
        <w:rPr>
          <w:b/>
          <w:lang w:eastAsia="lt-LT"/>
        </w:rPr>
        <w:t xml:space="preserve">3.1 </w:t>
      </w:r>
      <w:r w:rsidR="0035172D" w:rsidRPr="00334F18">
        <w:rPr>
          <w:b/>
          <w:lang w:eastAsia="lt-LT"/>
        </w:rPr>
        <w:t>Ekonominės analizės rezultatas</w:t>
      </w:r>
    </w:p>
    <w:p w14:paraId="4801D227" w14:textId="77777777" w:rsidR="009E44AE" w:rsidRPr="00334F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34F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34F18" w:rsidRDefault="009E44AE" w:rsidP="009E44AE">
            <w:pPr>
              <w:tabs>
                <w:tab w:val="left" w:pos="567"/>
              </w:tabs>
              <w:jc w:val="center"/>
              <w:rPr>
                <w:b/>
                <w:bCs/>
                <w:sz w:val="26"/>
                <w:szCs w:val="26"/>
                <w:lang w:eastAsia="lt-LT"/>
              </w:rPr>
            </w:pPr>
            <w:r w:rsidRPr="00334F18">
              <w:rPr>
                <w:b/>
                <w:bCs/>
                <w:sz w:val="26"/>
                <w:szCs w:val="26"/>
                <w:lang w:eastAsia="lt-LT"/>
              </w:rPr>
              <w:t>Rezultatai</w:t>
            </w:r>
          </w:p>
        </w:tc>
      </w:tr>
      <w:tr w:rsidR="00334F18" w:rsidRPr="00334F18" w14:paraId="319AF392" w14:textId="77777777" w:rsidTr="00BE7489">
        <w:trPr>
          <w:trHeight w:val="267"/>
          <w:jc w:val="center"/>
        </w:trPr>
        <w:tc>
          <w:tcPr>
            <w:tcW w:w="6200" w:type="dxa"/>
            <w:tcBorders>
              <w:left w:val="single" w:sz="4" w:space="0" w:color="auto"/>
            </w:tcBorders>
          </w:tcPr>
          <w:p w14:paraId="44CD8D27" w14:textId="27245A0B" w:rsidR="00BA5DBC" w:rsidRPr="00334F18" w:rsidRDefault="00BA5DBC" w:rsidP="00BA5DBC">
            <w:pPr>
              <w:tabs>
                <w:tab w:val="left" w:pos="567"/>
              </w:tabs>
              <w:jc w:val="right"/>
              <w:rPr>
                <w:iCs/>
                <w:lang w:eastAsia="lt-LT"/>
              </w:rPr>
            </w:pPr>
            <w:r w:rsidRPr="00334F18">
              <w:rPr>
                <w:iCs/>
                <w:lang w:eastAsia="lt-LT"/>
              </w:rPr>
              <w:t>Kaštų skirtumas</w:t>
            </w:r>
          </w:p>
        </w:tc>
        <w:tc>
          <w:tcPr>
            <w:tcW w:w="3238" w:type="dxa"/>
            <w:tcBorders>
              <w:right w:val="single" w:sz="4" w:space="0" w:color="auto"/>
            </w:tcBorders>
          </w:tcPr>
          <w:p w14:paraId="1CACF0B4" w14:textId="725F5F9F" w:rsidR="00BA5DBC" w:rsidRPr="00A12C77" w:rsidRDefault="00A12C77" w:rsidP="00A12C77">
            <w:pPr>
              <w:spacing w:line="280" w:lineRule="atLeast"/>
              <w:jc w:val="both"/>
              <w:rPr>
                <w:lang w:eastAsia="lt-LT"/>
              </w:rPr>
            </w:pPr>
            <w:r w:rsidRPr="00A12C77">
              <w:rPr>
                <w:rFonts w:eastAsia="Arial"/>
              </w:rPr>
              <w:t>****</w:t>
            </w:r>
            <w:r w:rsidRPr="00A12C77">
              <w:rPr>
                <w:rFonts w:eastAsia="Arial"/>
              </w:rPr>
              <w:t xml:space="preserve"> </w:t>
            </w:r>
            <w:proofErr w:type="spellStart"/>
            <w:r w:rsidR="002D0476" w:rsidRPr="00A12C77">
              <w:rPr>
                <w:i/>
                <w:iCs/>
                <w:lang w:eastAsia="lt-LT"/>
              </w:rPr>
              <w:t>eur</w:t>
            </w:r>
            <w:proofErr w:type="spellEnd"/>
          </w:p>
        </w:tc>
      </w:tr>
      <w:tr w:rsidR="00334F18" w:rsidRPr="00334F18" w14:paraId="49F818A3" w14:textId="77777777" w:rsidTr="00BE7489">
        <w:trPr>
          <w:trHeight w:val="267"/>
          <w:jc w:val="center"/>
        </w:trPr>
        <w:tc>
          <w:tcPr>
            <w:tcW w:w="6200" w:type="dxa"/>
            <w:tcBorders>
              <w:left w:val="single" w:sz="4" w:space="0" w:color="auto"/>
            </w:tcBorders>
          </w:tcPr>
          <w:p w14:paraId="021DB925" w14:textId="389F1BF5" w:rsidR="00BA5DBC" w:rsidRPr="00334F18" w:rsidRDefault="00BA5DBC" w:rsidP="00BA5DBC">
            <w:pPr>
              <w:tabs>
                <w:tab w:val="left" w:pos="567"/>
              </w:tabs>
              <w:jc w:val="right"/>
              <w:rPr>
                <w:iCs/>
                <w:lang w:eastAsia="lt-LT"/>
              </w:rPr>
            </w:pPr>
            <w:r w:rsidRPr="00334F18">
              <w:rPr>
                <w:iCs/>
                <w:lang w:eastAsia="lt-LT"/>
              </w:rPr>
              <w:t>Papildomi gyvenimo metai (LY)</w:t>
            </w:r>
          </w:p>
        </w:tc>
        <w:tc>
          <w:tcPr>
            <w:tcW w:w="3238" w:type="dxa"/>
            <w:tcBorders>
              <w:right w:val="single" w:sz="4" w:space="0" w:color="auto"/>
            </w:tcBorders>
          </w:tcPr>
          <w:p w14:paraId="4954817B" w14:textId="08B7CE7F" w:rsidR="00BA5DBC" w:rsidRPr="00A12C77" w:rsidRDefault="00A12C77" w:rsidP="00BA5DBC">
            <w:pPr>
              <w:tabs>
                <w:tab w:val="left" w:pos="567"/>
              </w:tabs>
              <w:jc w:val="both"/>
              <w:rPr>
                <w:i/>
                <w:iCs/>
                <w:lang w:eastAsia="lt-LT"/>
              </w:rPr>
            </w:pPr>
            <w:r w:rsidRPr="00A12C77">
              <w:rPr>
                <w:rFonts w:eastAsia="Arial"/>
              </w:rPr>
              <w:t>****</w:t>
            </w:r>
          </w:p>
        </w:tc>
      </w:tr>
      <w:tr w:rsidR="00334F18" w:rsidRPr="00334F18" w14:paraId="20ADA742" w14:textId="77777777" w:rsidTr="00BE7489">
        <w:trPr>
          <w:trHeight w:val="267"/>
          <w:jc w:val="center"/>
        </w:trPr>
        <w:tc>
          <w:tcPr>
            <w:tcW w:w="6200" w:type="dxa"/>
            <w:tcBorders>
              <w:left w:val="single" w:sz="4" w:space="0" w:color="auto"/>
            </w:tcBorders>
          </w:tcPr>
          <w:p w14:paraId="0F567576" w14:textId="2606A2E9" w:rsidR="00BA5DBC" w:rsidRPr="00334F18" w:rsidRDefault="0058712F" w:rsidP="00BA5DBC">
            <w:pPr>
              <w:tabs>
                <w:tab w:val="left" w:pos="567"/>
              </w:tabs>
              <w:jc w:val="right"/>
              <w:rPr>
                <w:iCs/>
                <w:lang w:eastAsia="lt-LT"/>
              </w:rPr>
            </w:pPr>
            <w:r w:rsidRPr="00334F18">
              <w:rPr>
                <w:iCs/>
                <w:lang w:eastAsia="lt-LT"/>
              </w:rPr>
              <w:t>Papildomi k</w:t>
            </w:r>
            <w:r w:rsidR="00BA5DBC" w:rsidRPr="00334F18">
              <w:rPr>
                <w:iCs/>
                <w:lang w:eastAsia="lt-LT"/>
              </w:rPr>
              <w:t>okybiški gyvenimo metai (QALY)</w:t>
            </w:r>
          </w:p>
        </w:tc>
        <w:tc>
          <w:tcPr>
            <w:tcW w:w="3238" w:type="dxa"/>
            <w:tcBorders>
              <w:right w:val="single" w:sz="4" w:space="0" w:color="auto"/>
            </w:tcBorders>
          </w:tcPr>
          <w:p w14:paraId="02E4DAE1" w14:textId="6B2FAA8C" w:rsidR="00BA5DBC" w:rsidRPr="00A12C77" w:rsidRDefault="00A12C77" w:rsidP="00BA5DBC">
            <w:pPr>
              <w:tabs>
                <w:tab w:val="left" w:pos="567"/>
              </w:tabs>
              <w:jc w:val="both"/>
              <w:rPr>
                <w:i/>
                <w:iCs/>
                <w:lang w:eastAsia="lt-LT"/>
              </w:rPr>
            </w:pPr>
            <w:r w:rsidRPr="00A12C77">
              <w:rPr>
                <w:rFonts w:eastAsia="Arial"/>
              </w:rPr>
              <w:t>****</w:t>
            </w:r>
          </w:p>
        </w:tc>
      </w:tr>
      <w:tr w:rsidR="00334F18" w:rsidRPr="00334F18" w14:paraId="1FADA2B3" w14:textId="77777777" w:rsidTr="00BE7489">
        <w:trPr>
          <w:trHeight w:val="267"/>
          <w:jc w:val="center"/>
        </w:trPr>
        <w:tc>
          <w:tcPr>
            <w:tcW w:w="6200" w:type="dxa"/>
            <w:tcBorders>
              <w:left w:val="single" w:sz="4" w:space="0" w:color="auto"/>
            </w:tcBorders>
          </w:tcPr>
          <w:p w14:paraId="13E089E8" w14:textId="0BCEB339" w:rsidR="00BA5DBC" w:rsidRPr="00334F18" w:rsidRDefault="00BA5DBC" w:rsidP="009E44AE">
            <w:pPr>
              <w:tabs>
                <w:tab w:val="left" w:pos="567"/>
              </w:tabs>
              <w:jc w:val="right"/>
              <w:rPr>
                <w:iCs/>
                <w:lang w:eastAsia="lt-LT"/>
              </w:rPr>
            </w:pPr>
            <w:r w:rsidRPr="00334F18">
              <w:rPr>
                <w:iCs/>
                <w:lang w:eastAsia="lt-LT"/>
              </w:rPr>
              <w:t>ICER už LY</w:t>
            </w:r>
          </w:p>
        </w:tc>
        <w:tc>
          <w:tcPr>
            <w:tcW w:w="3238" w:type="dxa"/>
            <w:tcBorders>
              <w:right w:val="single" w:sz="4" w:space="0" w:color="auto"/>
            </w:tcBorders>
          </w:tcPr>
          <w:p w14:paraId="2817448D" w14:textId="2D508653" w:rsidR="00BA5DBC" w:rsidRPr="00A12C77" w:rsidRDefault="00A12C77" w:rsidP="009E44AE">
            <w:pPr>
              <w:tabs>
                <w:tab w:val="left" w:pos="567"/>
              </w:tabs>
              <w:jc w:val="both"/>
              <w:rPr>
                <w:i/>
                <w:iCs/>
                <w:lang w:eastAsia="lt-LT"/>
              </w:rPr>
            </w:pPr>
            <w:r w:rsidRPr="00A12C77">
              <w:rPr>
                <w:rFonts w:eastAsia="Arial"/>
              </w:rPr>
              <w:t xml:space="preserve">**** </w:t>
            </w:r>
            <w:proofErr w:type="spellStart"/>
            <w:r w:rsidR="002D0476" w:rsidRPr="00A12C77">
              <w:rPr>
                <w:i/>
                <w:iCs/>
                <w:lang w:eastAsia="lt-LT"/>
              </w:rPr>
              <w:t>eur</w:t>
            </w:r>
            <w:proofErr w:type="spellEnd"/>
            <w:r w:rsidR="002D0476" w:rsidRPr="00A12C77">
              <w:rPr>
                <w:i/>
                <w:iCs/>
                <w:lang w:eastAsia="lt-LT"/>
              </w:rPr>
              <w:t>/LY</w:t>
            </w:r>
          </w:p>
        </w:tc>
      </w:tr>
      <w:tr w:rsidR="00334F18" w:rsidRPr="00334F18" w14:paraId="250DE960" w14:textId="77777777" w:rsidTr="00BE7489">
        <w:trPr>
          <w:trHeight w:val="267"/>
          <w:jc w:val="center"/>
        </w:trPr>
        <w:tc>
          <w:tcPr>
            <w:tcW w:w="6200" w:type="dxa"/>
            <w:tcBorders>
              <w:left w:val="single" w:sz="4" w:space="0" w:color="auto"/>
            </w:tcBorders>
          </w:tcPr>
          <w:p w14:paraId="207EFB23" w14:textId="77777777" w:rsidR="009E44AE" w:rsidRPr="00334F18" w:rsidRDefault="009E44AE" w:rsidP="009E44AE">
            <w:pPr>
              <w:tabs>
                <w:tab w:val="left" w:pos="567"/>
              </w:tabs>
              <w:jc w:val="right"/>
              <w:rPr>
                <w:iCs/>
                <w:lang w:eastAsia="lt-LT"/>
              </w:rPr>
            </w:pPr>
            <w:r w:rsidRPr="00334F18">
              <w:rPr>
                <w:iCs/>
                <w:lang w:eastAsia="lt-LT"/>
              </w:rPr>
              <w:t>ICER už QALY</w:t>
            </w:r>
          </w:p>
        </w:tc>
        <w:tc>
          <w:tcPr>
            <w:tcW w:w="3238" w:type="dxa"/>
            <w:tcBorders>
              <w:right w:val="single" w:sz="4" w:space="0" w:color="auto"/>
            </w:tcBorders>
          </w:tcPr>
          <w:p w14:paraId="4275320D" w14:textId="32B65B99" w:rsidR="009E44AE" w:rsidRPr="00A12C77" w:rsidRDefault="00A12C77" w:rsidP="009E44AE">
            <w:pPr>
              <w:tabs>
                <w:tab w:val="left" w:pos="567"/>
              </w:tabs>
              <w:jc w:val="both"/>
              <w:rPr>
                <w:i/>
                <w:iCs/>
                <w:lang w:eastAsia="lt-LT"/>
              </w:rPr>
            </w:pPr>
            <w:r w:rsidRPr="00A12C77">
              <w:rPr>
                <w:rFonts w:eastAsia="Arial"/>
              </w:rPr>
              <w:t xml:space="preserve">**** </w:t>
            </w:r>
            <w:proofErr w:type="spellStart"/>
            <w:r w:rsidR="002D0476" w:rsidRPr="00A12C77">
              <w:rPr>
                <w:i/>
                <w:iCs/>
                <w:lang w:eastAsia="lt-LT"/>
              </w:rPr>
              <w:t>eur</w:t>
            </w:r>
            <w:proofErr w:type="spellEnd"/>
            <w:r w:rsidR="002D0476" w:rsidRPr="00A12C77">
              <w:rPr>
                <w:i/>
                <w:iCs/>
                <w:lang w:eastAsia="lt-LT"/>
              </w:rPr>
              <w:t>/QALY</w:t>
            </w:r>
          </w:p>
        </w:tc>
      </w:tr>
      <w:tr w:rsidR="00334F18" w:rsidRPr="00334F18"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334F18" w:rsidRDefault="00437623" w:rsidP="009E44AE">
            <w:pPr>
              <w:tabs>
                <w:tab w:val="left" w:pos="567"/>
              </w:tabs>
              <w:jc w:val="right"/>
              <w:rPr>
                <w:iCs/>
                <w:lang w:eastAsia="lt-LT"/>
              </w:rPr>
            </w:pPr>
            <w:r w:rsidRPr="00334F18">
              <w:rPr>
                <w:iCs/>
                <w:lang w:eastAsia="lt-LT"/>
              </w:rPr>
              <w:t>Referenc</w:t>
            </w:r>
            <w:r w:rsidR="009E44AE" w:rsidRPr="00334F18">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1AD54382" w:rsidR="009E44AE" w:rsidRPr="00A12C77" w:rsidRDefault="00A12C77" w:rsidP="009E44AE">
            <w:pPr>
              <w:tabs>
                <w:tab w:val="left" w:pos="567"/>
              </w:tabs>
              <w:jc w:val="both"/>
              <w:rPr>
                <w:i/>
                <w:iCs/>
                <w:lang w:eastAsia="lt-LT"/>
              </w:rPr>
            </w:pPr>
            <w:r w:rsidRPr="00A12C77">
              <w:rPr>
                <w:rFonts w:eastAsia="Arial"/>
              </w:rPr>
              <w:t xml:space="preserve">**** </w:t>
            </w:r>
            <w:proofErr w:type="spellStart"/>
            <w:r w:rsidR="002D0476" w:rsidRPr="00A12C77">
              <w:rPr>
                <w:i/>
                <w:iCs/>
                <w:lang w:eastAsia="lt-LT"/>
              </w:rPr>
              <w:t>eur</w:t>
            </w:r>
            <w:proofErr w:type="spellEnd"/>
            <w:r w:rsidR="002D0476" w:rsidRPr="00A12C77">
              <w:rPr>
                <w:i/>
                <w:iCs/>
                <w:lang w:eastAsia="lt-LT"/>
              </w:rPr>
              <w:t>/QALY</w:t>
            </w:r>
          </w:p>
        </w:tc>
      </w:tr>
    </w:tbl>
    <w:p w14:paraId="5FC8C737" w14:textId="4136B7F4" w:rsidR="0035172D" w:rsidRPr="00334F18" w:rsidRDefault="00E5102E" w:rsidP="0035172D">
      <w:pPr>
        <w:tabs>
          <w:tab w:val="left" w:pos="567"/>
        </w:tabs>
        <w:jc w:val="both"/>
        <w:rPr>
          <w:iCs/>
          <w:sz w:val="20"/>
          <w:lang w:eastAsia="lt-LT"/>
        </w:rPr>
      </w:pPr>
      <w:r w:rsidRPr="00334F18">
        <w:rPr>
          <w:iCs/>
          <w:sz w:val="20"/>
          <w:lang w:eastAsia="lt-LT"/>
        </w:rPr>
        <w:t xml:space="preserve">ICER </w:t>
      </w:r>
      <w:r w:rsidR="00453862" w:rsidRPr="00334F18">
        <w:rPr>
          <w:iCs/>
          <w:sz w:val="20"/>
          <w:lang w:eastAsia="lt-LT"/>
        </w:rPr>
        <w:t>– (</w:t>
      </w:r>
      <w:r w:rsidR="00453862" w:rsidRPr="00334F18">
        <w:rPr>
          <w:i/>
          <w:sz w:val="20"/>
          <w:lang w:eastAsia="lt-LT"/>
        </w:rPr>
        <w:t xml:space="preserve">angl. </w:t>
      </w:r>
      <w:proofErr w:type="spellStart"/>
      <w:r w:rsidR="00453862" w:rsidRPr="00334F18">
        <w:rPr>
          <w:i/>
          <w:sz w:val="20"/>
          <w:lang w:eastAsia="lt-LT"/>
        </w:rPr>
        <w:t>incremental</w:t>
      </w:r>
      <w:proofErr w:type="spellEnd"/>
      <w:r w:rsidR="00453862" w:rsidRPr="00334F18">
        <w:rPr>
          <w:i/>
          <w:sz w:val="20"/>
          <w:lang w:eastAsia="lt-LT"/>
        </w:rPr>
        <w:t xml:space="preserve"> </w:t>
      </w:r>
      <w:proofErr w:type="spellStart"/>
      <w:r w:rsidR="00453862" w:rsidRPr="00334F18">
        <w:rPr>
          <w:i/>
          <w:sz w:val="20"/>
          <w:lang w:eastAsia="lt-LT"/>
        </w:rPr>
        <w:t>cost-effectiveness</w:t>
      </w:r>
      <w:proofErr w:type="spellEnd"/>
      <w:r w:rsidR="00453862" w:rsidRPr="00334F18">
        <w:rPr>
          <w:i/>
          <w:sz w:val="20"/>
          <w:lang w:eastAsia="lt-LT"/>
        </w:rPr>
        <w:t xml:space="preserve"> </w:t>
      </w:r>
      <w:proofErr w:type="spellStart"/>
      <w:r w:rsidR="00453862" w:rsidRPr="00334F18">
        <w:rPr>
          <w:i/>
          <w:sz w:val="20"/>
          <w:lang w:eastAsia="lt-LT"/>
        </w:rPr>
        <w:t>ratio</w:t>
      </w:r>
      <w:proofErr w:type="spellEnd"/>
      <w:r w:rsidR="00453862" w:rsidRPr="00334F18">
        <w:rPr>
          <w:iCs/>
          <w:sz w:val="20"/>
          <w:lang w:eastAsia="lt-LT"/>
        </w:rPr>
        <w:t xml:space="preserve">) </w:t>
      </w:r>
      <w:proofErr w:type="spellStart"/>
      <w:r w:rsidR="00453862" w:rsidRPr="00334F18">
        <w:rPr>
          <w:iCs/>
          <w:sz w:val="20"/>
          <w:lang w:eastAsia="lt-LT"/>
        </w:rPr>
        <w:t>inkrementinis</w:t>
      </w:r>
      <w:proofErr w:type="spellEnd"/>
      <w:r w:rsidR="00453862" w:rsidRPr="00334F18">
        <w:rPr>
          <w:iCs/>
          <w:sz w:val="20"/>
          <w:lang w:eastAsia="lt-LT"/>
        </w:rPr>
        <w:t xml:space="preserve"> kaštų naudingumo koeficientas</w:t>
      </w:r>
      <w:r w:rsidRPr="00334F18">
        <w:rPr>
          <w:iCs/>
          <w:sz w:val="20"/>
          <w:lang w:eastAsia="lt-LT"/>
        </w:rPr>
        <w:t>; LY –</w:t>
      </w:r>
      <w:r w:rsidR="00453862" w:rsidRPr="00334F18">
        <w:rPr>
          <w:iCs/>
          <w:sz w:val="20"/>
          <w:lang w:eastAsia="lt-LT"/>
        </w:rPr>
        <w:t xml:space="preserve"> (</w:t>
      </w:r>
      <w:r w:rsidR="00453862" w:rsidRPr="00334F18">
        <w:rPr>
          <w:i/>
          <w:sz w:val="20"/>
          <w:lang w:eastAsia="lt-LT"/>
        </w:rPr>
        <w:t xml:space="preserve">angl.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Cs/>
          <w:sz w:val="20"/>
          <w:lang w:eastAsia="lt-LT"/>
        </w:rPr>
        <w:t>) gyvenimo metai</w:t>
      </w:r>
      <w:r w:rsidRPr="00334F18">
        <w:rPr>
          <w:iCs/>
          <w:sz w:val="20"/>
          <w:lang w:eastAsia="lt-LT"/>
        </w:rPr>
        <w:t xml:space="preserve">; QALY- </w:t>
      </w:r>
      <w:r w:rsidR="00453862" w:rsidRPr="00334F18">
        <w:rPr>
          <w:iCs/>
          <w:sz w:val="20"/>
          <w:lang w:eastAsia="lt-LT"/>
        </w:rPr>
        <w:t>(</w:t>
      </w:r>
      <w:r w:rsidR="00453862" w:rsidRPr="00334F18">
        <w:rPr>
          <w:i/>
          <w:sz w:val="20"/>
          <w:lang w:eastAsia="lt-LT"/>
        </w:rPr>
        <w:t xml:space="preserve">angl. </w:t>
      </w:r>
      <w:proofErr w:type="spellStart"/>
      <w:r w:rsidR="00453862" w:rsidRPr="00334F18">
        <w:rPr>
          <w:i/>
          <w:sz w:val="20"/>
          <w:lang w:eastAsia="lt-LT"/>
        </w:rPr>
        <w:t>quality</w:t>
      </w:r>
      <w:proofErr w:type="spellEnd"/>
      <w:r w:rsidR="00453862" w:rsidRPr="00334F18">
        <w:rPr>
          <w:i/>
          <w:sz w:val="20"/>
          <w:lang w:eastAsia="lt-LT"/>
        </w:rPr>
        <w:t xml:space="preserve"> </w:t>
      </w:r>
      <w:proofErr w:type="spellStart"/>
      <w:r w:rsidR="00453862" w:rsidRPr="00334F18">
        <w:rPr>
          <w:i/>
          <w:sz w:val="20"/>
          <w:lang w:eastAsia="lt-LT"/>
        </w:rPr>
        <w:t>adjusted</w:t>
      </w:r>
      <w:proofErr w:type="spellEnd"/>
      <w:r w:rsidR="00453862" w:rsidRPr="00334F18">
        <w:rPr>
          <w:i/>
          <w:sz w:val="20"/>
          <w:lang w:eastAsia="lt-LT"/>
        </w:rPr>
        <w:t xml:space="preserve">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
          <w:sz w:val="20"/>
          <w:lang w:eastAsia="lt-LT"/>
        </w:rPr>
        <w:t xml:space="preserve">) </w:t>
      </w:r>
      <w:r w:rsidR="00453862" w:rsidRPr="00334F18">
        <w:rPr>
          <w:iCs/>
          <w:sz w:val="20"/>
          <w:lang w:eastAsia="lt-LT"/>
        </w:rPr>
        <w:t>kokybiški gyvenimo metai.</w:t>
      </w:r>
    </w:p>
    <w:p w14:paraId="33875138" w14:textId="77777777" w:rsidR="0035172D" w:rsidRPr="00334F18" w:rsidRDefault="0035172D"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03E73D82" w14:textId="3AAE2FFA" w:rsidR="00D417D2" w:rsidRDefault="00937907" w:rsidP="00937907">
      <w:pPr>
        <w:spacing w:after="120"/>
        <w:jc w:val="both"/>
      </w:pPr>
      <w:r w:rsidRPr="00334F18">
        <w:t>Pacientų organizacijos pozicija pateikta. Žr. priedą.</w:t>
      </w:r>
    </w:p>
    <w:p w14:paraId="4BFCB257" w14:textId="77777777" w:rsidR="000828B3" w:rsidRPr="00334F18" w:rsidRDefault="000828B3"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044D5084" w14:textId="77777777" w:rsidR="00C9728E" w:rsidRPr="00334F18" w:rsidRDefault="00C9728E" w:rsidP="00C9728E">
      <w:pPr>
        <w:pStyle w:val="Sraopastraipa"/>
        <w:tabs>
          <w:tab w:val="left" w:pos="567"/>
        </w:tabs>
        <w:rPr>
          <w:b/>
          <w:bCs/>
          <w:caps/>
        </w:rPr>
      </w:pPr>
    </w:p>
    <w:p w14:paraId="5D8CC48C" w14:textId="3F5B2D16" w:rsidR="00662983" w:rsidRPr="00334F18" w:rsidRDefault="00D67BAF" w:rsidP="00662983">
      <w:pPr>
        <w:spacing w:after="120"/>
        <w:jc w:val="both"/>
      </w:pPr>
      <w:r w:rsidRPr="00334F18">
        <w:t>S</w:t>
      </w:r>
      <w:r w:rsidRPr="00334F18">
        <w:rPr>
          <w:bCs/>
        </w:rPr>
        <w:t>veikatos priežiūros specialistų</w:t>
      </w:r>
      <w:r w:rsidRPr="00334F18">
        <w:rPr>
          <w:b/>
        </w:rPr>
        <w:t xml:space="preserve"> </w:t>
      </w:r>
      <w:r w:rsidR="00937907" w:rsidRPr="00334F18">
        <w:t xml:space="preserve">organizacijos pozicija pateikta. </w:t>
      </w:r>
      <w:r w:rsidR="00662983" w:rsidRPr="00334F18">
        <w:t>Žr. priedą</w:t>
      </w:r>
      <w:r w:rsidR="00937907" w:rsidRPr="00334F18">
        <w:t>.</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4F9376B3"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655DFE">
                  <w:rPr>
                    <w:rStyle w:val="Style2"/>
                    <w:rFonts w:ascii="MS Gothic" w:eastAsia="MS Gothic" w:hAnsi="MS Gothic" w:hint="eastAsia"/>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lastRenderedPageBreak/>
              <w:t>Kaštų naudingumas</w:t>
            </w:r>
          </w:p>
        </w:tc>
      </w:tr>
      <w:tr w:rsidR="00334F18" w:rsidRPr="00334F18" w14:paraId="6A2F62B2" w14:textId="77777777" w:rsidTr="00743956">
        <w:tc>
          <w:tcPr>
            <w:tcW w:w="4820" w:type="dxa"/>
          </w:tcPr>
          <w:p w14:paraId="7CB2C697" w14:textId="44A4E1DF"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3DF8290D"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2D0476">
                  <w:rPr>
                    <w:rStyle w:val="Style2"/>
                    <w:rFonts w:ascii="MS Gothic" w:eastAsia="MS Gothic" w:hAnsi="MS Gothic" w:hint="eastAsia"/>
                    <w:sz w:val="23"/>
                    <w:szCs w:val="23"/>
                  </w:rPr>
                  <w:t>☒</w:t>
                </w:r>
              </w:sdtContent>
            </w:sdt>
            <w:r w:rsidR="00B811A4" w:rsidRPr="00334F18">
              <w:rPr>
                <w:sz w:val="23"/>
                <w:szCs w:val="23"/>
              </w:rPr>
              <w:t xml:space="preserve"> 29.2.3 neatitinka referencinės naudingumo vertės 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7C5A3CE" w:rsidR="007111C4" w:rsidRPr="00334F18" w:rsidRDefault="00A12C77"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334F18">
                  <w:rPr>
                    <w:rStyle w:val="Style2"/>
                    <w:rFonts w:ascii="Segoe UI Symbol" w:eastAsia="MS Gothic" w:hAnsi="Segoe UI Symbol" w:cs="Segoe UI Symbol"/>
                    <w:sz w:val="23"/>
                    <w:szCs w:val="23"/>
                  </w:rPr>
                  <w:t>☐</w:t>
                </w:r>
              </w:sdtContent>
            </w:sdt>
            <w:r w:rsidR="007111C4" w:rsidRPr="00334F18">
              <w:rPr>
                <w:sz w:val="23"/>
                <w:szCs w:val="23"/>
              </w:rPr>
              <w:t xml:space="preserve"> Vykdant Aprašo &lt;17</w:t>
            </w:r>
            <w:r w:rsidR="007111C4" w:rsidRPr="00334F18">
              <w:rPr>
                <w:sz w:val="23"/>
                <w:szCs w:val="23"/>
                <w:vertAlign w:val="superscript"/>
              </w:rPr>
              <w:t>3</w:t>
            </w:r>
            <w:r w:rsidR="007111C4" w:rsidRPr="00334F18">
              <w:rPr>
                <w:sz w:val="23"/>
                <w:szCs w:val="23"/>
              </w:rPr>
              <w:t>.1&gt;&lt;17</w:t>
            </w:r>
            <w:r w:rsidR="007111C4" w:rsidRPr="00334F18">
              <w:rPr>
                <w:sz w:val="23"/>
                <w:szCs w:val="23"/>
                <w:vertAlign w:val="superscript"/>
              </w:rPr>
              <w:t>3</w:t>
            </w:r>
            <w:r w:rsidR="007111C4" w:rsidRPr="00334F18">
              <w:rPr>
                <w:sz w:val="23"/>
                <w:szCs w:val="23"/>
              </w:rPr>
              <w:t>.2&gt;&lt;17</w:t>
            </w:r>
            <w:r w:rsidR="007111C4" w:rsidRPr="00334F18">
              <w:rPr>
                <w:sz w:val="23"/>
                <w:szCs w:val="23"/>
                <w:vertAlign w:val="superscript"/>
              </w:rPr>
              <w:t>3</w:t>
            </w:r>
            <w:r w:rsidR="007111C4" w:rsidRPr="00334F18">
              <w:rPr>
                <w:sz w:val="23"/>
                <w:szCs w:val="23"/>
              </w:rPr>
              <w:t>.3&gt;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Pr="00334F18" w:rsidRDefault="00B811A4" w:rsidP="00B811A4">
      <w:pPr>
        <w:pStyle w:val="Sraopastraipa"/>
        <w:ind w:left="567"/>
        <w:rPr>
          <w:b/>
        </w:rPr>
      </w:pPr>
    </w:p>
    <w:p w14:paraId="1501F46E" w14:textId="77777777" w:rsidR="002D0476" w:rsidRPr="009300B3" w:rsidRDefault="002D0476" w:rsidP="002D0476">
      <w:pPr>
        <w:jc w:val="both"/>
        <w:rPr>
          <w:color w:val="000000"/>
          <w:lang w:eastAsia="lt-LT"/>
        </w:rPr>
      </w:pPr>
      <w:bookmarkStart w:id="2" w:name="_Hlk190784826"/>
      <w:r w:rsidRPr="009300B3">
        <w:rPr>
          <w:color w:val="000000"/>
          <w:lang w:eastAsia="lt-LT"/>
        </w:rPr>
        <w:t>30</w:t>
      </w:r>
      <w:r w:rsidRPr="009300B3">
        <w:rPr>
          <w:color w:val="000000"/>
          <w:vertAlign w:val="superscript"/>
          <w:lang w:eastAsia="lt-LT"/>
        </w:rPr>
        <w:t>1</w:t>
      </w:r>
      <w:r w:rsidRPr="009300B3">
        <w:rPr>
          <w:color w:val="000000"/>
          <w:lang w:eastAsia="lt-LT"/>
        </w:rPr>
        <w:t>.2. papunkčiu rekomenduojama kompensuoti vaistinį preparatą pagal paraiškoje nurodytą indikaciją (arba jos dalį) su arba be skyrimo sąlygų, jei, pateikus atnaujintą PGS, kaštų naudingumas atitinka referencinę naudingumo vertę, kai vertinimo išvados atitinka Aprašo 29.1.1 ir 29.2.3 papunkčiuose numatytas sąlygas</w:t>
      </w:r>
      <w:r>
        <w:rPr>
          <w:color w:val="000000"/>
          <w:lang w:eastAsia="lt-LT"/>
        </w:rPr>
        <w:t>.</w:t>
      </w:r>
    </w:p>
    <w:bookmarkEnd w:id="2"/>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42F3A222" w14:textId="51CFA2AC" w:rsidR="00B811A4" w:rsidRPr="00334F18" w:rsidRDefault="000828B3" w:rsidP="00B811A4">
      <w:pPr>
        <w:tabs>
          <w:tab w:val="left" w:pos="426"/>
        </w:tabs>
        <w:jc w:val="both"/>
        <w:rPr>
          <w:b/>
          <w:lang w:eastAsia="lt-LT"/>
        </w:rPr>
      </w:pPr>
      <w:r>
        <w:rPr>
          <w:b/>
          <w:lang w:eastAsia="lt-LT"/>
        </w:rPr>
        <w:t>7</w:t>
      </w:r>
      <w:r w:rsidR="00B811A4" w:rsidRPr="00334F18">
        <w:rPr>
          <w:b/>
          <w:lang w:eastAsia="lt-LT"/>
        </w:rPr>
        <w:t>.3 Siūloma (-</w:t>
      </w:r>
      <w:proofErr w:type="spellStart"/>
      <w:r w:rsidR="00B811A4" w:rsidRPr="00334F18">
        <w:rPr>
          <w:b/>
          <w:lang w:eastAsia="lt-LT"/>
        </w:rPr>
        <w:t>os</w:t>
      </w:r>
      <w:proofErr w:type="spellEnd"/>
      <w:r w:rsidR="00B811A4" w:rsidRPr="00334F18">
        <w:rPr>
          <w:b/>
          <w:lang w:eastAsia="lt-LT"/>
        </w:rPr>
        <w:t xml:space="preserve">)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Default="00B811A4" w:rsidP="00B811A4">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4A931F33" w14:textId="77777777" w:rsidR="000828B3" w:rsidRPr="00334F18" w:rsidRDefault="000828B3" w:rsidP="00B811A4">
      <w:pPr>
        <w:pStyle w:val="Betarp"/>
        <w:rPr>
          <w:rFonts w:ascii="Times New Roman" w:hAnsi="Times New Roman"/>
          <w:b/>
          <w:sz w:val="24"/>
          <w:szCs w:val="24"/>
          <w:lang w:eastAsia="lt-LT"/>
        </w:rPr>
      </w:pPr>
    </w:p>
    <w:p w14:paraId="756A7549" w14:textId="77777777" w:rsidR="000828B3" w:rsidRDefault="000828B3" w:rsidP="000828B3">
      <w:pPr>
        <w:pStyle w:val="Betarp"/>
        <w:jc w:val="both"/>
        <w:rPr>
          <w:rFonts w:ascii="Times New Roman" w:hAnsi="Times New Roman"/>
          <w:bCs/>
          <w:sz w:val="24"/>
          <w:szCs w:val="24"/>
        </w:rPr>
      </w:pPr>
      <w:r w:rsidRPr="00BA7FD7">
        <w:rPr>
          <w:rFonts w:ascii="Times New Roman" w:hAnsi="Times New Roman"/>
          <w:bCs/>
          <w:sz w:val="24"/>
          <w:szCs w:val="24"/>
        </w:rPr>
        <w:t xml:space="preserve">Repatha yra skirtas papildomam gydymui koreguojant kitus rizikos veiksnius suaugusiesiems, sergantiems aterosklerozine kardiovaskuline liga (miokardo infarktu, smegenų infarktu arba periferinių arterijų liga), siekiant sumažinti MTL-C koncentraciją bei kardiovaskulinę riziką: </w:t>
      </w:r>
    </w:p>
    <w:p w14:paraId="1022734C" w14:textId="77777777" w:rsidR="000828B3" w:rsidRDefault="000828B3" w:rsidP="000828B3">
      <w:pPr>
        <w:pStyle w:val="Betarp"/>
        <w:numPr>
          <w:ilvl w:val="0"/>
          <w:numId w:val="16"/>
        </w:numPr>
        <w:jc w:val="both"/>
        <w:rPr>
          <w:rFonts w:ascii="Times New Roman" w:hAnsi="Times New Roman"/>
          <w:bCs/>
          <w:sz w:val="24"/>
          <w:szCs w:val="24"/>
        </w:rPr>
      </w:pPr>
      <w:r w:rsidRPr="00BA7FD7">
        <w:rPr>
          <w:rFonts w:ascii="Times New Roman" w:hAnsi="Times New Roman"/>
          <w:bCs/>
          <w:sz w:val="24"/>
          <w:szCs w:val="24"/>
        </w:rPr>
        <w:t>derinyje su didžiausiomis toleruojamomis statinų dozėmis kartu su kitais lipidų koncentraciją mažinančiais vaistiniais preparatais arba be jų;</w:t>
      </w:r>
    </w:p>
    <w:p w14:paraId="14ADF52A" w14:textId="77777777" w:rsidR="000828B3" w:rsidRPr="00BA7FD7" w:rsidRDefault="000828B3" w:rsidP="000828B3">
      <w:pPr>
        <w:pStyle w:val="Betarp"/>
        <w:numPr>
          <w:ilvl w:val="0"/>
          <w:numId w:val="16"/>
        </w:numPr>
        <w:jc w:val="both"/>
        <w:rPr>
          <w:rFonts w:ascii="Times New Roman" w:hAnsi="Times New Roman"/>
          <w:bCs/>
          <w:sz w:val="24"/>
          <w:szCs w:val="24"/>
        </w:rPr>
      </w:pPr>
      <w:r w:rsidRPr="00BA7FD7">
        <w:rPr>
          <w:rFonts w:ascii="Times New Roman" w:hAnsi="Times New Roman"/>
          <w:bCs/>
          <w:sz w:val="24"/>
          <w:szCs w:val="24"/>
        </w:rPr>
        <w:t>vienas arba derinyje su kitais lipidų koncentraciją mažinančiais vaistiniais preparatais pacientams, kurie netoleruoja statinų arba kuriems statinai yra kontraindikuotini.</w:t>
      </w:r>
    </w:p>
    <w:p w14:paraId="3BC08150" w14:textId="77777777" w:rsidR="00B811A4" w:rsidRPr="00334F18" w:rsidRDefault="00B811A4" w:rsidP="00B811A4">
      <w:pPr>
        <w:pStyle w:val="Betarp"/>
        <w:rPr>
          <w:rFonts w:ascii="Times New Roman" w:hAnsi="Times New Roman"/>
          <w:sz w:val="24"/>
          <w:szCs w:val="24"/>
        </w:rPr>
      </w:pPr>
    </w:p>
    <w:p w14:paraId="632DB4B9" w14:textId="77777777" w:rsidR="00B811A4" w:rsidRPr="00334F18" w:rsidRDefault="00B811A4" w:rsidP="00B811A4">
      <w:pPr>
        <w:pStyle w:val="Betarp"/>
        <w:rPr>
          <w:rFonts w:ascii="Times New Roman" w:hAnsi="Times New Roman"/>
          <w:b/>
          <w:sz w:val="24"/>
          <w:szCs w:val="24"/>
        </w:rPr>
      </w:pPr>
      <w:r w:rsidRPr="00334F18">
        <w:rPr>
          <w:rFonts w:ascii="Times New Roman" w:hAnsi="Times New Roman"/>
          <w:b/>
          <w:sz w:val="24"/>
          <w:szCs w:val="24"/>
        </w:rPr>
        <w:t>Skyrimo sąlygos</w:t>
      </w:r>
    </w:p>
    <w:p w14:paraId="7D5C6700" w14:textId="77777777" w:rsidR="00D5470B" w:rsidRDefault="00D5470B" w:rsidP="00C712EA">
      <w:pPr>
        <w:pStyle w:val="Sraopastraipa"/>
        <w:ind w:left="426"/>
      </w:pPr>
    </w:p>
    <w:p w14:paraId="5F5793CA" w14:textId="77777777" w:rsidR="000828B3" w:rsidRPr="003D3709" w:rsidRDefault="000828B3" w:rsidP="000828B3">
      <w:pPr>
        <w:pStyle w:val="Betarp"/>
        <w:jc w:val="both"/>
        <w:rPr>
          <w:rFonts w:ascii="Times New Roman" w:hAnsi="Times New Roman"/>
          <w:bCs/>
          <w:color w:val="000000" w:themeColor="text1"/>
          <w:sz w:val="24"/>
          <w:szCs w:val="24"/>
          <w:lang w:eastAsia="lt-LT"/>
        </w:rPr>
      </w:pPr>
      <w:r w:rsidRPr="003D3709">
        <w:rPr>
          <w:rFonts w:ascii="Times New Roman" w:hAnsi="Times New Roman"/>
          <w:bCs/>
          <w:color w:val="000000" w:themeColor="text1"/>
          <w:sz w:val="24"/>
          <w:szCs w:val="24"/>
          <w:lang w:eastAsia="lt-LT"/>
        </w:rPr>
        <w:t>Skiria ir išrašo gydytojas kardiologas, teikiantis tretinio lygio asmens sveikatos priežiūros paslaugas, labai didelės kardiovaskulinės rizikos pacientams, kuriems diagnozuotas ūminis ir/ar lėtinis vainikinių arterijų sindromas (I20.0, I20.8, I21, I25.2), taikytas intervencinis jo gydymas (Z95.5 ir/ar Z95.1), dislipidemija (E78) ir MTL-C koncentracija išlieka ≥2,6 mmol/l taikant gydymą maksimaliomis toleruojamomis statinų dozėmis kartu su ezetimibu (arba tik ezetimibu, jei statinas yra kontraindikuotinas).</w:t>
      </w:r>
    </w:p>
    <w:p w14:paraId="3DCD85C6" w14:textId="77777777" w:rsidR="000828B3" w:rsidRPr="003D3709" w:rsidRDefault="000828B3" w:rsidP="000828B3">
      <w:pPr>
        <w:pStyle w:val="Betarp"/>
        <w:jc w:val="both"/>
        <w:rPr>
          <w:rFonts w:ascii="Times New Roman" w:hAnsi="Times New Roman"/>
          <w:bCs/>
          <w:color w:val="000000" w:themeColor="text1"/>
          <w:sz w:val="24"/>
          <w:szCs w:val="24"/>
          <w:lang w:eastAsia="lt-LT"/>
        </w:rPr>
      </w:pPr>
    </w:p>
    <w:p w14:paraId="1091CB28" w14:textId="77777777" w:rsidR="000828B3" w:rsidRPr="003D3709" w:rsidRDefault="000828B3" w:rsidP="000828B3">
      <w:pPr>
        <w:pStyle w:val="Betarp"/>
        <w:jc w:val="both"/>
        <w:rPr>
          <w:rFonts w:ascii="Times New Roman" w:hAnsi="Times New Roman"/>
          <w:b/>
          <w:color w:val="000000" w:themeColor="text1"/>
          <w:sz w:val="24"/>
          <w:szCs w:val="24"/>
        </w:rPr>
      </w:pPr>
      <w:r w:rsidRPr="003D3709">
        <w:rPr>
          <w:rFonts w:ascii="Times New Roman" w:hAnsi="Times New Roman"/>
          <w:bCs/>
          <w:color w:val="000000" w:themeColor="text1"/>
          <w:sz w:val="24"/>
          <w:szCs w:val="24"/>
          <w:lang w:eastAsia="lt-LT"/>
        </w:rPr>
        <w:t xml:space="preserve">Skiria ir išrašo gydytojas neurologas, teikiantis tretinio lygio asmens sveikatos priežiūros paslaugas, labai didelės kardiovaskulinės rizikos pacientams, kuriems diagnozuotas ne </w:t>
      </w:r>
      <w:proofErr w:type="spellStart"/>
      <w:r w:rsidRPr="003D3709">
        <w:rPr>
          <w:rFonts w:ascii="Times New Roman" w:hAnsi="Times New Roman"/>
          <w:bCs/>
          <w:color w:val="000000" w:themeColor="text1"/>
          <w:sz w:val="24"/>
          <w:szCs w:val="24"/>
          <w:lang w:eastAsia="lt-LT"/>
        </w:rPr>
        <w:t>tromboembolinės</w:t>
      </w:r>
      <w:proofErr w:type="spellEnd"/>
      <w:r w:rsidRPr="003D3709">
        <w:rPr>
          <w:rFonts w:ascii="Times New Roman" w:hAnsi="Times New Roman"/>
          <w:bCs/>
          <w:color w:val="000000" w:themeColor="text1"/>
          <w:sz w:val="24"/>
          <w:szCs w:val="24"/>
          <w:lang w:eastAsia="lt-LT"/>
        </w:rPr>
        <w:t xml:space="preserve"> kilmės išeminis insultas (I63.0, I63.3) ir dislipidemija (E78) ir MTL-C koncentracija išlieka ≥2,6 mmol/l taikant gydymą maksimaliomis toleruojamomis statinų dozėmis kartu su ezetimibu (arba tik ezetimibu, jei statinas yra kontraindikuotinas).</w:t>
      </w:r>
    </w:p>
    <w:p w14:paraId="3B7DACB6" w14:textId="77777777" w:rsidR="000828B3" w:rsidRPr="00334F18" w:rsidRDefault="000828B3" w:rsidP="00C712EA">
      <w:pPr>
        <w:pStyle w:val="Sraopastraipa"/>
        <w:ind w:left="426"/>
      </w:pPr>
    </w:p>
    <w:p w14:paraId="7CDFF220" w14:textId="43EED6C5" w:rsidR="000723FF" w:rsidRPr="00655DFE" w:rsidRDefault="00283E59" w:rsidP="00655DFE">
      <w:pPr>
        <w:widowControl w:val="0"/>
        <w:tabs>
          <w:tab w:val="left" w:pos="1418"/>
        </w:tabs>
        <w:suppressAutoHyphens/>
        <w:spacing w:line="360" w:lineRule="atLeast"/>
        <w:jc w:val="center"/>
        <w:textAlignment w:val="center"/>
      </w:pPr>
      <w:r w:rsidRPr="00334F18">
        <w:rPr>
          <w:lang w:eastAsia="lt-LT"/>
        </w:rPr>
        <w:t>____________________________</w:t>
      </w:r>
    </w:p>
    <w:sectPr w:rsidR="000723FF" w:rsidRPr="00655DFE"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CF18" w14:textId="77777777" w:rsidR="0053760F" w:rsidRDefault="0053760F">
      <w:r>
        <w:separator/>
      </w:r>
    </w:p>
  </w:endnote>
  <w:endnote w:type="continuationSeparator" w:id="0">
    <w:p w14:paraId="4558A5C2" w14:textId="77777777" w:rsidR="0053760F" w:rsidRDefault="0053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44C6" w14:textId="77777777" w:rsidR="0053760F" w:rsidRDefault="0053760F">
      <w:r>
        <w:separator/>
      </w:r>
    </w:p>
  </w:footnote>
  <w:footnote w:type="continuationSeparator" w:id="0">
    <w:p w14:paraId="209AE2EE" w14:textId="77777777" w:rsidR="0053760F" w:rsidRDefault="0053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22141248"/>
    <w:multiLevelType w:val="hybridMultilevel"/>
    <w:tmpl w:val="BE320B00"/>
    <w:lvl w:ilvl="0" w:tplc="BD18DBEE">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C21321"/>
    <w:multiLevelType w:val="hybridMultilevel"/>
    <w:tmpl w:val="2B92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9"/>
  </w:num>
  <w:num w:numId="2" w16cid:durableId="985162166">
    <w:abstractNumId w:val="2"/>
  </w:num>
  <w:num w:numId="3" w16cid:durableId="480578891">
    <w:abstractNumId w:val="12"/>
  </w:num>
  <w:num w:numId="4" w16cid:durableId="442387534">
    <w:abstractNumId w:val="10"/>
  </w:num>
  <w:num w:numId="5" w16cid:durableId="823667834">
    <w:abstractNumId w:val="8"/>
  </w:num>
  <w:num w:numId="6" w16cid:durableId="417020125">
    <w:abstractNumId w:val="7"/>
  </w:num>
  <w:num w:numId="7" w16cid:durableId="1843550031">
    <w:abstractNumId w:val="4"/>
  </w:num>
  <w:num w:numId="8" w16cid:durableId="580068462">
    <w:abstractNumId w:val="15"/>
  </w:num>
  <w:num w:numId="9" w16cid:durableId="257183606">
    <w:abstractNumId w:val="0"/>
  </w:num>
  <w:num w:numId="10" w16cid:durableId="131410136">
    <w:abstractNumId w:val="13"/>
  </w:num>
  <w:num w:numId="11" w16cid:durableId="1133251921">
    <w:abstractNumId w:val="14"/>
  </w:num>
  <w:num w:numId="12" w16cid:durableId="700133012">
    <w:abstractNumId w:val="3"/>
  </w:num>
  <w:num w:numId="13" w16cid:durableId="373774129">
    <w:abstractNumId w:val="5"/>
  </w:num>
  <w:num w:numId="14" w16cid:durableId="1004668447">
    <w:abstractNumId w:val="1"/>
  </w:num>
  <w:num w:numId="15" w16cid:durableId="2046252644">
    <w:abstractNumId w:val="6"/>
  </w:num>
  <w:num w:numId="16" w16cid:durableId="1005088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1933"/>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8B3"/>
    <w:rsid w:val="00082907"/>
    <w:rsid w:val="0008378D"/>
    <w:rsid w:val="000837ED"/>
    <w:rsid w:val="000908A5"/>
    <w:rsid w:val="00092805"/>
    <w:rsid w:val="000A50C9"/>
    <w:rsid w:val="000B2B2C"/>
    <w:rsid w:val="000B76AD"/>
    <w:rsid w:val="000B774A"/>
    <w:rsid w:val="000C454C"/>
    <w:rsid w:val="000D5038"/>
    <w:rsid w:val="000E29D4"/>
    <w:rsid w:val="000F3540"/>
    <w:rsid w:val="00100491"/>
    <w:rsid w:val="00104E2E"/>
    <w:rsid w:val="00107287"/>
    <w:rsid w:val="00117194"/>
    <w:rsid w:val="00117406"/>
    <w:rsid w:val="00121EF0"/>
    <w:rsid w:val="00124A9E"/>
    <w:rsid w:val="00130703"/>
    <w:rsid w:val="0013153F"/>
    <w:rsid w:val="001401E0"/>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335C"/>
    <w:rsid w:val="001D4999"/>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72FD7"/>
    <w:rsid w:val="00276B48"/>
    <w:rsid w:val="00283E59"/>
    <w:rsid w:val="00292392"/>
    <w:rsid w:val="002946C7"/>
    <w:rsid w:val="002B3CC1"/>
    <w:rsid w:val="002C0686"/>
    <w:rsid w:val="002C09E0"/>
    <w:rsid w:val="002C100E"/>
    <w:rsid w:val="002C1BB1"/>
    <w:rsid w:val="002C2786"/>
    <w:rsid w:val="002C3A10"/>
    <w:rsid w:val="002C4A90"/>
    <w:rsid w:val="002C4ED5"/>
    <w:rsid w:val="002D02EF"/>
    <w:rsid w:val="002D0476"/>
    <w:rsid w:val="002E0702"/>
    <w:rsid w:val="002E1A83"/>
    <w:rsid w:val="002E57AD"/>
    <w:rsid w:val="002E6F80"/>
    <w:rsid w:val="002F0E4F"/>
    <w:rsid w:val="002F1053"/>
    <w:rsid w:val="00300191"/>
    <w:rsid w:val="00306D3B"/>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4782"/>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60F"/>
    <w:rsid w:val="005378D8"/>
    <w:rsid w:val="005400D9"/>
    <w:rsid w:val="005476A4"/>
    <w:rsid w:val="0055019B"/>
    <w:rsid w:val="00556E63"/>
    <w:rsid w:val="005601A4"/>
    <w:rsid w:val="00566DBB"/>
    <w:rsid w:val="00567B14"/>
    <w:rsid w:val="00572917"/>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53F58"/>
    <w:rsid w:val="00655DFE"/>
    <w:rsid w:val="00662983"/>
    <w:rsid w:val="006834D3"/>
    <w:rsid w:val="00692625"/>
    <w:rsid w:val="00695CD3"/>
    <w:rsid w:val="00697609"/>
    <w:rsid w:val="006A38B6"/>
    <w:rsid w:val="006B1987"/>
    <w:rsid w:val="006B5B71"/>
    <w:rsid w:val="006B5D3E"/>
    <w:rsid w:val="006B6CB0"/>
    <w:rsid w:val="006C2B64"/>
    <w:rsid w:val="006D1BF3"/>
    <w:rsid w:val="006D4C85"/>
    <w:rsid w:val="006D66AC"/>
    <w:rsid w:val="006E09E8"/>
    <w:rsid w:val="006E2CD1"/>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2ED5"/>
    <w:rsid w:val="008F6011"/>
    <w:rsid w:val="009210A4"/>
    <w:rsid w:val="0092297E"/>
    <w:rsid w:val="00923292"/>
    <w:rsid w:val="00923651"/>
    <w:rsid w:val="00924DF7"/>
    <w:rsid w:val="00927B56"/>
    <w:rsid w:val="009341BF"/>
    <w:rsid w:val="00937907"/>
    <w:rsid w:val="00941739"/>
    <w:rsid w:val="00951573"/>
    <w:rsid w:val="009626F4"/>
    <w:rsid w:val="00963003"/>
    <w:rsid w:val="00965919"/>
    <w:rsid w:val="00966EEF"/>
    <w:rsid w:val="00971B28"/>
    <w:rsid w:val="00983471"/>
    <w:rsid w:val="009909AB"/>
    <w:rsid w:val="009B06FA"/>
    <w:rsid w:val="009B37DB"/>
    <w:rsid w:val="009C7A8C"/>
    <w:rsid w:val="009D23F9"/>
    <w:rsid w:val="009D4FA8"/>
    <w:rsid w:val="009E44AE"/>
    <w:rsid w:val="009E6CD6"/>
    <w:rsid w:val="009F4D66"/>
    <w:rsid w:val="00A00C3C"/>
    <w:rsid w:val="00A01091"/>
    <w:rsid w:val="00A042B9"/>
    <w:rsid w:val="00A06DBB"/>
    <w:rsid w:val="00A12C77"/>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E34F5"/>
    <w:rsid w:val="00AF60D5"/>
    <w:rsid w:val="00B00959"/>
    <w:rsid w:val="00B04415"/>
    <w:rsid w:val="00B06509"/>
    <w:rsid w:val="00B11D60"/>
    <w:rsid w:val="00B13D65"/>
    <w:rsid w:val="00B21805"/>
    <w:rsid w:val="00B3072E"/>
    <w:rsid w:val="00B36E15"/>
    <w:rsid w:val="00B37245"/>
    <w:rsid w:val="00B4017A"/>
    <w:rsid w:val="00B4468D"/>
    <w:rsid w:val="00B6504A"/>
    <w:rsid w:val="00B71C72"/>
    <w:rsid w:val="00B71F04"/>
    <w:rsid w:val="00B74A62"/>
    <w:rsid w:val="00B811A4"/>
    <w:rsid w:val="00B81E92"/>
    <w:rsid w:val="00B908D7"/>
    <w:rsid w:val="00B935E8"/>
    <w:rsid w:val="00B93B30"/>
    <w:rsid w:val="00B94CB5"/>
    <w:rsid w:val="00B97D34"/>
    <w:rsid w:val="00BA0DD9"/>
    <w:rsid w:val="00BA5DBC"/>
    <w:rsid w:val="00BA6584"/>
    <w:rsid w:val="00BA6DD7"/>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27AF2"/>
    <w:rsid w:val="00C37B53"/>
    <w:rsid w:val="00C434EB"/>
    <w:rsid w:val="00C517D2"/>
    <w:rsid w:val="00C5772E"/>
    <w:rsid w:val="00C62B36"/>
    <w:rsid w:val="00C668FF"/>
    <w:rsid w:val="00C7012C"/>
    <w:rsid w:val="00C712EA"/>
    <w:rsid w:val="00C9728E"/>
    <w:rsid w:val="00CA217D"/>
    <w:rsid w:val="00CA3131"/>
    <w:rsid w:val="00CC09D4"/>
    <w:rsid w:val="00CC4F5F"/>
    <w:rsid w:val="00CC668D"/>
    <w:rsid w:val="00CC7832"/>
    <w:rsid w:val="00CD488E"/>
    <w:rsid w:val="00CE3BC6"/>
    <w:rsid w:val="00CE4B0B"/>
    <w:rsid w:val="00CF0C1C"/>
    <w:rsid w:val="00CF27FD"/>
    <w:rsid w:val="00CF5F12"/>
    <w:rsid w:val="00D00D8F"/>
    <w:rsid w:val="00D12869"/>
    <w:rsid w:val="00D14512"/>
    <w:rsid w:val="00D15ED6"/>
    <w:rsid w:val="00D21F3A"/>
    <w:rsid w:val="00D23808"/>
    <w:rsid w:val="00D24E3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05DB"/>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6737"/>
    <w:rsid w:val="00E475F8"/>
    <w:rsid w:val="00E5102E"/>
    <w:rsid w:val="00E5721C"/>
    <w:rsid w:val="00E619C6"/>
    <w:rsid w:val="00E70CED"/>
    <w:rsid w:val="00E745A1"/>
    <w:rsid w:val="00E81529"/>
    <w:rsid w:val="00E83A13"/>
    <w:rsid w:val="00E8579F"/>
    <w:rsid w:val="00EB0348"/>
    <w:rsid w:val="00EB1151"/>
    <w:rsid w:val="00EB6FC5"/>
    <w:rsid w:val="00EC2356"/>
    <w:rsid w:val="00EC2582"/>
    <w:rsid w:val="00EC337C"/>
    <w:rsid w:val="00ED0CFF"/>
    <w:rsid w:val="00ED31D2"/>
    <w:rsid w:val="00EE0EAC"/>
    <w:rsid w:val="00EE3322"/>
    <w:rsid w:val="00EE33CB"/>
    <w:rsid w:val="00EE70AF"/>
    <w:rsid w:val="00F0061A"/>
    <w:rsid w:val="00F02834"/>
    <w:rsid w:val="00F04EEB"/>
    <w:rsid w:val="00F05467"/>
    <w:rsid w:val="00F055D2"/>
    <w:rsid w:val="00F07CD7"/>
    <w:rsid w:val="00F127E9"/>
    <w:rsid w:val="00F14477"/>
    <w:rsid w:val="00F14B5D"/>
    <w:rsid w:val="00F23874"/>
    <w:rsid w:val="00F259FC"/>
    <w:rsid w:val="00F313F4"/>
    <w:rsid w:val="00F36972"/>
    <w:rsid w:val="00F42426"/>
    <w:rsid w:val="00F44F01"/>
    <w:rsid w:val="00F456BC"/>
    <w:rsid w:val="00F50666"/>
    <w:rsid w:val="00F70731"/>
    <w:rsid w:val="00F70C9E"/>
    <w:rsid w:val="00F74A74"/>
    <w:rsid w:val="00F7572C"/>
    <w:rsid w:val="00F8382C"/>
    <w:rsid w:val="00F83DBB"/>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link w:val="BetarpDiagrama"/>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BetarpDiagrama">
    <w:name w:val="Be tarpų Diagrama"/>
    <w:basedOn w:val="Numatytasispastraiposriftas"/>
    <w:link w:val="Betarp"/>
    <w:uiPriority w:val="1"/>
    <w:rsid w:val="000828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AA1B603F47D3BD40A45F2A0F7814"/>
        <w:category>
          <w:name w:val="Bendrosios nuostatos"/>
          <w:gallery w:val="placeholder"/>
        </w:category>
        <w:types>
          <w:type w:val="bbPlcHdr"/>
        </w:types>
        <w:behaviors>
          <w:behavior w:val="content"/>
        </w:behaviors>
        <w:guid w:val="{8C4F7D04-3290-49A2-A1A8-CE54E5D88A88}"/>
      </w:docPartPr>
      <w:docPartBody>
        <w:p w:rsidR="00A20D39" w:rsidRDefault="00C66578" w:rsidP="00C66578">
          <w:pPr>
            <w:pStyle w:val="9F03AA1B603F47D3BD40A45F2A0F7814"/>
          </w:pPr>
          <w:r>
            <w:rPr>
              <w:rStyle w:val="Vietosrezervavimoenklotekstas"/>
            </w:rPr>
            <w:t>Click here to enter a date.</w:t>
          </w:r>
        </w:p>
      </w:docPartBody>
    </w:docPart>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A0D6B"/>
    <w:rsid w:val="001C35A9"/>
    <w:rsid w:val="00237556"/>
    <w:rsid w:val="00276B48"/>
    <w:rsid w:val="002C0686"/>
    <w:rsid w:val="00300191"/>
    <w:rsid w:val="00306D3B"/>
    <w:rsid w:val="0039303B"/>
    <w:rsid w:val="004144A3"/>
    <w:rsid w:val="004160E7"/>
    <w:rsid w:val="00434782"/>
    <w:rsid w:val="004416C6"/>
    <w:rsid w:val="00456E96"/>
    <w:rsid w:val="004C6221"/>
    <w:rsid w:val="004D038D"/>
    <w:rsid w:val="004F4E20"/>
    <w:rsid w:val="004F5AB2"/>
    <w:rsid w:val="005074B9"/>
    <w:rsid w:val="00563A5F"/>
    <w:rsid w:val="00572917"/>
    <w:rsid w:val="005C62E5"/>
    <w:rsid w:val="005E40DD"/>
    <w:rsid w:val="00601F4E"/>
    <w:rsid w:val="006E09E8"/>
    <w:rsid w:val="006E2CD1"/>
    <w:rsid w:val="006E6A2C"/>
    <w:rsid w:val="007219C1"/>
    <w:rsid w:val="00745C63"/>
    <w:rsid w:val="00753462"/>
    <w:rsid w:val="00772325"/>
    <w:rsid w:val="007A2FE0"/>
    <w:rsid w:val="007C6D1D"/>
    <w:rsid w:val="007D654E"/>
    <w:rsid w:val="00853487"/>
    <w:rsid w:val="00892FF4"/>
    <w:rsid w:val="008C0DC0"/>
    <w:rsid w:val="0090074D"/>
    <w:rsid w:val="009019EA"/>
    <w:rsid w:val="00901A35"/>
    <w:rsid w:val="009B3BF0"/>
    <w:rsid w:val="009D5E5E"/>
    <w:rsid w:val="009F1BB4"/>
    <w:rsid w:val="00A20D39"/>
    <w:rsid w:val="00A254A2"/>
    <w:rsid w:val="00AB2D54"/>
    <w:rsid w:val="00AB6ED4"/>
    <w:rsid w:val="00B14210"/>
    <w:rsid w:val="00B22ED6"/>
    <w:rsid w:val="00B23DC0"/>
    <w:rsid w:val="00B71F04"/>
    <w:rsid w:val="00B96656"/>
    <w:rsid w:val="00BA0A8E"/>
    <w:rsid w:val="00BE3364"/>
    <w:rsid w:val="00C2401D"/>
    <w:rsid w:val="00C250D7"/>
    <w:rsid w:val="00C4712F"/>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B0348"/>
    <w:rsid w:val="00EF6E0C"/>
    <w:rsid w:val="00F14477"/>
    <w:rsid w:val="00F23874"/>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01A35"/>
    <w:rPr>
      <w:color w:val="808080"/>
    </w:rPr>
  </w:style>
  <w:style w:type="paragraph" w:customStyle="1" w:styleId="9F03AA1B603F47D3BD40A45F2A0F7814">
    <w:name w:val="9F03AA1B603F47D3BD40A45F2A0F7814"/>
    <w:rsid w:val="00C66578"/>
    <w:pPr>
      <w:spacing w:line="278" w:lineRule="auto"/>
    </w:pPr>
    <w:rPr>
      <w:kern w:val="2"/>
      <w:sz w:val="24"/>
      <w:szCs w:val="24"/>
      <w14:ligatures w14:val="standardContextual"/>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10658</Characters>
  <Application>Microsoft Office Word</Application>
  <DocSecurity>0</DocSecurity>
  <Lines>88</Lines>
  <Paragraphs>24</Paragraphs>
  <ScaleCrop>false</ScaleCrop>
  <Company/>
  <LinksUpToDate>false</LinksUpToDate>
  <CharactersWithSpaces>12051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2025-11-28T07:02:00Z</dcterms:created>
  <dcterms:modified xsi:type="dcterms:W3CDTF">2025-12-01T07:34:00Z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879ed0-482c-40ee-8400-fa4c92638ce2_Enabled">
    <vt:lpwstr>true</vt:lpwstr>
  </property>
  <property fmtid="{D5CDD505-2E9C-101B-9397-08002B2CF9AE}" pid="3" name="MSIP_Label_c9879ed0-482c-40ee-8400-fa4c92638ce2_SetDate">
    <vt:lpwstr>2025-11-26T11:23:05Z</vt:lpwstr>
  </property>
  <property fmtid="{D5CDD505-2E9C-101B-9397-08002B2CF9AE}" pid="4" name="MSIP_Label_c9879ed0-482c-40ee-8400-fa4c92638ce2_Method">
    <vt:lpwstr>Privileged</vt:lpwstr>
  </property>
  <property fmtid="{D5CDD505-2E9C-101B-9397-08002B2CF9AE}" pid="5" name="MSIP_Label_c9879ed0-482c-40ee-8400-fa4c92638ce2_Name">
    <vt:lpwstr>Confidential Government and Public Relations (no marking)</vt:lpwstr>
  </property>
  <property fmtid="{D5CDD505-2E9C-101B-9397-08002B2CF9AE}" pid="6" name="MSIP_Label_c9879ed0-482c-40ee-8400-fa4c92638ce2_SiteId">
    <vt:lpwstr>4b4266a6-1368-41af-ad5a-59eb634f7ad8</vt:lpwstr>
  </property>
  <property fmtid="{D5CDD505-2E9C-101B-9397-08002B2CF9AE}" pid="7" name="MSIP_Label_c9879ed0-482c-40ee-8400-fa4c92638ce2_ActionId">
    <vt:lpwstr>5016fd14-1463-4ae7-b57a-9c34698eeec6</vt:lpwstr>
  </property>
  <property fmtid="{D5CDD505-2E9C-101B-9397-08002B2CF9AE}" pid="8" name="MSIP_Label_c9879ed0-482c-40ee-8400-fa4c92638ce2_ContentBits">
    <vt:lpwstr>0</vt:lpwstr>
  </property>
  <property fmtid="{D5CDD505-2E9C-101B-9397-08002B2CF9AE}" pid="9" name="MSIP_Label_c9879ed0-482c-40ee-8400-fa4c92638ce2_Tag">
    <vt:lpwstr>10, 0, 1, 1</vt:lpwstr>
  </property>
</Properties>
</file>