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E5EB3" w14:textId="1955ADE3" w:rsidR="005F7602" w:rsidRPr="00334F18" w:rsidRDefault="005F7602" w:rsidP="002946C7">
      <w:pPr>
        <w:ind w:left="5529"/>
      </w:pPr>
    </w:p>
    <w:p w14:paraId="12FA4B9E" w14:textId="39AA3336" w:rsidR="001B3C5B" w:rsidRPr="00334F18" w:rsidRDefault="00DC261A" w:rsidP="001B3C5B">
      <w:pPr>
        <w:ind w:left="6096"/>
      </w:pPr>
      <w:bookmarkStart w:id="0" w:name="_Hlk189565243"/>
      <w:r w:rsidRPr="00334F18">
        <w:t>PATVIRTINTA</w:t>
      </w:r>
    </w:p>
    <w:p w14:paraId="7206970B" w14:textId="70E9BD2E" w:rsidR="004C263A" w:rsidRPr="00334F18" w:rsidRDefault="001B3C5B" w:rsidP="001B3C5B">
      <w:pPr>
        <w:ind w:left="6096"/>
      </w:pPr>
      <w:r w:rsidRPr="00334F18">
        <w:t>Valstybinės vaistų kontrolės tarnybos prie Lietuvos Respublikos sveikatos apsaugos ministerijos viršininko 2021 m</w:t>
      </w:r>
      <w:r w:rsidR="004C263A" w:rsidRPr="00334F18">
        <w:t xml:space="preserve">. lapkričio 12 </w:t>
      </w:r>
      <w:r w:rsidRPr="00334F18">
        <w:t>d. įsakymu Nr.</w:t>
      </w:r>
      <w:r w:rsidR="004C263A" w:rsidRPr="00334F18">
        <w:t xml:space="preserve"> (1.72E)1A-1418</w:t>
      </w:r>
    </w:p>
    <w:p w14:paraId="5B219AA6" w14:textId="3A5D6CB4" w:rsidR="001B3C5B" w:rsidRPr="00334F18" w:rsidRDefault="004C263A" w:rsidP="001B3C5B">
      <w:pPr>
        <w:ind w:left="6096"/>
      </w:pPr>
      <w:r w:rsidRPr="00334F18">
        <w:t>(Valstybinės vaistų kontrolės tarnybos prie Lietuvos Respublikos sveikatos apsaugos ministerijos viršininko 202</w:t>
      </w:r>
      <w:r w:rsidR="00A2310D" w:rsidRPr="00334F18">
        <w:t>5</w:t>
      </w:r>
      <w:r w:rsidRPr="00334F18">
        <w:t xml:space="preserve"> m.                         d. įsakymo Nr.                    redakcija)</w:t>
      </w:r>
    </w:p>
    <w:p w14:paraId="3336BD74" w14:textId="77777777" w:rsidR="001B3C5B" w:rsidRPr="00334F18" w:rsidRDefault="001B3C5B" w:rsidP="00FA4169"/>
    <w:bookmarkEnd w:id="0"/>
    <w:p w14:paraId="56604434" w14:textId="77777777" w:rsidR="00DC261A" w:rsidRPr="00334F18" w:rsidRDefault="00DC261A" w:rsidP="003B211A">
      <w:pPr>
        <w:jc w:val="center"/>
        <w:rPr>
          <w:b/>
        </w:rPr>
      </w:pPr>
    </w:p>
    <w:p w14:paraId="77AFB67E" w14:textId="0FB133A2" w:rsidR="00613501" w:rsidRPr="00334F18" w:rsidRDefault="002F0E4F" w:rsidP="003B211A">
      <w:pPr>
        <w:jc w:val="center"/>
        <w:rPr>
          <w:b/>
          <w:bCs/>
          <w:caps/>
        </w:rPr>
      </w:pPr>
      <w:r w:rsidRPr="00334F18">
        <w:rPr>
          <w:b/>
        </w:rPr>
        <w:t xml:space="preserve">REKOMENDACIJA DĖL VAISTINIO PREPARATO </w:t>
      </w:r>
      <w:r w:rsidRPr="00334F18">
        <w:rPr>
          <w:b/>
          <w:bCs/>
          <w:caps/>
        </w:rPr>
        <w:t>Lietuvos Respublikos Sveikatos apsaugos ministerijos vaistinių preparatų ir medicinos pagalbos priemonių kompensavimo komisijai</w:t>
      </w:r>
    </w:p>
    <w:p w14:paraId="34E4395D" w14:textId="15FB10DF" w:rsidR="00B13D65" w:rsidRPr="00334F18" w:rsidRDefault="00B13D65" w:rsidP="003B211A">
      <w:pPr>
        <w:jc w:val="center"/>
        <w:rPr>
          <w:b/>
        </w:rPr>
      </w:pPr>
    </w:p>
    <w:p w14:paraId="62CA3D63" w14:textId="77777777" w:rsidR="00CC3E90" w:rsidRPr="009300B3" w:rsidRDefault="00CC3E90" w:rsidP="00CC3E90">
      <w:pPr>
        <w:jc w:val="center"/>
        <w:rPr>
          <w:b/>
        </w:rPr>
      </w:pPr>
      <w:r>
        <w:rPr>
          <w:b/>
        </w:rPr>
        <w:t>Repatha</w:t>
      </w:r>
      <w:r w:rsidRPr="009300B3">
        <w:rPr>
          <w:b/>
        </w:rPr>
        <w:t xml:space="preserve"> </w:t>
      </w:r>
      <w:r>
        <w:rPr>
          <w:b/>
        </w:rPr>
        <w:t>140 mg</w:t>
      </w:r>
      <w:r w:rsidRPr="009300B3">
        <w:rPr>
          <w:b/>
        </w:rPr>
        <w:t xml:space="preserve"> </w:t>
      </w:r>
      <w:r>
        <w:rPr>
          <w:b/>
        </w:rPr>
        <w:t xml:space="preserve">injekcinis tirpalas užpildytame </w:t>
      </w:r>
      <w:proofErr w:type="spellStart"/>
      <w:r>
        <w:rPr>
          <w:b/>
        </w:rPr>
        <w:t>švirkštiklyje</w:t>
      </w:r>
      <w:proofErr w:type="spellEnd"/>
    </w:p>
    <w:p w14:paraId="03A1DC7B" w14:textId="77777777" w:rsidR="00CC3E90" w:rsidRPr="009300B3" w:rsidRDefault="00CC3E90" w:rsidP="00CC3E90">
      <w:pPr>
        <w:jc w:val="center"/>
      </w:pPr>
    </w:p>
    <w:p w14:paraId="7394022B" w14:textId="77777777" w:rsidR="00CC3E90" w:rsidRPr="009300B3" w:rsidRDefault="00CC3E90" w:rsidP="00CC3E90">
      <w:pPr>
        <w:jc w:val="center"/>
      </w:pPr>
      <w:r>
        <w:rPr>
          <w:b/>
        </w:rPr>
        <w:t>Evolokumabas</w:t>
      </w:r>
    </w:p>
    <w:p w14:paraId="10242143" w14:textId="77777777" w:rsidR="00CC3E90" w:rsidRPr="009300B3" w:rsidRDefault="00CC3E90" w:rsidP="00CC3E90">
      <w:pPr>
        <w:jc w:val="center"/>
      </w:pPr>
    </w:p>
    <w:p w14:paraId="551CC1B5" w14:textId="77777777" w:rsidR="00CC3E90" w:rsidRPr="009300B3" w:rsidRDefault="00CC3E90" w:rsidP="00CC3E90">
      <w:pPr>
        <w:jc w:val="center"/>
        <w:rPr>
          <w:b/>
        </w:rPr>
      </w:pPr>
      <w:r>
        <w:rPr>
          <w:b/>
        </w:rPr>
        <w:t>STV-243</w:t>
      </w:r>
    </w:p>
    <w:p w14:paraId="453197C8" w14:textId="77777777" w:rsidR="00D4708D" w:rsidRPr="00334F18" w:rsidRDefault="00D4708D" w:rsidP="003B211A">
      <w:pPr>
        <w:jc w:val="center"/>
        <w:rPr>
          <w:b/>
        </w:rPr>
      </w:pPr>
    </w:p>
    <w:p w14:paraId="78C89D1C" w14:textId="0DEFFAA5" w:rsidR="00D4485B" w:rsidRPr="00334F18" w:rsidRDefault="00B13D65" w:rsidP="00CC09D4">
      <w:pPr>
        <w:pStyle w:val="Sraopastraipa"/>
        <w:numPr>
          <w:ilvl w:val="0"/>
          <w:numId w:val="12"/>
        </w:numPr>
        <w:tabs>
          <w:tab w:val="left" w:pos="567"/>
        </w:tabs>
        <w:ind w:left="567" w:hanging="567"/>
        <w:rPr>
          <w:b/>
          <w:bCs/>
          <w:caps/>
        </w:rPr>
      </w:pPr>
      <w:r w:rsidRPr="00334F18">
        <w:rPr>
          <w:b/>
          <w:bCs/>
          <w:caps/>
        </w:rPr>
        <w:t>Bendroji dalis</w:t>
      </w:r>
    </w:p>
    <w:p w14:paraId="04A7C7A7" w14:textId="77777777" w:rsidR="00B13D65" w:rsidRPr="00334F18" w:rsidRDefault="00B13D65" w:rsidP="00E03C3F">
      <w:pPr>
        <w:pStyle w:val="Sraopastraipa"/>
        <w:tabs>
          <w:tab w:val="left" w:pos="284"/>
        </w:tabs>
        <w:ind w:left="0"/>
        <w:rPr>
          <w:b/>
          <w:bCs/>
          <w:caps/>
        </w:rPr>
      </w:pPr>
    </w:p>
    <w:tbl>
      <w:tblPr>
        <w:tblStyle w:val="Lentelstinklelis"/>
        <w:tblW w:w="9493" w:type="dxa"/>
        <w:tblLook w:val="04A0" w:firstRow="1" w:lastRow="0" w:firstColumn="1" w:lastColumn="0" w:noHBand="0" w:noVBand="1"/>
      </w:tblPr>
      <w:tblGrid>
        <w:gridCol w:w="632"/>
        <w:gridCol w:w="3899"/>
        <w:gridCol w:w="4962"/>
      </w:tblGrid>
      <w:tr w:rsidR="00CC3E90" w:rsidRPr="009300B3" w14:paraId="0E2A0D41" w14:textId="77777777" w:rsidTr="001239DC">
        <w:trPr>
          <w:trHeight w:val="538"/>
        </w:trPr>
        <w:tc>
          <w:tcPr>
            <w:tcW w:w="632" w:type="dxa"/>
          </w:tcPr>
          <w:p w14:paraId="517E1E7F" w14:textId="77777777" w:rsidR="00CC3E90" w:rsidRPr="009300B3" w:rsidRDefault="00CC3E90" w:rsidP="001239DC">
            <w:pPr>
              <w:jc w:val="both"/>
              <w:rPr>
                <w:rFonts w:eastAsia="Arial"/>
                <w:b/>
                <w:bCs/>
              </w:rPr>
            </w:pPr>
            <w:bookmarkStart w:id="1" w:name="_Hlk187088187"/>
            <w:r w:rsidRPr="009300B3">
              <w:rPr>
                <w:rFonts w:eastAsia="Arial"/>
                <w:b/>
                <w:bCs/>
              </w:rPr>
              <w:t>1.1</w:t>
            </w:r>
          </w:p>
        </w:tc>
        <w:tc>
          <w:tcPr>
            <w:tcW w:w="3899" w:type="dxa"/>
          </w:tcPr>
          <w:p w14:paraId="6E64BDA2" w14:textId="77777777" w:rsidR="00CC3E90" w:rsidRPr="009300B3" w:rsidRDefault="00CC3E90" w:rsidP="001239DC">
            <w:pPr>
              <w:jc w:val="both"/>
              <w:rPr>
                <w:rFonts w:eastAsia="Arial"/>
                <w:b/>
                <w:bCs/>
              </w:rPr>
            </w:pPr>
            <w:r w:rsidRPr="009300B3">
              <w:rPr>
                <w:rFonts w:eastAsia="Arial"/>
                <w:b/>
                <w:bCs/>
              </w:rPr>
              <w:t>Pareiškėjas/ pareiškėjo atstovas</w:t>
            </w:r>
          </w:p>
        </w:tc>
        <w:tc>
          <w:tcPr>
            <w:tcW w:w="4962" w:type="dxa"/>
          </w:tcPr>
          <w:p w14:paraId="29CBE557" w14:textId="77777777" w:rsidR="00CC3E90" w:rsidRPr="009300B3" w:rsidRDefault="00CC3E90" w:rsidP="001239DC">
            <w:pPr>
              <w:jc w:val="both"/>
              <w:rPr>
                <w:rFonts w:eastAsia="Arial"/>
              </w:rPr>
            </w:pPr>
            <w:r w:rsidRPr="003E6FD9">
              <w:t>Amgen Switzerland AG Vilniaus filialas</w:t>
            </w:r>
          </w:p>
        </w:tc>
      </w:tr>
      <w:tr w:rsidR="00CC3E90" w:rsidRPr="009300B3" w14:paraId="00BDED6C" w14:textId="77777777" w:rsidTr="001239DC">
        <w:trPr>
          <w:trHeight w:val="538"/>
        </w:trPr>
        <w:tc>
          <w:tcPr>
            <w:tcW w:w="632" w:type="dxa"/>
          </w:tcPr>
          <w:p w14:paraId="7E4B377F" w14:textId="77777777" w:rsidR="00CC3E90" w:rsidRPr="009300B3" w:rsidRDefault="00CC3E90" w:rsidP="001239DC">
            <w:pPr>
              <w:jc w:val="both"/>
              <w:rPr>
                <w:rFonts w:eastAsia="Arial"/>
                <w:b/>
                <w:bCs/>
              </w:rPr>
            </w:pPr>
            <w:r w:rsidRPr="009300B3">
              <w:rPr>
                <w:rFonts w:eastAsia="Arial"/>
                <w:b/>
                <w:bCs/>
              </w:rPr>
              <w:t>1.2</w:t>
            </w:r>
          </w:p>
        </w:tc>
        <w:tc>
          <w:tcPr>
            <w:tcW w:w="3899" w:type="dxa"/>
          </w:tcPr>
          <w:p w14:paraId="269D0EE1" w14:textId="77777777" w:rsidR="00CC3E90" w:rsidRPr="009300B3" w:rsidRDefault="00CC3E90" w:rsidP="001239DC">
            <w:pPr>
              <w:jc w:val="both"/>
              <w:rPr>
                <w:b/>
                <w:bCs/>
                <w:lang w:eastAsia="lt-LT"/>
              </w:rPr>
            </w:pPr>
            <w:r w:rsidRPr="009300B3">
              <w:rPr>
                <w:b/>
                <w:bCs/>
                <w:lang w:eastAsia="lt-LT"/>
              </w:rPr>
              <w:t xml:space="preserve">Vaistinio preparato registracijos data </w:t>
            </w:r>
          </w:p>
          <w:p w14:paraId="72509E6F" w14:textId="77777777" w:rsidR="00CC3E90" w:rsidRPr="009300B3" w:rsidRDefault="00CC3E90" w:rsidP="001239DC">
            <w:pPr>
              <w:jc w:val="both"/>
              <w:rPr>
                <w:b/>
                <w:bCs/>
                <w:lang w:eastAsia="lt-LT"/>
              </w:rPr>
            </w:pPr>
          </w:p>
        </w:tc>
        <w:tc>
          <w:tcPr>
            <w:tcW w:w="4962" w:type="dxa"/>
          </w:tcPr>
          <w:p w14:paraId="19DAFA38" w14:textId="77777777" w:rsidR="00CC3E90" w:rsidRPr="009300B3" w:rsidRDefault="0077401E" w:rsidP="001239DC">
            <w:pPr>
              <w:jc w:val="both"/>
              <w:rPr>
                <w:rStyle w:val="Style2"/>
              </w:rPr>
            </w:pPr>
            <w:sdt>
              <w:sdtPr>
                <w:rPr>
                  <w:sz w:val="32"/>
                </w:rPr>
                <w:alias w:val="Nurodykite konkrečią dieną"/>
                <w:tag w:val="Nurodykite pradžios datą"/>
                <w:id w:val="-1286042050"/>
                <w:placeholder>
                  <w:docPart w:val="9B69DB9D29A3401F853B49AAAB23ADDA"/>
                </w:placeholder>
                <w15:color w:val="FFCC99"/>
                <w:date>
                  <w:dateFormat w:val="yyyy 'm.' MMMM d 'd.'"/>
                  <w:lid w:val="lt-LT"/>
                  <w:storeMappedDataAs w:val="dateTime"/>
                  <w:calendar w:val="gregorian"/>
                </w:date>
              </w:sdtPr>
              <w:sdtEndPr>
                <w:rPr>
                  <w:sz w:val="24"/>
                </w:rPr>
              </w:sdtEndPr>
              <w:sdtContent>
                <w:r w:rsidR="00CC3E90" w:rsidRPr="001A5F98">
                  <w:t>20</w:t>
                </w:r>
                <w:r w:rsidR="00CC3E90">
                  <w:t>15</w:t>
                </w:r>
                <w:r w:rsidR="00CC3E90" w:rsidRPr="001A5F98">
                  <w:t xml:space="preserve"> m</w:t>
                </w:r>
                <w:r w:rsidR="00CC3E90">
                  <w:t>. liepos 17 d.</w:t>
                </w:r>
              </w:sdtContent>
            </w:sdt>
          </w:p>
        </w:tc>
      </w:tr>
      <w:tr w:rsidR="00CC3E90" w:rsidRPr="009300B3" w14:paraId="37B297A4" w14:textId="77777777" w:rsidTr="001239DC">
        <w:trPr>
          <w:trHeight w:val="1396"/>
        </w:trPr>
        <w:tc>
          <w:tcPr>
            <w:tcW w:w="632" w:type="dxa"/>
          </w:tcPr>
          <w:p w14:paraId="1149E8C2" w14:textId="77777777" w:rsidR="00CC3E90" w:rsidRPr="009300B3" w:rsidRDefault="00CC3E90" w:rsidP="001239DC">
            <w:pPr>
              <w:jc w:val="both"/>
              <w:rPr>
                <w:rFonts w:eastAsia="Arial"/>
                <w:b/>
                <w:bCs/>
              </w:rPr>
            </w:pPr>
            <w:r w:rsidRPr="009300B3">
              <w:rPr>
                <w:rFonts w:eastAsia="Arial"/>
                <w:b/>
                <w:bCs/>
              </w:rPr>
              <w:t>1.3</w:t>
            </w:r>
          </w:p>
        </w:tc>
        <w:tc>
          <w:tcPr>
            <w:tcW w:w="3899" w:type="dxa"/>
          </w:tcPr>
          <w:p w14:paraId="5B730782" w14:textId="77777777" w:rsidR="00CC3E90" w:rsidRPr="009300B3" w:rsidRDefault="00CC3E90" w:rsidP="001239DC">
            <w:pPr>
              <w:pStyle w:val="Betarp"/>
              <w:jc w:val="both"/>
              <w:rPr>
                <w:rFonts w:ascii="Times New Roman" w:hAnsi="Times New Roman"/>
                <w:b/>
                <w:sz w:val="24"/>
                <w:szCs w:val="24"/>
                <w:shd w:val="clear" w:color="auto" w:fill="FFFFFF"/>
              </w:rPr>
            </w:pPr>
            <w:r w:rsidRPr="009300B3">
              <w:rPr>
                <w:rFonts w:ascii="Times New Roman" w:hAnsi="Times New Roman"/>
                <w:b/>
                <w:sz w:val="24"/>
                <w:szCs w:val="24"/>
              </w:rPr>
              <w:t xml:space="preserve">Vaistinio preparato </w:t>
            </w:r>
            <w:r w:rsidRPr="009300B3">
              <w:rPr>
                <w:rFonts w:ascii="Times New Roman" w:hAnsi="Times New Roman"/>
                <w:b/>
                <w:sz w:val="24"/>
                <w:szCs w:val="24"/>
                <w:shd w:val="clear" w:color="auto" w:fill="FFFFFF"/>
              </w:rPr>
              <w:t>registracijos teisinis pagrindas</w:t>
            </w:r>
          </w:p>
          <w:p w14:paraId="66F3F1EF" w14:textId="77777777" w:rsidR="00CC3E90" w:rsidRPr="009300B3" w:rsidRDefault="00CC3E90" w:rsidP="001239DC">
            <w:pPr>
              <w:pStyle w:val="Betarp"/>
              <w:jc w:val="both"/>
              <w:rPr>
                <w:rFonts w:ascii="Times New Roman" w:hAnsi="Times New Roman"/>
                <w:b/>
                <w:bCs/>
                <w:sz w:val="24"/>
                <w:szCs w:val="24"/>
                <w:lang w:eastAsia="lt-LT"/>
              </w:rPr>
            </w:pPr>
            <w:r w:rsidRPr="009300B3">
              <w:rPr>
                <w:rFonts w:ascii="Times New Roman" w:hAnsi="Times New Roman"/>
                <w:b/>
                <w:sz w:val="24"/>
                <w:szCs w:val="24"/>
                <w:shd w:val="clear" w:color="auto" w:fill="FFFFFF"/>
              </w:rPr>
              <w:t>(</w:t>
            </w:r>
            <w:r w:rsidRPr="009300B3">
              <w:rPr>
                <w:rFonts w:ascii="Times New Roman" w:hAnsi="Times New Roman"/>
                <w:b/>
                <w:sz w:val="24"/>
                <w:szCs w:val="24"/>
              </w:rPr>
              <w:t>Direktyvos 2001/83/EB str.)</w:t>
            </w:r>
          </w:p>
        </w:tc>
        <w:tc>
          <w:tcPr>
            <w:tcW w:w="4962" w:type="dxa"/>
          </w:tcPr>
          <w:p w14:paraId="37954EF7" w14:textId="77777777" w:rsidR="00CC3E90" w:rsidRPr="00DB5616" w:rsidRDefault="0077401E" w:rsidP="001239DC">
            <w:pPr>
              <w:jc w:val="both"/>
            </w:pPr>
            <w:sdt>
              <w:sdtPr>
                <w:rPr>
                  <w:rStyle w:val="Style2"/>
                </w:rPr>
                <w:id w:val="526292078"/>
                <w15:color w:val="FFCC00"/>
                <w14:checkbox>
                  <w14:checked w14:val="1"/>
                  <w14:checkedState w14:val="2612" w14:font="MS Gothic"/>
                  <w14:uncheckedState w14:val="2610" w14:font="MS Gothic"/>
                </w14:checkbox>
              </w:sdtPr>
              <w:sdtEndPr>
                <w:rPr>
                  <w:rStyle w:val="Style2"/>
                </w:rPr>
              </w:sdtEndPr>
              <w:sdtContent>
                <w:r w:rsidR="00CC3E90">
                  <w:rPr>
                    <w:rStyle w:val="Style2"/>
                    <w:rFonts w:ascii="MS Gothic" w:eastAsia="MS Gothic" w:hAnsi="MS Gothic" w:hint="eastAsia"/>
                  </w:rPr>
                  <w:t>☒</w:t>
                </w:r>
              </w:sdtContent>
            </w:sdt>
            <w:r w:rsidR="00CC3E90" w:rsidRPr="00DB5616">
              <w:t>8.3 str. (pilna byla, pagrįsta savais tyrimais)</w:t>
            </w:r>
          </w:p>
          <w:p w14:paraId="76033E35" w14:textId="77777777" w:rsidR="00CC3E90" w:rsidRPr="00DB5616" w:rsidRDefault="0077401E" w:rsidP="001239DC">
            <w:pPr>
              <w:jc w:val="both"/>
            </w:pPr>
            <w:sdt>
              <w:sdtPr>
                <w:rPr>
                  <w:rStyle w:val="Style2"/>
                </w:rPr>
                <w:id w:val="-1497953736"/>
                <w15:color w:val="FFCC00"/>
                <w14:checkbox>
                  <w14:checked w14:val="0"/>
                  <w14:checkedState w14:val="2612" w14:font="MS Gothic"/>
                  <w14:uncheckedState w14:val="2610" w14:font="MS Gothic"/>
                </w14:checkbox>
              </w:sdtPr>
              <w:sdtEndPr>
                <w:rPr>
                  <w:rStyle w:val="Style2"/>
                </w:rPr>
              </w:sdtEndPr>
              <w:sdtContent>
                <w:r w:rsidR="00CC3E90" w:rsidRPr="00DB5616">
                  <w:rPr>
                    <w:rStyle w:val="Style2"/>
                    <w:rFonts w:ascii="Segoe UI Symbol" w:eastAsia="MS Gothic" w:hAnsi="Segoe UI Symbol" w:cs="Segoe UI Symbol"/>
                  </w:rPr>
                  <w:t>☐</w:t>
                </w:r>
              </w:sdtContent>
            </w:sdt>
            <w:r w:rsidR="00CC3E90" w:rsidRPr="00DB5616">
              <w:t>10 a str. (pripažintas medicininis vartojimas)</w:t>
            </w:r>
          </w:p>
          <w:p w14:paraId="75766758" w14:textId="77777777" w:rsidR="00CC3E90" w:rsidRPr="00DB5616" w:rsidRDefault="0077401E" w:rsidP="001239DC">
            <w:pPr>
              <w:jc w:val="both"/>
            </w:pPr>
            <w:sdt>
              <w:sdtPr>
                <w:rPr>
                  <w:rStyle w:val="Style2"/>
                </w:rPr>
                <w:id w:val="204142496"/>
                <w15:color w:val="FFCC00"/>
                <w14:checkbox>
                  <w14:checked w14:val="0"/>
                  <w14:checkedState w14:val="2612" w14:font="MS Gothic"/>
                  <w14:uncheckedState w14:val="2610" w14:font="MS Gothic"/>
                </w14:checkbox>
              </w:sdtPr>
              <w:sdtEndPr>
                <w:rPr>
                  <w:rStyle w:val="Style2"/>
                </w:rPr>
              </w:sdtEndPr>
              <w:sdtContent>
                <w:r w:rsidR="00CC3E90" w:rsidRPr="00DB5616">
                  <w:rPr>
                    <w:rStyle w:val="Style2"/>
                    <w:rFonts w:ascii="Segoe UI Symbol" w:eastAsia="MS Gothic" w:hAnsi="Segoe UI Symbol" w:cs="Segoe UI Symbol"/>
                  </w:rPr>
                  <w:t>☐</w:t>
                </w:r>
              </w:sdtContent>
            </w:sdt>
            <w:r w:rsidR="00CC3E90" w:rsidRPr="00DB5616">
              <w:t>10.1 str. (</w:t>
            </w:r>
            <w:proofErr w:type="spellStart"/>
            <w:r w:rsidR="00CC3E90" w:rsidRPr="00DB5616">
              <w:t>generinis</w:t>
            </w:r>
            <w:proofErr w:type="spellEnd"/>
            <w:r w:rsidR="00CC3E90" w:rsidRPr="00DB5616">
              <w:t>)</w:t>
            </w:r>
          </w:p>
          <w:p w14:paraId="5A6790FB" w14:textId="77777777" w:rsidR="00CC3E90" w:rsidRPr="00DB5616" w:rsidRDefault="0077401E" w:rsidP="001239DC">
            <w:pPr>
              <w:jc w:val="both"/>
            </w:pPr>
            <w:sdt>
              <w:sdtPr>
                <w:rPr>
                  <w:rStyle w:val="Style2"/>
                </w:rPr>
                <w:id w:val="820305101"/>
                <w15:color w:val="FFCC00"/>
                <w14:checkbox>
                  <w14:checked w14:val="0"/>
                  <w14:checkedState w14:val="2612" w14:font="MS Gothic"/>
                  <w14:uncheckedState w14:val="2610" w14:font="MS Gothic"/>
                </w14:checkbox>
              </w:sdtPr>
              <w:sdtEndPr>
                <w:rPr>
                  <w:rStyle w:val="Style2"/>
                </w:rPr>
              </w:sdtEndPr>
              <w:sdtContent>
                <w:r w:rsidR="00CC3E90" w:rsidRPr="00DB5616">
                  <w:rPr>
                    <w:rStyle w:val="Style2"/>
                    <w:rFonts w:ascii="Segoe UI Symbol" w:eastAsia="MS Gothic" w:hAnsi="Segoe UI Symbol" w:cs="Segoe UI Symbol"/>
                  </w:rPr>
                  <w:t>☐</w:t>
                </w:r>
              </w:sdtContent>
            </w:sdt>
            <w:r w:rsidR="00CC3E90" w:rsidRPr="00DB5616">
              <w:t>10.3 str. (hibridinis)</w:t>
            </w:r>
          </w:p>
          <w:p w14:paraId="5231CA52" w14:textId="77777777" w:rsidR="00CC3E90" w:rsidRPr="00DB5616" w:rsidRDefault="0077401E" w:rsidP="001239DC">
            <w:sdt>
              <w:sdtPr>
                <w:rPr>
                  <w:rStyle w:val="Style2"/>
                </w:rPr>
                <w:id w:val="-450176040"/>
                <w15:color w:val="FFCC00"/>
                <w14:checkbox>
                  <w14:checked w14:val="0"/>
                  <w14:checkedState w14:val="2612" w14:font="MS Gothic"/>
                  <w14:uncheckedState w14:val="2610" w14:font="MS Gothic"/>
                </w14:checkbox>
              </w:sdtPr>
              <w:sdtEndPr>
                <w:rPr>
                  <w:rStyle w:val="Style2"/>
                </w:rPr>
              </w:sdtEndPr>
              <w:sdtContent>
                <w:r w:rsidR="00CC3E90" w:rsidRPr="00DB5616">
                  <w:rPr>
                    <w:rStyle w:val="Style2"/>
                    <w:rFonts w:ascii="Segoe UI Symbol" w:eastAsia="MS Gothic" w:hAnsi="Segoe UI Symbol" w:cs="Segoe UI Symbol"/>
                  </w:rPr>
                  <w:t>☐</w:t>
                </w:r>
              </w:sdtContent>
            </w:sdt>
            <w:r w:rsidR="00CC3E90" w:rsidRPr="00DB5616">
              <w:t>10.</w:t>
            </w:r>
            <w:r w:rsidR="00CC3E90">
              <w:t>4</w:t>
            </w:r>
            <w:r w:rsidR="00CC3E90" w:rsidRPr="00DB5616">
              <w:t xml:space="preserve"> str. (</w:t>
            </w:r>
            <w:r w:rsidR="00CC3E90" w:rsidRPr="001A0CAA">
              <w:t>panašus biologinis</w:t>
            </w:r>
            <w:r w:rsidR="00CC3E90" w:rsidRPr="00DB5616">
              <w:t>)</w:t>
            </w:r>
          </w:p>
          <w:p w14:paraId="5B2B7D29" w14:textId="77777777" w:rsidR="00CC3E90" w:rsidRDefault="00CC3E90" w:rsidP="001239DC">
            <w:pPr>
              <w:jc w:val="both"/>
            </w:pPr>
          </w:p>
          <w:p w14:paraId="2E6D71C6" w14:textId="77777777" w:rsidR="00CC3E90" w:rsidRPr="009300B3" w:rsidRDefault="00CC3E90" w:rsidP="001239DC">
            <w:pPr>
              <w:jc w:val="both"/>
              <w:rPr>
                <w:rStyle w:val="Style2"/>
              </w:rPr>
            </w:pPr>
          </w:p>
        </w:tc>
      </w:tr>
      <w:tr w:rsidR="00CC3E90" w:rsidRPr="009300B3" w14:paraId="54221383" w14:textId="77777777" w:rsidTr="001239DC">
        <w:trPr>
          <w:trHeight w:val="1011"/>
        </w:trPr>
        <w:tc>
          <w:tcPr>
            <w:tcW w:w="632" w:type="dxa"/>
          </w:tcPr>
          <w:p w14:paraId="597038D5" w14:textId="77777777" w:rsidR="00CC3E90" w:rsidRPr="009300B3" w:rsidRDefault="00CC3E90" w:rsidP="001239DC">
            <w:pPr>
              <w:jc w:val="both"/>
              <w:rPr>
                <w:rFonts w:eastAsia="Arial"/>
                <w:b/>
                <w:bCs/>
              </w:rPr>
            </w:pPr>
            <w:r w:rsidRPr="009300B3">
              <w:rPr>
                <w:rFonts w:eastAsia="Arial"/>
                <w:b/>
              </w:rPr>
              <w:t>1.4</w:t>
            </w:r>
          </w:p>
        </w:tc>
        <w:tc>
          <w:tcPr>
            <w:tcW w:w="3899" w:type="dxa"/>
          </w:tcPr>
          <w:p w14:paraId="41411D71" w14:textId="77777777" w:rsidR="00CC3E90" w:rsidRPr="009300B3" w:rsidRDefault="00CC3E90" w:rsidP="001239DC">
            <w:pPr>
              <w:tabs>
                <w:tab w:val="left" w:pos="284"/>
              </w:tabs>
              <w:spacing w:line="280" w:lineRule="atLeast"/>
              <w:jc w:val="both"/>
              <w:rPr>
                <w:b/>
                <w:bCs/>
                <w:lang w:eastAsia="lt-LT"/>
              </w:rPr>
            </w:pPr>
            <w:r w:rsidRPr="009300B3">
              <w:rPr>
                <w:b/>
                <w:bCs/>
                <w:lang w:eastAsia="lt-LT"/>
              </w:rPr>
              <w:t>Ar vaistinis preparatas įrašytas į Bendrijos retųjų vaistinių preparatų registrą?</w:t>
            </w:r>
          </w:p>
        </w:tc>
        <w:tc>
          <w:tcPr>
            <w:tcW w:w="4962" w:type="dxa"/>
          </w:tcPr>
          <w:p w14:paraId="7A135EA0" w14:textId="77777777" w:rsidR="00CC3E90" w:rsidRPr="003E6FD9" w:rsidRDefault="0077401E" w:rsidP="001239DC">
            <w:pPr>
              <w:jc w:val="both"/>
            </w:pPr>
            <w:sdt>
              <w:sdtPr>
                <w:rPr>
                  <w:rStyle w:val="Style2"/>
                </w:rPr>
                <w:id w:val="1190730465"/>
                <w15:color w:val="FFCC00"/>
                <w14:checkbox>
                  <w14:checked w14:val="0"/>
                  <w14:checkedState w14:val="2612" w14:font="MS Gothic"/>
                  <w14:uncheckedState w14:val="2610" w14:font="MS Gothic"/>
                </w14:checkbox>
              </w:sdtPr>
              <w:sdtEndPr>
                <w:rPr>
                  <w:rStyle w:val="Style2"/>
                </w:rPr>
              </w:sdtEndPr>
              <w:sdtContent>
                <w:r w:rsidR="00CC3E90" w:rsidRPr="009300B3">
                  <w:rPr>
                    <w:rStyle w:val="Style2"/>
                    <w:rFonts w:ascii="Segoe UI Symbol" w:eastAsia="MS Gothic" w:hAnsi="Segoe UI Symbol" w:cs="Segoe UI Symbol"/>
                  </w:rPr>
                  <w:t>☐</w:t>
                </w:r>
              </w:sdtContent>
            </w:sdt>
            <w:r w:rsidR="00CC3E90" w:rsidRPr="009300B3">
              <w:t xml:space="preserve"> Taip       </w:t>
            </w:r>
            <w:r w:rsidR="00CC3E90" w:rsidRPr="009300B3">
              <w:rPr>
                <w:rStyle w:val="Style2"/>
              </w:rPr>
              <w:t xml:space="preserve"> </w:t>
            </w:r>
            <w:sdt>
              <w:sdtPr>
                <w:rPr>
                  <w:rStyle w:val="Style2"/>
                </w:rPr>
                <w:id w:val="-1760283509"/>
                <w15:color w:val="FFCC00"/>
                <w14:checkbox>
                  <w14:checked w14:val="1"/>
                  <w14:checkedState w14:val="2612" w14:font="MS Gothic"/>
                  <w14:uncheckedState w14:val="2610" w14:font="MS Gothic"/>
                </w14:checkbox>
              </w:sdtPr>
              <w:sdtEndPr>
                <w:rPr>
                  <w:rStyle w:val="Style2"/>
                </w:rPr>
              </w:sdtEndPr>
              <w:sdtContent>
                <w:r w:rsidR="00CC3E90">
                  <w:rPr>
                    <w:rStyle w:val="Style2"/>
                    <w:rFonts w:ascii="MS Gothic" w:eastAsia="MS Gothic" w:hAnsi="MS Gothic" w:hint="eastAsia"/>
                  </w:rPr>
                  <w:t>☒</w:t>
                </w:r>
              </w:sdtContent>
            </w:sdt>
            <w:r w:rsidR="00CC3E90" w:rsidRPr="009300B3">
              <w:t xml:space="preserve"> Ne</w:t>
            </w:r>
          </w:p>
        </w:tc>
      </w:tr>
      <w:tr w:rsidR="00CC3E90" w:rsidRPr="009300B3" w14:paraId="2234160A" w14:textId="77777777" w:rsidTr="001239DC">
        <w:trPr>
          <w:trHeight w:val="1011"/>
        </w:trPr>
        <w:tc>
          <w:tcPr>
            <w:tcW w:w="632" w:type="dxa"/>
          </w:tcPr>
          <w:p w14:paraId="3A537E4E" w14:textId="77777777" w:rsidR="00CC3E90" w:rsidRPr="009300B3" w:rsidRDefault="00CC3E90" w:rsidP="001239DC">
            <w:pPr>
              <w:jc w:val="both"/>
              <w:rPr>
                <w:rFonts w:eastAsia="Arial"/>
                <w:b/>
              </w:rPr>
            </w:pPr>
            <w:r w:rsidRPr="009300B3">
              <w:rPr>
                <w:rFonts w:eastAsia="Arial"/>
                <w:b/>
                <w:bCs/>
              </w:rPr>
              <w:t>1.5</w:t>
            </w:r>
          </w:p>
        </w:tc>
        <w:tc>
          <w:tcPr>
            <w:tcW w:w="3899" w:type="dxa"/>
          </w:tcPr>
          <w:p w14:paraId="30213786" w14:textId="77777777" w:rsidR="00CC3E90" w:rsidRPr="009300B3" w:rsidRDefault="00CC3E90" w:rsidP="001239DC">
            <w:pPr>
              <w:tabs>
                <w:tab w:val="left" w:pos="284"/>
              </w:tabs>
              <w:spacing w:line="280" w:lineRule="atLeast"/>
              <w:jc w:val="both"/>
              <w:rPr>
                <w:b/>
                <w:bCs/>
                <w:lang w:eastAsia="lt-LT"/>
              </w:rPr>
            </w:pPr>
            <w:r w:rsidRPr="009300B3">
              <w:rPr>
                <w:b/>
                <w:bCs/>
                <w:lang w:eastAsia="lt-LT"/>
              </w:rPr>
              <w:t>Ar atliktas bendras klinikinis vertinimas</w:t>
            </w:r>
          </w:p>
          <w:p w14:paraId="055BEA92" w14:textId="77777777" w:rsidR="00CC3E90" w:rsidRPr="009300B3" w:rsidRDefault="00CC3E90" w:rsidP="001239DC">
            <w:pPr>
              <w:tabs>
                <w:tab w:val="left" w:pos="284"/>
              </w:tabs>
              <w:spacing w:line="280" w:lineRule="atLeast"/>
              <w:jc w:val="both"/>
              <w:rPr>
                <w:b/>
                <w:bCs/>
                <w:lang w:eastAsia="lt-LT"/>
              </w:rPr>
            </w:pPr>
            <w:r w:rsidRPr="009300B3">
              <w:rPr>
                <w:b/>
                <w:bCs/>
                <w:lang w:eastAsia="lt-LT"/>
              </w:rPr>
              <w:t>(Europos Parlamento ir Tarybos reglamentas (ES) 2021/2282)</w:t>
            </w:r>
          </w:p>
        </w:tc>
        <w:tc>
          <w:tcPr>
            <w:tcW w:w="4962" w:type="dxa"/>
          </w:tcPr>
          <w:p w14:paraId="3242A32E" w14:textId="77777777" w:rsidR="00CC3E90" w:rsidRPr="009300B3" w:rsidRDefault="0077401E" w:rsidP="001239DC">
            <w:pPr>
              <w:jc w:val="both"/>
            </w:pPr>
            <w:sdt>
              <w:sdtPr>
                <w:rPr>
                  <w:rStyle w:val="Style2"/>
                </w:rPr>
                <w:id w:val="-1171564470"/>
                <w15:color w:val="FFCC00"/>
                <w14:checkbox>
                  <w14:checked w14:val="0"/>
                  <w14:checkedState w14:val="2612" w14:font="MS Gothic"/>
                  <w14:uncheckedState w14:val="2610" w14:font="MS Gothic"/>
                </w14:checkbox>
              </w:sdtPr>
              <w:sdtEndPr>
                <w:rPr>
                  <w:rStyle w:val="Style2"/>
                </w:rPr>
              </w:sdtEndPr>
              <w:sdtContent>
                <w:r w:rsidR="00CC3E90" w:rsidRPr="009300B3">
                  <w:rPr>
                    <w:rStyle w:val="Style2"/>
                    <w:rFonts w:ascii="Segoe UI Symbol" w:eastAsia="MS Gothic" w:hAnsi="Segoe UI Symbol" w:cs="Segoe UI Symbol"/>
                  </w:rPr>
                  <w:t>☐</w:t>
                </w:r>
              </w:sdtContent>
            </w:sdt>
            <w:r w:rsidR="00CC3E90" w:rsidRPr="009300B3">
              <w:t xml:space="preserve"> Taip       </w:t>
            </w:r>
            <w:r w:rsidR="00CC3E90" w:rsidRPr="009300B3">
              <w:rPr>
                <w:rStyle w:val="Style2"/>
              </w:rPr>
              <w:t xml:space="preserve"> </w:t>
            </w:r>
            <w:sdt>
              <w:sdtPr>
                <w:rPr>
                  <w:rStyle w:val="Style2"/>
                </w:rPr>
                <w:id w:val="1448122567"/>
                <w15:color w:val="FFCC00"/>
                <w14:checkbox>
                  <w14:checked w14:val="1"/>
                  <w14:checkedState w14:val="2612" w14:font="MS Gothic"/>
                  <w14:uncheckedState w14:val="2610" w14:font="MS Gothic"/>
                </w14:checkbox>
              </w:sdtPr>
              <w:sdtEndPr>
                <w:rPr>
                  <w:rStyle w:val="Style2"/>
                </w:rPr>
              </w:sdtEndPr>
              <w:sdtContent>
                <w:r w:rsidR="00CC3E90">
                  <w:rPr>
                    <w:rStyle w:val="Style2"/>
                    <w:rFonts w:ascii="MS Gothic" w:eastAsia="MS Gothic" w:hAnsi="MS Gothic" w:hint="eastAsia"/>
                  </w:rPr>
                  <w:t>☒</w:t>
                </w:r>
              </w:sdtContent>
            </w:sdt>
            <w:r w:rsidR="00CC3E90" w:rsidRPr="009300B3">
              <w:t xml:space="preserve"> Ne</w:t>
            </w:r>
          </w:p>
          <w:p w14:paraId="417AE1C5" w14:textId="77777777" w:rsidR="00CC3E90" w:rsidRPr="009300B3" w:rsidRDefault="00CC3E90" w:rsidP="001239DC">
            <w:pPr>
              <w:jc w:val="both"/>
              <w:rPr>
                <w:rStyle w:val="Style2"/>
              </w:rPr>
            </w:pPr>
          </w:p>
        </w:tc>
      </w:tr>
      <w:tr w:rsidR="00CC3E90" w:rsidRPr="009300B3" w14:paraId="0CAD1BF9" w14:textId="77777777" w:rsidTr="001239DC">
        <w:trPr>
          <w:trHeight w:val="1278"/>
        </w:trPr>
        <w:tc>
          <w:tcPr>
            <w:tcW w:w="632" w:type="dxa"/>
          </w:tcPr>
          <w:p w14:paraId="433E3E72" w14:textId="77777777" w:rsidR="00CC3E90" w:rsidRPr="009300B3" w:rsidRDefault="00CC3E90" w:rsidP="001239DC">
            <w:pPr>
              <w:jc w:val="both"/>
              <w:rPr>
                <w:rFonts w:eastAsia="Arial"/>
                <w:b/>
                <w:bCs/>
              </w:rPr>
            </w:pPr>
            <w:r w:rsidRPr="009300B3">
              <w:rPr>
                <w:rFonts w:eastAsia="Arial"/>
                <w:b/>
                <w:bCs/>
              </w:rPr>
              <w:lastRenderedPageBreak/>
              <w:t>1.6</w:t>
            </w:r>
          </w:p>
        </w:tc>
        <w:tc>
          <w:tcPr>
            <w:tcW w:w="3899" w:type="dxa"/>
          </w:tcPr>
          <w:p w14:paraId="45EE79D3" w14:textId="77777777" w:rsidR="00CC3E90" w:rsidRPr="009300B3" w:rsidRDefault="00CC3E90" w:rsidP="001239DC">
            <w:pPr>
              <w:jc w:val="both"/>
              <w:rPr>
                <w:b/>
                <w:bCs/>
                <w:lang w:eastAsia="lt-LT"/>
              </w:rPr>
            </w:pPr>
            <w:r w:rsidRPr="009300B3">
              <w:rPr>
                <w:b/>
                <w:bCs/>
                <w:lang w:eastAsia="lt-LT"/>
              </w:rPr>
              <w:t xml:space="preserve">Teikiama kompensuoti terapinė indikacija </w:t>
            </w:r>
          </w:p>
          <w:p w14:paraId="68C46865" w14:textId="77777777" w:rsidR="00CC3E90" w:rsidRPr="009300B3" w:rsidRDefault="00CC3E90" w:rsidP="001239DC">
            <w:pPr>
              <w:jc w:val="both"/>
              <w:rPr>
                <w:b/>
                <w:bCs/>
                <w:lang w:eastAsia="lt-LT"/>
              </w:rPr>
            </w:pPr>
          </w:p>
          <w:p w14:paraId="51E5D53D" w14:textId="77777777" w:rsidR="00CC3E90" w:rsidRPr="009300B3" w:rsidRDefault="00CC3E90" w:rsidP="001239DC">
            <w:pPr>
              <w:jc w:val="both"/>
              <w:rPr>
                <w:b/>
                <w:bCs/>
                <w:lang w:eastAsia="lt-LT"/>
              </w:rPr>
            </w:pPr>
            <w:r w:rsidRPr="009300B3">
              <w:rPr>
                <w:b/>
                <w:bCs/>
                <w:lang w:eastAsia="lt-LT"/>
              </w:rPr>
              <w:t>Kodas pagal TLK-10 AM</w:t>
            </w:r>
          </w:p>
        </w:tc>
        <w:tc>
          <w:tcPr>
            <w:tcW w:w="4962" w:type="dxa"/>
          </w:tcPr>
          <w:p w14:paraId="79326A3C" w14:textId="77777777" w:rsidR="00CC3E90" w:rsidRPr="008A7380" w:rsidRDefault="00CC3E90" w:rsidP="001239DC">
            <w:pPr>
              <w:jc w:val="both"/>
            </w:pPr>
            <w:r w:rsidRPr="008A7380">
              <w:t xml:space="preserve">Repatha yra skirtas papildomam gydymui kartu taikant dietą suaugusiesiems, sergantiems pirmine hipercholesterolemija (heterozigotine šeimine ir nešeimine) arba mišria dislipidemija, ir 10 metų bei vyresniems vaikų populiacijos pacientams, sergantiems heterozigotine šeimine hipercholesterolemija: </w:t>
            </w:r>
          </w:p>
          <w:p w14:paraId="1E228146" w14:textId="77777777" w:rsidR="00CC3E90" w:rsidRPr="008A7380" w:rsidRDefault="00CC3E90" w:rsidP="00CC3E90">
            <w:pPr>
              <w:numPr>
                <w:ilvl w:val="0"/>
                <w:numId w:val="15"/>
              </w:numPr>
              <w:jc w:val="both"/>
            </w:pPr>
            <w:r w:rsidRPr="008A7380">
              <w:t xml:space="preserve">derinyje su statinais arba statinais ir kitais lipidų koncentraciją mažinančiais vaistiniais preparatais pacientams, kuriems, vartojant didžiausias toleruojamas statinų dozes, mažo tankio lipoproteinų cholesterolio (MTL-C) koncentracija nesumažėja iki siekiamo dydžio, arba </w:t>
            </w:r>
          </w:p>
          <w:p w14:paraId="2CC62F7A" w14:textId="77777777" w:rsidR="00CC3E90" w:rsidRPr="008A7380" w:rsidRDefault="00CC3E90" w:rsidP="00CC3E90">
            <w:pPr>
              <w:numPr>
                <w:ilvl w:val="0"/>
                <w:numId w:val="15"/>
              </w:numPr>
              <w:jc w:val="both"/>
            </w:pPr>
            <w:r w:rsidRPr="008A7380">
              <w:t>vienas arba derinyje su kitais lipidų koncentraciją mažinančiais vaistiniais preparatais pacientams, kurie netoleruoja statinų arba kuriems statinai yra kontraindikuotini.</w:t>
            </w:r>
          </w:p>
          <w:p w14:paraId="4A181504" w14:textId="77777777" w:rsidR="00CC3E90" w:rsidRPr="008A7380" w:rsidRDefault="00CC3E90" w:rsidP="001239DC">
            <w:pPr>
              <w:jc w:val="both"/>
            </w:pPr>
          </w:p>
          <w:p w14:paraId="18EB0F0D" w14:textId="77777777" w:rsidR="00CC3E90" w:rsidRPr="009300B3" w:rsidRDefault="00CC3E90" w:rsidP="001239DC">
            <w:pPr>
              <w:jc w:val="both"/>
            </w:pPr>
            <w:r w:rsidRPr="008A7380">
              <w:t>TLK-10 AM: E78.0</w:t>
            </w:r>
          </w:p>
        </w:tc>
      </w:tr>
      <w:tr w:rsidR="00CC3E90" w:rsidRPr="009300B3" w14:paraId="1BE886FD" w14:textId="77777777" w:rsidTr="001239DC">
        <w:trPr>
          <w:trHeight w:val="378"/>
        </w:trPr>
        <w:tc>
          <w:tcPr>
            <w:tcW w:w="632" w:type="dxa"/>
          </w:tcPr>
          <w:p w14:paraId="6816E669" w14:textId="77777777" w:rsidR="00CC3E90" w:rsidRPr="009300B3" w:rsidRDefault="00CC3E90" w:rsidP="001239DC">
            <w:pPr>
              <w:jc w:val="both"/>
              <w:rPr>
                <w:rFonts w:eastAsia="Arial"/>
                <w:b/>
                <w:bCs/>
              </w:rPr>
            </w:pPr>
            <w:r w:rsidRPr="009300B3">
              <w:rPr>
                <w:rFonts w:eastAsia="Arial"/>
                <w:b/>
                <w:bCs/>
              </w:rPr>
              <w:t>1.7</w:t>
            </w:r>
          </w:p>
        </w:tc>
        <w:tc>
          <w:tcPr>
            <w:tcW w:w="3899" w:type="dxa"/>
          </w:tcPr>
          <w:p w14:paraId="51924ADF" w14:textId="77777777" w:rsidR="00CC3E90" w:rsidRPr="009300B3" w:rsidRDefault="00CC3E90" w:rsidP="001239DC">
            <w:pPr>
              <w:jc w:val="both"/>
              <w:rPr>
                <w:b/>
                <w:bCs/>
                <w:u w:val="single"/>
                <w:lang w:eastAsia="lt-LT"/>
              </w:rPr>
            </w:pPr>
            <w:r w:rsidRPr="009300B3">
              <w:rPr>
                <w:b/>
                <w:bCs/>
                <w:lang w:eastAsia="lt-LT"/>
              </w:rPr>
              <w:t xml:space="preserve">Teikiamos skyrimo sąlygos </w:t>
            </w:r>
          </w:p>
        </w:tc>
        <w:tc>
          <w:tcPr>
            <w:tcW w:w="4962" w:type="dxa"/>
          </w:tcPr>
          <w:p w14:paraId="744F2919" w14:textId="77777777" w:rsidR="00CC3E90" w:rsidRPr="009300B3" w:rsidRDefault="00CC3E90" w:rsidP="001239DC">
            <w:pPr>
              <w:jc w:val="both"/>
            </w:pPr>
            <w:proofErr w:type="spellStart"/>
            <w:r w:rsidRPr="008A7380">
              <w:rPr>
                <w:lang w:val="en-US"/>
              </w:rPr>
              <w:t>Skiria</w:t>
            </w:r>
            <w:proofErr w:type="spellEnd"/>
            <w:r w:rsidRPr="008A7380">
              <w:rPr>
                <w:lang w:val="en-US"/>
              </w:rPr>
              <w:t xml:space="preserve"> ir </w:t>
            </w:r>
            <w:proofErr w:type="spellStart"/>
            <w:r w:rsidRPr="008A7380">
              <w:rPr>
                <w:lang w:val="en-US"/>
              </w:rPr>
              <w:t>išrašo</w:t>
            </w:r>
            <w:proofErr w:type="spellEnd"/>
            <w:r w:rsidRPr="008A7380">
              <w:rPr>
                <w:lang w:val="en-US"/>
              </w:rPr>
              <w:t xml:space="preserve"> </w:t>
            </w:r>
            <w:proofErr w:type="spellStart"/>
            <w:r w:rsidRPr="008A7380">
              <w:rPr>
                <w:lang w:val="en-US"/>
              </w:rPr>
              <w:t>gydytojas</w:t>
            </w:r>
            <w:proofErr w:type="spellEnd"/>
            <w:r w:rsidRPr="008A7380">
              <w:rPr>
                <w:lang w:val="en-US"/>
              </w:rPr>
              <w:t xml:space="preserve"> </w:t>
            </w:r>
            <w:proofErr w:type="spellStart"/>
            <w:r w:rsidRPr="008A7380">
              <w:rPr>
                <w:lang w:val="en-US"/>
              </w:rPr>
              <w:t>kardiologas</w:t>
            </w:r>
            <w:proofErr w:type="spellEnd"/>
            <w:r w:rsidRPr="008A7380">
              <w:rPr>
                <w:lang w:val="en-US"/>
              </w:rPr>
              <w:t xml:space="preserve">, </w:t>
            </w:r>
            <w:proofErr w:type="spellStart"/>
            <w:r w:rsidRPr="008A7380">
              <w:rPr>
                <w:lang w:val="en-US"/>
              </w:rPr>
              <w:t>didelės</w:t>
            </w:r>
            <w:proofErr w:type="spellEnd"/>
            <w:r w:rsidRPr="008A7380">
              <w:rPr>
                <w:lang w:val="en-US"/>
              </w:rPr>
              <w:t xml:space="preserve"> ir </w:t>
            </w:r>
            <w:proofErr w:type="spellStart"/>
            <w:r w:rsidRPr="008A7380">
              <w:rPr>
                <w:lang w:val="en-US"/>
              </w:rPr>
              <w:t>labai</w:t>
            </w:r>
            <w:proofErr w:type="spellEnd"/>
            <w:r w:rsidRPr="008A7380">
              <w:rPr>
                <w:lang w:val="en-US"/>
              </w:rPr>
              <w:t xml:space="preserve"> </w:t>
            </w:r>
            <w:proofErr w:type="spellStart"/>
            <w:r w:rsidRPr="008A7380">
              <w:rPr>
                <w:lang w:val="en-US"/>
              </w:rPr>
              <w:t>didelės</w:t>
            </w:r>
            <w:proofErr w:type="spellEnd"/>
            <w:r w:rsidRPr="008A7380">
              <w:rPr>
                <w:lang w:val="en-US"/>
              </w:rPr>
              <w:t xml:space="preserve"> </w:t>
            </w:r>
            <w:proofErr w:type="spellStart"/>
            <w:r w:rsidRPr="008A7380">
              <w:rPr>
                <w:lang w:val="en-US"/>
              </w:rPr>
              <w:t>kardiovaskulinės</w:t>
            </w:r>
            <w:proofErr w:type="spellEnd"/>
            <w:r w:rsidRPr="008A7380">
              <w:rPr>
                <w:lang w:val="en-US"/>
              </w:rPr>
              <w:t xml:space="preserve"> </w:t>
            </w:r>
            <w:proofErr w:type="spellStart"/>
            <w:r w:rsidRPr="008A7380">
              <w:rPr>
                <w:lang w:val="en-US"/>
              </w:rPr>
              <w:t>rizikos</w:t>
            </w:r>
            <w:proofErr w:type="spellEnd"/>
            <w:r w:rsidRPr="008A7380">
              <w:rPr>
                <w:lang w:val="en-US"/>
              </w:rPr>
              <w:t xml:space="preserve"> </w:t>
            </w:r>
            <w:proofErr w:type="spellStart"/>
            <w:r w:rsidRPr="008A7380">
              <w:rPr>
                <w:lang w:val="en-US"/>
              </w:rPr>
              <w:t>pacientams</w:t>
            </w:r>
            <w:proofErr w:type="spellEnd"/>
            <w:r w:rsidRPr="008A7380">
              <w:rPr>
                <w:lang w:val="en-US"/>
              </w:rPr>
              <w:t xml:space="preserve">, </w:t>
            </w:r>
            <w:proofErr w:type="spellStart"/>
            <w:r w:rsidRPr="008A7380">
              <w:rPr>
                <w:lang w:val="en-US"/>
              </w:rPr>
              <w:t>kuriems</w:t>
            </w:r>
            <w:proofErr w:type="spellEnd"/>
            <w:r w:rsidRPr="008A7380">
              <w:rPr>
                <w:lang w:val="en-US"/>
              </w:rPr>
              <w:t xml:space="preserve"> </w:t>
            </w:r>
            <w:proofErr w:type="spellStart"/>
            <w:r w:rsidRPr="008A7380">
              <w:rPr>
                <w:lang w:val="en-US"/>
              </w:rPr>
              <w:t>diagnozuota</w:t>
            </w:r>
            <w:proofErr w:type="spellEnd"/>
            <w:r w:rsidRPr="008A7380">
              <w:rPr>
                <w:lang w:val="en-US"/>
              </w:rPr>
              <w:t xml:space="preserve"> </w:t>
            </w:r>
            <w:proofErr w:type="spellStart"/>
            <w:r w:rsidRPr="008A7380">
              <w:rPr>
                <w:lang w:val="en-US"/>
              </w:rPr>
              <w:t>šeiminė</w:t>
            </w:r>
            <w:proofErr w:type="spellEnd"/>
            <w:r w:rsidRPr="008A7380">
              <w:rPr>
                <w:lang w:val="en-US"/>
              </w:rPr>
              <w:t xml:space="preserve"> </w:t>
            </w:r>
            <w:proofErr w:type="spellStart"/>
            <w:r w:rsidRPr="008A7380">
              <w:rPr>
                <w:lang w:val="en-US"/>
              </w:rPr>
              <w:t>hipercholesterolemija</w:t>
            </w:r>
            <w:proofErr w:type="spellEnd"/>
            <w:r w:rsidRPr="008A7380">
              <w:rPr>
                <w:lang w:val="en-US"/>
              </w:rPr>
              <w:t xml:space="preserve"> (E78.0) ir MTL-C </w:t>
            </w:r>
            <w:proofErr w:type="spellStart"/>
            <w:r w:rsidRPr="008A7380">
              <w:rPr>
                <w:lang w:val="en-US"/>
              </w:rPr>
              <w:t>koncentracija</w:t>
            </w:r>
            <w:proofErr w:type="spellEnd"/>
            <w:r w:rsidRPr="008A7380">
              <w:rPr>
                <w:lang w:val="en-US"/>
              </w:rPr>
              <w:t xml:space="preserve"> </w:t>
            </w:r>
            <w:proofErr w:type="spellStart"/>
            <w:r w:rsidRPr="008A7380">
              <w:rPr>
                <w:lang w:val="en-US"/>
              </w:rPr>
              <w:t>išlieka</w:t>
            </w:r>
            <w:proofErr w:type="spellEnd"/>
            <w:r w:rsidRPr="008A7380">
              <w:rPr>
                <w:lang w:val="en-US"/>
              </w:rPr>
              <w:t xml:space="preserve"> ≥2,6 mmol/l, </w:t>
            </w:r>
            <w:proofErr w:type="spellStart"/>
            <w:r w:rsidRPr="008A7380">
              <w:rPr>
                <w:lang w:val="en-US"/>
              </w:rPr>
              <w:t>taikant</w:t>
            </w:r>
            <w:proofErr w:type="spellEnd"/>
            <w:r w:rsidRPr="008A7380">
              <w:rPr>
                <w:lang w:val="en-US"/>
              </w:rPr>
              <w:t xml:space="preserve"> </w:t>
            </w:r>
            <w:proofErr w:type="spellStart"/>
            <w:r w:rsidRPr="008A7380">
              <w:rPr>
                <w:lang w:val="en-US"/>
              </w:rPr>
              <w:t>gydymą</w:t>
            </w:r>
            <w:proofErr w:type="spellEnd"/>
            <w:r w:rsidRPr="008A7380">
              <w:rPr>
                <w:lang w:val="en-US"/>
              </w:rPr>
              <w:t xml:space="preserve"> </w:t>
            </w:r>
            <w:proofErr w:type="spellStart"/>
            <w:r w:rsidRPr="008A7380">
              <w:rPr>
                <w:lang w:val="en-US"/>
              </w:rPr>
              <w:t>maksimaliomis</w:t>
            </w:r>
            <w:proofErr w:type="spellEnd"/>
            <w:r w:rsidRPr="008A7380">
              <w:rPr>
                <w:lang w:val="en-US"/>
              </w:rPr>
              <w:t xml:space="preserve"> </w:t>
            </w:r>
            <w:proofErr w:type="spellStart"/>
            <w:r w:rsidRPr="008A7380">
              <w:rPr>
                <w:lang w:val="en-US"/>
              </w:rPr>
              <w:t>toleruojamomis</w:t>
            </w:r>
            <w:proofErr w:type="spellEnd"/>
            <w:r w:rsidRPr="008A7380">
              <w:rPr>
                <w:lang w:val="en-US"/>
              </w:rPr>
              <w:t xml:space="preserve"> </w:t>
            </w:r>
            <w:proofErr w:type="spellStart"/>
            <w:r w:rsidRPr="008A7380">
              <w:rPr>
                <w:lang w:val="en-US"/>
              </w:rPr>
              <w:t>statinų</w:t>
            </w:r>
            <w:proofErr w:type="spellEnd"/>
            <w:r w:rsidRPr="008A7380">
              <w:rPr>
                <w:lang w:val="en-US"/>
              </w:rPr>
              <w:t xml:space="preserve"> </w:t>
            </w:r>
            <w:proofErr w:type="spellStart"/>
            <w:r w:rsidRPr="008A7380">
              <w:rPr>
                <w:lang w:val="en-US"/>
              </w:rPr>
              <w:t>dozėmis</w:t>
            </w:r>
            <w:proofErr w:type="spellEnd"/>
            <w:r w:rsidRPr="008A7380">
              <w:rPr>
                <w:lang w:val="en-US"/>
              </w:rPr>
              <w:t xml:space="preserve"> </w:t>
            </w:r>
            <w:proofErr w:type="spellStart"/>
            <w:r w:rsidRPr="008A7380">
              <w:rPr>
                <w:lang w:val="en-US"/>
              </w:rPr>
              <w:t>kartu</w:t>
            </w:r>
            <w:proofErr w:type="spellEnd"/>
            <w:r w:rsidRPr="008A7380">
              <w:rPr>
                <w:lang w:val="en-US"/>
              </w:rPr>
              <w:t xml:space="preserve"> </w:t>
            </w:r>
            <w:proofErr w:type="spellStart"/>
            <w:r w:rsidRPr="008A7380">
              <w:rPr>
                <w:lang w:val="en-US"/>
              </w:rPr>
              <w:t>su</w:t>
            </w:r>
            <w:proofErr w:type="spellEnd"/>
            <w:r w:rsidRPr="008A7380">
              <w:rPr>
                <w:lang w:val="en-US"/>
              </w:rPr>
              <w:t xml:space="preserve"> </w:t>
            </w:r>
            <w:proofErr w:type="spellStart"/>
            <w:r w:rsidRPr="008A7380">
              <w:rPr>
                <w:lang w:val="en-US"/>
              </w:rPr>
              <w:t>ezitimibu</w:t>
            </w:r>
            <w:proofErr w:type="spellEnd"/>
            <w:r w:rsidRPr="008A7380">
              <w:rPr>
                <w:lang w:val="en-US"/>
              </w:rPr>
              <w:t xml:space="preserve"> (</w:t>
            </w:r>
            <w:proofErr w:type="spellStart"/>
            <w:r w:rsidRPr="008A7380">
              <w:rPr>
                <w:lang w:val="en-US"/>
              </w:rPr>
              <w:t>arba</w:t>
            </w:r>
            <w:proofErr w:type="spellEnd"/>
            <w:r w:rsidRPr="008A7380">
              <w:rPr>
                <w:lang w:val="en-US"/>
              </w:rPr>
              <w:t xml:space="preserve"> tik </w:t>
            </w:r>
            <w:proofErr w:type="spellStart"/>
            <w:r w:rsidRPr="008A7380">
              <w:rPr>
                <w:lang w:val="en-US"/>
              </w:rPr>
              <w:t>ezetimibu</w:t>
            </w:r>
            <w:proofErr w:type="spellEnd"/>
            <w:r w:rsidRPr="008A7380">
              <w:rPr>
                <w:lang w:val="en-US"/>
              </w:rPr>
              <w:t xml:space="preserve">, </w:t>
            </w:r>
            <w:proofErr w:type="spellStart"/>
            <w:r w:rsidRPr="008A7380">
              <w:rPr>
                <w:lang w:val="en-US"/>
              </w:rPr>
              <w:t>kuomet</w:t>
            </w:r>
            <w:proofErr w:type="spellEnd"/>
            <w:r w:rsidRPr="008A7380">
              <w:rPr>
                <w:lang w:val="en-US"/>
              </w:rPr>
              <w:t xml:space="preserve"> </w:t>
            </w:r>
            <w:proofErr w:type="spellStart"/>
            <w:r w:rsidRPr="008A7380">
              <w:rPr>
                <w:lang w:val="en-US"/>
              </w:rPr>
              <w:t>statinas</w:t>
            </w:r>
            <w:proofErr w:type="spellEnd"/>
            <w:r w:rsidRPr="008A7380">
              <w:rPr>
                <w:lang w:val="en-US"/>
              </w:rPr>
              <w:t xml:space="preserve"> </w:t>
            </w:r>
            <w:proofErr w:type="spellStart"/>
            <w:r w:rsidRPr="008A7380">
              <w:rPr>
                <w:lang w:val="en-US"/>
              </w:rPr>
              <w:t>yra</w:t>
            </w:r>
            <w:proofErr w:type="spellEnd"/>
            <w:r w:rsidRPr="008A7380">
              <w:rPr>
                <w:lang w:val="en-US"/>
              </w:rPr>
              <w:t xml:space="preserve"> </w:t>
            </w:r>
            <w:proofErr w:type="spellStart"/>
            <w:r w:rsidRPr="008A7380">
              <w:rPr>
                <w:lang w:val="en-US"/>
              </w:rPr>
              <w:t>kontraindikuotinas</w:t>
            </w:r>
            <w:proofErr w:type="spellEnd"/>
            <w:r w:rsidRPr="008A7380">
              <w:rPr>
                <w:lang w:val="en-US"/>
              </w:rPr>
              <w:t>)</w:t>
            </w:r>
          </w:p>
        </w:tc>
      </w:tr>
      <w:tr w:rsidR="00CC3E90" w:rsidRPr="009300B3" w14:paraId="1F471177" w14:textId="77777777" w:rsidTr="001239DC">
        <w:trPr>
          <w:trHeight w:val="378"/>
        </w:trPr>
        <w:tc>
          <w:tcPr>
            <w:tcW w:w="632" w:type="dxa"/>
          </w:tcPr>
          <w:p w14:paraId="428F68C2" w14:textId="77777777" w:rsidR="00CC3E90" w:rsidRPr="009300B3" w:rsidRDefault="00CC3E90" w:rsidP="001239DC">
            <w:pPr>
              <w:jc w:val="both"/>
              <w:rPr>
                <w:rFonts w:eastAsia="Arial"/>
                <w:b/>
                <w:bCs/>
              </w:rPr>
            </w:pPr>
            <w:r w:rsidRPr="009300B3">
              <w:rPr>
                <w:rFonts w:eastAsia="Arial"/>
                <w:b/>
                <w:bCs/>
              </w:rPr>
              <w:t>1.8</w:t>
            </w:r>
          </w:p>
        </w:tc>
        <w:tc>
          <w:tcPr>
            <w:tcW w:w="3899" w:type="dxa"/>
          </w:tcPr>
          <w:p w14:paraId="12B2B3F2" w14:textId="77777777" w:rsidR="00CC3E90" w:rsidRPr="009300B3" w:rsidRDefault="00CC3E90" w:rsidP="001239DC">
            <w:pPr>
              <w:jc w:val="both"/>
              <w:rPr>
                <w:b/>
                <w:bCs/>
                <w:lang w:eastAsia="lt-LT"/>
              </w:rPr>
            </w:pPr>
            <w:r w:rsidRPr="009300B3">
              <w:rPr>
                <w:b/>
                <w:bCs/>
                <w:lang w:eastAsia="lt-LT"/>
              </w:rPr>
              <w:t>Ekonominė analizė</w:t>
            </w:r>
          </w:p>
        </w:tc>
        <w:tc>
          <w:tcPr>
            <w:tcW w:w="4962" w:type="dxa"/>
          </w:tcPr>
          <w:p w14:paraId="6CADF9BE" w14:textId="77777777" w:rsidR="00CC3E90" w:rsidRPr="009300B3" w:rsidRDefault="0077401E" w:rsidP="001239DC">
            <w:pPr>
              <w:jc w:val="both"/>
            </w:pPr>
            <w:sdt>
              <w:sdtPr>
                <w:rPr>
                  <w:rStyle w:val="Style2"/>
                </w:rPr>
                <w:id w:val="356323367"/>
                <w15:color w:val="FFCC00"/>
                <w14:checkbox>
                  <w14:checked w14:val="1"/>
                  <w14:checkedState w14:val="2612" w14:font="MS Gothic"/>
                  <w14:uncheckedState w14:val="2610" w14:font="MS Gothic"/>
                </w14:checkbox>
              </w:sdtPr>
              <w:sdtEndPr>
                <w:rPr>
                  <w:rStyle w:val="Style2"/>
                </w:rPr>
              </w:sdtEndPr>
              <w:sdtContent>
                <w:r w:rsidR="00CC3E90">
                  <w:rPr>
                    <w:rStyle w:val="Style2"/>
                    <w:rFonts w:ascii="MS Gothic" w:eastAsia="MS Gothic" w:hAnsi="MS Gothic" w:hint="eastAsia"/>
                  </w:rPr>
                  <w:t>☒</w:t>
                </w:r>
              </w:sdtContent>
            </w:sdt>
            <w:r w:rsidR="00CC3E90" w:rsidRPr="009300B3">
              <w:t xml:space="preserve"> Kaštų naudingumo analizė</w:t>
            </w:r>
          </w:p>
          <w:p w14:paraId="6952DC04" w14:textId="77777777" w:rsidR="00CC3E90" w:rsidRDefault="0077401E" w:rsidP="001239DC">
            <w:pPr>
              <w:jc w:val="both"/>
            </w:pPr>
            <w:sdt>
              <w:sdtPr>
                <w:rPr>
                  <w:rStyle w:val="Style2"/>
                </w:rPr>
                <w:id w:val="-250506580"/>
                <w15:color w:val="FFCC00"/>
                <w14:checkbox>
                  <w14:checked w14:val="0"/>
                  <w14:checkedState w14:val="2612" w14:font="MS Gothic"/>
                  <w14:uncheckedState w14:val="2610" w14:font="MS Gothic"/>
                </w14:checkbox>
              </w:sdtPr>
              <w:sdtEndPr>
                <w:rPr>
                  <w:rStyle w:val="Style2"/>
                </w:rPr>
              </w:sdtEndPr>
              <w:sdtContent>
                <w:r w:rsidR="00CC3E90" w:rsidRPr="009300B3">
                  <w:rPr>
                    <w:rStyle w:val="Style2"/>
                    <w:rFonts w:ascii="Segoe UI Symbol" w:eastAsia="MS Gothic" w:hAnsi="Segoe UI Symbol" w:cs="Segoe UI Symbol"/>
                  </w:rPr>
                  <w:t>☐</w:t>
                </w:r>
              </w:sdtContent>
            </w:sdt>
            <w:r w:rsidR="00CC3E90" w:rsidRPr="009300B3">
              <w:t xml:space="preserve"> Kaštų mažinimo analizė</w:t>
            </w:r>
          </w:p>
          <w:p w14:paraId="2ACF782C" w14:textId="77777777" w:rsidR="00CC3E90" w:rsidRPr="009300B3" w:rsidRDefault="0077401E" w:rsidP="001239DC">
            <w:pPr>
              <w:jc w:val="both"/>
            </w:pPr>
            <w:sdt>
              <w:sdtPr>
                <w:rPr>
                  <w:rStyle w:val="Style2"/>
                </w:rPr>
                <w:id w:val="-1517455044"/>
                <w15:color w:val="FFCC00"/>
                <w14:checkbox>
                  <w14:checked w14:val="0"/>
                  <w14:checkedState w14:val="2612" w14:font="MS Gothic"/>
                  <w14:uncheckedState w14:val="2610" w14:font="MS Gothic"/>
                </w14:checkbox>
              </w:sdtPr>
              <w:sdtEndPr>
                <w:rPr>
                  <w:rStyle w:val="Style2"/>
                </w:rPr>
              </w:sdtEndPr>
              <w:sdtContent>
                <w:r w:rsidR="00CC3E90" w:rsidRPr="009300B3">
                  <w:rPr>
                    <w:rStyle w:val="Style2"/>
                    <w:rFonts w:ascii="Segoe UI Symbol" w:eastAsia="MS Gothic" w:hAnsi="Segoe UI Symbol" w:cs="Segoe UI Symbol"/>
                  </w:rPr>
                  <w:t>☐</w:t>
                </w:r>
              </w:sdtContent>
            </w:sdt>
            <w:r w:rsidR="00CC3E90">
              <w:t xml:space="preserve"> Neteikiama</w:t>
            </w:r>
          </w:p>
          <w:p w14:paraId="7441E6FB" w14:textId="77777777" w:rsidR="00CC3E90" w:rsidRPr="009300B3" w:rsidRDefault="00CC3E90" w:rsidP="001239DC">
            <w:pPr>
              <w:jc w:val="both"/>
            </w:pPr>
          </w:p>
        </w:tc>
      </w:tr>
    </w:tbl>
    <w:bookmarkEnd w:id="1"/>
    <w:p w14:paraId="2EB7FD31" w14:textId="5615B363" w:rsidR="007A2B68" w:rsidRPr="00334F18" w:rsidRDefault="00DC261A" w:rsidP="00063A50">
      <w:pPr>
        <w:pStyle w:val="Sraopastraipa"/>
        <w:tabs>
          <w:tab w:val="left" w:pos="426"/>
        </w:tabs>
        <w:ind w:left="0"/>
        <w:jc w:val="center"/>
        <w:rPr>
          <w:b/>
          <w:bCs/>
          <w:caps/>
        </w:rPr>
      </w:pPr>
      <w:r w:rsidRPr="00334F18">
        <w:rPr>
          <w:b/>
          <w:bCs/>
          <w:caps/>
        </w:rPr>
        <w:t>___________________</w:t>
      </w:r>
    </w:p>
    <w:p w14:paraId="73290081" w14:textId="77777777" w:rsidR="007A2B68" w:rsidRPr="00334F18" w:rsidRDefault="007A2B68">
      <w:pPr>
        <w:rPr>
          <w:b/>
          <w:bCs/>
          <w:caps/>
        </w:rPr>
      </w:pPr>
      <w:r w:rsidRPr="00334F18">
        <w:rPr>
          <w:b/>
          <w:bCs/>
          <w:caps/>
        </w:rPr>
        <w:br w:type="page"/>
      </w:r>
    </w:p>
    <w:p w14:paraId="5055E8A8" w14:textId="7B6FDCCC" w:rsidR="002E6F80" w:rsidRPr="00334F18" w:rsidRDefault="00CC7832" w:rsidP="00CC09D4">
      <w:pPr>
        <w:pStyle w:val="Sraopastraipa"/>
        <w:numPr>
          <w:ilvl w:val="0"/>
          <w:numId w:val="12"/>
        </w:numPr>
        <w:tabs>
          <w:tab w:val="left" w:pos="567"/>
        </w:tabs>
        <w:ind w:hanging="720"/>
        <w:rPr>
          <w:b/>
          <w:bCs/>
          <w:caps/>
        </w:rPr>
      </w:pPr>
      <w:r w:rsidRPr="00334F18">
        <w:rPr>
          <w:b/>
          <w:bCs/>
          <w:caps/>
        </w:rPr>
        <w:lastRenderedPageBreak/>
        <w:t>Klinikinio vertinimo a</w:t>
      </w:r>
      <w:r w:rsidR="00D4485B" w:rsidRPr="00334F18">
        <w:rPr>
          <w:b/>
          <w:bCs/>
          <w:caps/>
        </w:rPr>
        <w:t>pibendrinimas</w:t>
      </w:r>
    </w:p>
    <w:p w14:paraId="39C1ADA8" w14:textId="77777777" w:rsidR="00AC5129" w:rsidRDefault="00AC5129" w:rsidP="00A93AA6">
      <w:pPr>
        <w:pStyle w:val="Sraopastraipa"/>
        <w:tabs>
          <w:tab w:val="left" w:pos="426"/>
        </w:tabs>
        <w:ind w:left="0"/>
        <w:rPr>
          <w:b/>
          <w:bCs/>
          <w:caps/>
        </w:rPr>
      </w:pPr>
    </w:p>
    <w:p w14:paraId="063F453F" w14:textId="39766ADE" w:rsidR="007A7F36" w:rsidRDefault="007A7F36" w:rsidP="007A7F36">
      <w:pPr>
        <w:tabs>
          <w:tab w:val="left" w:pos="284"/>
        </w:tabs>
        <w:spacing w:line="276" w:lineRule="auto"/>
        <w:jc w:val="both"/>
        <w:rPr>
          <w:iCs/>
        </w:rPr>
      </w:pPr>
      <w:r>
        <w:rPr>
          <w:iCs/>
        </w:rPr>
        <w:tab/>
      </w:r>
      <w:r>
        <w:rPr>
          <w:iCs/>
        </w:rPr>
        <w:tab/>
      </w:r>
      <w:r w:rsidRPr="009300B3">
        <w:rPr>
          <w:iCs/>
        </w:rPr>
        <w:t xml:space="preserve">Bendras klinikinis vertinimas pagal 2021 m. gruodžio 15 d. Europos Parlamento ir Tarybos reglamentu (ES) 2021/2282 dėl sveikatos technologijų vertinimo, kuriuo iš dalies keičiama direktyva 2011/24/ES, vaistiniam preparatui </w:t>
      </w:r>
      <w:r>
        <w:rPr>
          <w:iCs/>
        </w:rPr>
        <w:t xml:space="preserve">Repatha </w:t>
      </w:r>
      <w:r w:rsidRPr="009300B3">
        <w:rPr>
          <w:iCs/>
        </w:rPr>
        <w:t>neatliktas.</w:t>
      </w:r>
    </w:p>
    <w:p w14:paraId="44502720" w14:textId="77777777" w:rsidR="007A7F36" w:rsidRDefault="007A7F36" w:rsidP="007A7F36">
      <w:pPr>
        <w:tabs>
          <w:tab w:val="left" w:pos="284"/>
        </w:tabs>
        <w:spacing w:line="276" w:lineRule="auto"/>
        <w:jc w:val="both"/>
        <w:rPr>
          <w:iCs/>
        </w:rPr>
      </w:pPr>
      <w:r>
        <w:rPr>
          <w:iCs/>
        </w:rPr>
        <w:tab/>
      </w:r>
      <w:r>
        <w:rPr>
          <w:iCs/>
        </w:rPr>
        <w:tab/>
        <w:t xml:space="preserve">Pareiškėjas pateikė paraišką </w:t>
      </w:r>
      <w:r>
        <w:t xml:space="preserve">evolokumabo kompensavimui didelės ir labai didelės kardiovaskulinės rizikos pacientams, kuriems nustatyta šeiminė hipercholesterolemija ir skiriant </w:t>
      </w:r>
      <w:r w:rsidRPr="00D24E38">
        <w:t>gydymą maksimaliomis toleruojamomis statinų dozėmis kartu su ezetimibu (arba tik ezetimibu, jei statinas yra kontraindikuotinas</w:t>
      </w:r>
      <w:r>
        <w:t xml:space="preserve">), nepasiektos tikslinės MTL-C reikšmės. </w:t>
      </w:r>
      <w:r w:rsidRPr="00D24E38">
        <w:rPr>
          <w:iCs/>
        </w:rPr>
        <w:t>Dislipidemijos gydymas statino ir ezetimibo deriniu (toleruojant statinus) bei ezetimibo monoterapija (netoleruojant statinų ar esant kontraindikacijų juos vartoti)</w:t>
      </w:r>
      <w:r>
        <w:rPr>
          <w:iCs/>
        </w:rPr>
        <w:t xml:space="preserve"> atitinka įprastą klinikinę praktiką Lietuvoje.</w:t>
      </w:r>
    </w:p>
    <w:p w14:paraId="51F9DB07" w14:textId="77777777" w:rsidR="007A7F36" w:rsidRDefault="007A7F36" w:rsidP="007A7F36">
      <w:pPr>
        <w:spacing w:line="276" w:lineRule="auto"/>
        <w:jc w:val="both"/>
        <w:rPr>
          <w:rFonts w:eastAsia="Arial"/>
        </w:rPr>
      </w:pPr>
      <w:r>
        <w:rPr>
          <w:iCs/>
        </w:rPr>
        <w:tab/>
      </w:r>
      <w:r>
        <w:rPr>
          <w:rFonts w:eastAsia="Arial"/>
        </w:rPr>
        <w:t xml:space="preserve">Pareiškėjas pateikė 4 suaugusiųjų (DESCARTES, RUTHERFORD-2, GAUSS-2, GAUSS-3) ir 1 vaikų (10 – 17 metų; HAUSER) populiacijų klinikinius tyrimus. </w:t>
      </w:r>
      <w:r w:rsidRPr="00403A8E">
        <w:rPr>
          <w:rFonts w:eastAsia="Arial"/>
        </w:rPr>
        <w:t xml:space="preserve">RUTHERFORD-2 ir HAUSER tyrimų populiacijos atitinka Lietuvos pacientų, kuriems nustatyta heterozigotinė </w:t>
      </w:r>
      <w:r>
        <w:rPr>
          <w:rFonts w:eastAsia="Arial"/>
        </w:rPr>
        <w:t>šeiminė hipercholesterolemija</w:t>
      </w:r>
      <w:r w:rsidRPr="00403A8E">
        <w:rPr>
          <w:rFonts w:eastAsia="Arial"/>
        </w:rPr>
        <w:t>, populiaciją</w:t>
      </w:r>
      <w:r>
        <w:rPr>
          <w:rFonts w:eastAsia="Arial"/>
        </w:rPr>
        <w:t>, kituose tyrimuose nagrinėti pacientai, kuriems nustatyta kitų kilmių dislipidemija.</w:t>
      </w:r>
    </w:p>
    <w:p w14:paraId="795484AA" w14:textId="77777777" w:rsidR="007A7F36" w:rsidRDefault="007A7F36" w:rsidP="007A7F36">
      <w:pPr>
        <w:spacing w:line="276" w:lineRule="auto"/>
        <w:jc w:val="both"/>
        <w:rPr>
          <w:rFonts w:eastAsia="Arial"/>
        </w:rPr>
      </w:pPr>
      <w:r>
        <w:rPr>
          <w:rFonts w:eastAsia="Arial"/>
        </w:rPr>
        <w:tab/>
      </w:r>
      <w:r w:rsidRPr="00B005B1">
        <w:rPr>
          <w:rFonts w:eastAsia="Arial"/>
        </w:rPr>
        <w:t xml:space="preserve">RUTHERFORD-2 (~62% pacientų vartojo statino ir ezetimibo derinį), HAUSER (~13% pacientų vartojo statino ir ezetimibo derinį) ir DESCARTES (labai didelės rizikos pacientų </w:t>
      </w:r>
      <w:r>
        <w:rPr>
          <w:rFonts w:eastAsia="Arial"/>
        </w:rPr>
        <w:t>pogrupis</w:t>
      </w:r>
      <w:r w:rsidRPr="00B005B1">
        <w:rPr>
          <w:rFonts w:eastAsia="Arial"/>
        </w:rPr>
        <w:t>) klinikiniuose tyrimuose pacientų pogrupių vartotas palyginamasis gydymas statino ir ezetimibo deriniu</w:t>
      </w:r>
      <w:r>
        <w:rPr>
          <w:rFonts w:eastAsia="Arial"/>
        </w:rPr>
        <w:t xml:space="preserve"> </w:t>
      </w:r>
      <w:r w:rsidRPr="00B005B1">
        <w:rPr>
          <w:bCs/>
          <w:lang w:eastAsia="lt-LT"/>
        </w:rPr>
        <w:t>(lyginant su statino, ezetimibo ir evolokumabo deriniu)</w:t>
      </w:r>
      <w:r>
        <w:rPr>
          <w:rFonts w:eastAsia="Arial"/>
        </w:rPr>
        <w:t xml:space="preserve"> </w:t>
      </w:r>
      <w:r w:rsidRPr="00B005B1">
        <w:rPr>
          <w:rFonts w:eastAsia="Arial"/>
        </w:rPr>
        <w:t>atitinka pareiškėjo siūlomas skyrimo sąlygas ir įprastinę klinikinę praktiką Lietuvoje.</w:t>
      </w:r>
      <w:r>
        <w:rPr>
          <w:rFonts w:eastAsia="Arial"/>
        </w:rPr>
        <w:t xml:space="preserve"> </w:t>
      </w:r>
      <w:r w:rsidRPr="00B005B1">
        <w:rPr>
          <w:rFonts w:eastAsia="Arial"/>
        </w:rPr>
        <w:t>GAUSS-2 ir GAUSS-3 tyrimuose (statinų netoleruojančių pacientų populiacija) vartotas palyginamasis gydymas ezetimibo monoterapija (lyginant su evolokumabo monoterapija) neatitinka pareiškėjo siūlomų skyrimo sąlygų</w:t>
      </w:r>
      <w:r>
        <w:rPr>
          <w:rFonts w:eastAsia="Arial"/>
        </w:rPr>
        <w:t xml:space="preserve">. Dėl šios priežasties </w:t>
      </w:r>
      <w:r w:rsidRPr="00B005B1">
        <w:rPr>
          <w:rFonts w:eastAsia="Arial"/>
        </w:rPr>
        <w:t>evolokumabo palyginamasis veiksmingumas bu</w:t>
      </w:r>
      <w:r>
        <w:rPr>
          <w:rFonts w:eastAsia="Arial"/>
        </w:rPr>
        <w:t xml:space="preserve">vo vertinamas </w:t>
      </w:r>
      <w:r w:rsidRPr="00B005B1">
        <w:rPr>
          <w:rFonts w:eastAsia="Arial"/>
        </w:rPr>
        <w:t>analizuojant 3 fazės RUTHERFORD-2 ir HAUSER bei 2 fazės DESCARTES klinikinių tyrimų duomenis</w:t>
      </w:r>
      <w:r>
        <w:rPr>
          <w:rFonts w:eastAsia="Arial"/>
        </w:rPr>
        <w:t>.</w:t>
      </w:r>
    </w:p>
    <w:p w14:paraId="3A7267E4" w14:textId="0EEEAB81" w:rsidR="007A7F36" w:rsidRPr="00455F31" w:rsidRDefault="007A7F36" w:rsidP="007A7F36">
      <w:pPr>
        <w:tabs>
          <w:tab w:val="left" w:pos="284"/>
        </w:tabs>
        <w:spacing w:line="276" w:lineRule="auto"/>
        <w:jc w:val="both"/>
        <w:rPr>
          <w:iCs/>
        </w:rPr>
      </w:pPr>
      <w:r>
        <w:rPr>
          <w:rFonts w:eastAsia="Arial"/>
        </w:rPr>
        <w:tab/>
      </w:r>
      <w:r>
        <w:rPr>
          <w:rFonts w:eastAsia="Arial"/>
        </w:rPr>
        <w:tab/>
        <w:t xml:space="preserve">Šiame RUTHERFORD tyrimo pogrupyje buvo nustatytas statistiškai ir kliniškai reikšmingai didesnis pirminės baigties (MTL-C koncentracijos pokytis) sumažėjimas (50% ir daugiau; p &lt; 0,0001), lyginant su placebo. HAUSER tyrime </w:t>
      </w:r>
      <w:r>
        <w:rPr>
          <w:rFonts w:eastAsia="Arial"/>
          <w:bCs/>
          <w:iCs/>
        </w:rPr>
        <w:t>ezetimibą vartojančių pacientų šiame tyrime buvo mažai (~13%), todėl šio pogrupio analizė</w:t>
      </w:r>
      <w:r>
        <w:rPr>
          <w:rFonts w:eastAsia="Arial"/>
        </w:rPr>
        <w:t xml:space="preserve"> nebuvo atlikta; bendrojoje šio tyrimo populiacijoje MTL-C koncentracija</w:t>
      </w:r>
      <w:r w:rsidRPr="00455F31">
        <w:rPr>
          <w:rFonts w:eastAsia="Arial"/>
          <w:bCs/>
          <w:iCs/>
        </w:rPr>
        <w:t xml:space="preserve"> </w:t>
      </w:r>
      <w:r>
        <w:rPr>
          <w:rFonts w:eastAsia="Arial"/>
          <w:bCs/>
          <w:iCs/>
        </w:rPr>
        <w:t xml:space="preserve">po 24 sav. evolokumabo grupėje buvo 38,3% (95% PI –45,5 – –31,1) mažesnė, lyginant su placebo. DESCARTES tyrimo labai didelės rizikos pacientų pogrupio </w:t>
      </w:r>
      <w:r w:rsidRPr="00B57A22">
        <w:rPr>
          <w:rFonts w:eastAsia="Arial"/>
          <w:bCs/>
          <w:iCs/>
        </w:rPr>
        <w:t>MTL-C koncentracijos pokyt</w:t>
      </w:r>
      <w:r>
        <w:rPr>
          <w:rFonts w:eastAsia="Arial"/>
          <w:bCs/>
          <w:iCs/>
        </w:rPr>
        <w:t>is</w:t>
      </w:r>
      <w:r w:rsidRPr="00B57A22">
        <w:rPr>
          <w:rFonts w:eastAsia="Arial"/>
          <w:bCs/>
          <w:iCs/>
        </w:rPr>
        <w:t xml:space="preserve"> </w:t>
      </w:r>
      <w:r>
        <w:rPr>
          <w:rFonts w:eastAsia="Arial"/>
          <w:bCs/>
          <w:iCs/>
        </w:rPr>
        <w:t xml:space="preserve">po </w:t>
      </w:r>
      <w:r w:rsidRPr="00B57A22">
        <w:rPr>
          <w:rFonts w:eastAsia="Arial"/>
          <w:bCs/>
          <w:iCs/>
        </w:rPr>
        <w:t>52 sav.</w:t>
      </w:r>
      <w:r>
        <w:rPr>
          <w:rFonts w:eastAsia="Arial"/>
          <w:bCs/>
          <w:iCs/>
        </w:rPr>
        <w:t xml:space="preserve"> evolokumabo grupėje buvo 48,5 </w:t>
      </w:r>
      <w:r w:rsidRPr="00B57A22">
        <w:rPr>
          <w:rFonts w:eastAsia="Arial"/>
          <w:bCs/>
          <w:iCs/>
        </w:rPr>
        <w:t>±</w:t>
      </w:r>
      <w:r>
        <w:rPr>
          <w:rFonts w:eastAsia="Arial"/>
          <w:bCs/>
          <w:iCs/>
        </w:rPr>
        <w:t xml:space="preserve"> 5,2 % didesnis, lyginant su placebo</w:t>
      </w:r>
      <w:r>
        <w:rPr>
          <w:rFonts w:eastAsia="Arial"/>
        </w:rPr>
        <w:t xml:space="preserve">. Vertinant kitus </w:t>
      </w:r>
      <w:proofErr w:type="spellStart"/>
      <w:r>
        <w:rPr>
          <w:rFonts w:eastAsia="Arial"/>
        </w:rPr>
        <w:t>lipidogramos</w:t>
      </w:r>
      <w:proofErr w:type="spellEnd"/>
      <w:r>
        <w:rPr>
          <w:rFonts w:eastAsia="Arial"/>
        </w:rPr>
        <w:t xml:space="preserve"> rodiklius šiuose tyrimuose (antrinės vertinamosios baigtys), gautas iš esmės visų rodiklių statistiškai reikšmingas pokyčio skirtumas, lyginant su placebo. </w:t>
      </w:r>
      <w:r>
        <w:rPr>
          <w:iCs/>
        </w:rPr>
        <w:t>Evolokumabo saugumo problemų nenustatyta.</w:t>
      </w:r>
    </w:p>
    <w:p w14:paraId="520872AA" w14:textId="77777777" w:rsidR="007A7F36" w:rsidRPr="0032669A" w:rsidRDefault="007A7F36" w:rsidP="007A7F36">
      <w:pPr>
        <w:spacing w:line="276" w:lineRule="auto"/>
        <w:jc w:val="both"/>
        <w:rPr>
          <w:rFonts w:eastAsia="Arial"/>
        </w:rPr>
      </w:pPr>
      <w:r>
        <w:rPr>
          <w:rFonts w:eastAsia="Arial"/>
        </w:rPr>
        <w:tab/>
      </w:r>
      <w:r w:rsidRPr="002D677E">
        <w:rPr>
          <w:rFonts w:eastAsia="Arial"/>
        </w:rPr>
        <w:t>Nors HAUSER tyrime trigubą gydymą (statin</w:t>
      </w:r>
      <w:r>
        <w:rPr>
          <w:rFonts w:eastAsia="Arial"/>
        </w:rPr>
        <w:t>u</w:t>
      </w:r>
      <w:r w:rsidRPr="002D677E">
        <w:rPr>
          <w:rFonts w:eastAsia="Arial"/>
        </w:rPr>
        <w:t>, ezetimib</w:t>
      </w:r>
      <w:r>
        <w:rPr>
          <w:rFonts w:eastAsia="Arial"/>
        </w:rPr>
        <w:t xml:space="preserve">u </w:t>
      </w:r>
      <w:r w:rsidRPr="002D677E">
        <w:rPr>
          <w:rFonts w:eastAsia="Arial"/>
        </w:rPr>
        <w:t>ir evolokumab</w:t>
      </w:r>
      <w:r>
        <w:rPr>
          <w:rFonts w:eastAsia="Arial"/>
        </w:rPr>
        <w:t>u</w:t>
      </w:r>
      <w:r w:rsidRPr="002D677E">
        <w:rPr>
          <w:rFonts w:eastAsia="Arial"/>
        </w:rPr>
        <w:t>/placebo) gavusių pacientų buvo nedaug</w:t>
      </w:r>
      <w:r>
        <w:rPr>
          <w:rFonts w:eastAsia="Arial"/>
        </w:rPr>
        <w:t xml:space="preserve">, </w:t>
      </w:r>
      <w:r w:rsidRPr="002D677E">
        <w:rPr>
          <w:rFonts w:eastAsia="Arial"/>
        </w:rPr>
        <w:t xml:space="preserve">evolokumabo lipidų kiekį mažinantį poveikį taikant gydymą didelio intensyvumo statinu ir ezetimibu patvirtina RUTHERFORD-2 ir DESCARTES tyrimų duomenys: </w:t>
      </w:r>
      <w:proofErr w:type="spellStart"/>
      <w:r w:rsidRPr="002D677E">
        <w:rPr>
          <w:rFonts w:eastAsia="Arial"/>
        </w:rPr>
        <w:t>heterozigotinės</w:t>
      </w:r>
      <w:proofErr w:type="spellEnd"/>
      <w:r w:rsidRPr="002D677E">
        <w:rPr>
          <w:rFonts w:eastAsia="Arial"/>
        </w:rPr>
        <w:t xml:space="preserve"> ŠH ir labai didelės rizikos grupės suaugusiųjų pacientų populiacijose (gydomų didelio </w:t>
      </w:r>
      <w:proofErr w:type="spellStart"/>
      <w:r w:rsidRPr="002D677E">
        <w:rPr>
          <w:rFonts w:eastAsia="Arial"/>
        </w:rPr>
        <w:t>intensvumo</w:t>
      </w:r>
      <w:proofErr w:type="spellEnd"/>
      <w:r w:rsidRPr="002D677E">
        <w:rPr>
          <w:rFonts w:eastAsia="Arial"/>
        </w:rPr>
        <w:t xml:space="preserve"> </w:t>
      </w:r>
      <w:proofErr w:type="spellStart"/>
      <w:r w:rsidRPr="002D677E">
        <w:rPr>
          <w:rFonts w:eastAsia="Arial"/>
        </w:rPr>
        <w:t>statinu</w:t>
      </w:r>
      <w:proofErr w:type="spellEnd"/>
      <w:r w:rsidRPr="002D677E">
        <w:rPr>
          <w:rFonts w:eastAsia="Arial"/>
        </w:rPr>
        <w:t xml:space="preserve"> ir </w:t>
      </w:r>
      <w:proofErr w:type="spellStart"/>
      <w:r w:rsidRPr="002D677E">
        <w:rPr>
          <w:rFonts w:eastAsia="Arial"/>
        </w:rPr>
        <w:t>ezetimibu</w:t>
      </w:r>
      <w:proofErr w:type="spellEnd"/>
      <w:r w:rsidRPr="002D677E">
        <w:rPr>
          <w:rFonts w:eastAsia="Arial"/>
        </w:rPr>
        <w:t>) evolokumabas MTL-C koncentraciją sumažino 40% ir daugiau.</w:t>
      </w:r>
      <w:r>
        <w:rPr>
          <w:rFonts w:eastAsia="Arial"/>
        </w:rPr>
        <w:t xml:space="preserve"> Dėl šios priežasties padaryta prielaida, jog </w:t>
      </w:r>
      <w:r w:rsidRPr="002D677E">
        <w:rPr>
          <w:rFonts w:eastAsia="Arial"/>
        </w:rPr>
        <w:t>statino ir ezetimibo derinio papildymas evolokumabu</w:t>
      </w:r>
      <w:r w:rsidRPr="0032669A">
        <w:rPr>
          <w:rFonts w:eastAsia="Arial"/>
        </w:rPr>
        <w:t xml:space="preserve"> </w:t>
      </w:r>
      <w:r w:rsidRPr="002D677E">
        <w:rPr>
          <w:rFonts w:eastAsia="Arial"/>
        </w:rPr>
        <w:t xml:space="preserve">sergantiems </w:t>
      </w:r>
      <w:r>
        <w:rPr>
          <w:rFonts w:eastAsia="Arial"/>
        </w:rPr>
        <w:t>heterozigotine</w:t>
      </w:r>
      <w:r w:rsidRPr="002D677E">
        <w:rPr>
          <w:rFonts w:eastAsia="Arial"/>
        </w:rPr>
        <w:t xml:space="preserve"> </w:t>
      </w:r>
      <w:r>
        <w:rPr>
          <w:rFonts w:eastAsia="Arial"/>
        </w:rPr>
        <w:t>šeimine hipercholesterolemija</w:t>
      </w:r>
      <w:r w:rsidRPr="002D677E">
        <w:rPr>
          <w:rFonts w:eastAsia="Arial"/>
        </w:rPr>
        <w:t>, kuriems nepaisant optimalaus gydymo</w:t>
      </w:r>
      <w:r>
        <w:rPr>
          <w:rFonts w:eastAsia="Arial"/>
        </w:rPr>
        <w:t xml:space="preserve"> </w:t>
      </w:r>
      <w:r w:rsidRPr="002D677E">
        <w:rPr>
          <w:rFonts w:eastAsia="Arial"/>
        </w:rPr>
        <w:t>(didelio intensyvumo statinu ir ezetimibu) nepasiekiamos tikslinės MTL-C reikšmės, sukuria papildomą klinikinę naudą tiek 10 – 17 metų vaikų, tiek suaugusiųjų populiacijose.</w:t>
      </w:r>
      <w:r>
        <w:rPr>
          <w:rFonts w:eastAsia="Arial"/>
        </w:rPr>
        <w:t xml:space="preserve"> </w:t>
      </w:r>
    </w:p>
    <w:p w14:paraId="349B068F" w14:textId="77777777" w:rsidR="007A7F36" w:rsidRDefault="007A7F36" w:rsidP="00A93AA6">
      <w:pPr>
        <w:pStyle w:val="Sraopastraipa"/>
        <w:tabs>
          <w:tab w:val="left" w:pos="426"/>
        </w:tabs>
        <w:ind w:left="0"/>
        <w:rPr>
          <w:b/>
          <w:bCs/>
          <w:caps/>
        </w:rPr>
      </w:pPr>
    </w:p>
    <w:p w14:paraId="483A78F6" w14:textId="77777777" w:rsidR="007A7F36" w:rsidRPr="00334F18" w:rsidRDefault="007A7F36" w:rsidP="00A93AA6">
      <w:pPr>
        <w:pStyle w:val="Sraopastraipa"/>
        <w:tabs>
          <w:tab w:val="left" w:pos="426"/>
        </w:tabs>
        <w:ind w:left="0"/>
        <w:rPr>
          <w:b/>
          <w:bCs/>
          <w:caps/>
        </w:rPr>
      </w:pPr>
    </w:p>
    <w:p w14:paraId="7DE09EB5" w14:textId="69E9DD74" w:rsidR="00E03C3F" w:rsidRPr="00334F18" w:rsidRDefault="00CC7832" w:rsidP="00CC09D4">
      <w:pPr>
        <w:pStyle w:val="Sraopastraipa"/>
        <w:numPr>
          <w:ilvl w:val="0"/>
          <w:numId w:val="12"/>
        </w:numPr>
        <w:tabs>
          <w:tab w:val="left" w:pos="567"/>
        </w:tabs>
        <w:ind w:hanging="720"/>
        <w:rPr>
          <w:b/>
          <w:bCs/>
          <w:caps/>
        </w:rPr>
      </w:pPr>
      <w:r w:rsidRPr="00334F18">
        <w:rPr>
          <w:b/>
          <w:bCs/>
          <w:caps/>
        </w:rPr>
        <w:lastRenderedPageBreak/>
        <w:t xml:space="preserve">ekonominio vertinimo </w:t>
      </w:r>
      <w:r w:rsidR="002F0E4F" w:rsidRPr="00334F18">
        <w:rPr>
          <w:b/>
          <w:bCs/>
          <w:caps/>
        </w:rPr>
        <w:t>apibendrinimas</w:t>
      </w:r>
    </w:p>
    <w:p w14:paraId="1A900598" w14:textId="4826E5DF" w:rsidR="00C62B36" w:rsidRDefault="00C62B36" w:rsidP="00A93AA6">
      <w:pPr>
        <w:tabs>
          <w:tab w:val="left" w:pos="426"/>
        </w:tabs>
        <w:rPr>
          <w:i/>
        </w:rPr>
      </w:pPr>
    </w:p>
    <w:p w14:paraId="3409720B" w14:textId="77777777" w:rsidR="00CC3E90" w:rsidRDefault="00CC3E90" w:rsidP="00CC3E90">
      <w:pPr>
        <w:shd w:val="clear" w:color="auto" w:fill="FFFFFF"/>
        <w:spacing w:line="276" w:lineRule="auto"/>
        <w:jc w:val="both"/>
      </w:pPr>
      <w:r w:rsidRPr="00495955">
        <w:rPr>
          <w:rFonts w:eastAsia="Arial"/>
        </w:rPr>
        <w:t xml:space="preserve">Vertinimui pateikta kaštų naudingumo analizė, kurioje nagrinėjamas </w:t>
      </w:r>
      <w:proofErr w:type="spellStart"/>
      <w:r w:rsidRPr="00495955">
        <w:rPr>
          <w:rFonts w:eastAsia="Arial"/>
        </w:rPr>
        <w:t>evolokumabo</w:t>
      </w:r>
      <w:proofErr w:type="spellEnd"/>
      <w:r w:rsidRPr="00495955">
        <w:rPr>
          <w:rFonts w:eastAsia="Arial"/>
        </w:rPr>
        <w:t xml:space="preserve"> (</w:t>
      </w:r>
      <w:proofErr w:type="spellStart"/>
      <w:r w:rsidRPr="00495955">
        <w:rPr>
          <w:rFonts w:eastAsia="Arial"/>
        </w:rPr>
        <w:t>repatha</w:t>
      </w:r>
      <w:proofErr w:type="spellEnd"/>
      <w:r w:rsidRPr="00495955">
        <w:rPr>
          <w:rFonts w:eastAsia="Arial"/>
        </w:rPr>
        <w:t xml:space="preserve">), kaip papildomo gydymo, kaštų naudingumas, pacientams, sergantiems </w:t>
      </w:r>
      <w:r>
        <w:rPr>
          <w:rFonts w:eastAsia="Arial"/>
        </w:rPr>
        <w:t xml:space="preserve">pirmine hipercholesterolemija (heterozigotine šeimine ir nešeimine) arba mišria dislipidemija, derinyje </w:t>
      </w:r>
      <w:r w:rsidRPr="008A7380">
        <w:t>su statinais arba statinais ir kitais lipidų koncentraciją mažinančiais vaistiniais preparatais pacientams, kuriems, vartojant didžiausias toleruojamas statinų dozes, mažo tankio lipoproteinų cholesterolio (MTL-C) koncentracija nesumažėja iki siekiamo dydžio, arba</w:t>
      </w:r>
      <w:r>
        <w:t xml:space="preserve"> </w:t>
      </w:r>
      <w:r w:rsidRPr="008A7380">
        <w:t>vienas arba derinyje su kitais lipidų koncentraciją mažinančiais vaistiniais preparatais pacientams, kurie netoleruoja statinų arba kuriems statinai yra kontraindikuotini</w:t>
      </w:r>
      <w:r>
        <w:t>.</w:t>
      </w:r>
    </w:p>
    <w:p w14:paraId="6968D394" w14:textId="77777777" w:rsidR="00CC3E90" w:rsidRPr="00495955" w:rsidRDefault="00CC3E90" w:rsidP="00CC3E90">
      <w:pPr>
        <w:shd w:val="clear" w:color="auto" w:fill="FFFFFF"/>
        <w:spacing w:line="276" w:lineRule="auto"/>
        <w:jc w:val="both"/>
        <w:rPr>
          <w:rFonts w:eastAsia="Arial"/>
        </w:rPr>
      </w:pPr>
      <w:r w:rsidRPr="00495955">
        <w:rPr>
          <w:rFonts w:eastAsia="Arial"/>
        </w:rPr>
        <w:t xml:space="preserve">Analizė atliekama iš PSDF biudžeto perspektyvos, o pasirinkta laiko perspektyva sudarė viso gyvenimo trukmę. Tokia laiko perspektyva yra laikoma tinkama, nes analizėje nagrinėjama liga turi įtakos pacientų išgyvenamumui. Analizėje taikomas modeliavimas – </w:t>
      </w:r>
      <w:proofErr w:type="spellStart"/>
      <w:r w:rsidRPr="00495955">
        <w:rPr>
          <w:rFonts w:eastAsia="Arial"/>
        </w:rPr>
        <w:t>Markovo</w:t>
      </w:r>
      <w:proofErr w:type="spellEnd"/>
      <w:r w:rsidRPr="00495955">
        <w:rPr>
          <w:rFonts w:eastAsia="Arial"/>
        </w:rPr>
        <w:t xml:space="preserve"> kohortos metodas. </w:t>
      </w:r>
    </w:p>
    <w:p w14:paraId="7589CED2" w14:textId="77777777" w:rsidR="00CC3E90" w:rsidRDefault="00CC3E90" w:rsidP="00CC3E90">
      <w:pPr>
        <w:spacing w:line="280" w:lineRule="atLeast"/>
        <w:jc w:val="both"/>
        <w:rPr>
          <w:lang w:eastAsia="lt-LT"/>
        </w:rPr>
      </w:pPr>
      <w:r w:rsidRPr="00495955">
        <w:rPr>
          <w:rFonts w:eastAsia="Arial"/>
        </w:rPr>
        <w:t xml:space="preserve">Pradinis kardiovaskulinių įvykių dažnis analizėje įvertintas remiantis </w:t>
      </w:r>
      <w:r>
        <w:rPr>
          <w:rFonts w:eastAsia="Arial"/>
        </w:rPr>
        <w:t xml:space="preserve">retrospektyvaus </w:t>
      </w:r>
      <w:proofErr w:type="spellStart"/>
      <w:r>
        <w:rPr>
          <w:rFonts w:eastAsia="Arial"/>
        </w:rPr>
        <w:t>krossekcinio</w:t>
      </w:r>
      <w:proofErr w:type="spellEnd"/>
      <w:r>
        <w:rPr>
          <w:rFonts w:eastAsia="Arial"/>
        </w:rPr>
        <w:t xml:space="preserve"> tyrimo Belgijos pacientams duomenimis</w:t>
      </w:r>
      <w:r w:rsidRPr="00495955">
        <w:rPr>
          <w:rFonts w:eastAsia="Arial"/>
        </w:rPr>
        <w:t>. Gydymo poveikis a</w:t>
      </w:r>
      <w:r>
        <w:rPr>
          <w:rFonts w:eastAsia="Arial"/>
        </w:rPr>
        <w:t>nal</w:t>
      </w:r>
      <w:r w:rsidRPr="00495955">
        <w:rPr>
          <w:rFonts w:eastAsia="Arial"/>
        </w:rPr>
        <w:t xml:space="preserve">izėje įvertintas pagal MTL-C koncentracijos sumažėjimą, įvertinant MTL-C koncentracijos sumažėjimo ir KV įvykių rizikos ryšį. Nustatyta, jog </w:t>
      </w:r>
      <w:r w:rsidRPr="00495955">
        <w:t xml:space="preserve">MTL-C koncentracijai sumažėjus 1 mmol/L, KV įvykio rizikos santykis - </w:t>
      </w:r>
      <w:r w:rsidRPr="00495955">
        <w:rPr>
          <w:color w:val="000000" w:themeColor="text1"/>
        </w:rPr>
        <w:t xml:space="preserve">0.78 (95% CI: 0.76 to 0.80). </w:t>
      </w:r>
      <w:r w:rsidRPr="00495955">
        <w:rPr>
          <w:lang w:eastAsia="lt-LT"/>
        </w:rPr>
        <w:t>Tarnyba vertina, jog kardiovaskulinių įvykių dažnio bei mirties dėl kardiovaskulinių priežasčių įvertinimas taikant MTL-C koncentracijos ir įvykių pasireiškimo riziką, analizėje yra laikomas neapibrėžtumu, nes analizė nėra grįsta tiesioginiais įvykių duomenimis skirtingoms pacientų grupėms. Vis dėlto, atsižvelgiant į turimus duomenis, Tarnyba laiko, jog analizės rezultatas, taikant Pareiškėjo pateiktą modelį, gali būti įvertinamas, interpretuojamas bei gali būti priimtas sprendimas dėl vaisto kompensavimo.</w:t>
      </w:r>
    </w:p>
    <w:p w14:paraId="42D04A5F" w14:textId="77777777" w:rsidR="00CC3E90" w:rsidRDefault="00CC3E90" w:rsidP="00CC3E90">
      <w:pPr>
        <w:spacing w:line="280" w:lineRule="atLeast"/>
        <w:jc w:val="both"/>
        <w:rPr>
          <w:lang w:eastAsia="lt-LT"/>
        </w:rPr>
      </w:pPr>
      <w:r>
        <w:rPr>
          <w:lang w:eastAsia="lt-LT"/>
        </w:rPr>
        <w:t xml:space="preserve">Siekiant įvertinti pacientų gyvenimo kokybę, analizėje pateikti du metodai: MATZA et al ir </w:t>
      </w:r>
      <w:proofErr w:type="spellStart"/>
      <w:r>
        <w:rPr>
          <w:lang w:eastAsia="lt-LT"/>
        </w:rPr>
        <w:t>Ara</w:t>
      </w:r>
      <w:proofErr w:type="spellEnd"/>
      <w:r>
        <w:rPr>
          <w:lang w:eastAsia="lt-LT"/>
        </w:rPr>
        <w:t xml:space="preserve"> </w:t>
      </w:r>
      <w:proofErr w:type="spellStart"/>
      <w:r>
        <w:rPr>
          <w:lang w:eastAsia="lt-LT"/>
        </w:rPr>
        <w:t>and</w:t>
      </w:r>
      <w:proofErr w:type="spellEnd"/>
      <w:r>
        <w:rPr>
          <w:lang w:eastAsia="lt-LT"/>
        </w:rPr>
        <w:t xml:space="preserve"> </w:t>
      </w:r>
      <w:proofErr w:type="spellStart"/>
      <w:r>
        <w:rPr>
          <w:lang w:eastAsia="lt-LT"/>
        </w:rPr>
        <w:t>Brazier</w:t>
      </w:r>
      <w:proofErr w:type="spellEnd"/>
      <w:r>
        <w:rPr>
          <w:lang w:eastAsia="lt-LT"/>
        </w:rPr>
        <w:t xml:space="preserve">. Tarnyba siekdama panašumo tarp atliktų vertinimų panašiai indikacijai, pagrindinio atvejo analizėje renkasi </w:t>
      </w:r>
      <w:proofErr w:type="spellStart"/>
      <w:r>
        <w:rPr>
          <w:lang w:eastAsia="lt-LT"/>
        </w:rPr>
        <w:t>Ara</w:t>
      </w:r>
      <w:proofErr w:type="spellEnd"/>
      <w:r>
        <w:rPr>
          <w:lang w:eastAsia="lt-LT"/>
        </w:rPr>
        <w:t xml:space="preserve"> </w:t>
      </w:r>
      <w:proofErr w:type="spellStart"/>
      <w:r>
        <w:rPr>
          <w:lang w:eastAsia="lt-LT"/>
        </w:rPr>
        <w:t>and</w:t>
      </w:r>
      <w:proofErr w:type="spellEnd"/>
      <w:r>
        <w:rPr>
          <w:lang w:eastAsia="lt-LT"/>
        </w:rPr>
        <w:t xml:space="preserve"> </w:t>
      </w:r>
      <w:proofErr w:type="spellStart"/>
      <w:r>
        <w:rPr>
          <w:lang w:eastAsia="lt-LT"/>
        </w:rPr>
        <w:t>Brazier</w:t>
      </w:r>
      <w:proofErr w:type="spellEnd"/>
      <w:r>
        <w:rPr>
          <w:lang w:eastAsia="lt-LT"/>
        </w:rPr>
        <w:t xml:space="preserve"> metodą gyvenimo kokybės įvertinimui. </w:t>
      </w:r>
    </w:p>
    <w:p w14:paraId="4BC1F08F" w14:textId="5ACC40F5" w:rsidR="00CC3E90" w:rsidRPr="00495955" w:rsidRDefault="0077401E" w:rsidP="00CC3E90">
      <w:pPr>
        <w:spacing w:line="280" w:lineRule="atLeast"/>
        <w:jc w:val="both"/>
        <w:rPr>
          <w:lang w:eastAsia="lt-LT"/>
        </w:rPr>
      </w:pPr>
      <w:r>
        <w:rPr>
          <w:lang w:eastAsia="lt-LT"/>
        </w:rPr>
        <w:t>****.</w:t>
      </w:r>
    </w:p>
    <w:p w14:paraId="48099E44" w14:textId="77777777" w:rsidR="00CC3E90" w:rsidRPr="00334F18" w:rsidRDefault="00CC3E90" w:rsidP="00A93AA6">
      <w:pPr>
        <w:tabs>
          <w:tab w:val="left" w:pos="426"/>
        </w:tabs>
        <w:rPr>
          <w:b/>
          <w:bCs/>
          <w:caps/>
        </w:rPr>
      </w:pPr>
    </w:p>
    <w:p w14:paraId="174D84D7" w14:textId="09C7BC2B" w:rsidR="0035172D" w:rsidRPr="00334F18" w:rsidRDefault="00164D64" w:rsidP="00A93AA6">
      <w:pPr>
        <w:tabs>
          <w:tab w:val="left" w:pos="426"/>
        </w:tabs>
        <w:rPr>
          <w:b/>
          <w:lang w:eastAsia="lt-LT"/>
        </w:rPr>
      </w:pPr>
      <w:r w:rsidRPr="00334F18">
        <w:rPr>
          <w:b/>
          <w:lang w:eastAsia="lt-LT"/>
        </w:rPr>
        <w:t xml:space="preserve">3.1 </w:t>
      </w:r>
      <w:r w:rsidR="0035172D" w:rsidRPr="00334F18">
        <w:rPr>
          <w:b/>
          <w:lang w:eastAsia="lt-LT"/>
        </w:rPr>
        <w:t>Ekonominės analizės rezultatas</w:t>
      </w:r>
    </w:p>
    <w:p w14:paraId="4801D227" w14:textId="77777777" w:rsidR="009E44AE" w:rsidRPr="00334F18" w:rsidRDefault="009E44AE" w:rsidP="00A93AA6">
      <w:pPr>
        <w:tabs>
          <w:tab w:val="left" w:pos="426"/>
        </w:tabs>
        <w:rPr>
          <w:b/>
          <w:lang w:eastAsia="lt-LT"/>
        </w:rPr>
      </w:pPr>
    </w:p>
    <w:tbl>
      <w:tblPr>
        <w:tblStyle w:val="Lentelstinklelis1"/>
        <w:tblW w:w="9439"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200"/>
        <w:gridCol w:w="3239"/>
      </w:tblGrid>
      <w:tr w:rsidR="00334F18" w:rsidRPr="00334F18" w14:paraId="42D6C843" w14:textId="77777777" w:rsidTr="00BE7489">
        <w:trPr>
          <w:trHeight w:val="344"/>
          <w:jc w:val="center"/>
        </w:trPr>
        <w:tc>
          <w:tcPr>
            <w:tcW w:w="9439" w:type="dxa"/>
            <w:gridSpan w:val="2"/>
            <w:tcBorders>
              <w:top w:val="single" w:sz="12" w:space="0" w:color="auto"/>
              <w:left w:val="single" w:sz="4" w:space="0" w:color="auto"/>
              <w:right w:val="single" w:sz="4" w:space="0" w:color="auto"/>
            </w:tcBorders>
            <w:vAlign w:val="center"/>
          </w:tcPr>
          <w:p w14:paraId="39FD3B40" w14:textId="77777777" w:rsidR="009E44AE" w:rsidRPr="00334F18" w:rsidRDefault="009E44AE" w:rsidP="009E44AE">
            <w:pPr>
              <w:tabs>
                <w:tab w:val="left" w:pos="567"/>
              </w:tabs>
              <w:jc w:val="center"/>
              <w:rPr>
                <w:b/>
                <w:bCs/>
                <w:sz w:val="26"/>
                <w:szCs w:val="26"/>
                <w:lang w:eastAsia="lt-LT"/>
              </w:rPr>
            </w:pPr>
            <w:r w:rsidRPr="00334F18">
              <w:rPr>
                <w:b/>
                <w:bCs/>
                <w:sz w:val="26"/>
                <w:szCs w:val="26"/>
                <w:lang w:eastAsia="lt-LT"/>
              </w:rPr>
              <w:t>Rezultatai</w:t>
            </w:r>
          </w:p>
        </w:tc>
      </w:tr>
      <w:tr w:rsidR="00334F18" w:rsidRPr="00334F18" w14:paraId="319AF392" w14:textId="77777777" w:rsidTr="00BE7489">
        <w:trPr>
          <w:trHeight w:val="267"/>
          <w:jc w:val="center"/>
        </w:trPr>
        <w:tc>
          <w:tcPr>
            <w:tcW w:w="6200" w:type="dxa"/>
            <w:tcBorders>
              <w:left w:val="single" w:sz="4" w:space="0" w:color="auto"/>
            </w:tcBorders>
          </w:tcPr>
          <w:p w14:paraId="44CD8D27" w14:textId="27245A0B" w:rsidR="00BA5DBC" w:rsidRPr="00334F18" w:rsidRDefault="00BA5DBC" w:rsidP="00BA5DBC">
            <w:pPr>
              <w:tabs>
                <w:tab w:val="left" w:pos="567"/>
              </w:tabs>
              <w:jc w:val="right"/>
              <w:rPr>
                <w:iCs/>
                <w:lang w:eastAsia="lt-LT"/>
              </w:rPr>
            </w:pPr>
            <w:r w:rsidRPr="00334F18">
              <w:rPr>
                <w:iCs/>
                <w:lang w:eastAsia="lt-LT"/>
              </w:rPr>
              <w:t>Kaštų skirtumas</w:t>
            </w:r>
          </w:p>
        </w:tc>
        <w:tc>
          <w:tcPr>
            <w:tcW w:w="3238" w:type="dxa"/>
            <w:tcBorders>
              <w:right w:val="single" w:sz="4" w:space="0" w:color="auto"/>
            </w:tcBorders>
          </w:tcPr>
          <w:p w14:paraId="1CACF0B4" w14:textId="66086675" w:rsidR="00BA5DBC" w:rsidRPr="0077401E" w:rsidRDefault="0077401E" w:rsidP="00BA5DBC">
            <w:pPr>
              <w:tabs>
                <w:tab w:val="left" w:pos="567"/>
              </w:tabs>
              <w:jc w:val="both"/>
              <w:rPr>
                <w:i/>
                <w:iCs/>
                <w:lang w:eastAsia="lt-LT"/>
              </w:rPr>
            </w:pPr>
            <w:r w:rsidRPr="0077401E">
              <w:rPr>
                <w:lang w:eastAsia="lt-LT"/>
              </w:rPr>
              <w:t>****</w:t>
            </w:r>
            <w:r w:rsidRPr="0077401E">
              <w:rPr>
                <w:lang w:eastAsia="lt-LT"/>
              </w:rPr>
              <w:t xml:space="preserve"> </w:t>
            </w:r>
            <w:proofErr w:type="spellStart"/>
            <w:r w:rsidR="00CC3E90" w:rsidRPr="0077401E">
              <w:rPr>
                <w:i/>
                <w:iCs/>
                <w:lang w:eastAsia="lt-LT"/>
              </w:rPr>
              <w:t>eur</w:t>
            </w:r>
            <w:proofErr w:type="spellEnd"/>
          </w:p>
        </w:tc>
      </w:tr>
      <w:tr w:rsidR="00334F18" w:rsidRPr="00334F18" w14:paraId="49F818A3" w14:textId="77777777" w:rsidTr="00BE7489">
        <w:trPr>
          <w:trHeight w:val="267"/>
          <w:jc w:val="center"/>
        </w:trPr>
        <w:tc>
          <w:tcPr>
            <w:tcW w:w="6200" w:type="dxa"/>
            <w:tcBorders>
              <w:left w:val="single" w:sz="4" w:space="0" w:color="auto"/>
            </w:tcBorders>
          </w:tcPr>
          <w:p w14:paraId="021DB925" w14:textId="389F1BF5" w:rsidR="00BA5DBC" w:rsidRPr="00334F18" w:rsidRDefault="00BA5DBC" w:rsidP="00BA5DBC">
            <w:pPr>
              <w:tabs>
                <w:tab w:val="left" w:pos="567"/>
              </w:tabs>
              <w:jc w:val="right"/>
              <w:rPr>
                <w:iCs/>
                <w:lang w:eastAsia="lt-LT"/>
              </w:rPr>
            </w:pPr>
            <w:r w:rsidRPr="00334F18">
              <w:rPr>
                <w:iCs/>
                <w:lang w:eastAsia="lt-LT"/>
              </w:rPr>
              <w:t>Papildomi gyvenimo metai (LY)</w:t>
            </w:r>
          </w:p>
        </w:tc>
        <w:tc>
          <w:tcPr>
            <w:tcW w:w="3238" w:type="dxa"/>
            <w:tcBorders>
              <w:right w:val="single" w:sz="4" w:space="0" w:color="auto"/>
            </w:tcBorders>
          </w:tcPr>
          <w:p w14:paraId="4954817B" w14:textId="6732F0FA" w:rsidR="00BA5DBC" w:rsidRPr="0077401E" w:rsidRDefault="0077401E" w:rsidP="00BA5DBC">
            <w:pPr>
              <w:tabs>
                <w:tab w:val="left" w:pos="567"/>
              </w:tabs>
              <w:jc w:val="both"/>
              <w:rPr>
                <w:i/>
                <w:iCs/>
                <w:lang w:eastAsia="lt-LT"/>
              </w:rPr>
            </w:pPr>
            <w:r w:rsidRPr="0077401E">
              <w:rPr>
                <w:lang w:eastAsia="lt-LT"/>
              </w:rPr>
              <w:t>****</w:t>
            </w:r>
          </w:p>
        </w:tc>
      </w:tr>
      <w:tr w:rsidR="00334F18" w:rsidRPr="00334F18" w14:paraId="20ADA742" w14:textId="77777777" w:rsidTr="00BE7489">
        <w:trPr>
          <w:trHeight w:val="267"/>
          <w:jc w:val="center"/>
        </w:trPr>
        <w:tc>
          <w:tcPr>
            <w:tcW w:w="6200" w:type="dxa"/>
            <w:tcBorders>
              <w:left w:val="single" w:sz="4" w:space="0" w:color="auto"/>
            </w:tcBorders>
          </w:tcPr>
          <w:p w14:paraId="0F567576" w14:textId="2606A2E9" w:rsidR="00BA5DBC" w:rsidRPr="00334F18" w:rsidRDefault="0058712F" w:rsidP="00BA5DBC">
            <w:pPr>
              <w:tabs>
                <w:tab w:val="left" w:pos="567"/>
              </w:tabs>
              <w:jc w:val="right"/>
              <w:rPr>
                <w:iCs/>
                <w:lang w:eastAsia="lt-LT"/>
              </w:rPr>
            </w:pPr>
            <w:r w:rsidRPr="00334F18">
              <w:rPr>
                <w:iCs/>
                <w:lang w:eastAsia="lt-LT"/>
              </w:rPr>
              <w:t>Papildomi k</w:t>
            </w:r>
            <w:r w:rsidR="00BA5DBC" w:rsidRPr="00334F18">
              <w:rPr>
                <w:iCs/>
                <w:lang w:eastAsia="lt-LT"/>
              </w:rPr>
              <w:t>okybiški gyvenimo metai (QALY)</w:t>
            </w:r>
          </w:p>
        </w:tc>
        <w:tc>
          <w:tcPr>
            <w:tcW w:w="3238" w:type="dxa"/>
            <w:tcBorders>
              <w:right w:val="single" w:sz="4" w:space="0" w:color="auto"/>
            </w:tcBorders>
          </w:tcPr>
          <w:p w14:paraId="02E4DAE1" w14:textId="28199272" w:rsidR="00BA5DBC" w:rsidRPr="0077401E" w:rsidRDefault="0077401E" w:rsidP="00BA5DBC">
            <w:pPr>
              <w:tabs>
                <w:tab w:val="left" w:pos="567"/>
              </w:tabs>
              <w:jc w:val="both"/>
              <w:rPr>
                <w:i/>
                <w:iCs/>
                <w:lang w:eastAsia="lt-LT"/>
              </w:rPr>
            </w:pPr>
            <w:r w:rsidRPr="0077401E">
              <w:rPr>
                <w:lang w:eastAsia="lt-LT"/>
              </w:rPr>
              <w:t>****</w:t>
            </w:r>
          </w:p>
        </w:tc>
      </w:tr>
      <w:tr w:rsidR="00334F18" w:rsidRPr="00334F18" w14:paraId="1FADA2B3" w14:textId="77777777" w:rsidTr="00BE7489">
        <w:trPr>
          <w:trHeight w:val="267"/>
          <w:jc w:val="center"/>
        </w:trPr>
        <w:tc>
          <w:tcPr>
            <w:tcW w:w="6200" w:type="dxa"/>
            <w:tcBorders>
              <w:left w:val="single" w:sz="4" w:space="0" w:color="auto"/>
            </w:tcBorders>
          </w:tcPr>
          <w:p w14:paraId="13E089E8" w14:textId="0BCEB339" w:rsidR="00BA5DBC" w:rsidRPr="00334F18" w:rsidRDefault="00BA5DBC" w:rsidP="009E44AE">
            <w:pPr>
              <w:tabs>
                <w:tab w:val="left" w:pos="567"/>
              </w:tabs>
              <w:jc w:val="right"/>
              <w:rPr>
                <w:iCs/>
                <w:lang w:eastAsia="lt-LT"/>
              </w:rPr>
            </w:pPr>
            <w:r w:rsidRPr="00334F18">
              <w:rPr>
                <w:iCs/>
                <w:lang w:eastAsia="lt-LT"/>
              </w:rPr>
              <w:t>ICER už LY</w:t>
            </w:r>
          </w:p>
        </w:tc>
        <w:tc>
          <w:tcPr>
            <w:tcW w:w="3238" w:type="dxa"/>
            <w:tcBorders>
              <w:right w:val="single" w:sz="4" w:space="0" w:color="auto"/>
            </w:tcBorders>
          </w:tcPr>
          <w:p w14:paraId="2817448D" w14:textId="215D7CCF" w:rsidR="00BA5DBC" w:rsidRPr="0077401E" w:rsidRDefault="0077401E" w:rsidP="009E44AE">
            <w:pPr>
              <w:tabs>
                <w:tab w:val="left" w:pos="567"/>
              </w:tabs>
              <w:jc w:val="both"/>
              <w:rPr>
                <w:i/>
                <w:iCs/>
                <w:lang w:eastAsia="lt-LT"/>
              </w:rPr>
            </w:pPr>
            <w:r w:rsidRPr="0077401E">
              <w:rPr>
                <w:lang w:eastAsia="lt-LT"/>
              </w:rPr>
              <w:t>****</w:t>
            </w:r>
            <w:r w:rsidRPr="0077401E">
              <w:rPr>
                <w:lang w:eastAsia="lt-LT"/>
              </w:rPr>
              <w:t xml:space="preserve"> </w:t>
            </w:r>
            <w:proofErr w:type="spellStart"/>
            <w:r w:rsidR="00CC3E90" w:rsidRPr="0077401E">
              <w:rPr>
                <w:i/>
                <w:iCs/>
                <w:lang w:eastAsia="lt-LT"/>
              </w:rPr>
              <w:t>eur</w:t>
            </w:r>
            <w:proofErr w:type="spellEnd"/>
            <w:r w:rsidR="00CC3E90" w:rsidRPr="0077401E">
              <w:rPr>
                <w:i/>
                <w:iCs/>
                <w:lang w:eastAsia="lt-LT"/>
              </w:rPr>
              <w:t>/LY</w:t>
            </w:r>
          </w:p>
        </w:tc>
      </w:tr>
      <w:tr w:rsidR="00334F18" w:rsidRPr="00334F18" w14:paraId="250DE960" w14:textId="77777777" w:rsidTr="00BE7489">
        <w:trPr>
          <w:trHeight w:val="267"/>
          <w:jc w:val="center"/>
        </w:trPr>
        <w:tc>
          <w:tcPr>
            <w:tcW w:w="6200" w:type="dxa"/>
            <w:tcBorders>
              <w:left w:val="single" w:sz="4" w:space="0" w:color="auto"/>
            </w:tcBorders>
          </w:tcPr>
          <w:p w14:paraId="207EFB23" w14:textId="77777777" w:rsidR="009E44AE" w:rsidRPr="00334F18" w:rsidRDefault="009E44AE" w:rsidP="009E44AE">
            <w:pPr>
              <w:tabs>
                <w:tab w:val="left" w:pos="567"/>
              </w:tabs>
              <w:jc w:val="right"/>
              <w:rPr>
                <w:iCs/>
                <w:lang w:eastAsia="lt-LT"/>
              </w:rPr>
            </w:pPr>
            <w:r w:rsidRPr="00334F18">
              <w:rPr>
                <w:iCs/>
                <w:lang w:eastAsia="lt-LT"/>
              </w:rPr>
              <w:t>ICER už QALY</w:t>
            </w:r>
          </w:p>
        </w:tc>
        <w:tc>
          <w:tcPr>
            <w:tcW w:w="3238" w:type="dxa"/>
            <w:tcBorders>
              <w:right w:val="single" w:sz="4" w:space="0" w:color="auto"/>
            </w:tcBorders>
          </w:tcPr>
          <w:p w14:paraId="4275320D" w14:textId="5935F643" w:rsidR="009E44AE" w:rsidRPr="0077401E" w:rsidRDefault="0077401E" w:rsidP="009E44AE">
            <w:pPr>
              <w:tabs>
                <w:tab w:val="left" w:pos="567"/>
              </w:tabs>
              <w:jc w:val="both"/>
              <w:rPr>
                <w:i/>
                <w:iCs/>
                <w:lang w:eastAsia="lt-LT"/>
              </w:rPr>
            </w:pPr>
            <w:r w:rsidRPr="0077401E">
              <w:rPr>
                <w:lang w:eastAsia="lt-LT"/>
              </w:rPr>
              <w:t>****</w:t>
            </w:r>
            <w:r w:rsidRPr="0077401E">
              <w:rPr>
                <w:lang w:eastAsia="lt-LT"/>
              </w:rPr>
              <w:t xml:space="preserve"> </w:t>
            </w:r>
            <w:proofErr w:type="spellStart"/>
            <w:r w:rsidR="00CC3E90" w:rsidRPr="0077401E">
              <w:rPr>
                <w:i/>
                <w:iCs/>
                <w:lang w:eastAsia="lt-LT"/>
              </w:rPr>
              <w:t>eur</w:t>
            </w:r>
            <w:proofErr w:type="spellEnd"/>
            <w:r w:rsidR="00CC3E90" w:rsidRPr="0077401E">
              <w:rPr>
                <w:i/>
                <w:iCs/>
                <w:lang w:eastAsia="lt-LT"/>
              </w:rPr>
              <w:t>/QALY</w:t>
            </w:r>
          </w:p>
        </w:tc>
      </w:tr>
      <w:tr w:rsidR="00334F18" w:rsidRPr="00334F18" w14:paraId="2C4C68BA" w14:textId="77777777" w:rsidTr="00BE7489">
        <w:trPr>
          <w:trHeight w:val="267"/>
          <w:jc w:val="center"/>
        </w:trPr>
        <w:tc>
          <w:tcPr>
            <w:tcW w:w="6200" w:type="dxa"/>
            <w:tcBorders>
              <w:left w:val="single" w:sz="4" w:space="0" w:color="auto"/>
              <w:bottom w:val="single" w:sz="4" w:space="0" w:color="auto"/>
              <w:right w:val="single" w:sz="4" w:space="0" w:color="auto"/>
            </w:tcBorders>
          </w:tcPr>
          <w:p w14:paraId="21BEDABF" w14:textId="3471AFB3" w:rsidR="009E44AE" w:rsidRPr="00334F18" w:rsidRDefault="00437623" w:rsidP="009E44AE">
            <w:pPr>
              <w:tabs>
                <w:tab w:val="left" w:pos="567"/>
              </w:tabs>
              <w:jc w:val="right"/>
              <w:rPr>
                <w:iCs/>
                <w:lang w:eastAsia="lt-LT"/>
              </w:rPr>
            </w:pPr>
            <w:r w:rsidRPr="00334F18">
              <w:rPr>
                <w:iCs/>
                <w:lang w:eastAsia="lt-LT"/>
              </w:rPr>
              <w:t>Referenc</w:t>
            </w:r>
            <w:r w:rsidR="009E44AE" w:rsidRPr="00334F18">
              <w:rPr>
                <w:iCs/>
                <w:lang w:eastAsia="lt-LT"/>
              </w:rPr>
              <w:t>inė kaštų naudingumo vertė</w:t>
            </w:r>
          </w:p>
        </w:tc>
        <w:tc>
          <w:tcPr>
            <w:tcW w:w="3238" w:type="dxa"/>
            <w:tcBorders>
              <w:left w:val="single" w:sz="4" w:space="0" w:color="auto"/>
              <w:bottom w:val="single" w:sz="4" w:space="0" w:color="auto"/>
              <w:right w:val="single" w:sz="4" w:space="0" w:color="auto"/>
            </w:tcBorders>
          </w:tcPr>
          <w:p w14:paraId="31DAA72E" w14:textId="0BCF2733" w:rsidR="009E44AE" w:rsidRPr="0077401E" w:rsidRDefault="0077401E" w:rsidP="009E44AE">
            <w:pPr>
              <w:tabs>
                <w:tab w:val="left" w:pos="567"/>
              </w:tabs>
              <w:jc w:val="both"/>
              <w:rPr>
                <w:i/>
                <w:iCs/>
                <w:lang w:eastAsia="lt-LT"/>
              </w:rPr>
            </w:pPr>
            <w:r w:rsidRPr="0077401E">
              <w:rPr>
                <w:lang w:eastAsia="lt-LT"/>
              </w:rPr>
              <w:t>****</w:t>
            </w:r>
            <w:r w:rsidRPr="0077401E">
              <w:rPr>
                <w:lang w:eastAsia="lt-LT"/>
              </w:rPr>
              <w:t xml:space="preserve"> </w:t>
            </w:r>
            <w:proofErr w:type="spellStart"/>
            <w:r w:rsidR="00CC3E90" w:rsidRPr="0077401E">
              <w:rPr>
                <w:i/>
                <w:iCs/>
                <w:lang w:eastAsia="lt-LT"/>
              </w:rPr>
              <w:t>eur</w:t>
            </w:r>
            <w:proofErr w:type="spellEnd"/>
            <w:r w:rsidR="00CC3E90" w:rsidRPr="0077401E">
              <w:rPr>
                <w:i/>
                <w:iCs/>
                <w:lang w:eastAsia="lt-LT"/>
              </w:rPr>
              <w:t>/QALY</w:t>
            </w:r>
          </w:p>
        </w:tc>
      </w:tr>
    </w:tbl>
    <w:p w14:paraId="5FC8C737" w14:textId="4136B7F4" w:rsidR="0035172D" w:rsidRPr="00334F18" w:rsidRDefault="00E5102E" w:rsidP="0035172D">
      <w:pPr>
        <w:tabs>
          <w:tab w:val="left" w:pos="567"/>
        </w:tabs>
        <w:jc w:val="both"/>
        <w:rPr>
          <w:iCs/>
          <w:sz w:val="20"/>
          <w:lang w:eastAsia="lt-LT"/>
        </w:rPr>
      </w:pPr>
      <w:r w:rsidRPr="00334F18">
        <w:rPr>
          <w:iCs/>
          <w:sz w:val="20"/>
          <w:lang w:eastAsia="lt-LT"/>
        </w:rPr>
        <w:t xml:space="preserve">ICER </w:t>
      </w:r>
      <w:r w:rsidR="00453862" w:rsidRPr="00334F18">
        <w:rPr>
          <w:iCs/>
          <w:sz w:val="20"/>
          <w:lang w:eastAsia="lt-LT"/>
        </w:rPr>
        <w:t>– (</w:t>
      </w:r>
      <w:r w:rsidR="00453862" w:rsidRPr="00334F18">
        <w:rPr>
          <w:i/>
          <w:sz w:val="20"/>
          <w:lang w:eastAsia="lt-LT"/>
        </w:rPr>
        <w:t xml:space="preserve">angl. </w:t>
      </w:r>
      <w:proofErr w:type="spellStart"/>
      <w:r w:rsidR="00453862" w:rsidRPr="00334F18">
        <w:rPr>
          <w:i/>
          <w:sz w:val="20"/>
          <w:lang w:eastAsia="lt-LT"/>
        </w:rPr>
        <w:t>incremental</w:t>
      </w:r>
      <w:proofErr w:type="spellEnd"/>
      <w:r w:rsidR="00453862" w:rsidRPr="00334F18">
        <w:rPr>
          <w:i/>
          <w:sz w:val="20"/>
          <w:lang w:eastAsia="lt-LT"/>
        </w:rPr>
        <w:t xml:space="preserve"> </w:t>
      </w:r>
      <w:proofErr w:type="spellStart"/>
      <w:r w:rsidR="00453862" w:rsidRPr="00334F18">
        <w:rPr>
          <w:i/>
          <w:sz w:val="20"/>
          <w:lang w:eastAsia="lt-LT"/>
        </w:rPr>
        <w:t>cost-effectiveness</w:t>
      </w:r>
      <w:proofErr w:type="spellEnd"/>
      <w:r w:rsidR="00453862" w:rsidRPr="00334F18">
        <w:rPr>
          <w:i/>
          <w:sz w:val="20"/>
          <w:lang w:eastAsia="lt-LT"/>
        </w:rPr>
        <w:t xml:space="preserve"> </w:t>
      </w:r>
      <w:proofErr w:type="spellStart"/>
      <w:r w:rsidR="00453862" w:rsidRPr="00334F18">
        <w:rPr>
          <w:i/>
          <w:sz w:val="20"/>
          <w:lang w:eastAsia="lt-LT"/>
        </w:rPr>
        <w:t>ratio</w:t>
      </w:r>
      <w:proofErr w:type="spellEnd"/>
      <w:r w:rsidR="00453862" w:rsidRPr="00334F18">
        <w:rPr>
          <w:iCs/>
          <w:sz w:val="20"/>
          <w:lang w:eastAsia="lt-LT"/>
        </w:rPr>
        <w:t xml:space="preserve">) </w:t>
      </w:r>
      <w:proofErr w:type="spellStart"/>
      <w:r w:rsidR="00453862" w:rsidRPr="00334F18">
        <w:rPr>
          <w:iCs/>
          <w:sz w:val="20"/>
          <w:lang w:eastAsia="lt-LT"/>
        </w:rPr>
        <w:t>inkrementinis</w:t>
      </w:r>
      <w:proofErr w:type="spellEnd"/>
      <w:r w:rsidR="00453862" w:rsidRPr="00334F18">
        <w:rPr>
          <w:iCs/>
          <w:sz w:val="20"/>
          <w:lang w:eastAsia="lt-LT"/>
        </w:rPr>
        <w:t xml:space="preserve"> kaštų naudingumo koeficientas</w:t>
      </w:r>
      <w:r w:rsidRPr="00334F18">
        <w:rPr>
          <w:iCs/>
          <w:sz w:val="20"/>
          <w:lang w:eastAsia="lt-LT"/>
        </w:rPr>
        <w:t>; LY –</w:t>
      </w:r>
      <w:r w:rsidR="00453862" w:rsidRPr="00334F18">
        <w:rPr>
          <w:iCs/>
          <w:sz w:val="20"/>
          <w:lang w:eastAsia="lt-LT"/>
        </w:rPr>
        <w:t xml:space="preserve"> (</w:t>
      </w:r>
      <w:r w:rsidR="00453862" w:rsidRPr="00334F18">
        <w:rPr>
          <w:i/>
          <w:sz w:val="20"/>
          <w:lang w:eastAsia="lt-LT"/>
        </w:rPr>
        <w:t xml:space="preserve">angl. </w:t>
      </w:r>
      <w:proofErr w:type="spellStart"/>
      <w:r w:rsidR="00453862" w:rsidRPr="00334F18">
        <w:rPr>
          <w:i/>
          <w:sz w:val="20"/>
          <w:lang w:eastAsia="lt-LT"/>
        </w:rPr>
        <w:t>life</w:t>
      </w:r>
      <w:proofErr w:type="spellEnd"/>
      <w:r w:rsidR="00453862" w:rsidRPr="00334F18">
        <w:rPr>
          <w:i/>
          <w:sz w:val="20"/>
          <w:lang w:eastAsia="lt-LT"/>
        </w:rPr>
        <w:t xml:space="preserve"> </w:t>
      </w:r>
      <w:proofErr w:type="spellStart"/>
      <w:r w:rsidR="00453862" w:rsidRPr="00334F18">
        <w:rPr>
          <w:i/>
          <w:sz w:val="20"/>
          <w:lang w:eastAsia="lt-LT"/>
        </w:rPr>
        <w:t>years</w:t>
      </w:r>
      <w:proofErr w:type="spellEnd"/>
      <w:r w:rsidR="00453862" w:rsidRPr="00334F18">
        <w:rPr>
          <w:iCs/>
          <w:sz w:val="20"/>
          <w:lang w:eastAsia="lt-LT"/>
        </w:rPr>
        <w:t>) gyvenimo metai</w:t>
      </w:r>
      <w:r w:rsidRPr="00334F18">
        <w:rPr>
          <w:iCs/>
          <w:sz w:val="20"/>
          <w:lang w:eastAsia="lt-LT"/>
        </w:rPr>
        <w:t xml:space="preserve">; QALY- </w:t>
      </w:r>
      <w:r w:rsidR="00453862" w:rsidRPr="00334F18">
        <w:rPr>
          <w:iCs/>
          <w:sz w:val="20"/>
          <w:lang w:eastAsia="lt-LT"/>
        </w:rPr>
        <w:t>(</w:t>
      </w:r>
      <w:r w:rsidR="00453862" w:rsidRPr="00334F18">
        <w:rPr>
          <w:i/>
          <w:sz w:val="20"/>
          <w:lang w:eastAsia="lt-LT"/>
        </w:rPr>
        <w:t xml:space="preserve">angl. </w:t>
      </w:r>
      <w:proofErr w:type="spellStart"/>
      <w:r w:rsidR="00453862" w:rsidRPr="00334F18">
        <w:rPr>
          <w:i/>
          <w:sz w:val="20"/>
          <w:lang w:eastAsia="lt-LT"/>
        </w:rPr>
        <w:t>quality</w:t>
      </w:r>
      <w:proofErr w:type="spellEnd"/>
      <w:r w:rsidR="00453862" w:rsidRPr="00334F18">
        <w:rPr>
          <w:i/>
          <w:sz w:val="20"/>
          <w:lang w:eastAsia="lt-LT"/>
        </w:rPr>
        <w:t xml:space="preserve"> </w:t>
      </w:r>
      <w:proofErr w:type="spellStart"/>
      <w:r w:rsidR="00453862" w:rsidRPr="00334F18">
        <w:rPr>
          <w:i/>
          <w:sz w:val="20"/>
          <w:lang w:eastAsia="lt-LT"/>
        </w:rPr>
        <w:t>adjusted</w:t>
      </w:r>
      <w:proofErr w:type="spellEnd"/>
      <w:r w:rsidR="00453862" w:rsidRPr="00334F18">
        <w:rPr>
          <w:i/>
          <w:sz w:val="20"/>
          <w:lang w:eastAsia="lt-LT"/>
        </w:rPr>
        <w:t xml:space="preserve"> </w:t>
      </w:r>
      <w:proofErr w:type="spellStart"/>
      <w:r w:rsidR="00453862" w:rsidRPr="00334F18">
        <w:rPr>
          <w:i/>
          <w:sz w:val="20"/>
          <w:lang w:eastAsia="lt-LT"/>
        </w:rPr>
        <w:t>life</w:t>
      </w:r>
      <w:proofErr w:type="spellEnd"/>
      <w:r w:rsidR="00453862" w:rsidRPr="00334F18">
        <w:rPr>
          <w:i/>
          <w:sz w:val="20"/>
          <w:lang w:eastAsia="lt-LT"/>
        </w:rPr>
        <w:t xml:space="preserve"> </w:t>
      </w:r>
      <w:proofErr w:type="spellStart"/>
      <w:r w:rsidR="00453862" w:rsidRPr="00334F18">
        <w:rPr>
          <w:i/>
          <w:sz w:val="20"/>
          <w:lang w:eastAsia="lt-LT"/>
        </w:rPr>
        <w:t>years</w:t>
      </w:r>
      <w:proofErr w:type="spellEnd"/>
      <w:r w:rsidR="00453862" w:rsidRPr="00334F18">
        <w:rPr>
          <w:i/>
          <w:sz w:val="20"/>
          <w:lang w:eastAsia="lt-LT"/>
        </w:rPr>
        <w:t xml:space="preserve">) </w:t>
      </w:r>
      <w:r w:rsidR="00453862" w:rsidRPr="00334F18">
        <w:rPr>
          <w:iCs/>
          <w:sz w:val="20"/>
          <w:lang w:eastAsia="lt-LT"/>
        </w:rPr>
        <w:t>kokybiški gyvenimo metai.</w:t>
      </w:r>
    </w:p>
    <w:p w14:paraId="33875138" w14:textId="77777777" w:rsidR="0035172D" w:rsidRPr="00334F18" w:rsidRDefault="0035172D" w:rsidP="00A93AA6">
      <w:pPr>
        <w:tabs>
          <w:tab w:val="left" w:pos="426"/>
        </w:tabs>
        <w:rPr>
          <w:b/>
          <w:bCs/>
          <w:caps/>
        </w:rPr>
      </w:pPr>
    </w:p>
    <w:p w14:paraId="4FC424F9" w14:textId="4E767245" w:rsidR="00C62B36" w:rsidRPr="00334F18" w:rsidRDefault="00C62B36" w:rsidP="00CC09D4">
      <w:pPr>
        <w:pStyle w:val="Sraopastraipa"/>
        <w:numPr>
          <w:ilvl w:val="0"/>
          <w:numId w:val="12"/>
        </w:numPr>
        <w:tabs>
          <w:tab w:val="left" w:pos="567"/>
        </w:tabs>
        <w:ind w:hanging="720"/>
        <w:rPr>
          <w:b/>
          <w:bCs/>
          <w:caps/>
        </w:rPr>
      </w:pPr>
      <w:r w:rsidRPr="00334F18">
        <w:rPr>
          <w:b/>
          <w:bCs/>
          <w:caps/>
        </w:rPr>
        <w:t xml:space="preserve">Pacientų organizacijų pateikti duomenys </w:t>
      </w:r>
    </w:p>
    <w:p w14:paraId="54351841" w14:textId="77777777" w:rsidR="00C9728E" w:rsidRPr="00334F18" w:rsidRDefault="00C9728E" w:rsidP="00C9728E">
      <w:pPr>
        <w:pStyle w:val="Sraopastraipa"/>
        <w:tabs>
          <w:tab w:val="left" w:pos="567"/>
        </w:tabs>
        <w:rPr>
          <w:b/>
          <w:bCs/>
          <w:caps/>
        </w:rPr>
      </w:pPr>
    </w:p>
    <w:p w14:paraId="03E73D82" w14:textId="0076A14F" w:rsidR="00D417D2" w:rsidRDefault="00937907" w:rsidP="00937907">
      <w:pPr>
        <w:spacing w:after="120"/>
        <w:jc w:val="both"/>
      </w:pPr>
      <w:r w:rsidRPr="00334F18">
        <w:t>Pacientų organizacijos pozicija pateikta. Žr. priedą.</w:t>
      </w:r>
    </w:p>
    <w:p w14:paraId="3148F43F" w14:textId="77777777" w:rsidR="00B130AF" w:rsidRPr="00334F18" w:rsidRDefault="00B130AF" w:rsidP="00937907">
      <w:pPr>
        <w:spacing w:after="120"/>
        <w:jc w:val="both"/>
      </w:pPr>
    </w:p>
    <w:p w14:paraId="3D3277FA" w14:textId="09414FFF" w:rsidR="00C62B36" w:rsidRPr="00334F18" w:rsidRDefault="00D67BAF" w:rsidP="00CC09D4">
      <w:pPr>
        <w:pStyle w:val="Sraopastraipa"/>
        <w:numPr>
          <w:ilvl w:val="0"/>
          <w:numId w:val="12"/>
        </w:numPr>
        <w:tabs>
          <w:tab w:val="left" w:pos="567"/>
        </w:tabs>
        <w:ind w:hanging="720"/>
        <w:rPr>
          <w:b/>
          <w:bCs/>
          <w:caps/>
        </w:rPr>
      </w:pPr>
      <w:r w:rsidRPr="00334F18">
        <w:rPr>
          <w:b/>
          <w:bCs/>
          <w:caps/>
        </w:rPr>
        <w:t xml:space="preserve">SVEIKATOS PRIEŽIŪROS SPECIALISTŲ </w:t>
      </w:r>
      <w:r w:rsidR="00C62B36" w:rsidRPr="00334F18">
        <w:rPr>
          <w:b/>
          <w:bCs/>
          <w:caps/>
        </w:rPr>
        <w:t xml:space="preserve"> organizacijų pateikti duomenys</w:t>
      </w:r>
    </w:p>
    <w:p w14:paraId="044D5084" w14:textId="77777777" w:rsidR="00C9728E" w:rsidRPr="00334F18" w:rsidRDefault="00C9728E" w:rsidP="00C9728E">
      <w:pPr>
        <w:pStyle w:val="Sraopastraipa"/>
        <w:tabs>
          <w:tab w:val="left" w:pos="567"/>
        </w:tabs>
        <w:rPr>
          <w:b/>
          <w:bCs/>
          <w:caps/>
        </w:rPr>
      </w:pPr>
    </w:p>
    <w:p w14:paraId="5D8CC48C" w14:textId="1FE67987" w:rsidR="00662983" w:rsidRPr="00334F18" w:rsidRDefault="00D67BAF" w:rsidP="00662983">
      <w:pPr>
        <w:spacing w:after="120"/>
        <w:jc w:val="both"/>
      </w:pPr>
      <w:r w:rsidRPr="00334F18">
        <w:t>S</w:t>
      </w:r>
      <w:r w:rsidRPr="00334F18">
        <w:rPr>
          <w:bCs/>
        </w:rPr>
        <w:t>veikatos priežiūros specialistų</w:t>
      </w:r>
      <w:r w:rsidR="00937907" w:rsidRPr="00334F18">
        <w:t xml:space="preserve"> organizacijos pozicija </w:t>
      </w:r>
      <w:r w:rsidR="00880A44" w:rsidRPr="00334F18">
        <w:t>ne</w:t>
      </w:r>
      <w:r w:rsidR="00937907" w:rsidRPr="00334F18">
        <w:t>pateikta.</w:t>
      </w:r>
    </w:p>
    <w:p w14:paraId="3701D46A" w14:textId="77777777" w:rsidR="00A042B9" w:rsidRPr="00334F18" w:rsidRDefault="00A042B9" w:rsidP="00662983">
      <w:pPr>
        <w:spacing w:after="120"/>
        <w:jc w:val="both"/>
      </w:pPr>
    </w:p>
    <w:p w14:paraId="78F23ECB" w14:textId="3ED5BFD5" w:rsidR="002F0E4F" w:rsidRPr="00334F18" w:rsidRDefault="002F0E4F" w:rsidP="00CC09D4">
      <w:pPr>
        <w:pStyle w:val="Sraopastraipa"/>
        <w:numPr>
          <w:ilvl w:val="0"/>
          <w:numId w:val="12"/>
        </w:numPr>
        <w:tabs>
          <w:tab w:val="left" w:pos="567"/>
        </w:tabs>
        <w:ind w:hanging="720"/>
        <w:rPr>
          <w:b/>
          <w:bCs/>
          <w:caps/>
        </w:rPr>
      </w:pPr>
      <w:r w:rsidRPr="00334F18">
        <w:rPr>
          <w:b/>
          <w:bCs/>
          <w:caps/>
        </w:rPr>
        <w:lastRenderedPageBreak/>
        <w:t>Išvad</w:t>
      </w:r>
      <w:r w:rsidR="00B811A4" w:rsidRPr="00334F18">
        <w:rPr>
          <w:b/>
          <w:bCs/>
          <w:caps/>
        </w:rPr>
        <w:t>OS</w:t>
      </w:r>
      <w:r w:rsidRPr="00334F18">
        <w:rPr>
          <w:b/>
          <w:bCs/>
          <w:caps/>
        </w:rPr>
        <w:t xml:space="preserve"> </w:t>
      </w:r>
    </w:p>
    <w:p w14:paraId="30069D85" w14:textId="77777777" w:rsidR="0061611B" w:rsidRPr="00334F18" w:rsidRDefault="0061611B" w:rsidP="0061611B">
      <w:pPr>
        <w:ind w:left="360"/>
        <w:rPr>
          <w:i/>
          <w:szCs w:val="22"/>
        </w:rPr>
      </w:pPr>
    </w:p>
    <w:tbl>
      <w:tblPr>
        <w:tblStyle w:val="Lentelstinklelis"/>
        <w:tblW w:w="0" w:type="auto"/>
        <w:tblInd w:w="-5" w:type="dxa"/>
        <w:tblLook w:val="04A0" w:firstRow="1" w:lastRow="0" w:firstColumn="1" w:lastColumn="0" w:noHBand="0" w:noVBand="1"/>
      </w:tblPr>
      <w:tblGrid>
        <w:gridCol w:w="4820"/>
        <w:gridCol w:w="4814"/>
      </w:tblGrid>
      <w:tr w:rsidR="00334F18" w:rsidRPr="00334F18" w14:paraId="4D5EFB83" w14:textId="77777777" w:rsidTr="007111C4">
        <w:trPr>
          <w:trHeight w:val="510"/>
        </w:trPr>
        <w:tc>
          <w:tcPr>
            <w:tcW w:w="9634" w:type="dxa"/>
            <w:gridSpan w:val="2"/>
            <w:vAlign w:val="center"/>
          </w:tcPr>
          <w:p w14:paraId="294EC16B" w14:textId="77777777" w:rsidR="00B811A4" w:rsidRPr="00334F18"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3"/>
                <w:szCs w:val="23"/>
              </w:rPr>
            </w:pPr>
            <w:bookmarkStart w:id="2" w:name="_Hlk185430554"/>
            <w:r w:rsidRPr="00334F18">
              <w:rPr>
                <w:rStyle w:val="Style2"/>
                <w:rFonts w:eastAsia="MS Gothic"/>
                <w:b/>
                <w:bCs/>
                <w:sz w:val="23"/>
                <w:szCs w:val="23"/>
              </w:rPr>
              <w:t>Palyginamasis veiksmingumas</w:t>
            </w:r>
          </w:p>
        </w:tc>
      </w:tr>
      <w:tr w:rsidR="00334F18" w:rsidRPr="00334F18" w14:paraId="30B67515" w14:textId="77777777" w:rsidTr="007111C4">
        <w:tc>
          <w:tcPr>
            <w:tcW w:w="4820" w:type="dxa"/>
          </w:tcPr>
          <w:p w14:paraId="4FE3C208" w14:textId="3C5EA5F2" w:rsidR="00B811A4" w:rsidRPr="00334F18" w:rsidRDefault="0077401E"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1397324644"/>
                <w15:color w:val="FFCC00"/>
                <w14:checkbox>
                  <w14:checked w14:val="1"/>
                  <w14:checkedState w14:val="2612" w14:font="MS Gothic"/>
                  <w14:uncheckedState w14:val="2610" w14:font="MS Gothic"/>
                </w14:checkbox>
              </w:sdtPr>
              <w:sdtEndPr>
                <w:rPr>
                  <w:rStyle w:val="Style2"/>
                </w:rPr>
              </w:sdtEndPr>
              <w:sdtContent>
                <w:r w:rsidR="007A7F36">
                  <w:rPr>
                    <w:rStyle w:val="Style2"/>
                    <w:rFonts w:ascii="MS Gothic" w:eastAsia="MS Gothic" w:hAnsi="MS Gothic" w:hint="eastAsia"/>
                    <w:sz w:val="23"/>
                    <w:szCs w:val="23"/>
                  </w:rPr>
                  <w:t>☒</w:t>
                </w:r>
              </w:sdtContent>
            </w:sdt>
            <w:r w:rsidR="00B811A4" w:rsidRPr="00334F18">
              <w:rPr>
                <w:rStyle w:val="Style2"/>
                <w:sz w:val="23"/>
                <w:szCs w:val="23"/>
              </w:rPr>
              <w:t xml:space="preserve"> 29</w:t>
            </w:r>
            <w:r w:rsidR="00B811A4" w:rsidRPr="00334F18">
              <w:rPr>
                <w:sz w:val="23"/>
                <w:szCs w:val="23"/>
              </w:rPr>
              <w:t>.1.1 yra didesnis, lyginant su įprasta klinikine praktika</w:t>
            </w:r>
          </w:p>
          <w:p w14:paraId="6F9786E4" w14:textId="77777777" w:rsidR="00B811A4" w:rsidRPr="00334F18"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231EDECD" w14:textId="77777777" w:rsidR="00B811A4" w:rsidRPr="00334F18" w:rsidRDefault="0077401E"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3"/>
                <w:szCs w:val="23"/>
              </w:rPr>
            </w:pPr>
            <w:sdt>
              <w:sdtPr>
                <w:rPr>
                  <w:rStyle w:val="Style2"/>
                  <w:sz w:val="23"/>
                  <w:szCs w:val="23"/>
                </w:rPr>
                <w:id w:val="418297090"/>
                <w15:color w:val="FFCC00"/>
                <w14:checkbox>
                  <w14:checked w14:val="0"/>
                  <w14:checkedState w14:val="2612" w14:font="MS Gothic"/>
                  <w14:uncheckedState w14:val="2610" w14:font="MS Gothic"/>
                </w14:checkbox>
              </w:sdtPr>
              <w:sdtEndPr>
                <w:rPr>
                  <w:rStyle w:val="Style2"/>
                </w:rPr>
              </w:sdtEndPr>
              <w:sdtContent>
                <w:r w:rsidR="00B811A4" w:rsidRPr="00334F18">
                  <w:rPr>
                    <w:rStyle w:val="Style2"/>
                    <w:rFonts w:ascii="Segoe UI Symbol" w:eastAsia="MS Gothic" w:hAnsi="Segoe UI Symbol" w:cs="Segoe UI Symbol"/>
                    <w:sz w:val="23"/>
                    <w:szCs w:val="23"/>
                  </w:rPr>
                  <w:t>☐</w:t>
                </w:r>
              </w:sdtContent>
            </w:sdt>
            <w:r w:rsidR="00B811A4" w:rsidRPr="00334F18">
              <w:rPr>
                <w:sz w:val="23"/>
                <w:szCs w:val="23"/>
              </w:rPr>
              <w:t xml:space="preserve"> </w:t>
            </w:r>
            <w:r w:rsidR="00B811A4" w:rsidRPr="00334F18">
              <w:rPr>
                <w:rStyle w:val="Style2"/>
                <w:sz w:val="23"/>
                <w:szCs w:val="23"/>
              </w:rPr>
              <w:t>29</w:t>
            </w:r>
            <w:r w:rsidR="00B811A4" w:rsidRPr="00334F18">
              <w:rPr>
                <w:sz w:val="23"/>
                <w:szCs w:val="23"/>
              </w:rPr>
              <w:t>.1.2 iš esmės nesiskiria, lyginant su įprasta klinikine praktika</w:t>
            </w:r>
          </w:p>
        </w:tc>
        <w:tc>
          <w:tcPr>
            <w:tcW w:w="4814" w:type="dxa"/>
          </w:tcPr>
          <w:p w14:paraId="72562F9E" w14:textId="77777777" w:rsidR="00B811A4" w:rsidRPr="00334F18" w:rsidRDefault="0077401E"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724755596"/>
                <w15:color w:val="FFCC00"/>
                <w14:checkbox>
                  <w14:checked w14:val="0"/>
                  <w14:checkedState w14:val="2612" w14:font="MS Gothic"/>
                  <w14:uncheckedState w14:val="2610" w14:font="MS Gothic"/>
                </w14:checkbox>
              </w:sdtPr>
              <w:sdtEndPr>
                <w:rPr>
                  <w:rStyle w:val="Style2"/>
                </w:rPr>
              </w:sdtEndPr>
              <w:sdtContent>
                <w:r w:rsidR="00B811A4" w:rsidRPr="00334F18">
                  <w:rPr>
                    <w:rStyle w:val="Style2"/>
                    <w:rFonts w:ascii="Segoe UI Symbol" w:eastAsia="MS Gothic" w:hAnsi="Segoe UI Symbol" w:cs="Segoe UI Symbol"/>
                    <w:sz w:val="23"/>
                    <w:szCs w:val="23"/>
                  </w:rPr>
                  <w:t>☐</w:t>
                </w:r>
              </w:sdtContent>
            </w:sdt>
            <w:r w:rsidR="00B811A4" w:rsidRPr="00334F18">
              <w:rPr>
                <w:sz w:val="23"/>
                <w:szCs w:val="23"/>
              </w:rPr>
              <w:t xml:space="preserve"> </w:t>
            </w:r>
            <w:r w:rsidR="00B811A4" w:rsidRPr="00334F18">
              <w:rPr>
                <w:rStyle w:val="Style2"/>
                <w:sz w:val="23"/>
                <w:szCs w:val="23"/>
              </w:rPr>
              <w:t>29</w:t>
            </w:r>
            <w:r w:rsidR="00B811A4" w:rsidRPr="00334F18">
              <w:rPr>
                <w:sz w:val="23"/>
                <w:szCs w:val="23"/>
              </w:rPr>
              <w:t xml:space="preserve">.1.3 yra neįrodytas kaip didesnis  ar iš esmės nesiskiriantis, lyginant su įprasta klinikine praktika  </w:t>
            </w:r>
          </w:p>
          <w:p w14:paraId="6F6DB5BC" w14:textId="77777777" w:rsidR="00B811A4" w:rsidRPr="00334F18"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5EE1D885" w14:textId="77777777" w:rsidR="00B811A4" w:rsidRPr="00334F18" w:rsidRDefault="0077401E"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1862168479"/>
                <w15:color w:val="FFCC00"/>
                <w14:checkbox>
                  <w14:checked w14:val="0"/>
                  <w14:checkedState w14:val="2612" w14:font="MS Gothic"/>
                  <w14:uncheckedState w14:val="2610" w14:font="MS Gothic"/>
                </w14:checkbox>
              </w:sdtPr>
              <w:sdtEndPr>
                <w:rPr>
                  <w:rStyle w:val="Style2"/>
                </w:rPr>
              </w:sdtEndPr>
              <w:sdtContent>
                <w:r w:rsidR="00B811A4" w:rsidRPr="00334F18">
                  <w:rPr>
                    <w:rStyle w:val="Style2"/>
                    <w:rFonts w:ascii="Segoe UI Symbol" w:eastAsia="MS Gothic" w:hAnsi="Segoe UI Symbol" w:cs="Segoe UI Symbol"/>
                    <w:sz w:val="23"/>
                    <w:szCs w:val="23"/>
                  </w:rPr>
                  <w:t>☐</w:t>
                </w:r>
              </w:sdtContent>
            </w:sdt>
            <w:r w:rsidR="00B811A4" w:rsidRPr="00334F18">
              <w:rPr>
                <w:sz w:val="23"/>
                <w:szCs w:val="23"/>
              </w:rPr>
              <w:t xml:space="preserve"> </w:t>
            </w:r>
            <w:r w:rsidR="00B811A4" w:rsidRPr="00334F18">
              <w:rPr>
                <w:rStyle w:val="Style2"/>
                <w:sz w:val="23"/>
                <w:szCs w:val="23"/>
              </w:rPr>
              <w:t>29</w:t>
            </w:r>
            <w:r w:rsidR="00B811A4" w:rsidRPr="00334F18">
              <w:rPr>
                <w:sz w:val="23"/>
                <w:szCs w:val="23"/>
              </w:rPr>
              <w:t>.1.4 yra mažesnis, lyginant su įprasta klinikine praktika</w:t>
            </w:r>
          </w:p>
          <w:p w14:paraId="193C3D76" w14:textId="77777777" w:rsidR="00B811A4" w:rsidRPr="00334F18"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370E94DC" w14:textId="4EC80DB9" w:rsidR="00B811A4" w:rsidRPr="00334F18" w:rsidRDefault="0077401E"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1857960180"/>
                <w15:color w:val="FFCC00"/>
                <w14:checkbox>
                  <w14:checked w14:val="0"/>
                  <w14:checkedState w14:val="2612" w14:font="MS Gothic"/>
                  <w14:uncheckedState w14:val="2610" w14:font="MS Gothic"/>
                </w14:checkbox>
              </w:sdtPr>
              <w:sdtEndPr>
                <w:rPr>
                  <w:rStyle w:val="Style2"/>
                </w:rPr>
              </w:sdtEndPr>
              <w:sdtContent>
                <w:r w:rsidR="00B811A4" w:rsidRPr="00334F18">
                  <w:rPr>
                    <w:rStyle w:val="Style2"/>
                    <w:rFonts w:ascii="Segoe UI Symbol" w:eastAsia="MS Gothic" w:hAnsi="Segoe UI Symbol" w:cs="Segoe UI Symbol"/>
                    <w:sz w:val="23"/>
                    <w:szCs w:val="23"/>
                  </w:rPr>
                  <w:t>☐</w:t>
                </w:r>
              </w:sdtContent>
            </w:sdt>
            <w:r w:rsidR="00B811A4" w:rsidRPr="00334F18">
              <w:rPr>
                <w:sz w:val="23"/>
                <w:szCs w:val="23"/>
              </w:rPr>
              <w:t xml:space="preserve"> </w:t>
            </w:r>
            <w:r w:rsidR="00B811A4" w:rsidRPr="00334F18">
              <w:rPr>
                <w:rStyle w:val="Style2"/>
                <w:sz w:val="23"/>
                <w:szCs w:val="23"/>
              </w:rPr>
              <w:t>29</w:t>
            </w:r>
            <w:r w:rsidR="00B811A4" w:rsidRPr="00334F18">
              <w:rPr>
                <w:sz w:val="23"/>
                <w:szCs w:val="23"/>
              </w:rPr>
              <w:t>.1.5 pateikti duomenys apie palyginamąjį veiksmingumą yra netinkami vertinti</w:t>
            </w:r>
          </w:p>
          <w:p w14:paraId="45719037" w14:textId="77777777" w:rsidR="00B811A4" w:rsidRPr="00334F18"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3"/>
                <w:szCs w:val="23"/>
              </w:rPr>
            </w:pPr>
          </w:p>
        </w:tc>
      </w:tr>
      <w:bookmarkEnd w:id="2"/>
      <w:tr w:rsidR="00334F18" w:rsidRPr="00334F18" w14:paraId="0E0F5168" w14:textId="77777777" w:rsidTr="00743956">
        <w:trPr>
          <w:trHeight w:val="510"/>
        </w:trPr>
        <w:tc>
          <w:tcPr>
            <w:tcW w:w="9634" w:type="dxa"/>
            <w:gridSpan w:val="2"/>
            <w:vAlign w:val="center"/>
          </w:tcPr>
          <w:p w14:paraId="62B67E12" w14:textId="77777777" w:rsidR="00B811A4" w:rsidRPr="00334F18"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3"/>
                <w:szCs w:val="23"/>
              </w:rPr>
            </w:pPr>
            <w:r w:rsidRPr="00334F18">
              <w:rPr>
                <w:rStyle w:val="Style2"/>
                <w:rFonts w:eastAsia="MS Gothic"/>
                <w:b/>
                <w:bCs/>
                <w:sz w:val="23"/>
                <w:szCs w:val="23"/>
              </w:rPr>
              <w:t>Kaštų naudingumas</w:t>
            </w:r>
          </w:p>
        </w:tc>
      </w:tr>
      <w:tr w:rsidR="00334F18" w:rsidRPr="00334F18" w14:paraId="6A2F62B2" w14:textId="77777777" w:rsidTr="00743956">
        <w:tc>
          <w:tcPr>
            <w:tcW w:w="4820" w:type="dxa"/>
          </w:tcPr>
          <w:p w14:paraId="7CB2C697" w14:textId="44A4E1DF" w:rsidR="00B811A4" w:rsidRPr="00334F18" w:rsidRDefault="0077401E"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301657889"/>
                <w15:color w:val="FFCC00"/>
                <w14:checkbox>
                  <w14:checked w14:val="0"/>
                  <w14:checkedState w14:val="2612" w14:font="MS Gothic"/>
                  <w14:uncheckedState w14:val="2610" w14:font="MS Gothic"/>
                </w14:checkbox>
              </w:sdtPr>
              <w:sdtEndPr>
                <w:rPr>
                  <w:rStyle w:val="Style2"/>
                </w:rPr>
              </w:sdtEndPr>
              <w:sdtContent>
                <w:r w:rsidR="00B811A4" w:rsidRPr="00334F18">
                  <w:rPr>
                    <w:rStyle w:val="Style2"/>
                    <w:rFonts w:ascii="Segoe UI Symbol" w:eastAsia="MS Gothic" w:hAnsi="Segoe UI Symbol" w:cs="Segoe UI Symbol"/>
                    <w:sz w:val="23"/>
                    <w:szCs w:val="23"/>
                  </w:rPr>
                  <w:t>☐</w:t>
                </w:r>
              </w:sdtContent>
            </w:sdt>
            <w:r w:rsidR="00B811A4" w:rsidRPr="00334F18">
              <w:rPr>
                <w:sz w:val="23"/>
                <w:szCs w:val="23"/>
              </w:rPr>
              <w:t xml:space="preserve"> 29.2.1 atitinka referencinę naudingumo vertę taikant arba netaikant</w:t>
            </w:r>
            <w:r w:rsidR="00437623" w:rsidRPr="00334F18">
              <w:rPr>
                <w:b/>
                <w:bCs/>
                <w:sz w:val="23"/>
                <w:szCs w:val="23"/>
              </w:rPr>
              <w:t xml:space="preserve"> </w:t>
            </w:r>
            <w:r w:rsidR="00B811A4" w:rsidRPr="00334F18">
              <w:rPr>
                <w:sz w:val="23"/>
                <w:szCs w:val="23"/>
              </w:rPr>
              <w:t>PGS</w:t>
            </w:r>
          </w:p>
          <w:p w14:paraId="71797774" w14:textId="77777777" w:rsidR="00B811A4" w:rsidRPr="00334F18"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5BE88CDB" w14:textId="60C4FFA7" w:rsidR="00B811A4" w:rsidRPr="00334F18"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3"/>
                <w:szCs w:val="23"/>
              </w:rPr>
            </w:pPr>
          </w:p>
        </w:tc>
        <w:tc>
          <w:tcPr>
            <w:tcW w:w="4814" w:type="dxa"/>
          </w:tcPr>
          <w:p w14:paraId="0370A72C" w14:textId="5BF5480B" w:rsidR="00B811A4" w:rsidRPr="00334F18" w:rsidRDefault="0077401E"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791860283"/>
                <w15:color w:val="FFCC00"/>
                <w14:checkbox>
                  <w14:checked w14:val="1"/>
                  <w14:checkedState w14:val="2612" w14:font="MS Gothic"/>
                  <w14:uncheckedState w14:val="2610" w14:font="MS Gothic"/>
                </w14:checkbox>
              </w:sdtPr>
              <w:sdtEndPr>
                <w:rPr>
                  <w:rStyle w:val="Style2"/>
                </w:rPr>
              </w:sdtEndPr>
              <w:sdtContent>
                <w:r w:rsidR="00CC3E90">
                  <w:rPr>
                    <w:rStyle w:val="Style2"/>
                    <w:rFonts w:ascii="MS Gothic" w:eastAsia="MS Gothic" w:hAnsi="MS Gothic" w:hint="eastAsia"/>
                    <w:sz w:val="23"/>
                    <w:szCs w:val="23"/>
                  </w:rPr>
                  <w:t>☒</w:t>
                </w:r>
              </w:sdtContent>
            </w:sdt>
            <w:r w:rsidR="00B811A4" w:rsidRPr="00334F18">
              <w:rPr>
                <w:sz w:val="23"/>
                <w:szCs w:val="23"/>
              </w:rPr>
              <w:t xml:space="preserve"> 29.2.3 neatitinka referencinės naudingumo vertės taikant PGS</w:t>
            </w:r>
          </w:p>
          <w:p w14:paraId="13C9EEE5" w14:textId="77777777" w:rsidR="00B811A4" w:rsidRPr="00334F18"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289E6691" w14:textId="77777777" w:rsidR="00B811A4" w:rsidRPr="00334F18"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5FD1976C" w14:textId="77777777" w:rsidR="00B811A4" w:rsidRPr="00334F18" w:rsidRDefault="0077401E"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3"/>
                <w:szCs w:val="23"/>
              </w:rPr>
            </w:pPr>
            <w:sdt>
              <w:sdtPr>
                <w:rPr>
                  <w:rStyle w:val="Style2"/>
                  <w:sz w:val="23"/>
                  <w:szCs w:val="23"/>
                </w:rPr>
                <w:id w:val="-943849855"/>
                <w15:color w:val="FFCC00"/>
                <w14:checkbox>
                  <w14:checked w14:val="0"/>
                  <w14:checkedState w14:val="2612" w14:font="MS Gothic"/>
                  <w14:uncheckedState w14:val="2610" w14:font="MS Gothic"/>
                </w14:checkbox>
              </w:sdtPr>
              <w:sdtEndPr>
                <w:rPr>
                  <w:rStyle w:val="Style2"/>
                </w:rPr>
              </w:sdtEndPr>
              <w:sdtContent>
                <w:r w:rsidR="00B811A4" w:rsidRPr="00334F18">
                  <w:rPr>
                    <w:rStyle w:val="Style2"/>
                    <w:rFonts w:ascii="Segoe UI Symbol" w:eastAsia="MS Gothic" w:hAnsi="Segoe UI Symbol" w:cs="Segoe UI Symbol"/>
                    <w:sz w:val="23"/>
                    <w:szCs w:val="23"/>
                  </w:rPr>
                  <w:t>☐</w:t>
                </w:r>
              </w:sdtContent>
            </w:sdt>
            <w:r w:rsidR="00B811A4" w:rsidRPr="00334F18">
              <w:rPr>
                <w:sz w:val="23"/>
                <w:szCs w:val="23"/>
              </w:rPr>
              <w:t xml:space="preserve"> 29.2.5 pateikti duomenys apie kaštų naudingumą yra netinkami vertinti</w:t>
            </w:r>
          </w:p>
          <w:p w14:paraId="06AB06C5" w14:textId="77777777" w:rsidR="00B811A4" w:rsidRPr="00334F18"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3"/>
                <w:szCs w:val="23"/>
              </w:rPr>
            </w:pPr>
          </w:p>
        </w:tc>
      </w:tr>
      <w:tr w:rsidR="00334F18" w:rsidRPr="00334F18" w14:paraId="632C9193" w14:textId="77777777" w:rsidTr="00027464">
        <w:tc>
          <w:tcPr>
            <w:tcW w:w="9634" w:type="dxa"/>
            <w:gridSpan w:val="2"/>
          </w:tcPr>
          <w:p w14:paraId="15C289C9" w14:textId="47C5A3CE" w:rsidR="007111C4" w:rsidRPr="00334F18" w:rsidRDefault="0077401E"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3"/>
                <w:szCs w:val="23"/>
              </w:rPr>
            </w:pPr>
            <w:sdt>
              <w:sdtPr>
                <w:rPr>
                  <w:rStyle w:val="Style2"/>
                  <w:sz w:val="23"/>
                  <w:szCs w:val="23"/>
                </w:rPr>
                <w:id w:val="1266579562"/>
                <w15:color w:val="FFCC00"/>
                <w14:checkbox>
                  <w14:checked w14:val="0"/>
                  <w14:checkedState w14:val="2612" w14:font="MS Gothic"/>
                  <w14:uncheckedState w14:val="2610" w14:font="MS Gothic"/>
                </w14:checkbox>
              </w:sdtPr>
              <w:sdtEndPr>
                <w:rPr>
                  <w:rStyle w:val="Style2"/>
                </w:rPr>
              </w:sdtEndPr>
              <w:sdtContent>
                <w:r w:rsidR="007111C4" w:rsidRPr="00334F18">
                  <w:rPr>
                    <w:rStyle w:val="Style2"/>
                    <w:rFonts w:ascii="Segoe UI Symbol" w:eastAsia="MS Gothic" w:hAnsi="Segoe UI Symbol" w:cs="Segoe UI Symbol"/>
                    <w:sz w:val="23"/>
                    <w:szCs w:val="23"/>
                  </w:rPr>
                  <w:t>☐</w:t>
                </w:r>
              </w:sdtContent>
            </w:sdt>
            <w:r w:rsidR="007111C4" w:rsidRPr="00334F18">
              <w:rPr>
                <w:sz w:val="23"/>
                <w:szCs w:val="23"/>
              </w:rPr>
              <w:t xml:space="preserve"> Vykdant Aprašo &lt;17</w:t>
            </w:r>
            <w:r w:rsidR="007111C4" w:rsidRPr="00334F18">
              <w:rPr>
                <w:sz w:val="23"/>
                <w:szCs w:val="23"/>
                <w:vertAlign w:val="superscript"/>
              </w:rPr>
              <w:t>3</w:t>
            </w:r>
            <w:r w:rsidR="007111C4" w:rsidRPr="00334F18">
              <w:rPr>
                <w:sz w:val="23"/>
                <w:szCs w:val="23"/>
              </w:rPr>
              <w:t>.1&gt;&lt;17</w:t>
            </w:r>
            <w:r w:rsidR="007111C4" w:rsidRPr="00334F18">
              <w:rPr>
                <w:sz w:val="23"/>
                <w:szCs w:val="23"/>
                <w:vertAlign w:val="superscript"/>
              </w:rPr>
              <w:t>3</w:t>
            </w:r>
            <w:r w:rsidR="007111C4" w:rsidRPr="00334F18">
              <w:rPr>
                <w:sz w:val="23"/>
                <w:szCs w:val="23"/>
              </w:rPr>
              <w:t>.2&gt;&lt;17</w:t>
            </w:r>
            <w:r w:rsidR="007111C4" w:rsidRPr="00334F18">
              <w:rPr>
                <w:sz w:val="23"/>
                <w:szCs w:val="23"/>
                <w:vertAlign w:val="superscript"/>
              </w:rPr>
              <w:t>3</w:t>
            </w:r>
            <w:r w:rsidR="007111C4" w:rsidRPr="00334F18">
              <w:rPr>
                <w:sz w:val="23"/>
                <w:szCs w:val="23"/>
              </w:rPr>
              <w:t>.3&gt; punktą vaistinio (-ų) preparato (-ų) ekonominis vertinimas neatliekamas, išvados dėl kaštų naudingumo neteikiamos</w:t>
            </w:r>
          </w:p>
        </w:tc>
      </w:tr>
    </w:tbl>
    <w:p w14:paraId="08D5B3B6" w14:textId="292D1124" w:rsidR="0061611B" w:rsidRPr="00334F18" w:rsidRDefault="0061611B" w:rsidP="0061611B">
      <w:pPr>
        <w:rPr>
          <w:i/>
          <w:szCs w:val="22"/>
        </w:rPr>
      </w:pPr>
    </w:p>
    <w:p w14:paraId="1B85C083" w14:textId="77777777" w:rsidR="009E44AE" w:rsidRPr="00334F18" w:rsidRDefault="009E44AE" w:rsidP="00381024"/>
    <w:p w14:paraId="3B2D1F25" w14:textId="3A80E19F" w:rsidR="000001B0" w:rsidRPr="00334F18" w:rsidRDefault="000001B0" w:rsidP="00CC09D4">
      <w:pPr>
        <w:pStyle w:val="Sraopastraipa"/>
        <w:numPr>
          <w:ilvl w:val="0"/>
          <w:numId w:val="12"/>
        </w:numPr>
        <w:ind w:left="567" w:hanging="567"/>
      </w:pPr>
      <w:r w:rsidRPr="00334F18">
        <w:rPr>
          <w:b/>
        </w:rPr>
        <w:t>REKOME</w:t>
      </w:r>
      <w:r w:rsidR="00D83182" w:rsidRPr="00334F18">
        <w:rPr>
          <w:b/>
        </w:rPr>
        <w:t>N</w:t>
      </w:r>
      <w:r w:rsidRPr="00334F18">
        <w:rPr>
          <w:b/>
        </w:rPr>
        <w:t>DACIJA</w:t>
      </w:r>
    </w:p>
    <w:p w14:paraId="35E33D78" w14:textId="59232BB3" w:rsidR="00B811A4" w:rsidRPr="00334F18" w:rsidRDefault="00B811A4" w:rsidP="00B811A4">
      <w:pPr>
        <w:pStyle w:val="Sraopastraipa"/>
        <w:ind w:left="567"/>
        <w:rPr>
          <w:b/>
        </w:rPr>
      </w:pPr>
    </w:p>
    <w:p w14:paraId="13301E6A" w14:textId="77777777" w:rsidR="00CC3E90" w:rsidRDefault="00CC3E90" w:rsidP="00CC3E90">
      <w:pPr>
        <w:jc w:val="both"/>
        <w:rPr>
          <w:color w:val="000000"/>
          <w:lang w:eastAsia="lt-LT"/>
        </w:rPr>
      </w:pPr>
      <w:r w:rsidRPr="009300B3">
        <w:rPr>
          <w:color w:val="000000"/>
          <w:lang w:eastAsia="lt-LT"/>
        </w:rPr>
        <w:t>30</w:t>
      </w:r>
      <w:r w:rsidRPr="009300B3">
        <w:rPr>
          <w:color w:val="000000"/>
          <w:vertAlign w:val="superscript"/>
          <w:lang w:eastAsia="lt-LT"/>
        </w:rPr>
        <w:t>1</w:t>
      </w:r>
      <w:r w:rsidRPr="009300B3">
        <w:rPr>
          <w:color w:val="000000"/>
          <w:lang w:eastAsia="lt-LT"/>
        </w:rPr>
        <w:t xml:space="preserve">.2. papunkčiu rekomenduojama kompensuoti vaistinį preparatą pagal paraiškoje nurodytą indikaciją (arba jos dalį) su arba be skyrimo sąlygų, jei, pateikus </w:t>
      </w:r>
      <w:r>
        <w:rPr>
          <w:color w:val="000000"/>
          <w:lang w:eastAsia="lt-LT"/>
        </w:rPr>
        <w:t xml:space="preserve">atnaujintą </w:t>
      </w:r>
      <w:r w:rsidRPr="009300B3">
        <w:rPr>
          <w:color w:val="000000"/>
          <w:lang w:eastAsia="lt-LT"/>
        </w:rPr>
        <w:t>PGS, kaštų naudingumas atitinka referencinę naudingumo vertę, kai vertinimo išvados atitinka Aprašo 29.1.1 ir 29.2.3 papunkčiuose numatytas sąlygas</w:t>
      </w:r>
      <w:r>
        <w:rPr>
          <w:color w:val="000000"/>
          <w:lang w:eastAsia="lt-LT"/>
        </w:rPr>
        <w:t>.</w:t>
      </w:r>
    </w:p>
    <w:p w14:paraId="0474E2DE" w14:textId="77777777" w:rsidR="00CC3E90" w:rsidRPr="00334F18" w:rsidRDefault="00CC3E90" w:rsidP="00B811A4">
      <w:pPr>
        <w:widowControl w:val="0"/>
        <w:tabs>
          <w:tab w:val="left" w:pos="1418"/>
        </w:tabs>
        <w:suppressAutoHyphens/>
        <w:spacing w:line="360" w:lineRule="atLeast"/>
        <w:jc w:val="center"/>
        <w:textAlignment w:val="center"/>
        <w:rPr>
          <w:lang w:eastAsia="lt-LT"/>
        </w:rPr>
      </w:pPr>
    </w:p>
    <w:p w14:paraId="42F3A222" w14:textId="77777777" w:rsidR="00B811A4" w:rsidRPr="00334F18" w:rsidRDefault="00B811A4" w:rsidP="00B811A4">
      <w:pPr>
        <w:tabs>
          <w:tab w:val="left" w:pos="426"/>
        </w:tabs>
        <w:jc w:val="both"/>
        <w:rPr>
          <w:b/>
          <w:lang w:eastAsia="lt-LT"/>
        </w:rPr>
      </w:pPr>
      <w:r w:rsidRPr="00334F18">
        <w:rPr>
          <w:b/>
          <w:lang w:eastAsia="lt-LT"/>
        </w:rPr>
        <w:t>4.3 Siūloma (-</w:t>
      </w:r>
      <w:proofErr w:type="spellStart"/>
      <w:r w:rsidRPr="00334F18">
        <w:rPr>
          <w:b/>
          <w:lang w:eastAsia="lt-LT"/>
        </w:rPr>
        <w:t>os</w:t>
      </w:r>
      <w:proofErr w:type="spellEnd"/>
      <w:r w:rsidRPr="00334F18">
        <w:rPr>
          <w:b/>
          <w:lang w:eastAsia="lt-LT"/>
        </w:rPr>
        <w:t xml:space="preserve">) kompensuoti terapinės indikacijos ir skyrimo sąlygos </w:t>
      </w:r>
    </w:p>
    <w:p w14:paraId="179FBABC" w14:textId="77777777" w:rsidR="00B811A4" w:rsidRPr="00334F18" w:rsidRDefault="00B811A4" w:rsidP="00B811A4">
      <w:pPr>
        <w:tabs>
          <w:tab w:val="left" w:pos="426"/>
        </w:tabs>
        <w:jc w:val="both"/>
        <w:rPr>
          <w:b/>
          <w:lang w:eastAsia="lt-LT"/>
        </w:rPr>
      </w:pPr>
    </w:p>
    <w:p w14:paraId="47A2713E" w14:textId="77777777" w:rsidR="007A7F36" w:rsidRPr="009300B3" w:rsidRDefault="007A7F36" w:rsidP="007A7F36">
      <w:pPr>
        <w:pStyle w:val="Betarp"/>
        <w:jc w:val="both"/>
        <w:rPr>
          <w:rFonts w:ascii="Times New Roman" w:hAnsi="Times New Roman"/>
          <w:b/>
          <w:sz w:val="24"/>
          <w:szCs w:val="24"/>
          <w:lang w:eastAsia="lt-LT"/>
        </w:rPr>
      </w:pPr>
      <w:r w:rsidRPr="009300B3">
        <w:rPr>
          <w:rFonts w:ascii="Times New Roman" w:hAnsi="Times New Roman"/>
          <w:b/>
          <w:sz w:val="24"/>
          <w:szCs w:val="24"/>
          <w:lang w:eastAsia="lt-LT"/>
        </w:rPr>
        <w:t>Terapinės indikacijos</w:t>
      </w:r>
    </w:p>
    <w:p w14:paraId="3DDF2F6A" w14:textId="77777777" w:rsidR="007A7F36" w:rsidRPr="008A7380" w:rsidRDefault="007A7F36" w:rsidP="007A7F36">
      <w:pPr>
        <w:jc w:val="both"/>
      </w:pPr>
      <w:r w:rsidRPr="008A7380">
        <w:t xml:space="preserve">Repatha yra skirtas papildomam gydymui kartu taikant dietą suaugusiesiems, sergantiems pirmine hipercholesterolemija (heterozigotine šeimine ir nešeimine) arba mišria dislipidemija, ir 10 metų bei vyresniems vaikų populiacijos pacientams, sergantiems heterozigotine šeimine hipercholesterolemija: </w:t>
      </w:r>
    </w:p>
    <w:p w14:paraId="362AD1D2" w14:textId="77777777" w:rsidR="007A7F36" w:rsidRPr="008A7380" w:rsidRDefault="007A7F36" w:rsidP="007A7F36">
      <w:pPr>
        <w:numPr>
          <w:ilvl w:val="0"/>
          <w:numId w:val="15"/>
        </w:numPr>
        <w:jc w:val="both"/>
      </w:pPr>
      <w:r w:rsidRPr="008A7380">
        <w:t xml:space="preserve">derinyje su statinais arba statinais ir kitais lipidų koncentraciją mažinančiais vaistiniais preparatais pacientams, kuriems, vartojant didžiausias toleruojamas statinų dozes, mažo tankio lipoproteinų cholesterolio (MTL-C) koncentracija nesumažėja iki siekiamo dydžio, arba </w:t>
      </w:r>
    </w:p>
    <w:p w14:paraId="23C036BD" w14:textId="77777777" w:rsidR="007A7F36" w:rsidRPr="008A7380" w:rsidRDefault="007A7F36" w:rsidP="007A7F36">
      <w:pPr>
        <w:numPr>
          <w:ilvl w:val="0"/>
          <w:numId w:val="15"/>
        </w:numPr>
        <w:jc w:val="both"/>
      </w:pPr>
      <w:r w:rsidRPr="008A7380">
        <w:t>vienas arba derinyje su kitais lipidų koncentraciją mažinančiais vaistiniais preparatais pacientams, kurie netoleruoja statinų arba kuriems statinai yra kontraindikuotini.</w:t>
      </w:r>
    </w:p>
    <w:p w14:paraId="2000B526" w14:textId="77777777" w:rsidR="007A7F36" w:rsidRPr="00BA7FD7" w:rsidRDefault="007A7F36" w:rsidP="007A7F36">
      <w:pPr>
        <w:pStyle w:val="Betarp"/>
        <w:jc w:val="both"/>
        <w:rPr>
          <w:rFonts w:ascii="Times New Roman" w:hAnsi="Times New Roman"/>
          <w:bCs/>
          <w:sz w:val="24"/>
          <w:szCs w:val="24"/>
        </w:rPr>
      </w:pPr>
    </w:p>
    <w:p w14:paraId="3D52CAED" w14:textId="77777777" w:rsidR="00AA05C0" w:rsidRDefault="007A7F36" w:rsidP="00AA05C0">
      <w:pPr>
        <w:pStyle w:val="Betarp"/>
        <w:jc w:val="both"/>
        <w:rPr>
          <w:rFonts w:ascii="Times New Roman" w:hAnsi="Times New Roman"/>
          <w:b/>
          <w:sz w:val="24"/>
          <w:szCs w:val="24"/>
        </w:rPr>
      </w:pPr>
      <w:r w:rsidRPr="009300B3">
        <w:rPr>
          <w:rFonts w:ascii="Times New Roman" w:hAnsi="Times New Roman"/>
          <w:b/>
          <w:sz w:val="24"/>
          <w:szCs w:val="24"/>
        </w:rPr>
        <w:t>Skyrimo sąlygos</w:t>
      </w:r>
    </w:p>
    <w:p w14:paraId="42D33E6B" w14:textId="77777777" w:rsidR="0006250E" w:rsidRDefault="0006250E" w:rsidP="00AA05C0">
      <w:pPr>
        <w:pStyle w:val="Betarp"/>
        <w:jc w:val="both"/>
        <w:rPr>
          <w:rFonts w:ascii="Times New Roman" w:hAnsi="Times New Roman"/>
          <w:b/>
          <w:sz w:val="24"/>
          <w:szCs w:val="24"/>
        </w:rPr>
      </w:pPr>
    </w:p>
    <w:p w14:paraId="331FAA3C" w14:textId="0E6E6CDB" w:rsidR="00AA05C0" w:rsidRDefault="00AA05C0" w:rsidP="00AA05C0">
      <w:pPr>
        <w:pStyle w:val="Betarp"/>
        <w:jc w:val="both"/>
        <w:rPr>
          <w:rFonts w:ascii="Times New Roman" w:hAnsi="Times New Roman"/>
          <w:bCs/>
          <w:sz w:val="24"/>
          <w:szCs w:val="24"/>
        </w:rPr>
      </w:pPr>
      <w:r w:rsidRPr="00BA7FD7">
        <w:rPr>
          <w:rFonts w:ascii="Times New Roman" w:hAnsi="Times New Roman"/>
          <w:bCs/>
          <w:sz w:val="24"/>
          <w:szCs w:val="24"/>
        </w:rPr>
        <w:t>TLK-</w:t>
      </w:r>
      <w:r>
        <w:rPr>
          <w:rFonts w:ascii="Times New Roman" w:hAnsi="Times New Roman"/>
          <w:bCs/>
          <w:sz w:val="24"/>
          <w:szCs w:val="24"/>
        </w:rPr>
        <w:t xml:space="preserve">10 </w:t>
      </w:r>
      <w:r w:rsidRPr="00BA7FD7">
        <w:rPr>
          <w:rFonts w:ascii="Times New Roman" w:hAnsi="Times New Roman"/>
          <w:bCs/>
          <w:sz w:val="24"/>
          <w:szCs w:val="24"/>
        </w:rPr>
        <w:t>AM koda</w:t>
      </w:r>
      <w:r>
        <w:rPr>
          <w:rFonts w:ascii="Times New Roman" w:hAnsi="Times New Roman"/>
          <w:bCs/>
          <w:sz w:val="24"/>
          <w:szCs w:val="24"/>
        </w:rPr>
        <w:t>s</w:t>
      </w:r>
      <w:r w:rsidRPr="00BA7FD7">
        <w:rPr>
          <w:rFonts w:ascii="Times New Roman" w:hAnsi="Times New Roman"/>
          <w:bCs/>
          <w:sz w:val="24"/>
          <w:szCs w:val="24"/>
        </w:rPr>
        <w:t>: E78</w:t>
      </w:r>
      <w:r>
        <w:rPr>
          <w:rFonts w:ascii="Times New Roman" w:hAnsi="Times New Roman"/>
          <w:bCs/>
          <w:sz w:val="24"/>
          <w:szCs w:val="24"/>
        </w:rPr>
        <w:t>.0.</w:t>
      </w:r>
    </w:p>
    <w:p w14:paraId="4FEFE650" w14:textId="60D28B3F" w:rsidR="007A7F36" w:rsidRPr="009300B3" w:rsidRDefault="007A7F36" w:rsidP="007A7F36">
      <w:pPr>
        <w:pStyle w:val="Betarp"/>
        <w:jc w:val="both"/>
        <w:rPr>
          <w:rFonts w:ascii="Times New Roman" w:hAnsi="Times New Roman"/>
          <w:b/>
          <w:sz w:val="24"/>
          <w:szCs w:val="24"/>
        </w:rPr>
      </w:pPr>
    </w:p>
    <w:p w14:paraId="41635D09" w14:textId="77777777" w:rsidR="007A7F36" w:rsidRPr="00974F5D" w:rsidRDefault="007A7F36" w:rsidP="007A7F36">
      <w:pPr>
        <w:pStyle w:val="Betarp"/>
        <w:jc w:val="both"/>
        <w:rPr>
          <w:rFonts w:ascii="Times New Roman" w:hAnsi="Times New Roman"/>
          <w:b/>
          <w:sz w:val="24"/>
          <w:szCs w:val="24"/>
        </w:rPr>
      </w:pPr>
      <w:r w:rsidRPr="00974F5D">
        <w:rPr>
          <w:rFonts w:ascii="Times New Roman" w:hAnsi="Times New Roman"/>
          <w:bCs/>
          <w:sz w:val="24"/>
          <w:szCs w:val="24"/>
          <w:lang w:eastAsia="lt-LT"/>
        </w:rPr>
        <w:lastRenderedPageBreak/>
        <w:t xml:space="preserve">Skiria ir išrašo gydytojas kardiologas, teikiantis tretinio lygio asmens sveikatos priežiūros paslaugas, didelės ir labai didelės kardiovaskulinės rizikos 10 metų ir vyresniems pacientams, kuriems pagal olandų šeiminės hipercholesterolemijos diagnostikos kriterijų sistemą (angl. </w:t>
      </w:r>
      <w:proofErr w:type="spellStart"/>
      <w:r w:rsidRPr="00974F5D">
        <w:rPr>
          <w:rFonts w:ascii="Times New Roman" w:hAnsi="Times New Roman"/>
          <w:bCs/>
          <w:i/>
          <w:iCs/>
          <w:sz w:val="24"/>
          <w:szCs w:val="24"/>
          <w:lang w:eastAsia="lt-LT"/>
        </w:rPr>
        <w:t>Dutch</w:t>
      </w:r>
      <w:proofErr w:type="spellEnd"/>
      <w:r w:rsidRPr="00974F5D">
        <w:rPr>
          <w:rFonts w:ascii="Times New Roman" w:hAnsi="Times New Roman"/>
          <w:bCs/>
          <w:i/>
          <w:iCs/>
          <w:sz w:val="24"/>
          <w:szCs w:val="24"/>
          <w:lang w:eastAsia="lt-LT"/>
        </w:rPr>
        <w:t xml:space="preserve"> </w:t>
      </w:r>
      <w:proofErr w:type="spellStart"/>
      <w:r w:rsidRPr="00974F5D">
        <w:rPr>
          <w:rFonts w:ascii="Times New Roman" w:hAnsi="Times New Roman"/>
          <w:bCs/>
          <w:i/>
          <w:iCs/>
          <w:sz w:val="24"/>
          <w:szCs w:val="24"/>
          <w:lang w:eastAsia="lt-LT"/>
        </w:rPr>
        <w:t>Lipid</w:t>
      </w:r>
      <w:proofErr w:type="spellEnd"/>
      <w:r w:rsidRPr="00974F5D">
        <w:rPr>
          <w:rFonts w:ascii="Times New Roman" w:hAnsi="Times New Roman"/>
          <w:bCs/>
          <w:i/>
          <w:iCs/>
          <w:sz w:val="24"/>
          <w:szCs w:val="24"/>
          <w:lang w:eastAsia="lt-LT"/>
        </w:rPr>
        <w:t xml:space="preserve"> </w:t>
      </w:r>
      <w:proofErr w:type="spellStart"/>
      <w:r w:rsidRPr="00974F5D">
        <w:rPr>
          <w:rFonts w:ascii="Times New Roman" w:hAnsi="Times New Roman"/>
          <w:bCs/>
          <w:i/>
          <w:iCs/>
          <w:sz w:val="24"/>
          <w:szCs w:val="24"/>
          <w:lang w:eastAsia="lt-LT"/>
        </w:rPr>
        <w:t>Clinic</w:t>
      </w:r>
      <w:proofErr w:type="spellEnd"/>
      <w:r w:rsidRPr="00974F5D">
        <w:rPr>
          <w:rFonts w:ascii="Times New Roman" w:hAnsi="Times New Roman"/>
          <w:bCs/>
          <w:i/>
          <w:iCs/>
          <w:sz w:val="24"/>
          <w:szCs w:val="24"/>
          <w:lang w:eastAsia="lt-LT"/>
        </w:rPr>
        <w:t xml:space="preserve"> Network</w:t>
      </w:r>
      <w:r w:rsidRPr="00974F5D">
        <w:rPr>
          <w:rFonts w:ascii="Times New Roman" w:hAnsi="Times New Roman"/>
          <w:bCs/>
          <w:sz w:val="24"/>
          <w:szCs w:val="24"/>
          <w:lang w:eastAsia="lt-LT"/>
        </w:rPr>
        <w:t>) patvirtinta heterozigotinė šeiminė hipercholesterolemija (9 balai ir daugiau) ir MTL-C koncentracija išlieka ≥2,6 mmol/l taikant gydymą maksimaliomis toleruojamomis statinų dozėmis kartu su ezetimibu (arba tik ezetimibu, jei statinas yra kontraindikuotinas).</w:t>
      </w:r>
    </w:p>
    <w:p w14:paraId="7D5C6700" w14:textId="77777777" w:rsidR="00D5470B" w:rsidRPr="00334F18" w:rsidRDefault="00D5470B" w:rsidP="00C712EA">
      <w:pPr>
        <w:pStyle w:val="Sraopastraipa"/>
        <w:ind w:left="426"/>
      </w:pPr>
    </w:p>
    <w:p w14:paraId="33B8DE04" w14:textId="77777777" w:rsidR="00283E59" w:rsidRPr="00334F18" w:rsidRDefault="00283E59" w:rsidP="00283E59">
      <w:pPr>
        <w:widowControl w:val="0"/>
        <w:tabs>
          <w:tab w:val="left" w:pos="1418"/>
        </w:tabs>
        <w:suppressAutoHyphens/>
        <w:spacing w:line="360" w:lineRule="atLeast"/>
        <w:jc w:val="center"/>
        <w:textAlignment w:val="center"/>
      </w:pPr>
      <w:r w:rsidRPr="00334F18">
        <w:rPr>
          <w:lang w:eastAsia="lt-LT"/>
        </w:rPr>
        <w:t>____________________________</w:t>
      </w:r>
    </w:p>
    <w:p w14:paraId="562A1372" w14:textId="77777777" w:rsidR="00283E59" w:rsidRPr="00334F18" w:rsidRDefault="00283E59" w:rsidP="00283E59">
      <w:pPr>
        <w:jc w:val="both"/>
        <w:rPr>
          <w:b/>
          <w:sz w:val="20"/>
        </w:rPr>
      </w:pPr>
    </w:p>
    <w:p w14:paraId="7CDFF220" w14:textId="58191D98" w:rsidR="000723FF" w:rsidRPr="00334F18" w:rsidRDefault="000723FF" w:rsidP="00824B92">
      <w:pPr>
        <w:rPr>
          <w:b/>
        </w:rPr>
      </w:pPr>
    </w:p>
    <w:sectPr w:rsidR="000723FF" w:rsidRPr="00334F18" w:rsidSect="00063A50">
      <w:headerReference w:type="first" r:id="rId8"/>
      <w:footerReference w:type="first" r:id="rId9"/>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F45EC" w14:textId="77777777" w:rsidR="006F12D1" w:rsidRDefault="006F12D1">
      <w:r>
        <w:separator/>
      </w:r>
    </w:p>
  </w:endnote>
  <w:endnote w:type="continuationSeparator" w:id="0">
    <w:p w14:paraId="19E433E3" w14:textId="77777777" w:rsidR="006F12D1" w:rsidRDefault="006F1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D3368" w14:textId="77777777" w:rsidR="00347FAA" w:rsidRDefault="00347FAA">
    <w:pPr>
      <w:pStyle w:val="Porat"/>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B2976" w14:textId="77777777" w:rsidR="006F12D1" w:rsidRDefault="006F12D1">
      <w:r>
        <w:separator/>
      </w:r>
    </w:p>
  </w:footnote>
  <w:footnote w:type="continuationSeparator" w:id="0">
    <w:p w14:paraId="5B818A5E" w14:textId="77777777" w:rsidR="006F12D1" w:rsidRDefault="006F12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E1C8F" w14:textId="77777777" w:rsidR="00347FAA" w:rsidRDefault="00347FAA" w:rsidP="00FD793C">
    <w:pPr>
      <w:pStyle w:val="Antrats"/>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1276250"/>
    <w:multiLevelType w:val="hybridMultilevel"/>
    <w:tmpl w:val="3B6C29F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AD2E58"/>
    <w:multiLevelType w:val="hybridMultilevel"/>
    <w:tmpl w:val="F6943F7A"/>
    <w:lvl w:ilvl="0" w:tplc="AB64BC8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5" w15:restartNumberingAfterBreak="0">
    <w:nsid w:val="1A816B09"/>
    <w:multiLevelType w:val="hybridMultilevel"/>
    <w:tmpl w:val="8FBEE17A"/>
    <w:lvl w:ilvl="0" w:tplc="0427000F">
      <w:start w:val="16"/>
      <w:numFmt w:val="decimal"/>
      <w:lvlText w:val="%1."/>
      <w:lvlJc w:val="left"/>
      <w:pPr>
        <w:ind w:left="501" w:hanging="360"/>
      </w:pPr>
      <w:rPr>
        <w:rFonts w:hint="default"/>
      </w:rPr>
    </w:lvl>
    <w:lvl w:ilvl="1" w:tplc="04270019" w:tentative="1">
      <w:start w:val="1"/>
      <w:numFmt w:val="lowerLetter"/>
      <w:lvlText w:val="%2."/>
      <w:lvlJc w:val="left"/>
      <w:pPr>
        <w:ind w:left="1581" w:hanging="360"/>
      </w:pPr>
    </w:lvl>
    <w:lvl w:ilvl="2" w:tplc="0427001B" w:tentative="1">
      <w:start w:val="1"/>
      <w:numFmt w:val="lowerRoman"/>
      <w:lvlText w:val="%3."/>
      <w:lvlJc w:val="right"/>
      <w:pPr>
        <w:ind w:left="2301" w:hanging="180"/>
      </w:pPr>
    </w:lvl>
    <w:lvl w:ilvl="3" w:tplc="0427000F" w:tentative="1">
      <w:start w:val="1"/>
      <w:numFmt w:val="decimal"/>
      <w:lvlText w:val="%4."/>
      <w:lvlJc w:val="left"/>
      <w:pPr>
        <w:ind w:left="3021" w:hanging="360"/>
      </w:pPr>
    </w:lvl>
    <w:lvl w:ilvl="4" w:tplc="04270019" w:tentative="1">
      <w:start w:val="1"/>
      <w:numFmt w:val="lowerLetter"/>
      <w:lvlText w:val="%5."/>
      <w:lvlJc w:val="left"/>
      <w:pPr>
        <w:ind w:left="3741" w:hanging="360"/>
      </w:pPr>
    </w:lvl>
    <w:lvl w:ilvl="5" w:tplc="0427001B" w:tentative="1">
      <w:start w:val="1"/>
      <w:numFmt w:val="lowerRoman"/>
      <w:lvlText w:val="%6."/>
      <w:lvlJc w:val="right"/>
      <w:pPr>
        <w:ind w:left="4461" w:hanging="180"/>
      </w:pPr>
    </w:lvl>
    <w:lvl w:ilvl="6" w:tplc="0427000F" w:tentative="1">
      <w:start w:val="1"/>
      <w:numFmt w:val="decimal"/>
      <w:lvlText w:val="%7."/>
      <w:lvlJc w:val="left"/>
      <w:pPr>
        <w:ind w:left="5181" w:hanging="360"/>
      </w:pPr>
    </w:lvl>
    <w:lvl w:ilvl="7" w:tplc="04270019" w:tentative="1">
      <w:start w:val="1"/>
      <w:numFmt w:val="lowerLetter"/>
      <w:lvlText w:val="%8."/>
      <w:lvlJc w:val="left"/>
      <w:pPr>
        <w:ind w:left="5901" w:hanging="360"/>
      </w:pPr>
    </w:lvl>
    <w:lvl w:ilvl="8" w:tplc="0427001B" w:tentative="1">
      <w:start w:val="1"/>
      <w:numFmt w:val="lowerRoman"/>
      <w:lvlText w:val="%9."/>
      <w:lvlJc w:val="right"/>
      <w:pPr>
        <w:ind w:left="6621" w:hanging="180"/>
      </w:pPr>
    </w:lvl>
  </w:abstractNum>
  <w:abstractNum w:abstractNumId="6"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8"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1"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3562B18"/>
    <w:multiLevelType w:val="hybridMultilevel"/>
    <w:tmpl w:val="F91E7E52"/>
    <w:lvl w:ilvl="0" w:tplc="A104C0AA">
      <w:start w:val="1"/>
      <w:numFmt w:val="bullet"/>
      <w:lvlText w:val="•"/>
      <w:lvlJc w:val="right"/>
      <w:pPr>
        <w:ind w:left="720" w:hanging="360"/>
      </w:pPr>
      <w:rPr>
        <w:rFonts w:ascii="Times New Roman" w:hAnsi="Times New Roman" w:cs="Times New Roman"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3"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29035017">
    <w:abstractNumId w:val="8"/>
  </w:num>
  <w:num w:numId="2" w16cid:durableId="985162166">
    <w:abstractNumId w:val="2"/>
  </w:num>
  <w:num w:numId="3" w16cid:durableId="480578891">
    <w:abstractNumId w:val="10"/>
  </w:num>
  <w:num w:numId="4" w16cid:durableId="442387534">
    <w:abstractNumId w:val="9"/>
  </w:num>
  <w:num w:numId="5" w16cid:durableId="823667834">
    <w:abstractNumId w:val="7"/>
  </w:num>
  <w:num w:numId="6" w16cid:durableId="417020125">
    <w:abstractNumId w:val="6"/>
  </w:num>
  <w:num w:numId="7" w16cid:durableId="1843550031">
    <w:abstractNumId w:val="4"/>
  </w:num>
  <w:num w:numId="8" w16cid:durableId="580068462">
    <w:abstractNumId w:val="14"/>
  </w:num>
  <w:num w:numId="9" w16cid:durableId="257183606">
    <w:abstractNumId w:val="0"/>
  </w:num>
  <w:num w:numId="10" w16cid:durableId="131410136">
    <w:abstractNumId w:val="11"/>
  </w:num>
  <w:num w:numId="11" w16cid:durableId="1133251921">
    <w:abstractNumId w:val="13"/>
  </w:num>
  <w:num w:numId="12" w16cid:durableId="700133012">
    <w:abstractNumId w:val="3"/>
  </w:num>
  <w:num w:numId="13" w16cid:durableId="373774129">
    <w:abstractNumId w:val="5"/>
  </w:num>
  <w:num w:numId="14" w16cid:durableId="1004668447">
    <w:abstractNumId w:val="1"/>
  </w:num>
  <w:num w:numId="15" w16cid:durableId="17597910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E7"/>
    <w:rsid w:val="000001B0"/>
    <w:rsid w:val="00003F5B"/>
    <w:rsid w:val="000114DD"/>
    <w:rsid w:val="000136F7"/>
    <w:rsid w:val="000203E1"/>
    <w:rsid w:val="0002686C"/>
    <w:rsid w:val="00031D0E"/>
    <w:rsid w:val="000337E6"/>
    <w:rsid w:val="0003402E"/>
    <w:rsid w:val="00034EAE"/>
    <w:rsid w:val="00042924"/>
    <w:rsid w:val="000448C6"/>
    <w:rsid w:val="00052BD8"/>
    <w:rsid w:val="00053975"/>
    <w:rsid w:val="00057A2B"/>
    <w:rsid w:val="000606BE"/>
    <w:rsid w:val="000624FF"/>
    <w:rsid w:val="0006250E"/>
    <w:rsid w:val="00063A50"/>
    <w:rsid w:val="000723FF"/>
    <w:rsid w:val="000736B8"/>
    <w:rsid w:val="0008190F"/>
    <w:rsid w:val="00081D9C"/>
    <w:rsid w:val="00082907"/>
    <w:rsid w:val="00083309"/>
    <w:rsid w:val="0008378D"/>
    <w:rsid w:val="000908A5"/>
    <w:rsid w:val="00092805"/>
    <w:rsid w:val="000A50C9"/>
    <w:rsid w:val="000B2B2C"/>
    <w:rsid w:val="000B76AD"/>
    <w:rsid w:val="000C454C"/>
    <w:rsid w:val="000D5038"/>
    <w:rsid w:val="000E29D4"/>
    <w:rsid w:val="000F3540"/>
    <w:rsid w:val="00100491"/>
    <w:rsid w:val="00104E2E"/>
    <w:rsid w:val="00107287"/>
    <w:rsid w:val="00117194"/>
    <w:rsid w:val="00117406"/>
    <w:rsid w:val="00121EF0"/>
    <w:rsid w:val="00124A9E"/>
    <w:rsid w:val="00130703"/>
    <w:rsid w:val="0013153F"/>
    <w:rsid w:val="001408B8"/>
    <w:rsid w:val="001466FE"/>
    <w:rsid w:val="001517E2"/>
    <w:rsid w:val="001521D9"/>
    <w:rsid w:val="001554E2"/>
    <w:rsid w:val="00164146"/>
    <w:rsid w:val="00164D64"/>
    <w:rsid w:val="0017369C"/>
    <w:rsid w:val="00175D57"/>
    <w:rsid w:val="00180C39"/>
    <w:rsid w:val="00180D96"/>
    <w:rsid w:val="00184BD3"/>
    <w:rsid w:val="001921F3"/>
    <w:rsid w:val="001A0CAA"/>
    <w:rsid w:val="001A30B1"/>
    <w:rsid w:val="001B3C5B"/>
    <w:rsid w:val="001C2FC8"/>
    <w:rsid w:val="001C2FCE"/>
    <w:rsid w:val="001C6353"/>
    <w:rsid w:val="001D5B91"/>
    <w:rsid w:val="001D7226"/>
    <w:rsid w:val="001D746F"/>
    <w:rsid w:val="001E0B2D"/>
    <w:rsid w:val="001E4BBB"/>
    <w:rsid w:val="001E6304"/>
    <w:rsid w:val="001F115E"/>
    <w:rsid w:val="0020381E"/>
    <w:rsid w:val="00213471"/>
    <w:rsid w:val="00215906"/>
    <w:rsid w:val="00241CD8"/>
    <w:rsid w:val="00244B09"/>
    <w:rsid w:val="002519CB"/>
    <w:rsid w:val="0025697F"/>
    <w:rsid w:val="00260258"/>
    <w:rsid w:val="002650CF"/>
    <w:rsid w:val="0026588E"/>
    <w:rsid w:val="00272428"/>
    <w:rsid w:val="00272948"/>
    <w:rsid w:val="00276B48"/>
    <w:rsid w:val="00283E59"/>
    <w:rsid w:val="00292392"/>
    <w:rsid w:val="002946C7"/>
    <w:rsid w:val="002B3CC1"/>
    <w:rsid w:val="002C0686"/>
    <w:rsid w:val="002C09E0"/>
    <w:rsid w:val="002C100E"/>
    <w:rsid w:val="002C1BB1"/>
    <w:rsid w:val="002C2786"/>
    <w:rsid w:val="002C3A10"/>
    <w:rsid w:val="002C4A90"/>
    <w:rsid w:val="002C4ED5"/>
    <w:rsid w:val="002D02EF"/>
    <w:rsid w:val="002E0702"/>
    <w:rsid w:val="002E1A83"/>
    <w:rsid w:val="002E57AD"/>
    <w:rsid w:val="002E6F80"/>
    <w:rsid w:val="002E78BA"/>
    <w:rsid w:val="002F0E4F"/>
    <w:rsid w:val="002F1053"/>
    <w:rsid w:val="00314816"/>
    <w:rsid w:val="00317B0E"/>
    <w:rsid w:val="00334F18"/>
    <w:rsid w:val="00336238"/>
    <w:rsid w:val="00347FAA"/>
    <w:rsid w:val="0035172D"/>
    <w:rsid w:val="0036187D"/>
    <w:rsid w:val="00367EDB"/>
    <w:rsid w:val="003705F0"/>
    <w:rsid w:val="00381024"/>
    <w:rsid w:val="00386307"/>
    <w:rsid w:val="003874DE"/>
    <w:rsid w:val="00393E9F"/>
    <w:rsid w:val="0039696E"/>
    <w:rsid w:val="003B211A"/>
    <w:rsid w:val="003C141F"/>
    <w:rsid w:val="003C6B0E"/>
    <w:rsid w:val="003C7257"/>
    <w:rsid w:val="003C7E35"/>
    <w:rsid w:val="003D1E99"/>
    <w:rsid w:val="003D6208"/>
    <w:rsid w:val="00404E8A"/>
    <w:rsid w:val="0040622F"/>
    <w:rsid w:val="00413F24"/>
    <w:rsid w:val="00422853"/>
    <w:rsid w:val="00423160"/>
    <w:rsid w:val="00437623"/>
    <w:rsid w:val="00444A2B"/>
    <w:rsid w:val="00453862"/>
    <w:rsid w:val="0045469B"/>
    <w:rsid w:val="00461338"/>
    <w:rsid w:val="004677DB"/>
    <w:rsid w:val="00476256"/>
    <w:rsid w:val="0048630F"/>
    <w:rsid w:val="004912B2"/>
    <w:rsid w:val="004947A1"/>
    <w:rsid w:val="0049482A"/>
    <w:rsid w:val="004979D3"/>
    <w:rsid w:val="004A00E7"/>
    <w:rsid w:val="004A3A61"/>
    <w:rsid w:val="004B59BA"/>
    <w:rsid w:val="004B5A03"/>
    <w:rsid w:val="004C263A"/>
    <w:rsid w:val="004C6221"/>
    <w:rsid w:val="004D48A6"/>
    <w:rsid w:val="004D70B6"/>
    <w:rsid w:val="004D7B8F"/>
    <w:rsid w:val="004E241F"/>
    <w:rsid w:val="004E6458"/>
    <w:rsid w:val="004E6E7D"/>
    <w:rsid w:val="004F1AAC"/>
    <w:rsid w:val="004F1AE2"/>
    <w:rsid w:val="004F34F0"/>
    <w:rsid w:val="004F3B2B"/>
    <w:rsid w:val="004F6050"/>
    <w:rsid w:val="005005EF"/>
    <w:rsid w:val="005123C2"/>
    <w:rsid w:val="0052144B"/>
    <w:rsid w:val="00524066"/>
    <w:rsid w:val="00526A0F"/>
    <w:rsid w:val="00534E11"/>
    <w:rsid w:val="005378D8"/>
    <w:rsid w:val="005400D9"/>
    <w:rsid w:val="005476A4"/>
    <w:rsid w:val="0055019B"/>
    <w:rsid w:val="00556E63"/>
    <w:rsid w:val="005601A4"/>
    <w:rsid w:val="00566DBB"/>
    <w:rsid w:val="00567B14"/>
    <w:rsid w:val="00572917"/>
    <w:rsid w:val="005767DB"/>
    <w:rsid w:val="005815E6"/>
    <w:rsid w:val="0058712F"/>
    <w:rsid w:val="005976CE"/>
    <w:rsid w:val="005A23D4"/>
    <w:rsid w:val="005A2D1E"/>
    <w:rsid w:val="005A4698"/>
    <w:rsid w:val="005B3756"/>
    <w:rsid w:val="005C493F"/>
    <w:rsid w:val="005C6BF7"/>
    <w:rsid w:val="005C71BF"/>
    <w:rsid w:val="005D002C"/>
    <w:rsid w:val="005D30E1"/>
    <w:rsid w:val="005D4AD4"/>
    <w:rsid w:val="005D6555"/>
    <w:rsid w:val="005D7BDF"/>
    <w:rsid w:val="005E3EE2"/>
    <w:rsid w:val="005E4870"/>
    <w:rsid w:val="005F71D9"/>
    <w:rsid w:val="005F7602"/>
    <w:rsid w:val="006062BE"/>
    <w:rsid w:val="00613143"/>
    <w:rsid w:val="00613501"/>
    <w:rsid w:val="0061611B"/>
    <w:rsid w:val="006166A8"/>
    <w:rsid w:val="006174A1"/>
    <w:rsid w:val="00621D6C"/>
    <w:rsid w:val="00633B49"/>
    <w:rsid w:val="0064297F"/>
    <w:rsid w:val="00645102"/>
    <w:rsid w:val="00646CF3"/>
    <w:rsid w:val="00653D11"/>
    <w:rsid w:val="00662983"/>
    <w:rsid w:val="006834D3"/>
    <w:rsid w:val="00692625"/>
    <w:rsid w:val="00695CD3"/>
    <w:rsid w:val="006A38B6"/>
    <w:rsid w:val="006B1987"/>
    <w:rsid w:val="006B5B71"/>
    <w:rsid w:val="006B5D3E"/>
    <w:rsid w:val="006B6CB0"/>
    <w:rsid w:val="006C2B64"/>
    <w:rsid w:val="006D1BF3"/>
    <w:rsid w:val="006D4C85"/>
    <w:rsid w:val="006D66AC"/>
    <w:rsid w:val="006E2CD1"/>
    <w:rsid w:val="006E33F6"/>
    <w:rsid w:val="006F1251"/>
    <w:rsid w:val="006F12D1"/>
    <w:rsid w:val="006F1C23"/>
    <w:rsid w:val="00702C18"/>
    <w:rsid w:val="00703166"/>
    <w:rsid w:val="007111C4"/>
    <w:rsid w:val="007127F3"/>
    <w:rsid w:val="007301CF"/>
    <w:rsid w:val="007316FB"/>
    <w:rsid w:val="00737E2D"/>
    <w:rsid w:val="007424D5"/>
    <w:rsid w:val="00745C63"/>
    <w:rsid w:val="00750A88"/>
    <w:rsid w:val="007523DD"/>
    <w:rsid w:val="00757B7E"/>
    <w:rsid w:val="007656B2"/>
    <w:rsid w:val="0077016F"/>
    <w:rsid w:val="007713AD"/>
    <w:rsid w:val="0077401E"/>
    <w:rsid w:val="00795DC5"/>
    <w:rsid w:val="00797153"/>
    <w:rsid w:val="007A21F7"/>
    <w:rsid w:val="007A2B68"/>
    <w:rsid w:val="007A7F36"/>
    <w:rsid w:val="007B0DDA"/>
    <w:rsid w:val="007D3347"/>
    <w:rsid w:val="007D654E"/>
    <w:rsid w:val="007E5466"/>
    <w:rsid w:val="007F1949"/>
    <w:rsid w:val="007F2592"/>
    <w:rsid w:val="00800A08"/>
    <w:rsid w:val="00817A84"/>
    <w:rsid w:val="008225A4"/>
    <w:rsid w:val="00824B92"/>
    <w:rsid w:val="00826D5E"/>
    <w:rsid w:val="00832013"/>
    <w:rsid w:val="00832DB7"/>
    <w:rsid w:val="00834732"/>
    <w:rsid w:val="00840C68"/>
    <w:rsid w:val="0085200C"/>
    <w:rsid w:val="00853487"/>
    <w:rsid w:val="00857C52"/>
    <w:rsid w:val="00860D5F"/>
    <w:rsid w:val="00880A44"/>
    <w:rsid w:val="0088345E"/>
    <w:rsid w:val="0088656F"/>
    <w:rsid w:val="008875BC"/>
    <w:rsid w:val="00891EF6"/>
    <w:rsid w:val="00892FF4"/>
    <w:rsid w:val="0089345A"/>
    <w:rsid w:val="008A0303"/>
    <w:rsid w:val="008A5FDD"/>
    <w:rsid w:val="008C3947"/>
    <w:rsid w:val="008E473B"/>
    <w:rsid w:val="008E51A6"/>
    <w:rsid w:val="008E7329"/>
    <w:rsid w:val="008F2ED5"/>
    <w:rsid w:val="0092297E"/>
    <w:rsid w:val="00923292"/>
    <w:rsid w:val="00923651"/>
    <w:rsid w:val="00924DF7"/>
    <w:rsid w:val="00927B56"/>
    <w:rsid w:val="009341BF"/>
    <w:rsid w:val="00937907"/>
    <w:rsid w:val="00941739"/>
    <w:rsid w:val="00951573"/>
    <w:rsid w:val="00963003"/>
    <w:rsid w:val="00965919"/>
    <w:rsid w:val="00966EEF"/>
    <w:rsid w:val="00971B28"/>
    <w:rsid w:val="00983471"/>
    <w:rsid w:val="009909AB"/>
    <w:rsid w:val="009B37DB"/>
    <w:rsid w:val="009C7A8C"/>
    <w:rsid w:val="009D23F9"/>
    <w:rsid w:val="009D4FA8"/>
    <w:rsid w:val="009E44AE"/>
    <w:rsid w:val="009E6CD6"/>
    <w:rsid w:val="009F4D66"/>
    <w:rsid w:val="00A00C3C"/>
    <w:rsid w:val="00A01091"/>
    <w:rsid w:val="00A042B9"/>
    <w:rsid w:val="00A06DBB"/>
    <w:rsid w:val="00A22ADF"/>
    <w:rsid w:val="00A2310D"/>
    <w:rsid w:val="00A254A2"/>
    <w:rsid w:val="00A31E86"/>
    <w:rsid w:val="00A54D87"/>
    <w:rsid w:val="00A5553C"/>
    <w:rsid w:val="00A701C9"/>
    <w:rsid w:val="00A81785"/>
    <w:rsid w:val="00A84803"/>
    <w:rsid w:val="00A84C51"/>
    <w:rsid w:val="00A86F2B"/>
    <w:rsid w:val="00A91366"/>
    <w:rsid w:val="00A92F91"/>
    <w:rsid w:val="00A93AA6"/>
    <w:rsid w:val="00AA05C0"/>
    <w:rsid w:val="00AA4E48"/>
    <w:rsid w:val="00AA6202"/>
    <w:rsid w:val="00AA7B57"/>
    <w:rsid w:val="00AB2806"/>
    <w:rsid w:val="00AB2D54"/>
    <w:rsid w:val="00AC26FC"/>
    <w:rsid w:val="00AC4A99"/>
    <w:rsid w:val="00AC5129"/>
    <w:rsid w:val="00AC64D2"/>
    <w:rsid w:val="00AD02E7"/>
    <w:rsid w:val="00AE0FE8"/>
    <w:rsid w:val="00AF60D5"/>
    <w:rsid w:val="00B00959"/>
    <w:rsid w:val="00B00F32"/>
    <w:rsid w:val="00B04415"/>
    <w:rsid w:val="00B06509"/>
    <w:rsid w:val="00B11D60"/>
    <w:rsid w:val="00B130AF"/>
    <w:rsid w:val="00B13D65"/>
    <w:rsid w:val="00B21805"/>
    <w:rsid w:val="00B24A74"/>
    <w:rsid w:val="00B3072E"/>
    <w:rsid w:val="00B36E15"/>
    <w:rsid w:val="00B37245"/>
    <w:rsid w:val="00B4017A"/>
    <w:rsid w:val="00B4468D"/>
    <w:rsid w:val="00B71C72"/>
    <w:rsid w:val="00B71F04"/>
    <w:rsid w:val="00B74A62"/>
    <w:rsid w:val="00B811A4"/>
    <w:rsid w:val="00B81E92"/>
    <w:rsid w:val="00B908D7"/>
    <w:rsid w:val="00B935E8"/>
    <w:rsid w:val="00B93B30"/>
    <w:rsid w:val="00B94CB5"/>
    <w:rsid w:val="00BA0DD9"/>
    <w:rsid w:val="00BA5DBC"/>
    <w:rsid w:val="00BA6584"/>
    <w:rsid w:val="00BB6312"/>
    <w:rsid w:val="00BC39C2"/>
    <w:rsid w:val="00BC4D06"/>
    <w:rsid w:val="00BD05E1"/>
    <w:rsid w:val="00BD585E"/>
    <w:rsid w:val="00BD6919"/>
    <w:rsid w:val="00BE1EA7"/>
    <w:rsid w:val="00BE7489"/>
    <w:rsid w:val="00BF2E0D"/>
    <w:rsid w:val="00BF3927"/>
    <w:rsid w:val="00BF3F8B"/>
    <w:rsid w:val="00BF76DA"/>
    <w:rsid w:val="00C00CDB"/>
    <w:rsid w:val="00C07C7B"/>
    <w:rsid w:val="00C16245"/>
    <w:rsid w:val="00C22DC5"/>
    <w:rsid w:val="00C24479"/>
    <w:rsid w:val="00C273F2"/>
    <w:rsid w:val="00C37B53"/>
    <w:rsid w:val="00C434EB"/>
    <w:rsid w:val="00C517D2"/>
    <w:rsid w:val="00C5772E"/>
    <w:rsid w:val="00C62B36"/>
    <w:rsid w:val="00C7012C"/>
    <w:rsid w:val="00C712EA"/>
    <w:rsid w:val="00C9728E"/>
    <w:rsid w:val="00CA217D"/>
    <w:rsid w:val="00CA3131"/>
    <w:rsid w:val="00CC03AB"/>
    <w:rsid w:val="00CC09D4"/>
    <w:rsid w:val="00CC3E90"/>
    <w:rsid w:val="00CC4F5F"/>
    <w:rsid w:val="00CC668D"/>
    <w:rsid w:val="00CC7832"/>
    <w:rsid w:val="00CD488E"/>
    <w:rsid w:val="00CE4B0B"/>
    <w:rsid w:val="00CF0C1C"/>
    <w:rsid w:val="00CF27FD"/>
    <w:rsid w:val="00CF5F12"/>
    <w:rsid w:val="00D00D8F"/>
    <w:rsid w:val="00D12869"/>
    <w:rsid w:val="00D14512"/>
    <w:rsid w:val="00D15ED6"/>
    <w:rsid w:val="00D21F3A"/>
    <w:rsid w:val="00D23808"/>
    <w:rsid w:val="00D3016A"/>
    <w:rsid w:val="00D417D2"/>
    <w:rsid w:val="00D42960"/>
    <w:rsid w:val="00D43BD7"/>
    <w:rsid w:val="00D4485B"/>
    <w:rsid w:val="00D46CCD"/>
    <w:rsid w:val="00D4708D"/>
    <w:rsid w:val="00D4744C"/>
    <w:rsid w:val="00D51046"/>
    <w:rsid w:val="00D521DE"/>
    <w:rsid w:val="00D5470B"/>
    <w:rsid w:val="00D63068"/>
    <w:rsid w:val="00D6498C"/>
    <w:rsid w:val="00D67BAF"/>
    <w:rsid w:val="00D76A70"/>
    <w:rsid w:val="00D83182"/>
    <w:rsid w:val="00D8521E"/>
    <w:rsid w:val="00D9291C"/>
    <w:rsid w:val="00D93A97"/>
    <w:rsid w:val="00DA5602"/>
    <w:rsid w:val="00DB1F64"/>
    <w:rsid w:val="00DC261A"/>
    <w:rsid w:val="00DC2F53"/>
    <w:rsid w:val="00DC5BAC"/>
    <w:rsid w:val="00DC6816"/>
    <w:rsid w:val="00DC76C2"/>
    <w:rsid w:val="00DD1CF2"/>
    <w:rsid w:val="00DE4484"/>
    <w:rsid w:val="00DF41B7"/>
    <w:rsid w:val="00DF4A4A"/>
    <w:rsid w:val="00DF583C"/>
    <w:rsid w:val="00E03C3F"/>
    <w:rsid w:val="00E06FD7"/>
    <w:rsid w:val="00E07417"/>
    <w:rsid w:val="00E24D45"/>
    <w:rsid w:val="00E33DB8"/>
    <w:rsid w:val="00E33EFF"/>
    <w:rsid w:val="00E34387"/>
    <w:rsid w:val="00E348BA"/>
    <w:rsid w:val="00E369FE"/>
    <w:rsid w:val="00E37C6F"/>
    <w:rsid w:val="00E475F8"/>
    <w:rsid w:val="00E5102E"/>
    <w:rsid w:val="00E5721C"/>
    <w:rsid w:val="00E619C6"/>
    <w:rsid w:val="00E70CED"/>
    <w:rsid w:val="00E745A1"/>
    <w:rsid w:val="00E81529"/>
    <w:rsid w:val="00E83A13"/>
    <w:rsid w:val="00EB1151"/>
    <w:rsid w:val="00EB6FC5"/>
    <w:rsid w:val="00EC2356"/>
    <w:rsid w:val="00EC2582"/>
    <w:rsid w:val="00EC337C"/>
    <w:rsid w:val="00ED0CFF"/>
    <w:rsid w:val="00ED31D2"/>
    <w:rsid w:val="00EE0EAC"/>
    <w:rsid w:val="00EE3322"/>
    <w:rsid w:val="00EE33CB"/>
    <w:rsid w:val="00F0061A"/>
    <w:rsid w:val="00F02834"/>
    <w:rsid w:val="00F04EEB"/>
    <w:rsid w:val="00F05467"/>
    <w:rsid w:val="00F055D2"/>
    <w:rsid w:val="00F07CD7"/>
    <w:rsid w:val="00F127E9"/>
    <w:rsid w:val="00F14477"/>
    <w:rsid w:val="00F14B5D"/>
    <w:rsid w:val="00F23874"/>
    <w:rsid w:val="00F259FC"/>
    <w:rsid w:val="00F313F4"/>
    <w:rsid w:val="00F36972"/>
    <w:rsid w:val="00F42426"/>
    <w:rsid w:val="00F44F01"/>
    <w:rsid w:val="00F456BC"/>
    <w:rsid w:val="00F50666"/>
    <w:rsid w:val="00F70731"/>
    <w:rsid w:val="00F70C9E"/>
    <w:rsid w:val="00F74A74"/>
    <w:rsid w:val="00F7572C"/>
    <w:rsid w:val="00F8382C"/>
    <w:rsid w:val="00F855D7"/>
    <w:rsid w:val="00F92035"/>
    <w:rsid w:val="00F92748"/>
    <w:rsid w:val="00FA4169"/>
    <w:rsid w:val="00FB0D41"/>
    <w:rsid w:val="00FB2030"/>
    <w:rsid w:val="00FD0E46"/>
    <w:rsid w:val="00FD1060"/>
    <w:rsid w:val="00FD1CF2"/>
    <w:rsid w:val="00FD3EDF"/>
    <w:rsid w:val="00FD793C"/>
    <w:rsid w:val="00FE0FD5"/>
    <w:rsid w:val="00FE20E6"/>
    <w:rsid w:val="00FE3E3B"/>
    <w:rsid w:val="00FE5878"/>
    <w:rsid w:val="00FF4032"/>
    <w:rsid w:val="00FF4A2E"/>
    <w:rsid w:val="00FF6469"/>
    <w:rsid w:val="00FF7E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FE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81529"/>
    <w:rPr>
      <w:sz w:val="24"/>
      <w:szCs w:val="24"/>
      <w:lang w:eastAsia="en-US"/>
    </w:rPr>
  </w:style>
  <w:style w:type="paragraph" w:styleId="Antrat1">
    <w:name w:val="heading 1"/>
    <w:basedOn w:val="prastasis"/>
    <w:next w:val="prastasis"/>
    <w:qFormat/>
    <w:rsid w:val="00A84C51"/>
    <w:pPr>
      <w:keepNext/>
      <w:jc w:val="center"/>
      <w:outlineLvl w:val="0"/>
    </w:pPr>
    <w:rPr>
      <w:b/>
      <w:bCs/>
      <w:caps/>
    </w:rPr>
  </w:style>
  <w:style w:type="paragraph" w:styleId="Antrat2">
    <w:name w:val="heading 2"/>
    <w:basedOn w:val="prastasis"/>
    <w:next w:val="prastasis"/>
    <w:qFormat/>
    <w:rsid w:val="00A84C51"/>
    <w:pPr>
      <w:keepNext/>
      <w:jc w:val="center"/>
      <w:outlineLvl w:val="1"/>
    </w:pPr>
    <w:rPr>
      <w:b/>
      <w:bCs/>
      <w:caps/>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A84C51"/>
    <w:pPr>
      <w:tabs>
        <w:tab w:val="center" w:pos="4986"/>
        <w:tab w:val="right" w:pos="9972"/>
      </w:tabs>
    </w:pPr>
  </w:style>
  <w:style w:type="paragraph" w:styleId="Porat">
    <w:name w:val="footer"/>
    <w:basedOn w:val="prastasis"/>
    <w:link w:val="PoratDiagrama"/>
    <w:rsid w:val="00A84C51"/>
    <w:pPr>
      <w:tabs>
        <w:tab w:val="center" w:pos="4986"/>
        <w:tab w:val="right" w:pos="9972"/>
      </w:tabs>
    </w:pPr>
  </w:style>
  <w:style w:type="character" w:styleId="Puslapionumeris">
    <w:name w:val="page number"/>
    <w:basedOn w:val="Numatytasispastraiposriftas"/>
    <w:rsid w:val="00A84C51"/>
  </w:style>
  <w:style w:type="character" w:styleId="Hipersaitas">
    <w:name w:val="Hyperlink"/>
    <w:basedOn w:val="Numatytasispastraiposriftas"/>
    <w:rsid w:val="00A84C51"/>
    <w:rPr>
      <w:color w:val="0000FF"/>
      <w:u w:val="single"/>
    </w:rPr>
  </w:style>
  <w:style w:type="paragraph" w:styleId="Debesliotekstas">
    <w:name w:val="Balloon Text"/>
    <w:basedOn w:val="prastasis"/>
    <w:semiHidden/>
    <w:rsid w:val="00EC2356"/>
    <w:rPr>
      <w:rFonts w:ascii="Tahoma" w:hAnsi="Tahoma" w:cs="Tahoma"/>
      <w:sz w:val="16"/>
      <w:szCs w:val="16"/>
    </w:rPr>
  </w:style>
  <w:style w:type="character" w:customStyle="1" w:styleId="PoratDiagrama">
    <w:name w:val="Poraštė Diagrama"/>
    <w:basedOn w:val="Numatytasispastraiposriftas"/>
    <w:link w:val="Porat"/>
    <w:rsid w:val="00737E2D"/>
    <w:rPr>
      <w:sz w:val="24"/>
      <w:szCs w:val="24"/>
      <w:lang w:eastAsia="en-US"/>
    </w:rPr>
  </w:style>
  <w:style w:type="character" w:customStyle="1" w:styleId="Neapdorotaspaminjimas1">
    <w:name w:val="Neapdorotas paminėjimas1"/>
    <w:basedOn w:val="Numatytasispastraiposriftas"/>
    <w:uiPriority w:val="99"/>
    <w:semiHidden/>
    <w:unhideWhenUsed/>
    <w:rsid w:val="00A31E86"/>
    <w:rPr>
      <w:color w:val="605E5C"/>
      <w:shd w:val="clear" w:color="auto" w:fill="E1DFDD"/>
    </w:rPr>
  </w:style>
  <w:style w:type="character" w:styleId="Perirtashipersaitas">
    <w:name w:val="FollowedHyperlink"/>
    <w:basedOn w:val="Numatytasispastraiposriftas"/>
    <w:semiHidden/>
    <w:unhideWhenUsed/>
    <w:rsid w:val="00A31E86"/>
    <w:rPr>
      <w:color w:val="800080" w:themeColor="followedHyperlink"/>
      <w:u w:val="single"/>
    </w:rPr>
  </w:style>
  <w:style w:type="table" w:styleId="Lentelstinklelis">
    <w:name w:val="Table Grid"/>
    <w:basedOn w:val="prastojilentel"/>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C7012C"/>
    <w:rPr>
      <w:sz w:val="16"/>
      <w:szCs w:val="16"/>
    </w:rPr>
  </w:style>
  <w:style w:type="paragraph" w:styleId="Komentarotekstas">
    <w:name w:val="annotation text"/>
    <w:basedOn w:val="prastasis"/>
    <w:link w:val="KomentarotekstasDiagrama"/>
    <w:unhideWhenUsed/>
    <w:rsid w:val="00C7012C"/>
    <w:rPr>
      <w:sz w:val="20"/>
      <w:szCs w:val="20"/>
    </w:rPr>
  </w:style>
  <w:style w:type="character" w:customStyle="1" w:styleId="KomentarotekstasDiagrama">
    <w:name w:val="Komentaro tekstas Diagrama"/>
    <w:basedOn w:val="Numatytasispastraiposriftas"/>
    <w:link w:val="Komentarotekstas"/>
    <w:rsid w:val="00C7012C"/>
    <w:rPr>
      <w:lang w:eastAsia="en-US"/>
    </w:rPr>
  </w:style>
  <w:style w:type="paragraph" w:styleId="Komentarotema">
    <w:name w:val="annotation subject"/>
    <w:basedOn w:val="Komentarotekstas"/>
    <w:next w:val="Komentarotekstas"/>
    <w:link w:val="KomentarotemaDiagrama"/>
    <w:semiHidden/>
    <w:unhideWhenUsed/>
    <w:rsid w:val="00C7012C"/>
    <w:rPr>
      <w:b/>
      <w:bCs/>
    </w:rPr>
  </w:style>
  <w:style w:type="character" w:customStyle="1" w:styleId="KomentarotemaDiagrama">
    <w:name w:val="Komentaro tema Diagrama"/>
    <w:basedOn w:val="KomentarotekstasDiagrama"/>
    <w:link w:val="Komentarotema"/>
    <w:semiHidden/>
    <w:rsid w:val="00C7012C"/>
    <w:rPr>
      <w:b/>
      <w:bCs/>
      <w:lang w:eastAsia="en-US"/>
    </w:rPr>
  </w:style>
  <w:style w:type="paragraph" w:styleId="Sraopastraipa">
    <w:name w:val="List Paragraph"/>
    <w:basedOn w:val="prastasis"/>
    <w:uiPriority w:val="34"/>
    <w:qFormat/>
    <w:rsid w:val="00104E2E"/>
    <w:pPr>
      <w:ind w:left="720"/>
      <w:contextualSpacing/>
    </w:pPr>
  </w:style>
  <w:style w:type="character" w:customStyle="1" w:styleId="Style2">
    <w:name w:val="Style2"/>
    <w:basedOn w:val="Numatytasispastraiposriftas"/>
    <w:uiPriority w:val="1"/>
    <w:rsid w:val="00D6498C"/>
    <w:rPr>
      <w:sz w:val="32"/>
    </w:rPr>
  </w:style>
  <w:style w:type="character" w:styleId="Vietosrezervavimoenklotekstas">
    <w:name w:val="Placeholder Text"/>
    <w:basedOn w:val="Numatytasispastraiposriftas"/>
    <w:uiPriority w:val="99"/>
    <w:rsid w:val="00B13D65"/>
    <w:rPr>
      <w:color w:val="808080"/>
    </w:rPr>
  </w:style>
  <w:style w:type="paragraph" w:styleId="Betarp">
    <w:name w:val="No Spacing"/>
    <w:uiPriority w:val="1"/>
    <w:qFormat/>
    <w:rsid w:val="00B13D65"/>
    <w:rPr>
      <w:rFonts w:ascii="Calibri" w:eastAsia="Calibri" w:hAnsi="Calibri"/>
      <w:sz w:val="22"/>
      <w:szCs w:val="22"/>
      <w:lang w:eastAsia="en-US"/>
    </w:rPr>
  </w:style>
  <w:style w:type="table" w:customStyle="1" w:styleId="Lentelstinklelis1">
    <w:name w:val="Lentelės tinklelis1"/>
    <w:basedOn w:val="prastojilentel"/>
    <w:next w:val="Lentelstinklelis"/>
    <w:rsid w:val="009E44A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7625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802146">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B69DB9D29A3401F853B49AAAB23ADDA"/>
        <w:category>
          <w:name w:val="Bendrosios nuostatos"/>
          <w:gallery w:val="placeholder"/>
        </w:category>
        <w:types>
          <w:type w:val="bbPlcHdr"/>
        </w:types>
        <w:behaviors>
          <w:behavior w:val="content"/>
        </w:behaviors>
        <w:guid w:val="{001EB3A8-045D-45A2-8AEE-E696E4004B38}"/>
      </w:docPartPr>
      <w:docPartBody>
        <w:p w:rsidR="000D1102" w:rsidRDefault="000D1102" w:rsidP="000D1102">
          <w:pPr>
            <w:pStyle w:val="9B69DB9D29A3401F853B49AAAB23ADDA"/>
          </w:pPr>
          <w:r>
            <w:rPr>
              <w:rStyle w:val="Vietosrezervavimoenklotekstas"/>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DD"/>
    <w:rsid w:val="0001247F"/>
    <w:rsid w:val="00047C19"/>
    <w:rsid w:val="00054DDE"/>
    <w:rsid w:val="00061157"/>
    <w:rsid w:val="000624FF"/>
    <w:rsid w:val="00083309"/>
    <w:rsid w:val="000937FE"/>
    <w:rsid w:val="000A50C9"/>
    <w:rsid w:val="000A559A"/>
    <w:rsid w:val="000D1102"/>
    <w:rsid w:val="000D24D4"/>
    <w:rsid w:val="000D6217"/>
    <w:rsid w:val="0014006D"/>
    <w:rsid w:val="001C35A9"/>
    <w:rsid w:val="00237556"/>
    <w:rsid w:val="00276B48"/>
    <w:rsid w:val="002C0686"/>
    <w:rsid w:val="002E78BA"/>
    <w:rsid w:val="0039303B"/>
    <w:rsid w:val="004144A3"/>
    <w:rsid w:val="004160E7"/>
    <w:rsid w:val="004416C6"/>
    <w:rsid w:val="00456E96"/>
    <w:rsid w:val="004912B2"/>
    <w:rsid w:val="004C6221"/>
    <w:rsid w:val="004D038D"/>
    <w:rsid w:val="004F4E20"/>
    <w:rsid w:val="004F5AB2"/>
    <w:rsid w:val="005074B9"/>
    <w:rsid w:val="00563A5F"/>
    <w:rsid w:val="00572917"/>
    <w:rsid w:val="005C62E5"/>
    <w:rsid w:val="005E3EE2"/>
    <w:rsid w:val="005E40DD"/>
    <w:rsid w:val="00601F4E"/>
    <w:rsid w:val="006E2CD1"/>
    <w:rsid w:val="006E6A2C"/>
    <w:rsid w:val="007219C1"/>
    <w:rsid w:val="00745C63"/>
    <w:rsid w:val="00753462"/>
    <w:rsid w:val="00772325"/>
    <w:rsid w:val="007A2FE0"/>
    <w:rsid w:val="007C6D1D"/>
    <w:rsid w:val="007D654E"/>
    <w:rsid w:val="00853487"/>
    <w:rsid w:val="00892FF4"/>
    <w:rsid w:val="008C0DC0"/>
    <w:rsid w:val="0090074D"/>
    <w:rsid w:val="009019EA"/>
    <w:rsid w:val="00901A35"/>
    <w:rsid w:val="009B3BF0"/>
    <w:rsid w:val="009D5E5E"/>
    <w:rsid w:val="009F1BB4"/>
    <w:rsid w:val="00A20D39"/>
    <w:rsid w:val="00A254A2"/>
    <w:rsid w:val="00AB2D54"/>
    <w:rsid w:val="00AB6ED4"/>
    <w:rsid w:val="00B14210"/>
    <w:rsid w:val="00B22ED6"/>
    <w:rsid w:val="00B23DC0"/>
    <w:rsid w:val="00B71F04"/>
    <w:rsid w:val="00B96656"/>
    <w:rsid w:val="00BA0A8E"/>
    <w:rsid w:val="00BE3364"/>
    <w:rsid w:val="00C2401D"/>
    <w:rsid w:val="00C250D7"/>
    <w:rsid w:val="00C53A68"/>
    <w:rsid w:val="00C66578"/>
    <w:rsid w:val="00CA5BB4"/>
    <w:rsid w:val="00CB4BD1"/>
    <w:rsid w:val="00CD139C"/>
    <w:rsid w:val="00CE2DA9"/>
    <w:rsid w:val="00CE44BE"/>
    <w:rsid w:val="00D008F3"/>
    <w:rsid w:val="00D0142D"/>
    <w:rsid w:val="00D04DFF"/>
    <w:rsid w:val="00D15ED6"/>
    <w:rsid w:val="00D20347"/>
    <w:rsid w:val="00D4356B"/>
    <w:rsid w:val="00D7162F"/>
    <w:rsid w:val="00DA599C"/>
    <w:rsid w:val="00DB4DB5"/>
    <w:rsid w:val="00DE1CAB"/>
    <w:rsid w:val="00DE4D10"/>
    <w:rsid w:val="00E44A86"/>
    <w:rsid w:val="00E522EB"/>
    <w:rsid w:val="00E60827"/>
    <w:rsid w:val="00EF6E0C"/>
    <w:rsid w:val="00F14477"/>
    <w:rsid w:val="00F23874"/>
    <w:rsid w:val="00F370E5"/>
    <w:rsid w:val="00F55028"/>
    <w:rsid w:val="00F677F0"/>
    <w:rsid w:val="00F77BEF"/>
    <w:rsid w:val="00FC755C"/>
    <w:rsid w:val="00FE0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0D1102"/>
    <w:rPr>
      <w:color w:val="808080"/>
    </w:rPr>
  </w:style>
  <w:style w:type="paragraph" w:customStyle="1" w:styleId="9B69DB9D29A3401F853B49AAAB23ADDA">
    <w:name w:val="9B69DB9D29A3401F853B49AAAB23ADDA"/>
    <w:rsid w:val="000D110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F0943-FC13-4F31-B4C5-BE0D5B231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1384</Words>
  <Characters>10510</Characters>
  <Application>Microsoft Office Word</Application>
  <DocSecurity>0</DocSecurity>
  <Lines>87</Lines>
  <Paragraphs>23</Paragraphs>
  <ScaleCrop>false</ScaleCrop>
  <Company/>
  <LinksUpToDate>false</LinksUpToDate>
  <CharactersWithSpaces>11871</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2025-11-28T12:01:00Z</dcterms:created>
  <dcterms:modified xsi:type="dcterms:W3CDTF">2025-12-01T07:31:00Z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879ed0-482c-40ee-8400-fa4c92638ce2_Enabled">
    <vt:lpwstr>true</vt:lpwstr>
  </property>
  <property fmtid="{D5CDD505-2E9C-101B-9397-08002B2CF9AE}" pid="3" name="MSIP_Label_c9879ed0-482c-40ee-8400-fa4c92638ce2_SetDate">
    <vt:lpwstr>2025-11-26T13:27:50Z</vt:lpwstr>
  </property>
  <property fmtid="{D5CDD505-2E9C-101B-9397-08002B2CF9AE}" pid="4" name="MSIP_Label_c9879ed0-482c-40ee-8400-fa4c92638ce2_Method">
    <vt:lpwstr>Privileged</vt:lpwstr>
  </property>
  <property fmtid="{D5CDD505-2E9C-101B-9397-08002B2CF9AE}" pid="5" name="MSIP_Label_c9879ed0-482c-40ee-8400-fa4c92638ce2_Name">
    <vt:lpwstr>Confidential Government and Public Relations (no marking)</vt:lpwstr>
  </property>
  <property fmtid="{D5CDD505-2E9C-101B-9397-08002B2CF9AE}" pid="6" name="MSIP_Label_c9879ed0-482c-40ee-8400-fa4c92638ce2_SiteId">
    <vt:lpwstr>4b4266a6-1368-41af-ad5a-59eb634f7ad8</vt:lpwstr>
  </property>
  <property fmtid="{D5CDD505-2E9C-101B-9397-08002B2CF9AE}" pid="7" name="MSIP_Label_c9879ed0-482c-40ee-8400-fa4c92638ce2_ActionId">
    <vt:lpwstr>938aff2a-7001-4e6f-b8b6-76ac4fa1e35a</vt:lpwstr>
  </property>
  <property fmtid="{D5CDD505-2E9C-101B-9397-08002B2CF9AE}" pid="8" name="MSIP_Label_c9879ed0-482c-40ee-8400-fa4c92638ce2_ContentBits">
    <vt:lpwstr>0</vt:lpwstr>
  </property>
  <property fmtid="{D5CDD505-2E9C-101B-9397-08002B2CF9AE}" pid="9" name="MSIP_Label_c9879ed0-482c-40ee-8400-fa4c92638ce2_Tag">
    <vt:lpwstr>10, 0, 1, 1</vt:lpwstr>
  </property>
</Properties>
</file>