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Pr="00421A32" w:rsidRDefault="005F7602" w:rsidP="002946C7">
      <w:pPr>
        <w:ind w:left="5529"/>
      </w:pPr>
    </w:p>
    <w:p w14:paraId="12FA4B9E" w14:textId="77777777" w:rsidR="001B3C5B" w:rsidRPr="00421A32" w:rsidRDefault="001B3C5B" w:rsidP="001B3C5B">
      <w:pPr>
        <w:ind w:left="6096"/>
      </w:pPr>
      <w:r w:rsidRPr="00421A32">
        <w:t>Forma patvirtinta</w:t>
      </w:r>
    </w:p>
    <w:p w14:paraId="7206970B" w14:textId="70E9BD2E" w:rsidR="004C263A" w:rsidRPr="00421A32" w:rsidRDefault="001B3C5B" w:rsidP="001B3C5B">
      <w:pPr>
        <w:ind w:left="6096"/>
      </w:pPr>
      <w:r w:rsidRPr="00421A32">
        <w:t>Valstybinės vaistų kontrolės tarnybos prie Lietuvos Respublikos sveikatos apsaugos ministerijos viršininko 2021 m</w:t>
      </w:r>
      <w:r w:rsidR="004C263A" w:rsidRPr="00421A32">
        <w:t xml:space="preserve">. lapkričio 12 </w:t>
      </w:r>
      <w:r w:rsidRPr="00421A32">
        <w:t>d. įsakymu Nr.</w:t>
      </w:r>
      <w:r w:rsidR="004C263A" w:rsidRPr="00421A32">
        <w:t xml:space="preserve"> (1.72E)1A-1418</w:t>
      </w:r>
    </w:p>
    <w:p w14:paraId="5B219AA6" w14:textId="520B9136" w:rsidR="001B3C5B" w:rsidRPr="00421A32" w:rsidRDefault="004C263A" w:rsidP="001B3C5B">
      <w:pPr>
        <w:ind w:left="6096"/>
      </w:pPr>
      <w:r w:rsidRPr="00421A32">
        <w:t>(Valstybinės vaistų kontrolės tarnybos prie Lietuvos Respublikos sveikatos apsaugos ministerijos viršininko 2022 m.                         d. įsakymo Nr.                    redakcija)</w:t>
      </w:r>
    </w:p>
    <w:p w14:paraId="3336BD74" w14:textId="77777777" w:rsidR="001B3C5B" w:rsidRPr="00421A32" w:rsidRDefault="001B3C5B" w:rsidP="00FA4169"/>
    <w:p w14:paraId="77AFB67E" w14:textId="16397257" w:rsidR="00613501" w:rsidRPr="00421A32" w:rsidRDefault="002F0E4F" w:rsidP="003B211A">
      <w:pPr>
        <w:jc w:val="center"/>
        <w:rPr>
          <w:b/>
          <w:bCs/>
          <w:caps/>
        </w:rPr>
      </w:pPr>
      <w:r w:rsidRPr="00421A32">
        <w:rPr>
          <w:b/>
        </w:rPr>
        <w:t xml:space="preserve">REKOMENDACIJA DĖL VAISTINIO PREPARATO </w:t>
      </w:r>
      <w:r w:rsidRPr="00421A32">
        <w:rPr>
          <w:b/>
          <w:bCs/>
          <w:caps/>
        </w:rPr>
        <w:t>Lietuvos Respublikos Sveikatos apsaugos ministerijos vaistinių preparatų ir medicinos pagalbos priemonių kompensavimo komisijai</w:t>
      </w:r>
    </w:p>
    <w:p w14:paraId="34E4395D" w14:textId="15FB10DF" w:rsidR="00B13D65" w:rsidRPr="00421A32" w:rsidRDefault="00B13D65" w:rsidP="003B211A">
      <w:pPr>
        <w:jc w:val="center"/>
        <w:rPr>
          <w:b/>
        </w:rPr>
      </w:pPr>
    </w:p>
    <w:p w14:paraId="55190126" w14:textId="77777777" w:rsidR="0085384E" w:rsidRPr="00421A32" w:rsidRDefault="0085384E" w:rsidP="0085384E">
      <w:pPr>
        <w:jc w:val="center"/>
        <w:rPr>
          <w:b/>
          <w:bCs/>
        </w:rPr>
      </w:pPr>
      <w:proofErr w:type="spellStart"/>
      <w:r w:rsidRPr="00421A32">
        <w:rPr>
          <w:b/>
          <w:bCs/>
        </w:rPr>
        <w:t>Tevimbra</w:t>
      </w:r>
      <w:proofErr w:type="spellEnd"/>
      <w:r w:rsidRPr="00421A32">
        <w:rPr>
          <w:b/>
          <w:bCs/>
        </w:rPr>
        <w:t xml:space="preserve"> 100 mg koncentratas infuziniam tirpalui</w:t>
      </w:r>
    </w:p>
    <w:p w14:paraId="3B4DE1D3" w14:textId="77777777" w:rsidR="0085384E" w:rsidRPr="00421A32" w:rsidRDefault="0085384E" w:rsidP="0085384E">
      <w:pPr>
        <w:jc w:val="center"/>
        <w:rPr>
          <w:b/>
          <w:bCs/>
        </w:rPr>
      </w:pPr>
    </w:p>
    <w:p w14:paraId="35DD3F62" w14:textId="77777777" w:rsidR="0085384E" w:rsidRPr="00421A32" w:rsidRDefault="0085384E" w:rsidP="0085384E">
      <w:pPr>
        <w:jc w:val="center"/>
        <w:rPr>
          <w:b/>
          <w:bCs/>
        </w:rPr>
      </w:pPr>
      <w:proofErr w:type="spellStart"/>
      <w:r w:rsidRPr="00421A32">
        <w:rPr>
          <w:b/>
          <w:bCs/>
        </w:rPr>
        <w:t>Tislelizumabas</w:t>
      </w:r>
      <w:proofErr w:type="spellEnd"/>
    </w:p>
    <w:p w14:paraId="03D56361" w14:textId="77777777" w:rsidR="0085384E" w:rsidRPr="00421A32" w:rsidRDefault="0085384E" w:rsidP="0085384E">
      <w:pPr>
        <w:jc w:val="center"/>
      </w:pPr>
    </w:p>
    <w:p w14:paraId="2C522C5F" w14:textId="77777777" w:rsidR="0085384E" w:rsidRPr="00421A32" w:rsidRDefault="0085384E" w:rsidP="0085384E">
      <w:pPr>
        <w:jc w:val="center"/>
        <w:rPr>
          <w:b/>
        </w:rPr>
      </w:pPr>
      <w:r w:rsidRPr="00421A32">
        <w:rPr>
          <w:b/>
        </w:rPr>
        <w:t>STV-222</w:t>
      </w:r>
    </w:p>
    <w:p w14:paraId="453197C8" w14:textId="77777777" w:rsidR="00D4708D" w:rsidRPr="00421A32" w:rsidRDefault="00D4708D" w:rsidP="003B211A">
      <w:pPr>
        <w:jc w:val="center"/>
        <w:rPr>
          <w:b/>
        </w:rPr>
      </w:pPr>
    </w:p>
    <w:p w14:paraId="78C89D1C" w14:textId="0DEFFAA5" w:rsidR="00D4485B" w:rsidRPr="00421A32" w:rsidRDefault="00B13D65" w:rsidP="00CC09D4">
      <w:pPr>
        <w:pStyle w:val="Sraopastraipa"/>
        <w:numPr>
          <w:ilvl w:val="0"/>
          <w:numId w:val="12"/>
        </w:numPr>
        <w:tabs>
          <w:tab w:val="left" w:pos="567"/>
        </w:tabs>
        <w:ind w:left="567" w:hanging="567"/>
        <w:rPr>
          <w:b/>
          <w:bCs/>
          <w:caps/>
        </w:rPr>
      </w:pPr>
      <w:r w:rsidRPr="00421A32">
        <w:rPr>
          <w:b/>
          <w:bCs/>
          <w:caps/>
        </w:rPr>
        <w:t>Bendroji dalis</w:t>
      </w:r>
    </w:p>
    <w:p w14:paraId="04A7C7A7" w14:textId="77777777" w:rsidR="00B13D65" w:rsidRPr="00421A32"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B77902" w:rsidRPr="00421A32" w14:paraId="18A83EC2" w14:textId="77777777" w:rsidTr="00BE7489">
        <w:trPr>
          <w:trHeight w:val="538"/>
        </w:trPr>
        <w:tc>
          <w:tcPr>
            <w:tcW w:w="632" w:type="dxa"/>
          </w:tcPr>
          <w:p w14:paraId="0646FBEA" w14:textId="77777777" w:rsidR="00B77902" w:rsidRPr="00421A32" w:rsidRDefault="00B77902" w:rsidP="00B77902">
            <w:pPr>
              <w:rPr>
                <w:rFonts w:eastAsia="Arial"/>
              </w:rPr>
            </w:pPr>
            <w:r w:rsidRPr="00421A32">
              <w:rPr>
                <w:rFonts w:eastAsia="Arial"/>
              </w:rPr>
              <w:t>1.1</w:t>
            </w:r>
          </w:p>
        </w:tc>
        <w:tc>
          <w:tcPr>
            <w:tcW w:w="3694" w:type="dxa"/>
          </w:tcPr>
          <w:p w14:paraId="6C3AE864" w14:textId="77777777" w:rsidR="00B77902" w:rsidRPr="00421A32" w:rsidRDefault="00B77902" w:rsidP="00B77902">
            <w:pPr>
              <w:rPr>
                <w:rFonts w:eastAsia="Arial"/>
              </w:rPr>
            </w:pPr>
            <w:r w:rsidRPr="00421A32">
              <w:rPr>
                <w:rFonts w:eastAsia="Arial"/>
              </w:rPr>
              <w:t>Pareiškėjas</w:t>
            </w:r>
          </w:p>
          <w:p w14:paraId="2AF240DC" w14:textId="77777777" w:rsidR="00B77902" w:rsidRPr="00421A32" w:rsidRDefault="00B77902" w:rsidP="00B77902">
            <w:pPr>
              <w:rPr>
                <w:rFonts w:eastAsia="Arial"/>
              </w:rPr>
            </w:pPr>
          </w:p>
        </w:tc>
        <w:tc>
          <w:tcPr>
            <w:tcW w:w="5167" w:type="dxa"/>
          </w:tcPr>
          <w:p w14:paraId="2AAF0D91" w14:textId="534E1C32" w:rsidR="00B77902" w:rsidRPr="00421A32" w:rsidRDefault="00B77902" w:rsidP="00B77902">
            <w:pPr>
              <w:rPr>
                <w:rFonts w:eastAsia="Arial"/>
              </w:rPr>
            </w:pPr>
            <w:proofErr w:type="spellStart"/>
            <w:r w:rsidRPr="00421A32">
              <w:t>BeiGene</w:t>
            </w:r>
            <w:proofErr w:type="spellEnd"/>
            <w:r w:rsidRPr="00421A32">
              <w:t xml:space="preserve"> </w:t>
            </w:r>
            <w:proofErr w:type="spellStart"/>
            <w:r w:rsidRPr="00421A32">
              <w:t>Switzerland</w:t>
            </w:r>
            <w:proofErr w:type="spellEnd"/>
            <w:r w:rsidRPr="00421A32">
              <w:t xml:space="preserve"> </w:t>
            </w:r>
            <w:proofErr w:type="spellStart"/>
            <w:r w:rsidRPr="00421A32">
              <w:t>GmbH</w:t>
            </w:r>
            <w:proofErr w:type="spellEnd"/>
          </w:p>
        </w:tc>
      </w:tr>
      <w:tr w:rsidR="00B77902" w:rsidRPr="00421A32" w14:paraId="31998B0D" w14:textId="77777777" w:rsidTr="00BE7489">
        <w:trPr>
          <w:trHeight w:val="538"/>
        </w:trPr>
        <w:tc>
          <w:tcPr>
            <w:tcW w:w="632" w:type="dxa"/>
          </w:tcPr>
          <w:p w14:paraId="2005EC67" w14:textId="662300D0" w:rsidR="00B77902" w:rsidRPr="00421A32" w:rsidRDefault="00B77902" w:rsidP="00B77902">
            <w:pPr>
              <w:rPr>
                <w:rFonts w:eastAsia="Arial"/>
              </w:rPr>
            </w:pPr>
            <w:r w:rsidRPr="00421A32">
              <w:rPr>
                <w:rFonts w:eastAsia="Arial"/>
              </w:rPr>
              <w:t>1.2</w:t>
            </w:r>
          </w:p>
        </w:tc>
        <w:tc>
          <w:tcPr>
            <w:tcW w:w="3694" w:type="dxa"/>
          </w:tcPr>
          <w:p w14:paraId="1E4AE3B1" w14:textId="77777777" w:rsidR="00B77902" w:rsidRPr="00421A32" w:rsidRDefault="00B77902" w:rsidP="00B77902">
            <w:pPr>
              <w:rPr>
                <w:bCs/>
                <w:color w:val="000000"/>
                <w:lang w:eastAsia="lt-LT"/>
              </w:rPr>
            </w:pPr>
            <w:r w:rsidRPr="00421A32">
              <w:rPr>
                <w:bCs/>
                <w:color w:val="000000"/>
                <w:lang w:eastAsia="lt-LT"/>
              </w:rPr>
              <w:t xml:space="preserve">Registracijos data </w:t>
            </w:r>
          </w:p>
          <w:p w14:paraId="3A0DC096" w14:textId="77777777" w:rsidR="00B77902" w:rsidRPr="00421A32" w:rsidRDefault="00B77902" w:rsidP="00B77902">
            <w:pPr>
              <w:rPr>
                <w:bCs/>
                <w:color w:val="000000"/>
                <w:lang w:eastAsia="lt-LT"/>
              </w:rPr>
            </w:pPr>
          </w:p>
        </w:tc>
        <w:tc>
          <w:tcPr>
            <w:tcW w:w="5167" w:type="dxa"/>
          </w:tcPr>
          <w:p w14:paraId="3CA218AD" w14:textId="6EBD1DCF" w:rsidR="00B77902" w:rsidRPr="00421A32" w:rsidRDefault="00B77902" w:rsidP="00B77902">
            <w:pPr>
              <w:rPr>
                <w:rStyle w:val="Style2"/>
                <w:sz w:val="24"/>
              </w:rPr>
            </w:pPr>
            <w:r w:rsidRPr="00421A32">
              <w:t>2023-09-15</w:t>
            </w:r>
          </w:p>
        </w:tc>
      </w:tr>
      <w:tr w:rsidR="00B77902" w:rsidRPr="00421A32" w14:paraId="15968AE1" w14:textId="77777777" w:rsidTr="00BE7489">
        <w:trPr>
          <w:trHeight w:val="1500"/>
        </w:trPr>
        <w:tc>
          <w:tcPr>
            <w:tcW w:w="632" w:type="dxa"/>
          </w:tcPr>
          <w:p w14:paraId="6A784245" w14:textId="1E461489" w:rsidR="00B77902" w:rsidRPr="00421A32" w:rsidRDefault="00B77902" w:rsidP="00B77902">
            <w:pPr>
              <w:rPr>
                <w:rFonts w:eastAsia="Arial"/>
              </w:rPr>
            </w:pPr>
            <w:r w:rsidRPr="00421A32">
              <w:rPr>
                <w:rFonts w:eastAsia="Arial"/>
              </w:rPr>
              <w:t>1.3</w:t>
            </w:r>
          </w:p>
        </w:tc>
        <w:tc>
          <w:tcPr>
            <w:tcW w:w="3694" w:type="dxa"/>
          </w:tcPr>
          <w:p w14:paraId="22933506" w14:textId="77777777" w:rsidR="00B77902" w:rsidRPr="00421A32" w:rsidRDefault="00B77902" w:rsidP="00B77902">
            <w:r w:rsidRPr="00421A32">
              <w:t xml:space="preserve">Paraiškos tipas </w:t>
            </w:r>
          </w:p>
          <w:p w14:paraId="0465E680" w14:textId="7F0A0714" w:rsidR="00B77902" w:rsidRPr="00421A32" w:rsidRDefault="00B77902" w:rsidP="00B77902">
            <w:r w:rsidRPr="00421A32">
              <w:t xml:space="preserve">(pagal </w:t>
            </w:r>
            <w:r w:rsidRPr="00421A32">
              <w:rPr>
                <w:color w:val="333333"/>
                <w:shd w:val="clear" w:color="auto" w:fill="FFFFFF"/>
              </w:rPr>
              <w:t>vaistinio preparato registracijos tipą, įtvirtintą</w:t>
            </w:r>
            <w:r w:rsidRPr="00421A32">
              <w:t xml:space="preserve"> Direktyvos 2001/83/EB </w:t>
            </w:r>
            <w:proofErr w:type="spellStart"/>
            <w:r w:rsidRPr="00421A32">
              <w:t>straipsiuose</w:t>
            </w:r>
            <w:proofErr w:type="spellEnd"/>
            <w:r w:rsidRPr="00421A32">
              <w:t>)</w:t>
            </w:r>
          </w:p>
          <w:p w14:paraId="77089D80" w14:textId="6681D72A" w:rsidR="00B77902" w:rsidRPr="00421A32" w:rsidRDefault="00B77902" w:rsidP="00B77902">
            <w:pPr>
              <w:rPr>
                <w:bCs/>
                <w:color w:val="000000"/>
                <w:lang w:eastAsia="lt-LT"/>
              </w:rPr>
            </w:pPr>
          </w:p>
        </w:tc>
        <w:tc>
          <w:tcPr>
            <w:tcW w:w="5167" w:type="dxa"/>
          </w:tcPr>
          <w:p w14:paraId="31FA0E00" w14:textId="77777777" w:rsidR="00B77902" w:rsidRPr="00421A32" w:rsidRDefault="00000000" w:rsidP="00B77902">
            <w:sdt>
              <w:sdtPr>
                <w:rPr>
                  <w:rStyle w:val="Style2"/>
                  <w:sz w:val="24"/>
                </w:rPr>
                <w:id w:val="-366596377"/>
                <w15:color w:val="FFCC00"/>
                <w14:checkbox>
                  <w14:checked w14:val="1"/>
                  <w14:checkedState w14:val="2612" w14:font="MS Gothic"/>
                  <w14:uncheckedState w14:val="2610" w14:font="MS Gothic"/>
                </w14:checkbox>
              </w:sdtPr>
              <w:sdtContent>
                <w:r w:rsidR="00B77902" w:rsidRPr="00421A32">
                  <w:rPr>
                    <w:rStyle w:val="Style2"/>
                    <w:rFonts w:ascii="MS Gothic" w:eastAsia="MS Gothic" w:hAnsi="MS Gothic"/>
                    <w:sz w:val="24"/>
                  </w:rPr>
                  <w:t>☒</w:t>
                </w:r>
              </w:sdtContent>
            </w:sdt>
            <w:r w:rsidR="00B77902" w:rsidRPr="00421A32">
              <w:t xml:space="preserve"> 8.3 str. (pilna byla, pagrįsta savais tyrimais) </w:t>
            </w:r>
          </w:p>
          <w:p w14:paraId="60F7E4F9" w14:textId="78D13CA9" w:rsidR="00B77902" w:rsidRPr="00421A32" w:rsidRDefault="00000000" w:rsidP="00B77902">
            <w:sdt>
              <w:sdtPr>
                <w:rPr>
                  <w:rStyle w:val="Style2"/>
                  <w:sz w:val="24"/>
                </w:rPr>
                <w:id w:val="675462298"/>
                <w15:color w:val="FFCC00"/>
                <w14:checkbox>
                  <w14:checked w14:val="0"/>
                  <w14:checkedState w14:val="2612" w14:font="MS Gothic"/>
                  <w14:uncheckedState w14:val="2610" w14:font="MS Gothic"/>
                </w14:checkbox>
              </w:sdtPr>
              <w:sdtContent>
                <w:r w:rsidR="00B77902" w:rsidRPr="00421A32">
                  <w:rPr>
                    <w:rStyle w:val="Style2"/>
                    <w:rFonts w:ascii="MS Gothic" w:eastAsia="MS Gothic" w:hAnsi="MS Gothic"/>
                    <w:sz w:val="24"/>
                  </w:rPr>
                  <w:t>☐</w:t>
                </w:r>
              </w:sdtContent>
            </w:sdt>
            <w:r w:rsidR="00B77902" w:rsidRPr="00421A32">
              <w:t xml:space="preserve"> 10 a str. (pripažintas medicininis vartojimas) </w:t>
            </w:r>
          </w:p>
          <w:p w14:paraId="21180F88" w14:textId="462F1E14" w:rsidR="00B77902" w:rsidRPr="00421A32" w:rsidRDefault="00000000" w:rsidP="00B77902">
            <w:sdt>
              <w:sdtPr>
                <w:rPr>
                  <w:rStyle w:val="Style2"/>
                  <w:sz w:val="24"/>
                </w:rPr>
                <w:id w:val="-1290435890"/>
                <w15:color w:val="FFCC00"/>
                <w14:checkbox>
                  <w14:checked w14:val="0"/>
                  <w14:checkedState w14:val="2612" w14:font="MS Gothic"/>
                  <w14:uncheckedState w14:val="2610" w14:font="MS Gothic"/>
                </w14:checkbox>
              </w:sdtPr>
              <w:sdtContent>
                <w:r w:rsidR="00B77902" w:rsidRPr="00421A32">
                  <w:rPr>
                    <w:rStyle w:val="Style2"/>
                    <w:rFonts w:ascii="MS Gothic" w:eastAsia="MS Gothic" w:hAnsi="MS Gothic"/>
                    <w:sz w:val="24"/>
                  </w:rPr>
                  <w:t>☐</w:t>
                </w:r>
              </w:sdtContent>
            </w:sdt>
            <w:r w:rsidR="00B77902" w:rsidRPr="00421A32">
              <w:t xml:space="preserve"> 10.1 str. (</w:t>
            </w:r>
            <w:proofErr w:type="spellStart"/>
            <w:r w:rsidR="00B77902" w:rsidRPr="00421A32">
              <w:t>generinis</w:t>
            </w:r>
            <w:proofErr w:type="spellEnd"/>
            <w:r w:rsidR="00B77902" w:rsidRPr="00421A32">
              <w:t>)</w:t>
            </w:r>
          </w:p>
          <w:p w14:paraId="3B0A4F72" w14:textId="6B3113EF" w:rsidR="00B77902" w:rsidRPr="00421A32" w:rsidRDefault="00000000" w:rsidP="00B77902">
            <w:pPr>
              <w:rPr>
                <w:rStyle w:val="Style2"/>
                <w:sz w:val="24"/>
              </w:rPr>
            </w:pPr>
            <w:sdt>
              <w:sdtPr>
                <w:rPr>
                  <w:rStyle w:val="Style2"/>
                  <w:sz w:val="24"/>
                </w:rPr>
                <w:id w:val="-124545030"/>
                <w15:color w:val="FFCC00"/>
                <w14:checkbox>
                  <w14:checked w14:val="0"/>
                  <w14:checkedState w14:val="2612" w14:font="MS Gothic"/>
                  <w14:uncheckedState w14:val="2610" w14:font="MS Gothic"/>
                </w14:checkbox>
              </w:sdtPr>
              <w:sdtContent>
                <w:r w:rsidR="00B77902" w:rsidRPr="00421A32">
                  <w:rPr>
                    <w:rStyle w:val="Style2"/>
                    <w:rFonts w:ascii="MS Gothic" w:eastAsia="MS Gothic" w:hAnsi="MS Gothic"/>
                    <w:sz w:val="24"/>
                  </w:rPr>
                  <w:t>☐</w:t>
                </w:r>
              </w:sdtContent>
            </w:sdt>
            <w:r w:rsidR="00B77902" w:rsidRPr="00421A32">
              <w:t xml:space="preserve"> 10.3 str. (hibridinis)</w:t>
            </w:r>
          </w:p>
        </w:tc>
      </w:tr>
      <w:tr w:rsidR="00B13D65" w:rsidRPr="00421A32" w14:paraId="310E9662" w14:textId="77777777" w:rsidTr="00135175">
        <w:trPr>
          <w:trHeight w:val="935"/>
        </w:trPr>
        <w:tc>
          <w:tcPr>
            <w:tcW w:w="632" w:type="dxa"/>
          </w:tcPr>
          <w:p w14:paraId="4B5A91A2" w14:textId="561B5E5F" w:rsidR="00B13D65" w:rsidRPr="00421A32" w:rsidRDefault="00B13D65" w:rsidP="00824B92">
            <w:pPr>
              <w:rPr>
                <w:rFonts w:eastAsia="Arial"/>
              </w:rPr>
            </w:pPr>
            <w:r w:rsidRPr="00421A32">
              <w:rPr>
                <w:rFonts w:eastAsia="Arial"/>
              </w:rPr>
              <w:t>1.</w:t>
            </w:r>
            <w:r w:rsidR="002E0702" w:rsidRPr="00421A32">
              <w:rPr>
                <w:rFonts w:eastAsia="Arial"/>
              </w:rPr>
              <w:t>4</w:t>
            </w:r>
          </w:p>
        </w:tc>
        <w:tc>
          <w:tcPr>
            <w:tcW w:w="3694" w:type="dxa"/>
          </w:tcPr>
          <w:p w14:paraId="483071A3" w14:textId="05C29CC5" w:rsidR="00B13D65" w:rsidRPr="00421A32" w:rsidRDefault="00B13D65" w:rsidP="00824B92">
            <w:pPr>
              <w:rPr>
                <w:bCs/>
                <w:color w:val="000000"/>
                <w:lang w:eastAsia="lt-LT"/>
              </w:rPr>
            </w:pPr>
            <w:r w:rsidRPr="00421A32">
              <w:rPr>
                <w:bCs/>
                <w:color w:val="000000"/>
                <w:lang w:eastAsia="lt-LT"/>
              </w:rPr>
              <w:t xml:space="preserve">Ar vaistinis preparatas įrašytas į Bendrijos retųjų vaistinių preparatų registrą? </w:t>
            </w:r>
          </w:p>
        </w:tc>
        <w:tc>
          <w:tcPr>
            <w:tcW w:w="5167" w:type="dxa"/>
          </w:tcPr>
          <w:p w14:paraId="05845C60" w14:textId="499A210F" w:rsidR="00B13D65" w:rsidRPr="00421A32" w:rsidRDefault="00000000" w:rsidP="00824B92">
            <w:sdt>
              <w:sdtPr>
                <w:rPr>
                  <w:rStyle w:val="Style2"/>
                  <w:sz w:val="24"/>
                </w:rPr>
                <w:id w:val="2024432173"/>
                <w15:color w:val="FFCC00"/>
                <w14:checkbox>
                  <w14:checked w14:val="0"/>
                  <w14:checkedState w14:val="2612" w14:font="MS Gothic"/>
                  <w14:uncheckedState w14:val="2610" w14:font="MS Gothic"/>
                </w14:checkbox>
              </w:sdtPr>
              <w:sdtContent>
                <w:r w:rsidR="00B77902" w:rsidRPr="00421A32">
                  <w:rPr>
                    <w:rStyle w:val="Style2"/>
                    <w:rFonts w:ascii="MS Gothic" w:eastAsia="MS Gothic" w:hAnsi="MS Gothic"/>
                    <w:sz w:val="24"/>
                  </w:rPr>
                  <w:t>☐</w:t>
                </w:r>
              </w:sdtContent>
            </w:sdt>
            <w:r w:rsidR="00B13D65" w:rsidRPr="00421A32">
              <w:t xml:space="preserve"> Taip</w:t>
            </w:r>
          </w:p>
          <w:p w14:paraId="29C2CBBB" w14:textId="1F7284F7" w:rsidR="00B13D65" w:rsidRPr="00421A32" w:rsidRDefault="00000000" w:rsidP="00824B92">
            <w:sdt>
              <w:sdtPr>
                <w:rPr>
                  <w:rStyle w:val="Style2"/>
                  <w:sz w:val="24"/>
                </w:rPr>
                <w:id w:val="-970507926"/>
                <w15:color w:val="FFCC00"/>
                <w14:checkbox>
                  <w14:checked w14:val="1"/>
                  <w14:checkedState w14:val="2612" w14:font="MS Gothic"/>
                  <w14:uncheckedState w14:val="2610" w14:font="MS Gothic"/>
                </w14:checkbox>
              </w:sdtPr>
              <w:sdtContent>
                <w:r w:rsidR="00135175" w:rsidRPr="00421A32">
                  <w:rPr>
                    <w:rStyle w:val="Style2"/>
                    <w:rFonts w:ascii="MS Gothic" w:eastAsia="MS Gothic" w:hAnsi="MS Gothic"/>
                    <w:sz w:val="24"/>
                  </w:rPr>
                  <w:t>☒</w:t>
                </w:r>
              </w:sdtContent>
            </w:sdt>
            <w:r w:rsidR="00B13D65" w:rsidRPr="00421A32">
              <w:t xml:space="preserve"> Ne</w:t>
            </w:r>
          </w:p>
        </w:tc>
      </w:tr>
      <w:tr w:rsidR="00D417D2" w:rsidRPr="00421A32" w14:paraId="7841E5F8" w14:textId="77777777" w:rsidTr="00BE7489">
        <w:trPr>
          <w:trHeight w:val="476"/>
        </w:trPr>
        <w:tc>
          <w:tcPr>
            <w:tcW w:w="632" w:type="dxa"/>
          </w:tcPr>
          <w:p w14:paraId="109D2861" w14:textId="73BF27DF" w:rsidR="00D417D2" w:rsidRPr="00421A32" w:rsidRDefault="00D417D2" w:rsidP="00824B92">
            <w:pPr>
              <w:rPr>
                <w:rFonts w:eastAsia="Arial"/>
              </w:rPr>
            </w:pPr>
            <w:r w:rsidRPr="00421A32">
              <w:rPr>
                <w:rFonts w:eastAsia="Arial"/>
              </w:rPr>
              <w:t>1.5</w:t>
            </w:r>
          </w:p>
        </w:tc>
        <w:tc>
          <w:tcPr>
            <w:tcW w:w="3694" w:type="dxa"/>
          </w:tcPr>
          <w:p w14:paraId="7822D63E" w14:textId="68C38334" w:rsidR="00D417D2" w:rsidRPr="00421A32" w:rsidRDefault="00D417D2" w:rsidP="00824B92">
            <w:pPr>
              <w:rPr>
                <w:bCs/>
                <w:color w:val="000000"/>
                <w:lang w:eastAsia="lt-LT"/>
              </w:rPr>
            </w:pPr>
            <w:r w:rsidRPr="00421A32">
              <w:t>STV paraiškos pobūdis</w:t>
            </w:r>
          </w:p>
        </w:tc>
        <w:tc>
          <w:tcPr>
            <w:tcW w:w="5167" w:type="dxa"/>
          </w:tcPr>
          <w:p w14:paraId="403461B9" w14:textId="74C06622" w:rsidR="00D417D2" w:rsidRPr="00421A32" w:rsidRDefault="00000000" w:rsidP="00824B92">
            <w:sdt>
              <w:sdtPr>
                <w:rPr>
                  <w:rStyle w:val="Style2"/>
                  <w:sz w:val="24"/>
                </w:rPr>
                <w:id w:val="-468433535"/>
                <w15:color w:val="FFCC00"/>
                <w14:checkbox>
                  <w14:checked w14:val="1"/>
                  <w14:checkedState w14:val="2612" w14:font="MS Gothic"/>
                  <w14:uncheckedState w14:val="2610" w14:font="MS Gothic"/>
                </w14:checkbox>
              </w:sdtPr>
              <w:sdtContent>
                <w:r w:rsidR="00135175" w:rsidRPr="00421A32">
                  <w:rPr>
                    <w:rStyle w:val="Style2"/>
                    <w:rFonts w:ascii="MS Gothic" w:eastAsia="MS Gothic" w:hAnsi="MS Gothic"/>
                    <w:sz w:val="24"/>
                  </w:rPr>
                  <w:t>☒</w:t>
                </w:r>
              </w:sdtContent>
            </w:sdt>
            <w:r w:rsidR="00D417D2" w:rsidRPr="00421A32">
              <w:t xml:space="preserve"> Pilna paraiška</w:t>
            </w:r>
          </w:p>
          <w:p w14:paraId="6B8213E3" w14:textId="3495CDF4" w:rsidR="00D417D2" w:rsidRPr="00421A32" w:rsidRDefault="00000000" w:rsidP="00824B92">
            <w:sdt>
              <w:sdtPr>
                <w:rPr>
                  <w:rStyle w:val="Style2"/>
                  <w:sz w:val="24"/>
                </w:rPr>
                <w:id w:val="-1489014904"/>
                <w15:color w:val="FFCC00"/>
                <w14:checkbox>
                  <w14:checked w14:val="0"/>
                  <w14:checkedState w14:val="2612" w14:font="MS Gothic"/>
                  <w14:uncheckedState w14:val="2610" w14:font="MS Gothic"/>
                </w14:checkbox>
              </w:sdtPr>
              <w:sdtContent>
                <w:r w:rsidR="00D417D2" w:rsidRPr="00421A32">
                  <w:rPr>
                    <w:rStyle w:val="Style2"/>
                    <w:rFonts w:ascii="MS Gothic" w:eastAsia="MS Gothic" w:hAnsi="MS Gothic"/>
                    <w:sz w:val="24"/>
                  </w:rPr>
                  <w:t>☐</w:t>
                </w:r>
              </w:sdtContent>
            </w:sdt>
            <w:r w:rsidR="00D417D2" w:rsidRPr="00421A32">
              <w:t xml:space="preserve"> Supaprastinta paraiška</w:t>
            </w:r>
          </w:p>
        </w:tc>
      </w:tr>
      <w:tr w:rsidR="00351302" w:rsidRPr="00421A32" w14:paraId="274D1DAF" w14:textId="77777777" w:rsidTr="00135175">
        <w:trPr>
          <w:trHeight w:val="699"/>
        </w:trPr>
        <w:tc>
          <w:tcPr>
            <w:tcW w:w="632" w:type="dxa"/>
          </w:tcPr>
          <w:p w14:paraId="17ABF217" w14:textId="14AC00D7" w:rsidR="00351302" w:rsidRPr="00421A32" w:rsidRDefault="00351302" w:rsidP="00351302">
            <w:pPr>
              <w:rPr>
                <w:rFonts w:eastAsia="Arial"/>
              </w:rPr>
            </w:pPr>
            <w:r w:rsidRPr="00421A32">
              <w:rPr>
                <w:rFonts w:eastAsia="Arial"/>
              </w:rPr>
              <w:t>1.6</w:t>
            </w:r>
          </w:p>
        </w:tc>
        <w:tc>
          <w:tcPr>
            <w:tcW w:w="3694" w:type="dxa"/>
          </w:tcPr>
          <w:p w14:paraId="4D49DBF5" w14:textId="77777777" w:rsidR="00351302" w:rsidRPr="00421A32" w:rsidRDefault="00351302" w:rsidP="00351302">
            <w:pPr>
              <w:rPr>
                <w:bCs/>
                <w:color w:val="000000"/>
                <w:lang w:eastAsia="lt-LT"/>
              </w:rPr>
            </w:pPr>
            <w:r w:rsidRPr="00421A32">
              <w:rPr>
                <w:bCs/>
                <w:color w:val="000000"/>
                <w:lang w:eastAsia="lt-LT"/>
              </w:rPr>
              <w:t>Pareiškėjo teikiama (-</w:t>
            </w:r>
            <w:proofErr w:type="spellStart"/>
            <w:r w:rsidRPr="00421A32">
              <w:rPr>
                <w:bCs/>
                <w:color w:val="000000"/>
                <w:lang w:eastAsia="lt-LT"/>
              </w:rPr>
              <w:t>os</w:t>
            </w:r>
            <w:proofErr w:type="spellEnd"/>
            <w:r w:rsidRPr="00421A32">
              <w:rPr>
                <w:bCs/>
                <w:color w:val="000000"/>
                <w:lang w:eastAsia="lt-LT"/>
              </w:rPr>
              <w:t>) kompensuoti vaistinio preparato indikacija (-</w:t>
            </w:r>
            <w:proofErr w:type="spellStart"/>
            <w:r w:rsidRPr="00421A32">
              <w:rPr>
                <w:bCs/>
                <w:color w:val="000000"/>
                <w:lang w:eastAsia="lt-LT"/>
              </w:rPr>
              <w:t>os</w:t>
            </w:r>
            <w:proofErr w:type="spellEnd"/>
            <w:r w:rsidRPr="00421A32">
              <w:rPr>
                <w:bCs/>
                <w:color w:val="000000"/>
                <w:lang w:eastAsia="lt-LT"/>
              </w:rPr>
              <w:t>)</w:t>
            </w:r>
          </w:p>
          <w:p w14:paraId="3FB07EE5" w14:textId="77777777" w:rsidR="00351302" w:rsidRPr="00421A32" w:rsidRDefault="00351302" w:rsidP="00351302">
            <w:pPr>
              <w:rPr>
                <w:bCs/>
                <w:color w:val="000000"/>
                <w:lang w:eastAsia="lt-LT"/>
              </w:rPr>
            </w:pPr>
          </w:p>
          <w:p w14:paraId="3A6B054C" w14:textId="77777777" w:rsidR="00351302" w:rsidRPr="00421A32" w:rsidRDefault="00351302" w:rsidP="00351302">
            <w:pPr>
              <w:rPr>
                <w:bCs/>
                <w:color w:val="000000"/>
                <w:lang w:eastAsia="lt-LT"/>
              </w:rPr>
            </w:pPr>
          </w:p>
          <w:p w14:paraId="6B4FEEC1" w14:textId="378668B0" w:rsidR="00351302" w:rsidRPr="00421A32" w:rsidRDefault="00351302" w:rsidP="00351302">
            <w:pPr>
              <w:rPr>
                <w:bCs/>
                <w:color w:val="000000"/>
                <w:lang w:eastAsia="lt-LT"/>
              </w:rPr>
            </w:pPr>
            <w:r w:rsidRPr="00421A32">
              <w:rPr>
                <w:bCs/>
                <w:color w:val="000000"/>
                <w:lang w:eastAsia="lt-LT"/>
              </w:rPr>
              <w:t>Kodas pagal TLK-10 AM</w:t>
            </w:r>
          </w:p>
        </w:tc>
        <w:tc>
          <w:tcPr>
            <w:tcW w:w="5167" w:type="dxa"/>
          </w:tcPr>
          <w:p w14:paraId="2203AFE5" w14:textId="77777777" w:rsidR="00351302" w:rsidRPr="00421A32" w:rsidRDefault="00351302" w:rsidP="00351302">
            <w:pPr>
              <w:pStyle w:val="Sraopastraipa"/>
              <w:ind w:left="0"/>
              <w:contextualSpacing w:val="0"/>
              <w:jc w:val="both"/>
              <w:rPr>
                <w:rFonts w:eastAsia="Arial"/>
                <w:iCs/>
              </w:rPr>
            </w:pPr>
            <w:proofErr w:type="spellStart"/>
            <w:r w:rsidRPr="00421A32">
              <w:rPr>
                <w:rFonts w:eastAsia="Arial"/>
                <w:iCs/>
              </w:rPr>
              <w:t>Tevimbra</w:t>
            </w:r>
            <w:proofErr w:type="spellEnd"/>
            <w:r w:rsidRPr="00421A32">
              <w:rPr>
                <w:rFonts w:eastAsia="Arial"/>
                <w:iCs/>
              </w:rPr>
              <w:t xml:space="preserve">, kartu su chemoterapija platinos ir </w:t>
            </w:r>
            <w:proofErr w:type="spellStart"/>
            <w:r w:rsidRPr="00421A32">
              <w:rPr>
                <w:rFonts w:eastAsia="Arial"/>
                <w:iCs/>
              </w:rPr>
              <w:t>fluoropirimidino</w:t>
            </w:r>
            <w:proofErr w:type="spellEnd"/>
            <w:r w:rsidRPr="00421A32">
              <w:rPr>
                <w:rFonts w:eastAsia="Arial"/>
                <w:iCs/>
              </w:rPr>
              <w:t xml:space="preserve"> pagrindu, skirtas suaugusių pacientų, sergančių HER-2 neigiama vietiškai išplitusia, neoperuotina arba </w:t>
            </w:r>
            <w:proofErr w:type="spellStart"/>
            <w:r w:rsidRPr="00421A32">
              <w:rPr>
                <w:rFonts w:eastAsia="Arial"/>
                <w:iCs/>
              </w:rPr>
              <w:t>metastazavusia</w:t>
            </w:r>
            <w:proofErr w:type="spellEnd"/>
            <w:r w:rsidRPr="00421A32">
              <w:rPr>
                <w:rFonts w:eastAsia="Arial"/>
                <w:iCs/>
              </w:rPr>
              <w:t xml:space="preserve"> skrandžio arba </w:t>
            </w:r>
            <w:proofErr w:type="spellStart"/>
            <w:r w:rsidRPr="00421A32">
              <w:rPr>
                <w:rFonts w:eastAsia="Arial"/>
                <w:iCs/>
              </w:rPr>
              <w:t>gastroezofaginės</w:t>
            </w:r>
            <w:proofErr w:type="spellEnd"/>
            <w:r w:rsidRPr="00421A32">
              <w:rPr>
                <w:rFonts w:eastAsia="Arial"/>
                <w:iCs/>
              </w:rPr>
              <w:t xml:space="preserve"> jungties (S/GEJ) </w:t>
            </w:r>
            <w:proofErr w:type="spellStart"/>
            <w:r w:rsidRPr="00421A32">
              <w:rPr>
                <w:rFonts w:eastAsia="Arial"/>
                <w:iCs/>
              </w:rPr>
              <w:t>adenokarcinoma</w:t>
            </w:r>
            <w:proofErr w:type="spellEnd"/>
            <w:r w:rsidRPr="00421A32">
              <w:rPr>
                <w:rFonts w:eastAsia="Arial"/>
                <w:iCs/>
              </w:rPr>
              <w:t xml:space="preserve">, kurios navikai turi PD-L1 išraišką, kai naviko srities teigiamumo (angl. </w:t>
            </w:r>
            <w:proofErr w:type="spellStart"/>
            <w:r w:rsidRPr="00421A32">
              <w:rPr>
                <w:rFonts w:eastAsia="Arial"/>
                <w:i/>
              </w:rPr>
              <w:t>tumour</w:t>
            </w:r>
            <w:proofErr w:type="spellEnd"/>
            <w:r w:rsidRPr="00421A32">
              <w:rPr>
                <w:rFonts w:eastAsia="Arial"/>
                <w:i/>
              </w:rPr>
              <w:t xml:space="preserve"> </w:t>
            </w:r>
            <w:proofErr w:type="spellStart"/>
            <w:r w:rsidRPr="00421A32">
              <w:rPr>
                <w:rFonts w:eastAsia="Arial"/>
                <w:i/>
              </w:rPr>
              <w:t>area</w:t>
            </w:r>
            <w:proofErr w:type="spellEnd"/>
            <w:r w:rsidRPr="00421A32">
              <w:rPr>
                <w:rFonts w:eastAsia="Arial"/>
                <w:i/>
              </w:rPr>
              <w:t xml:space="preserve"> </w:t>
            </w:r>
            <w:proofErr w:type="spellStart"/>
            <w:r w:rsidRPr="00421A32">
              <w:rPr>
                <w:rFonts w:eastAsia="Arial"/>
                <w:i/>
              </w:rPr>
              <w:t>positivity</w:t>
            </w:r>
            <w:proofErr w:type="spellEnd"/>
            <w:r w:rsidRPr="00421A32">
              <w:rPr>
                <w:rFonts w:eastAsia="Arial"/>
                <w:iCs/>
              </w:rPr>
              <w:t>, TAP) įvertis yra ≥5 %, pirmos eilės gydymui.</w:t>
            </w:r>
          </w:p>
          <w:p w14:paraId="35137B0A" w14:textId="77777777" w:rsidR="00351302" w:rsidRPr="00421A32" w:rsidRDefault="00351302" w:rsidP="00351302">
            <w:pPr>
              <w:pStyle w:val="Sraopastraipa"/>
              <w:ind w:left="0"/>
              <w:contextualSpacing w:val="0"/>
              <w:jc w:val="both"/>
              <w:rPr>
                <w:rFonts w:eastAsia="Arial"/>
                <w:iCs/>
              </w:rPr>
            </w:pPr>
          </w:p>
          <w:p w14:paraId="13F7DFB0" w14:textId="027F9653" w:rsidR="00351302" w:rsidRPr="00421A32" w:rsidRDefault="00351302" w:rsidP="00351302">
            <w:pPr>
              <w:pStyle w:val="Sraopastraipa"/>
              <w:spacing w:after="120"/>
              <w:ind w:left="0"/>
              <w:contextualSpacing w:val="0"/>
              <w:jc w:val="both"/>
            </w:pPr>
            <w:r w:rsidRPr="00421A32">
              <w:t>TLK-10 AM C16</w:t>
            </w:r>
          </w:p>
        </w:tc>
      </w:tr>
      <w:tr w:rsidR="00351302" w:rsidRPr="00421A32" w14:paraId="2F79DC08" w14:textId="77777777" w:rsidTr="00BE7489">
        <w:trPr>
          <w:trHeight w:val="378"/>
        </w:trPr>
        <w:tc>
          <w:tcPr>
            <w:tcW w:w="632" w:type="dxa"/>
          </w:tcPr>
          <w:p w14:paraId="547885A2" w14:textId="08AA8055" w:rsidR="00351302" w:rsidRPr="00421A32" w:rsidRDefault="00351302" w:rsidP="00351302">
            <w:pPr>
              <w:rPr>
                <w:rFonts w:eastAsia="Arial"/>
              </w:rPr>
            </w:pPr>
            <w:r w:rsidRPr="00421A32">
              <w:rPr>
                <w:rFonts w:eastAsia="Arial"/>
              </w:rPr>
              <w:lastRenderedPageBreak/>
              <w:t>1.6</w:t>
            </w:r>
          </w:p>
        </w:tc>
        <w:tc>
          <w:tcPr>
            <w:tcW w:w="3694" w:type="dxa"/>
          </w:tcPr>
          <w:p w14:paraId="2EAB877F" w14:textId="39A36941" w:rsidR="00351302" w:rsidRPr="00421A32" w:rsidRDefault="00351302" w:rsidP="00351302">
            <w:pPr>
              <w:rPr>
                <w:bCs/>
                <w:color w:val="000000"/>
                <w:u w:val="single"/>
                <w:lang w:eastAsia="lt-LT"/>
              </w:rPr>
            </w:pPr>
            <w:r w:rsidRPr="00421A32">
              <w:rPr>
                <w:bCs/>
                <w:color w:val="000000"/>
                <w:lang w:eastAsia="lt-LT"/>
              </w:rPr>
              <w:t xml:space="preserve">Pareiškėjo teikiamos skyrimo sąlygos </w:t>
            </w:r>
          </w:p>
        </w:tc>
        <w:tc>
          <w:tcPr>
            <w:tcW w:w="5167" w:type="dxa"/>
          </w:tcPr>
          <w:p w14:paraId="0579DF58" w14:textId="3D9D6F1B" w:rsidR="00351302" w:rsidRPr="00421A32" w:rsidRDefault="00351302" w:rsidP="00351302">
            <w:r w:rsidRPr="00421A32">
              <w:t>Neteikiamos</w:t>
            </w:r>
          </w:p>
        </w:tc>
      </w:tr>
      <w:tr w:rsidR="00B13D65" w:rsidRPr="00421A32" w14:paraId="3B125269" w14:textId="77777777" w:rsidTr="00351302">
        <w:trPr>
          <w:trHeight w:val="1118"/>
        </w:trPr>
        <w:tc>
          <w:tcPr>
            <w:tcW w:w="632" w:type="dxa"/>
          </w:tcPr>
          <w:p w14:paraId="0058E11F" w14:textId="77777777" w:rsidR="00B13D65" w:rsidRPr="00421A32" w:rsidRDefault="00B13D65" w:rsidP="00824B92">
            <w:pPr>
              <w:rPr>
                <w:rFonts w:eastAsia="Arial"/>
              </w:rPr>
            </w:pPr>
            <w:r w:rsidRPr="00421A32">
              <w:rPr>
                <w:rFonts w:eastAsia="Arial"/>
              </w:rPr>
              <w:t>1.7</w:t>
            </w:r>
          </w:p>
        </w:tc>
        <w:tc>
          <w:tcPr>
            <w:tcW w:w="3694" w:type="dxa"/>
          </w:tcPr>
          <w:p w14:paraId="738E1926" w14:textId="77777777" w:rsidR="00B13D65" w:rsidRPr="00421A32" w:rsidRDefault="007656B2" w:rsidP="00824B92">
            <w:pPr>
              <w:rPr>
                <w:bCs/>
                <w:color w:val="000000"/>
                <w:lang w:eastAsia="lt-LT"/>
              </w:rPr>
            </w:pPr>
            <w:r w:rsidRPr="00421A32">
              <w:rPr>
                <w:bCs/>
                <w:color w:val="000000"/>
                <w:lang w:eastAsia="lt-LT"/>
              </w:rPr>
              <w:t>Pareiškėjo teikiamas p</w:t>
            </w:r>
            <w:r w:rsidR="00B13D65" w:rsidRPr="00421A32">
              <w:rPr>
                <w:bCs/>
                <w:color w:val="000000"/>
                <w:lang w:eastAsia="lt-LT"/>
              </w:rPr>
              <w:t>alyginamasis</w:t>
            </w:r>
            <w:r w:rsidR="005B3756" w:rsidRPr="00421A32">
              <w:rPr>
                <w:bCs/>
                <w:color w:val="000000"/>
                <w:lang w:eastAsia="lt-LT"/>
              </w:rPr>
              <w:t xml:space="preserve"> </w:t>
            </w:r>
            <w:r w:rsidR="00B13D65" w:rsidRPr="00421A32">
              <w:rPr>
                <w:bCs/>
                <w:color w:val="000000"/>
                <w:lang w:eastAsia="lt-LT"/>
              </w:rPr>
              <w:t xml:space="preserve">gydymas </w:t>
            </w:r>
          </w:p>
          <w:p w14:paraId="61EC5BBD" w14:textId="7A8BD8B4" w:rsidR="009F4D66" w:rsidRPr="00421A32" w:rsidRDefault="009F4D66" w:rsidP="00824B92">
            <w:pPr>
              <w:rPr>
                <w:bCs/>
                <w:color w:val="000000"/>
                <w:lang w:eastAsia="lt-LT"/>
              </w:rPr>
            </w:pPr>
          </w:p>
          <w:p w14:paraId="34B858F8" w14:textId="4D98EA28" w:rsidR="00135175" w:rsidRPr="00421A32" w:rsidRDefault="00135175" w:rsidP="00824B92">
            <w:pPr>
              <w:rPr>
                <w:bCs/>
                <w:color w:val="000000"/>
                <w:lang w:eastAsia="lt-LT"/>
              </w:rPr>
            </w:pPr>
            <w:r w:rsidRPr="00421A32">
              <w:rPr>
                <w:bCs/>
                <w:color w:val="000000"/>
                <w:lang w:eastAsia="lt-LT"/>
              </w:rPr>
              <w:t xml:space="preserve">Tiesioginis palyginimas </w:t>
            </w:r>
          </w:p>
          <w:p w14:paraId="6CC1022E" w14:textId="1A81E01C" w:rsidR="00135175" w:rsidRPr="00421A32" w:rsidRDefault="00135175" w:rsidP="00824B92">
            <w:pPr>
              <w:rPr>
                <w:bCs/>
                <w:color w:val="000000"/>
                <w:lang w:eastAsia="lt-LT"/>
              </w:rPr>
            </w:pPr>
          </w:p>
        </w:tc>
        <w:tc>
          <w:tcPr>
            <w:tcW w:w="5167" w:type="dxa"/>
          </w:tcPr>
          <w:p w14:paraId="4ED4CC2B" w14:textId="304D6F29" w:rsidR="00135175" w:rsidRPr="00421A32" w:rsidRDefault="00135175" w:rsidP="00824B92"/>
          <w:p w14:paraId="03181E5A" w14:textId="77777777" w:rsidR="00135175" w:rsidRPr="00421A32" w:rsidRDefault="00135175" w:rsidP="00824B92"/>
          <w:p w14:paraId="673E4AE6" w14:textId="77777777" w:rsidR="00135175" w:rsidRPr="00421A32" w:rsidRDefault="00135175" w:rsidP="00824B92"/>
          <w:p w14:paraId="1F113AC0" w14:textId="01B64535" w:rsidR="009F4D66" w:rsidRPr="00421A32" w:rsidRDefault="00000000" w:rsidP="00824B92">
            <w:sdt>
              <w:sdtPr>
                <w:rPr>
                  <w:rStyle w:val="Style2"/>
                  <w:sz w:val="24"/>
                </w:rPr>
                <w:id w:val="1480955706"/>
                <w15:color w:val="FFCC00"/>
                <w14:checkbox>
                  <w14:checked w14:val="1"/>
                  <w14:checkedState w14:val="2612" w14:font="MS Gothic"/>
                  <w14:uncheckedState w14:val="2610" w14:font="MS Gothic"/>
                </w14:checkbox>
              </w:sdtPr>
              <w:sdtContent>
                <w:r w:rsidR="00135175" w:rsidRPr="00421A32">
                  <w:rPr>
                    <w:rStyle w:val="Style2"/>
                    <w:rFonts w:ascii="MS Gothic" w:eastAsia="MS Gothic" w:hAnsi="MS Gothic"/>
                    <w:sz w:val="24"/>
                  </w:rPr>
                  <w:t>☒</w:t>
                </w:r>
              </w:sdtContent>
            </w:sdt>
            <w:r w:rsidR="00135175" w:rsidRPr="00421A32">
              <w:t xml:space="preserve"> </w:t>
            </w:r>
            <w:r w:rsidR="009F4D66" w:rsidRPr="00421A32">
              <w:t>Tinkamas</w:t>
            </w:r>
          </w:p>
          <w:p w14:paraId="41B44044" w14:textId="18FF7946" w:rsidR="00135175" w:rsidRPr="00421A32" w:rsidRDefault="00000000" w:rsidP="00351302">
            <w:sdt>
              <w:sdtPr>
                <w:rPr>
                  <w:rStyle w:val="Style2"/>
                  <w:sz w:val="24"/>
                </w:rPr>
                <w:id w:val="-352420698"/>
                <w15:color w:val="FFCC00"/>
                <w14:checkbox>
                  <w14:checked w14:val="0"/>
                  <w14:checkedState w14:val="2612" w14:font="MS Gothic"/>
                  <w14:uncheckedState w14:val="2610" w14:font="MS Gothic"/>
                </w14:checkbox>
              </w:sdtPr>
              <w:sdtContent>
                <w:r w:rsidR="009F4D66" w:rsidRPr="00421A32">
                  <w:rPr>
                    <w:rStyle w:val="Style2"/>
                    <w:rFonts w:ascii="MS Gothic" w:eastAsia="MS Gothic" w:hAnsi="MS Gothic"/>
                    <w:sz w:val="24"/>
                  </w:rPr>
                  <w:t>☐</w:t>
                </w:r>
              </w:sdtContent>
            </w:sdt>
            <w:r w:rsidR="009F4D66" w:rsidRPr="00421A32">
              <w:t xml:space="preserve"> Netinkama</w:t>
            </w:r>
          </w:p>
        </w:tc>
      </w:tr>
    </w:tbl>
    <w:p w14:paraId="108176F7" w14:textId="640C6F75" w:rsidR="00F70C9E" w:rsidRPr="00421A32" w:rsidRDefault="00F70C9E" w:rsidP="00E03C3F">
      <w:pPr>
        <w:pStyle w:val="Sraopastraipa"/>
        <w:tabs>
          <w:tab w:val="left" w:pos="426"/>
        </w:tabs>
        <w:ind w:left="0"/>
        <w:rPr>
          <w:b/>
          <w:bCs/>
          <w:caps/>
        </w:rPr>
      </w:pPr>
    </w:p>
    <w:p w14:paraId="2871CA7F" w14:textId="2370BDDB" w:rsidR="00F70C9E" w:rsidRPr="00421A32" w:rsidRDefault="00F70C9E" w:rsidP="00880A44">
      <w:pPr>
        <w:spacing w:line="276" w:lineRule="auto"/>
        <w:jc w:val="both"/>
        <w:rPr>
          <w:rFonts w:eastAsia="Arial"/>
          <w:b/>
        </w:rPr>
      </w:pPr>
      <w:r w:rsidRPr="00421A32">
        <w:rPr>
          <w:rFonts w:eastAsia="Arial"/>
          <w:b/>
        </w:rPr>
        <w:t xml:space="preserve">1.8 Kitų </w:t>
      </w:r>
      <w:r w:rsidR="00DF583C" w:rsidRPr="00421A32">
        <w:rPr>
          <w:rFonts w:eastAsia="Arial"/>
          <w:b/>
        </w:rPr>
        <w:t xml:space="preserve">valstybių </w:t>
      </w:r>
      <w:r w:rsidRPr="00421A32">
        <w:rPr>
          <w:rFonts w:eastAsia="Arial"/>
          <w:b/>
        </w:rPr>
        <w:t xml:space="preserve">atsakingų institucijų atlikto </w:t>
      </w:r>
      <w:r w:rsidR="00DF583C" w:rsidRPr="00421A32">
        <w:rPr>
          <w:rFonts w:eastAsia="Arial"/>
          <w:b/>
        </w:rPr>
        <w:t>Sveikatos technologijų vertinimo (toliau – STV)</w:t>
      </w:r>
      <w:r w:rsidRPr="00421A32">
        <w:rPr>
          <w:rFonts w:eastAsia="Arial"/>
          <w:b/>
        </w:rPr>
        <w:t xml:space="preserve"> išvados</w:t>
      </w:r>
    </w:p>
    <w:p w14:paraId="30721FDD" w14:textId="77777777" w:rsidR="00F70C9E" w:rsidRPr="00421A32" w:rsidRDefault="00F70C9E" w:rsidP="00F70C9E">
      <w:pPr>
        <w:spacing w:line="276" w:lineRule="auto"/>
        <w:rPr>
          <w:rFonts w:eastAsia="Arial"/>
        </w:rPr>
      </w:pPr>
    </w:p>
    <w:tbl>
      <w:tblPr>
        <w:tblStyle w:val="Lentelstinklelis"/>
        <w:tblW w:w="9918" w:type="dxa"/>
        <w:tblLook w:val="04A0" w:firstRow="1" w:lastRow="0" w:firstColumn="1" w:lastColumn="0" w:noHBand="0" w:noVBand="1"/>
      </w:tblPr>
      <w:tblGrid>
        <w:gridCol w:w="2927"/>
        <w:gridCol w:w="1915"/>
        <w:gridCol w:w="2351"/>
        <w:gridCol w:w="2725"/>
      </w:tblGrid>
      <w:tr w:rsidR="00135175" w:rsidRPr="00421A32" w14:paraId="2F8F1E7E" w14:textId="77777777" w:rsidTr="00DD3688">
        <w:trPr>
          <w:trHeight w:val="924"/>
        </w:trPr>
        <w:tc>
          <w:tcPr>
            <w:tcW w:w="2927" w:type="dxa"/>
          </w:tcPr>
          <w:p w14:paraId="10B30A3B" w14:textId="77777777" w:rsidR="00135175" w:rsidRPr="00421A32" w:rsidRDefault="00135175" w:rsidP="00DD3688">
            <w:pPr>
              <w:spacing w:line="276" w:lineRule="auto"/>
              <w:rPr>
                <w:rFonts w:eastAsia="Arial"/>
              </w:rPr>
            </w:pPr>
            <w:r w:rsidRPr="00421A32">
              <w:rPr>
                <w:rFonts w:eastAsia="Arial"/>
              </w:rPr>
              <w:t>STV agentūros pavadinimas, šalis</w:t>
            </w:r>
          </w:p>
        </w:tc>
        <w:tc>
          <w:tcPr>
            <w:tcW w:w="1915" w:type="dxa"/>
          </w:tcPr>
          <w:p w14:paraId="3F9C30BB" w14:textId="77777777" w:rsidR="00135175" w:rsidRPr="00421A32" w:rsidRDefault="00135175" w:rsidP="00DD3688">
            <w:pPr>
              <w:spacing w:line="276" w:lineRule="auto"/>
              <w:rPr>
                <w:rFonts w:eastAsia="Arial"/>
              </w:rPr>
            </w:pPr>
            <w:r w:rsidRPr="00421A32">
              <w:rPr>
                <w:rFonts w:eastAsia="Arial"/>
              </w:rPr>
              <w:t>STV vertinimas atliktas</w:t>
            </w:r>
          </w:p>
        </w:tc>
        <w:tc>
          <w:tcPr>
            <w:tcW w:w="2351" w:type="dxa"/>
          </w:tcPr>
          <w:p w14:paraId="660651B8" w14:textId="77777777" w:rsidR="00135175" w:rsidRPr="00421A32" w:rsidRDefault="00135175" w:rsidP="00DD3688">
            <w:pPr>
              <w:spacing w:line="276" w:lineRule="auto"/>
              <w:rPr>
                <w:rFonts w:eastAsia="Arial"/>
              </w:rPr>
            </w:pPr>
            <w:r w:rsidRPr="00421A32">
              <w:rPr>
                <w:rFonts w:eastAsia="Arial"/>
              </w:rPr>
              <w:t>Klinikinio vertinimo išvada</w:t>
            </w:r>
          </w:p>
        </w:tc>
        <w:tc>
          <w:tcPr>
            <w:tcW w:w="2725" w:type="dxa"/>
          </w:tcPr>
          <w:p w14:paraId="1B79ED3E" w14:textId="77777777" w:rsidR="00135175" w:rsidRPr="00421A32" w:rsidRDefault="00135175" w:rsidP="00DD3688">
            <w:pPr>
              <w:spacing w:line="276" w:lineRule="auto"/>
              <w:rPr>
                <w:rFonts w:eastAsia="Arial"/>
              </w:rPr>
            </w:pPr>
            <w:proofErr w:type="spellStart"/>
            <w:r w:rsidRPr="00421A32">
              <w:rPr>
                <w:rFonts w:eastAsia="Arial"/>
              </w:rPr>
              <w:t>Farmakoekonominio</w:t>
            </w:r>
            <w:proofErr w:type="spellEnd"/>
            <w:r w:rsidRPr="00421A32">
              <w:rPr>
                <w:rFonts w:eastAsia="Arial"/>
              </w:rPr>
              <w:t xml:space="preserve"> vertinimo išvada</w:t>
            </w:r>
          </w:p>
        </w:tc>
      </w:tr>
      <w:tr w:rsidR="000D06F9" w:rsidRPr="00421A32" w14:paraId="3AE59CB8" w14:textId="77777777" w:rsidTr="00DD3688">
        <w:trPr>
          <w:trHeight w:val="1765"/>
        </w:trPr>
        <w:tc>
          <w:tcPr>
            <w:tcW w:w="2927" w:type="dxa"/>
          </w:tcPr>
          <w:p w14:paraId="20919FBE" w14:textId="77777777" w:rsidR="000D06F9" w:rsidRPr="00421A32" w:rsidRDefault="000D06F9" w:rsidP="000D06F9">
            <w:pPr>
              <w:autoSpaceDE w:val="0"/>
              <w:autoSpaceDN w:val="0"/>
              <w:adjustRightInd w:val="0"/>
              <w:rPr>
                <w:bCs/>
              </w:rPr>
            </w:pPr>
            <w:r w:rsidRPr="00421A32">
              <w:rPr>
                <w:bCs/>
              </w:rPr>
              <w:t>Nacionalinis sveikatos ir klinikinės kompetencijos institutas, Didžioji Britanija</w:t>
            </w:r>
          </w:p>
          <w:p w14:paraId="0DA9F8F2" w14:textId="77777777" w:rsidR="000D06F9" w:rsidRPr="00421A32" w:rsidRDefault="000D06F9" w:rsidP="000D06F9">
            <w:pPr>
              <w:spacing w:line="276" w:lineRule="auto"/>
              <w:rPr>
                <w:rFonts w:eastAsia="Arial"/>
              </w:rPr>
            </w:pPr>
            <w:r w:rsidRPr="00421A32">
              <w:rPr>
                <w:rFonts w:eastAsia="Arial"/>
              </w:rPr>
              <w:t xml:space="preserve">(angl. </w:t>
            </w:r>
            <w:proofErr w:type="spellStart"/>
            <w:r w:rsidRPr="00421A32">
              <w:rPr>
                <w:rFonts w:eastAsia="Arial"/>
                <w:i/>
              </w:rPr>
              <w:t>National</w:t>
            </w:r>
            <w:proofErr w:type="spellEnd"/>
            <w:r w:rsidRPr="00421A32">
              <w:rPr>
                <w:rFonts w:eastAsia="Arial"/>
                <w:i/>
              </w:rPr>
              <w:t xml:space="preserve"> Institute </w:t>
            </w:r>
            <w:proofErr w:type="spellStart"/>
            <w:r w:rsidRPr="00421A32">
              <w:rPr>
                <w:rFonts w:eastAsia="Arial"/>
                <w:i/>
              </w:rPr>
              <w:t>for</w:t>
            </w:r>
            <w:proofErr w:type="spellEnd"/>
            <w:r w:rsidRPr="00421A32">
              <w:rPr>
                <w:rFonts w:eastAsia="Arial"/>
                <w:i/>
              </w:rPr>
              <w:t xml:space="preserve"> </w:t>
            </w:r>
            <w:proofErr w:type="spellStart"/>
            <w:r w:rsidRPr="00421A32">
              <w:rPr>
                <w:rFonts w:eastAsia="Arial"/>
                <w:i/>
              </w:rPr>
              <w:t>Health</w:t>
            </w:r>
            <w:proofErr w:type="spellEnd"/>
            <w:r w:rsidRPr="00421A32">
              <w:rPr>
                <w:rFonts w:eastAsia="Arial"/>
                <w:i/>
              </w:rPr>
              <w:t xml:space="preserve"> </w:t>
            </w:r>
            <w:proofErr w:type="spellStart"/>
            <w:r w:rsidRPr="00421A32">
              <w:rPr>
                <w:rFonts w:eastAsia="Arial"/>
                <w:i/>
              </w:rPr>
              <w:t>and</w:t>
            </w:r>
            <w:proofErr w:type="spellEnd"/>
            <w:r w:rsidRPr="00421A32">
              <w:rPr>
                <w:rFonts w:eastAsia="Arial"/>
                <w:i/>
              </w:rPr>
              <w:t xml:space="preserve"> Care </w:t>
            </w:r>
            <w:proofErr w:type="spellStart"/>
            <w:r w:rsidRPr="00421A32">
              <w:rPr>
                <w:rFonts w:eastAsia="Arial"/>
                <w:i/>
              </w:rPr>
              <w:t>Excellence</w:t>
            </w:r>
            <w:proofErr w:type="spellEnd"/>
            <w:r w:rsidRPr="00421A32">
              <w:rPr>
                <w:rFonts w:eastAsia="Arial"/>
                <w:i/>
              </w:rPr>
              <w:t>, NICE</w:t>
            </w:r>
            <w:r w:rsidRPr="00421A32">
              <w:rPr>
                <w:rFonts w:eastAsia="Arial"/>
              </w:rPr>
              <w:t>)</w:t>
            </w:r>
          </w:p>
        </w:tc>
        <w:tc>
          <w:tcPr>
            <w:tcW w:w="1915" w:type="dxa"/>
          </w:tcPr>
          <w:p w14:paraId="6639BD09" w14:textId="77777777" w:rsidR="000D06F9" w:rsidRPr="00421A32" w:rsidRDefault="00000000" w:rsidP="000D06F9">
            <w:sdt>
              <w:sdtPr>
                <w:rPr>
                  <w:rStyle w:val="Style2"/>
                </w:rPr>
                <w:id w:val="1558205022"/>
                <w14:checkbox>
                  <w14:checked w14:val="0"/>
                  <w14:checkedState w14:val="2612" w14:font="MS Gothic"/>
                  <w14:uncheckedState w14:val="2610" w14:font="MS Gothic"/>
                </w14:checkbox>
              </w:sdtPr>
              <w:sdtContent>
                <w:r w:rsidR="000D06F9" w:rsidRPr="00421A32">
                  <w:rPr>
                    <w:rStyle w:val="Style2"/>
                    <w:rFonts w:ascii="MS Gothic" w:eastAsia="MS Gothic" w:hAnsi="MS Gothic"/>
                  </w:rPr>
                  <w:t>☐</w:t>
                </w:r>
              </w:sdtContent>
            </w:sdt>
            <w:r w:rsidR="000D06F9" w:rsidRPr="00421A32">
              <w:t xml:space="preserve"> Taip</w:t>
            </w:r>
          </w:p>
          <w:p w14:paraId="5015FB81" w14:textId="77777777" w:rsidR="000D06F9" w:rsidRPr="00421A32" w:rsidRDefault="00000000" w:rsidP="000D06F9">
            <w:sdt>
              <w:sdtPr>
                <w:rPr>
                  <w:rStyle w:val="Style2"/>
                </w:rPr>
                <w:id w:val="866029625"/>
                <w14:checkbox>
                  <w14:checked w14:val="1"/>
                  <w14:checkedState w14:val="2612" w14:font="MS Gothic"/>
                  <w14:uncheckedState w14:val="2610" w14:font="MS Gothic"/>
                </w14:checkbox>
              </w:sdtPr>
              <w:sdtContent>
                <w:r w:rsidR="000D06F9" w:rsidRPr="00421A32">
                  <w:rPr>
                    <w:rStyle w:val="Style2"/>
                    <w:rFonts w:ascii="MS Gothic" w:eastAsia="MS Gothic" w:hAnsi="MS Gothic"/>
                  </w:rPr>
                  <w:t>☒</w:t>
                </w:r>
              </w:sdtContent>
            </w:sdt>
            <w:r w:rsidR="000D06F9" w:rsidRPr="00421A32">
              <w:t xml:space="preserve"> Ne</w:t>
            </w:r>
          </w:p>
          <w:p w14:paraId="63AA62A6" w14:textId="765E59A7" w:rsidR="000D06F9" w:rsidRPr="00421A32" w:rsidRDefault="00000000" w:rsidP="000D06F9">
            <w:pPr>
              <w:rPr>
                <w:rFonts w:eastAsia="Arial"/>
              </w:rPr>
            </w:pPr>
            <w:sdt>
              <w:sdtPr>
                <w:alias w:val="Nurodykite konkrečią dieną"/>
                <w:tag w:val="Nurodykite pradžios datą"/>
                <w:id w:val="922837954"/>
                <w:placeholder>
                  <w:docPart w:val="795226717BC74A8FB801DCE367B83799"/>
                </w:placeholder>
                <w:showingPlcHdr/>
                <w:date>
                  <w:dateFormat w:val="yyyy 'm.' MMMM d 'd.'"/>
                  <w:lid w:val="lt-LT"/>
                  <w:storeMappedDataAs w:val="dateTime"/>
                  <w:calendar w:val="gregorian"/>
                </w:date>
              </w:sdtPr>
              <w:sdtContent>
                <w:r w:rsidR="000D06F9" w:rsidRPr="00421A32">
                  <w:rPr>
                    <w:rStyle w:val="Vietosrezervavimoenklotekstas"/>
                  </w:rPr>
                  <w:t>Click here to enter a date.</w:t>
                </w:r>
              </w:sdtContent>
            </w:sdt>
          </w:p>
        </w:tc>
        <w:tc>
          <w:tcPr>
            <w:tcW w:w="5076" w:type="dxa"/>
            <w:gridSpan w:val="2"/>
          </w:tcPr>
          <w:p w14:paraId="1A9756B2" w14:textId="5333D3E5" w:rsidR="000D06F9" w:rsidRPr="00421A32" w:rsidRDefault="000D06F9" w:rsidP="000D06F9">
            <w:pPr>
              <w:spacing w:line="276" w:lineRule="auto"/>
              <w:jc w:val="both"/>
              <w:rPr>
                <w:rFonts w:eastAsia="Arial"/>
              </w:rPr>
            </w:pPr>
            <w:r w:rsidRPr="00421A32">
              <w:rPr>
                <w:rFonts w:eastAsia="Arial"/>
              </w:rPr>
              <w:t>–</w:t>
            </w:r>
          </w:p>
        </w:tc>
      </w:tr>
      <w:tr w:rsidR="000D06F9" w:rsidRPr="00421A32" w14:paraId="4E696CD2" w14:textId="77777777" w:rsidTr="00DD3688">
        <w:trPr>
          <w:trHeight w:val="1547"/>
        </w:trPr>
        <w:tc>
          <w:tcPr>
            <w:tcW w:w="2927" w:type="dxa"/>
          </w:tcPr>
          <w:p w14:paraId="15B9FF36" w14:textId="77777777" w:rsidR="000D06F9" w:rsidRPr="00421A32" w:rsidRDefault="000D06F9" w:rsidP="000D06F9">
            <w:pPr>
              <w:spacing w:line="276" w:lineRule="auto"/>
              <w:rPr>
                <w:rFonts w:eastAsia="Arial"/>
              </w:rPr>
            </w:pPr>
            <w:r w:rsidRPr="00421A32">
              <w:rPr>
                <w:rFonts w:eastAsia="Arial"/>
              </w:rPr>
              <w:t>Kanados sveikatos technologijų agentūra</w:t>
            </w:r>
          </w:p>
          <w:p w14:paraId="1B806F38" w14:textId="77777777" w:rsidR="000D06F9" w:rsidRPr="00421A32" w:rsidRDefault="000D06F9" w:rsidP="000D06F9">
            <w:pPr>
              <w:spacing w:line="276" w:lineRule="auto"/>
              <w:rPr>
                <w:rFonts w:eastAsia="Arial"/>
              </w:rPr>
            </w:pPr>
            <w:r w:rsidRPr="00421A32">
              <w:rPr>
                <w:rFonts w:eastAsia="Arial"/>
              </w:rPr>
              <w:t xml:space="preserve">(angl. </w:t>
            </w:r>
            <w:proofErr w:type="spellStart"/>
            <w:r w:rsidRPr="00421A32">
              <w:rPr>
                <w:rFonts w:eastAsia="Arial"/>
                <w:i/>
              </w:rPr>
              <w:t>Canadian</w:t>
            </w:r>
            <w:proofErr w:type="spellEnd"/>
            <w:r w:rsidRPr="00421A32">
              <w:rPr>
                <w:rFonts w:eastAsia="Arial"/>
                <w:i/>
              </w:rPr>
              <w:t xml:space="preserve"> </w:t>
            </w:r>
            <w:proofErr w:type="spellStart"/>
            <w:r w:rsidRPr="00421A32">
              <w:rPr>
                <w:rFonts w:eastAsia="Arial"/>
                <w:i/>
              </w:rPr>
              <w:t>health</w:t>
            </w:r>
            <w:proofErr w:type="spellEnd"/>
            <w:r w:rsidRPr="00421A32">
              <w:rPr>
                <w:rFonts w:eastAsia="Arial"/>
                <w:i/>
              </w:rPr>
              <w:t xml:space="preserve"> </w:t>
            </w:r>
            <w:proofErr w:type="spellStart"/>
            <w:r w:rsidRPr="00421A32">
              <w:rPr>
                <w:rFonts w:eastAsia="Arial"/>
                <w:i/>
              </w:rPr>
              <w:t>Technology</w:t>
            </w:r>
            <w:proofErr w:type="spellEnd"/>
            <w:r w:rsidRPr="00421A32">
              <w:rPr>
                <w:rFonts w:eastAsia="Arial"/>
                <w:i/>
              </w:rPr>
              <w:t xml:space="preserve"> </w:t>
            </w:r>
            <w:proofErr w:type="spellStart"/>
            <w:r w:rsidRPr="00421A32">
              <w:rPr>
                <w:rFonts w:eastAsia="Arial"/>
                <w:i/>
              </w:rPr>
              <w:t>Assessment</w:t>
            </w:r>
            <w:proofErr w:type="spellEnd"/>
            <w:r w:rsidRPr="00421A32">
              <w:rPr>
                <w:rFonts w:eastAsia="Arial"/>
                <w:i/>
              </w:rPr>
              <w:t xml:space="preserve"> </w:t>
            </w:r>
            <w:proofErr w:type="spellStart"/>
            <w:r w:rsidRPr="00421A32">
              <w:rPr>
                <w:rFonts w:eastAsia="Arial"/>
                <w:i/>
              </w:rPr>
              <w:t>agency</w:t>
            </w:r>
            <w:proofErr w:type="spellEnd"/>
            <w:r w:rsidRPr="00421A32">
              <w:rPr>
                <w:rFonts w:eastAsia="Arial"/>
                <w:i/>
              </w:rPr>
              <w:t>, CADTH</w:t>
            </w:r>
            <w:r w:rsidRPr="00421A32">
              <w:rPr>
                <w:rFonts w:eastAsia="Arial"/>
              </w:rPr>
              <w:t>)</w:t>
            </w:r>
          </w:p>
        </w:tc>
        <w:tc>
          <w:tcPr>
            <w:tcW w:w="1915" w:type="dxa"/>
          </w:tcPr>
          <w:p w14:paraId="7EA2D33B" w14:textId="77777777" w:rsidR="000D06F9" w:rsidRPr="00421A32" w:rsidRDefault="00000000" w:rsidP="000D06F9">
            <w:sdt>
              <w:sdtPr>
                <w:rPr>
                  <w:rStyle w:val="Style2"/>
                </w:rPr>
                <w:id w:val="-372539057"/>
                <w14:checkbox>
                  <w14:checked w14:val="0"/>
                  <w14:checkedState w14:val="2612" w14:font="MS Gothic"/>
                  <w14:uncheckedState w14:val="2610" w14:font="MS Gothic"/>
                </w14:checkbox>
              </w:sdtPr>
              <w:sdtContent>
                <w:r w:rsidR="000D06F9" w:rsidRPr="00421A32">
                  <w:rPr>
                    <w:rStyle w:val="Style2"/>
                    <w:rFonts w:ascii="MS Gothic" w:eastAsia="MS Gothic" w:hAnsi="MS Gothic"/>
                  </w:rPr>
                  <w:t>☐</w:t>
                </w:r>
              </w:sdtContent>
            </w:sdt>
            <w:r w:rsidR="000D06F9" w:rsidRPr="00421A32">
              <w:t xml:space="preserve"> Taip</w:t>
            </w:r>
          </w:p>
          <w:p w14:paraId="478E7917" w14:textId="77777777" w:rsidR="000D06F9" w:rsidRPr="00421A32" w:rsidRDefault="00000000" w:rsidP="000D06F9">
            <w:sdt>
              <w:sdtPr>
                <w:rPr>
                  <w:rStyle w:val="Style2"/>
                </w:rPr>
                <w:id w:val="594442222"/>
                <w14:checkbox>
                  <w14:checked w14:val="1"/>
                  <w14:checkedState w14:val="2612" w14:font="MS Gothic"/>
                  <w14:uncheckedState w14:val="2610" w14:font="MS Gothic"/>
                </w14:checkbox>
              </w:sdtPr>
              <w:sdtContent>
                <w:r w:rsidR="000D06F9" w:rsidRPr="00421A32">
                  <w:rPr>
                    <w:rStyle w:val="Style2"/>
                    <w:rFonts w:ascii="MS Gothic" w:eastAsia="MS Gothic" w:hAnsi="MS Gothic"/>
                  </w:rPr>
                  <w:t>☒</w:t>
                </w:r>
              </w:sdtContent>
            </w:sdt>
            <w:r w:rsidR="000D06F9" w:rsidRPr="00421A32">
              <w:t xml:space="preserve"> Ne</w:t>
            </w:r>
          </w:p>
          <w:p w14:paraId="44F2D51C" w14:textId="3FC84E88" w:rsidR="000D06F9" w:rsidRPr="00421A32" w:rsidRDefault="00000000" w:rsidP="000D06F9">
            <w:pPr>
              <w:spacing w:line="276" w:lineRule="auto"/>
              <w:rPr>
                <w:rFonts w:eastAsia="Arial"/>
              </w:rPr>
            </w:pPr>
            <w:sdt>
              <w:sdtPr>
                <w:alias w:val="Nurodykite konkrečią dieną"/>
                <w:tag w:val="Nurodykite pradžios datą"/>
                <w:id w:val="1072468416"/>
                <w:placeholder>
                  <w:docPart w:val="1065FF82B3DB45A2BFA6AEC75EA6EB2B"/>
                </w:placeholder>
                <w:showingPlcHdr/>
                <w:date>
                  <w:dateFormat w:val="yyyy 'm.' MMMM d 'd.'"/>
                  <w:lid w:val="lt-LT"/>
                  <w:storeMappedDataAs w:val="dateTime"/>
                  <w:calendar w:val="gregorian"/>
                </w:date>
              </w:sdtPr>
              <w:sdtContent>
                <w:r w:rsidR="000D06F9" w:rsidRPr="00421A32">
                  <w:rPr>
                    <w:rStyle w:val="Vietosrezervavimoenklotekstas"/>
                  </w:rPr>
                  <w:t>Click here to enter a date.</w:t>
                </w:r>
              </w:sdtContent>
            </w:sdt>
          </w:p>
        </w:tc>
        <w:tc>
          <w:tcPr>
            <w:tcW w:w="5076" w:type="dxa"/>
            <w:gridSpan w:val="2"/>
          </w:tcPr>
          <w:p w14:paraId="32E676D4" w14:textId="4FB842FD" w:rsidR="000D06F9" w:rsidRPr="00421A32" w:rsidRDefault="000D06F9" w:rsidP="000D06F9">
            <w:pPr>
              <w:spacing w:line="276" w:lineRule="auto"/>
              <w:rPr>
                <w:rFonts w:eastAsia="Arial"/>
              </w:rPr>
            </w:pPr>
            <w:r w:rsidRPr="00421A32">
              <w:rPr>
                <w:rFonts w:eastAsia="Arial"/>
              </w:rPr>
              <w:t>–</w:t>
            </w:r>
          </w:p>
        </w:tc>
      </w:tr>
      <w:tr w:rsidR="000D06F9" w:rsidRPr="00421A32" w14:paraId="4F35F96B" w14:textId="77777777" w:rsidTr="00C37157">
        <w:trPr>
          <w:trHeight w:val="1927"/>
        </w:trPr>
        <w:tc>
          <w:tcPr>
            <w:tcW w:w="2927" w:type="dxa"/>
          </w:tcPr>
          <w:p w14:paraId="3D808AE8" w14:textId="77777777" w:rsidR="000D06F9" w:rsidRPr="00421A32" w:rsidRDefault="000D06F9" w:rsidP="000D06F9">
            <w:pPr>
              <w:spacing w:line="276" w:lineRule="auto"/>
              <w:rPr>
                <w:rFonts w:eastAsia="Arial"/>
              </w:rPr>
            </w:pPr>
            <w:r w:rsidRPr="00421A32">
              <w:rPr>
                <w:rFonts w:eastAsia="Arial"/>
              </w:rPr>
              <w:t xml:space="preserve">Nacionalinis </w:t>
            </w:r>
            <w:proofErr w:type="spellStart"/>
            <w:r w:rsidRPr="00421A32">
              <w:rPr>
                <w:rFonts w:eastAsia="Arial"/>
              </w:rPr>
              <w:t>farmakoekonomikos</w:t>
            </w:r>
            <w:proofErr w:type="spellEnd"/>
            <w:r w:rsidRPr="00421A32">
              <w:rPr>
                <w:rFonts w:eastAsia="Arial"/>
              </w:rPr>
              <w:t xml:space="preserve"> centras, Airija</w:t>
            </w:r>
          </w:p>
          <w:p w14:paraId="075DBF3A" w14:textId="77777777" w:rsidR="000D06F9" w:rsidRPr="00421A32" w:rsidRDefault="000D06F9" w:rsidP="000D06F9">
            <w:pPr>
              <w:spacing w:line="276" w:lineRule="auto"/>
              <w:rPr>
                <w:rFonts w:eastAsia="Arial"/>
              </w:rPr>
            </w:pPr>
            <w:r w:rsidRPr="00421A32">
              <w:rPr>
                <w:rFonts w:eastAsia="Arial"/>
              </w:rPr>
              <w:t>(angl.</w:t>
            </w:r>
            <w:r w:rsidRPr="00421A32">
              <w:rPr>
                <w:rFonts w:eastAsia="Arial"/>
                <w:i/>
              </w:rPr>
              <w:t xml:space="preserve"> </w:t>
            </w:r>
            <w:proofErr w:type="spellStart"/>
            <w:r w:rsidRPr="00421A32">
              <w:rPr>
                <w:rFonts w:eastAsia="Arial"/>
                <w:i/>
              </w:rPr>
              <w:t>National</w:t>
            </w:r>
            <w:proofErr w:type="spellEnd"/>
            <w:r w:rsidRPr="00421A32">
              <w:rPr>
                <w:rFonts w:eastAsia="Arial"/>
                <w:i/>
              </w:rPr>
              <w:t xml:space="preserve"> Centre </w:t>
            </w:r>
            <w:proofErr w:type="spellStart"/>
            <w:r w:rsidRPr="00421A32">
              <w:rPr>
                <w:rFonts w:eastAsia="Arial"/>
                <w:i/>
              </w:rPr>
              <w:t>for</w:t>
            </w:r>
            <w:proofErr w:type="spellEnd"/>
            <w:r w:rsidRPr="00421A32">
              <w:rPr>
                <w:rFonts w:eastAsia="Arial"/>
                <w:i/>
              </w:rPr>
              <w:t xml:space="preserve"> </w:t>
            </w:r>
            <w:proofErr w:type="spellStart"/>
            <w:r w:rsidRPr="00421A32">
              <w:rPr>
                <w:rFonts w:eastAsia="Arial"/>
                <w:i/>
              </w:rPr>
              <w:t>Pharmacoeconomics</w:t>
            </w:r>
            <w:proofErr w:type="spellEnd"/>
            <w:r w:rsidRPr="00421A32">
              <w:rPr>
                <w:rFonts w:eastAsia="Arial"/>
                <w:i/>
              </w:rPr>
              <w:t>, NCPE</w:t>
            </w:r>
            <w:r w:rsidRPr="00421A32">
              <w:rPr>
                <w:rFonts w:eastAsia="Arial"/>
              </w:rPr>
              <w:t>)</w:t>
            </w:r>
          </w:p>
        </w:tc>
        <w:tc>
          <w:tcPr>
            <w:tcW w:w="1915" w:type="dxa"/>
          </w:tcPr>
          <w:p w14:paraId="66CF3F71" w14:textId="77777777" w:rsidR="000D06F9" w:rsidRPr="00421A32" w:rsidRDefault="00000000" w:rsidP="000D06F9">
            <w:sdt>
              <w:sdtPr>
                <w:rPr>
                  <w:rStyle w:val="Style2"/>
                </w:rPr>
                <w:id w:val="-1888403732"/>
                <w14:checkbox>
                  <w14:checked w14:val="0"/>
                  <w14:checkedState w14:val="2612" w14:font="MS Gothic"/>
                  <w14:uncheckedState w14:val="2610" w14:font="MS Gothic"/>
                </w14:checkbox>
              </w:sdtPr>
              <w:sdtContent>
                <w:r w:rsidR="000D06F9" w:rsidRPr="00421A32">
                  <w:rPr>
                    <w:rStyle w:val="Style2"/>
                    <w:rFonts w:ascii="MS Gothic" w:eastAsia="MS Gothic" w:hAnsi="MS Gothic"/>
                  </w:rPr>
                  <w:t>☐</w:t>
                </w:r>
              </w:sdtContent>
            </w:sdt>
            <w:r w:rsidR="000D06F9" w:rsidRPr="00421A32">
              <w:t xml:space="preserve"> Taip</w:t>
            </w:r>
          </w:p>
          <w:p w14:paraId="37C1C2D2" w14:textId="77777777" w:rsidR="000D06F9" w:rsidRPr="00421A32" w:rsidRDefault="00000000" w:rsidP="000D06F9">
            <w:sdt>
              <w:sdtPr>
                <w:rPr>
                  <w:rStyle w:val="Style2"/>
                </w:rPr>
                <w:id w:val="1092201793"/>
                <w14:checkbox>
                  <w14:checked w14:val="1"/>
                  <w14:checkedState w14:val="2612" w14:font="MS Gothic"/>
                  <w14:uncheckedState w14:val="2610" w14:font="MS Gothic"/>
                </w14:checkbox>
              </w:sdtPr>
              <w:sdtContent>
                <w:r w:rsidR="000D06F9" w:rsidRPr="00421A32">
                  <w:rPr>
                    <w:rStyle w:val="Style2"/>
                    <w:rFonts w:ascii="MS Gothic" w:eastAsia="MS Gothic" w:hAnsi="MS Gothic"/>
                  </w:rPr>
                  <w:t>☒</w:t>
                </w:r>
              </w:sdtContent>
            </w:sdt>
            <w:r w:rsidR="000D06F9" w:rsidRPr="00421A32">
              <w:t xml:space="preserve"> Ne</w:t>
            </w:r>
          </w:p>
          <w:p w14:paraId="5F1371C5" w14:textId="1F5BB3EE" w:rsidR="000D06F9" w:rsidRPr="00421A32" w:rsidRDefault="00000000" w:rsidP="000D06F9">
            <w:pPr>
              <w:spacing w:line="276" w:lineRule="auto"/>
              <w:rPr>
                <w:rFonts w:eastAsia="Arial"/>
              </w:rPr>
            </w:pPr>
            <w:sdt>
              <w:sdtPr>
                <w:alias w:val="Nurodykite konkrečią dieną"/>
                <w:tag w:val="Nurodykite pradžios datą"/>
                <w:id w:val="-198323198"/>
                <w:placeholder>
                  <w:docPart w:val="D8DC1B7B2E9B48DE81CCD0F75AC01B94"/>
                </w:placeholder>
                <w:showingPlcHdr/>
                <w:date>
                  <w:dateFormat w:val="yyyy 'm.' MMMM d 'd.'"/>
                  <w:lid w:val="lt-LT"/>
                  <w:storeMappedDataAs w:val="dateTime"/>
                  <w:calendar w:val="gregorian"/>
                </w:date>
              </w:sdtPr>
              <w:sdtContent>
                <w:r w:rsidR="000D06F9" w:rsidRPr="00421A32">
                  <w:rPr>
                    <w:rStyle w:val="Vietosrezervavimoenklotekstas"/>
                  </w:rPr>
                  <w:t>Click here to enter a date.</w:t>
                </w:r>
              </w:sdtContent>
            </w:sdt>
          </w:p>
        </w:tc>
        <w:tc>
          <w:tcPr>
            <w:tcW w:w="5076" w:type="dxa"/>
            <w:gridSpan w:val="2"/>
          </w:tcPr>
          <w:p w14:paraId="257960A4" w14:textId="7FF62C90" w:rsidR="000D06F9" w:rsidRPr="00421A32" w:rsidRDefault="000D06F9" w:rsidP="000D06F9">
            <w:pPr>
              <w:spacing w:line="276" w:lineRule="auto"/>
              <w:rPr>
                <w:rFonts w:eastAsia="Arial"/>
              </w:rPr>
            </w:pPr>
            <w:r w:rsidRPr="00421A32">
              <w:rPr>
                <w:rFonts w:eastAsia="Arial"/>
              </w:rPr>
              <w:t>–</w:t>
            </w:r>
          </w:p>
          <w:p w14:paraId="178472D4" w14:textId="19240C6A" w:rsidR="000D06F9" w:rsidRPr="00421A32" w:rsidRDefault="000D06F9" w:rsidP="000D06F9">
            <w:pPr>
              <w:spacing w:line="276" w:lineRule="auto"/>
              <w:rPr>
                <w:rFonts w:eastAsia="Arial"/>
              </w:rPr>
            </w:pPr>
          </w:p>
        </w:tc>
      </w:tr>
    </w:tbl>
    <w:p w14:paraId="73290081" w14:textId="77777777" w:rsidR="007A2B68" w:rsidRPr="00421A32" w:rsidRDefault="007A2B68">
      <w:pPr>
        <w:rPr>
          <w:b/>
          <w:bCs/>
          <w:caps/>
        </w:rPr>
      </w:pPr>
      <w:r w:rsidRPr="00421A32">
        <w:rPr>
          <w:b/>
          <w:bCs/>
          <w:caps/>
        </w:rPr>
        <w:br w:type="page"/>
      </w:r>
    </w:p>
    <w:p w14:paraId="5055E8A8" w14:textId="471A9757" w:rsidR="002E6F80" w:rsidRPr="00421A32" w:rsidRDefault="00CC7832" w:rsidP="00CC09D4">
      <w:pPr>
        <w:pStyle w:val="Sraopastraipa"/>
        <w:numPr>
          <w:ilvl w:val="0"/>
          <w:numId w:val="12"/>
        </w:numPr>
        <w:tabs>
          <w:tab w:val="left" w:pos="567"/>
        </w:tabs>
        <w:ind w:hanging="720"/>
        <w:rPr>
          <w:b/>
          <w:bCs/>
          <w:caps/>
        </w:rPr>
      </w:pPr>
      <w:r w:rsidRPr="00421A32">
        <w:rPr>
          <w:b/>
          <w:bCs/>
          <w:caps/>
        </w:rPr>
        <w:lastRenderedPageBreak/>
        <w:t>Klinikinio vertinimo a</w:t>
      </w:r>
      <w:r w:rsidR="00D4485B" w:rsidRPr="00421A32">
        <w:rPr>
          <w:b/>
          <w:bCs/>
          <w:caps/>
        </w:rPr>
        <w:t>pibendrinimas</w:t>
      </w:r>
    </w:p>
    <w:p w14:paraId="61039A30" w14:textId="77777777" w:rsidR="00861400" w:rsidRPr="00421A32" w:rsidRDefault="00861400" w:rsidP="00135175">
      <w:pPr>
        <w:tabs>
          <w:tab w:val="left" w:pos="426"/>
        </w:tabs>
        <w:spacing w:line="276" w:lineRule="auto"/>
        <w:jc w:val="both"/>
        <w:rPr>
          <w:rFonts w:eastAsia="Arial"/>
          <w:color w:val="000000" w:themeColor="text1"/>
        </w:rPr>
      </w:pPr>
      <w:r w:rsidRPr="00421A32">
        <w:rPr>
          <w:rFonts w:eastAsia="Arial"/>
          <w:color w:val="000000" w:themeColor="text1"/>
        </w:rPr>
        <w:tab/>
      </w:r>
    </w:p>
    <w:p w14:paraId="7B11288B" w14:textId="77777777" w:rsidR="00C86BEC" w:rsidRPr="00C86BEC" w:rsidRDefault="00C86BEC" w:rsidP="00C86BEC">
      <w:pPr>
        <w:spacing w:line="276" w:lineRule="auto"/>
        <w:ind w:firstLine="720"/>
        <w:jc w:val="both"/>
        <w:rPr>
          <w:rFonts w:eastAsia="Arial"/>
          <w:iCs/>
          <w:color w:val="000000"/>
        </w:rPr>
      </w:pPr>
      <w:r w:rsidRPr="00C86BEC">
        <w:rPr>
          <w:rFonts w:eastAsia="Arial"/>
          <w:iCs/>
          <w:color w:val="000000"/>
        </w:rPr>
        <w:t xml:space="preserve">Skrandžio ir </w:t>
      </w:r>
      <w:proofErr w:type="spellStart"/>
      <w:r w:rsidRPr="00C86BEC">
        <w:rPr>
          <w:rFonts w:eastAsia="Arial"/>
          <w:iCs/>
          <w:color w:val="000000"/>
        </w:rPr>
        <w:t>gastroezofaginės</w:t>
      </w:r>
      <w:proofErr w:type="spellEnd"/>
      <w:r w:rsidRPr="00C86BEC">
        <w:rPr>
          <w:rFonts w:eastAsia="Arial"/>
          <w:iCs/>
          <w:color w:val="000000"/>
        </w:rPr>
        <w:t xml:space="preserve"> jungties (S/GEJ) </w:t>
      </w:r>
      <w:proofErr w:type="spellStart"/>
      <w:r w:rsidRPr="00C86BEC">
        <w:rPr>
          <w:rFonts w:eastAsia="Arial"/>
          <w:iCs/>
          <w:color w:val="000000"/>
        </w:rPr>
        <w:t>adenokarcinoma</w:t>
      </w:r>
      <w:proofErr w:type="spellEnd"/>
      <w:r w:rsidRPr="00C86BEC">
        <w:rPr>
          <w:rFonts w:eastAsia="Arial"/>
          <w:iCs/>
          <w:color w:val="000000"/>
        </w:rPr>
        <w:t xml:space="preserve"> išsivysto iš užsitęsusio epitelio uždegimo proceso, kuris progresuoja į </w:t>
      </w:r>
      <w:proofErr w:type="spellStart"/>
      <w:r w:rsidRPr="00C86BEC">
        <w:rPr>
          <w:rFonts w:eastAsia="Arial"/>
          <w:iCs/>
          <w:color w:val="000000"/>
        </w:rPr>
        <w:t>metaplaziją</w:t>
      </w:r>
      <w:proofErr w:type="spellEnd"/>
      <w:r w:rsidRPr="00C86BEC">
        <w:rPr>
          <w:rFonts w:eastAsia="Arial"/>
          <w:iCs/>
          <w:color w:val="000000"/>
        </w:rPr>
        <w:t xml:space="preserve">, displaziją ir galiausiai piktybinį naviką. Nors pasaulyje skrandžio </w:t>
      </w:r>
      <w:proofErr w:type="spellStart"/>
      <w:r w:rsidRPr="00C86BEC">
        <w:rPr>
          <w:rFonts w:eastAsia="Arial"/>
          <w:iCs/>
          <w:color w:val="000000"/>
        </w:rPr>
        <w:t>adenokarcinoma</w:t>
      </w:r>
      <w:proofErr w:type="spellEnd"/>
      <w:r w:rsidRPr="00C86BEC">
        <w:rPr>
          <w:rFonts w:eastAsia="Arial"/>
          <w:iCs/>
          <w:color w:val="000000"/>
        </w:rPr>
        <w:t xml:space="preserve"> nustatoma dažniau nei GEJ navikai, pastarųjų dažnis didėja, ypač išsivysčiusiose šalyse. Skrandžio vėžys vis dar išlieka penkta dažniausia onkologinė liga ir pagrindinė mirčių priežastis. Lietuvoje sergamumas išlieka vienas didžiausių ES, o vyrų sergamumas daugiau nei du kartus viršija moterų. Dauguma pacientų diagnozuojami vėlyvose ligos stadijose dėl neryškių pradinių simptomų, todėl dažniausiai taikomas sisteminis </w:t>
      </w:r>
      <w:proofErr w:type="spellStart"/>
      <w:r w:rsidRPr="00C86BEC">
        <w:rPr>
          <w:rFonts w:eastAsia="Arial"/>
          <w:iCs/>
          <w:color w:val="000000"/>
        </w:rPr>
        <w:t>paliatyvus</w:t>
      </w:r>
      <w:proofErr w:type="spellEnd"/>
      <w:r w:rsidRPr="00C86BEC">
        <w:rPr>
          <w:rFonts w:eastAsia="Arial"/>
          <w:iCs/>
          <w:color w:val="000000"/>
        </w:rPr>
        <w:t xml:space="preserve"> gydymas. </w:t>
      </w:r>
    </w:p>
    <w:p w14:paraId="5C4D60BE" w14:textId="78D960A3" w:rsidR="00C86BEC" w:rsidRPr="00C86BEC" w:rsidRDefault="00C86BEC" w:rsidP="00C86BEC">
      <w:pPr>
        <w:spacing w:line="276" w:lineRule="auto"/>
        <w:ind w:firstLine="720"/>
        <w:jc w:val="both"/>
        <w:rPr>
          <w:rFonts w:eastAsia="Arial"/>
          <w:iCs/>
          <w:color w:val="000000"/>
        </w:rPr>
      </w:pPr>
      <w:r w:rsidRPr="00C86BEC">
        <w:rPr>
          <w:rFonts w:eastAsia="Arial"/>
          <w:iCs/>
          <w:color w:val="000000"/>
        </w:rPr>
        <w:t xml:space="preserve">Lietuvoje gydant pacientus sergančius GEJ ir skrandžio vėžiu dažniausiai skiriamas </w:t>
      </w:r>
      <w:proofErr w:type="spellStart"/>
      <w:r w:rsidRPr="00C86BEC">
        <w:rPr>
          <w:rFonts w:eastAsia="Arial"/>
          <w:iCs/>
          <w:color w:val="000000"/>
        </w:rPr>
        <w:t>oksliplatinos</w:t>
      </w:r>
      <w:proofErr w:type="spellEnd"/>
      <w:r w:rsidRPr="00C86BEC">
        <w:rPr>
          <w:rFonts w:eastAsia="Arial"/>
          <w:iCs/>
          <w:color w:val="000000"/>
        </w:rPr>
        <w:t xml:space="preserve"> ir </w:t>
      </w:r>
      <w:proofErr w:type="spellStart"/>
      <w:r w:rsidRPr="00C86BEC">
        <w:rPr>
          <w:rFonts w:eastAsia="Arial"/>
          <w:iCs/>
          <w:color w:val="000000"/>
        </w:rPr>
        <w:t>kapecitabino</w:t>
      </w:r>
      <w:proofErr w:type="spellEnd"/>
      <w:r w:rsidRPr="00C86BEC">
        <w:rPr>
          <w:rFonts w:eastAsia="Arial"/>
          <w:iCs/>
          <w:color w:val="000000"/>
        </w:rPr>
        <w:t xml:space="preserve"> derinys (skrandžio </w:t>
      </w:r>
      <w:proofErr w:type="spellStart"/>
      <w:r w:rsidRPr="00C86BEC">
        <w:rPr>
          <w:rFonts w:eastAsia="Arial"/>
          <w:iCs/>
          <w:color w:val="000000"/>
        </w:rPr>
        <w:t>adenokarcinoma</w:t>
      </w:r>
      <w:proofErr w:type="spellEnd"/>
      <w:r w:rsidRPr="00C86BEC">
        <w:rPr>
          <w:rFonts w:eastAsia="Arial"/>
          <w:iCs/>
          <w:color w:val="000000"/>
        </w:rPr>
        <w:t xml:space="preserve"> bei GEJ </w:t>
      </w:r>
      <w:proofErr w:type="spellStart"/>
      <w:r w:rsidRPr="00C86BEC">
        <w:rPr>
          <w:rFonts w:eastAsia="Arial"/>
          <w:iCs/>
          <w:color w:val="000000"/>
        </w:rPr>
        <w:t>adenokarcinoma</w:t>
      </w:r>
      <w:proofErr w:type="spellEnd"/>
      <w:r w:rsidRPr="00C86BEC">
        <w:rPr>
          <w:rFonts w:eastAsia="Arial"/>
          <w:iCs/>
          <w:color w:val="000000"/>
        </w:rPr>
        <w:t xml:space="preserve"> – po </w:t>
      </w:r>
      <w:r w:rsidR="0079311A">
        <w:rPr>
          <w:rFonts w:eastAsia="Arial"/>
          <w:iCs/>
          <w:color w:val="000000"/>
        </w:rPr>
        <w:t>***</w:t>
      </w:r>
      <w:r w:rsidRPr="00C86BEC">
        <w:rPr>
          <w:rFonts w:eastAsia="Arial"/>
          <w:iCs/>
          <w:color w:val="000000"/>
        </w:rPr>
        <w:t xml:space="preserve"> proc.). Kiti rečiau skiriami deriniai yra  </w:t>
      </w:r>
      <w:proofErr w:type="spellStart"/>
      <w:r w:rsidRPr="00C86BEC">
        <w:rPr>
          <w:rFonts w:eastAsia="Arial"/>
          <w:iCs/>
          <w:color w:val="000000"/>
        </w:rPr>
        <w:t>oksaliplatina</w:t>
      </w:r>
      <w:proofErr w:type="spellEnd"/>
      <w:r w:rsidRPr="00C86BEC">
        <w:rPr>
          <w:rFonts w:eastAsia="Arial"/>
          <w:iCs/>
          <w:color w:val="000000"/>
        </w:rPr>
        <w:t xml:space="preserve"> ir 5-FU (skiriamas </w:t>
      </w:r>
      <w:r w:rsidR="0079311A">
        <w:rPr>
          <w:rFonts w:eastAsia="Arial"/>
          <w:iCs/>
          <w:color w:val="000000"/>
        </w:rPr>
        <w:t>***</w:t>
      </w:r>
      <w:r w:rsidRPr="00C86BEC">
        <w:rPr>
          <w:rFonts w:eastAsia="Arial"/>
          <w:iCs/>
          <w:color w:val="000000"/>
        </w:rPr>
        <w:t xml:space="preserve"> proc. skrandžio </w:t>
      </w:r>
      <w:proofErr w:type="spellStart"/>
      <w:r w:rsidRPr="00C86BEC">
        <w:rPr>
          <w:rFonts w:eastAsia="Arial"/>
          <w:iCs/>
          <w:color w:val="000000"/>
        </w:rPr>
        <w:t>adenokarcinomos</w:t>
      </w:r>
      <w:proofErr w:type="spellEnd"/>
      <w:r w:rsidRPr="00C86BEC">
        <w:rPr>
          <w:rFonts w:eastAsia="Arial"/>
          <w:iCs/>
          <w:color w:val="000000"/>
        </w:rPr>
        <w:t xml:space="preserve"> bei GEJ </w:t>
      </w:r>
      <w:proofErr w:type="spellStart"/>
      <w:r w:rsidRPr="00C86BEC">
        <w:rPr>
          <w:rFonts w:eastAsia="Arial"/>
          <w:iCs/>
          <w:color w:val="000000"/>
        </w:rPr>
        <w:t>adenokarcinomos</w:t>
      </w:r>
      <w:proofErr w:type="spellEnd"/>
      <w:r w:rsidRPr="00C86BEC">
        <w:rPr>
          <w:rFonts w:eastAsia="Arial"/>
          <w:iCs/>
          <w:color w:val="000000"/>
        </w:rPr>
        <w:t xml:space="preserve"> atvejų), </w:t>
      </w:r>
      <w:proofErr w:type="spellStart"/>
      <w:r w:rsidRPr="00C86BEC">
        <w:rPr>
          <w:rFonts w:eastAsia="Arial"/>
          <w:iCs/>
          <w:color w:val="000000"/>
        </w:rPr>
        <w:t>ciplatina</w:t>
      </w:r>
      <w:proofErr w:type="spellEnd"/>
      <w:r w:rsidRPr="00C86BEC">
        <w:rPr>
          <w:rFonts w:eastAsia="Arial"/>
          <w:iCs/>
          <w:color w:val="000000"/>
        </w:rPr>
        <w:t xml:space="preserve"> ir </w:t>
      </w:r>
      <w:proofErr w:type="spellStart"/>
      <w:r w:rsidRPr="00C86BEC">
        <w:rPr>
          <w:rFonts w:eastAsia="Arial"/>
          <w:iCs/>
          <w:color w:val="000000"/>
        </w:rPr>
        <w:t>kapecitabinas</w:t>
      </w:r>
      <w:proofErr w:type="spellEnd"/>
      <w:r w:rsidRPr="00C86BEC">
        <w:rPr>
          <w:rFonts w:eastAsia="Arial"/>
          <w:iCs/>
          <w:color w:val="000000"/>
        </w:rPr>
        <w:t xml:space="preserve"> (skiriamas </w:t>
      </w:r>
      <w:r w:rsidR="0079311A">
        <w:rPr>
          <w:rFonts w:eastAsia="Arial"/>
          <w:iCs/>
          <w:color w:val="000000"/>
        </w:rPr>
        <w:t>***</w:t>
      </w:r>
      <w:r w:rsidRPr="00C86BEC">
        <w:rPr>
          <w:rFonts w:eastAsia="Arial"/>
          <w:iCs/>
          <w:color w:val="000000"/>
        </w:rPr>
        <w:t xml:space="preserve"> proc. skrandžio </w:t>
      </w:r>
      <w:proofErr w:type="spellStart"/>
      <w:r w:rsidRPr="00C86BEC">
        <w:rPr>
          <w:rFonts w:eastAsia="Arial"/>
          <w:iCs/>
          <w:color w:val="000000"/>
        </w:rPr>
        <w:t>adenokarcinomos</w:t>
      </w:r>
      <w:proofErr w:type="spellEnd"/>
      <w:r w:rsidRPr="00C86BEC">
        <w:rPr>
          <w:rFonts w:eastAsia="Arial"/>
          <w:iCs/>
          <w:color w:val="000000"/>
        </w:rPr>
        <w:t xml:space="preserve"> bei GEJ </w:t>
      </w:r>
      <w:proofErr w:type="spellStart"/>
      <w:r w:rsidRPr="00C86BEC">
        <w:rPr>
          <w:rFonts w:eastAsia="Arial"/>
          <w:iCs/>
          <w:color w:val="000000"/>
        </w:rPr>
        <w:t>adenokarcinomos</w:t>
      </w:r>
      <w:proofErr w:type="spellEnd"/>
      <w:r w:rsidRPr="00C86BEC">
        <w:rPr>
          <w:rFonts w:eastAsia="Arial"/>
          <w:iCs/>
          <w:color w:val="000000"/>
        </w:rPr>
        <w:t xml:space="preserve"> atvejų), </w:t>
      </w:r>
      <w:proofErr w:type="spellStart"/>
      <w:r w:rsidRPr="00C86BEC">
        <w:rPr>
          <w:rFonts w:eastAsia="Arial"/>
          <w:iCs/>
          <w:color w:val="000000"/>
        </w:rPr>
        <w:t>cisplatina</w:t>
      </w:r>
      <w:proofErr w:type="spellEnd"/>
      <w:r w:rsidRPr="00C86BEC">
        <w:rPr>
          <w:rFonts w:eastAsia="Arial"/>
          <w:iCs/>
          <w:color w:val="000000"/>
        </w:rPr>
        <w:t xml:space="preserve"> ir 5-FU (&lt; </w:t>
      </w:r>
      <w:r w:rsidR="0079311A">
        <w:rPr>
          <w:rFonts w:eastAsia="Arial"/>
          <w:iCs/>
          <w:color w:val="000000"/>
        </w:rPr>
        <w:t>***</w:t>
      </w:r>
      <w:r w:rsidRPr="00C86BEC">
        <w:rPr>
          <w:rFonts w:eastAsia="Arial"/>
          <w:iCs/>
          <w:color w:val="000000"/>
        </w:rPr>
        <w:t xml:space="preserve"> proc. skrandžio </w:t>
      </w:r>
      <w:proofErr w:type="spellStart"/>
      <w:r w:rsidRPr="00C86BEC">
        <w:rPr>
          <w:rFonts w:eastAsia="Arial"/>
          <w:iCs/>
          <w:color w:val="000000"/>
        </w:rPr>
        <w:t>adenokarcinomos</w:t>
      </w:r>
      <w:proofErr w:type="spellEnd"/>
      <w:r w:rsidRPr="00C86BEC">
        <w:rPr>
          <w:rFonts w:eastAsia="Arial"/>
          <w:iCs/>
          <w:color w:val="000000"/>
        </w:rPr>
        <w:t xml:space="preserve"> atvejų). </w:t>
      </w:r>
    </w:p>
    <w:p w14:paraId="1F8549CB" w14:textId="284401F3" w:rsidR="00C86BEC" w:rsidRPr="00C86BEC" w:rsidRDefault="00C86BEC" w:rsidP="00C86BEC">
      <w:pPr>
        <w:spacing w:line="276" w:lineRule="auto"/>
        <w:ind w:firstLine="720"/>
        <w:jc w:val="both"/>
        <w:rPr>
          <w:rFonts w:eastAsia="Arial"/>
          <w:iCs/>
          <w:color w:val="000000"/>
        </w:rPr>
      </w:pPr>
      <w:r w:rsidRPr="00C86BEC">
        <w:rPr>
          <w:rFonts w:eastAsia="Arial"/>
          <w:iCs/>
          <w:color w:val="000000"/>
        </w:rPr>
        <w:t xml:space="preserve">Pagal paskutines ESMO ir NCCN rekomendacijas, pirmos eilės gydymui pacientams, kurių navikai </w:t>
      </w:r>
      <w:proofErr w:type="spellStart"/>
      <w:r w:rsidRPr="00C86BEC">
        <w:rPr>
          <w:rFonts w:eastAsia="Arial"/>
          <w:iCs/>
          <w:color w:val="000000"/>
        </w:rPr>
        <w:t>ekspresuoja</w:t>
      </w:r>
      <w:proofErr w:type="spellEnd"/>
      <w:r w:rsidRPr="00C86BEC">
        <w:rPr>
          <w:rFonts w:eastAsia="Arial"/>
          <w:iCs/>
          <w:color w:val="000000"/>
        </w:rPr>
        <w:t xml:space="preserve"> PD-L1, siūlomi deriniai su imuninės kontrolės inhibitoriais. </w:t>
      </w:r>
      <w:proofErr w:type="spellStart"/>
      <w:r w:rsidRPr="00C86BEC">
        <w:rPr>
          <w:rFonts w:eastAsia="Arial"/>
          <w:iCs/>
          <w:color w:val="000000"/>
        </w:rPr>
        <w:t>Tislelizumabas</w:t>
      </w:r>
      <w:proofErr w:type="spellEnd"/>
      <w:r w:rsidRPr="00C86BEC">
        <w:rPr>
          <w:rFonts w:eastAsia="Arial"/>
          <w:iCs/>
          <w:color w:val="000000"/>
        </w:rPr>
        <w:t xml:space="preserve"> taip pat įtrauktas į rekomendacijas kaip galimas pasirinkimas, ypač pacientams, kurių PD-L1 TAP rodmuo yra ≥</w:t>
      </w:r>
      <w:r w:rsidR="0079311A">
        <w:rPr>
          <w:rFonts w:eastAsia="Arial"/>
          <w:iCs/>
          <w:color w:val="000000"/>
        </w:rPr>
        <w:t>***</w:t>
      </w:r>
      <w:r w:rsidRPr="00C86BEC">
        <w:rPr>
          <w:rFonts w:eastAsia="Arial"/>
          <w:iCs/>
          <w:color w:val="000000"/>
        </w:rPr>
        <w:t xml:space="preserve"> %. 2025 m. ESMO papildomose gairėse šis derinys pripažintas tinkamu pirmos eilės gydymui esant išplitusiai stemplės plokščiųjų ląstelių karcinomai. </w:t>
      </w:r>
    </w:p>
    <w:p w14:paraId="1EB489AF" w14:textId="77777777" w:rsidR="0061787B" w:rsidRDefault="0061787B" w:rsidP="0061787B">
      <w:pPr>
        <w:spacing w:line="276" w:lineRule="auto"/>
        <w:ind w:firstLine="720"/>
        <w:jc w:val="both"/>
        <w:rPr>
          <w:rFonts w:eastAsia="Arial"/>
          <w:iCs/>
          <w:color w:val="000000"/>
        </w:rPr>
      </w:pPr>
      <w:r w:rsidRPr="00C86BEC">
        <w:rPr>
          <w:rFonts w:eastAsia="Arial"/>
          <w:iCs/>
          <w:color w:val="000000"/>
        </w:rPr>
        <w:t>Palyginamasis gydymas atitinka</w:t>
      </w:r>
      <w:r>
        <w:rPr>
          <w:rFonts w:eastAsia="Arial"/>
          <w:iCs/>
          <w:color w:val="000000"/>
        </w:rPr>
        <w:t>ntis</w:t>
      </w:r>
      <w:r w:rsidRPr="00C86BEC">
        <w:rPr>
          <w:rFonts w:eastAsia="Arial"/>
          <w:iCs/>
          <w:color w:val="000000"/>
        </w:rPr>
        <w:t xml:space="preserve"> Lietuvos Respublikos sveikatos apsaugos ministro 2002 m. balandžio 5 d. įsakym</w:t>
      </w:r>
      <w:r>
        <w:rPr>
          <w:rFonts w:eastAsia="Arial"/>
          <w:iCs/>
          <w:color w:val="000000"/>
        </w:rPr>
        <w:t>u</w:t>
      </w:r>
      <w:r w:rsidRPr="00C86BEC">
        <w:rPr>
          <w:rFonts w:eastAsia="Arial"/>
          <w:iCs/>
          <w:color w:val="000000"/>
        </w:rPr>
        <w:t xml:space="preserve"> Nr. V-159 „Dėl vaistinių preparatų ir medicinos pagalbos priemonių įrašymo į kompensavimo sąrašus ir jų keitimo tvarkos aprašo patvirtinimo“ </w:t>
      </w:r>
      <w:r>
        <w:rPr>
          <w:rFonts w:eastAsia="Arial"/>
          <w:iCs/>
          <w:color w:val="000000"/>
        </w:rPr>
        <w:t xml:space="preserve">patvirtintų </w:t>
      </w:r>
      <w:r w:rsidRPr="00815CE9">
        <w:rPr>
          <w:rFonts w:eastAsia="Arial"/>
          <w:iCs/>
          <w:color w:val="000000"/>
        </w:rPr>
        <w:t>„Paraiškos įrašyti vaistinį preparatą į kompensavimo sąrašus rengimo taisykl</w:t>
      </w:r>
      <w:r>
        <w:rPr>
          <w:rFonts w:eastAsia="Arial"/>
          <w:iCs/>
          <w:color w:val="000000"/>
        </w:rPr>
        <w:t>ių</w:t>
      </w:r>
      <w:r w:rsidRPr="00815CE9">
        <w:rPr>
          <w:rFonts w:eastAsia="Arial"/>
          <w:iCs/>
          <w:color w:val="000000"/>
        </w:rPr>
        <w:t>“</w:t>
      </w:r>
      <w:r>
        <w:rPr>
          <w:rFonts w:eastAsia="Arial"/>
          <w:b/>
          <w:bCs/>
          <w:iCs/>
          <w:color w:val="000000"/>
        </w:rPr>
        <w:t xml:space="preserve"> </w:t>
      </w:r>
      <w:r w:rsidRPr="00C86BEC">
        <w:rPr>
          <w:rFonts w:eastAsia="Arial"/>
          <w:iCs/>
          <w:color w:val="000000"/>
        </w:rPr>
        <w:t xml:space="preserve">116.1 </w:t>
      </w:r>
      <w:r>
        <w:rPr>
          <w:rFonts w:eastAsia="Arial"/>
          <w:iCs/>
          <w:color w:val="000000"/>
        </w:rPr>
        <w:t>pa</w:t>
      </w:r>
      <w:r w:rsidRPr="00C86BEC">
        <w:rPr>
          <w:rFonts w:eastAsia="Arial"/>
          <w:iCs/>
          <w:color w:val="000000"/>
        </w:rPr>
        <w:t>punkt</w:t>
      </w:r>
      <w:r>
        <w:rPr>
          <w:rFonts w:eastAsia="Arial"/>
          <w:iCs/>
          <w:color w:val="000000"/>
        </w:rPr>
        <w:t xml:space="preserve">į yra laikomas </w:t>
      </w:r>
      <w:r w:rsidRPr="00C86BEC">
        <w:rPr>
          <w:rFonts w:eastAsia="Arial"/>
          <w:iCs/>
          <w:color w:val="000000"/>
        </w:rPr>
        <w:t xml:space="preserve">S/GEJ pirmos eilės gydymas platinos ir </w:t>
      </w:r>
      <w:proofErr w:type="spellStart"/>
      <w:r w:rsidRPr="00C86BEC">
        <w:rPr>
          <w:rFonts w:eastAsia="Arial"/>
          <w:iCs/>
          <w:color w:val="000000"/>
        </w:rPr>
        <w:t>fluoropirimidino</w:t>
      </w:r>
      <w:proofErr w:type="spellEnd"/>
      <w:r w:rsidRPr="00C86BEC">
        <w:rPr>
          <w:rFonts w:eastAsia="Arial"/>
          <w:iCs/>
          <w:color w:val="000000"/>
        </w:rPr>
        <w:t xml:space="preserve"> deriniu</w:t>
      </w:r>
      <w:r>
        <w:rPr>
          <w:rFonts w:eastAsia="Arial"/>
          <w:iCs/>
          <w:color w:val="000000"/>
        </w:rPr>
        <w:t>.</w:t>
      </w:r>
      <w:r w:rsidRPr="00C86BEC">
        <w:rPr>
          <w:rFonts w:eastAsia="Arial"/>
          <w:iCs/>
          <w:color w:val="000000"/>
        </w:rPr>
        <w:t xml:space="preserve"> </w:t>
      </w:r>
    </w:p>
    <w:p w14:paraId="0F12C9CE" w14:textId="550FF43C" w:rsidR="0061787B" w:rsidRPr="00C86BEC" w:rsidRDefault="0061787B" w:rsidP="0061787B">
      <w:pPr>
        <w:spacing w:line="276" w:lineRule="auto"/>
        <w:ind w:firstLine="720"/>
        <w:jc w:val="both"/>
        <w:rPr>
          <w:rFonts w:eastAsia="Arial"/>
          <w:iCs/>
        </w:rPr>
      </w:pPr>
      <w:r w:rsidRPr="00C86BEC">
        <w:rPr>
          <w:rFonts w:eastAsia="Arial"/>
        </w:rPr>
        <w:t xml:space="preserve">Atsižvelgiant į </w:t>
      </w:r>
      <w:proofErr w:type="spellStart"/>
      <w:r w:rsidRPr="00C86BEC">
        <w:rPr>
          <w:rFonts w:eastAsia="Arial"/>
        </w:rPr>
        <w:t>tislelizumabo</w:t>
      </w:r>
      <w:proofErr w:type="spellEnd"/>
      <w:r w:rsidRPr="00C86BEC">
        <w:rPr>
          <w:rFonts w:eastAsia="Arial"/>
          <w:iCs/>
        </w:rPr>
        <w:t xml:space="preserve"> registruotas terapines indikacijas, jis turi būti skiriamas kartu su chemoterapija platinos ir </w:t>
      </w:r>
      <w:proofErr w:type="spellStart"/>
      <w:r w:rsidRPr="00C86BEC">
        <w:rPr>
          <w:rFonts w:eastAsia="Arial"/>
          <w:iCs/>
        </w:rPr>
        <w:t>fluoropirimidino</w:t>
      </w:r>
      <w:proofErr w:type="spellEnd"/>
      <w:r w:rsidRPr="00C86BEC">
        <w:rPr>
          <w:rFonts w:eastAsia="Arial"/>
          <w:iCs/>
        </w:rPr>
        <w:t xml:space="preserve"> pagrindu, suaugusiems pacientams, sergantiems HER-2 neigiama vietiškai išplitusia, neoperuotina arba </w:t>
      </w:r>
      <w:proofErr w:type="spellStart"/>
      <w:r w:rsidRPr="00C86BEC">
        <w:rPr>
          <w:rFonts w:eastAsia="Arial"/>
          <w:iCs/>
        </w:rPr>
        <w:t>metastazavusia</w:t>
      </w:r>
      <w:proofErr w:type="spellEnd"/>
      <w:r w:rsidRPr="00C86BEC">
        <w:rPr>
          <w:rFonts w:eastAsia="Arial"/>
          <w:iCs/>
        </w:rPr>
        <w:t xml:space="preserve"> </w:t>
      </w:r>
      <w:r w:rsidRPr="00C86BEC">
        <w:rPr>
          <w:rFonts w:eastAsia="Arial"/>
          <w:b/>
          <w:bCs/>
          <w:i/>
        </w:rPr>
        <w:t xml:space="preserve">skrandžio arba </w:t>
      </w:r>
      <w:proofErr w:type="spellStart"/>
      <w:r w:rsidRPr="00C86BEC">
        <w:rPr>
          <w:rFonts w:eastAsia="Arial"/>
          <w:b/>
          <w:bCs/>
          <w:i/>
        </w:rPr>
        <w:t>gastroezofaginės</w:t>
      </w:r>
      <w:proofErr w:type="spellEnd"/>
      <w:r w:rsidRPr="00C86BEC">
        <w:rPr>
          <w:rFonts w:eastAsia="Arial"/>
          <w:b/>
          <w:bCs/>
          <w:i/>
        </w:rPr>
        <w:t xml:space="preserve"> jungties (S/GEJ) </w:t>
      </w:r>
      <w:proofErr w:type="spellStart"/>
      <w:r w:rsidRPr="00C86BEC">
        <w:rPr>
          <w:rFonts w:eastAsia="Arial"/>
          <w:b/>
          <w:bCs/>
          <w:i/>
        </w:rPr>
        <w:t>adenokarcinoma</w:t>
      </w:r>
      <w:proofErr w:type="spellEnd"/>
      <w:r w:rsidRPr="00C86BEC">
        <w:rPr>
          <w:rFonts w:eastAsia="Arial"/>
          <w:iCs/>
        </w:rPr>
        <w:t xml:space="preserve">,  su PD-L1 raiška, kai naviko srities teigiamumo (angl. </w:t>
      </w:r>
      <w:proofErr w:type="spellStart"/>
      <w:r w:rsidRPr="00C86BEC">
        <w:rPr>
          <w:rFonts w:eastAsia="Arial"/>
          <w:i/>
        </w:rPr>
        <w:t>tumour</w:t>
      </w:r>
      <w:proofErr w:type="spellEnd"/>
      <w:r w:rsidRPr="00C86BEC">
        <w:rPr>
          <w:rFonts w:eastAsia="Arial"/>
          <w:i/>
        </w:rPr>
        <w:t xml:space="preserve"> </w:t>
      </w:r>
      <w:proofErr w:type="spellStart"/>
      <w:r w:rsidRPr="00C86BEC">
        <w:rPr>
          <w:rFonts w:eastAsia="Arial"/>
          <w:i/>
        </w:rPr>
        <w:t>area</w:t>
      </w:r>
      <w:proofErr w:type="spellEnd"/>
      <w:r w:rsidRPr="00C86BEC">
        <w:rPr>
          <w:rFonts w:eastAsia="Arial"/>
          <w:i/>
        </w:rPr>
        <w:t xml:space="preserve"> </w:t>
      </w:r>
      <w:proofErr w:type="spellStart"/>
      <w:r w:rsidRPr="00C86BEC">
        <w:rPr>
          <w:rFonts w:eastAsia="Arial"/>
          <w:i/>
        </w:rPr>
        <w:t>positivity</w:t>
      </w:r>
      <w:proofErr w:type="spellEnd"/>
      <w:r w:rsidRPr="00C86BEC">
        <w:rPr>
          <w:rFonts w:eastAsia="Arial"/>
          <w:iCs/>
        </w:rPr>
        <w:t>, TAP) įvertis yra ≥</w:t>
      </w:r>
      <w:r w:rsidR="00050B5E">
        <w:rPr>
          <w:rFonts w:eastAsia="Arial"/>
          <w:iCs/>
        </w:rPr>
        <w:t>***</w:t>
      </w:r>
      <w:r w:rsidRPr="00C86BEC">
        <w:rPr>
          <w:rFonts w:eastAsia="Arial"/>
          <w:iCs/>
        </w:rPr>
        <w:t xml:space="preserve"> %, pirmos eilės gydymui. Todėl palyginamasis gydymas  -</w:t>
      </w:r>
      <w:r w:rsidRPr="00C86BEC">
        <w:t xml:space="preserve"> </w:t>
      </w:r>
      <w:proofErr w:type="spellStart"/>
      <w:r w:rsidRPr="00C86BEC">
        <w:rPr>
          <w:rFonts w:eastAsia="Arial"/>
          <w:iCs/>
        </w:rPr>
        <w:t>fluorpirimidino</w:t>
      </w:r>
      <w:proofErr w:type="spellEnd"/>
      <w:r w:rsidRPr="00C86BEC">
        <w:rPr>
          <w:rFonts w:eastAsia="Arial"/>
          <w:iCs/>
        </w:rPr>
        <w:t xml:space="preserve">, </w:t>
      </w:r>
      <w:proofErr w:type="spellStart"/>
      <w:r w:rsidRPr="00C86BEC">
        <w:rPr>
          <w:rFonts w:eastAsia="Arial"/>
          <w:iCs/>
        </w:rPr>
        <w:t>oksaliplatinos</w:t>
      </w:r>
      <w:proofErr w:type="spellEnd"/>
      <w:r w:rsidRPr="00C86BEC">
        <w:rPr>
          <w:rFonts w:eastAsia="Arial"/>
          <w:iCs/>
        </w:rPr>
        <w:t xml:space="preserve"> ar </w:t>
      </w:r>
      <w:proofErr w:type="spellStart"/>
      <w:r w:rsidRPr="00C86BEC">
        <w:rPr>
          <w:rFonts w:eastAsia="Arial"/>
          <w:iCs/>
        </w:rPr>
        <w:t>cisplatinos</w:t>
      </w:r>
      <w:proofErr w:type="spellEnd"/>
      <w:r w:rsidRPr="00C86BEC">
        <w:rPr>
          <w:rFonts w:eastAsia="Arial"/>
          <w:iCs/>
        </w:rPr>
        <w:t xml:space="preserve"> ir </w:t>
      </w:r>
      <w:proofErr w:type="spellStart"/>
      <w:r w:rsidRPr="00C86BEC">
        <w:rPr>
          <w:rFonts w:eastAsia="Arial"/>
          <w:iCs/>
        </w:rPr>
        <w:t>pembrolizumabo</w:t>
      </w:r>
      <w:proofErr w:type="spellEnd"/>
      <w:r w:rsidRPr="00C86BEC">
        <w:rPr>
          <w:rFonts w:eastAsia="Arial"/>
          <w:iCs/>
        </w:rPr>
        <w:t xml:space="preserve"> derinys – laikomas tinkamu, pacientams, kuriems nustatyta </w:t>
      </w:r>
      <w:proofErr w:type="spellStart"/>
      <w:r w:rsidRPr="00C86BEC">
        <w:rPr>
          <w:rFonts w:eastAsia="Arial"/>
          <w:b/>
          <w:bCs/>
          <w:i/>
        </w:rPr>
        <w:t>gastroezofaginės</w:t>
      </w:r>
      <w:proofErr w:type="spellEnd"/>
      <w:r w:rsidRPr="00C86BEC">
        <w:rPr>
          <w:rFonts w:eastAsia="Arial"/>
          <w:b/>
          <w:bCs/>
          <w:i/>
        </w:rPr>
        <w:t xml:space="preserve"> jungties (S/GEJ) </w:t>
      </w:r>
      <w:proofErr w:type="spellStart"/>
      <w:r w:rsidRPr="00C86BEC">
        <w:rPr>
          <w:rFonts w:eastAsia="Arial"/>
          <w:b/>
          <w:bCs/>
          <w:i/>
        </w:rPr>
        <w:t>adenokarcinoma</w:t>
      </w:r>
      <w:proofErr w:type="spellEnd"/>
      <w:r w:rsidRPr="00C86BEC">
        <w:rPr>
          <w:rFonts w:eastAsia="Arial"/>
          <w:b/>
          <w:bCs/>
          <w:i/>
        </w:rPr>
        <w:t>.</w:t>
      </w:r>
      <w:r w:rsidRPr="00C86BEC">
        <w:rPr>
          <w:rFonts w:eastAsia="Arial"/>
          <w:iCs/>
        </w:rPr>
        <w:t xml:space="preserve"> Šių derinių palyginamasis efektyvumas vertinamas netiesioginėje analizėje.</w:t>
      </w:r>
    </w:p>
    <w:p w14:paraId="5ED4A566" w14:textId="77777777" w:rsidR="0061787B" w:rsidRPr="00C86BEC" w:rsidRDefault="0061787B" w:rsidP="0061787B">
      <w:pPr>
        <w:spacing w:line="276" w:lineRule="auto"/>
        <w:jc w:val="both"/>
        <w:rPr>
          <w:rFonts w:eastAsia="Arial"/>
          <w:iCs/>
          <w:color w:val="000000"/>
        </w:rPr>
      </w:pPr>
    </w:p>
    <w:p w14:paraId="1EDA116C" w14:textId="77777777" w:rsidR="0061787B" w:rsidRDefault="0061787B" w:rsidP="0061787B">
      <w:pPr>
        <w:spacing w:line="276" w:lineRule="auto"/>
        <w:jc w:val="both"/>
        <w:rPr>
          <w:rFonts w:eastAsia="Arial"/>
          <w:i/>
          <w:color w:val="000000"/>
        </w:rPr>
      </w:pPr>
      <w:r w:rsidRPr="00C86BEC">
        <w:rPr>
          <w:rFonts w:eastAsia="Arial"/>
          <w:i/>
          <w:color w:val="000000"/>
        </w:rPr>
        <w:t>Tiesioginis palyginimas</w:t>
      </w:r>
    </w:p>
    <w:p w14:paraId="2EDB2E22" w14:textId="77777777" w:rsidR="0061787B" w:rsidRPr="00C86BEC" w:rsidRDefault="0061787B" w:rsidP="0061787B">
      <w:pPr>
        <w:spacing w:line="276" w:lineRule="auto"/>
        <w:jc w:val="both"/>
        <w:rPr>
          <w:rFonts w:eastAsia="Arial"/>
          <w:i/>
          <w:color w:val="000000"/>
        </w:rPr>
      </w:pPr>
    </w:p>
    <w:p w14:paraId="29859649" w14:textId="77777777" w:rsidR="0061787B" w:rsidRPr="00C86BEC" w:rsidRDefault="0061787B" w:rsidP="0061787B">
      <w:pPr>
        <w:spacing w:line="276" w:lineRule="auto"/>
        <w:ind w:firstLine="720"/>
        <w:jc w:val="both"/>
        <w:rPr>
          <w:rFonts w:eastAsia="Arial"/>
          <w:iCs/>
          <w:color w:val="000000"/>
        </w:rPr>
      </w:pPr>
      <w:r w:rsidRPr="00C86BEC">
        <w:rPr>
          <w:rFonts w:eastAsia="Arial"/>
          <w:iCs/>
          <w:color w:val="000000"/>
        </w:rPr>
        <w:t xml:space="preserve">RATIONALE-305 yra tarptautinis, III fazės, </w:t>
      </w:r>
      <w:proofErr w:type="spellStart"/>
      <w:r w:rsidRPr="00C86BEC">
        <w:rPr>
          <w:rFonts w:eastAsia="Arial"/>
          <w:iCs/>
          <w:color w:val="000000"/>
        </w:rPr>
        <w:t>randomizuotas</w:t>
      </w:r>
      <w:proofErr w:type="spellEnd"/>
      <w:r w:rsidRPr="00C86BEC">
        <w:rPr>
          <w:rFonts w:eastAsia="Arial"/>
          <w:iCs/>
          <w:color w:val="000000"/>
        </w:rPr>
        <w:t xml:space="preserve">, dvigubai koduotas, placebu kontroliuojamas </w:t>
      </w:r>
      <w:proofErr w:type="spellStart"/>
      <w:r w:rsidRPr="00C86BEC">
        <w:rPr>
          <w:rFonts w:eastAsia="Arial"/>
          <w:iCs/>
          <w:color w:val="000000"/>
        </w:rPr>
        <w:t>daugiacentris</w:t>
      </w:r>
      <w:proofErr w:type="spellEnd"/>
      <w:r w:rsidRPr="00C86BEC">
        <w:rPr>
          <w:rFonts w:eastAsia="Arial"/>
          <w:iCs/>
          <w:color w:val="000000"/>
        </w:rPr>
        <w:t xml:space="preserve"> klinikinis tyrimas, kuriuo vertintas </w:t>
      </w:r>
      <w:proofErr w:type="spellStart"/>
      <w:r w:rsidRPr="00C86BEC">
        <w:rPr>
          <w:rFonts w:eastAsia="Arial"/>
          <w:iCs/>
          <w:color w:val="000000"/>
        </w:rPr>
        <w:t>tislelizumabo</w:t>
      </w:r>
      <w:proofErr w:type="spellEnd"/>
      <w:r w:rsidRPr="00C86BEC">
        <w:rPr>
          <w:rFonts w:eastAsia="Arial"/>
          <w:iCs/>
          <w:color w:val="000000"/>
        </w:rPr>
        <w:t xml:space="preserve"> kartu su platinos ir </w:t>
      </w:r>
      <w:proofErr w:type="spellStart"/>
      <w:r w:rsidRPr="00C86BEC">
        <w:rPr>
          <w:rFonts w:eastAsia="Arial"/>
          <w:iCs/>
          <w:color w:val="000000"/>
        </w:rPr>
        <w:t>fluoropirimidino</w:t>
      </w:r>
      <w:proofErr w:type="spellEnd"/>
      <w:r w:rsidRPr="00C86BEC">
        <w:rPr>
          <w:rFonts w:eastAsia="Arial"/>
          <w:iCs/>
          <w:color w:val="000000"/>
        </w:rPr>
        <w:t xml:space="preserve"> pagrindu sudaryta chemoterapija veiksmingumas ir saugumas pacientams, sergantiems lokaliai išplitusia, neoperuotina arba </w:t>
      </w:r>
      <w:proofErr w:type="spellStart"/>
      <w:r w:rsidRPr="00C86BEC">
        <w:rPr>
          <w:rFonts w:eastAsia="Arial"/>
          <w:iCs/>
          <w:color w:val="000000"/>
        </w:rPr>
        <w:t>metastazavusia</w:t>
      </w:r>
      <w:proofErr w:type="spellEnd"/>
      <w:r w:rsidRPr="00C86BEC">
        <w:rPr>
          <w:rFonts w:eastAsia="Arial"/>
          <w:iCs/>
          <w:color w:val="000000"/>
        </w:rPr>
        <w:t xml:space="preserve"> skrandžio ar </w:t>
      </w:r>
      <w:proofErr w:type="spellStart"/>
      <w:r w:rsidRPr="00C86BEC">
        <w:rPr>
          <w:rFonts w:eastAsia="Arial"/>
          <w:iCs/>
          <w:color w:val="000000"/>
        </w:rPr>
        <w:t>gastroezofaginės</w:t>
      </w:r>
      <w:proofErr w:type="spellEnd"/>
      <w:r w:rsidRPr="00C86BEC">
        <w:rPr>
          <w:rFonts w:eastAsia="Arial"/>
          <w:iCs/>
          <w:color w:val="000000"/>
        </w:rPr>
        <w:t xml:space="preserve"> jungties (S/GEJ) </w:t>
      </w:r>
      <w:proofErr w:type="spellStart"/>
      <w:r w:rsidRPr="00C86BEC">
        <w:rPr>
          <w:rFonts w:eastAsia="Arial"/>
          <w:iCs/>
          <w:color w:val="000000"/>
        </w:rPr>
        <w:t>adenokarcinoma</w:t>
      </w:r>
      <w:proofErr w:type="spellEnd"/>
      <w:r w:rsidRPr="00C86BEC">
        <w:rPr>
          <w:rFonts w:eastAsia="Arial"/>
          <w:iCs/>
          <w:color w:val="000000"/>
        </w:rPr>
        <w:t>, kaip pirmos eilės gydymo galimybė.</w:t>
      </w:r>
    </w:p>
    <w:p w14:paraId="04E33063" w14:textId="5D7CC846" w:rsidR="0061787B" w:rsidRPr="00C86BEC" w:rsidRDefault="0061787B" w:rsidP="0061787B">
      <w:pPr>
        <w:spacing w:line="276" w:lineRule="auto"/>
        <w:ind w:firstLine="720"/>
        <w:jc w:val="both"/>
        <w:rPr>
          <w:rFonts w:eastAsia="Arial"/>
          <w:iCs/>
          <w:color w:val="000000"/>
        </w:rPr>
      </w:pPr>
      <w:r w:rsidRPr="00C86BEC">
        <w:rPr>
          <w:rFonts w:eastAsia="Arial"/>
          <w:iCs/>
          <w:color w:val="000000"/>
        </w:rPr>
        <w:t xml:space="preserve">Į tyrimą buvo įtraukti </w:t>
      </w:r>
      <w:r w:rsidR="00A91204">
        <w:rPr>
          <w:rFonts w:eastAsia="Arial"/>
          <w:iCs/>
          <w:color w:val="000000"/>
        </w:rPr>
        <w:t>***</w:t>
      </w:r>
      <w:r w:rsidRPr="00C86BEC">
        <w:rPr>
          <w:rFonts w:eastAsia="Arial"/>
          <w:iCs/>
          <w:color w:val="000000"/>
        </w:rPr>
        <w:t xml:space="preserve"> metų pacientai, kuriems diagnozuota pažengusi S/GEJ </w:t>
      </w:r>
      <w:proofErr w:type="spellStart"/>
      <w:r w:rsidRPr="00C86BEC">
        <w:rPr>
          <w:rFonts w:eastAsia="Arial"/>
          <w:iCs/>
          <w:color w:val="000000"/>
        </w:rPr>
        <w:t>adenokarcinoma</w:t>
      </w:r>
      <w:proofErr w:type="spellEnd"/>
      <w:r w:rsidRPr="00C86BEC">
        <w:rPr>
          <w:rFonts w:eastAsia="Arial"/>
          <w:iCs/>
          <w:color w:val="000000"/>
        </w:rPr>
        <w:t xml:space="preserve"> ir kurie nebuvo gydyti sisteminiu gydymu pažengusiai ligai. Pažymėtina, kad bendroje pacientų populiacijoje</w:t>
      </w:r>
      <w:r w:rsidR="00A91204">
        <w:rPr>
          <w:rFonts w:eastAsia="Arial"/>
          <w:iCs/>
          <w:color w:val="000000"/>
        </w:rPr>
        <w:t xml:space="preserve"> ***</w:t>
      </w:r>
      <w:r w:rsidRPr="00C86BEC">
        <w:rPr>
          <w:rFonts w:eastAsia="Arial"/>
          <w:iCs/>
          <w:color w:val="000000"/>
        </w:rPr>
        <w:t xml:space="preserve"> proc. pacientų buvo nustatyta skrandžio </w:t>
      </w:r>
      <w:proofErr w:type="spellStart"/>
      <w:r w:rsidRPr="00C86BEC">
        <w:rPr>
          <w:rFonts w:eastAsia="Arial"/>
          <w:iCs/>
          <w:color w:val="000000"/>
        </w:rPr>
        <w:t>adenokarcinoma</w:t>
      </w:r>
      <w:proofErr w:type="spellEnd"/>
      <w:r w:rsidRPr="00C86BEC">
        <w:rPr>
          <w:rFonts w:eastAsia="Arial"/>
          <w:iCs/>
          <w:color w:val="000000"/>
        </w:rPr>
        <w:t xml:space="preserve"> ir </w:t>
      </w:r>
      <w:r w:rsidR="00050B5E">
        <w:rPr>
          <w:rFonts w:eastAsia="Arial"/>
          <w:iCs/>
          <w:color w:val="000000"/>
        </w:rPr>
        <w:t>***</w:t>
      </w:r>
      <w:r w:rsidRPr="00C86BEC">
        <w:rPr>
          <w:rFonts w:eastAsia="Arial"/>
          <w:iCs/>
          <w:color w:val="000000"/>
        </w:rPr>
        <w:t xml:space="preserve"> proc. stemplės jungties </w:t>
      </w:r>
      <w:proofErr w:type="spellStart"/>
      <w:r w:rsidRPr="00C86BEC">
        <w:rPr>
          <w:rFonts w:eastAsia="Arial"/>
          <w:iCs/>
          <w:color w:val="000000"/>
        </w:rPr>
        <w:t>adenokarcinoma</w:t>
      </w:r>
      <w:proofErr w:type="spellEnd"/>
      <w:r w:rsidRPr="00C86BEC">
        <w:rPr>
          <w:rFonts w:eastAsia="Arial"/>
          <w:iCs/>
          <w:color w:val="000000"/>
        </w:rPr>
        <w:t xml:space="preserve">. Įtraukimo kriterijus atitiko pacientai su ECOG būkle </w:t>
      </w:r>
      <w:r w:rsidR="00A91204">
        <w:rPr>
          <w:rFonts w:eastAsia="Arial"/>
          <w:iCs/>
          <w:color w:val="000000"/>
        </w:rPr>
        <w:t>***</w:t>
      </w:r>
      <w:r w:rsidRPr="00C86BEC">
        <w:rPr>
          <w:rFonts w:eastAsia="Arial"/>
          <w:iCs/>
          <w:color w:val="000000"/>
        </w:rPr>
        <w:t xml:space="preserve"> ir bent viena išmatuojama arba neišmatuojama liga pagal RECIST 1.1. PD-L1 naviko išraiška vertinta </w:t>
      </w:r>
      <w:r w:rsidRPr="00C86BEC">
        <w:rPr>
          <w:rFonts w:eastAsia="Arial"/>
          <w:iCs/>
          <w:color w:val="000000"/>
        </w:rPr>
        <w:lastRenderedPageBreak/>
        <w:t>TAP (</w:t>
      </w:r>
      <w:r>
        <w:rPr>
          <w:rFonts w:eastAsia="Arial"/>
          <w:iCs/>
          <w:color w:val="000000"/>
        </w:rPr>
        <w:t xml:space="preserve">angl. </w:t>
      </w:r>
      <w:proofErr w:type="spellStart"/>
      <w:r w:rsidRPr="00815CE9">
        <w:rPr>
          <w:rFonts w:eastAsia="Arial"/>
          <w:i/>
          <w:color w:val="000000"/>
        </w:rPr>
        <w:t>tumour</w:t>
      </w:r>
      <w:proofErr w:type="spellEnd"/>
      <w:r w:rsidRPr="00815CE9">
        <w:rPr>
          <w:rFonts w:eastAsia="Arial"/>
          <w:i/>
          <w:color w:val="000000"/>
        </w:rPr>
        <w:t xml:space="preserve"> </w:t>
      </w:r>
      <w:proofErr w:type="spellStart"/>
      <w:r w:rsidRPr="00815CE9">
        <w:rPr>
          <w:rFonts w:eastAsia="Arial"/>
          <w:i/>
          <w:color w:val="000000"/>
        </w:rPr>
        <w:t>area</w:t>
      </w:r>
      <w:proofErr w:type="spellEnd"/>
      <w:r w:rsidRPr="00815CE9">
        <w:rPr>
          <w:rFonts w:eastAsia="Arial"/>
          <w:i/>
          <w:color w:val="000000"/>
        </w:rPr>
        <w:t xml:space="preserve"> </w:t>
      </w:r>
      <w:proofErr w:type="spellStart"/>
      <w:r w:rsidRPr="00815CE9">
        <w:rPr>
          <w:rFonts w:eastAsia="Arial"/>
          <w:i/>
          <w:color w:val="000000"/>
        </w:rPr>
        <w:t>positivity</w:t>
      </w:r>
      <w:proofErr w:type="spellEnd"/>
      <w:r w:rsidRPr="00C86BEC">
        <w:rPr>
          <w:rFonts w:eastAsia="Arial"/>
          <w:iCs/>
          <w:color w:val="000000"/>
        </w:rPr>
        <w:t xml:space="preserve">) įverčiu. Iš viso </w:t>
      </w:r>
      <w:r w:rsidR="00A91204">
        <w:rPr>
          <w:rFonts w:eastAsia="Arial"/>
          <w:iCs/>
          <w:color w:val="000000"/>
        </w:rPr>
        <w:t>***</w:t>
      </w:r>
      <w:r w:rsidRPr="00C86BEC">
        <w:rPr>
          <w:rFonts w:eastAsia="Arial"/>
          <w:iCs/>
          <w:color w:val="000000"/>
        </w:rPr>
        <w:t xml:space="preserve"> pacientai buvo atsitiktinai paskirstyti (</w:t>
      </w:r>
      <w:r w:rsidR="00BF0CA2">
        <w:rPr>
          <w:rFonts w:eastAsia="Arial"/>
          <w:iCs/>
          <w:color w:val="000000"/>
        </w:rPr>
        <w:t>***</w:t>
      </w:r>
      <w:r w:rsidRPr="00C86BEC">
        <w:rPr>
          <w:rFonts w:eastAsia="Arial"/>
          <w:iCs/>
          <w:color w:val="000000"/>
        </w:rPr>
        <w:t xml:space="preserve">) gauti </w:t>
      </w:r>
      <w:proofErr w:type="spellStart"/>
      <w:r w:rsidRPr="00C86BEC">
        <w:rPr>
          <w:rFonts w:eastAsia="Arial"/>
          <w:iCs/>
          <w:color w:val="000000"/>
        </w:rPr>
        <w:t>tislelizumabą</w:t>
      </w:r>
      <w:proofErr w:type="spellEnd"/>
      <w:r w:rsidRPr="00C86BEC">
        <w:rPr>
          <w:rFonts w:eastAsia="Arial"/>
          <w:iCs/>
          <w:color w:val="000000"/>
        </w:rPr>
        <w:t xml:space="preserve"> (</w:t>
      </w:r>
      <w:r w:rsidR="00A91204">
        <w:rPr>
          <w:rFonts w:eastAsia="Arial"/>
          <w:iCs/>
          <w:color w:val="000000"/>
        </w:rPr>
        <w:t>***</w:t>
      </w:r>
      <w:r w:rsidRPr="00C86BEC">
        <w:rPr>
          <w:rFonts w:eastAsia="Arial"/>
          <w:iCs/>
          <w:color w:val="000000"/>
        </w:rPr>
        <w:t xml:space="preserve"> mg kas </w:t>
      </w:r>
      <w:r w:rsidR="00A91204">
        <w:rPr>
          <w:rFonts w:eastAsia="Arial"/>
          <w:iCs/>
          <w:color w:val="000000"/>
        </w:rPr>
        <w:t>***</w:t>
      </w:r>
      <w:r w:rsidRPr="00C86BEC">
        <w:rPr>
          <w:rFonts w:eastAsia="Arial"/>
          <w:iCs/>
          <w:color w:val="000000"/>
        </w:rPr>
        <w:t xml:space="preserve"> sav.) arba placebą, kartu su vienu iš dviejų chemoterapijos režimų: </w:t>
      </w:r>
      <w:proofErr w:type="spellStart"/>
      <w:r w:rsidRPr="00C86BEC">
        <w:rPr>
          <w:rFonts w:eastAsia="Arial"/>
          <w:iCs/>
          <w:color w:val="000000"/>
        </w:rPr>
        <w:t>oksaliplatina</w:t>
      </w:r>
      <w:proofErr w:type="spellEnd"/>
      <w:r w:rsidRPr="00C86BEC">
        <w:rPr>
          <w:rFonts w:eastAsia="Arial"/>
          <w:iCs/>
          <w:color w:val="000000"/>
        </w:rPr>
        <w:t xml:space="preserve"> + </w:t>
      </w:r>
      <w:proofErr w:type="spellStart"/>
      <w:r w:rsidRPr="00C86BEC">
        <w:rPr>
          <w:rFonts w:eastAsia="Arial"/>
          <w:iCs/>
          <w:color w:val="000000"/>
        </w:rPr>
        <w:t>kapecitabinas</w:t>
      </w:r>
      <w:proofErr w:type="spellEnd"/>
      <w:r w:rsidRPr="00C86BEC">
        <w:rPr>
          <w:rFonts w:eastAsia="Arial"/>
          <w:iCs/>
          <w:color w:val="000000"/>
        </w:rPr>
        <w:t xml:space="preserve"> arba </w:t>
      </w:r>
      <w:proofErr w:type="spellStart"/>
      <w:r w:rsidRPr="00C86BEC">
        <w:rPr>
          <w:rFonts w:eastAsia="Arial"/>
          <w:iCs/>
          <w:color w:val="000000"/>
        </w:rPr>
        <w:t>cisplatina</w:t>
      </w:r>
      <w:proofErr w:type="spellEnd"/>
      <w:r w:rsidRPr="00C86BEC">
        <w:rPr>
          <w:rFonts w:eastAsia="Arial"/>
          <w:iCs/>
          <w:color w:val="000000"/>
        </w:rPr>
        <w:t xml:space="preserve"> + 5-FU. Gydymas buvo tęsiamas iki </w:t>
      </w:r>
      <w:r>
        <w:rPr>
          <w:rFonts w:eastAsia="Arial"/>
          <w:iCs/>
          <w:color w:val="000000"/>
        </w:rPr>
        <w:t xml:space="preserve">ligos </w:t>
      </w:r>
      <w:r w:rsidRPr="00C86BEC">
        <w:rPr>
          <w:rFonts w:eastAsia="Arial"/>
          <w:iCs/>
          <w:color w:val="000000"/>
        </w:rPr>
        <w:t xml:space="preserve">progresavimo, nepriimtino toksiškumo arba klinikinio sprendimo nutraukti gydymą. </w:t>
      </w:r>
      <w:proofErr w:type="spellStart"/>
      <w:r w:rsidRPr="00C86BEC">
        <w:rPr>
          <w:rFonts w:eastAsia="Arial"/>
          <w:iCs/>
          <w:color w:val="000000"/>
        </w:rPr>
        <w:t>Tislelizumabo</w:t>
      </w:r>
      <w:proofErr w:type="spellEnd"/>
      <w:r w:rsidRPr="00C86BEC">
        <w:rPr>
          <w:rFonts w:eastAsia="Arial"/>
          <w:iCs/>
          <w:color w:val="000000"/>
        </w:rPr>
        <w:t xml:space="preserve"> vartojimas galėjo būti tęsiamas ir ilgiau nei </w:t>
      </w:r>
      <w:r w:rsidR="00A91204">
        <w:rPr>
          <w:rFonts w:eastAsia="Arial"/>
          <w:iCs/>
          <w:color w:val="000000"/>
        </w:rPr>
        <w:t>***</w:t>
      </w:r>
      <w:r w:rsidRPr="00C86BEC">
        <w:rPr>
          <w:rFonts w:eastAsia="Arial"/>
          <w:iCs/>
          <w:color w:val="000000"/>
        </w:rPr>
        <w:t xml:space="preserve"> mėn., jei buvo stebima klinikinė nauda.</w:t>
      </w:r>
    </w:p>
    <w:p w14:paraId="1AC3EC7B" w14:textId="7BB3626A" w:rsidR="0061787B" w:rsidRPr="00C86BEC" w:rsidRDefault="0061787B" w:rsidP="0061787B">
      <w:pPr>
        <w:spacing w:line="276" w:lineRule="auto"/>
        <w:ind w:firstLine="720"/>
        <w:jc w:val="both"/>
        <w:rPr>
          <w:rFonts w:eastAsia="Arial"/>
          <w:iCs/>
          <w:color w:val="000000"/>
        </w:rPr>
      </w:pPr>
      <w:proofErr w:type="spellStart"/>
      <w:r w:rsidRPr="00C86BEC">
        <w:rPr>
          <w:rFonts w:eastAsia="Arial"/>
          <w:iCs/>
          <w:color w:val="000000"/>
        </w:rPr>
        <w:t>Tislelizumabo</w:t>
      </w:r>
      <w:proofErr w:type="spellEnd"/>
      <w:r w:rsidRPr="00C86BEC">
        <w:rPr>
          <w:rFonts w:eastAsia="Arial"/>
          <w:iCs/>
          <w:color w:val="000000"/>
        </w:rPr>
        <w:t xml:space="preserve"> derinys su chemoterapija parodė statistiškai reikšmingą bendro išgyvenamumo (BI) pagerėjimą, lyginant su placebo ir chemoterapijos grupe, pacientams, kurių PD-L1 TAP </w:t>
      </w:r>
      <w:r w:rsidR="00A91204">
        <w:rPr>
          <w:rFonts w:eastAsia="Arial"/>
          <w:iCs/>
          <w:color w:val="000000"/>
        </w:rPr>
        <w:t>***</w:t>
      </w:r>
      <w:r w:rsidRPr="00C86BEC">
        <w:rPr>
          <w:rFonts w:eastAsia="Arial"/>
          <w:iCs/>
          <w:color w:val="000000"/>
        </w:rPr>
        <w:t xml:space="preserve"> %. Tarpinėje analizėje nustatyta, kad vidutinė BI trukmė </w:t>
      </w:r>
      <w:proofErr w:type="spellStart"/>
      <w:r w:rsidRPr="00C86BEC">
        <w:rPr>
          <w:rFonts w:eastAsia="Arial"/>
          <w:iCs/>
          <w:color w:val="000000"/>
        </w:rPr>
        <w:t>tislelizumabo</w:t>
      </w:r>
      <w:proofErr w:type="spellEnd"/>
      <w:r w:rsidRPr="00C86BEC">
        <w:rPr>
          <w:rFonts w:eastAsia="Arial"/>
          <w:iCs/>
          <w:color w:val="000000"/>
        </w:rPr>
        <w:t xml:space="preserve"> grupėje siekė </w:t>
      </w:r>
      <w:r w:rsidR="00A91204">
        <w:rPr>
          <w:rFonts w:eastAsia="Arial"/>
          <w:iCs/>
          <w:color w:val="000000"/>
        </w:rPr>
        <w:t>***</w:t>
      </w:r>
      <w:r w:rsidR="00A91204" w:rsidRPr="00C86BEC">
        <w:rPr>
          <w:rFonts w:eastAsia="Arial"/>
          <w:iCs/>
          <w:color w:val="000000"/>
        </w:rPr>
        <w:t xml:space="preserve"> </w:t>
      </w:r>
      <w:r w:rsidRPr="00C86BEC">
        <w:rPr>
          <w:rFonts w:eastAsia="Arial"/>
          <w:iCs/>
          <w:color w:val="000000"/>
        </w:rPr>
        <w:t>mėn. (</w:t>
      </w:r>
      <w:r w:rsidR="00A91204">
        <w:rPr>
          <w:rFonts w:eastAsia="Arial"/>
          <w:iCs/>
          <w:color w:val="000000"/>
        </w:rPr>
        <w:t>***</w:t>
      </w:r>
      <w:r w:rsidR="00A91204" w:rsidRPr="00C86BEC">
        <w:rPr>
          <w:rFonts w:eastAsia="Arial"/>
          <w:iCs/>
          <w:color w:val="000000"/>
        </w:rPr>
        <w:t xml:space="preserve"> </w:t>
      </w:r>
      <w:r w:rsidRPr="00C86BEC">
        <w:rPr>
          <w:rFonts w:eastAsia="Arial"/>
          <w:iCs/>
          <w:color w:val="000000"/>
        </w:rPr>
        <w:t xml:space="preserve"> % PI: </w:t>
      </w:r>
      <w:r w:rsidR="00A91204">
        <w:rPr>
          <w:rFonts w:eastAsia="Arial"/>
          <w:iCs/>
          <w:color w:val="000000"/>
        </w:rPr>
        <w:t>***</w:t>
      </w:r>
      <w:r w:rsidRPr="00C86BEC">
        <w:rPr>
          <w:rFonts w:eastAsia="Arial"/>
          <w:iCs/>
          <w:color w:val="000000"/>
        </w:rPr>
        <w:t xml:space="preserve">), palyginti su </w:t>
      </w:r>
      <w:r w:rsidR="002933FD">
        <w:rPr>
          <w:rFonts w:eastAsia="Arial"/>
          <w:iCs/>
          <w:color w:val="000000"/>
        </w:rPr>
        <w:t>***</w:t>
      </w:r>
      <w:r w:rsidRPr="00C86BEC">
        <w:rPr>
          <w:rFonts w:eastAsia="Arial"/>
          <w:iCs/>
          <w:color w:val="000000"/>
        </w:rPr>
        <w:t xml:space="preserve"> mėn. (</w:t>
      </w:r>
      <w:r w:rsidR="00A91204">
        <w:rPr>
          <w:rFonts w:eastAsia="Arial"/>
          <w:iCs/>
          <w:color w:val="000000"/>
        </w:rPr>
        <w:t>***</w:t>
      </w:r>
      <w:r w:rsidR="00A91204" w:rsidRPr="00C86BEC">
        <w:rPr>
          <w:rFonts w:eastAsia="Arial"/>
          <w:iCs/>
          <w:color w:val="000000"/>
        </w:rPr>
        <w:t xml:space="preserve"> </w:t>
      </w:r>
      <w:r w:rsidRPr="00C86BEC">
        <w:rPr>
          <w:rFonts w:eastAsia="Arial"/>
          <w:iCs/>
          <w:color w:val="000000"/>
        </w:rPr>
        <w:t xml:space="preserve">% PI: </w:t>
      </w:r>
      <w:r w:rsidR="00A91204">
        <w:rPr>
          <w:rFonts w:eastAsia="Arial"/>
          <w:iCs/>
          <w:color w:val="000000"/>
        </w:rPr>
        <w:t>***</w:t>
      </w:r>
      <w:r w:rsidRPr="00C86BEC">
        <w:rPr>
          <w:rFonts w:eastAsia="Arial"/>
          <w:iCs/>
          <w:color w:val="000000"/>
        </w:rPr>
        <w:t xml:space="preserve">) placebo grupėje; </w:t>
      </w:r>
      <w:proofErr w:type="spellStart"/>
      <w:r w:rsidRPr="00C86BEC">
        <w:rPr>
          <w:rFonts w:eastAsia="Arial"/>
          <w:iCs/>
          <w:color w:val="000000"/>
        </w:rPr>
        <w:t>stratifikuotas</w:t>
      </w:r>
      <w:proofErr w:type="spellEnd"/>
      <w:r w:rsidRPr="00C86BEC">
        <w:rPr>
          <w:rFonts w:eastAsia="Arial"/>
          <w:iCs/>
          <w:color w:val="000000"/>
        </w:rPr>
        <w:t xml:space="preserve"> rizikos santykis (RS) – </w:t>
      </w:r>
      <w:r w:rsidR="00A91204">
        <w:rPr>
          <w:rFonts w:eastAsia="Arial"/>
          <w:iCs/>
          <w:color w:val="000000"/>
        </w:rPr>
        <w:t>***</w:t>
      </w:r>
      <w:r w:rsidR="00A91204" w:rsidRPr="00C86BEC">
        <w:rPr>
          <w:rFonts w:eastAsia="Arial"/>
          <w:iCs/>
          <w:color w:val="000000"/>
        </w:rPr>
        <w:t xml:space="preserve"> </w:t>
      </w:r>
      <w:r w:rsidRPr="00C86BEC">
        <w:rPr>
          <w:rFonts w:eastAsia="Arial"/>
          <w:iCs/>
          <w:color w:val="000000"/>
        </w:rPr>
        <w:t>(</w:t>
      </w:r>
      <w:r w:rsidR="00A91204">
        <w:rPr>
          <w:rFonts w:eastAsia="Arial"/>
          <w:iCs/>
          <w:color w:val="000000"/>
        </w:rPr>
        <w:t>***</w:t>
      </w:r>
      <w:r w:rsidR="00A91204" w:rsidRPr="00C86BEC">
        <w:rPr>
          <w:rFonts w:eastAsia="Arial"/>
          <w:iCs/>
          <w:color w:val="000000"/>
        </w:rPr>
        <w:t xml:space="preserve"> </w:t>
      </w:r>
      <w:r w:rsidRPr="00C86BEC">
        <w:rPr>
          <w:rFonts w:eastAsia="Arial"/>
          <w:iCs/>
          <w:color w:val="000000"/>
        </w:rPr>
        <w:t xml:space="preserve">% PI: </w:t>
      </w:r>
      <w:r w:rsidR="00A91204">
        <w:rPr>
          <w:rFonts w:eastAsia="Arial"/>
          <w:iCs/>
          <w:color w:val="000000"/>
        </w:rPr>
        <w:t>***</w:t>
      </w:r>
      <w:r w:rsidRPr="00C86BEC">
        <w:rPr>
          <w:rFonts w:eastAsia="Arial"/>
          <w:iCs/>
          <w:color w:val="000000"/>
        </w:rPr>
        <w:t xml:space="preserve">), p = </w:t>
      </w:r>
      <w:r w:rsidR="00A91204">
        <w:rPr>
          <w:rFonts w:eastAsia="Arial"/>
          <w:iCs/>
          <w:color w:val="000000"/>
        </w:rPr>
        <w:t>***</w:t>
      </w:r>
      <w:r w:rsidRPr="00C86BEC">
        <w:rPr>
          <w:rFonts w:eastAsia="Arial"/>
          <w:iCs/>
          <w:color w:val="000000"/>
        </w:rPr>
        <w:t xml:space="preserve">. Po papildomų </w:t>
      </w:r>
      <w:r w:rsidR="00BF0CA2">
        <w:rPr>
          <w:rFonts w:eastAsia="Arial"/>
          <w:iCs/>
          <w:color w:val="000000"/>
        </w:rPr>
        <w:t>***</w:t>
      </w:r>
      <w:r w:rsidRPr="00C86BEC">
        <w:rPr>
          <w:rFonts w:eastAsia="Arial"/>
          <w:iCs/>
          <w:color w:val="000000"/>
        </w:rPr>
        <w:t xml:space="preserve"> mėnesių stebėjimo, galutinėje analizėje BI </w:t>
      </w:r>
      <w:proofErr w:type="spellStart"/>
      <w:r w:rsidRPr="00C86BEC">
        <w:rPr>
          <w:rFonts w:eastAsia="Arial"/>
          <w:iCs/>
          <w:color w:val="000000"/>
        </w:rPr>
        <w:t>tislelizumabo</w:t>
      </w:r>
      <w:proofErr w:type="spellEnd"/>
      <w:r w:rsidRPr="00C86BEC">
        <w:rPr>
          <w:rFonts w:eastAsia="Arial"/>
          <w:iCs/>
          <w:color w:val="000000"/>
        </w:rPr>
        <w:t xml:space="preserve"> grupėje buvo </w:t>
      </w:r>
      <w:r w:rsidR="00A91204">
        <w:rPr>
          <w:rFonts w:eastAsia="Arial"/>
          <w:iCs/>
          <w:color w:val="000000"/>
        </w:rPr>
        <w:t>***</w:t>
      </w:r>
      <w:r w:rsidR="00A91204" w:rsidRPr="00C86BEC">
        <w:rPr>
          <w:rFonts w:eastAsia="Arial"/>
          <w:iCs/>
          <w:color w:val="000000"/>
        </w:rPr>
        <w:t xml:space="preserve"> </w:t>
      </w:r>
      <w:r w:rsidRPr="00C86BEC">
        <w:rPr>
          <w:rFonts w:eastAsia="Arial"/>
          <w:iCs/>
          <w:color w:val="000000"/>
        </w:rPr>
        <w:t>mėn. (</w:t>
      </w:r>
      <w:r w:rsidR="00A91204">
        <w:rPr>
          <w:rFonts w:eastAsia="Arial"/>
          <w:iCs/>
          <w:color w:val="000000"/>
        </w:rPr>
        <w:t>***</w:t>
      </w:r>
      <w:r w:rsidR="00A91204" w:rsidRPr="00C86BEC">
        <w:rPr>
          <w:rFonts w:eastAsia="Arial"/>
          <w:iCs/>
          <w:color w:val="000000"/>
        </w:rPr>
        <w:t xml:space="preserve"> </w:t>
      </w:r>
      <w:r w:rsidRPr="00C86BEC">
        <w:rPr>
          <w:rFonts w:eastAsia="Arial"/>
          <w:iCs/>
          <w:color w:val="000000"/>
        </w:rPr>
        <w:t xml:space="preserve">% PI: </w:t>
      </w:r>
      <w:r w:rsidR="00A91204">
        <w:rPr>
          <w:rFonts w:eastAsia="Arial"/>
          <w:iCs/>
          <w:color w:val="000000"/>
        </w:rPr>
        <w:t>***</w:t>
      </w:r>
      <w:r w:rsidRPr="00C86BEC">
        <w:rPr>
          <w:rFonts w:eastAsia="Arial"/>
          <w:iCs/>
          <w:color w:val="000000"/>
        </w:rPr>
        <w:t xml:space="preserve">), placebo grupėje – </w:t>
      </w:r>
      <w:r w:rsidR="00A91204">
        <w:rPr>
          <w:rFonts w:eastAsia="Arial"/>
          <w:iCs/>
          <w:color w:val="000000"/>
        </w:rPr>
        <w:t>***</w:t>
      </w:r>
      <w:r w:rsidR="00A91204" w:rsidRPr="00C86BEC">
        <w:rPr>
          <w:rFonts w:eastAsia="Arial"/>
          <w:iCs/>
          <w:color w:val="000000"/>
        </w:rPr>
        <w:t xml:space="preserve"> </w:t>
      </w:r>
      <w:r w:rsidRPr="00C86BEC">
        <w:rPr>
          <w:rFonts w:eastAsia="Arial"/>
          <w:iCs/>
          <w:color w:val="000000"/>
        </w:rPr>
        <w:t>mėn. (</w:t>
      </w:r>
      <w:r w:rsidR="00A91204">
        <w:rPr>
          <w:rFonts w:eastAsia="Arial"/>
          <w:iCs/>
          <w:color w:val="000000"/>
        </w:rPr>
        <w:t>***</w:t>
      </w:r>
      <w:r w:rsidR="00A91204" w:rsidRPr="00C86BEC">
        <w:rPr>
          <w:rFonts w:eastAsia="Arial"/>
          <w:iCs/>
          <w:color w:val="000000"/>
        </w:rPr>
        <w:t xml:space="preserve"> </w:t>
      </w:r>
      <w:r w:rsidRPr="00C86BEC">
        <w:rPr>
          <w:rFonts w:eastAsia="Arial"/>
          <w:iCs/>
          <w:color w:val="000000"/>
        </w:rPr>
        <w:t xml:space="preserve">% PI: </w:t>
      </w:r>
      <w:r w:rsidR="00A91204">
        <w:rPr>
          <w:rFonts w:eastAsia="Arial"/>
          <w:iCs/>
          <w:color w:val="000000"/>
        </w:rPr>
        <w:t>***</w:t>
      </w:r>
      <w:r w:rsidRPr="00C86BEC">
        <w:rPr>
          <w:rFonts w:eastAsia="Arial"/>
          <w:iCs/>
          <w:color w:val="000000"/>
        </w:rPr>
        <w:t xml:space="preserve">), o RS – </w:t>
      </w:r>
      <w:r w:rsidR="00A91204">
        <w:rPr>
          <w:rFonts w:eastAsia="Arial"/>
          <w:iCs/>
          <w:color w:val="000000"/>
        </w:rPr>
        <w:t>***</w:t>
      </w:r>
      <w:r w:rsidR="00A91204" w:rsidRPr="00C86BEC">
        <w:rPr>
          <w:rFonts w:eastAsia="Arial"/>
          <w:iCs/>
          <w:color w:val="000000"/>
        </w:rPr>
        <w:t xml:space="preserve"> </w:t>
      </w:r>
      <w:r w:rsidRPr="00C86BEC">
        <w:rPr>
          <w:rFonts w:eastAsia="Arial"/>
          <w:iCs/>
          <w:color w:val="000000"/>
        </w:rPr>
        <w:t xml:space="preserve"> </w:t>
      </w:r>
      <w:r w:rsidR="00A91204">
        <w:rPr>
          <w:rFonts w:eastAsia="Arial"/>
          <w:iCs/>
          <w:color w:val="000000"/>
        </w:rPr>
        <w:t>***</w:t>
      </w:r>
      <w:r w:rsidR="00A91204" w:rsidRPr="00C86BEC">
        <w:rPr>
          <w:rFonts w:eastAsia="Arial"/>
          <w:iCs/>
          <w:color w:val="000000"/>
        </w:rPr>
        <w:t xml:space="preserve"> </w:t>
      </w:r>
      <w:r w:rsidRPr="00C86BEC">
        <w:rPr>
          <w:rFonts w:eastAsia="Arial"/>
          <w:iCs/>
          <w:color w:val="000000"/>
        </w:rPr>
        <w:t xml:space="preserve">% PI: </w:t>
      </w:r>
      <w:r w:rsidR="00A91204">
        <w:rPr>
          <w:rFonts w:eastAsia="Arial"/>
          <w:iCs/>
          <w:color w:val="000000"/>
        </w:rPr>
        <w:t>***</w:t>
      </w:r>
      <w:r w:rsidRPr="00C86BEC">
        <w:rPr>
          <w:rFonts w:eastAsia="Arial"/>
          <w:iCs/>
          <w:color w:val="000000"/>
        </w:rPr>
        <w:t xml:space="preserve">). Gydymo nauda išliko visose iš anksto numatytose pogrupiuose, ypač Azijos regiono pacientams (BI – </w:t>
      </w:r>
      <w:r w:rsidR="00A91204">
        <w:rPr>
          <w:rFonts w:eastAsia="Arial"/>
          <w:iCs/>
          <w:color w:val="000000"/>
        </w:rPr>
        <w:t>***</w:t>
      </w:r>
      <w:r w:rsidR="00A91204" w:rsidRPr="00C86BEC">
        <w:rPr>
          <w:rFonts w:eastAsia="Arial"/>
          <w:iCs/>
          <w:color w:val="000000"/>
        </w:rPr>
        <w:t xml:space="preserve"> </w:t>
      </w:r>
      <w:r w:rsidRPr="00C86BEC">
        <w:rPr>
          <w:rFonts w:eastAsia="Arial"/>
          <w:iCs/>
          <w:color w:val="000000"/>
        </w:rPr>
        <w:t xml:space="preserve">mėn. vs. </w:t>
      </w:r>
      <w:r w:rsidR="00A91204">
        <w:rPr>
          <w:rFonts w:eastAsia="Arial"/>
          <w:iCs/>
          <w:color w:val="000000"/>
        </w:rPr>
        <w:t>***</w:t>
      </w:r>
      <w:r w:rsidR="00A91204" w:rsidRPr="00C86BEC">
        <w:rPr>
          <w:rFonts w:eastAsia="Arial"/>
          <w:iCs/>
          <w:color w:val="000000"/>
        </w:rPr>
        <w:t xml:space="preserve"> </w:t>
      </w:r>
      <w:r w:rsidRPr="00C86BEC">
        <w:rPr>
          <w:rFonts w:eastAsia="Arial"/>
          <w:iCs/>
          <w:color w:val="000000"/>
        </w:rPr>
        <w:t xml:space="preserve"> mėn.; RS – </w:t>
      </w:r>
      <w:r w:rsidR="00A91204">
        <w:rPr>
          <w:rFonts w:eastAsia="Arial"/>
          <w:iCs/>
          <w:color w:val="000000"/>
        </w:rPr>
        <w:t>***</w:t>
      </w:r>
      <w:r w:rsidRPr="00C86BEC">
        <w:rPr>
          <w:rFonts w:eastAsia="Arial"/>
          <w:iCs/>
          <w:color w:val="000000"/>
        </w:rPr>
        <w:t>).</w:t>
      </w:r>
    </w:p>
    <w:p w14:paraId="6953EC18" w14:textId="2E6979ED" w:rsidR="0061787B" w:rsidRPr="00C86BEC" w:rsidRDefault="0061787B" w:rsidP="0061787B">
      <w:pPr>
        <w:spacing w:line="276" w:lineRule="auto"/>
        <w:ind w:firstLine="720"/>
        <w:jc w:val="both"/>
        <w:rPr>
          <w:rFonts w:eastAsia="Arial"/>
          <w:iCs/>
          <w:color w:val="000000"/>
        </w:rPr>
      </w:pPr>
      <w:r w:rsidRPr="00C86BEC">
        <w:rPr>
          <w:rFonts w:eastAsia="Arial"/>
          <w:iCs/>
          <w:color w:val="000000"/>
        </w:rPr>
        <w:t xml:space="preserve">Išgyvenamumas be ligos progreso (IBLP) taip pat buvo reikšmingai geresnis </w:t>
      </w:r>
      <w:proofErr w:type="spellStart"/>
      <w:r w:rsidRPr="00C86BEC">
        <w:rPr>
          <w:rFonts w:eastAsia="Arial"/>
          <w:iCs/>
          <w:color w:val="000000"/>
        </w:rPr>
        <w:t>tislelizumabo</w:t>
      </w:r>
      <w:proofErr w:type="spellEnd"/>
      <w:r w:rsidRPr="00C86BEC">
        <w:rPr>
          <w:rFonts w:eastAsia="Arial"/>
          <w:iCs/>
          <w:color w:val="000000"/>
        </w:rPr>
        <w:t xml:space="preserve"> grupėje – vidutinė trukmė siekė </w:t>
      </w:r>
      <w:r w:rsidR="00FB00F0">
        <w:rPr>
          <w:rFonts w:eastAsia="Arial"/>
          <w:iCs/>
          <w:color w:val="000000"/>
        </w:rPr>
        <w:t>***</w:t>
      </w:r>
      <w:r w:rsidR="00FB00F0" w:rsidRPr="00C86BEC">
        <w:rPr>
          <w:rFonts w:eastAsia="Arial"/>
          <w:iCs/>
          <w:color w:val="000000"/>
        </w:rPr>
        <w:t xml:space="preserve"> </w:t>
      </w:r>
      <w:r w:rsidRPr="00C86BEC">
        <w:rPr>
          <w:rFonts w:eastAsia="Arial"/>
          <w:iCs/>
          <w:color w:val="000000"/>
        </w:rPr>
        <w:t>mėn. (</w:t>
      </w:r>
      <w:r w:rsidR="00FB00F0">
        <w:rPr>
          <w:rFonts w:eastAsia="Arial"/>
          <w:iCs/>
          <w:color w:val="000000"/>
        </w:rPr>
        <w:t>***</w:t>
      </w:r>
      <w:r w:rsidR="00FB00F0" w:rsidRPr="00C86BEC">
        <w:rPr>
          <w:rFonts w:eastAsia="Arial"/>
          <w:iCs/>
          <w:color w:val="000000"/>
        </w:rPr>
        <w:t xml:space="preserve"> </w:t>
      </w:r>
      <w:r w:rsidRPr="00C86BEC">
        <w:rPr>
          <w:rFonts w:eastAsia="Arial"/>
          <w:iCs/>
          <w:color w:val="000000"/>
        </w:rPr>
        <w:t xml:space="preserve">% PI: </w:t>
      </w:r>
      <w:r w:rsidR="00FB00F0">
        <w:rPr>
          <w:rFonts w:eastAsia="Arial"/>
          <w:iCs/>
          <w:color w:val="000000"/>
        </w:rPr>
        <w:t>***</w:t>
      </w:r>
      <w:r w:rsidRPr="00C86BEC">
        <w:rPr>
          <w:rFonts w:eastAsia="Arial"/>
          <w:iCs/>
          <w:color w:val="000000"/>
        </w:rPr>
        <w:t xml:space="preserve">), palyginti su </w:t>
      </w:r>
      <w:r w:rsidR="00FB00F0">
        <w:rPr>
          <w:rFonts w:eastAsia="Arial"/>
          <w:iCs/>
          <w:color w:val="000000"/>
        </w:rPr>
        <w:t>***</w:t>
      </w:r>
      <w:r w:rsidR="00FB00F0" w:rsidRPr="00C86BEC">
        <w:rPr>
          <w:rFonts w:eastAsia="Arial"/>
          <w:iCs/>
          <w:color w:val="000000"/>
        </w:rPr>
        <w:t xml:space="preserve"> </w:t>
      </w:r>
      <w:r w:rsidRPr="00C86BEC">
        <w:rPr>
          <w:rFonts w:eastAsia="Arial"/>
          <w:iCs/>
          <w:color w:val="000000"/>
        </w:rPr>
        <w:t>mėn. (</w:t>
      </w:r>
      <w:r w:rsidR="00FB00F0">
        <w:rPr>
          <w:rFonts w:eastAsia="Arial"/>
          <w:iCs/>
          <w:color w:val="000000"/>
        </w:rPr>
        <w:t>***</w:t>
      </w:r>
      <w:r w:rsidR="00FB00F0" w:rsidRPr="00C86BEC">
        <w:rPr>
          <w:rFonts w:eastAsia="Arial"/>
          <w:iCs/>
          <w:color w:val="000000"/>
        </w:rPr>
        <w:t xml:space="preserve"> </w:t>
      </w:r>
      <w:r w:rsidRPr="00C86BEC">
        <w:rPr>
          <w:rFonts w:eastAsia="Arial"/>
          <w:iCs/>
          <w:color w:val="000000"/>
        </w:rPr>
        <w:t xml:space="preserve">% PI: </w:t>
      </w:r>
      <w:r w:rsidR="00FB00F0">
        <w:rPr>
          <w:rFonts w:eastAsia="Arial"/>
          <w:iCs/>
          <w:color w:val="000000"/>
        </w:rPr>
        <w:t>***</w:t>
      </w:r>
      <w:r w:rsidRPr="00C86BEC">
        <w:rPr>
          <w:rFonts w:eastAsia="Arial"/>
          <w:iCs/>
          <w:color w:val="000000"/>
        </w:rPr>
        <w:t xml:space="preserve">) placebo grupėje; RS – </w:t>
      </w:r>
      <w:r w:rsidR="00FB00F0">
        <w:rPr>
          <w:rFonts w:eastAsia="Arial"/>
          <w:iCs/>
          <w:color w:val="000000"/>
        </w:rPr>
        <w:t>***</w:t>
      </w:r>
      <w:r w:rsidR="00FB00F0" w:rsidRPr="00C86BEC">
        <w:rPr>
          <w:rFonts w:eastAsia="Arial"/>
          <w:iCs/>
          <w:color w:val="000000"/>
        </w:rPr>
        <w:t xml:space="preserve"> </w:t>
      </w:r>
      <w:r w:rsidRPr="00C86BEC">
        <w:rPr>
          <w:rFonts w:eastAsia="Arial"/>
          <w:iCs/>
          <w:color w:val="000000"/>
        </w:rPr>
        <w:t>(</w:t>
      </w:r>
      <w:r w:rsidR="00FB00F0">
        <w:rPr>
          <w:rFonts w:eastAsia="Arial"/>
          <w:iCs/>
          <w:color w:val="000000"/>
        </w:rPr>
        <w:t>***</w:t>
      </w:r>
      <w:r w:rsidR="00FB00F0" w:rsidRPr="00C86BEC">
        <w:rPr>
          <w:rFonts w:eastAsia="Arial"/>
          <w:iCs/>
          <w:color w:val="000000"/>
        </w:rPr>
        <w:t xml:space="preserve"> </w:t>
      </w:r>
      <w:r w:rsidRPr="00C86BEC">
        <w:rPr>
          <w:rFonts w:eastAsia="Arial"/>
          <w:iCs/>
          <w:color w:val="000000"/>
        </w:rPr>
        <w:t xml:space="preserve">% PI: </w:t>
      </w:r>
      <w:r w:rsidR="00FB00F0">
        <w:rPr>
          <w:rFonts w:eastAsia="Arial"/>
          <w:iCs/>
          <w:color w:val="000000"/>
        </w:rPr>
        <w:t>***</w:t>
      </w:r>
      <w:r w:rsidRPr="00C86BEC">
        <w:rPr>
          <w:rFonts w:eastAsia="Arial"/>
          <w:iCs/>
          <w:color w:val="000000"/>
        </w:rPr>
        <w:t xml:space="preserve">), p &lt; </w:t>
      </w:r>
      <w:r w:rsidR="00FB00F0">
        <w:rPr>
          <w:rFonts w:eastAsia="Arial"/>
          <w:iCs/>
          <w:color w:val="000000"/>
        </w:rPr>
        <w:t>***</w:t>
      </w:r>
      <w:r w:rsidRPr="00C86BEC">
        <w:rPr>
          <w:rFonts w:eastAsia="Arial"/>
          <w:iCs/>
          <w:color w:val="000000"/>
        </w:rPr>
        <w:t xml:space="preserve">. Objektyvaus atsako dažnis buvo </w:t>
      </w:r>
      <w:r w:rsidR="00FB00F0">
        <w:rPr>
          <w:rFonts w:eastAsia="Arial"/>
          <w:iCs/>
          <w:color w:val="000000"/>
        </w:rPr>
        <w:t>***</w:t>
      </w:r>
      <w:r w:rsidR="00FB00F0" w:rsidRPr="00C86BEC">
        <w:rPr>
          <w:rFonts w:eastAsia="Arial"/>
          <w:iCs/>
          <w:color w:val="000000"/>
        </w:rPr>
        <w:t xml:space="preserve"> </w:t>
      </w:r>
      <w:r w:rsidRPr="00C86BEC">
        <w:rPr>
          <w:rFonts w:eastAsia="Arial"/>
          <w:iCs/>
          <w:color w:val="000000"/>
        </w:rPr>
        <w:t>% (</w:t>
      </w:r>
      <w:r w:rsidR="00FB00F0">
        <w:rPr>
          <w:rFonts w:eastAsia="Arial"/>
          <w:iCs/>
          <w:color w:val="000000"/>
        </w:rPr>
        <w:t>***</w:t>
      </w:r>
      <w:r w:rsidR="00FB00F0" w:rsidRPr="00C86BEC">
        <w:rPr>
          <w:rFonts w:eastAsia="Arial"/>
          <w:iCs/>
          <w:color w:val="000000"/>
        </w:rPr>
        <w:t xml:space="preserve"> </w:t>
      </w:r>
      <w:r w:rsidRPr="00C86BEC">
        <w:rPr>
          <w:rFonts w:eastAsia="Arial"/>
          <w:iCs/>
          <w:color w:val="000000"/>
        </w:rPr>
        <w:t xml:space="preserve">% PI: </w:t>
      </w:r>
      <w:r w:rsidR="00FB00F0">
        <w:rPr>
          <w:rFonts w:eastAsia="Arial"/>
          <w:iCs/>
          <w:color w:val="000000"/>
        </w:rPr>
        <w:t>***</w:t>
      </w:r>
      <w:r w:rsidRPr="00C86BEC">
        <w:rPr>
          <w:rFonts w:eastAsia="Arial"/>
          <w:iCs/>
          <w:color w:val="000000"/>
        </w:rPr>
        <w:t xml:space="preserve">) </w:t>
      </w:r>
      <w:proofErr w:type="spellStart"/>
      <w:r w:rsidRPr="00C86BEC">
        <w:rPr>
          <w:rFonts w:eastAsia="Arial"/>
          <w:iCs/>
          <w:color w:val="000000"/>
        </w:rPr>
        <w:t>tislelizumabo</w:t>
      </w:r>
      <w:proofErr w:type="spellEnd"/>
      <w:r w:rsidRPr="00C86BEC">
        <w:rPr>
          <w:rFonts w:eastAsia="Arial"/>
          <w:iCs/>
          <w:color w:val="000000"/>
        </w:rPr>
        <w:t xml:space="preserve"> ir </w:t>
      </w:r>
      <w:r w:rsidR="00FB00F0">
        <w:rPr>
          <w:rFonts w:eastAsia="Arial"/>
          <w:iCs/>
          <w:color w:val="000000"/>
        </w:rPr>
        <w:t>***</w:t>
      </w:r>
      <w:r w:rsidR="00FB00F0" w:rsidRPr="00C86BEC">
        <w:rPr>
          <w:rFonts w:eastAsia="Arial"/>
          <w:iCs/>
          <w:color w:val="000000"/>
        </w:rPr>
        <w:t xml:space="preserve"> </w:t>
      </w:r>
      <w:r w:rsidRPr="00C86BEC">
        <w:rPr>
          <w:rFonts w:eastAsia="Arial"/>
          <w:iCs/>
          <w:color w:val="000000"/>
        </w:rPr>
        <w:t>% (</w:t>
      </w:r>
      <w:r w:rsidR="00FB00F0">
        <w:rPr>
          <w:rFonts w:eastAsia="Arial"/>
          <w:iCs/>
          <w:color w:val="000000"/>
        </w:rPr>
        <w:t>***</w:t>
      </w:r>
      <w:r w:rsidR="00FB00F0" w:rsidRPr="00C86BEC">
        <w:rPr>
          <w:rFonts w:eastAsia="Arial"/>
          <w:iCs/>
          <w:color w:val="000000"/>
        </w:rPr>
        <w:t xml:space="preserve"> </w:t>
      </w:r>
      <w:r w:rsidRPr="00C86BEC">
        <w:rPr>
          <w:rFonts w:eastAsia="Arial"/>
          <w:iCs/>
          <w:color w:val="000000"/>
        </w:rPr>
        <w:t xml:space="preserve">% PI: </w:t>
      </w:r>
      <w:r w:rsidR="00FB00F0">
        <w:rPr>
          <w:rFonts w:eastAsia="Arial"/>
          <w:iCs/>
          <w:color w:val="000000"/>
        </w:rPr>
        <w:t>***</w:t>
      </w:r>
      <w:r w:rsidRPr="00C86BEC">
        <w:rPr>
          <w:rFonts w:eastAsia="Arial"/>
          <w:iCs/>
          <w:color w:val="000000"/>
        </w:rPr>
        <w:t xml:space="preserve">) placebo grupėje, o vidutinė atsako trukmė – atitinkamai </w:t>
      </w:r>
      <w:r w:rsidR="00FB00F0">
        <w:rPr>
          <w:rFonts w:eastAsia="Arial"/>
          <w:iCs/>
          <w:color w:val="000000"/>
        </w:rPr>
        <w:t>***</w:t>
      </w:r>
      <w:r w:rsidR="00FB00F0" w:rsidRPr="00C86BEC">
        <w:rPr>
          <w:rFonts w:eastAsia="Arial"/>
          <w:iCs/>
          <w:color w:val="000000"/>
        </w:rPr>
        <w:t xml:space="preserve"> </w:t>
      </w:r>
      <w:r w:rsidRPr="00C86BEC">
        <w:rPr>
          <w:rFonts w:eastAsia="Arial"/>
          <w:iCs/>
          <w:color w:val="000000"/>
        </w:rPr>
        <w:t>mėn. (</w:t>
      </w:r>
      <w:r w:rsidR="00FB00F0">
        <w:rPr>
          <w:rFonts w:eastAsia="Arial"/>
          <w:iCs/>
          <w:color w:val="000000"/>
        </w:rPr>
        <w:t>***</w:t>
      </w:r>
      <w:r w:rsidR="00FB00F0" w:rsidRPr="00C86BEC">
        <w:rPr>
          <w:rFonts w:eastAsia="Arial"/>
          <w:iCs/>
          <w:color w:val="000000"/>
        </w:rPr>
        <w:t xml:space="preserve"> </w:t>
      </w:r>
      <w:r w:rsidRPr="00C86BEC">
        <w:rPr>
          <w:rFonts w:eastAsia="Arial"/>
          <w:iCs/>
          <w:color w:val="000000"/>
        </w:rPr>
        <w:t xml:space="preserve">% PI: </w:t>
      </w:r>
      <w:r w:rsidR="00FB00F0">
        <w:rPr>
          <w:rFonts w:eastAsia="Arial"/>
          <w:iCs/>
          <w:color w:val="000000"/>
        </w:rPr>
        <w:t>***</w:t>
      </w:r>
      <w:r w:rsidRPr="00C86BEC">
        <w:rPr>
          <w:rFonts w:eastAsia="Arial"/>
          <w:iCs/>
          <w:color w:val="000000"/>
        </w:rPr>
        <w:t xml:space="preserve">) ir </w:t>
      </w:r>
      <w:r w:rsidR="00915A1C">
        <w:rPr>
          <w:rFonts w:eastAsia="Arial"/>
          <w:iCs/>
          <w:color w:val="000000"/>
        </w:rPr>
        <w:t>***</w:t>
      </w:r>
      <w:r w:rsidR="00915A1C" w:rsidRPr="00C86BEC">
        <w:rPr>
          <w:rFonts w:eastAsia="Arial"/>
          <w:iCs/>
          <w:color w:val="000000"/>
        </w:rPr>
        <w:t xml:space="preserve"> </w:t>
      </w:r>
      <w:r w:rsidRPr="00C86BEC">
        <w:rPr>
          <w:rFonts w:eastAsia="Arial"/>
          <w:iCs/>
          <w:color w:val="000000"/>
        </w:rPr>
        <w:t xml:space="preserve"> mėn. (</w:t>
      </w:r>
      <w:r w:rsidR="00915A1C">
        <w:rPr>
          <w:rFonts w:eastAsia="Arial"/>
          <w:iCs/>
          <w:color w:val="000000"/>
        </w:rPr>
        <w:t>***</w:t>
      </w:r>
      <w:r w:rsidR="00915A1C" w:rsidRPr="00C86BEC">
        <w:rPr>
          <w:rFonts w:eastAsia="Arial"/>
          <w:iCs/>
          <w:color w:val="000000"/>
        </w:rPr>
        <w:t xml:space="preserve"> </w:t>
      </w:r>
      <w:r w:rsidRPr="00C86BEC">
        <w:rPr>
          <w:rFonts w:eastAsia="Arial"/>
          <w:iCs/>
          <w:color w:val="000000"/>
        </w:rPr>
        <w:t xml:space="preserve">% PI: </w:t>
      </w:r>
      <w:r w:rsidR="00915A1C">
        <w:rPr>
          <w:rFonts w:eastAsia="Arial"/>
          <w:iCs/>
          <w:color w:val="000000"/>
        </w:rPr>
        <w:t>***</w:t>
      </w:r>
      <w:r w:rsidRPr="00C86BEC">
        <w:rPr>
          <w:rFonts w:eastAsia="Arial"/>
          <w:iCs/>
          <w:color w:val="000000"/>
        </w:rPr>
        <w:t xml:space="preserve">). Ligos kontrolės dažnis siekė </w:t>
      </w:r>
      <w:r w:rsidR="00FB00F0">
        <w:rPr>
          <w:rFonts w:eastAsia="Arial"/>
          <w:iCs/>
          <w:color w:val="000000"/>
        </w:rPr>
        <w:t>***</w:t>
      </w:r>
      <w:r w:rsidR="00FB00F0" w:rsidRPr="00C86BEC">
        <w:rPr>
          <w:rFonts w:eastAsia="Arial"/>
          <w:iCs/>
          <w:color w:val="000000"/>
        </w:rPr>
        <w:t xml:space="preserve"> </w:t>
      </w:r>
      <w:r w:rsidRPr="00C86BEC">
        <w:rPr>
          <w:rFonts w:eastAsia="Arial"/>
          <w:iCs/>
          <w:color w:val="000000"/>
        </w:rPr>
        <w:t xml:space="preserve">% vs. </w:t>
      </w:r>
      <w:r w:rsidR="00FB00F0">
        <w:rPr>
          <w:rFonts w:eastAsia="Arial"/>
          <w:iCs/>
          <w:color w:val="000000"/>
        </w:rPr>
        <w:t>***</w:t>
      </w:r>
      <w:r w:rsidR="00FB00F0" w:rsidRPr="00C86BEC">
        <w:rPr>
          <w:rFonts w:eastAsia="Arial"/>
          <w:iCs/>
          <w:color w:val="000000"/>
        </w:rPr>
        <w:t xml:space="preserve"> </w:t>
      </w:r>
      <w:r w:rsidRPr="00C86BEC">
        <w:rPr>
          <w:rFonts w:eastAsia="Arial"/>
          <w:iCs/>
          <w:color w:val="000000"/>
        </w:rPr>
        <w:t xml:space="preserve">%, o klinikinės naudos dažnis – </w:t>
      </w:r>
      <w:r w:rsidR="00CD7656">
        <w:rPr>
          <w:rFonts w:eastAsia="Arial"/>
          <w:iCs/>
          <w:color w:val="000000"/>
        </w:rPr>
        <w:t>***</w:t>
      </w:r>
      <w:r w:rsidR="00CD7656" w:rsidRPr="00C86BEC">
        <w:rPr>
          <w:rFonts w:eastAsia="Arial"/>
          <w:iCs/>
          <w:color w:val="000000"/>
        </w:rPr>
        <w:t xml:space="preserve"> </w:t>
      </w:r>
      <w:r w:rsidRPr="00C86BEC">
        <w:rPr>
          <w:rFonts w:eastAsia="Arial"/>
          <w:iCs/>
          <w:color w:val="000000"/>
        </w:rPr>
        <w:t xml:space="preserve">% vs. </w:t>
      </w:r>
      <w:r w:rsidR="00CD7656">
        <w:rPr>
          <w:rFonts w:eastAsia="Arial"/>
          <w:iCs/>
          <w:color w:val="000000"/>
        </w:rPr>
        <w:t>***</w:t>
      </w:r>
      <w:r w:rsidR="00CD7656" w:rsidRPr="00C86BEC">
        <w:rPr>
          <w:rFonts w:eastAsia="Arial"/>
          <w:iCs/>
          <w:color w:val="000000"/>
        </w:rPr>
        <w:t xml:space="preserve"> </w:t>
      </w:r>
      <w:r w:rsidRPr="00C86BEC">
        <w:rPr>
          <w:rFonts w:eastAsia="Arial"/>
          <w:iCs/>
          <w:color w:val="000000"/>
        </w:rPr>
        <w:t xml:space="preserve">%, palyginant </w:t>
      </w:r>
      <w:proofErr w:type="spellStart"/>
      <w:r w:rsidRPr="00C86BEC">
        <w:rPr>
          <w:rFonts w:eastAsia="Arial"/>
          <w:iCs/>
          <w:color w:val="000000"/>
        </w:rPr>
        <w:t>tislelizumabo</w:t>
      </w:r>
      <w:proofErr w:type="spellEnd"/>
      <w:r w:rsidRPr="00C86BEC">
        <w:rPr>
          <w:rFonts w:eastAsia="Arial"/>
          <w:iCs/>
          <w:color w:val="000000"/>
        </w:rPr>
        <w:t xml:space="preserve"> ir placebo grupes.</w:t>
      </w:r>
    </w:p>
    <w:p w14:paraId="53954483" w14:textId="66B44FE2" w:rsidR="0061787B" w:rsidRPr="00C86BEC" w:rsidRDefault="0061787B" w:rsidP="0061787B">
      <w:pPr>
        <w:spacing w:line="276" w:lineRule="auto"/>
        <w:ind w:firstLine="720"/>
        <w:jc w:val="both"/>
        <w:rPr>
          <w:rFonts w:eastAsia="Arial"/>
          <w:iCs/>
          <w:color w:val="000000"/>
        </w:rPr>
      </w:pPr>
      <w:r w:rsidRPr="00C86BEC">
        <w:rPr>
          <w:rFonts w:eastAsia="Arial"/>
          <w:iCs/>
          <w:color w:val="000000"/>
        </w:rPr>
        <w:t xml:space="preserve">Gyvenimo kokybės vertinimai, atlikti naudojant EORTC QLQ-C30 ir QLQ-STO22 klausimynus, atskleidė reikšmingus pagerėjimus </w:t>
      </w:r>
      <w:proofErr w:type="spellStart"/>
      <w:r w:rsidRPr="00C86BEC">
        <w:rPr>
          <w:rFonts w:eastAsia="Arial"/>
          <w:iCs/>
          <w:color w:val="000000"/>
        </w:rPr>
        <w:t>tislelizumabo</w:t>
      </w:r>
      <w:proofErr w:type="spellEnd"/>
      <w:r w:rsidRPr="00C86BEC">
        <w:rPr>
          <w:rFonts w:eastAsia="Arial"/>
          <w:iCs/>
          <w:color w:val="000000"/>
        </w:rPr>
        <w:t xml:space="preserve"> grupėje. Nuo pradinės vertės iki </w:t>
      </w:r>
      <w:r w:rsidR="00BC1133">
        <w:rPr>
          <w:rFonts w:eastAsia="Arial"/>
          <w:iCs/>
          <w:color w:val="000000"/>
        </w:rPr>
        <w:t>***</w:t>
      </w:r>
      <w:r w:rsidR="00BC1133" w:rsidRPr="00C86BEC">
        <w:rPr>
          <w:rFonts w:eastAsia="Arial"/>
          <w:iCs/>
          <w:color w:val="000000"/>
        </w:rPr>
        <w:t xml:space="preserve"> </w:t>
      </w:r>
      <w:r w:rsidRPr="00C86BEC">
        <w:rPr>
          <w:rFonts w:eastAsia="Arial"/>
          <w:iCs/>
          <w:color w:val="000000"/>
        </w:rPr>
        <w:t xml:space="preserve"> gydymo ciklo pagerėjo bendrosios sveikatos būklės ir gyvenimo kokybės skalė (vidutinis pokytis +</w:t>
      </w:r>
      <w:r w:rsidR="00023BE5">
        <w:rPr>
          <w:rFonts w:eastAsia="Arial"/>
          <w:iCs/>
          <w:color w:val="000000"/>
        </w:rPr>
        <w:t>***</w:t>
      </w:r>
      <w:r w:rsidRPr="00C86BEC">
        <w:rPr>
          <w:rFonts w:eastAsia="Arial"/>
          <w:iCs/>
          <w:color w:val="000000"/>
        </w:rPr>
        <w:t xml:space="preserve">; </w:t>
      </w:r>
      <w:r w:rsidR="00023BE5">
        <w:rPr>
          <w:rFonts w:eastAsia="Arial"/>
          <w:iCs/>
          <w:color w:val="000000"/>
        </w:rPr>
        <w:t>***</w:t>
      </w:r>
      <w:r w:rsidR="00023BE5" w:rsidRPr="00C86BEC">
        <w:rPr>
          <w:rFonts w:eastAsia="Arial"/>
          <w:iCs/>
          <w:color w:val="000000"/>
        </w:rPr>
        <w:t xml:space="preserve"> </w:t>
      </w:r>
      <w:r w:rsidRPr="00C86BEC">
        <w:rPr>
          <w:rFonts w:eastAsia="Arial"/>
          <w:iCs/>
          <w:color w:val="000000"/>
        </w:rPr>
        <w:t xml:space="preserve">% PI: </w:t>
      </w:r>
      <w:r w:rsidR="00023BE5">
        <w:rPr>
          <w:rFonts w:eastAsia="Arial"/>
          <w:iCs/>
          <w:color w:val="000000"/>
        </w:rPr>
        <w:t>***</w:t>
      </w:r>
      <w:r w:rsidRPr="00C86BEC">
        <w:rPr>
          <w:rFonts w:eastAsia="Arial"/>
          <w:iCs/>
          <w:color w:val="000000"/>
        </w:rPr>
        <w:t>), fizinė funkcija (+</w:t>
      </w:r>
      <w:r w:rsidR="00023BE5">
        <w:rPr>
          <w:rFonts w:eastAsia="Arial"/>
          <w:iCs/>
          <w:color w:val="000000"/>
        </w:rPr>
        <w:t>***</w:t>
      </w:r>
      <w:r w:rsidRPr="00C86BEC">
        <w:rPr>
          <w:rFonts w:eastAsia="Arial"/>
          <w:iCs/>
          <w:color w:val="000000"/>
        </w:rPr>
        <w:t xml:space="preserve">; </w:t>
      </w:r>
      <w:r w:rsidR="00023BE5">
        <w:rPr>
          <w:rFonts w:eastAsia="Arial"/>
          <w:iCs/>
          <w:color w:val="000000"/>
        </w:rPr>
        <w:t>***</w:t>
      </w:r>
      <w:r w:rsidR="00023BE5" w:rsidRPr="00C86BEC">
        <w:rPr>
          <w:rFonts w:eastAsia="Arial"/>
          <w:iCs/>
          <w:color w:val="000000"/>
        </w:rPr>
        <w:t xml:space="preserve"> </w:t>
      </w:r>
      <w:r w:rsidRPr="00C86BEC">
        <w:rPr>
          <w:rFonts w:eastAsia="Arial"/>
          <w:iCs/>
          <w:color w:val="000000"/>
        </w:rPr>
        <w:t xml:space="preserve">% PI: </w:t>
      </w:r>
      <w:r w:rsidR="00023BE5">
        <w:rPr>
          <w:rFonts w:eastAsia="Arial"/>
          <w:iCs/>
          <w:color w:val="000000"/>
        </w:rPr>
        <w:t>***</w:t>
      </w:r>
      <w:r w:rsidRPr="00C86BEC">
        <w:rPr>
          <w:rFonts w:eastAsia="Arial"/>
          <w:iCs/>
          <w:color w:val="000000"/>
        </w:rPr>
        <w:t>), sumažėjo nuovargis (–</w:t>
      </w:r>
      <w:r w:rsidR="00023BE5">
        <w:rPr>
          <w:rFonts w:eastAsia="Arial"/>
          <w:iCs/>
          <w:color w:val="000000"/>
        </w:rPr>
        <w:t>***</w:t>
      </w:r>
      <w:r w:rsidRPr="00C86BEC">
        <w:rPr>
          <w:rFonts w:eastAsia="Arial"/>
          <w:iCs/>
          <w:color w:val="000000"/>
        </w:rPr>
        <w:t xml:space="preserve">; </w:t>
      </w:r>
      <w:r w:rsidR="00023BE5">
        <w:rPr>
          <w:rFonts w:eastAsia="Arial"/>
          <w:iCs/>
          <w:color w:val="000000"/>
        </w:rPr>
        <w:t>***</w:t>
      </w:r>
      <w:r w:rsidR="00023BE5" w:rsidRPr="00C86BEC">
        <w:rPr>
          <w:rFonts w:eastAsia="Arial"/>
          <w:iCs/>
          <w:color w:val="000000"/>
        </w:rPr>
        <w:t xml:space="preserve"> </w:t>
      </w:r>
      <w:r w:rsidRPr="00C86BEC">
        <w:rPr>
          <w:rFonts w:eastAsia="Arial"/>
          <w:iCs/>
          <w:color w:val="000000"/>
        </w:rPr>
        <w:t>% PI: –</w:t>
      </w:r>
      <w:r w:rsidR="00CD7656">
        <w:rPr>
          <w:rFonts w:eastAsia="Arial"/>
          <w:iCs/>
          <w:color w:val="000000"/>
        </w:rPr>
        <w:t>***</w:t>
      </w:r>
      <w:r w:rsidR="00CD7656" w:rsidRPr="00C86BEC">
        <w:rPr>
          <w:rFonts w:eastAsia="Arial"/>
          <w:iCs/>
          <w:color w:val="000000"/>
        </w:rPr>
        <w:t xml:space="preserve"> </w:t>
      </w:r>
      <w:r w:rsidRPr="00C86BEC">
        <w:rPr>
          <w:rFonts w:eastAsia="Arial"/>
          <w:iCs/>
          <w:color w:val="000000"/>
        </w:rPr>
        <w:t>iki –</w:t>
      </w:r>
      <w:r w:rsidR="00023BE5">
        <w:rPr>
          <w:rFonts w:eastAsia="Arial"/>
          <w:iCs/>
          <w:color w:val="000000"/>
        </w:rPr>
        <w:t xml:space="preserve"> ***</w:t>
      </w:r>
      <w:r w:rsidRPr="00C86BEC">
        <w:rPr>
          <w:rFonts w:eastAsia="Arial"/>
          <w:iCs/>
          <w:color w:val="000000"/>
        </w:rPr>
        <w:t>) ir skrandžio vėžiui būdingi simptomai (–</w:t>
      </w:r>
      <w:r w:rsidR="00023BE5">
        <w:rPr>
          <w:rFonts w:eastAsia="Arial"/>
          <w:iCs/>
          <w:color w:val="000000"/>
        </w:rPr>
        <w:t>***</w:t>
      </w:r>
      <w:r w:rsidRPr="00C86BEC">
        <w:rPr>
          <w:rFonts w:eastAsia="Arial"/>
          <w:iCs/>
          <w:color w:val="000000"/>
        </w:rPr>
        <w:t xml:space="preserve">; </w:t>
      </w:r>
      <w:r w:rsidR="00023BE5">
        <w:rPr>
          <w:rFonts w:eastAsia="Arial"/>
          <w:iCs/>
          <w:color w:val="000000"/>
        </w:rPr>
        <w:t>***</w:t>
      </w:r>
      <w:r w:rsidR="00023BE5" w:rsidRPr="00C86BEC">
        <w:rPr>
          <w:rFonts w:eastAsia="Arial"/>
          <w:iCs/>
          <w:color w:val="000000"/>
        </w:rPr>
        <w:t xml:space="preserve"> </w:t>
      </w:r>
      <w:r w:rsidRPr="00C86BEC">
        <w:rPr>
          <w:rFonts w:eastAsia="Arial"/>
          <w:iCs/>
          <w:color w:val="000000"/>
        </w:rPr>
        <w:t>% PI: –</w:t>
      </w:r>
      <w:r w:rsidR="00023BE5">
        <w:rPr>
          <w:rFonts w:eastAsia="Arial"/>
          <w:iCs/>
          <w:color w:val="000000"/>
        </w:rPr>
        <w:t>***</w:t>
      </w:r>
      <w:r w:rsidR="00023BE5" w:rsidRPr="00C86BEC">
        <w:rPr>
          <w:rFonts w:eastAsia="Arial"/>
          <w:iCs/>
          <w:color w:val="000000"/>
        </w:rPr>
        <w:t xml:space="preserve"> </w:t>
      </w:r>
      <w:r w:rsidRPr="00C86BEC">
        <w:rPr>
          <w:rFonts w:eastAsia="Arial"/>
          <w:iCs/>
          <w:color w:val="000000"/>
        </w:rPr>
        <w:t>iki –</w:t>
      </w:r>
      <w:r w:rsidR="00023BE5">
        <w:rPr>
          <w:rFonts w:eastAsia="Arial"/>
          <w:iCs/>
          <w:color w:val="000000"/>
        </w:rPr>
        <w:t>***</w:t>
      </w:r>
      <w:r w:rsidRPr="00C86BEC">
        <w:rPr>
          <w:rFonts w:eastAsia="Arial"/>
          <w:iCs/>
          <w:color w:val="000000"/>
        </w:rPr>
        <w:t>). Be to, gyvenimo kokybės pablogėjimo rizika buvo mažesnė visose pagrindinėse srityse: GHS/</w:t>
      </w:r>
      <w:proofErr w:type="spellStart"/>
      <w:r w:rsidRPr="00C86BEC">
        <w:rPr>
          <w:rFonts w:eastAsia="Arial"/>
          <w:iCs/>
          <w:color w:val="000000"/>
        </w:rPr>
        <w:t>QoL</w:t>
      </w:r>
      <w:proofErr w:type="spellEnd"/>
      <w:r w:rsidRPr="00C86BEC">
        <w:rPr>
          <w:rFonts w:eastAsia="Arial"/>
          <w:iCs/>
          <w:color w:val="000000"/>
        </w:rPr>
        <w:t xml:space="preserve"> (RS </w:t>
      </w:r>
      <w:r w:rsidR="00023BE5">
        <w:rPr>
          <w:rFonts w:eastAsia="Arial"/>
          <w:iCs/>
          <w:color w:val="000000"/>
        </w:rPr>
        <w:t>***</w:t>
      </w:r>
      <w:r w:rsidRPr="00C86BEC">
        <w:rPr>
          <w:rFonts w:eastAsia="Arial"/>
          <w:iCs/>
          <w:color w:val="000000"/>
        </w:rPr>
        <w:t xml:space="preserve">), fizinė funkcija (RS </w:t>
      </w:r>
      <w:r w:rsidR="00023BE5" w:rsidRPr="00C86BEC">
        <w:rPr>
          <w:rFonts w:eastAsia="Arial"/>
          <w:iCs/>
          <w:color w:val="000000"/>
        </w:rPr>
        <w:t>≥</w:t>
      </w:r>
      <w:r w:rsidR="00023BE5">
        <w:rPr>
          <w:rFonts w:eastAsia="Arial"/>
          <w:iCs/>
          <w:color w:val="000000"/>
        </w:rPr>
        <w:t>***</w:t>
      </w:r>
      <w:r w:rsidRPr="00C86BEC">
        <w:rPr>
          <w:rFonts w:eastAsia="Arial"/>
          <w:iCs/>
          <w:color w:val="000000"/>
        </w:rPr>
        <w:t xml:space="preserve">), skausmas (RS </w:t>
      </w:r>
      <w:r w:rsidR="00023BE5">
        <w:rPr>
          <w:rFonts w:eastAsia="Arial"/>
          <w:iCs/>
          <w:color w:val="000000"/>
        </w:rPr>
        <w:t>***</w:t>
      </w:r>
      <w:r w:rsidRPr="00C86BEC">
        <w:rPr>
          <w:rFonts w:eastAsia="Arial"/>
          <w:iCs/>
          <w:color w:val="000000"/>
        </w:rPr>
        <w:t xml:space="preserve">) ir viršutinio virškinamojo trakto simptomai (RS </w:t>
      </w:r>
      <w:r w:rsidR="00023BE5">
        <w:rPr>
          <w:rFonts w:eastAsia="Arial"/>
          <w:iCs/>
          <w:color w:val="000000"/>
        </w:rPr>
        <w:t>***</w:t>
      </w:r>
      <w:r w:rsidRPr="00C86BEC">
        <w:rPr>
          <w:rFonts w:eastAsia="Arial"/>
          <w:iCs/>
          <w:color w:val="000000"/>
        </w:rPr>
        <w:t>).</w:t>
      </w:r>
    </w:p>
    <w:p w14:paraId="20722FBB" w14:textId="53DCA850" w:rsidR="0061787B" w:rsidRPr="00C86BEC" w:rsidRDefault="0061787B" w:rsidP="0061787B">
      <w:pPr>
        <w:spacing w:line="276" w:lineRule="auto"/>
        <w:ind w:firstLine="720"/>
        <w:jc w:val="both"/>
        <w:rPr>
          <w:rFonts w:eastAsia="Arial"/>
          <w:iCs/>
          <w:color w:val="000000"/>
        </w:rPr>
      </w:pPr>
      <w:r>
        <w:rPr>
          <w:rFonts w:eastAsia="Arial"/>
          <w:iCs/>
          <w:color w:val="000000"/>
        </w:rPr>
        <w:t>Palyginamojo s</w:t>
      </w:r>
      <w:r w:rsidRPr="00C86BEC">
        <w:rPr>
          <w:rFonts w:eastAsia="Arial"/>
          <w:iCs/>
          <w:color w:val="000000"/>
        </w:rPr>
        <w:t xml:space="preserve">augumo </w:t>
      </w:r>
      <w:r>
        <w:rPr>
          <w:rFonts w:eastAsia="Arial"/>
          <w:iCs/>
          <w:color w:val="000000"/>
        </w:rPr>
        <w:t>duomenys</w:t>
      </w:r>
      <w:r w:rsidRPr="00C86BEC">
        <w:rPr>
          <w:rFonts w:eastAsia="Arial"/>
          <w:iCs/>
          <w:color w:val="000000"/>
        </w:rPr>
        <w:t xml:space="preserve"> parodė, kad </w:t>
      </w:r>
      <w:r>
        <w:rPr>
          <w:rFonts w:eastAsia="Arial"/>
          <w:iCs/>
          <w:color w:val="000000"/>
        </w:rPr>
        <w:t xml:space="preserve">su </w:t>
      </w:r>
      <w:r w:rsidRPr="00C86BEC">
        <w:rPr>
          <w:rFonts w:eastAsia="Arial"/>
          <w:iCs/>
          <w:color w:val="000000"/>
        </w:rPr>
        <w:t xml:space="preserve">gydymui susiję nepageidaujami reiškiniai pasireiškė </w:t>
      </w:r>
      <w:r w:rsidR="00CD7656">
        <w:rPr>
          <w:rFonts w:eastAsia="Arial"/>
          <w:iCs/>
          <w:color w:val="000000"/>
        </w:rPr>
        <w:t>***</w:t>
      </w:r>
      <w:r w:rsidR="00CD7656" w:rsidRPr="00C86BEC">
        <w:rPr>
          <w:rFonts w:eastAsia="Arial"/>
          <w:iCs/>
          <w:color w:val="000000"/>
        </w:rPr>
        <w:t xml:space="preserve"> </w:t>
      </w:r>
      <w:r w:rsidRPr="00C86BEC">
        <w:rPr>
          <w:rFonts w:eastAsia="Arial"/>
          <w:iCs/>
          <w:color w:val="000000"/>
        </w:rPr>
        <w:t xml:space="preserve">% pacientų </w:t>
      </w:r>
      <w:proofErr w:type="spellStart"/>
      <w:r w:rsidRPr="00C86BEC">
        <w:rPr>
          <w:rFonts w:eastAsia="Arial"/>
          <w:iCs/>
          <w:color w:val="000000"/>
        </w:rPr>
        <w:t>tislelizumabo</w:t>
      </w:r>
      <w:proofErr w:type="spellEnd"/>
      <w:r w:rsidRPr="00C86BEC">
        <w:rPr>
          <w:rFonts w:eastAsia="Arial"/>
          <w:iCs/>
          <w:color w:val="000000"/>
        </w:rPr>
        <w:t xml:space="preserve"> grupėje ir </w:t>
      </w:r>
      <w:r w:rsidR="00CD7656">
        <w:rPr>
          <w:rFonts w:eastAsia="Arial"/>
          <w:iCs/>
          <w:color w:val="000000"/>
        </w:rPr>
        <w:t>***</w:t>
      </w:r>
      <w:r w:rsidR="00CD7656" w:rsidRPr="00C86BEC">
        <w:rPr>
          <w:rFonts w:eastAsia="Arial"/>
          <w:iCs/>
          <w:color w:val="000000"/>
        </w:rPr>
        <w:t xml:space="preserve"> </w:t>
      </w:r>
      <w:r w:rsidRPr="00C86BEC">
        <w:rPr>
          <w:rFonts w:eastAsia="Arial"/>
          <w:iCs/>
          <w:color w:val="000000"/>
        </w:rPr>
        <w:t xml:space="preserve">% placebo grupėje. </w:t>
      </w:r>
      <w:r w:rsidR="0062534F">
        <w:rPr>
          <w:rFonts w:eastAsia="Arial"/>
          <w:iCs/>
          <w:color w:val="000000"/>
        </w:rPr>
        <w:t>***</w:t>
      </w:r>
      <w:r w:rsidR="0062534F" w:rsidRPr="00C86BEC">
        <w:rPr>
          <w:rFonts w:eastAsia="Arial"/>
          <w:iCs/>
          <w:color w:val="000000"/>
        </w:rPr>
        <w:t xml:space="preserve"> </w:t>
      </w:r>
      <w:r w:rsidRPr="00C86BEC">
        <w:rPr>
          <w:rFonts w:eastAsia="Arial"/>
          <w:iCs/>
          <w:color w:val="000000"/>
        </w:rPr>
        <w:t xml:space="preserve"> ar </w:t>
      </w:r>
      <w:r>
        <w:rPr>
          <w:rFonts w:eastAsia="Arial"/>
          <w:iCs/>
          <w:color w:val="000000"/>
        </w:rPr>
        <w:t>didesnio</w:t>
      </w:r>
      <w:r w:rsidRPr="00C86BEC">
        <w:rPr>
          <w:rFonts w:eastAsia="Arial"/>
          <w:iCs/>
          <w:color w:val="000000"/>
        </w:rPr>
        <w:t xml:space="preserve"> laipsnio </w:t>
      </w:r>
      <w:r>
        <w:rPr>
          <w:rFonts w:eastAsia="Arial"/>
          <w:iCs/>
          <w:color w:val="000000"/>
        </w:rPr>
        <w:t xml:space="preserve">nepageidaujami </w:t>
      </w:r>
      <w:r w:rsidRPr="00C86BEC">
        <w:rPr>
          <w:rFonts w:eastAsia="Arial"/>
          <w:iCs/>
          <w:color w:val="000000"/>
        </w:rPr>
        <w:t xml:space="preserve">reiškiniai dažniausiai buvo </w:t>
      </w:r>
      <w:proofErr w:type="spellStart"/>
      <w:r w:rsidRPr="00C86BEC">
        <w:rPr>
          <w:rFonts w:eastAsia="Arial"/>
          <w:iCs/>
          <w:color w:val="000000"/>
        </w:rPr>
        <w:t>neutrofilų</w:t>
      </w:r>
      <w:proofErr w:type="spellEnd"/>
      <w:r w:rsidRPr="00C86BEC">
        <w:rPr>
          <w:rFonts w:eastAsia="Arial"/>
          <w:iCs/>
          <w:color w:val="000000"/>
        </w:rPr>
        <w:t xml:space="preserve"> kiekio sumažėjimas (</w:t>
      </w:r>
      <w:r w:rsidR="00E54B88">
        <w:rPr>
          <w:rFonts w:eastAsia="Arial"/>
          <w:iCs/>
          <w:color w:val="000000"/>
        </w:rPr>
        <w:t>***</w:t>
      </w:r>
      <w:r w:rsidR="00E54B88" w:rsidRPr="00C86BEC">
        <w:rPr>
          <w:rFonts w:eastAsia="Arial"/>
          <w:iCs/>
          <w:color w:val="000000"/>
        </w:rPr>
        <w:t xml:space="preserve"> </w:t>
      </w:r>
      <w:r w:rsidRPr="00C86BEC">
        <w:rPr>
          <w:rFonts w:eastAsia="Arial"/>
          <w:iCs/>
          <w:color w:val="000000"/>
        </w:rPr>
        <w:t xml:space="preserve">% abiejose grupėse), </w:t>
      </w:r>
      <w:proofErr w:type="spellStart"/>
      <w:r w:rsidRPr="00C86BEC">
        <w:rPr>
          <w:rFonts w:eastAsia="Arial"/>
          <w:iCs/>
          <w:color w:val="000000"/>
        </w:rPr>
        <w:t>trombocitopenija</w:t>
      </w:r>
      <w:proofErr w:type="spellEnd"/>
      <w:r w:rsidRPr="00C86BEC">
        <w:rPr>
          <w:rFonts w:eastAsia="Arial"/>
          <w:iCs/>
          <w:color w:val="000000"/>
        </w:rPr>
        <w:t xml:space="preserve"> (</w:t>
      </w:r>
      <w:r w:rsidR="00E54B88">
        <w:rPr>
          <w:rFonts w:eastAsia="Arial"/>
          <w:iCs/>
          <w:color w:val="000000"/>
        </w:rPr>
        <w:t>***</w:t>
      </w:r>
      <w:r w:rsidR="00E54B88" w:rsidRPr="00C86BEC">
        <w:rPr>
          <w:rFonts w:eastAsia="Arial"/>
          <w:iCs/>
          <w:color w:val="000000"/>
        </w:rPr>
        <w:t xml:space="preserve"> </w:t>
      </w:r>
      <w:r w:rsidRPr="00C86BEC">
        <w:rPr>
          <w:rFonts w:eastAsia="Arial"/>
          <w:iCs/>
          <w:color w:val="000000"/>
        </w:rPr>
        <w:t xml:space="preserve">%), </w:t>
      </w:r>
      <w:proofErr w:type="spellStart"/>
      <w:r w:rsidRPr="00C86BEC">
        <w:rPr>
          <w:rFonts w:eastAsia="Arial"/>
          <w:iCs/>
          <w:color w:val="000000"/>
        </w:rPr>
        <w:t>neutropenija</w:t>
      </w:r>
      <w:proofErr w:type="spellEnd"/>
      <w:r w:rsidRPr="00C86BEC">
        <w:rPr>
          <w:rFonts w:eastAsia="Arial"/>
          <w:iCs/>
          <w:color w:val="000000"/>
        </w:rPr>
        <w:t xml:space="preserve"> (</w:t>
      </w:r>
      <w:r w:rsidR="00E54B88">
        <w:rPr>
          <w:rFonts w:eastAsia="Arial"/>
          <w:iCs/>
          <w:color w:val="000000"/>
        </w:rPr>
        <w:t>***</w:t>
      </w:r>
      <w:r w:rsidR="00E54B88" w:rsidRPr="00C86BEC">
        <w:rPr>
          <w:rFonts w:eastAsia="Arial"/>
          <w:iCs/>
          <w:color w:val="000000"/>
        </w:rPr>
        <w:t xml:space="preserve"> </w:t>
      </w:r>
      <w:r w:rsidRPr="00C86BEC">
        <w:rPr>
          <w:rFonts w:eastAsia="Arial"/>
          <w:iCs/>
          <w:color w:val="000000"/>
        </w:rPr>
        <w:t xml:space="preserve"> %) ir anemija (</w:t>
      </w:r>
      <w:r w:rsidR="00E54B88">
        <w:rPr>
          <w:rFonts w:eastAsia="Arial"/>
          <w:iCs/>
          <w:color w:val="000000"/>
        </w:rPr>
        <w:t>***</w:t>
      </w:r>
      <w:r w:rsidR="00E54B88" w:rsidRPr="00C86BEC">
        <w:rPr>
          <w:rFonts w:eastAsia="Arial"/>
          <w:iCs/>
          <w:color w:val="000000"/>
        </w:rPr>
        <w:t xml:space="preserve"> </w:t>
      </w:r>
      <w:r w:rsidRPr="00C86BEC">
        <w:rPr>
          <w:rFonts w:eastAsia="Arial"/>
          <w:iCs/>
          <w:color w:val="000000"/>
        </w:rPr>
        <w:t xml:space="preserve"> % vs. </w:t>
      </w:r>
      <w:r w:rsidR="00E54B88">
        <w:rPr>
          <w:rFonts w:eastAsia="Arial"/>
          <w:iCs/>
          <w:color w:val="000000"/>
        </w:rPr>
        <w:t>***</w:t>
      </w:r>
      <w:r w:rsidR="00E54B88" w:rsidRPr="00C86BEC">
        <w:rPr>
          <w:rFonts w:eastAsia="Arial"/>
          <w:iCs/>
          <w:color w:val="000000"/>
        </w:rPr>
        <w:t xml:space="preserve"> </w:t>
      </w:r>
      <w:r w:rsidRPr="00C86BEC">
        <w:rPr>
          <w:rFonts w:eastAsia="Arial"/>
          <w:iCs/>
          <w:color w:val="000000"/>
        </w:rPr>
        <w:t xml:space="preserve"> %). </w:t>
      </w:r>
      <w:r>
        <w:rPr>
          <w:rFonts w:eastAsia="Arial"/>
          <w:iCs/>
          <w:color w:val="000000"/>
        </w:rPr>
        <w:t>Sunkūs</w:t>
      </w:r>
      <w:r w:rsidRPr="00C86BEC">
        <w:rPr>
          <w:rFonts w:eastAsia="Arial"/>
          <w:iCs/>
          <w:color w:val="000000"/>
        </w:rPr>
        <w:t xml:space="preserve"> su gydymu susiję nepageidaujami reiškiniai pasireiškė </w:t>
      </w:r>
      <w:r w:rsidR="00E54B88">
        <w:rPr>
          <w:rFonts w:eastAsia="Arial"/>
          <w:iCs/>
          <w:color w:val="000000"/>
        </w:rPr>
        <w:t>***</w:t>
      </w:r>
      <w:r w:rsidR="00E54B88" w:rsidRPr="00C86BEC">
        <w:rPr>
          <w:rFonts w:eastAsia="Arial"/>
          <w:iCs/>
          <w:color w:val="000000"/>
        </w:rPr>
        <w:t xml:space="preserve"> </w:t>
      </w:r>
      <w:r w:rsidRPr="00C86BEC">
        <w:rPr>
          <w:rFonts w:eastAsia="Arial"/>
          <w:iCs/>
          <w:color w:val="000000"/>
        </w:rPr>
        <w:t xml:space="preserve">% </w:t>
      </w:r>
      <w:proofErr w:type="spellStart"/>
      <w:r w:rsidRPr="00C86BEC">
        <w:rPr>
          <w:rFonts w:eastAsia="Arial"/>
          <w:iCs/>
          <w:color w:val="000000"/>
        </w:rPr>
        <w:t>tislelizumabo</w:t>
      </w:r>
      <w:proofErr w:type="spellEnd"/>
      <w:r w:rsidRPr="00C86BEC">
        <w:rPr>
          <w:rFonts w:eastAsia="Arial"/>
          <w:iCs/>
          <w:color w:val="000000"/>
        </w:rPr>
        <w:t xml:space="preserve"> grupės ir </w:t>
      </w:r>
      <w:r w:rsidR="00E54B88">
        <w:rPr>
          <w:rFonts w:eastAsia="Arial"/>
          <w:iCs/>
          <w:color w:val="000000"/>
        </w:rPr>
        <w:t>***</w:t>
      </w:r>
      <w:r w:rsidRPr="00C86BEC">
        <w:rPr>
          <w:rFonts w:eastAsia="Arial"/>
          <w:iCs/>
          <w:color w:val="000000"/>
        </w:rPr>
        <w:t xml:space="preserve"> % placebo grupės pacientų. Dėl nepageidaujamų reiškinių gydymas buvo nutrauktas atitinkamai </w:t>
      </w:r>
      <w:r w:rsidR="0062534F">
        <w:rPr>
          <w:rFonts w:eastAsia="Arial"/>
          <w:iCs/>
          <w:color w:val="000000"/>
        </w:rPr>
        <w:t>***</w:t>
      </w:r>
      <w:r w:rsidR="0062534F" w:rsidRPr="00C86BEC">
        <w:rPr>
          <w:rFonts w:eastAsia="Arial"/>
          <w:iCs/>
          <w:color w:val="000000"/>
        </w:rPr>
        <w:t xml:space="preserve"> </w:t>
      </w:r>
      <w:r w:rsidRPr="00C86BEC">
        <w:rPr>
          <w:rFonts w:eastAsia="Arial"/>
          <w:iCs/>
          <w:color w:val="000000"/>
        </w:rPr>
        <w:t xml:space="preserve">% ir </w:t>
      </w:r>
      <w:r w:rsidR="0062534F">
        <w:rPr>
          <w:rFonts w:eastAsia="Arial"/>
          <w:iCs/>
          <w:color w:val="000000"/>
        </w:rPr>
        <w:t>***</w:t>
      </w:r>
      <w:r w:rsidR="0062534F" w:rsidRPr="00C86BEC">
        <w:rPr>
          <w:rFonts w:eastAsia="Arial"/>
          <w:iCs/>
          <w:color w:val="000000"/>
        </w:rPr>
        <w:t xml:space="preserve"> </w:t>
      </w:r>
      <w:r w:rsidRPr="00C86BEC">
        <w:rPr>
          <w:rFonts w:eastAsia="Arial"/>
          <w:iCs/>
          <w:color w:val="000000"/>
        </w:rPr>
        <w:t xml:space="preserve"> % pacientų, o </w:t>
      </w:r>
      <w:r>
        <w:rPr>
          <w:rFonts w:eastAsia="Arial"/>
          <w:iCs/>
          <w:color w:val="000000"/>
        </w:rPr>
        <w:t>vaisto</w:t>
      </w:r>
      <w:r w:rsidRPr="00C86BEC">
        <w:rPr>
          <w:rFonts w:eastAsia="Arial"/>
          <w:iCs/>
          <w:color w:val="000000"/>
        </w:rPr>
        <w:t xml:space="preserve"> dozės keistos </w:t>
      </w:r>
      <w:r w:rsidR="0062534F">
        <w:rPr>
          <w:rFonts w:eastAsia="Arial"/>
          <w:iCs/>
          <w:color w:val="000000"/>
        </w:rPr>
        <w:t>***</w:t>
      </w:r>
      <w:r w:rsidR="0062534F" w:rsidRPr="00C86BEC">
        <w:rPr>
          <w:rFonts w:eastAsia="Arial"/>
          <w:iCs/>
          <w:color w:val="000000"/>
        </w:rPr>
        <w:t xml:space="preserve"> </w:t>
      </w:r>
      <w:r w:rsidRPr="00C86BEC">
        <w:rPr>
          <w:rFonts w:eastAsia="Arial"/>
          <w:iCs/>
          <w:color w:val="000000"/>
        </w:rPr>
        <w:t xml:space="preserve">% atvejų. Mirtini reiškiniai, susiję su gydymu, fiksuoti </w:t>
      </w:r>
      <w:r w:rsidR="0062534F">
        <w:rPr>
          <w:rFonts w:eastAsia="Arial"/>
          <w:iCs/>
          <w:color w:val="000000"/>
        </w:rPr>
        <w:t>***</w:t>
      </w:r>
      <w:r w:rsidR="0062534F" w:rsidRPr="00C86BEC">
        <w:rPr>
          <w:rFonts w:eastAsia="Arial"/>
          <w:iCs/>
          <w:color w:val="000000"/>
        </w:rPr>
        <w:t xml:space="preserve"> </w:t>
      </w:r>
      <w:r w:rsidRPr="00C86BEC">
        <w:rPr>
          <w:rFonts w:eastAsia="Arial"/>
          <w:iCs/>
          <w:color w:val="000000"/>
        </w:rPr>
        <w:t xml:space="preserve"> (</w:t>
      </w:r>
      <w:r w:rsidR="0062534F">
        <w:rPr>
          <w:rFonts w:eastAsia="Arial"/>
          <w:iCs/>
          <w:color w:val="000000"/>
        </w:rPr>
        <w:t>***</w:t>
      </w:r>
      <w:r w:rsidR="0062534F" w:rsidRPr="00C86BEC">
        <w:rPr>
          <w:rFonts w:eastAsia="Arial"/>
          <w:iCs/>
          <w:color w:val="000000"/>
        </w:rPr>
        <w:t xml:space="preserve"> </w:t>
      </w:r>
      <w:r w:rsidRPr="00C86BEC">
        <w:rPr>
          <w:rFonts w:eastAsia="Arial"/>
          <w:iCs/>
          <w:color w:val="000000"/>
        </w:rPr>
        <w:t xml:space="preserve"> %) pacientams </w:t>
      </w:r>
      <w:proofErr w:type="spellStart"/>
      <w:r w:rsidRPr="00C86BEC">
        <w:rPr>
          <w:rFonts w:eastAsia="Arial"/>
          <w:iCs/>
          <w:color w:val="000000"/>
        </w:rPr>
        <w:t>tislelizumabo</w:t>
      </w:r>
      <w:proofErr w:type="spellEnd"/>
      <w:r w:rsidRPr="00C86BEC">
        <w:rPr>
          <w:rFonts w:eastAsia="Arial"/>
          <w:iCs/>
          <w:color w:val="000000"/>
        </w:rPr>
        <w:t xml:space="preserve"> grupėje ir </w:t>
      </w:r>
      <w:r w:rsidR="0062534F">
        <w:rPr>
          <w:rFonts w:eastAsia="Arial"/>
          <w:iCs/>
          <w:color w:val="000000"/>
        </w:rPr>
        <w:t>***</w:t>
      </w:r>
      <w:r w:rsidR="0062534F" w:rsidRPr="00C86BEC">
        <w:rPr>
          <w:rFonts w:eastAsia="Arial"/>
          <w:iCs/>
          <w:color w:val="000000"/>
        </w:rPr>
        <w:t xml:space="preserve"> </w:t>
      </w:r>
      <w:r w:rsidRPr="00C86BEC">
        <w:rPr>
          <w:rFonts w:eastAsia="Arial"/>
          <w:iCs/>
          <w:color w:val="000000"/>
        </w:rPr>
        <w:t xml:space="preserve"> (&lt;</w:t>
      </w:r>
      <w:r w:rsidR="0062534F">
        <w:rPr>
          <w:rFonts w:eastAsia="Arial"/>
          <w:iCs/>
          <w:color w:val="000000"/>
        </w:rPr>
        <w:t>***</w:t>
      </w:r>
      <w:r w:rsidR="0062534F" w:rsidRPr="00C86BEC">
        <w:rPr>
          <w:rFonts w:eastAsia="Arial"/>
          <w:iCs/>
          <w:color w:val="000000"/>
        </w:rPr>
        <w:t xml:space="preserve"> </w:t>
      </w:r>
      <w:r w:rsidRPr="00C86BEC">
        <w:rPr>
          <w:rFonts w:eastAsia="Arial"/>
          <w:iCs/>
          <w:color w:val="000000"/>
        </w:rPr>
        <w:t xml:space="preserve"> %) placebo grupėje. Imuninės kilmės nepageidaujami reiškiniai pasireiškė </w:t>
      </w:r>
      <w:r w:rsidR="0062534F">
        <w:rPr>
          <w:rFonts w:eastAsia="Arial"/>
          <w:iCs/>
          <w:color w:val="000000"/>
        </w:rPr>
        <w:t>***</w:t>
      </w:r>
      <w:r w:rsidR="0062534F" w:rsidRPr="00C86BEC">
        <w:rPr>
          <w:rFonts w:eastAsia="Arial"/>
          <w:iCs/>
          <w:color w:val="000000"/>
        </w:rPr>
        <w:t xml:space="preserve"> </w:t>
      </w:r>
      <w:r w:rsidRPr="00C86BEC">
        <w:rPr>
          <w:rFonts w:eastAsia="Arial"/>
          <w:iCs/>
          <w:color w:val="000000"/>
        </w:rPr>
        <w:t xml:space="preserve">% pacientų </w:t>
      </w:r>
      <w:proofErr w:type="spellStart"/>
      <w:r w:rsidRPr="00C86BEC">
        <w:rPr>
          <w:rFonts w:eastAsia="Arial"/>
          <w:iCs/>
          <w:color w:val="000000"/>
        </w:rPr>
        <w:t>tislelizumabo</w:t>
      </w:r>
      <w:proofErr w:type="spellEnd"/>
      <w:r w:rsidRPr="00C86BEC">
        <w:rPr>
          <w:rFonts w:eastAsia="Arial"/>
          <w:iCs/>
          <w:color w:val="000000"/>
        </w:rPr>
        <w:t xml:space="preserve"> ir </w:t>
      </w:r>
      <w:r w:rsidR="0062534F">
        <w:rPr>
          <w:rFonts w:eastAsia="Arial"/>
          <w:iCs/>
          <w:color w:val="000000"/>
        </w:rPr>
        <w:t>***</w:t>
      </w:r>
      <w:r w:rsidR="0062534F" w:rsidRPr="00C86BEC">
        <w:rPr>
          <w:rFonts w:eastAsia="Arial"/>
          <w:iCs/>
          <w:color w:val="000000"/>
        </w:rPr>
        <w:t xml:space="preserve"> </w:t>
      </w:r>
      <w:r w:rsidRPr="00C86BEC">
        <w:rPr>
          <w:rFonts w:eastAsia="Arial"/>
          <w:iCs/>
          <w:color w:val="000000"/>
        </w:rPr>
        <w:t xml:space="preserve">% placebo grupėse; atitinkamai </w:t>
      </w:r>
      <w:r w:rsidR="0062534F">
        <w:rPr>
          <w:rFonts w:eastAsia="Arial"/>
          <w:iCs/>
          <w:color w:val="000000"/>
        </w:rPr>
        <w:t>***</w:t>
      </w:r>
      <w:r w:rsidR="0062534F" w:rsidRPr="00C86BEC">
        <w:rPr>
          <w:rFonts w:eastAsia="Arial"/>
          <w:iCs/>
          <w:color w:val="000000"/>
        </w:rPr>
        <w:t xml:space="preserve"> </w:t>
      </w:r>
      <w:r w:rsidRPr="00C86BEC">
        <w:rPr>
          <w:rFonts w:eastAsia="Arial"/>
          <w:iCs/>
          <w:color w:val="000000"/>
        </w:rPr>
        <w:t xml:space="preserve"> % ir </w:t>
      </w:r>
      <w:r w:rsidR="0062534F">
        <w:rPr>
          <w:rFonts w:eastAsia="Arial"/>
          <w:iCs/>
          <w:color w:val="000000"/>
        </w:rPr>
        <w:t>***</w:t>
      </w:r>
      <w:r w:rsidR="0062534F" w:rsidRPr="00C86BEC">
        <w:rPr>
          <w:rFonts w:eastAsia="Arial"/>
          <w:iCs/>
          <w:color w:val="000000"/>
        </w:rPr>
        <w:t xml:space="preserve"> </w:t>
      </w:r>
      <w:r w:rsidRPr="00C86BEC">
        <w:rPr>
          <w:rFonts w:eastAsia="Arial"/>
          <w:iCs/>
          <w:color w:val="000000"/>
        </w:rPr>
        <w:t xml:space="preserve"> % pacientų patyrė </w:t>
      </w:r>
      <w:r w:rsidR="0062534F">
        <w:rPr>
          <w:rFonts w:eastAsia="Arial"/>
          <w:iCs/>
          <w:color w:val="000000"/>
        </w:rPr>
        <w:t>***</w:t>
      </w:r>
      <w:r w:rsidR="0062534F" w:rsidRPr="00C86BEC">
        <w:rPr>
          <w:rFonts w:eastAsia="Arial"/>
          <w:iCs/>
          <w:color w:val="000000"/>
        </w:rPr>
        <w:t xml:space="preserve"> </w:t>
      </w:r>
      <w:r w:rsidRPr="00C86BEC">
        <w:rPr>
          <w:rFonts w:eastAsia="Arial"/>
          <w:iCs/>
          <w:color w:val="000000"/>
        </w:rPr>
        <w:t xml:space="preserve"> ar aukštesnio laipsnio tokių reiškinių.</w:t>
      </w:r>
    </w:p>
    <w:p w14:paraId="579DE01D" w14:textId="77777777" w:rsidR="0061787B" w:rsidRPr="00C86BEC" w:rsidRDefault="0061787B" w:rsidP="0061787B">
      <w:pPr>
        <w:spacing w:line="276" w:lineRule="auto"/>
        <w:ind w:firstLine="720"/>
        <w:jc w:val="both"/>
        <w:rPr>
          <w:rFonts w:eastAsia="Arial"/>
          <w:iCs/>
          <w:color w:val="000000"/>
        </w:rPr>
      </w:pPr>
    </w:p>
    <w:p w14:paraId="5EABA7CD" w14:textId="77777777" w:rsidR="0061787B" w:rsidRPr="00C86BEC" w:rsidRDefault="0061787B" w:rsidP="0061787B">
      <w:pPr>
        <w:widowControl w:val="0"/>
        <w:spacing w:line="276" w:lineRule="auto"/>
        <w:jc w:val="both"/>
        <w:rPr>
          <w:bCs/>
          <w:i/>
          <w:iCs/>
          <w:color w:val="000000"/>
          <w:lang w:eastAsia="lt-LT"/>
        </w:rPr>
      </w:pPr>
      <w:r w:rsidRPr="00C86BEC">
        <w:rPr>
          <w:bCs/>
          <w:i/>
          <w:iCs/>
          <w:color w:val="000000"/>
          <w:lang w:eastAsia="lt-LT"/>
        </w:rPr>
        <w:t>Netiesioginis palyginimas</w:t>
      </w:r>
    </w:p>
    <w:p w14:paraId="7A51598E" w14:textId="77777777" w:rsidR="0061787B" w:rsidRPr="00C86BEC" w:rsidRDefault="0061787B" w:rsidP="0061787B">
      <w:pPr>
        <w:widowControl w:val="0"/>
        <w:spacing w:line="276" w:lineRule="auto"/>
        <w:jc w:val="both"/>
        <w:rPr>
          <w:bCs/>
          <w:i/>
          <w:iCs/>
          <w:color w:val="000000"/>
          <w:lang w:eastAsia="lt-LT"/>
        </w:rPr>
      </w:pPr>
    </w:p>
    <w:p w14:paraId="1DE5A6FB" w14:textId="77777777" w:rsidR="0061787B" w:rsidRPr="00C86BEC" w:rsidRDefault="0061787B" w:rsidP="0061787B">
      <w:pPr>
        <w:widowControl w:val="0"/>
        <w:spacing w:line="276" w:lineRule="auto"/>
        <w:ind w:firstLine="720"/>
        <w:jc w:val="both"/>
        <w:rPr>
          <w:rFonts w:eastAsia="Arial"/>
          <w:bCs/>
        </w:rPr>
      </w:pPr>
      <w:r w:rsidRPr="00C86BEC">
        <w:rPr>
          <w:bCs/>
          <w:color w:val="000000"/>
          <w:lang w:eastAsia="lt-LT"/>
        </w:rPr>
        <w:t>Klinikinis vertinimas buvo atliktas pagal paraiškoje pateiktą netiesioginio palyginimo analizę, į kurią įtraukti III fazės klinikiniai tyrimai, kuriuose buvo tiriamos skirtingos imunoterapijos gydant H</w:t>
      </w:r>
      <w:r w:rsidRPr="00C86BEC">
        <w:rPr>
          <w:rFonts w:eastAsia="Arial"/>
          <w:iCs/>
        </w:rPr>
        <w:t xml:space="preserve">ER-2 neigiama vietiškai išplitusia, neoperuotina arba </w:t>
      </w:r>
      <w:proofErr w:type="spellStart"/>
      <w:r w:rsidRPr="00C86BEC">
        <w:rPr>
          <w:rFonts w:eastAsia="Arial"/>
          <w:iCs/>
        </w:rPr>
        <w:t>metastazavusia</w:t>
      </w:r>
      <w:proofErr w:type="spellEnd"/>
      <w:r w:rsidRPr="00C86BEC">
        <w:rPr>
          <w:rFonts w:eastAsia="Arial"/>
          <w:iCs/>
        </w:rPr>
        <w:t xml:space="preserve"> skrandžio arba </w:t>
      </w:r>
      <w:proofErr w:type="spellStart"/>
      <w:r w:rsidRPr="00C86BEC">
        <w:rPr>
          <w:rFonts w:eastAsia="Arial"/>
          <w:iCs/>
        </w:rPr>
        <w:t>gastroezofaginės</w:t>
      </w:r>
      <w:proofErr w:type="spellEnd"/>
      <w:r w:rsidRPr="00C86BEC">
        <w:rPr>
          <w:rFonts w:eastAsia="Arial"/>
          <w:iCs/>
        </w:rPr>
        <w:t xml:space="preserve"> jungties (S/GEJ) </w:t>
      </w:r>
      <w:proofErr w:type="spellStart"/>
      <w:r w:rsidRPr="00C86BEC">
        <w:rPr>
          <w:rFonts w:eastAsia="Arial"/>
          <w:iCs/>
        </w:rPr>
        <w:t>adenokarcinoma</w:t>
      </w:r>
      <w:proofErr w:type="spellEnd"/>
      <w:r w:rsidRPr="00C86BEC">
        <w:rPr>
          <w:bCs/>
        </w:rPr>
        <w:t xml:space="preserve">. </w:t>
      </w:r>
      <w:r w:rsidRPr="00C86BEC">
        <w:rPr>
          <w:rFonts w:eastAsia="Arial"/>
        </w:rPr>
        <w:t xml:space="preserve">Pareiškėjas pateikė išskirtos </w:t>
      </w:r>
      <w:proofErr w:type="spellStart"/>
      <w:r w:rsidRPr="00C86BEC">
        <w:rPr>
          <w:rFonts w:eastAsia="Arial"/>
        </w:rPr>
        <w:t>tislelizumabo</w:t>
      </w:r>
      <w:proofErr w:type="spellEnd"/>
      <w:r w:rsidRPr="00C86BEC">
        <w:rPr>
          <w:rFonts w:eastAsia="Arial"/>
        </w:rPr>
        <w:t xml:space="preserve"> (RATIONALE-305) ir </w:t>
      </w:r>
      <w:proofErr w:type="spellStart"/>
      <w:r w:rsidRPr="00C86BEC">
        <w:rPr>
          <w:rFonts w:eastAsia="Arial"/>
        </w:rPr>
        <w:t>pembrolizumabo</w:t>
      </w:r>
      <w:proofErr w:type="spellEnd"/>
      <w:r w:rsidRPr="00C86BEC">
        <w:rPr>
          <w:rFonts w:eastAsia="Arial"/>
        </w:rPr>
        <w:t xml:space="preserve"> (KEYNOTE-859) </w:t>
      </w:r>
      <w:r w:rsidRPr="00C86BEC">
        <w:rPr>
          <w:rFonts w:eastAsia="Arial"/>
          <w:bCs/>
        </w:rPr>
        <w:t>tinklinės meta-analizės</w:t>
      </w:r>
      <w:r w:rsidRPr="00C86BEC">
        <w:rPr>
          <w:lang w:eastAsia="lt-LT"/>
        </w:rPr>
        <w:t xml:space="preserve"> </w:t>
      </w:r>
      <w:r w:rsidRPr="00C86BEC">
        <w:rPr>
          <w:rFonts w:eastAsia="Arial"/>
          <w:bCs/>
        </w:rPr>
        <w:t xml:space="preserve">(angl. </w:t>
      </w:r>
      <w:proofErr w:type="spellStart"/>
      <w:r w:rsidRPr="00C86BEC">
        <w:rPr>
          <w:rFonts w:eastAsia="Arial"/>
          <w:bCs/>
          <w:i/>
          <w:iCs/>
        </w:rPr>
        <w:t>network</w:t>
      </w:r>
      <w:proofErr w:type="spellEnd"/>
      <w:r w:rsidRPr="00C86BEC">
        <w:rPr>
          <w:rFonts w:eastAsia="Arial"/>
          <w:bCs/>
          <w:i/>
          <w:iCs/>
        </w:rPr>
        <w:t xml:space="preserve"> </w:t>
      </w:r>
      <w:r w:rsidRPr="00C86BEC">
        <w:rPr>
          <w:rFonts w:eastAsia="Arial"/>
          <w:bCs/>
          <w:i/>
          <w:iCs/>
        </w:rPr>
        <w:lastRenderedPageBreak/>
        <w:t>meta-</w:t>
      </w:r>
      <w:proofErr w:type="spellStart"/>
      <w:r w:rsidRPr="00C86BEC">
        <w:rPr>
          <w:rFonts w:eastAsia="Arial"/>
          <w:bCs/>
          <w:i/>
          <w:iCs/>
        </w:rPr>
        <w:t>analysis</w:t>
      </w:r>
      <w:proofErr w:type="spellEnd"/>
      <w:r w:rsidRPr="00C86BEC">
        <w:rPr>
          <w:rFonts w:eastAsia="Arial"/>
          <w:bCs/>
        </w:rPr>
        <w:t>) rezultatus</w:t>
      </w:r>
      <w:r w:rsidRPr="00C86BEC">
        <w:rPr>
          <w:rFonts w:eastAsia="Arial"/>
        </w:rPr>
        <w:t xml:space="preserve">. </w:t>
      </w:r>
    </w:p>
    <w:p w14:paraId="0E43B18B" w14:textId="3FCC339D" w:rsidR="0061787B" w:rsidRPr="00C86BEC" w:rsidRDefault="0061787B" w:rsidP="0061787B">
      <w:pPr>
        <w:widowControl w:val="0"/>
        <w:spacing w:line="276" w:lineRule="auto"/>
        <w:ind w:firstLine="720"/>
        <w:jc w:val="both"/>
        <w:rPr>
          <w:rFonts w:eastAsia="Arial"/>
          <w:bCs/>
        </w:rPr>
      </w:pPr>
      <w:r w:rsidRPr="00C86BEC">
        <w:rPr>
          <w:rFonts w:eastAsia="Arial"/>
          <w:bCs/>
        </w:rPr>
        <w:t xml:space="preserve">Vertinant BI bendroje pacientų populiacijoje </w:t>
      </w:r>
      <w:proofErr w:type="spellStart"/>
      <w:r w:rsidRPr="00C86BEC">
        <w:rPr>
          <w:rFonts w:eastAsia="Arial"/>
          <w:bCs/>
        </w:rPr>
        <w:t>tisleluzimabo</w:t>
      </w:r>
      <w:proofErr w:type="spellEnd"/>
      <w:r w:rsidRPr="00C86BEC">
        <w:rPr>
          <w:rFonts w:eastAsia="Arial"/>
          <w:bCs/>
        </w:rPr>
        <w:t xml:space="preserve"> palyginimas su </w:t>
      </w:r>
      <w:proofErr w:type="spellStart"/>
      <w:r w:rsidRPr="00C86BEC">
        <w:rPr>
          <w:rFonts w:eastAsia="Arial"/>
          <w:bCs/>
        </w:rPr>
        <w:t>pembrolizumabu</w:t>
      </w:r>
      <w:proofErr w:type="spellEnd"/>
      <w:r w:rsidRPr="00C86BEC">
        <w:rPr>
          <w:rFonts w:eastAsia="Arial"/>
          <w:bCs/>
        </w:rPr>
        <w:t xml:space="preserve"> neparodė jokio skirtumo pagal RS</w:t>
      </w:r>
      <w:r w:rsidRPr="00C86BEC">
        <w:rPr>
          <w:bCs/>
          <w:lang w:eastAsia="lt-LT"/>
        </w:rPr>
        <w:t xml:space="preserve"> = </w:t>
      </w:r>
      <w:r w:rsidR="009168DB">
        <w:rPr>
          <w:rFonts w:eastAsia="Arial"/>
          <w:iCs/>
          <w:color w:val="000000"/>
        </w:rPr>
        <w:t>***</w:t>
      </w:r>
      <w:r w:rsidR="009168DB" w:rsidRPr="00C86BEC">
        <w:rPr>
          <w:rFonts w:eastAsia="Arial"/>
          <w:iCs/>
          <w:color w:val="000000"/>
        </w:rPr>
        <w:t xml:space="preserve"> </w:t>
      </w:r>
      <w:r w:rsidRPr="00C86BEC">
        <w:rPr>
          <w:bCs/>
          <w:lang w:eastAsia="lt-LT"/>
        </w:rPr>
        <w:t xml:space="preserve"> (</w:t>
      </w:r>
      <w:r w:rsidR="009168DB">
        <w:rPr>
          <w:rFonts w:eastAsia="Arial"/>
          <w:iCs/>
          <w:color w:val="000000"/>
        </w:rPr>
        <w:t>***</w:t>
      </w:r>
      <w:r w:rsidR="009168DB" w:rsidRPr="00C86BEC">
        <w:rPr>
          <w:rFonts w:eastAsia="Arial"/>
          <w:iCs/>
          <w:color w:val="000000"/>
        </w:rPr>
        <w:t xml:space="preserve"> </w:t>
      </w:r>
      <w:r w:rsidRPr="00C86BEC">
        <w:rPr>
          <w:bCs/>
          <w:lang w:eastAsia="lt-LT"/>
        </w:rPr>
        <w:t xml:space="preserve">% PI: </w:t>
      </w:r>
      <w:r w:rsidR="009168DB">
        <w:rPr>
          <w:rFonts w:eastAsia="Arial"/>
          <w:iCs/>
          <w:color w:val="000000"/>
        </w:rPr>
        <w:t>***</w:t>
      </w:r>
      <w:r w:rsidRPr="00C86BEC">
        <w:rPr>
          <w:bCs/>
          <w:lang w:eastAsia="lt-LT"/>
        </w:rPr>
        <w:t>), panašūs rezultatai</w:t>
      </w:r>
      <w:r w:rsidRPr="00C86BEC">
        <w:rPr>
          <w:rFonts w:eastAsia="Arial"/>
          <w:bCs/>
        </w:rPr>
        <w:t xml:space="preserve"> buvo PD-1/PD-L1 ≥</w:t>
      </w:r>
      <w:r w:rsidR="009168DB">
        <w:rPr>
          <w:rFonts w:eastAsia="Arial"/>
          <w:iCs/>
          <w:color w:val="000000"/>
        </w:rPr>
        <w:t>***</w:t>
      </w:r>
      <w:r w:rsidR="009168DB" w:rsidRPr="00C86BEC">
        <w:rPr>
          <w:rFonts w:eastAsia="Arial"/>
          <w:iCs/>
          <w:color w:val="000000"/>
        </w:rPr>
        <w:t xml:space="preserve"> </w:t>
      </w:r>
      <w:r w:rsidRPr="00C86BEC">
        <w:rPr>
          <w:rFonts w:eastAsia="Arial"/>
          <w:bCs/>
        </w:rPr>
        <w:t xml:space="preserve"> % pogrupyje. </w:t>
      </w:r>
    </w:p>
    <w:p w14:paraId="55FEEA7A" w14:textId="176D5811" w:rsidR="0061787B" w:rsidRPr="00C86BEC" w:rsidRDefault="0061787B" w:rsidP="0061787B">
      <w:pPr>
        <w:widowControl w:val="0"/>
        <w:spacing w:line="276" w:lineRule="auto"/>
        <w:ind w:firstLine="720"/>
        <w:jc w:val="both"/>
        <w:rPr>
          <w:rFonts w:eastAsia="Arial"/>
          <w:bCs/>
        </w:rPr>
      </w:pPr>
      <w:r w:rsidRPr="00C86BEC">
        <w:rPr>
          <w:rFonts w:eastAsia="Arial"/>
          <w:bCs/>
        </w:rPr>
        <w:t xml:space="preserve">Vertinant IBLP duomenis, skirtumo tarp </w:t>
      </w:r>
      <w:proofErr w:type="spellStart"/>
      <w:r w:rsidRPr="00C86BEC">
        <w:rPr>
          <w:rFonts w:eastAsia="Arial"/>
          <w:bCs/>
        </w:rPr>
        <w:t>tislelizumabo</w:t>
      </w:r>
      <w:proofErr w:type="spellEnd"/>
      <w:r w:rsidRPr="00C86BEC">
        <w:rPr>
          <w:rFonts w:eastAsia="Arial"/>
          <w:bCs/>
        </w:rPr>
        <w:t xml:space="preserve"> ir </w:t>
      </w:r>
      <w:proofErr w:type="spellStart"/>
      <w:r w:rsidRPr="00C86BEC">
        <w:rPr>
          <w:rFonts w:eastAsia="Arial"/>
          <w:bCs/>
        </w:rPr>
        <w:t>pembrolizumabo</w:t>
      </w:r>
      <w:proofErr w:type="spellEnd"/>
      <w:r w:rsidRPr="00C86BEC">
        <w:rPr>
          <w:rFonts w:eastAsia="Arial"/>
          <w:bCs/>
        </w:rPr>
        <w:t xml:space="preserve"> nebuvo nustatyta. Šansų santykis buvo </w:t>
      </w:r>
      <w:r w:rsidR="009168DB">
        <w:rPr>
          <w:rFonts w:eastAsia="Arial"/>
          <w:iCs/>
          <w:color w:val="000000"/>
        </w:rPr>
        <w:t>***</w:t>
      </w:r>
      <w:r w:rsidR="009168DB" w:rsidRPr="00C86BEC">
        <w:rPr>
          <w:rFonts w:eastAsia="Arial"/>
          <w:iCs/>
          <w:color w:val="000000"/>
        </w:rPr>
        <w:t xml:space="preserve"> </w:t>
      </w:r>
      <w:r w:rsidRPr="00C86BEC">
        <w:rPr>
          <w:rFonts w:eastAsia="Arial"/>
          <w:bCs/>
        </w:rPr>
        <w:t>(</w:t>
      </w:r>
      <w:r w:rsidR="009168DB">
        <w:rPr>
          <w:rFonts w:eastAsia="Arial"/>
          <w:iCs/>
          <w:color w:val="000000"/>
        </w:rPr>
        <w:t>***</w:t>
      </w:r>
      <w:r w:rsidR="009168DB" w:rsidRPr="00C86BEC">
        <w:rPr>
          <w:rFonts w:eastAsia="Arial"/>
          <w:iCs/>
          <w:color w:val="000000"/>
        </w:rPr>
        <w:t xml:space="preserve"> </w:t>
      </w:r>
      <w:r w:rsidRPr="00C86BEC">
        <w:rPr>
          <w:rFonts w:eastAsia="Arial"/>
          <w:bCs/>
        </w:rPr>
        <w:t xml:space="preserve">% PI: </w:t>
      </w:r>
      <w:r w:rsidR="009168DB">
        <w:rPr>
          <w:rFonts w:eastAsia="Arial"/>
          <w:iCs/>
          <w:color w:val="000000"/>
        </w:rPr>
        <w:t>***</w:t>
      </w:r>
      <w:r w:rsidRPr="00C86BEC">
        <w:rPr>
          <w:rFonts w:eastAsia="Arial"/>
          <w:bCs/>
        </w:rPr>
        <w:t xml:space="preserve">), </w:t>
      </w:r>
      <w:r w:rsidRPr="00C86BEC">
        <w:t>nerodantis reikšmingo skirtumo tarp šių gydymo režimų efektyvumo</w:t>
      </w:r>
      <w:r w:rsidRPr="00C86BEC">
        <w:rPr>
          <w:rFonts w:eastAsia="Arial"/>
          <w:bCs/>
        </w:rPr>
        <w:t>.</w:t>
      </w:r>
    </w:p>
    <w:p w14:paraId="2F762104" w14:textId="77777777" w:rsidR="0061787B" w:rsidRPr="00C86BEC" w:rsidRDefault="0061787B" w:rsidP="0061787B">
      <w:pPr>
        <w:widowControl w:val="0"/>
        <w:spacing w:line="276" w:lineRule="auto"/>
        <w:ind w:firstLine="720"/>
        <w:jc w:val="both"/>
        <w:rPr>
          <w:rFonts w:eastAsia="Arial"/>
          <w:iCs/>
          <w:color w:val="000000"/>
        </w:rPr>
      </w:pPr>
      <w:r w:rsidRPr="00C86BEC">
        <w:rPr>
          <w:bCs/>
          <w:lang w:eastAsia="lt-LT"/>
        </w:rPr>
        <w:t xml:space="preserve">Vertinant netiesioginio palyginimo duomenis, buvo pateikti rezultatai iš tinklinės </w:t>
      </w:r>
      <w:proofErr w:type="spellStart"/>
      <w:r w:rsidRPr="00C86BEC">
        <w:rPr>
          <w:bCs/>
          <w:lang w:eastAsia="lt-LT"/>
        </w:rPr>
        <w:t>metaanalizės</w:t>
      </w:r>
      <w:proofErr w:type="spellEnd"/>
      <w:r w:rsidRPr="00C86BEC">
        <w:rPr>
          <w:bCs/>
          <w:lang w:eastAsia="lt-LT"/>
        </w:rPr>
        <w:t xml:space="preserve">. Pateiktuose duomenyse nebuvo stabėtas statistiškai reikšmingas skirtumas tarp </w:t>
      </w:r>
      <w:proofErr w:type="spellStart"/>
      <w:r w:rsidRPr="00C86BEC">
        <w:rPr>
          <w:bCs/>
          <w:lang w:eastAsia="lt-LT"/>
        </w:rPr>
        <w:t>nivolumabo</w:t>
      </w:r>
      <w:proofErr w:type="spellEnd"/>
      <w:r w:rsidRPr="00C86BEC">
        <w:rPr>
          <w:bCs/>
          <w:lang w:eastAsia="lt-LT"/>
        </w:rPr>
        <w:t xml:space="preserve"> ir </w:t>
      </w:r>
      <w:proofErr w:type="spellStart"/>
      <w:r w:rsidRPr="00C86BEC">
        <w:rPr>
          <w:bCs/>
          <w:lang w:eastAsia="lt-LT"/>
        </w:rPr>
        <w:t>tislelizumabo</w:t>
      </w:r>
      <w:proofErr w:type="spellEnd"/>
      <w:r w:rsidRPr="00C86BEC">
        <w:rPr>
          <w:bCs/>
          <w:lang w:eastAsia="lt-LT"/>
        </w:rPr>
        <w:t xml:space="preserve"> bei skirtumas tarp </w:t>
      </w:r>
      <w:proofErr w:type="spellStart"/>
      <w:r w:rsidRPr="00C86BEC">
        <w:rPr>
          <w:bCs/>
          <w:lang w:eastAsia="lt-LT"/>
        </w:rPr>
        <w:t>pembrolizumabo</w:t>
      </w:r>
      <w:proofErr w:type="spellEnd"/>
      <w:r w:rsidRPr="00C86BEC">
        <w:rPr>
          <w:bCs/>
          <w:lang w:eastAsia="lt-LT"/>
        </w:rPr>
        <w:t xml:space="preserve"> ir </w:t>
      </w:r>
      <w:proofErr w:type="spellStart"/>
      <w:r w:rsidRPr="00C86BEC">
        <w:rPr>
          <w:bCs/>
          <w:lang w:eastAsia="lt-LT"/>
        </w:rPr>
        <w:t>tislelizumabo</w:t>
      </w:r>
      <w:proofErr w:type="spellEnd"/>
      <w:r w:rsidRPr="00C86BEC">
        <w:rPr>
          <w:bCs/>
          <w:lang w:eastAsia="lt-LT"/>
        </w:rPr>
        <w:t xml:space="preserve"> analizuojant visas vertinamąsias baigtis. Pateikti rezultatai rodo, kad palyginamasis veiksmingumas tarp šių grupių nesiskyrė.</w:t>
      </w:r>
    </w:p>
    <w:p w14:paraId="1F372863" w14:textId="44CB4099" w:rsidR="009C6205" w:rsidRPr="00C86BEC" w:rsidRDefault="009C6205" w:rsidP="009C6205">
      <w:pPr>
        <w:spacing w:line="276" w:lineRule="auto"/>
        <w:ind w:firstLine="720"/>
        <w:jc w:val="both"/>
        <w:rPr>
          <w:rFonts w:eastAsia="Arial"/>
          <w:iCs/>
          <w:color w:val="000000"/>
        </w:rPr>
      </w:pPr>
      <w:r w:rsidRPr="00C86BEC">
        <w:rPr>
          <w:rFonts w:eastAsia="Arial"/>
          <w:iCs/>
          <w:color w:val="000000"/>
        </w:rPr>
        <w:t xml:space="preserve">Apibendrinant veiksmingumo ir saugumo rezultatus bei stebėtą gyvenimo kokybės pagerėjimą, </w:t>
      </w:r>
      <w:proofErr w:type="spellStart"/>
      <w:r w:rsidRPr="00C86BEC">
        <w:rPr>
          <w:rFonts w:eastAsia="Arial"/>
          <w:iCs/>
          <w:color w:val="000000"/>
        </w:rPr>
        <w:t>tislelizumabo</w:t>
      </w:r>
      <w:proofErr w:type="spellEnd"/>
      <w:r w:rsidRPr="00C86BEC">
        <w:rPr>
          <w:rFonts w:eastAsia="Arial"/>
          <w:iCs/>
          <w:color w:val="000000"/>
        </w:rPr>
        <w:t xml:space="preserve"> su chemoterapija derinio palyginamasis veiksmingumas yra </w:t>
      </w:r>
      <w:r w:rsidRPr="00B83122">
        <w:rPr>
          <w:rFonts w:eastAsia="Arial"/>
          <w:b/>
          <w:bCs/>
          <w:iCs/>
          <w:color w:val="000000"/>
        </w:rPr>
        <w:t>didesnis,</w:t>
      </w:r>
      <w:r w:rsidRPr="00C86BEC">
        <w:rPr>
          <w:rFonts w:eastAsia="Arial"/>
          <w:iCs/>
          <w:color w:val="000000"/>
        </w:rPr>
        <w:t xml:space="preserve"> lyginant su įprasta klinikine praktika pirmos eilės gydymui pažengusiu </w:t>
      </w:r>
      <w:r w:rsidRPr="005141BC">
        <w:rPr>
          <w:rFonts w:eastAsia="Arial"/>
          <w:b/>
          <w:bCs/>
          <w:i/>
          <w:color w:val="000000"/>
        </w:rPr>
        <w:t xml:space="preserve">skrandžio ar </w:t>
      </w:r>
      <w:proofErr w:type="spellStart"/>
      <w:r w:rsidRPr="005141BC">
        <w:rPr>
          <w:rFonts w:eastAsia="Arial"/>
          <w:b/>
          <w:bCs/>
          <w:i/>
          <w:color w:val="000000"/>
        </w:rPr>
        <w:t>gastroezofaginės</w:t>
      </w:r>
      <w:proofErr w:type="spellEnd"/>
      <w:r w:rsidRPr="005141BC">
        <w:rPr>
          <w:rFonts w:eastAsia="Arial"/>
          <w:b/>
          <w:bCs/>
          <w:i/>
          <w:color w:val="000000"/>
        </w:rPr>
        <w:t xml:space="preserve"> jungties </w:t>
      </w:r>
      <w:proofErr w:type="spellStart"/>
      <w:r w:rsidRPr="005141BC">
        <w:rPr>
          <w:rFonts w:eastAsia="Arial"/>
          <w:b/>
          <w:bCs/>
          <w:i/>
          <w:color w:val="000000"/>
        </w:rPr>
        <w:t>adenokarcinoma</w:t>
      </w:r>
      <w:proofErr w:type="spellEnd"/>
      <w:r w:rsidRPr="005141BC">
        <w:rPr>
          <w:rFonts w:eastAsia="Arial"/>
          <w:b/>
          <w:bCs/>
          <w:i/>
          <w:color w:val="000000"/>
        </w:rPr>
        <w:t xml:space="preserve"> </w:t>
      </w:r>
      <w:r w:rsidRPr="00C86BEC">
        <w:rPr>
          <w:rFonts w:eastAsia="Arial"/>
          <w:iCs/>
          <w:color w:val="000000"/>
        </w:rPr>
        <w:t>sergantiems pacientams, kurių PD-L1 TAP ≥</w:t>
      </w:r>
      <w:r w:rsidR="009168DB">
        <w:rPr>
          <w:rFonts w:eastAsia="Arial"/>
          <w:iCs/>
          <w:color w:val="000000"/>
        </w:rPr>
        <w:t>***</w:t>
      </w:r>
      <w:r w:rsidR="009168DB" w:rsidRPr="00C86BEC">
        <w:rPr>
          <w:rFonts w:eastAsia="Arial"/>
          <w:iCs/>
          <w:color w:val="000000"/>
        </w:rPr>
        <w:t xml:space="preserve"> </w:t>
      </w:r>
      <w:r w:rsidRPr="00C86BEC">
        <w:rPr>
          <w:rFonts w:eastAsia="Arial"/>
          <w:iCs/>
          <w:color w:val="000000"/>
        </w:rPr>
        <w:t xml:space="preserve"> %. Pažymėtina, kad lyginant </w:t>
      </w:r>
      <w:proofErr w:type="spellStart"/>
      <w:r w:rsidRPr="00C86BEC">
        <w:rPr>
          <w:rFonts w:eastAsia="Arial"/>
          <w:bCs/>
        </w:rPr>
        <w:t>tislelizumabo</w:t>
      </w:r>
      <w:proofErr w:type="spellEnd"/>
      <w:r w:rsidRPr="00C86BEC">
        <w:rPr>
          <w:rFonts w:eastAsia="Arial"/>
          <w:bCs/>
        </w:rPr>
        <w:t xml:space="preserve"> ir </w:t>
      </w:r>
      <w:proofErr w:type="spellStart"/>
      <w:r w:rsidRPr="00C86BEC">
        <w:rPr>
          <w:rFonts w:eastAsia="Arial"/>
          <w:bCs/>
        </w:rPr>
        <w:t>pembrolizumabo</w:t>
      </w:r>
      <w:proofErr w:type="spellEnd"/>
      <w:r w:rsidRPr="00C86BEC">
        <w:rPr>
          <w:rFonts w:eastAsia="Arial"/>
          <w:bCs/>
        </w:rPr>
        <w:t xml:space="preserve"> efektyvumą skiriant juos kartu su chemoterapija, klinikinė nauda tikėtina nesiskiria, gydant pacientus su </w:t>
      </w:r>
      <w:proofErr w:type="spellStart"/>
      <w:r w:rsidRPr="00C86BEC">
        <w:rPr>
          <w:rFonts w:eastAsia="Arial"/>
          <w:iCs/>
        </w:rPr>
        <w:t>metastazavusia</w:t>
      </w:r>
      <w:proofErr w:type="spellEnd"/>
      <w:r w:rsidRPr="00C86BEC">
        <w:rPr>
          <w:rFonts w:eastAsia="Arial"/>
          <w:iCs/>
        </w:rPr>
        <w:t xml:space="preserve"> </w:t>
      </w:r>
      <w:proofErr w:type="spellStart"/>
      <w:r w:rsidRPr="00C86BEC">
        <w:rPr>
          <w:rFonts w:eastAsia="Arial"/>
          <w:b/>
          <w:bCs/>
          <w:i/>
        </w:rPr>
        <w:t>gastroezofaginės</w:t>
      </w:r>
      <w:proofErr w:type="spellEnd"/>
      <w:r w:rsidRPr="00C86BEC">
        <w:rPr>
          <w:rFonts w:eastAsia="Arial"/>
          <w:b/>
          <w:bCs/>
          <w:i/>
        </w:rPr>
        <w:t xml:space="preserve"> jungties</w:t>
      </w:r>
      <w:r w:rsidRPr="00C86BEC">
        <w:rPr>
          <w:rFonts w:eastAsia="Arial"/>
          <w:iCs/>
        </w:rPr>
        <w:t xml:space="preserve"> S/GEJ </w:t>
      </w:r>
      <w:proofErr w:type="spellStart"/>
      <w:r w:rsidRPr="00C86BEC">
        <w:rPr>
          <w:rFonts w:eastAsia="Arial"/>
          <w:iCs/>
        </w:rPr>
        <w:t>adenokarcinoma</w:t>
      </w:r>
      <w:proofErr w:type="spellEnd"/>
      <w:r w:rsidRPr="00C86BEC">
        <w:rPr>
          <w:bCs/>
        </w:rPr>
        <w:t>.</w:t>
      </w:r>
    </w:p>
    <w:p w14:paraId="25F89291" w14:textId="0DAAE031" w:rsidR="00D4485B" w:rsidRPr="00421A32" w:rsidRDefault="00D4485B" w:rsidP="0045089C">
      <w:pPr>
        <w:tabs>
          <w:tab w:val="left" w:pos="426"/>
        </w:tabs>
        <w:spacing w:line="276" w:lineRule="auto"/>
        <w:jc w:val="both"/>
        <w:rPr>
          <w:b/>
          <w:bCs/>
          <w:caps/>
        </w:rPr>
      </w:pPr>
    </w:p>
    <w:p w14:paraId="7DE09EB5" w14:textId="69E9DD74" w:rsidR="00E03C3F" w:rsidRPr="00421A32" w:rsidRDefault="00CC7832" w:rsidP="00CC09D4">
      <w:pPr>
        <w:pStyle w:val="Sraopastraipa"/>
        <w:numPr>
          <w:ilvl w:val="0"/>
          <w:numId w:val="12"/>
        </w:numPr>
        <w:tabs>
          <w:tab w:val="left" w:pos="567"/>
        </w:tabs>
        <w:ind w:hanging="720"/>
        <w:rPr>
          <w:b/>
          <w:bCs/>
          <w:caps/>
        </w:rPr>
      </w:pPr>
      <w:r w:rsidRPr="00421A32">
        <w:rPr>
          <w:b/>
          <w:bCs/>
          <w:caps/>
        </w:rPr>
        <w:t xml:space="preserve">ekonominio vertinimo </w:t>
      </w:r>
      <w:r w:rsidR="002F0E4F" w:rsidRPr="00421A32">
        <w:rPr>
          <w:b/>
          <w:bCs/>
          <w:caps/>
        </w:rPr>
        <w:t>apibendrinimas</w:t>
      </w:r>
    </w:p>
    <w:p w14:paraId="2A42DC6B" w14:textId="54C50193" w:rsidR="00BA6A88" w:rsidRPr="00421A32" w:rsidRDefault="00BA6A88" w:rsidP="00BA6A88">
      <w:pPr>
        <w:shd w:val="clear" w:color="auto" w:fill="FFFFFF"/>
        <w:spacing w:line="276" w:lineRule="auto"/>
        <w:jc w:val="both"/>
        <w:rPr>
          <w:rFonts w:eastAsia="Arial"/>
        </w:rPr>
      </w:pPr>
    </w:p>
    <w:p w14:paraId="74356D13" w14:textId="7A5A4DA5" w:rsidR="00970080" w:rsidRPr="00421A32" w:rsidRDefault="00970080" w:rsidP="00970080">
      <w:pPr>
        <w:spacing w:line="276" w:lineRule="auto"/>
        <w:ind w:firstLine="450"/>
        <w:jc w:val="both"/>
      </w:pPr>
      <w:r w:rsidRPr="00421A32">
        <w:t xml:space="preserve">Pareiškėjas kaštų analizei pateikia dvi analizes: kaštų naudingumo (KNA) ir kaštų mažinimo (KMA). KNA įtraukiami </w:t>
      </w:r>
      <w:proofErr w:type="spellStart"/>
      <w:r w:rsidRPr="00421A32">
        <w:t>populiaciniai</w:t>
      </w:r>
      <w:proofErr w:type="spellEnd"/>
      <w:r w:rsidRPr="00421A32">
        <w:t xml:space="preserve"> duomenys pagrįsti </w:t>
      </w:r>
      <w:r w:rsidRPr="00421A32">
        <w:rPr>
          <w:rFonts w:eastAsia="Arial"/>
          <w:bCs/>
        </w:rPr>
        <w:t xml:space="preserve">RATIONALE-305 </w:t>
      </w:r>
      <w:r w:rsidRPr="00421A32">
        <w:rPr>
          <w:lang w:eastAsia="nl-NL"/>
        </w:rPr>
        <w:t xml:space="preserve">klinikiniu tyrimu (ITT populiacija, </w:t>
      </w:r>
      <w:r w:rsidRPr="00421A32">
        <w:rPr>
          <w:rFonts w:eastAsia="Arial"/>
          <w:bCs/>
        </w:rPr>
        <w:t xml:space="preserve">3 fazės, </w:t>
      </w:r>
      <w:proofErr w:type="spellStart"/>
      <w:r w:rsidRPr="00421A32">
        <w:rPr>
          <w:rFonts w:eastAsia="Arial"/>
          <w:bCs/>
        </w:rPr>
        <w:t>daugiacentrinis</w:t>
      </w:r>
      <w:proofErr w:type="spellEnd"/>
      <w:r w:rsidRPr="00421A32">
        <w:rPr>
          <w:rFonts w:eastAsia="Arial"/>
          <w:bCs/>
        </w:rPr>
        <w:t xml:space="preserve">, atsitiktinių imčių atviras (angl. </w:t>
      </w:r>
      <w:proofErr w:type="spellStart"/>
      <w:r w:rsidRPr="00421A32">
        <w:rPr>
          <w:rFonts w:eastAsia="Arial"/>
          <w:bCs/>
          <w:i/>
          <w:iCs/>
        </w:rPr>
        <w:t>open</w:t>
      </w:r>
      <w:proofErr w:type="spellEnd"/>
      <w:r w:rsidRPr="00421A32">
        <w:rPr>
          <w:rFonts w:eastAsia="Arial"/>
          <w:bCs/>
          <w:i/>
          <w:iCs/>
        </w:rPr>
        <w:t xml:space="preserve"> </w:t>
      </w:r>
      <w:proofErr w:type="spellStart"/>
      <w:r w:rsidRPr="00421A32">
        <w:rPr>
          <w:rFonts w:eastAsia="Arial"/>
          <w:bCs/>
          <w:i/>
          <w:iCs/>
        </w:rPr>
        <w:t>label</w:t>
      </w:r>
      <w:proofErr w:type="spellEnd"/>
      <w:r w:rsidRPr="00421A32">
        <w:rPr>
          <w:rFonts w:eastAsia="Arial"/>
          <w:bCs/>
        </w:rPr>
        <w:t>) tyrimas</w:t>
      </w:r>
      <w:r w:rsidRPr="00421A32">
        <w:rPr>
          <w:lang w:eastAsia="nl-NL"/>
        </w:rPr>
        <w:t>) ir atitinka k</w:t>
      </w:r>
      <w:r w:rsidRPr="00421A32">
        <w:t xml:space="preserve">ompensavimui teikiamą indikaciją: </w:t>
      </w:r>
      <w:r w:rsidRPr="00421A32">
        <w:rPr>
          <w:rFonts w:eastAsia="Arial"/>
          <w:iCs/>
        </w:rPr>
        <w:t xml:space="preserve">suaugusių pacientų, sergančių HER-2 neigiama vietiškai išplitusia, neoperuotina arba </w:t>
      </w:r>
      <w:proofErr w:type="spellStart"/>
      <w:r w:rsidRPr="00421A32">
        <w:rPr>
          <w:rFonts w:eastAsia="Arial"/>
          <w:iCs/>
        </w:rPr>
        <w:t>metastazavusia</w:t>
      </w:r>
      <w:proofErr w:type="spellEnd"/>
      <w:r w:rsidRPr="00421A32">
        <w:rPr>
          <w:rFonts w:eastAsia="Arial"/>
          <w:iCs/>
        </w:rPr>
        <w:t xml:space="preserve"> skrandžio arba </w:t>
      </w:r>
      <w:proofErr w:type="spellStart"/>
      <w:r w:rsidRPr="00421A32">
        <w:rPr>
          <w:rFonts w:eastAsia="Arial"/>
          <w:iCs/>
        </w:rPr>
        <w:t>gastroezofaginės</w:t>
      </w:r>
      <w:proofErr w:type="spellEnd"/>
      <w:r w:rsidRPr="00421A32">
        <w:rPr>
          <w:rFonts w:eastAsia="Arial"/>
          <w:iCs/>
        </w:rPr>
        <w:t xml:space="preserve"> jungties (S/GEJ) </w:t>
      </w:r>
      <w:proofErr w:type="spellStart"/>
      <w:r w:rsidRPr="00421A32">
        <w:rPr>
          <w:rFonts w:eastAsia="Arial"/>
          <w:iCs/>
        </w:rPr>
        <w:t>adenokarcinoma</w:t>
      </w:r>
      <w:proofErr w:type="spellEnd"/>
      <w:r w:rsidRPr="00421A32">
        <w:rPr>
          <w:rFonts w:eastAsia="Arial"/>
          <w:iCs/>
        </w:rPr>
        <w:t xml:space="preserve">, kurios navikai turi PD-L1 išraišką, kai naviko srities teigiamumo (angl. </w:t>
      </w:r>
      <w:proofErr w:type="spellStart"/>
      <w:r w:rsidRPr="00421A32">
        <w:rPr>
          <w:rFonts w:eastAsia="Arial"/>
          <w:i/>
        </w:rPr>
        <w:t>tumour</w:t>
      </w:r>
      <w:proofErr w:type="spellEnd"/>
      <w:r w:rsidRPr="00421A32">
        <w:rPr>
          <w:rFonts w:eastAsia="Arial"/>
          <w:i/>
        </w:rPr>
        <w:t xml:space="preserve"> </w:t>
      </w:r>
      <w:proofErr w:type="spellStart"/>
      <w:r w:rsidRPr="00421A32">
        <w:rPr>
          <w:rFonts w:eastAsia="Arial"/>
          <w:i/>
        </w:rPr>
        <w:t>area</w:t>
      </w:r>
      <w:proofErr w:type="spellEnd"/>
      <w:r w:rsidRPr="00421A32">
        <w:rPr>
          <w:rFonts w:eastAsia="Arial"/>
          <w:i/>
        </w:rPr>
        <w:t xml:space="preserve"> </w:t>
      </w:r>
      <w:proofErr w:type="spellStart"/>
      <w:r w:rsidRPr="00421A32">
        <w:rPr>
          <w:rFonts w:eastAsia="Arial"/>
          <w:i/>
        </w:rPr>
        <w:t>positivity</w:t>
      </w:r>
      <w:proofErr w:type="spellEnd"/>
      <w:r w:rsidRPr="00421A32">
        <w:rPr>
          <w:rFonts w:eastAsia="Arial"/>
          <w:iCs/>
        </w:rPr>
        <w:t>, TAP) įvertis yra ≥</w:t>
      </w:r>
      <w:r w:rsidR="009168DB">
        <w:rPr>
          <w:rFonts w:eastAsia="Arial"/>
          <w:iCs/>
          <w:color w:val="000000"/>
        </w:rPr>
        <w:t>***</w:t>
      </w:r>
      <w:r w:rsidR="009168DB" w:rsidRPr="00C86BEC">
        <w:rPr>
          <w:rFonts w:eastAsia="Arial"/>
          <w:iCs/>
          <w:color w:val="000000"/>
        </w:rPr>
        <w:t xml:space="preserve"> </w:t>
      </w:r>
      <w:r w:rsidRPr="00421A32">
        <w:rPr>
          <w:rFonts w:eastAsia="Arial"/>
          <w:iCs/>
        </w:rPr>
        <w:t xml:space="preserve"> %, pirmos eilės gydymui </w:t>
      </w:r>
      <w:r w:rsidRPr="00421A32">
        <w:t xml:space="preserve">(TLK-10 AM kodai - C15, C16). Pareiškėjo pateikiamoje netiesioginio palyginimo analizėje (KMA lyginant su </w:t>
      </w:r>
      <w:proofErr w:type="spellStart"/>
      <w:r w:rsidRPr="00421A32">
        <w:t>pembrolizumabu</w:t>
      </w:r>
      <w:proofErr w:type="spellEnd"/>
      <w:r w:rsidRPr="00421A32">
        <w:t>), analizuojama populiacija taip pat atitinka kompensavimui teikiamą.</w:t>
      </w:r>
      <w:r w:rsidRPr="00421A32">
        <w:rPr>
          <w:lang w:eastAsia="lt-LT"/>
        </w:rPr>
        <w:t xml:space="preserve"> Klinikinei ir ekonominei daliai teikiami šaltiniai sutampa, į ekonominę analizę įtraukti pacientai atitinka kompensacijai teikiamas terapines indikacijas, laikoma, kad populiacija atitiktų gydomą Lietuvoje.</w:t>
      </w:r>
    </w:p>
    <w:p w14:paraId="40A65C27" w14:textId="3AFD3B69" w:rsidR="00970080" w:rsidRPr="00421A32" w:rsidRDefault="00970080" w:rsidP="00970080">
      <w:pPr>
        <w:spacing w:line="276" w:lineRule="auto"/>
        <w:ind w:firstLine="450"/>
        <w:jc w:val="both"/>
        <w:rPr>
          <w:rFonts w:eastAsia="Arial"/>
          <w:iCs/>
          <w:color w:val="000000" w:themeColor="text1"/>
        </w:rPr>
      </w:pPr>
      <w:proofErr w:type="spellStart"/>
      <w:r w:rsidRPr="00421A32">
        <w:t>Tislelizumabo</w:t>
      </w:r>
      <w:proofErr w:type="spellEnd"/>
      <w:r w:rsidRPr="00421A32">
        <w:t xml:space="preserve"> pagrindu sudarytų schemų ir chemoterapijos dozavimas buvo grindžiamas RATIONALE-305 tyrimo protokolu, tačiau Pareiškėjas atnaujina chemoterapijos krepšelį atsižvelgiant į tikėtiną Lietuvos klinikinėje praktikoje, t.</w:t>
      </w:r>
      <w:r w:rsidR="009817FF">
        <w:t xml:space="preserve"> </w:t>
      </w:r>
      <w:r w:rsidRPr="00421A32">
        <w:t xml:space="preserve">y. taiko prielaidą, kad Lietuvoje bus skiriamas 100 proc. </w:t>
      </w:r>
      <w:proofErr w:type="spellStart"/>
      <w:r w:rsidRPr="00421A32">
        <w:t>cisplatinos</w:t>
      </w:r>
      <w:proofErr w:type="spellEnd"/>
      <w:r w:rsidRPr="00421A32">
        <w:t xml:space="preserve"> ir </w:t>
      </w:r>
      <w:proofErr w:type="spellStart"/>
      <w:r w:rsidRPr="00421A32">
        <w:t>fluorouracilo</w:t>
      </w:r>
      <w:proofErr w:type="spellEnd"/>
      <w:r w:rsidRPr="00421A32">
        <w:t xml:space="preserve"> derinys. Tarnyba sutinka, kadangi pagal onkologų ekspertų praktiką „</w:t>
      </w:r>
      <w:r w:rsidRPr="00421A32">
        <w:rPr>
          <w:i/>
        </w:rPr>
        <w:t xml:space="preserve">pagrindinis pasirinkimas - platina su </w:t>
      </w:r>
      <w:proofErr w:type="spellStart"/>
      <w:r w:rsidRPr="00421A32">
        <w:rPr>
          <w:i/>
        </w:rPr>
        <w:t>fluoropirimidinais</w:t>
      </w:r>
      <w:proofErr w:type="spellEnd"/>
      <w:r w:rsidRPr="00421A32">
        <w:rPr>
          <w:i/>
        </w:rPr>
        <w:t xml:space="preserve">“. </w:t>
      </w:r>
      <w:r w:rsidRPr="00421A32">
        <w:t xml:space="preserve">Atkreiptinas dėmesys, kad nors </w:t>
      </w:r>
      <w:proofErr w:type="spellStart"/>
      <w:r w:rsidRPr="00421A32">
        <w:t>oksaliplatina</w:t>
      </w:r>
      <w:proofErr w:type="spellEnd"/>
      <w:r w:rsidRPr="00421A32">
        <w:t xml:space="preserve"> klinikinėje praktikoje yra skiriama ligonių lėšomis, atsižvelgiant, kad pagal vertinimui teikiamą indikaciją </w:t>
      </w:r>
      <w:proofErr w:type="spellStart"/>
      <w:r w:rsidRPr="00421A32">
        <w:t>oksaliplatina</w:t>
      </w:r>
      <w:proofErr w:type="spellEnd"/>
      <w:r w:rsidRPr="00421A32">
        <w:t xml:space="preserve"> nėra kompensuojama, Tarnyba įtraukia tik </w:t>
      </w:r>
      <w:proofErr w:type="spellStart"/>
      <w:r w:rsidRPr="00421A32">
        <w:t>cisplatinos</w:t>
      </w:r>
      <w:proofErr w:type="spellEnd"/>
      <w:r w:rsidRPr="00421A32">
        <w:t xml:space="preserve"> kaštus. Paminėtina, kad esminės įtakos KNA rezultatams nėra, kadangi abiejų VP įsigijimo kaštai maži.</w:t>
      </w:r>
      <w:r w:rsidRPr="00421A32">
        <w:rPr>
          <w:rFonts w:eastAsia="Arial"/>
          <w:iCs/>
          <w:color w:val="000000" w:themeColor="text1"/>
        </w:rPr>
        <w:t xml:space="preserve"> </w:t>
      </w:r>
      <w:r w:rsidRPr="00421A32">
        <w:rPr>
          <w:rFonts w:eastAsia="Arial"/>
        </w:rPr>
        <w:t xml:space="preserve">Pagal </w:t>
      </w:r>
      <w:r w:rsidR="009817FF">
        <w:rPr>
          <w:rFonts w:eastAsia="Arial"/>
        </w:rPr>
        <w:t xml:space="preserve">Lietuvos </w:t>
      </w:r>
      <w:r w:rsidRPr="00421A32">
        <w:rPr>
          <w:rFonts w:eastAsia="Arial"/>
        </w:rPr>
        <w:t xml:space="preserve">Respublikos sveikatos apsaugos ministro 2000 m. sausio 28 d. įsakyme Nr. 49  „Dėl kompensuojamųjų vaistų sąrašų patvirtinimo“ pateiktą ligų ir kompensuojamųjų vaistų joms gydyti sąrašą palyginamasis gydymas atitinka Lietuvos Respublikos sveikatos apsaugos ministro 2002 m. balandžio 5 d. įsakymo Nr. V-159 „Dėl vaistinių preparatų ir medicinos pagalbos priemonių įrašymo į kompensavimo sąrašus ir jų keitimo tvarkos aprašo patvirtinimo“ 116.1 punktą, nes </w:t>
      </w:r>
      <w:r w:rsidRPr="00421A32">
        <w:rPr>
          <w:rFonts w:eastAsia="Arial"/>
        </w:rPr>
        <w:lastRenderedPageBreak/>
        <w:t xml:space="preserve">skrandžio ir GEJ plokščiųjų ląstelių karcinomos pirmos eilės gydymas platinos ir </w:t>
      </w:r>
      <w:proofErr w:type="spellStart"/>
      <w:r w:rsidRPr="00421A32">
        <w:rPr>
          <w:rFonts w:eastAsia="Arial"/>
        </w:rPr>
        <w:t>fluoropirimidino</w:t>
      </w:r>
      <w:proofErr w:type="spellEnd"/>
      <w:r w:rsidRPr="00421A32">
        <w:rPr>
          <w:rFonts w:eastAsia="Arial"/>
        </w:rPr>
        <w:t xml:space="preserve"> deriniu yra „</w:t>
      </w:r>
      <w:r w:rsidRPr="00421A32">
        <w:rPr>
          <w:rFonts w:eastAsia="Arial"/>
          <w:i/>
          <w:iCs/>
        </w:rPr>
        <w:t>paraiškos vertinimo metu atitinkantis įprastą klinikinę praktiką ir pagrįstai laikomas atitinkančiu pripažintas konkrečios ligos gydymo gaires</w:t>
      </w:r>
      <w:r w:rsidRPr="00421A32">
        <w:rPr>
          <w:rFonts w:eastAsia="Arial"/>
        </w:rPr>
        <w:t>“.</w:t>
      </w:r>
    </w:p>
    <w:p w14:paraId="492A0D86" w14:textId="77777777" w:rsidR="00970080" w:rsidRPr="00421A32" w:rsidRDefault="00970080" w:rsidP="00970080">
      <w:pPr>
        <w:spacing w:line="276" w:lineRule="auto"/>
        <w:ind w:firstLine="450"/>
        <w:jc w:val="both"/>
        <w:rPr>
          <w:rFonts w:eastAsia="Arial"/>
          <w:iCs/>
          <w:color w:val="000000" w:themeColor="text1"/>
        </w:rPr>
      </w:pPr>
      <w:r w:rsidRPr="00421A32">
        <w:rPr>
          <w:rFonts w:eastAsia="Arial"/>
        </w:rPr>
        <w:t>Kadangi, Pareiškėjas Tarnybai pateikė dvi analizes: kaštų naudingumo (</w:t>
      </w:r>
      <w:proofErr w:type="spellStart"/>
      <w:r w:rsidRPr="00421A32">
        <w:rPr>
          <w:rFonts w:eastAsia="Arial"/>
        </w:rPr>
        <w:t>tislelizumabo</w:t>
      </w:r>
      <w:proofErr w:type="spellEnd"/>
      <w:r w:rsidRPr="00421A32">
        <w:rPr>
          <w:rFonts w:eastAsia="Arial"/>
        </w:rPr>
        <w:t xml:space="preserve"> kaštų efektyvumą lyginant su standartiniu gydymu Lietuvoje (chemoterapija) ir kaštų mažinimo (lyginant su </w:t>
      </w:r>
      <w:proofErr w:type="spellStart"/>
      <w:r w:rsidRPr="00421A32">
        <w:rPr>
          <w:rFonts w:eastAsia="Arial"/>
        </w:rPr>
        <w:t>pembrolizumabu</w:t>
      </w:r>
      <w:proofErr w:type="spellEnd"/>
      <w:r w:rsidRPr="00421A32">
        <w:rPr>
          <w:rFonts w:eastAsia="Arial"/>
        </w:rPr>
        <w:t xml:space="preserve"> ir </w:t>
      </w:r>
      <w:proofErr w:type="spellStart"/>
      <w:r w:rsidRPr="00421A32">
        <w:rPr>
          <w:rFonts w:eastAsia="Arial"/>
        </w:rPr>
        <w:t>nivolumabu</w:t>
      </w:r>
      <w:proofErr w:type="spellEnd"/>
      <w:r w:rsidRPr="00421A32">
        <w:rPr>
          <w:rFonts w:eastAsia="Arial"/>
        </w:rPr>
        <w:t>), Tarnyba atlieka abiejų analizių vertinimą ir teikia bendrą išvadą ir rekomendacijas.</w:t>
      </w:r>
    </w:p>
    <w:p w14:paraId="6D55A0D9" w14:textId="77777777" w:rsidR="00970080" w:rsidRPr="00421A32" w:rsidRDefault="00970080" w:rsidP="00970080">
      <w:pPr>
        <w:spacing w:line="276" w:lineRule="auto"/>
        <w:ind w:firstLine="360"/>
        <w:jc w:val="both"/>
      </w:pPr>
      <w:r w:rsidRPr="00421A32">
        <w:rPr>
          <w:rFonts w:eastAsia="Arial"/>
        </w:rPr>
        <w:t xml:space="preserve">KNA įtraukiami </w:t>
      </w:r>
      <w:proofErr w:type="spellStart"/>
      <w:r w:rsidRPr="00421A32">
        <w:rPr>
          <w:rFonts w:eastAsia="Arial"/>
        </w:rPr>
        <w:t>tislelizumabo</w:t>
      </w:r>
      <w:proofErr w:type="spellEnd"/>
      <w:r w:rsidRPr="00421A32">
        <w:rPr>
          <w:rFonts w:eastAsia="Arial"/>
        </w:rPr>
        <w:t xml:space="preserve"> ir chemoterapijos klinikiniai duomenys pagrįsti </w:t>
      </w:r>
      <w:r w:rsidRPr="00421A32">
        <w:rPr>
          <w:rFonts w:eastAsia="Arial"/>
          <w:bCs/>
        </w:rPr>
        <w:t xml:space="preserve">RATIONALE-305 </w:t>
      </w:r>
      <w:r w:rsidRPr="00421A32">
        <w:rPr>
          <w:lang w:eastAsia="nl-NL"/>
        </w:rPr>
        <w:t xml:space="preserve">klinikiniu tyrimu. Pagal pateiktus duomenis </w:t>
      </w:r>
      <w:r w:rsidRPr="00421A32">
        <w:rPr>
          <w:rFonts w:eastAsia="Arial"/>
        </w:rPr>
        <w:t xml:space="preserve">yra laikoma, kad </w:t>
      </w:r>
      <w:proofErr w:type="spellStart"/>
      <w:r w:rsidRPr="00421A32">
        <w:rPr>
          <w:rFonts w:eastAsia="Arial"/>
        </w:rPr>
        <w:t>tislelizumabo</w:t>
      </w:r>
      <w:proofErr w:type="spellEnd"/>
      <w:r w:rsidRPr="00421A32">
        <w:rPr>
          <w:rFonts w:eastAsia="Arial"/>
        </w:rPr>
        <w:t xml:space="preserve"> sveikatai sukuriama nauda lyginant su įprastine klinikine praktika yra didesnė (plačiau aprašyta vertinimo protokolo klinikinėje dalyje). </w:t>
      </w:r>
      <w:r w:rsidRPr="00421A32">
        <w:rPr>
          <w:bCs/>
        </w:rPr>
        <w:t xml:space="preserve">Pareiškėjo taikomas </w:t>
      </w:r>
      <w:r w:rsidRPr="00421A32">
        <w:t xml:space="preserve">padalintos kohortos išgyvenamumo trijų sveikatos būklių modelis yra plačiai taikomas sveikatos technologijų vertinimo praktikoje onkologinių ligų KNA modeliavimui ir yra tinkamas ir priimtinas. Ekonominėje analizėje duomenys </w:t>
      </w:r>
      <w:proofErr w:type="spellStart"/>
      <w:r w:rsidRPr="00421A32">
        <w:t>ekstrapoliuojami</w:t>
      </w:r>
      <w:proofErr w:type="spellEnd"/>
      <w:r w:rsidRPr="00421A32">
        <w:t xml:space="preserve"> po klinikinio tyrimo pabaigos (taikoma viso gyvenimo laiko perspektyva). Taikoma 20 m. laiko perspektyva ir</w:t>
      </w:r>
      <w:r w:rsidRPr="00421A32">
        <w:rPr>
          <w:lang w:eastAsia="lt-LT"/>
        </w:rPr>
        <w:t xml:space="preserve"> laikoma, kad laikotarpis yra pakankamas sveikatai sukuriamai naudai ir patiriamiems kaštams užfiksuoti.</w:t>
      </w:r>
    </w:p>
    <w:p w14:paraId="09089680" w14:textId="675E2656" w:rsidR="00970080" w:rsidRPr="00421A32" w:rsidRDefault="00970080" w:rsidP="00970080">
      <w:pPr>
        <w:pStyle w:val="Tekstas"/>
        <w:spacing w:after="0" w:line="276" w:lineRule="auto"/>
        <w:ind w:firstLine="360"/>
        <w:rPr>
          <w:lang w:eastAsia="en-GB"/>
        </w:rPr>
      </w:pPr>
      <w:r w:rsidRPr="00421A32">
        <w:rPr>
          <w:lang w:eastAsia="en-GB"/>
        </w:rPr>
        <w:t xml:space="preserve">Tarnyba vertina, kad trūksta pagrindimo Pareiškėjo taikomoms prielaidoms duomenų ekstrapoliacijai ilguoju laikotarpiu. </w:t>
      </w:r>
      <w:r w:rsidRPr="00421A32">
        <w:t xml:space="preserve">Pareiškėjas nepateikia klinikinių duomenų, kurie būtų ilgesnio laikotarpio nei pagrindinis klinikinis tyrimas vertinant analizuojamą populiaciją. Taip pat nepateikiamos klinikinių ekspertų įžvalgos apie tikėtinas baigtis. Tarnyba pabrėžia, kad ilgalaikiai klinikiniai rezultatai nėra </w:t>
      </w:r>
      <w:proofErr w:type="spellStart"/>
      <w:r w:rsidRPr="00421A32">
        <w:t>validuojami</w:t>
      </w:r>
      <w:proofErr w:type="spellEnd"/>
      <w:r w:rsidRPr="00421A32">
        <w:t xml:space="preserve"> išorės duomenimis (ar papildomais literatūros šaltiniais) ir tai lemia didelius duomenų ekstrapoliacijos neapibrėžtumus, kadangi KNA taikoma viso gyvenimo laiko perspektyva (iki </w:t>
      </w:r>
      <w:r w:rsidR="00BF0CA2">
        <w:t>***</w:t>
      </w:r>
      <w:r w:rsidRPr="00421A32">
        <w:t xml:space="preserve"> m.) ir po klinikinio tyrimo pabaigos duomenų </w:t>
      </w:r>
      <w:proofErr w:type="spellStart"/>
      <w:r w:rsidRPr="00421A32">
        <w:t>ekstrapoliavimui</w:t>
      </w:r>
      <w:proofErr w:type="spellEnd"/>
      <w:r w:rsidRPr="00421A32">
        <w:t xml:space="preserve"> taikomas modeliavimas laikomas nepagrįstu. Svarbu tai, kad skirtingų parametrinių funkcijų taikymas turi reikšmingos įtakos galutiniam ekonominės analizės rezultatui (ICER kinta nuo </w:t>
      </w:r>
      <w:r w:rsidR="004A7BED">
        <w:t>***</w:t>
      </w:r>
      <w:r w:rsidRPr="00421A32">
        <w:t xml:space="preserve"> tūkst. Eur. (</w:t>
      </w:r>
      <w:proofErr w:type="spellStart"/>
      <w:r w:rsidRPr="00421A32">
        <w:t>log</w:t>
      </w:r>
      <w:proofErr w:type="spellEnd"/>
      <w:r w:rsidRPr="00421A32">
        <w:t xml:space="preserve"> </w:t>
      </w:r>
      <w:proofErr w:type="spellStart"/>
      <w:r w:rsidRPr="00421A32">
        <w:t>normal</w:t>
      </w:r>
      <w:proofErr w:type="spellEnd"/>
      <w:r w:rsidRPr="00421A32">
        <w:t xml:space="preserve"> </w:t>
      </w:r>
      <w:proofErr w:type="spellStart"/>
      <w:r w:rsidRPr="00421A32">
        <w:t>abiems</w:t>
      </w:r>
      <w:proofErr w:type="spellEnd"/>
      <w:r w:rsidRPr="00421A32">
        <w:t xml:space="preserve"> gydymo šakoms) iki </w:t>
      </w:r>
      <w:r w:rsidR="004A7BED">
        <w:t>***</w:t>
      </w:r>
      <w:r w:rsidRPr="00421A32">
        <w:t xml:space="preserve"> tūkst. Eur. (</w:t>
      </w:r>
      <w:proofErr w:type="spellStart"/>
      <w:r w:rsidRPr="00421A32">
        <w:t>Gompertz</w:t>
      </w:r>
      <w:proofErr w:type="spellEnd"/>
      <w:r w:rsidRPr="00421A32">
        <w:t>/</w:t>
      </w:r>
      <w:proofErr w:type="spellStart"/>
      <w:r w:rsidRPr="00421A32">
        <w:t>Log</w:t>
      </w:r>
      <w:proofErr w:type="spellEnd"/>
      <w:r w:rsidRPr="00421A32">
        <w:t xml:space="preserve"> </w:t>
      </w:r>
      <w:proofErr w:type="spellStart"/>
      <w:r w:rsidRPr="00421A32">
        <w:t>normal</w:t>
      </w:r>
      <w:proofErr w:type="spellEnd"/>
      <w:r w:rsidRPr="00421A32">
        <w:t xml:space="preserve">). Atsižvelgiant į minėtus duomenų ekstrapoliacijos trūkumus, Tarnyba duomenų modeliavimui pagrįsti vadovaujasi ankstesnių </w:t>
      </w:r>
      <w:r w:rsidRPr="00421A32">
        <w:rPr>
          <w:rFonts w:eastAsia="Arial"/>
          <w:iCs/>
        </w:rPr>
        <w:t>S/GEJ</w:t>
      </w:r>
      <w:r w:rsidRPr="00421A32">
        <w:t xml:space="preserve"> vertinimų metu (</w:t>
      </w:r>
      <w:proofErr w:type="spellStart"/>
      <w:r w:rsidRPr="00421A32">
        <w:t>pembrolizumabo</w:t>
      </w:r>
      <w:proofErr w:type="spellEnd"/>
      <w:r w:rsidRPr="00421A32">
        <w:t xml:space="preserve"> ir </w:t>
      </w:r>
      <w:proofErr w:type="spellStart"/>
      <w:r w:rsidRPr="00421A32">
        <w:t>nivolumabo</w:t>
      </w:r>
      <w:proofErr w:type="spellEnd"/>
      <w:r w:rsidRPr="00421A32">
        <w:t xml:space="preserve">) taikytomis prielaidomis ir tikėtinomis rezultatų baigtimis. Kadangi Paraiškoje pateikti duomenys (klinikiniai ir kaštų mažinimo analizės) </w:t>
      </w:r>
      <w:proofErr w:type="spellStart"/>
      <w:r w:rsidRPr="00421A32">
        <w:t>tislelizumabą</w:t>
      </w:r>
      <w:proofErr w:type="spellEnd"/>
      <w:r w:rsidRPr="00421A32">
        <w:t xml:space="preserve"> (skiriant deriniuose su chemoterapija) lyginant su </w:t>
      </w:r>
      <w:proofErr w:type="spellStart"/>
      <w:r w:rsidRPr="00421A32">
        <w:t>nivolumabu</w:t>
      </w:r>
      <w:proofErr w:type="spellEnd"/>
      <w:r w:rsidRPr="00421A32">
        <w:t xml:space="preserve"> ir </w:t>
      </w:r>
      <w:proofErr w:type="spellStart"/>
      <w:r w:rsidRPr="00421A32">
        <w:t>pembrolizumabu</w:t>
      </w:r>
      <w:proofErr w:type="spellEnd"/>
      <w:r w:rsidRPr="00421A32">
        <w:t xml:space="preserve"> ir sveikatai sukuriama nauda yra laikoma nesiskiriančia, Tarnyba vadovaujasi ankstesnių paraiškų vertinimo metu duomenų ekstrapoliacijai taikytomis prielaidomis ir tikėtinomis klinikinėmis baigtimis, laikantis prielaidos, kad </w:t>
      </w:r>
      <w:proofErr w:type="spellStart"/>
      <w:r w:rsidRPr="00421A32">
        <w:t>tislelizumabo</w:t>
      </w:r>
      <w:proofErr w:type="spellEnd"/>
      <w:r w:rsidRPr="00421A32">
        <w:t xml:space="preserve"> klinikinės baigtys vertinant ilguoju laikotarpiu turėtų būti panašios kaip </w:t>
      </w:r>
      <w:proofErr w:type="spellStart"/>
      <w:r w:rsidRPr="00421A32">
        <w:t>nivolumabo</w:t>
      </w:r>
      <w:proofErr w:type="spellEnd"/>
      <w:r w:rsidRPr="00421A32">
        <w:t xml:space="preserve"> ir </w:t>
      </w:r>
      <w:proofErr w:type="spellStart"/>
      <w:r w:rsidRPr="00421A32">
        <w:t>pembrolizumabo</w:t>
      </w:r>
      <w:proofErr w:type="spellEnd"/>
      <w:r w:rsidRPr="00421A32">
        <w:t xml:space="preserve"> atveju. </w:t>
      </w:r>
      <w:r w:rsidRPr="00421A32">
        <w:rPr>
          <w:lang w:eastAsia="en-GB"/>
        </w:rPr>
        <w:t xml:space="preserve">Atitinkamai, įprastinėje atvejo analizėje, Tarnyba taiko prielaidą, kad gydymo </w:t>
      </w:r>
      <w:proofErr w:type="spellStart"/>
      <w:r w:rsidRPr="00421A32">
        <w:rPr>
          <w:lang w:eastAsia="en-GB"/>
        </w:rPr>
        <w:t>tislelizumabu</w:t>
      </w:r>
      <w:proofErr w:type="spellEnd"/>
      <w:r w:rsidRPr="00421A32">
        <w:rPr>
          <w:lang w:eastAsia="en-GB"/>
        </w:rPr>
        <w:t xml:space="preserve"> efektas pradeda mažėti antraisiais metais (po klinikinio tyrimo pabaigos) ir sulyginamas su palyginamosios grupės rizikos santykiu penktaisiais metais (HR=1).</w:t>
      </w:r>
    </w:p>
    <w:p w14:paraId="22C04032" w14:textId="0D18B7B1" w:rsidR="0005490A" w:rsidRPr="00421A32" w:rsidRDefault="00970080" w:rsidP="0005490A">
      <w:pPr>
        <w:pStyle w:val="Tekstas"/>
        <w:spacing w:after="0" w:line="276" w:lineRule="auto"/>
        <w:ind w:firstLine="360"/>
        <w:rPr>
          <w:lang w:eastAsia="lt-LT"/>
        </w:rPr>
      </w:pPr>
      <w:proofErr w:type="spellStart"/>
      <w:r w:rsidRPr="00421A32">
        <w:t>Tislelizumabo</w:t>
      </w:r>
      <w:proofErr w:type="spellEnd"/>
      <w:r w:rsidRPr="00421A32">
        <w:t xml:space="preserve"> gydymo nutraukimo taisyklė nėra taikoma (remiantis PC</w:t>
      </w:r>
      <w:r w:rsidR="00021562" w:rsidRPr="00421A32">
        <w:t>S</w:t>
      </w:r>
      <w:r w:rsidRPr="00421A32">
        <w:t xml:space="preserve">), Tarnyba įprastinėje atvejo analizėje netaiko dozės praradimų, taikomas </w:t>
      </w:r>
      <w:r w:rsidR="003C668A">
        <w:t>***</w:t>
      </w:r>
      <w:r w:rsidRPr="00421A32">
        <w:t xml:space="preserve"> proc. santykinis dozės intensyvumas, netaikomas buteliukų dalijimas todėl, kad Lietuvos klinikinės praktikos duomenys pagal faktiškai gaunamas dozes nepateikti. </w:t>
      </w:r>
      <w:proofErr w:type="spellStart"/>
      <w:r w:rsidRPr="00421A32">
        <w:t>Tislelizumabo</w:t>
      </w:r>
      <w:proofErr w:type="spellEnd"/>
      <w:r w:rsidRPr="00421A32">
        <w:t xml:space="preserve"> sveikatai sukuriama nauda buvo vertinama pagal su sveikata susijusią gyvenimo kokybę (angl. </w:t>
      </w:r>
      <w:proofErr w:type="spellStart"/>
      <w:r w:rsidRPr="00421A32">
        <w:rPr>
          <w:i/>
          <w:iCs/>
        </w:rPr>
        <w:t>Health</w:t>
      </w:r>
      <w:proofErr w:type="spellEnd"/>
      <w:r w:rsidRPr="00421A32">
        <w:rPr>
          <w:i/>
          <w:iCs/>
        </w:rPr>
        <w:t xml:space="preserve"> </w:t>
      </w:r>
      <w:proofErr w:type="spellStart"/>
      <w:r w:rsidRPr="00421A32">
        <w:rPr>
          <w:i/>
          <w:iCs/>
        </w:rPr>
        <w:t>realated</w:t>
      </w:r>
      <w:proofErr w:type="spellEnd"/>
      <w:r w:rsidRPr="00421A32">
        <w:rPr>
          <w:i/>
          <w:iCs/>
        </w:rPr>
        <w:t xml:space="preserve"> </w:t>
      </w:r>
      <w:proofErr w:type="spellStart"/>
      <w:r w:rsidRPr="00421A32">
        <w:rPr>
          <w:i/>
          <w:iCs/>
        </w:rPr>
        <w:t>quality</w:t>
      </w:r>
      <w:proofErr w:type="spellEnd"/>
      <w:r w:rsidRPr="00421A32">
        <w:rPr>
          <w:i/>
          <w:iCs/>
        </w:rPr>
        <w:t xml:space="preserve"> </w:t>
      </w:r>
      <w:proofErr w:type="spellStart"/>
      <w:r w:rsidRPr="00421A32">
        <w:rPr>
          <w:i/>
          <w:iCs/>
        </w:rPr>
        <w:t>of</w:t>
      </w:r>
      <w:proofErr w:type="spellEnd"/>
      <w:r w:rsidRPr="00421A32">
        <w:rPr>
          <w:i/>
          <w:iCs/>
        </w:rPr>
        <w:t xml:space="preserve"> </w:t>
      </w:r>
      <w:proofErr w:type="spellStart"/>
      <w:r w:rsidRPr="00421A32">
        <w:rPr>
          <w:i/>
          <w:iCs/>
        </w:rPr>
        <w:t>life</w:t>
      </w:r>
      <w:proofErr w:type="spellEnd"/>
      <w:r w:rsidRPr="00421A32">
        <w:rPr>
          <w:i/>
          <w:iCs/>
        </w:rPr>
        <w:t xml:space="preserve">, </w:t>
      </w:r>
      <w:proofErr w:type="spellStart"/>
      <w:r w:rsidRPr="00421A32">
        <w:t>HRQoL</w:t>
      </w:r>
      <w:proofErr w:type="spellEnd"/>
      <w:r w:rsidRPr="00421A32">
        <w:t xml:space="preserve">), kuri buvo įvertinta naudojant EQ-5D klausimyną, </w:t>
      </w:r>
      <w:r w:rsidRPr="00421A32">
        <w:rPr>
          <w:rFonts w:eastAsia="Arial"/>
          <w:bCs/>
        </w:rPr>
        <w:t xml:space="preserve">RATIONALE-305 </w:t>
      </w:r>
      <w:r w:rsidRPr="00421A32">
        <w:t xml:space="preserve">klinikinio tyrimo metu. Tarnyba sutinka su Pareiškėjo taikomais gyvenimo kokybės įverčiais, kadangi jie yra grindžiami pagrindinio </w:t>
      </w:r>
      <w:proofErr w:type="spellStart"/>
      <w:r w:rsidRPr="00421A32">
        <w:t>tislelizumabo</w:t>
      </w:r>
      <w:proofErr w:type="spellEnd"/>
      <w:r w:rsidRPr="00421A32">
        <w:t xml:space="preserve"> klinikinio tyrimo duomenimis. Įprastinėje atvejo analizėje Tarnyba taiko gyvenimo kokybės įverčius nespecifiškus gydymui ir priklausomus nuo ligos progreso (sveikatos būklei iki </w:t>
      </w:r>
      <w:r w:rsidRPr="00421A32">
        <w:lastRenderedPageBreak/>
        <w:t xml:space="preserve">ligos progreso ir progresavusios ligos). Analizė atlikta iš PSDF biudžeto perspektyvos, įtraukti tiesiogiai su sveikatos sistema susiję kaštai. Tai atitinka teisės aktuose nustatytus paraiškos rengimo taisyklių reikalavimus. Tarnyba atnaujino kaštus pagal 2025 m. II </w:t>
      </w:r>
      <w:proofErr w:type="spellStart"/>
      <w:r w:rsidRPr="00421A32">
        <w:t>pusm</w:t>
      </w:r>
      <w:proofErr w:type="spellEnd"/>
      <w:r w:rsidRPr="00421A32">
        <w:t xml:space="preserve">. įkainius. </w:t>
      </w:r>
      <w:r w:rsidRPr="00421A32">
        <w:rPr>
          <w:rFonts w:eastAsia="Arial"/>
        </w:rPr>
        <w:t xml:space="preserve">Iš KNA gautų rezultatų matyti, kad </w:t>
      </w:r>
      <w:proofErr w:type="spellStart"/>
      <w:r w:rsidRPr="00421A32">
        <w:rPr>
          <w:rFonts w:eastAsia="Arial"/>
        </w:rPr>
        <w:t>tislelizumabą</w:t>
      </w:r>
      <w:proofErr w:type="spellEnd"/>
      <w:r w:rsidRPr="00421A32">
        <w:rPr>
          <w:rFonts w:eastAsia="Arial"/>
        </w:rPr>
        <w:t xml:space="preserve"> lyginant su įprastiniu gydymu (chemoterapija) sveikatai sukuriama papildoma nauda (</w:t>
      </w:r>
      <w:proofErr w:type="spellStart"/>
      <w:r w:rsidRPr="00421A32">
        <w:rPr>
          <w:rFonts w:eastAsia="Arial"/>
        </w:rPr>
        <w:t>inkrementiniai</w:t>
      </w:r>
      <w:proofErr w:type="spellEnd"/>
      <w:r w:rsidRPr="00421A32">
        <w:rPr>
          <w:rFonts w:eastAsia="Arial"/>
        </w:rPr>
        <w:t xml:space="preserve"> QALYS) – </w:t>
      </w:r>
      <w:r w:rsidR="00A548F0">
        <w:t>****</w:t>
      </w:r>
      <w:r w:rsidRPr="00421A32">
        <w:rPr>
          <w:rFonts w:eastAsia="Arial"/>
        </w:rPr>
        <w:t xml:space="preserve">, </w:t>
      </w:r>
      <w:r w:rsidRPr="00421A32">
        <w:t xml:space="preserve">o gydymo </w:t>
      </w:r>
      <w:proofErr w:type="spellStart"/>
      <w:r w:rsidRPr="00421A32">
        <w:t>tislelizumabu</w:t>
      </w:r>
      <w:proofErr w:type="spellEnd"/>
      <w:r w:rsidRPr="00421A32">
        <w:t xml:space="preserve"> kaštai yra </w:t>
      </w:r>
      <w:r w:rsidR="00A548F0">
        <w:t>****</w:t>
      </w:r>
      <w:r w:rsidR="00A548F0" w:rsidRPr="00421A32">
        <w:t xml:space="preserve"> </w:t>
      </w:r>
      <w:r w:rsidRPr="00421A32">
        <w:rPr>
          <w:lang w:eastAsia="lt-LT"/>
        </w:rPr>
        <w:t xml:space="preserve">Eur. </w:t>
      </w:r>
      <w:r w:rsidRPr="00421A32">
        <w:t>didesni nei standartinio šiuo metu Lietuvoje taikomo gydymo.</w:t>
      </w:r>
      <w:r w:rsidRPr="00421A32">
        <w:rPr>
          <w:lang w:eastAsia="lt-LT"/>
        </w:rPr>
        <w:t xml:space="preserve"> Apskaičiuotas ICER – </w:t>
      </w:r>
      <w:r w:rsidR="00A548F0">
        <w:t>****</w:t>
      </w:r>
      <w:r w:rsidRPr="00421A32">
        <w:t xml:space="preserve"> </w:t>
      </w:r>
      <w:r w:rsidRPr="00421A32">
        <w:rPr>
          <w:color w:val="000000"/>
        </w:rPr>
        <w:t>Eur./QALY</w:t>
      </w:r>
      <w:r w:rsidRPr="00421A32">
        <w:rPr>
          <w:color w:val="000000"/>
          <w:lang w:eastAsia="lt-LT"/>
        </w:rPr>
        <w:t xml:space="preserve"> (lentelė 15.1.1) </w:t>
      </w:r>
      <w:r w:rsidRPr="00421A32">
        <w:rPr>
          <w:lang w:eastAsia="lt-LT"/>
        </w:rPr>
        <w:t>atitinka sunkiai ligos naštai taikomą referencinę kaštų naudingumo vertę.</w:t>
      </w:r>
    </w:p>
    <w:p w14:paraId="4C29D2ED" w14:textId="77777777" w:rsidR="0005490A" w:rsidRPr="00421A32" w:rsidRDefault="0005490A" w:rsidP="0005490A">
      <w:pPr>
        <w:tabs>
          <w:tab w:val="left" w:pos="426"/>
        </w:tabs>
        <w:jc w:val="center"/>
        <w:rPr>
          <w:b/>
          <w:lang w:eastAsia="lt-LT"/>
        </w:rPr>
      </w:pPr>
      <w:r w:rsidRPr="00421A32">
        <w:rPr>
          <w:b/>
          <w:lang w:eastAsia="lt-LT"/>
        </w:rPr>
        <w:t>Ekonominės analizės rezultatas</w:t>
      </w:r>
    </w:p>
    <w:p w14:paraId="7B8D9E7E" w14:textId="77777777" w:rsidR="0005490A" w:rsidRPr="00421A32" w:rsidRDefault="0005490A" w:rsidP="0005490A">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05490A" w:rsidRPr="00421A32" w14:paraId="22717A17" w14:textId="77777777" w:rsidTr="005A30EE">
        <w:trPr>
          <w:trHeight w:val="344"/>
          <w:jc w:val="center"/>
        </w:trPr>
        <w:tc>
          <w:tcPr>
            <w:tcW w:w="9439" w:type="dxa"/>
            <w:gridSpan w:val="2"/>
            <w:tcBorders>
              <w:top w:val="single" w:sz="12" w:space="0" w:color="auto"/>
              <w:left w:val="single" w:sz="4" w:space="0" w:color="auto"/>
              <w:right w:val="single" w:sz="4" w:space="0" w:color="auto"/>
            </w:tcBorders>
            <w:vAlign w:val="center"/>
          </w:tcPr>
          <w:p w14:paraId="03064429" w14:textId="77777777" w:rsidR="0005490A" w:rsidRPr="00421A32" w:rsidRDefault="0005490A" w:rsidP="005A30EE">
            <w:pPr>
              <w:tabs>
                <w:tab w:val="left" w:pos="567"/>
              </w:tabs>
              <w:jc w:val="center"/>
              <w:rPr>
                <w:b/>
                <w:bCs/>
                <w:sz w:val="26"/>
                <w:szCs w:val="26"/>
                <w:lang w:eastAsia="lt-LT"/>
              </w:rPr>
            </w:pPr>
            <w:r w:rsidRPr="00421A32">
              <w:rPr>
                <w:b/>
                <w:bCs/>
                <w:sz w:val="26"/>
                <w:szCs w:val="26"/>
                <w:lang w:eastAsia="lt-LT"/>
              </w:rPr>
              <w:t>Rezultatai</w:t>
            </w:r>
          </w:p>
        </w:tc>
      </w:tr>
      <w:tr w:rsidR="0005490A" w:rsidRPr="00421A32" w14:paraId="3D123847" w14:textId="77777777" w:rsidTr="005A30EE">
        <w:trPr>
          <w:trHeight w:val="267"/>
          <w:jc w:val="center"/>
        </w:trPr>
        <w:tc>
          <w:tcPr>
            <w:tcW w:w="6200" w:type="dxa"/>
            <w:tcBorders>
              <w:left w:val="single" w:sz="4" w:space="0" w:color="auto"/>
            </w:tcBorders>
          </w:tcPr>
          <w:p w14:paraId="766589BD" w14:textId="77777777" w:rsidR="0005490A" w:rsidRPr="00421A32" w:rsidRDefault="0005490A" w:rsidP="005A30EE">
            <w:pPr>
              <w:tabs>
                <w:tab w:val="left" w:pos="567"/>
              </w:tabs>
              <w:jc w:val="right"/>
              <w:rPr>
                <w:iCs/>
                <w:lang w:eastAsia="lt-LT"/>
              </w:rPr>
            </w:pPr>
            <w:r w:rsidRPr="00421A32">
              <w:rPr>
                <w:iCs/>
                <w:lang w:eastAsia="lt-LT"/>
              </w:rPr>
              <w:t>Kaštų skirtumas</w:t>
            </w:r>
          </w:p>
        </w:tc>
        <w:tc>
          <w:tcPr>
            <w:tcW w:w="3239" w:type="dxa"/>
            <w:tcBorders>
              <w:right w:val="single" w:sz="4" w:space="0" w:color="auto"/>
            </w:tcBorders>
          </w:tcPr>
          <w:p w14:paraId="30621025" w14:textId="76B99F78" w:rsidR="0005490A" w:rsidRPr="00421A32" w:rsidRDefault="00A548F0" w:rsidP="005A30EE">
            <w:pPr>
              <w:tabs>
                <w:tab w:val="left" w:pos="567"/>
              </w:tabs>
              <w:jc w:val="both"/>
              <w:rPr>
                <w:iCs/>
                <w:lang w:eastAsia="lt-LT"/>
              </w:rPr>
            </w:pPr>
            <w:r>
              <w:t>****</w:t>
            </w:r>
          </w:p>
        </w:tc>
      </w:tr>
      <w:tr w:rsidR="0005490A" w:rsidRPr="00421A32" w14:paraId="0F6D0E32" w14:textId="77777777" w:rsidTr="005A30EE">
        <w:trPr>
          <w:trHeight w:val="267"/>
          <w:jc w:val="center"/>
        </w:trPr>
        <w:tc>
          <w:tcPr>
            <w:tcW w:w="6200" w:type="dxa"/>
            <w:tcBorders>
              <w:left w:val="single" w:sz="4" w:space="0" w:color="auto"/>
            </w:tcBorders>
          </w:tcPr>
          <w:p w14:paraId="7F05D7A7" w14:textId="77777777" w:rsidR="0005490A" w:rsidRPr="00421A32" w:rsidRDefault="0005490A" w:rsidP="005A30EE">
            <w:pPr>
              <w:tabs>
                <w:tab w:val="left" w:pos="567"/>
              </w:tabs>
              <w:jc w:val="right"/>
              <w:rPr>
                <w:iCs/>
                <w:lang w:eastAsia="lt-LT"/>
              </w:rPr>
            </w:pPr>
            <w:r w:rsidRPr="00421A32">
              <w:rPr>
                <w:iCs/>
                <w:lang w:eastAsia="lt-LT"/>
              </w:rPr>
              <w:t>Papildomi gyvenimo metai (LY)</w:t>
            </w:r>
          </w:p>
        </w:tc>
        <w:tc>
          <w:tcPr>
            <w:tcW w:w="3239" w:type="dxa"/>
            <w:tcBorders>
              <w:right w:val="single" w:sz="4" w:space="0" w:color="auto"/>
            </w:tcBorders>
          </w:tcPr>
          <w:p w14:paraId="1E2F1609" w14:textId="6E1234FE" w:rsidR="0005490A" w:rsidRPr="00421A32" w:rsidRDefault="00A548F0" w:rsidP="005A30EE">
            <w:pPr>
              <w:tabs>
                <w:tab w:val="left" w:pos="567"/>
              </w:tabs>
              <w:jc w:val="both"/>
              <w:rPr>
                <w:iCs/>
                <w:lang w:eastAsia="lt-LT"/>
              </w:rPr>
            </w:pPr>
            <w:r>
              <w:t>****</w:t>
            </w:r>
          </w:p>
        </w:tc>
      </w:tr>
      <w:tr w:rsidR="0005490A" w:rsidRPr="00421A32" w14:paraId="3AD712A9" w14:textId="77777777" w:rsidTr="005A30EE">
        <w:trPr>
          <w:trHeight w:val="267"/>
          <w:jc w:val="center"/>
        </w:trPr>
        <w:tc>
          <w:tcPr>
            <w:tcW w:w="6200" w:type="dxa"/>
            <w:tcBorders>
              <w:left w:val="single" w:sz="4" w:space="0" w:color="auto"/>
            </w:tcBorders>
          </w:tcPr>
          <w:p w14:paraId="65C64D1C" w14:textId="77777777" w:rsidR="0005490A" w:rsidRPr="00421A32" w:rsidRDefault="0005490A" w:rsidP="005A30EE">
            <w:pPr>
              <w:tabs>
                <w:tab w:val="left" w:pos="567"/>
              </w:tabs>
              <w:jc w:val="right"/>
              <w:rPr>
                <w:iCs/>
                <w:lang w:eastAsia="lt-LT"/>
              </w:rPr>
            </w:pPr>
            <w:r w:rsidRPr="00421A32">
              <w:rPr>
                <w:iCs/>
                <w:lang w:eastAsia="lt-LT"/>
              </w:rPr>
              <w:t>Papildomi kokybiški gyvenimo metai (QALY)</w:t>
            </w:r>
          </w:p>
        </w:tc>
        <w:tc>
          <w:tcPr>
            <w:tcW w:w="3239" w:type="dxa"/>
            <w:tcBorders>
              <w:right w:val="single" w:sz="4" w:space="0" w:color="auto"/>
            </w:tcBorders>
          </w:tcPr>
          <w:p w14:paraId="038906D0" w14:textId="621D9D06" w:rsidR="0005490A" w:rsidRPr="00421A32" w:rsidRDefault="00A548F0" w:rsidP="005A30EE">
            <w:pPr>
              <w:tabs>
                <w:tab w:val="left" w:pos="567"/>
              </w:tabs>
              <w:jc w:val="both"/>
              <w:rPr>
                <w:iCs/>
                <w:lang w:eastAsia="lt-LT"/>
              </w:rPr>
            </w:pPr>
            <w:r>
              <w:t>****</w:t>
            </w:r>
          </w:p>
        </w:tc>
      </w:tr>
      <w:tr w:rsidR="0005490A" w:rsidRPr="00421A32" w14:paraId="2D29CC01" w14:textId="77777777" w:rsidTr="005A30EE">
        <w:trPr>
          <w:trHeight w:val="267"/>
          <w:jc w:val="center"/>
        </w:trPr>
        <w:tc>
          <w:tcPr>
            <w:tcW w:w="6200" w:type="dxa"/>
            <w:tcBorders>
              <w:left w:val="single" w:sz="4" w:space="0" w:color="auto"/>
            </w:tcBorders>
          </w:tcPr>
          <w:p w14:paraId="67F3A09A" w14:textId="77777777" w:rsidR="0005490A" w:rsidRPr="00421A32" w:rsidRDefault="0005490A" w:rsidP="005A30EE">
            <w:pPr>
              <w:tabs>
                <w:tab w:val="left" w:pos="567"/>
              </w:tabs>
              <w:jc w:val="right"/>
              <w:rPr>
                <w:iCs/>
                <w:lang w:eastAsia="lt-LT"/>
              </w:rPr>
            </w:pPr>
            <w:r w:rsidRPr="00421A32">
              <w:rPr>
                <w:iCs/>
                <w:lang w:eastAsia="lt-LT"/>
              </w:rPr>
              <w:t>ICER už LY</w:t>
            </w:r>
          </w:p>
        </w:tc>
        <w:tc>
          <w:tcPr>
            <w:tcW w:w="3239" w:type="dxa"/>
            <w:tcBorders>
              <w:right w:val="single" w:sz="4" w:space="0" w:color="auto"/>
            </w:tcBorders>
          </w:tcPr>
          <w:p w14:paraId="08653187" w14:textId="082583D6" w:rsidR="0005490A" w:rsidRPr="00421A32" w:rsidRDefault="00A548F0" w:rsidP="005A30EE">
            <w:pPr>
              <w:jc w:val="both"/>
              <w:rPr>
                <w:color w:val="000000"/>
              </w:rPr>
            </w:pPr>
            <w:r>
              <w:t>****</w:t>
            </w:r>
            <w:r w:rsidRPr="00421A32">
              <w:t xml:space="preserve"> </w:t>
            </w:r>
            <w:r w:rsidR="0005490A" w:rsidRPr="00421A32">
              <w:t>Eur./</w:t>
            </w:r>
            <w:proofErr w:type="spellStart"/>
            <w:r w:rsidR="0005490A" w:rsidRPr="00421A32">
              <w:t>LYs</w:t>
            </w:r>
            <w:proofErr w:type="spellEnd"/>
          </w:p>
        </w:tc>
      </w:tr>
      <w:tr w:rsidR="0005490A" w:rsidRPr="00421A32" w14:paraId="72B1B9CE" w14:textId="77777777" w:rsidTr="005A30EE">
        <w:trPr>
          <w:trHeight w:val="90"/>
          <w:jc w:val="center"/>
        </w:trPr>
        <w:tc>
          <w:tcPr>
            <w:tcW w:w="6200" w:type="dxa"/>
            <w:tcBorders>
              <w:left w:val="single" w:sz="4" w:space="0" w:color="auto"/>
            </w:tcBorders>
          </w:tcPr>
          <w:p w14:paraId="3784128A" w14:textId="77777777" w:rsidR="0005490A" w:rsidRPr="00421A32" w:rsidRDefault="0005490A" w:rsidP="005A30EE">
            <w:pPr>
              <w:tabs>
                <w:tab w:val="left" w:pos="567"/>
              </w:tabs>
              <w:jc w:val="right"/>
              <w:rPr>
                <w:iCs/>
                <w:lang w:eastAsia="lt-LT"/>
              </w:rPr>
            </w:pPr>
            <w:r w:rsidRPr="00421A32">
              <w:rPr>
                <w:iCs/>
                <w:lang w:eastAsia="lt-LT"/>
              </w:rPr>
              <w:t>ICER už QALY</w:t>
            </w:r>
          </w:p>
        </w:tc>
        <w:tc>
          <w:tcPr>
            <w:tcW w:w="3239" w:type="dxa"/>
            <w:tcBorders>
              <w:right w:val="single" w:sz="4" w:space="0" w:color="auto"/>
            </w:tcBorders>
          </w:tcPr>
          <w:p w14:paraId="60C7F93E" w14:textId="07502178" w:rsidR="0005490A" w:rsidRPr="00421A32" w:rsidRDefault="00A548F0" w:rsidP="005A30EE">
            <w:pPr>
              <w:tabs>
                <w:tab w:val="left" w:pos="567"/>
              </w:tabs>
              <w:jc w:val="both"/>
              <w:rPr>
                <w:b/>
                <w:iCs/>
                <w:lang w:eastAsia="lt-LT"/>
              </w:rPr>
            </w:pPr>
            <w:r>
              <w:t>****</w:t>
            </w:r>
            <w:r w:rsidRPr="00421A32">
              <w:t xml:space="preserve"> </w:t>
            </w:r>
            <w:r w:rsidR="0005490A" w:rsidRPr="00421A32">
              <w:t>Eur./QALY</w:t>
            </w:r>
          </w:p>
        </w:tc>
      </w:tr>
      <w:tr w:rsidR="0005490A" w:rsidRPr="00421A32" w14:paraId="2B336A16" w14:textId="77777777" w:rsidTr="005A30EE">
        <w:trPr>
          <w:trHeight w:val="267"/>
          <w:jc w:val="center"/>
        </w:trPr>
        <w:tc>
          <w:tcPr>
            <w:tcW w:w="6200" w:type="dxa"/>
            <w:tcBorders>
              <w:left w:val="single" w:sz="4" w:space="0" w:color="auto"/>
              <w:bottom w:val="single" w:sz="4" w:space="0" w:color="auto"/>
              <w:right w:val="single" w:sz="4" w:space="0" w:color="auto"/>
            </w:tcBorders>
          </w:tcPr>
          <w:p w14:paraId="2731FE76" w14:textId="77777777" w:rsidR="0005490A" w:rsidRPr="00421A32" w:rsidRDefault="0005490A" w:rsidP="005A30EE">
            <w:pPr>
              <w:tabs>
                <w:tab w:val="left" w:pos="567"/>
              </w:tabs>
              <w:jc w:val="right"/>
              <w:rPr>
                <w:iCs/>
                <w:lang w:eastAsia="lt-LT"/>
              </w:rPr>
            </w:pPr>
            <w:r w:rsidRPr="00421A32">
              <w:rPr>
                <w:iCs/>
                <w:lang w:eastAsia="lt-LT"/>
              </w:rPr>
              <w:t>Referentinė kaštų naudingumo vertė</w:t>
            </w:r>
          </w:p>
        </w:tc>
        <w:tc>
          <w:tcPr>
            <w:tcW w:w="3239" w:type="dxa"/>
            <w:tcBorders>
              <w:left w:val="single" w:sz="4" w:space="0" w:color="auto"/>
              <w:bottom w:val="single" w:sz="4" w:space="0" w:color="auto"/>
              <w:right w:val="single" w:sz="4" w:space="0" w:color="auto"/>
            </w:tcBorders>
          </w:tcPr>
          <w:p w14:paraId="43FBBAA0" w14:textId="73BBE245" w:rsidR="0005490A" w:rsidRPr="00421A32" w:rsidRDefault="00A548F0" w:rsidP="005A30EE">
            <w:pPr>
              <w:tabs>
                <w:tab w:val="left" w:pos="567"/>
              </w:tabs>
              <w:jc w:val="both"/>
              <w:rPr>
                <w:iCs/>
                <w:lang w:eastAsia="lt-LT"/>
              </w:rPr>
            </w:pPr>
            <w:r>
              <w:t>****</w:t>
            </w:r>
            <w:r w:rsidRPr="00421A32">
              <w:t xml:space="preserve"> </w:t>
            </w:r>
            <w:r w:rsidR="0005490A" w:rsidRPr="00421A32">
              <w:rPr>
                <w:i/>
                <w:iCs/>
                <w:lang w:eastAsia="lt-LT"/>
              </w:rPr>
              <w:t>Eur.</w:t>
            </w:r>
          </w:p>
        </w:tc>
      </w:tr>
    </w:tbl>
    <w:p w14:paraId="6E799F49" w14:textId="77777777" w:rsidR="0005490A" w:rsidRPr="00421A32" w:rsidRDefault="0005490A" w:rsidP="0005490A">
      <w:pPr>
        <w:tabs>
          <w:tab w:val="left" w:pos="567"/>
        </w:tabs>
        <w:jc w:val="both"/>
        <w:rPr>
          <w:iCs/>
          <w:sz w:val="20"/>
          <w:lang w:eastAsia="lt-LT"/>
        </w:rPr>
      </w:pPr>
      <w:r w:rsidRPr="00421A32">
        <w:rPr>
          <w:iCs/>
          <w:sz w:val="20"/>
          <w:lang w:eastAsia="lt-LT"/>
        </w:rPr>
        <w:t>ICER – (</w:t>
      </w:r>
      <w:r w:rsidRPr="00421A32">
        <w:rPr>
          <w:i/>
          <w:sz w:val="20"/>
          <w:lang w:eastAsia="lt-LT"/>
        </w:rPr>
        <w:t xml:space="preserve">angl. </w:t>
      </w:r>
      <w:proofErr w:type="spellStart"/>
      <w:r w:rsidRPr="00421A32">
        <w:rPr>
          <w:i/>
          <w:sz w:val="20"/>
          <w:lang w:eastAsia="lt-LT"/>
        </w:rPr>
        <w:t>incremental</w:t>
      </w:r>
      <w:proofErr w:type="spellEnd"/>
      <w:r w:rsidRPr="00421A32">
        <w:rPr>
          <w:i/>
          <w:sz w:val="20"/>
          <w:lang w:eastAsia="lt-LT"/>
        </w:rPr>
        <w:t xml:space="preserve"> </w:t>
      </w:r>
      <w:proofErr w:type="spellStart"/>
      <w:r w:rsidRPr="00421A32">
        <w:rPr>
          <w:i/>
          <w:sz w:val="20"/>
          <w:lang w:eastAsia="lt-LT"/>
        </w:rPr>
        <w:t>cost-effectiveness</w:t>
      </w:r>
      <w:proofErr w:type="spellEnd"/>
      <w:r w:rsidRPr="00421A32">
        <w:rPr>
          <w:i/>
          <w:sz w:val="20"/>
          <w:lang w:eastAsia="lt-LT"/>
        </w:rPr>
        <w:t xml:space="preserve"> </w:t>
      </w:r>
      <w:proofErr w:type="spellStart"/>
      <w:r w:rsidRPr="00421A32">
        <w:rPr>
          <w:i/>
          <w:sz w:val="20"/>
          <w:lang w:eastAsia="lt-LT"/>
        </w:rPr>
        <w:t>ratio</w:t>
      </w:r>
      <w:proofErr w:type="spellEnd"/>
      <w:r w:rsidRPr="00421A32">
        <w:rPr>
          <w:iCs/>
          <w:sz w:val="20"/>
          <w:lang w:eastAsia="lt-LT"/>
        </w:rPr>
        <w:t xml:space="preserve">) </w:t>
      </w:r>
      <w:proofErr w:type="spellStart"/>
      <w:r w:rsidRPr="00421A32">
        <w:rPr>
          <w:iCs/>
          <w:sz w:val="20"/>
          <w:lang w:eastAsia="lt-LT"/>
        </w:rPr>
        <w:t>inkrementinis</w:t>
      </w:r>
      <w:proofErr w:type="spellEnd"/>
      <w:r w:rsidRPr="00421A32">
        <w:rPr>
          <w:iCs/>
          <w:sz w:val="20"/>
          <w:lang w:eastAsia="lt-LT"/>
        </w:rPr>
        <w:t xml:space="preserve"> kaštų naudingumo koeficientas; LY – (</w:t>
      </w:r>
      <w:r w:rsidRPr="00421A32">
        <w:rPr>
          <w:i/>
          <w:sz w:val="20"/>
          <w:lang w:eastAsia="lt-LT"/>
        </w:rPr>
        <w:t xml:space="preserve">angl. </w:t>
      </w:r>
      <w:proofErr w:type="spellStart"/>
      <w:r w:rsidRPr="00421A32">
        <w:rPr>
          <w:i/>
          <w:sz w:val="20"/>
          <w:lang w:eastAsia="lt-LT"/>
        </w:rPr>
        <w:t>life</w:t>
      </w:r>
      <w:proofErr w:type="spellEnd"/>
      <w:r w:rsidRPr="00421A32">
        <w:rPr>
          <w:i/>
          <w:sz w:val="20"/>
          <w:lang w:eastAsia="lt-LT"/>
        </w:rPr>
        <w:t xml:space="preserve"> </w:t>
      </w:r>
      <w:proofErr w:type="spellStart"/>
      <w:r w:rsidRPr="00421A32">
        <w:rPr>
          <w:i/>
          <w:sz w:val="20"/>
          <w:lang w:eastAsia="lt-LT"/>
        </w:rPr>
        <w:t>years</w:t>
      </w:r>
      <w:proofErr w:type="spellEnd"/>
      <w:r w:rsidRPr="00421A32">
        <w:rPr>
          <w:iCs/>
          <w:sz w:val="20"/>
          <w:lang w:eastAsia="lt-LT"/>
        </w:rPr>
        <w:t>) gyvenimo metai; QALY- (</w:t>
      </w:r>
      <w:r w:rsidRPr="00421A32">
        <w:rPr>
          <w:i/>
          <w:sz w:val="20"/>
          <w:lang w:eastAsia="lt-LT"/>
        </w:rPr>
        <w:t xml:space="preserve">angl. </w:t>
      </w:r>
      <w:proofErr w:type="spellStart"/>
      <w:r w:rsidRPr="00421A32">
        <w:rPr>
          <w:i/>
          <w:sz w:val="20"/>
          <w:lang w:eastAsia="lt-LT"/>
        </w:rPr>
        <w:t>quality</w:t>
      </w:r>
      <w:proofErr w:type="spellEnd"/>
      <w:r w:rsidRPr="00421A32">
        <w:rPr>
          <w:i/>
          <w:sz w:val="20"/>
          <w:lang w:eastAsia="lt-LT"/>
        </w:rPr>
        <w:t xml:space="preserve"> </w:t>
      </w:r>
      <w:proofErr w:type="spellStart"/>
      <w:r w:rsidRPr="00421A32">
        <w:rPr>
          <w:i/>
          <w:sz w:val="20"/>
          <w:lang w:eastAsia="lt-LT"/>
        </w:rPr>
        <w:t>adjusted</w:t>
      </w:r>
      <w:proofErr w:type="spellEnd"/>
      <w:r w:rsidRPr="00421A32">
        <w:rPr>
          <w:i/>
          <w:sz w:val="20"/>
          <w:lang w:eastAsia="lt-LT"/>
        </w:rPr>
        <w:t xml:space="preserve"> </w:t>
      </w:r>
      <w:proofErr w:type="spellStart"/>
      <w:r w:rsidRPr="00421A32">
        <w:rPr>
          <w:i/>
          <w:sz w:val="20"/>
          <w:lang w:eastAsia="lt-LT"/>
        </w:rPr>
        <w:t>life</w:t>
      </w:r>
      <w:proofErr w:type="spellEnd"/>
      <w:r w:rsidRPr="00421A32">
        <w:rPr>
          <w:i/>
          <w:sz w:val="20"/>
          <w:lang w:eastAsia="lt-LT"/>
        </w:rPr>
        <w:t xml:space="preserve"> </w:t>
      </w:r>
      <w:proofErr w:type="spellStart"/>
      <w:r w:rsidRPr="00421A32">
        <w:rPr>
          <w:i/>
          <w:sz w:val="20"/>
          <w:lang w:eastAsia="lt-LT"/>
        </w:rPr>
        <w:t>years</w:t>
      </w:r>
      <w:proofErr w:type="spellEnd"/>
      <w:r w:rsidRPr="00421A32">
        <w:rPr>
          <w:i/>
          <w:sz w:val="20"/>
          <w:lang w:eastAsia="lt-LT"/>
        </w:rPr>
        <w:t xml:space="preserve">) </w:t>
      </w:r>
      <w:r w:rsidRPr="00421A32">
        <w:rPr>
          <w:iCs/>
          <w:sz w:val="20"/>
          <w:lang w:eastAsia="lt-LT"/>
        </w:rPr>
        <w:t>kokybiški gyvenimo metai.</w:t>
      </w:r>
    </w:p>
    <w:p w14:paraId="49968C59" w14:textId="77777777" w:rsidR="0005490A" w:rsidRPr="00421A32" w:rsidRDefault="0005490A" w:rsidP="00970080">
      <w:pPr>
        <w:pStyle w:val="Tekstas"/>
        <w:spacing w:after="0" w:line="276" w:lineRule="auto"/>
        <w:ind w:firstLine="360"/>
        <w:rPr>
          <w:lang w:eastAsia="lt-LT"/>
        </w:rPr>
      </w:pPr>
    </w:p>
    <w:p w14:paraId="0CD36707" w14:textId="3A50E4E6" w:rsidR="00970080" w:rsidRPr="00421A32" w:rsidRDefault="00970080" w:rsidP="00970080">
      <w:pPr>
        <w:spacing w:line="276" w:lineRule="auto"/>
        <w:ind w:firstLine="360"/>
        <w:jc w:val="both"/>
        <w:rPr>
          <w:rFonts w:eastAsia="Arial"/>
        </w:rPr>
      </w:pPr>
      <w:r w:rsidRPr="00421A32">
        <w:rPr>
          <w:rFonts w:eastAsia="Arial"/>
        </w:rPr>
        <w:t xml:space="preserve">Pareiškėjas pateikė netiesioginio palyginimo duomenis pagal kuriuos </w:t>
      </w:r>
      <w:proofErr w:type="spellStart"/>
      <w:r w:rsidRPr="00421A32">
        <w:rPr>
          <w:rFonts w:eastAsia="Arial"/>
        </w:rPr>
        <w:t>tislelizumabo</w:t>
      </w:r>
      <w:proofErr w:type="spellEnd"/>
      <w:r w:rsidRPr="00421A32">
        <w:rPr>
          <w:rFonts w:eastAsia="Arial"/>
        </w:rPr>
        <w:t xml:space="preserve"> ir </w:t>
      </w:r>
      <w:proofErr w:type="spellStart"/>
      <w:r w:rsidRPr="00421A32">
        <w:rPr>
          <w:rFonts w:eastAsia="Arial"/>
        </w:rPr>
        <w:t>pembrolizumabo</w:t>
      </w:r>
      <w:proofErr w:type="spellEnd"/>
      <w:r w:rsidRPr="00421A32">
        <w:rPr>
          <w:rFonts w:eastAsia="Arial"/>
        </w:rPr>
        <w:t xml:space="preserve"> sveikatai sukuriama nauda yra laikoma panašia. Remiantis Kompensuojamųjų vaistinių preparatų Tvarkos aprašo yra atliekama kaštų mažinimo analizė. Pareiškėjo teikiama KMA apima vienerių metų laikotarpį ir yra įtraukiami tik vaistinių preparatų įsigijimo ir skyrimo kaštai. Tarnyba sutinka, atsižvelgiant, kad sveikatai sukuriama nauda yra panaši, </w:t>
      </w:r>
      <w:proofErr w:type="spellStart"/>
      <w:r w:rsidRPr="00421A32">
        <w:rPr>
          <w:rFonts w:eastAsia="Arial"/>
        </w:rPr>
        <w:t>t.y</w:t>
      </w:r>
      <w:proofErr w:type="spellEnd"/>
      <w:r w:rsidRPr="00421A32">
        <w:rPr>
          <w:rFonts w:eastAsia="Arial"/>
        </w:rPr>
        <w:t xml:space="preserve">. sveikatos būklių kaštai laikomi panašiais, saugumo profilis panašus. Pirmieji ir sekančiai skyrimo metai (dozavimas) nesiskiria. Kadangi skiriasi VP dozavimo dažnis, KMA apima skyrimo kaštus. KMA analizėje taikoma </w:t>
      </w:r>
      <w:proofErr w:type="spellStart"/>
      <w:r w:rsidRPr="00421A32">
        <w:rPr>
          <w:rFonts w:eastAsia="Arial"/>
        </w:rPr>
        <w:t>tislelizumabo</w:t>
      </w:r>
      <w:proofErr w:type="spellEnd"/>
      <w:r w:rsidRPr="00421A32">
        <w:rPr>
          <w:rFonts w:eastAsia="Arial"/>
        </w:rPr>
        <w:t xml:space="preserve"> teikiama kaina (</w:t>
      </w:r>
      <w:r w:rsidRPr="00421A32">
        <w:t>100 mg koncentratas infuziniam tirpalui 10 ml buteliukas, N1) -</w:t>
      </w:r>
      <w:r w:rsidR="00A548F0">
        <w:t xml:space="preserve"> ***</w:t>
      </w:r>
      <w:r w:rsidRPr="00421A32">
        <w:t xml:space="preserve"> Eur. ir konfidenciali </w:t>
      </w:r>
      <w:proofErr w:type="spellStart"/>
      <w:r w:rsidRPr="00421A32">
        <w:t>pembrolizumabo</w:t>
      </w:r>
      <w:proofErr w:type="spellEnd"/>
      <w:r w:rsidRPr="00421A32">
        <w:t xml:space="preserve"> (su PGS) bei bazinė </w:t>
      </w:r>
      <w:proofErr w:type="spellStart"/>
      <w:r w:rsidRPr="00421A32">
        <w:t>nivolumabo</w:t>
      </w:r>
      <w:proofErr w:type="spellEnd"/>
      <w:r w:rsidRPr="00421A32">
        <w:t xml:space="preserve"> kainyno kaina. VP dozavimas taikomas remiantis numatytu </w:t>
      </w:r>
      <w:proofErr w:type="spellStart"/>
      <w:r w:rsidRPr="00421A32">
        <w:t>SmPC</w:t>
      </w:r>
      <w:proofErr w:type="spellEnd"/>
      <w:r w:rsidRPr="00421A32">
        <w:t xml:space="preserve"> ir taikytu klinikinių tyrimų metu.</w:t>
      </w:r>
      <w:r w:rsidRPr="00421A32">
        <w:rPr>
          <w:rFonts w:eastAsia="Arial"/>
        </w:rPr>
        <w:t xml:space="preserve"> Tarnyba sutinka su Pareiškėjo taikomomis KMA prielaidomis, taikomi skyrimo kaštai (onkologijos dienos stacionaro paslaugos) pagal 2025 m. II </w:t>
      </w:r>
      <w:proofErr w:type="spellStart"/>
      <w:r w:rsidRPr="00421A32">
        <w:rPr>
          <w:rFonts w:eastAsia="Arial"/>
        </w:rPr>
        <w:t>pusm</w:t>
      </w:r>
      <w:proofErr w:type="spellEnd"/>
      <w:r w:rsidRPr="00421A32">
        <w:rPr>
          <w:rFonts w:eastAsia="Arial"/>
        </w:rPr>
        <w:t>. ASPPĮ.</w:t>
      </w:r>
    </w:p>
    <w:p w14:paraId="31312776" w14:textId="6266ACD4" w:rsidR="00970080" w:rsidRPr="00421A32" w:rsidRDefault="00970080" w:rsidP="00970080">
      <w:pPr>
        <w:spacing w:line="276" w:lineRule="auto"/>
        <w:ind w:firstLine="360"/>
        <w:jc w:val="both"/>
        <w:rPr>
          <w:rFonts w:eastAsia="Arial"/>
        </w:rPr>
      </w:pPr>
    </w:p>
    <w:p w14:paraId="25662C9D" w14:textId="77777777" w:rsidR="00970080" w:rsidRPr="00421A32" w:rsidRDefault="00970080" w:rsidP="00970080">
      <w:pPr>
        <w:tabs>
          <w:tab w:val="left" w:pos="426"/>
        </w:tabs>
        <w:jc w:val="center"/>
        <w:rPr>
          <w:b/>
          <w:lang w:eastAsia="lt-LT"/>
        </w:rPr>
      </w:pPr>
      <w:r w:rsidRPr="00421A32">
        <w:rPr>
          <w:b/>
          <w:lang w:eastAsia="lt-LT"/>
        </w:rPr>
        <w:t>Ekonominės analizės rezultatas (papildoma)</w:t>
      </w:r>
    </w:p>
    <w:p w14:paraId="5BCA51DC" w14:textId="77777777" w:rsidR="00970080" w:rsidRPr="00421A32" w:rsidRDefault="00970080" w:rsidP="00970080">
      <w:pPr>
        <w:tabs>
          <w:tab w:val="left" w:pos="426"/>
        </w:tabs>
        <w:rPr>
          <w:lang w:eastAsia="lt-LT"/>
        </w:rPr>
      </w:pP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1707"/>
        <w:gridCol w:w="2153"/>
        <w:gridCol w:w="3211"/>
      </w:tblGrid>
      <w:tr w:rsidR="00712B4B" w:rsidRPr="00855B02" w14:paraId="74619397" w14:textId="77777777" w:rsidTr="00A45847">
        <w:trPr>
          <w:trHeight w:val="254"/>
          <w:jc w:val="center"/>
        </w:trPr>
        <w:tc>
          <w:tcPr>
            <w:tcW w:w="2788" w:type="dxa"/>
            <w:noWrap/>
            <w:hideMark/>
          </w:tcPr>
          <w:p w14:paraId="613D37A7" w14:textId="77777777" w:rsidR="00712B4B" w:rsidRPr="0006427F" w:rsidRDefault="00712B4B" w:rsidP="00A45847">
            <w:pPr>
              <w:spacing w:line="276" w:lineRule="auto"/>
              <w:rPr>
                <w:lang w:eastAsia="lt-LT"/>
              </w:rPr>
            </w:pPr>
            <w:r w:rsidRPr="0006427F">
              <w:rPr>
                <w:lang w:eastAsia="lt-LT"/>
              </w:rPr>
              <w:t>Kaštų struktūra</w:t>
            </w:r>
          </w:p>
        </w:tc>
        <w:tc>
          <w:tcPr>
            <w:tcW w:w="1707" w:type="dxa"/>
            <w:noWrap/>
          </w:tcPr>
          <w:p w14:paraId="048CF297" w14:textId="77777777" w:rsidR="00712B4B" w:rsidRPr="0006427F" w:rsidRDefault="00712B4B" w:rsidP="00A45847">
            <w:pPr>
              <w:spacing w:line="276" w:lineRule="auto"/>
              <w:jc w:val="center"/>
              <w:rPr>
                <w:color w:val="000000" w:themeColor="text1"/>
                <w:lang w:eastAsia="lt-LT"/>
              </w:rPr>
            </w:pPr>
            <w:proofErr w:type="spellStart"/>
            <w:r>
              <w:rPr>
                <w:color w:val="000000" w:themeColor="text1"/>
                <w:lang w:eastAsia="lt-LT"/>
              </w:rPr>
              <w:t>Tislelizumabas</w:t>
            </w:r>
            <w:proofErr w:type="spellEnd"/>
            <w:r>
              <w:rPr>
                <w:color w:val="000000" w:themeColor="text1"/>
                <w:lang w:eastAsia="lt-LT"/>
              </w:rPr>
              <w:t xml:space="preserve"> (</w:t>
            </w:r>
            <w:proofErr w:type="spellStart"/>
            <w:r>
              <w:rPr>
                <w:color w:val="000000" w:themeColor="text1"/>
                <w:lang w:eastAsia="lt-LT"/>
              </w:rPr>
              <w:t>Tevimbra</w:t>
            </w:r>
            <w:proofErr w:type="spellEnd"/>
            <w:r>
              <w:rPr>
                <w:color w:val="000000" w:themeColor="text1"/>
                <w:lang w:eastAsia="lt-LT"/>
              </w:rPr>
              <w:t>)</w:t>
            </w:r>
          </w:p>
        </w:tc>
        <w:tc>
          <w:tcPr>
            <w:tcW w:w="2153" w:type="dxa"/>
            <w:noWrap/>
          </w:tcPr>
          <w:p w14:paraId="2E433411" w14:textId="77777777" w:rsidR="00712B4B" w:rsidRPr="0006427F" w:rsidRDefault="00712B4B" w:rsidP="00A45847">
            <w:pPr>
              <w:spacing w:line="276" w:lineRule="auto"/>
              <w:jc w:val="center"/>
              <w:rPr>
                <w:color w:val="000000" w:themeColor="text1"/>
                <w:lang w:eastAsia="lt-LT"/>
              </w:rPr>
            </w:pPr>
            <w:proofErr w:type="spellStart"/>
            <w:r>
              <w:rPr>
                <w:color w:val="000000" w:themeColor="text1"/>
                <w:lang w:eastAsia="lt-LT"/>
              </w:rPr>
              <w:t>Pembrolizumabas</w:t>
            </w:r>
            <w:proofErr w:type="spellEnd"/>
          </w:p>
        </w:tc>
        <w:tc>
          <w:tcPr>
            <w:tcW w:w="3211" w:type="dxa"/>
            <w:noWrap/>
            <w:hideMark/>
          </w:tcPr>
          <w:p w14:paraId="63314644" w14:textId="77777777" w:rsidR="00712B4B" w:rsidRPr="0006427F" w:rsidRDefault="00712B4B" w:rsidP="00A45847">
            <w:pPr>
              <w:spacing w:line="276" w:lineRule="auto"/>
              <w:jc w:val="center"/>
              <w:rPr>
                <w:lang w:eastAsia="lt-LT"/>
              </w:rPr>
            </w:pPr>
            <w:r w:rsidRPr="0006427F">
              <w:rPr>
                <w:lang w:eastAsia="lt-LT"/>
              </w:rPr>
              <w:t>Skirtumas, Eur.</w:t>
            </w:r>
          </w:p>
        </w:tc>
      </w:tr>
      <w:tr w:rsidR="00712B4B" w:rsidRPr="00855B02" w14:paraId="24231D74" w14:textId="77777777" w:rsidTr="00A45847">
        <w:trPr>
          <w:trHeight w:val="242"/>
          <w:jc w:val="center"/>
        </w:trPr>
        <w:tc>
          <w:tcPr>
            <w:tcW w:w="2788" w:type="dxa"/>
            <w:noWrap/>
            <w:hideMark/>
          </w:tcPr>
          <w:p w14:paraId="5E67EF7B" w14:textId="77777777" w:rsidR="00712B4B" w:rsidRPr="0006427F" w:rsidRDefault="00712B4B" w:rsidP="00A45847">
            <w:pPr>
              <w:spacing w:line="276" w:lineRule="auto"/>
              <w:rPr>
                <w:lang w:eastAsia="lt-LT"/>
              </w:rPr>
            </w:pPr>
            <w:r w:rsidRPr="0006427F">
              <w:rPr>
                <w:lang w:eastAsia="lt-LT"/>
              </w:rPr>
              <w:t xml:space="preserve">Vaistinių preparatų įsigijimo </w:t>
            </w:r>
          </w:p>
        </w:tc>
        <w:tc>
          <w:tcPr>
            <w:tcW w:w="1707" w:type="dxa"/>
            <w:noWrap/>
          </w:tcPr>
          <w:p w14:paraId="545B239D" w14:textId="152B599C" w:rsidR="00712B4B" w:rsidRPr="0006427F" w:rsidRDefault="00A548F0" w:rsidP="00A45847">
            <w:pPr>
              <w:rPr>
                <w:color w:val="000000"/>
              </w:rPr>
            </w:pPr>
            <w:r>
              <w:t>***</w:t>
            </w:r>
            <w:r w:rsidRPr="00421A32">
              <w:t xml:space="preserve"> </w:t>
            </w:r>
            <w:r w:rsidR="00712B4B" w:rsidRPr="008A089F">
              <w:rPr>
                <w:sz w:val="22"/>
                <w:szCs w:val="22"/>
              </w:rPr>
              <w:t>€</w:t>
            </w:r>
          </w:p>
        </w:tc>
        <w:tc>
          <w:tcPr>
            <w:tcW w:w="2153" w:type="dxa"/>
            <w:noWrap/>
          </w:tcPr>
          <w:p w14:paraId="47722762" w14:textId="77777777" w:rsidR="00712B4B" w:rsidRPr="002A236C" w:rsidRDefault="00712B4B" w:rsidP="00A45847">
            <w:pPr>
              <w:jc w:val="both"/>
              <w:outlineLvl w:val="0"/>
              <w:rPr>
                <w:sz w:val="22"/>
                <w:szCs w:val="22"/>
              </w:rPr>
            </w:pPr>
            <w:r>
              <w:rPr>
                <w:sz w:val="22"/>
                <w:szCs w:val="22"/>
                <w:lang w:val="en-US"/>
              </w:rPr>
              <w:t>***</w:t>
            </w:r>
            <w:r w:rsidRPr="002A236C">
              <w:rPr>
                <w:sz w:val="22"/>
                <w:szCs w:val="22"/>
              </w:rPr>
              <w:t xml:space="preserve"> €</w:t>
            </w:r>
          </w:p>
          <w:p w14:paraId="015DC348" w14:textId="77777777" w:rsidR="00712B4B" w:rsidRPr="002A236C" w:rsidRDefault="00712B4B" w:rsidP="00A45847">
            <w:pPr>
              <w:rPr>
                <w:lang w:eastAsia="lt-LT"/>
              </w:rPr>
            </w:pPr>
          </w:p>
        </w:tc>
        <w:tc>
          <w:tcPr>
            <w:tcW w:w="3211" w:type="dxa"/>
            <w:noWrap/>
          </w:tcPr>
          <w:p w14:paraId="05194B1F" w14:textId="77777777" w:rsidR="00712B4B" w:rsidRPr="002A236C" w:rsidRDefault="00712B4B" w:rsidP="00A45847">
            <w:pPr>
              <w:rPr>
                <w:sz w:val="22"/>
                <w:szCs w:val="22"/>
                <w:lang w:eastAsia="lt-LT"/>
              </w:rPr>
            </w:pPr>
            <w:r>
              <w:rPr>
                <w:sz w:val="22"/>
                <w:szCs w:val="22"/>
              </w:rPr>
              <w:t>***</w:t>
            </w:r>
            <w:r w:rsidRPr="002A236C">
              <w:rPr>
                <w:sz w:val="22"/>
                <w:szCs w:val="22"/>
              </w:rPr>
              <w:t xml:space="preserve"> €</w:t>
            </w:r>
          </w:p>
          <w:p w14:paraId="36638CF3" w14:textId="77777777" w:rsidR="00712B4B" w:rsidRPr="002A236C" w:rsidRDefault="00712B4B" w:rsidP="00A45847">
            <w:pPr>
              <w:outlineLvl w:val="0"/>
              <w:rPr>
                <w:lang w:eastAsia="lt-LT"/>
              </w:rPr>
            </w:pPr>
          </w:p>
        </w:tc>
      </w:tr>
      <w:tr w:rsidR="00712B4B" w:rsidRPr="00855B02" w14:paraId="7315C713" w14:textId="77777777" w:rsidTr="00A45847">
        <w:trPr>
          <w:trHeight w:val="242"/>
          <w:jc w:val="center"/>
        </w:trPr>
        <w:tc>
          <w:tcPr>
            <w:tcW w:w="2788" w:type="dxa"/>
            <w:noWrap/>
          </w:tcPr>
          <w:p w14:paraId="722DB731" w14:textId="77777777" w:rsidR="00712B4B" w:rsidRPr="0006427F" w:rsidRDefault="00712B4B" w:rsidP="00A45847">
            <w:pPr>
              <w:spacing w:line="276" w:lineRule="auto"/>
              <w:rPr>
                <w:lang w:eastAsia="lt-LT"/>
              </w:rPr>
            </w:pPr>
            <w:r w:rsidRPr="0006427F">
              <w:rPr>
                <w:lang w:eastAsia="lt-LT"/>
              </w:rPr>
              <w:t>Vaistinių preparatų skyrimo</w:t>
            </w:r>
          </w:p>
        </w:tc>
        <w:tc>
          <w:tcPr>
            <w:tcW w:w="1707" w:type="dxa"/>
            <w:noWrap/>
          </w:tcPr>
          <w:p w14:paraId="5ED9BAA6" w14:textId="3B198386" w:rsidR="00712B4B" w:rsidRPr="008A089F" w:rsidRDefault="00A548F0" w:rsidP="00A45847">
            <w:pPr>
              <w:outlineLvl w:val="0"/>
              <w:rPr>
                <w:color w:val="000000"/>
                <w:sz w:val="22"/>
                <w:szCs w:val="22"/>
              </w:rPr>
            </w:pPr>
            <w:r>
              <w:t>***</w:t>
            </w:r>
            <w:r w:rsidRPr="00421A32">
              <w:t xml:space="preserve"> </w:t>
            </w:r>
            <w:r w:rsidR="00712B4B" w:rsidRPr="008A089F">
              <w:rPr>
                <w:color w:val="000000"/>
                <w:sz w:val="22"/>
                <w:szCs w:val="22"/>
              </w:rPr>
              <w:t>€</w:t>
            </w:r>
          </w:p>
          <w:p w14:paraId="61DA6937" w14:textId="77777777" w:rsidR="00712B4B" w:rsidRPr="0006427F" w:rsidRDefault="00712B4B" w:rsidP="00A45847"/>
        </w:tc>
        <w:tc>
          <w:tcPr>
            <w:tcW w:w="2153" w:type="dxa"/>
            <w:noWrap/>
          </w:tcPr>
          <w:p w14:paraId="130346F0" w14:textId="7E49929B" w:rsidR="00712B4B" w:rsidRPr="002A236C" w:rsidRDefault="00A548F0" w:rsidP="00A45847">
            <w:pPr>
              <w:outlineLvl w:val="0"/>
              <w:rPr>
                <w:sz w:val="22"/>
                <w:szCs w:val="22"/>
              </w:rPr>
            </w:pPr>
            <w:r>
              <w:t>***</w:t>
            </w:r>
            <w:r w:rsidRPr="00421A32">
              <w:t xml:space="preserve"> </w:t>
            </w:r>
            <w:r w:rsidR="00712B4B" w:rsidRPr="002A236C">
              <w:rPr>
                <w:sz w:val="22"/>
                <w:szCs w:val="22"/>
              </w:rPr>
              <w:t>€</w:t>
            </w:r>
          </w:p>
          <w:p w14:paraId="7FC52480" w14:textId="77777777" w:rsidR="00712B4B" w:rsidRPr="002A236C" w:rsidRDefault="00712B4B" w:rsidP="00A45847">
            <w:pPr>
              <w:jc w:val="both"/>
              <w:outlineLvl w:val="0"/>
            </w:pPr>
          </w:p>
        </w:tc>
        <w:tc>
          <w:tcPr>
            <w:tcW w:w="3211" w:type="dxa"/>
            <w:noWrap/>
          </w:tcPr>
          <w:p w14:paraId="49162EFF" w14:textId="77777777" w:rsidR="00712B4B" w:rsidRPr="002A236C" w:rsidRDefault="00712B4B" w:rsidP="00A45847">
            <w:pPr>
              <w:rPr>
                <w:lang w:eastAsia="lt-LT"/>
              </w:rPr>
            </w:pPr>
            <w:r w:rsidRPr="002A236C">
              <w:rPr>
                <w:lang w:eastAsia="lt-LT"/>
              </w:rPr>
              <w:t>-</w:t>
            </w:r>
          </w:p>
        </w:tc>
      </w:tr>
      <w:tr w:rsidR="00712B4B" w:rsidRPr="00855B02" w14:paraId="10FD039D" w14:textId="77777777" w:rsidTr="00A45847">
        <w:trPr>
          <w:trHeight w:val="231"/>
          <w:jc w:val="center"/>
        </w:trPr>
        <w:tc>
          <w:tcPr>
            <w:tcW w:w="2788" w:type="dxa"/>
            <w:noWrap/>
            <w:hideMark/>
          </w:tcPr>
          <w:p w14:paraId="258306F6" w14:textId="77777777" w:rsidR="00712B4B" w:rsidRPr="0006427F" w:rsidRDefault="00712B4B" w:rsidP="00A45847">
            <w:pPr>
              <w:spacing w:line="276" w:lineRule="auto"/>
              <w:rPr>
                <w:b/>
                <w:bCs/>
                <w:highlight w:val="yellow"/>
                <w:lang w:eastAsia="lt-LT"/>
              </w:rPr>
            </w:pPr>
            <w:r w:rsidRPr="006A1BF0">
              <w:rPr>
                <w:b/>
                <w:bCs/>
                <w:lang w:eastAsia="lt-LT"/>
              </w:rPr>
              <w:t xml:space="preserve">Viso kaštai (Eur.) </w:t>
            </w:r>
          </w:p>
        </w:tc>
        <w:tc>
          <w:tcPr>
            <w:tcW w:w="1707" w:type="dxa"/>
            <w:noWrap/>
            <w:vAlign w:val="bottom"/>
          </w:tcPr>
          <w:p w14:paraId="2EAEC3F0" w14:textId="3C03637A" w:rsidR="00712B4B" w:rsidRPr="0006427F" w:rsidRDefault="00A548F0" w:rsidP="00A45847">
            <w:pPr>
              <w:rPr>
                <w:color w:val="000000"/>
              </w:rPr>
            </w:pPr>
            <w:r>
              <w:t>***</w:t>
            </w:r>
            <w:r w:rsidRPr="00421A32">
              <w:t xml:space="preserve"> </w:t>
            </w:r>
            <w:r w:rsidR="00712B4B">
              <w:rPr>
                <w:b/>
                <w:bCs/>
              </w:rPr>
              <w:t>Eur.</w:t>
            </w:r>
          </w:p>
        </w:tc>
        <w:tc>
          <w:tcPr>
            <w:tcW w:w="2153" w:type="dxa"/>
            <w:noWrap/>
          </w:tcPr>
          <w:p w14:paraId="019FAD5A" w14:textId="77777777" w:rsidR="00712B4B" w:rsidRPr="002A236C" w:rsidRDefault="00712B4B" w:rsidP="00A45847">
            <w:pPr>
              <w:rPr>
                <w:b/>
                <w:bCs/>
                <w:highlight w:val="yellow"/>
                <w:lang w:eastAsia="lt-LT"/>
              </w:rPr>
            </w:pPr>
            <w:r>
              <w:rPr>
                <w:b/>
              </w:rPr>
              <w:t>***</w:t>
            </w:r>
            <w:r w:rsidRPr="002A236C">
              <w:rPr>
                <w:b/>
              </w:rPr>
              <w:t xml:space="preserve"> Eur.</w:t>
            </w:r>
          </w:p>
        </w:tc>
        <w:tc>
          <w:tcPr>
            <w:tcW w:w="3211" w:type="dxa"/>
            <w:noWrap/>
          </w:tcPr>
          <w:p w14:paraId="65C9FD08" w14:textId="77777777" w:rsidR="00712B4B" w:rsidRPr="002A236C" w:rsidRDefault="00712B4B" w:rsidP="00A45847">
            <w:pPr>
              <w:rPr>
                <w:b/>
              </w:rPr>
            </w:pPr>
            <w:r>
              <w:rPr>
                <w:b/>
                <w:u w:val="single"/>
              </w:rPr>
              <w:t>*** Eur., (***</w:t>
            </w:r>
            <w:r w:rsidRPr="002A236C">
              <w:rPr>
                <w:b/>
                <w:u w:val="single"/>
              </w:rPr>
              <w:t xml:space="preserve"> proc.)</w:t>
            </w:r>
          </w:p>
        </w:tc>
      </w:tr>
    </w:tbl>
    <w:p w14:paraId="18013B60" w14:textId="77777777" w:rsidR="00970080" w:rsidRPr="00421A32" w:rsidRDefault="00970080" w:rsidP="00970080">
      <w:pPr>
        <w:spacing w:line="276" w:lineRule="auto"/>
        <w:ind w:firstLine="360"/>
        <w:jc w:val="both"/>
        <w:rPr>
          <w:rFonts w:eastAsia="Arial"/>
        </w:rPr>
      </w:pPr>
    </w:p>
    <w:p w14:paraId="25241F55" w14:textId="35C550B5" w:rsidR="00970080" w:rsidRPr="00421A32" w:rsidRDefault="00970080" w:rsidP="00970080">
      <w:pPr>
        <w:spacing w:line="276" w:lineRule="auto"/>
        <w:ind w:firstLine="360"/>
        <w:jc w:val="both"/>
        <w:rPr>
          <w:color w:val="000000"/>
          <w:lang w:eastAsia="lt-LT"/>
        </w:rPr>
      </w:pPr>
      <w:r w:rsidRPr="00421A32">
        <w:rPr>
          <w:rFonts w:eastAsia="Arial"/>
        </w:rPr>
        <w:t xml:space="preserve">Apibendrinant, kadangi Pareiškėjas teikia tą pačią </w:t>
      </w:r>
      <w:proofErr w:type="spellStart"/>
      <w:r w:rsidRPr="00421A32">
        <w:rPr>
          <w:rFonts w:eastAsia="Arial"/>
        </w:rPr>
        <w:t>tislelizumabo</w:t>
      </w:r>
      <w:proofErr w:type="spellEnd"/>
      <w:r w:rsidRPr="00421A32">
        <w:rPr>
          <w:rFonts w:eastAsia="Arial"/>
        </w:rPr>
        <w:t xml:space="preserve"> pakuotės kainą KNA ir KMA, (</w:t>
      </w:r>
      <w:proofErr w:type="spellStart"/>
      <w:r w:rsidRPr="00421A32">
        <w:rPr>
          <w:i/>
          <w:color w:val="000000"/>
        </w:rPr>
        <w:t>Tevimbra</w:t>
      </w:r>
      <w:proofErr w:type="spellEnd"/>
      <w:r w:rsidRPr="00421A32">
        <w:rPr>
          <w:i/>
          <w:color w:val="000000"/>
        </w:rPr>
        <w:t xml:space="preserve"> 100 mg koncentratas infuziniam tirpalui, 10 ml </w:t>
      </w:r>
      <w:proofErr w:type="spellStart"/>
      <w:r w:rsidRPr="00421A32">
        <w:rPr>
          <w:i/>
          <w:color w:val="000000"/>
        </w:rPr>
        <w:t>vial</w:t>
      </w:r>
      <w:proofErr w:type="spellEnd"/>
      <w:r w:rsidRPr="00421A32">
        <w:rPr>
          <w:i/>
          <w:color w:val="000000"/>
        </w:rPr>
        <w:t xml:space="preserve">, N1 – </w:t>
      </w:r>
      <w:r w:rsidR="00A548F0">
        <w:t>***</w:t>
      </w:r>
      <w:r w:rsidR="00A548F0" w:rsidRPr="00421A32">
        <w:t xml:space="preserve"> </w:t>
      </w:r>
      <w:r w:rsidRPr="00421A32">
        <w:rPr>
          <w:i/>
          <w:color w:val="000000"/>
        </w:rPr>
        <w:t>Eur.</w:t>
      </w:r>
      <w:r w:rsidRPr="00421A32">
        <w:rPr>
          <w:color w:val="000000"/>
        </w:rPr>
        <w:t xml:space="preserve">) bei </w:t>
      </w:r>
      <w:proofErr w:type="spellStart"/>
      <w:r w:rsidRPr="00421A32">
        <w:rPr>
          <w:color w:val="000000"/>
        </w:rPr>
        <w:t>pembrolizumabas</w:t>
      </w:r>
      <w:proofErr w:type="spellEnd"/>
      <w:r w:rsidRPr="00421A32">
        <w:rPr>
          <w:color w:val="000000"/>
        </w:rPr>
        <w:t xml:space="preserve"> (ir </w:t>
      </w:r>
      <w:proofErr w:type="spellStart"/>
      <w:r w:rsidRPr="00421A32">
        <w:rPr>
          <w:color w:val="000000"/>
        </w:rPr>
        <w:t>nivolumabas</w:t>
      </w:r>
      <w:proofErr w:type="spellEnd"/>
      <w:r w:rsidRPr="00421A32">
        <w:rPr>
          <w:color w:val="000000"/>
        </w:rPr>
        <w:t xml:space="preserve">) </w:t>
      </w:r>
      <w:r w:rsidRPr="00421A32">
        <w:rPr>
          <w:rFonts w:eastAsia="Arial"/>
        </w:rPr>
        <w:t xml:space="preserve">yra laikomas aktualiu palyginamuoju gydymu, yra laikoma, kad </w:t>
      </w:r>
      <w:proofErr w:type="spellStart"/>
      <w:r w:rsidRPr="00421A32">
        <w:rPr>
          <w:rFonts w:eastAsia="Arial"/>
        </w:rPr>
        <w:t>tislelizumabo</w:t>
      </w:r>
      <w:proofErr w:type="spellEnd"/>
      <w:r w:rsidRPr="00421A32">
        <w:rPr>
          <w:rFonts w:eastAsia="Arial"/>
        </w:rPr>
        <w:t xml:space="preserve"> kaštai turi atitikti sunkiai ligos naštai taikomą referencinę kaštų naudingumo vertę (pagal KNA) ir pagal KMA: Kompensuojamųjų vaistinių preparatų Tvarkos apraše numatytą </w:t>
      </w:r>
      <w:r w:rsidRPr="00421A32">
        <w:rPr>
          <w:color w:val="000000"/>
        </w:rPr>
        <w:t>54.1</w:t>
      </w:r>
      <w:r w:rsidRPr="00421A32">
        <w:rPr>
          <w:color w:val="000000"/>
          <w:vertAlign w:val="superscript"/>
        </w:rPr>
        <w:t>1</w:t>
      </w:r>
      <w:r w:rsidRPr="00421A32">
        <w:rPr>
          <w:rFonts w:eastAsia="Arial"/>
        </w:rPr>
        <w:t>punktą (</w:t>
      </w:r>
      <w:r w:rsidRPr="00421A32">
        <w:rPr>
          <w:i/>
          <w:color w:val="000000"/>
        </w:rPr>
        <w:t xml:space="preserve">siūlyti įrašyti </w:t>
      </w:r>
      <w:r w:rsidRPr="00421A32">
        <w:rPr>
          <w:i/>
          <w:color w:val="000000"/>
        </w:rPr>
        <w:lastRenderedPageBreak/>
        <w:t xml:space="preserve">vaistinį preparatą, dėl kurio pateikta Aprašo 29.1.2 papunktyje nurodyta išvada, į A sąrašą ar Centralizuotai apmokamų vaistinių preparatų ir medicinos pagalbos priemonių sąrašą, jei PSDF biudžeto išlaidos vaistiniams preparatams, lyginant su palyginamuoju gydymu, </w:t>
      </w:r>
      <w:r w:rsidRPr="00421A32">
        <w:rPr>
          <w:i/>
          <w:color w:val="000000"/>
          <w:u w:val="single"/>
        </w:rPr>
        <w:t xml:space="preserve">mažėja ne mažiau kaip </w:t>
      </w:r>
      <w:r w:rsidR="005E517B">
        <w:rPr>
          <w:i/>
          <w:color w:val="000000"/>
          <w:u w:val="single"/>
        </w:rPr>
        <w:t>***</w:t>
      </w:r>
      <w:r w:rsidRPr="00421A32">
        <w:rPr>
          <w:i/>
          <w:color w:val="000000"/>
          <w:u w:val="single"/>
        </w:rPr>
        <w:t xml:space="preserve"> proc. pirmaisiais kompensavimo metais ir šis mažėjimas išlaikomas per pirmuosius penkerius vaistinio preparato kompensavimo metus</w:t>
      </w:r>
      <w:r w:rsidRPr="00421A32">
        <w:rPr>
          <w:color w:val="000000"/>
        </w:rPr>
        <w:t xml:space="preserve">). Kadangi apskaičiuotais KMA rezultatais </w:t>
      </w:r>
      <w:proofErr w:type="spellStart"/>
      <w:r w:rsidRPr="00421A32">
        <w:rPr>
          <w:color w:val="000000"/>
        </w:rPr>
        <w:t>tislelizumabas</w:t>
      </w:r>
      <w:proofErr w:type="spellEnd"/>
      <w:r w:rsidRPr="00421A32">
        <w:rPr>
          <w:color w:val="000000"/>
        </w:rPr>
        <w:t xml:space="preserve"> yra </w:t>
      </w:r>
      <w:r w:rsidR="00712B4B">
        <w:rPr>
          <w:sz w:val="22"/>
          <w:szCs w:val="22"/>
        </w:rPr>
        <w:t xml:space="preserve">*** </w:t>
      </w:r>
      <w:r w:rsidRPr="00421A32">
        <w:rPr>
          <w:color w:val="000000"/>
        </w:rPr>
        <w:t xml:space="preserve">proc. brangesnė gydymo alternatyva nei </w:t>
      </w:r>
      <w:proofErr w:type="spellStart"/>
      <w:r w:rsidRPr="00421A32">
        <w:rPr>
          <w:color w:val="000000"/>
        </w:rPr>
        <w:t>pembrolizumabas</w:t>
      </w:r>
      <w:proofErr w:type="spellEnd"/>
      <w:r w:rsidRPr="00421A32">
        <w:rPr>
          <w:color w:val="000000"/>
        </w:rPr>
        <w:t xml:space="preserve"> ir siekiant, kad kaštai būtų mažinami ne mažiau </w:t>
      </w:r>
      <w:r w:rsidR="005E517B">
        <w:rPr>
          <w:color w:val="000000"/>
        </w:rPr>
        <w:t>***</w:t>
      </w:r>
      <w:r w:rsidRPr="00421A32">
        <w:rPr>
          <w:color w:val="000000"/>
        </w:rPr>
        <w:t xml:space="preserve"> proc., reikalinga apie </w:t>
      </w:r>
      <w:r w:rsidR="00712B4B">
        <w:rPr>
          <w:sz w:val="22"/>
          <w:szCs w:val="22"/>
        </w:rPr>
        <w:t>***</w:t>
      </w:r>
      <w:r w:rsidRPr="00421A32">
        <w:rPr>
          <w:color w:val="000000"/>
          <w:u w:val="single"/>
        </w:rPr>
        <w:t xml:space="preserve"> proc. kainos nuolaida</w:t>
      </w:r>
      <w:r w:rsidRPr="00421A32">
        <w:rPr>
          <w:color w:val="000000"/>
        </w:rPr>
        <w:t>, t.</w:t>
      </w:r>
      <w:r w:rsidR="009817FF">
        <w:rPr>
          <w:color w:val="000000"/>
        </w:rPr>
        <w:t xml:space="preserve"> </w:t>
      </w:r>
      <w:r w:rsidRPr="00421A32">
        <w:rPr>
          <w:color w:val="000000"/>
        </w:rPr>
        <w:t xml:space="preserve">y. </w:t>
      </w:r>
      <w:proofErr w:type="spellStart"/>
      <w:r w:rsidRPr="00421A32">
        <w:rPr>
          <w:color w:val="000000"/>
        </w:rPr>
        <w:t>tislelizumabo</w:t>
      </w:r>
      <w:proofErr w:type="spellEnd"/>
      <w:r w:rsidRPr="00421A32">
        <w:rPr>
          <w:color w:val="000000"/>
        </w:rPr>
        <w:t xml:space="preserve"> pakuotės (</w:t>
      </w:r>
      <w:proofErr w:type="spellStart"/>
      <w:r w:rsidRPr="00421A32">
        <w:rPr>
          <w:color w:val="000000"/>
        </w:rPr>
        <w:t>Tevimbra</w:t>
      </w:r>
      <w:proofErr w:type="spellEnd"/>
      <w:r w:rsidRPr="00421A32">
        <w:rPr>
          <w:color w:val="000000"/>
        </w:rPr>
        <w:t xml:space="preserve"> 100 mg koncentratas infuziniam tirpalui, 10 ml </w:t>
      </w:r>
      <w:proofErr w:type="spellStart"/>
      <w:r w:rsidRPr="00421A32">
        <w:rPr>
          <w:color w:val="000000"/>
        </w:rPr>
        <w:t>vial</w:t>
      </w:r>
      <w:proofErr w:type="spellEnd"/>
      <w:r w:rsidRPr="00421A32">
        <w:rPr>
          <w:color w:val="000000"/>
        </w:rPr>
        <w:t xml:space="preserve">, N1) kaina turi būti ne didesnė nei </w:t>
      </w:r>
      <w:r w:rsidR="00A548F0">
        <w:t>***</w:t>
      </w:r>
      <w:r w:rsidR="00A548F0" w:rsidRPr="00421A32">
        <w:t xml:space="preserve"> </w:t>
      </w:r>
      <w:r w:rsidRPr="00421A32">
        <w:rPr>
          <w:color w:val="000000"/>
        </w:rPr>
        <w:t>Eur.</w:t>
      </w:r>
    </w:p>
    <w:p w14:paraId="6C5DCA70" w14:textId="77777777" w:rsidR="0045089C" w:rsidRPr="00421A32" w:rsidRDefault="0045089C" w:rsidP="00A93AA6">
      <w:pPr>
        <w:tabs>
          <w:tab w:val="left" w:pos="426"/>
        </w:tabs>
        <w:rPr>
          <w:b/>
          <w:bCs/>
          <w:caps/>
        </w:rPr>
      </w:pPr>
    </w:p>
    <w:p w14:paraId="4FC424F9" w14:textId="4E767245" w:rsidR="00C62B36" w:rsidRPr="00421A32" w:rsidRDefault="00C62B36" w:rsidP="00CC09D4">
      <w:pPr>
        <w:pStyle w:val="Sraopastraipa"/>
        <w:numPr>
          <w:ilvl w:val="0"/>
          <w:numId w:val="12"/>
        </w:numPr>
        <w:tabs>
          <w:tab w:val="left" w:pos="567"/>
        </w:tabs>
        <w:ind w:hanging="720"/>
        <w:rPr>
          <w:b/>
          <w:bCs/>
          <w:caps/>
        </w:rPr>
      </w:pPr>
      <w:r w:rsidRPr="00421A32">
        <w:rPr>
          <w:b/>
          <w:bCs/>
          <w:caps/>
        </w:rPr>
        <w:t xml:space="preserve">Pacientų organizacijų pateikti duomenys </w:t>
      </w:r>
    </w:p>
    <w:p w14:paraId="79BCFF40" w14:textId="1992DF4A" w:rsidR="00937907" w:rsidRPr="00421A32" w:rsidRDefault="00000000"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Content>
          <w:r w:rsidR="00937907" w:rsidRPr="00421A32">
            <w:rPr>
              <w:rStyle w:val="Style2"/>
              <w:rFonts w:ascii="MS Gothic" w:eastAsia="MS Gothic" w:hAnsi="MS Gothic"/>
              <w:sz w:val="24"/>
            </w:rPr>
            <w:t>☐</w:t>
          </w:r>
        </w:sdtContent>
      </w:sdt>
      <w:r w:rsidR="00937907" w:rsidRPr="00421A32">
        <w:t xml:space="preserve"> Pacientų organizacijos pozicija pateikta. Žr. priedą.</w:t>
      </w:r>
    </w:p>
    <w:p w14:paraId="62992180" w14:textId="337C8B97" w:rsidR="00937907" w:rsidRPr="00421A32" w:rsidRDefault="00000000"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Content>
          <w:r w:rsidR="00BE3577" w:rsidRPr="00421A32">
            <w:rPr>
              <w:rStyle w:val="Style2"/>
              <w:rFonts w:ascii="MS Gothic" w:eastAsia="MS Gothic" w:hAnsi="MS Gothic"/>
              <w:sz w:val="24"/>
            </w:rPr>
            <w:t>☒</w:t>
          </w:r>
        </w:sdtContent>
      </w:sdt>
      <w:r w:rsidR="00937907" w:rsidRPr="00421A32">
        <w:t xml:space="preserve"> Pacientų organizacijos pozicija </w:t>
      </w:r>
      <w:r w:rsidR="00880A44" w:rsidRPr="00421A32">
        <w:t>ne</w:t>
      </w:r>
      <w:r w:rsidR="00937907" w:rsidRPr="00421A32">
        <w:t>pateikta.</w:t>
      </w:r>
    </w:p>
    <w:p w14:paraId="03E73D82" w14:textId="77777777" w:rsidR="00D417D2" w:rsidRPr="00421A32" w:rsidRDefault="00D417D2" w:rsidP="00937907">
      <w:pPr>
        <w:spacing w:after="120"/>
        <w:jc w:val="both"/>
      </w:pPr>
    </w:p>
    <w:p w14:paraId="3D3277FA" w14:textId="3CEEB2D2" w:rsidR="00C62B36" w:rsidRPr="00421A32" w:rsidRDefault="00C62B36" w:rsidP="00CC09D4">
      <w:pPr>
        <w:pStyle w:val="Sraopastraipa"/>
        <w:numPr>
          <w:ilvl w:val="0"/>
          <w:numId w:val="12"/>
        </w:numPr>
        <w:tabs>
          <w:tab w:val="left" w:pos="567"/>
        </w:tabs>
        <w:ind w:hanging="720"/>
        <w:rPr>
          <w:b/>
          <w:bCs/>
          <w:caps/>
        </w:rPr>
      </w:pPr>
      <w:r w:rsidRPr="00421A32">
        <w:rPr>
          <w:b/>
          <w:bCs/>
          <w:caps/>
        </w:rPr>
        <w:t>Gydytojų organizacijų pateikti duomenys</w:t>
      </w:r>
    </w:p>
    <w:p w14:paraId="389A346C" w14:textId="17184B64" w:rsidR="00937907" w:rsidRPr="00421A32" w:rsidRDefault="00000000"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Content>
          <w:r w:rsidR="00937907" w:rsidRPr="00421A32">
            <w:rPr>
              <w:rStyle w:val="Style2"/>
              <w:rFonts w:ascii="MS Gothic" w:eastAsia="MS Gothic" w:hAnsi="MS Gothic"/>
              <w:sz w:val="24"/>
            </w:rPr>
            <w:t>☐</w:t>
          </w:r>
        </w:sdtContent>
      </w:sdt>
      <w:r w:rsidR="00662983" w:rsidRPr="00421A32">
        <w:t xml:space="preserve"> </w:t>
      </w:r>
      <w:r w:rsidR="00937907" w:rsidRPr="00421A32">
        <w:t xml:space="preserve">Gydytojų specialistų organizacijos pozicija pateikta. </w:t>
      </w:r>
      <w:r w:rsidR="00662983" w:rsidRPr="00421A32">
        <w:t>Žr. priedą</w:t>
      </w:r>
      <w:r w:rsidR="00937907" w:rsidRPr="00421A32">
        <w:t>.</w:t>
      </w:r>
    </w:p>
    <w:p w14:paraId="5D8CC48C" w14:textId="61EA4D71" w:rsidR="00662983" w:rsidRPr="00421A32" w:rsidRDefault="00000000"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Content>
          <w:r w:rsidR="00BE3577" w:rsidRPr="00421A32">
            <w:rPr>
              <w:rStyle w:val="Style2"/>
              <w:rFonts w:ascii="MS Gothic" w:eastAsia="MS Gothic" w:hAnsi="MS Gothic"/>
              <w:sz w:val="24"/>
            </w:rPr>
            <w:t>☒</w:t>
          </w:r>
        </w:sdtContent>
      </w:sdt>
      <w:r w:rsidR="00662983" w:rsidRPr="00421A32">
        <w:t xml:space="preserve"> </w:t>
      </w:r>
      <w:r w:rsidR="00937907" w:rsidRPr="00421A32">
        <w:t xml:space="preserve">Gydytojų specialistų organizacijos pozicija </w:t>
      </w:r>
      <w:r w:rsidR="00880A44" w:rsidRPr="00421A32">
        <w:t>ne</w:t>
      </w:r>
      <w:r w:rsidR="00937907" w:rsidRPr="00421A32">
        <w:t>pateikta.</w:t>
      </w:r>
    </w:p>
    <w:p w14:paraId="3701D46A" w14:textId="77777777" w:rsidR="00A042B9" w:rsidRPr="00421A32" w:rsidRDefault="00A042B9" w:rsidP="00662983">
      <w:pPr>
        <w:spacing w:after="120"/>
        <w:jc w:val="both"/>
      </w:pPr>
    </w:p>
    <w:p w14:paraId="78F23ECB" w14:textId="23A3A002" w:rsidR="002F0E4F" w:rsidRPr="00421A32" w:rsidRDefault="002F0E4F" w:rsidP="00CC09D4">
      <w:pPr>
        <w:pStyle w:val="Sraopastraipa"/>
        <w:numPr>
          <w:ilvl w:val="0"/>
          <w:numId w:val="12"/>
        </w:numPr>
        <w:tabs>
          <w:tab w:val="left" w:pos="567"/>
        </w:tabs>
        <w:ind w:hanging="720"/>
        <w:rPr>
          <w:b/>
          <w:bCs/>
          <w:caps/>
        </w:rPr>
      </w:pPr>
      <w:r w:rsidRPr="00421A32">
        <w:rPr>
          <w:b/>
          <w:bCs/>
          <w:caps/>
        </w:rPr>
        <w:t xml:space="preserve">Išvada </w:t>
      </w:r>
    </w:p>
    <w:p w14:paraId="30069D85" w14:textId="77777777" w:rsidR="0061611B" w:rsidRPr="00421A32" w:rsidRDefault="0061611B" w:rsidP="0061611B">
      <w:pPr>
        <w:ind w:left="360"/>
        <w:rPr>
          <w:i/>
          <w:color w:val="000000" w:themeColor="text1"/>
          <w:szCs w:val="22"/>
        </w:rPr>
      </w:pPr>
    </w:p>
    <w:tbl>
      <w:tblPr>
        <w:tblStyle w:val="Lentelstinklelis"/>
        <w:tblW w:w="0" w:type="auto"/>
        <w:tblInd w:w="-5" w:type="dxa"/>
        <w:tblLook w:val="04A0" w:firstRow="1" w:lastRow="0" w:firstColumn="1" w:lastColumn="0" w:noHBand="0" w:noVBand="1"/>
      </w:tblPr>
      <w:tblGrid>
        <w:gridCol w:w="4820"/>
        <w:gridCol w:w="4814"/>
      </w:tblGrid>
      <w:tr w:rsidR="00BA6A88" w:rsidRPr="00421A32" w14:paraId="088B6AEF" w14:textId="77777777" w:rsidTr="00E5611D">
        <w:trPr>
          <w:trHeight w:val="510"/>
        </w:trPr>
        <w:tc>
          <w:tcPr>
            <w:tcW w:w="9629" w:type="dxa"/>
            <w:gridSpan w:val="2"/>
            <w:vAlign w:val="center"/>
          </w:tcPr>
          <w:p w14:paraId="780C3CF5" w14:textId="77777777" w:rsidR="00BA6A88" w:rsidRPr="00421A32" w:rsidRDefault="00BA6A88"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r w:rsidRPr="00421A32">
              <w:rPr>
                <w:rStyle w:val="Style2"/>
                <w:rFonts w:eastAsia="MS Gothic"/>
                <w:b/>
                <w:bCs/>
                <w:sz w:val="23"/>
                <w:szCs w:val="23"/>
              </w:rPr>
              <w:t>Palyginamasis veiksmingumas</w:t>
            </w:r>
          </w:p>
        </w:tc>
      </w:tr>
      <w:tr w:rsidR="00BA6A88" w:rsidRPr="00421A32" w14:paraId="1CBE9111" w14:textId="77777777" w:rsidTr="00E5611D">
        <w:tc>
          <w:tcPr>
            <w:tcW w:w="4815" w:type="dxa"/>
          </w:tcPr>
          <w:p w14:paraId="679203E6" w14:textId="674E6E5B" w:rsidR="00BA6A88" w:rsidRPr="00421A32" w:rsidRDefault="00000000"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397324644"/>
                <w15:color w:val="FFCC00"/>
                <w14:checkbox>
                  <w14:checked w14:val="1"/>
                  <w14:checkedState w14:val="2612" w14:font="MS Gothic"/>
                  <w14:uncheckedState w14:val="2610" w14:font="MS Gothic"/>
                </w14:checkbox>
              </w:sdtPr>
              <w:sdtContent>
                <w:r w:rsidR="00544426" w:rsidRPr="00421A32">
                  <w:rPr>
                    <w:rStyle w:val="Style2"/>
                    <w:rFonts w:ascii="MS Gothic" w:eastAsia="MS Gothic" w:hAnsi="MS Gothic"/>
                    <w:sz w:val="23"/>
                    <w:szCs w:val="23"/>
                  </w:rPr>
                  <w:t>☒</w:t>
                </w:r>
              </w:sdtContent>
            </w:sdt>
            <w:r w:rsidR="00BA6A88" w:rsidRPr="00421A32">
              <w:rPr>
                <w:rStyle w:val="Style2"/>
                <w:sz w:val="23"/>
                <w:szCs w:val="23"/>
              </w:rPr>
              <w:t xml:space="preserve"> 29</w:t>
            </w:r>
            <w:r w:rsidR="00BA6A88" w:rsidRPr="00421A32">
              <w:rPr>
                <w:sz w:val="23"/>
                <w:szCs w:val="23"/>
              </w:rPr>
              <w:t>.1.1 yra didesnis, lyginant su įprasta klinikine praktika</w:t>
            </w:r>
            <w:r w:rsidR="00544426" w:rsidRPr="00421A32">
              <w:rPr>
                <w:sz w:val="23"/>
                <w:szCs w:val="23"/>
              </w:rPr>
              <w:t xml:space="preserve"> (lyginant su chemoterapija)</w:t>
            </w:r>
          </w:p>
          <w:p w14:paraId="67AC8DC8" w14:textId="77777777" w:rsidR="00BA6A88" w:rsidRPr="00421A32" w:rsidRDefault="00BA6A88"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61C81BD4" w14:textId="0792A100" w:rsidR="00BA6A88" w:rsidRPr="00421A32" w:rsidRDefault="00000000"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418297090"/>
                <w15:color w:val="FFCC00"/>
                <w14:checkbox>
                  <w14:checked w14:val="1"/>
                  <w14:checkedState w14:val="2612" w14:font="MS Gothic"/>
                  <w14:uncheckedState w14:val="2610" w14:font="MS Gothic"/>
                </w14:checkbox>
              </w:sdtPr>
              <w:sdtContent>
                <w:r w:rsidR="009C6205">
                  <w:rPr>
                    <w:rStyle w:val="Style2"/>
                    <w:rFonts w:ascii="MS Gothic" w:eastAsia="MS Gothic" w:hAnsi="MS Gothic" w:hint="eastAsia"/>
                    <w:sz w:val="23"/>
                    <w:szCs w:val="23"/>
                  </w:rPr>
                  <w:t>☒</w:t>
                </w:r>
              </w:sdtContent>
            </w:sdt>
            <w:r w:rsidR="00BA6A88" w:rsidRPr="00421A32">
              <w:rPr>
                <w:sz w:val="23"/>
                <w:szCs w:val="23"/>
              </w:rPr>
              <w:t xml:space="preserve"> </w:t>
            </w:r>
            <w:r w:rsidR="00BA6A88" w:rsidRPr="00421A32">
              <w:rPr>
                <w:rStyle w:val="Style2"/>
                <w:sz w:val="23"/>
                <w:szCs w:val="23"/>
              </w:rPr>
              <w:t>29</w:t>
            </w:r>
            <w:r w:rsidR="00BA6A88" w:rsidRPr="00421A32">
              <w:rPr>
                <w:sz w:val="23"/>
                <w:szCs w:val="23"/>
              </w:rPr>
              <w:t>.1.2 iš esmės nesiskiria, lyginant su įprasta klinikine praktika</w:t>
            </w:r>
            <w:r w:rsidR="00544426" w:rsidRPr="00421A32">
              <w:rPr>
                <w:sz w:val="23"/>
                <w:szCs w:val="23"/>
              </w:rPr>
              <w:t xml:space="preserve"> (lyginant su </w:t>
            </w:r>
            <w:proofErr w:type="spellStart"/>
            <w:r w:rsidR="00544426" w:rsidRPr="00421A32">
              <w:rPr>
                <w:sz w:val="23"/>
                <w:szCs w:val="23"/>
              </w:rPr>
              <w:t>pembrolizumabu</w:t>
            </w:r>
            <w:proofErr w:type="spellEnd"/>
            <w:r w:rsidR="00544426" w:rsidRPr="00421A32">
              <w:rPr>
                <w:sz w:val="23"/>
                <w:szCs w:val="23"/>
              </w:rPr>
              <w:t xml:space="preserve"> ar </w:t>
            </w:r>
            <w:proofErr w:type="spellStart"/>
            <w:r w:rsidR="00544426" w:rsidRPr="00421A32">
              <w:rPr>
                <w:sz w:val="23"/>
                <w:szCs w:val="23"/>
              </w:rPr>
              <w:t>nivolumabu</w:t>
            </w:r>
            <w:proofErr w:type="spellEnd"/>
            <w:r w:rsidR="00544426" w:rsidRPr="00421A32">
              <w:rPr>
                <w:sz w:val="23"/>
                <w:szCs w:val="23"/>
              </w:rPr>
              <w:t>)</w:t>
            </w:r>
          </w:p>
        </w:tc>
        <w:tc>
          <w:tcPr>
            <w:tcW w:w="4814" w:type="dxa"/>
          </w:tcPr>
          <w:p w14:paraId="54E07C9D" w14:textId="77777777" w:rsidR="00BA6A88" w:rsidRPr="00421A32" w:rsidRDefault="00000000"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24755596"/>
                <w15:color w:val="FFCC00"/>
                <w14:checkbox>
                  <w14:checked w14:val="0"/>
                  <w14:checkedState w14:val="2612" w14:font="MS Gothic"/>
                  <w14:uncheckedState w14:val="2610" w14:font="MS Gothic"/>
                </w14:checkbox>
              </w:sdtPr>
              <w:sdtContent>
                <w:r w:rsidR="00BA6A88" w:rsidRPr="00421A32">
                  <w:rPr>
                    <w:rStyle w:val="Style2"/>
                    <w:rFonts w:ascii="Segoe UI Symbol" w:eastAsia="MS Gothic" w:hAnsi="Segoe UI Symbol" w:cs="Segoe UI Symbol"/>
                    <w:sz w:val="23"/>
                    <w:szCs w:val="23"/>
                  </w:rPr>
                  <w:t>☐</w:t>
                </w:r>
              </w:sdtContent>
            </w:sdt>
            <w:r w:rsidR="00BA6A88" w:rsidRPr="00421A32">
              <w:rPr>
                <w:sz w:val="23"/>
                <w:szCs w:val="23"/>
              </w:rPr>
              <w:t xml:space="preserve"> </w:t>
            </w:r>
            <w:r w:rsidR="00BA6A88" w:rsidRPr="00421A32">
              <w:rPr>
                <w:rStyle w:val="Style2"/>
                <w:sz w:val="23"/>
                <w:szCs w:val="23"/>
              </w:rPr>
              <w:t>29</w:t>
            </w:r>
            <w:r w:rsidR="00BA6A88" w:rsidRPr="00421A32">
              <w:rPr>
                <w:sz w:val="23"/>
                <w:szCs w:val="23"/>
              </w:rPr>
              <w:t xml:space="preserve">.1.3 yra neįrodytas kaip didesnis  ar iš esmės nesiskiriantis, lyginant su įprasta klinikine praktika  </w:t>
            </w:r>
          </w:p>
          <w:p w14:paraId="431982C1" w14:textId="77777777" w:rsidR="00BA6A88" w:rsidRPr="00421A32" w:rsidRDefault="00BA6A88"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44B9F949" w14:textId="77777777" w:rsidR="00BA6A88" w:rsidRPr="00421A32" w:rsidRDefault="00000000"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62168479"/>
                <w15:color w:val="FFCC00"/>
                <w14:checkbox>
                  <w14:checked w14:val="0"/>
                  <w14:checkedState w14:val="2612" w14:font="MS Gothic"/>
                  <w14:uncheckedState w14:val="2610" w14:font="MS Gothic"/>
                </w14:checkbox>
              </w:sdtPr>
              <w:sdtContent>
                <w:r w:rsidR="00BA6A88" w:rsidRPr="00421A32">
                  <w:rPr>
                    <w:rStyle w:val="Style2"/>
                    <w:rFonts w:ascii="Segoe UI Symbol" w:eastAsia="MS Gothic" w:hAnsi="Segoe UI Symbol" w:cs="Segoe UI Symbol"/>
                    <w:sz w:val="23"/>
                    <w:szCs w:val="23"/>
                  </w:rPr>
                  <w:t>☐</w:t>
                </w:r>
              </w:sdtContent>
            </w:sdt>
            <w:r w:rsidR="00BA6A88" w:rsidRPr="00421A32">
              <w:rPr>
                <w:sz w:val="23"/>
                <w:szCs w:val="23"/>
              </w:rPr>
              <w:t xml:space="preserve"> </w:t>
            </w:r>
            <w:r w:rsidR="00BA6A88" w:rsidRPr="00421A32">
              <w:rPr>
                <w:rStyle w:val="Style2"/>
                <w:sz w:val="23"/>
                <w:szCs w:val="23"/>
              </w:rPr>
              <w:t>29</w:t>
            </w:r>
            <w:r w:rsidR="00BA6A88" w:rsidRPr="00421A32">
              <w:rPr>
                <w:sz w:val="23"/>
                <w:szCs w:val="23"/>
              </w:rPr>
              <w:t>.1.4 yra mažesnis, lyginant su įprasta klinikine praktika</w:t>
            </w:r>
          </w:p>
          <w:p w14:paraId="2D9D30D3" w14:textId="77777777" w:rsidR="00BA6A88" w:rsidRPr="00421A32" w:rsidRDefault="00BA6A88"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0266D730" w14:textId="77777777" w:rsidR="00BA6A88" w:rsidRPr="00421A32" w:rsidRDefault="00000000"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57960180"/>
                <w15:color w:val="FFCC00"/>
                <w14:checkbox>
                  <w14:checked w14:val="0"/>
                  <w14:checkedState w14:val="2612" w14:font="MS Gothic"/>
                  <w14:uncheckedState w14:val="2610" w14:font="MS Gothic"/>
                </w14:checkbox>
              </w:sdtPr>
              <w:sdtContent>
                <w:r w:rsidR="00BA6A88" w:rsidRPr="00421A32">
                  <w:rPr>
                    <w:rStyle w:val="Style2"/>
                    <w:rFonts w:ascii="Segoe UI Symbol" w:eastAsia="MS Gothic" w:hAnsi="Segoe UI Symbol" w:cs="Segoe UI Symbol"/>
                    <w:sz w:val="23"/>
                    <w:szCs w:val="23"/>
                  </w:rPr>
                  <w:t>☐</w:t>
                </w:r>
              </w:sdtContent>
            </w:sdt>
            <w:r w:rsidR="00BA6A88" w:rsidRPr="00421A32">
              <w:rPr>
                <w:sz w:val="23"/>
                <w:szCs w:val="23"/>
              </w:rPr>
              <w:t xml:space="preserve">  </w:t>
            </w:r>
            <w:r w:rsidR="00BA6A88" w:rsidRPr="00421A32">
              <w:rPr>
                <w:rStyle w:val="Style2"/>
                <w:sz w:val="23"/>
                <w:szCs w:val="23"/>
              </w:rPr>
              <w:t>29</w:t>
            </w:r>
            <w:r w:rsidR="00BA6A88" w:rsidRPr="00421A32">
              <w:rPr>
                <w:sz w:val="23"/>
                <w:szCs w:val="23"/>
              </w:rPr>
              <w:t>.1.5 pateikti duomenys apie palyginamąjį veiksmingumą yra netinkami vertinti</w:t>
            </w:r>
          </w:p>
          <w:p w14:paraId="3E59F952" w14:textId="77777777" w:rsidR="00BA6A88" w:rsidRPr="00421A32" w:rsidRDefault="00BA6A88"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tr w:rsidR="00544426" w:rsidRPr="00421A32" w14:paraId="63D161A5" w14:textId="77777777" w:rsidTr="00C86BEC">
        <w:trPr>
          <w:trHeight w:val="510"/>
        </w:trPr>
        <w:tc>
          <w:tcPr>
            <w:tcW w:w="9634" w:type="dxa"/>
            <w:gridSpan w:val="2"/>
            <w:vAlign w:val="center"/>
          </w:tcPr>
          <w:p w14:paraId="3C74B1AF" w14:textId="77777777" w:rsidR="00544426" w:rsidRPr="00421A32" w:rsidRDefault="00544426" w:rsidP="00276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r w:rsidRPr="00421A32">
              <w:rPr>
                <w:rStyle w:val="Style2"/>
                <w:rFonts w:eastAsia="MS Gothic"/>
                <w:b/>
                <w:bCs/>
                <w:sz w:val="23"/>
                <w:szCs w:val="23"/>
              </w:rPr>
              <w:t>Kaštų naudingumas</w:t>
            </w:r>
          </w:p>
        </w:tc>
      </w:tr>
      <w:tr w:rsidR="00544426" w:rsidRPr="00421A32" w14:paraId="2A2DA566" w14:textId="77777777" w:rsidTr="00C86BEC">
        <w:tc>
          <w:tcPr>
            <w:tcW w:w="4820" w:type="dxa"/>
          </w:tcPr>
          <w:p w14:paraId="729BEB14" w14:textId="71918A6F" w:rsidR="00544426" w:rsidRPr="00421A32" w:rsidRDefault="00000000" w:rsidP="00276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694651508"/>
                <w15:color w:val="FFCC00"/>
                <w14:checkbox>
                  <w14:checked w14:val="1"/>
                  <w14:checkedState w14:val="2612" w14:font="MS Gothic"/>
                  <w14:uncheckedState w14:val="2610" w14:font="MS Gothic"/>
                </w14:checkbox>
              </w:sdtPr>
              <w:sdtContent>
                <w:r w:rsidR="00544426" w:rsidRPr="00421A32">
                  <w:rPr>
                    <w:rStyle w:val="Style2"/>
                    <w:rFonts w:ascii="MS Gothic" w:eastAsia="MS Gothic" w:hAnsi="MS Gothic"/>
                    <w:sz w:val="23"/>
                    <w:szCs w:val="23"/>
                  </w:rPr>
                  <w:t>☒</w:t>
                </w:r>
              </w:sdtContent>
            </w:sdt>
            <w:r w:rsidR="00544426" w:rsidRPr="00421A32">
              <w:rPr>
                <w:sz w:val="23"/>
                <w:szCs w:val="23"/>
              </w:rPr>
              <w:t xml:space="preserve"> 29.2.1 atitinka referencinę naudingumo vertę taikant arba netaikant</w:t>
            </w:r>
            <w:r w:rsidR="00544426" w:rsidRPr="00421A32">
              <w:rPr>
                <w:b/>
                <w:bCs/>
                <w:sz w:val="23"/>
                <w:szCs w:val="23"/>
              </w:rPr>
              <w:t xml:space="preserve"> </w:t>
            </w:r>
            <w:r w:rsidR="00544426" w:rsidRPr="00421A32">
              <w:rPr>
                <w:sz w:val="23"/>
                <w:szCs w:val="23"/>
              </w:rPr>
              <w:t>PGS</w:t>
            </w:r>
          </w:p>
          <w:p w14:paraId="62964CEF" w14:textId="77777777" w:rsidR="00544426" w:rsidRPr="00421A32" w:rsidRDefault="00544426" w:rsidP="00276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3B12519A" w14:textId="77777777" w:rsidR="00544426" w:rsidRPr="00421A32" w:rsidRDefault="00544426" w:rsidP="00276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c>
          <w:tcPr>
            <w:tcW w:w="4814" w:type="dxa"/>
          </w:tcPr>
          <w:p w14:paraId="48D1668C" w14:textId="77777777" w:rsidR="00544426" w:rsidRPr="00421A32" w:rsidRDefault="00000000" w:rsidP="00276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025603277"/>
                <w15:color w:val="FFCC00"/>
                <w14:checkbox>
                  <w14:checked w14:val="0"/>
                  <w14:checkedState w14:val="2612" w14:font="MS Gothic"/>
                  <w14:uncheckedState w14:val="2610" w14:font="MS Gothic"/>
                </w14:checkbox>
              </w:sdtPr>
              <w:sdtContent>
                <w:r w:rsidR="00544426" w:rsidRPr="00421A32">
                  <w:rPr>
                    <w:rStyle w:val="Style2"/>
                    <w:rFonts w:ascii="Segoe UI Symbol" w:eastAsia="MS Gothic" w:hAnsi="Segoe UI Symbol" w:cs="Segoe UI Symbol"/>
                    <w:sz w:val="23"/>
                    <w:szCs w:val="23"/>
                  </w:rPr>
                  <w:t>☐</w:t>
                </w:r>
              </w:sdtContent>
            </w:sdt>
            <w:r w:rsidR="00544426" w:rsidRPr="00421A32">
              <w:rPr>
                <w:sz w:val="23"/>
                <w:szCs w:val="23"/>
              </w:rPr>
              <w:t xml:space="preserve"> 29.2.3 neatitinka referencinės naudingumo vertės taikant arba netaikant PGS</w:t>
            </w:r>
          </w:p>
          <w:p w14:paraId="2457EE64" w14:textId="77777777" w:rsidR="00544426" w:rsidRPr="00421A32" w:rsidRDefault="00544426" w:rsidP="00276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C612A86" w14:textId="77777777" w:rsidR="00544426" w:rsidRPr="00421A32" w:rsidRDefault="00544426" w:rsidP="00276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16A9395D" w14:textId="77777777" w:rsidR="00544426" w:rsidRPr="00421A32" w:rsidRDefault="00000000" w:rsidP="00276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21758961"/>
                <w15:color w:val="FFCC00"/>
                <w14:checkbox>
                  <w14:checked w14:val="0"/>
                  <w14:checkedState w14:val="2612" w14:font="MS Gothic"/>
                  <w14:uncheckedState w14:val="2610" w14:font="MS Gothic"/>
                </w14:checkbox>
              </w:sdtPr>
              <w:sdtContent>
                <w:r w:rsidR="00544426" w:rsidRPr="00421A32">
                  <w:rPr>
                    <w:rStyle w:val="Style2"/>
                    <w:rFonts w:ascii="Segoe UI Symbol" w:eastAsia="MS Gothic" w:hAnsi="Segoe UI Symbol" w:cs="Segoe UI Symbol"/>
                    <w:sz w:val="23"/>
                    <w:szCs w:val="23"/>
                  </w:rPr>
                  <w:t>☐</w:t>
                </w:r>
              </w:sdtContent>
            </w:sdt>
            <w:r w:rsidR="00544426" w:rsidRPr="00421A32">
              <w:rPr>
                <w:sz w:val="23"/>
                <w:szCs w:val="23"/>
              </w:rPr>
              <w:t xml:space="preserve"> 29.2.5 pateikti duomenys apie kaštų naudingumą yra netinkami vertinti</w:t>
            </w:r>
          </w:p>
          <w:p w14:paraId="750A60BA" w14:textId="77777777" w:rsidR="00544426" w:rsidRPr="00421A32" w:rsidRDefault="00544426" w:rsidP="00276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tr w:rsidR="00544426" w:rsidRPr="00421A32" w14:paraId="0C4093B2" w14:textId="77777777" w:rsidTr="00C86BEC">
        <w:tc>
          <w:tcPr>
            <w:tcW w:w="9634" w:type="dxa"/>
            <w:gridSpan w:val="2"/>
          </w:tcPr>
          <w:p w14:paraId="342F0E33" w14:textId="77777777" w:rsidR="00544426" w:rsidRPr="00421A32" w:rsidRDefault="00000000" w:rsidP="00276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1266579562"/>
                <w15:color w:val="FFCC00"/>
                <w14:checkbox>
                  <w14:checked w14:val="0"/>
                  <w14:checkedState w14:val="2612" w14:font="MS Gothic"/>
                  <w14:uncheckedState w14:val="2610" w14:font="MS Gothic"/>
                </w14:checkbox>
              </w:sdtPr>
              <w:sdtContent>
                <w:r w:rsidR="00544426" w:rsidRPr="00421A32">
                  <w:rPr>
                    <w:rStyle w:val="Style2"/>
                    <w:rFonts w:ascii="Segoe UI Symbol" w:eastAsia="MS Gothic" w:hAnsi="Segoe UI Symbol" w:cs="Segoe UI Symbol"/>
                    <w:sz w:val="23"/>
                    <w:szCs w:val="23"/>
                  </w:rPr>
                  <w:t>☐</w:t>
                </w:r>
              </w:sdtContent>
            </w:sdt>
            <w:r w:rsidR="00544426" w:rsidRPr="00421A32">
              <w:rPr>
                <w:sz w:val="23"/>
                <w:szCs w:val="23"/>
              </w:rPr>
              <w:t xml:space="preserve"> Vykdant Aprašo &lt;17</w:t>
            </w:r>
            <w:r w:rsidR="00544426" w:rsidRPr="00421A32">
              <w:rPr>
                <w:sz w:val="23"/>
                <w:szCs w:val="23"/>
                <w:vertAlign w:val="superscript"/>
              </w:rPr>
              <w:t>3</w:t>
            </w:r>
            <w:r w:rsidR="00544426" w:rsidRPr="00421A32">
              <w:rPr>
                <w:sz w:val="23"/>
                <w:szCs w:val="23"/>
              </w:rPr>
              <w:t>.1&gt;&lt;17</w:t>
            </w:r>
            <w:r w:rsidR="00544426" w:rsidRPr="00421A32">
              <w:rPr>
                <w:sz w:val="23"/>
                <w:szCs w:val="23"/>
                <w:vertAlign w:val="superscript"/>
              </w:rPr>
              <w:t>3</w:t>
            </w:r>
            <w:r w:rsidR="00544426" w:rsidRPr="00421A32">
              <w:rPr>
                <w:sz w:val="23"/>
                <w:szCs w:val="23"/>
              </w:rPr>
              <w:t>.2&gt;&lt;17</w:t>
            </w:r>
            <w:r w:rsidR="00544426" w:rsidRPr="00421A32">
              <w:rPr>
                <w:sz w:val="23"/>
                <w:szCs w:val="23"/>
                <w:vertAlign w:val="superscript"/>
              </w:rPr>
              <w:t>3</w:t>
            </w:r>
            <w:r w:rsidR="00544426" w:rsidRPr="00421A32">
              <w:rPr>
                <w:sz w:val="23"/>
                <w:szCs w:val="23"/>
              </w:rPr>
              <w:t>.3&gt; punktą vaistinio (-ų) preparato (-ų) ekonominis vertinimas neatliekamas, išvados dėl kaštų naudingumo neteikiamos</w:t>
            </w:r>
          </w:p>
        </w:tc>
      </w:tr>
    </w:tbl>
    <w:p w14:paraId="1B85C083" w14:textId="77777777" w:rsidR="009E44AE" w:rsidRDefault="009E44AE" w:rsidP="00381024"/>
    <w:p w14:paraId="7D6B4556" w14:textId="77777777" w:rsidR="009817FF" w:rsidRDefault="009817FF" w:rsidP="00381024"/>
    <w:p w14:paraId="70089AAD" w14:textId="77777777" w:rsidR="009817FF" w:rsidRDefault="009817FF" w:rsidP="00381024"/>
    <w:p w14:paraId="762CE388" w14:textId="77777777" w:rsidR="009817FF" w:rsidRPr="00421A32" w:rsidRDefault="009817FF" w:rsidP="00381024"/>
    <w:p w14:paraId="3B2D1F25" w14:textId="3A80E19F" w:rsidR="000001B0" w:rsidRPr="00421A32" w:rsidRDefault="000001B0" w:rsidP="00CC09D4">
      <w:pPr>
        <w:pStyle w:val="Sraopastraipa"/>
        <w:numPr>
          <w:ilvl w:val="0"/>
          <w:numId w:val="12"/>
        </w:numPr>
        <w:ind w:left="567" w:hanging="567"/>
      </w:pPr>
      <w:r w:rsidRPr="00421A32">
        <w:rPr>
          <w:b/>
        </w:rPr>
        <w:t>REKOME</w:t>
      </w:r>
      <w:r w:rsidR="00D83182" w:rsidRPr="00421A32">
        <w:rPr>
          <w:b/>
        </w:rPr>
        <w:t>N</w:t>
      </w:r>
      <w:r w:rsidRPr="00421A32">
        <w:rPr>
          <w:b/>
        </w:rPr>
        <w:t>DACIJA</w:t>
      </w:r>
    </w:p>
    <w:p w14:paraId="6A0EF450" w14:textId="630F9FA0" w:rsidR="00B32866" w:rsidRPr="00421A32" w:rsidRDefault="00B32866" w:rsidP="00B32866">
      <w:pPr>
        <w:spacing w:line="276" w:lineRule="auto"/>
        <w:rPr>
          <w:highlight w:val="yellow"/>
        </w:rPr>
      </w:pPr>
    </w:p>
    <w:p w14:paraId="4C5BA5F2" w14:textId="77777777" w:rsidR="00544426" w:rsidRPr="00421A32" w:rsidRDefault="00544426" w:rsidP="00544426">
      <w:pPr>
        <w:jc w:val="both"/>
        <w:rPr>
          <w:lang w:eastAsia="lt-LT"/>
        </w:rPr>
      </w:pPr>
      <w:r w:rsidRPr="00421A32">
        <w:t xml:space="preserve">Vadovaujantis Aprašo </w:t>
      </w:r>
      <w:bookmarkStart w:id="0" w:name="part_2e1d9dd50ec54141ab7a1b19970b9847"/>
      <w:bookmarkEnd w:id="0"/>
      <w:r w:rsidRPr="00421A32">
        <w:rPr>
          <w:lang w:eastAsia="lt-LT"/>
        </w:rPr>
        <w:t>30</w:t>
      </w:r>
      <w:r w:rsidRPr="00421A32">
        <w:rPr>
          <w:vertAlign w:val="superscript"/>
          <w:lang w:eastAsia="lt-LT"/>
        </w:rPr>
        <w:t>1</w:t>
      </w:r>
      <w:r w:rsidRPr="00421A32">
        <w:rPr>
          <w:lang w:eastAsia="lt-LT"/>
        </w:rPr>
        <w:t>.1. papunkčiu rekomenduojama kompensuoti vaistinį preparatą pagal paraiškoje nurodytą indikaciją (arba jos dalį) su arba be skyrimo sąlygų, taikant ar netaikant PGS, kai vertinimo išvados atitinka Aprašo 29.1.1 ir 29.2.1 papunkčiuose numatytas sąlygas.</w:t>
      </w:r>
    </w:p>
    <w:p w14:paraId="06BC01EE" w14:textId="44333E0B" w:rsidR="000723FF" w:rsidRPr="00421A32" w:rsidRDefault="000723FF" w:rsidP="00381024"/>
    <w:p w14:paraId="18B4292E" w14:textId="74A6B04D" w:rsidR="000723FF" w:rsidRPr="00421A32" w:rsidRDefault="00CC09D4" w:rsidP="00CC09D4">
      <w:pPr>
        <w:tabs>
          <w:tab w:val="left" w:pos="567"/>
        </w:tabs>
        <w:ind w:left="567" w:hanging="567"/>
        <w:jc w:val="both"/>
        <w:rPr>
          <w:b/>
          <w:color w:val="000000"/>
          <w:lang w:eastAsia="lt-LT"/>
        </w:rPr>
      </w:pPr>
      <w:r w:rsidRPr="00421A32">
        <w:rPr>
          <w:b/>
          <w:color w:val="000000"/>
          <w:lang w:eastAsia="lt-LT"/>
        </w:rPr>
        <w:t>8.</w:t>
      </w:r>
      <w:r w:rsidRPr="00421A32">
        <w:rPr>
          <w:b/>
          <w:color w:val="000000"/>
          <w:lang w:eastAsia="lt-LT"/>
        </w:rPr>
        <w:tab/>
      </w:r>
      <w:r w:rsidR="000723FF" w:rsidRPr="00421A32">
        <w:rPr>
          <w:b/>
          <w:color w:val="000000"/>
          <w:lang w:eastAsia="lt-LT"/>
        </w:rPr>
        <w:t>SIŪLOMOS KOMPENSUOTI TERAPINĖS INDIKACIJOS IR SKYRIMO SĄLYGOS</w:t>
      </w:r>
    </w:p>
    <w:p w14:paraId="691340BB" w14:textId="77777777" w:rsidR="000723FF" w:rsidRPr="00421A32" w:rsidRDefault="000723FF" w:rsidP="000723FF">
      <w:pPr>
        <w:tabs>
          <w:tab w:val="left" w:pos="426"/>
        </w:tabs>
        <w:jc w:val="both"/>
        <w:rPr>
          <w:b/>
          <w:color w:val="000000"/>
          <w:lang w:eastAsia="lt-LT"/>
        </w:rPr>
      </w:pPr>
    </w:p>
    <w:p w14:paraId="529C92C4" w14:textId="152E5FB4" w:rsidR="000723FF" w:rsidRPr="00421A32" w:rsidRDefault="000723FF" w:rsidP="00824B92">
      <w:pPr>
        <w:rPr>
          <w:b/>
          <w:lang w:eastAsia="lt-LT"/>
        </w:rPr>
      </w:pPr>
      <w:r w:rsidRPr="00421A32">
        <w:rPr>
          <w:b/>
          <w:lang w:eastAsia="lt-LT"/>
        </w:rPr>
        <w:t>Terapinės indikacijos</w:t>
      </w:r>
    </w:p>
    <w:p w14:paraId="5BB746DD" w14:textId="6AE4477C" w:rsidR="000723FF" w:rsidRPr="00421A32" w:rsidRDefault="00000000" w:rsidP="00824B92">
      <w:sdt>
        <w:sdtPr>
          <w:rPr>
            <w:rStyle w:val="Style2"/>
          </w:rPr>
          <w:id w:val="1146316688"/>
          <w15:color w:val="FFCC00"/>
          <w14:checkbox>
            <w14:checked w14:val="1"/>
            <w14:checkedState w14:val="2612" w14:font="MS Gothic"/>
            <w14:uncheckedState w14:val="2610" w14:font="MS Gothic"/>
          </w14:checkbox>
        </w:sdtPr>
        <w:sdtContent>
          <w:r w:rsidR="00BE3577" w:rsidRPr="00421A32">
            <w:rPr>
              <w:rStyle w:val="Style2"/>
              <w:rFonts w:ascii="MS Gothic" w:eastAsia="MS Gothic" w:hAnsi="MS Gothic"/>
            </w:rPr>
            <w:t>☒</w:t>
          </w:r>
        </w:sdtContent>
      </w:sdt>
      <w:r w:rsidR="000723FF" w:rsidRPr="00421A32">
        <w:t xml:space="preserve"> Siūloma kompensuoti Pareiškėjo teikiamą indikaciją be pakeitimų.</w:t>
      </w:r>
    </w:p>
    <w:p w14:paraId="4588D99B" w14:textId="77777777" w:rsidR="00A97B51" w:rsidRPr="00421A32" w:rsidRDefault="00A97B51" w:rsidP="00A97B51">
      <w:pPr>
        <w:pStyle w:val="Sraopastraipa"/>
        <w:spacing w:line="276" w:lineRule="auto"/>
        <w:ind w:left="0"/>
        <w:contextualSpacing w:val="0"/>
        <w:jc w:val="both"/>
        <w:rPr>
          <w:rFonts w:eastAsia="Arial"/>
          <w:iCs/>
        </w:rPr>
      </w:pPr>
      <w:proofErr w:type="spellStart"/>
      <w:r w:rsidRPr="00421A32">
        <w:rPr>
          <w:rFonts w:eastAsia="Arial"/>
          <w:iCs/>
        </w:rPr>
        <w:t>Tevimbra</w:t>
      </w:r>
      <w:proofErr w:type="spellEnd"/>
      <w:r w:rsidRPr="00421A32">
        <w:rPr>
          <w:rFonts w:eastAsia="Arial"/>
          <w:iCs/>
        </w:rPr>
        <w:t xml:space="preserve">, kartu su chemoterapija platinos ir </w:t>
      </w:r>
      <w:proofErr w:type="spellStart"/>
      <w:r w:rsidRPr="00421A32">
        <w:rPr>
          <w:rFonts w:eastAsia="Arial"/>
          <w:iCs/>
        </w:rPr>
        <w:t>fluoropirimidino</w:t>
      </w:r>
      <w:proofErr w:type="spellEnd"/>
      <w:r w:rsidRPr="00421A32">
        <w:rPr>
          <w:rFonts w:eastAsia="Arial"/>
          <w:iCs/>
        </w:rPr>
        <w:t xml:space="preserve"> pagrindu, skirtas suaugusių pacientų, sergančių HER-2 neigiama vietiškai išplitusia, neoperuotina arba </w:t>
      </w:r>
      <w:proofErr w:type="spellStart"/>
      <w:r w:rsidRPr="00421A32">
        <w:rPr>
          <w:rFonts w:eastAsia="Arial"/>
          <w:iCs/>
        </w:rPr>
        <w:t>metastazavusia</w:t>
      </w:r>
      <w:proofErr w:type="spellEnd"/>
      <w:r w:rsidRPr="00421A32">
        <w:rPr>
          <w:rFonts w:eastAsia="Arial"/>
          <w:iCs/>
        </w:rPr>
        <w:t xml:space="preserve"> skrandžio arba </w:t>
      </w:r>
      <w:proofErr w:type="spellStart"/>
      <w:r w:rsidRPr="00421A32">
        <w:rPr>
          <w:rFonts w:eastAsia="Arial"/>
          <w:iCs/>
        </w:rPr>
        <w:t>gastroezofaginės</w:t>
      </w:r>
      <w:proofErr w:type="spellEnd"/>
      <w:r w:rsidRPr="00421A32">
        <w:rPr>
          <w:rFonts w:eastAsia="Arial"/>
          <w:iCs/>
        </w:rPr>
        <w:t xml:space="preserve"> jungties (S/GEJ) </w:t>
      </w:r>
      <w:proofErr w:type="spellStart"/>
      <w:r w:rsidRPr="00421A32">
        <w:rPr>
          <w:rFonts w:eastAsia="Arial"/>
          <w:iCs/>
        </w:rPr>
        <w:t>adenokarcinoma</w:t>
      </w:r>
      <w:proofErr w:type="spellEnd"/>
      <w:r w:rsidRPr="00421A32">
        <w:rPr>
          <w:rFonts w:eastAsia="Arial"/>
          <w:iCs/>
        </w:rPr>
        <w:t xml:space="preserve">, kurios navikai turi PD-L1 išraišką, kai naviko srities teigiamumo (angl. </w:t>
      </w:r>
      <w:proofErr w:type="spellStart"/>
      <w:r w:rsidRPr="00421A32">
        <w:rPr>
          <w:rFonts w:eastAsia="Arial"/>
          <w:i/>
        </w:rPr>
        <w:t>tumour</w:t>
      </w:r>
      <w:proofErr w:type="spellEnd"/>
      <w:r w:rsidRPr="00421A32">
        <w:rPr>
          <w:rFonts w:eastAsia="Arial"/>
          <w:i/>
        </w:rPr>
        <w:t xml:space="preserve"> </w:t>
      </w:r>
      <w:proofErr w:type="spellStart"/>
      <w:r w:rsidRPr="00421A32">
        <w:rPr>
          <w:rFonts w:eastAsia="Arial"/>
          <w:i/>
        </w:rPr>
        <w:t>area</w:t>
      </w:r>
      <w:proofErr w:type="spellEnd"/>
      <w:r w:rsidRPr="00421A32">
        <w:rPr>
          <w:rFonts w:eastAsia="Arial"/>
          <w:i/>
        </w:rPr>
        <w:t xml:space="preserve"> </w:t>
      </w:r>
      <w:proofErr w:type="spellStart"/>
      <w:r w:rsidRPr="00421A32">
        <w:rPr>
          <w:rFonts w:eastAsia="Arial"/>
          <w:i/>
        </w:rPr>
        <w:t>positivity</w:t>
      </w:r>
      <w:proofErr w:type="spellEnd"/>
      <w:r w:rsidRPr="00421A32">
        <w:rPr>
          <w:rFonts w:eastAsia="Arial"/>
          <w:iCs/>
        </w:rPr>
        <w:t>, TAP) įvertis yra ≥5 %, pirmos eilės gydymui.</w:t>
      </w:r>
    </w:p>
    <w:p w14:paraId="7DD65F7E" w14:textId="77777777" w:rsidR="000723FF" w:rsidRPr="00421A32" w:rsidRDefault="000723FF" w:rsidP="00824B92"/>
    <w:p w14:paraId="241A6E6B" w14:textId="77777777" w:rsidR="000723FF" w:rsidRPr="00421A32" w:rsidRDefault="000723FF" w:rsidP="00824B92">
      <w:pPr>
        <w:rPr>
          <w:b/>
        </w:rPr>
      </w:pPr>
      <w:r w:rsidRPr="00421A32">
        <w:rPr>
          <w:b/>
        </w:rPr>
        <w:t>Skyrimo sąlygos</w:t>
      </w:r>
    </w:p>
    <w:p w14:paraId="77F80378" w14:textId="75A1DABF" w:rsidR="00BE3577" w:rsidRPr="00421A32" w:rsidRDefault="00A97B51" w:rsidP="00A97B51">
      <w:pPr>
        <w:pStyle w:val="Betarp"/>
        <w:spacing w:line="276" w:lineRule="auto"/>
        <w:jc w:val="both"/>
        <w:rPr>
          <w:rFonts w:ascii="Times New Roman" w:hAnsi="Times New Roman"/>
          <w:sz w:val="24"/>
          <w:szCs w:val="24"/>
        </w:rPr>
      </w:pPr>
      <w:r w:rsidRPr="00421A32">
        <w:rPr>
          <w:rFonts w:ascii="Times New Roman" w:hAnsi="Times New Roman"/>
          <w:sz w:val="24"/>
          <w:szCs w:val="24"/>
        </w:rPr>
        <w:t xml:space="preserve">Skiriamas derinyje su sudėtine chemoterapija </w:t>
      </w:r>
      <w:proofErr w:type="spellStart"/>
      <w:r w:rsidRPr="00421A32">
        <w:rPr>
          <w:rFonts w:ascii="Times New Roman" w:hAnsi="Times New Roman"/>
          <w:sz w:val="24"/>
          <w:szCs w:val="24"/>
        </w:rPr>
        <w:t>fluoropirimidinų</w:t>
      </w:r>
      <w:proofErr w:type="spellEnd"/>
      <w:r w:rsidRPr="00421A32">
        <w:rPr>
          <w:rFonts w:ascii="Times New Roman" w:hAnsi="Times New Roman"/>
          <w:sz w:val="24"/>
          <w:szCs w:val="24"/>
        </w:rPr>
        <w:t xml:space="preserve"> ir platinos vaistinių preparatų pagrindu, vietiškai išplitusios, neoperuotinos ar </w:t>
      </w:r>
      <w:proofErr w:type="spellStart"/>
      <w:r w:rsidRPr="00421A32">
        <w:rPr>
          <w:rFonts w:ascii="Times New Roman" w:hAnsi="Times New Roman"/>
          <w:sz w:val="24"/>
          <w:szCs w:val="24"/>
        </w:rPr>
        <w:t>metastazavusios</w:t>
      </w:r>
      <w:proofErr w:type="spellEnd"/>
      <w:r w:rsidRPr="00421A32">
        <w:rPr>
          <w:rFonts w:ascii="Times New Roman" w:hAnsi="Times New Roman"/>
          <w:sz w:val="24"/>
          <w:szCs w:val="24"/>
        </w:rPr>
        <w:t xml:space="preserve"> skrandžio, skrandžio ir stemplės jungties HER-2 neigiamos </w:t>
      </w:r>
      <w:proofErr w:type="spellStart"/>
      <w:r w:rsidRPr="00421A32">
        <w:rPr>
          <w:rFonts w:ascii="Times New Roman" w:hAnsi="Times New Roman"/>
          <w:sz w:val="24"/>
          <w:szCs w:val="24"/>
        </w:rPr>
        <w:t>adenokarcinomos</w:t>
      </w:r>
      <w:proofErr w:type="spellEnd"/>
      <w:r w:rsidRPr="00421A32">
        <w:rPr>
          <w:rFonts w:ascii="Times New Roman" w:hAnsi="Times New Roman"/>
          <w:sz w:val="24"/>
          <w:szCs w:val="24"/>
        </w:rPr>
        <w:t xml:space="preserve"> pirmaeiliam gydymui geros funkcinės būklės (ECOG 0 ar 1) suaugusiesiems, kurių navikai </w:t>
      </w:r>
      <w:proofErr w:type="spellStart"/>
      <w:r w:rsidRPr="00421A32">
        <w:rPr>
          <w:rFonts w:ascii="Times New Roman" w:hAnsi="Times New Roman"/>
          <w:sz w:val="24"/>
          <w:szCs w:val="24"/>
        </w:rPr>
        <w:t>ekspresuoja</w:t>
      </w:r>
      <w:proofErr w:type="spellEnd"/>
      <w:r w:rsidRPr="00421A32">
        <w:rPr>
          <w:rFonts w:ascii="Times New Roman" w:hAnsi="Times New Roman"/>
          <w:sz w:val="24"/>
          <w:szCs w:val="24"/>
        </w:rPr>
        <w:t xml:space="preserve"> PD-L1 ir TAP rodmuo yra ≥ 5</w:t>
      </w:r>
      <w:r w:rsidR="00703443">
        <w:rPr>
          <w:rFonts w:ascii="Times New Roman" w:hAnsi="Times New Roman"/>
          <w:sz w:val="24"/>
          <w:szCs w:val="24"/>
        </w:rPr>
        <w:t xml:space="preserve"> </w:t>
      </w:r>
      <w:r w:rsidR="00703443">
        <w:rPr>
          <w:rFonts w:ascii="Times New Roman" w:hAnsi="Times New Roman"/>
          <w:sz w:val="24"/>
          <w:szCs w:val="24"/>
          <w:lang w:val="en-US"/>
        </w:rPr>
        <w:t>%</w:t>
      </w:r>
      <w:r w:rsidRPr="00421A32">
        <w:rPr>
          <w:rFonts w:ascii="Times New Roman" w:hAnsi="Times New Roman"/>
          <w:sz w:val="24"/>
          <w:szCs w:val="24"/>
        </w:rPr>
        <w:t>. Gydymas tęsiamas iki nepriimtino toksinio poveikio atsiradimo, ligos progresavimo arba planuoto gydymo užbaigimo.</w:t>
      </w:r>
    </w:p>
    <w:p w14:paraId="76E382AF" w14:textId="65054327" w:rsidR="00B32866" w:rsidRPr="00421A32" w:rsidRDefault="00B32866" w:rsidP="00A97B51">
      <w:pPr>
        <w:pStyle w:val="Betarp"/>
        <w:spacing w:line="276" w:lineRule="auto"/>
        <w:jc w:val="both"/>
        <w:rPr>
          <w:rFonts w:ascii="Times New Roman" w:hAnsi="Times New Roman"/>
          <w:sz w:val="24"/>
          <w:szCs w:val="24"/>
        </w:rPr>
      </w:pPr>
    </w:p>
    <w:p w14:paraId="439077D5" w14:textId="77777777" w:rsidR="00B32866" w:rsidRPr="00421A32" w:rsidRDefault="00B32866" w:rsidP="00B32866">
      <w:pPr>
        <w:spacing w:line="276" w:lineRule="auto"/>
        <w:jc w:val="both"/>
        <w:rPr>
          <w:b/>
          <w:i/>
          <w:color w:val="000000"/>
          <w:lang w:eastAsia="lt-LT"/>
        </w:rPr>
      </w:pPr>
      <w:r w:rsidRPr="00421A32">
        <w:rPr>
          <w:b/>
          <w:i/>
          <w:color w:val="000000"/>
          <w:lang w:eastAsia="lt-LT"/>
        </w:rPr>
        <w:t>Pastaba</w:t>
      </w:r>
    </w:p>
    <w:p w14:paraId="185207DD" w14:textId="7F38E1B7" w:rsidR="00B32866" w:rsidRPr="00421A32" w:rsidRDefault="00B32866" w:rsidP="00B32866">
      <w:pPr>
        <w:spacing w:line="276" w:lineRule="auto"/>
        <w:jc w:val="both"/>
      </w:pPr>
      <w:r w:rsidRPr="00421A32">
        <w:rPr>
          <w:color w:val="000000"/>
          <w:lang w:eastAsia="lt-LT"/>
        </w:rPr>
        <w:t xml:space="preserve">Vadovaujantis </w:t>
      </w:r>
      <w:r w:rsidR="00021562" w:rsidRPr="00421A32">
        <w:t>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w:t>
      </w:r>
      <w:r w:rsidRPr="00421A32">
        <w:rPr>
          <w:color w:val="000000"/>
          <w:lang w:eastAsia="lt-LT"/>
        </w:rPr>
        <w:t xml:space="preserve"> 35 punktu, atsižvelgiant į papildomos analizės (KMA) rezultatus, Tarnyba rekomenduoja kompensuoti </w:t>
      </w:r>
      <w:proofErr w:type="spellStart"/>
      <w:r w:rsidRPr="00421A32">
        <w:rPr>
          <w:color w:val="000000"/>
          <w:lang w:eastAsia="lt-LT"/>
        </w:rPr>
        <w:t>tislelizumabą</w:t>
      </w:r>
      <w:proofErr w:type="spellEnd"/>
      <w:r w:rsidRPr="00421A32">
        <w:rPr>
          <w:color w:val="000000"/>
          <w:lang w:eastAsia="lt-LT"/>
        </w:rPr>
        <w:t xml:space="preserve"> su sąlyga, kad bus pasiekiami Tvarkos aprašo </w:t>
      </w:r>
      <w:r w:rsidRPr="00421A32">
        <w:rPr>
          <w:color w:val="000000"/>
        </w:rPr>
        <w:t>54.1</w:t>
      </w:r>
      <w:r w:rsidRPr="00421A32">
        <w:rPr>
          <w:color w:val="000000"/>
          <w:vertAlign w:val="superscript"/>
        </w:rPr>
        <w:t>1</w:t>
      </w:r>
      <w:r w:rsidRPr="00421A32">
        <w:rPr>
          <w:rFonts w:eastAsia="Arial"/>
        </w:rPr>
        <w:t>punkte numatyti reikalavimai: t.</w:t>
      </w:r>
      <w:r w:rsidR="009817FF">
        <w:rPr>
          <w:rFonts w:eastAsia="Arial"/>
        </w:rPr>
        <w:t xml:space="preserve"> </w:t>
      </w:r>
      <w:r w:rsidRPr="00421A32">
        <w:rPr>
          <w:rFonts w:eastAsia="Arial"/>
        </w:rPr>
        <w:t xml:space="preserve">y., </w:t>
      </w:r>
      <w:r w:rsidRPr="00421A32">
        <w:rPr>
          <w:color w:val="000000"/>
        </w:rPr>
        <w:t xml:space="preserve">lyginant su </w:t>
      </w:r>
      <w:proofErr w:type="spellStart"/>
      <w:r w:rsidRPr="00421A32">
        <w:rPr>
          <w:color w:val="000000"/>
        </w:rPr>
        <w:t>pembrolizumabu</w:t>
      </w:r>
      <w:proofErr w:type="spellEnd"/>
      <w:r w:rsidRPr="00421A32">
        <w:rPr>
          <w:color w:val="000000"/>
        </w:rPr>
        <w:t xml:space="preserve">, </w:t>
      </w:r>
      <w:proofErr w:type="spellStart"/>
      <w:r w:rsidRPr="00421A32">
        <w:rPr>
          <w:rFonts w:eastAsia="Arial"/>
        </w:rPr>
        <w:t>tislelizumabo</w:t>
      </w:r>
      <w:proofErr w:type="spellEnd"/>
      <w:r w:rsidRPr="00421A32">
        <w:rPr>
          <w:rFonts w:eastAsia="Arial"/>
        </w:rPr>
        <w:t xml:space="preserve"> kaštai </w:t>
      </w:r>
      <w:r w:rsidRPr="00421A32">
        <w:rPr>
          <w:color w:val="000000"/>
          <w:u w:val="single"/>
        </w:rPr>
        <w:t xml:space="preserve">mažės ne mažiau kaip </w:t>
      </w:r>
      <w:r w:rsidR="00F809FC">
        <w:rPr>
          <w:color w:val="000000"/>
          <w:u w:val="single"/>
        </w:rPr>
        <w:t>***</w:t>
      </w:r>
      <w:r w:rsidRPr="00421A32">
        <w:rPr>
          <w:color w:val="000000"/>
          <w:u w:val="single"/>
        </w:rPr>
        <w:t xml:space="preserve"> proc. pirmaisiais kompensavimo metais ir šis mažėjimas bus išlaikomas per pirmuosius penkerius vaistinio preparato kompensavimo metus</w:t>
      </w:r>
      <w:r w:rsidRPr="00421A32">
        <w:rPr>
          <w:color w:val="000000"/>
        </w:rPr>
        <w:t>.</w:t>
      </w:r>
    </w:p>
    <w:p w14:paraId="15EE17B2" w14:textId="77777777" w:rsidR="00B32866" w:rsidRPr="00421A32" w:rsidRDefault="00B32866" w:rsidP="00A97B51">
      <w:pPr>
        <w:pStyle w:val="Betarp"/>
        <w:spacing w:line="276" w:lineRule="auto"/>
        <w:jc w:val="both"/>
        <w:rPr>
          <w:rFonts w:ascii="Times New Roman" w:hAnsi="Times New Roman"/>
          <w:sz w:val="24"/>
          <w:szCs w:val="24"/>
        </w:rPr>
      </w:pPr>
    </w:p>
    <w:sectPr w:rsidR="00B32866" w:rsidRPr="00421A32"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71EDA" w14:textId="77777777" w:rsidR="00B643F0" w:rsidRDefault="00B643F0">
      <w:r>
        <w:separator/>
      </w:r>
    </w:p>
  </w:endnote>
  <w:endnote w:type="continuationSeparator" w:id="0">
    <w:p w14:paraId="6021878F" w14:textId="77777777" w:rsidR="00B643F0" w:rsidRDefault="00B6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EACA4" w14:textId="77777777" w:rsidR="00B643F0" w:rsidRDefault="00B643F0">
      <w:r>
        <w:separator/>
      </w:r>
    </w:p>
  </w:footnote>
  <w:footnote w:type="continuationSeparator" w:id="0">
    <w:p w14:paraId="4DBCB97B" w14:textId="77777777" w:rsidR="00B643F0" w:rsidRDefault="00B64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D5F9" w14:textId="36C70820"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12B4B">
      <w:rPr>
        <w:rStyle w:val="Puslapionumeris"/>
        <w:noProof/>
      </w:rPr>
      <w:t>9</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6"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91999894">
    <w:abstractNumId w:val="6"/>
  </w:num>
  <w:num w:numId="2" w16cid:durableId="979845012">
    <w:abstractNumId w:val="1"/>
  </w:num>
  <w:num w:numId="3" w16cid:durableId="1462452804">
    <w:abstractNumId w:val="8"/>
  </w:num>
  <w:num w:numId="4" w16cid:durableId="724527415">
    <w:abstractNumId w:val="7"/>
  </w:num>
  <w:num w:numId="5" w16cid:durableId="813065574">
    <w:abstractNumId w:val="5"/>
  </w:num>
  <w:num w:numId="6" w16cid:durableId="1736005386">
    <w:abstractNumId w:val="4"/>
  </w:num>
  <w:num w:numId="7" w16cid:durableId="977874934">
    <w:abstractNumId w:val="3"/>
  </w:num>
  <w:num w:numId="8" w16cid:durableId="2034844046">
    <w:abstractNumId w:val="11"/>
  </w:num>
  <w:num w:numId="9" w16cid:durableId="467170356">
    <w:abstractNumId w:val="0"/>
  </w:num>
  <w:num w:numId="10" w16cid:durableId="180290417">
    <w:abstractNumId w:val="9"/>
  </w:num>
  <w:num w:numId="11" w16cid:durableId="607469254">
    <w:abstractNumId w:val="10"/>
  </w:num>
  <w:num w:numId="12" w16cid:durableId="1801337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01A8"/>
    <w:rsid w:val="000114DD"/>
    <w:rsid w:val="000136F7"/>
    <w:rsid w:val="00021562"/>
    <w:rsid w:val="00023BE5"/>
    <w:rsid w:val="0002686C"/>
    <w:rsid w:val="00027421"/>
    <w:rsid w:val="00031D0E"/>
    <w:rsid w:val="000337E6"/>
    <w:rsid w:val="0003402E"/>
    <w:rsid w:val="00034EAE"/>
    <w:rsid w:val="000369A7"/>
    <w:rsid w:val="00042924"/>
    <w:rsid w:val="000503A3"/>
    <w:rsid w:val="00050B5E"/>
    <w:rsid w:val="00053975"/>
    <w:rsid w:val="0005490A"/>
    <w:rsid w:val="00057A2B"/>
    <w:rsid w:val="000606BE"/>
    <w:rsid w:val="00065A7F"/>
    <w:rsid w:val="000723FF"/>
    <w:rsid w:val="000736B8"/>
    <w:rsid w:val="0008190F"/>
    <w:rsid w:val="00081D9C"/>
    <w:rsid w:val="00082907"/>
    <w:rsid w:val="0008378D"/>
    <w:rsid w:val="000908A5"/>
    <w:rsid w:val="00092805"/>
    <w:rsid w:val="000B30CD"/>
    <w:rsid w:val="000B7D90"/>
    <w:rsid w:val="000C454C"/>
    <w:rsid w:val="000D06F9"/>
    <w:rsid w:val="000D5038"/>
    <w:rsid w:val="000E29D4"/>
    <w:rsid w:val="000F3540"/>
    <w:rsid w:val="00100491"/>
    <w:rsid w:val="00104E2E"/>
    <w:rsid w:val="00107287"/>
    <w:rsid w:val="00117406"/>
    <w:rsid w:val="00121EF0"/>
    <w:rsid w:val="0012372F"/>
    <w:rsid w:val="00124A9E"/>
    <w:rsid w:val="00130703"/>
    <w:rsid w:val="0013153F"/>
    <w:rsid w:val="00135175"/>
    <w:rsid w:val="001408B8"/>
    <w:rsid w:val="001517E2"/>
    <w:rsid w:val="001521D9"/>
    <w:rsid w:val="001554E2"/>
    <w:rsid w:val="00164146"/>
    <w:rsid w:val="001677EA"/>
    <w:rsid w:val="0017369C"/>
    <w:rsid w:val="00175D57"/>
    <w:rsid w:val="00180C39"/>
    <w:rsid w:val="00180D96"/>
    <w:rsid w:val="00184BD3"/>
    <w:rsid w:val="001921F3"/>
    <w:rsid w:val="001B01AB"/>
    <w:rsid w:val="001B3C5B"/>
    <w:rsid w:val="001D0C7D"/>
    <w:rsid w:val="001D746F"/>
    <w:rsid w:val="001E4BBB"/>
    <w:rsid w:val="001E6304"/>
    <w:rsid w:val="00202EB5"/>
    <w:rsid w:val="0020381E"/>
    <w:rsid w:val="00213471"/>
    <w:rsid w:val="00215906"/>
    <w:rsid w:val="00241CD8"/>
    <w:rsid w:val="00244B09"/>
    <w:rsid w:val="00251116"/>
    <w:rsid w:val="002519CB"/>
    <w:rsid w:val="0025697F"/>
    <w:rsid w:val="00260258"/>
    <w:rsid w:val="002654A4"/>
    <w:rsid w:val="0026588E"/>
    <w:rsid w:val="00272428"/>
    <w:rsid w:val="00272948"/>
    <w:rsid w:val="002850A2"/>
    <w:rsid w:val="00292392"/>
    <w:rsid w:val="002933FD"/>
    <w:rsid w:val="002946C7"/>
    <w:rsid w:val="002B29B1"/>
    <w:rsid w:val="002B3CC1"/>
    <w:rsid w:val="002C09E0"/>
    <w:rsid w:val="002C1BB1"/>
    <w:rsid w:val="002C2786"/>
    <w:rsid w:val="002C3A10"/>
    <w:rsid w:val="002C4A90"/>
    <w:rsid w:val="002C4ED5"/>
    <w:rsid w:val="002D02EF"/>
    <w:rsid w:val="002E0702"/>
    <w:rsid w:val="002E0A71"/>
    <w:rsid w:val="002E57AD"/>
    <w:rsid w:val="002E6F80"/>
    <w:rsid w:val="002F0E4F"/>
    <w:rsid w:val="002F1053"/>
    <w:rsid w:val="003061B7"/>
    <w:rsid w:val="00310545"/>
    <w:rsid w:val="003133DA"/>
    <w:rsid w:val="00314AD5"/>
    <w:rsid w:val="00317B0E"/>
    <w:rsid w:val="00336FAE"/>
    <w:rsid w:val="003466E8"/>
    <w:rsid w:val="00347315"/>
    <w:rsid w:val="00347FAA"/>
    <w:rsid w:val="00351302"/>
    <w:rsid w:val="0035172D"/>
    <w:rsid w:val="0036187D"/>
    <w:rsid w:val="00367EDB"/>
    <w:rsid w:val="003715F1"/>
    <w:rsid w:val="00381024"/>
    <w:rsid w:val="00382D3A"/>
    <w:rsid w:val="00386307"/>
    <w:rsid w:val="003874DE"/>
    <w:rsid w:val="00393E9F"/>
    <w:rsid w:val="0039696E"/>
    <w:rsid w:val="003B211A"/>
    <w:rsid w:val="003B5F6E"/>
    <w:rsid w:val="003C141F"/>
    <w:rsid w:val="003C668A"/>
    <w:rsid w:val="003C6B0E"/>
    <w:rsid w:val="003C7257"/>
    <w:rsid w:val="003C7E35"/>
    <w:rsid w:val="003D1E99"/>
    <w:rsid w:val="003D6208"/>
    <w:rsid w:val="003D7315"/>
    <w:rsid w:val="004049CC"/>
    <w:rsid w:val="00404E8A"/>
    <w:rsid w:val="0040622F"/>
    <w:rsid w:val="00413F24"/>
    <w:rsid w:val="00421A32"/>
    <w:rsid w:val="00422670"/>
    <w:rsid w:val="00422853"/>
    <w:rsid w:val="00423160"/>
    <w:rsid w:val="00450728"/>
    <w:rsid w:val="0045089C"/>
    <w:rsid w:val="00453862"/>
    <w:rsid w:val="0045469B"/>
    <w:rsid w:val="00461338"/>
    <w:rsid w:val="004677DB"/>
    <w:rsid w:val="00476256"/>
    <w:rsid w:val="00483703"/>
    <w:rsid w:val="0048630F"/>
    <w:rsid w:val="004947A1"/>
    <w:rsid w:val="0049482A"/>
    <w:rsid w:val="004979D3"/>
    <w:rsid w:val="004A00E7"/>
    <w:rsid w:val="004A3A61"/>
    <w:rsid w:val="004A7BED"/>
    <w:rsid w:val="004B59BA"/>
    <w:rsid w:val="004B5A03"/>
    <w:rsid w:val="004C224C"/>
    <w:rsid w:val="004C263A"/>
    <w:rsid w:val="004D3C60"/>
    <w:rsid w:val="004D48A6"/>
    <w:rsid w:val="004D7B8F"/>
    <w:rsid w:val="004E6458"/>
    <w:rsid w:val="004E6E7D"/>
    <w:rsid w:val="004F1AAC"/>
    <w:rsid w:val="004F1AE2"/>
    <w:rsid w:val="004F34F0"/>
    <w:rsid w:val="004F3B2B"/>
    <w:rsid w:val="004F6050"/>
    <w:rsid w:val="005005EF"/>
    <w:rsid w:val="0051221C"/>
    <w:rsid w:val="005123C2"/>
    <w:rsid w:val="0052144B"/>
    <w:rsid w:val="00524066"/>
    <w:rsid w:val="00534E11"/>
    <w:rsid w:val="00536736"/>
    <w:rsid w:val="005378D8"/>
    <w:rsid w:val="005400D9"/>
    <w:rsid w:val="00544426"/>
    <w:rsid w:val="005476A4"/>
    <w:rsid w:val="0055019B"/>
    <w:rsid w:val="00553359"/>
    <w:rsid w:val="00556E63"/>
    <w:rsid w:val="005601A4"/>
    <w:rsid w:val="00566DBB"/>
    <w:rsid w:val="005767DB"/>
    <w:rsid w:val="005815E6"/>
    <w:rsid w:val="0058712F"/>
    <w:rsid w:val="005976CE"/>
    <w:rsid w:val="005A232B"/>
    <w:rsid w:val="005A23D4"/>
    <w:rsid w:val="005A2D1E"/>
    <w:rsid w:val="005A420C"/>
    <w:rsid w:val="005B3756"/>
    <w:rsid w:val="005B5E7A"/>
    <w:rsid w:val="005C493F"/>
    <w:rsid w:val="005C6BF7"/>
    <w:rsid w:val="005C71BF"/>
    <w:rsid w:val="005D002C"/>
    <w:rsid w:val="005D30E1"/>
    <w:rsid w:val="005D6555"/>
    <w:rsid w:val="005D7BDF"/>
    <w:rsid w:val="005E4870"/>
    <w:rsid w:val="005E517B"/>
    <w:rsid w:val="005F71D9"/>
    <w:rsid w:val="005F7602"/>
    <w:rsid w:val="005F7A5E"/>
    <w:rsid w:val="006062BE"/>
    <w:rsid w:val="00613143"/>
    <w:rsid w:val="00613501"/>
    <w:rsid w:val="0061611B"/>
    <w:rsid w:val="006166A8"/>
    <w:rsid w:val="006174A1"/>
    <w:rsid w:val="0061787B"/>
    <w:rsid w:val="00621D6C"/>
    <w:rsid w:val="0062534F"/>
    <w:rsid w:val="00633B49"/>
    <w:rsid w:val="0064297F"/>
    <w:rsid w:val="00645102"/>
    <w:rsid w:val="00646CF3"/>
    <w:rsid w:val="00653D11"/>
    <w:rsid w:val="00662983"/>
    <w:rsid w:val="00672FDC"/>
    <w:rsid w:val="006834D3"/>
    <w:rsid w:val="00692625"/>
    <w:rsid w:val="00695CD3"/>
    <w:rsid w:val="006A38B6"/>
    <w:rsid w:val="006B1987"/>
    <w:rsid w:val="006B5333"/>
    <w:rsid w:val="006B5B71"/>
    <w:rsid w:val="006B6CB0"/>
    <w:rsid w:val="006C0296"/>
    <w:rsid w:val="006C2B64"/>
    <w:rsid w:val="006D4C85"/>
    <w:rsid w:val="006D66AC"/>
    <w:rsid w:val="006E33F6"/>
    <w:rsid w:val="006F1251"/>
    <w:rsid w:val="006F1C23"/>
    <w:rsid w:val="00702C18"/>
    <w:rsid w:val="00703166"/>
    <w:rsid w:val="00703443"/>
    <w:rsid w:val="007127F3"/>
    <w:rsid w:val="00712B4B"/>
    <w:rsid w:val="007301CF"/>
    <w:rsid w:val="007316FB"/>
    <w:rsid w:val="007374D0"/>
    <w:rsid w:val="00737E2D"/>
    <w:rsid w:val="007424D5"/>
    <w:rsid w:val="00750A88"/>
    <w:rsid w:val="007523DD"/>
    <w:rsid w:val="00757B7E"/>
    <w:rsid w:val="007656B2"/>
    <w:rsid w:val="0077016F"/>
    <w:rsid w:val="007713AD"/>
    <w:rsid w:val="0079311A"/>
    <w:rsid w:val="00795DC5"/>
    <w:rsid w:val="00797153"/>
    <w:rsid w:val="007A21F7"/>
    <w:rsid w:val="007A2B68"/>
    <w:rsid w:val="007B0DDA"/>
    <w:rsid w:val="007D3347"/>
    <w:rsid w:val="007E037F"/>
    <w:rsid w:val="007E5466"/>
    <w:rsid w:val="007F1949"/>
    <w:rsid w:val="007F2592"/>
    <w:rsid w:val="00800A08"/>
    <w:rsid w:val="00814DED"/>
    <w:rsid w:val="00817A84"/>
    <w:rsid w:val="008225A4"/>
    <w:rsid w:val="00824B92"/>
    <w:rsid w:val="00826D5E"/>
    <w:rsid w:val="00832013"/>
    <w:rsid w:val="00832DB7"/>
    <w:rsid w:val="00834732"/>
    <w:rsid w:val="0085200C"/>
    <w:rsid w:val="0085384E"/>
    <w:rsid w:val="00857C52"/>
    <w:rsid w:val="00860D5F"/>
    <w:rsid w:val="00861400"/>
    <w:rsid w:val="00880A44"/>
    <w:rsid w:val="0088345E"/>
    <w:rsid w:val="0088656F"/>
    <w:rsid w:val="00890BA8"/>
    <w:rsid w:val="00891EF6"/>
    <w:rsid w:val="008A0303"/>
    <w:rsid w:val="008A5E96"/>
    <w:rsid w:val="008A5FDD"/>
    <w:rsid w:val="008C3947"/>
    <w:rsid w:val="008C48F0"/>
    <w:rsid w:val="008E473B"/>
    <w:rsid w:val="008E51A6"/>
    <w:rsid w:val="008E6611"/>
    <w:rsid w:val="008E7329"/>
    <w:rsid w:val="008F2ED5"/>
    <w:rsid w:val="008F5036"/>
    <w:rsid w:val="00910ED7"/>
    <w:rsid w:val="00915A1C"/>
    <w:rsid w:val="009168DB"/>
    <w:rsid w:val="009207B4"/>
    <w:rsid w:val="0092297E"/>
    <w:rsid w:val="00923651"/>
    <w:rsid w:val="00927B56"/>
    <w:rsid w:val="009341BF"/>
    <w:rsid w:val="00937907"/>
    <w:rsid w:val="00941739"/>
    <w:rsid w:val="00951573"/>
    <w:rsid w:val="00952107"/>
    <w:rsid w:val="00963003"/>
    <w:rsid w:val="00966EEF"/>
    <w:rsid w:val="00970080"/>
    <w:rsid w:val="00971B28"/>
    <w:rsid w:val="009817FF"/>
    <w:rsid w:val="00983471"/>
    <w:rsid w:val="009909AB"/>
    <w:rsid w:val="009B37DB"/>
    <w:rsid w:val="009C54C9"/>
    <w:rsid w:val="009C6205"/>
    <w:rsid w:val="009C7324"/>
    <w:rsid w:val="009C7A8C"/>
    <w:rsid w:val="009D23F9"/>
    <w:rsid w:val="009D4FA8"/>
    <w:rsid w:val="009E44AE"/>
    <w:rsid w:val="009E6CD6"/>
    <w:rsid w:val="009F4D66"/>
    <w:rsid w:val="00A00C3C"/>
    <w:rsid w:val="00A01091"/>
    <w:rsid w:val="00A042B9"/>
    <w:rsid w:val="00A06DBB"/>
    <w:rsid w:val="00A22ADF"/>
    <w:rsid w:val="00A31E86"/>
    <w:rsid w:val="00A40564"/>
    <w:rsid w:val="00A548F0"/>
    <w:rsid w:val="00A54D87"/>
    <w:rsid w:val="00A5553C"/>
    <w:rsid w:val="00A61928"/>
    <w:rsid w:val="00A701C9"/>
    <w:rsid w:val="00A81785"/>
    <w:rsid w:val="00A84803"/>
    <w:rsid w:val="00A84C51"/>
    <w:rsid w:val="00A86F2B"/>
    <w:rsid w:val="00A91204"/>
    <w:rsid w:val="00A91366"/>
    <w:rsid w:val="00A93AA6"/>
    <w:rsid w:val="00A97B51"/>
    <w:rsid w:val="00AA4E48"/>
    <w:rsid w:val="00AA6202"/>
    <w:rsid w:val="00AA7B57"/>
    <w:rsid w:val="00AC1279"/>
    <w:rsid w:val="00AC26FC"/>
    <w:rsid w:val="00AC4A99"/>
    <w:rsid w:val="00AC64D2"/>
    <w:rsid w:val="00AD02E7"/>
    <w:rsid w:val="00AE0FE8"/>
    <w:rsid w:val="00AE1322"/>
    <w:rsid w:val="00AF1132"/>
    <w:rsid w:val="00AF60D5"/>
    <w:rsid w:val="00B00959"/>
    <w:rsid w:val="00B04415"/>
    <w:rsid w:val="00B06509"/>
    <w:rsid w:val="00B0779B"/>
    <w:rsid w:val="00B11D60"/>
    <w:rsid w:val="00B13279"/>
    <w:rsid w:val="00B13D65"/>
    <w:rsid w:val="00B21805"/>
    <w:rsid w:val="00B3072E"/>
    <w:rsid w:val="00B32866"/>
    <w:rsid w:val="00B36E15"/>
    <w:rsid w:val="00B37245"/>
    <w:rsid w:val="00B4017A"/>
    <w:rsid w:val="00B4468D"/>
    <w:rsid w:val="00B643F0"/>
    <w:rsid w:val="00B71C72"/>
    <w:rsid w:val="00B77138"/>
    <w:rsid w:val="00B77902"/>
    <w:rsid w:val="00B81E92"/>
    <w:rsid w:val="00B908D7"/>
    <w:rsid w:val="00B915AB"/>
    <w:rsid w:val="00B935E8"/>
    <w:rsid w:val="00B93B30"/>
    <w:rsid w:val="00B94CB5"/>
    <w:rsid w:val="00BA0DD9"/>
    <w:rsid w:val="00BA5DBC"/>
    <w:rsid w:val="00BA6A88"/>
    <w:rsid w:val="00BB3B54"/>
    <w:rsid w:val="00BB3BF2"/>
    <w:rsid w:val="00BB6312"/>
    <w:rsid w:val="00BC0B0A"/>
    <w:rsid w:val="00BC1133"/>
    <w:rsid w:val="00BC4D06"/>
    <w:rsid w:val="00BD585E"/>
    <w:rsid w:val="00BD6919"/>
    <w:rsid w:val="00BE1EA7"/>
    <w:rsid w:val="00BE3577"/>
    <w:rsid w:val="00BE7489"/>
    <w:rsid w:val="00BF0CA2"/>
    <w:rsid w:val="00BF2E0D"/>
    <w:rsid w:val="00BF3927"/>
    <w:rsid w:val="00BF3F8B"/>
    <w:rsid w:val="00BF76DA"/>
    <w:rsid w:val="00C0306A"/>
    <w:rsid w:val="00C07C7B"/>
    <w:rsid w:val="00C16245"/>
    <w:rsid w:val="00C22DC5"/>
    <w:rsid w:val="00C24479"/>
    <w:rsid w:val="00C273F2"/>
    <w:rsid w:val="00C308C3"/>
    <w:rsid w:val="00C31C5B"/>
    <w:rsid w:val="00C37B53"/>
    <w:rsid w:val="00C517D2"/>
    <w:rsid w:val="00C5772E"/>
    <w:rsid w:val="00C62B36"/>
    <w:rsid w:val="00C7012C"/>
    <w:rsid w:val="00C70688"/>
    <w:rsid w:val="00C712EA"/>
    <w:rsid w:val="00C86BEC"/>
    <w:rsid w:val="00CA217D"/>
    <w:rsid w:val="00CC09D4"/>
    <w:rsid w:val="00CC668D"/>
    <w:rsid w:val="00CC7832"/>
    <w:rsid w:val="00CD7656"/>
    <w:rsid w:val="00CF0C1C"/>
    <w:rsid w:val="00CF27FD"/>
    <w:rsid w:val="00CF52A9"/>
    <w:rsid w:val="00CF5F12"/>
    <w:rsid w:val="00D00D8F"/>
    <w:rsid w:val="00D21F3A"/>
    <w:rsid w:val="00D23808"/>
    <w:rsid w:val="00D3016A"/>
    <w:rsid w:val="00D349DB"/>
    <w:rsid w:val="00D417D2"/>
    <w:rsid w:val="00D42960"/>
    <w:rsid w:val="00D43BD7"/>
    <w:rsid w:val="00D4485B"/>
    <w:rsid w:val="00D4708D"/>
    <w:rsid w:val="00D4744C"/>
    <w:rsid w:val="00D521DE"/>
    <w:rsid w:val="00D5470B"/>
    <w:rsid w:val="00D63068"/>
    <w:rsid w:val="00D6498C"/>
    <w:rsid w:val="00D76A70"/>
    <w:rsid w:val="00D83182"/>
    <w:rsid w:val="00D8521E"/>
    <w:rsid w:val="00D9291C"/>
    <w:rsid w:val="00D93A97"/>
    <w:rsid w:val="00D949DB"/>
    <w:rsid w:val="00DB1F64"/>
    <w:rsid w:val="00DC2F53"/>
    <w:rsid w:val="00DC5BAC"/>
    <w:rsid w:val="00DC6816"/>
    <w:rsid w:val="00DC76C2"/>
    <w:rsid w:val="00DD1CF2"/>
    <w:rsid w:val="00DD4764"/>
    <w:rsid w:val="00DD6247"/>
    <w:rsid w:val="00DE4484"/>
    <w:rsid w:val="00DF41B7"/>
    <w:rsid w:val="00DF4A4A"/>
    <w:rsid w:val="00DF583C"/>
    <w:rsid w:val="00E03C3F"/>
    <w:rsid w:val="00E06FD7"/>
    <w:rsid w:val="00E07417"/>
    <w:rsid w:val="00E12A07"/>
    <w:rsid w:val="00E24D45"/>
    <w:rsid w:val="00E33DB8"/>
    <w:rsid w:val="00E33EFF"/>
    <w:rsid w:val="00E34387"/>
    <w:rsid w:val="00E348BA"/>
    <w:rsid w:val="00E369FE"/>
    <w:rsid w:val="00E37C6F"/>
    <w:rsid w:val="00E475F8"/>
    <w:rsid w:val="00E5102E"/>
    <w:rsid w:val="00E54B88"/>
    <w:rsid w:val="00E5721C"/>
    <w:rsid w:val="00E619C6"/>
    <w:rsid w:val="00E745A1"/>
    <w:rsid w:val="00E81529"/>
    <w:rsid w:val="00E83A13"/>
    <w:rsid w:val="00E944DD"/>
    <w:rsid w:val="00EB23EA"/>
    <w:rsid w:val="00EB6FC5"/>
    <w:rsid w:val="00EC2356"/>
    <w:rsid w:val="00EC2582"/>
    <w:rsid w:val="00EC337C"/>
    <w:rsid w:val="00ED0CFF"/>
    <w:rsid w:val="00ED2447"/>
    <w:rsid w:val="00ED31D2"/>
    <w:rsid w:val="00EE0EAC"/>
    <w:rsid w:val="00EE3322"/>
    <w:rsid w:val="00EE33CB"/>
    <w:rsid w:val="00F0061A"/>
    <w:rsid w:val="00F02834"/>
    <w:rsid w:val="00F04EEB"/>
    <w:rsid w:val="00F05467"/>
    <w:rsid w:val="00F055D2"/>
    <w:rsid w:val="00F07CD7"/>
    <w:rsid w:val="00F127E9"/>
    <w:rsid w:val="00F14B5D"/>
    <w:rsid w:val="00F17798"/>
    <w:rsid w:val="00F259FC"/>
    <w:rsid w:val="00F36972"/>
    <w:rsid w:val="00F42426"/>
    <w:rsid w:val="00F456BC"/>
    <w:rsid w:val="00F50666"/>
    <w:rsid w:val="00F70C9E"/>
    <w:rsid w:val="00F74A74"/>
    <w:rsid w:val="00F7572C"/>
    <w:rsid w:val="00F809FC"/>
    <w:rsid w:val="00F82CA6"/>
    <w:rsid w:val="00F8382C"/>
    <w:rsid w:val="00F855D7"/>
    <w:rsid w:val="00F92035"/>
    <w:rsid w:val="00F92748"/>
    <w:rsid w:val="00FA4169"/>
    <w:rsid w:val="00FB00F0"/>
    <w:rsid w:val="00FB0D41"/>
    <w:rsid w:val="00FB2030"/>
    <w:rsid w:val="00FB7D17"/>
    <w:rsid w:val="00FC1408"/>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15:docId w15:val="{3BB8533D-1B7D-40EB-BAAB-FEB8A9FCE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aliases w:val="Summary box,Dossier Table,Dossier table,Section 3- footnotes,Legemiddelverket 3,Summary Table,ASD Table,Key messages box,YHEC table,Tabellengitternetz 9pt,Table Grid nm"/>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Bullet1,Bullet 1,Bullet List,1. Bullet Blank,Bulleted - 2,Dairy Paragraphe,Bullets Points,Table Header Row,Bullet Paragraph,Bullet Point,Table Legend,List Paragraph CCT minutes,Section 5,FooterText,List Paragraph1,numbered,列出段落,B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table" w:customStyle="1" w:styleId="Keymessagesbox1">
    <w:name w:val="Key messages box1"/>
    <w:basedOn w:val="prastojilentel"/>
    <w:next w:val="Lentelstinklelis"/>
    <w:rsid w:val="00BA6A88"/>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let1 Diagrama,Bullet 1 Diagrama,Bullet List Diagrama,1. Bullet Blank Diagrama,Bulleted - 2 Diagrama,Dairy Paragraphe Diagrama,Bullets Points Diagrama,Table Header Row Diagrama,Bullet Paragraph Diagrama,Bullet Point Diagrama"/>
    <w:link w:val="Sraopastraipa"/>
    <w:uiPriority w:val="34"/>
    <w:qFormat/>
    <w:locked/>
    <w:rsid w:val="00135175"/>
    <w:rPr>
      <w:sz w:val="24"/>
      <w:szCs w:val="24"/>
      <w:lang w:eastAsia="en-US"/>
    </w:rPr>
  </w:style>
  <w:style w:type="paragraph" w:customStyle="1" w:styleId="Tekstas">
    <w:name w:val="Tekstas"/>
    <w:basedOn w:val="prastasis"/>
    <w:link w:val="TekstasChar"/>
    <w:qFormat/>
    <w:rsid w:val="00970080"/>
    <w:pPr>
      <w:spacing w:after="120"/>
      <w:jc w:val="both"/>
    </w:pPr>
    <w:rPr>
      <w:color w:val="000000" w:themeColor="text1"/>
    </w:rPr>
  </w:style>
  <w:style w:type="character" w:customStyle="1" w:styleId="TekstasChar">
    <w:name w:val="Tekstas Char"/>
    <w:link w:val="Tekstas"/>
    <w:rsid w:val="00970080"/>
    <w:rPr>
      <w:color w:val="000000" w:themeColor="tex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53090">
      <w:marLeft w:val="0"/>
      <w:marRight w:val="0"/>
      <w:marTop w:val="0"/>
      <w:marBottom w:val="0"/>
      <w:divBdr>
        <w:top w:val="none" w:sz="0" w:space="0" w:color="auto"/>
        <w:left w:val="none" w:sz="0" w:space="0" w:color="auto"/>
        <w:bottom w:val="none" w:sz="0" w:space="0" w:color="auto"/>
        <w:right w:val="none" w:sz="0" w:space="0" w:color="auto"/>
      </w:divBdr>
    </w:div>
    <w:div w:id="160237181">
      <w:bodyDiv w:val="1"/>
      <w:marLeft w:val="0"/>
      <w:marRight w:val="0"/>
      <w:marTop w:val="0"/>
      <w:marBottom w:val="0"/>
      <w:divBdr>
        <w:top w:val="none" w:sz="0" w:space="0" w:color="auto"/>
        <w:left w:val="none" w:sz="0" w:space="0" w:color="auto"/>
        <w:bottom w:val="none" w:sz="0" w:space="0" w:color="auto"/>
        <w:right w:val="none" w:sz="0" w:space="0" w:color="auto"/>
      </w:divBdr>
    </w:div>
    <w:div w:id="383799586">
      <w:bodyDiv w:val="1"/>
      <w:marLeft w:val="0"/>
      <w:marRight w:val="0"/>
      <w:marTop w:val="0"/>
      <w:marBottom w:val="0"/>
      <w:divBdr>
        <w:top w:val="none" w:sz="0" w:space="0" w:color="auto"/>
        <w:left w:val="none" w:sz="0" w:space="0" w:color="auto"/>
        <w:bottom w:val="none" w:sz="0" w:space="0" w:color="auto"/>
        <w:right w:val="none" w:sz="0" w:space="0" w:color="auto"/>
      </w:divBdr>
    </w:div>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 w:id="1957633827">
      <w:bodyDiv w:val="1"/>
      <w:marLeft w:val="0"/>
      <w:marRight w:val="0"/>
      <w:marTop w:val="0"/>
      <w:marBottom w:val="0"/>
      <w:divBdr>
        <w:top w:val="none" w:sz="0" w:space="0" w:color="auto"/>
        <w:left w:val="none" w:sz="0" w:space="0" w:color="auto"/>
        <w:bottom w:val="none" w:sz="0" w:space="0" w:color="auto"/>
        <w:right w:val="none" w:sz="0" w:space="0" w:color="auto"/>
      </w:divBdr>
      <w:divsChild>
        <w:div w:id="518278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5226717BC74A8FB801DCE367B83799"/>
        <w:category>
          <w:name w:val="Bendrosios nuostatos"/>
          <w:gallery w:val="placeholder"/>
        </w:category>
        <w:types>
          <w:type w:val="bbPlcHdr"/>
        </w:types>
        <w:behaviors>
          <w:behavior w:val="content"/>
        </w:behaviors>
        <w:guid w:val="{6B410A30-473D-456B-ACE2-87A0138BFB11}"/>
      </w:docPartPr>
      <w:docPartBody>
        <w:p w:rsidR="00B33701" w:rsidRDefault="00B33701" w:rsidP="00B33701">
          <w:pPr>
            <w:pStyle w:val="795226717BC74A8FB801DCE367B83799"/>
          </w:pPr>
          <w:r>
            <w:rPr>
              <w:rStyle w:val="Vietosrezervavimoenklotekstas"/>
            </w:rPr>
            <w:t>Click here to enter a date.</w:t>
          </w:r>
        </w:p>
      </w:docPartBody>
    </w:docPart>
    <w:docPart>
      <w:docPartPr>
        <w:name w:val="1065FF82B3DB45A2BFA6AEC75EA6EB2B"/>
        <w:category>
          <w:name w:val="Bendrosios nuostatos"/>
          <w:gallery w:val="placeholder"/>
        </w:category>
        <w:types>
          <w:type w:val="bbPlcHdr"/>
        </w:types>
        <w:behaviors>
          <w:behavior w:val="content"/>
        </w:behaviors>
        <w:guid w:val="{1CD11B11-F8DF-4748-92D6-54100B626F6C}"/>
      </w:docPartPr>
      <w:docPartBody>
        <w:p w:rsidR="00B33701" w:rsidRDefault="00B33701" w:rsidP="00B33701">
          <w:pPr>
            <w:pStyle w:val="1065FF82B3DB45A2BFA6AEC75EA6EB2B"/>
          </w:pPr>
          <w:r>
            <w:rPr>
              <w:rStyle w:val="Vietosrezervavimoenklotekstas"/>
            </w:rPr>
            <w:t>Click here to enter a date.</w:t>
          </w:r>
        </w:p>
      </w:docPartBody>
    </w:docPart>
    <w:docPart>
      <w:docPartPr>
        <w:name w:val="D8DC1B7B2E9B48DE81CCD0F75AC01B94"/>
        <w:category>
          <w:name w:val="Bendrosios nuostatos"/>
          <w:gallery w:val="placeholder"/>
        </w:category>
        <w:types>
          <w:type w:val="bbPlcHdr"/>
        </w:types>
        <w:behaviors>
          <w:behavior w:val="content"/>
        </w:behaviors>
        <w:guid w:val="{FA082D97-C2BD-43EC-8DF2-BCE692B7671D}"/>
      </w:docPartPr>
      <w:docPartBody>
        <w:p w:rsidR="00B33701" w:rsidRDefault="00B33701" w:rsidP="00B33701">
          <w:pPr>
            <w:pStyle w:val="D8DC1B7B2E9B48DE81CCD0F75AC01B94"/>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01A8"/>
    <w:rsid w:val="0001247F"/>
    <w:rsid w:val="00036FE9"/>
    <w:rsid w:val="000503A3"/>
    <w:rsid w:val="00061157"/>
    <w:rsid w:val="00065A7F"/>
    <w:rsid w:val="000937FE"/>
    <w:rsid w:val="000A559A"/>
    <w:rsid w:val="000B7D90"/>
    <w:rsid w:val="000D24D4"/>
    <w:rsid w:val="0012372F"/>
    <w:rsid w:val="001B01AB"/>
    <w:rsid w:val="001C35A9"/>
    <w:rsid w:val="00237556"/>
    <w:rsid w:val="002850A2"/>
    <w:rsid w:val="002B29B1"/>
    <w:rsid w:val="002E0A71"/>
    <w:rsid w:val="00314AD5"/>
    <w:rsid w:val="00336BA1"/>
    <w:rsid w:val="0039303B"/>
    <w:rsid w:val="00393DCF"/>
    <w:rsid w:val="004144A3"/>
    <w:rsid w:val="004160E7"/>
    <w:rsid w:val="004416C6"/>
    <w:rsid w:val="00450728"/>
    <w:rsid w:val="004D33EE"/>
    <w:rsid w:val="004F5AB2"/>
    <w:rsid w:val="005074B9"/>
    <w:rsid w:val="00536736"/>
    <w:rsid w:val="00553359"/>
    <w:rsid w:val="005627DC"/>
    <w:rsid w:val="005B5E7A"/>
    <w:rsid w:val="005C23DA"/>
    <w:rsid w:val="005E40DD"/>
    <w:rsid w:val="005F7A5E"/>
    <w:rsid w:val="006F1352"/>
    <w:rsid w:val="007219C1"/>
    <w:rsid w:val="00753462"/>
    <w:rsid w:val="00772325"/>
    <w:rsid w:val="007A2FE0"/>
    <w:rsid w:val="007C6D1D"/>
    <w:rsid w:val="00814DED"/>
    <w:rsid w:val="0090074D"/>
    <w:rsid w:val="00900C37"/>
    <w:rsid w:val="009B3BF0"/>
    <w:rsid w:val="009D5E5E"/>
    <w:rsid w:val="009F1BB4"/>
    <w:rsid w:val="00A6763E"/>
    <w:rsid w:val="00AB6ED4"/>
    <w:rsid w:val="00AB6F9F"/>
    <w:rsid w:val="00B14210"/>
    <w:rsid w:val="00B23DC0"/>
    <w:rsid w:val="00B33701"/>
    <w:rsid w:val="00B96656"/>
    <w:rsid w:val="00BB3BF2"/>
    <w:rsid w:val="00BC4B41"/>
    <w:rsid w:val="00BE29C1"/>
    <w:rsid w:val="00C2401D"/>
    <w:rsid w:val="00C332DD"/>
    <w:rsid w:val="00C53A68"/>
    <w:rsid w:val="00CA5BB4"/>
    <w:rsid w:val="00CA7279"/>
    <w:rsid w:val="00CB4BD1"/>
    <w:rsid w:val="00CE2DA9"/>
    <w:rsid w:val="00CE44BE"/>
    <w:rsid w:val="00CF7D5F"/>
    <w:rsid w:val="00D4356B"/>
    <w:rsid w:val="00D7162F"/>
    <w:rsid w:val="00D85637"/>
    <w:rsid w:val="00D949DB"/>
    <w:rsid w:val="00E12A07"/>
    <w:rsid w:val="00E44A86"/>
    <w:rsid w:val="00E522EB"/>
    <w:rsid w:val="00E60827"/>
    <w:rsid w:val="00E73FF6"/>
    <w:rsid w:val="00E944DD"/>
    <w:rsid w:val="00EF6E0C"/>
    <w:rsid w:val="00F55028"/>
    <w:rsid w:val="00F77BEF"/>
    <w:rsid w:val="00F82CA6"/>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B33701"/>
    <w:rPr>
      <w:color w:val="808080"/>
    </w:rPr>
  </w:style>
  <w:style w:type="paragraph" w:customStyle="1" w:styleId="795226717BC74A8FB801DCE367B83799">
    <w:name w:val="795226717BC74A8FB801DCE367B83799"/>
    <w:rsid w:val="00B33701"/>
    <w:pPr>
      <w:spacing w:line="278" w:lineRule="auto"/>
    </w:pPr>
    <w:rPr>
      <w:kern w:val="2"/>
      <w:sz w:val="24"/>
      <w:szCs w:val="24"/>
      <w14:ligatures w14:val="standardContextual"/>
    </w:rPr>
  </w:style>
  <w:style w:type="paragraph" w:customStyle="1" w:styleId="1065FF82B3DB45A2BFA6AEC75EA6EB2B">
    <w:name w:val="1065FF82B3DB45A2BFA6AEC75EA6EB2B"/>
    <w:rsid w:val="00B33701"/>
    <w:pPr>
      <w:spacing w:line="278" w:lineRule="auto"/>
    </w:pPr>
    <w:rPr>
      <w:kern w:val="2"/>
      <w:sz w:val="24"/>
      <w:szCs w:val="24"/>
      <w14:ligatures w14:val="standardContextual"/>
    </w:rPr>
  </w:style>
  <w:style w:type="paragraph" w:customStyle="1" w:styleId="D8DC1B7B2E9B48DE81CCD0F75AC01B94">
    <w:name w:val="D8DC1B7B2E9B48DE81CCD0F75AC01B94"/>
    <w:rsid w:val="00B3370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A45E7-D8E9-463C-B9C6-735BA3D35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15979</Words>
  <Characters>9109</Characters>
  <Application>Microsoft Office Word</Application>
  <DocSecurity>0</DocSecurity>
  <Lines>75</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25038</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Dovydas Verikas</dc:creator>
  <cp:keywords/>
  <dc:description/>
  <cp:lastModifiedBy>Kamilė Reinikienė</cp:lastModifiedBy>
  <cp:revision>22</cp:revision>
  <dcterms:created xsi:type="dcterms:W3CDTF">2025-12-15T06:25:00Z</dcterms:created>
  <dcterms:modified xsi:type="dcterms:W3CDTF">2025-12-16T07:42:00Z</dcterms:modified>
</cp:coreProperties>
</file>