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3E5EB3" w14:textId="1955ADE3" w:rsidR="005F7602" w:rsidRDefault="005F7602" w:rsidP="002946C7">
      <w:pPr>
        <w:ind w:left="5529"/>
      </w:pPr>
    </w:p>
    <w:p w14:paraId="12FA4B9E" w14:textId="77777777" w:rsidR="001B3C5B" w:rsidRPr="00E33EFF" w:rsidRDefault="001B3C5B" w:rsidP="001B3C5B">
      <w:pPr>
        <w:ind w:left="6096"/>
      </w:pPr>
      <w:r w:rsidRPr="00E33EFF">
        <w:t>Forma patvirtinta</w:t>
      </w:r>
    </w:p>
    <w:p w14:paraId="7206970B" w14:textId="70E9BD2E" w:rsidR="004C263A" w:rsidRPr="00E33EFF" w:rsidRDefault="001B3C5B" w:rsidP="001B3C5B">
      <w:pPr>
        <w:ind w:left="6096"/>
      </w:pPr>
      <w:r w:rsidRPr="00E33EFF">
        <w:t>Valstybinės vaistų kontrolės tarnybos prie Lietuvos Respublikos sveikatos apsaugos ministerijos viršininko 2021 m</w:t>
      </w:r>
      <w:r w:rsidR="004C263A" w:rsidRPr="00E33EFF">
        <w:t xml:space="preserve">. lapkričio 12 </w:t>
      </w:r>
      <w:r w:rsidRPr="00E33EFF">
        <w:t>d. įsakymu Nr.</w:t>
      </w:r>
      <w:r w:rsidR="004C263A" w:rsidRPr="00E33EFF">
        <w:t xml:space="preserve"> (1.72E)1A-1418</w:t>
      </w:r>
    </w:p>
    <w:p w14:paraId="5B219AA6" w14:textId="520B9136" w:rsidR="001B3C5B" w:rsidRPr="00E33EFF" w:rsidRDefault="004C263A" w:rsidP="001B3C5B">
      <w:pPr>
        <w:ind w:left="6096"/>
      </w:pPr>
      <w:r w:rsidRPr="00E33EFF">
        <w:t>(Valstybinės vaistų kontrolės tarnybos prie Lietuvos Respublikos sveikatos apsaugos ministerijos viršininko 2022 m.                         d. įsakymo Nr.                    redakcija)</w:t>
      </w:r>
    </w:p>
    <w:p w14:paraId="3336BD74" w14:textId="77777777" w:rsidR="001B3C5B" w:rsidRPr="00E33EFF" w:rsidRDefault="001B3C5B" w:rsidP="00FA4169"/>
    <w:p w14:paraId="77AFB67E" w14:textId="16397257" w:rsidR="00613501" w:rsidRPr="00E33EFF" w:rsidRDefault="002F0E4F" w:rsidP="003B211A">
      <w:pPr>
        <w:jc w:val="center"/>
        <w:rPr>
          <w:b/>
          <w:bCs/>
          <w:caps/>
        </w:rPr>
      </w:pPr>
      <w:r w:rsidRPr="00E33EFF">
        <w:rPr>
          <w:b/>
        </w:rPr>
        <w:t xml:space="preserve">REKOMENDACIJA DĖL VAISTINIO PREPARATO </w:t>
      </w:r>
      <w:r w:rsidRPr="00E33EFF">
        <w:rPr>
          <w:b/>
          <w:bCs/>
          <w:caps/>
        </w:rPr>
        <w:t>Lietuvos Respublikos Sveikatos apsaugos ministerijos vaistinių preparatų ir medicinos pagalbos priemonių kompensavimo komisijai</w:t>
      </w:r>
    </w:p>
    <w:p w14:paraId="34E4395D" w14:textId="15FB10DF" w:rsidR="00B13D65" w:rsidRPr="00E33EFF" w:rsidRDefault="00B13D65" w:rsidP="003B211A">
      <w:pPr>
        <w:jc w:val="center"/>
        <w:rPr>
          <w:b/>
        </w:rPr>
      </w:pPr>
    </w:p>
    <w:p w14:paraId="466A9CE6" w14:textId="77777777" w:rsidR="009F4360" w:rsidRPr="00940549" w:rsidRDefault="009F4360" w:rsidP="009F4360">
      <w:pPr>
        <w:jc w:val="center"/>
        <w:rPr>
          <w:b/>
        </w:rPr>
      </w:pPr>
      <w:bookmarkStart w:id="0" w:name="_Hlk175083986"/>
      <w:r w:rsidRPr="00940549">
        <w:rPr>
          <w:b/>
        </w:rPr>
        <w:t xml:space="preserve">Imfinzi 50 mg/ml </w:t>
      </w:r>
      <w:r w:rsidRPr="00940549">
        <w:rPr>
          <w:b/>
          <w:bCs/>
        </w:rPr>
        <w:t>koncentratas</w:t>
      </w:r>
      <w:r w:rsidRPr="00940549">
        <w:t xml:space="preserve"> </w:t>
      </w:r>
      <w:r w:rsidRPr="00940549">
        <w:rPr>
          <w:b/>
        </w:rPr>
        <w:t>injekciniam tirpalui</w:t>
      </w:r>
    </w:p>
    <w:p w14:paraId="0311FCCC" w14:textId="77777777" w:rsidR="009F4360" w:rsidRPr="00940549" w:rsidRDefault="009F4360" w:rsidP="009F4360">
      <w:pPr>
        <w:jc w:val="center"/>
      </w:pPr>
    </w:p>
    <w:p w14:paraId="641BDE65" w14:textId="77777777" w:rsidR="009F4360" w:rsidRPr="00940549" w:rsidRDefault="009F4360" w:rsidP="009F4360">
      <w:pPr>
        <w:jc w:val="center"/>
        <w:rPr>
          <w:b/>
        </w:rPr>
      </w:pPr>
      <w:r w:rsidRPr="00940549">
        <w:rPr>
          <w:b/>
        </w:rPr>
        <w:t>Durvalumabas</w:t>
      </w:r>
    </w:p>
    <w:p w14:paraId="1C2FC30E" w14:textId="77777777" w:rsidR="009F4360" w:rsidRPr="00940549" w:rsidRDefault="009F4360" w:rsidP="009F4360">
      <w:pPr>
        <w:jc w:val="center"/>
      </w:pPr>
    </w:p>
    <w:p w14:paraId="6F5AABF3" w14:textId="77777777" w:rsidR="009F4360" w:rsidRPr="00940549" w:rsidRDefault="009F4360" w:rsidP="009F4360">
      <w:pPr>
        <w:jc w:val="center"/>
        <w:rPr>
          <w:b/>
        </w:rPr>
      </w:pPr>
      <w:r w:rsidRPr="00940549">
        <w:rPr>
          <w:b/>
        </w:rPr>
        <w:t>STV-235</w:t>
      </w:r>
    </w:p>
    <w:bookmarkEnd w:id="0"/>
    <w:p w14:paraId="5BC2EA5D" w14:textId="45A77B4A" w:rsidR="00937907" w:rsidRPr="00E33EFF" w:rsidRDefault="00937907" w:rsidP="003B211A">
      <w:pPr>
        <w:jc w:val="center"/>
        <w:rPr>
          <w:b/>
        </w:rPr>
      </w:pPr>
    </w:p>
    <w:p w14:paraId="453197C8" w14:textId="77777777" w:rsidR="00D4708D" w:rsidRPr="00E33EFF" w:rsidRDefault="00D4708D" w:rsidP="003B211A">
      <w:pPr>
        <w:jc w:val="center"/>
        <w:rPr>
          <w:b/>
        </w:rPr>
      </w:pPr>
    </w:p>
    <w:p w14:paraId="78C89D1C" w14:textId="0DEFFAA5" w:rsidR="00D4485B" w:rsidRDefault="00B13D65" w:rsidP="00CC09D4">
      <w:pPr>
        <w:pStyle w:val="Sraopastraipa"/>
        <w:numPr>
          <w:ilvl w:val="0"/>
          <w:numId w:val="12"/>
        </w:numPr>
        <w:tabs>
          <w:tab w:val="left" w:pos="567"/>
        </w:tabs>
        <w:ind w:left="567" w:hanging="567"/>
        <w:rPr>
          <w:b/>
          <w:bCs/>
          <w:caps/>
        </w:rPr>
      </w:pPr>
      <w:r w:rsidRPr="00E33EFF">
        <w:rPr>
          <w:b/>
          <w:bCs/>
          <w:caps/>
        </w:rPr>
        <w:t>Bendroji dalis</w:t>
      </w:r>
    </w:p>
    <w:p w14:paraId="236EE6CE" w14:textId="77777777" w:rsidR="00997A8D" w:rsidRPr="009B591C" w:rsidRDefault="00997A8D" w:rsidP="00997A8D">
      <w:pPr>
        <w:spacing w:line="276" w:lineRule="auto"/>
        <w:jc w:val="both"/>
        <w:rPr>
          <w:rFonts w:eastAsia="Arial"/>
        </w:rPr>
      </w:pPr>
    </w:p>
    <w:tbl>
      <w:tblPr>
        <w:tblStyle w:val="Lentelstinklelis"/>
        <w:tblW w:w="9918" w:type="dxa"/>
        <w:tblLook w:val="04A0" w:firstRow="1" w:lastRow="0" w:firstColumn="1" w:lastColumn="0" w:noHBand="0" w:noVBand="1"/>
      </w:tblPr>
      <w:tblGrid>
        <w:gridCol w:w="705"/>
        <w:gridCol w:w="4117"/>
        <w:gridCol w:w="5096"/>
      </w:tblGrid>
      <w:tr w:rsidR="009F4360" w:rsidRPr="009B591C" w14:paraId="0314A477" w14:textId="77777777" w:rsidTr="00A977D2">
        <w:trPr>
          <w:trHeight w:val="342"/>
        </w:trPr>
        <w:tc>
          <w:tcPr>
            <w:tcW w:w="705" w:type="dxa"/>
          </w:tcPr>
          <w:p w14:paraId="70992302" w14:textId="77777777" w:rsidR="009F4360" w:rsidRPr="009B591C" w:rsidRDefault="009F4360" w:rsidP="009F4360">
            <w:pPr>
              <w:tabs>
                <w:tab w:val="left" w:pos="284"/>
              </w:tabs>
              <w:jc w:val="both"/>
              <w:rPr>
                <w:rFonts w:eastAsia="Arial"/>
                <w:b/>
              </w:rPr>
            </w:pPr>
            <w:r w:rsidRPr="009B591C">
              <w:rPr>
                <w:rFonts w:eastAsia="Arial"/>
                <w:b/>
              </w:rPr>
              <w:t>1.1</w:t>
            </w:r>
          </w:p>
        </w:tc>
        <w:tc>
          <w:tcPr>
            <w:tcW w:w="4117" w:type="dxa"/>
          </w:tcPr>
          <w:p w14:paraId="3DE0EA14" w14:textId="77777777" w:rsidR="009F4360" w:rsidRPr="009B591C" w:rsidRDefault="009F4360" w:rsidP="009F4360">
            <w:pPr>
              <w:tabs>
                <w:tab w:val="left" w:pos="284"/>
              </w:tabs>
              <w:jc w:val="both"/>
              <w:rPr>
                <w:b/>
                <w:bCs/>
                <w:lang w:eastAsia="lt-LT"/>
              </w:rPr>
            </w:pPr>
            <w:r w:rsidRPr="009B591C">
              <w:rPr>
                <w:b/>
                <w:bCs/>
                <w:lang w:eastAsia="lt-LT"/>
              </w:rPr>
              <w:t>Pareiškėjas</w:t>
            </w:r>
          </w:p>
        </w:tc>
        <w:tc>
          <w:tcPr>
            <w:tcW w:w="5096" w:type="dxa"/>
          </w:tcPr>
          <w:p w14:paraId="7880DFBF" w14:textId="3F4C7026" w:rsidR="009F4360" w:rsidRPr="009B591C" w:rsidRDefault="009F4360" w:rsidP="009F4360">
            <w:pPr>
              <w:pStyle w:val="Sraopastraipa"/>
              <w:spacing w:after="120"/>
              <w:ind w:left="0"/>
              <w:contextualSpacing w:val="0"/>
              <w:jc w:val="both"/>
            </w:pPr>
            <w:r w:rsidRPr="00940549">
              <w:t>UAB „AstraZeneca Lietuva“</w:t>
            </w:r>
          </w:p>
        </w:tc>
      </w:tr>
      <w:tr w:rsidR="009F4360" w:rsidRPr="009B591C" w14:paraId="08ECE3F9" w14:textId="77777777" w:rsidTr="00A977D2">
        <w:trPr>
          <w:trHeight w:val="479"/>
        </w:trPr>
        <w:tc>
          <w:tcPr>
            <w:tcW w:w="705" w:type="dxa"/>
          </w:tcPr>
          <w:p w14:paraId="49F6294B" w14:textId="77777777" w:rsidR="009F4360" w:rsidRPr="009B591C" w:rsidRDefault="009F4360" w:rsidP="009F4360">
            <w:pPr>
              <w:tabs>
                <w:tab w:val="left" w:pos="284"/>
              </w:tabs>
              <w:jc w:val="both"/>
              <w:rPr>
                <w:rFonts w:eastAsia="Arial"/>
                <w:b/>
              </w:rPr>
            </w:pPr>
            <w:r w:rsidRPr="009B591C">
              <w:rPr>
                <w:rFonts w:eastAsia="Arial"/>
                <w:b/>
              </w:rPr>
              <w:t>1.2</w:t>
            </w:r>
          </w:p>
        </w:tc>
        <w:tc>
          <w:tcPr>
            <w:tcW w:w="4117" w:type="dxa"/>
          </w:tcPr>
          <w:p w14:paraId="039B07B5" w14:textId="77777777" w:rsidR="009F4360" w:rsidRPr="009B591C" w:rsidRDefault="009F4360" w:rsidP="009F4360">
            <w:pPr>
              <w:tabs>
                <w:tab w:val="left" w:pos="284"/>
              </w:tabs>
              <w:jc w:val="both"/>
              <w:rPr>
                <w:b/>
                <w:bCs/>
                <w:lang w:eastAsia="lt-LT"/>
              </w:rPr>
            </w:pPr>
            <w:r w:rsidRPr="009B591C">
              <w:rPr>
                <w:b/>
                <w:bCs/>
                <w:lang w:eastAsia="lt-LT"/>
              </w:rPr>
              <w:t>Registracijos data (EVA)</w:t>
            </w:r>
          </w:p>
          <w:p w14:paraId="6D834C9E" w14:textId="77777777" w:rsidR="009F4360" w:rsidRPr="009B591C" w:rsidRDefault="009F4360" w:rsidP="009F4360">
            <w:pPr>
              <w:tabs>
                <w:tab w:val="left" w:pos="284"/>
              </w:tabs>
              <w:jc w:val="both"/>
              <w:rPr>
                <w:bCs/>
                <w:lang w:eastAsia="lt-LT"/>
              </w:rPr>
            </w:pPr>
          </w:p>
        </w:tc>
        <w:tc>
          <w:tcPr>
            <w:tcW w:w="5096" w:type="dxa"/>
          </w:tcPr>
          <w:p w14:paraId="611F4D7F" w14:textId="6257C4B3" w:rsidR="009F4360" w:rsidRPr="009B591C" w:rsidRDefault="00E23FCE" w:rsidP="009F4360">
            <w:pPr>
              <w:pStyle w:val="Sraopastraipa"/>
              <w:spacing w:after="120"/>
              <w:ind w:left="0"/>
              <w:contextualSpacing w:val="0"/>
              <w:jc w:val="both"/>
              <w:rPr>
                <w:rStyle w:val="Style2"/>
              </w:rPr>
            </w:pPr>
            <w:sdt>
              <w:sdtPr>
                <w:rPr>
                  <w:sz w:val="32"/>
                </w:rPr>
                <w:alias w:val="Nurodykite konkrečią dieną"/>
                <w:tag w:val="Nurodykite pradžios datą"/>
                <w:id w:val="423238108"/>
                <w:placeholder>
                  <w:docPart w:val="454E71D16F364952B4DC88E4D6F52B2D"/>
                </w:placeholder>
                <w15:color w:val="FFCC99"/>
                <w:date>
                  <w:dateFormat w:val="yyyy 'm.' MMMM d 'd.'"/>
                  <w:lid w:val="lt-LT"/>
                  <w:storeMappedDataAs w:val="dateTime"/>
                  <w:calendar w:val="gregorian"/>
                </w:date>
              </w:sdtPr>
              <w:sdtEndPr/>
              <w:sdtContent>
                <w:r w:rsidR="009F4360" w:rsidRPr="00940549">
                  <w:t>2018 m. rugsėjo 18 d.</w:t>
                </w:r>
              </w:sdtContent>
            </w:sdt>
          </w:p>
        </w:tc>
      </w:tr>
      <w:tr w:rsidR="00997A8D" w:rsidRPr="009B591C" w14:paraId="1BB1C613" w14:textId="77777777" w:rsidTr="00A977D2">
        <w:trPr>
          <w:trHeight w:val="1328"/>
        </w:trPr>
        <w:tc>
          <w:tcPr>
            <w:tcW w:w="705" w:type="dxa"/>
          </w:tcPr>
          <w:p w14:paraId="02F26AFA" w14:textId="77777777" w:rsidR="00997A8D" w:rsidRPr="009B591C" w:rsidRDefault="00997A8D" w:rsidP="009F4360">
            <w:pPr>
              <w:tabs>
                <w:tab w:val="left" w:pos="284"/>
              </w:tabs>
              <w:jc w:val="both"/>
              <w:rPr>
                <w:rFonts w:eastAsia="Arial"/>
                <w:b/>
              </w:rPr>
            </w:pPr>
            <w:r w:rsidRPr="009B591C">
              <w:rPr>
                <w:rFonts w:eastAsia="Arial"/>
                <w:b/>
              </w:rPr>
              <w:t>1.3</w:t>
            </w:r>
          </w:p>
        </w:tc>
        <w:tc>
          <w:tcPr>
            <w:tcW w:w="4117" w:type="dxa"/>
          </w:tcPr>
          <w:p w14:paraId="28FEB00B" w14:textId="77777777" w:rsidR="00997A8D" w:rsidRPr="009B591C" w:rsidRDefault="00997A8D" w:rsidP="009F4360">
            <w:pPr>
              <w:pStyle w:val="Betarp"/>
              <w:jc w:val="both"/>
              <w:rPr>
                <w:rFonts w:ascii="Times New Roman" w:hAnsi="Times New Roman"/>
                <w:b/>
                <w:sz w:val="24"/>
                <w:szCs w:val="24"/>
              </w:rPr>
            </w:pPr>
            <w:r w:rsidRPr="009B591C">
              <w:rPr>
                <w:rFonts w:ascii="Times New Roman" w:hAnsi="Times New Roman"/>
                <w:b/>
                <w:sz w:val="24"/>
                <w:szCs w:val="24"/>
              </w:rPr>
              <w:t>Paraiškos tipas</w:t>
            </w:r>
          </w:p>
          <w:p w14:paraId="4DB46AD1" w14:textId="77777777" w:rsidR="00997A8D" w:rsidRPr="009B591C" w:rsidRDefault="00997A8D" w:rsidP="009F4360">
            <w:pPr>
              <w:jc w:val="both"/>
              <w:rPr>
                <w:b/>
              </w:rPr>
            </w:pPr>
            <w:r w:rsidRPr="009B591C">
              <w:rPr>
                <w:b/>
              </w:rPr>
              <w:t xml:space="preserve">(pagal </w:t>
            </w:r>
            <w:r w:rsidRPr="009B591C">
              <w:rPr>
                <w:b/>
                <w:shd w:val="clear" w:color="auto" w:fill="FFFFFF"/>
              </w:rPr>
              <w:t>vaistinio preparato registracijos tipą, įtvirtintą</w:t>
            </w:r>
            <w:r w:rsidRPr="009B591C">
              <w:rPr>
                <w:b/>
              </w:rPr>
              <w:t xml:space="preserve"> Direktyvos 2001/83/EB straipsniuose)</w:t>
            </w:r>
          </w:p>
          <w:p w14:paraId="1D72B616" w14:textId="77777777" w:rsidR="00997A8D" w:rsidRPr="009B591C" w:rsidRDefault="00997A8D" w:rsidP="009F4360">
            <w:pPr>
              <w:tabs>
                <w:tab w:val="left" w:pos="284"/>
              </w:tabs>
              <w:jc w:val="both"/>
              <w:rPr>
                <w:b/>
                <w:bCs/>
                <w:lang w:eastAsia="lt-LT"/>
              </w:rPr>
            </w:pPr>
          </w:p>
        </w:tc>
        <w:tc>
          <w:tcPr>
            <w:tcW w:w="5096" w:type="dxa"/>
          </w:tcPr>
          <w:p w14:paraId="54C01B85" w14:textId="77777777" w:rsidR="00997A8D" w:rsidRPr="009B591C" w:rsidRDefault="00E23FCE" w:rsidP="009F4360">
            <w:pPr>
              <w:jc w:val="both"/>
            </w:pPr>
            <w:sdt>
              <w:sdtPr>
                <w:rPr>
                  <w:rStyle w:val="Style2"/>
                </w:rPr>
                <w:id w:val="1533303578"/>
                <w15:color w:val="FFCC00"/>
                <w14:checkbox>
                  <w14:checked w14:val="1"/>
                  <w14:checkedState w14:val="2612" w14:font="MS Gothic"/>
                  <w14:uncheckedState w14:val="2610" w14:font="MS Gothic"/>
                </w14:checkbox>
              </w:sdtPr>
              <w:sdtEndPr>
                <w:rPr>
                  <w:rStyle w:val="Style2"/>
                </w:rPr>
              </w:sdtEndPr>
              <w:sdtContent>
                <w:r w:rsidR="00997A8D" w:rsidRPr="009B591C">
                  <w:rPr>
                    <w:rStyle w:val="Style2"/>
                    <w:rFonts w:ascii="Segoe UI Symbol" w:eastAsia="MS Gothic" w:hAnsi="Segoe UI Symbol" w:cs="Segoe UI Symbol"/>
                  </w:rPr>
                  <w:t>☒</w:t>
                </w:r>
              </w:sdtContent>
            </w:sdt>
            <w:r w:rsidR="00997A8D" w:rsidRPr="009B591C">
              <w:t xml:space="preserve"> 8.3 str. (pilna byla, pagrįsta savais tyrimais)</w:t>
            </w:r>
          </w:p>
          <w:p w14:paraId="68EC99A0" w14:textId="77777777" w:rsidR="00997A8D" w:rsidRPr="009B591C" w:rsidRDefault="00E23FCE" w:rsidP="009F4360">
            <w:pPr>
              <w:jc w:val="both"/>
            </w:pPr>
            <w:sdt>
              <w:sdtPr>
                <w:rPr>
                  <w:rStyle w:val="Style2"/>
                </w:rPr>
                <w:id w:val="1420981181"/>
                <w15:color w:val="FFCC00"/>
                <w14:checkbox>
                  <w14:checked w14:val="0"/>
                  <w14:checkedState w14:val="2612" w14:font="MS Gothic"/>
                  <w14:uncheckedState w14:val="2610" w14:font="MS Gothic"/>
                </w14:checkbox>
              </w:sdtPr>
              <w:sdtEndPr>
                <w:rPr>
                  <w:rStyle w:val="Style2"/>
                </w:rPr>
              </w:sdtEndPr>
              <w:sdtContent>
                <w:r w:rsidR="00997A8D" w:rsidRPr="009B591C">
                  <w:rPr>
                    <w:rStyle w:val="Style2"/>
                    <w:rFonts w:ascii="Segoe UI Symbol" w:eastAsia="MS Gothic" w:hAnsi="Segoe UI Symbol" w:cs="Segoe UI Symbol"/>
                  </w:rPr>
                  <w:t>☐</w:t>
                </w:r>
              </w:sdtContent>
            </w:sdt>
            <w:r w:rsidR="00997A8D" w:rsidRPr="009B591C">
              <w:t xml:space="preserve"> 10 a str. (pripažintas medicininis vartojimas)</w:t>
            </w:r>
          </w:p>
          <w:p w14:paraId="57CE86EF" w14:textId="77777777" w:rsidR="00997A8D" w:rsidRPr="009B591C" w:rsidRDefault="00E23FCE" w:rsidP="009F4360">
            <w:pPr>
              <w:jc w:val="both"/>
            </w:pPr>
            <w:sdt>
              <w:sdtPr>
                <w:rPr>
                  <w:rStyle w:val="Style2"/>
                </w:rPr>
                <w:id w:val="1758169412"/>
                <w15:color w:val="FFCC00"/>
                <w14:checkbox>
                  <w14:checked w14:val="0"/>
                  <w14:checkedState w14:val="2612" w14:font="MS Gothic"/>
                  <w14:uncheckedState w14:val="2610" w14:font="MS Gothic"/>
                </w14:checkbox>
              </w:sdtPr>
              <w:sdtEndPr>
                <w:rPr>
                  <w:rStyle w:val="Style2"/>
                </w:rPr>
              </w:sdtEndPr>
              <w:sdtContent>
                <w:r w:rsidR="00997A8D" w:rsidRPr="009B591C">
                  <w:rPr>
                    <w:rStyle w:val="Style2"/>
                    <w:rFonts w:ascii="Segoe UI Symbol" w:eastAsia="MS Gothic" w:hAnsi="Segoe UI Symbol" w:cs="Segoe UI Symbol"/>
                  </w:rPr>
                  <w:t>☐</w:t>
                </w:r>
              </w:sdtContent>
            </w:sdt>
            <w:r w:rsidR="00997A8D" w:rsidRPr="009B591C">
              <w:t xml:space="preserve"> 10.1 str. (generinis)</w:t>
            </w:r>
          </w:p>
          <w:p w14:paraId="291B69AC" w14:textId="77777777" w:rsidR="00997A8D" w:rsidRPr="009B591C" w:rsidRDefault="00E23FCE" w:rsidP="009F4360">
            <w:pPr>
              <w:jc w:val="both"/>
              <w:rPr>
                <w:rStyle w:val="Style2"/>
              </w:rPr>
            </w:pPr>
            <w:sdt>
              <w:sdtPr>
                <w:rPr>
                  <w:rStyle w:val="Style2"/>
                </w:rPr>
                <w:id w:val="1143015976"/>
                <w15:color w:val="FFCC00"/>
                <w14:checkbox>
                  <w14:checked w14:val="0"/>
                  <w14:checkedState w14:val="2612" w14:font="MS Gothic"/>
                  <w14:uncheckedState w14:val="2610" w14:font="MS Gothic"/>
                </w14:checkbox>
              </w:sdtPr>
              <w:sdtEndPr>
                <w:rPr>
                  <w:rStyle w:val="Style2"/>
                </w:rPr>
              </w:sdtEndPr>
              <w:sdtContent>
                <w:r w:rsidR="00997A8D" w:rsidRPr="009B591C">
                  <w:rPr>
                    <w:rStyle w:val="Style2"/>
                    <w:rFonts w:ascii="Segoe UI Symbol" w:eastAsia="MS Gothic" w:hAnsi="Segoe UI Symbol" w:cs="Segoe UI Symbol"/>
                  </w:rPr>
                  <w:t>☐</w:t>
                </w:r>
              </w:sdtContent>
            </w:sdt>
            <w:r w:rsidR="00997A8D" w:rsidRPr="009B591C">
              <w:t xml:space="preserve"> 10.3 str. (hibridinis)</w:t>
            </w:r>
          </w:p>
        </w:tc>
      </w:tr>
      <w:tr w:rsidR="00997A8D" w:rsidRPr="009B591C" w14:paraId="751E2FCD" w14:textId="77777777" w:rsidTr="00A977D2">
        <w:trPr>
          <w:trHeight w:val="1109"/>
        </w:trPr>
        <w:tc>
          <w:tcPr>
            <w:tcW w:w="705" w:type="dxa"/>
          </w:tcPr>
          <w:p w14:paraId="0E089189" w14:textId="77777777" w:rsidR="00997A8D" w:rsidRPr="009B591C" w:rsidRDefault="00997A8D" w:rsidP="009F4360">
            <w:pPr>
              <w:tabs>
                <w:tab w:val="left" w:pos="284"/>
              </w:tabs>
              <w:jc w:val="both"/>
              <w:rPr>
                <w:rFonts w:eastAsia="Arial"/>
                <w:b/>
              </w:rPr>
            </w:pPr>
            <w:r w:rsidRPr="009B591C">
              <w:rPr>
                <w:rFonts w:eastAsia="Arial"/>
                <w:b/>
              </w:rPr>
              <w:t>1.4</w:t>
            </w:r>
          </w:p>
        </w:tc>
        <w:tc>
          <w:tcPr>
            <w:tcW w:w="4117" w:type="dxa"/>
          </w:tcPr>
          <w:p w14:paraId="79C3E4F2" w14:textId="77777777" w:rsidR="00997A8D" w:rsidRPr="009B591C" w:rsidRDefault="00997A8D" w:rsidP="009F4360">
            <w:pPr>
              <w:tabs>
                <w:tab w:val="left" w:pos="284"/>
              </w:tabs>
              <w:jc w:val="both"/>
              <w:rPr>
                <w:b/>
                <w:bCs/>
                <w:lang w:eastAsia="lt-LT"/>
              </w:rPr>
            </w:pPr>
            <w:r w:rsidRPr="009B591C">
              <w:rPr>
                <w:b/>
                <w:bCs/>
                <w:lang w:eastAsia="lt-LT"/>
              </w:rPr>
              <w:t>Ar vaistinis preparatas įrašytas į Bendrijos retųjų vaistinių preparatų registrą?</w:t>
            </w:r>
          </w:p>
          <w:p w14:paraId="6B33103F" w14:textId="77777777" w:rsidR="00997A8D" w:rsidRPr="009B591C" w:rsidRDefault="00997A8D" w:rsidP="009F4360">
            <w:pPr>
              <w:tabs>
                <w:tab w:val="left" w:pos="284"/>
              </w:tabs>
              <w:jc w:val="both"/>
              <w:rPr>
                <w:bCs/>
                <w:i/>
                <w:lang w:eastAsia="lt-LT"/>
              </w:rPr>
            </w:pPr>
          </w:p>
          <w:p w14:paraId="21033627" w14:textId="77777777" w:rsidR="00997A8D" w:rsidRPr="009B591C" w:rsidRDefault="00997A8D" w:rsidP="009F4360">
            <w:pPr>
              <w:tabs>
                <w:tab w:val="left" w:pos="284"/>
              </w:tabs>
              <w:jc w:val="both"/>
              <w:rPr>
                <w:b/>
                <w:bCs/>
                <w:sz w:val="22"/>
                <w:szCs w:val="22"/>
                <w:lang w:eastAsia="lt-LT"/>
              </w:rPr>
            </w:pPr>
          </w:p>
        </w:tc>
        <w:tc>
          <w:tcPr>
            <w:tcW w:w="5096" w:type="dxa"/>
          </w:tcPr>
          <w:p w14:paraId="134133FD" w14:textId="77777777" w:rsidR="00997A8D" w:rsidRPr="009B591C" w:rsidRDefault="00E23FCE" w:rsidP="009F4360">
            <w:pPr>
              <w:jc w:val="both"/>
            </w:pPr>
            <w:sdt>
              <w:sdtPr>
                <w:rPr>
                  <w:rStyle w:val="Style2"/>
                </w:rPr>
                <w:id w:val="2024432173"/>
                <w15:color w:val="FFCC00"/>
                <w14:checkbox>
                  <w14:checked w14:val="0"/>
                  <w14:checkedState w14:val="2612" w14:font="MS Gothic"/>
                  <w14:uncheckedState w14:val="2610" w14:font="MS Gothic"/>
                </w14:checkbox>
              </w:sdtPr>
              <w:sdtEndPr>
                <w:rPr>
                  <w:rStyle w:val="Style2"/>
                </w:rPr>
              </w:sdtEndPr>
              <w:sdtContent>
                <w:r w:rsidR="00997A8D" w:rsidRPr="009B591C">
                  <w:rPr>
                    <w:rStyle w:val="Style2"/>
                    <w:rFonts w:ascii="Segoe UI Symbol" w:eastAsia="MS Gothic" w:hAnsi="Segoe UI Symbol" w:cs="Segoe UI Symbol"/>
                  </w:rPr>
                  <w:t>☐</w:t>
                </w:r>
              </w:sdtContent>
            </w:sdt>
            <w:r w:rsidR="00997A8D" w:rsidRPr="009B591C">
              <w:t xml:space="preserve"> Taip</w:t>
            </w:r>
          </w:p>
          <w:p w14:paraId="47741EC4" w14:textId="77777777" w:rsidR="00997A8D" w:rsidRPr="009B591C" w:rsidRDefault="00E23FCE" w:rsidP="009F4360">
            <w:pPr>
              <w:jc w:val="both"/>
            </w:pPr>
            <w:sdt>
              <w:sdtPr>
                <w:rPr>
                  <w:rStyle w:val="Style2"/>
                </w:rPr>
                <w:id w:val="-970507926"/>
                <w15:color w:val="FFCC00"/>
                <w14:checkbox>
                  <w14:checked w14:val="1"/>
                  <w14:checkedState w14:val="2612" w14:font="MS Gothic"/>
                  <w14:uncheckedState w14:val="2610" w14:font="MS Gothic"/>
                </w14:checkbox>
              </w:sdtPr>
              <w:sdtEndPr>
                <w:rPr>
                  <w:rStyle w:val="Style2"/>
                </w:rPr>
              </w:sdtEndPr>
              <w:sdtContent>
                <w:r w:rsidR="00997A8D" w:rsidRPr="009B591C">
                  <w:rPr>
                    <w:rStyle w:val="Style2"/>
                    <w:rFonts w:ascii="Segoe UI Symbol" w:eastAsia="MS Gothic" w:hAnsi="Segoe UI Symbol" w:cs="Segoe UI Symbol"/>
                  </w:rPr>
                  <w:t>☒</w:t>
                </w:r>
              </w:sdtContent>
            </w:sdt>
            <w:r w:rsidR="00997A8D" w:rsidRPr="009B591C">
              <w:t xml:space="preserve"> Ne</w:t>
            </w:r>
          </w:p>
          <w:p w14:paraId="4CCD2556" w14:textId="77777777" w:rsidR="00997A8D" w:rsidRPr="009B591C" w:rsidRDefault="00E23FCE" w:rsidP="009F4360">
            <w:pPr>
              <w:jc w:val="both"/>
              <w:rPr>
                <w:rFonts w:eastAsia="Arial"/>
                <w:b/>
              </w:rPr>
            </w:pPr>
            <w:sdt>
              <w:sdtPr>
                <w:alias w:val="Nurodykite konkrečią dieną"/>
                <w:tag w:val="Nurodykite pradžios datą"/>
                <w:id w:val="693498901"/>
                <w:placeholder>
                  <w:docPart w:val="5DC0FA577E589A4D8A0F2AA25CDDD4BC"/>
                </w:placeholder>
                <w:showingPlcHdr/>
                <w15:color w:val="FFCC99"/>
                <w:date w:fullDate="2022-05-18T00:00:00Z">
                  <w:dateFormat w:val="yyyy 'm.' MMMM d 'd.'"/>
                  <w:lid w:val="lt-LT"/>
                  <w:storeMappedDataAs w:val="dateTime"/>
                  <w:calendar w:val="gregorian"/>
                </w:date>
              </w:sdtPr>
              <w:sdtEndPr/>
              <w:sdtContent>
                <w:r w:rsidR="00997A8D" w:rsidRPr="009B591C">
                  <w:rPr>
                    <w:rStyle w:val="Vietosrezervavimoenklotekstas"/>
                  </w:rPr>
                  <w:t>Click here to enter a date.</w:t>
                </w:r>
              </w:sdtContent>
            </w:sdt>
          </w:p>
        </w:tc>
      </w:tr>
      <w:tr w:rsidR="009F4360" w:rsidRPr="009B591C" w14:paraId="519A484B" w14:textId="77777777" w:rsidTr="00A977D2">
        <w:trPr>
          <w:trHeight w:val="958"/>
        </w:trPr>
        <w:tc>
          <w:tcPr>
            <w:tcW w:w="705" w:type="dxa"/>
            <w:tcBorders>
              <w:bottom w:val="single" w:sz="4" w:space="0" w:color="auto"/>
            </w:tcBorders>
          </w:tcPr>
          <w:p w14:paraId="221CCA54" w14:textId="77777777" w:rsidR="009F4360" w:rsidRPr="009B591C" w:rsidRDefault="009F4360" w:rsidP="009F4360">
            <w:pPr>
              <w:tabs>
                <w:tab w:val="left" w:pos="284"/>
              </w:tabs>
              <w:jc w:val="both"/>
              <w:rPr>
                <w:rFonts w:eastAsia="Arial"/>
                <w:b/>
              </w:rPr>
            </w:pPr>
            <w:r w:rsidRPr="009B591C">
              <w:rPr>
                <w:rFonts w:eastAsia="Arial"/>
                <w:b/>
              </w:rPr>
              <w:t>1.5</w:t>
            </w:r>
          </w:p>
        </w:tc>
        <w:tc>
          <w:tcPr>
            <w:tcW w:w="4117" w:type="dxa"/>
            <w:tcBorders>
              <w:bottom w:val="single" w:sz="4" w:space="0" w:color="auto"/>
            </w:tcBorders>
          </w:tcPr>
          <w:p w14:paraId="458ABFEC" w14:textId="77777777" w:rsidR="009F4360" w:rsidRPr="009B591C" w:rsidRDefault="009F4360" w:rsidP="009F4360">
            <w:pPr>
              <w:tabs>
                <w:tab w:val="left" w:pos="284"/>
              </w:tabs>
              <w:jc w:val="both"/>
              <w:rPr>
                <w:b/>
                <w:bCs/>
                <w:lang w:eastAsia="lt-LT"/>
              </w:rPr>
            </w:pPr>
            <w:r w:rsidRPr="009B591C">
              <w:rPr>
                <w:b/>
                <w:bCs/>
                <w:lang w:eastAsia="lt-LT"/>
              </w:rPr>
              <w:t>Pareiškėjo teikiama (-os) kompensuoti preparato indikacija (-os)</w:t>
            </w:r>
          </w:p>
          <w:p w14:paraId="76F19E8B" w14:textId="77777777" w:rsidR="009F4360" w:rsidRPr="009B591C" w:rsidRDefault="009F4360" w:rsidP="009F4360">
            <w:pPr>
              <w:tabs>
                <w:tab w:val="left" w:pos="284"/>
              </w:tabs>
              <w:jc w:val="both"/>
              <w:rPr>
                <w:b/>
                <w:bCs/>
                <w:lang w:eastAsia="lt-LT"/>
              </w:rPr>
            </w:pPr>
          </w:p>
          <w:p w14:paraId="2E5C2439" w14:textId="77777777" w:rsidR="009F4360" w:rsidRPr="009B591C" w:rsidRDefault="009F4360" w:rsidP="009F4360">
            <w:pPr>
              <w:tabs>
                <w:tab w:val="left" w:pos="284"/>
              </w:tabs>
              <w:jc w:val="both"/>
              <w:rPr>
                <w:b/>
                <w:bCs/>
                <w:lang w:eastAsia="lt-LT"/>
              </w:rPr>
            </w:pPr>
          </w:p>
          <w:p w14:paraId="1FE65D93" w14:textId="77777777" w:rsidR="009F4360" w:rsidRPr="009B591C" w:rsidRDefault="009F4360" w:rsidP="009F4360">
            <w:pPr>
              <w:tabs>
                <w:tab w:val="left" w:pos="284"/>
              </w:tabs>
              <w:jc w:val="both"/>
              <w:rPr>
                <w:b/>
                <w:bCs/>
                <w:lang w:eastAsia="lt-LT"/>
              </w:rPr>
            </w:pPr>
          </w:p>
          <w:p w14:paraId="63A09316" w14:textId="77777777" w:rsidR="009F4360" w:rsidRPr="009B591C" w:rsidRDefault="009F4360" w:rsidP="009F4360">
            <w:pPr>
              <w:tabs>
                <w:tab w:val="left" w:pos="284"/>
              </w:tabs>
              <w:jc w:val="both"/>
              <w:rPr>
                <w:b/>
                <w:bCs/>
                <w:lang w:eastAsia="lt-LT"/>
              </w:rPr>
            </w:pPr>
          </w:p>
          <w:p w14:paraId="2237A629" w14:textId="77777777" w:rsidR="009F4360" w:rsidRPr="009B591C" w:rsidRDefault="009F4360" w:rsidP="009F4360">
            <w:pPr>
              <w:tabs>
                <w:tab w:val="left" w:pos="284"/>
              </w:tabs>
              <w:jc w:val="both"/>
              <w:rPr>
                <w:b/>
                <w:bCs/>
                <w:lang w:eastAsia="lt-LT"/>
              </w:rPr>
            </w:pPr>
            <w:r w:rsidRPr="009B591C">
              <w:rPr>
                <w:b/>
                <w:bCs/>
                <w:lang w:eastAsia="lt-LT"/>
              </w:rPr>
              <w:t>Kodas pagal TLK-10 AM</w:t>
            </w:r>
          </w:p>
        </w:tc>
        <w:tc>
          <w:tcPr>
            <w:tcW w:w="5096" w:type="dxa"/>
            <w:tcBorders>
              <w:bottom w:val="single" w:sz="4" w:space="0" w:color="auto"/>
            </w:tcBorders>
          </w:tcPr>
          <w:p w14:paraId="0026BB4D" w14:textId="77777777" w:rsidR="009F4360" w:rsidRPr="00483070" w:rsidRDefault="009F4360" w:rsidP="009F4360">
            <w:pPr>
              <w:jc w:val="both"/>
            </w:pPr>
            <w:r w:rsidRPr="00483070">
              <w:t xml:space="preserve">IMFINZI derinys su chemoterapija platinos pagrindu kaip neoadjuvantinis gydymas, po kurio kaip adjuvantinis gydymas skiriama monoterapija IMFINZI, skirtas gydyti suaugusiems pacientams, sergantiems operuotinu nesmulkialąsteliniu plaučių vėžiu (angl. </w:t>
            </w:r>
            <w:r w:rsidRPr="00483070">
              <w:rPr>
                <w:i/>
                <w:iCs/>
              </w:rPr>
              <w:t>non small cell lung cancer</w:t>
            </w:r>
            <w:r w:rsidRPr="00483070">
              <w:t xml:space="preserve">, NSCLC), kai yra didelė ligos atkryčio rizika ir nėra epidermio augimo faktoriaus receptorių (angl. </w:t>
            </w:r>
            <w:r w:rsidRPr="00483070">
              <w:rPr>
                <w:i/>
                <w:iCs/>
              </w:rPr>
              <w:t>epidermal growth factor receptor</w:t>
            </w:r>
            <w:r w:rsidRPr="00483070">
              <w:t>, EGFR) mutacijų arba anaplazinės limfomos kinazės (ALK) geno sekos pokyčių.</w:t>
            </w:r>
          </w:p>
          <w:p w14:paraId="0B4E3029" w14:textId="68EC240E" w:rsidR="009F4360" w:rsidRPr="009B591C" w:rsidRDefault="009F4360" w:rsidP="009F4360">
            <w:pPr>
              <w:pStyle w:val="Sraopastraipa"/>
              <w:spacing w:after="120"/>
              <w:ind w:left="0"/>
              <w:contextualSpacing w:val="0"/>
              <w:jc w:val="both"/>
            </w:pPr>
            <w:r w:rsidRPr="00483070">
              <w:lastRenderedPageBreak/>
              <w:t>TLK kodas C34.0</w:t>
            </w:r>
          </w:p>
        </w:tc>
      </w:tr>
      <w:tr w:rsidR="009F4360" w:rsidRPr="009B591C" w14:paraId="6F26C5E3" w14:textId="77777777" w:rsidTr="00A977D2">
        <w:trPr>
          <w:trHeight w:val="479"/>
        </w:trPr>
        <w:tc>
          <w:tcPr>
            <w:tcW w:w="705" w:type="dxa"/>
            <w:tcBorders>
              <w:top w:val="single" w:sz="4" w:space="0" w:color="auto"/>
              <w:left w:val="single" w:sz="4" w:space="0" w:color="auto"/>
              <w:bottom w:val="single" w:sz="4" w:space="0" w:color="auto"/>
              <w:right w:val="single" w:sz="4" w:space="0" w:color="auto"/>
            </w:tcBorders>
          </w:tcPr>
          <w:p w14:paraId="26D45651" w14:textId="77777777" w:rsidR="009F4360" w:rsidRPr="009B591C" w:rsidRDefault="009F4360" w:rsidP="009F4360">
            <w:pPr>
              <w:tabs>
                <w:tab w:val="left" w:pos="284"/>
              </w:tabs>
              <w:jc w:val="both"/>
              <w:rPr>
                <w:rFonts w:eastAsia="Arial"/>
                <w:b/>
              </w:rPr>
            </w:pPr>
            <w:r w:rsidRPr="009B591C">
              <w:rPr>
                <w:rFonts w:eastAsia="Arial"/>
                <w:b/>
              </w:rPr>
              <w:lastRenderedPageBreak/>
              <w:t>1.6</w:t>
            </w:r>
          </w:p>
        </w:tc>
        <w:tc>
          <w:tcPr>
            <w:tcW w:w="4117" w:type="dxa"/>
            <w:tcBorders>
              <w:top w:val="single" w:sz="4" w:space="0" w:color="auto"/>
              <w:left w:val="single" w:sz="4" w:space="0" w:color="auto"/>
              <w:bottom w:val="single" w:sz="4" w:space="0" w:color="auto"/>
              <w:right w:val="single" w:sz="4" w:space="0" w:color="auto"/>
            </w:tcBorders>
          </w:tcPr>
          <w:p w14:paraId="3B001893" w14:textId="77777777" w:rsidR="009F4360" w:rsidRPr="009B591C" w:rsidRDefault="009F4360" w:rsidP="009F4360">
            <w:pPr>
              <w:tabs>
                <w:tab w:val="left" w:pos="284"/>
              </w:tabs>
              <w:jc w:val="both"/>
              <w:rPr>
                <w:bCs/>
                <w:u w:val="single"/>
                <w:lang w:eastAsia="lt-LT"/>
              </w:rPr>
            </w:pPr>
            <w:r w:rsidRPr="009B591C">
              <w:rPr>
                <w:b/>
                <w:bCs/>
                <w:lang w:eastAsia="lt-LT"/>
              </w:rPr>
              <w:t>Pareiškėjo teikiamos skyrimo sąlygos</w:t>
            </w:r>
          </w:p>
        </w:tc>
        <w:tc>
          <w:tcPr>
            <w:tcW w:w="5096" w:type="dxa"/>
            <w:tcBorders>
              <w:top w:val="single" w:sz="4" w:space="0" w:color="auto"/>
              <w:left w:val="single" w:sz="4" w:space="0" w:color="auto"/>
              <w:bottom w:val="single" w:sz="4" w:space="0" w:color="auto"/>
              <w:right w:val="single" w:sz="4" w:space="0" w:color="auto"/>
            </w:tcBorders>
          </w:tcPr>
          <w:p w14:paraId="0DBB8D42" w14:textId="3E1314CD" w:rsidR="009F4360" w:rsidRPr="009B591C" w:rsidRDefault="009F4360" w:rsidP="009F4360">
            <w:pPr>
              <w:pStyle w:val="Sraopastraipa"/>
              <w:spacing w:after="120"/>
              <w:ind w:left="0"/>
              <w:contextualSpacing w:val="0"/>
              <w:jc w:val="both"/>
            </w:pPr>
            <w:r w:rsidRPr="00483070">
              <w:t>Nėra.</w:t>
            </w:r>
          </w:p>
        </w:tc>
      </w:tr>
      <w:tr w:rsidR="00997A8D" w:rsidRPr="009B591C" w14:paraId="0B3196CB" w14:textId="77777777" w:rsidTr="00A977D2">
        <w:trPr>
          <w:trHeight w:val="479"/>
        </w:trPr>
        <w:tc>
          <w:tcPr>
            <w:tcW w:w="705" w:type="dxa"/>
            <w:tcBorders>
              <w:top w:val="single" w:sz="4" w:space="0" w:color="auto"/>
              <w:left w:val="single" w:sz="4" w:space="0" w:color="auto"/>
              <w:bottom w:val="single" w:sz="4" w:space="0" w:color="auto"/>
              <w:right w:val="single" w:sz="4" w:space="0" w:color="auto"/>
            </w:tcBorders>
          </w:tcPr>
          <w:p w14:paraId="3D82760C" w14:textId="77777777" w:rsidR="00997A8D" w:rsidRPr="009B591C" w:rsidRDefault="00997A8D" w:rsidP="009F4360">
            <w:pPr>
              <w:tabs>
                <w:tab w:val="left" w:pos="284"/>
              </w:tabs>
              <w:jc w:val="both"/>
              <w:rPr>
                <w:rFonts w:eastAsia="Arial"/>
                <w:b/>
              </w:rPr>
            </w:pPr>
            <w:r w:rsidRPr="009B591C">
              <w:rPr>
                <w:rFonts w:eastAsia="Arial"/>
                <w:b/>
              </w:rPr>
              <w:t>1.7</w:t>
            </w:r>
          </w:p>
        </w:tc>
        <w:tc>
          <w:tcPr>
            <w:tcW w:w="4117" w:type="dxa"/>
            <w:tcBorders>
              <w:top w:val="single" w:sz="4" w:space="0" w:color="auto"/>
              <w:left w:val="single" w:sz="4" w:space="0" w:color="auto"/>
              <w:bottom w:val="single" w:sz="4" w:space="0" w:color="auto"/>
              <w:right w:val="single" w:sz="4" w:space="0" w:color="auto"/>
            </w:tcBorders>
          </w:tcPr>
          <w:p w14:paraId="50F78971" w14:textId="77777777" w:rsidR="00997A8D" w:rsidRPr="009B591C" w:rsidRDefault="00997A8D" w:rsidP="009F4360">
            <w:pPr>
              <w:tabs>
                <w:tab w:val="left" w:pos="284"/>
              </w:tabs>
              <w:jc w:val="both"/>
              <w:rPr>
                <w:b/>
                <w:bCs/>
                <w:lang w:eastAsia="lt-LT"/>
              </w:rPr>
            </w:pPr>
            <w:r w:rsidRPr="009B591C">
              <w:rPr>
                <w:b/>
              </w:rPr>
              <w:t>STV paraiškos pobūdis</w:t>
            </w:r>
          </w:p>
        </w:tc>
        <w:tc>
          <w:tcPr>
            <w:tcW w:w="5096" w:type="dxa"/>
            <w:tcBorders>
              <w:top w:val="single" w:sz="4" w:space="0" w:color="auto"/>
              <w:left w:val="single" w:sz="4" w:space="0" w:color="auto"/>
              <w:bottom w:val="single" w:sz="4" w:space="0" w:color="auto"/>
              <w:right w:val="single" w:sz="4" w:space="0" w:color="auto"/>
            </w:tcBorders>
          </w:tcPr>
          <w:p w14:paraId="4360A126" w14:textId="6F5A3263" w:rsidR="00997A8D" w:rsidRPr="009F4360" w:rsidRDefault="00E23FCE" w:rsidP="009F4360">
            <w:pPr>
              <w:jc w:val="both"/>
            </w:pPr>
            <w:sdt>
              <w:sdtPr>
                <w:rPr>
                  <w:rStyle w:val="Style2"/>
                  <w:sz w:val="24"/>
                </w:rPr>
                <w:id w:val="-468433535"/>
                <w15:color w:val="FFCC00"/>
                <w14:checkbox>
                  <w14:checked w14:val="1"/>
                  <w14:checkedState w14:val="2612" w14:font="MS Gothic"/>
                  <w14:uncheckedState w14:val="2610" w14:font="MS Gothic"/>
                </w14:checkbox>
              </w:sdtPr>
              <w:sdtEndPr>
                <w:rPr>
                  <w:rStyle w:val="Style2"/>
                </w:rPr>
              </w:sdtEndPr>
              <w:sdtContent>
                <w:r w:rsidR="009F4360" w:rsidRPr="009F4360">
                  <w:rPr>
                    <w:rStyle w:val="Style2"/>
                    <w:rFonts w:ascii="MS Gothic" w:eastAsia="MS Gothic" w:hAnsi="MS Gothic" w:hint="eastAsia"/>
                    <w:sz w:val="24"/>
                  </w:rPr>
                  <w:t>☒</w:t>
                </w:r>
              </w:sdtContent>
            </w:sdt>
            <w:r w:rsidR="00997A8D" w:rsidRPr="009F4360">
              <w:t xml:space="preserve"> Pilna paraiška</w:t>
            </w:r>
          </w:p>
          <w:p w14:paraId="6D12F443" w14:textId="5F583A36" w:rsidR="00997A8D" w:rsidRPr="009F4360" w:rsidRDefault="00E23FCE" w:rsidP="009F4360">
            <w:pPr>
              <w:jc w:val="both"/>
              <w:rPr>
                <w:rStyle w:val="Style2"/>
                <w:sz w:val="24"/>
              </w:rPr>
            </w:pPr>
            <w:sdt>
              <w:sdtPr>
                <w:rPr>
                  <w:rStyle w:val="Style2"/>
                  <w:sz w:val="24"/>
                </w:rPr>
                <w:id w:val="-1489014904"/>
                <w15:color w:val="FFCC00"/>
                <w14:checkbox>
                  <w14:checked w14:val="0"/>
                  <w14:checkedState w14:val="2612" w14:font="MS Gothic"/>
                  <w14:uncheckedState w14:val="2610" w14:font="MS Gothic"/>
                </w14:checkbox>
              </w:sdtPr>
              <w:sdtEndPr>
                <w:rPr>
                  <w:rStyle w:val="Style2"/>
                </w:rPr>
              </w:sdtEndPr>
              <w:sdtContent>
                <w:r w:rsidR="009F4360" w:rsidRPr="009F4360">
                  <w:rPr>
                    <w:rStyle w:val="Style2"/>
                    <w:rFonts w:ascii="MS Gothic" w:eastAsia="MS Gothic" w:hAnsi="MS Gothic" w:hint="eastAsia"/>
                    <w:sz w:val="24"/>
                  </w:rPr>
                  <w:t>☐</w:t>
                </w:r>
              </w:sdtContent>
            </w:sdt>
            <w:r w:rsidR="00997A8D" w:rsidRPr="009F4360">
              <w:t xml:space="preserve"> Supaprastinta paraiška</w:t>
            </w:r>
          </w:p>
        </w:tc>
      </w:tr>
      <w:tr w:rsidR="00997A8D" w:rsidRPr="009B591C" w14:paraId="7D61C658" w14:textId="77777777" w:rsidTr="00A977D2">
        <w:trPr>
          <w:trHeight w:val="479"/>
        </w:trPr>
        <w:tc>
          <w:tcPr>
            <w:tcW w:w="705" w:type="dxa"/>
            <w:tcBorders>
              <w:top w:val="single" w:sz="4" w:space="0" w:color="auto"/>
              <w:left w:val="single" w:sz="4" w:space="0" w:color="auto"/>
              <w:bottom w:val="single" w:sz="4" w:space="0" w:color="auto"/>
              <w:right w:val="single" w:sz="4" w:space="0" w:color="auto"/>
            </w:tcBorders>
          </w:tcPr>
          <w:p w14:paraId="0872A52B" w14:textId="77777777" w:rsidR="00997A8D" w:rsidRPr="009B591C" w:rsidRDefault="00997A8D" w:rsidP="009F4360">
            <w:pPr>
              <w:tabs>
                <w:tab w:val="left" w:pos="284"/>
              </w:tabs>
              <w:jc w:val="both"/>
              <w:rPr>
                <w:rFonts w:eastAsia="Arial"/>
                <w:b/>
              </w:rPr>
            </w:pPr>
            <w:r w:rsidRPr="009B591C">
              <w:rPr>
                <w:rFonts w:eastAsia="Arial"/>
                <w:b/>
              </w:rPr>
              <w:t>1.8</w:t>
            </w:r>
          </w:p>
        </w:tc>
        <w:tc>
          <w:tcPr>
            <w:tcW w:w="4117" w:type="dxa"/>
            <w:tcBorders>
              <w:top w:val="single" w:sz="4" w:space="0" w:color="auto"/>
              <w:left w:val="single" w:sz="4" w:space="0" w:color="auto"/>
              <w:bottom w:val="single" w:sz="4" w:space="0" w:color="auto"/>
              <w:right w:val="single" w:sz="4" w:space="0" w:color="auto"/>
            </w:tcBorders>
          </w:tcPr>
          <w:p w14:paraId="313717AC" w14:textId="77777777" w:rsidR="00997A8D" w:rsidRPr="009B591C" w:rsidRDefault="00997A8D" w:rsidP="009F4360">
            <w:pPr>
              <w:tabs>
                <w:tab w:val="left" w:pos="284"/>
              </w:tabs>
              <w:jc w:val="both"/>
              <w:rPr>
                <w:b/>
                <w:bCs/>
                <w:lang w:eastAsia="lt-LT"/>
              </w:rPr>
            </w:pPr>
            <w:r w:rsidRPr="009B591C">
              <w:rPr>
                <w:b/>
                <w:bCs/>
                <w:lang w:eastAsia="lt-LT"/>
              </w:rPr>
              <w:t>Klinikinių tyrimų tipas</w:t>
            </w:r>
          </w:p>
        </w:tc>
        <w:tc>
          <w:tcPr>
            <w:tcW w:w="5096" w:type="dxa"/>
            <w:tcBorders>
              <w:top w:val="single" w:sz="4" w:space="0" w:color="auto"/>
              <w:left w:val="single" w:sz="4" w:space="0" w:color="auto"/>
              <w:bottom w:val="single" w:sz="4" w:space="0" w:color="auto"/>
              <w:right w:val="single" w:sz="4" w:space="0" w:color="auto"/>
            </w:tcBorders>
          </w:tcPr>
          <w:p w14:paraId="2993EC0A" w14:textId="77777777" w:rsidR="00997A8D" w:rsidRPr="009F4360" w:rsidRDefault="00E23FCE" w:rsidP="009F4360">
            <w:pPr>
              <w:jc w:val="both"/>
            </w:pPr>
            <w:sdt>
              <w:sdtPr>
                <w:rPr>
                  <w:rStyle w:val="Style2"/>
                  <w:sz w:val="24"/>
                </w:rPr>
                <w:id w:val="-127552102"/>
                <w15:color w:val="FFCC00"/>
                <w14:checkbox>
                  <w14:checked w14:val="1"/>
                  <w14:checkedState w14:val="2612" w14:font="MS Gothic"/>
                  <w14:uncheckedState w14:val="2610" w14:font="MS Gothic"/>
                </w14:checkbox>
              </w:sdtPr>
              <w:sdtEndPr>
                <w:rPr>
                  <w:rStyle w:val="Style2"/>
                </w:rPr>
              </w:sdtEndPr>
              <w:sdtContent>
                <w:r w:rsidR="00997A8D" w:rsidRPr="009F4360">
                  <w:rPr>
                    <w:rStyle w:val="Style2"/>
                    <w:rFonts w:ascii="Segoe UI Symbol" w:eastAsia="MS Gothic" w:hAnsi="Segoe UI Symbol" w:cs="Segoe UI Symbol"/>
                    <w:sz w:val="24"/>
                  </w:rPr>
                  <w:t>☒</w:t>
                </w:r>
              </w:sdtContent>
            </w:sdt>
            <w:r w:rsidR="00997A8D" w:rsidRPr="009F4360">
              <w:t xml:space="preserve"> Tiesioginis palyginimas</w:t>
            </w:r>
          </w:p>
          <w:p w14:paraId="2AD30B35" w14:textId="0B909105" w:rsidR="00997A8D" w:rsidRPr="009F4360" w:rsidRDefault="00E23FCE" w:rsidP="009F4360">
            <w:pPr>
              <w:jc w:val="both"/>
            </w:pPr>
            <w:sdt>
              <w:sdtPr>
                <w:id w:val="1055667713"/>
                <w15:color w:val="FFCC00"/>
                <w14:checkbox>
                  <w14:checked w14:val="0"/>
                  <w14:checkedState w14:val="2612" w14:font="MS Gothic"/>
                  <w14:uncheckedState w14:val="2610" w14:font="MS Gothic"/>
                </w14:checkbox>
              </w:sdtPr>
              <w:sdtEndPr/>
              <w:sdtContent>
                <w:r w:rsidR="009F4360" w:rsidRPr="009F4360">
                  <w:rPr>
                    <w:rFonts w:ascii="MS Gothic" w:eastAsia="MS Gothic" w:hAnsi="MS Gothic" w:hint="eastAsia"/>
                  </w:rPr>
                  <w:t>☐</w:t>
                </w:r>
              </w:sdtContent>
            </w:sdt>
            <w:r w:rsidR="00997A8D" w:rsidRPr="009F4360">
              <w:t xml:space="preserve"> Netiesioginis palyginimas</w:t>
            </w:r>
          </w:p>
        </w:tc>
      </w:tr>
      <w:tr w:rsidR="00997A8D" w:rsidRPr="009B591C" w14:paraId="72FDBCDD" w14:textId="77777777" w:rsidTr="00A977D2">
        <w:trPr>
          <w:trHeight w:val="479"/>
        </w:trPr>
        <w:tc>
          <w:tcPr>
            <w:tcW w:w="705" w:type="dxa"/>
            <w:tcBorders>
              <w:top w:val="single" w:sz="4" w:space="0" w:color="auto"/>
              <w:left w:val="single" w:sz="4" w:space="0" w:color="auto"/>
              <w:bottom w:val="single" w:sz="4" w:space="0" w:color="auto"/>
              <w:right w:val="single" w:sz="4" w:space="0" w:color="auto"/>
            </w:tcBorders>
          </w:tcPr>
          <w:p w14:paraId="2B0312DC" w14:textId="77777777" w:rsidR="00997A8D" w:rsidRPr="009B591C" w:rsidRDefault="00997A8D" w:rsidP="009F4360">
            <w:pPr>
              <w:tabs>
                <w:tab w:val="left" w:pos="284"/>
              </w:tabs>
              <w:jc w:val="both"/>
              <w:rPr>
                <w:rFonts w:eastAsia="Arial"/>
                <w:b/>
              </w:rPr>
            </w:pPr>
            <w:r w:rsidRPr="009B591C">
              <w:rPr>
                <w:rFonts w:eastAsia="Arial"/>
                <w:b/>
              </w:rPr>
              <w:t>1.9</w:t>
            </w:r>
          </w:p>
        </w:tc>
        <w:tc>
          <w:tcPr>
            <w:tcW w:w="4117" w:type="dxa"/>
            <w:tcBorders>
              <w:top w:val="single" w:sz="4" w:space="0" w:color="auto"/>
              <w:left w:val="single" w:sz="4" w:space="0" w:color="auto"/>
              <w:bottom w:val="single" w:sz="4" w:space="0" w:color="auto"/>
              <w:right w:val="single" w:sz="4" w:space="0" w:color="auto"/>
            </w:tcBorders>
          </w:tcPr>
          <w:p w14:paraId="2FF74330" w14:textId="77777777" w:rsidR="00997A8D" w:rsidRPr="009B591C" w:rsidRDefault="00997A8D" w:rsidP="009F4360">
            <w:pPr>
              <w:tabs>
                <w:tab w:val="left" w:pos="284"/>
              </w:tabs>
              <w:jc w:val="both"/>
              <w:rPr>
                <w:b/>
                <w:bCs/>
                <w:lang w:eastAsia="lt-LT"/>
              </w:rPr>
            </w:pPr>
            <w:r w:rsidRPr="009B591C">
              <w:rPr>
                <w:b/>
                <w:bCs/>
                <w:lang w:eastAsia="lt-LT"/>
              </w:rPr>
              <w:t>Ekonominės analizės rūšis</w:t>
            </w:r>
          </w:p>
        </w:tc>
        <w:tc>
          <w:tcPr>
            <w:tcW w:w="5096" w:type="dxa"/>
            <w:tcBorders>
              <w:top w:val="single" w:sz="4" w:space="0" w:color="auto"/>
              <w:left w:val="single" w:sz="4" w:space="0" w:color="auto"/>
              <w:bottom w:val="single" w:sz="4" w:space="0" w:color="auto"/>
              <w:right w:val="single" w:sz="4" w:space="0" w:color="auto"/>
            </w:tcBorders>
          </w:tcPr>
          <w:p w14:paraId="3BD943EE" w14:textId="3A16ACCF" w:rsidR="00997A8D" w:rsidRPr="009F4360" w:rsidRDefault="00E23FCE" w:rsidP="009F4360">
            <w:pPr>
              <w:jc w:val="both"/>
            </w:pPr>
            <w:sdt>
              <w:sdtPr>
                <w:rPr>
                  <w:rStyle w:val="Style2"/>
                  <w:sz w:val="24"/>
                </w:rPr>
                <w:id w:val="61999468"/>
                <w15:color w:val="FFCC00"/>
                <w14:checkbox>
                  <w14:checked w14:val="1"/>
                  <w14:checkedState w14:val="2612" w14:font="MS Gothic"/>
                  <w14:uncheckedState w14:val="2610" w14:font="MS Gothic"/>
                </w14:checkbox>
              </w:sdtPr>
              <w:sdtEndPr>
                <w:rPr>
                  <w:rStyle w:val="Style2"/>
                </w:rPr>
              </w:sdtEndPr>
              <w:sdtContent>
                <w:r w:rsidR="009F4360" w:rsidRPr="009F4360">
                  <w:rPr>
                    <w:rStyle w:val="Style2"/>
                    <w:rFonts w:ascii="MS Gothic" w:eastAsia="MS Gothic" w:hAnsi="MS Gothic" w:hint="eastAsia"/>
                    <w:sz w:val="24"/>
                  </w:rPr>
                  <w:t>☒</w:t>
                </w:r>
              </w:sdtContent>
            </w:sdt>
            <w:r w:rsidR="00997A8D" w:rsidRPr="009F4360">
              <w:t xml:space="preserve"> Kaštų naudingumo analizė</w:t>
            </w:r>
          </w:p>
          <w:p w14:paraId="190FE3D8" w14:textId="2D5A6C0C" w:rsidR="00997A8D" w:rsidRPr="009F4360" w:rsidRDefault="00E23FCE" w:rsidP="009F4360">
            <w:pPr>
              <w:jc w:val="both"/>
            </w:pPr>
            <w:sdt>
              <w:sdtPr>
                <w:rPr>
                  <w:rStyle w:val="Style2"/>
                  <w:sz w:val="24"/>
                </w:rPr>
                <w:id w:val="-797297754"/>
                <w15:color w:val="FFCC00"/>
                <w14:checkbox>
                  <w14:checked w14:val="0"/>
                  <w14:checkedState w14:val="2612" w14:font="MS Gothic"/>
                  <w14:uncheckedState w14:val="2610" w14:font="MS Gothic"/>
                </w14:checkbox>
              </w:sdtPr>
              <w:sdtEndPr>
                <w:rPr>
                  <w:rStyle w:val="Style2"/>
                </w:rPr>
              </w:sdtEndPr>
              <w:sdtContent>
                <w:r w:rsidR="009F4360" w:rsidRPr="009F4360">
                  <w:rPr>
                    <w:rStyle w:val="Style2"/>
                    <w:rFonts w:ascii="MS Gothic" w:eastAsia="MS Gothic" w:hAnsi="MS Gothic" w:hint="eastAsia"/>
                    <w:sz w:val="24"/>
                  </w:rPr>
                  <w:t>☐</w:t>
                </w:r>
              </w:sdtContent>
            </w:sdt>
            <w:r w:rsidR="00997A8D" w:rsidRPr="009F4360">
              <w:t xml:space="preserve"> Kaštų mažinimo analizė</w:t>
            </w:r>
          </w:p>
          <w:p w14:paraId="11A49BE8" w14:textId="06FEF265" w:rsidR="00997A8D" w:rsidRPr="009F4360" w:rsidRDefault="00E23FCE" w:rsidP="009F4360">
            <w:pPr>
              <w:jc w:val="both"/>
            </w:pPr>
            <w:sdt>
              <w:sdtPr>
                <w:rPr>
                  <w:rStyle w:val="Style2"/>
                  <w:sz w:val="24"/>
                </w:rPr>
                <w:id w:val="-1260065246"/>
                <w15:color w:val="FFCC00"/>
                <w14:checkbox>
                  <w14:checked w14:val="0"/>
                  <w14:checkedState w14:val="2612" w14:font="MS Gothic"/>
                  <w14:uncheckedState w14:val="2610" w14:font="MS Gothic"/>
                </w14:checkbox>
              </w:sdtPr>
              <w:sdtEndPr>
                <w:rPr>
                  <w:rStyle w:val="Style2"/>
                </w:rPr>
              </w:sdtEndPr>
              <w:sdtContent>
                <w:r w:rsidR="009F4360" w:rsidRPr="009F4360">
                  <w:rPr>
                    <w:rStyle w:val="Style2"/>
                    <w:rFonts w:ascii="MS Gothic" w:eastAsia="MS Gothic" w:hAnsi="MS Gothic" w:hint="eastAsia"/>
                    <w:sz w:val="24"/>
                  </w:rPr>
                  <w:t>☐</w:t>
                </w:r>
              </w:sdtContent>
            </w:sdt>
            <w:r w:rsidR="00997A8D" w:rsidRPr="009F4360">
              <w:t xml:space="preserve"> Kita: </w:t>
            </w:r>
            <w:sdt>
              <w:sdtPr>
                <w:alias w:val="Įrašykite"/>
                <w:tag w:val="Įrašykite"/>
                <w:id w:val="-73658265"/>
                <w:placeholder>
                  <w:docPart w:val="9E916E70BFF8B34BA2EE0D733932B576"/>
                </w:placeholder>
                <w15:color w:val="FFCC99"/>
              </w:sdtPr>
              <w:sdtEndPr/>
              <w:sdtContent>
                <w:r w:rsidR="00997A8D" w:rsidRPr="009F4360">
                  <w:t>_________________</w:t>
                </w:r>
              </w:sdtContent>
            </w:sdt>
          </w:p>
        </w:tc>
      </w:tr>
    </w:tbl>
    <w:p w14:paraId="0B436339" w14:textId="77777777" w:rsidR="00997A8D" w:rsidRPr="009B591C" w:rsidRDefault="00997A8D" w:rsidP="00997A8D">
      <w:pPr>
        <w:spacing w:line="276" w:lineRule="auto"/>
        <w:jc w:val="both"/>
        <w:rPr>
          <w:rFonts w:eastAsia="Arial"/>
        </w:rPr>
      </w:pPr>
    </w:p>
    <w:p w14:paraId="2871CA7F" w14:textId="3B53C629" w:rsidR="00F70C9E" w:rsidRPr="009F4360" w:rsidRDefault="009F4360" w:rsidP="009F4360">
      <w:pPr>
        <w:spacing w:line="276" w:lineRule="auto"/>
        <w:jc w:val="both"/>
        <w:rPr>
          <w:rFonts w:eastAsia="Arial"/>
          <w:b/>
        </w:rPr>
      </w:pPr>
      <w:r>
        <w:rPr>
          <w:rFonts w:eastAsia="Arial"/>
          <w:b/>
        </w:rPr>
        <w:t xml:space="preserve">1.10 </w:t>
      </w:r>
      <w:r w:rsidR="00F70C9E" w:rsidRPr="009F4360">
        <w:rPr>
          <w:rFonts w:eastAsia="Arial"/>
          <w:b/>
        </w:rPr>
        <w:t xml:space="preserve">Kitų </w:t>
      </w:r>
      <w:r w:rsidR="00DF583C" w:rsidRPr="009F4360">
        <w:rPr>
          <w:rFonts w:eastAsia="Arial"/>
          <w:b/>
        </w:rPr>
        <w:t xml:space="preserve">valstybių </w:t>
      </w:r>
      <w:r w:rsidR="00F70C9E" w:rsidRPr="009F4360">
        <w:rPr>
          <w:rFonts w:eastAsia="Arial"/>
          <w:b/>
        </w:rPr>
        <w:t xml:space="preserve">atsakingų institucijų atlikto </w:t>
      </w:r>
      <w:r w:rsidR="00DF583C" w:rsidRPr="009F4360">
        <w:rPr>
          <w:rFonts w:eastAsia="Arial"/>
          <w:b/>
        </w:rPr>
        <w:t>Sveikatos technologijų vertinimo (toliau – STV)</w:t>
      </w:r>
      <w:r w:rsidR="00F70C9E" w:rsidRPr="009F4360">
        <w:rPr>
          <w:rFonts w:eastAsia="Arial"/>
          <w:b/>
        </w:rPr>
        <w:t xml:space="preserve"> išvados</w:t>
      </w:r>
    </w:p>
    <w:p w14:paraId="54B9300F" w14:textId="77777777" w:rsidR="00997A8D" w:rsidRPr="009B591C" w:rsidRDefault="00997A8D" w:rsidP="00997A8D">
      <w:pPr>
        <w:spacing w:line="276" w:lineRule="auto"/>
        <w:jc w:val="both"/>
        <w:rPr>
          <w:rFonts w:eastAsia="Arial"/>
        </w:rPr>
      </w:pPr>
    </w:p>
    <w:tbl>
      <w:tblPr>
        <w:tblStyle w:val="Lentelstinklelis"/>
        <w:tblW w:w="9918" w:type="dxa"/>
        <w:tblLook w:val="04A0" w:firstRow="1" w:lastRow="0" w:firstColumn="1" w:lastColumn="0" w:noHBand="0" w:noVBand="1"/>
      </w:tblPr>
      <w:tblGrid>
        <w:gridCol w:w="2525"/>
        <w:gridCol w:w="1723"/>
        <w:gridCol w:w="2987"/>
        <w:gridCol w:w="2683"/>
      </w:tblGrid>
      <w:tr w:rsidR="00997A8D" w:rsidRPr="009B591C" w14:paraId="24BB028B" w14:textId="77777777" w:rsidTr="00A977D2">
        <w:trPr>
          <w:trHeight w:val="924"/>
        </w:trPr>
        <w:tc>
          <w:tcPr>
            <w:tcW w:w="2525" w:type="dxa"/>
          </w:tcPr>
          <w:p w14:paraId="5F759C3E" w14:textId="77777777" w:rsidR="00997A8D" w:rsidRPr="009B591C" w:rsidRDefault="00997A8D" w:rsidP="00A977D2">
            <w:pPr>
              <w:spacing w:line="276" w:lineRule="auto"/>
              <w:jc w:val="both"/>
              <w:rPr>
                <w:rFonts w:eastAsia="Arial"/>
              </w:rPr>
            </w:pPr>
            <w:r w:rsidRPr="009B591C">
              <w:rPr>
                <w:rFonts w:eastAsia="Arial"/>
              </w:rPr>
              <w:t>STV agentūros pavadinimas, šalis</w:t>
            </w:r>
          </w:p>
        </w:tc>
        <w:tc>
          <w:tcPr>
            <w:tcW w:w="1723" w:type="dxa"/>
          </w:tcPr>
          <w:p w14:paraId="3DF7ECD6" w14:textId="77777777" w:rsidR="00997A8D" w:rsidRPr="009B591C" w:rsidRDefault="00997A8D" w:rsidP="00A977D2">
            <w:pPr>
              <w:spacing w:line="276" w:lineRule="auto"/>
              <w:jc w:val="both"/>
              <w:rPr>
                <w:rFonts w:eastAsia="Arial"/>
              </w:rPr>
            </w:pPr>
            <w:r w:rsidRPr="009B591C">
              <w:rPr>
                <w:rFonts w:eastAsia="Arial"/>
              </w:rPr>
              <w:t>STV vertinimas atliktas</w:t>
            </w:r>
          </w:p>
        </w:tc>
        <w:tc>
          <w:tcPr>
            <w:tcW w:w="2987" w:type="dxa"/>
          </w:tcPr>
          <w:p w14:paraId="6B45A050" w14:textId="77777777" w:rsidR="00997A8D" w:rsidRPr="009B591C" w:rsidRDefault="00997A8D" w:rsidP="00A977D2">
            <w:pPr>
              <w:spacing w:line="276" w:lineRule="auto"/>
              <w:jc w:val="both"/>
              <w:rPr>
                <w:rFonts w:eastAsia="Arial"/>
              </w:rPr>
            </w:pPr>
            <w:r w:rsidRPr="009B591C">
              <w:rPr>
                <w:rFonts w:eastAsia="Arial"/>
              </w:rPr>
              <w:t>Klinikinio vertinimo išvada</w:t>
            </w:r>
          </w:p>
        </w:tc>
        <w:tc>
          <w:tcPr>
            <w:tcW w:w="2683" w:type="dxa"/>
          </w:tcPr>
          <w:p w14:paraId="6923FD58" w14:textId="77777777" w:rsidR="00997A8D" w:rsidRPr="009B591C" w:rsidRDefault="00997A8D" w:rsidP="00A977D2">
            <w:pPr>
              <w:spacing w:line="276" w:lineRule="auto"/>
              <w:jc w:val="both"/>
              <w:rPr>
                <w:rFonts w:eastAsia="Arial"/>
              </w:rPr>
            </w:pPr>
            <w:r w:rsidRPr="009B591C">
              <w:rPr>
                <w:rFonts w:eastAsia="Arial"/>
              </w:rPr>
              <w:t>Farmakoekonominio vertinimo išvada</w:t>
            </w:r>
          </w:p>
        </w:tc>
      </w:tr>
      <w:tr w:rsidR="009F4360" w:rsidRPr="009B591C" w14:paraId="3BA7A227" w14:textId="77777777" w:rsidTr="00A977D2">
        <w:trPr>
          <w:trHeight w:val="1765"/>
        </w:trPr>
        <w:tc>
          <w:tcPr>
            <w:tcW w:w="2525" w:type="dxa"/>
          </w:tcPr>
          <w:p w14:paraId="628D454C" w14:textId="77777777" w:rsidR="009F4360" w:rsidRPr="00483070" w:rsidRDefault="009F4360" w:rsidP="009F4360">
            <w:pPr>
              <w:autoSpaceDE w:val="0"/>
              <w:autoSpaceDN w:val="0"/>
              <w:adjustRightInd w:val="0"/>
              <w:rPr>
                <w:bCs/>
              </w:rPr>
            </w:pPr>
            <w:r w:rsidRPr="00483070">
              <w:rPr>
                <w:bCs/>
              </w:rPr>
              <w:t>Nacionalinis sveikatos ir klinikinės kompetencijos institutas, Didžioji Britanija</w:t>
            </w:r>
          </w:p>
          <w:p w14:paraId="5B13E170" w14:textId="60A862D4" w:rsidR="009F4360" w:rsidRPr="009B591C" w:rsidRDefault="009F4360" w:rsidP="009F4360">
            <w:pPr>
              <w:spacing w:line="276" w:lineRule="auto"/>
              <w:jc w:val="both"/>
              <w:rPr>
                <w:rFonts w:eastAsia="Arial"/>
              </w:rPr>
            </w:pPr>
            <w:r w:rsidRPr="00483070">
              <w:rPr>
                <w:rFonts w:eastAsia="Arial"/>
              </w:rPr>
              <w:t xml:space="preserve">(angl. </w:t>
            </w:r>
            <w:r w:rsidRPr="00483070">
              <w:rPr>
                <w:rFonts w:eastAsia="Arial"/>
                <w:i/>
              </w:rPr>
              <w:t>National Institute for Health and Care Excellence, NICE</w:t>
            </w:r>
            <w:r w:rsidRPr="00483070">
              <w:rPr>
                <w:rFonts w:eastAsia="Arial"/>
              </w:rPr>
              <w:t>)</w:t>
            </w:r>
          </w:p>
        </w:tc>
        <w:tc>
          <w:tcPr>
            <w:tcW w:w="1723" w:type="dxa"/>
          </w:tcPr>
          <w:p w14:paraId="6F3A5AA3" w14:textId="77777777" w:rsidR="009F4360" w:rsidRPr="00483070" w:rsidRDefault="00E23FCE" w:rsidP="009F4360">
            <w:sdt>
              <w:sdtPr>
                <w:rPr>
                  <w:rStyle w:val="Style2"/>
                </w:rPr>
                <w:id w:val="1558205022"/>
                <w15:color w:val="FFCC00"/>
                <w14:checkbox>
                  <w14:checked w14:val="1"/>
                  <w14:checkedState w14:val="2612" w14:font="MS Gothic"/>
                  <w14:uncheckedState w14:val="2610" w14:font="MS Gothic"/>
                </w14:checkbox>
              </w:sdtPr>
              <w:sdtEndPr>
                <w:rPr>
                  <w:rStyle w:val="Style2"/>
                </w:rPr>
              </w:sdtEndPr>
              <w:sdtContent>
                <w:r w:rsidR="009F4360" w:rsidRPr="00483070">
                  <w:rPr>
                    <w:rStyle w:val="Style2"/>
                    <w:rFonts w:ascii="MS Gothic" w:eastAsia="MS Gothic" w:hAnsi="MS Gothic" w:hint="eastAsia"/>
                  </w:rPr>
                  <w:t>☒</w:t>
                </w:r>
              </w:sdtContent>
            </w:sdt>
            <w:r w:rsidR="009F4360" w:rsidRPr="00483070">
              <w:t xml:space="preserve"> Taip</w:t>
            </w:r>
          </w:p>
          <w:p w14:paraId="2CB41C46" w14:textId="77777777" w:rsidR="009F4360" w:rsidRPr="00483070" w:rsidRDefault="00E23FCE" w:rsidP="009F4360">
            <w:sdt>
              <w:sdtPr>
                <w:rPr>
                  <w:rStyle w:val="Style2"/>
                </w:rPr>
                <w:id w:val="866029625"/>
                <w15:color w:val="FFCC00"/>
                <w14:checkbox>
                  <w14:checked w14:val="0"/>
                  <w14:checkedState w14:val="2612" w14:font="MS Gothic"/>
                  <w14:uncheckedState w14:val="2610" w14:font="MS Gothic"/>
                </w14:checkbox>
              </w:sdtPr>
              <w:sdtEndPr>
                <w:rPr>
                  <w:rStyle w:val="Style2"/>
                </w:rPr>
              </w:sdtEndPr>
              <w:sdtContent>
                <w:r w:rsidR="009F4360" w:rsidRPr="00483070">
                  <w:rPr>
                    <w:rStyle w:val="Style2"/>
                    <w:rFonts w:ascii="MS Gothic" w:eastAsia="MS Gothic" w:hAnsi="MS Gothic" w:hint="eastAsia"/>
                  </w:rPr>
                  <w:t>☐</w:t>
                </w:r>
              </w:sdtContent>
            </w:sdt>
            <w:r w:rsidR="009F4360" w:rsidRPr="00483070">
              <w:t xml:space="preserve"> Ne</w:t>
            </w:r>
          </w:p>
          <w:p w14:paraId="37ED8EE6" w14:textId="14AD630D" w:rsidR="009F4360" w:rsidRPr="009B591C" w:rsidRDefault="00E23FCE" w:rsidP="009F4360">
            <w:pPr>
              <w:spacing w:line="276" w:lineRule="auto"/>
              <w:jc w:val="both"/>
              <w:rPr>
                <w:rFonts w:eastAsia="Arial"/>
              </w:rPr>
            </w:pPr>
            <w:sdt>
              <w:sdtPr>
                <w:alias w:val="Nurodykite konkrečią dieną"/>
                <w:tag w:val="Nurodykite pradžios datą"/>
                <w:id w:val="922837954"/>
                <w:placeholder>
                  <w:docPart w:val="6485187203EE4312975CEC647C83F0F5"/>
                </w:placeholder>
                <w15:color w:val="FFCC99"/>
                <w:date>
                  <w:dateFormat w:val="yyyy 'm.' MMMM d 'd.'"/>
                  <w:lid w:val="lt-LT"/>
                  <w:storeMappedDataAs w:val="dateTime"/>
                  <w:calendar w:val="gregorian"/>
                </w:date>
              </w:sdtPr>
              <w:sdtEndPr/>
              <w:sdtContent>
                <w:r w:rsidR="009F4360" w:rsidRPr="00483070">
                  <w:t>2025 m. sausio 15 d.</w:t>
                </w:r>
              </w:sdtContent>
            </w:sdt>
          </w:p>
        </w:tc>
        <w:tc>
          <w:tcPr>
            <w:tcW w:w="5670" w:type="dxa"/>
            <w:gridSpan w:val="2"/>
          </w:tcPr>
          <w:p w14:paraId="4CE884E6" w14:textId="77777777" w:rsidR="009F4360" w:rsidRPr="00573641" w:rsidRDefault="009F4360" w:rsidP="009F4360">
            <w:pPr>
              <w:jc w:val="both"/>
              <w:rPr>
                <w:rFonts w:eastAsia="Arial"/>
              </w:rPr>
            </w:pPr>
            <w:r w:rsidRPr="00573641">
              <w:rPr>
                <w:rFonts w:eastAsia="Arial"/>
              </w:rPr>
              <w:t>Durvalumabas yra rekomenduojamas, pagal jo registracijos sąlygas, kaip neoadjuvantinis gydymas kartu su platina pagrįsta chemoterapija, o vėliau tęsiamas kaip adjuvantinis gydymas, skirtas suaugusiųjų nesmulkiųjų ląstelių plaučių vėžiui (NSLPV) gydyti, kai:</w:t>
            </w:r>
          </w:p>
          <w:p w14:paraId="0F3F409A" w14:textId="77777777" w:rsidR="009F4360" w:rsidRPr="00573641" w:rsidRDefault="009F4360" w:rsidP="009F4360">
            <w:pPr>
              <w:numPr>
                <w:ilvl w:val="0"/>
                <w:numId w:val="14"/>
              </w:numPr>
              <w:jc w:val="both"/>
              <w:rPr>
                <w:rFonts w:eastAsia="Arial"/>
              </w:rPr>
            </w:pPr>
            <w:r w:rsidRPr="00573641">
              <w:rPr>
                <w:rFonts w:eastAsia="Arial"/>
              </w:rPr>
              <w:t>navikas yra rezekuojamas (navikai ≥4 cm arba su teigiamais limfmazgiais) ir</w:t>
            </w:r>
          </w:p>
          <w:p w14:paraId="2F8FD33D" w14:textId="089E0DA5" w:rsidR="009F4360" w:rsidRPr="009B591C" w:rsidRDefault="009F4360" w:rsidP="009F4360">
            <w:pPr>
              <w:spacing w:line="276" w:lineRule="auto"/>
              <w:jc w:val="both"/>
              <w:rPr>
                <w:rFonts w:eastAsia="Arial"/>
              </w:rPr>
            </w:pPr>
            <w:r w:rsidRPr="00573641">
              <w:rPr>
                <w:rFonts w:eastAsia="Arial"/>
              </w:rPr>
              <w:t>nėra epiderminio augimo faktoriaus receptoriaus (EGFR) mutacijų ar anaplastinės limfomos kinazės (ALK) persitvarkymų.</w:t>
            </w:r>
          </w:p>
        </w:tc>
      </w:tr>
      <w:tr w:rsidR="009F4360" w:rsidRPr="009B591C" w14:paraId="44915517" w14:textId="77777777" w:rsidTr="00A977D2">
        <w:trPr>
          <w:trHeight w:val="1547"/>
        </w:trPr>
        <w:tc>
          <w:tcPr>
            <w:tcW w:w="2525" w:type="dxa"/>
          </w:tcPr>
          <w:p w14:paraId="2BCB7199" w14:textId="77777777" w:rsidR="009F4360" w:rsidRPr="00483070" w:rsidRDefault="009F4360" w:rsidP="009F4360">
            <w:pPr>
              <w:spacing w:line="276" w:lineRule="auto"/>
              <w:rPr>
                <w:rFonts w:eastAsia="Arial"/>
              </w:rPr>
            </w:pPr>
            <w:r w:rsidRPr="00483070">
              <w:rPr>
                <w:rFonts w:eastAsia="Arial"/>
              </w:rPr>
              <w:t>Kanados sveikatos technologijų agentūra</w:t>
            </w:r>
          </w:p>
          <w:p w14:paraId="2DD26208" w14:textId="36D1C18A" w:rsidR="009F4360" w:rsidRPr="009B591C" w:rsidRDefault="009F4360" w:rsidP="009F4360">
            <w:pPr>
              <w:spacing w:line="276" w:lineRule="auto"/>
              <w:jc w:val="both"/>
              <w:rPr>
                <w:rFonts w:eastAsia="Arial"/>
              </w:rPr>
            </w:pPr>
            <w:r w:rsidRPr="00483070">
              <w:rPr>
                <w:rFonts w:eastAsia="Arial"/>
              </w:rPr>
              <w:t xml:space="preserve">(angl. </w:t>
            </w:r>
            <w:r w:rsidRPr="00483070">
              <w:rPr>
                <w:rFonts w:eastAsia="Arial"/>
                <w:i/>
              </w:rPr>
              <w:t>Canadian health Technology Assessment agency, CADTH</w:t>
            </w:r>
            <w:r w:rsidRPr="00483070">
              <w:rPr>
                <w:rFonts w:eastAsia="Arial"/>
              </w:rPr>
              <w:t>)</w:t>
            </w:r>
          </w:p>
        </w:tc>
        <w:tc>
          <w:tcPr>
            <w:tcW w:w="1723" w:type="dxa"/>
          </w:tcPr>
          <w:p w14:paraId="55ABD539" w14:textId="77777777" w:rsidR="009F4360" w:rsidRPr="00483070" w:rsidRDefault="00E23FCE" w:rsidP="009F4360">
            <w:sdt>
              <w:sdtPr>
                <w:rPr>
                  <w:rStyle w:val="Style2"/>
                </w:rPr>
                <w:id w:val="-372539057"/>
                <w15:color w:val="FFCC00"/>
                <w14:checkbox>
                  <w14:checked w14:val="0"/>
                  <w14:checkedState w14:val="2612" w14:font="MS Gothic"/>
                  <w14:uncheckedState w14:val="2610" w14:font="MS Gothic"/>
                </w14:checkbox>
              </w:sdtPr>
              <w:sdtEndPr>
                <w:rPr>
                  <w:rStyle w:val="Style2"/>
                </w:rPr>
              </w:sdtEndPr>
              <w:sdtContent>
                <w:r w:rsidR="009F4360" w:rsidRPr="00483070">
                  <w:rPr>
                    <w:rStyle w:val="Style2"/>
                    <w:rFonts w:ascii="MS Gothic" w:eastAsia="MS Gothic" w:hAnsi="MS Gothic" w:hint="eastAsia"/>
                  </w:rPr>
                  <w:t>☐</w:t>
                </w:r>
              </w:sdtContent>
            </w:sdt>
            <w:r w:rsidR="009F4360" w:rsidRPr="00483070">
              <w:t xml:space="preserve"> Taip</w:t>
            </w:r>
          </w:p>
          <w:p w14:paraId="3C1FCE9D" w14:textId="77777777" w:rsidR="009F4360" w:rsidRPr="00483070" w:rsidRDefault="00E23FCE" w:rsidP="009F4360">
            <w:sdt>
              <w:sdtPr>
                <w:rPr>
                  <w:rStyle w:val="Style2"/>
                </w:rPr>
                <w:id w:val="594442222"/>
                <w15:color w:val="FFCC00"/>
                <w14:checkbox>
                  <w14:checked w14:val="1"/>
                  <w14:checkedState w14:val="2612" w14:font="MS Gothic"/>
                  <w14:uncheckedState w14:val="2610" w14:font="MS Gothic"/>
                </w14:checkbox>
              </w:sdtPr>
              <w:sdtEndPr>
                <w:rPr>
                  <w:rStyle w:val="Style2"/>
                </w:rPr>
              </w:sdtEndPr>
              <w:sdtContent>
                <w:r w:rsidR="009F4360" w:rsidRPr="00483070">
                  <w:rPr>
                    <w:rStyle w:val="Style2"/>
                    <w:rFonts w:ascii="MS Gothic" w:eastAsia="MS Gothic" w:hAnsi="MS Gothic" w:hint="eastAsia"/>
                  </w:rPr>
                  <w:t>☒</w:t>
                </w:r>
              </w:sdtContent>
            </w:sdt>
            <w:r w:rsidR="009F4360" w:rsidRPr="00483070">
              <w:t xml:space="preserve"> Ne</w:t>
            </w:r>
          </w:p>
          <w:p w14:paraId="1B8DC7A3" w14:textId="2B462DE2" w:rsidR="009F4360" w:rsidRPr="009B591C" w:rsidRDefault="00E23FCE" w:rsidP="009F4360">
            <w:pPr>
              <w:spacing w:line="276" w:lineRule="auto"/>
              <w:jc w:val="both"/>
              <w:rPr>
                <w:rFonts w:eastAsia="Arial"/>
              </w:rPr>
            </w:pPr>
            <w:sdt>
              <w:sdtPr>
                <w:alias w:val="Nurodykite konkrečią dieną"/>
                <w:tag w:val="Nurodykite pradžios datą"/>
                <w:id w:val="1072468416"/>
                <w:placeholder>
                  <w:docPart w:val="E7E6C64599E94375893977F9116A6941"/>
                </w:placeholder>
                <w:showingPlcHdr/>
                <w15:color w:val="FFCC99"/>
                <w:date>
                  <w:dateFormat w:val="yyyy 'm.' MMMM d 'd.'"/>
                  <w:lid w:val="lt-LT"/>
                  <w:storeMappedDataAs w:val="dateTime"/>
                  <w:calendar w:val="gregorian"/>
                </w:date>
              </w:sdtPr>
              <w:sdtEndPr/>
              <w:sdtContent>
                <w:r w:rsidR="009F4360" w:rsidRPr="00483070">
                  <w:rPr>
                    <w:rStyle w:val="Vietosrezervavimoenklotekstas"/>
                  </w:rPr>
                  <w:t>Click here to enter a date.</w:t>
                </w:r>
              </w:sdtContent>
            </w:sdt>
          </w:p>
        </w:tc>
        <w:tc>
          <w:tcPr>
            <w:tcW w:w="5670" w:type="dxa"/>
            <w:gridSpan w:val="2"/>
          </w:tcPr>
          <w:p w14:paraId="29307F53" w14:textId="732943A7" w:rsidR="009F4360" w:rsidRPr="009B591C" w:rsidRDefault="009F4360" w:rsidP="009F4360">
            <w:pPr>
              <w:spacing w:line="276" w:lineRule="auto"/>
              <w:jc w:val="both"/>
              <w:rPr>
                <w:rFonts w:eastAsia="Arial"/>
              </w:rPr>
            </w:pPr>
            <w:r w:rsidRPr="00483070">
              <w:rPr>
                <w:rFonts w:eastAsia="Arial"/>
              </w:rPr>
              <w:t>-</w:t>
            </w:r>
          </w:p>
        </w:tc>
      </w:tr>
      <w:tr w:rsidR="009F4360" w:rsidRPr="009B591C" w14:paraId="0C0246AA" w14:textId="77777777" w:rsidTr="00A977D2">
        <w:trPr>
          <w:trHeight w:val="1927"/>
        </w:trPr>
        <w:tc>
          <w:tcPr>
            <w:tcW w:w="2525" w:type="dxa"/>
          </w:tcPr>
          <w:p w14:paraId="77A8B4D4" w14:textId="77777777" w:rsidR="009F4360" w:rsidRPr="00483070" w:rsidRDefault="009F4360" w:rsidP="009F4360">
            <w:pPr>
              <w:spacing w:line="276" w:lineRule="auto"/>
              <w:rPr>
                <w:rFonts w:eastAsia="Arial"/>
              </w:rPr>
            </w:pPr>
            <w:r w:rsidRPr="00483070">
              <w:rPr>
                <w:rFonts w:eastAsia="Arial"/>
              </w:rPr>
              <w:t>Nacionalinis farmakoekonomikos centras, Airija</w:t>
            </w:r>
          </w:p>
          <w:p w14:paraId="673EB32E" w14:textId="1E2E33A3" w:rsidR="009F4360" w:rsidRPr="009B591C" w:rsidRDefault="009F4360" w:rsidP="009F4360">
            <w:pPr>
              <w:spacing w:line="276" w:lineRule="auto"/>
              <w:jc w:val="both"/>
              <w:rPr>
                <w:rFonts w:eastAsia="Arial"/>
              </w:rPr>
            </w:pPr>
            <w:r w:rsidRPr="00483070">
              <w:rPr>
                <w:rFonts w:eastAsia="Arial"/>
              </w:rPr>
              <w:t>(angl.</w:t>
            </w:r>
            <w:r w:rsidRPr="00483070">
              <w:rPr>
                <w:rFonts w:eastAsia="Arial"/>
                <w:i/>
              </w:rPr>
              <w:t xml:space="preserve"> National Centre for Pharmacoeconomics, NCPE</w:t>
            </w:r>
            <w:r w:rsidRPr="00483070">
              <w:rPr>
                <w:rFonts w:eastAsia="Arial"/>
              </w:rPr>
              <w:t>)</w:t>
            </w:r>
          </w:p>
        </w:tc>
        <w:tc>
          <w:tcPr>
            <w:tcW w:w="1723" w:type="dxa"/>
          </w:tcPr>
          <w:p w14:paraId="6D7FA930" w14:textId="77777777" w:rsidR="009F4360" w:rsidRPr="00483070" w:rsidRDefault="00E23FCE" w:rsidP="009F4360">
            <w:sdt>
              <w:sdtPr>
                <w:rPr>
                  <w:rStyle w:val="Style2"/>
                </w:rPr>
                <w:id w:val="-50928802"/>
                <w15:color w:val="FFCC00"/>
                <w14:checkbox>
                  <w14:checked w14:val="0"/>
                  <w14:checkedState w14:val="2612" w14:font="MS Gothic"/>
                  <w14:uncheckedState w14:val="2610" w14:font="MS Gothic"/>
                </w14:checkbox>
              </w:sdtPr>
              <w:sdtEndPr>
                <w:rPr>
                  <w:rStyle w:val="Style2"/>
                </w:rPr>
              </w:sdtEndPr>
              <w:sdtContent>
                <w:r w:rsidR="009F4360" w:rsidRPr="00483070">
                  <w:rPr>
                    <w:rStyle w:val="Style2"/>
                    <w:rFonts w:ascii="MS Gothic" w:eastAsia="MS Gothic" w:hAnsi="MS Gothic" w:hint="eastAsia"/>
                  </w:rPr>
                  <w:t>☐</w:t>
                </w:r>
              </w:sdtContent>
            </w:sdt>
            <w:r w:rsidR="009F4360" w:rsidRPr="00483070">
              <w:t xml:space="preserve"> Taip</w:t>
            </w:r>
          </w:p>
          <w:p w14:paraId="558A8063" w14:textId="77777777" w:rsidR="009F4360" w:rsidRPr="00483070" w:rsidRDefault="00E23FCE" w:rsidP="009F4360">
            <w:sdt>
              <w:sdtPr>
                <w:rPr>
                  <w:rStyle w:val="Style2"/>
                </w:rPr>
                <w:id w:val="-293219056"/>
                <w15:color w:val="FFCC00"/>
                <w14:checkbox>
                  <w14:checked w14:val="1"/>
                  <w14:checkedState w14:val="2612" w14:font="MS Gothic"/>
                  <w14:uncheckedState w14:val="2610" w14:font="MS Gothic"/>
                </w14:checkbox>
              </w:sdtPr>
              <w:sdtEndPr>
                <w:rPr>
                  <w:rStyle w:val="Style2"/>
                </w:rPr>
              </w:sdtEndPr>
              <w:sdtContent>
                <w:r w:rsidR="009F4360" w:rsidRPr="00483070">
                  <w:rPr>
                    <w:rStyle w:val="Style2"/>
                    <w:rFonts w:ascii="MS Gothic" w:eastAsia="MS Gothic" w:hAnsi="MS Gothic" w:hint="eastAsia"/>
                  </w:rPr>
                  <w:t>☒</w:t>
                </w:r>
              </w:sdtContent>
            </w:sdt>
            <w:r w:rsidR="009F4360" w:rsidRPr="00483070">
              <w:t xml:space="preserve"> Ne</w:t>
            </w:r>
          </w:p>
          <w:p w14:paraId="2FAF9BC8" w14:textId="3D6C29CF" w:rsidR="009F4360" w:rsidRPr="009B591C" w:rsidRDefault="00E23FCE" w:rsidP="009F4360">
            <w:pPr>
              <w:spacing w:line="276" w:lineRule="auto"/>
              <w:jc w:val="both"/>
              <w:rPr>
                <w:rFonts w:eastAsia="Arial"/>
              </w:rPr>
            </w:pPr>
            <w:sdt>
              <w:sdtPr>
                <w:alias w:val="Nurodykite konkrečią dieną"/>
                <w:tag w:val="Nurodykite pradžios datą"/>
                <w:id w:val="744765176"/>
                <w:placeholder>
                  <w:docPart w:val="CEC80D40FCA3486EBA1286A616DDD923"/>
                </w:placeholder>
                <w:showingPlcHdr/>
                <w15:color w:val="FFCC99"/>
                <w:date>
                  <w:dateFormat w:val="yyyy 'm.' MMMM d 'd.'"/>
                  <w:lid w:val="lt-LT"/>
                  <w:storeMappedDataAs w:val="dateTime"/>
                  <w:calendar w:val="gregorian"/>
                </w:date>
              </w:sdtPr>
              <w:sdtEndPr/>
              <w:sdtContent>
                <w:r w:rsidR="009F4360" w:rsidRPr="00483070">
                  <w:rPr>
                    <w:rStyle w:val="Vietosrezervavimoenklotekstas"/>
                  </w:rPr>
                  <w:t>Click here to enter a date.</w:t>
                </w:r>
              </w:sdtContent>
            </w:sdt>
          </w:p>
        </w:tc>
        <w:tc>
          <w:tcPr>
            <w:tcW w:w="5670" w:type="dxa"/>
            <w:gridSpan w:val="2"/>
          </w:tcPr>
          <w:p w14:paraId="7EF805C5" w14:textId="516EFC73" w:rsidR="009F4360" w:rsidRPr="009B591C" w:rsidRDefault="009F4360" w:rsidP="009F4360">
            <w:pPr>
              <w:spacing w:line="276" w:lineRule="auto"/>
              <w:jc w:val="both"/>
              <w:rPr>
                <w:rFonts w:eastAsia="Arial"/>
              </w:rPr>
            </w:pPr>
            <w:r w:rsidRPr="00483070">
              <w:rPr>
                <w:rFonts w:eastAsia="Arial"/>
              </w:rPr>
              <w:t>-</w:t>
            </w:r>
          </w:p>
        </w:tc>
      </w:tr>
    </w:tbl>
    <w:p w14:paraId="20E38D87" w14:textId="77777777" w:rsidR="00997A8D" w:rsidRDefault="00997A8D" w:rsidP="00997A8D">
      <w:pPr>
        <w:spacing w:line="276" w:lineRule="auto"/>
        <w:jc w:val="both"/>
        <w:rPr>
          <w:rFonts w:eastAsia="Arial"/>
          <w:b/>
        </w:rPr>
      </w:pPr>
    </w:p>
    <w:p w14:paraId="5A54D407" w14:textId="77777777" w:rsidR="004C5895" w:rsidRDefault="004C5895" w:rsidP="00997A8D">
      <w:pPr>
        <w:spacing w:line="276" w:lineRule="auto"/>
        <w:jc w:val="both"/>
        <w:rPr>
          <w:rFonts w:eastAsia="Arial"/>
          <w:b/>
        </w:rPr>
      </w:pPr>
    </w:p>
    <w:p w14:paraId="39E5F234" w14:textId="77777777" w:rsidR="004C5895" w:rsidRDefault="004C5895" w:rsidP="00997A8D">
      <w:pPr>
        <w:spacing w:line="276" w:lineRule="auto"/>
        <w:jc w:val="both"/>
        <w:rPr>
          <w:rFonts w:eastAsia="Arial"/>
          <w:b/>
        </w:rPr>
      </w:pPr>
    </w:p>
    <w:p w14:paraId="481BBA47" w14:textId="77777777" w:rsidR="004C5895" w:rsidRDefault="004C5895" w:rsidP="00997A8D">
      <w:pPr>
        <w:spacing w:line="276" w:lineRule="auto"/>
        <w:jc w:val="both"/>
        <w:rPr>
          <w:rFonts w:eastAsia="Arial"/>
          <w:b/>
        </w:rPr>
      </w:pPr>
    </w:p>
    <w:p w14:paraId="4E496961" w14:textId="77777777" w:rsidR="004C5895" w:rsidRDefault="004C5895" w:rsidP="00997A8D">
      <w:pPr>
        <w:spacing w:line="276" w:lineRule="auto"/>
        <w:jc w:val="both"/>
        <w:rPr>
          <w:rFonts w:eastAsia="Arial"/>
          <w:b/>
        </w:rPr>
      </w:pPr>
    </w:p>
    <w:p w14:paraId="09808F0A" w14:textId="77777777" w:rsidR="004C5895" w:rsidRPr="00997A8D" w:rsidRDefault="004C5895" w:rsidP="00997A8D">
      <w:pPr>
        <w:spacing w:line="276" w:lineRule="auto"/>
        <w:jc w:val="both"/>
        <w:rPr>
          <w:rFonts w:eastAsia="Arial"/>
          <w:b/>
        </w:rPr>
      </w:pPr>
    </w:p>
    <w:p w14:paraId="25F89291" w14:textId="14041211" w:rsidR="00D4485B" w:rsidRDefault="00CC7832" w:rsidP="004537D0">
      <w:pPr>
        <w:pStyle w:val="Sraopastraipa"/>
        <w:numPr>
          <w:ilvl w:val="0"/>
          <w:numId w:val="12"/>
        </w:numPr>
        <w:tabs>
          <w:tab w:val="left" w:pos="567"/>
        </w:tabs>
        <w:ind w:hanging="720"/>
        <w:rPr>
          <w:b/>
          <w:bCs/>
          <w:caps/>
        </w:rPr>
      </w:pPr>
      <w:r w:rsidRPr="00E33EFF">
        <w:rPr>
          <w:b/>
          <w:bCs/>
          <w:caps/>
        </w:rPr>
        <w:lastRenderedPageBreak/>
        <w:t>Klinikinio vertinimo a</w:t>
      </w:r>
      <w:r w:rsidR="00D4485B" w:rsidRPr="00E33EFF">
        <w:rPr>
          <w:b/>
          <w:bCs/>
          <w:caps/>
        </w:rPr>
        <w:t>pibendrinimas</w:t>
      </w:r>
    </w:p>
    <w:p w14:paraId="23702E64" w14:textId="77777777" w:rsidR="004537D0" w:rsidRDefault="004537D0" w:rsidP="004537D0">
      <w:pPr>
        <w:tabs>
          <w:tab w:val="left" w:pos="567"/>
        </w:tabs>
        <w:rPr>
          <w:b/>
          <w:bCs/>
          <w:caps/>
        </w:rPr>
      </w:pPr>
    </w:p>
    <w:p w14:paraId="05D3A5B9" w14:textId="199CD83F" w:rsidR="009F4360" w:rsidRPr="00483070" w:rsidRDefault="009F4360" w:rsidP="009F4360">
      <w:pPr>
        <w:jc w:val="both"/>
        <w:rPr>
          <w:rFonts w:eastAsia="Arial"/>
          <w:iCs/>
        </w:rPr>
      </w:pPr>
      <w:r w:rsidRPr="009A5A0B">
        <w:rPr>
          <w:rFonts w:eastAsia="Arial"/>
          <w:iCs/>
          <w:color w:val="00B050"/>
        </w:rPr>
        <w:tab/>
      </w:r>
      <w:r w:rsidRPr="009A5A0B">
        <w:rPr>
          <w:rFonts w:eastAsia="Arial"/>
          <w:iCs/>
        </w:rPr>
        <w:t>Plaučių vėžys yra antras dažniausiai diagnozuojamas vėžys ir pagrindinė mirtingumo nuo vėžio priežastis visame pasaulyje. Nesmulkialąstelinis plaučių vėžys (NSLPV) yra labiausiai paplitusi plaučių vėžio rūšis,</w:t>
      </w:r>
      <w:r w:rsidRPr="00483070">
        <w:rPr>
          <w:rFonts w:eastAsia="Arial"/>
          <w:iCs/>
        </w:rPr>
        <w:t xml:space="preserve"> sudaranti maždaug 80–90% plaučių vėžio atvejų. Daugumai pacientų, sergančių NSLPV, diagnozuojama nerezekuotina, pažengusios stadijos liga (IV stadija), o I–III stadijos NSLPV diagnozės nustatymo metu sudaro ~30% pacientų.</w:t>
      </w:r>
    </w:p>
    <w:p w14:paraId="23894B41" w14:textId="77777777" w:rsidR="009F4360" w:rsidRPr="00483070" w:rsidRDefault="009F4360" w:rsidP="009F4360">
      <w:pPr>
        <w:ind w:firstLine="720"/>
        <w:jc w:val="both"/>
        <w:rPr>
          <w:rFonts w:eastAsia="Arial"/>
          <w:iCs/>
        </w:rPr>
      </w:pPr>
      <w:r w:rsidRPr="00483070">
        <w:rPr>
          <w:rFonts w:eastAsia="Arial"/>
          <w:iCs/>
        </w:rPr>
        <w:t>Pacientams, sergantiems I–III stadijos rezekuotinu NSLPV, siekiant visiškai pašalinti pirminį naviką ir visus susijusius regioninius limfmazgius, gali būti skiriamas chirurginis gydymas. Siekiant sumažinti ligos atsinaujinimo riziką ir pagerinti išgijimo galimybę prieš operaciją (neoadjuvantinė) arba po operacijos (adjuvantinė) gali būti skiriama sisteminė terapija. Tačiau, nepaisant chirurginio gydymo ir papildomos sisteminės terapijos, ligos atsinaujinimo dažnis išlieka didelis, o skiriant chemoterapiją platinos pagrindu neoadjuvantiniam ar adjuvantiniam gydymui ligos atsinaujinimo ar mirties rizika sumažėja labai nežymiai. Po ligos atsinaujinimo skirti tikslinio gydymo paprastai neįmanoma (ypač ligai metastazavus), todėl pacientų prognozė po ligos atsinaujinimo yra labai bloga. Ligos atsinaujinimas ir (arba) progresavimas turi neigiamą poveikį pacientų gyvenimo kokybei ir yra susijęs su didele ekonomine našta sveikatos priežiūros sistemoms.</w:t>
      </w:r>
    </w:p>
    <w:p w14:paraId="6518B40F" w14:textId="77777777" w:rsidR="009F4360" w:rsidRPr="00483070" w:rsidRDefault="009F4360" w:rsidP="009F4360">
      <w:pPr>
        <w:tabs>
          <w:tab w:val="left" w:pos="426"/>
        </w:tabs>
        <w:jc w:val="both"/>
        <w:rPr>
          <w:rFonts w:eastAsia="Arial"/>
          <w:color w:val="000000" w:themeColor="text1"/>
        </w:rPr>
      </w:pPr>
      <w:r>
        <w:rPr>
          <w:rFonts w:eastAsia="Arial"/>
          <w:color w:val="000000" w:themeColor="text1"/>
        </w:rPr>
        <w:tab/>
      </w:r>
      <w:r>
        <w:rPr>
          <w:rFonts w:eastAsia="Arial"/>
          <w:color w:val="000000" w:themeColor="text1"/>
        </w:rPr>
        <w:tab/>
      </w:r>
      <w:r w:rsidRPr="00FB7F17">
        <w:rPr>
          <w:rFonts w:eastAsia="Arial"/>
          <w:color w:val="000000"/>
        </w:rPr>
        <w:t>Remiantis SAM įsakymu Nr. V-127 “Dėl plaučių vėžio ambulatorinio gydymo, kurio išlaidos kompensuojamos iš privalomojo sveikatos draudimo fondo biudžeto, tvarkos aprašo patvirtinimo“ (toliau – Tvarkos aprašas), AEGEAN tyrime plokščialąstelinio NSLPV gydymui naudoti karboplatinos ir paklitakselio bei cisplatinos ir gemcitabino deriniai, o neplokščialąstelinio NSLPV gydymui naudoti cisplatinos ir pemetreksedo bei karboplatinos ir pemetreksedo deriniai Lietuvoje skiriami nesmulkiųjų ląstelių plaučių vėžio gydymui</w:t>
      </w:r>
      <w:r>
        <w:rPr>
          <w:rFonts w:eastAsia="Arial"/>
          <w:color w:val="000000"/>
        </w:rPr>
        <w:t xml:space="preserve">, </w:t>
      </w:r>
      <w:r w:rsidRPr="00FB7F17">
        <w:rPr>
          <w:lang w:eastAsia="lt-LT"/>
        </w:rPr>
        <w:t xml:space="preserve">Remiantis Tvarkos aprašu, karboplatinos vaistiniai preparatai, turintys nesmulkiųjų ląstelių plaučių vėžiui gydyti registruotą indikaciją, gali būti skiriami kaip alternatyva cisplatinai pagal Aprašo 14.1–14.6, 14.9, 14.10 papunkčiuose nurodytas gydymo schemas, jei dėl gretutinių ligų ar paciento būklės negalima lašinti daug skysčių arba negalima skirti cisplatinos dėl nefrotoksinio, neurotoksinio ar ototoksinio poveikio. Karboplatina, paklitakselis, cisplatina, gemcitabinas ir pemetreksedas </w:t>
      </w:r>
      <w:r>
        <w:rPr>
          <w:lang w:eastAsia="lt-LT"/>
        </w:rPr>
        <w:t>–</w:t>
      </w:r>
      <w:r w:rsidRPr="00FB7F17">
        <w:rPr>
          <w:lang w:eastAsia="lt-LT"/>
        </w:rPr>
        <w:t xml:space="preserve"> kompensuojami</w:t>
      </w:r>
      <w:r>
        <w:rPr>
          <w:lang w:eastAsia="lt-LT"/>
        </w:rPr>
        <w:t>.</w:t>
      </w:r>
      <w:r>
        <w:rPr>
          <w:rFonts w:eastAsia="Arial"/>
          <w:color w:val="000000" w:themeColor="text1"/>
        </w:rPr>
        <w:t xml:space="preserve"> </w:t>
      </w:r>
      <w:r w:rsidRPr="00483070">
        <w:rPr>
          <w:rFonts w:eastAsia="Arial"/>
          <w:color w:val="000000" w:themeColor="text1"/>
        </w:rPr>
        <w:t>SAM įsakyme Nr. V-127 aprašytas gydymas taikant adjuvantinę chemoterapiją, bei gydant lokaliai išplitusį ar metastazavusį NSLPV: cisplatinos ir gemcitabino derinys rekomenduojamas gydant lokaliai išplitusį ar metastazavusį NSLPV, o NSLPV, tačiau ne tokio tipo, kuriame vyrauja plokščiosios ląstelės, rekomenduojamas cisplatinos ir pemetreksedo derinys. Prašomai kompensuoti indikacijai detalesnių gydymo rekomendacijų ir neodvajuvantinės chemoterapijos aprašo nėra.</w:t>
      </w:r>
    </w:p>
    <w:p w14:paraId="7FC08D2B" w14:textId="77777777" w:rsidR="009F4360" w:rsidRPr="0049328D" w:rsidRDefault="009F4360" w:rsidP="009F4360">
      <w:pPr>
        <w:tabs>
          <w:tab w:val="left" w:pos="426"/>
        </w:tabs>
        <w:jc w:val="both"/>
        <w:rPr>
          <w:rFonts w:eastAsia="Arial"/>
          <w:iCs/>
          <w:color w:val="000000" w:themeColor="text1"/>
        </w:rPr>
      </w:pPr>
      <w:r w:rsidRPr="00483070">
        <w:rPr>
          <w:rFonts w:eastAsia="Arial"/>
          <w:color w:val="000000" w:themeColor="text1"/>
        </w:rPr>
        <w:tab/>
      </w:r>
      <w:r w:rsidRPr="00483070">
        <w:rPr>
          <w:rFonts w:eastAsia="Arial"/>
          <w:color w:val="000000" w:themeColor="text1"/>
        </w:rPr>
        <w:tab/>
        <w:t xml:space="preserve">Remiantis </w:t>
      </w:r>
      <w:r w:rsidRPr="00483070">
        <w:rPr>
          <w:rFonts w:eastAsia="Arial"/>
        </w:rPr>
        <w:t>Europos medicininės onkologijos draugijos (</w:t>
      </w:r>
      <w:r w:rsidRPr="00483070">
        <w:rPr>
          <w:rFonts w:eastAsia="Arial"/>
          <w:i/>
        </w:rPr>
        <w:t>angl. European Society For Medical Oncology, ESMO</w:t>
      </w:r>
      <w:r w:rsidRPr="00483070">
        <w:rPr>
          <w:rFonts w:eastAsia="Arial"/>
          <w:iCs/>
        </w:rPr>
        <w:t>, 2015 m., atnaujinta 2020-2021 m.) gairėmis</w:t>
      </w:r>
      <w:r w:rsidRPr="00483070">
        <w:rPr>
          <w:rFonts w:eastAsia="Arial"/>
          <w:iCs/>
          <w:color w:val="000000" w:themeColor="text1"/>
        </w:rPr>
        <w:t>, IB-IIIA stadijos rezekuotinam NSLPV rekomenduojamas adjuvantinis gydymas chemoterapija: cisplatinos deriniu su vinorelbinu, gemcitabinu, docetakseliu arba pemetreksedu</w:t>
      </w:r>
      <w:r>
        <w:rPr>
          <w:rFonts w:eastAsia="Arial"/>
          <w:iCs/>
          <w:color w:val="000000" w:themeColor="text1"/>
        </w:rPr>
        <w:t xml:space="preserve">. </w:t>
      </w:r>
      <w:r w:rsidRPr="00483070">
        <w:rPr>
          <w:rFonts w:eastAsia="Arial"/>
          <w:iCs/>
          <w:color w:val="000000" w:themeColor="text1"/>
        </w:rPr>
        <w:t xml:space="preserve">Remiantis Nacionalinio išplėstinio vėžio tinklo (angl. National Comprehensive Cancer Network, NCCN) gairėmis (2025 m.), paraiškoje pateiktas vaistinis preparatas durvalumabas, derinant su chemoterapija, kurios sudėtyje yra </w:t>
      </w:r>
      <w:r w:rsidRPr="0049328D">
        <w:rPr>
          <w:rFonts w:eastAsia="Arial"/>
          <w:iCs/>
          <w:color w:val="000000" w:themeColor="text1"/>
        </w:rPr>
        <w:t>platinos vaistinių preparatų, ir skiriant neoadjuvantiniam gydymui, o vėliau tęsiant kaip monoterapiją adjuvantiniam gydymui, yra rekomenduojamas rezekuotinam nesmulkiųjų ląstelių plaučių vėžiu sergančių suaugusiųjų, kuriems yra didelė vėžio recidyvo rizika, gydymui ir nėra epidermio augimo faktoriaus receptorių (angl. epidermal growth factor receptor, EGFR) mutacijų arba anaplazinės limfomos kinazės (ALK) geno sekos pokyčių.</w:t>
      </w:r>
    </w:p>
    <w:p w14:paraId="18F4B624" w14:textId="77777777" w:rsidR="009F4360" w:rsidRDefault="009F4360" w:rsidP="009F4360">
      <w:pPr>
        <w:ind w:firstLine="720"/>
        <w:jc w:val="both"/>
        <w:rPr>
          <w:rFonts w:eastAsia="Arial"/>
          <w:iCs/>
        </w:rPr>
      </w:pPr>
      <w:r w:rsidRPr="0049328D">
        <w:rPr>
          <w:rFonts w:eastAsia="Arial"/>
          <w:iCs/>
        </w:rPr>
        <w:t>Durvalumabo farmakoterapinė grupė – antinavikiniai vaistai, monokloniniai antikūnai ir antikūnų pobūdžio konjugantai, PD-1 / PDL-1 programuojamojo ląstelių žūties baltymo Nr. 1 / žūties ligando Nr. 1 (angl. Programmed cell death protein 1/ death ligand 1) inhibitoriai, ATC kodas – L01FF03.</w:t>
      </w:r>
      <w:r>
        <w:rPr>
          <w:rFonts w:eastAsia="Arial"/>
          <w:iCs/>
        </w:rPr>
        <w:t xml:space="preserve"> </w:t>
      </w:r>
      <w:r w:rsidRPr="0049328D">
        <w:rPr>
          <w:rFonts w:eastAsia="Arial"/>
          <w:iCs/>
        </w:rPr>
        <w:t xml:space="preserve">Programuojamos ląstelių žūties ligando Nr. 1 (angl. programmed cell death ligand-1, PD-L1) baltymo raiška yra adaptacinis imuninis atsakas, kuris padeda navikui išvengti atpažinimo ir sunaikinimo veikiant imuninei sistemai. PD-L1 gali indukuoti uždegiminiai signalai (pvz., gama interferonas [IFN gama]), jis gali būti išreikštas ant navikinių ląstelių ir su naviku susijusių imuninių ląstelių naviko mikroaplinkoje. PD-L1, sąveikaudamas su PD-1 ir CD80 (B7.1), blokuoja T ląstelių </w:t>
      </w:r>
      <w:r w:rsidRPr="0049328D">
        <w:rPr>
          <w:rFonts w:eastAsia="Arial"/>
          <w:iCs/>
        </w:rPr>
        <w:lastRenderedPageBreak/>
        <w:t>funkciją ir aktyvinimą. Prisijungęs prie savo receptorių, PD-L1 sumažina citotoksinių T ląstelių aktyvumą, proliferaciją ir citokinų gamybą.</w:t>
      </w:r>
    </w:p>
    <w:p w14:paraId="7EFC3EF1" w14:textId="77777777" w:rsidR="009F4360" w:rsidRDefault="009F4360" w:rsidP="009F4360">
      <w:pPr>
        <w:tabs>
          <w:tab w:val="left" w:pos="426"/>
        </w:tabs>
        <w:jc w:val="both"/>
        <w:rPr>
          <w:bCs/>
          <w:iCs/>
          <w:lang w:eastAsia="lt-LT"/>
        </w:rPr>
      </w:pPr>
      <w:r>
        <w:rPr>
          <w:bCs/>
          <w:iCs/>
          <w:lang w:eastAsia="lt-LT"/>
        </w:rPr>
        <w:t xml:space="preserve"> </w:t>
      </w:r>
      <w:r>
        <w:rPr>
          <w:bCs/>
          <w:iCs/>
          <w:lang w:eastAsia="lt-LT"/>
        </w:rPr>
        <w:tab/>
      </w:r>
      <w:r w:rsidRPr="009B591C">
        <w:rPr>
          <w:bCs/>
          <w:iCs/>
          <w:lang w:eastAsia="lt-LT"/>
        </w:rPr>
        <w:t xml:space="preserve">Palyginamieji vaistiniai preparatai: </w:t>
      </w:r>
      <w:r w:rsidRPr="00FB7F17">
        <w:rPr>
          <w:rFonts w:eastAsia="Arial"/>
          <w:color w:val="000000"/>
        </w:rPr>
        <w:t>plokščialąstelinio NSLPV gydymui - karboplatinos ir paklitakselio bei cisplatinos ir gemcitabino derini</w:t>
      </w:r>
      <w:r>
        <w:rPr>
          <w:rFonts w:eastAsia="Arial"/>
          <w:color w:val="000000"/>
        </w:rPr>
        <w:t>ai</w:t>
      </w:r>
      <w:r w:rsidRPr="00FB7F17">
        <w:rPr>
          <w:rFonts w:eastAsia="Arial"/>
          <w:color w:val="000000"/>
        </w:rPr>
        <w:t>, neplokščialąstelinio NSLPV gydymui - cisplatinos ir pemetreksedo bei karboplatinos ir pemetreksedo derini</w:t>
      </w:r>
      <w:r>
        <w:rPr>
          <w:rFonts w:eastAsia="Arial"/>
          <w:color w:val="000000"/>
        </w:rPr>
        <w:t>ai</w:t>
      </w:r>
      <w:r>
        <w:rPr>
          <w:bCs/>
          <w:iCs/>
          <w:lang w:eastAsia="lt-LT"/>
        </w:rPr>
        <w:t>.</w:t>
      </w:r>
    </w:p>
    <w:p w14:paraId="2E07A8C6" w14:textId="77777777" w:rsidR="009F4360" w:rsidRPr="000562CD" w:rsidRDefault="009F4360" w:rsidP="009F4360">
      <w:pPr>
        <w:tabs>
          <w:tab w:val="left" w:pos="426"/>
        </w:tabs>
        <w:jc w:val="both"/>
        <w:rPr>
          <w:bCs/>
          <w:iCs/>
          <w:lang w:eastAsia="lt-LT"/>
        </w:rPr>
      </w:pPr>
      <w:r>
        <w:rPr>
          <w:bCs/>
          <w:iCs/>
          <w:lang w:eastAsia="lt-LT"/>
        </w:rPr>
        <w:tab/>
      </w:r>
      <w:r>
        <w:rPr>
          <w:bCs/>
          <w:iCs/>
          <w:lang w:eastAsia="lt-LT"/>
        </w:rPr>
        <w:tab/>
      </w:r>
      <w:r w:rsidRPr="009B591C">
        <w:rPr>
          <w:bCs/>
          <w:iCs/>
          <w:color w:val="000000" w:themeColor="text1"/>
          <w:lang w:eastAsia="lt-LT"/>
        </w:rPr>
        <w:t xml:space="preserve">Palyginamieji vaistiniai preparatai </w:t>
      </w:r>
      <w:r>
        <w:rPr>
          <w:bCs/>
          <w:iCs/>
          <w:color w:val="000000" w:themeColor="text1"/>
          <w:lang w:eastAsia="lt-LT"/>
        </w:rPr>
        <w:t xml:space="preserve">– </w:t>
      </w:r>
      <w:r w:rsidRPr="00FB7F17">
        <w:rPr>
          <w:rFonts w:eastAsia="Arial"/>
          <w:color w:val="000000"/>
        </w:rPr>
        <w:t>karboplatinos ir paklitakselio bei cisplatinos ir gemcitabino derini</w:t>
      </w:r>
      <w:r>
        <w:rPr>
          <w:rFonts w:eastAsia="Arial"/>
          <w:color w:val="000000"/>
        </w:rPr>
        <w:t>ai ir</w:t>
      </w:r>
      <w:r w:rsidRPr="009B591C">
        <w:rPr>
          <w:bCs/>
          <w:iCs/>
          <w:color w:val="000000" w:themeColor="text1"/>
          <w:lang w:eastAsia="lt-LT"/>
        </w:rPr>
        <w:t xml:space="preserve"> </w:t>
      </w:r>
      <w:r w:rsidRPr="00FB7F17">
        <w:rPr>
          <w:rFonts w:eastAsia="Arial"/>
          <w:color w:val="000000"/>
        </w:rPr>
        <w:t xml:space="preserve">cisplatinos </w:t>
      </w:r>
      <w:r>
        <w:rPr>
          <w:rFonts w:eastAsia="Arial"/>
          <w:color w:val="000000"/>
        </w:rPr>
        <w:t>ar</w:t>
      </w:r>
      <w:r w:rsidRPr="00FB7F17">
        <w:rPr>
          <w:rFonts w:eastAsia="Arial"/>
          <w:color w:val="000000"/>
        </w:rPr>
        <w:t xml:space="preserve"> karboplatinos ir pemetreksedo derini</w:t>
      </w:r>
      <w:r>
        <w:rPr>
          <w:rFonts w:eastAsia="Arial"/>
          <w:color w:val="000000"/>
        </w:rPr>
        <w:t>ai –</w:t>
      </w:r>
      <w:r>
        <w:rPr>
          <w:bCs/>
          <w:iCs/>
          <w:color w:val="000000" w:themeColor="text1"/>
          <w:lang w:eastAsia="lt-LT"/>
        </w:rPr>
        <w:t xml:space="preserve"> l</w:t>
      </w:r>
      <w:r w:rsidRPr="009B591C">
        <w:rPr>
          <w:bCs/>
          <w:iCs/>
          <w:color w:val="000000" w:themeColor="text1"/>
          <w:lang w:eastAsia="lt-LT"/>
        </w:rPr>
        <w:t xml:space="preserve">aikomi atitinkantys Paraiškos įrašyti vaistinį preparatą į kompensavimo sąrašus rengimo taisyklių patvirtintų Lietuvos Respublikos sveikatos apsaugos ministro 2002 m. balandžio 5 d. įsakymu Nr. V-159 „Dėl vaistinių preparatų ir medicinos </w:t>
      </w:r>
      <w:r w:rsidRPr="000562CD">
        <w:rPr>
          <w:bCs/>
          <w:iCs/>
          <w:color w:val="000000" w:themeColor="text1"/>
          <w:lang w:eastAsia="lt-LT"/>
        </w:rPr>
        <w:t>pagalbos priemonių įrašymo į kompensavimo sąrašus ir jų keitimo tvarkos aprašo patvirtinimo“ 116–119 punktus.</w:t>
      </w:r>
    </w:p>
    <w:p w14:paraId="76E28C44" w14:textId="77777777" w:rsidR="009F4360" w:rsidRPr="00612131" w:rsidRDefault="009F4360" w:rsidP="009F4360">
      <w:pPr>
        <w:jc w:val="both"/>
        <w:rPr>
          <w:rFonts w:eastAsia="Arial"/>
          <w:iCs/>
        </w:rPr>
      </w:pPr>
    </w:p>
    <w:p w14:paraId="6C2C12D3" w14:textId="77777777" w:rsidR="009F4360" w:rsidRPr="000562CD" w:rsidRDefault="009F4360" w:rsidP="009F4360">
      <w:pPr>
        <w:jc w:val="both"/>
        <w:rPr>
          <w:rFonts w:eastAsia="Arial"/>
          <w:i/>
          <w:color w:val="000000" w:themeColor="text1"/>
        </w:rPr>
      </w:pPr>
      <w:r w:rsidRPr="000562CD">
        <w:rPr>
          <w:rFonts w:eastAsia="Arial"/>
          <w:i/>
          <w:color w:val="000000" w:themeColor="text1"/>
        </w:rPr>
        <w:t>Tiesioginis palyginimas</w:t>
      </w:r>
    </w:p>
    <w:p w14:paraId="71DB07E2" w14:textId="77777777" w:rsidR="009F4360" w:rsidRPr="000562CD" w:rsidRDefault="009F4360" w:rsidP="009F4360">
      <w:pPr>
        <w:tabs>
          <w:tab w:val="left" w:pos="492"/>
        </w:tabs>
        <w:jc w:val="both"/>
        <w:outlineLvl w:val="1"/>
        <w:rPr>
          <w:rFonts w:eastAsia="Arial"/>
          <w:b/>
        </w:rPr>
      </w:pPr>
      <w:r w:rsidRPr="000562CD">
        <w:rPr>
          <w:rFonts w:eastAsia="Arial"/>
          <w:b/>
        </w:rPr>
        <w:tab/>
      </w:r>
      <w:r w:rsidRPr="000562CD">
        <w:rPr>
          <w:rFonts w:eastAsia="Arial"/>
          <w:b/>
        </w:rPr>
        <w:tab/>
      </w:r>
      <w:r w:rsidRPr="000562CD">
        <w:t xml:space="preserve">AEGEAN – tai daugelyje centrų atliktas atsitiktinių imčių dvigubai koduotas placebu kontroliuojamasis III fazės tyrimas, skirtas įvertinti gydymo IMFINZI kartu su chemoterapija platinos pagrindu kaip neoadjuvantinio gydymo, po kurio gydymas tęsiamas po chirurginės operacijos skiriant monoterapiją IMFINZI, veiksmingumą pacientams, sergantiems operuotinu NSLPV. </w:t>
      </w:r>
    </w:p>
    <w:p w14:paraId="7ACA6435" w14:textId="77777777" w:rsidR="009F4360" w:rsidRPr="00573641" w:rsidRDefault="009F4360" w:rsidP="009F4360">
      <w:pPr>
        <w:tabs>
          <w:tab w:val="left" w:pos="492"/>
        </w:tabs>
        <w:contextualSpacing/>
        <w:jc w:val="both"/>
        <w:outlineLvl w:val="1"/>
        <w:rPr>
          <w:iCs/>
          <w:szCs w:val="20"/>
        </w:rPr>
      </w:pPr>
      <w:r w:rsidRPr="000562CD">
        <w:rPr>
          <w:iCs/>
        </w:rPr>
        <w:tab/>
      </w:r>
      <w:r w:rsidRPr="000562CD">
        <w:rPr>
          <w:iCs/>
        </w:rPr>
        <w:tab/>
      </w:r>
      <w:r w:rsidRPr="00573641">
        <w:rPr>
          <w:iCs/>
          <w:szCs w:val="20"/>
        </w:rPr>
        <w:t>Į tyrimą buvo įtraukti 18 metų ir vyresni pacientai, kuriems naujai diagnozuotas, anksčiau negydytas, histologiškai arba citologiškai patvirtintas rezekuotinas NSLPV, atitinkantis IIA–IIIB (N2) stadiją pagal aštuntąją AJCC klasifikacijos redakciją. Pacientai turėjo būti tinkami planuojamai chirurginei rezekcijai – lobektomijai, rankovinei rezekcijai arba bilobektomijai – ir bendrai pakankamai geros būklės: jų Eastern Cooperative Oncology Group (ECOG) veiklos būklės įvertis turėjo būti 0 arba 1 (skalėje nuo 0 iki 5, kai didesnis skaičius reiškia didesnį funkcinį sutrikimą), o numatoma gyvenimo trukmė – ne trumpesnė nei 12 savaičių.</w:t>
      </w:r>
    </w:p>
    <w:p w14:paraId="41732FE1" w14:textId="77777777" w:rsidR="009F4360" w:rsidRDefault="009F4360" w:rsidP="009F4360">
      <w:pPr>
        <w:tabs>
          <w:tab w:val="left" w:pos="492"/>
        </w:tabs>
        <w:contextualSpacing/>
        <w:jc w:val="both"/>
        <w:outlineLvl w:val="1"/>
        <w:rPr>
          <w:rFonts w:eastAsia="Arial"/>
        </w:rPr>
      </w:pPr>
      <w:r w:rsidRPr="00573641">
        <w:rPr>
          <w:iCs/>
        </w:rPr>
        <w:tab/>
      </w:r>
      <w:r w:rsidRPr="00573641">
        <w:rPr>
          <w:iCs/>
        </w:rPr>
        <w:tab/>
        <w:t xml:space="preserve">Pagrindiniai neįtraukimo kriterijai buvo ankstesnis gydymas anti–PD-1, anti–PD-L1 ar anti–CTLA-4 antikūnais, aktyvios ar anksčiau dokumentuotos autoimuninės ligos, reikalaujančios sisteminio gydymo kortikosteroidais ar imunosupresantais, taip pat nekontroliuojamos gretutinės ligos, tokios kaip aktyvios infekcijos ar sunki širdies ar plaučių funkcijos nepakankamumo forma. </w:t>
      </w:r>
      <w:r w:rsidRPr="0098301D">
        <w:rPr>
          <w:rFonts w:eastAsia="Arial"/>
        </w:rPr>
        <w:t xml:space="preserve">Tyrimo pacientų populiacija atitinka egzistuojančią Lietuvos pacientų populiaciją, kuriai gydymas gali būti skiriamas pagal numatomas </w:t>
      </w:r>
      <w:r>
        <w:t>Imfinzi</w:t>
      </w:r>
      <w:r w:rsidRPr="0098301D">
        <w:t xml:space="preserve"> </w:t>
      </w:r>
      <w:r w:rsidRPr="0098301D">
        <w:rPr>
          <w:rFonts w:eastAsia="Arial"/>
        </w:rPr>
        <w:t>skyrimo indikacijas.</w:t>
      </w:r>
    </w:p>
    <w:p w14:paraId="7B00907E" w14:textId="77777777" w:rsidR="009F4360" w:rsidRPr="000562CD" w:rsidRDefault="009F4360" w:rsidP="009F4360">
      <w:pPr>
        <w:pStyle w:val="Tekstas"/>
        <w:spacing w:after="0"/>
        <w:ind w:firstLine="720"/>
        <w:rPr>
          <w:rFonts w:eastAsia="Calibri"/>
          <w:szCs w:val="22"/>
          <w:lang w:eastAsia="lt-LT" w:bidi="lt-LT"/>
        </w:rPr>
      </w:pPr>
      <w:r w:rsidRPr="00FB7F17">
        <w:rPr>
          <w:rFonts w:eastAsia="Calibri"/>
          <w:szCs w:val="22"/>
          <w:lang w:eastAsia="lt-LT" w:bidi="lt-LT"/>
        </w:rPr>
        <w:t xml:space="preserve">Į </w:t>
      </w:r>
      <w:r w:rsidRPr="00FB7F17">
        <w:rPr>
          <w:rFonts w:eastAsia="Calibri"/>
          <w:i/>
          <w:iCs/>
          <w:szCs w:val="22"/>
          <w:lang w:eastAsia="lt-LT" w:bidi="lt-LT"/>
        </w:rPr>
        <w:t>AEGEAN</w:t>
      </w:r>
      <w:r w:rsidRPr="00FB7F17">
        <w:rPr>
          <w:rFonts w:eastAsia="Calibri"/>
          <w:szCs w:val="22"/>
          <w:lang w:eastAsia="lt-LT" w:bidi="lt-LT"/>
        </w:rPr>
        <w:t xml:space="preserve"> tyrimą buvo įtraukti 802 pacientai ir jie atsitiktinės atrankos būdu santykiu 1:1 buvo suskirstyti į grupes, kuriose prieš chirurginę operaciją buvo skirtas gydymas IMFINZI (</w:t>
      </w:r>
      <w:r>
        <w:rPr>
          <w:rFonts w:eastAsia="Calibri"/>
          <w:szCs w:val="22"/>
          <w:lang w:eastAsia="lt-LT" w:bidi="lt-LT"/>
        </w:rPr>
        <w:t>D + CTx</w:t>
      </w:r>
      <w:r w:rsidRPr="00FB7F17">
        <w:rPr>
          <w:rFonts w:eastAsia="Calibri"/>
          <w:szCs w:val="22"/>
          <w:lang w:eastAsia="lt-LT" w:bidi="lt-LT"/>
        </w:rPr>
        <w:t>) arba placebu (</w:t>
      </w:r>
      <w:r>
        <w:rPr>
          <w:rFonts w:eastAsia="Calibri"/>
          <w:szCs w:val="22"/>
          <w:lang w:eastAsia="lt-LT" w:bidi="lt-LT"/>
        </w:rPr>
        <w:t>placebo + CTx</w:t>
      </w:r>
      <w:r w:rsidRPr="00FB7F17">
        <w:rPr>
          <w:rFonts w:eastAsia="Calibri"/>
          <w:szCs w:val="22"/>
          <w:lang w:eastAsia="lt-LT" w:bidi="lt-LT"/>
        </w:rPr>
        <w:t>) kartu su neoadjuvantine chemoterapija</w:t>
      </w:r>
      <w:r>
        <w:rPr>
          <w:rFonts w:eastAsia="Calibri"/>
          <w:szCs w:val="22"/>
          <w:lang w:eastAsia="lt-LT" w:bidi="lt-LT"/>
        </w:rPr>
        <w:t xml:space="preserve">: </w:t>
      </w:r>
      <w:r w:rsidRPr="00FB7F17">
        <w:rPr>
          <w:rFonts w:eastAsia="Calibri"/>
          <w:szCs w:val="22"/>
          <w:lang w:eastAsia="lt-LT" w:bidi="lt-LT"/>
        </w:rPr>
        <w:t>Kryžminis perėjimas iš vienos tyrimo grupės į kitą nebuvo leidžiamas.</w:t>
      </w:r>
      <w:r>
        <w:rPr>
          <w:rFonts w:eastAsia="Calibri"/>
          <w:szCs w:val="22"/>
          <w:lang w:eastAsia="lt-LT" w:bidi="lt-LT"/>
        </w:rPr>
        <w:t xml:space="preserve"> </w:t>
      </w:r>
      <w:r w:rsidRPr="00573641">
        <w:rPr>
          <w:color w:val="000000" w:themeColor="text1"/>
        </w:rPr>
        <w:t xml:space="preserve">Vaistai buvo skiriami į veną kas tris savaites, po to pacientams buvo atliekama planuota chirurginė rezekcija. </w:t>
      </w:r>
    </w:p>
    <w:p w14:paraId="5FB43618" w14:textId="77777777" w:rsidR="009F4360" w:rsidRDefault="009F4360" w:rsidP="009F4360">
      <w:pPr>
        <w:pStyle w:val="Tekstas"/>
        <w:spacing w:after="0"/>
        <w:ind w:firstLine="720"/>
        <w:rPr>
          <w:lang w:eastAsia="en-GB" w:bidi="lt-LT"/>
        </w:rPr>
      </w:pPr>
      <w:r w:rsidRPr="00200ECD">
        <w:rPr>
          <w:lang w:eastAsia="en-GB" w:bidi="lt-LT"/>
        </w:rPr>
        <w:t xml:space="preserve">Pirmaeilė vertinamoji tyrimo baigtis – visiškas patologinis atsakas (angl. </w:t>
      </w:r>
      <w:r w:rsidRPr="00200ECD">
        <w:rPr>
          <w:i/>
          <w:iCs/>
          <w:lang w:eastAsia="en-GB" w:bidi="lt-LT"/>
        </w:rPr>
        <w:t>pathological complete response</w:t>
      </w:r>
      <w:r w:rsidRPr="00200ECD">
        <w:rPr>
          <w:lang w:eastAsia="en-GB" w:bidi="lt-LT"/>
        </w:rPr>
        <w:t xml:space="preserve">, </w:t>
      </w:r>
      <w:r w:rsidRPr="00200ECD">
        <w:rPr>
          <w:i/>
          <w:iCs/>
          <w:lang w:eastAsia="en-GB" w:bidi="lt-LT"/>
        </w:rPr>
        <w:t>pCR</w:t>
      </w:r>
      <w:r w:rsidRPr="00200ECD">
        <w:rPr>
          <w:lang w:eastAsia="en-GB" w:bidi="lt-LT"/>
        </w:rPr>
        <w:t xml:space="preserve">), kuris buvo nustatytas koduotu būdu atlikus peržiūrą centrinėje laboratorijoje, ir išgyvenamumas be įvykių (angl. </w:t>
      </w:r>
      <w:r w:rsidRPr="00200ECD">
        <w:rPr>
          <w:i/>
          <w:iCs/>
          <w:lang w:eastAsia="en-GB" w:bidi="lt-LT"/>
        </w:rPr>
        <w:t>event-free survival</w:t>
      </w:r>
      <w:r w:rsidRPr="00200ECD">
        <w:rPr>
          <w:lang w:eastAsia="en-GB" w:bidi="lt-LT"/>
        </w:rPr>
        <w:t xml:space="preserve">, </w:t>
      </w:r>
      <w:r w:rsidRPr="00200ECD">
        <w:rPr>
          <w:i/>
          <w:iCs/>
          <w:lang w:eastAsia="en-GB" w:bidi="lt-LT"/>
        </w:rPr>
        <w:t>EFS</w:t>
      </w:r>
      <w:r w:rsidRPr="00200ECD">
        <w:rPr>
          <w:lang w:eastAsia="en-GB" w:bidi="lt-LT"/>
        </w:rPr>
        <w:t xml:space="preserve">), kuris buvo įvertintas koduotu būdu atlikus nepriklausomą centrinę peržiūrą (angl. </w:t>
      </w:r>
      <w:r w:rsidRPr="00200ECD">
        <w:rPr>
          <w:i/>
          <w:iCs/>
          <w:lang w:eastAsia="en-GB" w:bidi="lt-LT"/>
        </w:rPr>
        <w:t>blinded independent central review</w:t>
      </w:r>
      <w:r w:rsidRPr="00200ECD">
        <w:rPr>
          <w:lang w:eastAsia="en-GB" w:bidi="lt-LT"/>
        </w:rPr>
        <w:t xml:space="preserve">, </w:t>
      </w:r>
      <w:r w:rsidRPr="00200ECD">
        <w:rPr>
          <w:i/>
          <w:iCs/>
          <w:lang w:eastAsia="en-GB" w:bidi="lt-LT"/>
        </w:rPr>
        <w:t>BICR</w:t>
      </w:r>
      <w:r w:rsidRPr="00200ECD">
        <w:rPr>
          <w:lang w:eastAsia="en-GB" w:bidi="lt-LT"/>
        </w:rPr>
        <w:t xml:space="preserve">). Pagrindinė antraeilė vertinamoji baigtis buvo bendrasis išgyvenamumas (angl. </w:t>
      </w:r>
      <w:r w:rsidRPr="00200ECD">
        <w:rPr>
          <w:i/>
          <w:iCs/>
          <w:lang w:eastAsia="en-GB" w:bidi="lt-LT"/>
        </w:rPr>
        <w:t>overall survival</w:t>
      </w:r>
      <w:r w:rsidRPr="00200ECD">
        <w:rPr>
          <w:lang w:eastAsia="en-GB" w:bidi="lt-LT"/>
        </w:rPr>
        <w:t xml:space="preserve">, </w:t>
      </w:r>
      <w:r w:rsidRPr="00200ECD">
        <w:rPr>
          <w:i/>
          <w:iCs/>
          <w:lang w:eastAsia="en-GB" w:bidi="lt-LT"/>
        </w:rPr>
        <w:t>OS</w:t>
      </w:r>
      <w:r w:rsidRPr="00200ECD">
        <w:rPr>
          <w:lang w:eastAsia="en-GB" w:bidi="lt-LT"/>
        </w:rPr>
        <w:t>).</w:t>
      </w:r>
    </w:p>
    <w:p w14:paraId="1F8C2E88" w14:textId="77777777" w:rsidR="009F4360" w:rsidRPr="00573641" w:rsidRDefault="009F4360" w:rsidP="009F4360">
      <w:pPr>
        <w:pStyle w:val="Tekstas"/>
        <w:spacing w:after="0"/>
        <w:ind w:firstLine="720"/>
      </w:pPr>
      <w:r w:rsidRPr="00573641">
        <w:t>AEGEAN klinikiniame tyrime viso dalyvavo 802 pacientai. Pacientų bendrosios charakteristikos, demografiniai bei ligos rodikliai buvo pateikti modifikuotai ITT populiacijai, tai atspindi realia pacientų kategoriją, kuriai šis vaistai būtų skiriamas Lietuvoje.</w:t>
      </w:r>
    </w:p>
    <w:p w14:paraId="5FE1DBE4" w14:textId="77777777" w:rsidR="009F4360" w:rsidRDefault="009F4360" w:rsidP="009F4360">
      <w:pPr>
        <w:tabs>
          <w:tab w:val="left" w:pos="426"/>
        </w:tabs>
        <w:jc w:val="both"/>
      </w:pPr>
      <w:r w:rsidRPr="00E807A2">
        <w:rPr>
          <w:rFonts w:eastAsia="Arial"/>
          <w:color w:val="000000" w:themeColor="text1"/>
        </w:rPr>
        <w:tab/>
      </w:r>
      <w:r w:rsidRPr="00E807A2">
        <w:rPr>
          <w:rFonts w:eastAsia="Arial"/>
          <w:color w:val="000000" w:themeColor="text1"/>
        </w:rPr>
        <w:tab/>
      </w:r>
      <w:r>
        <w:rPr>
          <w:rFonts w:eastAsia="Arial"/>
          <w:color w:val="000000" w:themeColor="text1"/>
        </w:rPr>
        <w:t xml:space="preserve">Viena iš </w:t>
      </w:r>
      <w:r>
        <w:rPr>
          <w:rFonts w:eastAsia="Arial"/>
        </w:rPr>
        <w:t>t</w:t>
      </w:r>
      <w:r w:rsidRPr="00E807A2">
        <w:rPr>
          <w:rFonts w:eastAsia="Arial"/>
        </w:rPr>
        <w:t xml:space="preserve">yrimo </w:t>
      </w:r>
      <w:r w:rsidRPr="00E807A2">
        <w:rPr>
          <w:rFonts w:eastAsia="Arial"/>
          <w:u w:val="single"/>
        </w:rPr>
        <w:t>pagrindin</w:t>
      </w:r>
      <w:r>
        <w:rPr>
          <w:rFonts w:eastAsia="Arial"/>
          <w:u w:val="single"/>
        </w:rPr>
        <w:t>ių</w:t>
      </w:r>
      <w:r w:rsidRPr="00E807A2">
        <w:rPr>
          <w:rFonts w:eastAsia="Arial"/>
        </w:rPr>
        <w:t xml:space="preserve"> (pirmin</w:t>
      </w:r>
      <w:r>
        <w:rPr>
          <w:rFonts w:eastAsia="Arial"/>
        </w:rPr>
        <w:t>ių</w:t>
      </w:r>
      <w:r w:rsidRPr="00E807A2">
        <w:rPr>
          <w:rFonts w:eastAsia="Arial"/>
        </w:rPr>
        <w:t>) veiksmingumo vertinam</w:t>
      </w:r>
      <w:r>
        <w:rPr>
          <w:rFonts w:eastAsia="Arial"/>
        </w:rPr>
        <w:t>ųjų</w:t>
      </w:r>
      <w:r w:rsidRPr="00E807A2">
        <w:rPr>
          <w:rFonts w:eastAsia="Arial"/>
        </w:rPr>
        <w:t xml:space="preserve"> </w:t>
      </w:r>
      <w:r w:rsidRPr="00E807A2">
        <w:rPr>
          <w:rFonts w:eastAsia="Arial"/>
          <w:u w:val="single"/>
        </w:rPr>
        <w:t>baig</w:t>
      </w:r>
      <w:r>
        <w:rPr>
          <w:rFonts w:eastAsia="Arial"/>
          <w:u w:val="single"/>
        </w:rPr>
        <w:t>čių</w:t>
      </w:r>
      <w:r w:rsidRPr="00E807A2">
        <w:rPr>
          <w:rFonts w:eastAsia="Arial"/>
        </w:rPr>
        <w:t xml:space="preserve"> buvo </w:t>
      </w:r>
      <w:r>
        <w:t>EFS.</w:t>
      </w:r>
    </w:p>
    <w:p w14:paraId="76BD946A" w14:textId="77777777" w:rsidR="009F4360" w:rsidRPr="00573641" w:rsidRDefault="009F4360" w:rsidP="009F4360">
      <w:pPr>
        <w:tabs>
          <w:tab w:val="left" w:pos="426"/>
        </w:tabs>
        <w:jc w:val="both"/>
      </w:pPr>
      <w:r w:rsidRPr="00573641">
        <w:tab/>
      </w:r>
      <w:r w:rsidRPr="00573641">
        <w:tab/>
        <w:t>Tarpinėje įvykių iki progresavimo laiko (EFS IA2) analizėje buvo pateikti atnaujinti duomenys apie antrinį efektyvumo vertinimo baigiamąjį tašką – įvykių iki progresavimo laiką (EFS), vertintą pagal BICR (centrinį nepriklausomą radiologinį vertinimą) pagal RECIST 1.1 kriterijus. Analizės metu EFS rizikos santykis (HR) buvo 0,69 (95 % PI: 0,55–0,88), kas išliko nuoseklu su ankstesnės EFS IA1 analizės rezultatais. Mediana EFS trukmė durvalumabo grupėje dar nebuvo pasiekta nei vienu analizės momentu, o placebo grupėje ji siekė 30,0 mėnesio (95 % PI: 20,6 – nepasiekta), palyginti su 25,9 mėnesio (95 % PI: 18,9 – nepasiekta) ankstesnėje analizėje.</w:t>
      </w:r>
    </w:p>
    <w:p w14:paraId="61F3977F" w14:textId="77777777" w:rsidR="009F4360" w:rsidRDefault="009F4360" w:rsidP="009F4360">
      <w:pPr>
        <w:tabs>
          <w:tab w:val="left" w:pos="426"/>
        </w:tabs>
        <w:jc w:val="both"/>
      </w:pPr>
      <w:r w:rsidRPr="00573641">
        <w:lastRenderedPageBreak/>
        <w:tab/>
      </w:r>
      <w:r w:rsidRPr="00573641">
        <w:tab/>
        <w:t>Kaplan–Meier kreivės parodė aiškų ir nuoseklų EFS pagerėjimą D + CTx grupėje, kuris išryškėjo praėjus maždaug 3 mėnesiams po randomizacijos ir išliko viso stebėjimo laikotarpiu. Didesnė pacientų dalis D + CTx grupėje išliko gyvi ir be ligos progresavimo – po 12 mėn. atitinkamai 73,3 % prieš 64,1 %, po 24 mėn. – 65,0 % prieš 54,4 %, ir po 36 mėn. – 60,1 % prieš 47,9 % placebo + CTx grupėje. Šie duomenys rodo, kad durvalumabo pridėjimas prie chemoterapijos suteikė ilgalaikį pranašumą išgyvenamumo be įvykių atžvilgiu (4 paveikslas).</w:t>
      </w:r>
      <w:r w:rsidRPr="000562CD">
        <w:t xml:space="preserve"> </w:t>
      </w:r>
    </w:p>
    <w:p w14:paraId="5907E00A" w14:textId="77777777" w:rsidR="009F4360" w:rsidRPr="00573641" w:rsidRDefault="009F4360" w:rsidP="009F4360">
      <w:pPr>
        <w:tabs>
          <w:tab w:val="left" w:pos="426"/>
        </w:tabs>
        <w:jc w:val="both"/>
      </w:pPr>
      <w:r>
        <w:tab/>
      </w:r>
      <w:r>
        <w:tab/>
      </w:r>
      <w:r w:rsidRPr="00573641">
        <w:t>Apibendrinant galima teigti, kad durvalumabo pridėjimas prie platinos pagrindu pagrįstos chemoterapijos tiek prieš chirurginę rezekciją, tiek po jos suteikė nuoseklų ir ilgalaikį išgyvenamumo be įvykių pranašumą daugumoje tirtų pogrupių. Šis pranašumas buvo nepriklausomas nuo amžiaus, PD-L1 ekspresijos ar chemoterapijos tipo, o ypač ryškus vyrų, rūkalių ir N2 stadijos pacientų grupėse. Šie duomenys patvirtina durvalumabo veiksmingumą kaip svarbaus imunoterapinio komponento, papildančio standartinį gydymą rezekuotino nesmulkialąstelinio plaučių vėžio atvejais.</w:t>
      </w:r>
    </w:p>
    <w:p w14:paraId="1E2AD7F8" w14:textId="77777777" w:rsidR="009F4360" w:rsidRPr="007C299D" w:rsidRDefault="009F4360" w:rsidP="009F4360">
      <w:pPr>
        <w:tabs>
          <w:tab w:val="left" w:pos="426"/>
        </w:tabs>
        <w:jc w:val="both"/>
      </w:pPr>
      <w:r w:rsidRPr="000562CD">
        <w:t>.</w:t>
      </w:r>
      <w:r w:rsidRPr="000562CD">
        <w:rPr>
          <w:rFonts w:eastAsia="Arial"/>
          <w:color w:val="000000" w:themeColor="text1"/>
        </w:rPr>
        <w:tab/>
      </w:r>
      <w:r w:rsidRPr="000562CD">
        <w:rPr>
          <w:rFonts w:eastAsia="Arial"/>
          <w:color w:val="000000" w:themeColor="text1"/>
        </w:rPr>
        <w:tab/>
        <w:t xml:space="preserve">Kita </w:t>
      </w:r>
      <w:r w:rsidRPr="000562CD">
        <w:rPr>
          <w:rFonts w:eastAsia="Arial"/>
        </w:rPr>
        <w:t xml:space="preserve">tyrimo </w:t>
      </w:r>
      <w:r w:rsidRPr="000562CD">
        <w:rPr>
          <w:rFonts w:eastAsia="Arial"/>
          <w:u w:val="single"/>
        </w:rPr>
        <w:t>pagrindinė</w:t>
      </w:r>
      <w:r w:rsidRPr="000562CD">
        <w:rPr>
          <w:rFonts w:eastAsia="Arial"/>
        </w:rPr>
        <w:t xml:space="preserve"> (pirminė) veiksmingumo vertinamoji </w:t>
      </w:r>
      <w:r w:rsidRPr="000562CD">
        <w:rPr>
          <w:rFonts w:eastAsia="Arial"/>
          <w:u w:val="single"/>
        </w:rPr>
        <w:t>baigtis</w:t>
      </w:r>
      <w:r w:rsidRPr="000562CD">
        <w:rPr>
          <w:rFonts w:eastAsia="Arial"/>
        </w:rPr>
        <w:t xml:space="preserve"> buvo </w:t>
      </w:r>
      <w:r w:rsidRPr="000562CD">
        <w:t>pCR. Visiškos patologinės remisijos (pCR) dažnis durvalumabo grupėje buvo 17,2 %, o placebo grupėje – 4,3 %, t. y. absoliutus skirtumas sudarė 13,0 procentinio punkto (95 % PI: 8,7–17,6; p &lt; 0,001). Šis rezultatas rodo, kad pacientai, gydyti durvalumabu kartu su chemoterapija prieš operaciją, beveik keturis kartus dažniau pasiekė visišką naviko išnykimą audinyje, lyginant su vien chemoterapija. Apibendrinant, šie rezultatai aiškiai patvirtina, kad durvalumabo pridėjimas prie platinos pagrindu pagrįstos chemoterapijos reikšmingai pagerina visiškos patologinės remisijos dažnį prieš chirurginį gydymą. Gydymo nauda buvo nuosekli daugumoje klinikinių ir biologinių pogrupių, o tai rodo durvalumabo svarbą kaip efektyvų imunoterapinį komponentą ankstyvųjų ir vidutiniškai išplitusių rezekuotinų NSLPV atvejų gydyme.</w:t>
      </w:r>
    </w:p>
    <w:p w14:paraId="6CAC13FE" w14:textId="77777777" w:rsidR="009F4360" w:rsidRPr="00573641" w:rsidRDefault="009F4360" w:rsidP="009F4360">
      <w:pPr>
        <w:tabs>
          <w:tab w:val="left" w:pos="426"/>
          <w:tab w:val="num" w:pos="720"/>
        </w:tabs>
        <w:jc w:val="both"/>
      </w:pPr>
      <w:r w:rsidRPr="00573641">
        <w:tab/>
      </w:r>
      <w:r w:rsidRPr="00573641">
        <w:tab/>
        <w:t>Atnaujintoje tarpinėje analizėje (Overall Survival, EFS IA2) buvo įvertinti bendro išgyvenamumo (OS) duomenys modifikuotoje intencijos gydyti (mITT) populiacijoje, kuri apima visus atsitiktinai paskirstytus pacientus, išskyrus tuos, kurių navikuose nustatyta EGFR mutacija arba ALK geno persitvarkymas. Ši populiacija laikyta pagrindine OS vertinimui. EFS IA2 duomenų atnaujinimas parodė tendenciją geresnio išgyvenamumo D + CTx grupėje, kur rizikos santykis buvo 0,89 (95 % PI: 0,70–1,14), kas atitinka 11 % sumažėjusią mirties riziką lyginant su placebu. Vidutinė bendro išgyvenamumo trukmė durvalumabo grupėje nebuvo pasiekta nei vienu analizės momentu, o placebo grupėje EFS IA2 metu ji siekė 53,2 mėnesio (95 % PI: 44,3–nepasiekta) (8 paveikslas).</w:t>
      </w:r>
      <w:r w:rsidRPr="00573641">
        <w:rPr>
          <w:i/>
          <w:iCs/>
        </w:rPr>
        <w:t xml:space="preserve"> </w:t>
      </w:r>
      <w:r w:rsidRPr="00573641">
        <w:t>Apibendrinant, nors šioje analizėje bendras išgyvenamumas dar nepasiekė statistinio reikšmingumo, duomenys rodo teigiamą tendenciją durvalumabo naudai.</w:t>
      </w:r>
    </w:p>
    <w:p w14:paraId="2087DB61" w14:textId="77777777" w:rsidR="009F4360" w:rsidRPr="00573641" w:rsidRDefault="009F4360" w:rsidP="009F4360">
      <w:pPr>
        <w:tabs>
          <w:tab w:val="left" w:pos="426"/>
          <w:tab w:val="num" w:pos="720"/>
        </w:tabs>
        <w:jc w:val="both"/>
      </w:pPr>
      <w:r w:rsidRPr="00573641">
        <w:tab/>
      </w:r>
      <w:r w:rsidRPr="00573641">
        <w:tab/>
      </w:r>
      <w:r w:rsidRPr="004A515B">
        <w:t>Abiejose gydymo grupėse, atliekant pradinį adjuvantinio laikotarpio vertinimą, pacientų gyvenimo kokybė buvo panaši į EORTC QLQ-C30 klausimynu nustatytą bendrosios populiacijos gyvenimo kokybę. Pradinis gyvenimo kokybės lygis daugelyje sričių išliko nepakitęs, o per visą adjuvantinio gydymo laikotarpį keliose srityse skaitine išraiška šiek tiek pagerėjo (pvz., apetito praradimas). Po operacinio gydymo surinktų gyvenimo kokybės duomenų rezultatai rodo, kad lyginant su placebu, adjuvantinis gydymas durvalumabu nebuvo susijęs su neigiamu poveikiu su liga susijusiems simptomams, funkcijoms ar bendram gyvenimo kokybės lygiui</w:t>
      </w:r>
      <w:r w:rsidRPr="004A515B">
        <w:rPr>
          <w:rFonts w:eastAsia="Arial"/>
          <w:color w:val="000000" w:themeColor="text1"/>
        </w:rPr>
        <w:t>.</w:t>
      </w:r>
    </w:p>
    <w:p w14:paraId="3F2BD0AA" w14:textId="6A0F9A42" w:rsidR="009F4360" w:rsidRDefault="009F4360" w:rsidP="009F4360">
      <w:pPr>
        <w:ind w:firstLine="720"/>
        <w:jc w:val="both"/>
        <w:rPr>
          <w:rFonts w:eastAsia="Arial"/>
          <w:iCs/>
          <w:color w:val="000000" w:themeColor="text1"/>
        </w:rPr>
      </w:pPr>
      <w:r w:rsidRPr="002E3A66">
        <w:rPr>
          <w:rFonts w:eastAsia="Arial"/>
          <w:iCs/>
          <w:color w:val="000000" w:themeColor="text1"/>
        </w:rPr>
        <w:t xml:space="preserve">Atsižvelgiant į veiksmingumo ir saugumo rezultatus bei stebėtą gyvenimo kokybės pagerėjimą, </w:t>
      </w:r>
      <w:r w:rsidRPr="002E3A66">
        <w:t xml:space="preserve">IMFINZI derinys su chemoterapija platinos pagrindu </w:t>
      </w:r>
      <w:r w:rsidRPr="002E3A66">
        <w:rPr>
          <w:rFonts w:eastAsia="Arial"/>
          <w:iCs/>
          <w:color w:val="000000" w:themeColor="text1"/>
        </w:rPr>
        <w:t>derinio palyginamasis veiksmingumas yra didesnis, lyginant su įprasta klinikine praktika suaugusiems pacientams, sergantiems operuotinu nesmulkialąsteliniu plaučių vėžiu (angl. non small cell lung cancer, NSCLC), kai yra didelė ligos atkryčio rizika ir nėra epidermio augimo faktoriaus receptorių (angl. epidermal growth factor receptor, EGFR) mutacijų arba anaplazinės limfomos kinazės (ALK) geno sekos pokyčių.</w:t>
      </w:r>
    </w:p>
    <w:p w14:paraId="574D3486" w14:textId="77777777" w:rsidR="004537D0" w:rsidRPr="004537D0" w:rsidRDefault="004537D0" w:rsidP="004537D0">
      <w:pPr>
        <w:tabs>
          <w:tab w:val="left" w:pos="567"/>
        </w:tabs>
        <w:rPr>
          <w:b/>
          <w:bCs/>
          <w:caps/>
        </w:rPr>
      </w:pPr>
    </w:p>
    <w:p w14:paraId="7DE09EB5" w14:textId="69E9DD74" w:rsidR="00E03C3F" w:rsidRPr="00612131" w:rsidRDefault="00CC7832" w:rsidP="00CC09D4">
      <w:pPr>
        <w:pStyle w:val="Sraopastraipa"/>
        <w:numPr>
          <w:ilvl w:val="0"/>
          <w:numId w:val="12"/>
        </w:numPr>
        <w:tabs>
          <w:tab w:val="left" w:pos="567"/>
        </w:tabs>
        <w:ind w:hanging="720"/>
        <w:rPr>
          <w:b/>
          <w:bCs/>
          <w:caps/>
        </w:rPr>
      </w:pPr>
      <w:r w:rsidRPr="00612131">
        <w:rPr>
          <w:b/>
          <w:bCs/>
          <w:caps/>
        </w:rPr>
        <w:t xml:space="preserve">ekonominio vertinimo </w:t>
      </w:r>
      <w:r w:rsidR="002F0E4F" w:rsidRPr="00612131">
        <w:rPr>
          <w:b/>
          <w:bCs/>
          <w:caps/>
        </w:rPr>
        <w:t>apibendrinimas</w:t>
      </w:r>
    </w:p>
    <w:p w14:paraId="1A900598" w14:textId="4826E5DF" w:rsidR="00C62B36" w:rsidRPr="00612131" w:rsidRDefault="00C62B36" w:rsidP="00A93AA6">
      <w:pPr>
        <w:tabs>
          <w:tab w:val="left" w:pos="426"/>
        </w:tabs>
        <w:rPr>
          <w:i/>
          <w:sz w:val="22"/>
          <w:szCs w:val="22"/>
        </w:rPr>
      </w:pPr>
    </w:p>
    <w:p w14:paraId="415C570D" w14:textId="28E7C56A" w:rsidR="00573641" w:rsidRDefault="007C49E2" w:rsidP="00573641">
      <w:pPr>
        <w:shd w:val="clear" w:color="auto" w:fill="FFFFFF"/>
        <w:spacing w:line="276" w:lineRule="auto"/>
        <w:jc w:val="both"/>
        <w:rPr>
          <w:rFonts w:eastAsia="Arial"/>
          <w:bCs/>
        </w:rPr>
      </w:pPr>
      <w:r w:rsidRPr="00612131">
        <w:rPr>
          <w:rFonts w:eastAsia="Arial"/>
        </w:rPr>
        <w:tab/>
      </w:r>
      <w:r w:rsidR="00573641" w:rsidRPr="00612131">
        <w:rPr>
          <w:rFonts w:eastAsia="Arial"/>
          <w:bCs/>
        </w:rPr>
        <w:t xml:space="preserve">Ekonominė analizė atliekama siekiant įvertinti neoadjuvantinio durvalumabo su </w:t>
      </w:r>
      <w:r w:rsidR="00573641">
        <w:rPr>
          <w:rFonts w:eastAsia="Arial"/>
          <w:bCs/>
        </w:rPr>
        <w:t xml:space="preserve">chemoterapija, bei adjuvantinio durvalumabo </w:t>
      </w:r>
      <w:r w:rsidR="00573641" w:rsidRPr="005A6EB0">
        <w:rPr>
          <w:rFonts w:eastAsia="Arial"/>
          <w:bCs/>
        </w:rPr>
        <w:t>monoterapij</w:t>
      </w:r>
      <w:r w:rsidR="00573641">
        <w:rPr>
          <w:rFonts w:eastAsia="Arial"/>
          <w:bCs/>
        </w:rPr>
        <w:t>os</w:t>
      </w:r>
      <w:r w:rsidR="00573641" w:rsidRPr="005A6EB0">
        <w:rPr>
          <w:rFonts w:eastAsia="Arial"/>
          <w:bCs/>
        </w:rPr>
        <w:t xml:space="preserve"> kaštų naudingumą pacientams,</w:t>
      </w:r>
      <w:r w:rsidR="00573641">
        <w:rPr>
          <w:rFonts w:eastAsia="Arial"/>
          <w:bCs/>
        </w:rPr>
        <w:t xml:space="preserve"> </w:t>
      </w:r>
      <w:r w:rsidR="00573641" w:rsidRPr="00F5784D">
        <w:rPr>
          <w:rFonts w:eastAsia="Arial"/>
          <w:iCs/>
          <w:color w:val="000000" w:themeColor="text1"/>
        </w:rPr>
        <w:t xml:space="preserve">sergantiems rezekuotinu nesmulkiųjų ląstelių plaučių vėžiu, kuriems yra didelė vėžio recidyvo rizika, </w:t>
      </w:r>
      <w:r w:rsidR="00573641" w:rsidRPr="00F5784D">
        <w:rPr>
          <w:rFonts w:eastAsia="Arial"/>
          <w:iCs/>
          <w:color w:val="000000" w:themeColor="text1"/>
        </w:rPr>
        <w:lastRenderedPageBreak/>
        <w:t>gydymui ir nėra epidermio augimo faktoriaus receptorių (angl. epidermal growth factor receptor, EGFR) mutacijų arba anaplazinės limfomos kinazės (ALK) geno sekos pokyčių.</w:t>
      </w:r>
      <w:r w:rsidR="00573641" w:rsidRPr="005A6EB0">
        <w:rPr>
          <w:rFonts w:eastAsia="Arial"/>
          <w:bCs/>
        </w:rPr>
        <w:t xml:space="preserve"> Pacientų populiacija atitinka </w:t>
      </w:r>
      <w:r w:rsidR="00573641" w:rsidRPr="00FB7F17">
        <w:t>AEGEAN</w:t>
      </w:r>
      <w:r w:rsidR="00573641" w:rsidRPr="005A6EB0">
        <w:rPr>
          <w:rFonts w:eastAsia="Arial"/>
          <w:bCs/>
        </w:rPr>
        <w:t xml:space="preserve"> klinikinio tyrimo </w:t>
      </w:r>
      <w:r w:rsidR="00573641">
        <w:rPr>
          <w:rFonts w:eastAsia="Arial"/>
          <w:bCs/>
        </w:rPr>
        <w:t>pacientų</w:t>
      </w:r>
      <w:r w:rsidR="00573641" w:rsidRPr="005A6EB0">
        <w:rPr>
          <w:rFonts w:eastAsia="Arial"/>
          <w:bCs/>
        </w:rPr>
        <w:t xml:space="preserve"> populiaciją. </w:t>
      </w:r>
    </w:p>
    <w:p w14:paraId="0E845E6C" w14:textId="77777777" w:rsidR="00573641" w:rsidRDefault="00573641" w:rsidP="00573641">
      <w:pPr>
        <w:shd w:val="clear" w:color="auto" w:fill="FFFFFF"/>
        <w:spacing w:line="276" w:lineRule="auto"/>
        <w:jc w:val="both"/>
        <w:rPr>
          <w:rFonts w:eastAsia="Arial"/>
          <w:bCs/>
        </w:rPr>
      </w:pPr>
    </w:p>
    <w:p w14:paraId="072720C4" w14:textId="77777777" w:rsidR="00573641" w:rsidRDefault="00573641" w:rsidP="00573641">
      <w:pPr>
        <w:spacing w:line="276" w:lineRule="auto"/>
        <w:jc w:val="both"/>
        <w:rPr>
          <w:rFonts w:eastAsia="Arial"/>
          <w:bCs/>
          <w:szCs w:val="22"/>
        </w:rPr>
      </w:pPr>
      <w:r w:rsidRPr="00FE0285">
        <w:t>Neoadjuvantinėje</w:t>
      </w:r>
      <w:r>
        <w:t xml:space="preserve"> </w:t>
      </w:r>
      <w:r w:rsidRPr="00FE0285">
        <w:t>fazėje pacientai gavo 4 ciklus</w:t>
      </w:r>
      <w:r>
        <w:t xml:space="preserve"> neoadjuvantinio durvalumabo su chemoterapija </w:t>
      </w:r>
      <w:r w:rsidRPr="00FE0285">
        <w:t xml:space="preserve">arba </w:t>
      </w:r>
      <w:r>
        <w:t xml:space="preserve">neoadjuvantinę chemoterapiją platinos pagrindu. </w:t>
      </w:r>
      <w:r w:rsidRPr="00C645AA">
        <w:rPr>
          <w:rFonts w:eastAsia="Arial"/>
          <w:bCs/>
          <w:szCs w:val="22"/>
        </w:rPr>
        <w:t xml:space="preserve">Palyginamasis gydymas analizėje yra </w:t>
      </w:r>
      <w:r>
        <w:rPr>
          <w:rFonts w:eastAsia="Arial"/>
          <w:bCs/>
          <w:szCs w:val="22"/>
        </w:rPr>
        <w:t xml:space="preserve">geriausias prieinamas gydymas GPG. Adjuvante durvalumabas skiriamas kaip monoterapija iki 12 ciklų. Palyginamojo gydymo grupėje adjuvante skiriamas tik stebėjimas. </w:t>
      </w:r>
    </w:p>
    <w:p w14:paraId="0320B648" w14:textId="77777777" w:rsidR="00573641" w:rsidRDefault="00573641" w:rsidP="00573641">
      <w:pPr>
        <w:spacing w:line="276" w:lineRule="auto"/>
        <w:jc w:val="both"/>
        <w:rPr>
          <w:rFonts w:eastAsia="Arial"/>
          <w:bCs/>
          <w:szCs w:val="22"/>
        </w:rPr>
      </w:pPr>
    </w:p>
    <w:p w14:paraId="18FD88AE" w14:textId="77777777" w:rsidR="00573641" w:rsidRDefault="00573641" w:rsidP="00573641">
      <w:pPr>
        <w:shd w:val="clear" w:color="auto" w:fill="FFFFFF"/>
        <w:spacing w:line="276" w:lineRule="auto"/>
        <w:jc w:val="both"/>
        <w:rPr>
          <w:rFonts w:eastAsia="Arial"/>
          <w:bCs/>
        </w:rPr>
      </w:pPr>
      <w:r>
        <w:t>Pareiškėjas naudoja, naują (</w:t>
      </w:r>
      <w:r w:rsidRPr="003C6CF9">
        <w:rPr>
          <w:i/>
          <w:iCs/>
        </w:rPr>
        <w:t>angl. de novo</w:t>
      </w:r>
      <w:r>
        <w:t>) pusiau Markovo kohortos ekonominis modelį, su keturiomis sveikatos būsenomis:</w:t>
      </w:r>
      <w:r w:rsidRPr="003C6CF9">
        <w:t xml:space="preserve"> </w:t>
      </w:r>
      <w:r>
        <w:t xml:space="preserve">išgyvenamumas </w:t>
      </w:r>
      <w:r w:rsidRPr="003C6CF9">
        <w:t>be įvyki</w:t>
      </w:r>
      <w:r>
        <w:t>ų</w:t>
      </w:r>
      <w:r w:rsidRPr="003C6CF9">
        <w:t xml:space="preserve"> (EF), lokoregioninis atkrytis (LRR), tolimos metastazės (DM) ir mirtis</w:t>
      </w:r>
      <w:r>
        <w:t xml:space="preserve">. </w:t>
      </w:r>
      <w:r w:rsidRPr="00D1151A">
        <w:t xml:space="preserve">Modelyje perėjimas iš vietinio ligos pasikartojimo (LRR) į mirtį (TP5) buvo diferencijuotas pagal gautą gydymą: po aktyvaus gydymo (TP5a) ir po geriausios palaikomosios priežiūros (BSC, TP5b). TP5a perėjimai pirmuosius du mėnesius buvo nustatyti pagal </w:t>
      </w:r>
      <w:r>
        <w:t>parametrinio modeliavimo</w:t>
      </w:r>
      <w:r w:rsidRPr="001471D1">
        <w:t xml:space="preserve"> duomenimis</w:t>
      </w:r>
      <w:r w:rsidRPr="00D1151A">
        <w:t>, o nuo trečio mėnesio – pagal PACIFIC tyrimo prieš progresiją išgyvenamumo</w:t>
      </w:r>
      <w:r>
        <w:t xml:space="preserve"> </w:t>
      </w:r>
      <w:r w:rsidRPr="00D1151A">
        <w:t>rezultatus.</w:t>
      </w:r>
      <w:r>
        <w:t xml:space="preserve"> </w:t>
      </w:r>
      <w:r w:rsidRPr="00D1151A">
        <w:t>TP5b perėjimai buvo paremti Wong ir kt. (2016) duomenimis, atspindinčiais išgyvenamumą po recidyvo pacientams, gavusiems BSC.</w:t>
      </w:r>
      <w:r>
        <w:t xml:space="preserve"> </w:t>
      </w:r>
      <w:r w:rsidRPr="005A6EB0">
        <w:rPr>
          <w:rFonts w:eastAsia="Arial"/>
          <w:bCs/>
        </w:rPr>
        <w:t xml:space="preserve">Siekiant įvertinti struktūrinę neapibrėžtį modelyje, buvo atlikta platesnė </w:t>
      </w:r>
      <w:r>
        <w:rPr>
          <w:rFonts w:eastAsia="Arial"/>
          <w:bCs/>
        </w:rPr>
        <w:t>jautrumo</w:t>
      </w:r>
      <w:r w:rsidRPr="005A6EB0">
        <w:rPr>
          <w:rFonts w:eastAsia="Arial"/>
          <w:bCs/>
        </w:rPr>
        <w:t xml:space="preserve"> analizė, apimanti skirtingas ekstrapoliacinių kreivių kombinacijas, kuriose kiekvienam perėjimui iš sveikatos būsenų buvo pritaikytos skirtingos parametrinės funkcijos.  </w:t>
      </w:r>
    </w:p>
    <w:p w14:paraId="5171283F" w14:textId="77777777" w:rsidR="00573641" w:rsidRDefault="00573641" w:rsidP="00573641">
      <w:pPr>
        <w:shd w:val="clear" w:color="auto" w:fill="FFFFFF"/>
        <w:spacing w:line="276" w:lineRule="auto"/>
        <w:jc w:val="both"/>
        <w:rPr>
          <w:rFonts w:eastAsia="Arial"/>
          <w:bCs/>
        </w:rPr>
      </w:pPr>
    </w:p>
    <w:p w14:paraId="7D21C9BB" w14:textId="77777777" w:rsidR="00573641" w:rsidRDefault="00573641" w:rsidP="00573641">
      <w:pPr>
        <w:spacing w:line="276" w:lineRule="auto"/>
        <w:jc w:val="both"/>
        <w:rPr>
          <w:rFonts w:eastAsia="Arial"/>
          <w:bCs/>
        </w:rPr>
      </w:pPr>
      <w:r w:rsidRPr="00962055">
        <w:rPr>
          <w:rFonts w:eastAsia="Arial"/>
          <w:bCs/>
        </w:rPr>
        <w:t>Tarnyba atnaujino Pareiškėjo prielaidas bei pateiktus</w:t>
      </w:r>
      <w:r>
        <w:rPr>
          <w:rFonts w:eastAsia="Arial"/>
          <w:bCs/>
        </w:rPr>
        <w:t xml:space="preserve"> duomenis. </w:t>
      </w:r>
      <w:r w:rsidRPr="00B04C2D">
        <w:rPr>
          <w:rFonts w:eastAsia="Arial"/>
          <w:bCs/>
        </w:rPr>
        <w:t xml:space="preserve">Tarnybos koreguotos prielaidos apima šiuos pakeitimus: iš palaikomojo neoadjuvantinio gydymo pašalintas pemetreksedas, kadangi šis vaistas nėra kompensuojamas neoadjuvantiniam gydymui; pakeisti ekstrapoliacinių išgyvenamumo kreivių pasirinkimai perėjimams tarp sveikatos būklių – perėjimui iš EF į LM/DM taikyta </w:t>
      </w:r>
      <w:r w:rsidRPr="00B04C2D">
        <w:rPr>
          <w:rFonts w:eastAsia="Arial"/>
          <w:bCs/>
          <w:i/>
          <w:iCs/>
        </w:rPr>
        <w:t>Generalized Gamma</w:t>
      </w:r>
      <w:r w:rsidRPr="00B04C2D">
        <w:rPr>
          <w:rFonts w:eastAsia="Arial"/>
          <w:bCs/>
        </w:rPr>
        <w:t xml:space="preserve"> funkcija durvalumabo šakai ir </w:t>
      </w:r>
      <w:r w:rsidRPr="00B04C2D">
        <w:rPr>
          <w:rFonts w:eastAsia="Arial"/>
          <w:bCs/>
          <w:i/>
          <w:iCs/>
        </w:rPr>
        <w:t>Log-logistic</w:t>
      </w:r>
      <w:r w:rsidRPr="00B04C2D">
        <w:rPr>
          <w:rFonts w:eastAsia="Arial"/>
          <w:bCs/>
        </w:rPr>
        <w:t xml:space="preserve"> funkcija chemoterapijos platinos pagrindu šakai, perėjimui iš EF į mirtį ir iš LM į DM abiem šakoms taikyta </w:t>
      </w:r>
      <w:r w:rsidRPr="00B04C2D">
        <w:rPr>
          <w:rFonts w:eastAsia="Arial"/>
          <w:bCs/>
          <w:i/>
          <w:iCs/>
        </w:rPr>
        <w:t>Generalized Gamma</w:t>
      </w:r>
      <w:r w:rsidRPr="00B04C2D">
        <w:rPr>
          <w:rFonts w:eastAsia="Arial"/>
          <w:bCs/>
        </w:rPr>
        <w:t xml:space="preserve"> funkcija. Tarnyba taip pat taiko prielaidą, kad pacientai, anksčiau gavę neoadjuvantinį ar adjuvantinį gydymą imunoterapija, gali gauti imunoterapinį gydymą vietinio atkryčio būsenoje, jei liga neprogresavo per šešis mėnesius po adjuvantinio gydymo. Be to, atnaujinti DM2 būsenos gyvenimo kokybės įverčiai, remiantis literatūros šaltiniais ir klinikiniais tyrimais. Tarnyba daro prielaidą, kad buteliukų dalijimasis nėra leidžiamas, ir atnaujina analizėje taikomus kaštus pagal naujausią prieinamą informaciją – įtraukiant konfidencialių susitarimų su VLK kainas bei atnaujintus nepageidaujamų reiškinių valdymo kaštus pagal DRG metodologiją. Galiausiai, sekančių eilių gydymo pasiskirstymas buvo perskaičiuotas pagal Lietuvoje kompensuojamą gydymą, o nesant pagrįstų duomenų – suvienodintas tarp analizuojamų pacientų grupių.</w:t>
      </w:r>
    </w:p>
    <w:p w14:paraId="14450AC4" w14:textId="77777777" w:rsidR="00573641" w:rsidRDefault="00573641" w:rsidP="00573641">
      <w:pPr>
        <w:shd w:val="clear" w:color="auto" w:fill="FFFFFF"/>
        <w:spacing w:line="276" w:lineRule="auto"/>
        <w:jc w:val="both"/>
        <w:rPr>
          <w:rFonts w:eastAsia="Arial"/>
          <w:bCs/>
        </w:rPr>
      </w:pPr>
    </w:p>
    <w:p w14:paraId="37BAB02F" w14:textId="6DE7A644" w:rsidR="00573641" w:rsidRDefault="00573641" w:rsidP="00573641">
      <w:pPr>
        <w:shd w:val="clear" w:color="auto" w:fill="FFFFFF"/>
        <w:spacing w:line="276" w:lineRule="auto"/>
        <w:jc w:val="both"/>
        <w:rPr>
          <w:rFonts w:eastAsia="Arial"/>
          <w:bCs/>
        </w:rPr>
      </w:pPr>
      <w:r>
        <w:t xml:space="preserve">Atlikus analizės rezultato perskaičiavimą, nustatyta, jog durvalumabas yra kaštams naudingas, o referencinė kaštų naudingumo vertė nėra viršijama nei pagrindinio atvejo scenarijuje, nei scenarijų ar jautrumo analizėse. </w:t>
      </w:r>
      <w:r>
        <w:rPr>
          <w:rFonts w:eastAsia="Arial"/>
          <w:bCs/>
        </w:rPr>
        <w:t>Jautrumo</w:t>
      </w:r>
      <w:r w:rsidRPr="00AD16E0">
        <w:rPr>
          <w:rFonts w:eastAsia="Arial"/>
          <w:bCs/>
        </w:rPr>
        <w:t xml:space="preserve"> analizėje gauti ICER rezultatai svyruoja intervale nuo </w:t>
      </w:r>
      <w:r w:rsidR="00594896">
        <w:rPr>
          <w:rFonts w:eastAsia="Arial"/>
          <w:bCs/>
        </w:rPr>
        <w:t>****</w:t>
      </w:r>
      <w:r w:rsidRPr="00AD16E0">
        <w:rPr>
          <w:rFonts w:eastAsia="Arial"/>
          <w:bCs/>
        </w:rPr>
        <w:t xml:space="preserve"> tūkst. iki </w:t>
      </w:r>
      <w:r w:rsidR="00594896">
        <w:rPr>
          <w:rFonts w:eastAsia="Arial"/>
          <w:bCs/>
        </w:rPr>
        <w:t>****</w:t>
      </w:r>
      <w:r w:rsidR="00594896" w:rsidRPr="00AD16E0">
        <w:rPr>
          <w:rFonts w:eastAsia="Arial"/>
          <w:bCs/>
        </w:rPr>
        <w:t xml:space="preserve"> </w:t>
      </w:r>
      <w:r w:rsidRPr="00AD16E0">
        <w:rPr>
          <w:rFonts w:eastAsia="Arial"/>
          <w:bCs/>
        </w:rPr>
        <w:t>tūkst. eurų, t</w:t>
      </w:r>
      <w:r>
        <w:rPr>
          <w:rFonts w:eastAsia="Arial"/>
          <w:bCs/>
        </w:rPr>
        <w:t>ai</w:t>
      </w:r>
      <w:r w:rsidRPr="00AD16E0">
        <w:rPr>
          <w:rFonts w:eastAsia="Arial"/>
          <w:bCs/>
        </w:rPr>
        <w:t xml:space="preserve"> rodo, kad analizė pasižymi tam tikru neapibrėžtumu.</w:t>
      </w:r>
      <w:r>
        <w:rPr>
          <w:rFonts w:eastAsia="Arial"/>
          <w:bCs/>
        </w:rPr>
        <w:t xml:space="preserve"> Nors rastas analizės neapibrėžtumas, b</w:t>
      </w:r>
      <w:r w:rsidRPr="00B04C2D">
        <w:rPr>
          <w:rFonts w:eastAsia="Arial"/>
          <w:bCs/>
        </w:rPr>
        <w:t xml:space="preserve">azinė bei vienpusės jautrumo analizės parodė, kad referencinė kaštų naudingumo riba nėra viršijama, todėl laikoma, jog </w:t>
      </w:r>
      <w:r>
        <w:rPr>
          <w:rFonts w:eastAsia="Arial"/>
          <w:bCs/>
        </w:rPr>
        <w:t xml:space="preserve">neoadjuvantinis/adjuvantinis </w:t>
      </w:r>
      <w:r w:rsidRPr="00B04C2D">
        <w:rPr>
          <w:rFonts w:eastAsia="Arial"/>
          <w:bCs/>
        </w:rPr>
        <w:t>durvalumabas gali būti pripažintas kaštams naudingu gydymo pasirinkimu</w:t>
      </w:r>
      <w:r>
        <w:rPr>
          <w:rFonts w:eastAsia="Arial"/>
          <w:bCs/>
        </w:rPr>
        <w:t xml:space="preserve">. </w:t>
      </w:r>
    </w:p>
    <w:p w14:paraId="72488686" w14:textId="77777777" w:rsidR="00573641" w:rsidRDefault="00573641" w:rsidP="00573641">
      <w:pPr>
        <w:shd w:val="clear" w:color="auto" w:fill="FFFFFF"/>
        <w:spacing w:line="276" w:lineRule="auto"/>
        <w:jc w:val="both"/>
        <w:rPr>
          <w:rFonts w:eastAsia="Arial"/>
          <w:bCs/>
        </w:rPr>
      </w:pPr>
    </w:p>
    <w:p w14:paraId="7F7E68B9" w14:textId="77777777" w:rsidR="00573641" w:rsidRPr="00573641" w:rsidRDefault="00573641" w:rsidP="00573641">
      <w:pPr>
        <w:shd w:val="clear" w:color="auto" w:fill="FFFFFF"/>
        <w:spacing w:line="276" w:lineRule="auto"/>
        <w:jc w:val="both"/>
        <w:rPr>
          <w:rFonts w:eastAsia="Arial"/>
          <w:bCs/>
        </w:rPr>
      </w:pPr>
      <w:r w:rsidRPr="00573641">
        <w:rPr>
          <w:rFonts w:eastAsia="Arial"/>
          <w:b/>
          <w:bCs/>
        </w:rPr>
        <w:t>3.1 Ekonominės analizės rezultatas</w:t>
      </w:r>
      <w:r w:rsidRPr="00573641">
        <w:rPr>
          <w:rFonts w:eastAsia="Arial"/>
          <w:bCs/>
        </w:rPr>
        <w:t> </w:t>
      </w:r>
    </w:p>
    <w:p w14:paraId="2F846D41" w14:textId="77777777" w:rsidR="00573641" w:rsidRPr="00573641" w:rsidRDefault="00573641" w:rsidP="00573641">
      <w:pPr>
        <w:shd w:val="clear" w:color="auto" w:fill="FFFFFF"/>
        <w:spacing w:line="276" w:lineRule="auto"/>
        <w:jc w:val="both"/>
        <w:rPr>
          <w:rFonts w:eastAsia="Arial"/>
          <w:bCs/>
        </w:rPr>
      </w:pPr>
      <w:r w:rsidRPr="00573641">
        <w:rPr>
          <w:rFonts w:eastAsia="Arial"/>
          <w:bCs/>
        </w:rPr>
        <w:lastRenderedPageBreak/>
        <w:t> </w:t>
      </w:r>
    </w:p>
    <w:tbl>
      <w:tblPr>
        <w:tblW w:w="943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195"/>
        <w:gridCol w:w="3240"/>
      </w:tblGrid>
      <w:tr w:rsidR="00573641" w:rsidRPr="00573641" w14:paraId="32C82878" w14:textId="77777777" w:rsidTr="00195F75">
        <w:trPr>
          <w:trHeight w:val="330"/>
        </w:trPr>
        <w:tc>
          <w:tcPr>
            <w:tcW w:w="9435" w:type="dxa"/>
            <w:gridSpan w:val="2"/>
            <w:tcBorders>
              <w:top w:val="single" w:sz="12" w:space="0" w:color="auto"/>
              <w:left w:val="single" w:sz="6" w:space="0" w:color="auto"/>
              <w:bottom w:val="single" w:sz="6" w:space="0" w:color="auto"/>
              <w:right w:val="single" w:sz="6" w:space="0" w:color="auto"/>
            </w:tcBorders>
            <w:vAlign w:val="center"/>
            <w:hideMark/>
          </w:tcPr>
          <w:p w14:paraId="06602DC2" w14:textId="77777777" w:rsidR="00573641" w:rsidRPr="00573641" w:rsidRDefault="00573641" w:rsidP="00573641">
            <w:pPr>
              <w:shd w:val="clear" w:color="auto" w:fill="FFFFFF"/>
              <w:spacing w:line="276" w:lineRule="auto"/>
              <w:jc w:val="both"/>
              <w:rPr>
                <w:rFonts w:eastAsia="Arial"/>
                <w:bCs/>
              </w:rPr>
            </w:pPr>
            <w:r w:rsidRPr="00573641">
              <w:rPr>
                <w:rFonts w:eastAsia="Arial"/>
                <w:b/>
                <w:bCs/>
              </w:rPr>
              <w:t>Rezultatai</w:t>
            </w:r>
            <w:r w:rsidRPr="00573641">
              <w:rPr>
                <w:rFonts w:eastAsia="Arial"/>
                <w:bCs/>
              </w:rPr>
              <w:t> </w:t>
            </w:r>
          </w:p>
        </w:tc>
      </w:tr>
      <w:tr w:rsidR="00573641" w:rsidRPr="00573641" w14:paraId="423C401E" w14:textId="77777777" w:rsidTr="00195F75">
        <w:trPr>
          <w:trHeight w:val="255"/>
        </w:trPr>
        <w:tc>
          <w:tcPr>
            <w:tcW w:w="6195" w:type="dxa"/>
            <w:tcBorders>
              <w:top w:val="single" w:sz="6" w:space="0" w:color="auto"/>
              <w:left w:val="single" w:sz="6" w:space="0" w:color="auto"/>
              <w:bottom w:val="single" w:sz="6" w:space="0" w:color="auto"/>
              <w:right w:val="single" w:sz="6" w:space="0" w:color="auto"/>
            </w:tcBorders>
            <w:hideMark/>
          </w:tcPr>
          <w:p w14:paraId="43C557E3" w14:textId="77777777" w:rsidR="00573641" w:rsidRPr="00573641" w:rsidRDefault="00573641" w:rsidP="00573641">
            <w:pPr>
              <w:shd w:val="clear" w:color="auto" w:fill="FFFFFF"/>
              <w:spacing w:line="276" w:lineRule="auto"/>
              <w:jc w:val="both"/>
              <w:rPr>
                <w:rFonts w:eastAsia="Arial"/>
                <w:bCs/>
              </w:rPr>
            </w:pPr>
            <w:r w:rsidRPr="00573641">
              <w:rPr>
                <w:rFonts w:eastAsia="Arial"/>
                <w:bCs/>
              </w:rPr>
              <w:t>Kaštų skirtumas </w:t>
            </w:r>
          </w:p>
        </w:tc>
        <w:tc>
          <w:tcPr>
            <w:tcW w:w="3240" w:type="dxa"/>
            <w:tcBorders>
              <w:top w:val="single" w:sz="6" w:space="0" w:color="auto"/>
              <w:left w:val="single" w:sz="6" w:space="0" w:color="auto"/>
              <w:bottom w:val="single" w:sz="6" w:space="0" w:color="auto"/>
              <w:right w:val="single" w:sz="6" w:space="0" w:color="auto"/>
            </w:tcBorders>
            <w:hideMark/>
          </w:tcPr>
          <w:p w14:paraId="04C98692" w14:textId="7465E0C0" w:rsidR="00573641" w:rsidRPr="00573641" w:rsidRDefault="00573641" w:rsidP="00573641">
            <w:pPr>
              <w:shd w:val="clear" w:color="auto" w:fill="FFFFFF"/>
              <w:spacing w:line="276" w:lineRule="auto"/>
              <w:jc w:val="both"/>
              <w:rPr>
                <w:rFonts w:eastAsia="Arial"/>
                <w:bCs/>
              </w:rPr>
            </w:pPr>
            <w:r w:rsidRPr="00573641">
              <w:rPr>
                <w:rFonts w:eastAsia="Arial"/>
                <w:bCs/>
              </w:rPr>
              <w:t> </w:t>
            </w:r>
            <w:r w:rsidR="00C41640">
              <w:rPr>
                <w:rFonts w:eastAsia="Arial"/>
                <w:bCs/>
              </w:rPr>
              <w:t>****</w:t>
            </w:r>
            <w:r w:rsidR="00C41640" w:rsidRPr="00AD16E0">
              <w:rPr>
                <w:rFonts w:eastAsia="Arial"/>
                <w:bCs/>
              </w:rPr>
              <w:t xml:space="preserve"> </w:t>
            </w:r>
            <w:r w:rsidR="004108B8" w:rsidRPr="00AD3111">
              <w:rPr>
                <w:bCs/>
                <w:lang w:eastAsia="lt-LT"/>
              </w:rPr>
              <w:t>€</w:t>
            </w:r>
          </w:p>
        </w:tc>
      </w:tr>
      <w:tr w:rsidR="00573641" w:rsidRPr="00573641" w14:paraId="4E93A1B0" w14:textId="77777777" w:rsidTr="00195F75">
        <w:trPr>
          <w:trHeight w:val="255"/>
        </w:trPr>
        <w:tc>
          <w:tcPr>
            <w:tcW w:w="6195" w:type="dxa"/>
            <w:tcBorders>
              <w:top w:val="single" w:sz="6" w:space="0" w:color="auto"/>
              <w:left w:val="single" w:sz="6" w:space="0" w:color="auto"/>
              <w:bottom w:val="single" w:sz="6" w:space="0" w:color="auto"/>
              <w:right w:val="single" w:sz="6" w:space="0" w:color="auto"/>
            </w:tcBorders>
            <w:hideMark/>
          </w:tcPr>
          <w:p w14:paraId="1C7497C4" w14:textId="77777777" w:rsidR="00573641" w:rsidRPr="00573641" w:rsidRDefault="00573641" w:rsidP="00573641">
            <w:pPr>
              <w:shd w:val="clear" w:color="auto" w:fill="FFFFFF"/>
              <w:spacing w:line="276" w:lineRule="auto"/>
              <w:jc w:val="both"/>
              <w:rPr>
                <w:rFonts w:eastAsia="Arial"/>
                <w:bCs/>
              </w:rPr>
            </w:pPr>
            <w:r w:rsidRPr="00573641">
              <w:rPr>
                <w:rFonts w:eastAsia="Arial"/>
                <w:bCs/>
              </w:rPr>
              <w:t>Papildomi gyvenimo metai (LY) </w:t>
            </w:r>
          </w:p>
        </w:tc>
        <w:tc>
          <w:tcPr>
            <w:tcW w:w="3240" w:type="dxa"/>
            <w:tcBorders>
              <w:top w:val="single" w:sz="6" w:space="0" w:color="auto"/>
              <w:left w:val="single" w:sz="6" w:space="0" w:color="auto"/>
              <w:bottom w:val="single" w:sz="6" w:space="0" w:color="auto"/>
              <w:right w:val="single" w:sz="6" w:space="0" w:color="auto"/>
            </w:tcBorders>
            <w:hideMark/>
          </w:tcPr>
          <w:p w14:paraId="3FEEFE03" w14:textId="67439006" w:rsidR="00573641" w:rsidRPr="00573641" w:rsidRDefault="00573641" w:rsidP="00573641">
            <w:pPr>
              <w:shd w:val="clear" w:color="auto" w:fill="FFFFFF"/>
              <w:spacing w:line="276" w:lineRule="auto"/>
              <w:jc w:val="both"/>
              <w:rPr>
                <w:rFonts w:eastAsia="Arial"/>
                <w:bCs/>
              </w:rPr>
            </w:pPr>
            <w:r w:rsidRPr="00573641">
              <w:rPr>
                <w:rFonts w:eastAsia="Arial"/>
                <w:bCs/>
              </w:rPr>
              <w:t> </w:t>
            </w:r>
            <w:r w:rsidR="00C41640">
              <w:rPr>
                <w:rFonts w:eastAsia="Arial"/>
                <w:bCs/>
              </w:rPr>
              <w:t>****</w:t>
            </w:r>
          </w:p>
        </w:tc>
      </w:tr>
      <w:tr w:rsidR="00573641" w:rsidRPr="00573641" w14:paraId="75BCC231" w14:textId="77777777" w:rsidTr="00195F75">
        <w:trPr>
          <w:trHeight w:val="255"/>
        </w:trPr>
        <w:tc>
          <w:tcPr>
            <w:tcW w:w="6195" w:type="dxa"/>
            <w:tcBorders>
              <w:top w:val="single" w:sz="6" w:space="0" w:color="auto"/>
              <w:left w:val="single" w:sz="6" w:space="0" w:color="auto"/>
              <w:bottom w:val="single" w:sz="6" w:space="0" w:color="auto"/>
              <w:right w:val="single" w:sz="6" w:space="0" w:color="auto"/>
            </w:tcBorders>
            <w:hideMark/>
          </w:tcPr>
          <w:p w14:paraId="10AECCA9" w14:textId="77777777" w:rsidR="00573641" w:rsidRPr="00573641" w:rsidRDefault="00573641" w:rsidP="00573641">
            <w:pPr>
              <w:shd w:val="clear" w:color="auto" w:fill="FFFFFF"/>
              <w:spacing w:line="276" w:lineRule="auto"/>
              <w:jc w:val="both"/>
              <w:rPr>
                <w:rFonts w:eastAsia="Arial"/>
                <w:bCs/>
              </w:rPr>
            </w:pPr>
            <w:r w:rsidRPr="00573641">
              <w:rPr>
                <w:rFonts w:eastAsia="Arial"/>
                <w:bCs/>
              </w:rPr>
              <w:t>Papildomi kokybiški gyvenimo metai (QALY) </w:t>
            </w:r>
          </w:p>
        </w:tc>
        <w:tc>
          <w:tcPr>
            <w:tcW w:w="3240" w:type="dxa"/>
            <w:tcBorders>
              <w:top w:val="single" w:sz="6" w:space="0" w:color="auto"/>
              <w:left w:val="single" w:sz="6" w:space="0" w:color="auto"/>
              <w:bottom w:val="single" w:sz="6" w:space="0" w:color="auto"/>
              <w:right w:val="single" w:sz="6" w:space="0" w:color="auto"/>
            </w:tcBorders>
            <w:hideMark/>
          </w:tcPr>
          <w:p w14:paraId="1CEE1C34" w14:textId="61132887" w:rsidR="00573641" w:rsidRPr="00573641" w:rsidRDefault="00C41640" w:rsidP="00573641">
            <w:pPr>
              <w:shd w:val="clear" w:color="auto" w:fill="FFFFFF"/>
              <w:spacing w:line="276" w:lineRule="auto"/>
              <w:jc w:val="both"/>
              <w:rPr>
                <w:rFonts w:eastAsia="Arial"/>
                <w:bCs/>
              </w:rPr>
            </w:pPr>
            <w:r>
              <w:rPr>
                <w:rFonts w:eastAsia="Arial"/>
                <w:bCs/>
              </w:rPr>
              <w:t>****</w:t>
            </w:r>
          </w:p>
        </w:tc>
      </w:tr>
      <w:tr w:rsidR="00573641" w:rsidRPr="00573641" w14:paraId="743B9FEA" w14:textId="77777777" w:rsidTr="00195F75">
        <w:trPr>
          <w:trHeight w:val="255"/>
        </w:trPr>
        <w:tc>
          <w:tcPr>
            <w:tcW w:w="6195" w:type="dxa"/>
            <w:tcBorders>
              <w:top w:val="single" w:sz="6" w:space="0" w:color="auto"/>
              <w:left w:val="single" w:sz="6" w:space="0" w:color="auto"/>
              <w:bottom w:val="single" w:sz="6" w:space="0" w:color="auto"/>
              <w:right w:val="single" w:sz="6" w:space="0" w:color="auto"/>
            </w:tcBorders>
            <w:hideMark/>
          </w:tcPr>
          <w:p w14:paraId="6572C0B1" w14:textId="77777777" w:rsidR="00573641" w:rsidRPr="00573641" w:rsidRDefault="00573641" w:rsidP="00573641">
            <w:pPr>
              <w:shd w:val="clear" w:color="auto" w:fill="FFFFFF"/>
              <w:spacing w:line="276" w:lineRule="auto"/>
              <w:jc w:val="both"/>
              <w:rPr>
                <w:rFonts w:eastAsia="Arial"/>
                <w:bCs/>
              </w:rPr>
            </w:pPr>
            <w:r w:rsidRPr="00573641">
              <w:rPr>
                <w:rFonts w:eastAsia="Arial"/>
                <w:bCs/>
              </w:rPr>
              <w:t>ICER už LY </w:t>
            </w:r>
          </w:p>
        </w:tc>
        <w:tc>
          <w:tcPr>
            <w:tcW w:w="3240" w:type="dxa"/>
            <w:tcBorders>
              <w:top w:val="single" w:sz="6" w:space="0" w:color="auto"/>
              <w:left w:val="single" w:sz="6" w:space="0" w:color="auto"/>
              <w:bottom w:val="single" w:sz="6" w:space="0" w:color="auto"/>
              <w:right w:val="single" w:sz="6" w:space="0" w:color="auto"/>
            </w:tcBorders>
            <w:hideMark/>
          </w:tcPr>
          <w:p w14:paraId="7E573FE8" w14:textId="1535EAD6" w:rsidR="00573641" w:rsidRPr="00573641" w:rsidRDefault="00573641" w:rsidP="00573641">
            <w:pPr>
              <w:shd w:val="clear" w:color="auto" w:fill="FFFFFF"/>
              <w:spacing w:line="276" w:lineRule="auto"/>
              <w:jc w:val="both"/>
              <w:rPr>
                <w:rFonts w:eastAsia="Arial"/>
                <w:bCs/>
              </w:rPr>
            </w:pPr>
            <w:r w:rsidRPr="00573641">
              <w:rPr>
                <w:rFonts w:eastAsia="Arial"/>
                <w:bCs/>
              </w:rPr>
              <w:t> </w:t>
            </w:r>
            <w:r w:rsidR="00C41640">
              <w:rPr>
                <w:rFonts w:eastAsia="Arial"/>
                <w:bCs/>
              </w:rPr>
              <w:t>****</w:t>
            </w:r>
            <w:r w:rsidR="00C41640" w:rsidRPr="00AD16E0">
              <w:rPr>
                <w:rFonts w:eastAsia="Arial"/>
                <w:bCs/>
              </w:rPr>
              <w:t xml:space="preserve"> </w:t>
            </w:r>
            <w:r w:rsidR="00195F75" w:rsidRPr="00AD3111">
              <w:rPr>
                <w:bCs/>
                <w:lang w:eastAsia="lt-LT"/>
              </w:rPr>
              <w:t>€</w:t>
            </w:r>
          </w:p>
        </w:tc>
      </w:tr>
      <w:tr w:rsidR="00195F75" w:rsidRPr="00573641" w14:paraId="20D87032" w14:textId="77777777" w:rsidTr="00195F75">
        <w:trPr>
          <w:trHeight w:val="255"/>
        </w:trPr>
        <w:tc>
          <w:tcPr>
            <w:tcW w:w="6195" w:type="dxa"/>
            <w:tcBorders>
              <w:top w:val="single" w:sz="6" w:space="0" w:color="auto"/>
              <w:left w:val="single" w:sz="6" w:space="0" w:color="auto"/>
              <w:bottom w:val="single" w:sz="6" w:space="0" w:color="auto"/>
              <w:right w:val="single" w:sz="6" w:space="0" w:color="auto"/>
            </w:tcBorders>
            <w:hideMark/>
          </w:tcPr>
          <w:p w14:paraId="2E72BEEF" w14:textId="77777777" w:rsidR="00195F75" w:rsidRPr="00573641" w:rsidRDefault="00195F75" w:rsidP="00195F75">
            <w:pPr>
              <w:shd w:val="clear" w:color="auto" w:fill="FFFFFF"/>
              <w:spacing w:line="276" w:lineRule="auto"/>
              <w:jc w:val="both"/>
              <w:rPr>
                <w:rFonts w:eastAsia="Arial"/>
                <w:bCs/>
              </w:rPr>
            </w:pPr>
            <w:r w:rsidRPr="00573641">
              <w:rPr>
                <w:rFonts w:eastAsia="Arial"/>
                <w:bCs/>
              </w:rPr>
              <w:t>ICER už QALY </w:t>
            </w:r>
          </w:p>
        </w:tc>
        <w:tc>
          <w:tcPr>
            <w:tcW w:w="3240" w:type="dxa"/>
            <w:tcBorders>
              <w:top w:val="single" w:sz="6" w:space="0" w:color="auto"/>
              <w:left w:val="single" w:sz="6" w:space="0" w:color="auto"/>
              <w:bottom w:val="single" w:sz="6" w:space="0" w:color="auto"/>
              <w:right w:val="single" w:sz="6" w:space="0" w:color="auto"/>
            </w:tcBorders>
            <w:hideMark/>
          </w:tcPr>
          <w:p w14:paraId="03139219" w14:textId="2A31E694" w:rsidR="00195F75" w:rsidRPr="00573641" w:rsidRDefault="00195F75" w:rsidP="00195F75">
            <w:pPr>
              <w:shd w:val="clear" w:color="auto" w:fill="FFFFFF"/>
              <w:spacing w:line="276" w:lineRule="auto"/>
              <w:jc w:val="both"/>
              <w:rPr>
                <w:rFonts w:eastAsia="Arial"/>
                <w:bCs/>
              </w:rPr>
            </w:pPr>
            <w:r w:rsidRPr="00A81971">
              <w:rPr>
                <w:bCs/>
                <w:lang w:eastAsia="lt-LT"/>
              </w:rPr>
              <w:t> </w:t>
            </w:r>
            <w:r w:rsidR="00C41640">
              <w:rPr>
                <w:rFonts w:eastAsia="Arial"/>
                <w:bCs/>
              </w:rPr>
              <w:t>****</w:t>
            </w:r>
            <w:r w:rsidR="00C41640" w:rsidRPr="00AD16E0">
              <w:rPr>
                <w:rFonts w:eastAsia="Arial"/>
                <w:bCs/>
              </w:rPr>
              <w:t xml:space="preserve"> </w:t>
            </w:r>
            <w:r w:rsidRPr="00AD3111">
              <w:rPr>
                <w:b/>
                <w:lang w:eastAsia="lt-LT"/>
              </w:rPr>
              <w:t>€</w:t>
            </w:r>
          </w:p>
        </w:tc>
      </w:tr>
      <w:tr w:rsidR="00195F75" w:rsidRPr="00573641" w14:paraId="5CD7293B" w14:textId="77777777" w:rsidTr="00195F75">
        <w:trPr>
          <w:trHeight w:val="255"/>
        </w:trPr>
        <w:tc>
          <w:tcPr>
            <w:tcW w:w="6195" w:type="dxa"/>
            <w:tcBorders>
              <w:top w:val="single" w:sz="6" w:space="0" w:color="auto"/>
              <w:left w:val="single" w:sz="6" w:space="0" w:color="auto"/>
              <w:bottom w:val="single" w:sz="6" w:space="0" w:color="auto"/>
              <w:right w:val="single" w:sz="6" w:space="0" w:color="auto"/>
            </w:tcBorders>
            <w:hideMark/>
          </w:tcPr>
          <w:p w14:paraId="2A5500F7" w14:textId="77777777" w:rsidR="00195F75" w:rsidRPr="00573641" w:rsidRDefault="00195F75" w:rsidP="00195F75">
            <w:pPr>
              <w:shd w:val="clear" w:color="auto" w:fill="FFFFFF"/>
              <w:spacing w:line="276" w:lineRule="auto"/>
              <w:jc w:val="both"/>
              <w:rPr>
                <w:rFonts w:eastAsia="Arial"/>
                <w:bCs/>
              </w:rPr>
            </w:pPr>
            <w:r w:rsidRPr="00573641">
              <w:rPr>
                <w:rFonts w:eastAsia="Arial"/>
                <w:bCs/>
              </w:rPr>
              <w:t>Referencinė kaštų naudingumo vertė </w:t>
            </w:r>
          </w:p>
        </w:tc>
        <w:tc>
          <w:tcPr>
            <w:tcW w:w="3240" w:type="dxa"/>
            <w:tcBorders>
              <w:top w:val="single" w:sz="6" w:space="0" w:color="auto"/>
              <w:left w:val="single" w:sz="6" w:space="0" w:color="auto"/>
              <w:bottom w:val="single" w:sz="6" w:space="0" w:color="auto"/>
              <w:right w:val="single" w:sz="6" w:space="0" w:color="auto"/>
            </w:tcBorders>
            <w:hideMark/>
          </w:tcPr>
          <w:p w14:paraId="1A12C333" w14:textId="39A166FA" w:rsidR="00195F75" w:rsidRPr="00573641" w:rsidRDefault="00195F75" w:rsidP="00195F75">
            <w:pPr>
              <w:shd w:val="clear" w:color="auto" w:fill="FFFFFF"/>
              <w:spacing w:line="276" w:lineRule="auto"/>
              <w:jc w:val="both"/>
              <w:rPr>
                <w:rFonts w:eastAsia="Arial"/>
                <w:bCs/>
              </w:rPr>
            </w:pPr>
            <w:r w:rsidRPr="00A81971">
              <w:rPr>
                <w:bCs/>
                <w:lang w:eastAsia="lt-LT"/>
              </w:rPr>
              <w:t> </w:t>
            </w:r>
            <w:r w:rsidR="00C41640">
              <w:rPr>
                <w:rFonts w:eastAsia="Arial"/>
                <w:bCs/>
              </w:rPr>
              <w:t>****</w:t>
            </w:r>
            <w:r w:rsidR="00C41640" w:rsidRPr="00AD16E0">
              <w:rPr>
                <w:rFonts w:eastAsia="Arial"/>
                <w:bCs/>
              </w:rPr>
              <w:t xml:space="preserve"> </w:t>
            </w:r>
            <w:r>
              <w:rPr>
                <w:rFonts w:eastAsiaTheme="minorHAnsi"/>
              </w:rPr>
              <w:t>Eur</w:t>
            </w:r>
            <w:r w:rsidRPr="00F161D2">
              <w:rPr>
                <w:rFonts w:eastAsiaTheme="minorHAnsi"/>
              </w:rPr>
              <w:t>/QALY</w:t>
            </w:r>
          </w:p>
        </w:tc>
      </w:tr>
    </w:tbl>
    <w:p w14:paraId="2C5041FA" w14:textId="08F3A775" w:rsidR="00573641" w:rsidRPr="00030B7B" w:rsidRDefault="00573641" w:rsidP="00573641">
      <w:pPr>
        <w:shd w:val="clear" w:color="auto" w:fill="FFFFFF"/>
        <w:spacing w:line="276" w:lineRule="auto"/>
        <w:jc w:val="both"/>
        <w:rPr>
          <w:rFonts w:eastAsia="Arial"/>
          <w:bCs/>
        </w:rPr>
      </w:pPr>
      <w:r w:rsidRPr="00573641">
        <w:rPr>
          <w:rFonts w:eastAsia="Arial"/>
          <w:bCs/>
        </w:rPr>
        <w:t>ICER – (</w:t>
      </w:r>
      <w:r w:rsidRPr="00573641">
        <w:rPr>
          <w:rFonts w:eastAsia="Arial"/>
          <w:bCs/>
          <w:i/>
          <w:iCs/>
        </w:rPr>
        <w:t>angl. incremental cost-effectiveness ratio</w:t>
      </w:r>
      <w:r w:rsidRPr="00573641">
        <w:rPr>
          <w:rFonts w:eastAsia="Arial"/>
          <w:bCs/>
        </w:rPr>
        <w:t>) inkrementinis kaštų naudingumo koeficientas; LY – (</w:t>
      </w:r>
      <w:r w:rsidRPr="00573641">
        <w:rPr>
          <w:rFonts w:eastAsia="Arial"/>
          <w:bCs/>
          <w:i/>
          <w:iCs/>
        </w:rPr>
        <w:t>angl. life years</w:t>
      </w:r>
      <w:r w:rsidRPr="00573641">
        <w:rPr>
          <w:rFonts w:eastAsia="Arial"/>
          <w:bCs/>
        </w:rPr>
        <w:t>) gyvenimo metai; QALY- (</w:t>
      </w:r>
      <w:r w:rsidRPr="00573641">
        <w:rPr>
          <w:rFonts w:eastAsia="Arial"/>
          <w:bCs/>
          <w:i/>
          <w:iCs/>
        </w:rPr>
        <w:t>angl. quality adjusted life years) </w:t>
      </w:r>
      <w:r w:rsidRPr="00573641">
        <w:rPr>
          <w:rFonts w:eastAsia="Arial"/>
          <w:bCs/>
        </w:rPr>
        <w:t>kokybiški gyvenimo metai. </w:t>
      </w:r>
    </w:p>
    <w:p w14:paraId="33875138" w14:textId="1005D0A5" w:rsidR="0035172D" w:rsidRPr="00E33EFF" w:rsidRDefault="0035172D" w:rsidP="00573641">
      <w:pPr>
        <w:tabs>
          <w:tab w:val="left" w:pos="567"/>
        </w:tabs>
        <w:spacing w:line="276" w:lineRule="auto"/>
        <w:jc w:val="both"/>
        <w:rPr>
          <w:b/>
          <w:bCs/>
          <w:caps/>
        </w:rPr>
      </w:pPr>
    </w:p>
    <w:p w14:paraId="4FC424F9" w14:textId="4E767245" w:rsidR="00C62B36" w:rsidRPr="00E33EFF" w:rsidRDefault="00C62B36" w:rsidP="00CC09D4">
      <w:pPr>
        <w:pStyle w:val="Sraopastraipa"/>
        <w:numPr>
          <w:ilvl w:val="0"/>
          <w:numId w:val="12"/>
        </w:numPr>
        <w:tabs>
          <w:tab w:val="left" w:pos="567"/>
        </w:tabs>
        <w:ind w:hanging="720"/>
        <w:rPr>
          <w:b/>
          <w:bCs/>
          <w:caps/>
        </w:rPr>
      </w:pPr>
      <w:r w:rsidRPr="00E33EFF">
        <w:rPr>
          <w:b/>
          <w:bCs/>
          <w:caps/>
        </w:rPr>
        <w:t xml:space="preserve">Pacientų organizacijų pateikti duomenys </w:t>
      </w:r>
    </w:p>
    <w:p w14:paraId="79BCFF40" w14:textId="1992DF4A" w:rsidR="00937907" w:rsidRPr="00E33EFF" w:rsidRDefault="00E23FCE" w:rsidP="00937907">
      <w:pPr>
        <w:spacing w:after="120"/>
        <w:jc w:val="both"/>
      </w:pPr>
      <w:sdt>
        <w:sdtPr>
          <w:rPr>
            <w:rStyle w:val="Style2"/>
            <w:rFonts w:ascii="MS Gothic" w:eastAsia="MS Gothic" w:hAnsi="MS Gothic"/>
            <w:sz w:val="24"/>
          </w:rPr>
          <w:id w:val="1150014178"/>
          <w15:color w:val="FFCC00"/>
          <w14:checkbox>
            <w14:checked w14:val="0"/>
            <w14:checkedState w14:val="2612" w14:font="MS Gothic"/>
            <w14:uncheckedState w14:val="2610" w14:font="MS Gothic"/>
          </w14:checkbox>
        </w:sdtPr>
        <w:sdtEndPr>
          <w:rPr>
            <w:rStyle w:val="Style2"/>
          </w:rPr>
        </w:sdtEndPr>
        <w:sdtContent>
          <w:r w:rsidR="00937907" w:rsidRPr="00E33EFF">
            <w:rPr>
              <w:rStyle w:val="Style2"/>
              <w:rFonts w:ascii="MS Gothic" w:eastAsia="MS Gothic" w:hAnsi="MS Gothic" w:hint="eastAsia"/>
              <w:sz w:val="24"/>
            </w:rPr>
            <w:t>☐</w:t>
          </w:r>
        </w:sdtContent>
      </w:sdt>
      <w:r w:rsidR="00937907" w:rsidRPr="00E33EFF">
        <w:t xml:space="preserve"> Pacientų organizacijos pozicija pateikta. Žr. priedą.</w:t>
      </w:r>
    </w:p>
    <w:p w14:paraId="62992180" w14:textId="121952C0" w:rsidR="00937907" w:rsidRPr="00E33EFF" w:rsidRDefault="00E23FCE" w:rsidP="00937907">
      <w:pPr>
        <w:spacing w:after="120"/>
        <w:jc w:val="both"/>
      </w:pPr>
      <w:sdt>
        <w:sdtPr>
          <w:rPr>
            <w:rStyle w:val="Style2"/>
            <w:rFonts w:ascii="MS Gothic" w:eastAsia="MS Gothic" w:hAnsi="MS Gothic"/>
            <w:sz w:val="24"/>
          </w:rPr>
          <w:id w:val="-1545513810"/>
          <w15:color w:val="FFCC00"/>
          <w14:checkbox>
            <w14:checked w14:val="1"/>
            <w14:checkedState w14:val="2612" w14:font="MS Gothic"/>
            <w14:uncheckedState w14:val="2610" w14:font="MS Gothic"/>
          </w14:checkbox>
        </w:sdtPr>
        <w:sdtEndPr>
          <w:rPr>
            <w:rStyle w:val="Style2"/>
          </w:rPr>
        </w:sdtEndPr>
        <w:sdtContent>
          <w:r w:rsidR="00C630AE">
            <w:rPr>
              <w:rStyle w:val="Style2"/>
              <w:rFonts w:ascii="MS Gothic" w:eastAsia="MS Gothic" w:hAnsi="MS Gothic" w:hint="eastAsia"/>
              <w:sz w:val="24"/>
            </w:rPr>
            <w:t>☒</w:t>
          </w:r>
        </w:sdtContent>
      </w:sdt>
      <w:r w:rsidR="00937907" w:rsidRPr="00E33EFF">
        <w:t xml:space="preserve"> Pacientų organizacijos pozicija </w:t>
      </w:r>
      <w:r w:rsidR="00880A44" w:rsidRPr="00E33EFF">
        <w:t>ne</w:t>
      </w:r>
      <w:r w:rsidR="00937907" w:rsidRPr="00E33EFF">
        <w:t>pateikta.</w:t>
      </w:r>
    </w:p>
    <w:p w14:paraId="03E73D82" w14:textId="77777777" w:rsidR="00D417D2" w:rsidRPr="00E33EFF" w:rsidRDefault="00D417D2" w:rsidP="00937907">
      <w:pPr>
        <w:spacing w:after="120"/>
        <w:jc w:val="both"/>
      </w:pPr>
    </w:p>
    <w:p w14:paraId="3D3277FA" w14:textId="3CEEB2D2" w:rsidR="00C62B36" w:rsidRPr="00E33EFF" w:rsidRDefault="00C62B36" w:rsidP="00CC09D4">
      <w:pPr>
        <w:pStyle w:val="Sraopastraipa"/>
        <w:numPr>
          <w:ilvl w:val="0"/>
          <w:numId w:val="12"/>
        </w:numPr>
        <w:tabs>
          <w:tab w:val="left" w:pos="567"/>
        </w:tabs>
        <w:ind w:hanging="720"/>
        <w:rPr>
          <w:b/>
          <w:bCs/>
          <w:caps/>
        </w:rPr>
      </w:pPr>
      <w:r w:rsidRPr="00E33EFF">
        <w:rPr>
          <w:b/>
          <w:bCs/>
          <w:caps/>
        </w:rPr>
        <w:t>Gydytojų organizacijų pateikti duomenys</w:t>
      </w:r>
    </w:p>
    <w:p w14:paraId="389A346C" w14:textId="17184B64" w:rsidR="00937907" w:rsidRPr="00E33EFF" w:rsidRDefault="00E23FCE" w:rsidP="00662983">
      <w:pPr>
        <w:spacing w:after="120"/>
        <w:jc w:val="both"/>
      </w:pPr>
      <w:sdt>
        <w:sdtPr>
          <w:rPr>
            <w:rStyle w:val="Style2"/>
            <w:rFonts w:ascii="MS Gothic" w:eastAsia="MS Gothic" w:hAnsi="MS Gothic"/>
            <w:sz w:val="24"/>
          </w:rPr>
          <w:id w:val="1613862788"/>
          <w15:color w:val="FFCC00"/>
          <w14:checkbox>
            <w14:checked w14:val="0"/>
            <w14:checkedState w14:val="2612" w14:font="MS Gothic"/>
            <w14:uncheckedState w14:val="2610" w14:font="MS Gothic"/>
          </w14:checkbox>
        </w:sdtPr>
        <w:sdtEndPr>
          <w:rPr>
            <w:rStyle w:val="Style2"/>
          </w:rPr>
        </w:sdtEndPr>
        <w:sdtContent>
          <w:r w:rsidR="00937907" w:rsidRPr="00E33EFF">
            <w:rPr>
              <w:rStyle w:val="Style2"/>
              <w:rFonts w:ascii="MS Gothic" w:eastAsia="MS Gothic" w:hAnsi="MS Gothic" w:hint="eastAsia"/>
              <w:sz w:val="24"/>
            </w:rPr>
            <w:t>☐</w:t>
          </w:r>
        </w:sdtContent>
      </w:sdt>
      <w:r w:rsidR="00662983" w:rsidRPr="00E33EFF">
        <w:t xml:space="preserve"> </w:t>
      </w:r>
      <w:r w:rsidR="00937907" w:rsidRPr="00E33EFF">
        <w:t xml:space="preserve">Gydytojų specialistų organizacijos pozicija pateikta. </w:t>
      </w:r>
      <w:r w:rsidR="00662983" w:rsidRPr="00E33EFF">
        <w:t>Žr. priedą</w:t>
      </w:r>
      <w:r w:rsidR="00937907" w:rsidRPr="00E33EFF">
        <w:t>.</w:t>
      </w:r>
    </w:p>
    <w:p w14:paraId="5D8CC48C" w14:textId="36A77852" w:rsidR="00662983" w:rsidRPr="00E33EFF" w:rsidRDefault="00E23FCE" w:rsidP="00662983">
      <w:pPr>
        <w:spacing w:after="120"/>
        <w:jc w:val="both"/>
      </w:pPr>
      <w:sdt>
        <w:sdtPr>
          <w:rPr>
            <w:rStyle w:val="Style2"/>
            <w:rFonts w:ascii="MS Gothic" w:eastAsia="MS Gothic" w:hAnsi="MS Gothic"/>
            <w:sz w:val="24"/>
          </w:rPr>
          <w:id w:val="-41988141"/>
          <w15:color w:val="FFCC00"/>
          <w14:checkbox>
            <w14:checked w14:val="1"/>
            <w14:checkedState w14:val="2612" w14:font="MS Gothic"/>
            <w14:uncheckedState w14:val="2610" w14:font="MS Gothic"/>
          </w14:checkbox>
        </w:sdtPr>
        <w:sdtEndPr>
          <w:rPr>
            <w:rStyle w:val="Style2"/>
          </w:rPr>
        </w:sdtEndPr>
        <w:sdtContent>
          <w:r w:rsidR="00C630AE">
            <w:rPr>
              <w:rStyle w:val="Style2"/>
              <w:rFonts w:ascii="MS Gothic" w:eastAsia="MS Gothic" w:hAnsi="MS Gothic" w:hint="eastAsia"/>
              <w:sz w:val="24"/>
            </w:rPr>
            <w:t>☒</w:t>
          </w:r>
        </w:sdtContent>
      </w:sdt>
      <w:r w:rsidR="00662983" w:rsidRPr="00E33EFF">
        <w:t xml:space="preserve"> </w:t>
      </w:r>
      <w:r w:rsidR="00937907" w:rsidRPr="00E33EFF">
        <w:t xml:space="preserve">Gydytojų specialistų organizacijos pozicija </w:t>
      </w:r>
      <w:r w:rsidR="00880A44" w:rsidRPr="00E33EFF">
        <w:t>ne</w:t>
      </w:r>
      <w:r w:rsidR="00937907" w:rsidRPr="00E33EFF">
        <w:t>pateikta.</w:t>
      </w:r>
    </w:p>
    <w:p w14:paraId="3701D46A" w14:textId="77777777" w:rsidR="00A042B9" w:rsidRPr="00612131" w:rsidRDefault="00A042B9" w:rsidP="00662983">
      <w:pPr>
        <w:spacing w:after="120"/>
        <w:jc w:val="both"/>
      </w:pPr>
    </w:p>
    <w:p w14:paraId="78F23ECB" w14:textId="23A3A002" w:rsidR="002F0E4F" w:rsidRPr="00612131" w:rsidRDefault="002F0E4F" w:rsidP="00CC09D4">
      <w:pPr>
        <w:pStyle w:val="Sraopastraipa"/>
        <w:numPr>
          <w:ilvl w:val="0"/>
          <w:numId w:val="12"/>
        </w:numPr>
        <w:tabs>
          <w:tab w:val="left" w:pos="567"/>
        </w:tabs>
        <w:ind w:hanging="720"/>
        <w:rPr>
          <w:b/>
          <w:bCs/>
          <w:caps/>
        </w:rPr>
      </w:pPr>
      <w:r w:rsidRPr="00612131">
        <w:rPr>
          <w:b/>
          <w:bCs/>
          <w:caps/>
        </w:rPr>
        <w:t xml:space="preserve">Išvada </w:t>
      </w:r>
    </w:p>
    <w:p w14:paraId="3C49FD10" w14:textId="77777777" w:rsidR="00592CBC" w:rsidRPr="008F0E02" w:rsidRDefault="00592CBC" w:rsidP="00592C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eastAsia="Arial"/>
          <w:bCs/>
          <w:iCs/>
          <w:color w:val="000000" w:themeColor="text1"/>
        </w:rPr>
      </w:pPr>
    </w:p>
    <w:tbl>
      <w:tblPr>
        <w:tblStyle w:val="Lentelstinklelis"/>
        <w:tblW w:w="9629" w:type="dxa"/>
        <w:jc w:val="center"/>
        <w:tblLook w:val="04A0" w:firstRow="1" w:lastRow="0" w:firstColumn="1" w:lastColumn="0" w:noHBand="0" w:noVBand="1"/>
      </w:tblPr>
      <w:tblGrid>
        <w:gridCol w:w="4815"/>
        <w:gridCol w:w="71"/>
        <w:gridCol w:w="4743"/>
      </w:tblGrid>
      <w:tr w:rsidR="00592CBC" w:rsidRPr="008F0E02" w14:paraId="6D54900B" w14:textId="77777777" w:rsidTr="00846E4D">
        <w:trPr>
          <w:trHeight w:val="494"/>
          <w:jc w:val="center"/>
        </w:trPr>
        <w:tc>
          <w:tcPr>
            <w:tcW w:w="9629" w:type="dxa"/>
            <w:gridSpan w:val="3"/>
            <w:vAlign w:val="center"/>
          </w:tcPr>
          <w:p w14:paraId="7D7E3217" w14:textId="77777777" w:rsidR="00592CBC" w:rsidRPr="00612131" w:rsidRDefault="00592CBC" w:rsidP="007645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Style w:val="Style2"/>
                <w:rFonts w:eastAsia="MS Gothic"/>
                <w:b/>
                <w:bCs/>
                <w:color w:val="000000" w:themeColor="text1"/>
                <w:sz w:val="24"/>
              </w:rPr>
            </w:pPr>
            <w:r w:rsidRPr="00612131">
              <w:rPr>
                <w:rStyle w:val="Style2"/>
                <w:rFonts w:eastAsia="MS Gothic"/>
                <w:b/>
                <w:bCs/>
                <w:color w:val="000000" w:themeColor="text1"/>
                <w:sz w:val="24"/>
              </w:rPr>
              <w:t>Palyginamasis veiksmingumas</w:t>
            </w:r>
          </w:p>
        </w:tc>
      </w:tr>
      <w:tr w:rsidR="00592CBC" w:rsidRPr="008F0E02" w14:paraId="38BBF422" w14:textId="77777777" w:rsidTr="00846E4D">
        <w:trPr>
          <w:trHeight w:val="1546"/>
          <w:jc w:val="center"/>
        </w:trPr>
        <w:tc>
          <w:tcPr>
            <w:tcW w:w="4886" w:type="dxa"/>
            <w:gridSpan w:val="2"/>
          </w:tcPr>
          <w:p w14:paraId="6026E138" w14:textId="77777777" w:rsidR="00592CBC" w:rsidRPr="008F0E02" w:rsidRDefault="00E23FCE" w:rsidP="007645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000000" w:themeColor="text1"/>
              </w:rPr>
            </w:pPr>
            <w:sdt>
              <w:sdtPr>
                <w:rPr>
                  <w:rStyle w:val="Style2"/>
                  <w:color w:val="000000" w:themeColor="text1"/>
                </w:rPr>
                <w:id w:val="-253974781"/>
                <w15:color w:val="FFCC00"/>
                <w14:checkbox>
                  <w14:checked w14:val="1"/>
                  <w14:checkedState w14:val="2612" w14:font="MS Gothic"/>
                  <w14:uncheckedState w14:val="2610" w14:font="MS Gothic"/>
                </w14:checkbox>
              </w:sdtPr>
              <w:sdtEndPr>
                <w:rPr>
                  <w:rStyle w:val="Style2"/>
                </w:rPr>
              </w:sdtEndPr>
              <w:sdtContent>
                <w:r w:rsidR="00592CBC" w:rsidRPr="008F0E02">
                  <w:rPr>
                    <w:rStyle w:val="Style2"/>
                    <w:rFonts w:ascii="MS Gothic" w:eastAsia="MS Gothic" w:hAnsi="MS Gothic" w:hint="eastAsia"/>
                    <w:color w:val="000000" w:themeColor="text1"/>
                  </w:rPr>
                  <w:t>☒</w:t>
                </w:r>
              </w:sdtContent>
            </w:sdt>
            <w:r w:rsidR="00592CBC" w:rsidRPr="008F0E02">
              <w:rPr>
                <w:color w:val="000000" w:themeColor="text1"/>
              </w:rPr>
              <w:t xml:space="preserve"> 29.1.1 yra didesnis, lyginant su įprasta klinikine praktika</w:t>
            </w:r>
          </w:p>
          <w:p w14:paraId="4E9AF87C" w14:textId="77777777" w:rsidR="00592CBC" w:rsidRPr="008F0E02" w:rsidRDefault="00592CBC" w:rsidP="007645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000000" w:themeColor="text1"/>
              </w:rPr>
            </w:pPr>
          </w:p>
          <w:p w14:paraId="2A3B9067" w14:textId="77777777" w:rsidR="00592CBC" w:rsidRPr="008F0E02" w:rsidRDefault="00E23FCE" w:rsidP="007645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Style w:val="Style2"/>
                <w:color w:val="000000" w:themeColor="text1"/>
              </w:rPr>
            </w:pPr>
            <w:sdt>
              <w:sdtPr>
                <w:rPr>
                  <w:rStyle w:val="Style2"/>
                  <w:color w:val="000000" w:themeColor="text1"/>
                </w:rPr>
                <w:id w:val="-2042735340"/>
                <w15:color w:val="FFCC00"/>
                <w14:checkbox>
                  <w14:checked w14:val="0"/>
                  <w14:checkedState w14:val="2612" w14:font="MS Gothic"/>
                  <w14:uncheckedState w14:val="2610" w14:font="MS Gothic"/>
                </w14:checkbox>
              </w:sdtPr>
              <w:sdtEndPr>
                <w:rPr>
                  <w:rStyle w:val="Style2"/>
                </w:rPr>
              </w:sdtEndPr>
              <w:sdtContent>
                <w:r w:rsidR="00592CBC" w:rsidRPr="008F0E02">
                  <w:rPr>
                    <w:rStyle w:val="Style2"/>
                    <w:rFonts w:ascii="Segoe UI Symbol" w:eastAsia="MS Gothic" w:hAnsi="Segoe UI Symbol" w:cs="Segoe UI Symbol"/>
                    <w:color w:val="000000" w:themeColor="text1"/>
                  </w:rPr>
                  <w:t>☐</w:t>
                </w:r>
              </w:sdtContent>
            </w:sdt>
            <w:r w:rsidR="00592CBC" w:rsidRPr="008F0E02">
              <w:rPr>
                <w:color w:val="000000" w:themeColor="text1"/>
              </w:rPr>
              <w:t xml:space="preserve"> 29.1.2 iš esmės nesiskiria, lyginant su įprasta klinikine praktika</w:t>
            </w:r>
          </w:p>
        </w:tc>
        <w:tc>
          <w:tcPr>
            <w:tcW w:w="4743" w:type="dxa"/>
          </w:tcPr>
          <w:p w14:paraId="4A1F93B6" w14:textId="77777777" w:rsidR="00592CBC" w:rsidRPr="008F0E02" w:rsidRDefault="00E23FCE" w:rsidP="007645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000000" w:themeColor="text1"/>
              </w:rPr>
            </w:pPr>
            <w:sdt>
              <w:sdtPr>
                <w:rPr>
                  <w:rStyle w:val="Style2"/>
                  <w:color w:val="000000" w:themeColor="text1"/>
                </w:rPr>
                <w:id w:val="1223253010"/>
                <w15:color w:val="FFCC00"/>
                <w14:checkbox>
                  <w14:checked w14:val="0"/>
                  <w14:checkedState w14:val="2612" w14:font="MS Gothic"/>
                  <w14:uncheckedState w14:val="2610" w14:font="MS Gothic"/>
                </w14:checkbox>
              </w:sdtPr>
              <w:sdtEndPr>
                <w:rPr>
                  <w:rStyle w:val="Style2"/>
                </w:rPr>
              </w:sdtEndPr>
              <w:sdtContent>
                <w:r w:rsidR="00592CBC" w:rsidRPr="008F0E02">
                  <w:rPr>
                    <w:rStyle w:val="Style2"/>
                    <w:rFonts w:ascii="Segoe UI Symbol" w:eastAsia="MS Gothic" w:hAnsi="Segoe UI Symbol" w:cs="Segoe UI Symbol"/>
                    <w:color w:val="000000" w:themeColor="text1"/>
                  </w:rPr>
                  <w:t>☐</w:t>
                </w:r>
              </w:sdtContent>
            </w:sdt>
            <w:r w:rsidR="00592CBC" w:rsidRPr="008F0E02">
              <w:rPr>
                <w:color w:val="000000" w:themeColor="text1"/>
              </w:rPr>
              <w:t xml:space="preserve"> 29.1.3 yra neįrodytas kaip didesnis  ar iš esmės nesiskiriantis, lyginant su įprasta klinikine praktika  </w:t>
            </w:r>
          </w:p>
          <w:p w14:paraId="38729438" w14:textId="77777777" w:rsidR="00592CBC" w:rsidRPr="008F0E02" w:rsidRDefault="00592CBC" w:rsidP="007645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000000" w:themeColor="text1"/>
              </w:rPr>
            </w:pPr>
          </w:p>
          <w:p w14:paraId="1EACFFCA" w14:textId="77777777" w:rsidR="00592CBC" w:rsidRPr="008F0E02" w:rsidRDefault="00E23FCE" w:rsidP="007645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000000" w:themeColor="text1"/>
              </w:rPr>
            </w:pPr>
            <w:sdt>
              <w:sdtPr>
                <w:rPr>
                  <w:rStyle w:val="Style2"/>
                  <w:color w:val="000000" w:themeColor="text1"/>
                </w:rPr>
                <w:id w:val="-2100856797"/>
                <w15:color w:val="FFCC00"/>
                <w14:checkbox>
                  <w14:checked w14:val="0"/>
                  <w14:checkedState w14:val="2612" w14:font="MS Gothic"/>
                  <w14:uncheckedState w14:val="2610" w14:font="MS Gothic"/>
                </w14:checkbox>
              </w:sdtPr>
              <w:sdtEndPr>
                <w:rPr>
                  <w:rStyle w:val="Style2"/>
                </w:rPr>
              </w:sdtEndPr>
              <w:sdtContent>
                <w:r w:rsidR="00592CBC" w:rsidRPr="008F0E02">
                  <w:rPr>
                    <w:rStyle w:val="Style2"/>
                    <w:rFonts w:ascii="Segoe UI Symbol" w:eastAsia="MS Gothic" w:hAnsi="Segoe UI Symbol" w:cs="Segoe UI Symbol"/>
                    <w:color w:val="000000" w:themeColor="text1"/>
                  </w:rPr>
                  <w:t>☐</w:t>
                </w:r>
              </w:sdtContent>
            </w:sdt>
            <w:r w:rsidR="00592CBC" w:rsidRPr="008F0E02">
              <w:rPr>
                <w:color w:val="000000" w:themeColor="text1"/>
              </w:rPr>
              <w:t xml:space="preserve"> 29.1.4 yra mažesnis, lyginant su įprasta klinikine praktika</w:t>
            </w:r>
          </w:p>
          <w:p w14:paraId="6DDD9AE2" w14:textId="77777777" w:rsidR="00592CBC" w:rsidRPr="008F0E02" w:rsidRDefault="00592CBC" w:rsidP="007645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000000" w:themeColor="text1"/>
              </w:rPr>
            </w:pPr>
          </w:p>
          <w:p w14:paraId="698BBA46" w14:textId="77777777" w:rsidR="00592CBC" w:rsidRPr="008F0E02" w:rsidRDefault="00E23FCE" w:rsidP="007645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000000" w:themeColor="text1"/>
              </w:rPr>
            </w:pPr>
            <w:sdt>
              <w:sdtPr>
                <w:rPr>
                  <w:rStyle w:val="Style2"/>
                  <w:color w:val="000000" w:themeColor="text1"/>
                </w:rPr>
                <w:id w:val="-1085991623"/>
                <w15:color w:val="FFCC00"/>
                <w14:checkbox>
                  <w14:checked w14:val="0"/>
                  <w14:checkedState w14:val="2612" w14:font="MS Gothic"/>
                  <w14:uncheckedState w14:val="2610" w14:font="MS Gothic"/>
                </w14:checkbox>
              </w:sdtPr>
              <w:sdtEndPr>
                <w:rPr>
                  <w:rStyle w:val="Style2"/>
                </w:rPr>
              </w:sdtEndPr>
              <w:sdtContent>
                <w:r w:rsidR="00592CBC" w:rsidRPr="008F0E02">
                  <w:rPr>
                    <w:rStyle w:val="Style2"/>
                    <w:rFonts w:ascii="Segoe UI Symbol" w:eastAsia="MS Gothic" w:hAnsi="Segoe UI Symbol" w:cs="Segoe UI Symbol"/>
                    <w:color w:val="000000" w:themeColor="text1"/>
                  </w:rPr>
                  <w:t>☐</w:t>
                </w:r>
              </w:sdtContent>
            </w:sdt>
            <w:r w:rsidR="00592CBC" w:rsidRPr="008F0E02">
              <w:rPr>
                <w:color w:val="000000" w:themeColor="text1"/>
              </w:rPr>
              <w:t xml:space="preserve"> 29.1.5 pateikti duomenys apie palyginamąjį veiksmingumą yra netinkami vertinti</w:t>
            </w:r>
          </w:p>
          <w:p w14:paraId="3075F81B" w14:textId="77777777" w:rsidR="00592CBC" w:rsidRPr="008F0E02" w:rsidRDefault="00592CBC" w:rsidP="007645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Style w:val="Style2"/>
                <w:rFonts w:eastAsia="MS Gothic"/>
                <w:color w:val="000000" w:themeColor="text1"/>
              </w:rPr>
            </w:pPr>
          </w:p>
        </w:tc>
      </w:tr>
      <w:tr w:rsidR="00846E4D" w:rsidRPr="00632BB3" w14:paraId="44C31D8D" w14:textId="77777777" w:rsidTr="00846E4D">
        <w:tblPrEx>
          <w:jc w:val="left"/>
        </w:tblPrEx>
        <w:trPr>
          <w:trHeight w:val="510"/>
        </w:trPr>
        <w:tc>
          <w:tcPr>
            <w:tcW w:w="9629" w:type="dxa"/>
            <w:gridSpan w:val="3"/>
            <w:vAlign w:val="center"/>
          </w:tcPr>
          <w:p w14:paraId="59A908CA" w14:textId="77777777" w:rsidR="00846E4D" w:rsidRPr="00632BB3" w:rsidRDefault="00846E4D" w:rsidP="005E79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tyle2"/>
                <w:rFonts w:eastAsia="MS Gothic"/>
                <w:b/>
                <w:bCs/>
                <w:sz w:val="24"/>
              </w:rPr>
            </w:pPr>
            <w:bookmarkStart w:id="1" w:name="_Hlk185374656"/>
            <w:bookmarkStart w:id="2" w:name="_Hlk185374787"/>
            <w:r w:rsidRPr="00632BB3">
              <w:rPr>
                <w:rStyle w:val="Style2"/>
                <w:rFonts w:eastAsia="MS Gothic"/>
                <w:b/>
                <w:bCs/>
                <w:sz w:val="24"/>
              </w:rPr>
              <w:t>Kaštų naudingumas</w:t>
            </w:r>
          </w:p>
        </w:tc>
      </w:tr>
      <w:tr w:rsidR="00846E4D" w:rsidRPr="00632BB3" w14:paraId="4DFC3E54" w14:textId="77777777" w:rsidTr="00846E4D">
        <w:tblPrEx>
          <w:jc w:val="left"/>
        </w:tblPrEx>
        <w:tc>
          <w:tcPr>
            <w:tcW w:w="4815" w:type="dxa"/>
          </w:tcPr>
          <w:p w14:paraId="0C5180D8" w14:textId="6D41FEFD" w:rsidR="00846E4D" w:rsidRPr="00632BB3" w:rsidRDefault="00E23FCE" w:rsidP="005E79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975984416"/>
                <w15:color w:val="FFCC00"/>
                <w14:checkbox>
                  <w14:checked w14:val="1"/>
                  <w14:checkedState w14:val="2612" w14:font="MS Gothic"/>
                  <w14:uncheckedState w14:val="2610" w14:font="MS Gothic"/>
                </w14:checkbox>
              </w:sdtPr>
              <w:sdtEndPr>
                <w:rPr>
                  <w:rStyle w:val="Style2"/>
                </w:rPr>
              </w:sdtEndPr>
              <w:sdtContent>
                <w:r w:rsidR="00573641">
                  <w:rPr>
                    <w:rStyle w:val="Style2"/>
                    <w:rFonts w:ascii="MS Gothic" w:eastAsia="MS Gothic" w:hAnsi="MS Gothic" w:hint="eastAsia"/>
                    <w:sz w:val="24"/>
                  </w:rPr>
                  <w:t>☒</w:t>
                </w:r>
              </w:sdtContent>
            </w:sdt>
            <w:r w:rsidR="00846E4D" w:rsidRPr="00632BB3">
              <w:t xml:space="preserve"> 29.2.1 atitinka referencinę naudingumo vertę</w:t>
            </w:r>
          </w:p>
          <w:p w14:paraId="2DC8910C" w14:textId="77777777" w:rsidR="00846E4D" w:rsidRPr="00632BB3" w:rsidRDefault="00846E4D" w:rsidP="005E79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02714424" w14:textId="17E01EF5" w:rsidR="00846E4D" w:rsidRPr="00632BB3" w:rsidRDefault="00846E4D" w:rsidP="005E79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rPr>
            </w:pPr>
          </w:p>
        </w:tc>
        <w:tc>
          <w:tcPr>
            <w:tcW w:w="4814" w:type="dxa"/>
            <w:gridSpan w:val="2"/>
          </w:tcPr>
          <w:p w14:paraId="4E4FD731" w14:textId="77777777" w:rsidR="00846E4D" w:rsidRPr="00632BB3" w:rsidRDefault="00E23FCE" w:rsidP="005E79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365405113"/>
                <w15:color w:val="FFCC00"/>
                <w14:checkbox>
                  <w14:checked w14:val="0"/>
                  <w14:checkedState w14:val="2612" w14:font="MS Gothic"/>
                  <w14:uncheckedState w14:val="2610" w14:font="MS Gothic"/>
                </w14:checkbox>
              </w:sdtPr>
              <w:sdtEndPr>
                <w:rPr>
                  <w:rStyle w:val="Style2"/>
                </w:rPr>
              </w:sdtEndPr>
              <w:sdtContent>
                <w:r w:rsidR="00846E4D" w:rsidRPr="00632BB3">
                  <w:rPr>
                    <w:rStyle w:val="Style2"/>
                    <w:rFonts w:ascii="MS Gothic" w:eastAsia="MS Gothic" w:hAnsi="MS Gothic"/>
                    <w:sz w:val="24"/>
                  </w:rPr>
                  <w:t>☐</w:t>
                </w:r>
              </w:sdtContent>
            </w:sdt>
            <w:r w:rsidR="00846E4D" w:rsidRPr="00632BB3">
              <w:t xml:space="preserve"> 29.2.3 neatitinka referencinės naudingumo vertės taikant arba netaikant PGS</w:t>
            </w:r>
          </w:p>
          <w:p w14:paraId="4E5C1F76" w14:textId="77777777" w:rsidR="00846E4D" w:rsidRPr="00632BB3" w:rsidRDefault="00846E4D" w:rsidP="005E79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3F2FE375" w14:textId="77777777" w:rsidR="00846E4D" w:rsidRPr="00632BB3" w:rsidRDefault="00E23FCE" w:rsidP="005E79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dt>
              <w:sdtPr>
                <w:rPr>
                  <w:rStyle w:val="Style2"/>
                  <w:sz w:val="24"/>
                </w:rPr>
                <w:id w:val="-2008360022"/>
                <w15:color w:val="FFCC00"/>
                <w14:checkbox>
                  <w14:checked w14:val="0"/>
                  <w14:checkedState w14:val="2612" w14:font="MS Gothic"/>
                  <w14:uncheckedState w14:val="2610" w14:font="MS Gothic"/>
                </w14:checkbox>
              </w:sdtPr>
              <w:sdtEndPr>
                <w:rPr>
                  <w:rStyle w:val="Style2"/>
                </w:rPr>
              </w:sdtEndPr>
              <w:sdtContent>
                <w:r w:rsidR="00846E4D" w:rsidRPr="00632BB3">
                  <w:rPr>
                    <w:rStyle w:val="Style2"/>
                    <w:rFonts w:ascii="Segoe UI Symbol" w:eastAsia="MS Gothic" w:hAnsi="Segoe UI Symbol" w:cs="Segoe UI Symbol"/>
                    <w:sz w:val="24"/>
                  </w:rPr>
                  <w:t>☐</w:t>
                </w:r>
              </w:sdtContent>
            </w:sdt>
            <w:r w:rsidR="00846E4D" w:rsidRPr="00632BB3">
              <w:t xml:space="preserve"> 29.2.5 pateikti duomenys apie kaštų naudingumą yra netinkami vertinti</w:t>
            </w:r>
          </w:p>
          <w:p w14:paraId="2B35E76E" w14:textId="77777777" w:rsidR="00846E4D" w:rsidRPr="00632BB3" w:rsidRDefault="00846E4D" w:rsidP="005E79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rPr>
            </w:pPr>
          </w:p>
        </w:tc>
      </w:tr>
      <w:tr w:rsidR="00573641" w:rsidRPr="00632BB3" w14:paraId="7AD0E6E3" w14:textId="77777777" w:rsidTr="00E16FF2">
        <w:tblPrEx>
          <w:jc w:val="left"/>
        </w:tblPrEx>
        <w:tc>
          <w:tcPr>
            <w:tcW w:w="9629" w:type="dxa"/>
            <w:gridSpan w:val="3"/>
          </w:tcPr>
          <w:p w14:paraId="77AB1EFE" w14:textId="139913BD" w:rsidR="00573641" w:rsidRDefault="00573641" w:rsidP="005736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sz w:val="24"/>
              </w:rPr>
            </w:pPr>
            <w:r w:rsidRPr="00F5784D">
              <w:rPr>
                <w:sz w:val="23"/>
                <w:szCs w:val="23"/>
                <w:lang w:eastAsia="lt-LT"/>
              </w:rPr>
              <w:lastRenderedPageBreak/>
              <w:t>​​</w:t>
            </w:r>
            <w:r w:rsidRPr="00F5784D">
              <w:rPr>
                <w:rFonts w:ascii="Segoe UI Symbol" w:hAnsi="Segoe UI Symbol" w:cs="Segoe UI"/>
                <w:sz w:val="23"/>
                <w:szCs w:val="23"/>
                <w:lang w:eastAsia="lt-LT"/>
              </w:rPr>
              <w:t>☐</w:t>
            </w:r>
            <w:r w:rsidRPr="00F5784D">
              <w:rPr>
                <w:sz w:val="23"/>
                <w:szCs w:val="23"/>
                <w:lang w:eastAsia="lt-LT"/>
              </w:rPr>
              <w:t>​ Vykdant Aprašo &lt;17</w:t>
            </w:r>
            <w:r w:rsidRPr="00F5784D">
              <w:rPr>
                <w:sz w:val="18"/>
                <w:szCs w:val="18"/>
                <w:vertAlign w:val="superscript"/>
                <w:lang w:eastAsia="lt-LT"/>
              </w:rPr>
              <w:t>3</w:t>
            </w:r>
            <w:r w:rsidRPr="00F5784D">
              <w:rPr>
                <w:sz w:val="23"/>
                <w:szCs w:val="23"/>
                <w:lang w:eastAsia="lt-LT"/>
              </w:rPr>
              <w:t>.1&gt;&lt;17</w:t>
            </w:r>
            <w:r w:rsidRPr="00F5784D">
              <w:rPr>
                <w:sz w:val="18"/>
                <w:szCs w:val="18"/>
                <w:vertAlign w:val="superscript"/>
                <w:lang w:eastAsia="lt-LT"/>
              </w:rPr>
              <w:t>3</w:t>
            </w:r>
            <w:r w:rsidRPr="00F5784D">
              <w:rPr>
                <w:sz w:val="23"/>
                <w:szCs w:val="23"/>
                <w:lang w:eastAsia="lt-LT"/>
              </w:rPr>
              <w:t>.2&gt;&lt;17</w:t>
            </w:r>
            <w:r w:rsidRPr="00F5784D">
              <w:rPr>
                <w:sz w:val="18"/>
                <w:szCs w:val="18"/>
                <w:vertAlign w:val="superscript"/>
                <w:lang w:eastAsia="lt-LT"/>
              </w:rPr>
              <w:t>3</w:t>
            </w:r>
            <w:r w:rsidRPr="00F5784D">
              <w:rPr>
                <w:sz w:val="23"/>
                <w:szCs w:val="23"/>
                <w:lang w:eastAsia="lt-LT"/>
              </w:rPr>
              <w:t>.3&gt; punktą vaistinio (-ų) preparato (-ų) ekonominis vertinimas neatliekamas, išvados dėl kaštų naudingumo neteikiamos  </w:t>
            </w:r>
          </w:p>
        </w:tc>
      </w:tr>
      <w:bookmarkEnd w:id="1"/>
      <w:bookmarkEnd w:id="2"/>
    </w:tbl>
    <w:p w14:paraId="65ACA3C5" w14:textId="76C604A1" w:rsidR="004A3A61" w:rsidRDefault="004A3A61" w:rsidP="00381024"/>
    <w:p w14:paraId="20C6051A" w14:textId="77777777" w:rsidR="009F4360" w:rsidRPr="00E33EFF" w:rsidRDefault="009F4360" w:rsidP="00381024"/>
    <w:p w14:paraId="3B2D1F25" w14:textId="3A80E19F" w:rsidR="000001B0" w:rsidRPr="00276057" w:rsidRDefault="000001B0" w:rsidP="00CC09D4">
      <w:pPr>
        <w:pStyle w:val="Sraopastraipa"/>
        <w:numPr>
          <w:ilvl w:val="0"/>
          <w:numId w:val="12"/>
        </w:numPr>
        <w:ind w:left="567" w:hanging="567"/>
      </w:pPr>
      <w:r w:rsidRPr="00E33EFF">
        <w:rPr>
          <w:b/>
        </w:rPr>
        <w:t>REKOME</w:t>
      </w:r>
      <w:r w:rsidR="00D83182" w:rsidRPr="00E33EFF">
        <w:rPr>
          <w:b/>
        </w:rPr>
        <w:t>N</w:t>
      </w:r>
      <w:r w:rsidRPr="00E33EFF">
        <w:rPr>
          <w:b/>
        </w:rPr>
        <w:t>DACIJA</w:t>
      </w:r>
    </w:p>
    <w:p w14:paraId="7E0D2C3D" w14:textId="77777777" w:rsidR="00276057" w:rsidRDefault="00276057" w:rsidP="00276057"/>
    <w:p w14:paraId="7DE31A49" w14:textId="714D95AF" w:rsidR="004108B8" w:rsidRPr="004A515B" w:rsidRDefault="00195F75" w:rsidP="004108B8">
      <w:pPr>
        <w:jc w:val="both"/>
      </w:pPr>
      <w:r w:rsidRPr="00195F75">
        <w:t>Vadovaujantis Vaistinių preparatų ir medicinos pagalbos priemonių įrašymo į kompensavimo sąrašus ir jų keitimo tvarkos aprašo, patvirtinto Lietuvos Respublikos sveikatos apsaugos ministro 2002 m. balandžio 5 d. įsakymu Nr. V-159 „Dėl vaistinių preparatų ir medicinos pagalbos priemonių įrašymo į kompensavimo sąrašus ir jų keitimo tvarkos aprašo patvirtinimo“, punktu </w:t>
      </w:r>
      <w:r w:rsidR="004108B8" w:rsidRPr="00FA4049">
        <w:t xml:space="preserve">Aprašo </w:t>
      </w:r>
      <w:r w:rsidR="004108B8" w:rsidRPr="00FA4049">
        <w:rPr>
          <w:lang w:eastAsia="lt-LT"/>
        </w:rPr>
        <w:t>30</w:t>
      </w:r>
      <w:r w:rsidR="004108B8" w:rsidRPr="00FA4049">
        <w:rPr>
          <w:vertAlign w:val="superscript"/>
          <w:lang w:eastAsia="lt-LT"/>
        </w:rPr>
        <w:t>1</w:t>
      </w:r>
      <w:r w:rsidR="004108B8" w:rsidRPr="00FA4049">
        <w:rPr>
          <w:lang w:eastAsia="lt-LT"/>
        </w:rPr>
        <w:t>.1. papunkčiu</w:t>
      </w:r>
      <w:r w:rsidR="004108B8">
        <w:rPr>
          <w:lang w:eastAsia="lt-LT"/>
        </w:rPr>
        <w:t>,</w:t>
      </w:r>
      <w:r w:rsidR="004108B8" w:rsidRPr="00FA4049">
        <w:rPr>
          <w:lang w:eastAsia="lt-LT"/>
        </w:rPr>
        <w:t xml:space="preserve"> rekomenduojama kompensuoti vaistinį preparatą pagal paraiškoje nurodytą indikaciją (arba jos dalį) su skyrimo sąlyg</w:t>
      </w:r>
      <w:r w:rsidR="004108B8">
        <w:rPr>
          <w:lang w:eastAsia="lt-LT"/>
        </w:rPr>
        <w:t>omis</w:t>
      </w:r>
      <w:r w:rsidR="004108B8" w:rsidRPr="00FA4049">
        <w:rPr>
          <w:lang w:eastAsia="lt-LT"/>
        </w:rPr>
        <w:t xml:space="preserve">, </w:t>
      </w:r>
      <w:r w:rsidR="004108B8">
        <w:rPr>
          <w:lang w:eastAsia="lt-LT"/>
        </w:rPr>
        <w:t>taikant/</w:t>
      </w:r>
      <w:r w:rsidR="004108B8" w:rsidRPr="00FA4049">
        <w:rPr>
          <w:lang w:eastAsia="lt-LT"/>
        </w:rPr>
        <w:t>netaikant PGS, kai vertinimo išvados atitinka Aprašo 29.1.1 ir 29.2.1 papunkčiuose numatytas sąlygas.</w:t>
      </w:r>
    </w:p>
    <w:p w14:paraId="40F8F7BB" w14:textId="77777777" w:rsidR="00276057" w:rsidRPr="00E33EFF" w:rsidRDefault="00276057" w:rsidP="00276057"/>
    <w:p w14:paraId="06BC01EE" w14:textId="44333E0B" w:rsidR="000723FF" w:rsidRPr="00E33EFF" w:rsidRDefault="000723FF" w:rsidP="00381024"/>
    <w:p w14:paraId="18B4292E" w14:textId="52B7A138" w:rsidR="000723FF" w:rsidRPr="00E33EFF" w:rsidRDefault="00CC09D4" w:rsidP="00CC09D4">
      <w:pPr>
        <w:tabs>
          <w:tab w:val="left" w:pos="567"/>
        </w:tabs>
        <w:ind w:left="567" w:hanging="567"/>
        <w:jc w:val="both"/>
        <w:rPr>
          <w:b/>
          <w:color w:val="000000"/>
          <w:lang w:eastAsia="lt-LT"/>
        </w:rPr>
      </w:pPr>
      <w:r>
        <w:rPr>
          <w:b/>
          <w:color w:val="000000"/>
          <w:lang w:eastAsia="lt-LT"/>
        </w:rPr>
        <w:t>8.</w:t>
      </w:r>
      <w:r>
        <w:rPr>
          <w:b/>
          <w:color w:val="000000"/>
          <w:lang w:eastAsia="lt-LT"/>
        </w:rPr>
        <w:tab/>
      </w:r>
      <w:r w:rsidR="000723FF" w:rsidRPr="00E33EFF">
        <w:rPr>
          <w:b/>
          <w:color w:val="000000"/>
          <w:lang w:eastAsia="lt-LT"/>
        </w:rPr>
        <w:t>SIŪLOMOS KOMPENSUOTI TERAPINĖS INDIKACIJOS IR SKYRIMO SĄLYGOS</w:t>
      </w:r>
    </w:p>
    <w:p w14:paraId="691340BB" w14:textId="77777777" w:rsidR="000723FF" w:rsidRPr="00E33EFF" w:rsidRDefault="000723FF" w:rsidP="000723FF">
      <w:pPr>
        <w:tabs>
          <w:tab w:val="left" w:pos="426"/>
        </w:tabs>
        <w:jc w:val="both"/>
        <w:rPr>
          <w:b/>
          <w:color w:val="000000"/>
          <w:lang w:eastAsia="lt-LT"/>
        </w:rPr>
      </w:pPr>
    </w:p>
    <w:p w14:paraId="3B130352" w14:textId="77777777" w:rsidR="009F4360" w:rsidRPr="004A515B" w:rsidRDefault="009F4360" w:rsidP="009F4360">
      <w:pPr>
        <w:pStyle w:val="Betarp"/>
        <w:spacing w:line="360" w:lineRule="auto"/>
        <w:jc w:val="both"/>
        <w:rPr>
          <w:rFonts w:ascii="Times New Roman" w:hAnsi="Times New Roman"/>
          <w:b/>
          <w:sz w:val="24"/>
          <w:szCs w:val="24"/>
          <w:lang w:eastAsia="lt-LT"/>
        </w:rPr>
      </w:pPr>
      <w:bookmarkStart w:id="3" w:name="_Hlk203076133"/>
      <w:r w:rsidRPr="004A515B">
        <w:rPr>
          <w:rFonts w:ascii="Times New Roman" w:hAnsi="Times New Roman"/>
          <w:b/>
          <w:sz w:val="24"/>
          <w:szCs w:val="24"/>
          <w:lang w:eastAsia="lt-LT"/>
        </w:rPr>
        <w:t>Terapinės indikacijos</w:t>
      </w:r>
    </w:p>
    <w:p w14:paraId="637326D8" w14:textId="77777777" w:rsidR="009F4360" w:rsidRPr="004A515B" w:rsidRDefault="00E23FCE" w:rsidP="009F4360">
      <w:pPr>
        <w:pStyle w:val="Betarp"/>
        <w:spacing w:line="360" w:lineRule="auto"/>
        <w:jc w:val="both"/>
        <w:rPr>
          <w:rFonts w:ascii="Times New Roman" w:hAnsi="Times New Roman"/>
          <w:sz w:val="24"/>
          <w:szCs w:val="24"/>
        </w:rPr>
      </w:pPr>
      <w:sdt>
        <w:sdtPr>
          <w:rPr>
            <w:rStyle w:val="Style2"/>
            <w:rFonts w:ascii="Times New Roman" w:hAnsi="Times New Roman"/>
            <w:sz w:val="24"/>
            <w:szCs w:val="24"/>
          </w:rPr>
          <w:id w:val="1146316688"/>
          <w15:color w:val="FFCC00"/>
          <w14:checkbox>
            <w14:checked w14:val="1"/>
            <w14:checkedState w14:val="2612" w14:font="MS Gothic"/>
            <w14:uncheckedState w14:val="2610" w14:font="MS Gothic"/>
          </w14:checkbox>
        </w:sdtPr>
        <w:sdtEndPr>
          <w:rPr>
            <w:rStyle w:val="Style2"/>
          </w:rPr>
        </w:sdtEndPr>
        <w:sdtContent>
          <w:r w:rsidR="009F4360" w:rsidRPr="004A515B">
            <w:rPr>
              <w:rStyle w:val="Style2"/>
              <w:rFonts w:ascii="MS Gothic" w:eastAsia="MS Gothic" w:hAnsi="MS Gothic" w:hint="eastAsia"/>
              <w:sz w:val="24"/>
              <w:szCs w:val="24"/>
            </w:rPr>
            <w:t>☒</w:t>
          </w:r>
        </w:sdtContent>
      </w:sdt>
      <w:r w:rsidR="009F4360" w:rsidRPr="004A515B">
        <w:rPr>
          <w:rFonts w:ascii="Times New Roman" w:hAnsi="Times New Roman"/>
          <w:sz w:val="24"/>
          <w:szCs w:val="24"/>
        </w:rPr>
        <w:t xml:space="preserve"> Siūloma kompensuoti Pareiškėjo teikiamą indikaciją be pakeitimų.</w:t>
      </w:r>
    </w:p>
    <w:p w14:paraId="53A6264D" w14:textId="77777777" w:rsidR="009F4360" w:rsidRPr="00612131" w:rsidRDefault="009F4360" w:rsidP="009F4360">
      <w:pPr>
        <w:jc w:val="both"/>
      </w:pPr>
      <w:r w:rsidRPr="00612131">
        <w:t>IMFINZI derinys su chemoterapija platinos pagrindu kaip neoadjuvantinis gydymas, po kurio kaip adjuvantinis gydymas skiriama monoterapija IMFINZI, skirtas gydyti suaugusiems pacientams, sergantiems operuotinu nesmulkialąsteliniu plaučių vėžiu (angl. non small cell lung cancer, NSCLC), kai yra didelė ligos atkryčio rizika ir nėra epidermio augimo faktoriaus receptorių (angl. epidermal growth factor receptor, EGFR) mutacijų arba anaplazinės limfomos kinazės (ALK) geno sekos pokyčių.</w:t>
      </w:r>
    </w:p>
    <w:p w14:paraId="28183F27" w14:textId="77777777" w:rsidR="009F4360" w:rsidRPr="004A515B" w:rsidRDefault="009F4360" w:rsidP="009F4360">
      <w:pPr>
        <w:pStyle w:val="Betarp"/>
        <w:spacing w:line="360" w:lineRule="auto"/>
        <w:jc w:val="both"/>
        <w:rPr>
          <w:rFonts w:ascii="Times New Roman" w:hAnsi="Times New Roman"/>
          <w:sz w:val="24"/>
          <w:szCs w:val="24"/>
        </w:rPr>
      </w:pPr>
    </w:p>
    <w:p w14:paraId="453B7337" w14:textId="77777777" w:rsidR="009F4360" w:rsidRPr="004A515B" w:rsidRDefault="009F4360" w:rsidP="009F4360">
      <w:pPr>
        <w:pStyle w:val="Betarp"/>
        <w:spacing w:line="360" w:lineRule="auto"/>
        <w:jc w:val="both"/>
        <w:rPr>
          <w:rFonts w:ascii="Times New Roman" w:hAnsi="Times New Roman"/>
          <w:b/>
          <w:sz w:val="24"/>
          <w:szCs w:val="24"/>
        </w:rPr>
      </w:pPr>
      <w:r w:rsidRPr="004A515B">
        <w:rPr>
          <w:rFonts w:ascii="Times New Roman" w:hAnsi="Times New Roman"/>
          <w:b/>
          <w:sz w:val="24"/>
          <w:szCs w:val="24"/>
        </w:rPr>
        <w:t>Skyrimo sąlygos</w:t>
      </w:r>
    </w:p>
    <w:p w14:paraId="14BFD9BA" w14:textId="77777777" w:rsidR="009F4360" w:rsidRPr="004A515B" w:rsidRDefault="00E23FCE" w:rsidP="009F4360">
      <w:pPr>
        <w:pStyle w:val="Betarp"/>
        <w:spacing w:line="360" w:lineRule="auto"/>
        <w:jc w:val="both"/>
        <w:rPr>
          <w:rFonts w:ascii="Times New Roman" w:hAnsi="Times New Roman"/>
          <w:sz w:val="24"/>
          <w:szCs w:val="24"/>
        </w:rPr>
      </w:pPr>
      <w:sdt>
        <w:sdtPr>
          <w:rPr>
            <w:rStyle w:val="Style2"/>
            <w:rFonts w:ascii="Times New Roman" w:hAnsi="Times New Roman"/>
            <w:sz w:val="24"/>
            <w:szCs w:val="24"/>
          </w:rPr>
          <w:id w:val="1823936883"/>
          <w15:color w:val="FFCC00"/>
          <w14:checkbox>
            <w14:checked w14:val="1"/>
            <w14:checkedState w14:val="2612" w14:font="MS Gothic"/>
            <w14:uncheckedState w14:val="2610" w14:font="MS Gothic"/>
          </w14:checkbox>
        </w:sdtPr>
        <w:sdtEndPr>
          <w:rPr>
            <w:rStyle w:val="Style2"/>
          </w:rPr>
        </w:sdtEndPr>
        <w:sdtContent>
          <w:r w:rsidR="009F4360" w:rsidRPr="004A515B">
            <w:rPr>
              <w:rStyle w:val="Style2"/>
              <w:rFonts w:ascii="MS Gothic" w:eastAsia="MS Gothic" w:hAnsi="MS Gothic" w:hint="eastAsia"/>
              <w:sz w:val="24"/>
              <w:szCs w:val="24"/>
            </w:rPr>
            <w:t>☒</w:t>
          </w:r>
        </w:sdtContent>
      </w:sdt>
      <w:r w:rsidR="009F4360" w:rsidRPr="004A515B">
        <w:rPr>
          <w:rFonts w:ascii="Times New Roman" w:hAnsi="Times New Roman"/>
          <w:sz w:val="24"/>
          <w:szCs w:val="24"/>
        </w:rPr>
        <w:t xml:space="preserve"> Pareiškėjo siūlomos skyrimo sąlygos nepriimtinos. </w:t>
      </w:r>
    </w:p>
    <w:p w14:paraId="532F35FD" w14:textId="27F3A8DE" w:rsidR="00EC2D52" w:rsidRDefault="009F4360" w:rsidP="00671837">
      <w:pPr>
        <w:pStyle w:val="Betarp"/>
        <w:spacing w:line="360" w:lineRule="auto"/>
        <w:jc w:val="both"/>
        <w:rPr>
          <w:rFonts w:ascii="Times New Roman" w:hAnsi="Times New Roman"/>
          <w:sz w:val="24"/>
          <w:szCs w:val="24"/>
        </w:rPr>
      </w:pPr>
      <w:r w:rsidRPr="004A515B">
        <w:rPr>
          <w:rFonts w:ascii="Times New Roman" w:hAnsi="Times New Roman"/>
          <w:sz w:val="24"/>
          <w:szCs w:val="24"/>
        </w:rPr>
        <w:t>Siūlomos tokios skyrimo sąlygos</w:t>
      </w:r>
      <w:r w:rsidR="00612131">
        <w:rPr>
          <w:rFonts w:ascii="Times New Roman" w:hAnsi="Times New Roman"/>
          <w:sz w:val="24"/>
          <w:szCs w:val="24"/>
        </w:rPr>
        <w:t>.</w:t>
      </w:r>
      <w:bookmarkEnd w:id="3"/>
    </w:p>
    <w:p w14:paraId="69D9DB8A" w14:textId="77777777" w:rsidR="00671837" w:rsidRPr="00671837" w:rsidRDefault="00671837" w:rsidP="00671837">
      <w:pPr>
        <w:pStyle w:val="Betarp"/>
        <w:spacing w:line="360" w:lineRule="auto"/>
        <w:jc w:val="both"/>
        <w:rPr>
          <w:rFonts w:ascii="Times New Roman" w:hAnsi="Times New Roman"/>
          <w:sz w:val="24"/>
          <w:szCs w:val="24"/>
        </w:rPr>
      </w:pPr>
    </w:p>
    <w:p w14:paraId="3DFB9C89" w14:textId="74BAF812" w:rsidR="009A45E9" w:rsidRDefault="009A45E9" w:rsidP="00A00F56">
      <w:pPr>
        <w:jc w:val="both"/>
        <w:rPr>
          <w:bCs/>
        </w:rPr>
      </w:pPr>
      <w:r w:rsidRPr="009A45E9">
        <w:rPr>
          <w:bCs/>
        </w:rPr>
        <w:t>Skiriamas operuotino NSLPV, kai yra didelė ligos atkryčio rizika ir nėra EGFR mutacijų arba ALK geno sekos pokyčių, neoadjuvantiniam gydymui derinant su chemoterapija platinos pagrindu ne daugiau kaip 4 gydymo ciklams, vėliau adjuvantiniams gydymui kaip monoterapija ne daugiau kaip 12 gydymo ciklų. Gydymas tęsiamas iki nepriimtino toksinio poveikio atsiradimo,</w:t>
      </w:r>
      <w:r w:rsidR="002F1B5A">
        <w:rPr>
          <w:bCs/>
        </w:rPr>
        <w:t xml:space="preserve"> </w:t>
      </w:r>
      <w:r w:rsidRPr="009A45E9">
        <w:rPr>
          <w:bCs/>
        </w:rPr>
        <w:t>ligos progresavimo arba planuoto gydymo užbaigimo.</w:t>
      </w:r>
      <w:r w:rsidR="00B441B3">
        <w:rPr>
          <w:bCs/>
        </w:rPr>
        <w:t>*</w:t>
      </w:r>
    </w:p>
    <w:p w14:paraId="3E93412E" w14:textId="77777777" w:rsidR="00B441B3" w:rsidRDefault="00B441B3" w:rsidP="00A00F56">
      <w:pPr>
        <w:jc w:val="both"/>
        <w:rPr>
          <w:bCs/>
        </w:rPr>
      </w:pPr>
    </w:p>
    <w:p w14:paraId="36AFC6CF" w14:textId="77777777" w:rsidR="00B441B3" w:rsidRDefault="00B441B3" w:rsidP="00A00F56">
      <w:pPr>
        <w:jc w:val="both"/>
        <w:rPr>
          <w:bCs/>
        </w:rPr>
      </w:pPr>
    </w:p>
    <w:p w14:paraId="6CB045A6" w14:textId="77777777" w:rsidR="00B441B3" w:rsidRDefault="00B441B3" w:rsidP="00A00F56">
      <w:pPr>
        <w:jc w:val="both"/>
        <w:rPr>
          <w:bCs/>
        </w:rPr>
      </w:pPr>
    </w:p>
    <w:p w14:paraId="066C542C" w14:textId="77777777" w:rsidR="00B441B3" w:rsidRDefault="00B441B3" w:rsidP="00A00F56">
      <w:pPr>
        <w:jc w:val="both"/>
        <w:rPr>
          <w:bCs/>
        </w:rPr>
      </w:pPr>
    </w:p>
    <w:p w14:paraId="0242F1CA" w14:textId="77777777" w:rsidR="00B441B3" w:rsidRDefault="00B441B3" w:rsidP="00A00F56">
      <w:pPr>
        <w:jc w:val="both"/>
        <w:rPr>
          <w:bCs/>
        </w:rPr>
      </w:pPr>
    </w:p>
    <w:p w14:paraId="5BCE3DD4" w14:textId="77777777" w:rsidR="00B441B3" w:rsidRDefault="00B441B3" w:rsidP="00A00F56">
      <w:pPr>
        <w:jc w:val="both"/>
        <w:rPr>
          <w:bCs/>
        </w:rPr>
      </w:pPr>
    </w:p>
    <w:p w14:paraId="76605C1F" w14:textId="77777777" w:rsidR="00B441B3" w:rsidRDefault="00B441B3" w:rsidP="00A00F56">
      <w:pPr>
        <w:jc w:val="both"/>
        <w:rPr>
          <w:bCs/>
        </w:rPr>
      </w:pPr>
    </w:p>
    <w:p w14:paraId="484F1757" w14:textId="77777777" w:rsidR="00B441B3" w:rsidRDefault="00B441B3" w:rsidP="00A00F56">
      <w:pPr>
        <w:jc w:val="both"/>
        <w:rPr>
          <w:bCs/>
        </w:rPr>
      </w:pPr>
    </w:p>
    <w:p w14:paraId="1E14CF8C" w14:textId="77777777" w:rsidR="00B441B3" w:rsidRDefault="00B441B3" w:rsidP="00A00F56">
      <w:pPr>
        <w:jc w:val="both"/>
        <w:rPr>
          <w:bCs/>
        </w:rPr>
      </w:pPr>
    </w:p>
    <w:p w14:paraId="627E8FF9" w14:textId="77777777" w:rsidR="00B441B3" w:rsidRDefault="00B441B3" w:rsidP="00A00F56">
      <w:pPr>
        <w:jc w:val="both"/>
        <w:rPr>
          <w:bCs/>
        </w:rPr>
      </w:pPr>
    </w:p>
    <w:p w14:paraId="66A98552" w14:textId="77777777" w:rsidR="00B441B3" w:rsidRDefault="00B441B3" w:rsidP="00A00F56">
      <w:pPr>
        <w:jc w:val="both"/>
        <w:rPr>
          <w:bCs/>
        </w:rPr>
      </w:pPr>
    </w:p>
    <w:p w14:paraId="2D3BA538" w14:textId="77777777" w:rsidR="00B441B3" w:rsidRDefault="00B441B3" w:rsidP="00A00F56">
      <w:pPr>
        <w:jc w:val="both"/>
        <w:rPr>
          <w:bCs/>
        </w:rPr>
      </w:pPr>
    </w:p>
    <w:p w14:paraId="67D8EE2E" w14:textId="545E8C37" w:rsidR="00B441B3" w:rsidRPr="006976DC" w:rsidRDefault="00B441B3" w:rsidP="00A00F56">
      <w:pPr>
        <w:jc w:val="both"/>
        <w:rPr>
          <w:bCs/>
          <w:sz w:val="20"/>
          <w:szCs w:val="20"/>
        </w:rPr>
      </w:pPr>
      <w:r w:rsidRPr="006976DC">
        <w:rPr>
          <w:bCs/>
          <w:sz w:val="20"/>
          <w:szCs w:val="20"/>
        </w:rPr>
        <w:t>*</w:t>
      </w:r>
      <w:r w:rsidR="0033231D" w:rsidRPr="006976DC">
        <w:rPr>
          <w:bCs/>
          <w:sz w:val="20"/>
          <w:szCs w:val="20"/>
        </w:rPr>
        <w:t xml:space="preserve">Skyrimo sąlyga pakoreguota 2025-12-22 raštu Nr. </w:t>
      </w:r>
      <w:r w:rsidR="00E23FCE" w:rsidRPr="00E23FCE">
        <w:rPr>
          <w:bCs/>
          <w:sz w:val="20"/>
          <w:szCs w:val="20"/>
        </w:rPr>
        <w:t>(23.1)2R-2009</w:t>
      </w:r>
    </w:p>
    <w:sectPr w:rsidR="00B441B3" w:rsidRPr="006976DC" w:rsidSect="005D30E1">
      <w:headerReference w:type="first" r:id="rId8"/>
      <w:footerReference w:type="first" r:id="rId9"/>
      <w:pgSz w:w="11907" w:h="16840" w:code="9"/>
      <w:pgMar w:top="1134" w:right="567" w:bottom="1134" w:left="1701" w:header="646" w:footer="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919B44" w14:textId="77777777" w:rsidR="00F96779" w:rsidRDefault="00F96779">
      <w:r>
        <w:separator/>
      </w:r>
    </w:p>
  </w:endnote>
  <w:endnote w:type="continuationSeparator" w:id="0">
    <w:p w14:paraId="6D928616" w14:textId="77777777" w:rsidR="00F96779" w:rsidRDefault="00F967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D3368" w14:textId="77777777" w:rsidR="00347FAA" w:rsidRDefault="00347FAA">
    <w:pPr>
      <w:pStyle w:val="Porat"/>
      <w:jc w:val="right"/>
      <w:rPr>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58C9F0" w14:textId="77777777" w:rsidR="00F96779" w:rsidRDefault="00F96779">
      <w:r>
        <w:separator/>
      </w:r>
    </w:p>
  </w:footnote>
  <w:footnote w:type="continuationSeparator" w:id="0">
    <w:p w14:paraId="4171B623" w14:textId="77777777" w:rsidR="00F96779" w:rsidRDefault="00F967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E1C8F" w14:textId="77777777" w:rsidR="00347FAA" w:rsidRDefault="00347FAA" w:rsidP="00FD793C">
    <w:pPr>
      <w:pStyle w:val="Antrats"/>
      <w:ind w:left="612"/>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17D8E"/>
    <w:multiLevelType w:val="hybridMultilevel"/>
    <w:tmpl w:val="10FAC1C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 w15:restartNumberingAfterBreak="0">
    <w:nsid w:val="09E0081E"/>
    <w:multiLevelType w:val="multilevel"/>
    <w:tmpl w:val="0427001F"/>
    <w:lvl w:ilvl="0">
      <w:start w:val="1"/>
      <w:numFmt w:val="decimal"/>
      <w:lvlText w:val="%1."/>
      <w:lvlJc w:val="left"/>
      <w:pPr>
        <w:ind w:left="360" w:hanging="360"/>
      </w:pPr>
      <w:rPr>
        <w:rFonts w:hint="default"/>
        <w:b w:val="0"/>
        <w:bCs w:val="0"/>
      </w:rPr>
    </w:lvl>
    <w:lvl w:ilvl="1">
      <w:start w:val="1"/>
      <w:numFmt w:val="decimal"/>
      <w:lvlText w:val="%1.%2."/>
      <w:lvlJc w:val="left"/>
      <w:pPr>
        <w:ind w:left="28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2AD2E58"/>
    <w:multiLevelType w:val="multilevel"/>
    <w:tmpl w:val="A24CDA08"/>
    <w:lvl w:ilvl="0">
      <w:start w:val="1"/>
      <w:numFmt w:val="decimal"/>
      <w:lvlText w:val="%1."/>
      <w:lvlJc w:val="left"/>
      <w:pPr>
        <w:ind w:left="720" w:hanging="360"/>
      </w:pPr>
      <w:rPr>
        <w:b/>
        <w:bCs w:val="0"/>
      </w:rPr>
    </w:lvl>
    <w:lvl w:ilvl="1">
      <w:start w:val="8"/>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3BB1464"/>
    <w:multiLevelType w:val="multilevel"/>
    <w:tmpl w:val="C9348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101C59"/>
    <w:multiLevelType w:val="hybridMultilevel"/>
    <w:tmpl w:val="64544F3A"/>
    <w:lvl w:ilvl="0" w:tplc="04270001">
      <w:start w:val="1"/>
      <w:numFmt w:val="bullet"/>
      <w:lvlText w:val=""/>
      <w:lvlJc w:val="left"/>
      <w:pPr>
        <w:ind w:left="2160" w:hanging="360"/>
      </w:pPr>
      <w:rPr>
        <w:rFonts w:ascii="Symbol" w:hAnsi="Symbol" w:hint="default"/>
      </w:rPr>
    </w:lvl>
    <w:lvl w:ilvl="1" w:tplc="04270003" w:tentative="1">
      <w:start w:val="1"/>
      <w:numFmt w:val="bullet"/>
      <w:lvlText w:val="o"/>
      <w:lvlJc w:val="left"/>
      <w:pPr>
        <w:ind w:left="2880" w:hanging="360"/>
      </w:pPr>
      <w:rPr>
        <w:rFonts w:ascii="Courier New" w:hAnsi="Courier New" w:cs="Courier New" w:hint="default"/>
      </w:rPr>
    </w:lvl>
    <w:lvl w:ilvl="2" w:tplc="04270005" w:tentative="1">
      <w:start w:val="1"/>
      <w:numFmt w:val="bullet"/>
      <w:lvlText w:val=""/>
      <w:lvlJc w:val="left"/>
      <w:pPr>
        <w:ind w:left="3600" w:hanging="360"/>
      </w:pPr>
      <w:rPr>
        <w:rFonts w:ascii="Wingdings" w:hAnsi="Wingdings" w:hint="default"/>
      </w:rPr>
    </w:lvl>
    <w:lvl w:ilvl="3" w:tplc="04270001" w:tentative="1">
      <w:start w:val="1"/>
      <w:numFmt w:val="bullet"/>
      <w:lvlText w:val=""/>
      <w:lvlJc w:val="left"/>
      <w:pPr>
        <w:ind w:left="4320" w:hanging="360"/>
      </w:pPr>
      <w:rPr>
        <w:rFonts w:ascii="Symbol" w:hAnsi="Symbol" w:hint="default"/>
      </w:rPr>
    </w:lvl>
    <w:lvl w:ilvl="4" w:tplc="04270003" w:tentative="1">
      <w:start w:val="1"/>
      <w:numFmt w:val="bullet"/>
      <w:lvlText w:val="o"/>
      <w:lvlJc w:val="left"/>
      <w:pPr>
        <w:ind w:left="5040" w:hanging="360"/>
      </w:pPr>
      <w:rPr>
        <w:rFonts w:ascii="Courier New" w:hAnsi="Courier New" w:cs="Courier New" w:hint="default"/>
      </w:rPr>
    </w:lvl>
    <w:lvl w:ilvl="5" w:tplc="04270005" w:tentative="1">
      <w:start w:val="1"/>
      <w:numFmt w:val="bullet"/>
      <w:lvlText w:val=""/>
      <w:lvlJc w:val="left"/>
      <w:pPr>
        <w:ind w:left="5760" w:hanging="360"/>
      </w:pPr>
      <w:rPr>
        <w:rFonts w:ascii="Wingdings" w:hAnsi="Wingdings" w:hint="default"/>
      </w:rPr>
    </w:lvl>
    <w:lvl w:ilvl="6" w:tplc="04270001" w:tentative="1">
      <w:start w:val="1"/>
      <w:numFmt w:val="bullet"/>
      <w:lvlText w:val=""/>
      <w:lvlJc w:val="left"/>
      <w:pPr>
        <w:ind w:left="6480" w:hanging="360"/>
      </w:pPr>
      <w:rPr>
        <w:rFonts w:ascii="Symbol" w:hAnsi="Symbol" w:hint="default"/>
      </w:rPr>
    </w:lvl>
    <w:lvl w:ilvl="7" w:tplc="04270003" w:tentative="1">
      <w:start w:val="1"/>
      <w:numFmt w:val="bullet"/>
      <w:lvlText w:val="o"/>
      <w:lvlJc w:val="left"/>
      <w:pPr>
        <w:ind w:left="7200" w:hanging="360"/>
      </w:pPr>
      <w:rPr>
        <w:rFonts w:ascii="Courier New" w:hAnsi="Courier New" w:cs="Courier New" w:hint="default"/>
      </w:rPr>
    </w:lvl>
    <w:lvl w:ilvl="8" w:tplc="04270005" w:tentative="1">
      <w:start w:val="1"/>
      <w:numFmt w:val="bullet"/>
      <w:lvlText w:val=""/>
      <w:lvlJc w:val="left"/>
      <w:pPr>
        <w:ind w:left="7920" w:hanging="360"/>
      </w:pPr>
      <w:rPr>
        <w:rFonts w:ascii="Wingdings" w:hAnsi="Wingdings" w:hint="default"/>
      </w:rPr>
    </w:lvl>
  </w:abstractNum>
  <w:abstractNum w:abstractNumId="5" w15:restartNumberingAfterBreak="0">
    <w:nsid w:val="3975004F"/>
    <w:multiLevelType w:val="hybridMultilevel"/>
    <w:tmpl w:val="13E46078"/>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6" w15:restartNumberingAfterBreak="0">
    <w:nsid w:val="3BCC4222"/>
    <w:multiLevelType w:val="multilevel"/>
    <w:tmpl w:val="C9C6278E"/>
    <w:lvl w:ilvl="0">
      <w:start w:val="2"/>
      <w:numFmt w:val="decimal"/>
      <w:lvlText w:val="%1."/>
      <w:lvlJc w:val="left"/>
      <w:pPr>
        <w:ind w:left="360" w:hanging="360"/>
      </w:pPr>
      <w:rPr>
        <w:rFonts w:eastAsia="Arial Unicode MS" w:hint="default"/>
      </w:rPr>
    </w:lvl>
    <w:lvl w:ilvl="1">
      <w:start w:val="7"/>
      <w:numFmt w:val="decimal"/>
      <w:lvlText w:val="%1.%2."/>
      <w:lvlJc w:val="left"/>
      <w:pPr>
        <w:ind w:left="720" w:hanging="360"/>
      </w:pPr>
      <w:rPr>
        <w:rFonts w:eastAsia="Arial Unicode MS" w:hint="default"/>
      </w:rPr>
    </w:lvl>
    <w:lvl w:ilvl="2">
      <w:start w:val="1"/>
      <w:numFmt w:val="decimal"/>
      <w:lvlText w:val="%1.%2.%3."/>
      <w:lvlJc w:val="left"/>
      <w:pPr>
        <w:ind w:left="1440" w:hanging="720"/>
      </w:pPr>
      <w:rPr>
        <w:rFonts w:eastAsia="Arial Unicode MS" w:hint="default"/>
      </w:rPr>
    </w:lvl>
    <w:lvl w:ilvl="3">
      <w:start w:val="1"/>
      <w:numFmt w:val="decimal"/>
      <w:lvlText w:val="%1.%2.%3.%4."/>
      <w:lvlJc w:val="left"/>
      <w:pPr>
        <w:ind w:left="1800" w:hanging="720"/>
      </w:pPr>
      <w:rPr>
        <w:rFonts w:eastAsia="Arial Unicode MS" w:hint="default"/>
      </w:rPr>
    </w:lvl>
    <w:lvl w:ilvl="4">
      <w:start w:val="1"/>
      <w:numFmt w:val="decimal"/>
      <w:lvlText w:val="%1.%2.%3.%4.%5."/>
      <w:lvlJc w:val="left"/>
      <w:pPr>
        <w:ind w:left="2520" w:hanging="1080"/>
      </w:pPr>
      <w:rPr>
        <w:rFonts w:eastAsia="Arial Unicode MS" w:hint="default"/>
      </w:rPr>
    </w:lvl>
    <w:lvl w:ilvl="5">
      <w:start w:val="1"/>
      <w:numFmt w:val="decimal"/>
      <w:lvlText w:val="%1.%2.%3.%4.%5.%6."/>
      <w:lvlJc w:val="left"/>
      <w:pPr>
        <w:ind w:left="2880" w:hanging="1080"/>
      </w:pPr>
      <w:rPr>
        <w:rFonts w:eastAsia="Arial Unicode MS" w:hint="default"/>
      </w:rPr>
    </w:lvl>
    <w:lvl w:ilvl="6">
      <w:start w:val="1"/>
      <w:numFmt w:val="decimal"/>
      <w:lvlText w:val="%1.%2.%3.%4.%5.%6.%7."/>
      <w:lvlJc w:val="left"/>
      <w:pPr>
        <w:ind w:left="3600" w:hanging="1440"/>
      </w:pPr>
      <w:rPr>
        <w:rFonts w:eastAsia="Arial Unicode MS" w:hint="default"/>
      </w:rPr>
    </w:lvl>
    <w:lvl w:ilvl="7">
      <w:start w:val="1"/>
      <w:numFmt w:val="decimal"/>
      <w:lvlText w:val="%1.%2.%3.%4.%5.%6.%7.%8."/>
      <w:lvlJc w:val="left"/>
      <w:pPr>
        <w:ind w:left="3960" w:hanging="1440"/>
      </w:pPr>
      <w:rPr>
        <w:rFonts w:eastAsia="Arial Unicode MS" w:hint="default"/>
      </w:rPr>
    </w:lvl>
    <w:lvl w:ilvl="8">
      <w:start w:val="1"/>
      <w:numFmt w:val="decimal"/>
      <w:lvlText w:val="%1.%2.%3.%4.%5.%6.%7.%8.%9."/>
      <w:lvlJc w:val="left"/>
      <w:pPr>
        <w:ind w:left="4680" w:hanging="1800"/>
      </w:pPr>
      <w:rPr>
        <w:rFonts w:eastAsia="Arial Unicode MS" w:hint="default"/>
      </w:rPr>
    </w:lvl>
  </w:abstractNum>
  <w:abstractNum w:abstractNumId="7" w15:restartNumberingAfterBreak="0">
    <w:nsid w:val="3FB4173D"/>
    <w:multiLevelType w:val="hybridMultilevel"/>
    <w:tmpl w:val="45BEFCF4"/>
    <w:lvl w:ilvl="0" w:tplc="7CEC0E98">
      <w:numFmt w:val="bullet"/>
      <w:lvlText w:val="-"/>
      <w:lvlJc w:val="left"/>
      <w:pPr>
        <w:ind w:left="720" w:hanging="360"/>
      </w:pPr>
      <w:rPr>
        <w:rFonts w:ascii="Times New Roman" w:eastAsia="Arial"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41953EAB"/>
    <w:multiLevelType w:val="hybridMultilevel"/>
    <w:tmpl w:val="D0F01B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09B0191"/>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9B83C1B"/>
    <w:multiLevelType w:val="multilevel"/>
    <w:tmpl w:val="5F384374"/>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11" w15:restartNumberingAfterBreak="0">
    <w:nsid w:val="5A0D73F3"/>
    <w:multiLevelType w:val="hybridMultilevel"/>
    <w:tmpl w:val="CA9A2AC8"/>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AB27E1E"/>
    <w:multiLevelType w:val="hybridMultilevel"/>
    <w:tmpl w:val="3D568A5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72266018"/>
    <w:multiLevelType w:val="hybridMultilevel"/>
    <w:tmpl w:val="AA9C989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666980906">
    <w:abstractNumId w:val="8"/>
  </w:num>
  <w:num w:numId="2" w16cid:durableId="1790975148">
    <w:abstractNumId w:val="1"/>
  </w:num>
  <w:num w:numId="3" w16cid:durableId="1846941018">
    <w:abstractNumId w:val="10"/>
  </w:num>
  <w:num w:numId="4" w16cid:durableId="924996488">
    <w:abstractNumId w:val="9"/>
  </w:num>
  <w:num w:numId="5" w16cid:durableId="309290400">
    <w:abstractNumId w:val="6"/>
  </w:num>
  <w:num w:numId="6" w16cid:durableId="1618488282">
    <w:abstractNumId w:val="5"/>
  </w:num>
  <w:num w:numId="7" w16cid:durableId="1932202095">
    <w:abstractNumId w:val="4"/>
  </w:num>
  <w:num w:numId="8" w16cid:durableId="1625891423">
    <w:abstractNumId w:val="13"/>
  </w:num>
  <w:num w:numId="9" w16cid:durableId="667906533">
    <w:abstractNumId w:val="0"/>
  </w:num>
  <w:num w:numId="10" w16cid:durableId="379328410">
    <w:abstractNumId w:val="11"/>
  </w:num>
  <w:num w:numId="11" w16cid:durableId="2029410026">
    <w:abstractNumId w:val="12"/>
  </w:num>
  <w:num w:numId="12" w16cid:durableId="1537278901">
    <w:abstractNumId w:val="2"/>
  </w:num>
  <w:num w:numId="13" w16cid:durableId="2110074710">
    <w:abstractNumId w:val="7"/>
  </w:num>
  <w:num w:numId="14" w16cid:durableId="8383518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rawingGridVerticalSpacing w:val="163"/>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0E7"/>
    <w:rsid w:val="000001B0"/>
    <w:rsid w:val="00003F5B"/>
    <w:rsid w:val="000114DD"/>
    <w:rsid w:val="000136F7"/>
    <w:rsid w:val="00020D53"/>
    <w:rsid w:val="0002686C"/>
    <w:rsid w:val="00031D0E"/>
    <w:rsid w:val="000337E6"/>
    <w:rsid w:val="0003402E"/>
    <w:rsid w:val="00034EAE"/>
    <w:rsid w:val="00042924"/>
    <w:rsid w:val="00053975"/>
    <w:rsid w:val="00057A2B"/>
    <w:rsid w:val="000606BE"/>
    <w:rsid w:val="00063647"/>
    <w:rsid w:val="000723FF"/>
    <w:rsid w:val="000736B8"/>
    <w:rsid w:val="0008190F"/>
    <w:rsid w:val="00081D9C"/>
    <w:rsid w:val="00082907"/>
    <w:rsid w:val="0008378D"/>
    <w:rsid w:val="000908A5"/>
    <w:rsid w:val="00092805"/>
    <w:rsid w:val="000C3804"/>
    <w:rsid w:val="000C454C"/>
    <w:rsid w:val="000D5038"/>
    <w:rsid w:val="000E29D4"/>
    <w:rsid w:val="000F3540"/>
    <w:rsid w:val="00100491"/>
    <w:rsid w:val="00104E2E"/>
    <w:rsid w:val="00107287"/>
    <w:rsid w:val="00117406"/>
    <w:rsid w:val="00121EF0"/>
    <w:rsid w:val="00124A9E"/>
    <w:rsid w:val="00130703"/>
    <w:rsid w:val="0013153F"/>
    <w:rsid w:val="001408B8"/>
    <w:rsid w:val="001517E2"/>
    <w:rsid w:val="001521D9"/>
    <w:rsid w:val="00154B2E"/>
    <w:rsid w:val="001554E2"/>
    <w:rsid w:val="00160105"/>
    <w:rsid w:val="00164146"/>
    <w:rsid w:val="0017369C"/>
    <w:rsid w:val="00175D57"/>
    <w:rsid w:val="00180C39"/>
    <w:rsid w:val="00180D96"/>
    <w:rsid w:val="00184BD3"/>
    <w:rsid w:val="001921F3"/>
    <w:rsid w:val="00195F75"/>
    <w:rsid w:val="001A44DE"/>
    <w:rsid w:val="001B3C5B"/>
    <w:rsid w:val="001C2727"/>
    <w:rsid w:val="001D746F"/>
    <w:rsid w:val="001E4BBB"/>
    <w:rsid w:val="001E6304"/>
    <w:rsid w:val="00200C53"/>
    <w:rsid w:val="0020381E"/>
    <w:rsid w:val="00213471"/>
    <w:rsid w:val="00215906"/>
    <w:rsid w:val="00241CD8"/>
    <w:rsid w:val="00244B09"/>
    <w:rsid w:val="002519CB"/>
    <w:rsid w:val="0025697F"/>
    <w:rsid w:val="00260258"/>
    <w:rsid w:val="0026588E"/>
    <w:rsid w:val="00272428"/>
    <w:rsid w:val="00272948"/>
    <w:rsid w:val="00276057"/>
    <w:rsid w:val="00292392"/>
    <w:rsid w:val="002946C7"/>
    <w:rsid w:val="002B3CC1"/>
    <w:rsid w:val="002C09E0"/>
    <w:rsid w:val="002C1BB1"/>
    <w:rsid w:val="002C2786"/>
    <w:rsid w:val="002C3A10"/>
    <w:rsid w:val="002C4A90"/>
    <w:rsid w:val="002C4ED5"/>
    <w:rsid w:val="002D02EF"/>
    <w:rsid w:val="002E0702"/>
    <w:rsid w:val="002E0A71"/>
    <w:rsid w:val="002E57AD"/>
    <w:rsid w:val="002E6F80"/>
    <w:rsid w:val="002F0E4F"/>
    <w:rsid w:val="002F1053"/>
    <w:rsid w:val="002F1B5A"/>
    <w:rsid w:val="00302825"/>
    <w:rsid w:val="00313E3D"/>
    <w:rsid w:val="00317B0E"/>
    <w:rsid w:val="0033231D"/>
    <w:rsid w:val="00347FAA"/>
    <w:rsid w:val="0035172D"/>
    <w:rsid w:val="0036187D"/>
    <w:rsid w:val="00367EDB"/>
    <w:rsid w:val="00381024"/>
    <w:rsid w:val="00386307"/>
    <w:rsid w:val="003874DE"/>
    <w:rsid w:val="00393E9F"/>
    <w:rsid w:val="0039696E"/>
    <w:rsid w:val="003B211A"/>
    <w:rsid w:val="003C141F"/>
    <w:rsid w:val="003C6B0E"/>
    <w:rsid w:val="003C7257"/>
    <w:rsid w:val="003C7E35"/>
    <w:rsid w:val="003D1877"/>
    <w:rsid w:val="003D1E99"/>
    <w:rsid w:val="003D6208"/>
    <w:rsid w:val="00404E8A"/>
    <w:rsid w:val="0040622F"/>
    <w:rsid w:val="004108B8"/>
    <w:rsid w:val="00413F24"/>
    <w:rsid w:val="00422853"/>
    <w:rsid w:val="00423160"/>
    <w:rsid w:val="00425088"/>
    <w:rsid w:val="00431C47"/>
    <w:rsid w:val="00441D49"/>
    <w:rsid w:val="004537D0"/>
    <w:rsid w:val="00453862"/>
    <w:rsid w:val="0045469B"/>
    <w:rsid w:val="00461338"/>
    <w:rsid w:val="004677DB"/>
    <w:rsid w:val="0047414A"/>
    <w:rsid w:val="00476256"/>
    <w:rsid w:val="0048630F"/>
    <w:rsid w:val="004947A1"/>
    <w:rsid w:val="0049482A"/>
    <w:rsid w:val="004979D3"/>
    <w:rsid w:val="004A00E7"/>
    <w:rsid w:val="004A3A61"/>
    <w:rsid w:val="004B205D"/>
    <w:rsid w:val="004B59BA"/>
    <w:rsid w:val="004B5A03"/>
    <w:rsid w:val="004C0039"/>
    <w:rsid w:val="004C263A"/>
    <w:rsid w:val="004C5895"/>
    <w:rsid w:val="004D48A6"/>
    <w:rsid w:val="004D7B8F"/>
    <w:rsid w:val="004E6458"/>
    <w:rsid w:val="004E6E7D"/>
    <w:rsid w:val="004F1AAC"/>
    <w:rsid w:val="004F1AE2"/>
    <w:rsid w:val="004F34F0"/>
    <w:rsid w:val="004F3B2B"/>
    <w:rsid w:val="004F6050"/>
    <w:rsid w:val="005005EF"/>
    <w:rsid w:val="005123C2"/>
    <w:rsid w:val="0052144B"/>
    <w:rsid w:val="00524066"/>
    <w:rsid w:val="00534E11"/>
    <w:rsid w:val="005378D8"/>
    <w:rsid w:val="005400D9"/>
    <w:rsid w:val="005476A4"/>
    <w:rsid w:val="0055019B"/>
    <w:rsid w:val="00556E63"/>
    <w:rsid w:val="005601A4"/>
    <w:rsid w:val="005669BD"/>
    <w:rsid w:val="00566DBB"/>
    <w:rsid w:val="00573641"/>
    <w:rsid w:val="005767DB"/>
    <w:rsid w:val="005815E6"/>
    <w:rsid w:val="0058712F"/>
    <w:rsid w:val="00592CBC"/>
    <w:rsid w:val="00594896"/>
    <w:rsid w:val="005976CE"/>
    <w:rsid w:val="005A23D4"/>
    <w:rsid w:val="005A2D1E"/>
    <w:rsid w:val="005B3756"/>
    <w:rsid w:val="005C493F"/>
    <w:rsid w:val="005C6BF7"/>
    <w:rsid w:val="005C71BF"/>
    <w:rsid w:val="005D002C"/>
    <w:rsid w:val="005D30E1"/>
    <w:rsid w:val="005D6555"/>
    <w:rsid w:val="005D7BDF"/>
    <w:rsid w:val="005D7E3B"/>
    <w:rsid w:val="005E4870"/>
    <w:rsid w:val="005F71D9"/>
    <w:rsid w:val="005F7602"/>
    <w:rsid w:val="006031C8"/>
    <w:rsid w:val="006062BE"/>
    <w:rsid w:val="00612131"/>
    <w:rsid w:val="00613143"/>
    <w:rsid w:val="00613501"/>
    <w:rsid w:val="0061611B"/>
    <w:rsid w:val="006166A8"/>
    <w:rsid w:val="006174A1"/>
    <w:rsid w:val="00621D6C"/>
    <w:rsid w:val="00633B49"/>
    <w:rsid w:val="0064297F"/>
    <w:rsid w:val="00645102"/>
    <w:rsid w:val="00646CF3"/>
    <w:rsid w:val="00653D11"/>
    <w:rsid w:val="00662983"/>
    <w:rsid w:val="00671837"/>
    <w:rsid w:val="006834D3"/>
    <w:rsid w:val="00692625"/>
    <w:rsid w:val="00694CD0"/>
    <w:rsid w:val="00695CD3"/>
    <w:rsid w:val="006976DC"/>
    <w:rsid w:val="006A38B6"/>
    <w:rsid w:val="006B1987"/>
    <w:rsid w:val="006B5B71"/>
    <w:rsid w:val="006B6CB0"/>
    <w:rsid w:val="006C0296"/>
    <w:rsid w:val="006C2B64"/>
    <w:rsid w:val="006D4C85"/>
    <w:rsid w:val="006D66AC"/>
    <w:rsid w:val="006E29DE"/>
    <w:rsid w:val="006E33F6"/>
    <w:rsid w:val="006E3B14"/>
    <w:rsid w:val="006F1251"/>
    <w:rsid w:val="006F1C23"/>
    <w:rsid w:val="00702C18"/>
    <w:rsid w:val="00703166"/>
    <w:rsid w:val="00704571"/>
    <w:rsid w:val="007127F3"/>
    <w:rsid w:val="00713CCD"/>
    <w:rsid w:val="00721275"/>
    <w:rsid w:val="007301CF"/>
    <w:rsid w:val="007316FB"/>
    <w:rsid w:val="00734DF9"/>
    <w:rsid w:val="007374D0"/>
    <w:rsid w:val="00737E2D"/>
    <w:rsid w:val="007424D5"/>
    <w:rsid w:val="00746C8C"/>
    <w:rsid w:val="00750A88"/>
    <w:rsid w:val="007523DD"/>
    <w:rsid w:val="00757B7E"/>
    <w:rsid w:val="007656B2"/>
    <w:rsid w:val="0077016F"/>
    <w:rsid w:val="007713AD"/>
    <w:rsid w:val="00795DC5"/>
    <w:rsid w:val="00797153"/>
    <w:rsid w:val="007A21F7"/>
    <w:rsid w:val="007A2B68"/>
    <w:rsid w:val="007B0DDA"/>
    <w:rsid w:val="007C0875"/>
    <w:rsid w:val="007C49E2"/>
    <w:rsid w:val="007C6794"/>
    <w:rsid w:val="007C7519"/>
    <w:rsid w:val="007D3347"/>
    <w:rsid w:val="007E5466"/>
    <w:rsid w:val="007F1949"/>
    <w:rsid w:val="007F2592"/>
    <w:rsid w:val="00800A08"/>
    <w:rsid w:val="00817A84"/>
    <w:rsid w:val="008225A4"/>
    <w:rsid w:val="00824899"/>
    <w:rsid w:val="00824B92"/>
    <w:rsid w:val="00826D5E"/>
    <w:rsid w:val="00832013"/>
    <w:rsid w:val="00832DB7"/>
    <w:rsid w:val="00834732"/>
    <w:rsid w:val="008421E9"/>
    <w:rsid w:val="00846E4D"/>
    <w:rsid w:val="0085200C"/>
    <w:rsid w:val="00857C52"/>
    <w:rsid w:val="00860D5F"/>
    <w:rsid w:val="00880A44"/>
    <w:rsid w:val="0088345E"/>
    <w:rsid w:val="0088656F"/>
    <w:rsid w:val="00891EF6"/>
    <w:rsid w:val="008A0303"/>
    <w:rsid w:val="008A5FDD"/>
    <w:rsid w:val="008C3947"/>
    <w:rsid w:val="008E473B"/>
    <w:rsid w:val="008E51A6"/>
    <w:rsid w:val="008E7329"/>
    <w:rsid w:val="008F2ED5"/>
    <w:rsid w:val="009122E1"/>
    <w:rsid w:val="0092297E"/>
    <w:rsid w:val="00923651"/>
    <w:rsid w:val="00927B56"/>
    <w:rsid w:val="00927F68"/>
    <w:rsid w:val="009341BF"/>
    <w:rsid w:val="00937907"/>
    <w:rsid w:val="00941739"/>
    <w:rsid w:val="00943E06"/>
    <w:rsid w:val="00951573"/>
    <w:rsid w:val="00963003"/>
    <w:rsid w:val="00966EEF"/>
    <w:rsid w:val="00971B28"/>
    <w:rsid w:val="00973567"/>
    <w:rsid w:val="00983471"/>
    <w:rsid w:val="009909AB"/>
    <w:rsid w:val="00997A8D"/>
    <w:rsid w:val="009A45E9"/>
    <w:rsid w:val="009B37DB"/>
    <w:rsid w:val="009C793D"/>
    <w:rsid w:val="009C7A8C"/>
    <w:rsid w:val="009D23F9"/>
    <w:rsid w:val="009D4FA8"/>
    <w:rsid w:val="009E44AE"/>
    <w:rsid w:val="009E6CD6"/>
    <w:rsid w:val="009F4360"/>
    <w:rsid w:val="009F4D66"/>
    <w:rsid w:val="00A00C3C"/>
    <w:rsid w:val="00A00F56"/>
    <w:rsid w:val="00A01091"/>
    <w:rsid w:val="00A042B9"/>
    <w:rsid w:val="00A06DBB"/>
    <w:rsid w:val="00A22ADF"/>
    <w:rsid w:val="00A31E86"/>
    <w:rsid w:val="00A54D87"/>
    <w:rsid w:val="00A5553C"/>
    <w:rsid w:val="00A67712"/>
    <w:rsid w:val="00A701C9"/>
    <w:rsid w:val="00A73932"/>
    <w:rsid w:val="00A80CF0"/>
    <w:rsid w:val="00A81785"/>
    <w:rsid w:val="00A84803"/>
    <w:rsid w:val="00A84C51"/>
    <w:rsid w:val="00A86F2B"/>
    <w:rsid w:val="00A91366"/>
    <w:rsid w:val="00A93AA6"/>
    <w:rsid w:val="00AA4E48"/>
    <w:rsid w:val="00AA6202"/>
    <w:rsid w:val="00AA7B57"/>
    <w:rsid w:val="00AC26FC"/>
    <w:rsid w:val="00AC4A99"/>
    <w:rsid w:val="00AC64D2"/>
    <w:rsid w:val="00AD02E7"/>
    <w:rsid w:val="00AE0FE8"/>
    <w:rsid w:val="00AE1322"/>
    <w:rsid w:val="00AF60D5"/>
    <w:rsid w:val="00B00959"/>
    <w:rsid w:val="00B03C00"/>
    <w:rsid w:val="00B04415"/>
    <w:rsid w:val="00B06509"/>
    <w:rsid w:val="00B11D60"/>
    <w:rsid w:val="00B13D65"/>
    <w:rsid w:val="00B21805"/>
    <w:rsid w:val="00B3072E"/>
    <w:rsid w:val="00B36E15"/>
    <w:rsid w:val="00B37245"/>
    <w:rsid w:val="00B4017A"/>
    <w:rsid w:val="00B441B3"/>
    <w:rsid w:val="00B4468D"/>
    <w:rsid w:val="00B71C72"/>
    <w:rsid w:val="00B81E92"/>
    <w:rsid w:val="00B908D7"/>
    <w:rsid w:val="00B915AB"/>
    <w:rsid w:val="00B935E8"/>
    <w:rsid w:val="00B93B30"/>
    <w:rsid w:val="00B94CB5"/>
    <w:rsid w:val="00BA0DD9"/>
    <w:rsid w:val="00BA5DBC"/>
    <w:rsid w:val="00BB6312"/>
    <w:rsid w:val="00BC4D06"/>
    <w:rsid w:val="00BD18D3"/>
    <w:rsid w:val="00BD585E"/>
    <w:rsid w:val="00BD6919"/>
    <w:rsid w:val="00BE1EA7"/>
    <w:rsid w:val="00BE7489"/>
    <w:rsid w:val="00BF2E0D"/>
    <w:rsid w:val="00BF3927"/>
    <w:rsid w:val="00BF3F8B"/>
    <w:rsid w:val="00BF76DA"/>
    <w:rsid w:val="00C07C7B"/>
    <w:rsid w:val="00C16245"/>
    <w:rsid w:val="00C22DC5"/>
    <w:rsid w:val="00C24479"/>
    <w:rsid w:val="00C273F2"/>
    <w:rsid w:val="00C37B53"/>
    <w:rsid w:val="00C41640"/>
    <w:rsid w:val="00C517D2"/>
    <w:rsid w:val="00C5772E"/>
    <w:rsid w:val="00C62B36"/>
    <w:rsid w:val="00C630AE"/>
    <w:rsid w:val="00C7012C"/>
    <w:rsid w:val="00C712EA"/>
    <w:rsid w:val="00C965F9"/>
    <w:rsid w:val="00CA217D"/>
    <w:rsid w:val="00CC0823"/>
    <w:rsid w:val="00CC09D4"/>
    <w:rsid w:val="00CC668D"/>
    <w:rsid w:val="00CC7832"/>
    <w:rsid w:val="00CD74AA"/>
    <w:rsid w:val="00CF0C1C"/>
    <w:rsid w:val="00CF27FD"/>
    <w:rsid w:val="00CF5F12"/>
    <w:rsid w:val="00D00D8F"/>
    <w:rsid w:val="00D21F3A"/>
    <w:rsid w:val="00D23808"/>
    <w:rsid w:val="00D3016A"/>
    <w:rsid w:val="00D31225"/>
    <w:rsid w:val="00D417D2"/>
    <w:rsid w:val="00D42960"/>
    <w:rsid w:val="00D43BD7"/>
    <w:rsid w:val="00D4485B"/>
    <w:rsid w:val="00D4708D"/>
    <w:rsid w:val="00D4744C"/>
    <w:rsid w:val="00D521DE"/>
    <w:rsid w:val="00D5470B"/>
    <w:rsid w:val="00D63068"/>
    <w:rsid w:val="00D6498C"/>
    <w:rsid w:val="00D76A70"/>
    <w:rsid w:val="00D83182"/>
    <w:rsid w:val="00D8521E"/>
    <w:rsid w:val="00D9291C"/>
    <w:rsid w:val="00D93A97"/>
    <w:rsid w:val="00D970E4"/>
    <w:rsid w:val="00DB1F64"/>
    <w:rsid w:val="00DC2F53"/>
    <w:rsid w:val="00DC5BAC"/>
    <w:rsid w:val="00DC6816"/>
    <w:rsid w:val="00DC76C2"/>
    <w:rsid w:val="00DD1CF2"/>
    <w:rsid w:val="00DE4484"/>
    <w:rsid w:val="00DF41B7"/>
    <w:rsid w:val="00DF4A4A"/>
    <w:rsid w:val="00DF583C"/>
    <w:rsid w:val="00E03C3F"/>
    <w:rsid w:val="00E06FD7"/>
    <w:rsid w:val="00E07417"/>
    <w:rsid w:val="00E23FCE"/>
    <w:rsid w:val="00E24D45"/>
    <w:rsid w:val="00E33DB8"/>
    <w:rsid w:val="00E33EFF"/>
    <w:rsid w:val="00E34387"/>
    <w:rsid w:val="00E348BA"/>
    <w:rsid w:val="00E369FE"/>
    <w:rsid w:val="00E37C6F"/>
    <w:rsid w:val="00E475F8"/>
    <w:rsid w:val="00E5102E"/>
    <w:rsid w:val="00E5721C"/>
    <w:rsid w:val="00E619C6"/>
    <w:rsid w:val="00E745A1"/>
    <w:rsid w:val="00E81529"/>
    <w:rsid w:val="00E83A13"/>
    <w:rsid w:val="00EB6FC5"/>
    <w:rsid w:val="00EC2356"/>
    <w:rsid w:val="00EC2582"/>
    <w:rsid w:val="00EC2D52"/>
    <w:rsid w:val="00EC337C"/>
    <w:rsid w:val="00ED0CFF"/>
    <w:rsid w:val="00ED31D2"/>
    <w:rsid w:val="00EE0EAC"/>
    <w:rsid w:val="00EE3322"/>
    <w:rsid w:val="00EE33CB"/>
    <w:rsid w:val="00F0061A"/>
    <w:rsid w:val="00F00696"/>
    <w:rsid w:val="00F02834"/>
    <w:rsid w:val="00F04EEB"/>
    <w:rsid w:val="00F05467"/>
    <w:rsid w:val="00F055D2"/>
    <w:rsid w:val="00F07CD7"/>
    <w:rsid w:val="00F127E9"/>
    <w:rsid w:val="00F14B5D"/>
    <w:rsid w:val="00F259FC"/>
    <w:rsid w:val="00F36972"/>
    <w:rsid w:val="00F42426"/>
    <w:rsid w:val="00F456BC"/>
    <w:rsid w:val="00F50666"/>
    <w:rsid w:val="00F70C9E"/>
    <w:rsid w:val="00F747CA"/>
    <w:rsid w:val="00F74A74"/>
    <w:rsid w:val="00F7572C"/>
    <w:rsid w:val="00F8382C"/>
    <w:rsid w:val="00F855D7"/>
    <w:rsid w:val="00F92035"/>
    <w:rsid w:val="00F92748"/>
    <w:rsid w:val="00F96779"/>
    <w:rsid w:val="00FA4169"/>
    <w:rsid w:val="00FB0D41"/>
    <w:rsid w:val="00FB2030"/>
    <w:rsid w:val="00FD0E46"/>
    <w:rsid w:val="00FD1CF2"/>
    <w:rsid w:val="00FD3EDF"/>
    <w:rsid w:val="00FD793C"/>
    <w:rsid w:val="00FE0FD5"/>
    <w:rsid w:val="00FE20E6"/>
    <w:rsid w:val="00FE3E3B"/>
    <w:rsid w:val="00FF4032"/>
    <w:rsid w:val="00FF6469"/>
    <w:rsid w:val="00FF7E4A"/>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DFE6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E81529"/>
    <w:rPr>
      <w:sz w:val="24"/>
      <w:szCs w:val="24"/>
      <w:lang w:eastAsia="en-US"/>
    </w:rPr>
  </w:style>
  <w:style w:type="paragraph" w:styleId="Antrat1">
    <w:name w:val="heading 1"/>
    <w:basedOn w:val="prastasis"/>
    <w:next w:val="prastasis"/>
    <w:qFormat/>
    <w:rsid w:val="00A84C51"/>
    <w:pPr>
      <w:keepNext/>
      <w:jc w:val="center"/>
      <w:outlineLvl w:val="0"/>
    </w:pPr>
    <w:rPr>
      <w:b/>
      <w:bCs/>
      <w:caps/>
    </w:rPr>
  </w:style>
  <w:style w:type="paragraph" w:styleId="Antrat2">
    <w:name w:val="heading 2"/>
    <w:basedOn w:val="prastasis"/>
    <w:next w:val="prastasis"/>
    <w:qFormat/>
    <w:rsid w:val="00A84C51"/>
    <w:pPr>
      <w:keepNext/>
      <w:jc w:val="center"/>
      <w:outlineLvl w:val="1"/>
    </w:pPr>
    <w:rPr>
      <w:b/>
      <w:bCs/>
      <w:caps/>
      <w:sz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A84C51"/>
    <w:pPr>
      <w:tabs>
        <w:tab w:val="center" w:pos="4986"/>
        <w:tab w:val="right" w:pos="9972"/>
      </w:tabs>
    </w:pPr>
  </w:style>
  <w:style w:type="paragraph" w:styleId="Porat">
    <w:name w:val="footer"/>
    <w:basedOn w:val="prastasis"/>
    <w:link w:val="PoratDiagrama"/>
    <w:rsid w:val="00A84C51"/>
    <w:pPr>
      <w:tabs>
        <w:tab w:val="center" w:pos="4986"/>
        <w:tab w:val="right" w:pos="9972"/>
      </w:tabs>
    </w:pPr>
  </w:style>
  <w:style w:type="character" w:styleId="Puslapionumeris">
    <w:name w:val="page number"/>
    <w:basedOn w:val="Numatytasispastraiposriftas"/>
    <w:rsid w:val="00A84C51"/>
  </w:style>
  <w:style w:type="character" w:styleId="Hipersaitas">
    <w:name w:val="Hyperlink"/>
    <w:basedOn w:val="Numatytasispastraiposriftas"/>
    <w:rsid w:val="00A84C51"/>
    <w:rPr>
      <w:color w:val="0000FF"/>
      <w:u w:val="single"/>
    </w:rPr>
  </w:style>
  <w:style w:type="paragraph" w:styleId="Debesliotekstas">
    <w:name w:val="Balloon Text"/>
    <w:basedOn w:val="prastasis"/>
    <w:semiHidden/>
    <w:rsid w:val="00EC2356"/>
    <w:rPr>
      <w:rFonts w:ascii="Tahoma" w:hAnsi="Tahoma" w:cs="Tahoma"/>
      <w:sz w:val="16"/>
      <w:szCs w:val="16"/>
    </w:rPr>
  </w:style>
  <w:style w:type="character" w:customStyle="1" w:styleId="PoratDiagrama">
    <w:name w:val="Poraštė Diagrama"/>
    <w:basedOn w:val="Numatytasispastraiposriftas"/>
    <w:link w:val="Porat"/>
    <w:rsid w:val="00737E2D"/>
    <w:rPr>
      <w:sz w:val="24"/>
      <w:szCs w:val="24"/>
      <w:lang w:eastAsia="en-US"/>
    </w:rPr>
  </w:style>
  <w:style w:type="character" w:customStyle="1" w:styleId="Neapdorotaspaminjimas1">
    <w:name w:val="Neapdorotas paminėjimas1"/>
    <w:basedOn w:val="Numatytasispastraiposriftas"/>
    <w:uiPriority w:val="99"/>
    <w:semiHidden/>
    <w:unhideWhenUsed/>
    <w:rsid w:val="00A31E86"/>
    <w:rPr>
      <w:color w:val="605E5C"/>
      <w:shd w:val="clear" w:color="auto" w:fill="E1DFDD"/>
    </w:rPr>
  </w:style>
  <w:style w:type="character" w:styleId="Perirtashipersaitas">
    <w:name w:val="FollowedHyperlink"/>
    <w:basedOn w:val="Numatytasispastraiposriftas"/>
    <w:semiHidden/>
    <w:unhideWhenUsed/>
    <w:rsid w:val="00A31E86"/>
    <w:rPr>
      <w:color w:val="800080" w:themeColor="followedHyperlink"/>
      <w:u w:val="single"/>
    </w:rPr>
  </w:style>
  <w:style w:type="table" w:styleId="Lentelstinklelis">
    <w:name w:val="Table Grid"/>
    <w:aliases w:val="Tabellengitternetz 9pt,Lash Style Table,Nexus Values grey,Summary box,Dossier Table,Dossier table,Section 3- footnotes"/>
    <w:basedOn w:val="prastojilentel"/>
    <w:rsid w:val="00D429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semiHidden/>
    <w:unhideWhenUsed/>
    <w:rsid w:val="00C7012C"/>
    <w:rPr>
      <w:sz w:val="16"/>
      <w:szCs w:val="16"/>
    </w:rPr>
  </w:style>
  <w:style w:type="paragraph" w:styleId="Komentarotekstas">
    <w:name w:val="annotation text"/>
    <w:basedOn w:val="prastasis"/>
    <w:link w:val="KomentarotekstasDiagrama"/>
    <w:unhideWhenUsed/>
    <w:rsid w:val="00C7012C"/>
    <w:rPr>
      <w:sz w:val="20"/>
      <w:szCs w:val="20"/>
    </w:rPr>
  </w:style>
  <w:style w:type="character" w:customStyle="1" w:styleId="KomentarotekstasDiagrama">
    <w:name w:val="Komentaro tekstas Diagrama"/>
    <w:basedOn w:val="Numatytasispastraiposriftas"/>
    <w:link w:val="Komentarotekstas"/>
    <w:rsid w:val="00C7012C"/>
    <w:rPr>
      <w:lang w:eastAsia="en-US"/>
    </w:rPr>
  </w:style>
  <w:style w:type="paragraph" w:styleId="Komentarotema">
    <w:name w:val="annotation subject"/>
    <w:basedOn w:val="Komentarotekstas"/>
    <w:next w:val="Komentarotekstas"/>
    <w:link w:val="KomentarotemaDiagrama"/>
    <w:semiHidden/>
    <w:unhideWhenUsed/>
    <w:rsid w:val="00C7012C"/>
    <w:rPr>
      <w:b/>
      <w:bCs/>
    </w:rPr>
  </w:style>
  <w:style w:type="character" w:customStyle="1" w:styleId="KomentarotemaDiagrama">
    <w:name w:val="Komentaro tema Diagrama"/>
    <w:basedOn w:val="KomentarotekstasDiagrama"/>
    <w:link w:val="Komentarotema"/>
    <w:semiHidden/>
    <w:rsid w:val="00C7012C"/>
    <w:rPr>
      <w:b/>
      <w:bCs/>
      <w:lang w:eastAsia="en-US"/>
    </w:rPr>
  </w:style>
  <w:style w:type="paragraph" w:styleId="Sraopastraipa">
    <w:name w:val="List Paragraph"/>
    <w:aliases w:val="Summary Bullets,Bullet 1,Bullet1,Bullet List,Section 5,List Paragraph CCT minutes,Table Legend,Bullets Points,Use Case List Paragraph,List Paragraph1,Body Bullet,Table Number Paragraph,Colorful List - Accent 11,List Paragraph 1,Ref,B1"/>
    <w:basedOn w:val="prastasis"/>
    <w:link w:val="SraopastraipaDiagrama"/>
    <w:uiPriority w:val="1"/>
    <w:qFormat/>
    <w:rsid w:val="00104E2E"/>
    <w:pPr>
      <w:ind w:left="720"/>
      <w:contextualSpacing/>
    </w:pPr>
  </w:style>
  <w:style w:type="character" w:customStyle="1" w:styleId="Style2">
    <w:name w:val="Style2"/>
    <w:basedOn w:val="Numatytasispastraiposriftas"/>
    <w:uiPriority w:val="1"/>
    <w:rsid w:val="00D6498C"/>
    <w:rPr>
      <w:sz w:val="32"/>
    </w:rPr>
  </w:style>
  <w:style w:type="character" w:styleId="Vietosrezervavimoenklotekstas">
    <w:name w:val="Placeholder Text"/>
    <w:basedOn w:val="Numatytasispastraiposriftas"/>
    <w:uiPriority w:val="99"/>
    <w:rsid w:val="00B13D65"/>
    <w:rPr>
      <w:color w:val="808080"/>
    </w:rPr>
  </w:style>
  <w:style w:type="paragraph" w:styleId="Betarp">
    <w:name w:val="No Spacing"/>
    <w:aliases w:val="~BaseStyle,PBAC Table Footnote"/>
    <w:link w:val="BetarpDiagrama"/>
    <w:uiPriority w:val="1"/>
    <w:qFormat/>
    <w:rsid w:val="00B13D65"/>
    <w:rPr>
      <w:rFonts w:ascii="Calibri" w:eastAsia="Calibri" w:hAnsi="Calibri"/>
      <w:sz w:val="22"/>
      <w:szCs w:val="22"/>
      <w:lang w:eastAsia="en-US"/>
    </w:rPr>
  </w:style>
  <w:style w:type="table" w:customStyle="1" w:styleId="Lentelstinklelis1">
    <w:name w:val="Lentelės tinklelis1"/>
    <w:basedOn w:val="prastojilentel"/>
    <w:next w:val="Lentelstinklelis"/>
    <w:rsid w:val="009E44AE"/>
    <w:rPr>
      <w:sz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476256"/>
    <w:rPr>
      <w:sz w:val="24"/>
      <w:szCs w:val="24"/>
      <w:lang w:eastAsia="en-US"/>
    </w:rPr>
  </w:style>
  <w:style w:type="character" w:customStyle="1" w:styleId="SraopastraipaDiagrama">
    <w:name w:val="Sąrašo pastraipa Diagrama"/>
    <w:aliases w:val="Summary Bullets Diagrama,Bullet 1 Diagrama,Bullet1 Diagrama,Bullet List Diagrama,Section 5 Diagrama,List Paragraph CCT minutes Diagrama,Table Legend Diagrama,Bullets Points Diagrama,Use Case List Paragraph Diagrama,Ref Diagrama"/>
    <w:basedOn w:val="Numatytasispastraiposriftas"/>
    <w:link w:val="Sraopastraipa"/>
    <w:uiPriority w:val="34"/>
    <w:rsid w:val="003D1877"/>
    <w:rPr>
      <w:sz w:val="24"/>
      <w:szCs w:val="24"/>
      <w:lang w:eastAsia="en-US"/>
    </w:rPr>
  </w:style>
  <w:style w:type="paragraph" w:customStyle="1" w:styleId="Tekstas">
    <w:name w:val="Tekstas"/>
    <w:basedOn w:val="prastasis"/>
    <w:link w:val="TekstasChar"/>
    <w:qFormat/>
    <w:rsid w:val="00704571"/>
    <w:pPr>
      <w:spacing w:after="120"/>
      <w:jc w:val="both"/>
    </w:pPr>
  </w:style>
  <w:style w:type="character" w:customStyle="1" w:styleId="TekstasChar">
    <w:name w:val="Tekstas Char"/>
    <w:link w:val="Tekstas"/>
    <w:rsid w:val="00704571"/>
    <w:rPr>
      <w:sz w:val="24"/>
      <w:szCs w:val="24"/>
      <w:lang w:eastAsia="en-US"/>
    </w:rPr>
  </w:style>
  <w:style w:type="character" w:customStyle="1" w:styleId="BetarpDiagrama">
    <w:name w:val="Be tarpų Diagrama"/>
    <w:aliases w:val="~BaseStyle Diagrama,PBAC Table Footnote Diagrama"/>
    <w:basedOn w:val="Numatytasispastraiposriftas"/>
    <w:link w:val="Betarp"/>
    <w:uiPriority w:val="1"/>
    <w:locked/>
    <w:rsid w:val="009F4360"/>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8802146">
      <w:bodyDiv w:val="1"/>
      <w:marLeft w:val="0"/>
      <w:marRight w:val="0"/>
      <w:marTop w:val="0"/>
      <w:marBottom w:val="0"/>
      <w:divBdr>
        <w:top w:val="none" w:sz="0" w:space="0" w:color="auto"/>
        <w:left w:val="none" w:sz="0" w:space="0" w:color="auto"/>
        <w:bottom w:val="none" w:sz="0" w:space="0" w:color="auto"/>
        <w:right w:val="none" w:sz="0" w:space="0" w:color="auto"/>
      </w:divBdr>
    </w:div>
    <w:div w:id="1597787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DC0FA577E589A4D8A0F2AA25CDDD4BC"/>
        <w:category>
          <w:name w:val="General"/>
          <w:gallery w:val="placeholder"/>
        </w:category>
        <w:types>
          <w:type w:val="bbPlcHdr"/>
        </w:types>
        <w:behaviors>
          <w:behavior w:val="content"/>
        </w:behaviors>
        <w:guid w:val="{39813719-B2E2-E445-81C9-41D6D26F34F9}"/>
      </w:docPartPr>
      <w:docPartBody>
        <w:p w:rsidR="004042BC" w:rsidRDefault="00E3528B" w:rsidP="00E3528B">
          <w:pPr>
            <w:pStyle w:val="5DC0FA577E589A4D8A0F2AA25CDDD4BC"/>
          </w:pPr>
          <w:r>
            <w:rPr>
              <w:rStyle w:val="Vietosrezervavimoenklotekstas"/>
            </w:rPr>
            <w:t>Click here to enter a date.</w:t>
          </w:r>
        </w:p>
      </w:docPartBody>
    </w:docPart>
    <w:docPart>
      <w:docPartPr>
        <w:name w:val="9E916E70BFF8B34BA2EE0D733932B576"/>
        <w:category>
          <w:name w:val="General"/>
          <w:gallery w:val="placeholder"/>
        </w:category>
        <w:types>
          <w:type w:val="bbPlcHdr"/>
        </w:types>
        <w:behaviors>
          <w:behavior w:val="content"/>
        </w:behaviors>
        <w:guid w:val="{00A9AD20-4347-1B43-93E0-56331A165209}"/>
      </w:docPartPr>
      <w:docPartBody>
        <w:p w:rsidR="004042BC" w:rsidRDefault="00E3528B" w:rsidP="00E3528B">
          <w:pPr>
            <w:pStyle w:val="9E916E70BFF8B34BA2EE0D733932B576"/>
          </w:pPr>
          <w:r w:rsidRPr="00546469">
            <w:rPr>
              <w:rStyle w:val="Vietosrezervavimoenklotekstas"/>
            </w:rPr>
            <w:t>Click or tap here to enter text.</w:t>
          </w:r>
        </w:p>
      </w:docPartBody>
    </w:docPart>
    <w:docPart>
      <w:docPartPr>
        <w:name w:val="454E71D16F364952B4DC88E4D6F52B2D"/>
        <w:category>
          <w:name w:val="General"/>
          <w:gallery w:val="placeholder"/>
        </w:category>
        <w:types>
          <w:type w:val="bbPlcHdr"/>
        </w:types>
        <w:behaviors>
          <w:behavior w:val="content"/>
        </w:behaviors>
        <w:guid w:val="{0DE1C583-8BE7-4F49-B4A5-5D64FC976041}"/>
      </w:docPartPr>
      <w:docPartBody>
        <w:p w:rsidR="0035584D" w:rsidRDefault="00DF4274" w:rsidP="00DF4274">
          <w:pPr>
            <w:pStyle w:val="454E71D16F364952B4DC88E4D6F52B2D"/>
          </w:pPr>
          <w:r>
            <w:rPr>
              <w:rStyle w:val="Vietosrezervavimoenklotekstas"/>
            </w:rPr>
            <w:t>Click here to enter a date.</w:t>
          </w:r>
        </w:p>
      </w:docPartBody>
    </w:docPart>
    <w:docPart>
      <w:docPartPr>
        <w:name w:val="6485187203EE4312975CEC647C83F0F5"/>
        <w:category>
          <w:name w:val="General"/>
          <w:gallery w:val="placeholder"/>
        </w:category>
        <w:types>
          <w:type w:val="bbPlcHdr"/>
        </w:types>
        <w:behaviors>
          <w:behavior w:val="content"/>
        </w:behaviors>
        <w:guid w:val="{83583AD6-5771-4D94-9B60-0DDB7EA4C711}"/>
      </w:docPartPr>
      <w:docPartBody>
        <w:p w:rsidR="0035584D" w:rsidRDefault="00DF4274" w:rsidP="00DF4274">
          <w:pPr>
            <w:pStyle w:val="6485187203EE4312975CEC647C83F0F5"/>
          </w:pPr>
          <w:r>
            <w:rPr>
              <w:rStyle w:val="Vietosrezervavimoenklotekstas"/>
            </w:rPr>
            <w:t>Click here to enter a date.</w:t>
          </w:r>
        </w:p>
      </w:docPartBody>
    </w:docPart>
    <w:docPart>
      <w:docPartPr>
        <w:name w:val="E7E6C64599E94375893977F9116A6941"/>
        <w:category>
          <w:name w:val="General"/>
          <w:gallery w:val="placeholder"/>
        </w:category>
        <w:types>
          <w:type w:val="bbPlcHdr"/>
        </w:types>
        <w:behaviors>
          <w:behavior w:val="content"/>
        </w:behaviors>
        <w:guid w:val="{BA35A2B1-5290-40C8-B762-D3F870F9A9A4}"/>
      </w:docPartPr>
      <w:docPartBody>
        <w:p w:rsidR="0035584D" w:rsidRDefault="00DF4274" w:rsidP="00DF4274">
          <w:pPr>
            <w:pStyle w:val="E7E6C64599E94375893977F9116A6941"/>
          </w:pPr>
          <w:r>
            <w:rPr>
              <w:rStyle w:val="Vietosrezervavimoenklotekstas"/>
            </w:rPr>
            <w:t>Click here to enter a date.</w:t>
          </w:r>
        </w:p>
      </w:docPartBody>
    </w:docPart>
    <w:docPart>
      <w:docPartPr>
        <w:name w:val="CEC80D40FCA3486EBA1286A616DDD923"/>
        <w:category>
          <w:name w:val="General"/>
          <w:gallery w:val="placeholder"/>
        </w:category>
        <w:types>
          <w:type w:val="bbPlcHdr"/>
        </w:types>
        <w:behaviors>
          <w:behavior w:val="content"/>
        </w:behaviors>
        <w:guid w:val="{9AB42DB1-8EBB-4CD6-9F45-3C8F22C927BC}"/>
      </w:docPartPr>
      <w:docPartBody>
        <w:p w:rsidR="0035584D" w:rsidRDefault="00DF4274" w:rsidP="00DF4274">
          <w:pPr>
            <w:pStyle w:val="CEC80D40FCA3486EBA1286A616DDD923"/>
          </w:pPr>
          <w:r>
            <w:rPr>
              <w:rStyle w:val="Vietosrezervavimoenklotekstas"/>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40DD"/>
    <w:rsid w:val="0001247F"/>
    <w:rsid w:val="00061157"/>
    <w:rsid w:val="00063647"/>
    <w:rsid w:val="000937FE"/>
    <w:rsid w:val="000A559A"/>
    <w:rsid w:val="000C3804"/>
    <w:rsid w:val="000D24D4"/>
    <w:rsid w:val="0016720C"/>
    <w:rsid w:val="001C2727"/>
    <w:rsid w:val="001C35A9"/>
    <w:rsid w:val="001F47C5"/>
    <w:rsid w:val="00237556"/>
    <w:rsid w:val="00252976"/>
    <w:rsid w:val="002C4BD7"/>
    <w:rsid w:val="002E0A71"/>
    <w:rsid w:val="00313E3D"/>
    <w:rsid w:val="0035584D"/>
    <w:rsid w:val="0039303B"/>
    <w:rsid w:val="004042BC"/>
    <w:rsid w:val="004144A3"/>
    <w:rsid w:val="004160E7"/>
    <w:rsid w:val="00425088"/>
    <w:rsid w:val="004416C6"/>
    <w:rsid w:val="00441D49"/>
    <w:rsid w:val="00483CD7"/>
    <w:rsid w:val="004F5AB2"/>
    <w:rsid w:val="005074B9"/>
    <w:rsid w:val="005D7E3B"/>
    <w:rsid w:val="005E40DD"/>
    <w:rsid w:val="00694CD0"/>
    <w:rsid w:val="007219C1"/>
    <w:rsid w:val="0074261C"/>
    <w:rsid w:val="00753462"/>
    <w:rsid w:val="00772325"/>
    <w:rsid w:val="007A2FE0"/>
    <w:rsid w:val="007C6D1D"/>
    <w:rsid w:val="0090074D"/>
    <w:rsid w:val="00927F68"/>
    <w:rsid w:val="009B3BF0"/>
    <w:rsid w:val="009C793D"/>
    <w:rsid w:val="009D5E5E"/>
    <w:rsid w:val="009F1BB4"/>
    <w:rsid w:val="00A73932"/>
    <w:rsid w:val="00A80CF0"/>
    <w:rsid w:val="00AB6ED4"/>
    <w:rsid w:val="00B14210"/>
    <w:rsid w:val="00B23DC0"/>
    <w:rsid w:val="00B96656"/>
    <w:rsid w:val="00BE29C1"/>
    <w:rsid w:val="00C2401D"/>
    <w:rsid w:val="00C53A68"/>
    <w:rsid w:val="00C965F9"/>
    <w:rsid w:val="00CA5BB4"/>
    <w:rsid w:val="00CB4BD1"/>
    <w:rsid w:val="00CC0823"/>
    <w:rsid w:val="00CD74AA"/>
    <w:rsid w:val="00CE2DA9"/>
    <w:rsid w:val="00CE44BE"/>
    <w:rsid w:val="00D107CD"/>
    <w:rsid w:val="00D4356B"/>
    <w:rsid w:val="00D7162F"/>
    <w:rsid w:val="00DF4274"/>
    <w:rsid w:val="00E3528B"/>
    <w:rsid w:val="00E44A86"/>
    <w:rsid w:val="00E522EB"/>
    <w:rsid w:val="00E60827"/>
    <w:rsid w:val="00E73FF6"/>
    <w:rsid w:val="00EF6E0C"/>
    <w:rsid w:val="00F55028"/>
    <w:rsid w:val="00F747CA"/>
    <w:rsid w:val="00F77BEF"/>
    <w:rsid w:val="00FC755C"/>
    <w:rsid w:val="00FE0D4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rsid w:val="00DF4274"/>
    <w:rPr>
      <w:color w:val="808080"/>
    </w:rPr>
  </w:style>
  <w:style w:type="paragraph" w:customStyle="1" w:styleId="5DC0FA577E589A4D8A0F2AA25CDDD4BC">
    <w:name w:val="5DC0FA577E589A4D8A0F2AA25CDDD4BC"/>
    <w:rsid w:val="00E3528B"/>
    <w:pPr>
      <w:spacing w:line="278" w:lineRule="auto"/>
    </w:pPr>
    <w:rPr>
      <w:kern w:val="2"/>
      <w:sz w:val="24"/>
      <w:szCs w:val="24"/>
      <w:lang w:eastAsia="en-GB"/>
      <w14:ligatures w14:val="standardContextual"/>
    </w:rPr>
  </w:style>
  <w:style w:type="paragraph" w:customStyle="1" w:styleId="9E916E70BFF8B34BA2EE0D733932B576">
    <w:name w:val="9E916E70BFF8B34BA2EE0D733932B576"/>
    <w:rsid w:val="00E3528B"/>
    <w:pPr>
      <w:spacing w:line="278" w:lineRule="auto"/>
    </w:pPr>
    <w:rPr>
      <w:kern w:val="2"/>
      <w:sz w:val="24"/>
      <w:szCs w:val="24"/>
      <w:lang w:eastAsia="en-GB"/>
      <w14:ligatures w14:val="standardContextual"/>
    </w:rPr>
  </w:style>
  <w:style w:type="paragraph" w:customStyle="1" w:styleId="454E71D16F364952B4DC88E4D6F52B2D">
    <w:name w:val="454E71D16F364952B4DC88E4D6F52B2D"/>
    <w:rsid w:val="00DF4274"/>
    <w:pPr>
      <w:spacing w:line="278" w:lineRule="auto"/>
    </w:pPr>
    <w:rPr>
      <w:kern w:val="2"/>
      <w:sz w:val="24"/>
      <w:szCs w:val="24"/>
      <w:lang w:val="en-US" w:eastAsia="en-US"/>
      <w14:ligatures w14:val="standardContextual"/>
    </w:rPr>
  </w:style>
  <w:style w:type="paragraph" w:customStyle="1" w:styleId="6485187203EE4312975CEC647C83F0F5">
    <w:name w:val="6485187203EE4312975CEC647C83F0F5"/>
    <w:rsid w:val="00DF4274"/>
    <w:pPr>
      <w:spacing w:line="278" w:lineRule="auto"/>
    </w:pPr>
    <w:rPr>
      <w:kern w:val="2"/>
      <w:sz w:val="24"/>
      <w:szCs w:val="24"/>
      <w:lang w:val="en-US" w:eastAsia="en-US"/>
      <w14:ligatures w14:val="standardContextual"/>
    </w:rPr>
  </w:style>
  <w:style w:type="paragraph" w:customStyle="1" w:styleId="E7E6C64599E94375893977F9116A6941">
    <w:name w:val="E7E6C64599E94375893977F9116A6941"/>
    <w:rsid w:val="00DF4274"/>
    <w:pPr>
      <w:spacing w:line="278" w:lineRule="auto"/>
    </w:pPr>
    <w:rPr>
      <w:kern w:val="2"/>
      <w:sz w:val="24"/>
      <w:szCs w:val="24"/>
      <w:lang w:val="en-US" w:eastAsia="en-US"/>
      <w14:ligatures w14:val="standardContextual"/>
    </w:rPr>
  </w:style>
  <w:style w:type="paragraph" w:customStyle="1" w:styleId="CEC80D40FCA3486EBA1286A616DDD923">
    <w:name w:val="CEC80D40FCA3486EBA1286A616DDD923"/>
    <w:rsid w:val="00DF4274"/>
    <w:pPr>
      <w:spacing w:line="278" w:lineRule="auto"/>
    </w:pPr>
    <w:rPr>
      <w:kern w:val="2"/>
      <w:sz w:val="24"/>
      <w:szCs w:val="24"/>
      <w:lang w:val="en-US" w:eastAsia="en-US"/>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61DB18-5D8C-4453-8CB7-9D15996885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2915</Words>
  <Characters>20862</Characters>
  <Application>Microsoft Office Word</Application>
  <DocSecurity>0</DocSecurity>
  <Lines>173</Lines>
  <Paragraphs>47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23730</CharactersWithSpaces>
  <SharedDoc>false</SharedDoc>
  <HLinks>
    <vt:vector size="6" baseType="variant">
      <vt:variant>
        <vt:i4>5308539</vt:i4>
      </vt:variant>
      <vt:variant>
        <vt:i4>6</vt:i4>
      </vt:variant>
      <vt:variant>
        <vt:i4>0</vt:i4>
      </vt:variant>
      <vt:variant>
        <vt:i4>5</vt:i4>
      </vt:variant>
      <vt:variant>
        <vt:lpwstr>mailto:vvkt@vvkt.lt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2025-12-22T16:00:00Z</dcterms:created>
  <dcterms:modified xsi:type="dcterms:W3CDTF">2025-12-23T06:20:00Z</dcterms:modified>
</cp:coreProperties>
</file>