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A56C" w14:textId="29E83FFE" w:rsidR="00784100" w:rsidRPr="001506D3" w:rsidRDefault="00923BC8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>F.A.Q.</w:t>
      </w:r>
    </w:p>
    <w:p w14:paraId="6A5F40BF" w14:textId="6A3FE5EB" w:rsidR="00923BC8" w:rsidRPr="001506D3" w:rsidRDefault="00923BC8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>1.</w:t>
      </w:r>
      <w:r w:rsidRPr="001506D3">
        <w:rPr>
          <w:rFonts w:ascii="Times New Roman" w:hAnsi="Times New Roman" w:cs="Times New Roman"/>
          <w:lang w:val="en-US"/>
        </w:rPr>
        <w:t xml:space="preserve"> </w:t>
      </w:r>
      <w:r w:rsidR="009210F3" w:rsidRPr="001506D3">
        <w:rPr>
          <w:rFonts w:ascii="Times New Roman" w:hAnsi="Times New Roman" w:cs="Times New Roman"/>
          <w:b/>
          <w:bCs/>
          <w:lang w:val="en-US"/>
        </w:rPr>
        <w:t xml:space="preserve">How to change the local representative of the marketing </w:t>
      </w:r>
      <w:proofErr w:type="spellStart"/>
      <w:r w:rsidR="00593DF5">
        <w:rPr>
          <w:rFonts w:ascii="Times New Roman" w:hAnsi="Times New Roman" w:cs="Times New Roman"/>
          <w:b/>
          <w:bCs/>
          <w:lang w:val="en-US"/>
        </w:rPr>
        <w:t>authorisation</w:t>
      </w:r>
      <w:proofErr w:type="spellEnd"/>
      <w:r w:rsidR="009210F3" w:rsidRPr="001506D3">
        <w:rPr>
          <w:rFonts w:ascii="Times New Roman" w:hAnsi="Times New Roman" w:cs="Times New Roman"/>
          <w:b/>
          <w:bCs/>
          <w:lang w:val="en-US"/>
        </w:rPr>
        <w:t xml:space="preserve"> holder </w:t>
      </w:r>
      <w:r w:rsidR="003241E6" w:rsidRPr="001506D3">
        <w:rPr>
          <w:rFonts w:ascii="Times New Roman" w:hAnsi="Times New Roman" w:cs="Times New Roman"/>
          <w:b/>
          <w:bCs/>
          <w:lang w:val="en-US"/>
        </w:rPr>
        <w:t xml:space="preserve">(MAH) </w:t>
      </w:r>
      <w:r w:rsidR="009210F3" w:rsidRPr="001506D3">
        <w:rPr>
          <w:rFonts w:ascii="Times New Roman" w:hAnsi="Times New Roman" w:cs="Times New Roman"/>
          <w:b/>
          <w:bCs/>
          <w:lang w:val="en-US"/>
        </w:rPr>
        <w:t>or their contact details in the package leaflet?</w:t>
      </w:r>
    </w:p>
    <w:p w14:paraId="577F0C8E" w14:textId="63602DE5" w:rsidR="008353D1" w:rsidRPr="001506D3" w:rsidRDefault="003241E6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The local representative of the MAH or their contact details </w:t>
      </w:r>
      <w:r w:rsidR="008353D1" w:rsidRPr="001506D3">
        <w:rPr>
          <w:rFonts w:ascii="Times New Roman" w:hAnsi="Times New Roman" w:cs="Times New Roman"/>
          <w:lang w:val="en-US"/>
        </w:rPr>
        <w:t>i</w:t>
      </w:r>
      <w:r w:rsidRPr="001506D3">
        <w:rPr>
          <w:rFonts w:ascii="Times New Roman" w:hAnsi="Times New Roman" w:cs="Times New Roman"/>
          <w:lang w:val="en-US"/>
        </w:rPr>
        <w:t xml:space="preserve">n the package leaflet can be changed with any regulatory change that involves a </w:t>
      </w:r>
      <w:r w:rsidR="00F537ED" w:rsidRPr="001506D3">
        <w:rPr>
          <w:rFonts w:ascii="Times New Roman" w:hAnsi="Times New Roman" w:cs="Times New Roman"/>
          <w:lang w:val="en-US"/>
        </w:rPr>
        <w:t>change to</w:t>
      </w:r>
      <w:r w:rsidRPr="001506D3">
        <w:rPr>
          <w:rFonts w:ascii="Times New Roman" w:hAnsi="Times New Roman" w:cs="Times New Roman"/>
          <w:lang w:val="en-US"/>
        </w:rPr>
        <w:t xml:space="preserve"> the information </w:t>
      </w:r>
      <w:r w:rsidR="008353D1" w:rsidRPr="001506D3">
        <w:rPr>
          <w:rFonts w:ascii="Times New Roman" w:hAnsi="Times New Roman" w:cs="Times New Roman"/>
          <w:lang w:val="en-US"/>
        </w:rPr>
        <w:t>i</w:t>
      </w:r>
      <w:r w:rsidRPr="001506D3">
        <w:rPr>
          <w:rFonts w:ascii="Times New Roman" w:hAnsi="Times New Roman" w:cs="Times New Roman"/>
          <w:lang w:val="en-US"/>
        </w:rPr>
        <w:t>n the package leaflet. If no changes have been submitted and none are planned in the near</w:t>
      </w:r>
      <w:r w:rsidR="003A0EA6">
        <w:rPr>
          <w:rFonts w:ascii="Times New Roman" w:hAnsi="Times New Roman" w:cs="Times New Roman"/>
          <w:lang w:val="en-US"/>
        </w:rPr>
        <w:t>est</w:t>
      </w:r>
      <w:r w:rsidRPr="001506D3">
        <w:rPr>
          <w:rFonts w:ascii="Times New Roman" w:hAnsi="Times New Roman" w:cs="Times New Roman"/>
          <w:lang w:val="en-US"/>
        </w:rPr>
        <w:t xml:space="preserve"> future, this can be done by sending an official letter to the Agency by email to </w:t>
      </w:r>
      <w:proofErr w:type="spellStart"/>
      <w:r w:rsidRPr="00AF6C3C">
        <w:rPr>
          <w:rFonts w:ascii="Times New Roman" w:hAnsi="Times New Roman" w:cs="Times New Roman"/>
          <w:color w:val="215E99" w:themeColor="text2" w:themeTint="BF"/>
          <w:lang w:val="en-US"/>
        </w:rPr>
        <w:t>vvkt@vvkt.lt</w:t>
      </w:r>
      <w:proofErr w:type="spellEnd"/>
      <w:r w:rsidRPr="00AF6C3C">
        <w:rPr>
          <w:rFonts w:ascii="Times New Roman" w:hAnsi="Times New Roman" w:cs="Times New Roman"/>
          <w:color w:val="215E99" w:themeColor="text2" w:themeTint="BF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 xml:space="preserve">with a request to change the </w:t>
      </w:r>
      <w:r w:rsidR="003A0EA6" w:rsidRPr="003A0EA6">
        <w:rPr>
          <w:rFonts w:ascii="Times New Roman" w:hAnsi="Times New Roman" w:cs="Times New Roman"/>
          <w:lang w:val="en-US"/>
        </w:rPr>
        <w:t>contact details</w:t>
      </w:r>
      <w:r w:rsidRPr="001506D3">
        <w:rPr>
          <w:rFonts w:ascii="Times New Roman" w:hAnsi="Times New Roman" w:cs="Times New Roman"/>
          <w:lang w:val="en-US"/>
        </w:rPr>
        <w:t xml:space="preserve"> </w:t>
      </w:r>
      <w:r w:rsidR="008353D1" w:rsidRPr="001506D3">
        <w:rPr>
          <w:rFonts w:ascii="Times New Roman" w:hAnsi="Times New Roman" w:cs="Times New Roman"/>
          <w:lang w:val="en-US"/>
        </w:rPr>
        <w:t>i</w:t>
      </w:r>
      <w:r w:rsidRPr="001506D3">
        <w:rPr>
          <w:rFonts w:ascii="Times New Roman" w:hAnsi="Times New Roman" w:cs="Times New Roman"/>
          <w:lang w:val="en-US"/>
        </w:rPr>
        <w:t>n the package leaflet.</w:t>
      </w:r>
    </w:p>
    <w:p w14:paraId="7D278C2F" w14:textId="5388CF65" w:rsidR="008353D1" w:rsidRPr="001506D3" w:rsidRDefault="008353D1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>2.</w:t>
      </w:r>
      <w:r w:rsidRPr="001506D3">
        <w:rPr>
          <w:rFonts w:ascii="Times New Roman" w:hAnsi="Times New Roman" w:cs="Times New Roman"/>
          <w:lang w:val="en-US"/>
        </w:rPr>
        <w:t xml:space="preserve"> </w:t>
      </w:r>
      <w:r w:rsidR="00A36E6A" w:rsidRPr="001506D3">
        <w:rPr>
          <w:rFonts w:ascii="Times New Roman" w:hAnsi="Times New Roman" w:cs="Times New Roman"/>
          <w:b/>
          <w:bCs/>
          <w:lang w:val="en-US"/>
        </w:rPr>
        <w:t xml:space="preserve">What Braille </w:t>
      </w:r>
      <w:r w:rsidR="003A0EA6">
        <w:rPr>
          <w:rFonts w:ascii="Times New Roman" w:hAnsi="Times New Roman" w:cs="Times New Roman"/>
          <w:b/>
          <w:bCs/>
          <w:lang w:val="en-US"/>
        </w:rPr>
        <w:t>writing</w:t>
      </w:r>
      <w:r w:rsidR="003A0EA6" w:rsidRPr="001506D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A36E6A" w:rsidRPr="001506D3">
        <w:rPr>
          <w:rFonts w:ascii="Times New Roman" w:hAnsi="Times New Roman" w:cs="Times New Roman"/>
          <w:b/>
          <w:bCs/>
          <w:lang w:val="en-US"/>
        </w:rPr>
        <w:t>system should be used for labeling medicinal product packaging?</w:t>
      </w:r>
    </w:p>
    <w:p w14:paraId="1D13A1E5" w14:textId="19DC978C" w:rsidR="00A36E6A" w:rsidRPr="00C409B1" w:rsidRDefault="003954A5" w:rsidP="00315DBD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1506D3">
        <w:rPr>
          <w:rFonts w:ascii="Times New Roman" w:hAnsi="Times New Roman" w:cs="Times New Roman"/>
          <w:lang w:val="en-US"/>
        </w:rPr>
        <w:t xml:space="preserve">When labeling medicinal product packaging in Braille, the Braille </w:t>
      </w:r>
      <w:r w:rsidR="003A0EA6">
        <w:rPr>
          <w:rFonts w:ascii="Times New Roman" w:hAnsi="Times New Roman" w:cs="Times New Roman"/>
          <w:lang w:val="en-US"/>
        </w:rPr>
        <w:t xml:space="preserve">writing </w:t>
      </w:r>
      <w:r w:rsidRPr="001506D3">
        <w:rPr>
          <w:rFonts w:ascii="Times New Roman" w:hAnsi="Times New Roman" w:cs="Times New Roman"/>
          <w:lang w:val="en-US"/>
        </w:rPr>
        <w:t>system adapted to the Lithuanian language must be used, as specified in the Lithuanian standard LST ISO 17049:2017 "</w:t>
      </w:r>
      <w:proofErr w:type="spellStart"/>
      <w:r w:rsidRPr="001506D3">
        <w:rPr>
          <w:rFonts w:ascii="Times New Roman" w:hAnsi="Times New Roman" w:cs="Times New Roman"/>
          <w:lang w:val="en-US"/>
        </w:rPr>
        <w:t>Prieinamas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06D3">
        <w:rPr>
          <w:rFonts w:ascii="Times New Roman" w:hAnsi="Times New Roman" w:cs="Times New Roman"/>
          <w:lang w:val="en-US"/>
        </w:rPr>
        <w:t>dizainas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1506D3">
        <w:rPr>
          <w:rFonts w:ascii="Times New Roman" w:hAnsi="Times New Roman" w:cs="Times New Roman"/>
          <w:lang w:val="en-US"/>
        </w:rPr>
        <w:t>Brailio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06D3">
        <w:rPr>
          <w:rFonts w:ascii="Times New Roman" w:hAnsi="Times New Roman" w:cs="Times New Roman"/>
          <w:lang w:val="en-US"/>
        </w:rPr>
        <w:t>rašto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06D3">
        <w:rPr>
          <w:rFonts w:ascii="Times New Roman" w:hAnsi="Times New Roman" w:cs="Times New Roman"/>
          <w:lang w:val="en-US"/>
        </w:rPr>
        <w:t>naudojimas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ant </w:t>
      </w:r>
      <w:proofErr w:type="spellStart"/>
      <w:r w:rsidRPr="001506D3">
        <w:rPr>
          <w:rFonts w:ascii="Times New Roman" w:hAnsi="Times New Roman" w:cs="Times New Roman"/>
          <w:lang w:val="en-US"/>
        </w:rPr>
        <w:t>ženklų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1506D3">
        <w:rPr>
          <w:rFonts w:ascii="Times New Roman" w:hAnsi="Times New Roman" w:cs="Times New Roman"/>
          <w:lang w:val="en-US"/>
        </w:rPr>
        <w:t>įrangos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06D3">
        <w:rPr>
          <w:rFonts w:ascii="Times New Roman" w:hAnsi="Times New Roman" w:cs="Times New Roman"/>
          <w:lang w:val="en-US"/>
        </w:rPr>
        <w:t>ir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06D3">
        <w:rPr>
          <w:rFonts w:ascii="Times New Roman" w:hAnsi="Times New Roman" w:cs="Times New Roman"/>
          <w:lang w:val="en-US"/>
        </w:rPr>
        <w:t>prietaisų</w:t>
      </w:r>
      <w:proofErr w:type="spellEnd"/>
      <w:r w:rsidRPr="001506D3">
        <w:rPr>
          <w:rFonts w:ascii="Times New Roman" w:hAnsi="Times New Roman" w:cs="Times New Roman"/>
          <w:lang w:val="en-US"/>
        </w:rPr>
        <w:t>", together with the national (informative) annex LST ISO 17049:2017/NA:2019 "</w:t>
      </w:r>
      <w:proofErr w:type="spellStart"/>
      <w:r w:rsidRPr="001506D3">
        <w:rPr>
          <w:rFonts w:ascii="Times New Roman" w:hAnsi="Times New Roman" w:cs="Times New Roman"/>
          <w:lang w:val="en-US"/>
        </w:rPr>
        <w:t>Lietuvių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06D3">
        <w:rPr>
          <w:rFonts w:ascii="Times New Roman" w:hAnsi="Times New Roman" w:cs="Times New Roman"/>
          <w:lang w:val="en-US"/>
        </w:rPr>
        <w:t>kalbai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06D3">
        <w:rPr>
          <w:rFonts w:ascii="Times New Roman" w:hAnsi="Times New Roman" w:cs="Times New Roman"/>
          <w:lang w:val="en-US"/>
        </w:rPr>
        <w:t>pritaikyta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06D3">
        <w:rPr>
          <w:rFonts w:ascii="Times New Roman" w:hAnsi="Times New Roman" w:cs="Times New Roman"/>
          <w:lang w:val="en-US"/>
        </w:rPr>
        <w:t>Brailio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06D3">
        <w:rPr>
          <w:rFonts w:ascii="Times New Roman" w:hAnsi="Times New Roman" w:cs="Times New Roman"/>
          <w:lang w:val="en-US"/>
        </w:rPr>
        <w:t>rašto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06D3">
        <w:rPr>
          <w:rFonts w:ascii="Times New Roman" w:hAnsi="Times New Roman" w:cs="Times New Roman"/>
          <w:lang w:val="en-US"/>
        </w:rPr>
        <w:t>ženklų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506D3">
        <w:rPr>
          <w:rFonts w:ascii="Times New Roman" w:hAnsi="Times New Roman" w:cs="Times New Roman"/>
          <w:lang w:val="en-US"/>
        </w:rPr>
        <w:t>sistema</w:t>
      </w:r>
      <w:proofErr w:type="spellEnd"/>
      <w:r w:rsidRPr="001506D3">
        <w:rPr>
          <w:rFonts w:ascii="Times New Roman" w:hAnsi="Times New Roman" w:cs="Times New Roman"/>
          <w:lang w:val="en-US"/>
        </w:rPr>
        <w:t>."</w:t>
      </w:r>
    </w:p>
    <w:p w14:paraId="7D29F5EF" w14:textId="6D1EE45B" w:rsidR="00F111B5" w:rsidRPr="001506D3" w:rsidRDefault="00F111B5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3. </w:t>
      </w:r>
      <w:r w:rsidR="00C210ED" w:rsidRPr="001506D3">
        <w:rPr>
          <w:rFonts w:ascii="Times New Roman" w:hAnsi="Times New Roman" w:cs="Times New Roman"/>
          <w:b/>
          <w:bCs/>
          <w:lang w:val="en-US"/>
        </w:rPr>
        <w:t>What information can be provided in the QR code (Quick Response) on the packaging of a medicinal product that can be scanned with a smartphone?</w:t>
      </w:r>
    </w:p>
    <w:p w14:paraId="6826B03B" w14:textId="77777777" w:rsidR="00957973" w:rsidRPr="001506D3" w:rsidRDefault="00957973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>The QR code on the medicinal product packaging, which can be scanned with a smartphone, can provide links to the following data elements:</w:t>
      </w:r>
    </w:p>
    <w:p w14:paraId="2F43BC9F" w14:textId="750683DC" w:rsidR="00957973" w:rsidRPr="001506D3" w:rsidRDefault="00957973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>•    annexes to the medicinal product</w:t>
      </w:r>
      <w:r w:rsidR="00765080">
        <w:rPr>
          <w:rFonts w:ascii="Times New Roman" w:hAnsi="Times New Roman" w:cs="Times New Roman"/>
          <w:lang w:val="en-US"/>
        </w:rPr>
        <w:t xml:space="preserve"> information</w:t>
      </w:r>
      <w:r w:rsidRPr="001506D3">
        <w:rPr>
          <w:rFonts w:ascii="Times New Roman" w:hAnsi="Times New Roman" w:cs="Times New Roman"/>
          <w:lang w:val="en-US"/>
        </w:rPr>
        <w:t xml:space="preserve"> (e.g., package leaflet</w:t>
      </w:r>
      <w:proofErr w:type="gramStart"/>
      <w:r w:rsidRPr="001506D3">
        <w:rPr>
          <w:rFonts w:ascii="Times New Roman" w:hAnsi="Times New Roman" w:cs="Times New Roman"/>
          <w:lang w:val="en-US"/>
        </w:rPr>
        <w:t>);</w:t>
      </w:r>
      <w:proofErr w:type="gramEnd"/>
    </w:p>
    <w:p w14:paraId="54A7FCE6" w14:textId="77777777" w:rsidR="00957973" w:rsidRPr="001506D3" w:rsidRDefault="00957973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>•    additional risk minimization measures (e.g., educational material for doctors and/or patients</w:t>
      </w:r>
      <w:proofErr w:type="gramStart"/>
      <w:r w:rsidRPr="001506D3">
        <w:rPr>
          <w:rFonts w:ascii="Times New Roman" w:hAnsi="Times New Roman" w:cs="Times New Roman"/>
          <w:lang w:val="en-US"/>
        </w:rPr>
        <w:t>);</w:t>
      </w:r>
      <w:proofErr w:type="gramEnd"/>
    </w:p>
    <w:p w14:paraId="4B9DD4ED" w14:textId="77777777" w:rsidR="00957973" w:rsidRPr="001506D3" w:rsidRDefault="00957973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>•    visual instructions for use of the medicinal product (video material).</w:t>
      </w:r>
    </w:p>
    <w:p w14:paraId="7D8E4E0C" w14:textId="7748B028" w:rsidR="00C210ED" w:rsidRPr="001506D3" w:rsidRDefault="00957973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Please note that the information provided in the QR code must be agreed with the Agency. It must be useful to patients or healthcare professionals. Advertising content is prohibited. A detailed description of the use of QR codes is published on the website of the Coordination Group for Mutual Recognition and </w:t>
      </w:r>
      <w:proofErr w:type="spellStart"/>
      <w:r w:rsidR="00957D6A" w:rsidRPr="001506D3">
        <w:rPr>
          <w:rFonts w:ascii="Times New Roman" w:hAnsi="Times New Roman" w:cs="Times New Roman"/>
          <w:lang w:val="en-US"/>
        </w:rPr>
        <w:t>Decentrali</w:t>
      </w:r>
      <w:r w:rsidR="00957D6A">
        <w:rPr>
          <w:rFonts w:ascii="Times New Roman" w:hAnsi="Times New Roman" w:cs="Times New Roman"/>
          <w:lang w:val="en-US"/>
        </w:rPr>
        <w:t>s</w:t>
      </w:r>
      <w:r w:rsidR="00957D6A" w:rsidRPr="001506D3">
        <w:rPr>
          <w:rFonts w:ascii="Times New Roman" w:hAnsi="Times New Roman" w:cs="Times New Roman"/>
          <w:lang w:val="en-US"/>
        </w:rPr>
        <w:t>ed</w:t>
      </w:r>
      <w:proofErr w:type="spellEnd"/>
      <w:r w:rsidR="00957D6A" w:rsidRPr="001506D3">
        <w:rPr>
          <w:rFonts w:ascii="Times New Roman" w:hAnsi="Times New Roman" w:cs="Times New Roman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>Procedures – Human (</w:t>
      </w:r>
      <w:hyperlink r:id="rId5" w:history="1">
        <w:r w:rsidRPr="009C3FCA">
          <w:rPr>
            <w:rStyle w:val="Hyperlink"/>
            <w:rFonts w:ascii="Times New Roman" w:hAnsi="Times New Roman" w:cs="Times New Roman"/>
            <w:lang w:val="en-US"/>
          </w:rPr>
          <w:t>CMD(h)</w:t>
        </w:r>
      </w:hyperlink>
      <w:r w:rsidRPr="001506D3">
        <w:rPr>
          <w:rFonts w:ascii="Times New Roman" w:hAnsi="Times New Roman" w:cs="Times New Roman"/>
          <w:lang w:val="en-US"/>
        </w:rPr>
        <w:t>).</w:t>
      </w:r>
    </w:p>
    <w:p w14:paraId="049BA749" w14:textId="07402F16" w:rsidR="000573F4" w:rsidRPr="001506D3" w:rsidRDefault="000573F4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lastRenderedPageBreak/>
        <w:t xml:space="preserve">4. </w:t>
      </w:r>
      <w:r w:rsidR="00C07034" w:rsidRPr="001506D3">
        <w:rPr>
          <w:rFonts w:ascii="Times New Roman" w:hAnsi="Times New Roman" w:cs="Times New Roman"/>
          <w:b/>
          <w:bCs/>
          <w:lang w:val="en-US"/>
        </w:rPr>
        <w:t xml:space="preserve">How to include a QR code with visual material in the package leaflet of a medicinal product </w:t>
      </w:r>
      <w:proofErr w:type="spellStart"/>
      <w:r w:rsidR="00765080">
        <w:rPr>
          <w:rFonts w:ascii="Times New Roman" w:hAnsi="Times New Roman" w:cs="Times New Roman"/>
          <w:b/>
          <w:bCs/>
          <w:lang w:val="en-US"/>
        </w:rPr>
        <w:t>author</w:t>
      </w:r>
      <w:r w:rsidR="00765080" w:rsidRPr="00C409B1">
        <w:rPr>
          <w:rFonts w:ascii="Times New Roman" w:hAnsi="Times New Roman" w:cs="Times New Roman"/>
          <w:b/>
          <w:bCs/>
          <w:lang w:val="en-US"/>
        </w:rPr>
        <w:t>i</w:t>
      </w:r>
      <w:r w:rsidR="00593DF5" w:rsidRPr="00C409B1">
        <w:rPr>
          <w:rFonts w:ascii="Times New Roman" w:hAnsi="Times New Roman" w:cs="Times New Roman"/>
          <w:b/>
          <w:bCs/>
          <w:lang w:val="en-US"/>
        </w:rPr>
        <w:t>s</w:t>
      </w:r>
      <w:r w:rsidR="00765080">
        <w:rPr>
          <w:rFonts w:ascii="Times New Roman" w:hAnsi="Times New Roman" w:cs="Times New Roman"/>
          <w:b/>
          <w:bCs/>
          <w:lang w:val="en-US"/>
        </w:rPr>
        <w:t>ed</w:t>
      </w:r>
      <w:proofErr w:type="spellEnd"/>
      <w:r w:rsidR="00765080" w:rsidRPr="001506D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07034" w:rsidRPr="001506D3">
        <w:rPr>
          <w:rFonts w:ascii="Times New Roman" w:hAnsi="Times New Roman" w:cs="Times New Roman"/>
          <w:b/>
          <w:bCs/>
          <w:lang w:val="en-US"/>
        </w:rPr>
        <w:t xml:space="preserve">in Lithuania through </w:t>
      </w:r>
      <w:r w:rsidR="00765080">
        <w:rPr>
          <w:rFonts w:ascii="Times New Roman" w:hAnsi="Times New Roman" w:cs="Times New Roman"/>
          <w:b/>
          <w:bCs/>
          <w:lang w:val="en-US"/>
        </w:rPr>
        <w:t xml:space="preserve">the </w:t>
      </w:r>
      <w:r w:rsidR="00765080" w:rsidRPr="001506D3">
        <w:rPr>
          <w:rFonts w:ascii="Times New Roman" w:hAnsi="Times New Roman" w:cs="Times New Roman"/>
          <w:b/>
          <w:bCs/>
          <w:lang w:val="en-US"/>
        </w:rPr>
        <w:t>M</w:t>
      </w:r>
      <w:r w:rsidR="00C07034" w:rsidRPr="001506D3">
        <w:rPr>
          <w:rFonts w:ascii="Times New Roman" w:hAnsi="Times New Roman" w:cs="Times New Roman"/>
          <w:b/>
          <w:bCs/>
          <w:lang w:val="en-US"/>
        </w:rPr>
        <w:t xml:space="preserve">utual </w:t>
      </w:r>
      <w:r w:rsidR="00765080" w:rsidRPr="001506D3">
        <w:rPr>
          <w:rFonts w:ascii="Times New Roman" w:hAnsi="Times New Roman" w:cs="Times New Roman"/>
          <w:b/>
          <w:bCs/>
          <w:lang w:val="en-US"/>
        </w:rPr>
        <w:t>R</w:t>
      </w:r>
      <w:r w:rsidR="00C07034" w:rsidRPr="001506D3">
        <w:rPr>
          <w:rFonts w:ascii="Times New Roman" w:hAnsi="Times New Roman" w:cs="Times New Roman"/>
          <w:b/>
          <w:bCs/>
          <w:lang w:val="en-US"/>
        </w:rPr>
        <w:t xml:space="preserve">ecognition or </w:t>
      </w:r>
      <w:r w:rsidR="00C07034" w:rsidRPr="00C409B1">
        <w:rPr>
          <w:rFonts w:ascii="Times New Roman" w:hAnsi="Times New Roman" w:cs="Times New Roman"/>
          <w:b/>
          <w:bCs/>
          <w:lang w:val="en-US"/>
        </w:rPr>
        <w:t xml:space="preserve">a </w:t>
      </w:r>
      <w:proofErr w:type="spellStart"/>
      <w:r w:rsidR="00593DF5" w:rsidRPr="00C409B1">
        <w:rPr>
          <w:rFonts w:ascii="Times New Roman" w:hAnsi="Times New Roman" w:cs="Times New Roman"/>
          <w:b/>
          <w:bCs/>
          <w:lang w:val="en-US"/>
        </w:rPr>
        <w:t>Decentralised</w:t>
      </w:r>
      <w:proofErr w:type="spellEnd"/>
      <w:r w:rsidR="00C07034" w:rsidRPr="001506D3">
        <w:rPr>
          <w:rFonts w:ascii="Times New Roman" w:hAnsi="Times New Roman" w:cs="Times New Roman"/>
          <w:b/>
          <w:bCs/>
          <w:lang w:val="en-US"/>
        </w:rPr>
        <w:t xml:space="preserve"> procedure, when the QR code has already been approved in the </w:t>
      </w:r>
      <w:r w:rsidR="00765080" w:rsidRPr="001506D3">
        <w:rPr>
          <w:rFonts w:ascii="Times New Roman" w:hAnsi="Times New Roman" w:cs="Times New Roman"/>
          <w:b/>
          <w:bCs/>
          <w:lang w:val="en-US"/>
        </w:rPr>
        <w:t>R</w:t>
      </w:r>
      <w:r w:rsidR="00C07034" w:rsidRPr="001506D3">
        <w:rPr>
          <w:rFonts w:ascii="Times New Roman" w:hAnsi="Times New Roman" w:cs="Times New Roman"/>
          <w:b/>
          <w:bCs/>
          <w:lang w:val="en-US"/>
        </w:rPr>
        <w:t xml:space="preserve">eference </w:t>
      </w:r>
      <w:r w:rsidR="00765080" w:rsidRPr="001506D3">
        <w:rPr>
          <w:rFonts w:ascii="Times New Roman" w:hAnsi="Times New Roman" w:cs="Times New Roman"/>
          <w:b/>
          <w:bCs/>
          <w:lang w:val="en-US"/>
        </w:rPr>
        <w:t>M</w:t>
      </w:r>
      <w:r w:rsidR="00C07034" w:rsidRPr="001506D3">
        <w:rPr>
          <w:rFonts w:ascii="Times New Roman" w:hAnsi="Times New Roman" w:cs="Times New Roman"/>
          <w:b/>
          <w:bCs/>
          <w:lang w:val="en-US"/>
        </w:rPr>
        <w:t xml:space="preserve">ember </w:t>
      </w:r>
      <w:r w:rsidR="00765080" w:rsidRPr="001506D3">
        <w:rPr>
          <w:rFonts w:ascii="Times New Roman" w:hAnsi="Times New Roman" w:cs="Times New Roman"/>
          <w:b/>
          <w:bCs/>
          <w:lang w:val="en-US"/>
        </w:rPr>
        <w:t>S</w:t>
      </w:r>
      <w:r w:rsidR="00C07034" w:rsidRPr="001506D3">
        <w:rPr>
          <w:rFonts w:ascii="Times New Roman" w:hAnsi="Times New Roman" w:cs="Times New Roman"/>
          <w:b/>
          <w:bCs/>
          <w:lang w:val="en-US"/>
        </w:rPr>
        <w:t>tate?</w:t>
      </w:r>
    </w:p>
    <w:p w14:paraId="152E775E" w14:textId="0C6806B7" w:rsidR="00E077C8" w:rsidRPr="001506D3" w:rsidRDefault="00E077C8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In Lithuania, such a QR code can be </w:t>
      </w:r>
      <w:proofErr w:type="spellStart"/>
      <w:r w:rsidR="00593DF5">
        <w:rPr>
          <w:rFonts w:ascii="Times New Roman" w:hAnsi="Times New Roman" w:cs="Times New Roman"/>
          <w:lang w:val="en-US"/>
        </w:rPr>
        <w:t>legalised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in the package leaflet by submitting a non-regulatory change, or it can be done during renewal procedure or regulatory Type IB and II clinical changes, which </w:t>
      </w:r>
      <w:r w:rsidR="00BA4080">
        <w:rPr>
          <w:rFonts w:ascii="Times New Roman" w:hAnsi="Times New Roman" w:cs="Times New Roman"/>
          <w:lang w:val="en-US"/>
        </w:rPr>
        <w:t xml:space="preserve">affects </w:t>
      </w:r>
      <w:r w:rsidRPr="001506D3">
        <w:rPr>
          <w:rFonts w:ascii="Times New Roman" w:hAnsi="Times New Roman" w:cs="Times New Roman"/>
          <w:lang w:val="en-US"/>
        </w:rPr>
        <w:t>the package leaflet.</w:t>
      </w:r>
    </w:p>
    <w:p w14:paraId="32A61782" w14:textId="369DEDC0" w:rsidR="00E077C8" w:rsidRPr="001506D3" w:rsidRDefault="00E077C8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If the QR code is being </w:t>
      </w:r>
      <w:proofErr w:type="spellStart"/>
      <w:r w:rsidR="00593DF5">
        <w:rPr>
          <w:rFonts w:ascii="Times New Roman" w:hAnsi="Times New Roman" w:cs="Times New Roman"/>
          <w:lang w:val="en-US"/>
        </w:rPr>
        <w:t>legalised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with another regulatory change or during renewal procedure, then it must be stated in the cover letter and/or </w:t>
      </w:r>
      <w:r w:rsidR="00BA4080">
        <w:rPr>
          <w:rFonts w:ascii="Times New Roman" w:hAnsi="Times New Roman" w:cs="Times New Roman"/>
          <w:lang w:val="en-US"/>
        </w:rPr>
        <w:t xml:space="preserve">indicated in </w:t>
      </w:r>
      <w:r w:rsidRPr="001506D3">
        <w:rPr>
          <w:rFonts w:ascii="Times New Roman" w:hAnsi="Times New Roman" w:cs="Times New Roman"/>
          <w:lang w:val="en-US"/>
        </w:rPr>
        <w:t xml:space="preserve">the Scope </w:t>
      </w:r>
      <w:r w:rsidR="00BA4080">
        <w:rPr>
          <w:rFonts w:ascii="Times New Roman" w:hAnsi="Times New Roman" w:cs="Times New Roman"/>
          <w:lang w:val="en-US"/>
        </w:rPr>
        <w:t xml:space="preserve">of </w:t>
      </w:r>
      <w:r w:rsidRPr="001506D3">
        <w:rPr>
          <w:rFonts w:ascii="Times New Roman" w:hAnsi="Times New Roman" w:cs="Times New Roman"/>
          <w:lang w:val="en-US"/>
        </w:rPr>
        <w:t xml:space="preserve">the application form that the QR code will also be </w:t>
      </w:r>
      <w:proofErr w:type="spellStart"/>
      <w:r w:rsidR="00593DF5">
        <w:rPr>
          <w:rFonts w:ascii="Times New Roman" w:hAnsi="Times New Roman" w:cs="Times New Roman"/>
          <w:lang w:val="en-US"/>
        </w:rPr>
        <w:t>legalised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in Lithuania, and additional information intended only for Lithuania must be added to </w:t>
      </w:r>
      <w:r w:rsidR="00926C61">
        <w:rPr>
          <w:rFonts w:ascii="Times New Roman" w:hAnsi="Times New Roman" w:cs="Times New Roman"/>
          <w:lang w:val="en-US"/>
        </w:rPr>
        <w:t xml:space="preserve">the </w:t>
      </w:r>
      <w:r w:rsidRPr="001506D3">
        <w:rPr>
          <w:rFonts w:ascii="Times New Roman" w:hAnsi="Times New Roman" w:cs="Times New Roman"/>
          <w:lang w:val="en-US"/>
        </w:rPr>
        <w:t>dossier accordingly.</w:t>
      </w:r>
    </w:p>
    <w:p w14:paraId="28E09F35" w14:textId="77777777" w:rsidR="00E077C8" w:rsidRPr="001506D3" w:rsidRDefault="00E077C8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>The following documents must be submitted to the Agency:</w:t>
      </w:r>
    </w:p>
    <w:p w14:paraId="4C488AF2" w14:textId="4E496257" w:rsidR="00E077C8" w:rsidRPr="001506D3" w:rsidRDefault="00E077C8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•    English texts of the package leaflet and video transcript approved by the </w:t>
      </w:r>
      <w:r w:rsidR="00BA4080" w:rsidRPr="001506D3">
        <w:rPr>
          <w:rFonts w:ascii="Times New Roman" w:hAnsi="Times New Roman" w:cs="Times New Roman"/>
          <w:lang w:val="en-US"/>
        </w:rPr>
        <w:t>R</w:t>
      </w:r>
      <w:r w:rsidRPr="001506D3">
        <w:rPr>
          <w:rFonts w:ascii="Times New Roman" w:hAnsi="Times New Roman" w:cs="Times New Roman"/>
          <w:lang w:val="en-US"/>
        </w:rPr>
        <w:t xml:space="preserve">eference </w:t>
      </w:r>
      <w:r w:rsidR="00BA4080" w:rsidRPr="001506D3">
        <w:rPr>
          <w:rFonts w:ascii="Times New Roman" w:hAnsi="Times New Roman" w:cs="Times New Roman"/>
          <w:lang w:val="en-US"/>
        </w:rPr>
        <w:t>M</w:t>
      </w:r>
      <w:r w:rsidRPr="001506D3">
        <w:rPr>
          <w:rFonts w:ascii="Times New Roman" w:hAnsi="Times New Roman" w:cs="Times New Roman"/>
          <w:lang w:val="en-US"/>
        </w:rPr>
        <w:t xml:space="preserve">ember </w:t>
      </w:r>
      <w:r w:rsidR="00BA4080" w:rsidRPr="001506D3">
        <w:rPr>
          <w:rFonts w:ascii="Times New Roman" w:hAnsi="Times New Roman" w:cs="Times New Roman"/>
          <w:lang w:val="en-US"/>
        </w:rPr>
        <w:t>S</w:t>
      </w:r>
      <w:r w:rsidRPr="001506D3">
        <w:rPr>
          <w:rFonts w:ascii="Times New Roman" w:hAnsi="Times New Roman" w:cs="Times New Roman"/>
          <w:lang w:val="en-US"/>
        </w:rPr>
        <w:t xml:space="preserve">tate, as well as their translations into </w:t>
      </w:r>
      <w:proofErr w:type="gramStart"/>
      <w:r w:rsidRPr="001506D3">
        <w:rPr>
          <w:rFonts w:ascii="Times New Roman" w:hAnsi="Times New Roman" w:cs="Times New Roman"/>
          <w:lang w:val="en-US"/>
        </w:rPr>
        <w:t>Lithuanian;</w:t>
      </w:r>
      <w:proofErr w:type="gramEnd"/>
    </w:p>
    <w:p w14:paraId="160745D3" w14:textId="77777777" w:rsidR="00E077C8" w:rsidRPr="001506D3" w:rsidRDefault="00E077C8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•    a valid URL link through which the video material can be </w:t>
      </w:r>
      <w:proofErr w:type="gramStart"/>
      <w:r w:rsidRPr="001506D3">
        <w:rPr>
          <w:rFonts w:ascii="Times New Roman" w:hAnsi="Times New Roman" w:cs="Times New Roman"/>
          <w:lang w:val="en-US"/>
        </w:rPr>
        <w:t>viewed;</w:t>
      </w:r>
      <w:proofErr w:type="gramEnd"/>
    </w:p>
    <w:p w14:paraId="7EEA7872" w14:textId="09459B87" w:rsidR="00C07034" w:rsidRPr="001506D3" w:rsidRDefault="00E077C8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•    the declaration form published on the </w:t>
      </w:r>
      <w:hyperlink r:id="rId6" w:history="1">
        <w:r w:rsidRPr="00B144F8">
          <w:rPr>
            <w:rStyle w:val="Hyperlink"/>
            <w:rFonts w:ascii="Times New Roman" w:hAnsi="Times New Roman" w:cs="Times New Roman"/>
            <w:lang w:val="en-US"/>
          </w:rPr>
          <w:t>CMD(h) website</w:t>
        </w:r>
      </w:hyperlink>
      <w:r w:rsidRPr="001506D3">
        <w:rPr>
          <w:rFonts w:ascii="Times New Roman" w:hAnsi="Times New Roman" w:cs="Times New Roman"/>
          <w:lang w:val="en-US"/>
        </w:rPr>
        <w:t>.</w:t>
      </w:r>
    </w:p>
    <w:p w14:paraId="34BE28DF" w14:textId="23575EC6" w:rsidR="00E077C8" w:rsidRPr="001506D3" w:rsidRDefault="00E077C8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5. </w:t>
      </w:r>
      <w:r w:rsidR="00EE76A6" w:rsidRPr="001506D3">
        <w:rPr>
          <w:rFonts w:ascii="Times New Roman" w:hAnsi="Times New Roman" w:cs="Times New Roman"/>
          <w:b/>
          <w:bCs/>
          <w:lang w:val="en-US"/>
        </w:rPr>
        <w:t>Is it possible to indicate the distributor of the medicinal product on the packaging of the medicinal product?</w:t>
      </w:r>
    </w:p>
    <w:p w14:paraId="484CB1C1" w14:textId="6A024567" w:rsidR="00525185" w:rsidRPr="001506D3" w:rsidRDefault="008F6723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The name and address of the </w:t>
      </w:r>
      <w:r w:rsidR="00B104EF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(if possible, telephone and fax numbers, e-mail address) and, if possible, the name of its representative in the Republic of Lithuania (if possible, address, telephone and fax numbers, e-mail address) must be stated on the packaging of the medicinal product.</w:t>
      </w:r>
    </w:p>
    <w:p w14:paraId="1819E38C" w14:textId="1DD076AD" w:rsidR="008F6723" w:rsidRPr="001506D3" w:rsidRDefault="008F6723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6. </w:t>
      </w:r>
      <w:r w:rsidR="002417B7" w:rsidRPr="001506D3">
        <w:rPr>
          <w:rFonts w:ascii="Times New Roman" w:hAnsi="Times New Roman" w:cs="Times New Roman"/>
          <w:b/>
          <w:bCs/>
          <w:lang w:val="en-US"/>
        </w:rPr>
        <w:t xml:space="preserve">Is it possible to display the logo of the distributor or the local representative of the </w:t>
      </w:r>
      <w:r w:rsidR="00B104EF">
        <w:rPr>
          <w:rFonts w:ascii="Times New Roman" w:hAnsi="Times New Roman" w:cs="Times New Roman"/>
          <w:b/>
          <w:bCs/>
          <w:lang w:val="en-US"/>
        </w:rPr>
        <w:t>MAH</w:t>
      </w:r>
      <w:r w:rsidR="002417B7" w:rsidRPr="001506D3">
        <w:rPr>
          <w:rFonts w:ascii="Times New Roman" w:hAnsi="Times New Roman" w:cs="Times New Roman"/>
          <w:b/>
          <w:bCs/>
          <w:lang w:val="en-US"/>
        </w:rPr>
        <w:t xml:space="preserve"> on the outer and/or inner packaging of the medicinal product?</w:t>
      </w:r>
    </w:p>
    <w:p w14:paraId="042676A0" w14:textId="19D9AC58" w:rsidR="002417B7" w:rsidRPr="001506D3" w:rsidRDefault="003977DB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Only the logo of the </w:t>
      </w:r>
      <w:r w:rsidR="00B104EF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may be displayed on the outer and/or inner packaging of the medicinal product.</w:t>
      </w:r>
    </w:p>
    <w:p w14:paraId="6B3179FD" w14:textId="022C3219" w:rsidR="003977DB" w:rsidRPr="001506D3" w:rsidRDefault="003977DB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7. </w:t>
      </w:r>
      <w:r w:rsidR="00F22356" w:rsidRPr="001506D3">
        <w:rPr>
          <w:rFonts w:ascii="Times New Roman" w:hAnsi="Times New Roman" w:cs="Times New Roman"/>
          <w:b/>
          <w:bCs/>
          <w:lang w:val="en-US"/>
        </w:rPr>
        <w:t xml:space="preserve">How to change the spelling of the active substance from Lithuanian to Latin or </w:t>
      </w:r>
      <w:r w:rsidR="00F22356" w:rsidRPr="00990B68">
        <w:rPr>
          <w:rFonts w:ascii="Times New Roman" w:hAnsi="Times New Roman" w:cs="Times New Roman"/>
          <w:b/>
          <w:bCs/>
          <w:i/>
          <w:iCs/>
          <w:lang w:val="en-US"/>
        </w:rPr>
        <w:t>vice versa</w:t>
      </w:r>
      <w:r w:rsidR="00F22356" w:rsidRPr="001506D3">
        <w:rPr>
          <w:rFonts w:ascii="Times New Roman" w:hAnsi="Times New Roman" w:cs="Times New Roman"/>
          <w:b/>
          <w:bCs/>
          <w:lang w:val="en-US"/>
        </w:rPr>
        <w:t xml:space="preserve"> in the first section of the labeling on the outer and/or inner packaging of the medicinal product?</w:t>
      </w:r>
    </w:p>
    <w:p w14:paraId="035A5A80" w14:textId="474D83DF" w:rsidR="00F22356" w:rsidRPr="001506D3" w:rsidRDefault="002D4735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lastRenderedPageBreak/>
        <w:t>Changes to the spelling of the active substance in the first section of the medicinal product packaging label can be made with a submitted regulatory change, during which the medicinal product packaging label is being changed, or if no changes have been submitted and are not planned in the near</w:t>
      </w:r>
      <w:r w:rsidR="00BA4080">
        <w:rPr>
          <w:rFonts w:ascii="Times New Roman" w:hAnsi="Times New Roman" w:cs="Times New Roman"/>
          <w:lang w:val="en-US"/>
        </w:rPr>
        <w:t>est</w:t>
      </w:r>
      <w:r w:rsidRPr="001506D3">
        <w:rPr>
          <w:rFonts w:ascii="Times New Roman" w:hAnsi="Times New Roman" w:cs="Times New Roman"/>
          <w:lang w:val="en-US"/>
        </w:rPr>
        <w:t xml:space="preserve"> future, an official letter to the Agency by email to </w:t>
      </w:r>
      <w:proofErr w:type="spellStart"/>
      <w:r w:rsidRPr="00584AC1">
        <w:rPr>
          <w:rFonts w:ascii="Times New Roman" w:hAnsi="Times New Roman" w:cs="Times New Roman"/>
          <w:color w:val="215E99" w:themeColor="text2" w:themeTint="BF"/>
          <w:lang w:val="en-US"/>
        </w:rPr>
        <w:t>vvkt@vvkt.lt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can be sent with a request to change the </w:t>
      </w:r>
      <w:r w:rsidR="00BA4080">
        <w:rPr>
          <w:rFonts w:ascii="Times New Roman" w:hAnsi="Times New Roman" w:cs="Times New Roman"/>
          <w:lang w:val="en-US"/>
        </w:rPr>
        <w:t>spelling</w:t>
      </w:r>
      <w:r w:rsidR="00BA4080" w:rsidRPr="001506D3">
        <w:rPr>
          <w:rFonts w:ascii="Times New Roman" w:hAnsi="Times New Roman" w:cs="Times New Roman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>of the active substance on the packaging label.</w:t>
      </w:r>
    </w:p>
    <w:p w14:paraId="7F8C1C23" w14:textId="3B1F6512" w:rsidR="002D4735" w:rsidRPr="001506D3" w:rsidRDefault="002D4735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8. </w:t>
      </w:r>
      <w:r w:rsidR="003057D7" w:rsidRPr="001506D3">
        <w:rPr>
          <w:rFonts w:ascii="Times New Roman" w:hAnsi="Times New Roman" w:cs="Times New Roman"/>
          <w:b/>
          <w:bCs/>
          <w:lang w:val="en-US"/>
        </w:rPr>
        <w:t xml:space="preserve">How to change </w:t>
      </w:r>
      <w:bookmarkStart w:id="0" w:name="_Hlk208563531"/>
      <w:r w:rsidR="003057D7" w:rsidRPr="001506D3">
        <w:rPr>
          <w:rFonts w:ascii="Times New Roman" w:hAnsi="Times New Roman" w:cs="Times New Roman"/>
          <w:b/>
          <w:bCs/>
          <w:lang w:val="en-US"/>
        </w:rPr>
        <w:t>the expression of the expiry date on the outer and/or inner packaging of the medicinal product</w:t>
      </w:r>
      <w:bookmarkEnd w:id="0"/>
      <w:r w:rsidR="003057D7" w:rsidRPr="001506D3">
        <w:rPr>
          <w:rFonts w:ascii="Times New Roman" w:hAnsi="Times New Roman" w:cs="Times New Roman"/>
          <w:b/>
          <w:bCs/>
          <w:lang w:val="en-US"/>
        </w:rPr>
        <w:t>?</w:t>
      </w:r>
    </w:p>
    <w:p w14:paraId="2FC3E650" w14:textId="60C31A27" w:rsidR="003057D7" w:rsidRPr="001506D3" w:rsidRDefault="00C14C56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>Changes to the expression of the expiry date on the outer and/or inner packaging of the medicinal product can be made with a submitted regulatory change, during which the medicinal product packaging label is being changed, or if no changes have been submitted and are not planned in the near</w:t>
      </w:r>
      <w:r w:rsidR="00BA4080">
        <w:rPr>
          <w:rFonts w:ascii="Times New Roman" w:hAnsi="Times New Roman" w:cs="Times New Roman"/>
          <w:lang w:val="en-US"/>
        </w:rPr>
        <w:t>est</w:t>
      </w:r>
      <w:r w:rsidRPr="001506D3">
        <w:rPr>
          <w:rFonts w:ascii="Times New Roman" w:hAnsi="Times New Roman" w:cs="Times New Roman"/>
          <w:lang w:val="en-US"/>
        </w:rPr>
        <w:t xml:space="preserve"> future, an official letter to the Agency by email to </w:t>
      </w:r>
      <w:proofErr w:type="spellStart"/>
      <w:r w:rsidRPr="00584AC1">
        <w:rPr>
          <w:rFonts w:ascii="Times New Roman" w:hAnsi="Times New Roman" w:cs="Times New Roman"/>
          <w:color w:val="215E99" w:themeColor="text2" w:themeTint="BF"/>
          <w:lang w:val="en-US"/>
        </w:rPr>
        <w:t>vvkt@vvkt.lt</w:t>
      </w:r>
      <w:proofErr w:type="spellEnd"/>
      <w:r w:rsidRPr="00584AC1">
        <w:rPr>
          <w:rFonts w:ascii="Times New Roman" w:hAnsi="Times New Roman" w:cs="Times New Roman"/>
          <w:color w:val="215E99" w:themeColor="text2" w:themeTint="BF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>can be sent with a request to change the expression of the expiry date on the outer and/or inner packaging of the medicinal product</w:t>
      </w:r>
      <w:r w:rsidR="00AF7C37" w:rsidRPr="001506D3">
        <w:rPr>
          <w:rFonts w:ascii="Times New Roman" w:hAnsi="Times New Roman" w:cs="Times New Roman"/>
          <w:lang w:val="en-US"/>
        </w:rPr>
        <w:t>.</w:t>
      </w:r>
    </w:p>
    <w:p w14:paraId="26C4C5EA" w14:textId="21EF0B4A" w:rsidR="008D226C" w:rsidRPr="001506D3" w:rsidRDefault="008D226C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9. </w:t>
      </w:r>
      <w:r w:rsidR="00BF2D4A" w:rsidRPr="001506D3">
        <w:rPr>
          <w:rFonts w:ascii="Times New Roman" w:hAnsi="Times New Roman" w:cs="Times New Roman"/>
          <w:b/>
          <w:bCs/>
          <w:lang w:val="en-US"/>
        </w:rPr>
        <w:t xml:space="preserve">How to replace the words "Expiry date" and/or "Batch number" with the abbreviations "EXP" and/or "Lot" and </w:t>
      </w:r>
      <w:r w:rsidR="00BF2D4A" w:rsidRPr="00990B68">
        <w:rPr>
          <w:rFonts w:ascii="Times New Roman" w:hAnsi="Times New Roman" w:cs="Times New Roman"/>
          <w:b/>
          <w:bCs/>
          <w:i/>
          <w:iCs/>
          <w:lang w:val="en-US"/>
        </w:rPr>
        <w:t>vice versa</w:t>
      </w:r>
      <w:r w:rsidR="00BF2D4A" w:rsidRPr="001506D3">
        <w:rPr>
          <w:rFonts w:ascii="Times New Roman" w:hAnsi="Times New Roman" w:cs="Times New Roman"/>
          <w:b/>
          <w:bCs/>
          <w:lang w:val="en-US"/>
        </w:rPr>
        <w:t xml:space="preserve"> on the labeling of outer and/or inner packaging?</w:t>
      </w:r>
    </w:p>
    <w:p w14:paraId="58B33A60" w14:textId="4977681C" w:rsidR="004E7B24" w:rsidRPr="001506D3" w:rsidRDefault="004E7B24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>In order to replace the words "Expiry date" and/or "Batch number" with the abbreviations "EXP" and</w:t>
      </w:r>
      <w:r w:rsidR="00466E0B">
        <w:rPr>
          <w:rFonts w:ascii="Times New Roman" w:hAnsi="Times New Roman" w:cs="Times New Roman"/>
          <w:lang w:val="en-US"/>
        </w:rPr>
        <w:t>/</w:t>
      </w:r>
      <w:r w:rsidRPr="001506D3">
        <w:rPr>
          <w:rFonts w:ascii="Times New Roman" w:hAnsi="Times New Roman" w:cs="Times New Roman"/>
          <w:lang w:val="en-US"/>
        </w:rPr>
        <w:t xml:space="preserve">or "Lot" and </w:t>
      </w:r>
      <w:r w:rsidRPr="00990B68">
        <w:rPr>
          <w:rFonts w:ascii="Times New Roman" w:hAnsi="Times New Roman" w:cs="Times New Roman"/>
          <w:i/>
          <w:iCs/>
          <w:lang w:val="en-US"/>
        </w:rPr>
        <w:t>vice versa</w:t>
      </w:r>
      <w:r w:rsidRPr="001506D3">
        <w:rPr>
          <w:rFonts w:ascii="Times New Roman" w:hAnsi="Times New Roman" w:cs="Times New Roman"/>
          <w:lang w:val="en-US"/>
        </w:rPr>
        <w:t xml:space="preserve"> on the outer and/or inner packaging, this can be done with a regulatory change, during which the information on the packaging label and package leaflet is being changed, or by submitting a non-regulatory change to the packaging label and/or package leaflet. </w:t>
      </w:r>
    </w:p>
    <w:p w14:paraId="518F08D0" w14:textId="0348F826" w:rsidR="00BF2D4A" w:rsidRPr="001506D3" w:rsidRDefault="004E7B24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Please note that </w:t>
      </w:r>
      <w:r w:rsidR="00BA4080">
        <w:rPr>
          <w:rFonts w:ascii="Times New Roman" w:hAnsi="Times New Roman" w:cs="Times New Roman"/>
          <w:lang w:val="en-US"/>
        </w:rPr>
        <w:t xml:space="preserve">during </w:t>
      </w:r>
      <w:r w:rsidR="00BA4080" w:rsidRPr="001506D3">
        <w:rPr>
          <w:rFonts w:ascii="Times New Roman" w:hAnsi="Times New Roman" w:cs="Times New Roman"/>
          <w:lang w:val="en-US"/>
        </w:rPr>
        <w:t>chang</w:t>
      </w:r>
      <w:r w:rsidR="00BA4080">
        <w:rPr>
          <w:rFonts w:ascii="Times New Roman" w:hAnsi="Times New Roman" w:cs="Times New Roman"/>
          <w:lang w:val="en-US"/>
        </w:rPr>
        <w:t>e of</w:t>
      </w:r>
      <w:r w:rsidR="00BA4080" w:rsidRPr="001506D3">
        <w:rPr>
          <w:rFonts w:ascii="Times New Roman" w:hAnsi="Times New Roman" w:cs="Times New Roman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 xml:space="preserve">the words "Expiry date" to the abbreviation "EXP" and </w:t>
      </w:r>
      <w:r w:rsidRPr="00990B68">
        <w:rPr>
          <w:rFonts w:ascii="Times New Roman" w:hAnsi="Times New Roman" w:cs="Times New Roman"/>
          <w:i/>
          <w:iCs/>
          <w:lang w:val="en-US"/>
        </w:rPr>
        <w:t>vice versa</w:t>
      </w:r>
      <w:r w:rsidRPr="001506D3">
        <w:rPr>
          <w:rFonts w:ascii="Times New Roman" w:hAnsi="Times New Roman" w:cs="Times New Roman"/>
          <w:lang w:val="en-US"/>
        </w:rPr>
        <w:t xml:space="preserve"> on the outer and/or inner packaging, the warning that the product must not be used after the specified expiry date must be corrected accordingly in section 5 of the package leaflet.</w:t>
      </w:r>
    </w:p>
    <w:p w14:paraId="56E90BBC" w14:textId="215B667E" w:rsidR="004E7B24" w:rsidRPr="001506D3" w:rsidRDefault="004E7B24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10. </w:t>
      </w:r>
      <w:r w:rsidR="00E95F28" w:rsidRPr="001506D3">
        <w:rPr>
          <w:rFonts w:ascii="Times New Roman" w:hAnsi="Times New Roman" w:cs="Times New Roman"/>
          <w:b/>
          <w:bCs/>
          <w:lang w:val="en-US"/>
        </w:rPr>
        <w:t>What should be done when the packaging design changes?</w:t>
      </w:r>
    </w:p>
    <w:p w14:paraId="6DCC7CBE" w14:textId="586A1DBC" w:rsidR="00E95F28" w:rsidRPr="001506D3" w:rsidRDefault="00605BD4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The </w:t>
      </w:r>
      <w:r w:rsidR="00B104EF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of the medicinal product must, no later than 10 days before the planned first supply of the medicinal product to the market after the </w:t>
      </w:r>
      <w:proofErr w:type="spellStart"/>
      <w:r w:rsidR="00593DF5">
        <w:rPr>
          <w:rFonts w:ascii="Times New Roman" w:hAnsi="Times New Roman" w:cs="Times New Roman"/>
          <w:lang w:val="en-US"/>
        </w:rPr>
        <w:t>authorisation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, renewal, or change of the outer and/or inner packaging, submit mock-ups or layouts of the outer and inner packaging in which the medicinal product will be supplied to the market to the Agency by email to </w:t>
      </w:r>
      <w:hyperlink r:id="rId7" w:history="1">
        <w:r w:rsidRPr="001506D3">
          <w:rPr>
            <w:rStyle w:val="Hyperlink"/>
            <w:rFonts w:ascii="Times New Roman" w:hAnsi="Times New Roman" w:cs="Times New Roman"/>
            <w:lang w:val="en-US"/>
          </w:rPr>
          <w:t>pakuotes@vvkt.lt</w:t>
        </w:r>
      </w:hyperlink>
      <w:r w:rsidRPr="001506D3">
        <w:rPr>
          <w:rFonts w:ascii="Times New Roman" w:hAnsi="Times New Roman" w:cs="Times New Roman"/>
          <w:lang w:val="en-US"/>
        </w:rPr>
        <w:t>.</w:t>
      </w:r>
    </w:p>
    <w:p w14:paraId="13278925" w14:textId="7B356C5C" w:rsidR="00605BD4" w:rsidRPr="001506D3" w:rsidRDefault="00605BD4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11. </w:t>
      </w:r>
      <w:r w:rsidR="00D55ABD" w:rsidRPr="001506D3">
        <w:rPr>
          <w:rFonts w:ascii="Times New Roman" w:hAnsi="Times New Roman" w:cs="Times New Roman"/>
          <w:b/>
          <w:bCs/>
          <w:lang w:val="en-US"/>
        </w:rPr>
        <w:t xml:space="preserve">What is the transfer of the </w:t>
      </w:r>
      <w:r w:rsidR="003B70F1">
        <w:rPr>
          <w:rFonts w:ascii="Times New Roman" w:hAnsi="Times New Roman" w:cs="Times New Roman"/>
          <w:b/>
          <w:bCs/>
          <w:lang w:val="en-US"/>
        </w:rPr>
        <w:t>MAH</w:t>
      </w:r>
      <w:r w:rsidR="00D55ABD" w:rsidRPr="001506D3">
        <w:rPr>
          <w:rFonts w:ascii="Times New Roman" w:hAnsi="Times New Roman" w:cs="Times New Roman"/>
          <w:b/>
          <w:bCs/>
          <w:lang w:val="en-US"/>
        </w:rPr>
        <w:t xml:space="preserve"> of a medicinal product and when must it be submitted?</w:t>
      </w:r>
    </w:p>
    <w:p w14:paraId="570B93FD" w14:textId="59252C72" w:rsidR="0067461C" w:rsidRPr="001506D3" w:rsidRDefault="0067461C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lastRenderedPageBreak/>
        <w:t xml:space="preserve">The transfer of a </w:t>
      </w:r>
      <w:r w:rsidR="003B70F1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is carried out by mutual agreement between the </w:t>
      </w:r>
      <w:r w:rsidR="003B70F1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and the person to whom the </w:t>
      </w:r>
      <w:r w:rsidR="003B70F1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is being transferred. When a </w:t>
      </w:r>
      <w:r w:rsidR="003B70F1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is being transferred, the terms and conditions of the marketing </w:t>
      </w:r>
      <w:proofErr w:type="spellStart"/>
      <w:r w:rsidR="00593DF5">
        <w:rPr>
          <w:rFonts w:ascii="Times New Roman" w:hAnsi="Times New Roman" w:cs="Times New Roman"/>
          <w:lang w:val="en-US"/>
        </w:rPr>
        <w:t>authorisation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certificate remain unchanged. </w:t>
      </w:r>
    </w:p>
    <w:p w14:paraId="72392E91" w14:textId="1AC05D9C" w:rsidR="0067461C" w:rsidRPr="001506D3" w:rsidRDefault="0067461C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The transfer of a </w:t>
      </w:r>
      <w:r w:rsidR="003B70F1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for a medicinal product is a procedure whereby, by decision of the Agency, the right to the marketing </w:t>
      </w:r>
      <w:proofErr w:type="spellStart"/>
      <w:r w:rsidR="00593DF5">
        <w:rPr>
          <w:rFonts w:ascii="Times New Roman" w:hAnsi="Times New Roman" w:cs="Times New Roman"/>
          <w:lang w:val="en-US"/>
        </w:rPr>
        <w:t>authorisation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for a previously registered medicinal product is </w:t>
      </w:r>
      <w:r w:rsidR="00F37009" w:rsidRPr="001506D3">
        <w:rPr>
          <w:rFonts w:ascii="Times New Roman" w:hAnsi="Times New Roman" w:cs="Times New Roman"/>
          <w:lang w:val="en-US"/>
        </w:rPr>
        <w:t xml:space="preserve">being </w:t>
      </w:r>
      <w:r w:rsidRPr="001506D3">
        <w:rPr>
          <w:rFonts w:ascii="Times New Roman" w:hAnsi="Times New Roman" w:cs="Times New Roman"/>
          <w:lang w:val="en-US"/>
        </w:rPr>
        <w:t xml:space="preserve">transferred to the transferee, where the latter is a different (legal) person than the previous </w:t>
      </w:r>
      <w:r w:rsidR="00007815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of the medicinal product.</w:t>
      </w:r>
    </w:p>
    <w:p w14:paraId="1CA1EAE7" w14:textId="357BCFCC" w:rsidR="00367592" w:rsidRPr="001506D3" w:rsidRDefault="0067461C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If the name and/or address of the </w:t>
      </w:r>
      <w:r w:rsidR="00007815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changes, but it </w:t>
      </w:r>
      <w:r w:rsidR="00F37009" w:rsidRPr="001506D3">
        <w:rPr>
          <w:rFonts w:ascii="Times New Roman" w:hAnsi="Times New Roman" w:cs="Times New Roman"/>
          <w:lang w:val="en-US"/>
        </w:rPr>
        <w:t>remains</w:t>
      </w:r>
      <w:r w:rsidRPr="001506D3">
        <w:rPr>
          <w:rFonts w:ascii="Times New Roman" w:hAnsi="Times New Roman" w:cs="Times New Roman"/>
          <w:lang w:val="en-US"/>
        </w:rPr>
        <w:t xml:space="preserve"> the same legal entity, a regulatory I</w:t>
      </w:r>
      <w:r w:rsidRPr="00591B94">
        <w:rPr>
          <w:rFonts w:ascii="Times New Roman" w:hAnsi="Times New Roman" w:cs="Times New Roman"/>
          <w:vertAlign w:val="subscript"/>
          <w:lang w:val="en-US"/>
        </w:rPr>
        <w:t>AIN</w:t>
      </w:r>
      <w:r w:rsidRPr="001506D3">
        <w:rPr>
          <w:rFonts w:ascii="Times New Roman" w:hAnsi="Times New Roman" w:cs="Times New Roman"/>
          <w:lang w:val="en-US"/>
        </w:rPr>
        <w:t xml:space="preserve"> type A.1 change must be submitted, in accordance with European Commission Regulation (EB) No. 1234/2008.</w:t>
      </w:r>
    </w:p>
    <w:p w14:paraId="55A0CF03" w14:textId="5DE8898C" w:rsidR="00AB1574" w:rsidRPr="001506D3" w:rsidRDefault="00AB1574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12. </w:t>
      </w:r>
      <w:r w:rsidR="00323662" w:rsidRPr="001506D3">
        <w:rPr>
          <w:rFonts w:ascii="Times New Roman" w:hAnsi="Times New Roman" w:cs="Times New Roman"/>
          <w:b/>
          <w:bCs/>
          <w:lang w:val="en-US"/>
        </w:rPr>
        <w:t xml:space="preserve">Can the transfer of a </w:t>
      </w:r>
      <w:r w:rsidR="00007815">
        <w:rPr>
          <w:rFonts w:ascii="Times New Roman" w:hAnsi="Times New Roman" w:cs="Times New Roman"/>
          <w:b/>
          <w:bCs/>
          <w:lang w:val="en-US"/>
        </w:rPr>
        <w:t>MAH</w:t>
      </w:r>
      <w:r w:rsidR="00323662" w:rsidRPr="001506D3">
        <w:rPr>
          <w:rFonts w:ascii="Times New Roman" w:hAnsi="Times New Roman" w:cs="Times New Roman"/>
          <w:b/>
          <w:bCs/>
          <w:lang w:val="en-US"/>
        </w:rPr>
        <w:t xml:space="preserve"> of the medicinal product be submitted by the person to whom the marketing </w:t>
      </w:r>
      <w:proofErr w:type="spellStart"/>
      <w:r w:rsidR="00593DF5">
        <w:rPr>
          <w:rFonts w:ascii="Times New Roman" w:hAnsi="Times New Roman" w:cs="Times New Roman"/>
          <w:b/>
          <w:bCs/>
          <w:lang w:val="en-US"/>
        </w:rPr>
        <w:t>authorisation</w:t>
      </w:r>
      <w:proofErr w:type="spellEnd"/>
      <w:r w:rsidR="00323662" w:rsidRPr="001506D3">
        <w:rPr>
          <w:rFonts w:ascii="Times New Roman" w:hAnsi="Times New Roman" w:cs="Times New Roman"/>
          <w:b/>
          <w:bCs/>
          <w:lang w:val="en-US"/>
        </w:rPr>
        <w:t xml:space="preserve"> of the medicinal product is being transferred (the transferee)?</w:t>
      </w:r>
    </w:p>
    <w:p w14:paraId="3C669FB9" w14:textId="4D14C4BE" w:rsidR="008E3611" w:rsidRPr="001506D3" w:rsidRDefault="00C02E76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The transfer of a </w:t>
      </w:r>
      <w:r w:rsidR="00007815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of the medicinal product may be submitted by the person to whom the marketing </w:t>
      </w:r>
      <w:proofErr w:type="spellStart"/>
      <w:r w:rsidR="00593DF5">
        <w:rPr>
          <w:rFonts w:ascii="Times New Roman" w:hAnsi="Times New Roman" w:cs="Times New Roman"/>
          <w:lang w:val="en-US"/>
        </w:rPr>
        <w:t>authorisation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of the medicinal product is being transferred (the transferee), but a power of attorney from the marketing </w:t>
      </w:r>
      <w:r w:rsidR="00007815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of the medicinal product to represent the MAH and carry out this procedure must be submitted.</w:t>
      </w:r>
    </w:p>
    <w:p w14:paraId="1A5F2950" w14:textId="1ED11367" w:rsidR="00B66137" w:rsidRPr="001506D3" w:rsidRDefault="00B66137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13. </w:t>
      </w:r>
      <w:r w:rsidR="00CD31B6" w:rsidRPr="001506D3">
        <w:rPr>
          <w:rFonts w:ascii="Times New Roman" w:hAnsi="Times New Roman" w:cs="Times New Roman"/>
          <w:b/>
          <w:bCs/>
          <w:lang w:val="en-US"/>
        </w:rPr>
        <w:t xml:space="preserve">Can the </w:t>
      </w:r>
      <w:r w:rsidR="00C37987" w:rsidRPr="001506D3">
        <w:rPr>
          <w:rFonts w:ascii="Times New Roman" w:hAnsi="Times New Roman" w:cs="Times New Roman"/>
          <w:b/>
          <w:bCs/>
          <w:lang w:val="en-US"/>
        </w:rPr>
        <w:t xml:space="preserve">application to transfer </w:t>
      </w:r>
      <w:r w:rsidR="00D57D38" w:rsidRPr="001506D3">
        <w:rPr>
          <w:rFonts w:ascii="Times New Roman" w:hAnsi="Times New Roman" w:cs="Times New Roman"/>
          <w:b/>
          <w:bCs/>
          <w:lang w:val="en-US"/>
        </w:rPr>
        <w:t xml:space="preserve">a </w:t>
      </w:r>
      <w:r w:rsidR="00007815">
        <w:rPr>
          <w:rFonts w:ascii="Times New Roman" w:hAnsi="Times New Roman" w:cs="Times New Roman"/>
          <w:b/>
          <w:bCs/>
          <w:lang w:val="en-US"/>
        </w:rPr>
        <w:t>MAH</w:t>
      </w:r>
      <w:r w:rsidR="00D57D38" w:rsidRPr="001506D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55F13" w:rsidRPr="001506D3">
        <w:rPr>
          <w:rFonts w:ascii="Times New Roman" w:hAnsi="Times New Roman" w:cs="Times New Roman"/>
          <w:b/>
          <w:bCs/>
          <w:lang w:val="en-US"/>
        </w:rPr>
        <w:t>be submitted in paper format?</w:t>
      </w:r>
    </w:p>
    <w:p w14:paraId="7DDAB78D" w14:textId="68A211C6" w:rsidR="00255F13" w:rsidRPr="001506D3" w:rsidRDefault="00150C4E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proofErr w:type="gramStart"/>
      <w:r w:rsidRPr="001506D3">
        <w:rPr>
          <w:rFonts w:ascii="Times New Roman" w:hAnsi="Times New Roman" w:cs="Times New Roman"/>
          <w:lang w:val="en-US"/>
        </w:rPr>
        <w:t>In order to</w:t>
      </w:r>
      <w:proofErr w:type="gramEnd"/>
      <w:r w:rsidRPr="001506D3">
        <w:rPr>
          <w:rFonts w:ascii="Times New Roman" w:hAnsi="Times New Roman" w:cs="Times New Roman"/>
          <w:lang w:val="en-US"/>
        </w:rPr>
        <w:t xml:space="preserve"> transfer the marketing </w:t>
      </w:r>
      <w:proofErr w:type="spellStart"/>
      <w:r w:rsidR="00593DF5">
        <w:rPr>
          <w:rFonts w:ascii="Times New Roman" w:hAnsi="Times New Roman" w:cs="Times New Roman"/>
          <w:lang w:val="en-US"/>
        </w:rPr>
        <w:t>authorisation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for a medicinal product to another legal entity, the </w:t>
      </w:r>
      <w:r w:rsidR="00007815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must submit an electronic dossier in eCTD format.</w:t>
      </w:r>
    </w:p>
    <w:p w14:paraId="186D515B" w14:textId="30BA1A46" w:rsidR="002778DB" w:rsidRPr="001506D3" w:rsidRDefault="002778DB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14. </w:t>
      </w:r>
      <w:r w:rsidR="00AD6BA3">
        <w:rPr>
          <w:rFonts w:ascii="Times New Roman" w:hAnsi="Times New Roman" w:cs="Times New Roman"/>
          <w:b/>
          <w:bCs/>
          <w:lang w:val="en-US"/>
        </w:rPr>
        <w:t>I</w:t>
      </w:r>
      <w:r w:rsidR="008D46BE" w:rsidRPr="001506D3">
        <w:rPr>
          <w:rFonts w:ascii="Times New Roman" w:hAnsi="Times New Roman" w:cs="Times New Roman"/>
          <w:b/>
          <w:bCs/>
          <w:lang w:val="en-US"/>
        </w:rPr>
        <w:t>s it possible to include several medicinal products (grouped) in the application</w:t>
      </w:r>
      <w:r w:rsidR="00AD6BA3">
        <w:rPr>
          <w:rFonts w:ascii="Times New Roman" w:hAnsi="Times New Roman" w:cs="Times New Roman"/>
          <w:b/>
          <w:bCs/>
          <w:lang w:val="en-US"/>
        </w:rPr>
        <w:t xml:space="preserve"> w</w:t>
      </w:r>
      <w:r w:rsidR="00AD6BA3" w:rsidRPr="00AD6BA3">
        <w:rPr>
          <w:rFonts w:ascii="Times New Roman" w:hAnsi="Times New Roman" w:cs="Times New Roman"/>
          <w:b/>
          <w:bCs/>
          <w:lang w:val="en-US"/>
        </w:rPr>
        <w:t xml:space="preserve">hen </w:t>
      </w:r>
      <w:r w:rsidR="00AD6BA3">
        <w:rPr>
          <w:rFonts w:ascii="Times New Roman" w:hAnsi="Times New Roman" w:cs="Times New Roman"/>
          <w:b/>
          <w:bCs/>
          <w:lang w:val="en-US"/>
        </w:rPr>
        <w:t>applying</w:t>
      </w:r>
      <w:r w:rsidR="00AD6BA3" w:rsidRPr="00AD6BA3">
        <w:rPr>
          <w:rFonts w:ascii="Times New Roman" w:hAnsi="Times New Roman" w:cs="Times New Roman"/>
          <w:b/>
          <w:bCs/>
          <w:lang w:val="en-US"/>
        </w:rPr>
        <w:t xml:space="preserve"> for the transfer of a </w:t>
      </w:r>
      <w:r w:rsidR="00A10038">
        <w:rPr>
          <w:rFonts w:ascii="Times New Roman" w:hAnsi="Times New Roman" w:cs="Times New Roman"/>
          <w:b/>
          <w:bCs/>
          <w:lang w:val="en-US"/>
        </w:rPr>
        <w:t>MAH</w:t>
      </w:r>
      <w:r w:rsidR="00AD6BA3" w:rsidRPr="00AD6BA3">
        <w:rPr>
          <w:rFonts w:ascii="Times New Roman" w:hAnsi="Times New Roman" w:cs="Times New Roman"/>
          <w:b/>
          <w:bCs/>
          <w:lang w:val="en-US"/>
        </w:rPr>
        <w:t xml:space="preserve"> for a medicinal product</w:t>
      </w:r>
      <w:r w:rsidR="008D46BE" w:rsidRPr="001506D3">
        <w:rPr>
          <w:rFonts w:ascii="Times New Roman" w:hAnsi="Times New Roman" w:cs="Times New Roman"/>
          <w:b/>
          <w:bCs/>
          <w:lang w:val="en-US"/>
        </w:rPr>
        <w:t>?</w:t>
      </w:r>
    </w:p>
    <w:p w14:paraId="117BDF9F" w14:textId="7E974D9F" w:rsidR="008D46BE" w:rsidRPr="001506D3" w:rsidRDefault="009043F3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In case of strengths and/or pharmaceutical forms of a medicinal product that are covered by the same marketing </w:t>
      </w:r>
      <w:proofErr w:type="spellStart"/>
      <w:r w:rsidR="00593DF5">
        <w:rPr>
          <w:rFonts w:ascii="Times New Roman" w:hAnsi="Times New Roman" w:cs="Times New Roman"/>
          <w:lang w:val="en-US"/>
        </w:rPr>
        <w:t>authorisation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, a single application for an identical transfer of the marketing </w:t>
      </w:r>
      <w:proofErr w:type="spellStart"/>
      <w:r w:rsidR="00593DF5">
        <w:rPr>
          <w:rFonts w:ascii="Times New Roman" w:hAnsi="Times New Roman" w:cs="Times New Roman"/>
          <w:lang w:val="en-US"/>
        </w:rPr>
        <w:t>authorisation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 for a medicinal product may be submitted. Separate applications </w:t>
      </w:r>
      <w:r w:rsidR="00AD6BA3">
        <w:rPr>
          <w:rFonts w:ascii="Times New Roman" w:hAnsi="Times New Roman" w:cs="Times New Roman"/>
          <w:lang w:val="en-US"/>
        </w:rPr>
        <w:t xml:space="preserve">for the transfer of the MAH </w:t>
      </w:r>
      <w:r w:rsidRPr="001506D3">
        <w:rPr>
          <w:rFonts w:ascii="Times New Roman" w:hAnsi="Times New Roman" w:cs="Times New Roman"/>
          <w:lang w:val="en-US"/>
        </w:rPr>
        <w:t>must be submitted for medicinal products with different trade names.</w:t>
      </w:r>
    </w:p>
    <w:p w14:paraId="76927DE5" w14:textId="4C8D908B" w:rsidR="00A65730" w:rsidRPr="001506D3" w:rsidRDefault="00A65730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15. </w:t>
      </w:r>
      <w:r w:rsidR="005B113A" w:rsidRPr="001506D3">
        <w:rPr>
          <w:rFonts w:ascii="Times New Roman" w:hAnsi="Times New Roman" w:cs="Times New Roman"/>
          <w:b/>
          <w:bCs/>
          <w:lang w:val="en-US"/>
        </w:rPr>
        <w:t xml:space="preserve">Can the transfer of the </w:t>
      </w:r>
      <w:r w:rsidR="00A10038">
        <w:rPr>
          <w:rFonts w:ascii="Times New Roman" w:hAnsi="Times New Roman" w:cs="Times New Roman"/>
          <w:b/>
          <w:bCs/>
          <w:lang w:val="en-US"/>
        </w:rPr>
        <w:t>MAH</w:t>
      </w:r>
      <w:r w:rsidR="001B03D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B113A" w:rsidRPr="001506D3">
        <w:rPr>
          <w:rFonts w:ascii="Times New Roman" w:hAnsi="Times New Roman" w:cs="Times New Roman"/>
          <w:b/>
          <w:bCs/>
          <w:lang w:val="en-US"/>
        </w:rPr>
        <w:t>for a medicinal product be submitted while other procedures are ongoing (regulatory changes, re</w:t>
      </w:r>
      <w:r w:rsidR="001B03D8">
        <w:rPr>
          <w:rFonts w:ascii="Times New Roman" w:hAnsi="Times New Roman" w:cs="Times New Roman"/>
          <w:b/>
          <w:bCs/>
          <w:lang w:val="en-US"/>
        </w:rPr>
        <w:t>newal</w:t>
      </w:r>
      <w:r w:rsidR="005B113A" w:rsidRPr="001506D3">
        <w:rPr>
          <w:rFonts w:ascii="Times New Roman" w:hAnsi="Times New Roman" w:cs="Times New Roman"/>
          <w:b/>
          <w:bCs/>
          <w:lang w:val="en-US"/>
        </w:rPr>
        <w:t>)?</w:t>
      </w:r>
    </w:p>
    <w:p w14:paraId="52C4C0A8" w14:textId="6BE317D1" w:rsidR="005B113A" w:rsidRPr="001506D3" w:rsidRDefault="0009587E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lastRenderedPageBreak/>
        <w:t xml:space="preserve">It is recommended that all procedures are completed when transferring the </w:t>
      </w:r>
      <w:r w:rsidR="001B03D8" w:rsidRPr="001506D3">
        <w:rPr>
          <w:rFonts w:ascii="Times New Roman" w:hAnsi="Times New Roman" w:cs="Times New Roman"/>
          <w:lang w:val="en-US"/>
        </w:rPr>
        <w:t>rights</w:t>
      </w:r>
      <w:r w:rsidRPr="001506D3">
        <w:rPr>
          <w:rFonts w:ascii="Times New Roman" w:hAnsi="Times New Roman" w:cs="Times New Roman"/>
          <w:lang w:val="en-US"/>
        </w:rPr>
        <w:t xml:space="preserve"> to </w:t>
      </w:r>
      <w:proofErr w:type="spellStart"/>
      <w:r w:rsidR="00A10038">
        <w:rPr>
          <w:rFonts w:ascii="Times New Roman" w:hAnsi="Times New Roman" w:cs="Times New Roman"/>
          <w:lang w:val="en-US"/>
        </w:rPr>
        <w:t>authorise</w:t>
      </w:r>
      <w:proofErr w:type="spellEnd"/>
      <w:r w:rsidR="00A10038">
        <w:rPr>
          <w:rFonts w:ascii="Times New Roman" w:hAnsi="Times New Roman" w:cs="Times New Roman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>a medicinal product.</w:t>
      </w:r>
    </w:p>
    <w:p w14:paraId="0C54BE11" w14:textId="2659309B" w:rsidR="0009587E" w:rsidRPr="001506D3" w:rsidRDefault="0009587E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16. </w:t>
      </w:r>
      <w:r w:rsidR="00211C11" w:rsidRPr="001506D3">
        <w:rPr>
          <w:rFonts w:ascii="Times New Roman" w:hAnsi="Times New Roman" w:cs="Times New Roman"/>
          <w:b/>
          <w:bCs/>
          <w:lang w:val="en-US"/>
        </w:rPr>
        <w:t xml:space="preserve">Should a regulatory name change be submitted, and if so, when, if the name of the medicinal product for which the transfer of the </w:t>
      </w:r>
      <w:r w:rsidR="00A10038">
        <w:rPr>
          <w:rFonts w:ascii="Times New Roman" w:hAnsi="Times New Roman" w:cs="Times New Roman"/>
          <w:b/>
          <w:bCs/>
          <w:lang w:val="en-US"/>
        </w:rPr>
        <w:t xml:space="preserve">MAH </w:t>
      </w:r>
      <w:r w:rsidR="00211C11" w:rsidRPr="001506D3">
        <w:rPr>
          <w:rFonts w:ascii="Times New Roman" w:hAnsi="Times New Roman" w:cs="Times New Roman"/>
          <w:b/>
          <w:bCs/>
          <w:lang w:val="en-US"/>
        </w:rPr>
        <w:t xml:space="preserve">is being submitted consists of a generic or scientific name together with the trademark or name of the </w:t>
      </w:r>
      <w:r w:rsidR="00197019">
        <w:rPr>
          <w:rFonts w:ascii="Times New Roman" w:hAnsi="Times New Roman" w:cs="Times New Roman"/>
          <w:b/>
          <w:bCs/>
          <w:lang w:val="en-US"/>
        </w:rPr>
        <w:t>MAH</w:t>
      </w:r>
      <w:r w:rsidR="00211C11" w:rsidRPr="001506D3">
        <w:rPr>
          <w:rFonts w:ascii="Times New Roman" w:hAnsi="Times New Roman" w:cs="Times New Roman"/>
          <w:b/>
          <w:bCs/>
          <w:lang w:val="en-US"/>
        </w:rPr>
        <w:t xml:space="preserve"> of the medicinal product?</w:t>
      </w:r>
    </w:p>
    <w:p w14:paraId="689660DD" w14:textId="3A36B730" w:rsidR="008A351E" w:rsidRPr="001506D3" w:rsidRDefault="00DF79EF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If the name of the medicinal product for which the transfer of the </w:t>
      </w:r>
      <w:r w:rsidR="00A10038">
        <w:rPr>
          <w:rFonts w:ascii="Times New Roman" w:hAnsi="Times New Roman" w:cs="Times New Roman"/>
          <w:lang w:val="en-US"/>
        </w:rPr>
        <w:t>MAH</w:t>
      </w:r>
      <w:r w:rsidR="00197019">
        <w:rPr>
          <w:rFonts w:ascii="Times New Roman" w:hAnsi="Times New Roman" w:cs="Times New Roman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 xml:space="preserve">is submitted consists of a generic or scientific name together with the trademark or name of the </w:t>
      </w:r>
      <w:r w:rsidR="00A10038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, a regulatory IB type A.2 variation to change the name of the medicinal product must be submitted together with the variation of the transfer of the </w:t>
      </w:r>
      <w:r w:rsidR="00A10038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>, as provided for in European Commission Regulation (EB) No. 1234/2008.</w:t>
      </w:r>
    </w:p>
    <w:p w14:paraId="4BB1A006" w14:textId="7D30AE39" w:rsidR="00742500" w:rsidRPr="001506D3" w:rsidRDefault="00742500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17. </w:t>
      </w:r>
      <w:r w:rsidR="002C2EAA" w:rsidRPr="001506D3">
        <w:rPr>
          <w:rFonts w:ascii="Times New Roman" w:hAnsi="Times New Roman" w:cs="Times New Roman"/>
          <w:b/>
          <w:bCs/>
          <w:lang w:val="en-US"/>
        </w:rPr>
        <w:t xml:space="preserve">Is it possible to sell packages with the previous </w:t>
      </w:r>
      <w:r w:rsidR="00A10038">
        <w:rPr>
          <w:rFonts w:ascii="Times New Roman" w:hAnsi="Times New Roman" w:cs="Times New Roman"/>
          <w:b/>
          <w:bCs/>
          <w:lang w:val="en-US"/>
        </w:rPr>
        <w:t>MAH</w:t>
      </w:r>
      <w:r w:rsidR="002C2EAA" w:rsidRPr="001506D3">
        <w:rPr>
          <w:rFonts w:ascii="Times New Roman" w:hAnsi="Times New Roman" w:cs="Times New Roman"/>
          <w:b/>
          <w:bCs/>
          <w:lang w:val="en-US"/>
        </w:rPr>
        <w:t xml:space="preserve">'s information after the transfer of the marketing </w:t>
      </w:r>
      <w:proofErr w:type="spellStart"/>
      <w:r w:rsidR="00593DF5">
        <w:rPr>
          <w:rFonts w:ascii="Times New Roman" w:hAnsi="Times New Roman" w:cs="Times New Roman"/>
          <w:b/>
          <w:bCs/>
          <w:lang w:val="en-US"/>
        </w:rPr>
        <w:t>authorisation</w:t>
      </w:r>
      <w:proofErr w:type="spellEnd"/>
      <w:r w:rsidR="002C2EAA" w:rsidRPr="001506D3">
        <w:rPr>
          <w:rFonts w:ascii="Times New Roman" w:hAnsi="Times New Roman" w:cs="Times New Roman"/>
          <w:b/>
          <w:bCs/>
          <w:lang w:val="en-US"/>
        </w:rPr>
        <w:t xml:space="preserve"> for a medicinal product has been approved?</w:t>
      </w:r>
    </w:p>
    <w:p w14:paraId="17D894FE" w14:textId="6F76DF2B" w:rsidR="002C2EAA" w:rsidRPr="001506D3" w:rsidRDefault="00094060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Once the transfer of the </w:t>
      </w:r>
      <w:r w:rsidR="00676163">
        <w:rPr>
          <w:rFonts w:ascii="Times New Roman" w:hAnsi="Times New Roman" w:cs="Times New Roman"/>
          <w:lang w:val="en-US"/>
        </w:rPr>
        <w:t>MAH</w:t>
      </w:r>
      <w:r w:rsidR="00536811">
        <w:rPr>
          <w:rFonts w:ascii="Times New Roman" w:hAnsi="Times New Roman" w:cs="Times New Roman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>for a medicinal product has been approved, the medicinal product in its previous packaging, which is on the market in the Republic of Lithuania and/or manufactured and released for the market in the Republic of Lithuania, may be sold until the end of its shelf life.</w:t>
      </w:r>
    </w:p>
    <w:p w14:paraId="4945865B" w14:textId="2761E99C" w:rsidR="00094060" w:rsidRPr="001506D3" w:rsidRDefault="00094060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18. </w:t>
      </w:r>
      <w:r w:rsidR="00640021" w:rsidRPr="001506D3">
        <w:rPr>
          <w:rFonts w:ascii="Times New Roman" w:hAnsi="Times New Roman" w:cs="Times New Roman"/>
          <w:b/>
          <w:bCs/>
          <w:lang w:val="en-US"/>
        </w:rPr>
        <w:t xml:space="preserve">How long does the procedure for transferring the </w:t>
      </w:r>
      <w:r w:rsidR="00676163">
        <w:rPr>
          <w:rFonts w:ascii="Times New Roman" w:hAnsi="Times New Roman" w:cs="Times New Roman"/>
          <w:b/>
          <w:bCs/>
          <w:lang w:val="en-US"/>
        </w:rPr>
        <w:t>MAH</w:t>
      </w:r>
      <w:r w:rsidR="00640021" w:rsidRPr="001506D3">
        <w:rPr>
          <w:rFonts w:ascii="Times New Roman" w:hAnsi="Times New Roman" w:cs="Times New Roman"/>
          <w:b/>
          <w:bCs/>
          <w:lang w:val="en-US"/>
        </w:rPr>
        <w:t xml:space="preserve"> for a medicinal product take?</w:t>
      </w:r>
    </w:p>
    <w:p w14:paraId="4CEB1AC4" w14:textId="0EE12F53" w:rsidR="00640021" w:rsidRPr="001506D3" w:rsidRDefault="00325BBF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The Agency </w:t>
      </w:r>
      <w:r w:rsidR="00190057" w:rsidRPr="001506D3">
        <w:rPr>
          <w:rFonts w:ascii="Times New Roman" w:hAnsi="Times New Roman" w:cs="Times New Roman"/>
          <w:lang w:val="en-US"/>
        </w:rPr>
        <w:t>must</w:t>
      </w:r>
      <w:r w:rsidRPr="001506D3">
        <w:rPr>
          <w:rFonts w:ascii="Times New Roman" w:hAnsi="Times New Roman" w:cs="Times New Roman"/>
          <w:lang w:val="en-US"/>
        </w:rPr>
        <w:t xml:space="preserve"> examine and </w:t>
      </w:r>
      <w:r w:rsidR="0013072A" w:rsidRPr="001506D3">
        <w:rPr>
          <w:rFonts w:ascii="Times New Roman" w:hAnsi="Times New Roman" w:cs="Times New Roman"/>
          <w:lang w:val="en-US"/>
        </w:rPr>
        <w:t>decide</w:t>
      </w:r>
      <w:r w:rsidRPr="001506D3">
        <w:rPr>
          <w:rFonts w:ascii="Times New Roman" w:hAnsi="Times New Roman" w:cs="Times New Roman"/>
          <w:lang w:val="en-US"/>
        </w:rPr>
        <w:t xml:space="preserve"> on the transfer of the </w:t>
      </w:r>
      <w:r w:rsidR="00397DF9">
        <w:rPr>
          <w:rFonts w:ascii="Times New Roman" w:hAnsi="Times New Roman" w:cs="Times New Roman"/>
          <w:lang w:val="en-US"/>
        </w:rPr>
        <w:t>MAH</w:t>
      </w:r>
      <w:r w:rsidR="00283FAC">
        <w:rPr>
          <w:rFonts w:ascii="Times New Roman" w:hAnsi="Times New Roman" w:cs="Times New Roman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 xml:space="preserve">for a medicinal product within 30 days of receiving the necessary documents. If the Agency requests additional data or information related to the information and/or documents submitted in the dossier of transfer of the </w:t>
      </w:r>
      <w:r w:rsidR="00397DF9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for the medicinal product, the applicant </w:t>
      </w:r>
      <w:r w:rsidR="00283FAC" w:rsidRPr="001506D3">
        <w:rPr>
          <w:rFonts w:ascii="Times New Roman" w:hAnsi="Times New Roman" w:cs="Times New Roman"/>
          <w:lang w:val="en-US"/>
        </w:rPr>
        <w:t>must</w:t>
      </w:r>
      <w:r w:rsidRPr="001506D3">
        <w:rPr>
          <w:rFonts w:ascii="Times New Roman" w:hAnsi="Times New Roman" w:cs="Times New Roman"/>
          <w:lang w:val="en-US"/>
        </w:rPr>
        <w:t xml:space="preserve"> submit them within 30 days of the Agency sending the request in writing. The time taken by the applicant to submit the requested information and/or documents is not included in the examination period.</w:t>
      </w:r>
    </w:p>
    <w:p w14:paraId="35D7ABAA" w14:textId="22A86DD9" w:rsidR="00325BBF" w:rsidRPr="001506D3" w:rsidRDefault="00325BBF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19. </w:t>
      </w:r>
      <w:r w:rsidR="00896020">
        <w:rPr>
          <w:rFonts w:ascii="Times New Roman" w:hAnsi="Times New Roman" w:cs="Times New Roman"/>
          <w:b/>
          <w:bCs/>
          <w:lang w:val="en-US"/>
        </w:rPr>
        <w:t xml:space="preserve">Is it possible to change </w:t>
      </w:r>
      <w:r w:rsidR="00A86E97">
        <w:rPr>
          <w:rFonts w:ascii="Times New Roman" w:hAnsi="Times New Roman" w:cs="Times New Roman"/>
          <w:b/>
          <w:bCs/>
          <w:lang w:val="en-US"/>
        </w:rPr>
        <w:t xml:space="preserve">the MAH during purely national </w:t>
      </w:r>
      <w:proofErr w:type="spellStart"/>
      <w:r w:rsidR="00A86E97">
        <w:rPr>
          <w:rFonts w:ascii="Times New Roman" w:hAnsi="Times New Roman" w:cs="Times New Roman"/>
          <w:b/>
          <w:bCs/>
          <w:lang w:val="en-US"/>
        </w:rPr>
        <w:t>authorisation</w:t>
      </w:r>
      <w:proofErr w:type="spellEnd"/>
      <w:r w:rsidR="00A86E97">
        <w:rPr>
          <w:rFonts w:ascii="Times New Roman" w:hAnsi="Times New Roman" w:cs="Times New Roman"/>
          <w:b/>
          <w:bCs/>
          <w:lang w:val="en-US"/>
        </w:rPr>
        <w:t xml:space="preserve"> procedure of the medicinal product</w:t>
      </w:r>
      <w:r w:rsidR="007B70B2" w:rsidRPr="001506D3">
        <w:rPr>
          <w:rFonts w:ascii="Times New Roman" w:hAnsi="Times New Roman" w:cs="Times New Roman"/>
          <w:b/>
          <w:bCs/>
          <w:lang w:val="en-US"/>
        </w:rPr>
        <w:t>?</w:t>
      </w:r>
    </w:p>
    <w:p w14:paraId="14F42DB5" w14:textId="5538A158" w:rsidR="007B70B2" w:rsidRPr="001506D3" w:rsidRDefault="007453A7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For medicinal products </w:t>
      </w:r>
      <w:proofErr w:type="gramStart"/>
      <w:r w:rsidR="0085285F">
        <w:rPr>
          <w:rFonts w:ascii="Times New Roman" w:hAnsi="Times New Roman" w:cs="Times New Roman"/>
          <w:lang w:val="en-US"/>
        </w:rPr>
        <w:t xml:space="preserve">undergoing </w:t>
      </w:r>
      <w:r w:rsidRPr="001506D3">
        <w:rPr>
          <w:rFonts w:ascii="Times New Roman" w:hAnsi="Times New Roman" w:cs="Times New Roman"/>
          <w:lang w:val="en-US"/>
        </w:rPr>
        <w:t xml:space="preserve"> the</w:t>
      </w:r>
      <w:proofErr w:type="gramEnd"/>
      <w:r w:rsidRPr="001506D3">
        <w:rPr>
          <w:rFonts w:ascii="Times New Roman" w:hAnsi="Times New Roman" w:cs="Times New Roman"/>
          <w:lang w:val="en-US"/>
        </w:rPr>
        <w:t xml:space="preserve"> </w:t>
      </w:r>
      <w:r w:rsidR="00CF4FF8">
        <w:rPr>
          <w:rFonts w:ascii="Times New Roman" w:hAnsi="Times New Roman" w:cs="Times New Roman"/>
          <w:lang w:val="en-US"/>
        </w:rPr>
        <w:t xml:space="preserve">purely </w:t>
      </w:r>
      <w:r w:rsidRPr="001506D3">
        <w:rPr>
          <w:rFonts w:ascii="Times New Roman" w:hAnsi="Times New Roman" w:cs="Times New Roman"/>
          <w:lang w:val="en-US"/>
        </w:rPr>
        <w:t xml:space="preserve">national </w:t>
      </w:r>
      <w:proofErr w:type="spellStart"/>
      <w:r w:rsidR="0085285F">
        <w:rPr>
          <w:rFonts w:ascii="Times New Roman" w:hAnsi="Times New Roman" w:cs="Times New Roman"/>
          <w:lang w:val="en-US"/>
        </w:rPr>
        <w:t>authori</w:t>
      </w:r>
      <w:r w:rsidR="00641D40">
        <w:rPr>
          <w:rFonts w:ascii="Times New Roman" w:hAnsi="Times New Roman" w:cs="Times New Roman"/>
          <w:lang w:val="en-US"/>
        </w:rPr>
        <w:t>s</w:t>
      </w:r>
      <w:r w:rsidR="0085285F">
        <w:rPr>
          <w:rFonts w:ascii="Times New Roman" w:hAnsi="Times New Roman" w:cs="Times New Roman"/>
          <w:lang w:val="en-US"/>
        </w:rPr>
        <w:t>ation</w:t>
      </w:r>
      <w:proofErr w:type="spellEnd"/>
      <w:r w:rsidR="0085285F">
        <w:rPr>
          <w:rFonts w:ascii="Times New Roman" w:hAnsi="Times New Roman" w:cs="Times New Roman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 xml:space="preserve">procedure, the transfer of the </w:t>
      </w:r>
      <w:proofErr w:type="gramStart"/>
      <w:r w:rsidR="00CF4FF8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 may</w:t>
      </w:r>
      <w:proofErr w:type="gramEnd"/>
      <w:r w:rsidRPr="001506D3">
        <w:rPr>
          <w:rFonts w:ascii="Times New Roman" w:hAnsi="Times New Roman" w:cs="Times New Roman"/>
          <w:lang w:val="en-US"/>
        </w:rPr>
        <w:t xml:space="preserve"> only be granted after the medicinal product has been </w:t>
      </w:r>
      <w:proofErr w:type="spellStart"/>
      <w:r w:rsidR="00CF4FF8">
        <w:rPr>
          <w:rFonts w:ascii="Times New Roman" w:hAnsi="Times New Roman" w:cs="Times New Roman"/>
          <w:lang w:val="en-US"/>
        </w:rPr>
        <w:t>authorised</w:t>
      </w:r>
      <w:proofErr w:type="spellEnd"/>
      <w:r w:rsidRPr="001506D3">
        <w:rPr>
          <w:rFonts w:ascii="Times New Roman" w:hAnsi="Times New Roman" w:cs="Times New Roman"/>
          <w:lang w:val="en-US"/>
        </w:rPr>
        <w:t>.</w:t>
      </w:r>
    </w:p>
    <w:p w14:paraId="008395BF" w14:textId="046C288A" w:rsidR="007453A7" w:rsidRPr="001506D3" w:rsidRDefault="007453A7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20. </w:t>
      </w:r>
      <w:r w:rsidR="00B06C47">
        <w:rPr>
          <w:rFonts w:ascii="Times New Roman" w:hAnsi="Times New Roman" w:cs="Times New Roman"/>
          <w:b/>
          <w:bCs/>
          <w:lang w:val="en-US"/>
        </w:rPr>
        <w:t>Is it possible to change</w:t>
      </w:r>
      <w:r w:rsidR="008E25C8" w:rsidRPr="001506D3">
        <w:rPr>
          <w:rFonts w:ascii="Times New Roman" w:hAnsi="Times New Roman" w:cs="Times New Roman"/>
          <w:b/>
          <w:bCs/>
          <w:lang w:val="en-US"/>
        </w:rPr>
        <w:t xml:space="preserve"> the </w:t>
      </w:r>
      <w:r w:rsidR="00CF4FF8">
        <w:rPr>
          <w:rFonts w:ascii="Times New Roman" w:hAnsi="Times New Roman" w:cs="Times New Roman"/>
          <w:b/>
          <w:bCs/>
          <w:lang w:val="en-US"/>
        </w:rPr>
        <w:t>MAH</w:t>
      </w:r>
      <w:r w:rsidR="008E25C8" w:rsidRPr="001506D3">
        <w:rPr>
          <w:rFonts w:ascii="Times New Roman" w:hAnsi="Times New Roman" w:cs="Times New Roman"/>
          <w:b/>
          <w:bCs/>
          <w:lang w:val="en-US"/>
        </w:rPr>
        <w:t xml:space="preserve"> for medicinal products during the national phase</w:t>
      </w:r>
      <w:r w:rsidR="0085285F">
        <w:rPr>
          <w:rFonts w:ascii="Times New Roman" w:hAnsi="Times New Roman" w:cs="Times New Roman"/>
          <w:b/>
          <w:bCs/>
          <w:lang w:val="en-US"/>
        </w:rPr>
        <w:t xml:space="preserve"> of the Mutual Recognition or Decentralised procedure</w:t>
      </w:r>
      <w:r w:rsidR="008E25C8" w:rsidRPr="001506D3">
        <w:rPr>
          <w:rFonts w:ascii="Times New Roman" w:hAnsi="Times New Roman" w:cs="Times New Roman"/>
          <w:b/>
          <w:bCs/>
          <w:lang w:val="en-US"/>
        </w:rPr>
        <w:t>?</w:t>
      </w:r>
    </w:p>
    <w:p w14:paraId="7C274371" w14:textId="7F270FA3" w:rsidR="009A66E4" w:rsidRPr="001506D3" w:rsidRDefault="000C0899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lastRenderedPageBreak/>
        <w:t xml:space="preserve">For medicinal products </w:t>
      </w:r>
      <w:r w:rsidR="00641D40">
        <w:rPr>
          <w:rFonts w:ascii="Times New Roman" w:hAnsi="Times New Roman" w:cs="Times New Roman"/>
          <w:lang w:val="en-US"/>
        </w:rPr>
        <w:t xml:space="preserve">undergoing </w:t>
      </w:r>
      <w:proofErr w:type="spellStart"/>
      <w:r w:rsidR="00550E78">
        <w:rPr>
          <w:rFonts w:ascii="Times New Roman" w:hAnsi="Times New Roman" w:cs="Times New Roman"/>
          <w:lang w:val="en-US"/>
        </w:rPr>
        <w:t>authorisation</w:t>
      </w:r>
      <w:proofErr w:type="spellEnd"/>
      <w:r w:rsidR="00550E78">
        <w:rPr>
          <w:rFonts w:ascii="Times New Roman" w:hAnsi="Times New Roman" w:cs="Times New Roman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 xml:space="preserve">under the </w:t>
      </w:r>
      <w:r w:rsidR="0013072A" w:rsidRPr="001506D3">
        <w:rPr>
          <w:rFonts w:ascii="Times New Roman" w:hAnsi="Times New Roman" w:cs="Times New Roman"/>
          <w:lang w:val="en-US"/>
        </w:rPr>
        <w:t>M</w:t>
      </w:r>
      <w:r w:rsidRPr="001506D3">
        <w:rPr>
          <w:rFonts w:ascii="Times New Roman" w:hAnsi="Times New Roman" w:cs="Times New Roman"/>
          <w:lang w:val="en-US"/>
        </w:rPr>
        <w:t xml:space="preserve">utual </w:t>
      </w:r>
      <w:r w:rsidR="0013072A" w:rsidRPr="001506D3">
        <w:rPr>
          <w:rFonts w:ascii="Times New Roman" w:hAnsi="Times New Roman" w:cs="Times New Roman"/>
          <w:lang w:val="en-US"/>
        </w:rPr>
        <w:t>R</w:t>
      </w:r>
      <w:r w:rsidRPr="001506D3">
        <w:rPr>
          <w:rFonts w:ascii="Times New Roman" w:hAnsi="Times New Roman" w:cs="Times New Roman"/>
          <w:lang w:val="en-US"/>
        </w:rPr>
        <w:t xml:space="preserve">ecognition or </w:t>
      </w:r>
      <w:proofErr w:type="spellStart"/>
      <w:r w:rsidR="00550E78" w:rsidRPr="001506D3">
        <w:rPr>
          <w:rFonts w:ascii="Times New Roman" w:hAnsi="Times New Roman" w:cs="Times New Roman"/>
          <w:lang w:val="en-US"/>
        </w:rPr>
        <w:t>Decentrali</w:t>
      </w:r>
      <w:r w:rsidR="00550E78">
        <w:rPr>
          <w:rFonts w:ascii="Times New Roman" w:hAnsi="Times New Roman" w:cs="Times New Roman"/>
          <w:lang w:val="en-US"/>
        </w:rPr>
        <w:t>s</w:t>
      </w:r>
      <w:r w:rsidR="00550E78" w:rsidRPr="001506D3">
        <w:rPr>
          <w:rFonts w:ascii="Times New Roman" w:hAnsi="Times New Roman" w:cs="Times New Roman"/>
          <w:lang w:val="en-US"/>
        </w:rPr>
        <w:t>ed</w:t>
      </w:r>
      <w:proofErr w:type="spellEnd"/>
      <w:r w:rsidR="00550E78" w:rsidRPr="001506D3">
        <w:rPr>
          <w:rFonts w:ascii="Times New Roman" w:hAnsi="Times New Roman" w:cs="Times New Roman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 xml:space="preserve">procedure, the </w:t>
      </w:r>
      <w:r w:rsidR="00550E78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cannot be changed during the national phase. If the applicant wishes to change the </w:t>
      </w:r>
      <w:r w:rsidR="00550E78">
        <w:rPr>
          <w:rFonts w:ascii="Times New Roman" w:hAnsi="Times New Roman" w:cs="Times New Roman"/>
          <w:lang w:val="en-US"/>
        </w:rPr>
        <w:t>MAH</w:t>
      </w:r>
      <w:r w:rsidRPr="001506D3">
        <w:rPr>
          <w:rFonts w:ascii="Times New Roman" w:hAnsi="Times New Roman" w:cs="Times New Roman"/>
          <w:lang w:val="en-US"/>
        </w:rPr>
        <w:t xml:space="preserve"> after the European phase has ended, this can only be done after the medicinal product has been </w:t>
      </w:r>
      <w:proofErr w:type="spellStart"/>
      <w:r w:rsidR="00550E78">
        <w:rPr>
          <w:rFonts w:ascii="Times New Roman" w:hAnsi="Times New Roman" w:cs="Times New Roman"/>
          <w:lang w:val="en-US"/>
        </w:rPr>
        <w:t>authorised</w:t>
      </w:r>
      <w:proofErr w:type="spellEnd"/>
      <w:r w:rsidR="00550E78">
        <w:rPr>
          <w:rFonts w:ascii="Times New Roman" w:hAnsi="Times New Roman" w:cs="Times New Roman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>and a non-regulatory change has been submitted.</w:t>
      </w:r>
    </w:p>
    <w:p w14:paraId="3531E256" w14:textId="5B0ACC26" w:rsidR="000C0899" w:rsidRPr="001506D3" w:rsidRDefault="000C0899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21. </w:t>
      </w:r>
      <w:r w:rsidR="00EF6800" w:rsidRPr="001506D3">
        <w:rPr>
          <w:rFonts w:ascii="Times New Roman" w:hAnsi="Times New Roman" w:cs="Times New Roman"/>
          <w:b/>
          <w:bCs/>
          <w:lang w:val="en-US"/>
        </w:rPr>
        <w:t xml:space="preserve">Where </w:t>
      </w:r>
      <w:r w:rsidR="00F527CD">
        <w:rPr>
          <w:rFonts w:ascii="Times New Roman" w:hAnsi="Times New Roman" w:cs="Times New Roman"/>
          <w:b/>
          <w:bCs/>
          <w:lang w:val="en-US"/>
        </w:rPr>
        <w:t xml:space="preserve">should </w:t>
      </w:r>
      <w:r w:rsidR="0013072A">
        <w:rPr>
          <w:rFonts w:ascii="Times New Roman" w:hAnsi="Times New Roman" w:cs="Times New Roman"/>
          <w:b/>
          <w:bCs/>
          <w:lang w:val="en-US"/>
        </w:rPr>
        <w:t xml:space="preserve">the </w:t>
      </w:r>
      <w:r w:rsidR="00EF6800" w:rsidRPr="001506D3">
        <w:rPr>
          <w:rFonts w:ascii="Times New Roman" w:hAnsi="Times New Roman" w:cs="Times New Roman"/>
          <w:b/>
          <w:bCs/>
          <w:lang w:val="en-US"/>
        </w:rPr>
        <w:t xml:space="preserve">requests for </w:t>
      </w:r>
      <w:r w:rsidR="0013072A">
        <w:rPr>
          <w:rFonts w:ascii="Times New Roman" w:hAnsi="Times New Roman" w:cs="Times New Roman"/>
          <w:b/>
          <w:bCs/>
          <w:lang w:val="en-US"/>
        </w:rPr>
        <w:t xml:space="preserve">issue of </w:t>
      </w:r>
      <w:proofErr w:type="spellStart"/>
      <w:r w:rsidR="00550E78">
        <w:rPr>
          <w:rFonts w:ascii="Times New Roman" w:hAnsi="Times New Roman" w:cs="Times New Roman"/>
          <w:b/>
          <w:bCs/>
          <w:lang w:val="en-US"/>
        </w:rPr>
        <w:t>authorisation</w:t>
      </w:r>
      <w:proofErr w:type="spellEnd"/>
      <w:r w:rsidR="00550E78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F6800" w:rsidRPr="001506D3">
        <w:rPr>
          <w:rFonts w:ascii="Times New Roman" w:hAnsi="Times New Roman" w:cs="Times New Roman"/>
          <w:b/>
          <w:bCs/>
          <w:lang w:val="en-US"/>
        </w:rPr>
        <w:t>certificates</w:t>
      </w:r>
      <w:r w:rsidR="0013072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EF6800" w:rsidRPr="001506D3">
        <w:rPr>
          <w:rFonts w:ascii="Times New Roman" w:hAnsi="Times New Roman" w:cs="Times New Roman"/>
          <w:b/>
          <w:bCs/>
          <w:lang w:val="en-US"/>
        </w:rPr>
        <w:t>be sent?</w:t>
      </w:r>
    </w:p>
    <w:p w14:paraId="2E5A10BA" w14:textId="6FDBF68E" w:rsidR="00EF6800" w:rsidRPr="001506D3" w:rsidRDefault="008B4865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A </w:t>
      </w:r>
      <w:proofErr w:type="gramStart"/>
      <w:r w:rsidRPr="001506D3">
        <w:rPr>
          <w:rFonts w:ascii="Times New Roman" w:hAnsi="Times New Roman" w:cs="Times New Roman"/>
          <w:lang w:val="en-US"/>
        </w:rPr>
        <w:t>free-form</w:t>
      </w:r>
      <w:proofErr w:type="gramEnd"/>
      <w:r w:rsidRPr="001506D3">
        <w:rPr>
          <w:rFonts w:ascii="Times New Roman" w:hAnsi="Times New Roman" w:cs="Times New Roman"/>
          <w:lang w:val="en-US"/>
        </w:rPr>
        <w:t xml:space="preserve"> </w:t>
      </w:r>
      <w:r w:rsidR="00550E78">
        <w:rPr>
          <w:rFonts w:ascii="Times New Roman" w:hAnsi="Times New Roman" w:cs="Times New Roman"/>
          <w:lang w:val="en-US"/>
        </w:rPr>
        <w:t xml:space="preserve">signed </w:t>
      </w:r>
      <w:r w:rsidRPr="001506D3">
        <w:rPr>
          <w:rFonts w:ascii="Times New Roman" w:hAnsi="Times New Roman" w:cs="Times New Roman"/>
          <w:lang w:val="en-US"/>
        </w:rPr>
        <w:t xml:space="preserve">request for a certificate of </w:t>
      </w:r>
      <w:proofErr w:type="spellStart"/>
      <w:r w:rsidR="00550E78">
        <w:rPr>
          <w:rFonts w:ascii="Times New Roman" w:hAnsi="Times New Roman" w:cs="Times New Roman"/>
          <w:lang w:val="en-US"/>
        </w:rPr>
        <w:t>authorisation</w:t>
      </w:r>
      <w:proofErr w:type="spellEnd"/>
      <w:r w:rsidR="00550E78" w:rsidRPr="001506D3">
        <w:rPr>
          <w:rFonts w:ascii="Times New Roman" w:hAnsi="Times New Roman" w:cs="Times New Roman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 xml:space="preserve">should be sent to the Agency by email to </w:t>
      </w:r>
      <w:proofErr w:type="spellStart"/>
      <w:r w:rsidRPr="00871D8B">
        <w:rPr>
          <w:rFonts w:ascii="Times New Roman" w:hAnsi="Times New Roman" w:cs="Times New Roman"/>
          <w:color w:val="215E99" w:themeColor="text2" w:themeTint="BF"/>
          <w:u w:val="single"/>
          <w:lang w:val="en-US"/>
        </w:rPr>
        <w:t>sertifikatai@vvkt.lt</w:t>
      </w:r>
      <w:proofErr w:type="spellEnd"/>
      <w:r w:rsidRPr="001506D3">
        <w:rPr>
          <w:rFonts w:ascii="Times New Roman" w:hAnsi="Times New Roman" w:cs="Times New Roman"/>
          <w:color w:val="156082" w:themeColor="accent1"/>
          <w:lang w:val="en-US"/>
        </w:rPr>
        <w:t xml:space="preserve"> </w:t>
      </w:r>
      <w:r w:rsidRPr="001506D3">
        <w:rPr>
          <w:rFonts w:ascii="Times New Roman" w:hAnsi="Times New Roman" w:cs="Times New Roman"/>
          <w:lang w:val="en-US"/>
        </w:rPr>
        <w:t xml:space="preserve">or </w:t>
      </w:r>
      <w:hyperlink r:id="rId8" w:history="1">
        <w:r w:rsidR="00B81435" w:rsidRPr="00871D8B">
          <w:rPr>
            <w:rStyle w:val="Hyperlink"/>
            <w:rFonts w:ascii="Times New Roman" w:hAnsi="Times New Roman" w:cs="Times New Roman"/>
            <w:color w:val="215E99" w:themeColor="text2" w:themeTint="BF"/>
            <w:lang w:val="en-US"/>
          </w:rPr>
          <w:t>vvkt@vvkt.lt</w:t>
        </w:r>
      </w:hyperlink>
      <w:r w:rsidRPr="001506D3">
        <w:rPr>
          <w:rFonts w:ascii="Times New Roman" w:hAnsi="Times New Roman" w:cs="Times New Roman"/>
          <w:lang w:val="en-US"/>
        </w:rPr>
        <w:t>.</w:t>
      </w:r>
    </w:p>
    <w:p w14:paraId="356DC8A4" w14:textId="4050D16B" w:rsidR="00B81435" w:rsidRPr="001506D3" w:rsidRDefault="00B81435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22. </w:t>
      </w:r>
      <w:proofErr w:type="spellStart"/>
      <w:r w:rsidR="000F7779" w:rsidRPr="001506D3">
        <w:rPr>
          <w:rFonts w:ascii="Times New Roman" w:hAnsi="Times New Roman" w:cs="Times New Roman"/>
          <w:b/>
          <w:bCs/>
        </w:rPr>
        <w:t>Where</w:t>
      </w:r>
      <w:proofErr w:type="spellEnd"/>
      <w:r w:rsidR="0013072A" w:rsidRPr="001506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B36C0">
        <w:rPr>
          <w:rFonts w:ascii="Times New Roman" w:hAnsi="Times New Roman" w:cs="Times New Roman"/>
          <w:b/>
          <w:bCs/>
        </w:rPr>
        <w:t>is</w:t>
      </w:r>
      <w:proofErr w:type="spellEnd"/>
      <w:r w:rsidR="004B36C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F7779" w:rsidRPr="001506D3">
        <w:rPr>
          <w:rFonts w:ascii="Times New Roman" w:hAnsi="Times New Roman" w:cs="Times New Roman"/>
          <w:b/>
          <w:bCs/>
        </w:rPr>
        <w:t>information</w:t>
      </w:r>
      <w:proofErr w:type="spellEnd"/>
      <w:r w:rsidR="000F7779" w:rsidRPr="001506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F7779" w:rsidRPr="001506D3">
        <w:rPr>
          <w:rFonts w:ascii="Times New Roman" w:hAnsi="Times New Roman" w:cs="Times New Roman"/>
          <w:b/>
          <w:bCs/>
        </w:rPr>
        <w:t>about</w:t>
      </w:r>
      <w:proofErr w:type="spellEnd"/>
      <w:r w:rsidR="000F7779" w:rsidRPr="001506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F7779" w:rsidRPr="001506D3">
        <w:rPr>
          <w:rFonts w:ascii="Times New Roman" w:hAnsi="Times New Roman" w:cs="Times New Roman"/>
          <w:b/>
          <w:bCs/>
        </w:rPr>
        <w:t>approved</w:t>
      </w:r>
      <w:proofErr w:type="spellEnd"/>
      <w:r w:rsidR="000F7779" w:rsidRPr="001506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F7779" w:rsidRPr="001506D3">
        <w:rPr>
          <w:rFonts w:ascii="Times New Roman" w:hAnsi="Times New Roman" w:cs="Times New Roman"/>
          <w:b/>
          <w:bCs/>
        </w:rPr>
        <w:t>changes</w:t>
      </w:r>
      <w:proofErr w:type="spellEnd"/>
      <w:r w:rsidR="000F7779" w:rsidRPr="001506D3">
        <w:rPr>
          <w:rFonts w:ascii="Times New Roman" w:hAnsi="Times New Roman" w:cs="Times New Roman"/>
          <w:b/>
          <w:bCs/>
        </w:rPr>
        <w:t xml:space="preserve"> to </w:t>
      </w:r>
      <w:proofErr w:type="spellStart"/>
      <w:r w:rsidR="000F7779" w:rsidRPr="001506D3">
        <w:rPr>
          <w:rFonts w:ascii="Times New Roman" w:hAnsi="Times New Roman" w:cs="Times New Roman"/>
          <w:b/>
          <w:bCs/>
        </w:rPr>
        <w:t>packaging</w:t>
      </w:r>
      <w:proofErr w:type="spellEnd"/>
      <w:r w:rsidR="000F7779" w:rsidRPr="001506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F7779" w:rsidRPr="001506D3">
        <w:rPr>
          <w:rFonts w:ascii="Times New Roman" w:hAnsi="Times New Roman" w:cs="Times New Roman"/>
          <w:b/>
          <w:bCs/>
        </w:rPr>
        <w:t>labeling</w:t>
      </w:r>
      <w:proofErr w:type="spellEnd"/>
      <w:r w:rsidR="000F7779" w:rsidRPr="001506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F7779" w:rsidRPr="001506D3">
        <w:rPr>
          <w:rFonts w:ascii="Times New Roman" w:hAnsi="Times New Roman" w:cs="Times New Roman"/>
          <w:b/>
          <w:bCs/>
        </w:rPr>
        <w:t>and</w:t>
      </w:r>
      <w:proofErr w:type="spellEnd"/>
      <w:r w:rsidR="000F7779" w:rsidRPr="001506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F7779" w:rsidRPr="001506D3">
        <w:rPr>
          <w:rFonts w:ascii="Times New Roman" w:hAnsi="Times New Roman" w:cs="Times New Roman"/>
          <w:b/>
          <w:bCs/>
        </w:rPr>
        <w:t>package</w:t>
      </w:r>
      <w:proofErr w:type="spellEnd"/>
      <w:r w:rsidR="000F7779" w:rsidRPr="001506D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F7779" w:rsidRPr="001506D3">
        <w:rPr>
          <w:rFonts w:ascii="Times New Roman" w:hAnsi="Times New Roman" w:cs="Times New Roman"/>
          <w:b/>
          <w:bCs/>
        </w:rPr>
        <w:t>leaflet</w:t>
      </w:r>
      <w:proofErr w:type="spellEnd"/>
      <w:r w:rsidR="004F30B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F7779" w:rsidRPr="001506D3">
        <w:rPr>
          <w:rFonts w:ascii="Times New Roman" w:hAnsi="Times New Roman" w:cs="Times New Roman"/>
          <w:b/>
          <w:bCs/>
        </w:rPr>
        <w:t>published</w:t>
      </w:r>
      <w:proofErr w:type="spellEnd"/>
      <w:r w:rsidR="000F7779" w:rsidRPr="001506D3">
        <w:rPr>
          <w:rFonts w:ascii="Times New Roman" w:hAnsi="Times New Roman" w:cs="Times New Roman"/>
          <w:b/>
          <w:bCs/>
        </w:rPr>
        <w:t>?</w:t>
      </w:r>
    </w:p>
    <w:p w14:paraId="7C61683E" w14:textId="242EDC8B" w:rsidR="00F43574" w:rsidRPr="00871D8B" w:rsidRDefault="002A2D54" w:rsidP="00315DBD">
      <w:pPr>
        <w:spacing w:before="240" w:line="360" w:lineRule="auto"/>
        <w:jc w:val="both"/>
        <w:rPr>
          <w:rFonts w:ascii="Times New Roman" w:hAnsi="Times New Roman" w:cs="Times New Roman"/>
          <w:color w:val="215E99" w:themeColor="text2" w:themeTint="BF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The information (in MS Excel format) is published on the Agency's website, under </w:t>
      </w:r>
      <w:r w:rsidR="00CF69DD">
        <w:rPr>
          <w:rFonts w:ascii="Times New Roman" w:hAnsi="Times New Roman" w:cs="Times New Roman"/>
          <w:lang w:val="en-US"/>
        </w:rPr>
        <w:t xml:space="preserve">the </w:t>
      </w:r>
      <w:r w:rsidR="00DA10CD">
        <w:rPr>
          <w:rFonts w:ascii="Times New Roman" w:hAnsi="Times New Roman" w:cs="Times New Roman"/>
          <w:lang w:val="en-US"/>
        </w:rPr>
        <w:t xml:space="preserve">section </w:t>
      </w:r>
      <w:r w:rsidRPr="001506D3">
        <w:rPr>
          <w:rFonts w:ascii="Times New Roman" w:hAnsi="Times New Roman" w:cs="Times New Roman"/>
          <w:lang w:val="en-US"/>
        </w:rPr>
        <w:t xml:space="preserve">Marketing </w:t>
      </w:r>
      <w:proofErr w:type="spellStart"/>
      <w:r w:rsidRPr="001506D3">
        <w:rPr>
          <w:rFonts w:ascii="Times New Roman" w:hAnsi="Times New Roman" w:cs="Times New Roman"/>
          <w:lang w:val="en-US"/>
        </w:rPr>
        <w:t>Authori</w:t>
      </w:r>
      <w:r w:rsidR="00DA10CD">
        <w:rPr>
          <w:rFonts w:ascii="Times New Roman" w:hAnsi="Times New Roman" w:cs="Times New Roman"/>
          <w:lang w:val="en-US"/>
        </w:rPr>
        <w:t>s</w:t>
      </w:r>
      <w:r w:rsidRPr="001506D3">
        <w:rPr>
          <w:rFonts w:ascii="Times New Roman" w:hAnsi="Times New Roman" w:cs="Times New Roman"/>
          <w:lang w:val="en-US"/>
        </w:rPr>
        <w:t>ation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, in the </w:t>
      </w:r>
      <w:r w:rsidR="00DA10CD">
        <w:rPr>
          <w:rFonts w:ascii="Times New Roman" w:hAnsi="Times New Roman" w:cs="Times New Roman"/>
          <w:lang w:val="en-US"/>
        </w:rPr>
        <w:t>sub</w:t>
      </w:r>
      <w:r w:rsidRPr="001506D3">
        <w:rPr>
          <w:rFonts w:ascii="Times New Roman" w:hAnsi="Times New Roman" w:cs="Times New Roman"/>
          <w:lang w:val="en-US"/>
        </w:rPr>
        <w:t xml:space="preserve">section "Regulatory and non-regulatory changes," point 6.2 – Approved non-regulatory changes to package labeling and/or package leaflets: (published three times a month). Reference: </w:t>
      </w:r>
      <w:hyperlink r:id="rId9" w:history="1">
        <w:r w:rsidR="00246D50" w:rsidRPr="00871D8B">
          <w:rPr>
            <w:rStyle w:val="Hyperlink"/>
            <w:rFonts w:ascii="Times New Roman" w:hAnsi="Times New Roman" w:cs="Times New Roman"/>
            <w:color w:val="215E99" w:themeColor="text2" w:themeTint="BF"/>
            <w:lang w:val="en-US"/>
          </w:rPr>
          <w:t>https://vvkt.lrv.lt/lt/vaistu-registracija_pagr_menu/reglamentiniai-ir-nereglamentiniai-keitimai/</w:t>
        </w:r>
      </w:hyperlink>
      <w:r w:rsidRPr="00871D8B">
        <w:rPr>
          <w:rFonts w:ascii="Times New Roman" w:hAnsi="Times New Roman" w:cs="Times New Roman"/>
          <w:color w:val="215E99" w:themeColor="text2" w:themeTint="BF"/>
          <w:lang w:val="en-US"/>
        </w:rPr>
        <w:t>.</w:t>
      </w:r>
    </w:p>
    <w:p w14:paraId="712F3C44" w14:textId="2A1B60AF" w:rsidR="00246D50" w:rsidRPr="001506D3" w:rsidRDefault="00246D50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23. </w:t>
      </w:r>
      <w:r w:rsidR="00205DF7" w:rsidRPr="001506D3">
        <w:rPr>
          <w:rFonts w:ascii="Times New Roman" w:hAnsi="Times New Roman" w:cs="Times New Roman"/>
          <w:b/>
          <w:bCs/>
          <w:lang w:val="en-US"/>
        </w:rPr>
        <w:t xml:space="preserve">Where </w:t>
      </w:r>
      <w:r w:rsidR="004B36C0">
        <w:rPr>
          <w:rFonts w:ascii="Times New Roman" w:hAnsi="Times New Roman" w:cs="Times New Roman"/>
          <w:b/>
          <w:bCs/>
          <w:lang w:val="en-US"/>
        </w:rPr>
        <w:t xml:space="preserve">is </w:t>
      </w:r>
      <w:r w:rsidR="00205DF7" w:rsidRPr="001506D3">
        <w:rPr>
          <w:rFonts w:ascii="Times New Roman" w:hAnsi="Times New Roman" w:cs="Times New Roman"/>
          <w:b/>
          <w:bCs/>
          <w:lang w:val="en-US"/>
        </w:rPr>
        <w:t xml:space="preserve">information about approved transfer of </w:t>
      </w:r>
      <w:r w:rsidR="00CF69DD">
        <w:rPr>
          <w:rFonts w:ascii="Times New Roman" w:hAnsi="Times New Roman" w:cs="Times New Roman"/>
          <w:b/>
          <w:bCs/>
          <w:lang w:val="en-US"/>
        </w:rPr>
        <w:t>MAH</w:t>
      </w:r>
      <w:r w:rsidR="00205DF7" w:rsidRPr="001506D3">
        <w:rPr>
          <w:rFonts w:ascii="Times New Roman" w:hAnsi="Times New Roman" w:cs="Times New Roman"/>
          <w:b/>
          <w:bCs/>
          <w:lang w:val="en-US"/>
        </w:rPr>
        <w:t xml:space="preserve"> for a medicinal product published?</w:t>
      </w:r>
    </w:p>
    <w:p w14:paraId="0E8CC613" w14:textId="1AA43F4A" w:rsidR="00E407B6" w:rsidRPr="00871D8B" w:rsidRDefault="00CC1E13" w:rsidP="00315DBD">
      <w:pPr>
        <w:spacing w:before="240" w:line="360" w:lineRule="auto"/>
        <w:jc w:val="both"/>
        <w:rPr>
          <w:rFonts w:ascii="Times New Roman" w:hAnsi="Times New Roman" w:cs="Times New Roman"/>
          <w:color w:val="215E99" w:themeColor="text2" w:themeTint="BF"/>
          <w:lang w:val="en-US"/>
        </w:rPr>
      </w:pPr>
      <w:r w:rsidRPr="001506D3">
        <w:rPr>
          <w:rFonts w:ascii="Times New Roman" w:hAnsi="Times New Roman" w:cs="Times New Roman"/>
          <w:lang w:val="en-US"/>
        </w:rPr>
        <w:t xml:space="preserve">The information (in MS Excel format) is published on the Agency's website, under </w:t>
      </w:r>
      <w:r w:rsidR="00CF69DD">
        <w:rPr>
          <w:rFonts w:ascii="Times New Roman" w:hAnsi="Times New Roman" w:cs="Times New Roman"/>
          <w:lang w:val="en-US"/>
        </w:rPr>
        <w:t xml:space="preserve">the section </w:t>
      </w:r>
      <w:r w:rsidRPr="001506D3">
        <w:rPr>
          <w:rFonts w:ascii="Times New Roman" w:hAnsi="Times New Roman" w:cs="Times New Roman"/>
          <w:lang w:val="en-US"/>
        </w:rPr>
        <w:t xml:space="preserve">Marketing </w:t>
      </w:r>
      <w:proofErr w:type="spellStart"/>
      <w:r w:rsidR="00593DF5">
        <w:rPr>
          <w:rFonts w:ascii="Times New Roman" w:hAnsi="Times New Roman" w:cs="Times New Roman"/>
          <w:lang w:val="en-US"/>
        </w:rPr>
        <w:t>Authorisation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, in </w:t>
      </w:r>
      <w:r w:rsidR="00CF69DD">
        <w:rPr>
          <w:rFonts w:ascii="Times New Roman" w:hAnsi="Times New Roman" w:cs="Times New Roman"/>
          <w:lang w:val="en-US"/>
        </w:rPr>
        <w:t>sub</w:t>
      </w:r>
      <w:r w:rsidRPr="001506D3">
        <w:rPr>
          <w:rFonts w:ascii="Times New Roman" w:hAnsi="Times New Roman" w:cs="Times New Roman"/>
          <w:lang w:val="en-US"/>
        </w:rPr>
        <w:t xml:space="preserve">section 6.3, Regulatory and Non-Regulatory Changes – Approved transfers of the marketing </w:t>
      </w:r>
      <w:proofErr w:type="spellStart"/>
      <w:r w:rsidRPr="001506D3">
        <w:rPr>
          <w:rFonts w:ascii="Times New Roman" w:hAnsi="Times New Roman" w:cs="Times New Roman"/>
          <w:lang w:val="en-US"/>
        </w:rPr>
        <w:t>authorisations</w:t>
      </w:r>
      <w:proofErr w:type="spellEnd"/>
      <w:r w:rsidRPr="001506D3">
        <w:rPr>
          <w:rFonts w:ascii="Times New Roman" w:hAnsi="Times New Roman" w:cs="Times New Roman"/>
          <w:lang w:val="en-US"/>
        </w:rPr>
        <w:t xml:space="preserve">. Reference: </w:t>
      </w:r>
      <w:hyperlink r:id="rId10" w:history="1">
        <w:r w:rsidRPr="00871D8B">
          <w:rPr>
            <w:rStyle w:val="Hyperlink"/>
            <w:rFonts w:ascii="Times New Roman" w:hAnsi="Times New Roman" w:cs="Times New Roman"/>
            <w:color w:val="215E99" w:themeColor="text2" w:themeTint="BF"/>
            <w:lang w:val="en-US"/>
          </w:rPr>
          <w:t>https://vvkt.lrv.lt/lt/vaistu-registracija_pagr_menu/reglamentiniai-ir-nereglamentiniai-keitimai/</w:t>
        </w:r>
      </w:hyperlink>
      <w:r w:rsidRPr="00871D8B">
        <w:rPr>
          <w:rFonts w:ascii="Times New Roman" w:hAnsi="Times New Roman" w:cs="Times New Roman"/>
          <w:color w:val="215E99" w:themeColor="text2" w:themeTint="BF"/>
          <w:lang w:val="en-US"/>
        </w:rPr>
        <w:t>.</w:t>
      </w:r>
    </w:p>
    <w:p w14:paraId="4207F749" w14:textId="5ADECDD2" w:rsidR="00CC1E13" w:rsidRPr="001506D3" w:rsidRDefault="00CC1E13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1506D3">
        <w:rPr>
          <w:rFonts w:ascii="Times New Roman" w:hAnsi="Times New Roman" w:cs="Times New Roman"/>
          <w:b/>
          <w:bCs/>
          <w:lang w:val="en-US"/>
        </w:rPr>
        <w:t xml:space="preserve">24. </w:t>
      </w:r>
      <w:r w:rsidR="002D71E7" w:rsidRPr="001506D3">
        <w:rPr>
          <w:rFonts w:ascii="Times New Roman" w:hAnsi="Times New Roman" w:cs="Times New Roman"/>
          <w:b/>
          <w:bCs/>
          <w:lang w:val="en-US"/>
        </w:rPr>
        <w:t xml:space="preserve">Can the </w:t>
      </w:r>
      <w:r w:rsidR="0013072A">
        <w:rPr>
          <w:rFonts w:ascii="Times New Roman" w:hAnsi="Times New Roman" w:cs="Times New Roman"/>
          <w:b/>
          <w:bCs/>
          <w:lang w:val="en-US"/>
        </w:rPr>
        <w:t>product information</w:t>
      </w:r>
      <w:r w:rsidR="002D71E7" w:rsidRPr="001506D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13072A">
        <w:rPr>
          <w:rFonts w:ascii="Times New Roman" w:hAnsi="Times New Roman" w:cs="Times New Roman"/>
          <w:b/>
          <w:bCs/>
          <w:lang w:val="en-US"/>
        </w:rPr>
        <w:t>of</w:t>
      </w:r>
      <w:r w:rsidR="0013072A" w:rsidRPr="001506D3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D71E7" w:rsidRPr="001506D3">
        <w:rPr>
          <w:rFonts w:ascii="Times New Roman" w:hAnsi="Times New Roman" w:cs="Times New Roman"/>
          <w:b/>
          <w:bCs/>
          <w:lang w:val="en-US"/>
        </w:rPr>
        <w:t xml:space="preserve">a medicinal product be updated in accordance with the approved template together with the transfer of the </w:t>
      </w:r>
      <w:r w:rsidR="00E4135F">
        <w:rPr>
          <w:rFonts w:ascii="Times New Roman" w:hAnsi="Times New Roman" w:cs="Times New Roman"/>
          <w:b/>
          <w:bCs/>
          <w:lang w:val="en-US"/>
        </w:rPr>
        <w:t xml:space="preserve">MAH </w:t>
      </w:r>
      <w:r w:rsidR="00157FF7">
        <w:rPr>
          <w:rFonts w:ascii="Times New Roman" w:hAnsi="Times New Roman" w:cs="Times New Roman"/>
          <w:b/>
          <w:bCs/>
          <w:lang w:val="en-US"/>
        </w:rPr>
        <w:t>of</w:t>
      </w:r>
      <w:r w:rsidR="002D71E7" w:rsidRPr="001506D3">
        <w:rPr>
          <w:rFonts w:ascii="Times New Roman" w:hAnsi="Times New Roman" w:cs="Times New Roman"/>
          <w:b/>
          <w:bCs/>
          <w:lang w:val="en-US"/>
        </w:rPr>
        <w:t xml:space="preserve"> the medicinal product?</w:t>
      </w:r>
    </w:p>
    <w:p w14:paraId="1F07C105" w14:textId="0EB325FF" w:rsidR="00DE594E" w:rsidRPr="00F527CD" w:rsidRDefault="00DE594E" w:rsidP="00315DBD">
      <w:pPr>
        <w:spacing w:before="240" w:line="360" w:lineRule="auto"/>
        <w:jc w:val="both"/>
        <w:rPr>
          <w:rFonts w:ascii="Times New Roman" w:hAnsi="Times New Roman" w:cs="Times New Roman"/>
          <w:lang w:val="en-GB"/>
        </w:rPr>
      </w:pPr>
      <w:r w:rsidRPr="00F527CD">
        <w:rPr>
          <w:rFonts w:ascii="Times New Roman" w:hAnsi="Times New Roman" w:cs="Times New Roman"/>
          <w:lang w:val="en-GB"/>
        </w:rPr>
        <w:t xml:space="preserve">In the proposed summary of product characteristics, </w:t>
      </w:r>
      <w:r w:rsidR="0013072A" w:rsidRPr="0013072A">
        <w:rPr>
          <w:rFonts w:ascii="Times New Roman" w:hAnsi="Times New Roman" w:cs="Times New Roman"/>
          <w:lang w:val="en-GB"/>
        </w:rPr>
        <w:t>labelling</w:t>
      </w:r>
      <w:r w:rsidRPr="00F527CD">
        <w:rPr>
          <w:rFonts w:ascii="Times New Roman" w:hAnsi="Times New Roman" w:cs="Times New Roman"/>
          <w:lang w:val="en-GB"/>
        </w:rPr>
        <w:t xml:space="preserve">, and package leaflet, only the details of the </w:t>
      </w:r>
      <w:r w:rsidR="00646DF2">
        <w:rPr>
          <w:rFonts w:ascii="Times New Roman" w:hAnsi="Times New Roman" w:cs="Times New Roman"/>
          <w:lang w:val="en-GB"/>
        </w:rPr>
        <w:t xml:space="preserve">MAH </w:t>
      </w:r>
      <w:r w:rsidRPr="00F527CD">
        <w:rPr>
          <w:rFonts w:ascii="Times New Roman" w:hAnsi="Times New Roman" w:cs="Times New Roman"/>
          <w:lang w:val="en-GB"/>
        </w:rPr>
        <w:t>must differ from those currently in force; no other changes may be made, except for corrections in accordance with the forms approved by the Agency.</w:t>
      </w:r>
    </w:p>
    <w:p w14:paraId="1E3AB7FD" w14:textId="145D4A96" w:rsidR="00E10B7A" w:rsidRPr="00F527CD" w:rsidRDefault="00DE594E" w:rsidP="00315DBD">
      <w:pPr>
        <w:spacing w:before="240" w:line="360" w:lineRule="auto"/>
        <w:jc w:val="both"/>
        <w:rPr>
          <w:rFonts w:ascii="Times New Roman" w:hAnsi="Times New Roman" w:cs="Times New Roman"/>
          <w:lang w:val="en-GB"/>
        </w:rPr>
      </w:pPr>
      <w:r w:rsidRPr="00F527CD">
        <w:rPr>
          <w:rFonts w:ascii="Times New Roman" w:hAnsi="Times New Roman" w:cs="Times New Roman"/>
          <w:lang w:val="en-GB"/>
        </w:rPr>
        <w:t>It is recommended to update the</w:t>
      </w:r>
      <w:r w:rsidR="0013072A">
        <w:rPr>
          <w:rFonts w:ascii="Times New Roman" w:hAnsi="Times New Roman" w:cs="Times New Roman"/>
          <w:lang w:val="en-GB"/>
        </w:rPr>
        <w:t xml:space="preserve"> QRD</w:t>
      </w:r>
      <w:r w:rsidRPr="00F527CD">
        <w:rPr>
          <w:rFonts w:ascii="Times New Roman" w:hAnsi="Times New Roman" w:cs="Times New Roman"/>
          <w:lang w:val="en-GB"/>
        </w:rPr>
        <w:t xml:space="preserve"> template for </w:t>
      </w:r>
      <w:r w:rsidR="0013072A">
        <w:rPr>
          <w:rFonts w:ascii="Times New Roman" w:hAnsi="Times New Roman" w:cs="Times New Roman"/>
          <w:lang w:val="en-GB"/>
        </w:rPr>
        <w:t>product information</w:t>
      </w:r>
      <w:r w:rsidRPr="00F527CD">
        <w:rPr>
          <w:rFonts w:ascii="Times New Roman" w:hAnsi="Times New Roman" w:cs="Times New Roman"/>
          <w:lang w:val="en-GB"/>
        </w:rPr>
        <w:t xml:space="preserve"> with the next regulatory change, </w:t>
      </w:r>
      <w:r w:rsidR="0013072A">
        <w:rPr>
          <w:rFonts w:ascii="Times New Roman" w:hAnsi="Times New Roman" w:cs="Times New Roman"/>
          <w:lang w:val="en-GB"/>
        </w:rPr>
        <w:t>which affects product information</w:t>
      </w:r>
      <w:r w:rsidRPr="00F527CD">
        <w:rPr>
          <w:rFonts w:ascii="Times New Roman" w:hAnsi="Times New Roman" w:cs="Times New Roman"/>
          <w:lang w:val="en-GB"/>
        </w:rPr>
        <w:t>. It is not necessary to indicate a separate variation code in the application</w:t>
      </w:r>
      <w:r w:rsidR="0013072A">
        <w:rPr>
          <w:rFonts w:ascii="Times New Roman" w:hAnsi="Times New Roman" w:cs="Times New Roman"/>
          <w:lang w:val="en-GB"/>
        </w:rPr>
        <w:t xml:space="preserve"> form</w:t>
      </w:r>
      <w:r w:rsidRPr="00F527CD">
        <w:rPr>
          <w:rFonts w:ascii="Times New Roman" w:hAnsi="Times New Roman" w:cs="Times New Roman"/>
          <w:lang w:val="en-GB"/>
        </w:rPr>
        <w:t xml:space="preserve">, but the proposed change must be indicated in the descriptive part (Scope) of the application form for the regulatory change. The </w:t>
      </w:r>
      <w:r w:rsidR="0013072A">
        <w:rPr>
          <w:rFonts w:ascii="Times New Roman" w:hAnsi="Times New Roman" w:cs="Times New Roman"/>
          <w:lang w:val="en-GB"/>
        </w:rPr>
        <w:t xml:space="preserve">product information </w:t>
      </w:r>
      <w:r w:rsidRPr="00F527CD">
        <w:rPr>
          <w:rFonts w:ascii="Times New Roman" w:hAnsi="Times New Roman" w:cs="Times New Roman"/>
          <w:lang w:val="en-GB"/>
        </w:rPr>
        <w:t xml:space="preserve">can also be updated by </w:t>
      </w:r>
      <w:r w:rsidRPr="00F527CD">
        <w:rPr>
          <w:rFonts w:ascii="Times New Roman" w:hAnsi="Times New Roman" w:cs="Times New Roman"/>
          <w:lang w:val="en-GB"/>
        </w:rPr>
        <w:lastRenderedPageBreak/>
        <w:t>submitting a separate variation application, i.e., an IB type C.I.(z) regulatory change application should be submitted.</w:t>
      </w:r>
    </w:p>
    <w:p w14:paraId="50A3557C" w14:textId="7E8844BD" w:rsidR="00DE594E" w:rsidRPr="00F527CD" w:rsidRDefault="00DE594E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F527CD">
        <w:rPr>
          <w:rFonts w:ascii="Times New Roman" w:hAnsi="Times New Roman" w:cs="Times New Roman"/>
          <w:b/>
          <w:bCs/>
          <w:lang w:val="en-GB"/>
        </w:rPr>
        <w:t xml:space="preserve">25. </w:t>
      </w:r>
      <w:r w:rsidR="00B60558" w:rsidRPr="00F527CD">
        <w:rPr>
          <w:rFonts w:ascii="Times New Roman" w:hAnsi="Times New Roman" w:cs="Times New Roman"/>
          <w:b/>
          <w:bCs/>
          <w:lang w:val="en-GB"/>
        </w:rPr>
        <w:t xml:space="preserve">Is it mandatory to indicate the local representative of the </w:t>
      </w:r>
      <w:r w:rsidR="003D36B6">
        <w:rPr>
          <w:rFonts w:ascii="Times New Roman" w:hAnsi="Times New Roman" w:cs="Times New Roman"/>
          <w:b/>
          <w:bCs/>
          <w:lang w:val="en-GB"/>
        </w:rPr>
        <w:t>MAH</w:t>
      </w:r>
      <w:r w:rsidR="00B60558" w:rsidRPr="00F527CD">
        <w:rPr>
          <w:rFonts w:ascii="Times New Roman" w:hAnsi="Times New Roman" w:cs="Times New Roman"/>
          <w:b/>
          <w:bCs/>
          <w:lang w:val="en-GB"/>
        </w:rPr>
        <w:t xml:space="preserve"> in the package leaflet?</w:t>
      </w:r>
    </w:p>
    <w:p w14:paraId="773087B8" w14:textId="044D76F5" w:rsidR="00B60558" w:rsidRPr="001506D3" w:rsidRDefault="002807D8" w:rsidP="00315DBD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F527CD">
        <w:rPr>
          <w:rFonts w:ascii="Times New Roman" w:hAnsi="Times New Roman" w:cs="Times New Roman"/>
          <w:lang w:val="en-GB"/>
        </w:rPr>
        <w:t xml:space="preserve">It is not mandatory to have a local representative, but if there is one, </w:t>
      </w:r>
      <w:r w:rsidR="003D36B6">
        <w:rPr>
          <w:rFonts w:ascii="Times New Roman" w:hAnsi="Times New Roman" w:cs="Times New Roman"/>
          <w:lang w:val="en-GB"/>
        </w:rPr>
        <w:t>it</w:t>
      </w:r>
      <w:r w:rsidR="003D36B6" w:rsidRPr="00F527CD">
        <w:rPr>
          <w:rFonts w:ascii="Times New Roman" w:hAnsi="Times New Roman" w:cs="Times New Roman"/>
          <w:lang w:val="en-GB"/>
        </w:rPr>
        <w:t xml:space="preserve"> </w:t>
      </w:r>
      <w:r w:rsidRPr="00F527CD">
        <w:rPr>
          <w:rFonts w:ascii="Times New Roman" w:hAnsi="Times New Roman" w:cs="Times New Roman"/>
          <w:lang w:val="en-GB"/>
        </w:rPr>
        <w:t xml:space="preserve">must be indicated in the package leaflet. The representative may </w:t>
      </w:r>
      <w:proofErr w:type="gramStart"/>
      <w:r w:rsidRPr="00F527CD">
        <w:rPr>
          <w:rFonts w:ascii="Times New Roman" w:hAnsi="Times New Roman" w:cs="Times New Roman"/>
          <w:lang w:val="en-GB"/>
        </w:rPr>
        <w:t>be located in</w:t>
      </w:r>
      <w:proofErr w:type="gramEnd"/>
      <w:r w:rsidRPr="00F527CD">
        <w:rPr>
          <w:rFonts w:ascii="Times New Roman" w:hAnsi="Times New Roman" w:cs="Times New Roman"/>
          <w:lang w:val="en-GB"/>
        </w:rPr>
        <w:t xml:space="preserve"> another </w:t>
      </w:r>
      <w:r w:rsidR="003D36B6">
        <w:rPr>
          <w:rFonts w:ascii="Times New Roman" w:hAnsi="Times New Roman" w:cs="Times New Roman"/>
          <w:lang w:val="en-GB"/>
        </w:rPr>
        <w:t>Member state</w:t>
      </w:r>
      <w:r w:rsidRPr="00F527CD">
        <w:rPr>
          <w:rFonts w:ascii="Times New Roman" w:hAnsi="Times New Roman" w:cs="Times New Roman"/>
          <w:lang w:val="en-GB"/>
        </w:rPr>
        <w:t xml:space="preserve">, but </w:t>
      </w:r>
      <w:r w:rsidR="003D36B6">
        <w:rPr>
          <w:rFonts w:ascii="Times New Roman" w:hAnsi="Times New Roman" w:cs="Times New Roman"/>
          <w:lang w:val="en-GB"/>
        </w:rPr>
        <w:t xml:space="preserve">it </w:t>
      </w:r>
      <w:r w:rsidRPr="00F527CD">
        <w:rPr>
          <w:rFonts w:ascii="Times New Roman" w:hAnsi="Times New Roman" w:cs="Times New Roman"/>
          <w:lang w:val="en-GB"/>
        </w:rPr>
        <w:t xml:space="preserve">must be able to provide consultations to patients and/or healthcare professionals in the national language of the country to which </w:t>
      </w:r>
      <w:r w:rsidR="003D36B6">
        <w:rPr>
          <w:rFonts w:ascii="Times New Roman" w:hAnsi="Times New Roman" w:cs="Times New Roman"/>
          <w:lang w:val="en-GB"/>
        </w:rPr>
        <w:t>it is</w:t>
      </w:r>
      <w:r w:rsidRPr="00F527CD">
        <w:rPr>
          <w:rFonts w:ascii="Times New Roman" w:hAnsi="Times New Roman" w:cs="Times New Roman"/>
          <w:lang w:val="en-GB"/>
        </w:rPr>
        <w:t xml:space="preserve"> assigned</w:t>
      </w:r>
      <w:r w:rsidRPr="001506D3">
        <w:rPr>
          <w:rFonts w:ascii="Times New Roman" w:hAnsi="Times New Roman" w:cs="Times New Roman"/>
        </w:rPr>
        <w:t>.</w:t>
      </w:r>
    </w:p>
    <w:p w14:paraId="02603698" w14:textId="7E1B2C6E" w:rsidR="00C75DFB" w:rsidRPr="00F527CD" w:rsidRDefault="00C75DFB" w:rsidP="00315DBD">
      <w:pPr>
        <w:spacing w:before="240"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F527CD">
        <w:rPr>
          <w:rFonts w:ascii="Times New Roman" w:hAnsi="Times New Roman" w:cs="Times New Roman"/>
          <w:b/>
          <w:bCs/>
          <w:lang w:val="en-GB"/>
        </w:rPr>
        <w:t xml:space="preserve">26. </w:t>
      </w:r>
      <w:r w:rsidR="003D36B6">
        <w:rPr>
          <w:rFonts w:ascii="Times New Roman" w:hAnsi="Times New Roman" w:cs="Times New Roman"/>
          <w:b/>
          <w:bCs/>
          <w:lang w:val="en-GB"/>
        </w:rPr>
        <w:t>I</w:t>
      </w:r>
      <w:r w:rsidRPr="00F527CD">
        <w:rPr>
          <w:rFonts w:ascii="Times New Roman" w:hAnsi="Times New Roman" w:cs="Times New Roman"/>
          <w:b/>
          <w:bCs/>
          <w:lang w:val="en-GB"/>
        </w:rPr>
        <w:t xml:space="preserve">s it acceptable to indicate the </w:t>
      </w:r>
      <w:r w:rsidR="004E11D7" w:rsidRPr="00F527CD">
        <w:rPr>
          <w:rFonts w:ascii="Times New Roman" w:hAnsi="Times New Roman" w:cs="Times New Roman"/>
          <w:b/>
          <w:bCs/>
          <w:lang w:val="en-GB"/>
        </w:rPr>
        <w:t xml:space="preserve">month </w:t>
      </w:r>
      <w:r w:rsidR="0053531A" w:rsidRPr="00F527CD">
        <w:rPr>
          <w:rFonts w:ascii="Times New Roman" w:hAnsi="Times New Roman" w:cs="Times New Roman"/>
          <w:b/>
          <w:bCs/>
          <w:lang w:val="en-GB"/>
        </w:rPr>
        <w:t xml:space="preserve">in the </w:t>
      </w:r>
      <w:r w:rsidRPr="00F527CD">
        <w:rPr>
          <w:rFonts w:ascii="Times New Roman" w:hAnsi="Times New Roman" w:cs="Times New Roman"/>
          <w:b/>
          <w:bCs/>
          <w:lang w:val="en-GB"/>
        </w:rPr>
        <w:t xml:space="preserve">expiry date in </w:t>
      </w:r>
      <w:r w:rsidR="0053531A" w:rsidRPr="00F527CD">
        <w:rPr>
          <w:rFonts w:ascii="Times New Roman" w:hAnsi="Times New Roman" w:cs="Times New Roman"/>
          <w:b/>
          <w:bCs/>
          <w:lang w:val="en-GB"/>
        </w:rPr>
        <w:t>words</w:t>
      </w:r>
      <w:r w:rsidR="003D36B6">
        <w:rPr>
          <w:rFonts w:ascii="Times New Roman" w:hAnsi="Times New Roman" w:cs="Times New Roman"/>
          <w:b/>
          <w:bCs/>
          <w:lang w:val="en-GB"/>
        </w:rPr>
        <w:t xml:space="preserve"> in English</w:t>
      </w:r>
      <w:r w:rsidRPr="00F527CD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3D36B6">
        <w:rPr>
          <w:rFonts w:ascii="Times New Roman" w:hAnsi="Times New Roman" w:cs="Times New Roman"/>
          <w:b/>
          <w:bCs/>
          <w:lang w:val="en-GB"/>
        </w:rPr>
        <w:t xml:space="preserve">in the </w:t>
      </w:r>
      <w:r w:rsidR="003D36B6" w:rsidRPr="003D36B6">
        <w:rPr>
          <w:rFonts w:ascii="Times New Roman" w:hAnsi="Times New Roman" w:cs="Times New Roman"/>
          <w:b/>
          <w:bCs/>
          <w:lang w:val="en-GB"/>
        </w:rPr>
        <w:t xml:space="preserve">labelling </w:t>
      </w:r>
      <w:r w:rsidR="003D36B6">
        <w:rPr>
          <w:rFonts w:ascii="Times New Roman" w:hAnsi="Times New Roman" w:cs="Times New Roman"/>
          <w:b/>
          <w:bCs/>
          <w:lang w:val="en-GB"/>
        </w:rPr>
        <w:t xml:space="preserve">of </w:t>
      </w:r>
      <w:r w:rsidR="003D36B6" w:rsidRPr="003D36B6">
        <w:rPr>
          <w:rFonts w:ascii="Times New Roman" w:hAnsi="Times New Roman" w:cs="Times New Roman"/>
          <w:b/>
          <w:bCs/>
          <w:lang w:val="en-GB"/>
        </w:rPr>
        <w:t xml:space="preserve">the outer and/or inner packaging of medicinal product, </w:t>
      </w:r>
      <w:r w:rsidRPr="00F527CD">
        <w:rPr>
          <w:rFonts w:ascii="Times New Roman" w:hAnsi="Times New Roman" w:cs="Times New Roman"/>
          <w:b/>
          <w:bCs/>
          <w:lang w:val="en-GB"/>
        </w:rPr>
        <w:t>instead of numbers?</w:t>
      </w:r>
    </w:p>
    <w:p w14:paraId="040E312C" w14:textId="2258AAB7" w:rsidR="00C75DFB" w:rsidRPr="00F527CD" w:rsidRDefault="003D36B6" w:rsidP="00315DBD">
      <w:pPr>
        <w:spacing w:before="240"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For the</w:t>
      </w:r>
      <w:r w:rsidRPr="00F527CD">
        <w:rPr>
          <w:rFonts w:ascii="Times New Roman" w:hAnsi="Times New Roman" w:cs="Times New Roman"/>
          <w:lang w:val="en-GB"/>
        </w:rPr>
        <w:t xml:space="preserve"> </w:t>
      </w:r>
      <w:r w:rsidRPr="003D36B6">
        <w:rPr>
          <w:rFonts w:ascii="Times New Roman" w:hAnsi="Times New Roman" w:cs="Times New Roman"/>
          <w:lang w:val="en-GB"/>
        </w:rPr>
        <w:t>labelling</w:t>
      </w:r>
      <w:r>
        <w:rPr>
          <w:rFonts w:ascii="Times New Roman" w:hAnsi="Times New Roman" w:cs="Times New Roman"/>
          <w:lang w:val="en-GB"/>
        </w:rPr>
        <w:t xml:space="preserve"> of</w:t>
      </w:r>
      <w:r w:rsidR="00804873" w:rsidRPr="00F527CD">
        <w:rPr>
          <w:rFonts w:ascii="Times New Roman" w:hAnsi="Times New Roman" w:cs="Times New Roman"/>
          <w:lang w:val="en-GB"/>
        </w:rPr>
        <w:t xml:space="preserve"> medicinal products, the </w:t>
      </w:r>
      <w:r w:rsidR="004B53AD" w:rsidRPr="00F527CD">
        <w:rPr>
          <w:rFonts w:ascii="Times New Roman" w:hAnsi="Times New Roman" w:cs="Times New Roman"/>
          <w:lang w:val="en-GB"/>
        </w:rPr>
        <w:t>provisions</w:t>
      </w:r>
      <w:r w:rsidR="00804873" w:rsidRPr="00F527CD">
        <w:rPr>
          <w:rFonts w:ascii="Times New Roman" w:hAnsi="Times New Roman" w:cs="Times New Roman"/>
          <w:lang w:val="en-GB"/>
        </w:rPr>
        <w:t xml:space="preserve"> of the </w:t>
      </w:r>
      <w:r w:rsidR="009D7D1C" w:rsidRPr="00F527CD">
        <w:rPr>
          <w:rFonts w:ascii="Times New Roman" w:hAnsi="Times New Roman" w:cs="Times New Roman"/>
          <w:lang w:val="en-GB"/>
        </w:rPr>
        <w:t>D</w:t>
      </w:r>
      <w:r w:rsidR="00804873" w:rsidRPr="00F527CD">
        <w:rPr>
          <w:rFonts w:ascii="Times New Roman" w:hAnsi="Times New Roman" w:cs="Times New Roman"/>
          <w:lang w:val="en-GB"/>
        </w:rPr>
        <w:t xml:space="preserve">escription of </w:t>
      </w:r>
      <w:r w:rsidR="004B53AD" w:rsidRPr="00F527CD">
        <w:rPr>
          <w:rFonts w:ascii="Times New Roman" w:hAnsi="Times New Roman" w:cs="Times New Roman"/>
          <w:lang w:val="en-GB"/>
        </w:rPr>
        <w:t>r</w:t>
      </w:r>
      <w:r w:rsidR="00804873" w:rsidRPr="00F527CD">
        <w:rPr>
          <w:rFonts w:ascii="Times New Roman" w:hAnsi="Times New Roman" w:cs="Times New Roman"/>
          <w:lang w:val="en-GB"/>
        </w:rPr>
        <w:t xml:space="preserve">equirements for the </w:t>
      </w:r>
      <w:r w:rsidRPr="003D36B6">
        <w:rPr>
          <w:rFonts w:ascii="Times New Roman" w:hAnsi="Times New Roman" w:cs="Times New Roman"/>
          <w:lang w:val="en-GB"/>
        </w:rPr>
        <w:t>labelling</w:t>
      </w:r>
      <w:r w:rsidR="00804873" w:rsidRPr="00F527CD">
        <w:rPr>
          <w:rFonts w:ascii="Times New Roman" w:hAnsi="Times New Roman" w:cs="Times New Roman"/>
          <w:lang w:val="en-GB"/>
        </w:rPr>
        <w:t xml:space="preserve"> of </w:t>
      </w:r>
      <w:r w:rsidR="003A2B57" w:rsidRPr="00F527CD">
        <w:rPr>
          <w:rFonts w:ascii="Times New Roman" w:hAnsi="Times New Roman" w:cs="Times New Roman"/>
          <w:lang w:val="en-GB"/>
        </w:rPr>
        <w:t>m</w:t>
      </w:r>
      <w:r w:rsidR="00804873" w:rsidRPr="00F527CD">
        <w:rPr>
          <w:rFonts w:ascii="Times New Roman" w:hAnsi="Times New Roman" w:cs="Times New Roman"/>
          <w:lang w:val="en-GB"/>
        </w:rPr>
        <w:t xml:space="preserve">edicinal </w:t>
      </w:r>
      <w:r w:rsidR="003A2B57" w:rsidRPr="00F527CD">
        <w:rPr>
          <w:rFonts w:ascii="Times New Roman" w:hAnsi="Times New Roman" w:cs="Times New Roman"/>
          <w:lang w:val="en-GB"/>
        </w:rPr>
        <w:t>p</w:t>
      </w:r>
      <w:r w:rsidR="00804873" w:rsidRPr="00F527CD">
        <w:rPr>
          <w:rFonts w:ascii="Times New Roman" w:hAnsi="Times New Roman" w:cs="Times New Roman"/>
          <w:lang w:val="en-GB"/>
        </w:rPr>
        <w:t xml:space="preserve">roduct </w:t>
      </w:r>
      <w:r w:rsidR="005233B9" w:rsidRPr="00F527CD">
        <w:rPr>
          <w:rFonts w:ascii="Times New Roman" w:hAnsi="Times New Roman" w:cs="Times New Roman"/>
          <w:lang w:val="en-GB"/>
        </w:rPr>
        <w:t>pac</w:t>
      </w:r>
      <w:r w:rsidR="003A2B57" w:rsidRPr="00F527CD">
        <w:rPr>
          <w:rFonts w:ascii="Times New Roman" w:hAnsi="Times New Roman" w:cs="Times New Roman"/>
          <w:lang w:val="en-GB"/>
        </w:rPr>
        <w:t>kages</w:t>
      </w:r>
      <w:r w:rsidR="00804873" w:rsidRPr="00F527CD">
        <w:rPr>
          <w:rFonts w:ascii="Times New Roman" w:hAnsi="Times New Roman" w:cs="Times New Roman"/>
          <w:lang w:val="en-GB"/>
        </w:rPr>
        <w:t xml:space="preserve"> and </w:t>
      </w:r>
      <w:r w:rsidR="005233B9" w:rsidRPr="00F527CD">
        <w:rPr>
          <w:rFonts w:ascii="Times New Roman" w:hAnsi="Times New Roman" w:cs="Times New Roman"/>
          <w:lang w:val="en-GB"/>
        </w:rPr>
        <w:t>p</w:t>
      </w:r>
      <w:r w:rsidR="00804873" w:rsidRPr="00F527CD">
        <w:rPr>
          <w:rFonts w:ascii="Times New Roman" w:hAnsi="Times New Roman" w:cs="Times New Roman"/>
          <w:lang w:val="en-GB"/>
        </w:rPr>
        <w:t xml:space="preserve">ackage </w:t>
      </w:r>
      <w:r w:rsidR="005233B9" w:rsidRPr="00F527CD">
        <w:rPr>
          <w:rFonts w:ascii="Times New Roman" w:hAnsi="Times New Roman" w:cs="Times New Roman"/>
          <w:lang w:val="en-GB"/>
        </w:rPr>
        <w:t>l</w:t>
      </w:r>
      <w:r w:rsidR="00804873" w:rsidRPr="00F527CD">
        <w:rPr>
          <w:rFonts w:ascii="Times New Roman" w:hAnsi="Times New Roman" w:cs="Times New Roman"/>
          <w:lang w:val="en-GB"/>
        </w:rPr>
        <w:t xml:space="preserve">eaflets </w:t>
      </w:r>
      <w:r w:rsidR="00957C0F" w:rsidRPr="00F527CD">
        <w:rPr>
          <w:rFonts w:ascii="Times New Roman" w:hAnsi="Times New Roman" w:cs="Times New Roman"/>
          <w:lang w:val="en-GB"/>
        </w:rPr>
        <w:t>(</w:t>
      </w:r>
      <w:proofErr w:type="spellStart"/>
      <w:r w:rsidR="00957C0F" w:rsidRPr="00F527CD">
        <w:rPr>
          <w:rFonts w:ascii="Times New Roman" w:hAnsi="Times New Roman" w:cs="Times New Roman"/>
          <w:lang w:val="en-GB"/>
        </w:rPr>
        <w:t>Vaistinių</w:t>
      </w:r>
      <w:proofErr w:type="spellEnd"/>
      <w:r w:rsidR="00957C0F" w:rsidRPr="00F527C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7C0F" w:rsidRPr="00F527CD">
        <w:rPr>
          <w:rFonts w:ascii="Times New Roman" w:hAnsi="Times New Roman" w:cs="Times New Roman"/>
          <w:lang w:val="en-GB"/>
        </w:rPr>
        <w:t>preparatų</w:t>
      </w:r>
      <w:proofErr w:type="spellEnd"/>
      <w:r w:rsidR="00957C0F" w:rsidRPr="00F527C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7C0F" w:rsidRPr="00F527CD">
        <w:rPr>
          <w:rFonts w:ascii="Times New Roman" w:hAnsi="Times New Roman" w:cs="Times New Roman"/>
          <w:lang w:val="en-GB"/>
        </w:rPr>
        <w:t>pakuotės</w:t>
      </w:r>
      <w:proofErr w:type="spellEnd"/>
      <w:r w:rsidR="00957C0F" w:rsidRPr="00F527C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7C0F" w:rsidRPr="00F527CD">
        <w:rPr>
          <w:rFonts w:ascii="Times New Roman" w:hAnsi="Times New Roman" w:cs="Times New Roman"/>
          <w:lang w:val="en-GB"/>
        </w:rPr>
        <w:t>ženklinimo</w:t>
      </w:r>
      <w:proofErr w:type="spellEnd"/>
      <w:r w:rsidR="00957C0F" w:rsidRPr="00F527C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7C0F" w:rsidRPr="00F527CD">
        <w:rPr>
          <w:rFonts w:ascii="Times New Roman" w:hAnsi="Times New Roman" w:cs="Times New Roman"/>
          <w:lang w:val="en-GB"/>
        </w:rPr>
        <w:t>ir</w:t>
      </w:r>
      <w:proofErr w:type="spellEnd"/>
      <w:r w:rsidR="00957C0F" w:rsidRPr="00F527C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7C0F" w:rsidRPr="00F527CD">
        <w:rPr>
          <w:rFonts w:ascii="Times New Roman" w:hAnsi="Times New Roman" w:cs="Times New Roman"/>
          <w:lang w:val="en-GB"/>
        </w:rPr>
        <w:t>pakuotės</w:t>
      </w:r>
      <w:proofErr w:type="spellEnd"/>
      <w:r w:rsidR="00957C0F" w:rsidRPr="00F527C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7C0F" w:rsidRPr="00F527CD">
        <w:rPr>
          <w:rFonts w:ascii="Times New Roman" w:hAnsi="Times New Roman" w:cs="Times New Roman"/>
          <w:lang w:val="en-GB"/>
        </w:rPr>
        <w:t>lapelio</w:t>
      </w:r>
      <w:proofErr w:type="spellEnd"/>
      <w:r w:rsidR="00957C0F" w:rsidRPr="00F527C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7C0F" w:rsidRPr="00F527CD">
        <w:rPr>
          <w:rFonts w:ascii="Times New Roman" w:hAnsi="Times New Roman" w:cs="Times New Roman"/>
          <w:lang w:val="en-GB"/>
        </w:rPr>
        <w:t>reikalavimų</w:t>
      </w:r>
      <w:proofErr w:type="spellEnd"/>
      <w:r w:rsidR="00957C0F" w:rsidRPr="00F527CD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57C0F" w:rsidRPr="00F527CD">
        <w:rPr>
          <w:rFonts w:ascii="Times New Roman" w:hAnsi="Times New Roman" w:cs="Times New Roman"/>
          <w:lang w:val="en-GB"/>
        </w:rPr>
        <w:t>aprašas</w:t>
      </w:r>
      <w:proofErr w:type="spellEnd"/>
      <w:r w:rsidR="00957C0F" w:rsidRPr="00F527CD">
        <w:rPr>
          <w:rFonts w:ascii="Times New Roman" w:hAnsi="Times New Roman" w:cs="Times New Roman"/>
          <w:lang w:val="en-GB"/>
        </w:rPr>
        <w:t xml:space="preserve">, </w:t>
      </w:r>
      <w:r w:rsidR="00804873" w:rsidRPr="00F527CD">
        <w:rPr>
          <w:rFonts w:ascii="Times New Roman" w:hAnsi="Times New Roman" w:cs="Times New Roman"/>
          <w:lang w:val="en-GB"/>
        </w:rPr>
        <w:t xml:space="preserve">M Order </w:t>
      </w:r>
      <w:r w:rsidR="003D1AF9">
        <w:rPr>
          <w:rFonts w:ascii="Times New Roman" w:hAnsi="Times New Roman" w:cs="Times New Roman"/>
          <w:lang w:val="en-GB"/>
        </w:rPr>
        <w:t>of the Minister</w:t>
      </w:r>
      <w:r w:rsidR="00804873" w:rsidRPr="00F527CD">
        <w:rPr>
          <w:rFonts w:ascii="Times New Roman" w:hAnsi="Times New Roman" w:cs="Times New Roman"/>
          <w:lang w:val="en-GB"/>
        </w:rPr>
        <w:t>V-596</w:t>
      </w:r>
      <w:r w:rsidR="003D1AF9">
        <w:rPr>
          <w:rFonts w:ascii="Times New Roman" w:hAnsi="Times New Roman" w:cs="Times New Roman"/>
          <w:lang w:val="en-GB"/>
        </w:rPr>
        <w:t xml:space="preserve">, </w:t>
      </w:r>
      <w:r w:rsidR="00FD53EA">
        <w:rPr>
          <w:rFonts w:ascii="Times New Roman" w:hAnsi="Times New Roman" w:cs="Times New Roman"/>
          <w:lang w:val="en-GB"/>
        </w:rPr>
        <w:t>10</w:t>
      </w:r>
      <w:r w:rsidR="003D1AF9" w:rsidRPr="004B36C0">
        <w:rPr>
          <w:rFonts w:ascii="Times New Roman" w:hAnsi="Times New Roman" w:cs="Times New Roman"/>
          <w:vertAlign w:val="superscript"/>
          <w:lang w:val="en-GB"/>
        </w:rPr>
        <w:t>th</w:t>
      </w:r>
      <w:r w:rsidR="003D1AF9">
        <w:rPr>
          <w:rFonts w:ascii="Times New Roman" w:hAnsi="Times New Roman" w:cs="Times New Roman"/>
          <w:lang w:val="en-GB"/>
        </w:rPr>
        <w:t xml:space="preserve"> July 2007</w:t>
      </w:r>
      <w:r w:rsidR="00804873" w:rsidRPr="00F527CD">
        <w:rPr>
          <w:rFonts w:ascii="Times New Roman" w:hAnsi="Times New Roman" w:cs="Times New Roman"/>
          <w:lang w:val="en-GB"/>
        </w:rPr>
        <w:t xml:space="preserve">) must be followed, which stipulate that packaging </w:t>
      </w:r>
      <w:r w:rsidRPr="003D36B6">
        <w:rPr>
          <w:rFonts w:ascii="Times New Roman" w:hAnsi="Times New Roman" w:cs="Times New Roman"/>
          <w:lang w:val="en-GB"/>
        </w:rPr>
        <w:t>labelling</w:t>
      </w:r>
      <w:r w:rsidR="00804873" w:rsidRPr="00F527CD">
        <w:rPr>
          <w:rFonts w:ascii="Times New Roman" w:hAnsi="Times New Roman" w:cs="Times New Roman"/>
          <w:lang w:val="en-GB"/>
        </w:rPr>
        <w:t xml:space="preserve"> and package leaflet must be provided </w:t>
      </w:r>
      <w:r w:rsidR="00804873" w:rsidRPr="00F527CD">
        <w:rPr>
          <w:rFonts w:ascii="Times New Roman" w:hAnsi="Times New Roman" w:cs="Times New Roman"/>
          <w:b/>
          <w:bCs/>
          <w:lang w:val="en-GB"/>
        </w:rPr>
        <w:t>in Lithuanian</w:t>
      </w:r>
      <w:r w:rsidR="00804873" w:rsidRPr="00F527CD">
        <w:rPr>
          <w:rFonts w:ascii="Times New Roman" w:hAnsi="Times New Roman" w:cs="Times New Roman"/>
          <w:lang w:val="en-GB"/>
        </w:rPr>
        <w:t xml:space="preserve"> and be understandable to the </w:t>
      </w:r>
      <w:r w:rsidR="00FF23BC" w:rsidRPr="00F527CD">
        <w:rPr>
          <w:rFonts w:ascii="Times New Roman" w:hAnsi="Times New Roman" w:cs="Times New Roman"/>
          <w:lang w:val="en-GB"/>
        </w:rPr>
        <w:t>user</w:t>
      </w:r>
      <w:r w:rsidR="003C2EC7" w:rsidRPr="00F527CD">
        <w:rPr>
          <w:rFonts w:ascii="Times New Roman" w:hAnsi="Times New Roman" w:cs="Times New Roman"/>
          <w:lang w:val="en-GB"/>
        </w:rPr>
        <w:t xml:space="preserve"> of the medicinal product</w:t>
      </w:r>
      <w:r w:rsidR="00804873" w:rsidRPr="00F527CD">
        <w:rPr>
          <w:rFonts w:ascii="Times New Roman" w:hAnsi="Times New Roman" w:cs="Times New Roman"/>
          <w:lang w:val="en-GB"/>
        </w:rPr>
        <w:t xml:space="preserve">. It is possible to </w:t>
      </w:r>
      <w:r w:rsidR="00281AE9">
        <w:rPr>
          <w:rFonts w:ascii="Times New Roman" w:hAnsi="Times New Roman" w:cs="Times New Roman"/>
          <w:lang w:val="en-GB"/>
        </w:rPr>
        <w:t>indicate the name of</w:t>
      </w:r>
      <w:r w:rsidR="00281AE9" w:rsidRPr="00F527CD">
        <w:rPr>
          <w:rFonts w:ascii="Times New Roman" w:hAnsi="Times New Roman" w:cs="Times New Roman"/>
          <w:lang w:val="en-GB"/>
        </w:rPr>
        <w:t xml:space="preserve"> </w:t>
      </w:r>
      <w:r w:rsidR="00804873" w:rsidRPr="00F527CD">
        <w:rPr>
          <w:rFonts w:ascii="Times New Roman" w:hAnsi="Times New Roman" w:cs="Times New Roman"/>
          <w:lang w:val="en-GB"/>
        </w:rPr>
        <w:t>the month in full in Lithuanian</w:t>
      </w:r>
      <w:r>
        <w:rPr>
          <w:rFonts w:ascii="Times New Roman" w:hAnsi="Times New Roman" w:cs="Times New Roman"/>
          <w:lang w:val="en-GB"/>
        </w:rPr>
        <w:t xml:space="preserve"> only</w:t>
      </w:r>
      <w:r w:rsidR="00804873" w:rsidRPr="00F527CD">
        <w:rPr>
          <w:rFonts w:ascii="Times New Roman" w:hAnsi="Times New Roman" w:cs="Times New Roman"/>
          <w:lang w:val="en-GB"/>
        </w:rPr>
        <w:t>.</w:t>
      </w:r>
    </w:p>
    <w:p w14:paraId="75992D0A" w14:textId="77777777" w:rsidR="00DC7DFF" w:rsidRPr="00DC7DFF" w:rsidRDefault="00DC7DFF" w:rsidP="00006DC4">
      <w:pPr>
        <w:spacing w:before="240" w:line="360" w:lineRule="auto"/>
        <w:contextualSpacing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DC7DFF">
        <w:rPr>
          <w:rFonts w:ascii="Times New Roman" w:eastAsia="Calibri" w:hAnsi="Times New Roman" w:cs="Times New Roman"/>
          <w:b/>
          <w:color w:val="000000"/>
          <w:kern w:val="0"/>
          <w:shd w:val="clear" w:color="auto" w:fill="FFFFFF"/>
          <w14:ligatures w14:val="none"/>
        </w:rPr>
        <w:t>________________</w:t>
      </w:r>
    </w:p>
    <w:p w14:paraId="42A7508F" w14:textId="77777777" w:rsidR="00943CC4" w:rsidRPr="001506D3" w:rsidRDefault="00943CC4" w:rsidP="00315DBD">
      <w:pPr>
        <w:spacing w:before="240" w:line="360" w:lineRule="auto"/>
        <w:jc w:val="both"/>
        <w:rPr>
          <w:rFonts w:ascii="Times New Roman" w:hAnsi="Times New Roman" w:cs="Times New Roman"/>
          <w:lang w:val="en-US"/>
        </w:rPr>
      </w:pPr>
    </w:p>
    <w:sectPr w:rsidR="00943CC4" w:rsidRPr="001506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EF"/>
    <w:rsid w:val="00006DC4"/>
    <w:rsid w:val="00007815"/>
    <w:rsid w:val="00012915"/>
    <w:rsid w:val="000573F4"/>
    <w:rsid w:val="00094060"/>
    <w:rsid w:val="0009587E"/>
    <w:rsid w:val="000C0899"/>
    <w:rsid w:val="000F7779"/>
    <w:rsid w:val="0013072A"/>
    <w:rsid w:val="00133AFB"/>
    <w:rsid w:val="0013538F"/>
    <w:rsid w:val="0014623C"/>
    <w:rsid w:val="001506D3"/>
    <w:rsid w:val="00150C4E"/>
    <w:rsid w:val="00157FF7"/>
    <w:rsid w:val="00190057"/>
    <w:rsid w:val="00197019"/>
    <w:rsid w:val="001B03D8"/>
    <w:rsid w:val="00205DF7"/>
    <w:rsid w:val="0021105C"/>
    <w:rsid w:val="00211C11"/>
    <w:rsid w:val="002417B7"/>
    <w:rsid w:val="00246D50"/>
    <w:rsid w:val="00255F13"/>
    <w:rsid w:val="002778DB"/>
    <w:rsid w:val="002807D8"/>
    <w:rsid w:val="00281AE9"/>
    <w:rsid w:val="00283FAC"/>
    <w:rsid w:val="002A2D54"/>
    <w:rsid w:val="002B46F7"/>
    <w:rsid w:val="002C2EAA"/>
    <w:rsid w:val="002D4735"/>
    <w:rsid w:val="002D71E7"/>
    <w:rsid w:val="002E72F5"/>
    <w:rsid w:val="002F4FDD"/>
    <w:rsid w:val="003057D7"/>
    <w:rsid w:val="00315DBD"/>
    <w:rsid w:val="00323662"/>
    <w:rsid w:val="003241E6"/>
    <w:rsid w:val="00325BBF"/>
    <w:rsid w:val="00367592"/>
    <w:rsid w:val="003954A5"/>
    <w:rsid w:val="003977DB"/>
    <w:rsid w:val="00397DF9"/>
    <w:rsid w:val="003A0EA6"/>
    <w:rsid w:val="003A2B57"/>
    <w:rsid w:val="003B70F1"/>
    <w:rsid w:val="003C2EC7"/>
    <w:rsid w:val="003D1AF9"/>
    <w:rsid w:val="003D36B6"/>
    <w:rsid w:val="00466E0B"/>
    <w:rsid w:val="004A0C1F"/>
    <w:rsid w:val="004B0D3A"/>
    <w:rsid w:val="004B36C0"/>
    <w:rsid w:val="004B53AD"/>
    <w:rsid w:val="004C29D0"/>
    <w:rsid w:val="004D0163"/>
    <w:rsid w:val="004E11D7"/>
    <w:rsid w:val="004E3E2F"/>
    <w:rsid w:val="004E7B24"/>
    <w:rsid w:val="004F30BD"/>
    <w:rsid w:val="004F64D9"/>
    <w:rsid w:val="005233B9"/>
    <w:rsid w:val="00525185"/>
    <w:rsid w:val="0053531A"/>
    <w:rsid w:val="00536811"/>
    <w:rsid w:val="00550E78"/>
    <w:rsid w:val="005836F7"/>
    <w:rsid w:val="00584AC1"/>
    <w:rsid w:val="00591B94"/>
    <w:rsid w:val="00593DF5"/>
    <w:rsid w:val="005B113A"/>
    <w:rsid w:val="005C4543"/>
    <w:rsid w:val="005E1138"/>
    <w:rsid w:val="00605BD4"/>
    <w:rsid w:val="00627C47"/>
    <w:rsid w:val="00640021"/>
    <w:rsid w:val="00641D40"/>
    <w:rsid w:val="00646DF2"/>
    <w:rsid w:val="0067461C"/>
    <w:rsid w:val="00676163"/>
    <w:rsid w:val="00680C41"/>
    <w:rsid w:val="00742500"/>
    <w:rsid w:val="007453A7"/>
    <w:rsid w:val="007618DC"/>
    <w:rsid w:val="00765080"/>
    <w:rsid w:val="00784100"/>
    <w:rsid w:val="00797BEE"/>
    <w:rsid w:val="007B70B2"/>
    <w:rsid w:val="007C3E5C"/>
    <w:rsid w:val="00804873"/>
    <w:rsid w:val="008353D1"/>
    <w:rsid w:val="0085285F"/>
    <w:rsid w:val="00871D8B"/>
    <w:rsid w:val="00874886"/>
    <w:rsid w:val="008818DC"/>
    <w:rsid w:val="00896020"/>
    <w:rsid w:val="008A351E"/>
    <w:rsid w:val="008B4865"/>
    <w:rsid w:val="008D226C"/>
    <w:rsid w:val="008D46BE"/>
    <w:rsid w:val="008E25C8"/>
    <w:rsid w:val="008E3611"/>
    <w:rsid w:val="008F6723"/>
    <w:rsid w:val="009043F3"/>
    <w:rsid w:val="009210F3"/>
    <w:rsid w:val="00923BC8"/>
    <w:rsid w:val="00926C61"/>
    <w:rsid w:val="00943CC4"/>
    <w:rsid w:val="00957973"/>
    <w:rsid w:val="00957C0F"/>
    <w:rsid w:val="00957D6A"/>
    <w:rsid w:val="00990B68"/>
    <w:rsid w:val="009A5746"/>
    <w:rsid w:val="009A66E4"/>
    <w:rsid w:val="009C3FCA"/>
    <w:rsid w:val="009D4E9D"/>
    <w:rsid w:val="009D7D1C"/>
    <w:rsid w:val="00A10038"/>
    <w:rsid w:val="00A3556B"/>
    <w:rsid w:val="00A36E6A"/>
    <w:rsid w:val="00A51C4D"/>
    <w:rsid w:val="00A65730"/>
    <w:rsid w:val="00A86E97"/>
    <w:rsid w:val="00AB1574"/>
    <w:rsid w:val="00AD6BA3"/>
    <w:rsid w:val="00AF042E"/>
    <w:rsid w:val="00AF6C3C"/>
    <w:rsid w:val="00AF7C37"/>
    <w:rsid w:val="00B06C47"/>
    <w:rsid w:val="00B104EF"/>
    <w:rsid w:val="00B144F8"/>
    <w:rsid w:val="00B60558"/>
    <w:rsid w:val="00B65FE1"/>
    <w:rsid w:val="00B66137"/>
    <w:rsid w:val="00B71FEF"/>
    <w:rsid w:val="00B81435"/>
    <w:rsid w:val="00B8177E"/>
    <w:rsid w:val="00BA4080"/>
    <w:rsid w:val="00BB4346"/>
    <w:rsid w:val="00BB74F8"/>
    <w:rsid w:val="00BE1AF9"/>
    <w:rsid w:val="00BF2D4A"/>
    <w:rsid w:val="00C01414"/>
    <w:rsid w:val="00C02E76"/>
    <w:rsid w:val="00C07034"/>
    <w:rsid w:val="00C14C56"/>
    <w:rsid w:val="00C210ED"/>
    <w:rsid w:val="00C37987"/>
    <w:rsid w:val="00C409B1"/>
    <w:rsid w:val="00C75DFB"/>
    <w:rsid w:val="00C85F43"/>
    <w:rsid w:val="00CA42CE"/>
    <w:rsid w:val="00CC1E13"/>
    <w:rsid w:val="00CD31B6"/>
    <w:rsid w:val="00CF4FF8"/>
    <w:rsid w:val="00CF69DD"/>
    <w:rsid w:val="00D55ABD"/>
    <w:rsid w:val="00D57D38"/>
    <w:rsid w:val="00DA10CD"/>
    <w:rsid w:val="00DB558B"/>
    <w:rsid w:val="00DC7DFF"/>
    <w:rsid w:val="00DE594E"/>
    <w:rsid w:val="00DF79EF"/>
    <w:rsid w:val="00E0426C"/>
    <w:rsid w:val="00E077C8"/>
    <w:rsid w:val="00E10B7A"/>
    <w:rsid w:val="00E407B6"/>
    <w:rsid w:val="00E4135F"/>
    <w:rsid w:val="00E7236D"/>
    <w:rsid w:val="00E83545"/>
    <w:rsid w:val="00E95F28"/>
    <w:rsid w:val="00EC28A5"/>
    <w:rsid w:val="00EE76A6"/>
    <w:rsid w:val="00EF6800"/>
    <w:rsid w:val="00F111B5"/>
    <w:rsid w:val="00F22356"/>
    <w:rsid w:val="00F37009"/>
    <w:rsid w:val="00F43574"/>
    <w:rsid w:val="00F527CD"/>
    <w:rsid w:val="00F537ED"/>
    <w:rsid w:val="00F810FD"/>
    <w:rsid w:val="00FB1751"/>
    <w:rsid w:val="00FC129A"/>
    <w:rsid w:val="00FC3C54"/>
    <w:rsid w:val="00FD53EA"/>
    <w:rsid w:val="00F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9399"/>
  <w15:chartTrackingRefBased/>
  <w15:docId w15:val="{B042848E-90D4-4EBB-A896-7EE9D51E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F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F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F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F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F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F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F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F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F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F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F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F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F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F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F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F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F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F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F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F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F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F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F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F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F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B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3FCA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A0E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6B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B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B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B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B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vkt@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kuotes@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hma.eu/90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hma.eu/90.html" TargetMode="External"/><Relationship Id="rId10" Type="http://schemas.openxmlformats.org/officeDocument/2006/relationships/hyperlink" Target="https://vvkt.lrv.lt/lt/vaistu-registracija_pagr_menu/reglamentiniai-ir-nereglamentiniai-keitim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vkt.lrv.lt/lt/vaistu-registracija_pagr_menu/reglamentiniai-ir-nereglamentiniai-keitimai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A019A-C22F-4EAA-A16D-CFB5EC77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9450</Words>
  <Characters>5387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Kurgonienė</dc:creator>
  <cp:keywords/>
  <dc:description/>
  <cp:lastModifiedBy>Simona Kurgonienė</cp:lastModifiedBy>
  <cp:revision>2</cp:revision>
  <dcterms:created xsi:type="dcterms:W3CDTF">2025-12-23T08:45:00Z</dcterms:created>
  <dcterms:modified xsi:type="dcterms:W3CDTF">2025-12-23T08:45:00Z</dcterms:modified>
</cp:coreProperties>
</file>