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Pr="001412EE" w:rsidRDefault="005F7602" w:rsidP="002946C7">
      <w:pPr>
        <w:ind w:left="5529"/>
      </w:pPr>
    </w:p>
    <w:p w14:paraId="12FA4B9E" w14:textId="39AA3336" w:rsidR="001B3C5B" w:rsidRPr="001412EE" w:rsidRDefault="00DC261A" w:rsidP="001B3C5B">
      <w:pPr>
        <w:ind w:left="6096"/>
      </w:pPr>
      <w:bookmarkStart w:id="0" w:name="_Hlk189565243"/>
      <w:r w:rsidRPr="001412EE">
        <w:t>PATVIRTINTA</w:t>
      </w:r>
    </w:p>
    <w:p w14:paraId="7206970B" w14:textId="70E9BD2E" w:rsidR="004C263A" w:rsidRPr="001412EE" w:rsidRDefault="001B3C5B" w:rsidP="001B3C5B">
      <w:pPr>
        <w:ind w:left="6096"/>
      </w:pPr>
      <w:r w:rsidRPr="001412EE">
        <w:t>Valstybinės vaistų kontrolės tarnybos prie Lietuvos Respublikos sveikatos apsaugos ministerijos viršininko 2021 m</w:t>
      </w:r>
      <w:r w:rsidR="004C263A" w:rsidRPr="001412EE">
        <w:t xml:space="preserve">. lapkričio 12 </w:t>
      </w:r>
      <w:r w:rsidRPr="001412EE">
        <w:t>d. įsakymu Nr.</w:t>
      </w:r>
      <w:r w:rsidR="004C263A" w:rsidRPr="001412EE">
        <w:t xml:space="preserve"> (1.72E)1A-1418</w:t>
      </w:r>
    </w:p>
    <w:p w14:paraId="5B219AA6" w14:textId="3A5D6CB4" w:rsidR="001B3C5B" w:rsidRPr="001412EE" w:rsidRDefault="004C263A" w:rsidP="001B3C5B">
      <w:pPr>
        <w:ind w:left="6096"/>
      </w:pPr>
      <w:r w:rsidRPr="001412EE">
        <w:t>(Valstybinės vaistų kontrolės tarnybos prie Lietuvos Respublikos sveikatos apsaugos ministerijos viršininko 202</w:t>
      </w:r>
      <w:r w:rsidR="00A2310D" w:rsidRPr="001412EE">
        <w:t>5</w:t>
      </w:r>
      <w:r w:rsidRPr="001412EE">
        <w:t xml:space="preserve"> m.                         d. įsakymo Nr.                    redakcija)</w:t>
      </w:r>
    </w:p>
    <w:p w14:paraId="3336BD74" w14:textId="77777777" w:rsidR="001B3C5B" w:rsidRPr="001412EE" w:rsidRDefault="001B3C5B" w:rsidP="00FA4169"/>
    <w:bookmarkEnd w:id="0"/>
    <w:p w14:paraId="56604434" w14:textId="77777777" w:rsidR="00DC261A" w:rsidRPr="001412EE" w:rsidRDefault="00DC261A" w:rsidP="003B211A">
      <w:pPr>
        <w:jc w:val="center"/>
        <w:rPr>
          <w:b/>
        </w:rPr>
      </w:pPr>
    </w:p>
    <w:p w14:paraId="77AFB67E" w14:textId="0FB133A2" w:rsidR="00613501" w:rsidRPr="001412EE" w:rsidRDefault="002F0E4F" w:rsidP="003B211A">
      <w:pPr>
        <w:jc w:val="center"/>
        <w:rPr>
          <w:b/>
          <w:bCs/>
          <w:caps/>
        </w:rPr>
      </w:pPr>
      <w:r w:rsidRPr="001412EE">
        <w:rPr>
          <w:b/>
        </w:rPr>
        <w:t xml:space="preserve">REKOMENDACIJA DĖL VAISTINIO PREPARATO </w:t>
      </w:r>
      <w:r w:rsidRPr="001412EE">
        <w:rPr>
          <w:b/>
          <w:bCs/>
          <w:caps/>
        </w:rPr>
        <w:t>Lietuvos Respublikos Sveikatos apsaugos ministerijos vaistinių preparatų ir medicinos pagalbos priemonių kompensavimo komisijai</w:t>
      </w:r>
    </w:p>
    <w:p w14:paraId="34E4395D" w14:textId="15FB10DF" w:rsidR="00B13D65" w:rsidRPr="001412EE" w:rsidRDefault="00B13D65" w:rsidP="003B211A">
      <w:pPr>
        <w:jc w:val="center"/>
        <w:rPr>
          <w:b/>
        </w:rPr>
      </w:pPr>
    </w:p>
    <w:p w14:paraId="0B03107F" w14:textId="5C7A1B18" w:rsidR="004A7ED2" w:rsidRPr="001412EE" w:rsidRDefault="004A7ED2" w:rsidP="004A7ED2">
      <w:pPr>
        <w:jc w:val="center"/>
        <w:rPr>
          <w:b/>
        </w:rPr>
      </w:pPr>
      <w:r w:rsidRPr="001412EE">
        <w:rPr>
          <w:b/>
        </w:rPr>
        <w:t>Alecensa 150mg kietosios kapsulės</w:t>
      </w:r>
    </w:p>
    <w:p w14:paraId="0F9C7CC8" w14:textId="77777777" w:rsidR="004A7ED2" w:rsidRPr="001412EE" w:rsidRDefault="004A7ED2" w:rsidP="004A7ED2">
      <w:pPr>
        <w:jc w:val="center"/>
      </w:pPr>
    </w:p>
    <w:p w14:paraId="496E0A42" w14:textId="31FAB1BA" w:rsidR="00A71ABD" w:rsidRDefault="00A71ABD" w:rsidP="004A7ED2">
      <w:pPr>
        <w:jc w:val="center"/>
        <w:rPr>
          <w:b/>
        </w:rPr>
      </w:pPr>
      <w:r>
        <w:rPr>
          <w:b/>
        </w:rPr>
        <w:t>Alektinibas</w:t>
      </w:r>
    </w:p>
    <w:p w14:paraId="61FD2890" w14:textId="77777777" w:rsidR="00A71ABD" w:rsidRDefault="00A71ABD" w:rsidP="004A7ED2">
      <w:pPr>
        <w:jc w:val="center"/>
        <w:rPr>
          <w:b/>
        </w:rPr>
      </w:pPr>
    </w:p>
    <w:p w14:paraId="72CEC1CA" w14:textId="536E4C32" w:rsidR="004A7ED2" w:rsidRPr="001412EE" w:rsidRDefault="004A7ED2" w:rsidP="004A7ED2">
      <w:pPr>
        <w:jc w:val="center"/>
        <w:rPr>
          <w:b/>
        </w:rPr>
      </w:pPr>
      <w:r w:rsidRPr="001412EE">
        <w:rPr>
          <w:b/>
        </w:rPr>
        <w:t>STV-216</w:t>
      </w:r>
    </w:p>
    <w:p w14:paraId="453197C8" w14:textId="77777777" w:rsidR="00D4708D" w:rsidRPr="001412EE" w:rsidRDefault="00D4708D" w:rsidP="003B211A">
      <w:pPr>
        <w:jc w:val="center"/>
        <w:rPr>
          <w:b/>
        </w:rPr>
      </w:pPr>
    </w:p>
    <w:p w14:paraId="78C89D1C" w14:textId="0DEFFAA5" w:rsidR="00D4485B" w:rsidRPr="001412EE" w:rsidRDefault="00B13D65" w:rsidP="00CC09D4">
      <w:pPr>
        <w:pStyle w:val="ListParagraph"/>
        <w:numPr>
          <w:ilvl w:val="0"/>
          <w:numId w:val="12"/>
        </w:numPr>
        <w:tabs>
          <w:tab w:val="left" w:pos="567"/>
        </w:tabs>
        <w:ind w:left="567" w:hanging="567"/>
        <w:rPr>
          <w:b/>
          <w:bCs/>
          <w:caps/>
        </w:rPr>
      </w:pPr>
      <w:r w:rsidRPr="001412EE">
        <w:rPr>
          <w:b/>
          <w:bCs/>
          <w:caps/>
        </w:rPr>
        <w:t>Bendroji dalis</w:t>
      </w:r>
    </w:p>
    <w:p w14:paraId="04A7C7A7" w14:textId="77777777" w:rsidR="00B13D65" w:rsidRPr="001412EE" w:rsidRDefault="00B13D65" w:rsidP="00E03C3F">
      <w:pPr>
        <w:pStyle w:val="ListParagraph"/>
        <w:tabs>
          <w:tab w:val="left" w:pos="284"/>
        </w:tabs>
        <w:ind w:left="0"/>
        <w:rPr>
          <w:b/>
          <w:bCs/>
          <w:caps/>
        </w:rPr>
      </w:pPr>
    </w:p>
    <w:tbl>
      <w:tblPr>
        <w:tblStyle w:val="TableGrid"/>
        <w:tblW w:w="9493" w:type="dxa"/>
        <w:tblLook w:val="04A0" w:firstRow="1" w:lastRow="0" w:firstColumn="1" w:lastColumn="0" w:noHBand="0" w:noVBand="1"/>
      </w:tblPr>
      <w:tblGrid>
        <w:gridCol w:w="632"/>
        <w:gridCol w:w="3899"/>
        <w:gridCol w:w="4962"/>
      </w:tblGrid>
      <w:tr w:rsidR="00334F18" w:rsidRPr="001412EE" w14:paraId="16A7BC7B" w14:textId="77777777" w:rsidTr="003F3FFF">
        <w:trPr>
          <w:trHeight w:val="538"/>
        </w:trPr>
        <w:tc>
          <w:tcPr>
            <w:tcW w:w="632" w:type="dxa"/>
          </w:tcPr>
          <w:p w14:paraId="4572808D" w14:textId="77777777" w:rsidR="00E70CED" w:rsidRPr="001412EE" w:rsidRDefault="00E70CED" w:rsidP="001F115E">
            <w:pPr>
              <w:rPr>
                <w:rFonts w:eastAsia="Arial"/>
                <w:b/>
                <w:bCs/>
              </w:rPr>
            </w:pPr>
            <w:r w:rsidRPr="001412EE">
              <w:rPr>
                <w:rFonts w:eastAsia="Arial"/>
                <w:b/>
                <w:bCs/>
              </w:rPr>
              <w:t>1.1</w:t>
            </w:r>
          </w:p>
        </w:tc>
        <w:tc>
          <w:tcPr>
            <w:tcW w:w="3899" w:type="dxa"/>
          </w:tcPr>
          <w:p w14:paraId="54BA6EB3" w14:textId="77777777" w:rsidR="00E70CED" w:rsidRPr="001412EE" w:rsidRDefault="00E70CED" w:rsidP="001F115E">
            <w:pPr>
              <w:rPr>
                <w:rFonts w:eastAsia="Arial"/>
                <w:b/>
                <w:bCs/>
              </w:rPr>
            </w:pPr>
            <w:r w:rsidRPr="001412EE">
              <w:rPr>
                <w:rFonts w:eastAsia="Arial"/>
                <w:b/>
                <w:bCs/>
              </w:rPr>
              <w:t>Pareiškėjas/ pareiškėjo atstovas</w:t>
            </w:r>
          </w:p>
        </w:tc>
        <w:tc>
          <w:tcPr>
            <w:tcW w:w="4962" w:type="dxa"/>
          </w:tcPr>
          <w:p w14:paraId="0F359BD4" w14:textId="32D3EF4C" w:rsidR="00E70CED" w:rsidRPr="001412EE" w:rsidRDefault="004A7ED2" w:rsidP="001F115E">
            <w:pPr>
              <w:rPr>
                <w:rFonts w:eastAsia="Arial"/>
              </w:rPr>
            </w:pPr>
            <w:r w:rsidRPr="001412EE">
              <w:t>„Roche Lietuva”</w:t>
            </w:r>
          </w:p>
        </w:tc>
      </w:tr>
      <w:tr w:rsidR="00334F18" w:rsidRPr="001412EE" w14:paraId="101EA148" w14:textId="77777777" w:rsidTr="003F3FFF">
        <w:trPr>
          <w:trHeight w:val="538"/>
        </w:trPr>
        <w:tc>
          <w:tcPr>
            <w:tcW w:w="632" w:type="dxa"/>
          </w:tcPr>
          <w:p w14:paraId="3BF67175" w14:textId="77777777" w:rsidR="00E70CED" w:rsidRPr="001412EE" w:rsidRDefault="00E70CED" w:rsidP="001F115E">
            <w:pPr>
              <w:rPr>
                <w:rFonts w:eastAsia="Arial"/>
                <w:b/>
                <w:bCs/>
              </w:rPr>
            </w:pPr>
            <w:r w:rsidRPr="001412EE">
              <w:rPr>
                <w:rFonts w:eastAsia="Arial"/>
                <w:b/>
                <w:bCs/>
              </w:rPr>
              <w:t>1.2</w:t>
            </w:r>
          </w:p>
        </w:tc>
        <w:tc>
          <w:tcPr>
            <w:tcW w:w="3899" w:type="dxa"/>
          </w:tcPr>
          <w:p w14:paraId="786B66DF" w14:textId="77777777" w:rsidR="00E70CED" w:rsidRPr="001412EE" w:rsidRDefault="00E70CED" w:rsidP="001F115E">
            <w:pPr>
              <w:rPr>
                <w:b/>
                <w:bCs/>
                <w:lang w:eastAsia="lt-LT"/>
              </w:rPr>
            </w:pPr>
            <w:r w:rsidRPr="001412EE">
              <w:rPr>
                <w:b/>
                <w:bCs/>
                <w:lang w:eastAsia="lt-LT"/>
              </w:rPr>
              <w:t xml:space="preserve">Vaistinio preparato registracijos data </w:t>
            </w:r>
          </w:p>
          <w:p w14:paraId="4B568341" w14:textId="77777777" w:rsidR="00E70CED" w:rsidRPr="001412EE" w:rsidRDefault="00E70CED" w:rsidP="001F115E">
            <w:pPr>
              <w:rPr>
                <w:b/>
                <w:bCs/>
                <w:lang w:eastAsia="lt-LT"/>
              </w:rPr>
            </w:pPr>
          </w:p>
        </w:tc>
        <w:tc>
          <w:tcPr>
            <w:tcW w:w="4962" w:type="dxa"/>
          </w:tcPr>
          <w:p w14:paraId="50F63366" w14:textId="6B3422F6" w:rsidR="00E70CED" w:rsidRPr="001412EE" w:rsidRDefault="00000000" w:rsidP="001F115E">
            <w:pPr>
              <w:rPr>
                <w:rStyle w:val="Style2"/>
                <w:sz w:val="24"/>
              </w:rPr>
            </w:pPr>
            <w:sdt>
              <w:sdtPr>
                <w:rPr>
                  <w:sz w:val="32"/>
                </w:rPr>
                <w:alias w:val="Nurodykite konkrečią dieną"/>
                <w:tag w:val="Nurodykite pradžios datą"/>
                <w:id w:val="1772196685"/>
                <w:placeholder>
                  <w:docPart w:val="9F03AA1B603F47D3BD40A45F2A0F7814"/>
                </w:placeholder>
                <w15:color w:val="FFCC99"/>
                <w:date>
                  <w:dateFormat w:val="yyyy 'm.' MMMM d 'd.'"/>
                  <w:lid w:val="lt-LT"/>
                  <w:storeMappedDataAs w:val="dateTime"/>
                  <w:calendar w:val="gregorian"/>
                </w:date>
              </w:sdtPr>
              <w:sdtContent>
                <w:r w:rsidR="004A7ED2" w:rsidRPr="001412EE">
                  <w:t>16 Vasaris, 2017 metai</w:t>
                </w:r>
              </w:sdtContent>
            </w:sdt>
          </w:p>
        </w:tc>
      </w:tr>
      <w:tr w:rsidR="00334F18" w:rsidRPr="001412EE" w14:paraId="3D70E0FA" w14:textId="77777777" w:rsidTr="001F115E">
        <w:trPr>
          <w:trHeight w:val="1643"/>
        </w:trPr>
        <w:tc>
          <w:tcPr>
            <w:tcW w:w="632" w:type="dxa"/>
          </w:tcPr>
          <w:p w14:paraId="021DF6BD" w14:textId="77777777" w:rsidR="00E70CED" w:rsidRPr="001412EE" w:rsidRDefault="00E70CED" w:rsidP="001F115E">
            <w:pPr>
              <w:rPr>
                <w:rFonts w:eastAsia="Arial"/>
                <w:b/>
                <w:bCs/>
              </w:rPr>
            </w:pPr>
            <w:r w:rsidRPr="001412EE">
              <w:rPr>
                <w:rFonts w:eastAsia="Arial"/>
                <w:b/>
                <w:bCs/>
              </w:rPr>
              <w:t>1.3</w:t>
            </w:r>
          </w:p>
        </w:tc>
        <w:tc>
          <w:tcPr>
            <w:tcW w:w="3899" w:type="dxa"/>
          </w:tcPr>
          <w:p w14:paraId="528F713F" w14:textId="77777777" w:rsidR="00E70CED" w:rsidRPr="001412EE" w:rsidRDefault="00E70CED" w:rsidP="001F115E">
            <w:pPr>
              <w:pStyle w:val="NoSpacing"/>
              <w:rPr>
                <w:rFonts w:ascii="Times New Roman" w:hAnsi="Times New Roman"/>
                <w:b/>
                <w:sz w:val="24"/>
                <w:szCs w:val="24"/>
                <w:shd w:val="clear" w:color="auto" w:fill="FFFFFF"/>
              </w:rPr>
            </w:pPr>
            <w:r w:rsidRPr="001412EE">
              <w:rPr>
                <w:rFonts w:ascii="Times New Roman" w:hAnsi="Times New Roman"/>
                <w:b/>
                <w:sz w:val="24"/>
                <w:szCs w:val="24"/>
              </w:rPr>
              <w:t xml:space="preserve">Vaistinio preparato </w:t>
            </w:r>
            <w:r w:rsidRPr="001412EE">
              <w:rPr>
                <w:rFonts w:ascii="Times New Roman" w:hAnsi="Times New Roman"/>
                <w:b/>
                <w:sz w:val="24"/>
                <w:szCs w:val="24"/>
                <w:shd w:val="clear" w:color="auto" w:fill="FFFFFF"/>
              </w:rPr>
              <w:t>registracijos teisinis pagrindas</w:t>
            </w:r>
          </w:p>
          <w:p w14:paraId="63F86DC1" w14:textId="77777777" w:rsidR="00E70CED" w:rsidRPr="001412EE" w:rsidRDefault="00E70CED" w:rsidP="001F115E">
            <w:pPr>
              <w:pStyle w:val="NoSpacing"/>
              <w:rPr>
                <w:rFonts w:ascii="Times New Roman" w:hAnsi="Times New Roman"/>
                <w:b/>
                <w:bCs/>
                <w:sz w:val="24"/>
                <w:szCs w:val="24"/>
                <w:lang w:eastAsia="lt-LT"/>
              </w:rPr>
            </w:pPr>
            <w:r w:rsidRPr="001412EE">
              <w:rPr>
                <w:rFonts w:ascii="Times New Roman" w:hAnsi="Times New Roman"/>
                <w:b/>
                <w:sz w:val="24"/>
                <w:szCs w:val="24"/>
                <w:shd w:val="clear" w:color="auto" w:fill="FFFFFF"/>
              </w:rPr>
              <w:t>(</w:t>
            </w:r>
            <w:r w:rsidRPr="001412EE">
              <w:rPr>
                <w:rFonts w:ascii="Times New Roman" w:hAnsi="Times New Roman"/>
                <w:b/>
                <w:sz w:val="24"/>
                <w:szCs w:val="24"/>
              </w:rPr>
              <w:t>Direktyvos 2001/83/EB str.)</w:t>
            </w:r>
          </w:p>
        </w:tc>
        <w:tc>
          <w:tcPr>
            <w:tcW w:w="4962" w:type="dxa"/>
          </w:tcPr>
          <w:p w14:paraId="4C977D39" w14:textId="1124A8A9" w:rsidR="00E70CED" w:rsidRPr="001412EE" w:rsidRDefault="00000000" w:rsidP="001F115E">
            <w:sdt>
              <w:sdtPr>
                <w:rPr>
                  <w:rStyle w:val="Style2"/>
                  <w:sz w:val="24"/>
                </w:rPr>
                <w:id w:val="526292078"/>
                <w15:color w:val="FFCC00"/>
                <w14:checkbox>
                  <w14:checked w14:val="1"/>
                  <w14:checkedState w14:val="2612" w14:font="MS Gothic"/>
                  <w14:uncheckedState w14:val="2610" w14:font="MS Gothic"/>
                </w14:checkbox>
              </w:sdtPr>
              <w:sdtContent>
                <w:r w:rsidR="004A7ED2" w:rsidRPr="001412EE">
                  <w:rPr>
                    <w:rStyle w:val="Style2"/>
                    <w:rFonts w:ascii="MS Gothic" w:eastAsia="MS Gothic" w:hAnsi="MS Gothic"/>
                    <w:sz w:val="24"/>
                  </w:rPr>
                  <w:t>☒</w:t>
                </w:r>
              </w:sdtContent>
            </w:sdt>
            <w:r w:rsidR="00E70CED" w:rsidRPr="001412EE">
              <w:t>8.3 str. (pilna byla, pagrįsta savais tyrimais)</w:t>
            </w:r>
          </w:p>
          <w:p w14:paraId="6AABD410" w14:textId="77777777" w:rsidR="00E70CED" w:rsidRPr="001412EE" w:rsidRDefault="00000000" w:rsidP="001F115E">
            <w:sdt>
              <w:sdtPr>
                <w:rPr>
                  <w:rStyle w:val="Style2"/>
                  <w:sz w:val="24"/>
                </w:rPr>
                <w:id w:val="-1497953736"/>
                <w15:color w:val="FFCC00"/>
                <w14:checkbox>
                  <w14:checked w14:val="0"/>
                  <w14:checkedState w14:val="2612" w14:font="MS Gothic"/>
                  <w14:uncheckedState w14:val="2610" w14:font="MS Gothic"/>
                </w14:checkbox>
              </w:sdtPr>
              <w:sdtContent>
                <w:r w:rsidR="00E70CED" w:rsidRPr="001412EE">
                  <w:rPr>
                    <w:rStyle w:val="Style2"/>
                    <w:rFonts w:ascii="Segoe UI Symbol" w:eastAsia="MS Gothic" w:hAnsi="Segoe UI Symbol" w:cs="Segoe UI Symbol"/>
                    <w:sz w:val="24"/>
                  </w:rPr>
                  <w:t>☐</w:t>
                </w:r>
              </w:sdtContent>
            </w:sdt>
            <w:r w:rsidR="00E70CED" w:rsidRPr="001412EE">
              <w:t>10 a str. (pripažintas medicininis vartojimas)</w:t>
            </w:r>
          </w:p>
          <w:p w14:paraId="5CF35A47" w14:textId="77777777" w:rsidR="00E70CED" w:rsidRPr="001412EE" w:rsidRDefault="00000000" w:rsidP="001F115E">
            <w:sdt>
              <w:sdtPr>
                <w:rPr>
                  <w:rStyle w:val="Style2"/>
                  <w:sz w:val="24"/>
                </w:rPr>
                <w:id w:val="204142496"/>
                <w15:color w:val="FFCC00"/>
                <w14:checkbox>
                  <w14:checked w14:val="0"/>
                  <w14:checkedState w14:val="2612" w14:font="MS Gothic"/>
                  <w14:uncheckedState w14:val="2610" w14:font="MS Gothic"/>
                </w14:checkbox>
              </w:sdtPr>
              <w:sdtContent>
                <w:r w:rsidR="00E70CED" w:rsidRPr="001412EE">
                  <w:rPr>
                    <w:rStyle w:val="Style2"/>
                    <w:rFonts w:ascii="Segoe UI Symbol" w:eastAsia="MS Gothic" w:hAnsi="Segoe UI Symbol" w:cs="Segoe UI Symbol"/>
                    <w:sz w:val="24"/>
                  </w:rPr>
                  <w:t>☐</w:t>
                </w:r>
              </w:sdtContent>
            </w:sdt>
            <w:r w:rsidR="00E70CED" w:rsidRPr="001412EE">
              <w:t>10.1 str. (generinis)</w:t>
            </w:r>
          </w:p>
          <w:p w14:paraId="0517A1B2" w14:textId="77777777" w:rsidR="00E70CED" w:rsidRPr="001412EE" w:rsidRDefault="00000000" w:rsidP="001F115E">
            <w:sdt>
              <w:sdtPr>
                <w:rPr>
                  <w:rStyle w:val="Style2"/>
                  <w:sz w:val="24"/>
                </w:rPr>
                <w:id w:val="820305101"/>
                <w15:color w:val="FFCC00"/>
                <w14:checkbox>
                  <w14:checked w14:val="0"/>
                  <w14:checkedState w14:val="2612" w14:font="MS Gothic"/>
                  <w14:uncheckedState w14:val="2610" w14:font="MS Gothic"/>
                </w14:checkbox>
              </w:sdtPr>
              <w:sdtContent>
                <w:r w:rsidR="00E70CED" w:rsidRPr="001412EE">
                  <w:rPr>
                    <w:rStyle w:val="Style2"/>
                    <w:rFonts w:ascii="Segoe UI Symbol" w:eastAsia="MS Gothic" w:hAnsi="Segoe UI Symbol" w:cs="Segoe UI Symbol"/>
                    <w:sz w:val="24"/>
                  </w:rPr>
                  <w:t>☐</w:t>
                </w:r>
              </w:sdtContent>
            </w:sdt>
            <w:r w:rsidR="00E70CED" w:rsidRPr="001412EE">
              <w:t>10.3 str. (hibridinis)</w:t>
            </w:r>
          </w:p>
          <w:p w14:paraId="0F37DDE0" w14:textId="78AF6516" w:rsidR="00063A50" w:rsidRPr="001412EE" w:rsidRDefault="00000000" w:rsidP="00063A50">
            <w:sdt>
              <w:sdtPr>
                <w:rPr>
                  <w:rStyle w:val="Style2"/>
                  <w:sz w:val="24"/>
                </w:rPr>
                <w:id w:val="1800953328"/>
                <w15:color w:val="FFCC00"/>
                <w14:checkbox>
                  <w14:checked w14:val="0"/>
                  <w14:checkedState w14:val="2612" w14:font="MS Gothic"/>
                  <w14:uncheckedState w14:val="2610" w14:font="MS Gothic"/>
                </w14:checkbox>
              </w:sdtPr>
              <w:sdtContent>
                <w:r w:rsidR="00063A50" w:rsidRPr="001412EE">
                  <w:rPr>
                    <w:rStyle w:val="Style2"/>
                    <w:rFonts w:ascii="Segoe UI Symbol" w:eastAsia="MS Gothic" w:hAnsi="Segoe UI Symbol" w:cs="Segoe UI Symbol"/>
                    <w:sz w:val="24"/>
                  </w:rPr>
                  <w:t>☐</w:t>
                </w:r>
              </w:sdtContent>
            </w:sdt>
            <w:r w:rsidR="00063A50" w:rsidRPr="001412EE">
              <w:t>10.4 str. (panašus biologinis)</w:t>
            </w:r>
          </w:p>
          <w:p w14:paraId="7EDB4848" w14:textId="77777777" w:rsidR="00063A50" w:rsidRPr="001412EE" w:rsidRDefault="00063A50" w:rsidP="001F115E">
            <w:pPr>
              <w:rPr>
                <w:rStyle w:val="Style2"/>
                <w:sz w:val="24"/>
              </w:rPr>
            </w:pPr>
          </w:p>
        </w:tc>
      </w:tr>
      <w:tr w:rsidR="00334F18" w:rsidRPr="001412EE" w14:paraId="31641941" w14:textId="77777777" w:rsidTr="003F3FFF">
        <w:trPr>
          <w:trHeight w:val="1011"/>
        </w:trPr>
        <w:tc>
          <w:tcPr>
            <w:tcW w:w="632" w:type="dxa"/>
          </w:tcPr>
          <w:p w14:paraId="2E73A32C" w14:textId="77777777" w:rsidR="00E70CED" w:rsidRPr="001412EE" w:rsidRDefault="00E70CED" w:rsidP="001F115E">
            <w:pPr>
              <w:rPr>
                <w:rFonts w:eastAsia="Arial"/>
                <w:b/>
                <w:bCs/>
              </w:rPr>
            </w:pPr>
            <w:r w:rsidRPr="001412EE">
              <w:rPr>
                <w:rFonts w:eastAsia="Arial"/>
                <w:b/>
              </w:rPr>
              <w:t>1.4</w:t>
            </w:r>
          </w:p>
        </w:tc>
        <w:tc>
          <w:tcPr>
            <w:tcW w:w="3899" w:type="dxa"/>
          </w:tcPr>
          <w:p w14:paraId="2547AC59" w14:textId="77777777" w:rsidR="00E70CED" w:rsidRPr="001412EE" w:rsidRDefault="00E70CED" w:rsidP="001F115E">
            <w:pPr>
              <w:tabs>
                <w:tab w:val="left" w:pos="284"/>
              </w:tabs>
              <w:rPr>
                <w:b/>
                <w:bCs/>
                <w:lang w:eastAsia="lt-LT"/>
              </w:rPr>
            </w:pPr>
            <w:r w:rsidRPr="001412EE">
              <w:rPr>
                <w:b/>
                <w:bCs/>
                <w:lang w:eastAsia="lt-LT"/>
              </w:rPr>
              <w:t>Ar vaistinis preparatas įrašytas į Bendrijos retųjų vaistinių preparatų registrą?</w:t>
            </w:r>
          </w:p>
        </w:tc>
        <w:tc>
          <w:tcPr>
            <w:tcW w:w="4962" w:type="dxa"/>
          </w:tcPr>
          <w:p w14:paraId="49AB923F" w14:textId="4CA18E73" w:rsidR="00E70CED" w:rsidRPr="001412EE" w:rsidRDefault="00000000" w:rsidP="001F115E">
            <w:sdt>
              <w:sdtPr>
                <w:rPr>
                  <w:rStyle w:val="Style2"/>
                  <w:sz w:val="24"/>
                </w:rPr>
                <w:id w:val="1190730465"/>
                <w15:color w:val="FFCC00"/>
                <w14:checkbox>
                  <w14:checked w14:val="0"/>
                  <w14:checkedState w14:val="2612" w14:font="MS Gothic"/>
                  <w14:uncheckedState w14:val="2610" w14:font="MS Gothic"/>
                </w14:checkbox>
              </w:sdtPr>
              <w:sdtContent>
                <w:r w:rsidR="00E70CED" w:rsidRPr="001412EE">
                  <w:rPr>
                    <w:rStyle w:val="Style2"/>
                    <w:rFonts w:ascii="Segoe UI Symbol" w:eastAsia="MS Gothic" w:hAnsi="Segoe UI Symbol" w:cs="Segoe UI Symbol"/>
                    <w:sz w:val="24"/>
                  </w:rPr>
                  <w:t>☐</w:t>
                </w:r>
              </w:sdtContent>
            </w:sdt>
            <w:r w:rsidR="00E70CED" w:rsidRPr="001412EE">
              <w:t xml:space="preserve"> Taip       </w:t>
            </w:r>
            <w:r w:rsidR="00E70CED" w:rsidRPr="001412EE">
              <w:rPr>
                <w:rStyle w:val="Style2"/>
                <w:sz w:val="24"/>
              </w:rPr>
              <w:t xml:space="preserve"> </w:t>
            </w:r>
            <w:sdt>
              <w:sdtPr>
                <w:rPr>
                  <w:rStyle w:val="Style2"/>
                  <w:sz w:val="24"/>
                </w:rPr>
                <w:id w:val="-1760283509"/>
                <w15:color w:val="FFCC00"/>
                <w14:checkbox>
                  <w14:checked w14:val="1"/>
                  <w14:checkedState w14:val="2612" w14:font="MS Gothic"/>
                  <w14:uncheckedState w14:val="2610" w14:font="MS Gothic"/>
                </w14:checkbox>
              </w:sdtPr>
              <w:sdtContent>
                <w:r w:rsidR="004A7ED2" w:rsidRPr="001412EE">
                  <w:rPr>
                    <w:rStyle w:val="Style2"/>
                    <w:rFonts w:ascii="MS Gothic" w:eastAsia="MS Gothic" w:hAnsi="MS Gothic"/>
                    <w:sz w:val="24"/>
                  </w:rPr>
                  <w:t>☒</w:t>
                </w:r>
              </w:sdtContent>
            </w:sdt>
            <w:r w:rsidR="00E70CED" w:rsidRPr="001412EE">
              <w:t xml:space="preserve"> Ne</w:t>
            </w:r>
          </w:p>
          <w:p w14:paraId="56165267" w14:textId="77777777" w:rsidR="00E70CED" w:rsidRPr="001412EE" w:rsidRDefault="00E70CED" w:rsidP="001F115E">
            <w:pPr>
              <w:rPr>
                <w:rFonts w:eastAsia="Arial"/>
              </w:rPr>
            </w:pPr>
            <w:r w:rsidRPr="001412EE">
              <w:t xml:space="preserve">Data: </w:t>
            </w:r>
            <w:sdt>
              <w:sdtPr>
                <w:alias w:val="Nurodykite konkrečią dieną"/>
                <w:tag w:val="Nurodykite pradžios datą"/>
                <w:id w:val="1784158105"/>
                <w:placeholder>
                  <w:docPart w:val="93D7EBE30A7F432F9AB1114CDC0B27A0"/>
                </w:placeholder>
                <w:showingPlcHdr/>
                <w15:color w:val="FFCC99"/>
                <w:date w:fullDate="2022-05-18T00:00:00Z">
                  <w:dateFormat w:val="yyyy 'm.' MMMM d 'd.'"/>
                  <w:lid w:val="lt-LT"/>
                  <w:storeMappedDataAs w:val="dateTime"/>
                  <w:calendar w:val="gregorian"/>
                </w:date>
              </w:sdtPr>
              <w:sdtContent>
                <w:r w:rsidRPr="001412EE">
                  <w:rPr>
                    <w:rStyle w:val="PlaceholderText"/>
                    <w:color w:val="auto"/>
                  </w:rPr>
                  <w:t>Click here to enter a date.</w:t>
                </w:r>
              </w:sdtContent>
            </w:sdt>
            <w:r w:rsidRPr="001412EE">
              <w:t xml:space="preserve"> Nr.</w:t>
            </w:r>
          </w:p>
        </w:tc>
      </w:tr>
      <w:tr w:rsidR="00334F18" w:rsidRPr="001412EE" w14:paraId="5E0775EB" w14:textId="77777777" w:rsidTr="003F3FFF">
        <w:trPr>
          <w:trHeight w:val="1011"/>
        </w:trPr>
        <w:tc>
          <w:tcPr>
            <w:tcW w:w="632" w:type="dxa"/>
          </w:tcPr>
          <w:p w14:paraId="6829924D" w14:textId="77777777" w:rsidR="00E70CED" w:rsidRPr="001412EE" w:rsidRDefault="00E70CED" w:rsidP="001F115E">
            <w:pPr>
              <w:rPr>
                <w:rFonts w:eastAsia="Arial"/>
                <w:b/>
              </w:rPr>
            </w:pPr>
            <w:r w:rsidRPr="001412EE">
              <w:rPr>
                <w:rFonts w:eastAsia="Arial"/>
                <w:b/>
                <w:bCs/>
              </w:rPr>
              <w:t>1.5</w:t>
            </w:r>
          </w:p>
        </w:tc>
        <w:tc>
          <w:tcPr>
            <w:tcW w:w="3899" w:type="dxa"/>
          </w:tcPr>
          <w:p w14:paraId="1DDE7CF3" w14:textId="2FF7A402" w:rsidR="00E70CED" w:rsidRPr="001412EE" w:rsidRDefault="00E70CED" w:rsidP="001F115E">
            <w:pPr>
              <w:tabs>
                <w:tab w:val="left" w:pos="284"/>
              </w:tabs>
              <w:rPr>
                <w:b/>
                <w:bCs/>
                <w:lang w:eastAsia="lt-LT"/>
              </w:rPr>
            </w:pPr>
            <w:r w:rsidRPr="001412EE">
              <w:rPr>
                <w:b/>
                <w:bCs/>
                <w:lang w:eastAsia="lt-LT"/>
              </w:rPr>
              <w:t>Ar atliktas bendras klinikinis vertinimas</w:t>
            </w:r>
          </w:p>
          <w:p w14:paraId="0961228D" w14:textId="77777777" w:rsidR="00E70CED" w:rsidRPr="001412EE" w:rsidRDefault="00E70CED" w:rsidP="001F115E">
            <w:pPr>
              <w:tabs>
                <w:tab w:val="left" w:pos="284"/>
              </w:tabs>
              <w:rPr>
                <w:b/>
                <w:bCs/>
                <w:lang w:eastAsia="lt-LT"/>
              </w:rPr>
            </w:pPr>
            <w:r w:rsidRPr="001412EE">
              <w:rPr>
                <w:b/>
                <w:bCs/>
                <w:lang w:eastAsia="lt-LT"/>
              </w:rPr>
              <w:t>(Europos Parlamento ir Tarybos reglamentas (ES) 2021/2282)</w:t>
            </w:r>
          </w:p>
          <w:p w14:paraId="7B6C3C1B" w14:textId="77777777" w:rsidR="00336238" w:rsidRPr="001412EE" w:rsidRDefault="00336238" w:rsidP="001F115E">
            <w:pPr>
              <w:tabs>
                <w:tab w:val="left" w:pos="284"/>
              </w:tabs>
              <w:rPr>
                <w:b/>
                <w:bCs/>
                <w:lang w:eastAsia="lt-LT"/>
              </w:rPr>
            </w:pPr>
          </w:p>
        </w:tc>
        <w:tc>
          <w:tcPr>
            <w:tcW w:w="4962" w:type="dxa"/>
          </w:tcPr>
          <w:p w14:paraId="024AE31B" w14:textId="4449BFD4" w:rsidR="00E70CED" w:rsidRPr="001412EE" w:rsidRDefault="00000000" w:rsidP="001F115E">
            <w:sdt>
              <w:sdtPr>
                <w:rPr>
                  <w:rStyle w:val="Style2"/>
                  <w:sz w:val="24"/>
                </w:rPr>
                <w:id w:val="-1171564470"/>
                <w15:color w:val="FFCC00"/>
                <w14:checkbox>
                  <w14:checked w14:val="1"/>
                  <w14:checkedState w14:val="2612" w14:font="MS Gothic"/>
                  <w14:uncheckedState w14:val="2610" w14:font="MS Gothic"/>
                </w14:checkbox>
              </w:sdtPr>
              <w:sdtContent>
                <w:r w:rsidR="004A7ED2" w:rsidRPr="001412EE">
                  <w:rPr>
                    <w:rStyle w:val="Style2"/>
                    <w:rFonts w:ascii="MS Gothic" w:eastAsia="MS Gothic" w:hAnsi="MS Gothic"/>
                    <w:sz w:val="24"/>
                  </w:rPr>
                  <w:t>☒</w:t>
                </w:r>
              </w:sdtContent>
            </w:sdt>
            <w:r w:rsidR="00E70CED" w:rsidRPr="001412EE">
              <w:t xml:space="preserve"> Taip       </w:t>
            </w:r>
            <w:r w:rsidR="00E70CED" w:rsidRPr="001412EE">
              <w:rPr>
                <w:rStyle w:val="Style2"/>
                <w:sz w:val="24"/>
              </w:rPr>
              <w:t xml:space="preserve"> </w:t>
            </w:r>
            <w:sdt>
              <w:sdtPr>
                <w:rPr>
                  <w:rStyle w:val="Style2"/>
                  <w:sz w:val="24"/>
                </w:rPr>
                <w:id w:val="1448122567"/>
                <w15:color w:val="FFCC00"/>
                <w14:checkbox>
                  <w14:checked w14:val="0"/>
                  <w14:checkedState w14:val="2612" w14:font="MS Gothic"/>
                  <w14:uncheckedState w14:val="2610" w14:font="MS Gothic"/>
                </w14:checkbox>
              </w:sdtPr>
              <w:sdtContent>
                <w:r w:rsidR="00E70CED" w:rsidRPr="001412EE">
                  <w:rPr>
                    <w:rStyle w:val="Style2"/>
                    <w:rFonts w:ascii="Segoe UI Symbol" w:eastAsia="MS Gothic" w:hAnsi="Segoe UI Symbol" w:cs="Segoe UI Symbol"/>
                    <w:sz w:val="24"/>
                  </w:rPr>
                  <w:t>☐</w:t>
                </w:r>
              </w:sdtContent>
            </w:sdt>
            <w:r w:rsidR="00E70CED" w:rsidRPr="001412EE">
              <w:t xml:space="preserve"> Ne</w:t>
            </w:r>
          </w:p>
          <w:p w14:paraId="0DF729B3" w14:textId="042856F7" w:rsidR="00E70CED" w:rsidRPr="001412EE" w:rsidRDefault="00E70CED" w:rsidP="001F115E">
            <w:pPr>
              <w:rPr>
                <w:rStyle w:val="Style2"/>
                <w:sz w:val="24"/>
              </w:rPr>
            </w:pPr>
            <w:r w:rsidRPr="001412EE">
              <w:t xml:space="preserve">Data: </w:t>
            </w:r>
            <w:sdt>
              <w:sdtPr>
                <w:alias w:val="Nurodykite konkrečią dieną"/>
                <w:tag w:val="Nurodykite pradžios datą"/>
                <w:id w:val="1516880001"/>
                <w:placeholder>
                  <w:docPart w:val="313EC56AA2FD440FAB92ED675BD36BA0"/>
                </w:placeholder>
                <w:showingPlcHdr/>
                <w15:color w:val="FFCC99"/>
                <w:date w:fullDate="2022-05-18T00:00:00Z">
                  <w:dateFormat w:val="yyyy 'm.' MMMM d 'd.'"/>
                  <w:lid w:val="lt-LT"/>
                  <w:storeMappedDataAs w:val="dateTime"/>
                  <w:calendar w:val="gregorian"/>
                </w:date>
              </w:sdtPr>
              <w:sdtContent>
                <w:r w:rsidRPr="001412EE">
                  <w:rPr>
                    <w:rStyle w:val="PlaceholderText"/>
                    <w:color w:val="auto"/>
                  </w:rPr>
                  <w:t>Click here to enter a date.</w:t>
                </w:r>
              </w:sdtContent>
            </w:sdt>
            <w:r w:rsidRPr="001412EE">
              <w:t xml:space="preserve"> </w:t>
            </w:r>
          </w:p>
        </w:tc>
      </w:tr>
      <w:tr w:rsidR="004A7ED2" w:rsidRPr="001412EE" w14:paraId="15E36E93" w14:textId="77777777" w:rsidTr="003F3FFF">
        <w:trPr>
          <w:trHeight w:val="1278"/>
        </w:trPr>
        <w:tc>
          <w:tcPr>
            <w:tcW w:w="632" w:type="dxa"/>
          </w:tcPr>
          <w:p w14:paraId="5F43AA8F" w14:textId="77777777" w:rsidR="004A7ED2" w:rsidRPr="001412EE" w:rsidRDefault="004A7ED2" w:rsidP="004A7ED2">
            <w:pPr>
              <w:rPr>
                <w:rFonts w:eastAsia="Arial"/>
                <w:b/>
                <w:bCs/>
              </w:rPr>
            </w:pPr>
            <w:r w:rsidRPr="001412EE">
              <w:rPr>
                <w:rFonts w:eastAsia="Arial"/>
                <w:b/>
                <w:bCs/>
              </w:rPr>
              <w:t>1.6</w:t>
            </w:r>
          </w:p>
        </w:tc>
        <w:tc>
          <w:tcPr>
            <w:tcW w:w="3899" w:type="dxa"/>
          </w:tcPr>
          <w:p w14:paraId="41F32942" w14:textId="77777777" w:rsidR="004A7ED2" w:rsidRPr="001412EE" w:rsidRDefault="004A7ED2" w:rsidP="004A7ED2">
            <w:pPr>
              <w:rPr>
                <w:b/>
                <w:bCs/>
                <w:lang w:eastAsia="lt-LT"/>
              </w:rPr>
            </w:pPr>
            <w:r w:rsidRPr="001412EE">
              <w:rPr>
                <w:b/>
                <w:bCs/>
                <w:lang w:eastAsia="lt-LT"/>
              </w:rPr>
              <w:t xml:space="preserve">Teikiama kompensuoti terapinė indikacija </w:t>
            </w:r>
          </w:p>
          <w:p w14:paraId="2882A5BD" w14:textId="77777777" w:rsidR="004A7ED2" w:rsidRPr="001412EE" w:rsidRDefault="004A7ED2" w:rsidP="004A7ED2">
            <w:pPr>
              <w:rPr>
                <w:b/>
                <w:bCs/>
                <w:lang w:eastAsia="lt-LT"/>
              </w:rPr>
            </w:pPr>
          </w:p>
          <w:p w14:paraId="371D188E" w14:textId="77777777" w:rsidR="004A7ED2" w:rsidRPr="001412EE" w:rsidRDefault="004A7ED2" w:rsidP="004A7ED2">
            <w:pPr>
              <w:rPr>
                <w:b/>
                <w:bCs/>
                <w:lang w:eastAsia="lt-LT"/>
              </w:rPr>
            </w:pPr>
            <w:r w:rsidRPr="001412EE">
              <w:rPr>
                <w:b/>
                <w:bCs/>
                <w:lang w:eastAsia="lt-LT"/>
              </w:rPr>
              <w:t>Kodas pagal TLK-10 AM</w:t>
            </w:r>
          </w:p>
        </w:tc>
        <w:tc>
          <w:tcPr>
            <w:tcW w:w="4962" w:type="dxa"/>
          </w:tcPr>
          <w:p w14:paraId="73C81F86" w14:textId="77777777" w:rsidR="004A7ED2" w:rsidRPr="001412EE" w:rsidRDefault="004A7ED2" w:rsidP="004A7ED2">
            <w:pPr>
              <w:pStyle w:val="ListParagraph"/>
              <w:spacing w:after="120"/>
              <w:ind w:left="0"/>
              <w:contextualSpacing w:val="0"/>
              <w:jc w:val="both"/>
            </w:pPr>
            <w:r w:rsidRPr="001412EE">
              <w:t xml:space="preserve">Alecensa monoterapija skiriama suaugusiesiems sergantiems nesmulkių ląstelių plaučių vėžiu adjuvantiniam gydymui po radikalios naviko rezekcijos, kai yra didelė ligos atkryčio rizika, kai </w:t>
            </w:r>
            <w:r w:rsidRPr="001412EE">
              <w:lastRenderedPageBreak/>
              <w:t>nustatytas anaplazinės limfomos kinazės (ALK) teigiamas navikas.</w:t>
            </w:r>
          </w:p>
          <w:p w14:paraId="5F6E3B55" w14:textId="77777777" w:rsidR="004A7ED2" w:rsidRPr="001412EE" w:rsidRDefault="004A7ED2" w:rsidP="004A7ED2">
            <w:pPr>
              <w:pStyle w:val="ListParagraph"/>
              <w:spacing w:after="120"/>
              <w:ind w:left="0"/>
              <w:contextualSpacing w:val="0"/>
              <w:jc w:val="both"/>
              <w:rPr>
                <w:rFonts w:eastAsia="Arial"/>
                <w:bCs/>
              </w:rPr>
            </w:pPr>
            <w:r w:rsidRPr="001412EE">
              <w:rPr>
                <w:rFonts w:eastAsia="Arial"/>
                <w:bCs/>
              </w:rPr>
              <w:t xml:space="preserve">TLK-10 AM </w:t>
            </w:r>
          </w:p>
          <w:p w14:paraId="22E71C33" w14:textId="77777777" w:rsidR="004A7ED2" w:rsidRPr="001412EE" w:rsidRDefault="004A7ED2" w:rsidP="004A7ED2">
            <w:pPr>
              <w:pStyle w:val="ListParagraph"/>
              <w:spacing w:after="120"/>
              <w:ind w:left="0"/>
              <w:contextualSpacing w:val="0"/>
              <w:jc w:val="both"/>
              <w:rPr>
                <w:rFonts w:eastAsia="Arial"/>
                <w:bCs/>
              </w:rPr>
            </w:pPr>
            <w:r w:rsidRPr="001412EE">
              <w:rPr>
                <w:rFonts w:eastAsia="Arial"/>
                <w:bCs/>
              </w:rPr>
              <w:t>C33 Trachėjos piktybinis navikas</w:t>
            </w:r>
          </w:p>
          <w:p w14:paraId="10833DB8" w14:textId="17318EB8" w:rsidR="004A7ED2" w:rsidRPr="001412EE" w:rsidRDefault="004A7ED2" w:rsidP="004A7ED2">
            <w:r w:rsidRPr="001412EE">
              <w:rPr>
                <w:rFonts w:eastAsia="Arial"/>
                <w:bCs/>
              </w:rPr>
              <w:t>C34 Broncho ir plaučio piktybinis navikas</w:t>
            </w:r>
          </w:p>
        </w:tc>
      </w:tr>
      <w:tr w:rsidR="004A7ED2" w:rsidRPr="001412EE" w14:paraId="01C3C4F5" w14:textId="77777777" w:rsidTr="003F3FFF">
        <w:trPr>
          <w:trHeight w:val="378"/>
        </w:trPr>
        <w:tc>
          <w:tcPr>
            <w:tcW w:w="632" w:type="dxa"/>
          </w:tcPr>
          <w:p w14:paraId="5115AFC1" w14:textId="77777777" w:rsidR="004A7ED2" w:rsidRPr="001412EE" w:rsidRDefault="004A7ED2" w:rsidP="004A7ED2">
            <w:pPr>
              <w:rPr>
                <w:rFonts w:eastAsia="Arial"/>
                <w:b/>
                <w:bCs/>
              </w:rPr>
            </w:pPr>
            <w:r w:rsidRPr="001412EE">
              <w:rPr>
                <w:rFonts w:eastAsia="Arial"/>
                <w:b/>
                <w:bCs/>
              </w:rPr>
              <w:lastRenderedPageBreak/>
              <w:t>1.7</w:t>
            </w:r>
          </w:p>
        </w:tc>
        <w:tc>
          <w:tcPr>
            <w:tcW w:w="3899" w:type="dxa"/>
          </w:tcPr>
          <w:p w14:paraId="48045B5A" w14:textId="77777777" w:rsidR="004A7ED2" w:rsidRPr="001412EE" w:rsidRDefault="004A7ED2" w:rsidP="004A7ED2">
            <w:pPr>
              <w:rPr>
                <w:b/>
                <w:bCs/>
                <w:u w:val="single"/>
                <w:lang w:eastAsia="lt-LT"/>
              </w:rPr>
            </w:pPr>
            <w:r w:rsidRPr="001412EE">
              <w:rPr>
                <w:b/>
                <w:bCs/>
                <w:lang w:eastAsia="lt-LT"/>
              </w:rPr>
              <w:t xml:space="preserve">Teikiamos skyrimo sąlygos </w:t>
            </w:r>
          </w:p>
        </w:tc>
        <w:tc>
          <w:tcPr>
            <w:tcW w:w="4962" w:type="dxa"/>
          </w:tcPr>
          <w:p w14:paraId="6A31562C" w14:textId="633CF98A" w:rsidR="004A7ED2" w:rsidRPr="001412EE" w:rsidRDefault="004A7ED2" w:rsidP="004A7ED2">
            <w:r w:rsidRPr="001412EE">
              <w:t xml:space="preserve">Neteikiamos </w:t>
            </w:r>
          </w:p>
        </w:tc>
      </w:tr>
      <w:tr w:rsidR="004A7ED2" w:rsidRPr="001412EE" w14:paraId="3C32C984" w14:textId="77777777" w:rsidTr="003F3FFF">
        <w:trPr>
          <w:trHeight w:val="378"/>
        </w:trPr>
        <w:tc>
          <w:tcPr>
            <w:tcW w:w="632" w:type="dxa"/>
          </w:tcPr>
          <w:p w14:paraId="4E679EDB" w14:textId="77777777" w:rsidR="004A7ED2" w:rsidRPr="001412EE" w:rsidRDefault="004A7ED2" w:rsidP="004A7ED2">
            <w:pPr>
              <w:rPr>
                <w:rFonts w:eastAsia="Arial"/>
                <w:b/>
                <w:bCs/>
              </w:rPr>
            </w:pPr>
            <w:r w:rsidRPr="001412EE">
              <w:rPr>
                <w:rFonts w:eastAsia="Arial"/>
                <w:b/>
                <w:bCs/>
              </w:rPr>
              <w:t>1.8</w:t>
            </w:r>
          </w:p>
        </w:tc>
        <w:tc>
          <w:tcPr>
            <w:tcW w:w="3899" w:type="dxa"/>
          </w:tcPr>
          <w:p w14:paraId="784605B5" w14:textId="3A924C79" w:rsidR="004A7ED2" w:rsidRPr="001412EE" w:rsidRDefault="004A7ED2" w:rsidP="004A7ED2">
            <w:pPr>
              <w:rPr>
                <w:b/>
                <w:bCs/>
                <w:lang w:eastAsia="lt-LT"/>
              </w:rPr>
            </w:pPr>
            <w:r w:rsidRPr="001412EE">
              <w:rPr>
                <w:b/>
                <w:bCs/>
                <w:lang w:eastAsia="lt-LT"/>
              </w:rPr>
              <w:t>Ekonominė analizė</w:t>
            </w:r>
          </w:p>
        </w:tc>
        <w:tc>
          <w:tcPr>
            <w:tcW w:w="4962" w:type="dxa"/>
          </w:tcPr>
          <w:p w14:paraId="3155F2E8" w14:textId="37ED04E1" w:rsidR="004A7ED2" w:rsidRPr="001412EE" w:rsidRDefault="00000000" w:rsidP="004A7ED2">
            <w:sdt>
              <w:sdtPr>
                <w:rPr>
                  <w:rStyle w:val="Style2"/>
                  <w:sz w:val="24"/>
                </w:rPr>
                <w:id w:val="356323367"/>
                <w15:color w:val="FFCC00"/>
                <w14:checkbox>
                  <w14:checked w14:val="1"/>
                  <w14:checkedState w14:val="2612" w14:font="MS Gothic"/>
                  <w14:uncheckedState w14:val="2610" w14:font="MS Gothic"/>
                </w14:checkbox>
              </w:sdtPr>
              <w:sdtContent>
                <w:r w:rsidR="004A7ED2" w:rsidRPr="001412EE">
                  <w:rPr>
                    <w:rStyle w:val="Style2"/>
                    <w:rFonts w:ascii="MS Gothic" w:eastAsia="MS Gothic" w:hAnsi="MS Gothic"/>
                    <w:sz w:val="24"/>
                  </w:rPr>
                  <w:t>☒</w:t>
                </w:r>
              </w:sdtContent>
            </w:sdt>
            <w:r w:rsidR="004A7ED2" w:rsidRPr="001412EE">
              <w:t xml:space="preserve"> Kaštų naudingumo analizė</w:t>
            </w:r>
          </w:p>
          <w:p w14:paraId="49547563" w14:textId="77777777" w:rsidR="004A7ED2" w:rsidRPr="001412EE" w:rsidRDefault="00000000" w:rsidP="004A7ED2">
            <w:sdt>
              <w:sdtPr>
                <w:rPr>
                  <w:rStyle w:val="Style2"/>
                  <w:sz w:val="24"/>
                </w:rPr>
                <w:id w:val="-250506580"/>
                <w15:color w:val="FFCC00"/>
                <w14:checkbox>
                  <w14:checked w14:val="0"/>
                  <w14:checkedState w14:val="2612" w14:font="MS Gothic"/>
                  <w14:uncheckedState w14:val="2610" w14:font="MS Gothic"/>
                </w14:checkbox>
              </w:sdtPr>
              <w:sdtContent>
                <w:r w:rsidR="004A7ED2" w:rsidRPr="001412EE">
                  <w:rPr>
                    <w:rStyle w:val="Style2"/>
                    <w:rFonts w:ascii="Segoe UI Symbol" w:eastAsia="MS Gothic" w:hAnsi="Segoe UI Symbol" w:cs="Segoe UI Symbol"/>
                    <w:sz w:val="24"/>
                  </w:rPr>
                  <w:t>☐</w:t>
                </w:r>
              </w:sdtContent>
            </w:sdt>
            <w:r w:rsidR="004A7ED2" w:rsidRPr="001412EE">
              <w:t xml:space="preserve"> Kaštų mažinimo analizė</w:t>
            </w:r>
          </w:p>
          <w:p w14:paraId="42039008" w14:textId="5726D9D8" w:rsidR="004A7ED2" w:rsidRPr="001412EE" w:rsidRDefault="00000000" w:rsidP="004A7ED2">
            <w:sdt>
              <w:sdtPr>
                <w:rPr>
                  <w:rStyle w:val="Style2"/>
                  <w:sz w:val="24"/>
                </w:rPr>
                <w:id w:val="-1570647133"/>
                <w15:color w:val="FFCC00"/>
                <w14:checkbox>
                  <w14:checked w14:val="0"/>
                  <w14:checkedState w14:val="2612" w14:font="MS Gothic"/>
                  <w14:uncheckedState w14:val="2610" w14:font="MS Gothic"/>
                </w14:checkbox>
              </w:sdtPr>
              <w:sdtContent>
                <w:r w:rsidR="004A7ED2" w:rsidRPr="001412EE">
                  <w:rPr>
                    <w:rStyle w:val="Style2"/>
                    <w:rFonts w:ascii="Segoe UI Symbol" w:eastAsia="MS Gothic" w:hAnsi="Segoe UI Symbol" w:cs="Segoe UI Symbol"/>
                    <w:sz w:val="24"/>
                  </w:rPr>
                  <w:t>☐</w:t>
                </w:r>
              </w:sdtContent>
            </w:sdt>
            <w:r w:rsidR="004A7ED2" w:rsidRPr="001412EE">
              <w:t xml:space="preserve"> Neteikiama</w:t>
            </w:r>
          </w:p>
          <w:p w14:paraId="5DC5A0C1" w14:textId="77777777" w:rsidR="004A7ED2" w:rsidRPr="001412EE" w:rsidRDefault="004A7ED2" w:rsidP="004A7ED2"/>
          <w:p w14:paraId="4B0FE78C" w14:textId="77777777" w:rsidR="004A7ED2" w:rsidRPr="001412EE" w:rsidRDefault="004A7ED2" w:rsidP="004A7ED2"/>
        </w:tc>
      </w:tr>
    </w:tbl>
    <w:p w14:paraId="2EB7FD31" w14:textId="5615B363" w:rsidR="007A2B68" w:rsidRPr="001412EE" w:rsidRDefault="00DC261A" w:rsidP="00063A50">
      <w:pPr>
        <w:pStyle w:val="ListParagraph"/>
        <w:tabs>
          <w:tab w:val="left" w:pos="426"/>
        </w:tabs>
        <w:ind w:left="0"/>
        <w:jc w:val="center"/>
        <w:rPr>
          <w:b/>
          <w:bCs/>
          <w:caps/>
        </w:rPr>
      </w:pPr>
      <w:r w:rsidRPr="001412EE">
        <w:rPr>
          <w:b/>
          <w:bCs/>
          <w:caps/>
        </w:rPr>
        <w:t>___________________</w:t>
      </w:r>
    </w:p>
    <w:p w14:paraId="73290081" w14:textId="77777777" w:rsidR="007A2B68" w:rsidRPr="001412EE" w:rsidRDefault="007A2B68">
      <w:pPr>
        <w:rPr>
          <w:b/>
          <w:bCs/>
          <w:caps/>
        </w:rPr>
      </w:pPr>
      <w:r w:rsidRPr="001412EE">
        <w:rPr>
          <w:b/>
          <w:bCs/>
          <w:caps/>
        </w:rPr>
        <w:br w:type="page"/>
      </w:r>
    </w:p>
    <w:p w14:paraId="5055E8A8" w14:textId="46614BC0" w:rsidR="002E6F80" w:rsidRPr="001412EE" w:rsidRDefault="00CC7832" w:rsidP="00CC09D4">
      <w:pPr>
        <w:pStyle w:val="ListParagraph"/>
        <w:numPr>
          <w:ilvl w:val="0"/>
          <w:numId w:val="12"/>
        </w:numPr>
        <w:tabs>
          <w:tab w:val="left" w:pos="567"/>
        </w:tabs>
        <w:ind w:hanging="720"/>
        <w:rPr>
          <w:b/>
          <w:bCs/>
          <w:caps/>
        </w:rPr>
      </w:pPr>
      <w:r w:rsidRPr="001412EE">
        <w:rPr>
          <w:b/>
          <w:bCs/>
          <w:caps/>
        </w:rPr>
        <w:lastRenderedPageBreak/>
        <w:t>Klinikinio vertinimo a</w:t>
      </w:r>
      <w:r w:rsidR="00D4485B" w:rsidRPr="001412EE">
        <w:rPr>
          <w:b/>
          <w:bCs/>
          <w:caps/>
        </w:rPr>
        <w:t>pibendrinimas</w:t>
      </w:r>
    </w:p>
    <w:p w14:paraId="25F89291" w14:textId="5C45C8FC" w:rsidR="00D4485B" w:rsidRPr="001412EE" w:rsidRDefault="00D4485B" w:rsidP="00A93AA6">
      <w:pPr>
        <w:pStyle w:val="ListParagraph"/>
        <w:tabs>
          <w:tab w:val="left" w:pos="426"/>
        </w:tabs>
        <w:ind w:left="0"/>
        <w:rPr>
          <w:b/>
          <w:bCs/>
          <w:caps/>
        </w:rPr>
      </w:pPr>
    </w:p>
    <w:p w14:paraId="1F17640E" w14:textId="3B9277BE" w:rsidR="008D1448" w:rsidRPr="001412EE" w:rsidRDefault="008D1448" w:rsidP="008D1448">
      <w:pPr>
        <w:pStyle w:val="NormalWeb"/>
        <w:spacing w:before="0" w:beforeAutospacing="0" w:after="0" w:afterAutospacing="0" w:line="276" w:lineRule="auto"/>
        <w:ind w:firstLine="720"/>
        <w:jc w:val="both"/>
        <w:rPr>
          <w:color w:val="000000" w:themeColor="text1"/>
        </w:rPr>
      </w:pPr>
      <w:r w:rsidRPr="001412EE">
        <w:rPr>
          <w:color w:val="000000" w:themeColor="text1"/>
        </w:rPr>
        <w:t>Plaučių vėžys yra dažniausia</w:t>
      </w:r>
      <w:r w:rsidRPr="001412EE">
        <w:rPr>
          <w:rStyle w:val="apple-converted-space"/>
          <w:color w:val="000000" w:themeColor="text1"/>
        </w:rPr>
        <w:t> </w:t>
      </w:r>
      <w:hyperlink r:id="rId8" w:tooltip="Mirtis" w:history="1">
        <w:r w:rsidRPr="001412EE">
          <w:rPr>
            <w:rStyle w:val="Hyperlink"/>
            <w:color w:val="000000" w:themeColor="text1"/>
          </w:rPr>
          <w:t>mirties</w:t>
        </w:r>
      </w:hyperlink>
      <w:r w:rsidRPr="001412EE">
        <w:rPr>
          <w:rStyle w:val="apple-converted-space"/>
          <w:color w:val="000000" w:themeColor="text1"/>
        </w:rPr>
        <w:t> </w:t>
      </w:r>
      <w:r w:rsidRPr="001412EE">
        <w:rPr>
          <w:color w:val="000000" w:themeColor="text1"/>
        </w:rPr>
        <w:t>nuo vėžio priežastis.</w:t>
      </w:r>
      <w:r w:rsidRPr="001412EE">
        <w:rPr>
          <w:rStyle w:val="apple-converted-space"/>
          <w:color w:val="000000" w:themeColor="text1"/>
        </w:rPr>
        <w:t> </w:t>
      </w:r>
      <w:r w:rsidRPr="001412EE">
        <w:rPr>
          <w:color w:val="000000" w:themeColor="text1"/>
        </w:rPr>
        <w:t>Ankstyvas plaučių vėžys dažnai neturi jokių simptomų. Plaučių vėžio simptomai dažnai būna nespecifinės kvėpavimo problemos –</w:t>
      </w:r>
      <w:r w:rsidRPr="001412EE">
        <w:rPr>
          <w:rStyle w:val="apple-converted-space"/>
          <w:color w:val="000000" w:themeColor="text1"/>
        </w:rPr>
        <w:t> </w:t>
      </w:r>
      <w:hyperlink r:id="rId9" w:tooltip="Kosulys" w:history="1">
        <w:r w:rsidRPr="001412EE">
          <w:rPr>
            <w:rStyle w:val="Hyperlink"/>
            <w:color w:val="000000" w:themeColor="text1"/>
          </w:rPr>
          <w:t>kosulys</w:t>
        </w:r>
      </w:hyperlink>
      <w:r w:rsidRPr="001412EE">
        <w:rPr>
          <w:color w:val="000000" w:themeColor="text1"/>
        </w:rPr>
        <w:t>,</w:t>
      </w:r>
      <w:r w:rsidRPr="001412EE">
        <w:rPr>
          <w:rStyle w:val="apple-converted-space"/>
          <w:color w:val="000000" w:themeColor="text1"/>
        </w:rPr>
        <w:t> </w:t>
      </w:r>
      <w:hyperlink r:id="rId10" w:tooltip="Dusulys (puslapis neegzistuoja)" w:history="1">
        <w:r w:rsidRPr="001412EE">
          <w:rPr>
            <w:rStyle w:val="Hyperlink"/>
            <w:color w:val="000000" w:themeColor="text1"/>
          </w:rPr>
          <w:t>dusulys</w:t>
        </w:r>
      </w:hyperlink>
      <w:r w:rsidRPr="001412EE">
        <w:rPr>
          <w:rStyle w:val="apple-converted-space"/>
          <w:color w:val="000000" w:themeColor="text1"/>
        </w:rPr>
        <w:t> </w:t>
      </w:r>
      <w:r w:rsidRPr="001412EE">
        <w:rPr>
          <w:color w:val="000000" w:themeColor="text1"/>
        </w:rPr>
        <w:t xml:space="preserve">ar krūtinės skausmas. </w:t>
      </w:r>
      <w:r w:rsidRPr="001412EE">
        <w:rPr>
          <w:rFonts w:eastAsia="Arial"/>
          <w:color w:val="000000" w:themeColor="text1"/>
        </w:rPr>
        <w:t xml:space="preserve">Plaučių vėžio morfologinė diagnostika </w:t>
      </w:r>
      <w:r w:rsidR="00615894" w:rsidRPr="001412EE">
        <w:rPr>
          <w:rFonts w:eastAsia="Arial"/>
          <w:color w:val="000000" w:themeColor="text1"/>
        </w:rPr>
        <w:t>grindžiama</w:t>
      </w:r>
      <w:r w:rsidRPr="001412EE">
        <w:rPr>
          <w:rFonts w:eastAsia="Arial"/>
          <w:color w:val="000000" w:themeColor="text1"/>
        </w:rPr>
        <w:t xml:space="preserve"> 2021 metų PSO patvirtinta plaučių navikų klasifikacija. </w:t>
      </w:r>
      <w:r w:rsidR="00615894" w:rsidRPr="001412EE">
        <w:rPr>
          <w:rFonts w:eastAsia="Arial"/>
          <w:color w:val="000000" w:themeColor="text1"/>
        </w:rPr>
        <w:t>Klinikinėje</w:t>
      </w:r>
      <w:r w:rsidRPr="001412EE">
        <w:rPr>
          <w:rFonts w:eastAsia="Arial"/>
          <w:color w:val="000000" w:themeColor="text1"/>
        </w:rPr>
        <w:t xml:space="preserve"> praktikoje </w:t>
      </w:r>
      <w:r w:rsidR="00615894" w:rsidRPr="001412EE">
        <w:rPr>
          <w:rFonts w:eastAsia="Arial"/>
          <w:color w:val="000000" w:themeColor="text1"/>
        </w:rPr>
        <w:t>atsižvelgiant</w:t>
      </w:r>
      <w:r w:rsidRPr="001412EE">
        <w:rPr>
          <w:rFonts w:eastAsia="Arial"/>
          <w:color w:val="000000" w:themeColor="text1"/>
        </w:rPr>
        <w:t xml:space="preserve"> į </w:t>
      </w:r>
      <w:r w:rsidR="00615894" w:rsidRPr="001412EE">
        <w:rPr>
          <w:rFonts w:eastAsia="Arial"/>
          <w:color w:val="000000" w:themeColor="text1"/>
        </w:rPr>
        <w:t>plaučių</w:t>
      </w:r>
      <w:r w:rsidRPr="001412EE">
        <w:rPr>
          <w:rFonts w:eastAsia="Arial"/>
          <w:color w:val="000000" w:themeColor="text1"/>
        </w:rPr>
        <w:t>̨ vėžio biologiją, prognozę ir gydymo</w:t>
      </w:r>
      <w:r w:rsidRPr="001412EE">
        <w:t xml:space="preserve"> </w:t>
      </w:r>
      <w:r w:rsidRPr="001412EE">
        <w:rPr>
          <w:rFonts w:eastAsia="Arial"/>
          <w:color w:val="000000" w:themeColor="text1"/>
        </w:rPr>
        <w:t xml:space="preserve">taktiką plaučių piktybiniai navikai klasifikuojami į nesmulkiųjų (NSLPV) ir smulkiųjų ląstelių plaučių vėžį. Dažniausi NSLPV tipai yra plokščialąstelinė karcinoma, didelių ląstelių karcinoma bei adenokarcinoma. </w:t>
      </w:r>
    </w:p>
    <w:p w14:paraId="5F6624D5" w14:textId="7D087AE7" w:rsidR="008D1448" w:rsidRPr="001412EE" w:rsidRDefault="008D1448" w:rsidP="008D1448">
      <w:pPr>
        <w:spacing w:line="276" w:lineRule="auto"/>
        <w:ind w:firstLine="720"/>
        <w:jc w:val="both"/>
        <w:rPr>
          <w:rFonts w:eastAsia="Arial"/>
          <w:color w:val="000000" w:themeColor="text1"/>
        </w:rPr>
      </w:pPr>
      <w:r w:rsidRPr="001412EE">
        <w:rPr>
          <w:rFonts w:eastAsia="Arial"/>
          <w:color w:val="000000" w:themeColor="text1"/>
        </w:rPr>
        <w:t>2020 m. Europos Sąjungoje plaučių vėžys buvo naujai diagnozuotas 11,9 proc. visų naujų vėžio diagnozių ir 20,4 proc. visų mirčių dėl vėžio. GLOBOCAN duomenimis, Lietuvoje 2022 m. diagnozuota 1494 naujų plaučių vėžio atvejų, Higienos instituto duomenimis 2023 m. sirgo 4756, mirė – 1076 pacientai.</w:t>
      </w:r>
      <w:r w:rsidR="00615894" w:rsidRPr="001412EE">
        <w:t xml:space="preserve"> </w:t>
      </w:r>
      <w:r w:rsidRPr="001412EE">
        <w:t>Vienam trečdaliui ligonių nustatomas neišplitęs NSLPV. Pusei iš jų potencialiai galimas radikalus chirurginis gydymas ir adjuvantinis gydymas. A</w:t>
      </w:r>
      <w:r w:rsidRPr="001412EE">
        <w:rPr>
          <w:rFonts w:eastAsia="Arial"/>
          <w:color w:val="000000" w:themeColor="text1"/>
        </w:rPr>
        <w:t xml:space="preserve">naplastinės limfomos kinazės geno translokacijas </w:t>
      </w:r>
      <w:r w:rsidRPr="001412EE">
        <w:t xml:space="preserve">ALK mutacijos navike nustatomas tik 5 proc., ligonių. </w:t>
      </w:r>
    </w:p>
    <w:p w14:paraId="6C9FDE9C" w14:textId="68D59CA8" w:rsidR="008D1448" w:rsidRPr="001412EE" w:rsidRDefault="008D1448" w:rsidP="008D1448">
      <w:pPr>
        <w:spacing w:line="276" w:lineRule="auto"/>
        <w:ind w:firstLine="720"/>
        <w:jc w:val="both"/>
        <w:rPr>
          <w:rFonts w:eastAsia="Arial"/>
          <w:color w:val="000000" w:themeColor="text1"/>
        </w:rPr>
      </w:pPr>
      <w:r w:rsidRPr="001412EE">
        <w:t xml:space="preserve">Didelio atkryčio rizikos kriterijai nurodyti alektinibo preparatų charakteristikų santraukoje, remiasi </w:t>
      </w:r>
      <w:r w:rsidRPr="001412EE">
        <w:rPr>
          <w:rFonts w:eastAsia="Arial"/>
          <w:color w:val="000000" w:themeColor="text1"/>
        </w:rPr>
        <w:t xml:space="preserve">Amerikos jungtiniu vėžio komiteto (angl. </w:t>
      </w:r>
      <w:r w:rsidRPr="001412EE">
        <w:rPr>
          <w:rFonts w:eastAsia="Arial"/>
          <w:i/>
          <w:iCs/>
          <w:color w:val="000000" w:themeColor="text1"/>
        </w:rPr>
        <w:t>American Joint Committee on Cancer, toliau</w:t>
      </w:r>
      <w:r w:rsidRPr="001412EE">
        <w:rPr>
          <w:rFonts w:eastAsia="Arial"/>
          <w:color w:val="000000" w:themeColor="text1"/>
        </w:rPr>
        <w:t xml:space="preserve"> – AJCC) ir Tarptautinio susiviejinimo dėl vėžio kontrolės (angl. </w:t>
      </w:r>
      <w:r w:rsidRPr="001412EE">
        <w:rPr>
          <w:rFonts w:eastAsia="Arial"/>
          <w:i/>
          <w:iCs/>
          <w:color w:val="000000" w:themeColor="text1"/>
        </w:rPr>
        <w:t>International Union for Cancer Control</w:t>
      </w:r>
      <w:r w:rsidRPr="001412EE">
        <w:rPr>
          <w:rFonts w:eastAsia="Arial"/>
          <w:color w:val="000000" w:themeColor="text1"/>
        </w:rPr>
        <w:t xml:space="preserve">, toliau - UICC) TNM </w:t>
      </w:r>
      <w:r w:rsidRPr="001412EE">
        <w:t xml:space="preserve">klasifikacijos 7 leidimu (2010 m.), kuriame navikai kurių dydis 4-5 cm. ir nenustatyta </w:t>
      </w:r>
      <w:r w:rsidR="00615894" w:rsidRPr="001412EE">
        <w:t>limfmazgių</w:t>
      </w:r>
      <w:r w:rsidRPr="001412EE">
        <w:t xml:space="preserve"> įtraukimo bei metastazių pagal TNM buvo klasifikuojami kaip T2bN0M0 ir priskiriami IB stadijai. Šiuo metu klinikinėje praktikoje vadovaujamasi 8 leidimu (2017 m.), kuriame minėtų charakteristikų navikai priskiriami IIA stadijai, o IB stadijai priskiriami navikai, kurių dydis yra 3-4 cm, nesant </w:t>
      </w:r>
      <w:r w:rsidR="00615894" w:rsidRPr="001412EE">
        <w:t>limfmazgių</w:t>
      </w:r>
      <w:r w:rsidRPr="001412EE">
        <w:t xml:space="preserve"> įtraukimo bei metastazių (T2aN0M0).</w:t>
      </w:r>
      <w:r w:rsidRPr="001412EE">
        <w:rPr>
          <w:rFonts w:eastAsia="Arial"/>
          <w:color w:val="000000" w:themeColor="text1"/>
        </w:rPr>
        <w:t xml:space="preserve"> </w:t>
      </w:r>
    </w:p>
    <w:p w14:paraId="4C2C01B4" w14:textId="1B19CACA" w:rsidR="008D1448" w:rsidRPr="001412EE" w:rsidRDefault="008D1448" w:rsidP="008D1448">
      <w:pPr>
        <w:tabs>
          <w:tab w:val="left" w:pos="426"/>
        </w:tabs>
        <w:spacing w:line="276" w:lineRule="auto"/>
        <w:jc w:val="both"/>
        <w:rPr>
          <w:rFonts w:eastAsia="Arial"/>
          <w:color w:val="000000" w:themeColor="text1"/>
        </w:rPr>
      </w:pPr>
      <w:r w:rsidRPr="001412EE">
        <w:rPr>
          <w:rFonts w:eastAsia="Arial"/>
          <w:color w:val="000000" w:themeColor="text1"/>
        </w:rPr>
        <w:tab/>
        <w:t xml:space="preserve">LR SAM įsakyme ,,Dėl ligų ir sveikatos būklių, kurioms esant atliekami privalomojo sveikatos draudimo fondo biudžeto lėšomis apmokami naviko genetikos tyrimai, sąrašų ir minimalių šių tyrimų skyrimo ir atlikimo </w:t>
      </w:r>
      <w:r w:rsidR="00615894" w:rsidRPr="001412EE">
        <w:rPr>
          <w:rFonts w:eastAsia="Arial"/>
          <w:color w:val="000000" w:themeColor="text1"/>
        </w:rPr>
        <w:t>reikalavimų</w:t>
      </w:r>
      <w:r w:rsidRPr="001412EE">
        <w:rPr>
          <w:rFonts w:eastAsia="Arial"/>
          <w:color w:val="000000" w:themeColor="text1"/>
        </w:rPr>
        <w:t xml:space="preserve"> aprašo patvirtinimo” (Nr. V-1058), nurodoma, jog kai </w:t>
      </w:r>
      <w:r w:rsidRPr="001412EE">
        <w:rPr>
          <w:rStyle w:val="s3"/>
          <w:color w:val="000000"/>
        </w:rPr>
        <w:t>pacientui įtariamos arba patvirtintos ligos, kurių</w:t>
      </w:r>
      <w:r w:rsidRPr="001412EE">
        <w:rPr>
          <w:rStyle w:val="apple-converted-space"/>
          <w:color w:val="000000"/>
        </w:rPr>
        <w:t> </w:t>
      </w:r>
      <w:r w:rsidRPr="001412EE">
        <w:rPr>
          <w:rStyle w:val="s3"/>
          <w:color w:val="000000"/>
        </w:rPr>
        <w:t>kodas pagal TLK-10-AM C00–C80,</w:t>
      </w:r>
      <w:r w:rsidRPr="001412EE">
        <w:rPr>
          <w:rStyle w:val="apple-converted-space"/>
          <w:color w:val="000000"/>
        </w:rPr>
        <w:t> </w:t>
      </w:r>
      <w:r w:rsidRPr="001412EE">
        <w:rPr>
          <w:rStyle w:val="s3"/>
          <w:color w:val="000000"/>
        </w:rPr>
        <w:t>diagnostikos ir (ar) gydymo taktikai parinkti atliekamas įvairių genų ištyrimas, tame tarpe – ALK (20-29 egzonai), EGFR (18-21 egzonai).</w:t>
      </w:r>
    </w:p>
    <w:p w14:paraId="4F4A3A1F" w14:textId="77777777" w:rsidR="008D1448" w:rsidRPr="001412EE" w:rsidRDefault="008D1448" w:rsidP="008D1448">
      <w:pPr>
        <w:spacing w:line="276" w:lineRule="auto"/>
        <w:ind w:firstLine="720"/>
        <w:jc w:val="both"/>
      </w:pPr>
      <w:r w:rsidRPr="001412EE">
        <w:t xml:space="preserve">I-IIIA stadijos NSLPV atveju standartiškai skiriamas chirurginis gydymas ir adjuvantinė (jei operacija radikali) chemoterapija. </w:t>
      </w:r>
      <w:r w:rsidRPr="001412EE">
        <w:rPr>
          <w:color w:val="000000"/>
        </w:rPr>
        <w:t>Ligoniams, po radikalios nesmulkių ląstelių naviko rezekcijos, IB</w:t>
      </w:r>
      <w:r w:rsidRPr="001412EE">
        <w:rPr>
          <w:color w:val="000000"/>
        </w:rPr>
        <w:sym w:font="Symbol" w:char="F02D"/>
      </w:r>
      <w:r w:rsidRPr="001412EE">
        <w:rPr>
          <w:color w:val="000000"/>
        </w:rPr>
        <w:t>IIIA stadijos atveju skiriama adjuvantinė chemoterapija platinos preparatų pagrindu.</w:t>
      </w:r>
      <w:r w:rsidRPr="001412EE">
        <w:t xml:space="preserve"> </w:t>
      </w:r>
    </w:p>
    <w:p w14:paraId="6DA48808" w14:textId="666A0947" w:rsidR="008D1448" w:rsidRPr="001412EE" w:rsidRDefault="008D1448" w:rsidP="008D1448">
      <w:pPr>
        <w:spacing w:line="276" w:lineRule="auto"/>
        <w:ind w:firstLine="720"/>
        <w:jc w:val="both"/>
      </w:pPr>
      <w:r w:rsidRPr="001412EE">
        <w:rPr>
          <w:rFonts w:eastAsia="Arial"/>
          <w:color w:val="000000" w:themeColor="text1"/>
        </w:rPr>
        <w:t xml:space="preserve">Remiantis Nacionalinio vėžio tinklo (angl. </w:t>
      </w:r>
      <w:r w:rsidRPr="001412EE">
        <w:rPr>
          <w:rFonts w:eastAsia="Arial"/>
          <w:i/>
          <w:iCs/>
          <w:color w:val="000000" w:themeColor="text1"/>
        </w:rPr>
        <w:t>National Comprehensive Cancer Network</w:t>
      </w:r>
      <w:r w:rsidRPr="001412EE">
        <w:rPr>
          <w:rFonts w:eastAsia="Arial"/>
          <w:color w:val="000000" w:themeColor="text1"/>
        </w:rPr>
        <w:t>, toliau - NCCN)</w:t>
      </w:r>
      <w:r w:rsidRPr="001412EE">
        <w:t>,</w:t>
      </w:r>
      <w:r w:rsidRPr="001412EE">
        <w:rPr>
          <w:i/>
          <w:iCs/>
        </w:rPr>
        <w:t xml:space="preserve"> </w:t>
      </w:r>
      <w:r w:rsidRPr="001412EE">
        <w:t xml:space="preserve">NSLPV vėžio gydymo rekomendacijomis (2025 m., </w:t>
      </w:r>
      <w:r w:rsidRPr="001412EE">
        <w:rPr>
          <w:i/>
          <w:iCs/>
        </w:rPr>
        <w:t>version 3</w:t>
      </w:r>
      <w:r w:rsidRPr="001412EE">
        <w:t>) adjuvantinis gydymas po visiškos naviko rezekcijos (R0) rekomenduojamas esant IB ir IIA (T2b, N0), kai nustatyti didelės atk</w:t>
      </w:r>
      <w:r w:rsidR="0064186B" w:rsidRPr="001412EE">
        <w:t>r</w:t>
      </w:r>
      <w:r w:rsidRPr="001412EE">
        <w:t xml:space="preserve">yčio rizikos požymiai bei esant IIB-IIIB stadijai. Nustačius ALK mutaciją, rekomenduojamas gydymas alektinibu, brigatinibu, ceritinibu, krizotinibu, ensartinibu, lorlatinibu.  </w:t>
      </w:r>
    </w:p>
    <w:p w14:paraId="5C0393C4" w14:textId="77777777" w:rsidR="008D1448" w:rsidRPr="001412EE" w:rsidRDefault="008D1448" w:rsidP="008D1448">
      <w:pPr>
        <w:spacing w:line="276" w:lineRule="auto"/>
        <w:ind w:firstLine="720"/>
        <w:jc w:val="both"/>
        <w:rPr>
          <w:color w:val="000000"/>
        </w:rPr>
      </w:pPr>
      <w:r w:rsidRPr="001412EE">
        <w:t xml:space="preserve">Remiantis </w:t>
      </w:r>
      <w:r w:rsidRPr="001412EE">
        <w:rPr>
          <w:rFonts w:eastAsia="Arial"/>
          <w:iCs/>
        </w:rPr>
        <w:t>„</w:t>
      </w:r>
      <w:r w:rsidRPr="001412EE">
        <w:t xml:space="preserve">Plaučių vėžio ambulatorinio gydymo, kurio išlaidos kompensuojamos iš Privalomojo sveikatos draudimo fondo biudžeto, tvarkos aprašas” </w:t>
      </w:r>
      <w:r w:rsidRPr="001412EE">
        <w:rPr>
          <w:color w:val="000000"/>
        </w:rPr>
        <w:t>adjuvantiniam NSLPV gydymui šiuo metu skiriami cisplatina ir etopozidas; cisplatina ir vinorelbinas, todėl šie vaistiniai preparatai laikomi tinkamu palyginamuoju gydymu, atitinkančiu įprastinę klinikinę praktiką Lietuvoje.</w:t>
      </w:r>
    </w:p>
    <w:p w14:paraId="10489F99" w14:textId="77777777" w:rsidR="008D1448" w:rsidRPr="001412EE" w:rsidRDefault="008D1448" w:rsidP="008D1448">
      <w:pPr>
        <w:spacing w:line="276" w:lineRule="auto"/>
        <w:ind w:firstLine="720"/>
        <w:jc w:val="both"/>
        <w:rPr>
          <w:color w:val="000000"/>
        </w:rPr>
      </w:pPr>
    </w:p>
    <w:p w14:paraId="4D1F5872" w14:textId="77777777" w:rsidR="008D1448" w:rsidRPr="001412EE" w:rsidRDefault="008D1448" w:rsidP="008D1448">
      <w:pPr>
        <w:spacing w:line="276" w:lineRule="auto"/>
        <w:ind w:firstLine="720"/>
        <w:jc w:val="both"/>
        <w:rPr>
          <w:i/>
          <w:iCs/>
          <w:color w:val="000000"/>
        </w:rPr>
      </w:pPr>
      <w:r w:rsidRPr="001412EE">
        <w:rPr>
          <w:i/>
          <w:iCs/>
          <w:color w:val="000000"/>
        </w:rPr>
        <w:t>Tiesioginis palyginimas</w:t>
      </w:r>
    </w:p>
    <w:p w14:paraId="3DE81299" w14:textId="77777777" w:rsidR="008D1448" w:rsidRPr="001412EE" w:rsidRDefault="008D1448" w:rsidP="008D1448">
      <w:pPr>
        <w:spacing w:line="276" w:lineRule="auto"/>
        <w:ind w:firstLine="720"/>
        <w:jc w:val="both"/>
      </w:pPr>
      <w:r w:rsidRPr="001412EE">
        <w:t xml:space="preserve">Tiesioginio palyginimo dalyje Pareiškėjas pateikė klinikinį tyrimą ALINA - 3 fazės, atvirą, atsitiktinių imčių tyrimą, kuriame lygintas adjuvantinio gydymo alektinibu arba chemoterapijos </w:t>
      </w:r>
      <w:r w:rsidRPr="001412EE">
        <w:lastRenderedPageBreak/>
        <w:t xml:space="preserve">pagrindu efektyvumas, po radikalaus chirurginio IB, II arba IIIA st. ALK teigiamo nesmulkiųjų ląstelių plaučių vėžio radikalaus operacinio gydymo. </w:t>
      </w:r>
    </w:p>
    <w:p w14:paraId="0B1E5878" w14:textId="77777777" w:rsidR="008D1448" w:rsidRPr="001412EE" w:rsidRDefault="008D1448" w:rsidP="008D1448">
      <w:pPr>
        <w:spacing w:line="276" w:lineRule="auto"/>
        <w:ind w:firstLine="720"/>
        <w:jc w:val="both"/>
      </w:pPr>
      <w:r w:rsidRPr="001412EE">
        <w:t>Į ALINA pacientų populiaciją buvo įtraukiami pacientai, kurių NSLPV buvo nuo Ib stadijos pagal 7 AJCC/UICC TNM klasifikacijos leidimą (t.y. naviko dydis &gt; 4 cm). Atsižvelgiant į atnaujintą ir šiuo metu galiojančią 8 leidimo AJCC/UICC TNM klasifikaciją, šie pacientai atitinka IIa stadiją (T2bN0M0).</w:t>
      </w:r>
    </w:p>
    <w:p w14:paraId="2634A1C0" w14:textId="10F895F3" w:rsidR="008D1448" w:rsidRPr="001412EE" w:rsidRDefault="008D1448" w:rsidP="008D1448">
      <w:pPr>
        <w:spacing w:line="276" w:lineRule="auto"/>
        <w:ind w:firstLine="720"/>
        <w:jc w:val="both"/>
        <w:rPr>
          <w:rFonts w:eastAsia="Arial"/>
          <w:iCs/>
          <w:color w:val="000000" w:themeColor="text1"/>
        </w:rPr>
      </w:pPr>
      <w:r w:rsidRPr="001412EE">
        <w:t>Kliniki</w:t>
      </w:r>
      <w:r w:rsidR="003C5ACB" w:rsidRPr="001412EE">
        <w:t>ni</w:t>
      </w:r>
      <w:r w:rsidRPr="001412EE">
        <w:t>o tyrimo ALINA pagrindinė vertinam</w:t>
      </w:r>
      <w:r w:rsidR="001D6E7F" w:rsidRPr="001412EE">
        <w:t>o</w:t>
      </w:r>
      <w:r w:rsidRPr="001412EE">
        <w:t xml:space="preserve">ji baigtis – išgyvenamumas be ligos progresavimo vertinta visoje pacientų ir II-IIIA st. (pagal 7 AJCC/UICC TNM klasifikacijos leidimą) pacientų populiacijose. </w:t>
      </w:r>
      <w:r w:rsidRPr="001412EE">
        <w:rPr>
          <w:rFonts w:eastAsia="Arial"/>
          <w:iCs/>
          <w:color w:val="000000" w:themeColor="text1"/>
        </w:rPr>
        <w:t xml:space="preserve">II-IIIA stadijos pacientų populiacijoje, alektinibo vartojimas buvo siejamas su 76 proc. mažesne ligos progresavimo ar mirties rizika (t.y. IBLP), lyginant su chemoterapijos vartojimu (RS 0,24, 95 proc. PI 0,13, 0,45, p &lt; 0,0001). Visoje pacientų populiacijoje, alektinibo vartojimas buvo taip pat siejamas su 76 proc. mažesne ligos progresavimo ar mirties rizika, lyginant su chemoterapijos vartojimu (RS 0,24, 95 proc. PI 0,13, 0,43, p &lt; 0,0001). </w:t>
      </w:r>
    </w:p>
    <w:p w14:paraId="4C2E1865" w14:textId="052EBBD2" w:rsidR="008D1448" w:rsidRPr="001412EE" w:rsidRDefault="008D1448" w:rsidP="008D1448">
      <w:pPr>
        <w:spacing w:line="276" w:lineRule="auto"/>
        <w:ind w:firstLine="720"/>
        <w:jc w:val="both"/>
      </w:pPr>
      <w:r w:rsidRPr="001412EE">
        <w:t>Pareiškėjai nepateikė galutinių BI išgyvenamumo duomenų (antrinė vertinamoji baigtis). Atsižvelgiant į tai, jog alektinibas skirtas ankstyvos stadijos adjuvantiniam plaučių vėžio gydymui, tikėtina, jog brandūs BI duomenys nebus prieinami. Atsižvelgiant į tai, IBLP laikomas kliniškai reikšminga baigtimi atliekant klinikinį vertinimą.</w:t>
      </w:r>
    </w:p>
    <w:p w14:paraId="1F6AA5C6" w14:textId="3D45CA88" w:rsidR="008D1448" w:rsidRPr="001412EE" w:rsidRDefault="008D1448" w:rsidP="008D1448">
      <w:pPr>
        <w:spacing w:line="276" w:lineRule="auto"/>
        <w:ind w:firstLine="720"/>
        <w:jc w:val="both"/>
      </w:pPr>
      <w:r w:rsidRPr="001412EE">
        <w:rPr>
          <w:rFonts w:eastAsia="Arial"/>
          <w:iCs/>
          <w:color w:val="000000" w:themeColor="text1"/>
        </w:rPr>
        <w:t xml:space="preserve">Duomenų analizės metu, visoje pacientų populiacijoje 3,8 proc. (5 pacientai) alektinibo ir 14,2 proc. (18 pacientų) chemoterapijos grupėse patyrė ligos progresavimą CNS ar mirė (RS 0,22, 95 proc. PI 0,08, 0,58) (žvalgomoji baigtis). Alektinibo grupėje liga atsinaujino 11,5 proc. (15 pacientų), chemoterapijos – 38,6 proc. (49 pacientai). Alektinibo grupėje tolimosios atsinaujinusios ligos metastazės nustatytos 3,8 proc. (5 pacientai), o chemoterapijos grupėje – 21,3 proc. (27 pacientams). Dažniausios tolimųjų metastazių sritys buvo smegenyse (alektinibo grupėje 3,1 proc. (4 pacientai), chemoterapijos – 11 proc. (14 pacientų)),  kauluose (atitinkamai 0,8 proc. (1 pacientas) ir 6,3 proc. (8 pacientai)) bei </w:t>
      </w:r>
      <w:r w:rsidR="00A0266B" w:rsidRPr="001412EE">
        <w:rPr>
          <w:rFonts w:eastAsia="Arial"/>
          <w:iCs/>
          <w:color w:val="000000" w:themeColor="text1"/>
        </w:rPr>
        <w:t>antinksčiuose</w:t>
      </w:r>
      <w:r w:rsidRPr="001412EE">
        <w:rPr>
          <w:rFonts w:eastAsia="Arial"/>
          <w:iCs/>
          <w:color w:val="000000" w:themeColor="text1"/>
        </w:rPr>
        <w:t xml:space="preserve"> (0 ir 2,4 proc. (3 pacientai)) (ligos atsinaujinimas – žvalgomoji baigtis).</w:t>
      </w:r>
    </w:p>
    <w:p w14:paraId="5966508E" w14:textId="77777777" w:rsidR="008D1448" w:rsidRPr="001412EE" w:rsidRDefault="008D1448" w:rsidP="008D1448">
      <w:pPr>
        <w:spacing w:line="276" w:lineRule="auto"/>
        <w:ind w:firstLine="720"/>
        <w:jc w:val="both"/>
        <w:rPr>
          <w:rFonts w:eastAsia="Arial"/>
          <w:iCs/>
        </w:rPr>
      </w:pPr>
      <w:r w:rsidRPr="001412EE">
        <w:rPr>
          <w:rFonts w:eastAsia="Arial"/>
          <w:iCs/>
        </w:rPr>
        <w:t xml:space="preserve">Apibendrinus gyvenimo kokybės klausimyno SF-36v2 rezultatus, 12 tyrimo savaitę daugiau pacientų vartojusių alektinibą patyrė būklės įvairiose srityse pagerėjimą, arba būklė kito nežymiai, o vartojusių chemoterapiją – būklės pablogėjimą. Pacientai vartoję alektinibą 12 savaitę patyrė reikšmingą kūno skausmo sumažėjimą, psichinės ir funkcionavimo fizinėse bei socialinėse rolėse, gyvybingumo pagerėjimą. Dėl skirtingų vartojimo režimų, tolimesnis sulyginamų laiko taškų klausimynų pokytis nepateiktas, tačiau ilgesniu stebėjimo laikotarpiu 96 gydymo alektinibu savaitę ir 7 stebėjimo (angl. follow-up) savaitę chemoterapijos grupėje nei vienoje klausimyno srityje nebuvo nustatytas būklės pablogėjimas. </w:t>
      </w:r>
    </w:p>
    <w:p w14:paraId="6F52B296" w14:textId="643D4199" w:rsidR="00BC2D4E" w:rsidRPr="001412EE" w:rsidRDefault="008D1448" w:rsidP="008D1448">
      <w:pPr>
        <w:spacing w:line="276" w:lineRule="auto"/>
        <w:ind w:firstLine="720"/>
        <w:jc w:val="both"/>
        <w:rPr>
          <w:rFonts w:eastAsia="Arial"/>
          <w:iCs/>
        </w:rPr>
      </w:pPr>
      <w:r w:rsidRPr="001412EE">
        <w:t xml:space="preserve">Remiantis klinikinio tyrimo ALINA saugumo duomenimis, skiriant alektinibą adjuvantiniam gydymui, tikėtinas dažnesnis lengvų ir sunkių NR pasireiškimas nei gydant chemoterapija platinos pagrindu. NR pasireiškiantys vartojant alektinibą gali lemti preparato dozės modifikaciją ar jos atidėjimą, tačiau nėra siejami su dažnesniu vartojimo nutraukimu, lyginant su chemoterapija. Dažniausi bet kokio laipsnio NR siejami su alektinibu yra kreatinkinazės koncentracijos kraujyje padidėjimas, vidurių užkietėjimas, kepenų </w:t>
      </w:r>
      <w:r w:rsidR="00615894" w:rsidRPr="001412EE">
        <w:t>fermentų</w:t>
      </w:r>
      <w:r w:rsidRPr="001412EE">
        <w:t>, bilirubino koncentracijos kraujyje padidėjimas, dažniausiai nustatyti sunkūs NR buvo infekciniai susirgimai.</w:t>
      </w:r>
      <w:r w:rsidRPr="001412EE">
        <w:rPr>
          <w:rFonts w:eastAsia="Arial"/>
          <w:i/>
          <w:color w:val="000000" w:themeColor="text1"/>
        </w:rPr>
        <w:t xml:space="preserve"> </w:t>
      </w:r>
    </w:p>
    <w:p w14:paraId="452D3732" w14:textId="0DBEA3F4" w:rsidR="008D1448" w:rsidRPr="001412EE" w:rsidRDefault="00BC2D4E" w:rsidP="008D1448">
      <w:pPr>
        <w:spacing w:line="276" w:lineRule="auto"/>
        <w:ind w:firstLine="720"/>
        <w:jc w:val="both"/>
        <w:rPr>
          <w:rFonts w:eastAsia="Arial"/>
          <w:iCs/>
        </w:rPr>
      </w:pPr>
      <w:r w:rsidRPr="001412EE">
        <w:rPr>
          <w:rFonts w:eastAsia="Arial"/>
          <w:iCs/>
        </w:rPr>
        <w:t xml:space="preserve">Tarnyba atkreipia dėmesį, jog indikacijoje (Alecensa monoterapija skiriama suaugusiesiems sergantiems nesmulkių ląstelių plaučių vėžiu adjuvantiniam gydymui po radikalios naviko rezekcijos, kai yra didelė ligos atkryčio rizika, kai nustatytas anaplazinės limfomos kinazės (ALK) teigiamas navikas), tiek pagrindiniame ir vieninteliame pateiktame tyrime ALINA sergantieji pirminiais trachėjos navikais nebuvo įtraukti. Dėl šios priežasties palyginamasis veiksmingumas laikomas </w:t>
      </w:r>
      <w:r w:rsidRPr="001412EE">
        <w:rPr>
          <w:rFonts w:eastAsia="Arial"/>
          <w:iCs/>
        </w:rPr>
        <w:lastRenderedPageBreak/>
        <w:t xml:space="preserve">įrodytas pacientams, </w:t>
      </w:r>
      <w:r w:rsidRPr="001412EE">
        <w:t>sergantiems nesmulkių ląstelių plaučių vėžiu adjuvantiniam gydymui po radikalios naviko rezekcijos, kai yra didelė ligos atkryčio rizika, kai nustatytas anaplazinės limfomos kinazės (ALK) teigiamas navikas pagal TLK-10 AM: C34</w:t>
      </w:r>
      <w:r w:rsidR="002D60E5" w:rsidRPr="001412EE">
        <w:t>.</w:t>
      </w:r>
    </w:p>
    <w:p w14:paraId="421AFD7E" w14:textId="77777777" w:rsidR="00A71ABD" w:rsidRDefault="00F978A7" w:rsidP="00631B8B">
      <w:pPr>
        <w:spacing w:line="276" w:lineRule="auto"/>
        <w:ind w:firstLine="720"/>
        <w:jc w:val="both"/>
      </w:pPr>
      <w:r w:rsidRPr="001412EE">
        <w:rPr>
          <w:rFonts w:eastAsia="Arial"/>
          <w:iCs/>
          <w:color w:val="000000" w:themeColor="text1"/>
        </w:rPr>
        <w:t>Apibendrinant ALINA tyrimo rezultatus, tiek II-IIIA st. pacientų populiacijoje tiek visoje pacientų populiacijoje (IB-IIIA st.</w:t>
      </w:r>
      <w:r w:rsidR="005C3616" w:rsidRPr="001412EE">
        <w:rPr>
          <w:rFonts w:eastAsia="Arial"/>
          <w:iCs/>
          <w:color w:val="000000" w:themeColor="text1"/>
        </w:rPr>
        <w:t xml:space="preserve">, ITT </w:t>
      </w:r>
      <w:r w:rsidR="00615894" w:rsidRPr="001412EE">
        <w:rPr>
          <w:rFonts w:eastAsia="Arial"/>
          <w:iCs/>
          <w:color w:val="000000" w:themeColor="text1"/>
        </w:rPr>
        <w:t>populiacija</w:t>
      </w:r>
      <w:r w:rsidRPr="001412EE">
        <w:rPr>
          <w:rFonts w:eastAsia="Arial"/>
          <w:iCs/>
          <w:color w:val="000000" w:themeColor="text1"/>
        </w:rPr>
        <w:t>) nustatytas alektinibo pranašumas prieš chemoterapiją tiek ligos progresavimo ar mirties dėl bet kokios priežasties atžvilgiu (76 proc. rizikos sumažėjimas). Bendro išgyvenamumo duomenys (antrinė vertinamoji baigtis) analizės metu buvo nebrandūs. Remiantis žvalgomųjų baigčių rezultatais visoje pacientų populiacijoje, alektinibas 78 proc. sumažino ligos progresavimo CNS ar mirties riziką lyginant su chemoterapija.</w:t>
      </w:r>
      <w:r w:rsidRPr="001412EE">
        <w:t xml:space="preserve"> </w:t>
      </w:r>
    </w:p>
    <w:p w14:paraId="57CD81AF" w14:textId="57737DFD" w:rsidR="008D1448" w:rsidRPr="001412EE" w:rsidRDefault="00631B8B" w:rsidP="00631B8B">
      <w:pPr>
        <w:spacing w:line="276" w:lineRule="auto"/>
        <w:ind w:firstLine="720"/>
        <w:jc w:val="both"/>
      </w:pPr>
      <w:r w:rsidRPr="0061197C">
        <w:t>Remiantis</w:t>
      </w:r>
      <w:r w:rsidR="008A2743" w:rsidRPr="0061197C">
        <w:t xml:space="preserve"> palyginamojo </w:t>
      </w:r>
      <w:r w:rsidR="008D1448" w:rsidRPr="0061197C">
        <w:t>veiksmingumo rezultat</w:t>
      </w:r>
      <w:r w:rsidRPr="0061197C">
        <w:t>ai</w:t>
      </w:r>
      <w:r w:rsidR="008D1448" w:rsidRPr="0061197C">
        <w:t>s pacient</w:t>
      </w:r>
      <w:r w:rsidR="00AC4ACF" w:rsidRPr="0061197C">
        <w:t>ams</w:t>
      </w:r>
      <w:r w:rsidR="008D1448" w:rsidRPr="0061197C">
        <w:t>, sergan</w:t>
      </w:r>
      <w:r w:rsidR="00AC4ACF" w:rsidRPr="0061197C">
        <w:t>tiems</w:t>
      </w:r>
      <w:r w:rsidR="008D1448" w:rsidRPr="0061197C">
        <w:t xml:space="preserve"> nesmulkių ląstelių plaučių vėžiu po radikalios naviko rezekcijos, kai yra didelė ligos atkryčio rizika ir kai nustatytas anaplazinės limfomos kinazės teigiamas navikas, adjuvantinis gydymas alektinibo monoterapija vertinamas kaip </w:t>
      </w:r>
      <w:r w:rsidR="00AC4ACF" w:rsidRPr="0061197C">
        <w:t xml:space="preserve">sukuriantis </w:t>
      </w:r>
      <w:r w:rsidR="008D1448" w:rsidRPr="0061197C">
        <w:t>didesn</w:t>
      </w:r>
      <w:r w:rsidR="00AC4ACF" w:rsidRPr="0061197C">
        <w:t>ę naudą</w:t>
      </w:r>
      <w:r w:rsidR="008D1448" w:rsidRPr="0061197C">
        <w:t xml:space="preserve"> nei įprasta klinikinė praktika Lietuvoje.</w:t>
      </w:r>
    </w:p>
    <w:p w14:paraId="400F1EA5" w14:textId="77777777" w:rsidR="008D1448" w:rsidRPr="001412EE" w:rsidRDefault="008D1448" w:rsidP="00A93AA6">
      <w:pPr>
        <w:pStyle w:val="ListParagraph"/>
        <w:tabs>
          <w:tab w:val="left" w:pos="426"/>
        </w:tabs>
        <w:ind w:left="0"/>
        <w:rPr>
          <w:b/>
          <w:bCs/>
          <w:caps/>
        </w:rPr>
      </w:pPr>
    </w:p>
    <w:p w14:paraId="39C1ADA8" w14:textId="77777777" w:rsidR="00AC5129" w:rsidRPr="001412EE" w:rsidRDefault="00AC5129" w:rsidP="00A93AA6">
      <w:pPr>
        <w:pStyle w:val="ListParagraph"/>
        <w:tabs>
          <w:tab w:val="left" w:pos="426"/>
        </w:tabs>
        <w:ind w:left="0"/>
        <w:rPr>
          <w:b/>
          <w:bCs/>
          <w:caps/>
        </w:rPr>
      </w:pPr>
    </w:p>
    <w:p w14:paraId="7DE09EB5" w14:textId="69E9DD74" w:rsidR="00E03C3F" w:rsidRPr="001412EE" w:rsidRDefault="00CC7832" w:rsidP="00CC09D4">
      <w:pPr>
        <w:pStyle w:val="ListParagraph"/>
        <w:numPr>
          <w:ilvl w:val="0"/>
          <w:numId w:val="12"/>
        </w:numPr>
        <w:tabs>
          <w:tab w:val="left" w:pos="567"/>
        </w:tabs>
        <w:ind w:hanging="720"/>
        <w:rPr>
          <w:b/>
          <w:bCs/>
          <w:caps/>
        </w:rPr>
      </w:pPr>
      <w:r w:rsidRPr="001412EE">
        <w:rPr>
          <w:b/>
          <w:bCs/>
          <w:caps/>
        </w:rPr>
        <w:t xml:space="preserve">ekonominio vertinimo </w:t>
      </w:r>
      <w:r w:rsidR="002F0E4F" w:rsidRPr="001412EE">
        <w:rPr>
          <w:b/>
          <w:bCs/>
          <w:caps/>
        </w:rPr>
        <w:t>apibendrinimas</w:t>
      </w:r>
    </w:p>
    <w:p w14:paraId="1A900598" w14:textId="4826E5DF" w:rsidR="00C62B36" w:rsidRPr="001412EE" w:rsidRDefault="00C62B36" w:rsidP="00A93AA6">
      <w:pPr>
        <w:tabs>
          <w:tab w:val="left" w:pos="426"/>
        </w:tabs>
        <w:rPr>
          <w:i/>
        </w:rPr>
      </w:pPr>
    </w:p>
    <w:p w14:paraId="5B3040F1" w14:textId="77777777" w:rsidR="004A7ED2" w:rsidRPr="001412EE" w:rsidRDefault="004A7ED2" w:rsidP="004A7ED2">
      <w:pPr>
        <w:shd w:val="clear" w:color="auto" w:fill="FFFFFF"/>
        <w:spacing w:line="276" w:lineRule="auto"/>
        <w:jc w:val="both"/>
        <w:rPr>
          <w:rFonts w:eastAsia="Arial"/>
          <w:bCs/>
        </w:rPr>
      </w:pPr>
      <w:r w:rsidRPr="001412EE">
        <w:rPr>
          <w:rFonts w:eastAsia="Arial"/>
          <w:bCs/>
        </w:rPr>
        <w:t xml:space="preserve">Analizė atliekama siekiant įvertinti adjuvantinio alektinibo kaštų naudingumą pacientams, </w:t>
      </w:r>
      <w:r w:rsidRPr="001412EE">
        <w:rPr>
          <w:iCs/>
          <w:color w:val="000000" w:themeColor="text1"/>
          <w:lang w:eastAsia="lt-LT"/>
        </w:rPr>
        <w:t>sergantiems nesmulkių ląstelių plaučių vėžiu po radikalios naviko rezekcijos, kai yra didelė ligos atkryčio rizika, kai nustatytas anaplazinės limfomos kinazės (ALK) teigiamas navikas</w:t>
      </w:r>
      <w:r w:rsidRPr="001412EE">
        <w:rPr>
          <w:rFonts w:eastAsia="Arial"/>
          <w:iCs/>
          <w:color w:val="000000" w:themeColor="text1"/>
        </w:rPr>
        <w:t>.</w:t>
      </w:r>
      <w:r w:rsidRPr="001412EE">
        <w:rPr>
          <w:rFonts w:eastAsia="Arial"/>
          <w:bCs/>
        </w:rPr>
        <w:t xml:space="preserve"> Pacientų populiacija atitinka </w:t>
      </w:r>
      <w:r w:rsidRPr="001412EE">
        <w:t>ALINA</w:t>
      </w:r>
      <w:r w:rsidRPr="001412EE">
        <w:rPr>
          <w:rFonts w:eastAsia="Arial"/>
          <w:bCs/>
        </w:rPr>
        <w:t xml:space="preserve"> klinikinio tyrimo pacientų populiaciją. </w:t>
      </w:r>
      <w:r w:rsidRPr="001412EE">
        <w:t xml:space="preserve">Adjuvantinėje fazėje pacientai gavo 24 ciklus adjuvantinio alektinibo. </w:t>
      </w:r>
      <w:r w:rsidRPr="001412EE">
        <w:rPr>
          <w:rFonts w:eastAsia="Arial"/>
          <w:bCs/>
          <w:szCs w:val="22"/>
        </w:rPr>
        <w:t xml:space="preserve">Palyginamasis gydymas analizėje yra geriausias prieinamas gydymas GPG. Palyginamojo gydymo grupėje adjuvante skiriama </w:t>
      </w:r>
      <w:r w:rsidRPr="001412EE">
        <w:rPr>
          <w:rFonts w:eastAsia="Arial"/>
          <w:bCs/>
        </w:rPr>
        <w:t>chemoterapija platinos pagrindu</w:t>
      </w:r>
      <w:r w:rsidRPr="001412EE">
        <w:rPr>
          <w:rFonts w:eastAsia="Arial"/>
          <w:bCs/>
          <w:szCs w:val="22"/>
        </w:rPr>
        <w:t xml:space="preserve">. </w:t>
      </w:r>
    </w:p>
    <w:p w14:paraId="65383EE1" w14:textId="77777777" w:rsidR="004A7ED2" w:rsidRPr="001412EE" w:rsidRDefault="004A7ED2" w:rsidP="004A7ED2">
      <w:pPr>
        <w:spacing w:line="276" w:lineRule="auto"/>
        <w:jc w:val="both"/>
        <w:rPr>
          <w:rFonts w:eastAsia="Arial"/>
          <w:bCs/>
          <w:szCs w:val="22"/>
        </w:rPr>
      </w:pPr>
    </w:p>
    <w:p w14:paraId="39D13C11" w14:textId="77777777" w:rsidR="004A7ED2" w:rsidRPr="001412EE" w:rsidRDefault="004A7ED2" w:rsidP="004A7ED2">
      <w:pPr>
        <w:spacing w:line="276" w:lineRule="auto"/>
        <w:jc w:val="both"/>
      </w:pPr>
      <w:r w:rsidRPr="001412EE">
        <w:t>Pareiškėjas naudoja</w:t>
      </w:r>
      <w:r w:rsidRPr="001412EE">
        <w:rPr>
          <w:iCs/>
          <w:lang w:eastAsia="lt-LT"/>
        </w:rPr>
        <w:t xml:space="preserve"> pusiau Markovo kohortos modelį. Markovo modelyje taikomos aštuonios sveikatos būsenos: Ligos nebuvimo (</w:t>
      </w:r>
      <w:r w:rsidRPr="001412EE">
        <w:rPr>
          <w:i/>
          <w:lang w:eastAsia="lt-LT"/>
        </w:rPr>
        <w:t>disease-free survival, IBLP</w:t>
      </w:r>
      <w:r w:rsidRPr="001412EE">
        <w:rPr>
          <w:iCs/>
          <w:lang w:eastAsia="lt-LT"/>
        </w:rPr>
        <w:t xml:space="preserve">), nemetastazavusio atkryčio – gydomas / negydomas, metastazavusio atkryčio (pirmoji gydymo eilė) – gydomas / negydomas, metastazavusio atkryčio (antroji gydymo eilė) – gydomas / negydomas, bei mirtis. Išgyvenamumo be ligos progresavimo apskaičiavimui, Pareiškėjas naudojosi ALINA klinikinio tyrimo išgyvenamumo duomenimis. Kadangi ALINA klinikinis tyrimas rinko informacija tik apie pacientų būklę iki jų progresijos, Pareiškėjas atliko sisteminę literatūros apžvalgą, kad modeliuoti </w:t>
      </w:r>
      <w:r w:rsidRPr="001412EE">
        <w:t>perėjimus iš ligos nebuvimo būsenos (IBLP) į nemetastazinį atkrytį, metastazinį atkryti (pirmos bei antros eilės gydymus), bei mirtį. Nors Pareiškėjas identifikavo tinkamiausias perėjimų ekstrapoliacijas, pagal AIC bei BIC  kriterijus, nemetastazinėje, bei metastazinėje ligos būklėje visoms progresijos tikimybėms taikoma eksponentinė kreivė. Pareiškėjo pateiktame modelyje keičiant nemetastazavusio bei metastazavusio atkryčio išgyvenamumo įvestis, modelio rezultatas nesikeičia, dėl to Tarnyba laiko išgyvenamumo duomenis analizės neapibrėztumu. Kadangi Pareiškėjas taiko eksponentinį modelį išgyvenamumo ekstrapoliacijai po pirminės progresijos bei visoms gydymo šakoms, šis neapibrėžtumas yra laikomas priimtinu.</w:t>
      </w:r>
    </w:p>
    <w:p w14:paraId="2AFA3B75" w14:textId="77777777" w:rsidR="004A7ED2" w:rsidRPr="001412EE" w:rsidRDefault="004A7ED2" w:rsidP="004A7ED2">
      <w:pPr>
        <w:shd w:val="clear" w:color="auto" w:fill="FFFFFF"/>
        <w:spacing w:line="276" w:lineRule="auto"/>
        <w:jc w:val="both"/>
        <w:rPr>
          <w:rFonts w:eastAsia="Arial"/>
          <w:bCs/>
        </w:rPr>
      </w:pPr>
    </w:p>
    <w:p w14:paraId="5CC7C4D4" w14:textId="77777777" w:rsidR="004A7ED2" w:rsidRPr="001412EE" w:rsidRDefault="004A7ED2" w:rsidP="004A7ED2">
      <w:pPr>
        <w:spacing w:line="276" w:lineRule="auto"/>
        <w:jc w:val="both"/>
        <w:rPr>
          <w:rFonts w:eastAsia="Arial"/>
          <w:bCs/>
        </w:rPr>
      </w:pPr>
      <w:r w:rsidRPr="001412EE">
        <w:rPr>
          <w:rFonts w:eastAsia="Arial"/>
          <w:bCs/>
        </w:rPr>
        <w:t xml:space="preserve">Tarnyba atnaujino Pareiškėjo prielaidas bei pateiktus duomenis. Atnaujinimai apima kelias esmines prielaidas: iš palaikomojo adjuvantinio gydymo pašalintas pemetreksedas, nes jis nėra kompensuojamas šiai indikacijai. Taip pat palyginamojo gydymo šakoje taikomas cisplatinos/karboplatinos derinys su vinorelbinu arba etopozidu. Bazinėje analizėje Tarnyba netaiko „pasveikimo“ prielaidos, kadangi nėra pagrįstų įrodymų jai taikyti. „Pasveikino“ prielaida yra vertinama tik scenarijaus analizėje. Bazinėje analizėje gydymo efekto mažėjimas yra taikomas po 54 </w:t>
      </w:r>
      <w:r w:rsidRPr="001412EE">
        <w:rPr>
          <w:rFonts w:eastAsia="Arial"/>
          <w:bCs/>
        </w:rPr>
        <w:lastRenderedPageBreak/>
        <w:t>mėnesių, o po 120 mėnesių – taikoma gydymo efekto pabaiga. Taip pat Tarnyba atnaujino gyvenimo kokybės įverčius, remdamasi literatūra ir klinikinių ekspertų nuomone, bei atnaujino analizėje naudojamus kaštus pagal naujausią informaciją, įskaitant nepageidaujamų reiškinių valdymo kaštus, apskaičiuotus pagal DRG metodologiją.</w:t>
      </w:r>
    </w:p>
    <w:p w14:paraId="76D6E43C" w14:textId="77777777" w:rsidR="004A7ED2" w:rsidRPr="001412EE" w:rsidRDefault="004A7ED2" w:rsidP="004A7ED2">
      <w:pPr>
        <w:shd w:val="clear" w:color="auto" w:fill="FFFFFF"/>
        <w:spacing w:line="276" w:lineRule="auto"/>
        <w:jc w:val="both"/>
        <w:rPr>
          <w:rFonts w:eastAsia="Arial"/>
          <w:bCs/>
        </w:rPr>
      </w:pPr>
    </w:p>
    <w:p w14:paraId="2CFECF3A" w14:textId="77777777" w:rsidR="004A7ED2" w:rsidRPr="001412EE" w:rsidRDefault="004A7ED2" w:rsidP="004A7ED2">
      <w:pPr>
        <w:shd w:val="clear" w:color="auto" w:fill="FFFFFF"/>
        <w:spacing w:line="276" w:lineRule="auto"/>
        <w:jc w:val="both"/>
        <w:rPr>
          <w:rFonts w:eastAsia="Arial"/>
          <w:bCs/>
        </w:rPr>
      </w:pPr>
      <w:r w:rsidRPr="001412EE">
        <w:t xml:space="preserve">Atlikus analizės rezultato perskaičiavimą, nustatyta, jog alektinibas yra kaštams naudingas, o referencinė kaštų naudingumo vertė nėra viršijama nei pagrindinio atvejo scenarijuje, nei scenarijų ar jautrumo analizėse. </w:t>
      </w:r>
      <w:r w:rsidRPr="001412EE">
        <w:rPr>
          <w:rFonts w:eastAsia="Arial"/>
          <w:bCs/>
        </w:rPr>
        <w:t xml:space="preserve">Nors rastas analizės neapibrėžtumas, bazinė bei vienpusės jautrumo analizės parodė, kad referencinė kaštų naudingumo riba nėra viršijama, todėl laikoma, jog adjuvantinis alektinibas gali būti pripažintas kaštams naudingu gydymo pasirinkimu. </w:t>
      </w:r>
    </w:p>
    <w:p w14:paraId="2970AF5D" w14:textId="77777777" w:rsidR="004A7ED2" w:rsidRPr="001412EE" w:rsidRDefault="004A7ED2" w:rsidP="00A93AA6">
      <w:pPr>
        <w:tabs>
          <w:tab w:val="left" w:pos="426"/>
        </w:tabs>
        <w:rPr>
          <w:b/>
          <w:bCs/>
          <w:caps/>
        </w:rPr>
      </w:pPr>
    </w:p>
    <w:p w14:paraId="174D84D7" w14:textId="09C7BC2B" w:rsidR="0035172D" w:rsidRPr="001412EE" w:rsidRDefault="00164D64" w:rsidP="00A93AA6">
      <w:pPr>
        <w:tabs>
          <w:tab w:val="left" w:pos="426"/>
        </w:tabs>
        <w:rPr>
          <w:b/>
          <w:lang w:eastAsia="lt-LT"/>
        </w:rPr>
      </w:pPr>
      <w:r w:rsidRPr="001412EE">
        <w:rPr>
          <w:b/>
          <w:lang w:eastAsia="lt-LT"/>
        </w:rPr>
        <w:t xml:space="preserve">3.1 </w:t>
      </w:r>
      <w:r w:rsidR="0035172D" w:rsidRPr="001412EE">
        <w:rPr>
          <w:b/>
          <w:lang w:eastAsia="lt-LT"/>
        </w:rPr>
        <w:t>Ekonominės analizės rezultatas</w:t>
      </w:r>
    </w:p>
    <w:p w14:paraId="4801D227" w14:textId="77777777" w:rsidR="009E44AE" w:rsidRPr="001412EE" w:rsidRDefault="009E44AE"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334F18" w:rsidRPr="001412EE"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1412EE" w:rsidRDefault="009E44AE" w:rsidP="009E44AE">
            <w:pPr>
              <w:tabs>
                <w:tab w:val="left" w:pos="567"/>
              </w:tabs>
              <w:jc w:val="center"/>
              <w:rPr>
                <w:b/>
                <w:bCs/>
                <w:sz w:val="26"/>
                <w:szCs w:val="26"/>
                <w:lang w:eastAsia="lt-LT"/>
              </w:rPr>
            </w:pPr>
            <w:r w:rsidRPr="001412EE">
              <w:rPr>
                <w:b/>
                <w:bCs/>
                <w:sz w:val="26"/>
                <w:szCs w:val="26"/>
                <w:lang w:eastAsia="lt-LT"/>
              </w:rPr>
              <w:t>Rezultatai</w:t>
            </w:r>
          </w:p>
        </w:tc>
      </w:tr>
      <w:tr w:rsidR="00334F18" w:rsidRPr="001412EE" w14:paraId="319AF392" w14:textId="77777777" w:rsidTr="004A7ED2">
        <w:trPr>
          <w:trHeight w:val="267"/>
          <w:jc w:val="center"/>
        </w:trPr>
        <w:tc>
          <w:tcPr>
            <w:tcW w:w="6200" w:type="dxa"/>
            <w:tcBorders>
              <w:left w:val="single" w:sz="4" w:space="0" w:color="auto"/>
            </w:tcBorders>
          </w:tcPr>
          <w:p w14:paraId="44CD8D27" w14:textId="27245A0B" w:rsidR="00BA5DBC" w:rsidRPr="001412EE" w:rsidRDefault="00BA5DBC" w:rsidP="00BA5DBC">
            <w:pPr>
              <w:tabs>
                <w:tab w:val="left" w:pos="567"/>
              </w:tabs>
              <w:jc w:val="right"/>
              <w:rPr>
                <w:iCs/>
                <w:lang w:eastAsia="lt-LT"/>
              </w:rPr>
            </w:pPr>
            <w:r w:rsidRPr="001412EE">
              <w:rPr>
                <w:iCs/>
                <w:lang w:eastAsia="lt-LT"/>
              </w:rPr>
              <w:t>Kaštų skirtumas</w:t>
            </w:r>
          </w:p>
        </w:tc>
        <w:tc>
          <w:tcPr>
            <w:tcW w:w="3239" w:type="dxa"/>
            <w:tcBorders>
              <w:right w:val="single" w:sz="4" w:space="0" w:color="auto"/>
            </w:tcBorders>
          </w:tcPr>
          <w:p w14:paraId="1CACF0B4" w14:textId="3941C494" w:rsidR="00BA5DBC" w:rsidRPr="001412EE" w:rsidRDefault="003113A7" w:rsidP="00BA5DBC">
            <w:pPr>
              <w:tabs>
                <w:tab w:val="left" w:pos="567"/>
              </w:tabs>
              <w:jc w:val="both"/>
              <w:rPr>
                <w:i/>
                <w:iCs/>
                <w:lang w:eastAsia="lt-LT"/>
              </w:rPr>
            </w:pPr>
            <w:r w:rsidRPr="00AA3523">
              <w:t>***</w:t>
            </w:r>
            <w:r>
              <w:t>*</w:t>
            </w:r>
          </w:p>
        </w:tc>
      </w:tr>
      <w:tr w:rsidR="00334F18" w:rsidRPr="001412EE" w14:paraId="49F818A3" w14:textId="77777777" w:rsidTr="004A7ED2">
        <w:trPr>
          <w:trHeight w:val="267"/>
          <w:jc w:val="center"/>
        </w:trPr>
        <w:tc>
          <w:tcPr>
            <w:tcW w:w="6200" w:type="dxa"/>
            <w:tcBorders>
              <w:left w:val="single" w:sz="4" w:space="0" w:color="auto"/>
            </w:tcBorders>
          </w:tcPr>
          <w:p w14:paraId="021DB925" w14:textId="389F1BF5" w:rsidR="00BA5DBC" w:rsidRPr="001412EE" w:rsidRDefault="00BA5DBC" w:rsidP="00BA5DBC">
            <w:pPr>
              <w:tabs>
                <w:tab w:val="left" w:pos="567"/>
              </w:tabs>
              <w:jc w:val="right"/>
              <w:rPr>
                <w:iCs/>
                <w:lang w:eastAsia="lt-LT"/>
              </w:rPr>
            </w:pPr>
            <w:r w:rsidRPr="001412EE">
              <w:rPr>
                <w:iCs/>
                <w:lang w:eastAsia="lt-LT"/>
              </w:rPr>
              <w:t>Papildomi gyvenimo metai (LY)</w:t>
            </w:r>
          </w:p>
        </w:tc>
        <w:tc>
          <w:tcPr>
            <w:tcW w:w="3239" w:type="dxa"/>
            <w:tcBorders>
              <w:right w:val="single" w:sz="4" w:space="0" w:color="auto"/>
            </w:tcBorders>
          </w:tcPr>
          <w:p w14:paraId="4954817B" w14:textId="1DA63B6D" w:rsidR="00BA5DBC" w:rsidRPr="001412EE" w:rsidRDefault="004A7ED2" w:rsidP="00BA5DBC">
            <w:pPr>
              <w:tabs>
                <w:tab w:val="left" w:pos="567"/>
              </w:tabs>
              <w:jc w:val="both"/>
              <w:rPr>
                <w:i/>
                <w:iCs/>
                <w:lang w:eastAsia="lt-LT"/>
              </w:rPr>
            </w:pPr>
            <w:r w:rsidRPr="001412EE">
              <w:rPr>
                <w:bCs/>
                <w:lang w:eastAsia="lt-LT"/>
              </w:rPr>
              <w:t>2,447</w:t>
            </w:r>
          </w:p>
        </w:tc>
      </w:tr>
      <w:tr w:rsidR="00334F18" w:rsidRPr="001412EE" w14:paraId="20ADA742" w14:textId="77777777" w:rsidTr="004A7ED2">
        <w:trPr>
          <w:trHeight w:val="267"/>
          <w:jc w:val="center"/>
        </w:trPr>
        <w:tc>
          <w:tcPr>
            <w:tcW w:w="6200" w:type="dxa"/>
            <w:tcBorders>
              <w:left w:val="single" w:sz="4" w:space="0" w:color="auto"/>
            </w:tcBorders>
          </w:tcPr>
          <w:p w14:paraId="0F567576" w14:textId="2606A2E9" w:rsidR="00BA5DBC" w:rsidRPr="001412EE" w:rsidRDefault="0058712F" w:rsidP="00BA5DBC">
            <w:pPr>
              <w:tabs>
                <w:tab w:val="left" w:pos="567"/>
              </w:tabs>
              <w:jc w:val="right"/>
              <w:rPr>
                <w:iCs/>
                <w:lang w:eastAsia="lt-LT"/>
              </w:rPr>
            </w:pPr>
            <w:r w:rsidRPr="001412EE">
              <w:rPr>
                <w:iCs/>
                <w:lang w:eastAsia="lt-LT"/>
              </w:rPr>
              <w:t>Papildomi k</w:t>
            </w:r>
            <w:r w:rsidR="00BA5DBC" w:rsidRPr="001412EE">
              <w:rPr>
                <w:iCs/>
                <w:lang w:eastAsia="lt-LT"/>
              </w:rPr>
              <w:t>okybiški gyvenimo metai (QALY)</w:t>
            </w:r>
          </w:p>
        </w:tc>
        <w:tc>
          <w:tcPr>
            <w:tcW w:w="3239" w:type="dxa"/>
            <w:tcBorders>
              <w:right w:val="single" w:sz="4" w:space="0" w:color="auto"/>
            </w:tcBorders>
          </w:tcPr>
          <w:p w14:paraId="02E4DAE1" w14:textId="246897AF" w:rsidR="00BA5DBC" w:rsidRPr="001412EE" w:rsidRDefault="004A7ED2" w:rsidP="00BA5DBC">
            <w:pPr>
              <w:tabs>
                <w:tab w:val="left" w:pos="567"/>
              </w:tabs>
              <w:jc w:val="both"/>
              <w:rPr>
                <w:i/>
                <w:iCs/>
                <w:lang w:eastAsia="lt-LT"/>
              </w:rPr>
            </w:pPr>
            <w:r w:rsidRPr="001412EE">
              <w:rPr>
                <w:bCs/>
                <w:lang w:eastAsia="lt-LT"/>
              </w:rPr>
              <w:t>2,054</w:t>
            </w:r>
          </w:p>
        </w:tc>
      </w:tr>
      <w:tr w:rsidR="004A7ED2" w:rsidRPr="001412EE" w14:paraId="1FADA2B3" w14:textId="77777777" w:rsidTr="004A7ED2">
        <w:trPr>
          <w:trHeight w:val="267"/>
          <w:jc w:val="center"/>
        </w:trPr>
        <w:tc>
          <w:tcPr>
            <w:tcW w:w="6200" w:type="dxa"/>
            <w:tcBorders>
              <w:left w:val="single" w:sz="4" w:space="0" w:color="auto"/>
            </w:tcBorders>
          </w:tcPr>
          <w:p w14:paraId="13E089E8" w14:textId="0BCEB339" w:rsidR="004A7ED2" w:rsidRPr="001412EE" w:rsidRDefault="004A7ED2" w:rsidP="004A7ED2">
            <w:pPr>
              <w:tabs>
                <w:tab w:val="left" w:pos="567"/>
              </w:tabs>
              <w:jc w:val="right"/>
              <w:rPr>
                <w:iCs/>
                <w:lang w:eastAsia="lt-LT"/>
              </w:rPr>
            </w:pPr>
            <w:r w:rsidRPr="001412EE">
              <w:rPr>
                <w:iCs/>
                <w:lang w:eastAsia="lt-LT"/>
              </w:rPr>
              <w:t>ICER už LY</w:t>
            </w:r>
          </w:p>
        </w:tc>
        <w:tc>
          <w:tcPr>
            <w:tcW w:w="3239" w:type="dxa"/>
            <w:tcBorders>
              <w:right w:val="single" w:sz="4" w:space="0" w:color="auto"/>
            </w:tcBorders>
          </w:tcPr>
          <w:p w14:paraId="2817448D" w14:textId="7DD83A52" w:rsidR="004A7ED2" w:rsidRPr="001412EE" w:rsidRDefault="004A7ED2" w:rsidP="004A7ED2">
            <w:pPr>
              <w:tabs>
                <w:tab w:val="left" w:pos="567"/>
              </w:tabs>
              <w:jc w:val="both"/>
              <w:rPr>
                <w:i/>
                <w:iCs/>
                <w:lang w:eastAsia="lt-LT"/>
              </w:rPr>
            </w:pPr>
          </w:p>
        </w:tc>
      </w:tr>
      <w:tr w:rsidR="004A7ED2" w:rsidRPr="001412EE" w14:paraId="250DE960" w14:textId="77777777" w:rsidTr="004A7ED2">
        <w:trPr>
          <w:trHeight w:val="267"/>
          <w:jc w:val="center"/>
        </w:trPr>
        <w:tc>
          <w:tcPr>
            <w:tcW w:w="6200" w:type="dxa"/>
            <w:tcBorders>
              <w:left w:val="single" w:sz="4" w:space="0" w:color="auto"/>
            </w:tcBorders>
          </w:tcPr>
          <w:p w14:paraId="207EFB23" w14:textId="77777777" w:rsidR="004A7ED2" w:rsidRPr="001412EE" w:rsidRDefault="004A7ED2" w:rsidP="004A7ED2">
            <w:pPr>
              <w:tabs>
                <w:tab w:val="left" w:pos="567"/>
              </w:tabs>
              <w:jc w:val="right"/>
              <w:rPr>
                <w:iCs/>
                <w:lang w:eastAsia="lt-LT"/>
              </w:rPr>
            </w:pPr>
            <w:r w:rsidRPr="001412EE">
              <w:rPr>
                <w:iCs/>
                <w:lang w:eastAsia="lt-LT"/>
              </w:rPr>
              <w:t>ICER už QALY</w:t>
            </w:r>
          </w:p>
        </w:tc>
        <w:tc>
          <w:tcPr>
            <w:tcW w:w="3239" w:type="dxa"/>
            <w:tcBorders>
              <w:right w:val="single" w:sz="4" w:space="0" w:color="auto"/>
            </w:tcBorders>
          </w:tcPr>
          <w:p w14:paraId="4275320D" w14:textId="6D3D0991" w:rsidR="004A7ED2" w:rsidRPr="001412EE" w:rsidRDefault="004A7ED2" w:rsidP="004A7ED2">
            <w:pPr>
              <w:tabs>
                <w:tab w:val="left" w:pos="567"/>
              </w:tabs>
              <w:jc w:val="both"/>
              <w:rPr>
                <w:i/>
                <w:iCs/>
                <w:lang w:eastAsia="lt-LT"/>
              </w:rPr>
            </w:pPr>
          </w:p>
        </w:tc>
      </w:tr>
      <w:tr w:rsidR="004A7ED2" w:rsidRPr="001412EE" w14:paraId="2C4C68BA" w14:textId="77777777" w:rsidTr="004A7ED2">
        <w:trPr>
          <w:trHeight w:val="267"/>
          <w:jc w:val="center"/>
        </w:trPr>
        <w:tc>
          <w:tcPr>
            <w:tcW w:w="6200" w:type="dxa"/>
            <w:tcBorders>
              <w:left w:val="single" w:sz="4" w:space="0" w:color="auto"/>
              <w:bottom w:val="single" w:sz="4" w:space="0" w:color="auto"/>
              <w:right w:val="single" w:sz="4" w:space="0" w:color="auto"/>
            </w:tcBorders>
          </w:tcPr>
          <w:p w14:paraId="21BEDABF" w14:textId="3471AFB3" w:rsidR="004A7ED2" w:rsidRPr="001412EE" w:rsidRDefault="004A7ED2" w:rsidP="004A7ED2">
            <w:pPr>
              <w:tabs>
                <w:tab w:val="left" w:pos="567"/>
              </w:tabs>
              <w:jc w:val="right"/>
              <w:rPr>
                <w:iCs/>
                <w:lang w:eastAsia="lt-LT"/>
              </w:rPr>
            </w:pPr>
            <w:r w:rsidRPr="001412EE">
              <w:rPr>
                <w:iCs/>
                <w:lang w:eastAsia="lt-LT"/>
              </w:rPr>
              <w:t>Referencinė kaštų naudingumo vertė</w:t>
            </w:r>
          </w:p>
        </w:tc>
        <w:tc>
          <w:tcPr>
            <w:tcW w:w="3239" w:type="dxa"/>
            <w:tcBorders>
              <w:left w:val="single" w:sz="4" w:space="0" w:color="auto"/>
              <w:bottom w:val="single" w:sz="4" w:space="0" w:color="auto"/>
              <w:right w:val="single" w:sz="4" w:space="0" w:color="auto"/>
            </w:tcBorders>
          </w:tcPr>
          <w:p w14:paraId="31DAA72E" w14:textId="5346EC24" w:rsidR="004A7ED2" w:rsidRPr="001412EE" w:rsidRDefault="004A7ED2" w:rsidP="004A7ED2">
            <w:pPr>
              <w:tabs>
                <w:tab w:val="left" w:pos="567"/>
              </w:tabs>
              <w:jc w:val="both"/>
              <w:rPr>
                <w:i/>
                <w:iCs/>
                <w:lang w:eastAsia="lt-LT"/>
              </w:rPr>
            </w:pPr>
            <w:r w:rsidRPr="001412EE">
              <w:rPr>
                <w:rFonts w:eastAsiaTheme="minorHAnsi"/>
              </w:rPr>
              <w:t xml:space="preserve"> Eur/QALY</w:t>
            </w:r>
          </w:p>
        </w:tc>
      </w:tr>
    </w:tbl>
    <w:p w14:paraId="5FC8C737" w14:textId="4136B7F4" w:rsidR="0035172D" w:rsidRPr="001412EE" w:rsidRDefault="00E5102E" w:rsidP="0035172D">
      <w:pPr>
        <w:tabs>
          <w:tab w:val="left" w:pos="567"/>
        </w:tabs>
        <w:jc w:val="both"/>
        <w:rPr>
          <w:iCs/>
          <w:sz w:val="20"/>
          <w:lang w:eastAsia="lt-LT"/>
        </w:rPr>
      </w:pPr>
      <w:r w:rsidRPr="001412EE">
        <w:rPr>
          <w:iCs/>
          <w:sz w:val="20"/>
          <w:lang w:eastAsia="lt-LT"/>
        </w:rPr>
        <w:t xml:space="preserve">ICER </w:t>
      </w:r>
      <w:r w:rsidR="00453862" w:rsidRPr="001412EE">
        <w:rPr>
          <w:iCs/>
          <w:sz w:val="20"/>
          <w:lang w:eastAsia="lt-LT"/>
        </w:rPr>
        <w:t>– (</w:t>
      </w:r>
      <w:r w:rsidR="00453862" w:rsidRPr="001412EE">
        <w:rPr>
          <w:i/>
          <w:sz w:val="20"/>
          <w:lang w:eastAsia="lt-LT"/>
        </w:rPr>
        <w:t>angl. incremental cost-effectiveness ratio</w:t>
      </w:r>
      <w:r w:rsidR="00453862" w:rsidRPr="001412EE">
        <w:rPr>
          <w:iCs/>
          <w:sz w:val="20"/>
          <w:lang w:eastAsia="lt-LT"/>
        </w:rPr>
        <w:t>) inkrementinis kaštų naudingumo koeficientas</w:t>
      </w:r>
      <w:r w:rsidRPr="001412EE">
        <w:rPr>
          <w:iCs/>
          <w:sz w:val="20"/>
          <w:lang w:eastAsia="lt-LT"/>
        </w:rPr>
        <w:t>; LY –</w:t>
      </w:r>
      <w:r w:rsidR="00453862" w:rsidRPr="001412EE">
        <w:rPr>
          <w:iCs/>
          <w:sz w:val="20"/>
          <w:lang w:eastAsia="lt-LT"/>
        </w:rPr>
        <w:t xml:space="preserve"> (</w:t>
      </w:r>
      <w:r w:rsidR="00453862" w:rsidRPr="001412EE">
        <w:rPr>
          <w:i/>
          <w:sz w:val="20"/>
          <w:lang w:eastAsia="lt-LT"/>
        </w:rPr>
        <w:t>angl. life years</w:t>
      </w:r>
      <w:r w:rsidR="00453862" w:rsidRPr="001412EE">
        <w:rPr>
          <w:iCs/>
          <w:sz w:val="20"/>
          <w:lang w:eastAsia="lt-LT"/>
        </w:rPr>
        <w:t>) gyvenimo metai</w:t>
      </w:r>
      <w:r w:rsidRPr="001412EE">
        <w:rPr>
          <w:iCs/>
          <w:sz w:val="20"/>
          <w:lang w:eastAsia="lt-LT"/>
        </w:rPr>
        <w:t xml:space="preserve">; QALY- </w:t>
      </w:r>
      <w:r w:rsidR="00453862" w:rsidRPr="001412EE">
        <w:rPr>
          <w:iCs/>
          <w:sz w:val="20"/>
          <w:lang w:eastAsia="lt-LT"/>
        </w:rPr>
        <w:t>(</w:t>
      </w:r>
      <w:r w:rsidR="00453862" w:rsidRPr="001412EE">
        <w:rPr>
          <w:i/>
          <w:sz w:val="20"/>
          <w:lang w:eastAsia="lt-LT"/>
        </w:rPr>
        <w:t xml:space="preserve">angl. quality adjusted life years) </w:t>
      </w:r>
      <w:r w:rsidR="00453862" w:rsidRPr="001412EE">
        <w:rPr>
          <w:iCs/>
          <w:sz w:val="20"/>
          <w:lang w:eastAsia="lt-LT"/>
        </w:rPr>
        <w:t>kokybiški gyvenimo metai.</w:t>
      </w:r>
    </w:p>
    <w:p w14:paraId="33875138" w14:textId="77777777" w:rsidR="0035172D" w:rsidRPr="001412EE" w:rsidRDefault="0035172D" w:rsidP="00A93AA6">
      <w:pPr>
        <w:tabs>
          <w:tab w:val="left" w:pos="426"/>
        </w:tabs>
        <w:rPr>
          <w:b/>
          <w:bCs/>
          <w:caps/>
        </w:rPr>
      </w:pPr>
    </w:p>
    <w:p w14:paraId="4FC424F9" w14:textId="4E767245" w:rsidR="00C62B36" w:rsidRPr="001412EE" w:rsidRDefault="00C62B36" w:rsidP="00CC09D4">
      <w:pPr>
        <w:pStyle w:val="ListParagraph"/>
        <w:numPr>
          <w:ilvl w:val="0"/>
          <w:numId w:val="12"/>
        </w:numPr>
        <w:tabs>
          <w:tab w:val="left" w:pos="567"/>
        </w:tabs>
        <w:ind w:hanging="720"/>
        <w:rPr>
          <w:b/>
          <w:bCs/>
          <w:caps/>
        </w:rPr>
      </w:pPr>
      <w:r w:rsidRPr="001412EE">
        <w:rPr>
          <w:b/>
          <w:bCs/>
          <w:caps/>
        </w:rPr>
        <w:t xml:space="preserve">Pacientų organizacijų pateikti duomenys </w:t>
      </w:r>
    </w:p>
    <w:p w14:paraId="6C4F4292" w14:textId="77777777" w:rsidR="008D1448" w:rsidRPr="001412EE" w:rsidRDefault="008D1448" w:rsidP="00937907">
      <w:pPr>
        <w:spacing w:after="120"/>
        <w:jc w:val="both"/>
      </w:pPr>
    </w:p>
    <w:p w14:paraId="62992180" w14:textId="6B7980C1" w:rsidR="00937907" w:rsidRPr="001412EE" w:rsidRDefault="00937907" w:rsidP="00937907">
      <w:pPr>
        <w:spacing w:after="120"/>
        <w:jc w:val="both"/>
      </w:pPr>
      <w:r w:rsidRPr="001412EE">
        <w:t xml:space="preserve">Pacientų organizacijos pozicija </w:t>
      </w:r>
      <w:r w:rsidR="00880A44" w:rsidRPr="001412EE">
        <w:t>ne</w:t>
      </w:r>
      <w:r w:rsidRPr="001412EE">
        <w:t>pateikta.</w:t>
      </w:r>
    </w:p>
    <w:p w14:paraId="03E73D82" w14:textId="77777777" w:rsidR="00D417D2" w:rsidRPr="001412EE" w:rsidRDefault="00D417D2" w:rsidP="00937907">
      <w:pPr>
        <w:spacing w:after="120"/>
        <w:jc w:val="both"/>
      </w:pPr>
    </w:p>
    <w:p w14:paraId="3D3277FA" w14:textId="09414FFF" w:rsidR="00C62B36" w:rsidRPr="001412EE" w:rsidRDefault="00D67BAF" w:rsidP="00CC09D4">
      <w:pPr>
        <w:pStyle w:val="ListParagraph"/>
        <w:numPr>
          <w:ilvl w:val="0"/>
          <w:numId w:val="12"/>
        </w:numPr>
        <w:tabs>
          <w:tab w:val="left" w:pos="567"/>
        </w:tabs>
        <w:ind w:hanging="720"/>
        <w:rPr>
          <w:b/>
          <w:bCs/>
          <w:caps/>
        </w:rPr>
      </w:pPr>
      <w:r w:rsidRPr="001412EE">
        <w:rPr>
          <w:b/>
          <w:bCs/>
          <w:caps/>
        </w:rPr>
        <w:t xml:space="preserve">SVEIKATOS PRIEŽIŪROS SPECIALISTŲ </w:t>
      </w:r>
      <w:r w:rsidR="00C62B36" w:rsidRPr="001412EE">
        <w:rPr>
          <w:b/>
          <w:bCs/>
          <w:caps/>
        </w:rPr>
        <w:t xml:space="preserve"> organizacijų pateikti duomenys</w:t>
      </w:r>
    </w:p>
    <w:p w14:paraId="044D5084" w14:textId="77777777" w:rsidR="00C9728E" w:rsidRPr="001412EE" w:rsidRDefault="00C9728E" w:rsidP="00C9728E">
      <w:pPr>
        <w:pStyle w:val="ListParagraph"/>
        <w:tabs>
          <w:tab w:val="left" w:pos="567"/>
        </w:tabs>
        <w:rPr>
          <w:b/>
          <w:bCs/>
          <w:caps/>
        </w:rPr>
      </w:pPr>
    </w:p>
    <w:p w14:paraId="5D8CC48C" w14:textId="7E067293" w:rsidR="00662983" w:rsidRPr="001412EE" w:rsidRDefault="00D67BAF" w:rsidP="008D1448">
      <w:pPr>
        <w:spacing w:after="120"/>
        <w:jc w:val="both"/>
      </w:pPr>
      <w:r w:rsidRPr="001412EE">
        <w:t>S</w:t>
      </w:r>
      <w:r w:rsidRPr="001412EE">
        <w:rPr>
          <w:bCs/>
        </w:rPr>
        <w:t>veikatos priežiūros specialistų</w:t>
      </w:r>
      <w:r w:rsidRPr="001412EE">
        <w:rPr>
          <w:b/>
        </w:rPr>
        <w:t xml:space="preserve"> </w:t>
      </w:r>
      <w:r w:rsidR="00937907" w:rsidRPr="001412EE">
        <w:t xml:space="preserve">organizacijos pozicija pateikta. </w:t>
      </w:r>
      <w:r w:rsidR="00662983" w:rsidRPr="001412EE">
        <w:t>Žr. priedą</w:t>
      </w:r>
      <w:r w:rsidR="00937907" w:rsidRPr="001412EE">
        <w:t>.</w:t>
      </w:r>
    </w:p>
    <w:p w14:paraId="3701D46A" w14:textId="77777777" w:rsidR="00A042B9" w:rsidRPr="001412EE" w:rsidRDefault="00A042B9" w:rsidP="00662983">
      <w:pPr>
        <w:spacing w:after="120"/>
        <w:jc w:val="both"/>
      </w:pPr>
    </w:p>
    <w:p w14:paraId="78F23ECB" w14:textId="3ED5BFD5" w:rsidR="002F0E4F" w:rsidRPr="001412EE" w:rsidRDefault="002F0E4F" w:rsidP="00CC09D4">
      <w:pPr>
        <w:pStyle w:val="ListParagraph"/>
        <w:numPr>
          <w:ilvl w:val="0"/>
          <w:numId w:val="12"/>
        </w:numPr>
        <w:tabs>
          <w:tab w:val="left" w:pos="567"/>
        </w:tabs>
        <w:ind w:hanging="720"/>
        <w:rPr>
          <w:b/>
          <w:bCs/>
          <w:caps/>
        </w:rPr>
      </w:pPr>
      <w:r w:rsidRPr="001412EE">
        <w:rPr>
          <w:b/>
          <w:bCs/>
          <w:caps/>
        </w:rPr>
        <w:t>Išvad</w:t>
      </w:r>
      <w:r w:rsidR="00B811A4" w:rsidRPr="001412EE">
        <w:rPr>
          <w:b/>
          <w:bCs/>
          <w:caps/>
        </w:rPr>
        <w:t>OS</w:t>
      </w:r>
      <w:r w:rsidRPr="001412EE">
        <w:rPr>
          <w:b/>
          <w:bCs/>
          <w:caps/>
        </w:rPr>
        <w:t xml:space="preserve"> </w:t>
      </w:r>
    </w:p>
    <w:p w14:paraId="30069D85" w14:textId="77777777" w:rsidR="0061611B" w:rsidRPr="001412EE" w:rsidRDefault="0061611B" w:rsidP="0061611B">
      <w:pPr>
        <w:ind w:left="360"/>
        <w:rPr>
          <w:i/>
          <w:szCs w:val="22"/>
        </w:rPr>
      </w:pPr>
    </w:p>
    <w:tbl>
      <w:tblPr>
        <w:tblStyle w:val="TableGrid"/>
        <w:tblW w:w="0" w:type="auto"/>
        <w:tblInd w:w="-5" w:type="dxa"/>
        <w:tblLook w:val="04A0" w:firstRow="1" w:lastRow="0" w:firstColumn="1" w:lastColumn="0" w:noHBand="0" w:noVBand="1"/>
      </w:tblPr>
      <w:tblGrid>
        <w:gridCol w:w="4820"/>
        <w:gridCol w:w="4814"/>
      </w:tblGrid>
      <w:tr w:rsidR="00334F18" w:rsidRPr="001412EE" w14:paraId="4D5EFB83" w14:textId="77777777" w:rsidTr="007111C4">
        <w:trPr>
          <w:trHeight w:val="510"/>
        </w:trPr>
        <w:tc>
          <w:tcPr>
            <w:tcW w:w="9634" w:type="dxa"/>
            <w:gridSpan w:val="2"/>
            <w:vAlign w:val="center"/>
          </w:tcPr>
          <w:p w14:paraId="294EC16B" w14:textId="77777777" w:rsidR="00B811A4" w:rsidRPr="001412EE"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bookmarkStart w:id="1" w:name="_Hlk185430554"/>
            <w:r w:rsidRPr="001412EE">
              <w:rPr>
                <w:rStyle w:val="Style2"/>
                <w:rFonts w:eastAsia="MS Gothic"/>
                <w:b/>
                <w:bCs/>
                <w:sz w:val="23"/>
                <w:szCs w:val="23"/>
              </w:rPr>
              <w:t>Palyginamasis veiksmingumas</w:t>
            </w:r>
          </w:p>
        </w:tc>
      </w:tr>
      <w:tr w:rsidR="00334F18" w:rsidRPr="001412EE" w14:paraId="30B67515" w14:textId="77777777" w:rsidTr="007111C4">
        <w:tc>
          <w:tcPr>
            <w:tcW w:w="4820" w:type="dxa"/>
          </w:tcPr>
          <w:p w14:paraId="4FE3C208" w14:textId="3CE02BB6" w:rsidR="00B811A4" w:rsidRPr="001412EE"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397324644"/>
                <w15:color w:val="FFCC00"/>
                <w14:checkbox>
                  <w14:checked w14:val="1"/>
                  <w14:checkedState w14:val="2612" w14:font="MS Gothic"/>
                  <w14:uncheckedState w14:val="2610" w14:font="MS Gothic"/>
                </w14:checkbox>
              </w:sdtPr>
              <w:sdtContent>
                <w:r w:rsidR="008D1448" w:rsidRPr="001412EE">
                  <w:rPr>
                    <w:rStyle w:val="Style2"/>
                    <w:rFonts w:ascii="MS Gothic" w:eastAsia="MS Gothic" w:hAnsi="MS Gothic"/>
                    <w:sz w:val="23"/>
                    <w:szCs w:val="23"/>
                  </w:rPr>
                  <w:t>☒</w:t>
                </w:r>
              </w:sdtContent>
            </w:sdt>
            <w:r w:rsidR="00B811A4" w:rsidRPr="001412EE">
              <w:rPr>
                <w:rStyle w:val="Style2"/>
                <w:sz w:val="23"/>
                <w:szCs w:val="23"/>
              </w:rPr>
              <w:t xml:space="preserve"> 29</w:t>
            </w:r>
            <w:r w:rsidR="00B811A4" w:rsidRPr="001412EE">
              <w:rPr>
                <w:sz w:val="23"/>
                <w:szCs w:val="23"/>
              </w:rPr>
              <w:t>.1.1 yra didesnis, lyginant su įprasta klinikine praktika</w:t>
            </w:r>
          </w:p>
          <w:p w14:paraId="6F9786E4" w14:textId="77777777" w:rsidR="00B811A4" w:rsidRPr="001412EE"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31EDECD" w14:textId="77777777" w:rsidR="00B811A4" w:rsidRPr="001412EE"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418297090"/>
                <w15:color w:val="FFCC00"/>
                <w14:checkbox>
                  <w14:checked w14:val="0"/>
                  <w14:checkedState w14:val="2612" w14:font="MS Gothic"/>
                  <w14:uncheckedState w14:val="2610" w14:font="MS Gothic"/>
                </w14:checkbox>
              </w:sdtPr>
              <w:sdtContent>
                <w:r w:rsidR="00B811A4" w:rsidRPr="001412EE">
                  <w:rPr>
                    <w:rStyle w:val="Style2"/>
                    <w:rFonts w:ascii="Segoe UI Symbol" w:eastAsia="MS Gothic" w:hAnsi="Segoe UI Symbol" w:cs="Segoe UI Symbol"/>
                    <w:sz w:val="23"/>
                    <w:szCs w:val="23"/>
                  </w:rPr>
                  <w:t>☐</w:t>
                </w:r>
              </w:sdtContent>
            </w:sdt>
            <w:r w:rsidR="00B811A4" w:rsidRPr="001412EE">
              <w:rPr>
                <w:sz w:val="23"/>
                <w:szCs w:val="23"/>
              </w:rPr>
              <w:t xml:space="preserve"> </w:t>
            </w:r>
            <w:r w:rsidR="00B811A4" w:rsidRPr="001412EE">
              <w:rPr>
                <w:rStyle w:val="Style2"/>
                <w:sz w:val="23"/>
                <w:szCs w:val="23"/>
              </w:rPr>
              <w:t>29</w:t>
            </w:r>
            <w:r w:rsidR="00B811A4" w:rsidRPr="001412EE">
              <w:rPr>
                <w:sz w:val="23"/>
                <w:szCs w:val="23"/>
              </w:rPr>
              <w:t>.1.2 iš esmės nesiskiria, lyginant su įprasta klinikine praktika</w:t>
            </w:r>
          </w:p>
        </w:tc>
        <w:tc>
          <w:tcPr>
            <w:tcW w:w="4814" w:type="dxa"/>
          </w:tcPr>
          <w:p w14:paraId="72562F9E" w14:textId="77777777" w:rsidR="00B811A4" w:rsidRPr="001412EE"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24755596"/>
                <w15:color w:val="FFCC00"/>
                <w14:checkbox>
                  <w14:checked w14:val="0"/>
                  <w14:checkedState w14:val="2612" w14:font="MS Gothic"/>
                  <w14:uncheckedState w14:val="2610" w14:font="MS Gothic"/>
                </w14:checkbox>
              </w:sdtPr>
              <w:sdtContent>
                <w:r w:rsidR="00B811A4" w:rsidRPr="001412EE">
                  <w:rPr>
                    <w:rStyle w:val="Style2"/>
                    <w:rFonts w:ascii="Segoe UI Symbol" w:eastAsia="MS Gothic" w:hAnsi="Segoe UI Symbol" w:cs="Segoe UI Symbol"/>
                    <w:sz w:val="23"/>
                    <w:szCs w:val="23"/>
                  </w:rPr>
                  <w:t>☐</w:t>
                </w:r>
              </w:sdtContent>
            </w:sdt>
            <w:r w:rsidR="00B811A4" w:rsidRPr="001412EE">
              <w:rPr>
                <w:sz w:val="23"/>
                <w:szCs w:val="23"/>
              </w:rPr>
              <w:t xml:space="preserve"> </w:t>
            </w:r>
            <w:r w:rsidR="00B811A4" w:rsidRPr="001412EE">
              <w:rPr>
                <w:rStyle w:val="Style2"/>
                <w:sz w:val="23"/>
                <w:szCs w:val="23"/>
              </w:rPr>
              <w:t>29</w:t>
            </w:r>
            <w:r w:rsidR="00B811A4" w:rsidRPr="001412EE">
              <w:rPr>
                <w:sz w:val="23"/>
                <w:szCs w:val="23"/>
              </w:rPr>
              <w:t xml:space="preserve">.1.3 yra neįrodytas kaip didesnis  ar iš esmės nesiskiriantis, lyginant su įprasta klinikine praktika  </w:t>
            </w:r>
          </w:p>
          <w:p w14:paraId="6F6DB5BC" w14:textId="77777777" w:rsidR="00B811A4" w:rsidRPr="001412EE"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EE1D885" w14:textId="77777777" w:rsidR="00B811A4" w:rsidRPr="001412EE"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62168479"/>
                <w15:color w:val="FFCC00"/>
                <w14:checkbox>
                  <w14:checked w14:val="0"/>
                  <w14:checkedState w14:val="2612" w14:font="MS Gothic"/>
                  <w14:uncheckedState w14:val="2610" w14:font="MS Gothic"/>
                </w14:checkbox>
              </w:sdtPr>
              <w:sdtContent>
                <w:r w:rsidR="00B811A4" w:rsidRPr="001412EE">
                  <w:rPr>
                    <w:rStyle w:val="Style2"/>
                    <w:rFonts w:ascii="Segoe UI Symbol" w:eastAsia="MS Gothic" w:hAnsi="Segoe UI Symbol" w:cs="Segoe UI Symbol"/>
                    <w:sz w:val="23"/>
                    <w:szCs w:val="23"/>
                  </w:rPr>
                  <w:t>☐</w:t>
                </w:r>
              </w:sdtContent>
            </w:sdt>
            <w:r w:rsidR="00B811A4" w:rsidRPr="001412EE">
              <w:rPr>
                <w:sz w:val="23"/>
                <w:szCs w:val="23"/>
              </w:rPr>
              <w:t xml:space="preserve"> </w:t>
            </w:r>
            <w:r w:rsidR="00B811A4" w:rsidRPr="001412EE">
              <w:rPr>
                <w:rStyle w:val="Style2"/>
                <w:sz w:val="23"/>
                <w:szCs w:val="23"/>
              </w:rPr>
              <w:t>29</w:t>
            </w:r>
            <w:r w:rsidR="00B811A4" w:rsidRPr="001412EE">
              <w:rPr>
                <w:sz w:val="23"/>
                <w:szCs w:val="23"/>
              </w:rPr>
              <w:t>.1.4 yra mažesnis, lyginant su įprasta klinikine praktika</w:t>
            </w:r>
          </w:p>
          <w:p w14:paraId="193C3D76" w14:textId="77777777" w:rsidR="00B811A4" w:rsidRPr="001412EE"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370E94DC" w14:textId="4EC80DB9" w:rsidR="00B811A4" w:rsidRPr="001412EE"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57960180"/>
                <w15:color w:val="FFCC00"/>
                <w14:checkbox>
                  <w14:checked w14:val="0"/>
                  <w14:checkedState w14:val="2612" w14:font="MS Gothic"/>
                  <w14:uncheckedState w14:val="2610" w14:font="MS Gothic"/>
                </w14:checkbox>
              </w:sdtPr>
              <w:sdtContent>
                <w:r w:rsidR="00B811A4" w:rsidRPr="001412EE">
                  <w:rPr>
                    <w:rStyle w:val="Style2"/>
                    <w:rFonts w:ascii="Segoe UI Symbol" w:eastAsia="MS Gothic" w:hAnsi="Segoe UI Symbol" w:cs="Segoe UI Symbol"/>
                    <w:sz w:val="23"/>
                    <w:szCs w:val="23"/>
                  </w:rPr>
                  <w:t>☐</w:t>
                </w:r>
              </w:sdtContent>
            </w:sdt>
            <w:r w:rsidR="00B811A4" w:rsidRPr="001412EE">
              <w:rPr>
                <w:sz w:val="23"/>
                <w:szCs w:val="23"/>
              </w:rPr>
              <w:t xml:space="preserve"> </w:t>
            </w:r>
            <w:r w:rsidR="00B811A4" w:rsidRPr="001412EE">
              <w:rPr>
                <w:rStyle w:val="Style2"/>
                <w:sz w:val="23"/>
                <w:szCs w:val="23"/>
              </w:rPr>
              <w:t>29</w:t>
            </w:r>
            <w:r w:rsidR="00B811A4" w:rsidRPr="001412EE">
              <w:rPr>
                <w:sz w:val="23"/>
                <w:szCs w:val="23"/>
              </w:rPr>
              <w:t>.1.5 pateikti duomenys apie palyginamąjį veiksmingumą yra netinkami vertinti</w:t>
            </w:r>
          </w:p>
          <w:p w14:paraId="45719037" w14:textId="77777777" w:rsidR="00B811A4" w:rsidRPr="001412EE"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bookmarkEnd w:id="1"/>
      <w:tr w:rsidR="00334F18" w:rsidRPr="001412EE" w14:paraId="0E0F5168" w14:textId="77777777" w:rsidTr="00743956">
        <w:trPr>
          <w:trHeight w:val="510"/>
        </w:trPr>
        <w:tc>
          <w:tcPr>
            <w:tcW w:w="9634" w:type="dxa"/>
            <w:gridSpan w:val="2"/>
            <w:vAlign w:val="center"/>
          </w:tcPr>
          <w:p w14:paraId="62B67E12" w14:textId="77777777" w:rsidR="00B811A4" w:rsidRPr="001412EE"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r w:rsidRPr="001412EE">
              <w:rPr>
                <w:rStyle w:val="Style2"/>
                <w:rFonts w:eastAsia="MS Gothic"/>
                <w:b/>
                <w:bCs/>
                <w:sz w:val="23"/>
                <w:szCs w:val="23"/>
              </w:rPr>
              <w:t>Kaštų naudingumas</w:t>
            </w:r>
          </w:p>
        </w:tc>
      </w:tr>
      <w:tr w:rsidR="00334F18" w:rsidRPr="001412EE" w14:paraId="6A2F62B2" w14:textId="77777777" w:rsidTr="00743956">
        <w:tc>
          <w:tcPr>
            <w:tcW w:w="4820" w:type="dxa"/>
          </w:tcPr>
          <w:p w14:paraId="7CB2C697" w14:textId="0F82D1F4" w:rsidR="00B811A4" w:rsidRPr="001412EE"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301657889"/>
                <w15:color w:val="FFCC00"/>
                <w14:checkbox>
                  <w14:checked w14:val="1"/>
                  <w14:checkedState w14:val="2612" w14:font="MS Gothic"/>
                  <w14:uncheckedState w14:val="2610" w14:font="MS Gothic"/>
                </w14:checkbox>
              </w:sdtPr>
              <w:sdtContent>
                <w:r w:rsidR="008D1448" w:rsidRPr="001412EE">
                  <w:rPr>
                    <w:rStyle w:val="Style2"/>
                    <w:rFonts w:ascii="MS Gothic" w:eastAsia="MS Gothic" w:hAnsi="MS Gothic"/>
                    <w:sz w:val="23"/>
                    <w:szCs w:val="23"/>
                  </w:rPr>
                  <w:t>☒</w:t>
                </w:r>
              </w:sdtContent>
            </w:sdt>
            <w:r w:rsidR="00B811A4" w:rsidRPr="001412EE">
              <w:rPr>
                <w:sz w:val="23"/>
                <w:szCs w:val="23"/>
              </w:rPr>
              <w:t xml:space="preserve"> 29.2.1 atitinka referencinę naudingumo vertę taikant arba netaikant</w:t>
            </w:r>
            <w:r w:rsidR="00437623" w:rsidRPr="001412EE">
              <w:rPr>
                <w:b/>
                <w:bCs/>
                <w:sz w:val="23"/>
                <w:szCs w:val="23"/>
              </w:rPr>
              <w:t xml:space="preserve"> </w:t>
            </w:r>
            <w:r w:rsidR="00B811A4" w:rsidRPr="001412EE">
              <w:rPr>
                <w:sz w:val="23"/>
                <w:szCs w:val="23"/>
              </w:rPr>
              <w:t>PGS</w:t>
            </w:r>
          </w:p>
          <w:p w14:paraId="71797774" w14:textId="77777777" w:rsidR="00B811A4" w:rsidRPr="001412EE"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BE88CDB" w14:textId="60C4FFA7" w:rsidR="00B811A4" w:rsidRPr="001412EE"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c>
          <w:tcPr>
            <w:tcW w:w="4814" w:type="dxa"/>
          </w:tcPr>
          <w:p w14:paraId="0370A72C" w14:textId="77777777" w:rsidR="00B811A4" w:rsidRPr="001412EE"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91860283"/>
                <w15:color w:val="FFCC00"/>
                <w14:checkbox>
                  <w14:checked w14:val="0"/>
                  <w14:checkedState w14:val="2612" w14:font="MS Gothic"/>
                  <w14:uncheckedState w14:val="2610" w14:font="MS Gothic"/>
                </w14:checkbox>
              </w:sdtPr>
              <w:sdtContent>
                <w:r w:rsidR="00B811A4" w:rsidRPr="001412EE">
                  <w:rPr>
                    <w:rStyle w:val="Style2"/>
                    <w:rFonts w:ascii="Segoe UI Symbol" w:eastAsia="MS Gothic" w:hAnsi="Segoe UI Symbol" w:cs="Segoe UI Symbol"/>
                    <w:sz w:val="23"/>
                    <w:szCs w:val="23"/>
                  </w:rPr>
                  <w:t>☐</w:t>
                </w:r>
              </w:sdtContent>
            </w:sdt>
            <w:r w:rsidR="00B811A4" w:rsidRPr="001412EE">
              <w:rPr>
                <w:sz w:val="23"/>
                <w:szCs w:val="23"/>
              </w:rPr>
              <w:t xml:space="preserve"> 29.2.3 neatitinka referencinės naudingumo vertės taikant arba netaikant PGS</w:t>
            </w:r>
          </w:p>
          <w:p w14:paraId="13C9EEE5" w14:textId="77777777" w:rsidR="00B811A4" w:rsidRPr="001412EE"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89E6691" w14:textId="77777777" w:rsidR="00B811A4" w:rsidRPr="001412EE"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FD1976C" w14:textId="77777777" w:rsidR="00B811A4" w:rsidRPr="001412EE"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943849855"/>
                <w15:color w:val="FFCC00"/>
                <w14:checkbox>
                  <w14:checked w14:val="0"/>
                  <w14:checkedState w14:val="2612" w14:font="MS Gothic"/>
                  <w14:uncheckedState w14:val="2610" w14:font="MS Gothic"/>
                </w14:checkbox>
              </w:sdtPr>
              <w:sdtContent>
                <w:r w:rsidR="00B811A4" w:rsidRPr="001412EE">
                  <w:rPr>
                    <w:rStyle w:val="Style2"/>
                    <w:rFonts w:ascii="Segoe UI Symbol" w:eastAsia="MS Gothic" w:hAnsi="Segoe UI Symbol" w:cs="Segoe UI Symbol"/>
                    <w:sz w:val="23"/>
                    <w:szCs w:val="23"/>
                  </w:rPr>
                  <w:t>☐</w:t>
                </w:r>
              </w:sdtContent>
            </w:sdt>
            <w:r w:rsidR="00B811A4" w:rsidRPr="001412EE">
              <w:rPr>
                <w:sz w:val="23"/>
                <w:szCs w:val="23"/>
              </w:rPr>
              <w:t xml:space="preserve"> 29.2.5 pateikti duomenys apie kaštų naudingumą yra netinkami vertinti</w:t>
            </w:r>
          </w:p>
          <w:p w14:paraId="06AB06C5" w14:textId="77777777" w:rsidR="00B811A4" w:rsidRPr="001412EE"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tr w:rsidR="00334F18" w:rsidRPr="001412EE" w14:paraId="632C9193" w14:textId="77777777" w:rsidTr="00027464">
        <w:tc>
          <w:tcPr>
            <w:tcW w:w="9634" w:type="dxa"/>
            <w:gridSpan w:val="2"/>
          </w:tcPr>
          <w:p w14:paraId="15C289C9" w14:textId="47C5A3CE" w:rsidR="007111C4" w:rsidRPr="001412EE"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1266579562"/>
                <w15:color w:val="FFCC00"/>
                <w14:checkbox>
                  <w14:checked w14:val="0"/>
                  <w14:checkedState w14:val="2612" w14:font="MS Gothic"/>
                  <w14:uncheckedState w14:val="2610" w14:font="MS Gothic"/>
                </w14:checkbox>
              </w:sdtPr>
              <w:sdtContent>
                <w:r w:rsidR="007111C4" w:rsidRPr="001412EE">
                  <w:rPr>
                    <w:rStyle w:val="Style2"/>
                    <w:rFonts w:ascii="Segoe UI Symbol" w:eastAsia="MS Gothic" w:hAnsi="Segoe UI Symbol" w:cs="Segoe UI Symbol"/>
                    <w:sz w:val="23"/>
                    <w:szCs w:val="23"/>
                  </w:rPr>
                  <w:t>☐</w:t>
                </w:r>
              </w:sdtContent>
            </w:sdt>
            <w:r w:rsidR="007111C4" w:rsidRPr="001412EE">
              <w:rPr>
                <w:sz w:val="23"/>
                <w:szCs w:val="23"/>
              </w:rPr>
              <w:t xml:space="preserve"> Vykdant Aprašo &lt;17</w:t>
            </w:r>
            <w:r w:rsidR="007111C4" w:rsidRPr="001412EE">
              <w:rPr>
                <w:sz w:val="23"/>
                <w:szCs w:val="23"/>
                <w:vertAlign w:val="superscript"/>
              </w:rPr>
              <w:t>3</w:t>
            </w:r>
            <w:r w:rsidR="007111C4" w:rsidRPr="001412EE">
              <w:rPr>
                <w:sz w:val="23"/>
                <w:szCs w:val="23"/>
              </w:rPr>
              <w:t>.1&gt;&lt;17</w:t>
            </w:r>
            <w:r w:rsidR="007111C4" w:rsidRPr="001412EE">
              <w:rPr>
                <w:sz w:val="23"/>
                <w:szCs w:val="23"/>
                <w:vertAlign w:val="superscript"/>
              </w:rPr>
              <w:t>3</w:t>
            </w:r>
            <w:r w:rsidR="007111C4" w:rsidRPr="001412EE">
              <w:rPr>
                <w:sz w:val="23"/>
                <w:szCs w:val="23"/>
              </w:rPr>
              <w:t>.2&gt;&lt;17</w:t>
            </w:r>
            <w:r w:rsidR="007111C4" w:rsidRPr="001412EE">
              <w:rPr>
                <w:sz w:val="23"/>
                <w:szCs w:val="23"/>
                <w:vertAlign w:val="superscript"/>
              </w:rPr>
              <w:t>3</w:t>
            </w:r>
            <w:r w:rsidR="007111C4" w:rsidRPr="001412EE">
              <w:rPr>
                <w:sz w:val="23"/>
                <w:szCs w:val="23"/>
              </w:rPr>
              <w:t>.3&gt; punktą vaistinio (-ų) preparato (-ų) ekonominis vertinimas neatliekamas, išvados dėl kaštų naudingumo neteikiamos</w:t>
            </w:r>
          </w:p>
        </w:tc>
      </w:tr>
    </w:tbl>
    <w:p w14:paraId="08D5B3B6" w14:textId="292D1124" w:rsidR="0061611B" w:rsidRPr="001412EE" w:rsidRDefault="0061611B" w:rsidP="0061611B">
      <w:pPr>
        <w:rPr>
          <w:i/>
          <w:szCs w:val="22"/>
        </w:rPr>
      </w:pPr>
    </w:p>
    <w:p w14:paraId="1B85C083" w14:textId="77777777" w:rsidR="009E44AE" w:rsidRPr="001412EE" w:rsidRDefault="009E44AE" w:rsidP="00381024"/>
    <w:p w14:paraId="3B2D1F25" w14:textId="3A80E19F" w:rsidR="000001B0" w:rsidRPr="001412EE" w:rsidRDefault="000001B0" w:rsidP="00CC09D4">
      <w:pPr>
        <w:pStyle w:val="ListParagraph"/>
        <w:numPr>
          <w:ilvl w:val="0"/>
          <w:numId w:val="12"/>
        </w:numPr>
        <w:ind w:left="567" w:hanging="567"/>
      </w:pPr>
      <w:r w:rsidRPr="001412EE">
        <w:rPr>
          <w:b/>
        </w:rPr>
        <w:t>REKOME</w:t>
      </w:r>
      <w:r w:rsidR="00D83182" w:rsidRPr="001412EE">
        <w:rPr>
          <w:b/>
        </w:rPr>
        <w:t>N</w:t>
      </w:r>
      <w:r w:rsidRPr="001412EE">
        <w:rPr>
          <w:b/>
        </w:rPr>
        <w:t>DACIJA</w:t>
      </w:r>
    </w:p>
    <w:p w14:paraId="35E33D78" w14:textId="59232BB3" w:rsidR="00B811A4" w:rsidRPr="001412EE" w:rsidRDefault="00B811A4" w:rsidP="00B811A4">
      <w:pPr>
        <w:pStyle w:val="ListParagraph"/>
        <w:ind w:left="567"/>
        <w:rPr>
          <w:b/>
        </w:rPr>
      </w:pPr>
    </w:p>
    <w:p w14:paraId="55CD86F2" w14:textId="04A6BA51" w:rsidR="00B811A4" w:rsidRPr="001412EE" w:rsidRDefault="00B811A4" w:rsidP="0061197C">
      <w:pPr>
        <w:spacing w:line="276" w:lineRule="auto"/>
        <w:jc w:val="both"/>
        <w:rPr>
          <w:i/>
        </w:rPr>
      </w:pPr>
      <w:r w:rsidRPr="001412EE">
        <w:t>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r w:rsidR="00567C6E" w:rsidRPr="001412EE">
        <w:rPr>
          <w:i/>
        </w:rPr>
        <w:t xml:space="preserve"> </w:t>
      </w:r>
      <w:r w:rsidRPr="001412EE">
        <w:rPr>
          <w:lang w:eastAsia="lt-LT"/>
        </w:rPr>
        <w:t>30</w:t>
      </w:r>
      <w:r w:rsidRPr="001412EE">
        <w:rPr>
          <w:vertAlign w:val="superscript"/>
          <w:lang w:eastAsia="lt-LT"/>
        </w:rPr>
        <w:t>1</w:t>
      </w:r>
      <w:r w:rsidRPr="001412EE">
        <w:rPr>
          <w:lang w:eastAsia="lt-LT"/>
        </w:rPr>
        <w:t>.1. rekomenduojama kompensuoti vaistinį preparatą pagal paraiškoje nurodytą indikaciją (arba jos dalį) su skyrimo sąlyg</w:t>
      </w:r>
      <w:r w:rsidR="00567C6E" w:rsidRPr="001412EE">
        <w:rPr>
          <w:lang w:eastAsia="lt-LT"/>
        </w:rPr>
        <w:t>omis</w:t>
      </w:r>
      <w:r w:rsidRPr="001412EE">
        <w:rPr>
          <w:lang w:eastAsia="lt-LT"/>
        </w:rPr>
        <w:t>, taikant PGS, kai vertinimo išvados atitinka Aprašo 29.1.1 ir 29.2.1 papunkčiuose numatytas sąlygas</w:t>
      </w:r>
      <w:r w:rsidR="00567C6E" w:rsidRPr="001412EE">
        <w:rPr>
          <w:lang w:eastAsia="lt-LT"/>
        </w:rPr>
        <w:t>.</w:t>
      </w:r>
    </w:p>
    <w:p w14:paraId="3D60BB06" w14:textId="77777777" w:rsidR="00B811A4" w:rsidRPr="001412EE" w:rsidRDefault="00B811A4" w:rsidP="0061197C">
      <w:pPr>
        <w:widowControl w:val="0"/>
        <w:tabs>
          <w:tab w:val="left" w:pos="1418"/>
        </w:tabs>
        <w:suppressAutoHyphens/>
        <w:spacing w:line="276" w:lineRule="auto"/>
        <w:jc w:val="center"/>
        <w:textAlignment w:val="center"/>
        <w:rPr>
          <w:lang w:eastAsia="lt-LT"/>
        </w:rPr>
      </w:pPr>
    </w:p>
    <w:p w14:paraId="11C609E0" w14:textId="77777777" w:rsidR="00567C6E" w:rsidRPr="001412EE" w:rsidRDefault="00567C6E" w:rsidP="0061197C">
      <w:pPr>
        <w:widowControl w:val="0"/>
        <w:tabs>
          <w:tab w:val="left" w:pos="1418"/>
        </w:tabs>
        <w:suppressAutoHyphens/>
        <w:spacing w:line="276" w:lineRule="auto"/>
        <w:jc w:val="center"/>
        <w:textAlignment w:val="center"/>
        <w:rPr>
          <w:lang w:eastAsia="lt-LT"/>
        </w:rPr>
      </w:pPr>
    </w:p>
    <w:p w14:paraId="42F3A222" w14:textId="77777777" w:rsidR="00B811A4" w:rsidRPr="001412EE" w:rsidRDefault="00B811A4" w:rsidP="0061197C">
      <w:pPr>
        <w:tabs>
          <w:tab w:val="left" w:pos="426"/>
        </w:tabs>
        <w:spacing w:line="276" w:lineRule="auto"/>
        <w:jc w:val="both"/>
        <w:rPr>
          <w:b/>
          <w:lang w:eastAsia="lt-LT"/>
        </w:rPr>
      </w:pPr>
      <w:r w:rsidRPr="001412EE">
        <w:rPr>
          <w:b/>
          <w:lang w:eastAsia="lt-LT"/>
        </w:rPr>
        <w:t xml:space="preserve">4.3 Siūloma (-os) kompensuoti terapinės indikacijos ir skyrimo sąlygos </w:t>
      </w:r>
    </w:p>
    <w:p w14:paraId="179FBABC" w14:textId="77777777" w:rsidR="00B811A4" w:rsidRPr="001412EE" w:rsidRDefault="00B811A4" w:rsidP="0061197C">
      <w:pPr>
        <w:tabs>
          <w:tab w:val="left" w:pos="426"/>
        </w:tabs>
        <w:spacing w:line="276" w:lineRule="auto"/>
        <w:jc w:val="both"/>
        <w:rPr>
          <w:b/>
          <w:lang w:eastAsia="lt-LT"/>
        </w:rPr>
      </w:pPr>
    </w:p>
    <w:p w14:paraId="65CB839B" w14:textId="77777777" w:rsidR="00B811A4" w:rsidRPr="001412EE" w:rsidRDefault="00B811A4" w:rsidP="0061197C">
      <w:pPr>
        <w:pStyle w:val="NoSpacing"/>
        <w:spacing w:line="276" w:lineRule="auto"/>
        <w:rPr>
          <w:rFonts w:ascii="Times New Roman" w:hAnsi="Times New Roman"/>
          <w:b/>
          <w:sz w:val="24"/>
          <w:szCs w:val="24"/>
          <w:lang w:eastAsia="lt-LT"/>
        </w:rPr>
      </w:pPr>
      <w:r w:rsidRPr="001412EE">
        <w:rPr>
          <w:rFonts w:ascii="Times New Roman" w:hAnsi="Times New Roman"/>
          <w:b/>
          <w:sz w:val="24"/>
          <w:szCs w:val="24"/>
          <w:lang w:eastAsia="lt-LT"/>
        </w:rPr>
        <w:t>Terapinės indikacijos</w:t>
      </w:r>
    </w:p>
    <w:p w14:paraId="5AEA8E79" w14:textId="77777777" w:rsidR="00F93142" w:rsidRPr="001412EE" w:rsidRDefault="00F93142" w:rsidP="0061197C">
      <w:pPr>
        <w:pStyle w:val="ListParagraph"/>
        <w:spacing w:after="120" w:line="276" w:lineRule="auto"/>
        <w:ind w:left="0"/>
        <w:contextualSpacing w:val="0"/>
        <w:jc w:val="both"/>
      </w:pPr>
      <w:r w:rsidRPr="001412EE">
        <w:t>Alecensa monoterapija skiriama suaugusiesiems sergantiems nesmulkių ląstelių plaučių vėžiu adjuvantiniam gydymui po radikalios naviko rezekcijos, kai yra didelė ligos atkryčio rizika, kai nustatytas anaplazinės limfomos kinazės (ALK) teigiamas navikas.</w:t>
      </w:r>
    </w:p>
    <w:p w14:paraId="186EADBD" w14:textId="09AC9A2C" w:rsidR="00EE4B15" w:rsidRPr="00EE4B15" w:rsidRDefault="00EE4B15" w:rsidP="00EE4B15">
      <w:pPr>
        <w:pStyle w:val="NoSpacing"/>
        <w:spacing w:line="276" w:lineRule="auto"/>
        <w:rPr>
          <w:rFonts w:ascii="Times New Roman" w:hAnsi="Times New Roman"/>
          <w:bCs/>
          <w:sz w:val="24"/>
          <w:szCs w:val="24"/>
        </w:rPr>
      </w:pPr>
      <w:r w:rsidRPr="00EE4B15">
        <w:rPr>
          <w:rFonts w:ascii="Times New Roman" w:hAnsi="Times New Roman"/>
          <w:bCs/>
          <w:sz w:val="24"/>
          <w:szCs w:val="24"/>
        </w:rPr>
        <w:t>TLK 10 AM kodas:</w:t>
      </w:r>
      <w:r>
        <w:rPr>
          <w:rFonts w:ascii="Times New Roman" w:hAnsi="Times New Roman"/>
          <w:bCs/>
          <w:sz w:val="24"/>
          <w:szCs w:val="24"/>
        </w:rPr>
        <w:t xml:space="preserve"> </w:t>
      </w:r>
      <w:r w:rsidRPr="00EE4B15">
        <w:rPr>
          <w:rFonts w:ascii="Times New Roman" w:hAnsi="Times New Roman"/>
          <w:bCs/>
          <w:sz w:val="24"/>
          <w:szCs w:val="24"/>
        </w:rPr>
        <w:t>C34</w:t>
      </w:r>
      <w:r>
        <w:rPr>
          <w:rFonts w:ascii="Times New Roman" w:hAnsi="Times New Roman"/>
          <w:bCs/>
          <w:sz w:val="24"/>
          <w:szCs w:val="24"/>
        </w:rPr>
        <w:t>.</w:t>
      </w:r>
      <w:r w:rsidRPr="00EE4B15">
        <w:rPr>
          <w:rFonts w:ascii="Times New Roman" w:hAnsi="Times New Roman"/>
          <w:bCs/>
          <w:sz w:val="24"/>
          <w:szCs w:val="24"/>
        </w:rPr>
        <w:t xml:space="preserve"> </w:t>
      </w:r>
    </w:p>
    <w:p w14:paraId="3BC08150" w14:textId="77777777" w:rsidR="00B811A4" w:rsidRPr="001412EE" w:rsidRDefault="00B811A4" w:rsidP="0061197C">
      <w:pPr>
        <w:pStyle w:val="NoSpacing"/>
        <w:spacing w:line="276" w:lineRule="auto"/>
        <w:rPr>
          <w:rFonts w:ascii="Times New Roman" w:hAnsi="Times New Roman"/>
          <w:sz w:val="24"/>
          <w:szCs w:val="24"/>
        </w:rPr>
      </w:pPr>
    </w:p>
    <w:p w14:paraId="632DB4B9" w14:textId="0EDE1704" w:rsidR="00B811A4" w:rsidRDefault="00B811A4" w:rsidP="0061197C">
      <w:pPr>
        <w:pStyle w:val="NoSpacing"/>
        <w:spacing w:line="276" w:lineRule="auto"/>
        <w:rPr>
          <w:rFonts w:ascii="Times New Roman" w:hAnsi="Times New Roman"/>
          <w:b/>
          <w:sz w:val="24"/>
          <w:szCs w:val="24"/>
        </w:rPr>
      </w:pPr>
      <w:r w:rsidRPr="001412EE">
        <w:rPr>
          <w:rFonts w:ascii="Times New Roman" w:hAnsi="Times New Roman"/>
          <w:b/>
          <w:sz w:val="24"/>
          <w:szCs w:val="24"/>
        </w:rPr>
        <w:t>S</w:t>
      </w:r>
      <w:r w:rsidR="001412EE">
        <w:rPr>
          <w:rFonts w:ascii="Times New Roman" w:hAnsi="Times New Roman"/>
          <w:b/>
          <w:sz w:val="24"/>
          <w:szCs w:val="24"/>
        </w:rPr>
        <w:t>iūlomos s</w:t>
      </w:r>
      <w:r w:rsidRPr="001412EE">
        <w:rPr>
          <w:rFonts w:ascii="Times New Roman" w:hAnsi="Times New Roman"/>
          <w:b/>
          <w:sz w:val="24"/>
          <w:szCs w:val="24"/>
        </w:rPr>
        <w:t>kyrimo sąlygos</w:t>
      </w:r>
    </w:p>
    <w:p w14:paraId="657C1303" w14:textId="704546B1" w:rsidR="0073363F" w:rsidRPr="00AC4ACF" w:rsidRDefault="0073363F" w:rsidP="0073363F">
      <w:pPr>
        <w:pStyle w:val="NoSpacing"/>
        <w:spacing w:line="276" w:lineRule="auto"/>
        <w:jc w:val="both"/>
        <w:rPr>
          <w:lang w:eastAsia="lt-LT"/>
        </w:rPr>
      </w:pPr>
      <w:bookmarkStart w:id="2" w:name="_Hlk217060608"/>
      <w:r w:rsidRPr="0061197C">
        <w:rPr>
          <w:rFonts w:ascii="Times New Roman" w:hAnsi="Times New Roman"/>
          <w:bCs/>
          <w:sz w:val="24"/>
          <w:szCs w:val="24"/>
          <w:lang w:eastAsia="lt-LT"/>
        </w:rPr>
        <w:t xml:space="preserve">Skiriamas kaip monoterapija </w:t>
      </w:r>
      <w:r w:rsidRPr="00843BD7">
        <w:rPr>
          <w:rFonts w:ascii="Times New Roman" w:hAnsi="Times New Roman" w:cstheme="minorBidi"/>
          <w:sz w:val="24"/>
          <w:szCs w:val="24"/>
        </w:rPr>
        <w:t>anaplazinės limfomos kinazės (ALK)</w:t>
      </w:r>
      <w:r>
        <w:rPr>
          <w:rFonts w:ascii="Times New Roman" w:hAnsi="Times New Roman" w:cstheme="minorBidi"/>
          <w:sz w:val="24"/>
          <w:szCs w:val="24"/>
        </w:rPr>
        <w:t xml:space="preserve"> atžvilgiu </w:t>
      </w:r>
      <w:r w:rsidRPr="00843BD7">
        <w:rPr>
          <w:rFonts w:ascii="Times New Roman" w:hAnsi="Times New Roman" w:cstheme="minorBidi"/>
          <w:sz w:val="24"/>
          <w:szCs w:val="24"/>
        </w:rPr>
        <w:t>teigiam</w:t>
      </w:r>
      <w:r>
        <w:rPr>
          <w:rFonts w:ascii="Times New Roman" w:hAnsi="Times New Roman" w:cstheme="minorBidi"/>
          <w:sz w:val="24"/>
          <w:szCs w:val="24"/>
        </w:rPr>
        <w:t>o</w:t>
      </w:r>
      <w:r>
        <w:rPr>
          <w:rFonts w:ascii="Times New Roman" w:hAnsi="Times New Roman"/>
          <w:bCs/>
          <w:sz w:val="24"/>
          <w:szCs w:val="24"/>
          <w:lang w:eastAsia="lt-LT"/>
        </w:rPr>
        <w:t xml:space="preserve"> </w:t>
      </w:r>
      <w:bookmarkStart w:id="3" w:name="_Hlk217061091"/>
      <w:r w:rsidRPr="0073363F">
        <w:rPr>
          <w:rFonts w:ascii="Times New Roman" w:eastAsia="Arial" w:hAnsi="Times New Roman"/>
          <w:color w:val="000000" w:themeColor="text1"/>
        </w:rPr>
        <w:t>NSLPV</w:t>
      </w:r>
      <w:r w:rsidRPr="0073363F">
        <w:rPr>
          <w:rFonts w:ascii="Times New Roman" w:hAnsi="Times New Roman"/>
          <w:bCs/>
          <w:sz w:val="24"/>
          <w:szCs w:val="24"/>
          <w:lang w:eastAsia="lt-LT"/>
        </w:rPr>
        <w:t xml:space="preserve"> </w:t>
      </w:r>
      <w:bookmarkEnd w:id="3"/>
      <w:r w:rsidRPr="0061197C">
        <w:rPr>
          <w:rFonts w:ascii="Times New Roman" w:hAnsi="Times New Roman"/>
          <w:bCs/>
          <w:sz w:val="24"/>
          <w:szCs w:val="24"/>
          <w:lang w:eastAsia="lt-LT"/>
        </w:rPr>
        <w:t>adjuvantiniam gydymui po radikalios naviko rezekcijos, kai yra didelė ligos atkryčio rizika</w:t>
      </w:r>
      <w:r>
        <w:rPr>
          <w:rFonts w:ascii="Times New Roman" w:hAnsi="Times New Roman"/>
          <w:bCs/>
          <w:sz w:val="24"/>
          <w:szCs w:val="24"/>
          <w:lang w:eastAsia="lt-LT"/>
        </w:rPr>
        <w:t xml:space="preserve">. Gydymo trukmė </w:t>
      </w:r>
      <w:r w:rsidRPr="0061197C">
        <w:rPr>
          <w:rFonts w:ascii="Times New Roman" w:hAnsi="Times New Roman"/>
          <w:bCs/>
          <w:sz w:val="24"/>
          <w:szCs w:val="24"/>
          <w:lang w:eastAsia="lt-LT"/>
        </w:rPr>
        <w:t>ne ilg</w:t>
      </w:r>
      <w:r>
        <w:rPr>
          <w:rFonts w:ascii="Times New Roman" w:hAnsi="Times New Roman"/>
          <w:bCs/>
          <w:sz w:val="24"/>
          <w:szCs w:val="24"/>
          <w:lang w:eastAsia="lt-LT"/>
        </w:rPr>
        <w:t xml:space="preserve">esnė </w:t>
      </w:r>
      <w:r w:rsidRPr="0061197C">
        <w:rPr>
          <w:rFonts w:ascii="Times New Roman" w:hAnsi="Times New Roman"/>
          <w:bCs/>
          <w:sz w:val="24"/>
          <w:szCs w:val="24"/>
          <w:lang w:eastAsia="lt-LT"/>
        </w:rPr>
        <w:t xml:space="preserve">nei 24 mėn. </w:t>
      </w:r>
    </w:p>
    <w:bookmarkEnd w:id="2"/>
    <w:p w14:paraId="33B8DE04" w14:textId="59612541" w:rsidR="00283E59" w:rsidRPr="001412EE" w:rsidRDefault="00283E59" w:rsidP="00583071">
      <w:pPr>
        <w:pStyle w:val="NoSpacing"/>
        <w:jc w:val="center"/>
      </w:pPr>
      <w:r w:rsidRPr="001412EE">
        <w:rPr>
          <w:lang w:eastAsia="lt-LT"/>
        </w:rPr>
        <w:t>_______________________</w:t>
      </w:r>
    </w:p>
    <w:sectPr w:rsidR="00283E59" w:rsidRPr="001412EE" w:rsidSect="00063A50">
      <w:headerReference w:type="first" r:id="rId11"/>
      <w:footerReference w:type="first" r:id="rId12"/>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6A9FA" w14:textId="77777777" w:rsidR="008E4262" w:rsidRDefault="008E4262">
      <w:r>
        <w:separator/>
      </w:r>
    </w:p>
  </w:endnote>
  <w:endnote w:type="continuationSeparator" w:id="0">
    <w:p w14:paraId="0BD8B66C" w14:textId="77777777" w:rsidR="008E4262" w:rsidRDefault="008E4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4EB1C" w14:textId="77777777" w:rsidR="008E4262" w:rsidRDefault="008E4262">
      <w:r>
        <w:separator/>
      </w:r>
    </w:p>
  </w:footnote>
  <w:footnote w:type="continuationSeparator" w:id="0">
    <w:p w14:paraId="32AC3CC3" w14:textId="77777777" w:rsidR="008E4262" w:rsidRDefault="008E4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1276250"/>
    <w:multiLevelType w:val="hybridMultilevel"/>
    <w:tmpl w:val="3B6C29F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1A816B09"/>
    <w:multiLevelType w:val="hybridMultilevel"/>
    <w:tmpl w:val="8FBEE17A"/>
    <w:lvl w:ilvl="0" w:tplc="0427000F">
      <w:start w:val="16"/>
      <w:numFmt w:val="decimal"/>
      <w:lvlText w:val="%1."/>
      <w:lvlJc w:val="left"/>
      <w:pPr>
        <w:ind w:left="501" w:hanging="36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6"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8"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29035017">
    <w:abstractNumId w:val="8"/>
  </w:num>
  <w:num w:numId="2" w16cid:durableId="985162166">
    <w:abstractNumId w:val="2"/>
  </w:num>
  <w:num w:numId="3" w16cid:durableId="480578891">
    <w:abstractNumId w:val="10"/>
  </w:num>
  <w:num w:numId="4" w16cid:durableId="442387534">
    <w:abstractNumId w:val="9"/>
  </w:num>
  <w:num w:numId="5" w16cid:durableId="823667834">
    <w:abstractNumId w:val="7"/>
  </w:num>
  <w:num w:numId="6" w16cid:durableId="417020125">
    <w:abstractNumId w:val="6"/>
  </w:num>
  <w:num w:numId="7" w16cid:durableId="1843550031">
    <w:abstractNumId w:val="4"/>
  </w:num>
  <w:num w:numId="8" w16cid:durableId="580068462">
    <w:abstractNumId w:val="13"/>
  </w:num>
  <w:num w:numId="9" w16cid:durableId="257183606">
    <w:abstractNumId w:val="0"/>
  </w:num>
  <w:num w:numId="10" w16cid:durableId="131410136">
    <w:abstractNumId w:val="11"/>
  </w:num>
  <w:num w:numId="11" w16cid:durableId="1133251921">
    <w:abstractNumId w:val="12"/>
  </w:num>
  <w:num w:numId="12" w16cid:durableId="700133012">
    <w:abstractNumId w:val="3"/>
  </w:num>
  <w:num w:numId="13" w16cid:durableId="373774129">
    <w:abstractNumId w:val="5"/>
  </w:num>
  <w:num w:numId="14" w16cid:durableId="1004668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03E1"/>
    <w:rsid w:val="0002686C"/>
    <w:rsid w:val="00031D0E"/>
    <w:rsid w:val="000337E6"/>
    <w:rsid w:val="0003402E"/>
    <w:rsid w:val="00034EAE"/>
    <w:rsid w:val="00042924"/>
    <w:rsid w:val="000448C6"/>
    <w:rsid w:val="00052BD8"/>
    <w:rsid w:val="00053975"/>
    <w:rsid w:val="00057A2B"/>
    <w:rsid w:val="000606BE"/>
    <w:rsid w:val="000624FF"/>
    <w:rsid w:val="00063A50"/>
    <w:rsid w:val="000723FF"/>
    <w:rsid w:val="000736B8"/>
    <w:rsid w:val="0008190F"/>
    <w:rsid w:val="00081D9C"/>
    <w:rsid w:val="00082907"/>
    <w:rsid w:val="0008378D"/>
    <w:rsid w:val="000908A5"/>
    <w:rsid w:val="00092805"/>
    <w:rsid w:val="000A50C9"/>
    <w:rsid w:val="000B2B2C"/>
    <w:rsid w:val="000B76AD"/>
    <w:rsid w:val="000C454C"/>
    <w:rsid w:val="000D5038"/>
    <w:rsid w:val="000E29D4"/>
    <w:rsid w:val="000F3540"/>
    <w:rsid w:val="00100491"/>
    <w:rsid w:val="00104E2E"/>
    <w:rsid w:val="00107287"/>
    <w:rsid w:val="00117194"/>
    <w:rsid w:val="00117406"/>
    <w:rsid w:val="00121EF0"/>
    <w:rsid w:val="00124A9E"/>
    <w:rsid w:val="00124F1C"/>
    <w:rsid w:val="00130703"/>
    <w:rsid w:val="0013153F"/>
    <w:rsid w:val="001408B8"/>
    <w:rsid w:val="001412EE"/>
    <w:rsid w:val="001466FE"/>
    <w:rsid w:val="001517E2"/>
    <w:rsid w:val="001521D9"/>
    <w:rsid w:val="001554E2"/>
    <w:rsid w:val="00164146"/>
    <w:rsid w:val="00164D64"/>
    <w:rsid w:val="0017369C"/>
    <w:rsid w:val="00175D57"/>
    <w:rsid w:val="00180C39"/>
    <w:rsid w:val="00180D96"/>
    <w:rsid w:val="00184BD3"/>
    <w:rsid w:val="001921F3"/>
    <w:rsid w:val="001A0CAA"/>
    <w:rsid w:val="001B3C5B"/>
    <w:rsid w:val="001C2FC8"/>
    <w:rsid w:val="001C6353"/>
    <w:rsid w:val="001D5B91"/>
    <w:rsid w:val="001D6E7F"/>
    <w:rsid w:val="001D746F"/>
    <w:rsid w:val="001E0B2D"/>
    <w:rsid w:val="001E4BBB"/>
    <w:rsid w:val="001E6304"/>
    <w:rsid w:val="001F115E"/>
    <w:rsid w:val="0020381E"/>
    <w:rsid w:val="00213471"/>
    <w:rsid w:val="00215906"/>
    <w:rsid w:val="00241CD8"/>
    <w:rsid w:val="00244A49"/>
    <w:rsid w:val="00244B09"/>
    <w:rsid w:val="002519CB"/>
    <w:rsid w:val="0025697F"/>
    <w:rsid w:val="00260258"/>
    <w:rsid w:val="0026588E"/>
    <w:rsid w:val="00272428"/>
    <w:rsid w:val="00272948"/>
    <w:rsid w:val="00283E59"/>
    <w:rsid w:val="00292392"/>
    <w:rsid w:val="002946C7"/>
    <w:rsid w:val="002B3CC1"/>
    <w:rsid w:val="002C0686"/>
    <w:rsid w:val="002C09E0"/>
    <w:rsid w:val="002C100E"/>
    <w:rsid w:val="002C1BB1"/>
    <w:rsid w:val="002C2786"/>
    <w:rsid w:val="002C3A10"/>
    <w:rsid w:val="002C4A90"/>
    <w:rsid w:val="002C4ED5"/>
    <w:rsid w:val="002D02EF"/>
    <w:rsid w:val="002D60E5"/>
    <w:rsid w:val="002E0702"/>
    <w:rsid w:val="002E1A83"/>
    <w:rsid w:val="002E57AD"/>
    <w:rsid w:val="002E6F80"/>
    <w:rsid w:val="002F0E4F"/>
    <w:rsid w:val="002F1053"/>
    <w:rsid w:val="003113A7"/>
    <w:rsid w:val="00314816"/>
    <w:rsid w:val="00317B0E"/>
    <w:rsid w:val="00334F18"/>
    <w:rsid w:val="00336238"/>
    <w:rsid w:val="00347FAA"/>
    <w:rsid w:val="0035172D"/>
    <w:rsid w:val="0036187D"/>
    <w:rsid w:val="00367EDB"/>
    <w:rsid w:val="003705F0"/>
    <w:rsid w:val="00381024"/>
    <w:rsid w:val="00386307"/>
    <w:rsid w:val="003874DE"/>
    <w:rsid w:val="00393E9F"/>
    <w:rsid w:val="0039696E"/>
    <w:rsid w:val="003B211A"/>
    <w:rsid w:val="003C141F"/>
    <w:rsid w:val="003C5ACB"/>
    <w:rsid w:val="003C6B0E"/>
    <w:rsid w:val="003C7257"/>
    <w:rsid w:val="003C7E35"/>
    <w:rsid w:val="003D1E99"/>
    <w:rsid w:val="003D6208"/>
    <w:rsid w:val="00404E8A"/>
    <w:rsid w:val="0040622F"/>
    <w:rsid w:val="00413F24"/>
    <w:rsid w:val="00422853"/>
    <w:rsid w:val="00423160"/>
    <w:rsid w:val="00437623"/>
    <w:rsid w:val="00444A2B"/>
    <w:rsid w:val="00453862"/>
    <w:rsid w:val="0045469B"/>
    <w:rsid w:val="00461338"/>
    <w:rsid w:val="004677DB"/>
    <w:rsid w:val="00476256"/>
    <w:rsid w:val="0048630F"/>
    <w:rsid w:val="004947A1"/>
    <w:rsid w:val="0049482A"/>
    <w:rsid w:val="004979D3"/>
    <w:rsid w:val="004A00E7"/>
    <w:rsid w:val="004A3A61"/>
    <w:rsid w:val="004A7ED2"/>
    <w:rsid w:val="004B59BA"/>
    <w:rsid w:val="004B5A03"/>
    <w:rsid w:val="004C263A"/>
    <w:rsid w:val="004C6221"/>
    <w:rsid w:val="004D48A6"/>
    <w:rsid w:val="004D70B6"/>
    <w:rsid w:val="004D7B8F"/>
    <w:rsid w:val="004E241F"/>
    <w:rsid w:val="004E6458"/>
    <w:rsid w:val="004E6E7D"/>
    <w:rsid w:val="004F1AAC"/>
    <w:rsid w:val="004F1AE2"/>
    <w:rsid w:val="004F34F0"/>
    <w:rsid w:val="004F3B2B"/>
    <w:rsid w:val="004F6050"/>
    <w:rsid w:val="005005EF"/>
    <w:rsid w:val="005123C2"/>
    <w:rsid w:val="0052144B"/>
    <w:rsid w:val="00524066"/>
    <w:rsid w:val="00526A0F"/>
    <w:rsid w:val="00534E11"/>
    <w:rsid w:val="005378D8"/>
    <w:rsid w:val="005400D9"/>
    <w:rsid w:val="005476A4"/>
    <w:rsid w:val="0055019B"/>
    <w:rsid w:val="00556E63"/>
    <w:rsid w:val="005601A4"/>
    <w:rsid w:val="00566DBB"/>
    <w:rsid w:val="00567B14"/>
    <w:rsid w:val="00567C6E"/>
    <w:rsid w:val="005767DB"/>
    <w:rsid w:val="005815E6"/>
    <w:rsid w:val="00583071"/>
    <w:rsid w:val="0058712F"/>
    <w:rsid w:val="005976CE"/>
    <w:rsid w:val="005A23D4"/>
    <w:rsid w:val="005A2D1E"/>
    <w:rsid w:val="005A4698"/>
    <w:rsid w:val="005B3756"/>
    <w:rsid w:val="005C3616"/>
    <w:rsid w:val="005C493F"/>
    <w:rsid w:val="005C6BF7"/>
    <w:rsid w:val="005C71BF"/>
    <w:rsid w:val="005D002C"/>
    <w:rsid w:val="005D30E1"/>
    <w:rsid w:val="005D6555"/>
    <w:rsid w:val="005D7BDF"/>
    <w:rsid w:val="005E4870"/>
    <w:rsid w:val="005F71D9"/>
    <w:rsid w:val="005F7602"/>
    <w:rsid w:val="006062BE"/>
    <w:rsid w:val="0061197C"/>
    <w:rsid w:val="00613143"/>
    <w:rsid w:val="00613501"/>
    <w:rsid w:val="00615894"/>
    <w:rsid w:val="0061611B"/>
    <w:rsid w:val="006166A8"/>
    <w:rsid w:val="006174A1"/>
    <w:rsid w:val="00621D6C"/>
    <w:rsid w:val="00631B8B"/>
    <w:rsid w:val="00632F37"/>
    <w:rsid w:val="00633B49"/>
    <w:rsid w:val="0064186B"/>
    <w:rsid w:val="0064297F"/>
    <w:rsid w:val="00645102"/>
    <w:rsid w:val="00646CF3"/>
    <w:rsid w:val="00653D11"/>
    <w:rsid w:val="00662983"/>
    <w:rsid w:val="006834D3"/>
    <w:rsid w:val="00692625"/>
    <w:rsid w:val="00695CD3"/>
    <w:rsid w:val="006A2850"/>
    <w:rsid w:val="006A38B6"/>
    <w:rsid w:val="006B1987"/>
    <w:rsid w:val="006B5B71"/>
    <w:rsid w:val="006B5D3E"/>
    <w:rsid w:val="006B6CB0"/>
    <w:rsid w:val="006C2B64"/>
    <w:rsid w:val="006D1BF3"/>
    <w:rsid w:val="006D4C85"/>
    <w:rsid w:val="006D66AC"/>
    <w:rsid w:val="006E33F6"/>
    <w:rsid w:val="006F1251"/>
    <w:rsid w:val="006F1C23"/>
    <w:rsid w:val="00702C18"/>
    <w:rsid w:val="00703166"/>
    <w:rsid w:val="007111C4"/>
    <w:rsid w:val="007127F3"/>
    <w:rsid w:val="007301CF"/>
    <w:rsid w:val="007316FB"/>
    <w:rsid w:val="0073363F"/>
    <w:rsid w:val="00737E2D"/>
    <w:rsid w:val="007424D5"/>
    <w:rsid w:val="00745C63"/>
    <w:rsid w:val="00750A88"/>
    <w:rsid w:val="007523DD"/>
    <w:rsid w:val="00757B7E"/>
    <w:rsid w:val="007656B2"/>
    <w:rsid w:val="0077016F"/>
    <w:rsid w:val="007713AD"/>
    <w:rsid w:val="0078192C"/>
    <w:rsid w:val="00795DC5"/>
    <w:rsid w:val="00797153"/>
    <w:rsid w:val="007A21F7"/>
    <w:rsid w:val="007A2B68"/>
    <w:rsid w:val="007B0DDA"/>
    <w:rsid w:val="007C7E7E"/>
    <w:rsid w:val="007D3347"/>
    <w:rsid w:val="007D654E"/>
    <w:rsid w:val="007E5466"/>
    <w:rsid w:val="007F1949"/>
    <w:rsid w:val="007F2592"/>
    <w:rsid w:val="00800A08"/>
    <w:rsid w:val="00817A84"/>
    <w:rsid w:val="008225A4"/>
    <w:rsid w:val="00824B92"/>
    <w:rsid w:val="00826D5E"/>
    <w:rsid w:val="00832013"/>
    <w:rsid w:val="00832DB7"/>
    <w:rsid w:val="00834732"/>
    <w:rsid w:val="0085200C"/>
    <w:rsid w:val="00853487"/>
    <w:rsid w:val="00857C52"/>
    <w:rsid w:val="00860D5F"/>
    <w:rsid w:val="00880A44"/>
    <w:rsid w:val="0088345E"/>
    <w:rsid w:val="0088656F"/>
    <w:rsid w:val="008875BC"/>
    <w:rsid w:val="00890D98"/>
    <w:rsid w:val="00891EF6"/>
    <w:rsid w:val="00892FF4"/>
    <w:rsid w:val="0089345A"/>
    <w:rsid w:val="008A0303"/>
    <w:rsid w:val="008A2743"/>
    <w:rsid w:val="008A5FDD"/>
    <w:rsid w:val="008C3947"/>
    <w:rsid w:val="008D1448"/>
    <w:rsid w:val="008E4262"/>
    <w:rsid w:val="008E473B"/>
    <w:rsid w:val="008E51A6"/>
    <w:rsid w:val="008E7329"/>
    <w:rsid w:val="008F2ED5"/>
    <w:rsid w:val="0092297E"/>
    <w:rsid w:val="00923292"/>
    <w:rsid w:val="00923651"/>
    <w:rsid w:val="00924DF7"/>
    <w:rsid w:val="00927B56"/>
    <w:rsid w:val="009341BF"/>
    <w:rsid w:val="00937907"/>
    <w:rsid w:val="00940906"/>
    <w:rsid w:val="00941739"/>
    <w:rsid w:val="00947263"/>
    <w:rsid w:val="00951573"/>
    <w:rsid w:val="00963003"/>
    <w:rsid w:val="00965919"/>
    <w:rsid w:val="00966EEF"/>
    <w:rsid w:val="00971B28"/>
    <w:rsid w:val="00983471"/>
    <w:rsid w:val="009909AB"/>
    <w:rsid w:val="009B37DB"/>
    <w:rsid w:val="009C7A8C"/>
    <w:rsid w:val="009D23F9"/>
    <w:rsid w:val="009D4FA8"/>
    <w:rsid w:val="009E44AE"/>
    <w:rsid w:val="009E6CD6"/>
    <w:rsid w:val="009F4D66"/>
    <w:rsid w:val="00A00C3C"/>
    <w:rsid w:val="00A01091"/>
    <w:rsid w:val="00A0266B"/>
    <w:rsid w:val="00A042B9"/>
    <w:rsid w:val="00A06DBB"/>
    <w:rsid w:val="00A22ADF"/>
    <w:rsid w:val="00A2310D"/>
    <w:rsid w:val="00A254A2"/>
    <w:rsid w:val="00A31E86"/>
    <w:rsid w:val="00A54D87"/>
    <w:rsid w:val="00A5553C"/>
    <w:rsid w:val="00A701C9"/>
    <w:rsid w:val="00A71ABD"/>
    <w:rsid w:val="00A81785"/>
    <w:rsid w:val="00A84803"/>
    <w:rsid w:val="00A84C51"/>
    <w:rsid w:val="00A86F2B"/>
    <w:rsid w:val="00A91366"/>
    <w:rsid w:val="00A92F91"/>
    <w:rsid w:val="00A93AA6"/>
    <w:rsid w:val="00AA4E48"/>
    <w:rsid w:val="00AA6202"/>
    <w:rsid w:val="00AA7B57"/>
    <w:rsid w:val="00AB2806"/>
    <w:rsid w:val="00AB2D54"/>
    <w:rsid w:val="00AC26FC"/>
    <w:rsid w:val="00AC4A99"/>
    <w:rsid w:val="00AC4ACF"/>
    <w:rsid w:val="00AC5129"/>
    <w:rsid w:val="00AC64D2"/>
    <w:rsid w:val="00AD02E7"/>
    <w:rsid w:val="00AE0FE8"/>
    <w:rsid w:val="00AF60D5"/>
    <w:rsid w:val="00B00959"/>
    <w:rsid w:val="00B04415"/>
    <w:rsid w:val="00B06509"/>
    <w:rsid w:val="00B11D60"/>
    <w:rsid w:val="00B13D65"/>
    <w:rsid w:val="00B21805"/>
    <w:rsid w:val="00B3072E"/>
    <w:rsid w:val="00B367CE"/>
    <w:rsid w:val="00B36E15"/>
    <w:rsid w:val="00B37245"/>
    <w:rsid w:val="00B4017A"/>
    <w:rsid w:val="00B4468D"/>
    <w:rsid w:val="00B71C72"/>
    <w:rsid w:val="00B71F04"/>
    <w:rsid w:val="00B74A62"/>
    <w:rsid w:val="00B811A4"/>
    <w:rsid w:val="00B81E92"/>
    <w:rsid w:val="00B908D7"/>
    <w:rsid w:val="00B935E8"/>
    <w:rsid w:val="00B93B30"/>
    <w:rsid w:val="00B94CB5"/>
    <w:rsid w:val="00BA0DD9"/>
    <w:rsid w:val="00BA5DBC"/>
    <w:rsid w:val="00BA6584"/>
    <w:rsid w:val="00BB6312"/>
    <w:rsid w:val="00BC2D4E"/>
    <w:rsid w:val="00BC39C2"/>
    <w:rsid w:val="00BC4D06"/>
    <w:rsid w:val="00BD05E1"/>
    <w:rsid w:val="00BD585E"/>
    <w:rsid w:val="00BD6919"/>
    <w:rsid w:val="00BE1EA7"/>
    <w:rsid w:val="00BE7489"/>
    <w:rsid w:val="00BF2E0D"/>
    <w:rsid w:val="00BF3927"/>
    <w:rsid w:val="00BF3F8B"/>
    <w:rsid w:val="00BF76DA"/>
    <w:rsid w:val="00C00CDB"/>
    <w:rsid w:val="00C07C7B"/>
    <w:rsid w:val="00C16245"/>
    <w:rsid w:val="00C22DC5"/>
    <w:rsid w:val="00C24479"/>
    <w:rsid w:val="00C273F2"/>
    <w:rsid w:val="00C37B53"/>
    <w:rsid w:val="00C434EB"/>
    <w:rsid w:val="00C517D2"/>
    <w:rsid w:val="00C5772E"/>
    <w:rsid w:val="00C62B36"/>
    <w:rsid w:val="00C7012C"/>
    <w:rsid w:val="00C712EA"/>
    <w:rsid w:val="00C83F04"/>
    <w:rsid w:val="00C9728E"/>
    <w:rsid w:val="00CA217D"/>
    <w:rsid w:val="00CA3131"/>
    <w:rsid w:val="00CC09D4"/>
    <w:rsid w:val="00CC4F5F"/>
    <w:rsid w:val="00CC668D"/>
    <w:rsid w:val="00CC7832"/>
    <w:rsid w:val="00CD488E"/>
    <w:rsid w:val="00CE4B0B"/>
    <w:rsid w:val="00CF0C1C"/>
    <w:rsid w:val="00CF27FD"/>
    <w:rsid w:val="00CF5F12"/>
    <w:rsid w:val="00D00D8F"/>
    <w:rsid w:val="00D12869"/>
    <w:rsid w:val="00D14512"/>
    <w:rsid w:val="00D15ED6"/>
    <w:rsid w:val="00D21F3A"/>
    <w:rsid w:val="00D23808"/>
    <w:rsid w:val="00D3016A"/>
    <w:rsid w:val="00D417D2"/>
    <w:rsid w:val="00D42960"/>
    <w:rsid w:val="00D43BD7"/>
    <w:rsid w:val="00D4485B"/>
    <w:rsid w:val="00D46CCD"/>
    <w:rsid w:val="00D4708D"/>
    <w:rsid w:val="00D4744C"/>
    <w:rsid w:val="00D51046"/>
    <w:rsid w:val="00D521DE"/>
    <w:rsid w:val="00D5470B"/>
    <w:rsid w:val="00D63068"/>
    <w:rsid w:val="00D6498C"/>
    <w:rsid w:val="00D67BAF"/>
    <w:rsid w:val="00D7696E"/>
    <w:rsid w:val="00D76A70"/>
    <w:rsid w:val="00D83182"/>
    <w:rsid w:val="00D8521E"/>
    <w:rsid w:val="00D9291C"/>
    <w:rsid w:val="00D93A97"/>
    <w:rsid w:val="00DA5602"/>
    <w:rsid w:val="00DB1F64"/>
    <w:rsid w:val="00DC03B4"/>
    <w:rsid w:val="00DC261A"/>
    <w:rsid w:val="00DC2F53"/>
    <w:rsid w:val="00DC5BAC"/>
    <w:rsid w:val="00DC6816"/>
    <w:rsid w:val="00DC76C2"/>
    <w:rsid w:val="00DD1CF2"/>
    <w:rsid w:val="00DE378A"/>
    <w:rsid w:val="00DE4484"/>
    <w:rsid w:val="00DF41B7"/>
    <w:rsid w:val="00DF4A4A"/>
    <w:rsid w:val="00DF583C"/>
    <w:rsid w:val="00E03C3F"/>
    <w:rsid w:val="00E06FD7"/>
    <w:rsid w:val="00E07417"/>
    <w:rsid w:val="00E24D45"/>
    <w:rsid w:val="00E33DB8"/>
    <w:rsid w:val="00E33EFF"/>
    <w:rsid w:val="00E34387"/>
    <w:rsid w:val="00E348BA"/>
    <w:rsid w:val="00E369FE"/>
    <w:rsid w:val="00E37C6F"/>
    <w:rsid w:val="00E475F8"/>
    <w:rsid w:val="00E5102E"/>
    <w:rsid w:val="00E5721C"/>
    <w:rsid w:val="00E619C6"/>
    <w:rsid w:val="00E70CED"/>
    <w:rsid w:val="00E745A1"/>
    <w:rsid w:val="00E81529"/>
    <w:rsid w:val="00E83A13"/>
    <w:rsid w:val="00EB1151"/>
    <w:rsid w:val="00EB6FC5"/>
    <w:rsid w:val="00EC2356"/>
    <w:rsid w:val="00EC2582"/>
    <w:rsid w:val="00EC337C"/>
    <w:rsid w:val="00ED0CFF"/>
    <w:rsid w:val="00ED31D2"/>
    <w:rsid w:val="00ED6FD5"/>
    <w:rsid w:val="00EE0EAC"/>
    <w:rsid w:val="00EE3322"/>
    <w:rsid w:val="00EE33CB"/>
    <w:rsid w:val="00EE4B15"/>
    <w:rsid w:val="00F0061A"/>
    <w:rsid w:val="00F02834"/>
    <w:rsid w:val="00F04EEB"/>
    <w:rsid w:val="00F05467"/>
    <w:rsid w:val="00F055D2"/>
    <w:rsid w:val="00F07CD7"/>
    <w:rsid w:val="00F127E9"/>
    <w:rsid w:val="00F14477"/>
    <w:rsid w:val="00F14B5D"/>
    <w:rsid w:val="00F217E7"/>
    <w:rsid w:val="00F259FC"/>
    <w:rsid w:val="00F313F4"/>
    <w:rsid w:val="00F36972"/>
    <w:rsid w:val="00F42426"/>
    <w:rsid w:val="00F44F01"/>
    <w:rsid w:val="00F456BC"/>
    <w:rsid w:val="00F50666"/>
    <w:rsid w:val="00F70598"/>
    <w:rsid w:val="00F70731"/>
    <w:rsid w:val="00F70C9E"/>
    <w:rsid w:val="00F74A74"/>
    <w:rsid w:val="00F7572C"/>
    <w:rsid w:val="00F8382C"/>
    <w:rsid w:val="00F855D7"/>
    <w:rsid w:val="00F92035"/>
    <w:rsid w:val="00F92748"/>
    <w:rsid w:val="00F93142"/>
    <w:rsid w:val="00F978A7"/>
    <w:rsid w:val="00F97900"/>
    <w:rsid w:val="00FA4169"/>
    <w:rsid w:val="00FB0D41"/>
    <w:rsid w:val="00FB2030"/>
    <w:rsid w:val="00FD0E46"/>
    <w:rsid w:val="00FD1060"/>
    <w:rsid w:val="00FD1CF2"/>
    <w:rsid w:val="00FD3EDF"/>
    <w:rsid w:val="00FD793C"/>
    <w:rsid w:val="00FE0FD5"/>
    <w:rsid w:val="00FE20E6"/>
    <w:rsid w:val="00FE3E3B"/>
    <w:rsid w:val="00FE5878"/>
    <w:rsid w:val="00FF4032"/>
    <w:rsid w:val="00FF4A2E"/>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15:docId w15:val="{F7F3A9C3-E9E6-43B3-ABB8-B55FEFD56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uiPriority w:val="99"/>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Bullet 1,List bullets,Bullet List,Bullet1,Use Case List Paragraph,List Paragraph1,Body Bullet,Table Number Paragraph,Colorful List - Accent 11,List Paragraph 1,Ref,B1,Figure_name,bu1,bu1 + Before:  0 pt,After:  6 pt,Bullet for no #'s"/>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character" w:customStyle="1" w:styleId="ListParagraphChar">
    <w:name w:val="List Paragraph Char"/>
    <w:aliases w:val="Bullet 1 Char,List bullets Char,Bullet List Char,Bullet1 Char,Use Case List Paragraph Char,List Paragraph1 Char,Body Bullet Char,Table Number Paragraph Char,Colorful List - Accent 11 Char,List Paragraph 1 Char,Ref Char,B1 Char"/>
    <w:link w:val="ListParagraph"/>
    <w:uiPriority w:val="34"/>
    <w:qFormat/>
    <w:locked/>
    <w:rsid w:val="004A7ED2"/>
    <w:rPr>
      <w:sz w:val="24"/>
      <w:szCs w:val="24"/>
      <w:lang w:eastAsia="en-US"/>
    </w:rPr>
  </w:style>
  <w:style w:type="paragraph" w:styleId="NormalWeb">
    <w:name w:val="Normal (Web)"/>
    <w:basedOn w:val="Normal"/>
    <w:uiPriority w:val="99"/>
    <w:unhideWhenUsed/>
    <w:rsid w:val="008D1448"/>
    <w:pPr>
      <w:spacing w:before="100" w:beforeAutospacing="1" w:after="100" w:afterAutospacing="1"/>
    </w:pPr>
    <w:rPr>
      <w:lang w:eastAsia="en-GB"/>
    </w:rPr>
  </w:style>
  <w:style w:type="character" w:customStyle="1" w:styleId="apple-converted-space">
    <w:name w:val="apple-converted-space"/>
    <w:basedOn w:val="DefaultParagraphFont"/>
    <w:rsid w:val="008D1448"/>
  </w:style>
  <w:style w:type="character" w:customStyle="1" w:styleId="s3">
    <w:name w:val="s3"/>
    <w:basedOn w:val="DefaultParagraphFont"/>
    <w:rsid w:val="008D1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wikipedia.org/wiki/Mirti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t.wikipedia.org/w/index.php?title=Dusulys&amp;action=edit&amp;redlink=1" TargetMode="External"/><Relationship Id="rId4" Type="http://schemas.openxmlformats.org/officeDocument/2006/relationships/settings" Target="settings.xml"/><Relationship Id="rId9" Type="http://schemas.openxmlformats.org/officeDocument/2006/relationships/hyperlink" Target="https://lt.wikipedia.org/wiki/Kosulys"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03AA1B603F47D3BD40A45F2A0F7814"/>
        <w:category>
          <w:name w:val="Bendrosios nuostatos"/>
          <w:gallery w:val="placeholder"/>
        </w:category>
        <w:types>
          <w:type w:val="bbPlcHdr"/>
        </w:types>
        <w:behaviors>
          <w:behavior w:val="content"/>
        </w:behaviors>
        <w:guid w:val="{8C4F7D04-3290-49A2-A1A8-CE54E5D88A88}"/>
      </w:docPartPr>
      <w:docPartBody>
        <w:p w:rsidR="00A20D39" w:rsidRDefault="00C66578" w:rsidP="00C66578">
          <w:pPr>
            <w:pStyle w:val="9F03AA1B603F47D3BD40A45F2A0F7814"/>
          </w:pPr>
          <w:r>
            <w:rPr>
              <w:rStyle w:val="PlaceholderText"/>
            </w:rPr>
            <w:t>Click here to enter a date.</w:t>
          </w:r>
        </w:p>
      </w:docPartBody>
    </w:docPart>
    <w:docPart>
      <w:docPartPr>
        <w:name w:val="93D7EBE30A7F432F9AB1114CDC0B27A0"/>
        <w:category>
          <w:name w:val="Bendrosios nuostatos"/>
          <w:gallery w:val="placeholder"/>
        </w:category>
        <w:types>
          <w:type w:val="bbPlcHdr"/>
        </w:types>
        <w:behaviors>
          <w:behavior w:val="content"/>
        </w:behaviors>
        <w:guid w:val="{17F62492-AACD-4837-966A-2DF1151E6A27}"/>
      </w:docPartPr>
      <w:docPartBody>
        <w:p w:rsidR="00A20D39" w:rsidRDefault="00C66578" w:rsidP="00C66578">
          <w:pPr>
            <w:pStyle w:val="93D7EBE30A7F432F9AB1114CDC0B27A0"/>
          </w:pPr>
          <w:r>
            <w:rPr>
              <w:rStyle w:val="PlaceholderText"/>
            </w:rPr>
            <w:t>Click here to enter a date.</w:t>
          </w:r>
        </w:p>
      </w:docPartBody>
    </w:docPart>
    <w:docPart>
      <w:docPartPr>
        <w:name w:val="313EC56AA2FD440FAB92ED675BD36BA0"/>
        <w:category>
          <w:name w:val="Bendrosios nuostatos"/>
          <w:gallery w:val="placeholder"/>
        </w:category>
        <w:types>
          <w:type w:val="bbPlcHdr"/>
        </w:types>
        <w:behaviors>
          <w:behavior w:val="content"/>
        </w:behaviors>
        <w:guid w:val="{930DD3CB-97DE-4BCB-96BE-0677BB5CE856}"/>
      </w:docPartPr>
      <w:docPartBody>
        <w:p w:rsidR="00A20D39" w:rsidRDefault="00C66578" w:rsidP="00C66578">
          <w:pPr>
            <w:pStyle w:val="313EC56AA2FD440FAB92ED675BD36BA0"/>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47C19"/>
    <w:rsid w:val="00061157"/>
    <w:rsid w:val="000624FF"/>
    <w:rsid w:val="000937FE"/>
    <w:rsid w:val="000A50C9"/>
    <w:rsid w:val="000A559A"/>
    <w:rsid w:val="000D24D4"/>
    <w:rsid w:val="000D6217"/>
    <w:rsid w:val="0014006D"/>
    <w:rsid w:val="001C35A9"/>
    <w:rsid w:val="00237556"/>
    <w:rsid w:val="00244A49"/>
    <w:rsid w:val="002C0686"/>
    <w:rsid w:val="00335E91"/>
    <w:rsid w:val="0039303B"/>
    <w:rsid w:val="004144A3"/>
    <w:rsid w:val="004160E7"/>
    <w:rsid w:val="004416C6"/>
    <w:rsid w:val="00456E96"/>
    <w:rsid w:val="004C6221"/>
    <w:rsid w:val="004D038D"/>
    <w:rsid w:val="004F4E20"/>
    <w:rsid w:val="004F5AB2"/>
    <w:rsid w:val="005074B9"/>
    <w:rsid w:val="00563A5F"/>
    <w:rsid w:val="005C62E5"/>
    <w:rsid w:val="005E40DD"/>
    <w:rsid w:val="00601F4E"/>
    <w:rsid w:val="006E6A2C"/>
    <w:rsid w:val="007219C1"/>
    <w:rsid w:val="00745C63"/>
    <w:rsid w:val="00753462"/>
    <w:rsid w:val="00772325"/>
    <w:rsid w:val="007A2FE0"/>
    <w:rsid w:val="007C6D1D"/>
    <w:rsid w:val="007D654E"/>
    <w:rsid w:val="00853487"/>
    <w:rsid w:val="00865404"/>
    <w:rsid w:val="00890D98"/>
    <w:rsid w:val="00892FF4"/>
    <w:rsid w:val="008C0DC0"/>
    <w:rsid w:val="0090074D"/>
    <w:rsid w:val="009019EA"/>
    <w:rsid w:val="00901A35"/>
    <w:rsid w:val="009B3BF0"/>
    <w:rsid w:val="009D5E5E"/>
    <w:rsid w:val="009F1BB4"/>
    <w:rsid w:val="00A20D39"/>
    <w:rsid w:val="00A254A2"/>
    <w:rsid w:val="00AB2D54"/>
    <w:rsid w:val="00AB6ED4"/>
    <w:rsid w:val="00B14210"/>
    <w:rsid w:val="00B22ED6"/>
    <w:rsid w:val="00B23DC0"/>
    <w:rsid w:val="00B71F04"/>
    <w:rsid w:val="00B96656"/>
    <w:rsid w:val="00BA0A8E"/>
    <w:rsid w:val="00BE3364"/>
    <w:rsid w:val="00C2145A"/>
    <w:rsid w:val="00C2401D"/>
    <w:rsid w:val="00C250D7"/>
    <w:rsid w:val="00C53A68"/>
    <w:rsid w:val="00C66578"/>
    <w:rsid w:val="00C83F04"/>
    <w:rsid w:val="00CA5BB4"/>
    <w:rsid w:val="00CB4BD1"/>
    <w:rsid w:val="00CD139C"/>
    <w:rsid w:val="00CE2DA9"/>
    <w:rsid w:val="00CE44BE"/>
    <w:rsid w:val="00D008F3"/>
    <w:rsid w:val="00D0142D"/>
    <w:rsid w:val="00D04DFF"/>
    <w:rsid w:val="00D15ED6"/>
    <w:rsid w:val="00D20347"/>
    <w:rsid w:val="00D4356B"/>
    <w:rsid w:val="00D7162F"/>
    <w:rsid w:val="00D7696E"/>
    <w:rsid w:val="00DA599C"/>
    <w:rsid w:val="00DB4DB5"/>
    <w:rsid w:val="00DC03B4"/>
    <w:rsid w:val="00DE378A"/>
    <w:rsid w:val="00DE4D10"/>
    <w:rsid w:val="00E44A86"/>
    <w:rsid w:val="00E522EB"/>
    <w:rsid w:val="00E60827"/>
    <w:rsid w:val="00EF6E0C"/>
    <w:rsid w:val="00F14477"/>
    <w:rsid w:val="00F217E7"/>
    <w:rsid w:val="00F370E5"/>
    <w:rsid w:val="00F55028"/>
    <w:rsid w:val="00F677F0"/>
    <w:rsid w:val="00F70598"/>
    <w:rsid w:val="00F77BEF"/>
    <w:rsid w:val="00F97900"/>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01A35"/>
    <w:rPr>
      <w:color w:val="808080"/>
    </w:rPr>
  </w:style>
  <w:style w:type="paragraph" w:customStyle="1" w:styleId="9F03AA1B603F47D3BD40A45F2A0F7814">
    <w:name w:val="9F03AA1B603F47D3BD40A45F2A0F7814"/>
    <w:rsid w:val="00C66578"/>
    <w:pPr>
      <w:spacing w:line="278" w:lineRule="auto"/>
    </w:pPr>
    <w:rPr>
      <w:kern w:val="2"/>
      <w:sz w:val="24"/>
      <w:szCs w:val="24"/>
      <w14:ligatures w14:val="standardContextual"/>
    </w:rPr>
  </w:style>
  <w:style w:type="paragraph" w:customStyle="1" w:styleId="93D7EBE30A7F432F9AB1114CDC0B27A0">
    <w:name w:val="93D7EBE30A7F432F9AB1114CDC0B27A0"/>
    <w:rsid w:val="00C66578"/>
    <w:pPr>
      <w:spacing w:line="278" w:lineRule="auto"/>
    </w:pPr>
    <w:rPr>
      <w:kern w:val="2"/>
      <w:sz w:val="24"/>
      <w:szCs w:val="24"/>
      <w14:ligatures w14:val="standardContextual"/>
    </w:rPr>
  </w:style>
  <w:style w:type="paragraph" w:customStyle="1" w:styleId="313EC56AA2FD440FAB92ED675BD36BA0">
    <w:name w:val="313EC56AA2FD440FAB92ED675BD36BA0"/>
    <w:rsid w:val="00C6657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F0943-FC13-4F31-B4C5-BE0D5B231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2575</Words>
  <Characters>14681</Characters>
  <Application>Microsoft Office Word</Application>
  <DocSecurity>0</DocSecurity>
  <Lines>122</Lines>
  <Paragraphs>34</Paragraphs>
  <ScaleCrop>false</ScaleCrop>
  <Company/>
  <LinksUpToDate>false</LinksUpToDate>
  <CharactersWithSpaces>17222</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Zekas, Egidijus {MWJC~VILNIUS}</dc:creator>
  <cp:keywords/>
  <dc:description/>
  <cp:lastModifiedBy>Zekas, Egidijus {MWJC~VILNIUS}</cp:lastModifiedBy>
  <cp:revision>2</cp:revision>
  <dcterms:created xsi:type="dcterms:W3CDTF">2025-12-29T10:26:00Z</dcterms:created>
  <dcterms:modified xsi:type="dcterms:W3CDTF">2025-12-29T10:26:00Z</dcterms:modified>
</cp:coreProperties>
</file>