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39AA3336" w:rsidR="001B3C5B" w:rsidRPr="000203E1" w:rsidRDefault="00DC261A" w:rsidP="001B3C5B">
      <w:pPr>
        <w:ind w:left="6096"/>
      </w:pPr>
      <w:bookmarkStart w:id="0" w:name="_Hlk189565243"/>
      <w:r w:rsidRPr="00DC261A">
        <w:t>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3A5D6CB4" w:rsidR="001B3C5B" w:rsidRPr="000203E1" w:rsidRDefault="004C263A" w:rsidP="001B3C5B">
      <w:pPr>
        <w:ind w:left="6096"/>
      </w:pPr>
      <w:r w:rsidRPr="000203E1">
        <w:t>(Valstybinės vaistų kontrolės tarnybos prie Lietuvos Respublikos sveikatos apsaugos ministerijos viršininko 202</w:t>
      </w:r>
      <w:r w:rsidR="00A2310D">
        <w:t>5</w:t>
      </w:r>
      <w:r w:rsidRPr="000203E1">
        <w:t xml:space="preserve"> m.                         d. įsakymo Nr.                    redakcija)</w:t>
      </w:r>
    </w:p>
    <w:p w14:paraId="3336BD74" w14:textId="77777777" w:rsidR="001B3C5B" w:rsidRPr="000203E1" w:rsidRDefault="001B3C5B" w:rsidP="00FA4169"/>
    <w:bookmarkEnd w:id="0"/>
    <w:p w14:paraId="56604434" w14:textId="77777777" w:rsidR="00DC261A" w:rsidRDefault="00DC261A" w:rsidP="003B211A">
      <w:pPr>
        <w:jc w:val="center"/>
        <w:rPr>
          <w:b/>
        </w:rPr>
      </w:pPr>
    </w:p>
    <w:p w14:paraId="77AFB67E" w14:textId="0FB133A2"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5961051E" w14:textId="2FA3E85C" w:rsidR="002A1AEE" w:rsidRPr="006C5D08" w:rsidRDefault="002A1AEE" w:rsidP="002A1AEE">
      <w:pPr>
        <w:jc w:val="center"/>
        <w:rPr>
          <w:b/>
        </w:rPr>
      </w:pPr>
      <w:r w:rsidRPr="00C9729C">
        <w:rPr>
          <w:b/>
        </w:rPr>
        <w:t>Ce</w:t>
      </w:r>
      <w:r w:rsidRPr="006C5D08">
        <w:rPr>
          <w:bCs/>
        </w:rPr>
        <w:t>je</w:t>
      </w:r>
      <w:r w:rsidRPr="00C9729C">
        <w:rPr>
          <w:b/>
        </w:rPr>
        <w:t>mly</w:t>
      </w:r>
      <w:r w:rsidRPr="006C5D08">
        <w:rPr>
          <w:b/>
        </w:rPr>
        <w:t xml:space="preserve"> 600 mg/ 20 ml koncentratas infuziniam tirpalui </w:t>
      </w:r>
    </w:p>
    <w:p w14:paraId="7A0E36D9" w14:textId="77777777" w:rsidR="002A1AEE" w:rsidRDefault="002A1AEE" w:rsidP="002A1AEE">
      <w:pPr>
        <w:jc w:val="center"/>
      </w:pPr>
      <w:r w:rsidRPr="00C9729C">
        <w:rPr>
          <w:b/>
        </w:rPr>
        <w:t>Sugemalimabas</w:t>
      </w:r>
    </w:p>
    <w:p w14:paraId="0E5B12B4" w14:textId="77777777" w:rsidR="002A1AEE" w:rsidRPr="009300B3" w:rsidRDefault="002A1AEE" w:rsidP="002A1AEE">
      <w:pPr>
        <w:jc w:val="center"/>
      </w:pPr>
    </w:p>
    <w:p w14:paraId="56E93E35" w14:textId="3E15E92A" w:rsidR="002A1AEE" w:rsidRPr="009300B3" w:rsidRDefault="002A1AEE" w:rsidP="002A1AEE">
      <w:pPr>
        <w:jc w:val="center"/>
        <w:rPr>
          <w:b/>
        </w:rPr>
      </w:pPr>
      <w:r w:rsidRPr="009300B3">
        <w:rPr>
          <w:b/>
        </w:rPr>
        <w:t>Paraiškos numeris</w:t>
      </w:r>
      <w:r>
        <w:rPr>
          <w:b/>
        </w:rPr>
        <w:t xml:space="preserve"> STV</w:t>
      </w:r>
      <w:r w:rsidR="00C0009A">
        <w:rPr>
          <w:b/>
        </w:rPr>
        <w:t>-</w:t>
      </w:r>
      <w:r>
        <w:rPr>
          <w:b/>
        </w:rPr>
        <w:t>242</w:t>
      </w:r>
    </w:p>
    <w:p w14:paraId="4D0467A5" w14:textId="77777777" w:rsidR="002A1AEE" w:rsidRPr="009300B3" w:rsidRDefault="002A1AEE" w:rsidP="002A1AEE">
      <w:pPr>
        <w:spacing w:line="280" w:lineRule="atLeast"/>
        <w:jc w:val="center"/>
        <w:rPr>
          <w:rFonts w:eastAsia="Arial"/>
        </w:rPr>
      </w:pPr>
    </w:p>
    <w:p w14:paraId="3D091077" w14:textId="77777777" w:rsidR="002A1AEE" w:rsidRPr="009300B3" w:rsidRDefault="002A1AEE" w:rsidP="002A1AEE">
      <w:pPr>
        <w:pStyle w:val="Sraopastraipa"/>
        <w:numPr>
          <w:ilvl w:val="0"/>
          <w:numId w:val="15"/>
        </w:numPr>
        <w:tabs>
          <w:tab w:val="left" w:pos="284"/>
        </w:tabs>
        <w:spacing w:line="280" w:lineRule="atLeast"/>
        <w:jc w:val="center"/>
        <w:rPr>
          <w:rFonts w:eastAsia="Arial"/>
          <w:b/>
        </w:rPr>
      </w:pPr>
      <w:r w:rsidRPr="009300B3">
        <w:rPr>
          <w:rFonts w:eastAsia="Arial"/>
          <w:b/>
        </w:rPr>
        <w:t>BENDROJI DALIS</w:t>
      </w:r>
    </w:p>
    <w:p w14:paraId="1FC971CF" w14:textId="77777777" w:rsidR="002A1AEE" w:rsidRPr="009300B3" w:rsidRDefault="002A1AEE" w:rsidP="002A1AEE">
      <w:pPr>
        <w:pStyle w:val="Sraopastraipa"/>
        <w:tabs>
          <w:tab w:val="left" w:pos="284"/>
        </w:tabs>
        <w:spacing w:line="280" w:lineRule="atLeast"/>
        <w:ind w:left="1080"/>
        <w:jc w:val="both"/>
        <w:rPr>
          <w:rFonts w:eastAsia="Arial"/>
          <w:b/>
        </w:rPr>
      </w:pPr>
    </w:p>
    <w:tbl>
      <w:tblPr>
        <w:tblStyle w:val="Lentelstinklelis"/>
        <w:tblW w:w="9493" w:type="dxa"/>
        <w:tblLook w:val="04A0" w:firstRow="1" w:lastRow="0" w:firstColumn="1" w:lastColumn="0" w:noHBand="0" w:noVBand="1"/>
      </w:tblPr>
      <w:tblGrid>
        <w:gridCol w:w="632"/>
        <w:gridCol w:w="3899"/>
        <w:gridCol w:w="4962"/>
      </w:tblGrid>
      <w:tr w:rsidR="002A1AEE" w:rsidRPr="009300B3" w14:paraId="2C006228" w14:textId="77777777" w:rsidTr="001A493D">
        <w:trPr>
          <w:trHeight w:val="538"/>
        </w:trPr>
        <w:tc>
          <w:tcPr>
            <w:tcW w:w="632" w:type="dxa"/>
          </w:tcPr>
          <w:p w14:paraId="0E1FDE1B" w14:textId="77777777" w:rsidR="002A1AEE" w:rsidRPr="009300B3" w:rsidRDefault="002A1AEE" w:rsidP="001A493D">
            <w:pPr>
              <w:jc w:val="both"/>
              <w:rPr>
                <w:rFonts w:eastAsia="Arial"/>
                <w:b/>
                <w:bCs/>
              </w:rPr>
            </w:pPr>
            <w:bookmarkStart w:id="1" w:name="_Hlk187088187"/>
            <w:r w:rsidRPr="009300B3">
              <w:rPr>
                <w:rFonts w:eastAsia="Arial"/>
                <w:b/>
                <w:bCs/>
              </w:rPr>
              <w:t>1.1</w:t>
            </w:r>
          </w:p>
        </w:tc>
        <w:tc>
          <w:tcPr>
            <w:tcW w:w="3899" w:type="dxa"/>
          </w:tcPr>
          <w:p w14:paraId="7798655B" w14:textId="77777777" w:rsidR="002A1AEE" w:rsidRPr="009300B3" w:rsidRDefault="002A1AEE" w:rsidP="001A493D">
            <w:pPr>
              <w:jc w:val="both"/>
              <w:rPr>
                <w:rFonts w:eastAsia="Arial"/>
                <w:b/>
                <w:bCs/>
              </w:rPr>
            </w:pPr>
            <w:r w:rsidRPr="009300B3">
              <w:rPr>
                <w:rFonts w:eastAsia="Arial"/>
                <w:b/>
                <w:bCs/>
              </w:rPr>
              <w:t>Pareiškėjas/ pareiškėjo atstovas</w:t>
            </w:r>
          </w:p>
        </w:tc>
        <w:tc>
          <w:tcPr>
            <w:tcW w:w="4962" w:type="dxa"/>
          </w:tcPr>
          <w:p w14:paraId="2C755310" w14:textId="77777777" w:rsidR="002A1AEE" w:rsidRPr="009300B3" w:rsidRDefault="002A1AEE" w:rsidP="001A493D">
            <w:pPr>
              <w:jc w:val="both"/>
              <w:rPr>
                <w:rFonts w:eastAsia="Arial"/>
              </w:rPr>
            </w:pPr>
            <w:r w:rsidRPr="00846FFE">
              <w:rPr>
                <w:color w:val="000000"/>
                <w:lang w:eastAsia="en-GB"/>
              </w:rPr>
              <w:t xml:space="preserve">Ewopharma AG atstovybė, </w:t>
            </w:r>
            <w:r w:rsidRPr="00011646">
              <w:rPr>
                <w:lang w:eastAsia="en-GB"/>
              </w:rPr>
              <w:t>Įmonės kodas 301798771,</w:t>
            </w:r>
            <w:r w:rsidRPr="00846FFE">
              <w:rPr>
                <w:lang w:eastAsia="en-GB"/>
              </w:rPr>
              <w:t xml:space="preserve"> Konstitucijos pr.7, LT-09308 Vilnius</w:t>
            </w:r>
          </w:p>
        </w:tc>
      </w:tr>
      <w:tr w:rsidR="002A1AEE" w:rsidRPr="009300B3" w14:paraId="19A7F33A" w14:textId="77777777" w:rsidTr="001A493D">
        <w:trPr>
          <w:trHeight w:val="538"/>
        </w:trPr>
        <w:tc>
          <w:tcPr>
            <w:tcW w:w="632" w:type="dxa"/>
          </w:tcPr>
          <w:p w14:paraId="25C26E1A" w14:textId="77777777" w:rsidR="002A1AEE" w:rsidRPr="009300B3" w:rsidRDefault="002A1AEE" w:rsidP="001A493D">
            <w:pPr>
              <w:jc w:val="both"/>
              <w:rPr>
                <w:rFonts w:eastAsia="Arial"/>
                <w:b/>
                <w:bCs/>
              </w:rPr>
            </w:pPr>
            <w:r w:rsidRPr="009300B3">
              <w:rPr>
                <w:rFonts w:eastAsia="Arial"/>
                <w:b/>
                <w:bCs/>
              </w:rPr>
              <w:t>1.2</w:t>
            </w:r>
          </w:p>
        </w:tc>
        <w:tc>
          <w:tcPr>
            <w:tcW w:w="3899" w:type="dxa"/>
          </w:tcPr>
          <w:p w14:paraId="2F069F8E" w14:textId="77777777" w:rsidR="002A1AEE" w:rsidRPr="00A459D0" w:rsidRDefault="002A1AEE" w:rsidP="001A493D">
            <w:pPr>
              <w:jc w:val="both"/>
              <w:rPr>
                <w:b/>
                <w:bCs/>
                <w:lang w:eastAsia="lt-LT"/>
              </w:rPr>
            </w:pPr>
            <w:r w:rsidRPr="00A459D0">
              <w:rPr>
                <w:b/>
                <w:bCs/>
                <w:lang w:eastAsia="lt-LT"/>
              </w:rPr>
              <w:t xml:space="preserve">Vaistinio preparato registracijos data </w:t>
            </w:r>
          </w:p>
          <w:p w14:paraId="2C23E8B3" w14:textId="77777777" w:rsidR="002A1AEE" w:rsidRPr="00A459D0" w:rsidRDefault="002A1AEE" w:rsidP="001A493D">
            <w:pPr>
              <w:jc w:val="both"/>
              <w:rPr>
                <w:b/>
                <w:bCs/>
                <w:lang w:eastAsia="lt-LT"/>
              </w:rPr>
            </w:pPr>
          </w:p>
        </w:tc>
        <w:tc>
          <w:tcPr>
            <w:tcW w:w="4962" w:type="dxa"/>
          </w:tcPr>
          <w:p w14:paraId="78A2D3E5" w14:textId="77777777" w:rsidR="002A1AEE" w:rsidRPr="00A459D0" w:rsidRDefault="00000000" w:rsidP="001A493D">
            <w:pPr>
              <w:jc w:val="both"/>
              <w:rPr>
                <w:rStyle w:val="Style2"/>
              </w:rPr>
            </w:pPr>
            <w:sdt>
              <w:sdtPr>
                <w:rPr>
                  <w:sz w:val="32"/>
                </w:rPr>
                <w:alias w:val="Nurodykite konkrečią dieną"/>
                <w:tag w:val="Nurodykite pradžios datą"/>
                <w:id w:val="1772196685"/>
                <w:placeholder>
                  <w:docPart w:val="DEA92015DDBE4DE79B57F7744CEE62D9"/>
                </w:placeholder>
                <w15:color w:val="FFCC99"/>
                <w:date w:fullDate="2024-07-24T00:00:00Z">
                  <w:dateFormat w:val="yyyy 'm.' MMMM d 'd.'"/>
                  <w:lid w:val="lt-LT"/>
                  <w:storeMappedDataAs w:val="dateTime"/>
                  <w:calendar w:val="gregorian"/>
                </w:date>
              </w:sdtPr>
              <w:sdtContent>
                <w:r w:rsidR="002A1AEE" w:rsidRPr="00A459D0">
                  <w:t>2024 m. liepos 24 d.</w:t>
                </w:r>
              </w:sdtContent>
            </w:sdt>
          </w:p>
        </w:tc>
      </w:tr>
      <w:tr w:rsidR="002A1AEE" w:rsidRPr="009300B3" w14:paraId="5434F9E4" w14:textId="77777777" w:rsidTr="001A493D">
        <w:trPr>
          <w:trHeight w:val="1396"/>
        </w:trPr>
        <w:tc>
          <w:tcPr>
            <w:tcW w:w="632" w:type="dxa"/>
          </w:tcPr>
          <w:p w14:paraId="5B2AB56F" w14:textId="77777777" w:rsidR="002A1AEE" w:rsidRPr="009300B3" w:rsidRDefault="002A1AEE" w:rsidP="001A493D">
            <w:pPr>
              <w:jc w:val="both"/>
              <w:rPr>
                <w:rFonts w:eastAsia="Arial"/>
                <w:b/>
                <w:bCs/>
              </w:rPr>
            </w:pPr>
            <w:r w:rsidRPr="009300B3">
              <w:rPr>
                <w:rFonts w:eastAsia="Arial"/>
                <w:b/>
                <w:bCs/>
              </w:rPr>
              <w:t>1.3</w:t>
            </w:r>
          </w:p>
        </w:tc>
        <w:tc>
          <w:tcPr>
            <w:tcW w:w="3899" w:type="dxa"/>
          </w:tcPr>
          <w:p w14:paraId="107F5A77" w14:textId="77777777" w:rsidR="002A1AEE" w:rsidRPr="009300B3" w:rsidRDefault="002A1AEE" w:rsidP="001A493D">
            <w:pPr>
              <w:pStyle w:val="Betarp"/>
              <w:jc w:val="both"/>
              <w:rPr>
                <w:rFonts w:ascii="Times New Roman" w:hAnsi="Times New Roman"/>
                <w:b/>
                <w:sz w:val="24"/>
                <w:szCs w:val="24"/>
                <w:shd w:val="clear" w:color="auto" w:fill="FFFFFF"/>
              </w:rPr>
            </w:pPr>
            <w:r w:rsidRPr="009300B3">
              <w:rPr>
                <w:rFonts w:ascii="Times New Roman" w:hAnsi="Times New Roman"/>
                <w:b/>
                <w:sz w:val="24"/>
                <w:szCs w:val="24"/>
              </w:rPr>
              <w:t xml:space="preserve">Vaistinio preparato </w:t>
            </w:r>
            <w:r w:rsidRPr="009300B3">
              <w:rPr>
                <w:rFonts w:ascii="Times New Roman" w:hAnsi="Times New Roman"/>
                <w:b/>
                <w:sz w:val="24"/>
                <w:szCs w:val="24"/>
                <w:shd w:val="clear" w:color="auto" w:fill="FFFFFF"/>
              </w:rPr>
              <w:t>registracijos teisinis pagrindas</w:t>
            </w:r>
          </w:p>
          <w:p w14:paraId="00BE335E" w14:textId="77777777" w:rsidR="002A1AEE" w:rsidRPr="009300B3" w:rsidRDefault="002A1AEE" w:rsidP="001A493D">
            <w:pPr>
              <w:pStyle w:val="Betarp"/>
              <w:jc w:val="both"/>
              <w:rPr>
                <w:rFonts w:ascii="Times New Roman" w:hAnsi="Times New Roman"/>
                <w:b/>
                <w:bCs/>
                <w:sz w:val="24"/>
                <w:szCs w:val="24"/>
                <w:lang w:eastAsia="lt-LT"/>
              </w:rPr>
            </w:pPr>
            <w:r w:rsidRPr="009300B3">
              <w:rPr>
                <w:rFonts w:ascii="Times New Roman" w:hAnsi="Times New Roman"/>
                <w:b/>
                <w:sz w:val="24"/>
                <w:szCs w:val="24"/>
                <w:shd w:val="clear" w:color="auto" w:fill="FFFFFF"/>
              </w:rPr>
              <w:t>(</w:t>
            </w:r>
            <w:r w:rsidRPr="009300B3">
              <w:rPr>
                <w:rFonts w:ascii="Times New Roman" w:hAnsi="Times New Roman"/>
                <w:b/>
                <w:sz w:val="24"/>
                <w:szCs w:val="24"/>
              </w:rPr>
              <w:t>Direktyvos 2001/83/EB str.)</w:t>
            </w:r>
          </w:p>
        </w:tc>
        <w:tc>
          <w:tcPr>
            <w:tcW w:w="4962" w:type="dxa"/>
          </w:tcPr>
          <w:p w14:paraId="1BC5501A" w14:textId="77777777" w:rsidR="002A1AEE" w:rsidRPr="00DB5616" w:rsidRDefault="00000000" w:rsidP="001A493D">
            <w:pPr>
              <w:jc w:val="both"/>
            </w:pPr>
            <w:sdt>
              <w:sdtPr>
                <w:rPr>
                  <w:rStyle w:val="Style2"/>
                </w:rPr>
                <w:id w:val="526292078"/>
                <w15:color w:val="FFCC00"/>
                <w14:checkbox>
                  <w14:checked w14:val="1"/>
                  <w14:checkedState w14:val="2612" w14:font="MS Gothic"/>
                  <w14:uncheckedState w14:val="2610" w14:font="MS Gothic"/>
                </w14:checkbox>
              </w:sdtPr>
              <w:sdtContent>
                <w:r w:rsidR="002A1AEE">
                  <w:rPr>
                    <w:rStyle w:val="Style2"/>
                    <w:rFonts w:ascii="MS Gothic" w:eastAsia="MS Gothic" w:hAnsi="MS Gothic" w:hint="eastAsia"/>
                  </w:rPr>
                  <w:t>☒</w:t>
                </w:r>
              </w:sdtContent>
            </w:sdt>
            <w:r w:rsidR="002A1AEE" w:rsidRPr="00DB5616">
              <w:t>8.3 str. (pilna byla, pagrįsta savais tyrimais)</w:t>
            </w:r>
          </w:p>
          <w:p w14:paraId="7B9EBCB3" w14:textId="77777777" w:rsidR="002A1AEE" w:rsidRPr="00DB5616" w:rsidRDefault="00000000" w:rsidP="001A493D">
            <w:pPr>
              <w:jc w:val="both"/>
            </w:pPr>
            <w:sdt>
              <w:sdtPr>
                <w:rPr>
                  <w:rStyle w:val="Style2"/>
                </w:rPr>
                <w:id w:val="-1497953736"/>
                <w15:color w:val="FFCC00"/>
                <w14:checkbox>
                  <w14:checked w14:val="0"/>
                  <w14:checkedState w14:val="2612" w14:font="MS Gothic"/>
                  <w14:uncheckedState w14:val="2610" w14:font="MS Gothic"/>
                </w14:checkbox>
              </w:sdtPr>
              <w:sdtContent>
                <w:r w:rsidR="002A1AEE" w:rsidRPr="00DB5616">
                  <w:rPr>
                    <w:rStyle w:val="Style2"/>
                    <w:rFonts w:ascii="Segoe UI Symbol" w:eastAsia="MS Gothic" w:hAnsi="Segoe UI Symbol" w:cs="Segoe UI Symbol"/>
                  </w:rPr>
                  <w:t>☐</w:t>
                </w:r>
              </w:sdtContent>
            </w:sdt>
            <w:r w:rsidR="002A1AEE" w:rsidRPr="00DB5616">
              <w:t>10 a str. (pripažintas medicininis vartojimas)</w:t>
            </w:r>
          </w:p>
          <w:p w14:paraId="13BA20C5" w14:textId="77777777" w:rsidR="002A1AEE" w:rsidRPr="00DB5616" w:rsidRDefault="00000000" w:rsidP="001A493D">
            <w:pPr>
              <w:jc w:val="both"/>
            </w:pPr>
            <w:sdt>
              <w:sdtPr>
                <w:rPr>
                  <w:rStyle w:val="Style2"/>
                </w:rPr>
                <w:id w:val="204142496"/>
                <w15:color w:val="FFCC00"/>
                <w14:checkbox>
                  <w14:checked w14:val="0"/>
                  <w14:checkedState w14:val="2612" w14:font="MS Gothic"/>
                  <w14:uncheckedState w14:val="2610" w14:font="MS Gothic"/>
                </w14:checkbox>
              </w:sdtPr>
              <w:sdtContent>
                <w:r w:rsidR="002A1AEE" w:rsidRPr="00DB5616">
                  <w:rPr>
                    <w:rStyle w:val="Style2"/>
                    <w:rFonts w:ascii="Segoe UI Symbol" w:eastAsia="MS Gothic" w:hAnsi="Segoe UI Symbol" w:cs="Segoe UI Symbol"/>
                  </w:rPr>
                  <w:t>☐</w:t>
                </w:r>
              </w:sdtContent>
            </w:sdt>
            <w:r w:rsidR="002A1AEE" w:rsidRPr="00DB5616">
              <w:t>10.1 str. (generinis)</w:t>
            </w:r>
          </w:p>
          <w:p w14:paraId="6687D97D" w14:textId="77777777" w:rsidR="002A1AEE" w:rsidRPr="00DB5616" w:rsidRDefault="00000000" w:rsidP="001A493D">
            <w:pPr>
              <w:jc w:val="both"/>
            </w:pPr>
            <w:sdt>
              <w:sdtPr>
                <w:rPr>
                  <w:rStyle w:val="Style2"/>
                </w:rPr>
                <w:id w:val="820305101"/>
                <w15:color w:val="FFCC00"/>
                <w14:checkbox>
                  <w14:checked w14:val="0"/>
                  <w14:checkedState w14:val="2612" w14:font="MS Gothic"/>
                  <w14:uncheckedState w14:val="2610" w14:font="MS Gothic"/>
                </w14:checkbox>
              </w:sdtPr>
              <w:sdtContent>
                <w:r w:rsidR="002A1AEE" w:rsidRPr="00DB5616">
                  <w:rPr>
                    <w:rStyle w:val="Style2"/>
                    <w:rFonts w:ascii="Segoe UI Symbol" w:eastAsia="MS Gothic" w:hAnsi="Segoe UI Symbol" w:cs="Segoe UI Symbol"/>
                  </w:rPr>
                  <w:t>☐</w:t>
                </w:r>
              </w:sdtContent>
            </w:sdt>
            <w:r w:rsidR="002A1AEE" w:rsidRPr="00DB5616">
              <w:t>10.3 str. (hibridinis)</w:t>
            </w:r>
          </w:p>
          <w:p w14:paraId="04AF8BE5" w14:textId="77777777" w:rsidR="002A1AEE" w:rsidRPr="00DB5616" w:rsidRDefault="00000000" w:rsidP="001A493D">
            <w:sdt>
              <w:sdtPr>
                <w:rPr>
                  <w:rStyle w:val="Style2"/>
                </w:rPr>
                <w:id w:val="-450176040"/>
                <w15:color w:val="FFCC00"/>
                <w14:checkbox>
                  <w14:checked w14:val="0"/>
                  <w14:checkedState w14:val="2612" w14:font="MS Gothic"/>
                  <w14:uncheckedState w14:val="2610" w14:font="MS Gothic"/>
                </w14:checkbox>
              </w:sdtPr>
              <w:sdtContent>
                <w:r w:rsidR="002A1AEE" w:rsidRPr="00DB5616">
                  <w:rPr>
                    <w:rStyle w:val="Style2"/>
                    <w:rFonts w:ascii="Segoe UI Symbol" w:eastAsia="MS Gothic" w:hAnsi="Segoe UI Symbol" w:cs="Segoe UI Symbol"/>
                  </w:rPr>
                  <w:t>☐</w:t>
                </w:r>
              </w:sdtContent>
            </w:sdt>
            <w:r w:rsidR="002A1AEE" w:rsidRPr="00DB5616">
              <w:t>10.</w:t>
            </w:r>
            <w:r w:rsidR="002A1AEE">
              <w:t>4</w:t>
            </w:r>
            <w:r w:rsidR="002A1AEE" w:rsidRPr="00DB5616">
              <w:t xml:space="preserve"> str. (</w:t>
            </w:r>
            <w:r w:rsidR="002A1AEE" w:rsidRPr="001A0CAA">
              <w:t>panašus biologinis</w:t>
            </w:r>
            <w:r w:rsidR="002A1AEE" w:rsidRPr="00DB5616">
              <w:t>)</w:t>
            </w:r>
          </w:p>
          <w:p w14:paraId="5D9690DA" w14:textId="77777777" w:rsidR="002A1AEE" w:rsidRDefault="002A1AEE" w:rsidP="001A493D">
            <w:pPr>
              <w:jc w:val="both"/>
            </w:pPr>
          </w:p>
          <w:p w14:paraId="743FF207" w14:textId="77777777" w:rsidR="002A1AEE" w:rsidRPr="009300B3" w:rsidRDefault="002A1AEE" w:rsidP="001A493D">
            <w:pPr>
              <w:jc w:val="both"/>
              <w:rPr>
                <w:rStyle w:val="Style2"/>
              </w:rPr>
            </w:pPr>
          </w:p>
        </w:tc>
      </w:tr>
      <w:tr w:rsidR="002A1AEE" w:rsidRPr="009300B3" w14:paraId="3AC9842F" w14:textId="77777777" w:rsidTr="001A493D">
        <w:trPr>
          <w:trHeight w:val="1011"/>
        </w:trPr>
        <w:tc>
          <w:tcPr>
            <w:tcW w:w="632" w:type="dxa"/>
          </w:tcPr>
          <w:p w14:paraId="0F6389B5" w14:textId="77777777" w:rsidR="002A1AEE" w:rsidRPr="009300B3" w:rsidRDefault="002A1AEE" w:rsidP="001A493D">
            <w:pPr>
              <w:jc w:val="both"/>
              <w:rPr>
                <w:rFonts w:eastAsia="Arial"/>
                <w:b/>
                <w:bCs/>
              </w:rPr>
            </w:pPr>
            <w:r w:rsidRPr="009300B3">
              <w:rPr>
                <w:rFonts w:eastAsia="Arial"/>
                <w:b/>
              </w:rPr>
              <w:t>1.4</w:t>
            </w:r>
          </w:p>
        </w:tc>
        <w:tc>
          <w:tcPr>
            <w:tcW w:w="3899" w:type="dxa"/>
          </w:tcPr>
          <w:p w14:paraId="78A68B1D" w14:textId="77777777" w:rsidR="002A1AEE" w:rsidRPr="009300B3" w:rsidRDefault="002A1AEE" w:rsidP="001A493D">
            <w:pPr>
              <w:tabs>
                <w:tab w:val="left" w:pos="284"/>
              </w:tabs>
              <w:spacing w:line="280" w:lineRule="atLeast"/>
              <w:jc w:val="both"/>
              <w:rPr>
                <w:b/>
                <w:bCs/>
                <w:lang w:eastAsia="lt-LT"/>
              </w:rPr>
            </w:pPr>
            <w:r w:rsidRPr="009300B3">
              <w:rPr>
                <w:b/>
                <w:bCs/>
                <w:lang w:eastAsia="lt-LT"/>
              </w:rPr>
              <w:t>Ar vaistinis preparatas įrašytas į Bendrijos retųjų vaistinių preparatų registrą?</w:t>
            </w:r>
          </w:p>
        </w:tc>
        <w:tc>
          <w:tcPr>
            <w:tcW w:w="4962" w:type="dxa"/>
          </w:tcPr>
          <w:p w14:paraId="2833D7BD" w14:textId="77777777" w:rsidR="002A1AEE" w:rsidRPr="009300B3" w:rsidRDefault="00000000" w:rsidP="001A493D">
            <w:pPr>
              <w:jc w:val="both"/>
            </w:pPr>
            <w:sdt>
              <w:sdtPr>
                <w:rPr>
                  <w:rStyle w:val="Style2"/>
                </w:rPr>
                <w:id w:val="1190730465"/>
                <w15:color w:val="FFCC00"/>
                <w14:checkbox>
                  <w14:checked w14:val="0"/>
                  <w14:checkedState w14:val="2612" w14:font="MS Gothic"/>
                  <w14:uncheckedState w14:val="2610" w14:font="MS Gothic"/>
                </w14:checkbox>
              </w:sdtPr>
              <w:sdtContent>
                <w:r w:rsidR="002A1AEE">
                  <w:rPr>
                    <w:rStyle w:val="Style2"/>
                    <w:rFonts w:ascii="MS Gothic" w:eastAsia="MS Gothic" w:hAnsi="MS Gothic" w:hint="eastAsia"/>
                  </w:rPr>
                  <w:t>☐</w:t>
                </w:r>
              </w:sdtContent>
            </w:sdt>
            <w:r w:rsidR="002A1AEE" w:rsidRPr="009300B3">
              <w:t xml:space="preserve"> Taip       </w:t>
            </w:r>
            <w:r w:rsidR="002A1AEE" w:rsidRPr="009300B3">
              <w:rPr>
                <w:rStyle w:val="Style2"/>
              </w:rPr>
              <w:t xml:space="preserve"> </w:t>
            </w:r>
            <w:sdt>
              <w:sdtPr>
                <w:rPr>
                  <w:rStyle w:val="Style2"/>
                </w:rPr>
                <w:id w:val="-1760283509"/>
                <w15:color w:val="FFCC00"/>
                <w14:checkbox>
                  <w14:checked w14:val="1"/>
                  <w14:checkedState w14:val="2612" w14:font="MS Gothic"/>
                  <w14:uncheckedState w14:val="2610" w14:font="MS Gothic"/>
                </w14:checkbox>
              </w:sdtPr>
              <w:sdtContent>
                <w:r w:rsidR="002A1AEE">
                  <w:rPr>
                    <w:rStyle w:val="Style2"/>
                    <w:rFonts w:ascii="MS Gothic" w:eastAsia="MS Gothic" w:hAnsi="MS Gothic" w:hint="eastAsia"/>
                  </w:rPr>
                  <w:t>☒</w:t>
                </w:r>
              </w:sdtContent>
            </w:sdt>
            <w:r w:rsidR="002A1AEE" w:rsidRPr="009300B3">
              <w:t xml:space="preserve"> Ne</w:t>
            </w:r>
          </w:p>
          <w:p w14:paraId="67E83F68" w14:textId="77777777" w:rsidR="002A1AEE" w:rsidRPr="009300B3" w:rsidRDefault="002A1AEE" w:rsidP="001A493D">
            <w:pPr>
              <w:jc w:val="both"/>
            </w:pPr>
            <w:r w:rsidRPr="009300B3">
              <w:t xml:space="preserve">Data: </w:t>
            </w:r>
            <w:sdt>
              <w:sdtPr>
                <w:alias w:val="Nurodykite konkrečią dieną"/>
                <w:tag w:val="Nurodykite pradžios datą"/>
                <w:id w:val="1784158105"/>
                <w:placeholder>
                  <w:docPart w:val="FA7E4AA4B3C64DFF9DA8F905F2075D9D"/>
                </w:placeholder>
                <w:showingPlcHdr/>
                <w15:color w:val="FFCC99"/>
                <w:date w:fullDate="2022-05-18T00:00:00Z">
                  <w:dateFormat w:val="yyyy 'm.' MMMM d 'd.'"/>
                  <w:lid w:val="lt-LT"/>
                  <w:storeMappedDataAs w:val="dateTime"/>
                  <w:calendar w:val="gregorian"/>
                </w:date>
              </w:sdtPr>
              <w:sdtContent>
                <w:r w:rsidRPr="009300B3">
                  <w:rPr>
                    <w:rStyle w:val="Vietosrezervavimoenklotekstas"/>
                  </w:rPr>
                  <w:t>Click here to enter a date.</w:t>
                </w:r>
              </w:sdtContent>
            </w:sdt>
          </w:p>
          <w:p w14:paraId="53D55923" w14:textId="77777777" w:rsidR="002A1AEE" w:rsidRPr="009300B3" w:rsidRDefault="002A1AEE" w:rsidP="001A493D">
            <w:pPr>
              <w:jc w:val="both"/>
              <w:rPr>
                <w:rFonts w:eastAsia="Arial"/>
              </w:rPr>
            </w:pPr>
            <w:r w:rsidRPr="009300B3">
              <w:t>Nr.</w:t>
            </w:r>
          </w:p>
        </w:tc>
      </w:tr>
      <w:tr w:rsidR="002A1AEE" w:rsidRPr="009300B3" w14:paraId="57C2C9C2" w14:textId="77777777" w:rsidTr="001A493D">
        <w:trPr>
          <w:trHeight w:val="1011"/>
        </w:trPr>
        <w:tc>
          <w:tcPr>
            <w:tcW w:w="632" w:type="dxa"/>
          </w:tcPr>
          <w:p w14:paraId="5FE0CB33" w14:textId="77777777" w:rsidR="002A1AEE" w:rsidRPr="009300B3" w:rsidRDefault="002A1AEE" w:rsidP="001A493D">
            <w:pPr>
              <w:jc w:val="both"/>
              <w:rPr>
                <w:rFonts w:eastAsia="Arial"/>
                <w:b/>
              </w:rPr>
            </w:pPr>
            <w:r w:rsidRPr="009300B3">
              <w:rPr>
                <w:rFonts w:eastAsia="Arial"/>
                <w:b/>
                <w:bCs/>
              </w:rPr>
              <w:t>1.5</w:t>
            </w:r>
          </w:p>
        </w:tc>
        <w:tc>
          <w:tcPr>
            <w:tcW w:w="3899" w:type="dxa"/>
          </w:tcPr>
          <w:p w14:paraId="4DE05259" w14:textId="77777777" w:rsidR="002A1AEE" w:rsidRPr="009300B3" w:rsidRDefault="002A1AEE" w:rsidP="001A493D">
            <w:pPr>
              <w:tabs>
                <w:tab w:val="left" w:pos="284"/>
              </w:tabs>
              <w:spacing w:line="280" w:lineRule="atLeast"/>
              <w:jc w:val="both"/>
              <w:rPr>
                <w:b/>
                <w:bCs/>
                <w:lang w:eastAsia="lt-LT"/>
              </w:rPr>
            </w:pPr>
            <w:r w:rsidRPr="009300B3">
              <w:rPr>
                <w:b/>
                <w:bCs/>
                <w:lang w:eastAsia="lt-LT"/>
              </w:rPr>
              <w:t>Ar atliktas bendras klinikinis vertinimas</w:t>
            </w:r>
          </w:p>
          <w:p w14:paraId="31C3EC9C" w14:textId="77777777" w:rsidR="002A1AEE" w:rsidRPr="009300B3" w:rsidRDefault="002A1AEE" w:rsidP="001A493D">
            <w:pPr>
              <w:tabs>
                <w:tab w:val="left" w:pos="284"/>
              </w:tabs>
              <w:spacing w:line="280" w:lineRule="atLeast"/>
              <w:jc w:val="both"/>
              <w:rPr>
                <w:b/>
                <w:bCs/>
                <w:lang w:eastAsia="lt-LT"/>
              </w:rPr>
            </w:pPr>
            <w:r w:rsidRPr="009300B3">
              <w:rPr>
                <w:b/>
                <w:bCs/>
                <w:lang w:eastAsia="lt-LT"/>
              </w:rPr>
              <w:t>(Europos Parlamento ir Tarybos reglamentas (ES) 2021/2282)</w:t>
            </w:r>
          </w:p>
        </w:tc>
        <w:tc>
          <w:tcPr>
            <w:tcW w:w="4962" w:type="dxa"/>
          </w:tcPr>
          <w:p w14:paraId="4458F310" w14:textId="77777777" w:rsidR="002A1AEE" w:rsidRPr="009300B3" w:rsidRDefault="00000000" w:rsidP="001A493D">
            <w:pPr>
              <w:jc w:val="both"/>
            </w:pPr>
            <w:sdt>
              <w:sdtPr>
                <w:rPr>
                  <w:rStyle w:val="Style2"/>
                </w:rPr>
                <w:id w:val="-1171564470"/>
                <w15:color w:val="FFCC00"/>
                <w14:checkbox>
                  <w14:checked w14:val="0"/>
                  <w14:checkedState w14:val="2612" w14:font="MS Gothic"/>
                  <w14:uncheckedState w14:val="2610" w14:font="MS Gothic"/>
                </w14:checkbox>
              </w:sdtPr>
              <w:sdtContent>
                <w:r w:rsidR="002A1AEE" w:rsidRPr="009300B3">
                  <w:rPr>
                    <w:rStyle w:val="Style2"/>
                    <w:rFonts w:ascii="Segoe UI Symbol" w:eastAsia="MS Gothic" w:hAnsi="Segoe UI Symbol" w:cs="Segoe UI Symbol"/>
                  </w:rPr>
                  <w:t>☐</w:t>
                </w:r>
              </w:sdtContent>
            </w:sdt>
            <w:r w:rsidR="002A1AEE" w:rsidRPr="009300B3">
              <w:t xml:space="preserve"> Taip       </w:t>
            </w:r>
            <w:r w:rsidR="002A1AEE" w:rsidRPr="009300B3">
              <w:rPr>
                <w:rStyle w:val="Style2"/>
              </w:rPr>
              <w:t xml:space="preserve"> </w:t>
            </w:r>
            <w:sdt>
              <w:sdtPr>
                <w:rPr>
                  <w:rStyle w:val="Style2"/>
                </w:rPr>
                <w:id w:val="1448122567"/>
                <w15:color w:val="FFCC00"/>
                <w14:checkbox>
                  <w14:checked w14:val="1"/>
                  <w14:checkedState w14:val="2612" w14:font="MS Gothic"/>
                  <w14:uncheckedState w14:val="2610" w14:font="MS Gothic"/>
                </w14:checkbox>
              </w:sdtPr>
              <w:sdtContent>
                <w:r w:rsidR="002A1AEE">
                  <w:rPr>
                    <w:rStyle w:val="Style2"/>
                    <w:rFonts w:ascii="MS Gothic" w:eastAsia="MS Gothic" w:hAnsi="MS Gothic" w:hint="eastAsia"/>
                  </w:rPr>
                  <w:t>☒</w:t>
                </w:r>
              </w:sdtContent>
            </w:sdt>
            <w:r w:rsidR="002A1AEE" w:rsidRPr="009300B3">
              <w:t xml:space="preserve"> Ne</w:t>
            </w:r>
          </w:p>
          <w:p w14:paraId="23719736" w14:textId="77777777" w:rsidR="002A1AEE" w:rsidRPr="009300B3" w:rsidRDefault="002A1AEE" w:rsidP="001A493D">
            <w:pPr>
              <w:jc w:val="both"/>
              <w:rPr>
                <w:rStyle w:val="Style2"/>
              </w:rPr>
            </w:pPr>
            <w:r w:rsidRPr="009300B3">
              <w:t xml:space="preserve">Data: </w:t>
            </w:r>
            <w:sdt>
              <w:sdtPr>
                <w:alias w:val="Nurodykite konkrečią dieną"/>
                <w:tag w:val="Nurodykite pradžios datą"/>
                <w:id w:val="1516880001"/>
                <w:placeholder>
                  <w:docPart w:val="170449C59CF046EA9A4A94924B2B2F0A"/>
                </w:placeholder>
                <w:showingPlcHdr/>
                <w15:color w:val="FFCC99"/>
                <w:date w:fullDate="2022-05-18T00:00:00Z">
                  <w:dateFormat w:val="yyyy 'm.' MMMM d 'd.'"/>
                  <w:lid w:val="lt-LT"/>
                  <w:storeMappedDataAs w:val="dateTime"/>
                  <w:calendar w:val="gregorian"/>
                </w:date>
              </w:sdtPr>
              <w:sdtContent>
                <w:r w:rsidRPr="009300B3">
                  <w:rPr>
                    <w:rStyle w:val="Vietosrezervavimoenklotekstas"/>
                  </w:rPr>
                  <w:t>Click here to enter a date.</w:t>
                </w:r>
              </w:sdtContent>
            </w:sdt>
            <w:r w:rsidRPr="009300B3">
              <w:t xml:space="preserve"> </w:t>
            </w:r>
          </w:p>
        </w:tc>
      </w:tr>
      <w:tr w:rsidR="002A1AEE" w:rsidRPr="009300B3" w14:paraId="148AAED1" w14:textId="77777777" w:rsidTr="001A493D">
        <w:trPr>
          <w:trHeight w:val="1278"/>
        </w:trPr>
        <w:tc>
          <w:tcPr>
            <w:tcW w:w="632" w:type="dxa"/>
          </w:tcPr>
          <w:p w14:paraId="66C2FAD4" w14:textId="77777777" w:rsidR="002A1AEE" w:rsidRPr="009300B3" w:rsidRDefault="002A1AEE" w:rsidP="001A493D">
            <w:pPr>
              <w:jc w:val="both"/>
              <w:rPr>
                <w:rFonts w:eastAsia="Arial"/>
                <w:b/>
                <w:bCs/>
              </w:rPr>
            </w:pPr>
            <w:r w:rsidRPr="009300B3">
              <w:rPr>
                <w:rFonts w:eastAsia="Arial"/>
                <w:b/>
                <w:bCs/>
              </w:rPr>
              <w:t>1.6</w:t>
            </w:r>
          </w:p>
        </w:tc>
        <w:tc>
          <w:tcPr>
            <w:tcW w:w="3899" w:type="dxa"/>
          </w:tcPr>
          <w:p w14:paraId="611D91AC" w14:textId="77777777" w:rsidR="002A1AEE" w:rsidRPr="009300B3" w:rsidRDefault="002A1AEE" w:rsidP="001A493D">
            <w:pPr>
              <w:jc w:val="both"/>
              <w:rPr>
                <w:b/>
                <w:bCs/>
                <w:lang w:eastAsia="lt-LT"/>
              </w:rPr>
            </w:pPr>
            <w:r w:rsidRPr="009300B3">
              <w:rPr>
                <w:b/>
                <w:bCs/>
                <w:lang w:eastAsia="lt-LT"/>
              </w:rPr>
              <w:t xml:space="preserve">Teikiama kompensuoti terapinė indikacija </w:t>
            </w:r>
          </w:p>
          <w:p w14:paraId="466A5A96" w14:textId="77777777" w:rsidR="002A1AEE" w:rsidRPr="009300B3" w:rsidRDefault="002A1AEE" w:rsidP="001A493D">
            <w:pPr>
              <w:jc w:val="both"/>
              <w:rPr>
                <w:b/>
                <w:bCs/>
                <w:lang w:eastAsia="lt-LT"/>
              </w:rPr>
            </w:pPr>
          </w:p>
          <w:p w14:paraId="792203EE" w14:textId="77777777" w:rsidR="002A1AEE" w:rsidRDefault="002A1AEE" w:rsidP="001A493D">
            <w:pPr>
              <w:jc w:val="both"/>
              <w:rPr>
                <w:b/>
                <w:bCs/>
                <w:lang w:eastAsia="lt-LT"/>
              </w:rPr>
            </w:pPr>
          </w:p>
          <w:p w14:paraId="28FDC0B1" w14:textId="77777777" w:rsidR="002A1AEE" w:rsidRDefault="002A1AEE" w:rsidP="001A493D">
            <w:pPr>
              <w:jc w:val="both"/>
              <w:rPr>
                <w:b/>
                <w:bCs/>
                <w:lang w:eastAsia="lt-LT"/>
              </w:rPr>
            </w:pPr>
          </w:p>
          <w:p w14:paraId="29D60A43" w14:textId="77777777" w:rsidR="002A1AEE" w:rsidRDefault="002A1AEE" w:rsidP="001A493D">
            <w:pPr>
              <w:jc w:val="both"/>
              <w:rPr>
                <w:b/>
                <w:bCs/>
                <w:lang w:eastAsia="lt-LT"/>
              </w:rPr>
            </w:pPr>
          </w:p>
          <w:p w14:paraId="13547C84" w14:textId="77777777" w:rsidR="002A1AEE" w:rsidRDefault="002A1AEE" w:rsidP="001A493D">
            <w:pPr>
              <w:jc w:val="both"/>
              <w:rPr>
                <w:b/>
                <w:bCs/>
                <w:lang w:eastAsia="lt-LT"/>
              </w:rPr>
            </w:pPr>
          </w:p>
          <w:p w14:paraId="2B399511" w14:textId="77777777" w:rsidR="002A1AEE" w:rsidRPr="009300B3" w:rsidRDefault="002A1AEE" w:rsidP="001A493D">
            <w:pPr>
              <w:jc w:val="both"/>
              <w:rPr>
                <w:b/>
                <w:bCs/>
                <w:lang w:eastAsia="lt-LT"/>
              </w:rPr>
            </w:pPr>
            <w:r w:rsidRPr="009300B3">
              <w:rPr>
                <w:b/>
                <w:bCs/>
                <w:lang w:eastAsia="lt-LT"/>
              </w:rPr>
              <w:t>Kodas pagal TLK-10 AM</w:t>
            </w:r>
          </w:p>
        </w:tc>
        <w:tc>
          <w:tcPr>
            <w:tcW w:w="4962" w:type="dxa"/>
          </w:tcPr>
          <w:p w14:paraId="5B188118" w14:textId="77777777" w:rsidR="002A1AEE" w:rsidRPr="009300B3" w:rsidRDefault="002A1AEE" w:rsidP="001A493D">
            <w:pPr>
              <w:jc w:val="both"/>
            </w:pPr>
            <w:r w:rsidRPr="00FC29EF">
              <w:rPr>
                <w:lang w:eastAsia="en-GB"/>
              </w:rPr>
              <w:lastRenderedPageBreak/>
              <w:t xml:space="preserve">Cejemly kartu su platinos chemoterapija skirtas suaugusiųjų, sergančių metastazavusiu nesmulkialąsteliniu plaučių vėžiu (NSLPV), pirmaeiliam gydymui, kai nėra jautrinančių </w:t>
            </w:r>
            <w:r w:rsidRPr="00FC29EF">
              <w:rPr>
                <w:lang w:eastAsia="en-GB"/>
              </w:rPr>
              <w:lastRenderedPageBreak/>
              <w:t>EGFR mutacijų arba ALK, ROS1 ar RET genominių naviko nukrypimų</w:t>
            </w:r>
            <w:r>
              <w:rPr>
                <w:lang w:eastAsia="en-GB"/>
              </w:rPr>
              <w:t>.</w:t>
            </w:r>
          </w:p>
          <w:p w14:paraId="561D6057" w14:textId="77777777" w:rsidR="002A1AEE" w:rsidRDefault="002A1AEE" w:rsidP="001A493D">
            <w:pPr>
              <w:jc w:val="both"/>
            </w:pPr>
          </w:p>
          <w:p w14:paraId="4005D5A7" w14:textId="77777777" w:rsidR="002A1AEE" w:rsidRPr="009300B3" w:rsidRDefault="002A1AEE" w:rsidP="001A493D">
            <w:pPr>
              <w:jc w:val="both"/>
            </w:pPr>
            <w:r>
              <w:t>C34</w:t>
            </w:r>
          </w:p>
          <w:p w14:paraId="3AE23EA9" w14:textId="77777777" w:rsidR="002A1AEE" w:rsidRPr="009300B3" w:rsidRDefault="002A1AEE" w:rsidP="001A493D">
            <w:pPr>
              <w:jc w:val="both"/>
            </w:pPr>
          </w:p>
        </w:tc>
      </w:tr>
      <w:tr w:rsidR="002A1AEE" w:rsidRPr="009300B3" w14:paraId="6F62FFFD" w14:textId="77777777" w:rsidTr="001A493D">
        <w:trPr>
          <w:trHeight w:val="378"/>
        </w:trPr>
        <w:tc>
          <w:tcPr>
            <w:tcW w:w="632" w:type="dxa"/>
          </w:tcPr>
          <w:p w14:paraId="27613E1A" w14:textId="77777777" w:rsidR="002A1AEE" w:rsidRPr="009300B3" w:rsidRDefault="002A1AEE" w:rsidP="001A493D">
            <w:pPr>
              <w:jc w:val="both"/>
              <w:rPr>
                <w:rFonts w:eastAsia="Arial"/>
                <w:b/>
                <w:bCs/>
              </w:rPr>
            </w:pPr>
            <w:r w:rsidRPr="009300B3">
              <w:rPr>
                <w:rFonts w:eastAsia="Arial"/>
                <w:b/>
                <w:bCs/>
              </w:rPr>
              <w:lastRenderedPageBreak/>
              <w:t>1.7</w:t>
            </w:r>
          </w:p>
        </w:tc>
        <w:tc>
          <w:tcPr>
            <w:tcW w:w="3899" w:type="dxa"/>
          </w:tcPr>
          <w:p w14:paraId="58982B6F" w14:textId="77777777" w:rsidR="002A1AEE" w:rsidRPr="009300B3" w:rsidRDefault="002A1AEE" w:rsidP="001A493D">
            <w:pPr>
              <w:jc w:val="both"/>
              <w:rPr>
                <w:b/>
                <w:bCs/>
                <w:u w:val="single"/>
                <w:lang w:eastAsia="lt-LT"/>
              </w:rPr>
            </w:pPr>
            <w:r w:rsidRPr="009300B3">
              <w:rPr>
                <w:b/>
                <w:bCs/>
                <w:lang w:eastAsia="lt-LT"/>
              </w:rPr>
              <w:t xml:space="preserve">Teikiamos skyrimo sąlygos </w:t>
            </w:r>
          </w:p>
        </w:tc>
        <w:tc>
          <w:tcPr>
            <w:tcW w:w="4962" w:type="dxa"/>
          </w:tcPr>
          <w:p w14:paraId="60C71FCF" w14:textId="77777777" w:rsidR="002A1AEE" w:rsidRPr="009300B3" w:rsidRDefault="002A1AEE" w:rsidP="001A493D">
            <w:pPr>
              <w:jc w:val="both"/>
            </w:pPr>
          </w:p>
          <w:p w14:paraId="521C23E9" w14:textId="77777777" w:rsidR="002A1AEE" w:rsidRPr="009300B3" w:rsidRDefault="002A1AEE" w:rsidP="001A493D">
            <w:pPr>
              <w:jc w:val="both"/>
            </w:pPr>
            <w:r w:rsidRPr="009300B3">
              <w:t>Neteikiama</w:t>
            </w:r>
          </w:p>
          <w:p w14:paraId="1C9A8813" w14:textId="77777777" w:rsidR="002A1AEE" w:rsidRPr="009300B3" w:rsidRDefault="002A1AEE" w:rsidP="001A493D">
            <w:pPr>
              <w:jc w:val="both"/>
            </w:pPr>
          </w:p>
        </w:tc>
      </w:tr>
      <w:tr w:rsidR="002A1AEE" w:rsidRPr="009300B3" w14:paraId="7ADC1E59" w14:textId="77777777" w:rsidTr="001A493D">
        <w:trPr>
          <w:trHeight w:val="378"/>
        </w:trPr>
        <w:tc>
          <w:tcPr>
            <w:tcW w:w="632" w:type="dxa"/>
          </w:tcPr>
          <w:p w14:paraId="44038ADD" w14:textId="77777777" w:rsidR="002A1AEE" w:rsidRPr="009300B3" w:rsidRDefault="002A1AEE" w:rsidP="001A493D">
            <w:pPr>
              <w:jc w:val="both"/>
              <w:rPr>
                <w:rFonts w:eastAsia="Arial"/>
                <w:b/>
                <w:bCs/>
              </w:rPr>
            </w:pPr>
            <w:r w:rsidRPr="009300B3">
              <w:rPr>
                <w:rFonts w:eastAsia="Arial"/>
                <w:b/>
                <w:bCs/>
              </w:rPr>
              <w:t>1.8</w:t>
            </w:r>
          </w:p>
        </w:tc>
        <w:tc>
          <w:tcPr>
            <w:tcW w:w="3899" w:type="dxa"/>
          </w:tcPr>
          <w:p w14:paraId="56F32729" w14:textId="77777777" w:rsidR="002A1AEE" w:rsidRPr="009300B3" w:rsidRDefault="002A1AEE" w:rsidP="001A493D">
            <w:pPr>
              <w:jc w:val="both"/>
              <w:rPr>
                <w:b/>
                <w:bCs/>
                <w:lang w:eastAsia="lt-LT"/>
              </w:rPr>
            </w:pPr>
            <w:r w:rsidRPr="009300B3">
              <w:rPr>
                <w:b/>
                <w:bCs/>
                <w:lang w:eastAsia="lt-LT"/>
              </w:rPr>
              <w:t>Ekonominė analizė</w:t>
            </w:r>
          </w:p>
        </w:tc>
        <w:tc>
          <w:tcPr>
            <w:tcW w:w="4962" w:type="dxa"/>
          </w:tcPr>
          <w:p w14:paraId="41A1E507" w14:textId="3922CA06" w:rsidR="002A1AEE" w:rsidRPr="009300B3" w:rsidRDefault="000D7CA6" w:rsidP="000D7CA6">
            <w:pPr>
              <w:jc w:val="both"/>
            </w:pPr>
            <w:r>
              <w:rPr>
                <w:rStyle w:val="Style2"/>
                <w:rFonts w:ascii="Segoe UI Symbol" w:eastAsia="MS Gothic" w:hAnsi="Segoe UI Symbol" w:cs="Segoe UI Symbol"/>
              </w:rPr>
              <w:t>*****</w:t>
            </w:r>
          </w:p>
        </w:tc>
      </w:tr>
      <w:bookmarkEnd w:id="1"/>
    </w:tbl>
    <w:p w14:paraId="6985303E" w14:textId="77777777" w:rsidR="002A1AEE" w:rsidRDefault="002A1AEE" w:rsidP="002A1AEE">
      <w:pPr>
        <w:tabs>
          <w:tab w:val="left" w:pos="426"/>
        </w:tabs>
        <w:jc w:val="both"/>
        <w:rPr>
          <w:rFonts w:eastAsia="Arial"/>
          <w:b/>
          <w:bCs/>
        </w:rPr>
      </w:pPr>
    </w:p>
    <w:p w14:paraId="5055E8A8" w14:textId="395580FA" w:rsidR="002E6F80" w:rsidRPr="00785252" w:rsidRDefault="00CC7832" w:rsidP="00785252">
      <w:pPr>
        <w:pStyle w:val="Sraopastraipa"/>
        <w:numPr>
          <w:ilvl w:val="0"/>
          <w:numId w:val="16"/>
        </w:numPr>
        <w:rPr>
          <w:b/>
          <w:bCs/>
          <w:caps/>
        </w:rPr>
      </w:pPr>
      <w:r w:rsidRPr="00785252">
        <w:rPr>
          <w:b/>
          <w:bCs/>
          <w:caps/>
        </w:rPr>
        <w:t>Klinikinio vertinimo a</w:t>
      </w:r>
      <w:r w:rsidR="00D4485B" w:rsidRPr="00785252">
        <w:rPr>
          <w:b/>
          <w:bCs/>
          <w:caps/>
        </w:rPr>
        <w:t>pibendrinimas</w:t>
      </w:r>
    </w:p>
    <w:p w14:paraId="57E1EEEA" w14:textId="77777777" w:rsidR="002D0CD4" w:rsidRDefault="002D0CD4" w:rsidP="006319FB">
      <w:pPr>
        <w:tabs>
          <w:tab w:val="left" w:pos="492"/>
        </w:tabs>
        <w:spacing w:line="276" w:lineRule="auto"/>
        <w:jc w:val="both"/>
        <w:outlineLvl w:val="1"/>
        <w:rPr>
          <w:rFonts w:eastAsia="Arial"/>
          <w:iCs/>
          <w:color w:val="000000" w:themeColor="text1"/>
        </w:rPr>
      </w:pPr>
    </w:p>
    <w:p w14:paraId="1BD5BC51" w14:textId="7E64DE2B" w:rsidR="00C0009A" w:rsidRDefault="00C0009A" w:rsidP="002D0CD4">
      <w:pPr>
        <w:tabs>
          <w:tab w:val="left" w:pos="492"/>
        </w:tabs>
        <w:spacing w:line="276" w:lineRule="auto"/>
        <w:jc w:val="both"/>
        <w:outlineLvl w:val="1"/>
        <w:rPr>
          <w:rFonts w:eastAsia="Arial"/>
          <w:bCs/>
        </w:rPr>
      </w:pPr>
      <w:r>
        <w:rPr>
          <w:rFonts w:eastAsia="Arial"/>
          <w:bCs/>
          <w:lang w:bidi="lt-LT"/>
        </w:rPr>
        <w:tab/>
      </w:r>
      <w:r w:rsidR="002D0CD4" w:rsidRPr="002D0CD4">
        <w:rPr>
          <w:rFonts w:eastAsia="Arial"/>
          <w:bCs/>
          <w:lang w:bidi="lt-LT"/>
        </w:rPr>
        <w:t>Plaučių vėžys yra viena pagrindinių mirčių nuo vėžio priežasčių visame pasaulyje. Toks aukštas mirtingumo rodiklis atskleidžia tiek agresyvų ligos pobūdį, tiek aplinkybę, kad daugelis atvejų diagnozuojami tada, kai liga yra pasiekusi pažengusią stadiją. Nepaisant pažangos atrandant vis naujų gydymo galimybių, metastazavusio nesmulkialąstelinio plaučių vėžio (NSLPV) našta išlieka didelė, o tai atspindi sunkumus, susijusius su šio agresyvaus vėžio gydymu.</w:t>
      </w:r>
    </w:p>
    <w:p w14:paraId="136A6A52" w14:textId="5C28B73A" w:rsidR="002D0CD4" w:rsidRPr="002D0CD4" w:rsidRDefault="00C0009A" w:rsidP="002D0CD4">
      <w:pPr>
        <w:tabs>
          <w:tab w:val="left" w:pos="492"/>
        </w:tabs>
        <w:spacing w:line="276" w:lineRule="auto"/>
        <w:jc w:val="both"/>
        <w:outlineLvl w:val="1"/>
        <w:rPr>
          <w:rFonts w:eastAsia="Arial"/>
          <w:bCs/>
        </w:rPr>
      </w:pPr>
      <w:r>
        <w:rPr>
          <w:rFonts w:eastAsia="Arial"/>
          <w:bCs/>
        </w:rPr>
        <w:tab/>
      </w:r>
      <w:r w:rsidR="002D0CD4" w:rsidRPr="002D0CD4">
        <w:rPr>
          <w:rFonts w:eastAsia="Arial"/>
          <w:bCs/>
        </w:rPr>
        <w:t xml:space="preserve">Higienos instituto duomenimis Lietuvoje yra 4882 plaučių piktybiniu naviku sergantys pacientai, ligos paplitimo rodiklis – 1,69:1,000. Europos informacijos apie vėžį sistema (angl. </w:t>
      </w:r>
      <w:r w:rsidR="002D0CD4" w:rsidRPr="002D0CD4">
        <w:rPr>
          <w:rFonts w:eastAsia="Arial"/>
          <w:bCs/>
          <w:i/>
          <w:iCs/>
        </w:rPr>
        <w:t>European Cancer Information System</w:t>
      </w:r>
      <w:r w:rsidR="002D0CD4" w:rsidRPr="002D0CD4">
        <w:rPr>
          <w:rFonts w:eastAsia="Arial"/>
          <w:bCs/>
        </w:rPr>
        <w:t>) skelbia, kad sergamumas plaučių piktybiniu naviku Lietuvoje yra 49,6:100 000, o tai reiškia, kad kasmet diagnozuojami apie 1425 plaučių vėžio atvejai, iš kurių 85 % (n=1210) yra NSLPV. Apie pusei šių pacientų (n=605) diagnozuota išplitusi ligos forma, o 51,6 % jų neaptikta onkogeninių ligos atsiradimą skatinančių mutacijų.</w:t>
      </w:r>
    </w:p>
    <w:p w14:paraId="747D9597" w14:textId="7EAC0935" w:rsidR="002D0CD4" w:rsidRPr="002D0CD4" w:rsidRDefault="00C0009A" w:rsidP="002D0CD4">
      <w:pPr>
        <w:tabs>
          <w:tab w:val="left" w:pos="492"/>
        </w:tabs>
        <w:spacing w:line="276" w:lineRule="auto"/>
        <w:jc w:val="both"/>
        <w:outlineLvl w:val="1"/>
        <w:rPr>
          <w:rFonts w:eastAsia="Arial"/>
          <w:b/>
          <w:bCs/>
        </w:rPr>
      </w:pPr>
      <w:r>
        <w:rPr>
          <w:rFonts w:eastAsia="Arial"/>
          <w:bCs/>
        </w:rPr>
        <w:tab/>
      </w:r>
      <w:r w:rsidR="002D0CD4" w:rsidRPr="002D0CD4">
        <w:rPr>
          <w:rFonts w:eastAsia="Arial"/>
          <w:bCs/>
        </w:rPr>
        <w:t xml:space="preserve">Lietuvos plaučių vėžio gydymo gairės (C34) paskutinį kartą atnaujintos </w:t>
      </w:r>
      <w:r w:rsidR="00CE4CE6">
        <w:rPr>
          <w:rFonts w:eastAsia="Arial"/>
          <w:bCs/>
        </w:rPr>
        <w:t xml:space="preserve">2023 </w:t>
      </w:r>
      <w:r w:rsidR="002D0CD4" w:rsidRPr="002D0CD4">
        <w:rPr>
          <w:rFonts w:eastAsia="Arial"/>
          <w:bCs/>
        </w:rPr>
        <w:t>m. Diagnozuojant plaučių vėžį būtina ištirti pacientą, nustatyti naviko tipą, jo išplitimą ir stadijas pagal Tarptautinės vėžio draugijų sąjungos patvirtintą TNM klasifikaciją ir suformuluoti diagnozę.</w:t>
      </w:r>
      <w:r w:rsidR="002D0CD4" w:rsidRPr="002D0CD4">
        <w:rPr>
          <w:rFonts w:eastAsia="Arial"/>
          <w:b/>
          <w:bCs/>
        </w:rPr>
        <w:t xml:space="preserve"> </w:t>
      </w:r>
      <w:r w:rsidR="002D0CD4" w:rsidRPr="002D0CD4">
        <w:rPr>
          <w:rFonts w:eastAsia="Arial"/>
          <w:bCs/>
        </w:rPr>
        <w:t xml:space="preserve">Metastazavusio nesmulkialąstelinio plaučių vėžio (NSLPV), kai nėra EGFR ir ALK mutacijų, pirmaeiliam gydymui skiriami kompensuojami vaistai pateikiami 1-oje lentelėje. Gydymas grindžiamas chemoterapija ir (arba) imunoterapija. Metastazavusiu nesmulkialąsteliniu plaučių vėžiu (NSLPV), kai nėra EGFR ir ALK mutacijų, sergančių pacientų pirmaeiliam gydymui skiriami bei pastaruoju metu Lietuvoje kompensuojami vaistai yra pembrolizumabas ir atezolizumabas (skiriami kaip monoterapija pacientams, kurių PD-L1 raiška naviko proporcijos balais, t. y. TPS (angl. </w:t>
      </w:r>
      <w:r w:rsidR="002D0CD4" w:rsidRPr="002D0CD4">
        <w:rPr>
          <w:rFonts w:eastAsia="Arial"/>
          <w:bCs/>
          <w:i/>
          <w:iCs/>
        </w:rPr>
        <w:t>tumour proportion score</w:t>
      </w:r>
      <w:r w:rsidR="002D0CD4" w:rsidRPr="002D0CD4">
        <w:rPr>
          <w:rFonts w:eastAsia="Arial"/>
          <w:bCs/>
        </w:rPr>
        <w:t xml:space="preserve">) ≥ 50 % arba kartu su platinos chemoterapija). Nivolumabas kartu su ipilimumabu, derinant juos su dviem platinos chemoterapijos ciklais, taip pat kompensuojami pirmaeiliam metastazavusiu NSLPV sergančių suaugusių pacientų gydymui. Jei </w:t>
      </w:r>
      <w:r w:rsidR="002D0CD4" w:rsidRPr="002D0CD4">
        <w:rPr>
          <w:rFonts w:eastAsia="Arial"/>
          <w:bCs/>
          <w:lang w:bidi="lt-LT"/>
        </w:rPr>
        <w:t xml:space="preserve"> sugemalimabas</w:t>
      </w:r>
      <w:r w:rsidR="002D0CD4" w:rsidRPr="002D0CD4">
        <w:rPr>
          <w:rFonts w:eastAsia="Arial"/>
          <w:bCs/>
        </w:rPr>
        <w:t xml:space="preserve"> būtų kompensuojamas, jis galėtų tapti dar vienu gydymo pasirinkimu greta pembrolizambo ir atezolizumabo ± chemoteraapija platinos pagrindu arba Nivolumabas kartu su ipilimumabu, derinant juos su dviem platinos chemoterapijos ciklais.</w:t>
      </w:r>
    </w:p>
    <w:p w14:paraId="10E0BED7" w14:textId="05A0CFE2" w:rsidR="002D0CD4" w:rsidRPr="002D0CD4" w:rsidRDefault="00C0009A" w:rsidP="002D0CD4">
      <w:pPr>
        <w:tabs>
          <w:tab w:val="left" w:pos="492"/>
        </w:tabs>
        <w:spacing w:line="276" w:lineRule="auto"/>
        <w:jc w:val="both"/>
        <w:outlineLvl w:val="1"/>
        <w:rPr>
          <w:rFonts w:eastAsia="Arial"/>
          <w:bCs/>
        </w:rPr>
      </w:pPr>
      <w:r>
        <w:rPr>
          <w:rFonts w:eastAsia="Arial"/>
          <w:bCs/>
        </w:rPr>
        <w:tab/>
      </w:r>
      <w:r w:rsidR="002D0CD4" w:rsidRPr="002D0CD4">
        <w:rPr>
          <w:rFonts w:eastAsia="Arial"/>
          <w:bCs/>
        </w:rPr>
        <w:t>Sugemalimabas yra visiškai humanizuotas monokloninis antikūnas imunoglobulinas G4. Jis savituoju būdu rišasi su programuotos ląstelių žūties ligandu 1 (</w:t>
      </w:r>
      <w:r w:rsidR="002D0CD4" w:rsidRPr="002D0CD4">
        <w:rPr>
          <w:rFonts w:eastAsia="Arial"/>
          <w:bCs/>
          <w:i/>
          <w:iCs/>
        </w:rPr>
        <w:t>PD-L1</w:t>
      </w:r>
      <w:r w:rsidR="002D0CD4" w:rsidRPr="002D0CD4">
        <w:rPr>
          <w:rFonts w:eastAsia="Arial"/>
          <w:bCs/>
        </w:rPr>
        <w:t xml:space="preserve">), taip blokuodamas jo ligaciją su </w:t>
      </w:r>
      <w:r w:rsidR="002D0CD4" w:rsidRPr="002D0CD4">
        <w:rPr>
          <w:rFonts w:eastAsia="Arial"/>
          <w:bCs/>
          <w:i/>
          <w:iCs/>
        </w:rPr>
        <w:t>PD-1</w:t>
      </w:r>
      <w:r w:rsidR="002D0CD4" w:rsidRPr="002D0CD4">
        <w:rPr>
          <w:rFonts w:eastAsia="Arial"/>
          <w:bCs/>
        </w:rPr>
        <w:t xml:space="preserve">. Ant naviko ląstelių ir naviką infiltruojančių imuninių ląstelių išreiškiamas </w:t>
      </w:r>
      <w:r w:rsidR="002D0CD4" w:rsidRPr="002D0CD4">
        <w:rPr>
          <w:rFonts w:eastAsia="Arial"/>
          <w:bCs/>
          <w:i/>
          <w:iCs/>
        </w:rPr>
        <w:t xml:space="preserve">PD-L1 </w:t>
      </w:r>
      <w:r w:rsidR="002D0CD4" w:rsidRPr="002D0CD4">
        <w:rPr>
          <w:rFonts w:eastAsia="Arial"/>
          <w:bCs/>
        </w:rPr>
        <w:t xml:space="preserve">gali padėti slopinti imuninį atsaką, nukreiptą prieš naviką. Blokavus </w:t>
      </w:r>
      <w:r w:rsidR="002D0CD4" w:rsidRPr="002D0CD4">
        <w:rPr>
          <w:rFonts w:eastAsia="Arial"/>
          <w:bCs/>
          <w:i/>
          <w:iCs/>
        </w:rPr>
        <w:t xml:space="preserve">PD-L1 </w:t>
      </w:r>
      <w:r w:rsidR="002D0CD4" w:rsidRPr="002D0CD4">
        <w:rPr>
          <w:rFonts w:eastAsia="Arial"/>
          <w:bCs/>
        </w:rPr>
        <w:t xml:space="preserve">/ </w:t>
      </w:r>
      <w:r w:rsidR="002D0CD4" w:rsidRPr="002D0CD4">
        <w:rPr>
          <w:rFonts w:eastAsia="Arial"/>
          <w:bCs/>
          <w:i/>
          <w:iCs/>
        </w:rPr>
        <w:t xml:space="preserve">PD-1 </w:t>
      </w:r>
      <w:r w:rsidR="002D0CD4" w:rsidRPr="002D0CD4">
        <w:rPr>
          <w:rFonts w:eastAsia="Arial"/>
          <w:bCs/>
        </w:rPr>
        <w:t>ir PD-L1 / CD80 sąveiką paleidžiamas imuninio atsako slopinimo procesas, nesužadinant nuo antikūnų priklausomo ląstelių medijuojamo citotoksinio poveikio.</w:t>
      </w:r>
    </w:p>
    <w:p w14:paraId="298A359C" w14:textId="77777777" w:rsidR="000D7CA6" w:rsidRDefault="00C0009A" w:rsidP="000D7CA6">
      <w:pPr>
        <w:tabs>
          <w:tab w:val="left" w:pos="492"/>
        </w:tabs>
        <w:spacing w:line="276" w:lineRule="auto"/>
        <w:jc w:val="both"/>
        <w:outlineLvl w:val="1"/>
        <w:rPr>
          <w:rFonts w:eastAsia="Arial"/>
          <w:bCs/>
          <w:iCs/>
        </w:rPr>
      </w:pPr>
      <w:r>
        <w:rPr>
          <w:rFonts w:eastAsia="Arial"/>
          <w:bCs/>
          <w:iCs/>
        </w:rPr>
        <w:tab/>
      </w:r>
      <w:r w:rsidR="000D7CA6">
        <w:rPr>
          <w:rFonts w:eastAsia="Arial"/>
          <w:bCs/>
          <w:iCs/>
        </w:rPr>
        <w:t>************************************************************************************************************************************************************</w:t>
      </w:r>
      <w:r w:rsidR="000D7CA6">
        <w:rPr>
          <w:rFonts w:eastAsia="Arial"/>
          <w:bCs/>
          <w:iCs/>
        </w:rPr>
        <w:lastRenderedPageBreak/>
        <w:t>***********************************************************************************</w:t>
      </w:r>
    </w:p>
    <w:p w14:paraId="1905F0AF" w14:textId="36377631" w:rsidR="002D0CD4" w:rsidRPr="002D0CD4" w:rsidRDefault="002D0CD4" w:rsidP="002D0CD4">
      <w:pPr>
        <w:tabs>
          <w:tab w:val="left" w:pos="492"/>
        </w:tabs>
        <w:spacing w:line="276" w:lineRule="auto"/>
        <w:jc w:val="both"/>
        <w:outlineLvl w:val="1"/>
        <w:rPr>
          <w:rFonts w:eastAsia="Arial"/>
          <w:bCs/>
        </w:rPr>
      </w:pPr>
    </w:p>
    <w:p w14:paraId="2A6549F2" w14:textId="77777777" w:rsidR="00C0009A" w:rsidRDefault="00C0009A" w:rsidP="002D0CD4">
      <w:pPr>
        <w:tabs>
          <w:tab w:val="left" w:pos="492"/>
        </w:tabs>
        <w:spacing w:line="276" w:lineRule="auto"/>
        <w:jc w:val="both"/>
        <w:outlineLvl w:val="1"/>
        <w:rPr>
          <w:rFonts w:eastAsia="Arial"/>
          <w:bCs/>
          <w:i/>
          <w:iCs/>
        </w:rPr>
      </w:pPr>
    </w:p>
    <w:p w14:paraId="2A41677B" w14:textId="6350B60F" w:rsidR="00C0009A" w:rsidRDefault="002D0CD4" w:rsidP="002D0CD4">
      <w:pPr>
        <w:tabs>
          <w:tab w:val="left" w:pos="492"/>
        </w:tabs>
        <w:spacing w:line="276" w:lineRule="auto"/>
        <w:jc w:val="both"/>
        <w:outlineLvl w:val="1"/>
        <w:rPr>
          <w:rFonts w:eastAsia="Arial"/>
          <w:bCs/>
        </w:rPr>
      </w:pPr>
      <w:r w:rsidRPr="002D0CD4">
        <w:rPr>
          <w:rFonts w:eastAsia="Arial"/>
          <w:bCs/>
          <w:i/>
          <w:iCs/>
        </w:rPr>
        <w:t>Tiesioginis palyginamasis</w:t>
      </w:r>
      <w:r w:rsidRPr="002D0CD4">
        <w:rPr>
          <w:rFonts w:eastAsia="Arial"/>
          <w:bCs/>
        </w:rPr>
        <w:t xml:space="preserve"> </w:t>
      </w:r>
    </w:p>
    <w:p w14:paraId="13EF345B" w14:textId="28EA448B" w:rsidR="002D0CD4" w:rsidRPr="002D0CD4" w:rsidRDefault="00C0009A" w:rsidP="002D0CD4">
      <w:pPr>
        <w:tabs>
          <w:tab w:val="left" w:pos="492"/>
        </w:tabs>
        <w:spacing w:line="276" w:lineRule="auto"/>
        <w:jc w:val="both"/>
        <w:outlineLvl w:val="1"/>
        <w:rPr>
          <w:rFonts w:eastAsia="Arial"/>
          <w:bCs/>
        </w:rPr>
      </w:pPr>
      <w:r>
        <w:rPr>
          <w:rFonts w:eastAsia="Arial"/>
          <w:bCs/>
        </w:rPr>
        <w:t>S</w:t>
      </w:r>
      <w:r w:rsidR="002D0CD4" w:rsidRPr="002D0CD4">
        <w:rPr>
          <w:rFonts w:eastAsia="Arial"/>
          <w:bCs/>
        </w:rPr>
        <w:t xml:space="preserve">ugemalimabo </w:t>
      </w:r>
      <w:r w:rsidR="002D0CD4" w:rsidRPr="002D0CD4">
        <w:rPr>
          <w:rFonts w:eastAsia="Arial"/>
          <w:bCs/>
          <w:i/>
          <w:iCs/>
        </w:rPr>
        <w:t>veiksmingumas</w:t>
      </w:r>
      <w:r w:rsidR="002D0CD4" w:rsidRPr="002D0CD4">
        <w:rPr>
          <w:rFonts w:eastAsia="Arial"/>
          <w:bCs/>
        </w:rPr>
        <w:t xml:space="preserve"> remiasi </w:t>
      </w:r>
      <w:r w:rsidR="002D0CD4" w:rsidRPr="002D0CD4">
        <w:rPr>
          <w:rFonts w:eastAsia="Arial"/>
          <w:bCs/>
          <w:lang w:bidi="lt-LT"/>
        </w:rPr>
        <w:t>3-osios fazės tyrimo GEMSTONE-302</w:t>
      </w:r>
      <w:r w:rsidR="002D0CD4" w:rsidRPr="002D0CD4">
        <w:rPr>
          <w:rFonts w:eastAsia="Arial"/>
          <w:bCs/>
        </w:rPr>
        <w:t xml:space="preserve"> duomenimis. Pažymėtina, kad palyginamas gydymas, taikytas šame tyrime neatitinka įprastos klinikinė praktikos. Tačiau tyrimo populiacija, individualus pacientų duomenys bei pirminės ir antrinių baigčių rezultatai yra svarbūs, nes jie naudojami netiesioginiame sugemalimabo palyginime su kitas gydymai, kurie taikomi įprastoje klinikinėje praktikoje Lietuvoje.</w:t>
      </w:r>
    </w:p>
    <w:p w14:paraId="689822D3" w14:textId="77777777" w:rsidR="00C0009A" w:rsidRDefault="00C0009A" w:rsidP="002D0CD4">
      <w:pPr>
        <w:tabs>
          <w:tab w:val="left" w:pos="492"/>
        </w:tabs>
        <w:spacing w:line="276" w:lineRule="auto"/>
        <w:jc w:val="both"/>
        <w:outlineLvl w:val="1"/>
        <w:rPr>
          <w:rFonts w:eastAsia="Arial"/>
          <w:bCs/>
          <w:i/>
          <w:iCs/>
        </w:rPr>
      </w:pPr>
    </w:p>
    <w:p w14:paraId="5AB8452C" w14:textId="230742BD" w:rsidR="002D0CD4" w:rsidRPr="002D0CD4" w:rsidRDefault="002D0CD4" w:rsidP="002D0CD4">
      <w:pPr>
        <w:tabs>
          <w:tab w:val="left" w:pos="492"/>
        </w:tabs>
        <w:spacing w:line="276" w:lineRule="auto"/>
        <w:jc w:val="both"/>
        <w:outlineLvl w:val="1"/>
        <w:rPr>
          <w:rFonts w:eastAsia="Arial"/>
          <w:bCs/>
          <w:i/>
          <w:iCs/>
        </w:rPr>
      </w:pPr>
      <w:r w:rsidRPr="002D0CD4">
        <w:rPr>
          <w:rFonts w:eastAsia="Arial"/>
          <w:bCs/>
          <w:i/>
          <w:iCs/>
        </w:rPr>
        <w:t>Netiesioginis palyginamas</w:t>
      </w:r>
    </w:p>
    <w:p w14:paraId="6A429913" w14:textId="77777777" w:rsidR="002D0CD4" w:rsidRPr="002D0CD4" w:rsidRDefault="002D0CD4" w:rsidP="002D0CD4">
      <w:pPr>
        <w:tabs>
          <w:tab w:val="left" w:pos="492"/>
        </w:tabs>
        <w:spacing w:line="276" w:lineRule="auto"/>
        <w:jc w:val="both"/>
        <w:outlineLvl w:val="1"/>
        <w:rPr>
          <w:rFonts w:eastAsia="Arial"/>
          <w:bCs/>
        </w:rPr>
      </w:pPr>
      <w:r w:rsidRPr="002D0CD4">
        <w:rPr>
          <w:rFonts w:eastAsia="Arial"/>
          <w:bCs/>
        </w:rPr>
        <w:t xml:space="preserve">Netiesioginio palyginimo analizės populiacija atitinka Lietuvos pacientų, sergančių metastazavusiu nesmulkialąsteliniu plaučių vėžiu (NSLPV), pirmaeiliam gydymui, kai nėra jautrinančių EGFR mutacijų arba ALK, ROS1 ar RET genominių naviko nukrypimų, populiaciją. Įtraukimo kriterijai buvo tokie: tyrimai, kuriuose analizuojamas </w:t>
      </w:r>
      <w:r w:rsidRPr="002D0CD4">
        <w:rPr>
          <w:rFonts w:eastAsia="Arial"/>
          <w:bCs/>
          <w:lang w:bidi="lt-LT"/>
        </w:rPr>
        <w:t xml:space="preserve">imuninio kontrolės punkto inhibitorių </w:t>
      </w:r>
      <w:r w:rsidRPr="002D0CD4">
        <w:rPr>
          <w:rFonts w:eastAsia="Arial"/>
          <w:bCs/>
        </w:rPr>
        <w:t>veiksmingumas ir saugumas atskirai arba kartu su chemoterapija ir (arba) antiangiogenetiniais vaistais, kaip pirmos eilės gydymo išplitusio nesmulkialąstelinio plaučių vėžio (NSCLC) atveju. Pagrindinės vertinamosios baigtys buvo IbLP ir BI, taip pat pareiškėjo netiesioginėje analizėje atskirai pateikti palyginimo rezultatai papildomuose pogrupiuose išskiriant pacientų duomenis pagal histologiją (t. y. plokščialąstelinė / neplokščialąstelinė) ir PD-L1 raiškos lygius (t. y. aukštas PD-L1: PD-L1 ≥50 %; PD-L1 neigiamas: PD-L1 &lt;1 %; vidutinis PD-L1: 50 % &gt; PD-L1 ≥1 %).</w:t>
      </w:r>
    </w:p>
    <w:p w14:paraId="17F763EB" w14:textId="45F1530D" w:rsidR="002D0CD4" w:rsidRPr="002D0CD4" w:rsidRDefault="002D0CD4" w:rsidP="002D0CD4">
      <w:pPr>
        <w:tabs>
          <w:tab w:val="left" w:pos="492"/>
        </w:tabs>
        <w:spacing w:line="276" w:lineRule="auto"/>
        <w:jc w:val="both"/>
        <w:outlineLvl w:val="1"/>
        <w:rPr>
          <w:rFonts w:eastAsia="Arial"/>
          <w:bCs/>
        </w:rPr>
      </w:pPr>
      <w:r w:rsidRPr="002D0CD4">
        <w:rPr>
          <w:rFonts w:eastAsia="Arial"/>
          <w:bCs/>
        </w:rPr>
        <w:tab/>
        <w:t xml:space="preserve">TMA taikomi </w:t>
      </w:r>
      <w:r w:rsidRPr="002D0CD4">
        <w:rPr>
          <w:rFonts w:eastAsia="Arial"/>
          <w:bCs/>
          <w:iCs/>
        </w:rPr>
        <w:t>sugemalimabo</w:t>
      </w:r>
      <w:r w:rsidRPr="002D0CD4">
        <w:rPr>
          <w:rFonts w:eastAsia="Arial"/>
          <w:bCs/>
        </w:rPr>
        <w:t xml:space="preserve"> derinyje su chemoterapija platinos pagrindu palyginimai su įvairiais palyginamaisiais gydymais, įskaitant pembrolizumabo ir chemoterapijos platinos pagrindu derinį. Netiesioginio palyginimo analizėje palyginamasis pembrolizumabo ir chemoterapijos platinos pagrindu derinys vertinimo metu atitinka įprastinę klinikinę praktiką Lietuvoje. Taikytas netiesioginio palyginimo būdas - tinklinė metaanlaizė – įvertinta kaip tinkama </w:t>
      </w:r>
      <w:r w:rsidRPr="002D0CD4">
        <w:rPr>
          <w:rFonts w:eastAsia="Arial"/>
          <w:bCs/>
          <w:iCs/>
        </w:rPr>
        <w:t>sugemalimabo</w:t>
      </w:r>
      <w:r w:rsidRPr="002D0CD4">
        <w:rPr>
          <w:rFonts w:eastAsia="Arial"/>
          <w:bCs/>
        </w:rPr>
        <w:t xml:space="preserve"> derinyje su chemoterapija platinos pagrindu veiksmingumui ir saugumui įvertinti.</w:t>
      </w:r>
    </w:p>
    <w:p w14:paraId="08C0E513" w14:textId="737E032D" w:rsidR="002D0CD4" w:rsidRPr="002D0CD4" w:rsidRDefault="00C0009A" w:rsidP="002D0CD4">
      <w:pPr>
        <w:tabs>
          <w:tab w:val="left" w:pos="492"/>
        </w:tabs>
        <w:spacing w:line="276" w:lineRule="auto"/>
        <w:jc w:val="both"/>
        <w:outlineLvl w:val="1"/>
        <w:rPr>
          <w:rFonts w:eastAsia="Arial"/>
          <w:bCs/>
          <w:iCs/>
        </w:rPr>
      </w:pPr>
      <w:r>
        <w:rPr>
          <w:rFonts w:eastAsia="Arial"/>
          <w:bCs/>
          <w:iCs/>
        </w:rPr>
        <w:tab/>
      </w:r>
      <w:r w:rsidR="002D0CD4" w:rsidRPr="002D0CD4">
        <w:rPr>
          <w:rFonts w:eastAsia="Arial"/>
          <w:bCs/>
          <w:iCs/>
        </w:rPr>
        <w:t>Remiantis atlikta metaanalize, rizikos santykiai buvo panašūs lyginant sugemalimabo +ChT ir pembrolzumabo+ChT veiksmingumą pagal IbLP: 0,56 (95 proc. PI: 0,44-0,71) ir 0,52 (95 proc. PI: 0,45-0,6), atitinkamai.</w:t>
      </w:r>
    </w:p>
    <w:p w14:paraId="6B20ADF1" w14:textId="31429A78" w:rsidR="002D0CD4" w:rsidRPr="002D0CD4" w:rsidRDefault="00C0009A" w:rsidP="002D0CD4">
      <w:pPr>
        <w:tabs>
          <w:tab w:val="left" w:pos="492"/>
        </w:tabs>
        <w:spacing w:line="276" w:lineRule="auto"/>
        <w:jc w:val="both"/>
        <w:outlineLvl w:val="1"/>
        <w:rPr>
          <w:rFonts w:eastAsia="Arial"/>
          <w:bCs/>
          <w:iCs/>
        </w:rPr>
      </w:pPr>
      <w:r>
        <w:rPr>
          <w:rFonts w:eastAsia="Arial"/>
          <w:bCs/>
          <w:iCs/>
        </w:rPr>
        <w:tab/>
      </w:r>
      <w:r w:rsidR="002D0CD4" w:rsidRPr="002D0CD4">
        <w:rPr>
          <w:rFonts w:eastAsia="Arial"/>
          <w:bCs/>
          <w:iCs/>
        </w:rPr>
        <w:t xml:space="preserve">Bendro išgyvenamumo rezultatai, neparodė reikšmingo skirtumą tarp palyginamųjų terapijų, tačiau mirties rizika, vertinant pagal RS reikšmę, buvo 10 proc. mažesnė, jei pacientai butų gydymo pembrolizumabu+ChT nei sugemalimabu+ChT: RS buvo 0,61 (95 proc. 0,52-0,71) ir 0,71 (95 proc. PI: 0,54—0,94), atitinkamai. </w:t>
      </w:r>
    </w:p>
    <w:p w14:paraId="5FBDDE8D" w14:textId="77777777" w:rsidR="002D0CD4" w:rsidRPr="002D0CD4" w:rsidRDefault="002D0CD4" w:rsidP="002D0CD4">
      <w:pPr>
        <w:tabs>
          <w:tab w:val="left" w:pos="492"/>
        </w:tabs>
        <w:spacing w:line="276" w:lineRule="auto"/>
        <w:jc w:val="both"/>
        <w:outlineLvl w:val="1"/>
        <w:rPr>
          <w:rFonts w:eastAsia="Arial"/>
          <w:bCs/>
          <w:iCs/>
        </w:rPr>
      </w:pPr>
      <w:r w:rsidRPr="002D0CD4">
        <w:rPr>
          <w:rFonts w:eastAsia="Arial"/>
          <w:bCs/>
        </w:rPr>
        <w:tab/>
        <w:t>Vertinant IbLP rezultatus atskiruose pogrupiuose pagal histologijos įrodymus buvo nustatyta, kad skirtumų tarp palyginamųjų terapijų nebuvo, remiantis RS rezultatais.</w:t>
      </w:r>
      <w:r w:rsidRPr="002D0CD4">
        <w:rPr>
          <w:rFonts w:eastAsia="Arial"/>
          <w:bCs/>
          <w:iCs/>
        </w:rPr>
        <w:t xml:space="preserve"> Tačiau metaanalizės rezultatai parodė, kad vertinant BI atskiruose pacientų pogrupiuose pagal nustatytą histologijos NSLPV tipą sugemalimabo +ChT veiksmingumas yra panašus į pembrolzumabo+ChT, jei būtų skiriamas pacientams, kuriems nustatytas plokštelinis NSLPV. TMA parodė, kad RS buvo 0,56 (95 proc. PI: 0,37-0,84) ir 0,71 (95 proc. PI: 0,58-0,87). Pacientams, kuriems nustatytas neplokštelinis NSLPV, sugemalimabas+ChT (RS</w:t>
      </w:r>
      <w:r w:rsidRPr="002D0CD4">
        <w:rPr>
          <w:rFonts w:eastAsia="Arial"/>
          <w:bCs/>
          <w:iCs/>
          <w:lang w:val="en-GB"/>
        </w:rPr>
        <w:t>=</w:t>
      </w:r>
      <w:r w:rsidRPr="002D0CD4">
        <w:rPr>
          <w:rFonts w:eastAsia="Arial"/>
          <w:bCs/>
          <w:iCs/>
        </w:rPr>
        <w:t>0,79; 95 proc. PI: 0,54-1,10) galimai nusileidžia savo veiksmingumu pembrolizubo+ChT (RS</w:t>
      </w:r>
      <w:r w:rsidRPr="002D0CD4">
        <w:rPr>
          <w:rFonts w:eastAsia="Arial"/>
          <w:bCs/>
          <w:iCs/>
          <w:lang w:val="en-GB"/>
        </w:rPr>
        <w:t>=</w:t>
      </w:r>
      <w:r w:rsidRPr="002D0CD4">
        <w:rPr>
          <w:rFonts w:eastAsia="Arial"/>
          <w:bCs/>
          <w:iCs/>
        </w:rPr>
        <w:t xml:space="preserve">0,50; 95 proc. PI: 0,4-0,64). </w:t>
      </w:r>
    </w:p>
    <w:p w14:paraId="2425D81E" w14:textId="560C03E5" w:rsidR="00C0009A" w:rsidRDefault="002D0CD4" w:rsidP="002D0CD4">
      <w:pPr>
        <w:tabs>
          <w:tab w:val="left" w:pos="492"/>
        </w:tabs>
        <w:spacing w:line="276" w:lineRule="auto"/>
        <w:jc w:val="both"/>
        <w:outlineLvl w:val="1"/>
        <w:rPr>
          <w:rFonts w:eastAsia="Arial"/>
          <w:bCs/>
          <w:i/>
        </w:rPr>
      </w:pPr>
      <w:r w:rsidRPr="002D0CD4">
        <w:rPr>
          <w:rFonts w:eastAsia="Arial"/>
          <w:bCs/>
          <w:i/>
        </w:rPr>
        <w:t>Iš anksto numatytų pogrupių analizė</w:t>
      </w:r>
    </w:p>
    <w:p w14:paraId="6F5F8449" w14:textId="7DC9DF7D" w:rsidR="000D7CA6" w:rsidRDefault="000D7CA6" w:rsidP="002D0CD4">
      <w:pPr>
        <w:tabs>
          <w:tab w:val="left" w:pos="492"/>
        </w:tabs>
        <w:spacing w:line="276" w:lineRule="auto"/>
        <w:jc w:val="both"/>
        <w:outlineLvl w:val="1"/>
        <w:rPr>
          <w:rFonts w:eastAsia="Arial"/>
          <w:bCs/>
          <w:iCs/>
        </w:rPr>
      </w:pPr>
      <w:r>
        <w:rPr>
          <w:rFonts w:eastAsia="Arial"/>
          <w:bCs/>
          <w:iCs/>
        </w:rPr>
        <w:tab/>
        <w:t>************************************************************************************************************************************************************</w:t>
      </w:r>
      <w:r>
        <w:rPr>
          <w:rFonts w:eastAsia="Arial"/>
          <w:bCs/>
          <w:iCs/>
        </w:rPr>
        <w:lastRenderedPageBreak/>
        <w:t>***********************************************************************************</w:t>
      </w:r>
    </w:p>
    <w:p w14:paraId="34E6059F" w14:textId="48E0B3D3" w:rsidR="002D0CD4" w:rsidRPr="002D0CD4" w:rsidRDefault="002D0CD4" w:rsidP="002D0CD4">
      <w:pPr>
        <w:tabs>
          <w:tab w:val="left" w:pos="492"/>
        </w:tabs>
        <w:spacing w:line="276" w:lineRule="auto"/>
        <w:jc w:val="both"/>
        <w:outlineLvl w:val="1"/>
        <w:rPr>
          <w:rFonts w:eastAsia="Arial"/>
          <w:bCs/>
        </w:rPr>
      </w:pPr>
      <w:r w:rsidRPr="002D0CD4">
        <w:rPr>
          <w:rFonts w:eastAsia="Arial"/>
          <w:bCs/>
        </w:rPr>
        <w:tab/>
      </w:r>
      <w:r>
        <w:rPr>
          <w:rFonts w:eastAsia="Arial"/>
          <w:bCs/>
        </w:rPr>
        <w:t xml:space="preserve">Apibendrinat </w:t>
      </w:r>
      <w:r w:rsidR="00D3763C">
        <w:rPr>
          <w:rFonts w:eastAsia="Arial"/>
          <w:bCs/>
        </w:rPr>
        <w:t>netiesioginio palyginimo duomenis</w:t>
      </w:r>
      <w:r>
        <w:rPr>
          <w:rFonts w:eastAsia="Arial"/>
          <w:bCs/>
        </w:rPr>
        <w:t xml:space="preserve">, </w:t>
      </w:r>
      <w:r w:rsidR="00D3763C">
        <w:rPr>
          <w:rFonts w:eastAsia="Arial"/>
          <w:bCs/>
        </w:rPr>
        <w:t xml:space="preserve">daroma išvada, </w:t>
      </w:r>
      <w:r>
        <w:rPr>
          <w:rFonts w:eastAsia="Arial"/>
          <w:bCs/>
        </w:rPr>
        <w:t xml:space="preserve">kad </w:t>
      </w:r>
      <w:r w:rsidRPr="003A6200">
        <w:rPr>
          <w:rFonts w:eastAsia="Arial"/>
          <w:iCs/>
          <w:color w:val="000000" w:themeColor="text1"/>
        </w:rPr>
        <w:t>sugemalimab</w:t>
      </w:r>
      <w:r>
        <w:rPr>
          <w:rFonts w:eastAsia="Arial"/>
          <w:iCs/>
          <w:color w:val="000000" w:themeColor="text1"/>
        </w:rPr>
        <w:t>a</w:t>
      </w:r>
      <w:r>
        <w:rPr>
          <w:rFonts w:eastAsia="Arial"/>
          <w:bCs/>
        </w:rPr>
        <w:t>s kartu su chemoterapija platinos pagrindu sukuria nesiskiriančią naudą palyginus su įprast</w:t>
      </w:r>
      <w:r w:rsidR="00D3763C">
        <w:rPr>
          <w:rFonts w:eastAsia="Arial"/>
          <w:bCs/>
        </w:rPr>
        <w:t>a</w:t>
      </w:r>
      <w:r>
        <w:rPr>
          <w:rFonts w:eastAsia="Arial"/>
          <w:bCs/>
        </w:rPr>
        <w:t xml:space="preserve"> klinikine praktike Lietuvoje, t.y. </w:t>
      </w:r>
      <w:r w:rsidRPr="009C03B2">
        <w:rPr>
          <w:rFonts w:eastAsia="Arial"/>
          <w:iCs/>
          <w:color w:val="000000" w:themeColor="text1"/>
        </w:rPr>
        <w:t>pembrolizumab</w:t>
      </w:r>
      <w:r>
        <w:rPr>
          <w:rFonts w:eastAsia="Arial"/>
          <w:iCs/>
          <w:color w:val="000000" w:themeColor="text1"/>
        </w:rPr>
        <w:t>as kartu su chemoterapija platinos pagrindu.</w:t>
      </w:r>
    </w:p>
    <w:p w14:paraId="4B53C178" w14:textId="77777777" w:rsidR="002D0CD4" w:rsidRDefault="002D0CD4" w:rsidP="00A93AA6">
      <w:pPr>
        <w:pStyle w:val="Sraopastraipa"/>
        <w:tabs>
          <w:tab w:val="left" w:pos="426"/>
        </w:tabs>
        <w:ind w:left="0"/>
        <w:rPr>
          <w:b/>
          <w:bCs/>
          <w:caps/>
        </w:rPr>
      </w:pPr>
    </w:p>
    <w:p w14:paraId="39C1ADA8" w14:textId="77777777" w:rsidR="00AC5129" w:rsidRPr="000203E1" w:rsidRDefault="00AC5129" w:rsidP="00A93AA6">
      <w:pPr>
        <w:pStyle w:val="Sraopastraipa"/>
        <w:tabs>
          <w:tab w:val="left" w:pos="426"/>
        </w:tabs>
        <w:ind w:left="0"/>
        <w:rPr>
          <w:b/>
          <w:bCs/>
          <w:caps/>
        </w:rPr>
      </w:pPr>
    </w:p>
    <w:p w14:paraId="7DE09EB5" w14:textId="0CC20DD3" w:rsidR="00E03C3F" w:rsidRPr="00785252" w:rsidRDefault="00785252" w:rsidP="00785252">
      <w:pPr>
        <w:pStyle w:val="Sraopastraipa"/>
        <w:numPr>
          <w:ilvl w:val="0"/>
          <w:numId w:val="16"/>
        </w:numPr>
        <w:tabs>
          <w:tab w:val="left" w:pos="567"/>
        </w:tabs>
        <w:rPr>
          <w:b/>
          <w:bCs/>
          <w:caps/>
        </w:rPr>
      </w:pPr>
      <w:r>
        <w:rPr>
          <w:b/>
          <w:bCs/>
          <w:caps/>
        </w:rPr>
        <w:t xml:space="preserve"> </w:t>
      </w:r>
      <w:r w:rsidR="00CC7832" w:rsidRPr="00785252">
        <w:rPr>
          <w:b/>
          <w:bCs/>
          <w:caps/>
        </w:rPr>
        <w:t xml:space="preserve">ekonominio vertinimo </w:t>
      </w:r>
      <w:r w:rsidR="002F0E4F" w:rsidRPr="00785252">
        <w:rPr>
          <w:b/>
          <w:bCs/>
          <w:caps/>
        </w:rPr>
        <w:t>apibendrinimas</w:t>
      </w:r>
    </w:p>
    <w:p w14:paraId="33875138" w14:textId="77777777" w:rsidR="0035172D" w:rsidRDefault="0035172D" w:rsidP="00A93AA6">
      <w:pPr>
        <w:tabs>
          <w:tab w:val="left" w:pos="426"/>
        </w:tabs>
        <w:rPr>
          <w:b/>
          <w:bCs/>
          <w:caps/>
        </w:rPr>
      </w:pPr>
    </w:p>
    <w:p w14:paraId="5AC35C63" w14:textId="77777777" w:rsidR="00D2543C" w:rsidRPr="009300B3" w:rsidRDefault="00D2543C" w:rsidP="00785252">
      <w:pPr>
        <w:spacing w:line="276" w:lineRule="auto"/>
        <w:ind w:firstLine="720"/>
        <w:jc w:val="both"/>
      </w:pPr>
      <w:r w:rsidRPr="009300B3">
        <w:rPr>
          <w:rFonts w:eastAsia="Arial"/>
        </w:rPr>
        <w:t>V</w:t>
      </w:r>
      <w:r>
        <w:rPr>
          <w:rFonts w:eastAsia="Arial"/>
        </w:rPr>
        <w:t>ykdant</w:t>
      </w:r>
      <w:r w:rsidRPr="009300B3">
        <w:rPr>
          <w:rFonts w:eastAsia="Arial"/>
        </w:rPr>
        <w:t xml:space="preserve">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w:t>
      </w:r>
      <w:r>
        <w:t xml:space="preserve">(toliau – Aprašas) </w:t>
      </w:r>
      <w:r w:rsidRPr="009300B3">
        <w:t>17</w:t>
      </w:r>
      <w:r>
        <w:rPr>
          <w:vertAlign w:val="superscript"/>
        </w:rPr>
        <w:t>3</w:t>
      </w:r>
      <w:r w:rsidRPr="009300B3">
        <w:t xml:space="preserve"> punkt</w:t>
      </w:r>
      <w:r>
        <w:t>ą</w:t>
      </w:r>
      <w:r w:rsidRPr="009300B3">
        <w:t>, ekonomin</w:t>
      </w:r>
      <w:r>
        <w:t>is vertinimas</w:t>
      </w:r>
      <w:r w:rsidRPr="009300B3">
        <w:t xml:space="preserve"> neatliekama</w:t>
      </w:r>
      <w:r>
        <w:t xml:space="preserve">s </w:t>
      </w:r>
      <w:r>
        <w:rPr>
          <w:rFonts w:eastAsia="Arial"/>
        </w:rPr>
        <w:t>k</w:t>
      </w:r>
      <w:r w:rsidRPr="009300B3">
        <w:rPr>
          <w:rFonts w:eastAsia="Arial"/>
        </w:rPr>
        <w:t xml:space="preserve">linikinio vertinimo metu nustačius </w:t>
      </w:r>
      <w:r w:rsidRPr="009300B3">
        <w:rPr>
          <w:bCs/>
          <w:i/>
          <w:iCs/>
          <w:lang w:eastAsia="lt-LT"/>
        </w:rPr>
        <w:t>iš esmės nesiskiriantį</w:t>
      </w:r>
      <w:r w:rsidRPr="009300B3">
        <w:rPr>
          <w:rFonts w:eastAsia="Arial"/>
        </w:rPr>
        <w:t xml:space="preserve"> palyginamąjį veiksmingumą lyginant su įprasta klinikine praktika (atitinka </w:t>
      </w:r>
      <w:r>
        <w:t>V</w:t>
      </w:r>
      <w:r w:rsidRPr="009300B3">
        <w:t>aistinių preparatų ir medicinos pagalbos priemonių įrašymo į kompensavimo sąrašus ir jų keitimo tvarkos aprašo</w:t>
      </w:r>
      <w:r>
        <w:t>, patvirtinto</w:t>
      </w:r>
      <w:r w:rsidRPr="009300B3">
        <w:t xml:space="preserve"> Lietuvos Respublikos sveikatos apsaugos ministro 2002 m. balandžio 5 d. įsakym</w:t>
      </w:r>
      <w:r>
        <w:t>u</w:t>
      </w:r>
      <w:r w:rsidRPr="009300B3">
        <w:t xml:space="preserve"> Nr. V-159 „Dėl vaistinių preparatų ir medicinos pagalbos priemonių įrašymo į kompensavimo sąrašus ir jų keitimo tvarkos aprašo patvirtinimo“ 29.1.2 papunktį)</w:t>
      </w:r>
      <w:r>
        <w:t>.</w:t>
      </w:r>
    </w:p>
    <w:p w14:paraId="740F2A4C" w14:textId="77777777" w:rsidR="00785252" w:rsidRDefault="00785252" w:rsidP="00785252">
      <w:pPr>
        <w:tabs>
          <w:tab w:val="left" w:pos="567"/>
        </w:tabs>
        <w:rPr>
          <w:b/>
          <w:bCs/>
          <w:caps/>
        </w:rPr>
      </w:pPr>
    </w:p>
    <w:p w14:paraId="4FC424F9" w14:textId="67DC75AD" w:rsidR="00C62B36" w:rsidRPr="00785252" w:rsidRDefault="00C62B36" w:rsidP="00785252">
      <w:pPr>
        <w:pStyle w:val="Sraopastraipa"/>
        <w:numPr>
          <w:ilvl w:val="0"/>
          <w:numId w:val="16"/>
        </w:numPr>
        <w:tabs>
          <w:tab w:val="left" w:pos="567"/>
        </w:tabs>
        <w:rPr>
          <w:b/>
          <w:bCs/>
          <w:caps/>
        </w:rPr>
      </w:pPr>
      <w:r w:rsidRPr="00785252">
        <w:rPr>
          <w:b/>
          <w:bCs/>
          <w:caps/>
        </w:rPr>
        <w:t xml:space="preserve">Pacientų organizacijų pateikti duomenys </w:t>
      </w:r>
    </w:p>
    <w:p w14:paraId="54351841" w14:textId="77777777" w:rsidR="00C9728E" w:rsidRPr="000203E1" w:rsidRDefault="00C9728E" w:rsidP="00C9728E">
      <w:pPr>
        <w:pStyle w:val="Sraopastraipa"/>
        <w:tabs>
          <w:tab w:val="left" w:pos="567"/>
        </w:tabs>
        <w:rPr>
          <w:b/>
          <w:bCs/>
          <w:caps/>
        </w:rPr>
      </w:pPr>
    </w:p>
    <w:p w14:paraId="62992180" w14:textId="40D84E55" w:rsidR="00937907" w:rsidRPr="000203E1" w:rsidRDefault="00937907" w:rsidP="00937907">
      <w:pPr>
        <w:spacing w:after="120"/>
        <w:jc w:val="both"/>
      </w:pPr>
      <w:r w:rsidRPr="000203E1">
        <w:t xml:space="preserve">Pacientų organizacijos pozicija </w:t>
      </w:r>
      <w:r w:rsidR="00880A44" w:rsidRPr="000203E1">
        <w:t>ne</w:t>
      </w:r>
      <w:r w:rsidRPr="000203E1">
        <w:t>pateikta.</w:t>
      </w:r>
    </w:p>
    <w:p w14:paraId="03E73D82" w14:textId="77777777" w:rsidR="00D417D2" w:rsidRPr="000203E1" w:rsidRDefault="00D417D2" w:rsidP="00937907">
      <w:pPr>
        <w:spacing w:after="120"/>
        <w:jc w:val="both"/>
      </w:pPr>
    </w:p>
    <w:p w14:paraId="3D3277FA" w14:textId="6A7CE771" w:rsidR="00C62B36" w:rsidRPr="00785252" w:rsidRDefault="00D67BAF" w:rsidP="00785252">
      <w:pPr>
        <w:pStyle w:val="Sraopastraipa"/>
        <w:numPr>
          <w:ilvl w:val="0"/>
          <w:numId w:val="16"/>
        </w:numPr>
        <w:tabs>
          <w:tab w:val="left" w:pos="567"/>
        </w:tabs>
        <w:rPr>
          <w:b/>
          <w:bCs/>
          <w:caps/>
        </w:rPr>
      </w:pPr>
      <w:r w:rsidRPr="00785252">
        <w:rPr>
          <w:b/>
          <w:bCs/>
          <w:caps/>
        </w:rPr>
        <w:t xml:space="preserve">SVEIKATOS PRIEŽIŪROS SPECIALISTŲ </w:t>
      </w:r>
      <w:r w:rsidR="00C62B36" w:rsidRPr="00785252">
        <w:rPr>
          <w:b/>
          <w:bCs/>
          <w:caps/>
        </w:rPr>
        <w:t xml:space="preserve"> organizacijų pateikti duomenys</w:t>
      </w:r>
    </w:p>
    <w:p w14:paraId="68D17B95" w14:textId="77777777" w:rsidR="00557CB2" w:rsidRDefault="00557CB2" w:rsidP="00785252">
      <w:pPr>
        <w:pStyle w:val="Sraopastraipa"/>
        <w:tabs>
          <w:tab w:val="left" w:pos="567"/>
        </w:tabs>
        <w:rPr>
          <w:b/>
          <w:bCs/>
          <w:caps/>
        </w:rPr>
      </w:pPr>
    </w:p>
    <w:p w14:paraId="5D8CC48C" w14:textId="477EF1CC" w:rsidR="00662983" w:rsidRPr="000203E1" w:rsidRDefault="00D67BAF" w:rsidP="00662983">
      <w:pPr>
        <w:spacing w:after="120"/>
        <w:jc w:val="both"/>
      </w:pPr>
      <w:r>
        <w:t>S</w:t>
      </w:r>
      <w:r w:rsidRPr="00E16035">
        <w:rPr>
          <w:bCs/>
        </w:rPr>
        <w:t>veikatos priežiūros specialistų</w:t>
      </w:r>
      <w:r w:rsidR="00937907" w:rsidRPr="000203E1">
        <w:t xml:space="preserve"> organizacijos pozicija </w:t>
      </w:r>
      <w:r w:rsidR="00880A44" w:rsidRPr="000203E1">
        <w:t>ne</w:t>
      </w:r>
      <w:r w:rsidR="00937907" w:rsidRPr="000203E1">
        <w:t>pateikta.</w:t>
      </w:r>
    </w:p>
    <w:p w14:paraId="3701D46A" w14:textId="77777777" w:rsidR="00A042B9" w:rsidRPr="000203E1" w:rsidRDefault="00A042B9" w:rsidP="00662983">
      <w:pPr>
        <w:spacing w:after="120"/>
        <w:jc w:val="both"/>
      </w:pPr>
    </w:p>
    <w:p w14:paraId="78F23ECB" w14:textId="7EE47F78" w:rsidR="002F0E4F" w:rsidRPr="00785252" w:rsidRDefault="002F0E4F" w:rsidP="00785252">
      <w:pPr>
        <w:pStyle w:val="Sraopastraipa"/>
        <w:numPr>
          <w:ilvl w:val="0"/>
          <w:numId w:val="16"/>
        </w:numPr>
        <w:tabs>
          <w:tab w:val="left" w:pos="567"/>
        </w:tabs>
        <w:rPr>
          <w:b/>
          <w:bCs/>
          <w:caps/>
        </w:rPr>
      </w:pPr>
      <w:r w:rsidRPr="00785252">
        <w:rPr>
          <w:b/>
          <w:bCs/>
          <w:caps/>
        </w:rPr>
        <w:t>Išvad</w:t>
      </w:r>
      <w:r w:rsidR="00B811A4" w:rsidRPr="00785252">
        <w:rPr>
          <w:b/>
          <w:bCs/>
          <w:caps/>
        </w:rPr>
        <w:t>OS</w:t>
      </w:r>
      <w:r w:rsidRPr="00785252">
        <w:rPr>
          <w:b/>
          <w:bCs/>
          <w:caps/>
        </w:rPr>
        <w:t xml:space="preserve"> </w:t>
      </w:r>
    </w:p>
    <w:p w14:paraId="30069D85" w14:textId="77777777" w:rsidR="0061611B" w:rsidRPr="000203E1" w:rsidRDefault="0061611B" w:rsidP="0061611B">
      <w:pPr>
        <w:ind w:left="360"/>
        <w:rPr>
          <w:i/>
          <w:szCs w:val="22"/>
        </w:rPr>
      </w:pPr>
    </w:p>
    <w:tbl>
      <w:tblPr>
        <w:tblStyle w:val="Lentelstinklelis"/>
        <w:tblW w:w="0" w:type="auto"/>
        <w:tblInd w:w="-5" w:type="dxa"/>
        <w:tblLook w:val="04A0" w:firstRow="1" w:lastRow="0" w:firstColumn="1" w:lastColumn="0" w:noHBand="0" w:noVBand="1"/>
      </w:tblPr>
      <w:tblGrid>
        <w:gridCol w:w="4820"/>
        <w:gridCol w:w="4814"/>
      </w:tblGrid>
      <w:tr w:rsidR="00B811A4" w:rsidRPr="00B811A4" w14:paraId="4D5EFB83" w14:textId="77777777" w:rsidTr="007111C4">
        <w:trPr>
          <w:trHeight w:val="510"/>
        </w:trPr>
        <w:tc>
          <w:tcPr>
            <w:tcW w:w="9634" w:type="dxa"/>
            <w:gridSpan w:val="2"/>
            <w:vAlign w:val="center"/>
          </w:tcPr>
          <w:p w14:paraId="294EC16B"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r w:rsidRPr="00B811A4">
              <w:rPr>
                <w:rStyle w:val="Style2"/>
                <w:rFonts w:eastAsia="MS Gothic"/>
                <w:b/>
                <w:bCs/>
                <w:sz w:val="23"/>
                <w:szCs w:val="23"/>
              </w:rPr>
              <w:t>Palyginamasis veiksmingumas</w:t>
            </w:r>
          </w:p>
        </w:tc>
      </w:tr>
      <w:tr w:rsidR="00B811A4" w:rsidRPr="00B811A4" w14:paraId="30B67515" w14:textId="77777777" w:rsidTr="007111C4">
        <w:tc>
          <w:tcPr>
            <w:tcW w:w="4820" w:type="dxa"/>
          </w:tcPr>
          <w:p w14:paraId="4FE3C208"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rStyle w:val="Style2"/>
                <w:sz w:val="23"/>
                <w:szCs w:val="23"/>
              </w:rPr>
              <w:t xml:space="preserve"> 29</w:t>
            </w:r>
            <w:r w:rsidR="00B811A4" w:rsidRPr="00B811A4">
              <w:rPr>
                <w:sz w:val="23"/>
                <w:szCs w:val="23"/>
              </w:rPr>
              <w:t>.1.1 yra didesnis, lyginant su įprasta klinikine praktika</w:t>
            </w:r>
          </w:p>
          <w:p w14:paraId="6F9786E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31EDECD" w14:textId="373FD91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1"/>
                  <w14:checkedState w14:val="2612" w14:font="MS Gothic"/>
                  <w14:uncheckedState w14:val="2610" w14:font="MS Gothic"/>
                </w14:checkbox>
              </w:sdtPr>
              <w:sdtContent>
                <w:r w:rsidR="00F22272">
                  <w:rPr>
                    <w:rStyle w:val="Style2"/>
                    <w:rFonts w:ascii="MS Gothic" w:eastAsia="MS Gothic" w:hAnsi="MS Gothic" w:hint="eastAsia"/>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.1.2 iš esmės nesiskiria, lyginant su įprasta klinikine praktika</w:t>
            </w:r>
          </w:p>
        </w:tc>
        <w:tc>
          <w:tcPr>
            <w:tcW w:w="4814" w:type="dxa"/>
          </w:tcPr>
          <w:p w14:paraId="72562F9E"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 xml:space="preserve">.1.3 yra neįrodytas kaip didesnis  ar iš esmės nesiskiriantis, lyginant su įprasta klinikine praktika  </w:t>
            </w:r>
          </w:p>
          <w:p w14:paraId="6F6DB5BC"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EE1D885"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.1.4 yra mažesnis, lyginant su įprasta klinikine praktika</w:t>
            </w:r>
          </w:p>
          <w:p w14:paraId="193C3D76"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70E94DC" w14:textId="4EC80DB9"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w:t>
            </w:r>
            <w:r w:rsidR="00B811A4" w:rsidRPr="00B811A4">
              <w:rPr>
                <w:rStyle w:val="Style2"/>
                <w:sz w:val="23"/>
                <w:szCs w:val="23"/>
              </w:rPr>
              <w:t>29</w:t>
            </w:r>
            <w:r w:rsidR="00B811A4" w:rsidRPr="00B811A4">
              <w:rPr>
                <w:sz w:val="23"/>
                <w:szCs w:val="23"/>
              </w:rPr>
              <w:t>.1.5 pateikti duomenys apie palyginamąjį veiksmingumą yra netinkami vertinti</w:t>
            </w:r>
          </w:p>
          <w:p w14:paraId="45719037"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tr w:rsidR="00B811A4" w:rsidRPr="00B811A4" w14:paraId="0E0F5168" w14:textId="77777777" w:rsidTr="00743956">
        <w:trPr>
          <w:trHeight w:val="510"/>
        </w:trPr>
        <w:tc>
          <w:tcPr>
            <w:tcW w:w="9634" w:type="dxa"/>
            <w:gridSpan w:val="2"/>
            <w:vAlign w:val="center"/>
          </w:tcPr>
          <w:p w14:paraId="62B67E12"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B811A4">
              <w:rPr>
                <w:rStyle w:val="Style2"/>
                <w:rFonts w:eastAsia="MS Gothic"/>
                <w:b/>
                <w:bCs/>
                <w:sz w:val="23"/>
                <w:szCs w:val="23"/>
              </w:rPr>
              <w:t>Kaštų naudingumas</w:t>
            </w:r>
          </w:p>
        </w:tc>
      </w:tr>
      <w:tr w:rsidR="00B811A4" w:rsidRPr="00B811A4" w14:paraId="6A2F62B2" w14:textId="77777777" w:rsidTr="00743956">
        <w:tc>
          <w:tcPr>
            <w:tcW w:w="4820" w:type="dxa"/>
          </w:tcPr>
          <w:p w14:paraId="7CB2C697" w14:textId="44A4E1DF"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29.2.1 atitinka referencinę naudingumo vertę taikant arba netaikant</w:t>
            </w:r>
            <w:r w:rsidR="00437623">
              <w:rPr>
                <w:b/>
                <w:bCs/>
                <w:sz w:val="23"/>
                <w:szCs w:val="23"/>
              </w:rPr>
              <w:t xml:space="preserve"> </w:t>
            </w:r>
            <w:r w:rsidR="00B811A4" w:rsidRPr="00B811A4">
              <w:rPr>
                <w:sz w:val="23"/>
                <w:szCs w:val="23"/>
              </w:rPr>
              <w:t>PGS</w:t>
            </w:r>
          </w:p>
          <w:p w14:paraId="71797774"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E88CDB" w14:textId="60C4FFA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c>
          <w:tcPr>
            <w:tcW w:w="4814" w:type="dxa"/>
          </w:tcPr>
          <w:p w14:paraId="0370A72C"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29.2.3 neatitinka referencinės naudingumo vertės taikant arba netaikant PGS</w:t>
            </w:r>
          </w:p>
          <w:p w14:paraId="13C9EEE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89E6691"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FD1976C" w14:textId="77777777" w:rsidR="00B811A4" w:rsidRPr="00B811A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B811A4" w:rsidRPr="00B811A4">
                  <w:rPr>
                    <w:rStyle w:val="Style2"/>
                    <w:rFonts w:ascii="Segoe UI Symbol" w:eastAsia="MS Gothic" w:hAnsi="Segoe UI Symbol" w:cs="Segoe UI Symbol"/>
                    <w:sz w:val="23"/>
                    <w:szCs w:val="23"/>
                  </w:rPr>
                  <w:t>☐</w:t>
                </w:r>
              </w:sdtContent>
            </w:sdt>
            <w:r w:rsidR="00B811A4" w:rsidRPr="00B811A4">
              <w:rPr>
                <w:sz w:val="23"/>
                <w:szCs w:val="23"/>
              </w:rPr>
              <w:t xml:space="preserve"> 29.2.5 pateikti duomenys apie kaštų naudingumą yra netinkami vertinti</w:t>
            </w:r>
          </w:p>
          <w:p w14:paraId="06AB06C5" w14:textId="77777777" w:rsidR="00B811A4" w:rsidRPr="00B811A4" w:rsidRDefault="00B811A4"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r w:rsidR="007111C4" w:rsidRPr="00B811A4" w14:paraId="632C9193" w14:textId="77777777" w:rsidTr="00027464">
        <w:tc>
          <w:tcPr>
            <w:tcW w:w="9634" w:type="dxa"/>
            <w:gridSpan w:val="2"/>
          </w:tcPr>
          <w:p w14:paraId="15C289C9" w14:textId="723A076D" w:rsidR="007111C4" w:rsidRDefault="00000000" w:rsidP="00743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1266579562"/>
                <w15:color w:val="FFCC00"/>
                <w14:checkbox>
                  <w14:checked w14:val="1"/>
                  <w14:checkedState w14:val="2612" w14:font="MS Gothic"/>
                  <w14:uncheckedState w14:val="2610" w14:font="MS Gothic"/>
                </w14:checkbox>
              </w:sdtPr>
              <w:sdtContent>
                <w:r w:rsidR="00D2543C">
                  <w:rPr>
                    <w:rStyle w:val="Style2"/>
                    <w:rFonts w:ascii="MS Gothic" w:eastAsia="MS Gothic" w:hAnsi="MS Gothic" w:hint="eastAsia"/>
                    <w:sz w:val="23"/>
                    <w:szCs w:val="23"/>
                  </w:rPr>
                  <w:t>☒</w:t>
                </w:r>
              </w:sdtContent>
            </w:sdt>
            <w:r w:rsidR="007111C4">
              <w:rPr>
                <w:sz w:val="23"/>
                <w:szCs w:val="23"/>
              </w:rPr>
              <w:t xml:space="preserve"> </w:t>
            </w:r>
            <w:r w:rsidR="007111C4" w:rsidRPr="007111C4">
              <w:rPr>
                <w:color w:val="000000"/>
                <w:sz w:val="23"/>
                <w:szCs w:val="23"/>
              </w:rPr>
              <w:t>Vykdant Aprašo 17</w:t>
            </w:r>
            <w:r w:rsidR="007111C4" w:rsidRPr="007111C4">
              <w:rPr>
                <w:color w:val="000000"/>
                <w:sz w:val="23"/>
                <w:szCs w:val="23"/>
                <w:vertAlign w:val="superscript"/>
              </w:rPr>
              <w:t>3</w:t>
            </w:r>
            <w:r w:rsidR="007111C4" w:rsidRPr="007111C4">
              <w:rPr>
                <w:color w:val="000000"/>
                <w:sz w:val="23"/>
                <w:szCs w:val="23"/>
              </w:rPr>
              <w:t>.1 punktą vaistinio (-ų) preparato (-ų) ekonominis vertinimas neatliekamas, išvados dėl kaštų naudingumo neteikiamos</w:t>
            </w:r>
          </w:p>
        </w:tc>
      </w:tr>
    </w:tbl>
    <w:p w14:paraId="08D5B3B6" w14:textId="292D1124" w:rsidR="0061611B" w:rsidRPr="000203E1" w:rsidRDefault="0061611B" w:rsidP="0061611B">
      <w:pPr>
        <w:rPr>
          <w:i/>
          <w:szCs w:val="22"/>
        </w:rPr>
      </w:pPr>
    </w:p>
    <w:p w14:paraId="1B85C083" w14:textId="77777777" w:rsidR="009E44AE" w:rsidRPr="000203E1" w:rsidRDefault="009E44AE" w:rsidP="00381024"/>
    <w:p w14:paraId="3B2D1F25" w14:textId="13EBED38" w:rsidR="000001B0" w:rsidRPr="000203E1" w:rsidRDefault="000001B0" w:rsidP="00785252">
      <w:pPr>
        <w:pStyle w:val="Sraopastraipa"/>
        <w:numPr>
          <w:ilvl w:val="0"/>
          <w:numId w:val="16"/>
        </w:numPr>
      </w:pPr>
      <w:r w:rsidRPr="00785252">
        <w:rPr>
          <w:b/>
        </w:rPr>
        <w:t>REKOME</w:t>
      </w:r>
      <w:r w:rsidR="00D83182" w:rsidRPr="00785252">
        <w:rPr>
          <w:b/>
        </w:rPr>
        <w:t>N</w:t>
      </w:r>
      <w:r w:rsidRPr="00785252">
        <w:rPr>
          <w:b/>
        </w:rPr>
        <w:t>DACIJA</w:t>
      </w:r>
    </w:p>
    <w:p w14:paraId="35E33D78" w14:textId="59232BB3" w:rsidR="00B811A4" w:rsidRPr="00D05364" w:rsidRDefault="00B811A4" w:rsidP="00B811A4">
      <w:pPr>
        <w:pStyle w:val="Sraopastraipa"/>
        <w:ind w:left="567"/>
        <w:rPr>
          <w:b/>
        </w:rPr>
      </w:pPr>
    </w:p>
    <w:p w14:paraId="0F2ECA05" w14:textId="77777777" w:rsidR="00D2543C" w:rsidRPr="00603B3A" w:rsidRDefault="00D2543C" w:rsidP="00D2543C">
      <w:pPr>
        <w:widowControl w:val="0"/>
        <w:tabs>
          <w:tab w:val="left" w:pos="1418"/>
        </w:tabs>
        <w:suppressAutoHyphens/>
        <w:spacing w:line="360" w:lineRule="atLeast"/>
        <w:jc w:val="both"/>
        <w:textAlignment w:val="center"/>
        <w:rPr>
          <w:lang w:eastAsia="lt-LT"/>
        </w:rPr>
      </w:pPr>
      <w:r w:rsidRPr="00603B3A">
        <w:t xml:space="preserve">Vadovaujantis Aprašo </w:t>
      </w:r>
      <w:r w:rsidRPr="00603B3A">
        <w:rPr>
          <w:lang w:eastAsia="lt-LT"/>
        </w:rPr>
        <w:t>30</w:t>
      </w:r>
      <w:r w:rsidRPr="00603B3A">
        <w:rPr>
          <w:vertAlign w:val="superscript"/>
          <w:lang w:eastAsia="lt-LT"/>
        </w:rPr>
        <w:t>1</w:t>
      </w:r>
      <w:r w:rsidRPr="00603B3A">
        <w:rPr>
          <w:lang w:eastAsia="lt-LT"/>
        </w:rPr>
        <w:t xml:space="preserve">.5. papunkčiu rekomenduojama kompensuoti vaistinį preparatą pagal paraiškoje nurodytą indikaciją (arba jos dalį) su arba be skyrimo sąlygų, jei išvados apie įtaką PSDF biudžetui atitinka aprašo </w:t>
      </w:r>
      <w:r w:rsidRPr="00603B3A">
        <w:t>54.1</w:t>
      </w:r>
      <w:r w:rsidRPr="00603B3A">
        <w:rPr>
          <w:vertAlign w:val="superscript"/>
        </w:rPr>
        <w:t>1</w:t>
      </w:r>
      <w:r w:rsidRPr="00603B3A">
        <w:t xml:space="preserve"> papunkčio nuostatas arba šio papunkčio sąlygos išpildomos pateikus naują ar atnaujintą PGS.</w:t>
      </w:r>
    </w:p>
    <w:p w14:paraId="3D60BB06" w14:textId="77777777" w:rsidR="00B811A4" w:rsidRPr="0089345A" w:rsidRDefault="00B811A4" w:rsidP="00B811A4">
      <w:pPr>
        <w:widowControl w:val="0"/>
        <w:tabs>
          <w:tab w:val="left" w:pos="1418"/>
        </w:tabs>
        <w:suppressAutoHyphens/>
        <w:spacing w:line="360" w:lineRule="atLeast"/>
        <w:jc w:val="center"/>
        <w:textAlignment w:val="center"/>
        <w:rPr>
          <w:color w:val="000000"/>
          <w:lang w:eastAsia="lt-LT"/>
        </w:rPr>
      </w:pPr>
      <w:bookmarkStart w:id="3" w:name="part_e5da10a7dd3c4954a51a4cfadcc5dca9"/>
      <w:bookmarkStart w:id="4" w:name="part_cfcc6837026a4f778099b76920d1102e"/>
      <w:bookmarkEnd w:id="3"/>
      <w:bookmarkEnd w:id="4"/>
    </w:p>
    <w:p w14:paraId="42F3A222" w14:textId="6F90EA18" w:rsidR="00B811A4" w:rsidRPr="0073329D" w:rsidRDefault="00B811A4" w:rsidP="00B811A4">
      <w:pPr>
        <w:tabs>
          <w:tab w:val="left" w:pos="426"/>
        </w:tabs>
        <w:jc w:val="both"/>
        <w:rPr>
          <w:b/>
          <w:lang w:eastAsia="lt-LT"/>
        </w:rPr>
      </w:pPr>
      <w:r w:rsidRPr="0089345A">
        <w:rPr>
          <w:b/>
          <w:lang w:eastAsia="lt-LT"/>
        </w:rPr>
        <w:t>Siūloma (-os) kompensuoti terapinės indikacijos ir skyrimo sąlygos</w:t>
      </w:r>
      <w:r w:rsidRPr="0073329D">
        <w:rPr>
          <w:b/>
          <w:lang w:eastAsia="lt-LT"/>
        </w:rPr>
        <w:t xml:space="preserve"> </w:t>
      </w:r>
    </w:p>
    <w:p w14:paraId="179FBABC" w14:textId="77777777" w:rsidR="00B811A4" w:rsidRPr="0073329D" w:rsidRDefault="00B811A4" w:rsidP="00B811A4">
      <w:pPr>
        <w:tabs>
          <w:tab w:val="left" w:pos="426"/>
        </w:tabs>
        <w:jc w:val="both"/>
        <w:rPr>
          <w:b/>
          <w:lang w:eastAsia="lt-LT"/>
        </w:rPr>
      </w:pPr>
    </w:p>
    <w:p w14:paraId="65CB839B" w14:textId="77777777" w:rsidR="00B811A4" w:rsidRDefault="00B811A4" w:rsidP="00B811A4">
      <w:pPr>
        <w:pStyle w:val="Betarp"/>
        <w:rPr>
          <w:rFonts w:ascii="Times New Roman" w:hAnsi="Times New Roman"/>
          <w:b/>
          <w:sz w:val="24"/>
          <w:szCs w:val="24"/>
          <w:lang w:eastAsia="lt-LT"/>
        </w:rPr>
      </w:pPr>
      <w:r w:rsidRPr="0073329D">
        <w:rPr>
          <w:rFonts w:ascii="Times New Roman" w:hAnsi="Times New Roman"/>
          <w:b/>
          <w:sz w:val="24"/>
          <w:szCs w:val="24"/>
          <w:lang w:eastAsia="lt-LT"/>
        </w:rPr>
        <w:t>Terapinės indikacijos</w:t>
      </w:r>
    </w:p>
    <w:p w14:paraId="67A4A2F0" w14:textId="77777777" w:rsidR="00A61CCA" w:rsidRPr="009300B3" w:rsidRDefault="00A61CCA" w:rsidP="00CE4CE6">
      <w:pPr>
        <w:spacing w:line="276" w:lineRule="auto"/>
        <w:jc w:val="both"/>
      </w:pPr>
      <w:r w:rsidRPr="00FC29EF">
        <w:rPr>
          <w:lang w:eastAsia="en-GB"/>
        </w:rPr>
        <w:t>Cejemly kartu su platinos chemoterapija skirtas suaugusiųjų, sergančių metastazavusiu nesmulkialąsteliniu plaučių vėžiu (NSLPV), pirmaeiliam gydymui, kai nėra jautrinančių EGFR mutacijų arba ALK, ROS1 ar RET genominių naviko nukrypimų</w:t>
      </w:r>
      <w:r>
        <w:rPr>
          <w:lang w:eastAsia="en-GB"/>
        </w:rPr>
        <w:t>.</w:t>
      </w:r>
    </w:p>
    <w:p w14:paraId="0A9AB8EF" w14:textId="77777777" w:rsidR="00A61CCA" w:rsidRPr="009300B3" w:rsidRDefault="00A61CCA" w:rsidP="00CE4CE6">
      <w:pPr>
        <w:pStyle w:val="Betarp"/>
        <w:spacing w:line="276" w:lineRule="auto"/>
        <w:jc w:val="both"/>
        <w:rPr>
          <w:rFonts w:ascii="Times New Roman" w:hAnsi="Times New Roman"/>
          <w:sz w:val="24"/>
          <w:szCs w:val="24"/>
        </w:rPr>
      </w:pPr>
    </w:p>
    <w:p w14:paraId="6CB566A3" w14:textId="50AE81BB" w:rsidR="00A61CCA" w:rsidRPr="009300B3" w:rsidRDefault="00A61CCA" w:rsidP="00CE4CE6">
      <w:pPr>
        <w:pStyle w:val="Betarp"/>
        <w:spacing w:line="276" w:lineRule="auto"/>
        <w:jc w:val="both"/>
        <w:rPr>
          <w:rFonts w:ascii="Times New Roman" w:hAnsi="Times New Roman"/>
          <w:b/>
          <w:sz w:val="24"/>
          <w:szCs w:val="24"/>
        </w:rPr>
      </w:pPr>
      <w:r w:rsidRPr="009300B3">
        <w:rPr>
          <w:rFonts w:ascii="Times New Roman" w:hAnsi="Times New Roman"/>
          <w:b/>
          <w:sz w:val="24"/>
          <w:szCs w:val="24"/>
        </w:rPr>
        <w:t>S</w:t>
      </w:r>
      <w:r w:rsidR="00CE4CE6">
        <w:rPr>
          <w:rFonts w:ascii="Times New Roman" w:hAnsi="Times New Roman"/>
          <w:b/>
          <w:sz w:val="24"/>
          <w:szCs w:val="24"/>
        </w:rPr>
        <w:t>iūlomos s</w:t>
      </w:r>
      <w:r w:rsidRPr="009300B3">
        <w:rPr>
          <w:rFonts w:ascii="Times New Roman" w:hAnsi="Times New Roman"/>
          <w:b/>
          <w:sz w:val="24"/>
          <w:szCs w:val="24"/>
        </w:rPr>
        <w:t>kyrimo sąlygos</w:t>
      </w:r>
    </w:p>
    <w:p w14:paraId="3134C313" w14:textId="77777777" w:rsidR="000D7CA6" w:rsidRDefault="000D7CA6" w:rsidP="000D7CA6">
      <w:pPr>
        <w:tabs>
          <w:tab w:val="left" w:pos="492"/>
        </w:tabs>
        <w:spacing w:line="276" w:lineRule="auto"/>
        <w:jc w:val="both"/>
        <w:outlineLvl w:val="1"/>
        <w:rPr>
          <w:rFonts w:eastAsia="Arial"/>
          <w:bCs/>
          <w:iCs/>
        </w:rPr>
      </w:pPr>
      <w:r>
        <w:rPr>
          <w:rFonts w:eastAsia="Arial"/>
          <w:bCs/>
          <w:iCs/>
        </w:rPr>
        <w:t>***********************************************************************************************************************************************************************************************************************************************</w:t>
      </w:r>
    </w:p>
    <w:p w14:paraId="562A1372" w14:textId="77777777" w:rsidR="00283E59" w:rsidRDefault="00283E59" w:rsidP="00283E59">
      <w:pPr>
        <w:jc w:val="both"/>
        <w:rPr>
          <w:b/>
          <w:sz w:val="20"/>
        </w:rPr>
      </w:pPr>
    </w:p>
    <w:p w14:paraId="7CDFF220" w14:textId="58191D98" w:rsidR="000723FF" w:rsidRPr="000203E1" w:rsidRDefault="000723FF" w:rsidP="00824B92">
      <w:pPr>
        <w:rPr>
          <w:b/>
        </w:rPr>
      </w:pPr>
    </w:p>
    <w:sectPr w:rsidR="000723FF" w:rsidRPr="000203E1" w:rsidSect="00063A50">
      <w:headerReference w:type="first" r:id="rId11"/>
      <w:footerReference w:type="first" r:id="rId12"/>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C2858" w14:textId="77777777" w:rsidR="00576815" w:rsidRDefault="00576815">
      <w:r>
        <w:separator/>
      </w:r>
    </w:p>
  </w:endnote>
  <w:endnote w:type="continuationSeparator" w:id="0">
    <w:p w14:paraId="7AD69AB0" w14:textId="77777777" w:rsidR="00576815" w:rsidRDefault="0057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4469" w14:textId="77777777" w:rsidR="00576815" w:rsidRDefault="00576815">
      <w:r>
        <w:separator/>
      </w:r>
    </w:p>
  </w:footnote>
  <w:footnote w:type="continuationSeparator" w:id="0">
    <w:p w14:paraId="795A1C3A" w14:textId="77777777" w:rsidR="00576815" w:rsidRDefault="0057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276250"/>
    <w:multiLevelType w:val="hybridMultilevel"/>
    <w:tmpl w:val="3B6C29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B56BED"/>
    <w:multiLevelType w:val="hybridMultilevel"/>
    <w:tmpl w:val="03368D8C"/>
    <w:lvl w:ilvl="0" w:tplc="02445FC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580373"/>
    <w:multiLevelType w:val="hybridMultilevel"/>
    <w:tmpl w:val="23DE7256"/>
    <w:lvl w:ilvl="0" w:tplc="C5828AE8">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1A816B09"/>
    <w:multiLevelType w:val="hybridMultilevel"/>
    <w:tmpl w:val="8FBEE17A"/>
    <w:lvl w:ilvl="0" w:tplc="0427000F">
      <w:start w:val="16"/>
      <w:numFmt w:val="decimal"/>
      <w:lvlText w:val="%1."/>
      <w:lvlJc w:val="left"/>
      <w:pPr>
        <w:ind w:left="501" w:hanging="360"/>
      </w:pPr>
      <w:rPr>
        <w:rFonts w:hint="default"/>
      </w:rPr>
    </w:lvl>
    <w:lvl w:ilvl="1" w:tplc="04270019" w:tentative="1">
      <w:start w:val="1"/>
      <w:numFmt w:val="lowerLetter"/>
      <w:lvlText w:val="%2."/>
      <w:lvlJc w:val="left"/>
      <w:pPr>
        <w:ind w:left="1581" w:hanging="360"/>
      </w:pPr>
    </w:lvl>
    <w:lvl w:ilvl="2" w:tplc="0427001B" w:tentative="1">
      <w:start w:val="1"/>
      <w:numFmt w:val="lowerRoman"/>
      <w:lvlText w:val="%3."/>
      <w:lvlJc w:val="right"/>
      <w:pPr>
        <w:ind w:left="2301" w:hanging="180"/>
      </w:pPr>
    </w:lvl>
    <w:lvl w:ilvl="3" w:tplc="0427000F" w:tentative="1">
      <w:start w:val="1"/>
      <w:numFmt w:val="decimal"/>
      <w:lvlText w:val="%4."/>
      <w:lvlJc w:val="left"/>
      <w:pPr>
        <w:ind w:left="3021" w:hanging="360"/>
      </w:pPr>
    </w:lvl>
    <w:lvl w:ilvl="4" w:tplc="04270019" w:tentative="1">
      <w:start w:val="1"/>
      <w:numFmt w:val="lowerLetter"/>
      <w:lvlText w:val="%5."/>
      <w:lvlJc w:val="left"/>
      <w:pPr>
        <w:ind w:left="3741" w:hanging="360"/>
      </w:pPr>
    </w:lvl>
    <w:lvl w:ilvl="5" w:tplc="0427001B" w:tentative="1">
      <w:start w:val="1"/>
      <w:numFmt w:val="lowerRoman"/>
      <w:lvlText w:val="%6."/>
      <w:lvlJc w:val="right"/>
      <w:pPr>
        <w:ind w:left="4461" w:hanging="180"/>
      </w:pPr>
    </w:lvl>
    <w:lvl w:ilvl="6" w:tplc="0427000F" w:tentative="1">
      <w:start w:val="1"/>
      <w:numFmt w:val="decimal"/>
      <w:lvlText w:val="%7."/>
      <w:lvlJc w:val="left"/>
      <w:pPr>
        <w:ind w:left="5181" w:hanging="360"/>
      </w:pPr>
    </w:lvl>
    <w:lvl w:ilvl="7" w:tplc="04270019" w:tentative="1">
      <w:start w:val="1"/>
      <w:numFmt w:val="lowerLetter"/>
      <w:lvlText w:val="%8."/>
      <w:lvlJc w:val="left"/>
      <w:pPr>
        <w:ind w:left="5901" w:hanging="360"/>
      </w:pPr>
    </w:lvl>
    <w:lvl w:ilvl="8" w:tplc="0427001B" w:tentative="1">
      <w:start w:val="1"/>
      <w:numFmt w:val="lowerRoman"/>
      <w:lvlText w:val="%9."/>
      <w:lvlJc w:val="right"/>
      <w:pPr>
        <w:ind w:left="6621" w:hanging="180"/>
      </w:pPr>
    </w:lvl>
  </w:abstractNum>
  <w:abstractNum w:abstractNumId="8"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0"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3"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6438548">
    <w:abstractNumId w:val="10"/>
  </w:num>
  <w:num w:numId="2" w16cid:durableId="557011743">
    <w:abstractNumId w:val="2"/>
  </w:num>
  <w:num w:numId="3" w16cid:durableId="1219823763">
    <w:abstractNumId w:val="12"/>
  </w:num>
  <w:num w:numId="4" w16cid:durableId="800925045">
    <w:abstractNumId w:val="11"/>
  </w:num>
  <w:num w:numId="5" w16cid:durableId="1911884957">
    <w:abstractNumId w:val="9"/>
  </w:num>
  <w:num w:numId="6" w16cid:durableId="994383979">
    <w:abstractNumId w:val="8"/>
  </w:num>
  <w:num w:numId="7" w16cid:durableId="1466461698">
    <w:abstractNumId w:val="6"/>
  </w:num>
  <w:num w:numId="8" w16cid:durableId="1141535749">
    <w:abstractNumId w:val="15"/>
  </w:num>
  <w:num w:numId="9" w16cid:durableId="1736078834">
    <w:abstractNumId w:val="0"/>
  </w:num>
  <w:num w:numId="10" w16cid:durableId="1910577760">
    <w:abstractNumId w:val="13"/>
  </w:num>
  <w:num w:numId="11" w16cid:durableId="987636888">
    <w:abstractNumId w:val="14"/>
  </w:num>
  <w:num w:numId="12" w16cid:durableId="430468090">
    <w:abstractNumId w:val="5"/>
  </w:num>
  <w:num w:numId="13" w16cid:durableId="131561407">
    <w:abstractNumId w:val="7"/>
  </w:num>
  <w:num w:numId="14" w16cid:durableId="8676730">
    <w:abstractNumId w:val="1"/>
  </w:num>
  <w:num w:numId="15" w16cid:durableId="1304968167">
    <w:abstractNumId w:val="3"/>
  </w:num>
  <w:num w:numId="16" w16cid:durableId="448013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03E1"/>
    <w:rsid w:val="00023F86"/>
    <w:rsid w:val="0002686C"/>
    <w:rsid w:val="00031D0E"/>
    <w:rsid w:val="000337E6"/>
    <w:rsid w:val="0003402E"/>
    <w:rsid w:val="00034EAE"/>
    <w:rsid w:val="00042924"/>
    <w:rsid w:val="000448C6"/>
    <w:rsid w:val="00052BD8"/>
    <w:rsid w:val="00053975"/>
    <w:rsid w:val="00057A2B"/>
    <w:rsid w:val="000606BE"/>
    <w:rsid w:val="000624FF"/>
    <w:rsid w:val="00063A50"/>
    <w:rsid w:val="000723FF"/>
    <w:rsid w:val="000736B8"/>
    <w:rsid w:val="0008190F"/>
    <w:rsid w:val="00081D9C"/>
    <w:rsid w:val="00082907"/>
    <w:rsid w:val="0008378D"/>
    <w:rsid w:val="000908A5"/>
    <w:rsid w:val="00092805"/>
    <w:rsid w:val="000A50C9"/>
    <w:rsid w:val="000B2B2C"/>
    <w:rsid w:val="000C454C"/>
    <w:rsid w:val="000D5038"/>
    <w:rsid w:val="000D7CA6"/>
    <w:rsid w:val="000E29D4"/>
    <w:rsid w:val="000F3540"/>
    <w:rsid w:val="00100491"/>
    <w:rsid w:val="00104E2E"/>
    <w:rsid w:val="00107287"/>
    <w:rsid w:val="00117194"/>
    <w:rsid w:val="00117406"/>
    <w:rsid w:val="00121EF0"/>
    <w:rsid w:val="00124A9E"/>
    <w:rsid w:val="00130703"/>
    <w:rsid w:val="0013153F"/>
    <w:rsid w:val="001408B8"/>
    <w:rsid w:val="001466FE"/>
    <w:rsid w:val="001517E2"/>
    <w:rsid w:val="001521D9"/>
    <w:rsid w:val="001554E2"/>
    <w:rsid w:val="00164146"/>
    <w:rsid w:val="00164D64"/>
    <w:rsid w:val="0017369C"/>
    <w:rsid w:val="00175D57"/>
    <w:rsid w:val="00180C39"/>
    <w:rsid w:val="00180D96"/>
    <w:rsid w:val="00184BD3"/>
    <w:rsid w:val="001921F3"/>
    <w:rsid w:val="001A0CAA"/>
    <w:rsid w:val="001B3C5B"/>
    <w:rsid w:val="001C2FC8"/>
    <w:rsid w:val="001C6353"/>
    <w:rsid w:val="001D5B91"/>
    <w:rsid w:val="001D746F"/>
    <w:rsid w:val="001E0B2D"/>
    <w:rsid w:val="001E4BBB"/>
    <w:rsid w:val="001E6304"/>
    <w:rsid w:val="001F115E"/>
    <w:rsid w:val="0020381E"/>
    <w:rsid w:val="00213471"/>
    <w:rsid w:val="002135F1"/>
    <w:rsid w:val="00215906"/>
    <w:rsid w:val="00241CD8"/>
    <w:rsid w:val="00244B09"/>
    <w:rsid w:val="002519CB"/>
    <w:rsid w:val="0025697F"/>
    <w:rsid w:val="00260258"/>
    <w:rsid w:val="0026588E"/>
    <w:rsid w:val="00272428"/>
    <w:rsid w:val="00272948"/>
    <w:rsid w:val="00283E59"/>
    <w:rsid w:val="00292392"/>
    <w:rsid w:val="002946C7"/>
    <w:rsid w:val="002A1AEE"/>
    <w:rsid w:val="002B3CC1"/>
    <w:rsid w:val="002C0686"/>
    <w:rsid w:val="002C09E0"/>
    <w:rsid w:val="002C100E"/>
    <w:rsid w:val="002C1BB1"/>
    <w:rsid w:val="002C2786"/>
    <w:rsid w:val="002C3A10"/>
    <w:rsid w:val="002C4A90"/>
    <w:rsid w:val="002C4ED5"/>
    <w:rsid w:val="002D02EF"/>
    <w:rsid w:val="002D0CD4"/>
    <w:rsid w:val="002D4D27"/>
    <w:rsid w:val="002D7214"/>
    <w:rsid w:val="002E0702"/>
    <w:rsid w:val="002E1A83"/>
    <w:rsid w:val="002E57AD"/>
    <w:rsid w:val="002E6F80"/>
    <w:rsid w:val="002F0E4F"/>
    <w:rsid w:val="002F1053"/>
    <w:rsid w:val="00314816"/>
    <w:rsid w:val="00317B0E"/>
    <w:rsid w:val="00336238"/>
    <w:rsid w:val="00347FAA"/>
    <w:rsid w:val="0035172D"/>
    <w:rsid w:val="0036187D"/>
    <w:rsid w:val="00367EDB"/>
    <w:rsid w:val="003705F0"/>
    <w:rsid w:val="00381024"/>
    <w:rsid w:val="00386078"/>
    <w:rsid w:val="00386307"/>
    <w:rsid w:val="003874DE"/>
    <w:rsid w:val="00393E9F"/>
    <w:rsid w:val="0039696E"/>
    <w:rsid w:val="003B211A"/>
    <w:rsid w:val="003C0FDB"/>
    <w:rsid w:val="003C141F"/>
    <w:rsid w:val="003C6B0E"/>
    <w:rsid w:val="003C7257"/>
    <w:rsid w:val="003C7E35"/>
    <w:rsid w:val="003D1E99"/>
    <w:rsid w:val="003D6208"/>
    <w:rsid w:val="00404E8A"/>
    <w:rsid w:val="0040622F"/>
    <w:rsid w:val="00413F24"/>
    <w:rsid w:val="00422853"/>
    <w:rsid w:val="00423160"/>
    <w:rsid w:val="00437623"/>
    <w:rsid w:val="00444A2B"/>
    <w:rsid w:val="00453862"/>
    <w:rsid w:val="0045469B"/>
    <w:rsid w:val="00461338"/>
    <w:rsid w:val="004677DB"/>
    <w:rsid w:val="00476256"/>
    <w:rsid w:val="0048630F"/>
    <w:rsid w:val="00491CF6"/>
    <w:rsid w:val="004947A1"/>
    <w:rsid w:val="0049482A"/>
    <w:rsid w:val="004979D3"/>
    <w:rsid w:val="004A00E7"/>
    <w:rsid w:val="004A3A61"/>
    <w:rsid w:val="004B59BA"/>
    <w:rsid w:val="004B5A03"/>
    <w:rsid w:val="004C263A"/>
    <w:rsid w:val="004C6221"/>
    <w:rsid w:val="004D48A6"/>
    <w:rsid w:val="004D70B6"/>
    <w:rsid w:val="004D7B8F"/>
    <w:rsid w:val="004E241F"/>
    <w:rsid w:val="004E6458"/>
    <w:rsid w:val="004E6E7D"/>
    <w:rsid w:val="004F1AAC"/>
    <w:rsid w:val="004F1AE2"/>
    <w:rsid w:val="004F34F0"/>
    <w:rsid w:val="004F3B2B"/>
    <w:rsid w:val="004F6050"/>
    <w:rsid w:val="005005EF"/>
    <w:rsid w:val="005123C2"/>
    <w:rsid w:val="0052144B"/>
    <w:rsid w:val="00524066"/>
    <w:rsid w:val="00526A0F"/>
    <w:rsid w:val="00534E11"/>
    <w:rsid w:val="005378D8"/>
    <w:rsid w:val="005400D9"/>
    <w:rsid w:val="005476A4"/>
    <w:rsid w:val="0055019B"/>
    <w:rsid w:val="00556E63"/>
    <w:rsid w:val="00557CB2"/>
    <w:rsid w:val="005601A4"/>
    <w:rsid w:val="00566DBB"/>
    <w:rsid w:val="00567B14"/>
    <w:rsid w:val="005767DB"/>
    <w:rsid w:val="00576815"/>
    <w:rsid w:val="005815E6"/>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71D9"/>
    <w:rsid w:val="005F7602"/>
    <w:rsid w:val="006062BE"/>
    <w:rsid w:val="00613143"/>
    <w:rsid w:val="00613501"/>
    <w:rsid w:val="0061611B"/>
    <w:rsid w:val="006166A8"/>
    <w:rsid w:val="006174A1"/>
    <w:rsid w:val="00621D6C"/>
    <w:rsid w:val="006319FB"/>
    <w:rsid w:val="00633B49"/>
    <w:rsid w:val="0064297F"/>
    <w:rsid w:val="00645102"/>
    <w:rsid w:val="00646CF3"/>
    <w:rsid w:val="00653D11"/>
    <w:rsid w:val="00661C06"/>
    <w:rsid w:val="00662983"/>
    <w:rsid w:val="006834D3"/>
    <w:rsid w:val="00692625"/>
    <w:rsid w:val="00695CD3"/>
    <w:rsid w:val="006A38B6"/>
    <w:rsid w:val="006B1987"/>
    <w:rsid w:val="006B5B71"/>
    <w:rsid w:val="006B5D3E"/>
    <w:rsid w:val="006B6CB0"/>
    <w:rsid w:val="006C2B64"/>
    <w:rsid w:val="006D1BF3"/>
    <w:rsid w:val="006D4C85"/>
    <w:rsid w:val="006D66AC"/>
    <w:rsid w:val="006E33F6"/>
    <w:rsid w:val="006F1251"/>
    <w:rsid w:val="006F1C23"/>
    <w:rsid w:val="00702C18"/>
    <w:rsid w:val="00703166"/>
    <w:rsid w:val="00706709"/>
    <w:rsid w:val="007111C4"/>
    <w:rsid w:val="007127F3"/>
    <w:rsid w:val="007301CF"/>
    <w:rsid w:val="007316FB"/>
    <w:rsid w:val="00737E2D"/>
    <w:rsid w:val="007424D5"/>
    <w:rsid w:val="00745C63"/>
    <w:rsid w:val="00750A88"/>
    <w:rsid w:val="007523DD"/>
    <w:rsid w:val="00752AA1"/>
    <w:rsid w:val="00757B7E"/>
    <w:rsid w:val="007656B2"/>
    <w:rsid w:val="0077016F"/>
    <w:rsid w:val="007713AD"/>
    <w:rsid w:val="00785252"/>
    <w:rsid w:val="00795DC5"/>
    <w:rsid w:val="00797153"/>
    <w:rsid w:val="007A21F7"/>
    <w:rsid w:val="007A2B68"/>
    <w:rsid w:val="007B0DDA"/>
    <w:rsid w:val="007D3347"/>
    <w:rsid w:val="007D654E"/>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875BC"/>
    <w:rsid w:val="00891EF6"/>
    <w:rsid w:val="00892FF4"/>
    <w:rsid w:val="0089345A"/>
    <w:rsid w:val="008A0303"/>
    <w:rsid w:val="008A5FDD"/>
    <w:rsid w:val="008C3947"/>
    <w:rsid w:val="008E473B"/>
    <w:rsid w:val="008E51A6"/>
    <w:rsid w:val="008E7329"/>
    <w:rsid w:val="008F2ED5"/>
    <w:rsid w:val="0092297E"/>
    <w:rsid w:val="00923292"/>
    <w:rsid w:val="00923651"/>
    <w:rsid w:val="00924DF7"/>
    <w:rsid w:val="00927B56"/>
    <w:rsid w:val="00930138"/>
    <w:rsid w:val="009341BF"/>
    <w:rsid w:val="00937907"/>
    <w:rsid w:val="00941739"/>
    <w:rsid w:val="009421B3"/>
    <w:rsid w:val="00951573"/>
    <w:rsid w:val="00963003"/>
    <w:rsid w:val="00965919"/>
    <w:rsid w:val="00966EEF"/>
    <w:rsid w:val="00971B28"/>
    <w:rsid w:val="00983471"/>
    <w:rsid w:val="009909AB"/>
    <w:rsid w:val="009B37DB"/>
    <w:rsid w:val="009C7A8C"/>
    <w:rsid w:val="009D23F9"/>
    <w:rsid w:val="009D4FA8"/>
    <w:rsid w:val="009E44AE"/>
    <w:rsid w:val="009E6CD6"/>
    <w:rsid w:val="009F4D66"/>
    <w:rsid w:val="00A00C3C"/>
    <w:rsid w:val="00A01091"/>
    <w:rsid w:val="00A042B9"/>
    <w:rsid w:val="00A06DBB"/>
    <w:rsid w:val="00A22ADF"/>
    <w:rsid w:val="00A2310D"/>
    <w:rsid w:val="00A254A2"/>
    <w:rsid w:val="00A31E86"/>
    <w:rsid w:val="00A54D87"/>
    <w:rsid w:val="00A5553C"/>
    <w:rsid w:val="00A61CCA"/>
    <w:rsid w:val="00A701C9"/>
    <w:rsid w:val="00A81785"/>
    <w:rsid w:val="00A84803"/>
    <w:rsid w:val="00A84C51"/>
    <w:rsid w:val="00A86F2B"/>
    <w:rsid w:val="00A91366"/>
    <w:rsid w:val="00A92F91"/>
    <w:rsid w:val="00A93AA6"/>
    <w:rsid w:val="00AA4E48"/>
    <w:rsid w:val="00AA6202"/>
    <w:rsid w:val="00AA7B57"/>
    <w:rsid w:val="00AB2806"/>
    <w:rsid w:val="00AB2D54"/>
    <w:rsid w:val="00AB4FF0"/>
    <w:rsid w:val="00AC26FC"/>
    <w:rsid w:val="00AC4A99"/>
    <w:rsid w:val="00AC5129"/>
    <w:rsid w:val="00AC64D2"/>
    <w:rsid w:val="00AD02E7"/>
    <w:rsid w:val="00AE0FE8"/>
    <w:rsid w:val="00AF60D5"/>
    <w:rsid w:val="00B00959"/>
    <w:rsid w:val="00B04415"/>
    <w:rsid w:val="00B06509"/>
    <w:rsid w:val="00B11D60"/>
    <w:rsid w:val="00B13D65"/>
    <w:rsid w:val="00B21805"/>
    <w:rsid w:val="00B3072E"/>
    <w:rsid w:val="00B36E15"/>
    <w:rsid w:val="00B37245"/>
    <w:rsid w:val="00B4017A"/>
    <w:rsid w:val="00B4468D"/>
    <w:rsid w:val="00B71C72"/>
    <w:rsid w:val="00B71F04"/>
    <w:rsid w:val="00B74A62"/>
    <w:rsid w:val="00B811A4"/>
    <w:rsid w:val="00B81E92"/>
    <w:rsid w:val="00B908D7"/>
    <w:rsid w:val="00B91D7D"/>
    <w:rsid w:val="00B935E8"/>
    <w:rsid w:val="00B93B30"/>
    <w:rsid w:val="00B94CB5"/>
    <w:rsid w:val="00BA0DD9"/>
    <w:rsid w:val="00BA5DBC"/>
    <w:rsid w:val="00BA6584"/>
    <w:rsid w:val="00BB6312"/>
    <w:rsid w:val="00BC39C2"/>
    <w:rsid w:val="00BC3E15"/>
    <w:rsid w:val="00BC4D06"/>
    <w:rsid w:val="00BD05E1"/>
    <w:rsid w:val="00BD585E"/>
    <w:rsid w:val="00BD6919"/>
    <w:rsid w:val="00BE1EA7"/>
    <w:rsid w:val="00BE7489"/>
    <w:rsid w:val="00BF2E0D"/>
    <w:rsid w:val="00BF3927"/>
    <w:rsid w:val="00BF3F8B"/>
    <w:rsid w:val="00BF76DA"/>
    <w:rsid w:val="00C0009A"/>
    <w:rsid w:val="00C00CDB"/>
    <w:rsid w:val="00C07C7B"/>
    <w:rsid w:val="00C16245"/>
    <w:rsid w:val="00C22DC5"/>
    <w:rsid w:val="00C24479"/>
    <w:rsid w:val="00C273F2"/>
    <w:rsid w:val="00C37B53"/>
    <w:rsid w:val="00C434EB"/>
    <w:rsid w:val="00C517D2"/>
    <w:rsid w:val="00C529C6"/>
    <w:rsid w:val="00C5772E"/>
    <w:rsid w:val="00C62B36"/>
    <w:rsid w:val="00C7012C"/>
    <w:rsid w:val="00C712EA"/>
    <w:rsid w:val="00C771F5"/>
    <w:rsid w:val="00C9728E"/>
    <w:rsid w:val="00CA217D"/>
    <w:rsid w:val="00CA3131"/>
    <w:rsid w:val="00CC09D4"/>
    <w:rsid w:val="00CC4F5F"/>
    <w:rsid w:val="00CC668D"/>
    <w:rsid w:val="00CC7832"/>
    <w:rsid w:val="00CD488E"/>
    <w:rsid w:val="00CE4B0B"/>
    <w:rsid w:val="00CE4CE6"/>
    <w:rsid w:val="00CF0C1C"/>
    <w:rsid w:val="00CF27FD"/>
    <w:rsid w:val="00CF5F12"/>
    <w:rsid w:val="00D00D8F"/>
    <w:rsid w:val="00D12869"/>
    <w:rsid w:val="00D14512"/>
    <w:rsid w:val="00D15ED6"/>
    <w:rsid w:val="00D21F3A"/>
    <w:rsid w:val="00D23808"/>
    <w:rsid w:val="00D2543C"/>
    <w:rsid w:val="00D3016A"/>
    <w:rsid w:val="00D3763C"/>
    <w:rsid w:val="00D417D2"/>
    <w:rsid w:val="00D42960"/>
    <w:rsid w:val="00D43BD7"/>
    <w:rsid w:val="00D4485B"/>
    <w:rsid w:val="00D46CCD"/>
    <w:rsid w:val="00D4708D"/>
    <w:rsid w:val="00D4744C"/>
    <w:rsid w:val="00D51046"/>
    <w:rsid w:val="00D521DE"/>
    <w:rsid w:val="00D5470B"/>
    <w:rsid w:val="00D63068"/>
    <w:rsid w:val="00D6498C"/>
    <w:rsid w:val="00D67BAF"/>
    <w:rsid w:val="00D76A70"/>
    <w:rsid w:val="00D83182"/>
    <w:rsid w:val="00D8521E"/>
    <w:rsid w:val="00D9291C"/>
    <w:rsid w:val="00D93A97"/>
    <w:rsid w:val="00DA5602"/>
    <w:rsid w:val="00DB1F64"/>
    <w:rsid w:val="00DC261A"/>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0CED"/>
    <w:rsid w:val="00E745A1"/>
    <w:rsid w:val="00E81529"/>
    <w:rsid w:val="00E83A13"/>
    <w:rsid w:val="00EB1151"/>
    <w:rsid w:val="00EB6FC5"/>
    <w:rsid w:val="00EC2356"/>
    <w:rsid w:val="00EC2582"/>
    <w:rsid w:val="00EC337C"/>
    <w:rsid w:val="00ED0CFF"/>
    <w:rsid w:val="00ED31D2"/>
    <w:rsid w:val="00EE0EAC"/>
    <w:rsid w:val="00EE3322"/>
    <w:rsid w:val="00EE33CB"/>
    <w:rsid w:val="00F0061A"/>
    <w:rsid w:val="00F0190F"/>
    <w:rsid w:val="00F02834"/>
    <w:rsid w:val="00F04EEB"/>
    <w:rsid w:val="00F05467"/>
    <w:rsid w:val="00F055D2"/>
    <w:rsid w:val="00F07CD7"/>
    <w:rsid w:val="00F127E9"/>
    <w:rsid w:val="00F14477"/>
    <w:rsid w:val="00F14B5D"/>
    <w:rsid w:val="00F22272"/>
    <w:rsid w:val="00F259FC"/>
    <w:rsid w:val="00F313F4"/>
    <w:rsid w:val="00F31CA5"/>
    <w:rsid w:val="00F36972"/>
    <w:rsid w:val="00F42426"/>
    <w:rsid w:val="00F44F01"/>
    <w:rsid w:val="00F456BC"/>
    <w:rsid w:val="00F50666"/>
    <w:rsid w:val="00F70731"/>
    <w:rsid w:val="00F70C9E"/>
    <w:rsid w:val="00F74A74"/>
    <w:rsid w:val="00F7572C"/>
    <w:rsid w:val="00F8382C"/>
    <w:rsid w:val="00F855D7"/>
    <w:rsid w:val="00F92035"/>
    <w:rsid w:val="00F92748"/>
    <w:rsid w:val="00FA4169"/>
    <w:rsid w:val="00FB0D41"/>
    <w:rsid w:val="00FB2030"/>
    <w:rsid w:val="00FD0E46"/>
    <w:rsid w:val="00FD1060"/>
    <w:rsid w:val="00FD1CF2"/>
    <w:rsid w:val="00FD3EDF"/>
    <w:rsid w:val="00FD793C"/>
    <w:rsid w:val="00FE0FD5"/>
    <w:rsid w:val="00FE20E6"/>
    <w:rsid w:val="00FE3E3B"/>
    <w:rsid w:val="00FE5878"/>
    <w:rsid w:val="00FF4032"/>
    <w:rsid w:val="00FF4A2E"/>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1,Bullet 1,Bullet List,1. Bullet Blank,Bulleted - 2,Dairy Paragraphe,Bullets Points,Table Legend,Medium Grid 1 - Accent 21,List Paragraph CCT minutes,Section 5,Summary Bullets,附件,Numbered List level 1,Styl moj,Akapit z listą11,lp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1 Diagrama,Bullet 1 Diagrama,Bullet List Diagrama,1. Bullet Blank Diagrama,Bulleted - 2 Diagrama,Dairy Paragraphe Diagrama,Bullets Points Diagrama,Table Legend Diagrama,Medium Grid 1 - Accent 21 Diagrama,附件 Diagrama"/>
    <w:link w:val="Sraopastraipa"/>
    <w:uiPriority w:val="34"/>
    <w:qFormat/>
    <w:rsid w:val="002A1AE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A92015DDBE4DE79B57F7744CEE62D9"/>
        <w:category>
          <w:name w:val="General"/>
          <w:gallery w:val="placeholder"/>
        </w:category>
        <w:types>
          <w:type w:val="bbPlcHdr"/>
        </w:types>
        <w:behaviors>
          <w:behavior w:val="content"/>
        </w:behaviors>
        <w:guid w:val="{DB010FC7-03C2-4D6D-862E-D9701B6FC11A}"/>
      </w:docPartPr>
      <w:docPartBody>
        <w:p w:rsidR="00370ADE" w:rsidRDefault="00370ADE" w:rsidP="00370ADE">
          <w:pPr>
            <w:pStyle w:val="DEA92015DDBE4DE79B57F7744CEE62D9"/>
          </w:pPr>
          <w:r>
            <w:rPr>
              <w:rStyle w:val="Vietosrezervavimoenklotekstas"/>
            </w:rPr>
            <w:t>Click here to enter a date.</w:t>
          </w:r>
        </w:p>
      </w:docPartBody>
    </w:docPart>
    <w:docPart>
      <w:docPartPr>
        <w:name w:val="FA7E4AA4B3C64DFF9DA8F905F2075D9D"/>
        <w:category>
          <w:name w:val="General"/>
          <w:gallery w:val="placeholder"/>
        </w:category>
        <w:types>
          <w:type w:val="bbPlcHdr"/>
        </w:types>
        <w:behaviors>
          <w:behavior w:val="content"/>
        </w:behaviors>
        <w:guid w:val="{33FE476B-2C2C-4538-8C88-431075B2AEC4}"/>
      </w:docPartPr>
      <w:docPartBody>
        <w:p w:rsidR="00370ADE" w:rsidRDefault="00370ADE" w:rsidP="00370ADE">
          <w:pPr>
            <w:pStyle w:val="FA7E4AA4B3C64DFF9DA8F905F2075D9D"/>
          </w:pPr>
          <w:r>
            <w:rPr>
              <w:rStyle w:val="Vietosrezervavimoenklotekstas"/>
            </w:rPr>
            <w:t>Click here to enter a date.</w:t>
          </w:r>
        </w:p>
      </w:docPartBody>
    </w:docPart>
    <w:docPart>
      <w:docPartPr>
        <w:name w:val="170449C59CF046EA9A4A94924B2B2F0A"/>
        <w:category>
          <w:name w:val="General"/>
          <w:gallery w:val="placeholder"/>
        </w:category>
        <w:types>
          <w:type w:val="bbPlcHdr"/>
        </w:types>
        <w:behaviors>
          <w:behavior w:val="content"/>
        </w:behaviors>
        <w:guid w:val="{4DF5AC04-325B-4443-86F1-A7F24F851569}"/>
      </w:docPartPr>
      <w:docPartBody>
        <w:p w:rsidR="00370ADE" w:rsidRDefault="00370ADE" w:rsidP="00370ADE">
          <w:pPr>
            <w:pStyle w:val="170449C59CF046EA9A4A94924B2B2F0A"/>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47C19"/>
    <w:rsid w:val="00061157"/>
    <w:rsid w:val="000624FF"/>
    <w:rsid w:val="000937FE"/>
    <w:rsid w:val="00095C6D"/>
    <w:rsid w:val="000A50C9"/>
    <w:rsid w:val="000A559A"/>
    <w:rsid w:val="000D24D4"/>
    <w:rsid w:val="000D6217"/>
    <w:rsid w:val="0014006D"/>
    <w:rsid w:val="001C35A9"/>
    <w:rsid w:val="00237556"/>
    <w:rsid w:val="002C0686"/>
    <w:rsid w:val="002D4D27"/>
    <w:rsid w:val="002D7214"/>
    <w:rsid w:val="00370ADE"/>
    <w:rsid w:val="0039303B"/>
    <w:rsid w:val="004144A3"/>
    <w:rsid w:val="004160E7"/>
    <w:rsid w:val="004416C6"/>
    <w:rsid w:val="00456E96"/>
    <w:rsid w:val="004C6221"/>
    <w:rsid w:val="004D038D"/>
    <w:rsid w:val="004F4E20"/>
    <w:rsid w:val="004F5AB2"/>
    <w:rsid w:val="005074B9"/>
    <w:rsid w:val="00563A5F"/>
    <w:rsid w:val="005C62E5"/>
    <w:rsid w:val="005E40DD"/>
    <w:rsid w:val="00601F4E"/>
    <w:rsid w:val="00661C06"/>
    <w:rsid w:val="00691FF9"/>
    <w:rsid w:val="006E6A2C"/>
    <w:rsid w:val="007219C1"/>
    <w:rsid w:val="00745C63"/>
    <w:rsid w:val="00752AA1"/>
    <w:rsid w:val="00753462"/>
    <w:rsid w:val="00772325"/>
    <w:rsid w:val="007A2FE0"/>
    <w:rsid w:val="007C6D1D"/>
    <w:rsid w:val="007D654E"/>
    <w:rsid w:val="00892FF4"/>
    <w:rsid w:val="008C0DC0"/>
    <w:rsid w:val="0090074D"/>
    <w:rsid w:val="00901A35"/>
    <w:rsid w:val="00930138"/>
    <w:rsid w:val="009B3BF0"/>
    <w:rsid w:val="009D5E5E"/>
    <w:rsid w:val="009F1BB4"/>
    <w:rsid w:val="00A20D39"/>
    <w:rsid w:val="00A254A2"/>
    <w:rsid w:val="00AB2D54"/>
    <w:rsid w:val="00AB6ED4"/>
    <w:rsid w:val="00B14210"/>
    <w:rsid w:val="00B22ED6"/>
    <w:rsid w:val="00B23DC0"/>
    <w:rsid w:val="00B71F04"/>
    <w:rsid w:val="00B96656"/>
    <w:rsid w:val="00BA0A8E"/>
    <w:rsid w:val="00BC3E15"/>
    <w:rsid w:val="00BE3364"/>
    <w:rsid w:val="00C2401D"/>
    <w:rsid w:val="00C250D7"/>
    <w:rsid w:val="00C53A68"/>
    <w:rsid w:val="00C66578"/>
    <w:rsid w:val="00CA5BB4"/>
    <w:rsid w:val="00CB4BD1"/>
    <w:rsid w:val="00CD139C"/>
    <w:rsid w:val="00CE2DA9"/>
    <w:rsid w:val="00CE44BE"/>
    <w:rsid w:val="00D008F3"/>
    <w:rsid w:val="00D0142D"/>
    <w:rsid w:val="00D04DFF"/>
    <w:rsid w:val="00D15ED6"/>
    <w:rsid w:val="00D20347"/>
    <w:rsid w:val="00D4356B"/>
    <w:rsid w:val="00D7162F"/>
    <w:rsid w:val="00DA599C"/>
    <w:rsid w:val="00DB4DB5"/>
    <w:rsid w:val="00DE4D10"/>
    <w:rsid w:val="00DE6F9F"/>
    <w:rsid w:val="00E44A86"/>
    <w:rsid w:val="00E522EB"/>
    <w:rsid w:val="00E60827"/>
    <w:rsid w:val="00EF6E0C"/>
    <w:rsid w:val="00F0190F"/>
    <w:rsid w:val="00F14477"/>
    <w:rsid w:val="00F31CA5"/>
    <w:rsid w:val="00F370E5"/>
    <w:rsid w:val="00F55028"/>
    <w:rsid w:val="00F677F0"/>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370ADE"/>
    <w:rPr>
      <w:color w:val="808080"/>
    </w:rPr>
  </w:style>
  <w:style w:type="paragraph" w:customStyle="1" w:styleId="DEA92015DDBE4DE79B57F7744CEE62D9">
    <w:name w:val="DEA92015DDBE4DE79B57F7744CEE62D9"/>
    <w:rsid w:val="00370ADE"/>
    <w:pPr>
      <w:spacing w:line="278" w:lineRule="auto"/>
    </w:pPr>
    <w:rPr>
      <w:kern w:val="2"/>
      <w:sz w:val="24"/>
      <w:szCs w:val="24"/>
      <w14:ligatures w14:val="standardContextual"/>
    </w:rPr>
  </w:style>
  <w:style w:type="paragraph" w:customStyle="1" w:styleId="FA7E4AA4B3C64DFF9DA8F905F2075D9D">
    <w:name w:val="FA7E4AA4B3C64DFF9DA8F905F2075D9D"/>
    <w:rsid w:val="00370ADE"/>
    <w:pPr>
      <w:spacing w:line="278" w:lineRule="auto"/>
    </w:pPr>
    <w:rPr>
      <w:kern w:val="2"/>
      <w:sz w:val="24"/>
      <w:szCs w:val="24"/>
      <w14:ligatures w14:val="standardContextual"/>
    </w:rPr>
  </w:style>
  <w:style w:type="paragraph" w:customStyle="1" w:styleId="170449C59CF046EA9A4A94924B2B2F0A">
    <w:name w:val="170449C59CF046EA9A4A94924B2B2F0A"/>
    <w:rsid w:val="00370A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31D704B3C80342960576150CA5203A" ma:contentTypeVersion="21" ma:contentTypeDescription="Create a new document." ma:contentTypeScope="" ma:versionID="6b98e64c7091f0bb95411ad4a2b97743">
  <xsd:schema xmlns:xsd="http://www.w3.org/2001/XMLSchema" xmlns:xs="http://www.w3.org/2001/XMLSchema" xmlns:p="http://schemas.microsoft.com/office/2006/metadata/properties" xmlns:ns2="6170513f-81c3-48c4-b093-af42a3189bab" xmlns:ns3="2047e35f-287c-46a8-818d-e982b076423a" targetNamespace="http://schemas.microsoft.com/office/2006/metadata/properties" ma:root="true" ma:fieldsID="a6450842671dbe8ef3cacdbe4c1bf70f" ns2:_="" ns3:_="">
    <xsd:import namespace="6170513f-81c3-48c4-b093-af42a3189bab"/>
    <xsd:import namespace="2047e35f-287c-46a8-818d-e982b076423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lcf76f155ced4ddcb4097134ff3c332f1"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0513f-81c3-48c4-b093-af42a3189ba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1" ma:index="14" nillable="true" ma:displayName="Image Tags_0" ma:hidden="true" ma:internalName="lcf76f155ced4ddcb4097134ff3c332f1" ma:readOnly="fals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fd4a7d-41de-4207-9d69-bb1304aef73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7e35f-287c-46a8-818d-e982b076423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c7215c-6ebe-40dd-b741-1f6ca4fe4bb0}" ma:internalName="TaxCatchAll" ma:showField="CatchAllData" ma:web="2047e35f-287c-46a8-818d-e982b076423a">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047e35f-287c-46a8-818d-e982b076423a" xsi:nil="true"/>
    <MigrationWizIdPermissions xmlns="6170513f-81c3-48c4-b093-af42a3189bab" xsi:nil="true"/>
    <MigrationWizIdVersion xmlns="6170513f-81c3-48c4-b093-af42a3189bab" xsi:nil="true"/>
    <lcf76f155ced4ddcb4097134ff3c332f xmlns="6170513f-81c3-48c4-b093-af42a3189bab">
      <Terms xmlns="http://schemas.microsoft.com/office/infopath/2007/PartnerControls"/>
    </lcf76f155ced4ddcb4097134ff3c332f>
    <MigrationWizId xmlns="6170513f-81c3-48c4-b093-af42a3189bab" xsi:nil="true"/>
    <lcf76f155ced4ddcb4097134ff3c332f0 xmlns="6170513f-81c3-48c4-b093-af42a3189bab" xsi:nil="true"/>
    <lcf76f155ced4ddcb4097134ff3c332f1 xmlns="6170513f-81c3-48c4-b093-af42a3189bab" xsi:nil="true"/>
  </documentManagement>
</p:properties>
</file>

<file path=customXml/itemProps1.xml><?xml version="1.0" encoding="utf-8"?>
<ds:datastoreItem xmlns:ds="http://schemas.openxmlformats.org/officeDocument/2006/customXml" ds:itemID="{30BF0943-FC13-4F31-B4C5-BE0D5B231D0F}">
  <ds:schemaRefs>
    <ds:schemaRef ds:uri="http://schemas.openxmlformats.org/officeDocument/2006/bibliography"/>
  </ds:schemaRefs>
</ds:datastoreItem>
</file>

<file path=customXml/itemProps2.xml><?xml version="1.0" encoding="utf-8"?>
<ds:datastoreItem xmlns:ds="http://schemas.openxmlformats.org/officeDocument/2006/customXml" ds:itemID="{43266679-261E-40E6-8C1B-C91E06328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0513f-81c3-48c4-b093-af42a3189bab"/>
    <ds:schemaRef ds:uri="2047e35f-287c-46a8-818d-e982b0764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13AE17-561A-4621-A164-1CAB69DE633B}">
  <ds:schemaRefs>
    <ds:schemaRef ds:uri="http://schemas.microsoft.com/sharepoint/v3/contenttype/forms"/>
  </ds:schemaRefs>
</ds:datastoreItem>
</file>

<file path=customXml/itemProps4.xml><?xml version="1.0" encoding="utf-8"?>
<ds:datastoreItem xmlns:ds="http://schemas.openxmlformats.org/officeDocument/2006/customXml" ds:itemID="{5793A63E-B3B2-452F-85D2-3D21FCF05D3E}">
  <ds:schemaRefs>
    <ds:schemaRef ds:uri="http://schemas.microsoft.com/office/2006/metadata/properties"/>
    <ds:schemaRef ds:uri="http://schemas.microsoft.com/office/infopath/2007/PartnerControls"/>
    <ds:schemaRef ds:uri="2047e35f-287c-46a8-818d-e982b076423a"/>
    <ds:schemaRef ds:uri="6170513f-81c3-48c4-b093-af42a3189b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7417</Words>
  <Characters>4229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2025-12-30T10:05:00Z</dcterms:created>
  <dcterms:modified xsi:type="dcterms:W3CDTF">2025-12-30T11:56:00Z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0x010100EC31D704B3C80342960576150CA5203A</vt:lpwstr>
  </property>
  <property fmtid="{D5CDD505-2E9C-101B-9397-08002B2CF9AE}" pid="3" name="GrammarlyDocumentId">
    <vt:lpwstr>f338f81e-e5ae-4cdf-bd64-4ab5e4826117</vt:lpwstr>
  </property>
  <property fmtid="{D5CDD505-2E9C-101B-9397-08002B2CF9AE}" pid="4" name="MediaServiceImageTags">
    <vt:lpwstr/>
  </property>
</Properties>
</file>