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6C5911" w:rsidRDefault="005F7602" w:rsidP="002946C7">
      <w:pPr>
        <w:ind w:left="5529"/>
        <w:rPr>
          <w:lang w:val="en-US"/>
        </w:rPr>
      </w:pPr>
    </w:p>
    <w:p w14:paraId="12FA4B9E" w14:textId="39AA3336" w:rsidR="001B3C5B" w:rsidRPr="000203E1" w:rsidRDefault="00DC261A" w:rsidP="001B3C5B">
      <w:pPr>
        <w:ind w:left="6096"/>
      </w:pPr>
      <w:bookmarkStart w:id="0" w:name="_Hlk189565243"/>
      <w:r w:rsidRPr="00DC261A">
        <w:t>PATVIRTINTA</w:t>
      </w:r>
    </w:p>
    <w:p w14:paraId="7206970B" w14:textId="70E9BD2E" w:rsidR="004C263A" w:rsidRPr="000203E1" w:rsidRDefault="001B3C5B" w:rsidP="001B3C5B">
      <w:pPr>
        <w:ind w:left="6096"/>
      </w:pPr>
      <w:r w:rsidRPr="000203E1">
        <w:t>Valstybinės vaistų kontrolės tarnybos prie Lietuvos Respublikos sveikatos apsaugos ministerijos viršininko 2021 m</w:t>
      </w:r>
      <w:r w:rsidR="004C263A" w:rsidRPr="000203E1">
        <w:t xml:space="preserve">. lapkričio 12 </w:t>
      </w:r>
      <w:r w:rsidRPr="000203E1">
        <w:t>d. įsakymu Nr.</w:t>
      </w:r>
      <w:r w:rsidR="004C263A" w:rsidRPr="000203E1">
        <w:t xml:space="preserve"> (1.72E)1A-1418</w:t>
      </w:r>
    </w:p>
    <w:p w14:paraId="5B219AA6" w14:textId="3A5D6CB4" w:rsidR="001B3C5B" w:rsidRPr="000203E1" w:rsidRDefault="004C263A" w:rsidP="001B3C5B">
      <w:pPr>
        <w:ind w:left="6096"/>
      </w:pPr>
      <w:r w:rsidRPr="000203E1">
        <w:t>(Valstybinės vaistų kontrolės tarnybos prie Lietuvos Respublikos sveikatos apsaugos ministerijos viršininko 202</w:t>
      </w:r>
      <w:r w:rsidR="00A2310D">
        <w:t>5</w:t>
      </w:r>
      <w:r w:rsidRPr="000203E1">
        <w:t xml:space="preserve"> m.                         d. įsakymo Nr.                    redakcija)</w:t>
      </w:r>
    </w:p>
    <w:p w14:paraId="3336BD74" w14:textId="77777777" w:rsidR="001B3C5B" w:rsidRPr="000203E1" w:rsidRDefault="001B3C5B" w:rsidP="00FA4169"/>
    <w:bookmarkEnd w:id="0"/>
    <w:p w14:paraId="56604434" w14:textId="77777777" w:rsidR="00DC261A" w:rsidRDefault="00DC261A" w:rsidP="003B211A">
      <w:pPr>
        <w:jc w:val="center"/>
        <w:rPr>
          <w:b/>
        </w:rPr>
      </w:pPr>
    </w:p>
    <w:p w14:paraId="77AFB67E" w14:textId="0FB133A2" w:rsidR="00613501" w:rsidRPr="000203E1" w:rsidRDefault="002F0E4F" w:rsidP="003B211A">
      <w:pPr>
        <w:jc w:val="center"/>
        <w:rPr>
          <w:b/>
          <w:bCs/>
          <w:caps/>
        </w:rPr>
      </w:pPr>
      <w:r w:rsidRPr="000203E1">
        <w:rPr>
          <w:b/>
        </w:rPr>
        <w:t xml:space="preserve">REKOMENDACIJA DĖL VAISTINIO PREPARATO </w:t>
      </w:r>
      <w:r w:rsidRPr="000203E1">
        <w:rPr>
          <w:b/>
          <w:bCs/>
          <w:caps/>
        </w:rPr>
        <w:t>Lietuvos Respublikos Sveikatos apsaugos ministerijos vaistinių preparatų ir medicinos pagalbos priemonių kompensavimo komisijai</w:t>
      </w:r>
    </w:p>
    <w:p w14:paraId="34E4395D" w14:textId="15FB10DF" w:rsidR="00B13D65" w:rsidRPr="000203E1" w:rsidRDefault="00B13D65" w:rsidP="003B211A">
      <w:pPr>
        <w:jc w:val="center"/>
        <w:rPr>
          <w:b/>
        </w:rPr>
      </w:pPr>
    </w:p>
    <w:p w14:paraId="1595813B" w14:textId="77777777" w:rsidR="00B07CB0" w:rsidRPr="009300B3" w:rsidRDefault="00B07CB0" w:rsidP="00B07CB0">
      <w:pPr>
        <w:jc w:val="center"/>
        <w:rPr>
          <w:b/>
        </w:rPr>
      </w:pPr>
      <w:r w:rsidRPr="004145EC">
        <w:rPr>
          <w:b/>
        </w:rPr>
        <w:t>Jaypirca 100 mg plėvele dengtos tabletės</w:t>
      </w:r>
      <w:r w:rsidRPr="009300B3">
        <w:rPr>
          <w:b/>
        </w:rPr>
        <w:t xml:space="preserve"> </w:t>
      </w:r>
    </w:p>
    <w:p w14:paraId="238B69B6" w14:textId="77777777" w:rsidR="00B07CB0" w:rsidRPr="009300B3" w:rsidRDefault="00B07CB0" w:rsidP="00B07CB0">
      <w:pPr>
        <w:jc w:val="center"/>
      </w:pPr>
    </w:p>
    <w:p w14:paraId="36632437" w14:textId="584F4AA8" w:rsidR="00B07CB0" w:rsidRPr="009300B3" w:rsidRDefault="00B07CB0" w:rsidP="00B07CB0">
      <w:pPr>
        <w:jc w:val="center"/>
      </w:pPr>
      <w:r w:rsidRPr="004145EC">
        <w:rPr>
          <w:b/>
        </w:rPr>
        <w:t>Pirtobrutinib</w:t>
      </w:r>
      <w:r w:rsidR="00840065">
        <w:rPr>
          <w:b/>
        </w:rPr>
        <w:t>as</w:t>
      </w:r>
      <w:r w:rsidRPr="009300B3">
        <w:rPr>
          <w:b/>
        </w:rPr>
        <w:t xml:space="preserve"> </w:t>
      </w:r>
    </w:p>
    <w:p w14:paraId="14711532" w14:textId="77777777" w:rsidR="00B07CB0" w:rsidRPr="009300B3" w:rsidRDefault="00B07CB0" w:rsidP="00B07CB0">
      <w:pPr>
        <w:jc w:val="center"/>
      </w:pPr>
    </w:p>
    <w:p w14:paraId="5146D004" w14:textId="6C864B8F" w:rsidR="00B07CB0" w:rsidRPr="009300B3" w:rsidRDefault="00B07CB0" w:rsidP="00B07CB0">
      <w:pPr>
        <w:jc w:val="center"/>
        <w:rPr>
          <w:b/>
        </w:rPr>
      </w:pPr>
      <w:r w:rsidRPr="009300B3">
        <w:rPr>
          <w:b/>
        </w:rPr>
        <w:t>Paraiškos numeris</w:t>
      </w:r>
      <w:r>
        <w:rPr>
          <w:b/>
        </w:rPr>
        <w:t xml:space="preserve"> STV</w:t>
      </w:r>
      <w:r w:rsidR="006C3214">
        <w:rPr>
          <w:b/>
        </w:rPr>
        <w:t>-</w:t>
      </w:r>
      <w:r>
        <w:rPr>
          <w:b/>
        </w:rPr>
        <w:t>214A</w:t>
      </w:r>
    </w:p>
    <w:p w14:paraId="24A713C7" w14:textId="77777777" w:rsidR="00B07CB0" w:rsidRPr="009300B3" w:rsidRDefault="00B07CB0" w:rsidP="00B07CB0">
      <w:pPr>
        <w:spacing w:line="280" w:lineRule="atLeast"/>
        <w:jc w:val="center"/>
        <w:rPr>
          <w:rFonts w:eastAsia="Arial"/>
        </w:rPr>
      </w:pPr>
    </w:p>
    <w:p w14:paraId="38AE8978" w14:textId="77777777" w:rsidR="00B07CB0" w:rsidRPr="009300B3" w:rsidRDefault="00B07CB0" w:rsidP="00B07CB0">
      <w:pPr>
        <w:pStyle w:val="Sraopastraipa"/>
        <w:numPr>
          <w:ilvl w:val="0"/>
          <w:numId w:val="15"/>
        </w:numPr>
        <w:tabs>
          <w:tab w:val="left" w:pos="284"/>
        </w:tabs>
        <w:spacing w:line="280" w:lineRule="atLeast"/>
        <w:jc w:val="center"/>
        <w:rPr>
          <w:rFonts w:eastAsia="Arial"/>
          <w:b/>
        </w:rPr>
      </w:pPr>
      <w:r w:rsidRPr="009300B3">
        <w:rPr>
          <w:rFonts w:eastAsia="Arial"/>
          <w:b/>
        </w:rPr>
        <w:t>BENDROJI DALIS</w:t>
      </w:r>
    </w:p>
    <w:p w14:paraId="1ADC81B6" w14:textId="77777777" w:rsidR="00B07CB0" w:rsidRPr="009300B3" w:rsidRDefault="00B07CB0" w:rsidP="00B07CB0">
      <w:pPr>
        <w:pStyle w:val="Sraopastraipa"/>
        <w:tabs>
          <w:tab w:val="left" w:pos="284"/>
        </w:tabs>
        <w:spacing w:line="280" w:lineRule="atLeast"/>
        <w:ind w:left="1080"/>
        <w:jc w:val="both"/>
        <w:rPr>
          <w:rFonts w:eastAsia="Arial"/>
          <w:b/>
        </w:rPr>
      </w:pPr>
    </w:p>
    <w:tbl>
      <w:tblPr>
        <w:tblStyle w:val="Lentelstinklelis"/>
        <w:tblW w:w="9493" w:type="dxa"/>
        <w:tblLook w:val="04A0" w:firstRow="1" w:lastRow="0" w:firstColumn="1" w:lastColumn="0" w:noHBand="0" w:noVBand="1"/>
      </w:tblPr>
      <w:tblGrid>
        <w:gridCol w:w="632"/>
        <w:gridCol w:w="3899"/>
        <w:gridCol w:w="4962"/>
      </w:tblGrid>
      <w:tr w:rsidR="00B07CB0" w:rsidRPr="009300B3" w14:paraId="0FA032B8" w14:textId="77777777" w:rsidTr="00FB2B65">
        <w:trPr>
          <w:trHeight w:val="538"/>
        </w:trPr>
        <w:tc>
          <w:tcPr>
            <w:tcW w:w="632" w:type="dxa"/>
          </w:tcPr>
          <w:p w14:paraId="1868D0AD" w14:textId="77777777" w:rsidR="00B07CB0" w:rsidRPr="009300B3" w:rsidRDefault="00B07CB0" w:rsidP="00FB2B65">
            <w:pPr>
              <w:jc w:val="both"/>
              <w:rPr>
                <w:rFonts w:eastAsia="Arial"/>
                <w:b/>
                <w:bCs/>
              </w:rPr>
            </w:pPr>
            <w:bookmarkStart w:id="1" w:name="_Hlk187088187"/>
            <w:r w:rsidRPr="009300B3">
              <w:rPr>
                <w:rFonts w:eastAsia="Arial"/>
                <w:b/>
                <w:bCs/>
              </w:rPr>
              <w:t>1.1</w:t>
            </w:r>
          </w:p>
        </w:tc>
        <w:tc>
          <w:tcPr>
            <w:tcW w:w="3899" w:type="dxa"/>
          </w:tcPr>
          <w:p w14:paraId="081A411C" w14:textId="77777777" w:rsidR="00B07CB0" w:rsidRPr="009300B3" w:rsidRDefault="00B07CB0" w:rsidP="00FB2B65">
            <w:pPr>
              <w:jc w:val="both"/>
              <w:rPr>
                <w:rFonts w:eastAsia="Arial"/>
                <w:b/>
                <w:bCs/>
              </w:rPr>
            </w:pPr>
            <w:r w:rsidRPr="009300B3">
              <w:rPr>
                <w:rFonts w:eastAsia="Arial"/>
                <w:b/>
                <w:bCs/>
              </w:rPr>
              <w:t>Pareiškėjas/ pareiškėjo atstovas</w:t>
            </w:r>
          </w:p>
        </w:tc>
        <w:tc>
          <w:tcPr>
            <w:tcW w:w="4962" w:type="dxa"/>
          </w:tcPr>
          <w:p w14:paraId="724094DA" w14:textId="77777777" w:rsidR="00B07CB0" w:rsidRDefault="00B07CB0" w:rsidP="00FB2B65">
            <w:pPr>
              <w:jc w:val="both"/>
            </w:pPr>
            <w:r w:rsidRPr="00E16DE6">
              <w:t xml:space="preserve">UAB Eli Lilly </w:t>
            </w:r>
          </w:p>
          <w:p w14:paraId="329B6C8D" w14:textId="4F0885FF" w:rsidR="00B07CB0" w:rsidRPr="009300B3" w:rsidRDefault="00B07CB0" w:rsidP="00FB2B65">
            <w:pPr>
              <w:jc w:val="both"/>
              <w:rPr>
                <w:rFonts w:eastAsia="Arial"/>
              </w:rPr>
            </w:pPr>
          </w:p>
        </w:tc>
      </w:tr>
      <w:tr w:rsidR="00B07CB0" w:rsidRPr="009300B3" w14:paraId="2985742E" w14:textId="77777777" w:rsidTr="00FB2B65">
        <w:trPr>
          <w:trHeight w:val="538"/>
        </w:trPr>
        <w:tc>
          <w:tcPr>
            <w:tcW w:w="632" w:type="dxa"/>
          </w:tcPr>
          <w:p w14:paraId="0FC679FD" w14:textId="77777777" w:rsidR="00B07CB0" w:rsidRPr="009300B3" w:rsidRDefault="00B07CB0" w:rsidP="00FB2B65">
            <w:pPr>
              <w:jc w:val="both"/>
              <w:rPr>
                <w:rFonts w:eastAsia="Arial"/>
                <w:b/>
                <w:bCs/>
              </w:rPr>
            </w:pPr>
            <w:r w:rsidRPr="009300B3">
              <w:rPr>
                <w:rFonts w:eastAsia="Arial"/>
                <w:b/>
                <w:bCs/>
              </w:rPr>
              <w:t>1.2</w:t>
            </w:r>
          </w:p>
        </w:tc>
        <w:tc>
          <w:tcPr>
            <w:tcW w:w="3899" w:type="dxa"/>
          </w:tcPr>
          <w:p w14:paraId="4C429AC7" w14:textId="77777777" w:rsidR="00B07CB0" w:rsidRPr="00E5604C" w:rsidRDefault="00B07CB0" w:rsidP="00FB2B65">
            <w:pPr>
              <w:jc w:val="both"/>
              <w:rPr>
                <w:b/>
                <w:bCs/>
                <w:lang w:eastAsia="lt-LT"/>
              </w:rPr>
            </w:pPr>
            <w:r w:rsidRPr="00E5604C">
              <w:rPr>
                <w:b/>
                <w:bCs/>
                <w:lang w:eastAsia="lt-LT"/>
              </w:rPr>
              <w:t xml:space="preserve">Vaistinio preparato registracijos data </w:t>
            </w:r>
          </w:p>
          <w:p w14:paraId="3238A327" w14:textId="77777777" w:rsidR="00B07CB0" w:rsidRPr="00E5604C" w:rsidRDefault="00B07CB0" w:rsidP="00FB2B65">
            <w:pPr>
              <w:jc w:val="both"/>
              <w:rPr>
                <w:b/>
                <w:bCs/>
                <w:lang w:eastAsia="lt-LT"/>
              </w:rPr>
            </w:pPr>
          </w:p>
        </w:tc>
        <w:tc>
          <w:tcPr>
            <w:tcW w:w="4962" w:type="dxa"/>
          </w:tcPr>
          <w:p w14:paraId="41D7E75C" w14:textId="77777777" w:rsidR="00B07CB0" w:rsidRPr="00E5604C" w:rsidRDefault="003B5D70" w:rsidP="00FB2B65">
            <w:pPr>
              <w:jc w:val="both"/>
            </w:pPr>
            <w:sdt>
              <w:sdtPr>
                <w:alias w:val="Nurodykite konkrečią dieną"/>
                <w:tag w:val="Nurodykite pradžios datą"/>
                <w:id w:val="1772196685"/>
                <w:placeholder>
                  <w:docPart w:val="7A8B36CB0C9745E2B633DA033D055CBA"/>
                </w:placeholder>
                <w15:color w:val="FFCC99"/>
                <w:date w:fullDate="2021-06-21T00:00:00Z">
                  <w:dateFormat w:val="yyyy 'm.' MMMM d 'd.'"/>
                  <w:lid w:val="lt-LT"/>
                  <w:storeMappedDataAs w:val="dateTime"/>
                  <w:calendar w:val="gregorian"/>
                </w:date>
              </w:sdtPr>
              <w:sdtEndPr/>
              <w:sdtContent>
                <w:r w:rsidR="00B07CB0" w:rsidRPr="00E5604C">
                  <w:t>2021 m. birželio 21 d.</w:t>
                </w:r>
              </w:sdtContent>
            </w:sdt>
          </w:p>
          <w:p w14:paraId="12D3863F" w14:textId="77777777" w:rsidR="00B07CB0" w:rsidRPr="00E5604C" w:rsidRDefault="00B07CB0" w:rsidP="00FB2B65">
            <w:pPr>
              <w:jc w:val="both"/>
            </w:pPr>
            <w:r w:rsidRPr="00E5604C">
              <w:rPr>
                <w:lang w:eastAsia="lt-LT"/>
              </w:rPr>
              <w:t>EU/3/21/2450</w:t>
            </w:r>
          </w:p>
          <w:p w14:paraId="57D1DFD9" w14:textId="77777777" w:rsidR="00B07CB0" w:rsidRPr="00E5604C" w:rsidRDefault="00B07CB0" w:rsidP="00FB2B65">
            <w:pPr>
              <w:jc w:val="both"/>
              <w:rPr>
                <w:rStyle w:val="Style2"/>
              </w:rPr>
            </w:pPr>
          </w:p>
        </w:tc>
      </w:tr>
      <w:tr w:rsidR="00B07CB0" w:rsidRPr="009300B3" w14:paraId="1B462A94" w14:textId="77777777" w:rsidTr="00FB2B65">
        <w:trPr>
          <w:trHeight w:val="1396"/>
        </w:trPr>
        <w:tc>
          <w:tcPr>
            <w:tcW w:w="632" w:type="dxa"/>
          </w:tcPr>
          <w:p w14:paraId="7FC6D536" w14:textId="77777777" w:rsidR="00B07CB0" w:rsidRPr="009300B3" w:rsidRDefault="00B07CB0" w:rsidP="00FB2B65">
            <w:pPr>
              <w:jc w:val="both"/>
              <w:rPr>
                <w:rFonts w:eastAsia="Arial"/>
                <w:b/>
                <w:bCs/>
              </w:rPr>
            </w:pPr>
            <w:r w:rsidRPr="009300B3">
              <w:rPr>
                <w:rFonts w:eastAsia="Arial"/>
                <w:b/>
                <w:bCs/>
              </w:rPr>
              <w:t>1.3</w:t>
            </w:r>
          </w:p>
        </w:tc>
        <w:tc>
          <w:tcPr>
            <w:tcW w:w="3899" w:type="dxa"/>
          </w:tcPr>
          <w:p w14:paraId="09EE63EB" w14:textId="77777777" w:rsidR="00B07CB0" w:rsidRPr="009300B3" w:rsidRDefault="00B07CB0" w:rsidP="00FB2B65">
            <w:pPr>
              <w:pStyle w:val="Betarp"/>
              <w:jc w:val="both"/>
              <w:rPr>
                <w:rFonts w:ascii="Times New Roman" w:hAnsi="Times New Roman"/>
                <w:b/>
                <w:sz w:val="24"/>
                <w:szCs w:val="24"/>
                <w:shd w:val="clear" w:color="auto" w:fill="FFFFFF"/>
              </w:rPr>
            </w:pPr>
            <w:r w:rsidRPr="009300B3">
              <w:rPr>
                <w:rFonts w:ascii="Times New Roman" w:hAnsi="Times New Roman"/>
                <w:b/>
                <w:sz w:val="24"/>
                <w:szCs w:val="24"/>
              </w:rPr>
              <w:t xml:space="preserve">Vaistinio preparato </w:t>
            </w:r>
            <w:r w:rsidRPr="009300B3">
              <w:rPr>
                <w:rFonts w:ascii="Times New Roman" w:hAnsi="Times New Roman"/>
                <w:b/>
                <w:sz w:val="24"/>
                <w:szCs w:val="24"/>
                <w:shd w:val="clear" w:color="auto" w:fill="FFFFFF"/>
              </w:rPr>
              <w:t>registracijos teisinis pagrindas</w:t>
            </w:r>
          </w:p>
          <w:p w14:paraId="197BE60C" w14:textId="77777777" w:rsidR="00B07CB0" w:rsidRPr="009300B3" w:rsidRDefault="00B07CB0" w:rsidP="00FB2B65">
            <w:pPr>
              <w:pStyle w:val="Betarp"/>
              <w:jc w:val="both"/>
              <w:rPr>
                <w:rFonts w:ascii="Times New Roman" w:hAnsi="Times New Roman"/>
                <w:b/>
                <w:bCs/>
                <w:sz w:val="24"/>
                <w:szCs w:val="24"/>
                <w:lang w:eastAsia="lt-LT"/>
              </w:rPr>
            </w:pPr>
            <w:r w:rsidRPr="009300B3">
              <w:rPr>
                <w:rFonts w:ascii="Times New Roman" w:hAnsi="Times New Roman"/>
                <w:b/>
                <w:sz w:val="24"/>
                <w:szCs w:val="24"/>
                <w:shd w:val="clear" w:color="auto" w:fill="FFFFFF"/>
              </w:rPr>
              <w:t>(</w:t>
            </w:r>
            <w:r w:rsidRPr="009300B3">
              <w:rPr>
                <w:rFonts w:ascii="Times New Roman" w:hAnsi="Times New Roman"/>
                <w:b/>
                <w:sz w:val="24"/>
                <w:szCs w:val="24"/>
              </w:rPr>
              <w:t>Direktyvos 2001/83/EB str.)</w:t>
            </w:r>
          </w:p>
        </w:tc>
        <w:tc>
          <w:tcPr>
            <w:tcW w:w="4962" w:type="dxa"/>
          </w:tcPr>
          <w:p w14:paraId="41350C43" w14:textId="77777777" w:rsidR="00B07CB0" w:rsidRPr="00DB5616" w:rsidRDefault="003B5D70" w:rsidP="00FB2B65">
            <w:pPr>
              <w:jc w:val="both"/>
            </w:pPr>
            <w:sdt>
              <w:sdtPr>
                <w:rPr>
                  <w:rStyle w:val="Style2"/>
                </w:rPr>
                <w:id w:val="526292078"/>
                <w15:color w:val="FFCC00"/>
                <w14:checkbox>
                  <w14:checked w14:val="1"/>
                  <w14:checkedState w14:val="2612" w14:font="MS Gothic"/>
                  <w14:uncheckedState w14:val="2610" w14:font="MS Gothic"/>
                </w14:checkbox>
              </w:sdtPr>
              <w:sdtEndPr>
                <w:rPr>
                  <w:rStyle w:val="Style2"/>
                </w:rPr>
              </w:sdtEndPr>
              <w:sdtContent>
                <w:r w:rsidR="00B07CB0">
                  <w:rPr>
                    <w:rStyle w:val="Style2"/>
                    <w:rFonts w:ascii="MS Gothic" w:eastAsia="MS Gothic" w:hAnsi="MS Gothic" w:hint="eastAsia"/>
                  </w:rPr>
                  <w:t>☒</w:t>
                </w:r>
              </w:sdtContent>
            </w:sdt>
            <w:r w:rsidR="00B07CB0" w:rsidRPr="00DB5616">
              <w:t>8.3 str. (pilna byla, pagrįsta savais tyrimais)</w:t>
            </w:r>
          </w:p>
          <w:p w14:paraId="2B243F22" w14:textId="77777777" w:rsidR="00B07CB0" w:rsidRPr="00DB5616" w:rsidRDefault="003B5D70" w:rsidP="00FB2B65">
            <w:pPr>
              <w:jc w:val="both"/>
            </w:pPr>
            <w:sdt>
              <w:sdtPr>
                <w:rPr>
                  <w:rStyle w:val="Style2"/>
                </w:rPr>
                <w:id w:val="-1497953736"/>
                <w15:color w:val="FFCC00"/>
                <w14:checkbox>
                  <w14:checked w14:val="0"/>
                  <w14:checkedState w14:val="2612" w14:font="MS Gothic"/>
                  <w14:uncheckedState w14:val="2610" w14:font="MS Gothic"/>
                </w14:checkbox>
              </w:sdtPr>
              <w:sdtEndPr>
                <w:rPr>
                  <w:rStyle w:val="Style2"/>
                </w:rPr>
              </w:sdtEndPr>
              <w:sdtContent>
                <w:r w:rsidR="00B07CB0" w:rsidRPr="00DB5616">
                  <w:rPr>
                    <w:rStyle w:val="Style2"/>
                    <w:rFonts w:ascii="Segoe UI Symbol" w:eastAsia="MS Gothic" w:hAnsi="Segoe UI Symbol" w:cs="Segoe UI Symbol"/>
                  </w:rPr>
                  <w:t>☐</w:t>
                </w:r>
              </w:sdtContent>
            </w:sdt>
            <w:r w:rsidR="00B07CB0" w:rsidRPr="00DB5616">
              <w:t>10 a str. (pripažintas medicininis vartojimas)</w:t>
            </w:r>
          </w:p>
          <w:p w14:paraId="2896B832" w14:textId="77777777" w:rsidR="00B07CB0" w:rsidRPr="00DB5616" w:rsidRDefault="003B5D70" w:rsidP="00FB2B65">
            <w:pPr>
              <w:jc w:val="both"/>
            </w:pPr>
            <w:sdt>
              <w:sdtPr>
                <w:rPr>
                  <w:rStyle w:val="Style2"/>
                </w:rPr>
                <w:id w:val="204142496"/>
                <w15:color w:val="FFCC00"/>
                <w14:checkbox>
                  <w14:checked w14:val="0"/>
                  <w14:checkedState w14:val="2612" w14:font="MS Gothic"/>
                  <w14:uncheckedState w14:val="2610" w14:font="MS Gothic"/>
                </w14:checkbox>
              </w:sdtPr>
              <w:sdtEndPr>
                <w:rPr>
                  <w:rStyle w:val="Style2"/>
                </w:rPr>
              </w:sdtEndPr>
              <w:sdtContent>
                <w:r w:rsidR="00B07CB0" w:rsidRPr="00DB5616">
                  <w:rPr>
                    <w:rStyle w:val="Style2"/>
                    <w:rFonts w:ascii="Segoe UI Symbol" w:eastAsia="MS Gothic" w:hAnsi="Segoe UI Symbol" w:cs="Segoe UI Symbol"/>
                  </w:rPr>
                  <w:t>☐</w:t>
                </w:r>
              </w:sdtContent>
            </w:sdt>
            <w:r w:rsidR="00B07CB0" w:rsidRPr="00DB5616">
              <w:t>10.1 str. (generinis)</w:t>
            </w:r>
          </w:p>
          <w:p w14:paraId="39251C86" w14:textId="77777777" w:rsidR="00B07CB0" w:rsidRPr="00DB5616" w:rsidRDefault="003B5D70" w:rsidP="00FB2B65">
            <w:pPr>
              <w:jc w:val="both"/>
            </w:pPr>
            <w:sdt>
              <w:sdtPr>
                <w:rPr>
                  <w:rStyle w:val="Style2"/>
                </w:rPr>
                <w:id w:val="820305101"/>
                <w15:color w:val="FFCC00"/>
                <w14:checkbox>
                  <w14:checked w14:val="0"/>
                  <w14:checkedState w14:val="2612" w14:font="MS Gothic"/>
                  <w14:uncheckedState w14:val="2610" w14:font="MS Gothic"/>
                </w14:checkbox>
              </w:sdtPr>
              <w:sdtEndPr>
                <w:rPr>
                  <w:rStyle w:val="Style2"/>
                </w:rPr>
              </w:sdtEndPr>
              <w:sdtContent>
                <w:r w:rsidR="00B07CB0" w:rsidRPr="00DB5616">
                  <w:rPr>
                    <w:rStyle w:val="Style2"/>
                    <w:rFonts w:ascii="Segoe UI Symbol" w:eastAsia="MS Gothic" w:hAnsi="Segoe UI Symbol" w:cs="Segoe UI Symbol"/>
                  </w:rPr>
                  <w:t>☐</w:t>
                </w:r>
              </w:sdtContent>
            </w:sdt>
            <w:r w:rsidR="00B07CB0" w:rsidRPr="00DB5616">
              <w:t>10.3 str. (hibridinis)</w:t>
            </w:r>
          </w:p>
          <w:p w14:paraId="5FC409A9" w14:textId="77777777" w:rsidR="00B07CB0" w:rsidRPr="00DB5616" w:rsidRDefault="003B5D70" w:rsidP="00FB2B65">
            <w:sdt>
              <w:sdtPr>
                <w:rPr>
                  <w:rStyle w:val="Style2"/>
                </w:rPr>
                <w:id w:val="-450176040"/>
                <w15:color w:val="FFCC00"/>
                <w14:checkbox>
                  <w14:checked w14:val="0"/>
                  <w14:checkedState w14:val="2612" w14:font="MS Gothic"/>
                  <w14:uncheckedState w14:val="2610" w14:font="MS Gothic"/>
                </w14:checkbox>
              </w:sdtPr>
              <w:sdtEndPr>
                <w:rPr>
                  <w:rStyle w:val="Style2"/>
                </w:rPr>
              </w:sdtEndPr>
              <w:sdtContent>
                <w:r w:rsidR="00B07CB0" w:rsidRPr="00DB5616">
                  <w:rPr>
                    <w:rStyle w:val="Style2"/>
                    <w:rFonts w:ascii="Segoe UI Symbol" w:eastAsia="MS Gothic" w:hAnsi="Segoe UI Symbol" w:cs="Segoe UI Symbol"/>
                  </w:rPr>
                  <w:t>☐</w:t>
                </w:r>
              </w:sdtContent>
            </w:sdt>
            <w:r w:rsidR="00B07CB0" w:rsidRPr="00DB5616">
              <w:t>10.</w:t>
            </w:r>
            <w:r w:rsidR="00B07CB0">
              <w:t>4</w:t>
            </w:r>
            <w:r w:rsidR="00B07CB0" w:rsidRPr="00DB5616">
              <w:t xml:space="preserve"> str. (</w:t>
            </w:r>
            <w:r w:rsidR="00B07CB0" w:rsidRPr="001A0CAA">
              <w:t>panašus biologinis</w:t>
            </w:r>
            <w:r w:rsidR="00B07CB0" w:rsidRPr="00DB5616">
              <w:t>)</w:t>
            </w:r>
          </w:p>
          <w:p w14:paraId="7EB36F15" w14:textId="77777777" w:rsidR="00B07CB0" w:rsidRDefault="00B07CB0" w:rsidP="00FB2B65">
            <w:pPr>
              <w:jc w:val="both"/>
            </w:pPr>
          </w:p>
          <w:p w14:paraId="44B97EE7" w14:textId="77777777" w:rsidR="00B07CB0" w:rsidRPr="009300B3" w:rsidRDefault="00B07CB0" w:rsidP="00FB2B65">
            <w:pPr>
              <w:jc w:val="both"/>
              <w:rPr>
                <w:rStyle w:val="Style2"/>
              </w:rPr>
            </w:pPr>
          </w:p>
        </w:tc>
      </w:tr>
      <w:tr w:rsidR="00B07CB0" w:rsidRPr="009300B3" w14:paraId="0432D8DB" w14:textId="77777777" w:rsidTr="00FB2B65">
        <w:trPr>
          <w:trHeight w:val="1011"/>
        </w:trPr>
        <w:tc>
          <w:tcPr>
            <w:tcW w:w="632" w:type="dxa"/>
          </w:tcPr>
          <w:p w14:paraId="6DDC2E41" w14:textId="77777777" w:rsidR="00B07CB0" w:rsidRPr="009300B3" w:rsidRDefault="00B07CB0" w:rsidP="00FB2B65">
            <w:pPr>
              <w:jc w:val="both"/>
              <w:rPr>
                <w:rFonts w:eastAsia="Arial"/>
                <w:b/>
                <w:bCs/>
              </w:rPr>
            </w:pPr>
            <w:r w:rsidRPr="009300B3">
              <w:rPr>
                <w:rFonts w:eastAsia="Arial"/>
                <w:b/>
              </w:rPr>
              <w:t>1.4</w:t>
            </w:r>
          </w:p>
        </w:tc>
        <w:tc>
          <w:tcPr>
            <w:tcW w:w="3899" w:type="dxa"/>
          </w:tcPr>
          <w:p w14:paraId="32E7602F" w14:textId="77777777" w:rsidR="00B07CB0" w:rsidRPr="009300B3" w:rsidRDefault="00B07CB0" w:rsidP="00FB2B65">
            <w:pPr>
              <w:tabs>
                <w:tab w:val="left" w:pos="284"/>
              </w:tabs>
              <w:spacing w:line="280" w:lineRule="atLeast"/>
              <w:jc w:val="both"/>
              <w:rPr>
                <w:b/>
                <w:bCs/>
                <w:lang w:eastAsia="lt-LT"/>
              </w:rPr>
            </w:pPr>
            <w:r w:rsidRPr="009300B3">
              <w:rPr>
                <w:b/>
                <w:bCs/>
                <w:lang w:eastAsia="lt-LT"/>
              </w:rPr>
              <w:t>Ar vaistinis preparatas įrašytas į Bendrijos retųjų vaistinių preparatų registrą?</w:t>
            </w:r>
          </w:p>
        </w:tc>
        <w:tc>
          <w:tcPr>
            <w:tcW w:w="4962" w:type="dxa"/>
          </w:tcPr>
          <w:p w14:paraId="7161CC8E" w14:textId="77777777" w:rsidR="00B07CB0" w:rsidRPr="009300B3" w:rsidRDefault="003B5D70" w:rsidP="00FB2B65">
            <w:pPr>
              <w:jc w:val="both"/>
            </w:pPr>
            <w:sdt>
              <w:sdtPr>
                <w:rPr>
                  <w:rStyle w:val="Style2"/>
                </w:rPr>
                <w:id w:val="1190730465"/>
                <w15:color w:val="FFCC00"/>
                <w14:checkbox>
                  <w14:checked w14:val="0"/>
                  <w14:checkedState w14:val="2612" w14:font="MS Gothic"/>
                  <w14:uncheckedState w14:val="2610" w14:font="MS Gothic"/>
                </w14:checkbox>
              </w:sdtPr>
              <w:sdtEndPr>
                <w:rPr>
                  <w:rStyle w:val="Style2"/>
                </w:rPr>
              </w:sdtEndPr>
              <w:sdtContent>
                <w:r w:rsidR="00B07CB0" w:rsidRPr="009300B3">
                  <w:rPr>
                    <w:rStyle w:val="Style2"/>
                    <w:rFonts w:ascii="Segoe UI Symbol" w:eastAsia="MS Gothic" w:hAnsi="Segoe UI Symbol" w:cs="Segoe UI Symbol"/>
                  </w:rPr>
                  <w:t>☐</w:t>
                </w:r>
              </w:sdtContent>
            </w:sdt>
            <w:r w:rsidR="00B07CB0" w:rsidRPr="009300B3">
              <w:t xml:space="preserve"> Taip       </w:t>
            </w:r>
            <w:r w:rsidR="00B07CB0" w:rsidRPr="009300B3">
              <w:rPr>
                <w:rStyle w:val="Style2"/>
              </w:rPr>
              <w:t xml:space="preserve"> </w:t>
            </w:r>
            <w:sdt>
              <w:sdtPr>
                <w:rPr>
                  <w:rStyle w:val="Style2"/>
                </w:rPr>
                <w:id w:val="-1760283509"/>
                <w15:color w:val="FFCC00"/>
                <w14:checkbox>
                  <w14:checked w14:val="1"/>
                  <w14:checkedState w14:val="2612" w14:font="MS Gothic"/>
                  <w14:uncheckedState w14:val="2610" w14:font="MS Gothic"/>
                </w14:checkbox>
              </w:sdtPr>
              <w:sdtEndPr>
                <w:rPr>
                  <w:rStyle w:val="Style2"/>
                </w:rPr>
              </w:sdtEndPr>
              <w:sdtContent>
                <w:r w:rsidR="00B07CB0">
                  <w:rPr>
                    <w:rStyle w:val="Style2"/>
                    <w:rFonts w:ascii="MS Gothic" w:eastAsia="MS Gothic" w:hAnsi="MS Gothic" w:hint="eastAsia"/>
                  </w:rPr>
                  <w:t>☒</w:t>
                </w:r>
              </w:sdtContent>
            </w:sdt>
            <w:r w:rsidR="00B07CB0" w:rsidRPr="009300B3">
              <w:t xml:space="preserve"> Ne</w:t>
            </w:r>
          </w:p>
          <w:p w14:paraId="4FF1497D" w14:textId="77777777" w:rsidR="00B07CB0" w:rsidRPr="009300B3" w:rsidRDefault="00B07CB0" w:rsidP="00FB2B65">
            <w:pPr>
              <w:jc w:val="both"/>
            </w:pPr>
            <w:r w:rsidRPr="009300B3">
              <w:t xml:space="preserve">Data: </w:t>
            </w:r>
            <w:sdt>
              <w:sdtPr>
                <w:alias w:val="Nurodykite konkrečią dieną"/>
                <w:tag w:val="Nurodykite pradžios datą"/>
                <w:id w:val="1784158105"/>
                <w:placeholder>
                  <w:docPart w:val="E96DF1D59C964F52BE2343B1C09C3E6F"/>
                </w:placeholder>
                <w:showingPlcHdr/>
                <w15:color w:val="FFCC99"/>
                <w:date w:fullDate="2022-05-18T00:00:00Z">
                  <w:dateFormat w:val="yyyy 'm.' MMMM d 'd.'"/>
                  <w:lid w:val="lt-LT"/>
                  <w:storeMappedDataAs w:val="dateTime"/>
                  <w:calendar w:val="gregorian"/>
                </w:date>
              </w:sdtPr>
              <w:sdtEndPr/>
              <w:sdtContent>
                <w:r w:rsidRPr="009300B3">
                  <w:rPr>
                    <w:rStyle w:val="Vietosrezervavimoenklotekstas"/>
                  </w:rPr>
                  <w:t>Click here to enter a date.</w:t>
                </w:r>
              </w:sdtContent>
            </w:sdt>
          </w:p>
          <w:p w14:paraId="769D1B72" w14:textId="77777777" w:rsidR="00B07CB0" w:rsidRPr="009300B3" w:rsidRDefault="00B07CB0" w:rsidP="00FB2B65">
            <w:pPr>
              <w:jc w:val="both"/>
              <w:rPr>
                <w:rFonts w:eastAsia="Arial"/>
              </w:rPr>
            </w:pPr>
            <w:r w:rsidRPr="009300B3">
              <w:t>Nr.</w:t>
            </w:r>
          </w:p>
        </w:tc>
      </w:tr>
      <w:tr w:rsidR="00B07CB0" w:rsidRPr="009300B3" w14:paraId="31B4693D" w14:textId="77777777" w:rsidTr="00FB2B65">
        <w:trPr>
          <w:trHeight w:val="1011"/>
        </w:trPr>
        <w:tc>
          <w:tcPr>
            <w:tcW w:w="632" w:type="dxa"/>
          </w:tcPr>
          <w:p w14:paraId="2DB60787" w14:textId="77777777" w:rsidR="00B07CB0" w:rsidRPr="009300B3" w:rsidRDefault="00B07CB0" w:rsidP="00FB2B65">
            <w:pPr>
              <w:jc w:val="both"/>
              <w:rPr>
                <w:rFonts w:eastAsia="Arial"/>
                <w:b/>
              </w:rPr>
            </w:pPr>
            <w:r w:rsidRPr="009300B3">
              <w:rPr>
                <w:rFonts w:eastAsia="Arial"/>
                <w:b/>
                <w:bCs/>
              </w:rPr>
              <w:t>1.5</w:t>
            </w:r>
          </w:p>
        </w:tc>
        <w:tc>
          <w:tcPr>
            <w:tcW w:w="3899" w:type="dxa"/>
          </w:tcPr>
          <w:p w14:paraId="3B4B81D6" w14:textId="77777777" w:rsidR="00B07CB0" w:rsidRPr="009300B3" w:rsidRDefault="00B07CB0" w:rsidP="00FB2B65">
            <w:pPr>
              <w:tabs>
                <w:tab w:val="left" w:pos="284"/>
              </w:tabs>
              <w:spacing w:line="280" w:lineRule="atLeast"/>
              <w:jc w:val="both"/>
              <w:rPr>
                <w:b/>
                <w:bCs/>
                <w:lang w:eastAsia="lt-LT"/>
              </w:rPr>
            </w:pPr>
            <w:r w:rsidRPr="009300B3">
              <w:rPr>
                <w:b/>
                <w:bCs/>
                <w:lang w:eastAsia="lt-LT"/>
              </w:rPr>
              <w:t>Ar atliktas bendras klinikinis vertinimas</w:t>
            </w:r>
          </w:p>
          <w:p w14:paraId="5AC0C6A2" w14:textId="77777777" w:rsidR="00B07CB0" w:rsidRPr="009300B3" w:rsidRDefault="00B07CB0" w:rsidP="00FB2B65">
            <w:pPr>
              <w:tabs>
                <w:tab w:val="left" w:pos="284"/>
              </w:tabs>
              <w:spacing w:line="280" w:lineRule="atLeast"/>
              <w:jc w:val="both"/>
              <w:rPr>
                <w:b/>
                <w:bCs/>
                <w:lang w:eastAsia="lt-LT"/>
              </w:rPr>
            </w:pPr>
            <w:r w:rsidRPr="009300B3">
              <w:rPr>
                <w:b/>
                <w:bCs/>
                <w:lang w:eastAsia="lt-LT"/>
              </w:rPr>
              <w:t>(Europos Parlamento ir Tarybos reglamentas (ES) 2021/2282)</w:t>
            </w:r>
          </w:p>
        </w:tc>
        <w:tc>
          <w:tcPr>
            <w:tcW w:w="4962" w:type="dxa"/>
          </w:tcPr>
          <w:p w14:paraId="3091112A" w14:textId="77777777" w:rsidR="00B07CB0" w:rsidRPr="009300B3" w:rsidRDefault="003B5D70" w:rsidP="00FB2B65">
            <w:pPr>
              <w:jc w:val="both"/>
            </w:pPr>
            <w:sdt>
              <w:sdtPr>
                <w:rPr>
                  <w:rStyle w:val="Style2"/>
                </w:rPr>
                <w:id w:val="-1171564470"/>
                <w15:color w:val="FFCC00"/>
                <w14:checkbox>
                  <w14:checked w14:val="0"/>
                  <w14:checkedState w14:val="2612" w14:font="MS Gothic"/>
                  <w14:uncheckedState w14:val="2610" w14:font="MS Gothic"/>
                </w14:checkbox>
              </w:sdtPr>
              <w:sdtEndPr>
                <w:rPr>
                  <w:rStyle w:val="Style2"/>
                </w:rPr>
              </w:sdtEndPr>
              <w:sdtContent>
                <w:r w:rsidR="00B07CB0" w:rsidRPr="009300B3">
                  <w:rPr>
                    <w:rStyle w:val="Style2"/>
                    <w:rFonts w:ascii="Segoe UI Symbol" w:eastAsia="MS Gothic" w:hAnsi="Segoe UI Symbol" w:cs="Segoe UI Symbol"/>
                  </w:rPr>
                  <w:t>☐</w:t>
                </w:r>
              </w:sdtContent>
            </w:sdt>
            <w:r w:rsidR="00B07CB0" w:rsidRPr="009300B3">
              <w:t xml:space="preserve"> Taip       </w:t>
            </w:r>
            <w:r w:rsidR="00B07CB0" w:rsidRPr="009300B3">
              <w:rPr>
                <w:rStyle w:val="Style2"/>
              </w:rPr>
              <w:t xml:space="preserve"> </w:t>
            </w:r>
            <w:sdt>
              <w:sdtPr>
                <w:rPr>
                  <w:rStyle w:val="Style2"/>
                </w:rPr>
                <w:id w:val="1448122567"/>
                <w15:color w:val="FFCC00"/>
                <w14:checkbox>
                  <w14:checked w14:val="1"/>
                  <w14:checkedState w14:val="2612" w14:font="MS Gothic"/>
                  <w14:uncheckedState w14:val="2610" w14:font="MS Gothic"/>
                </w14:checkbox>
              </w:sdtPr>
              <w:sdtEndPr>
                <w:rPr>
                  <w:rStyle w:val="Style2"/>
                </w:rPr>
              </w:sdtEndPr>
              <w:sdtContent>
                <w:r w:rsidR="00B07CB0">
                  <w:rPr>
                    <w:rStyle w:val="Style2"/>
                    <w:rFonts w:ascii="MS Gothic" w:eastAsia="MS Gothic" w:hAnsi="MS Gothic" w:hint="eastAsia"/>
                  </w:rPr>
                  <w:t>☒</w:t>
                </w:r>
              </w:sdtContent>
            </w:sdt>
            <w:r w:rsidR="00B07CB0" w:rsidRPr="009300B3">
              <w:t xml:space="preserve"> Ne</w:t>
            </w:r>
          </w:p>
          <w:p w14:paraId="484C49B4" w14:textId="77777777" w:rsidR="00B07CB0" w:rsidRPr="009300B3" w:rsidRDefault="00B07CB0" w:rsidP="00FB2B65">
            <w:pPr>
              <w:jc w:val="both"/>
              <w:rPr>
                <w:rStyle w:val="Style2"/>
              </w:rPr>
            </w:pPr>
            <w:r w:rsidRPr="009300B3">
              <w:t xml:space="preserve">Data: </w:t>
            </w:r>
            <w:sdt>
              <w:sdtPr>
                <w:alias w:val="Nurodykite konkrečią dieną"/>
                <w:tag w:val="Nurodykite pradžios datą"/>
                <w:id w:val="1516880001"/>
                <w:placeholder>
                  <w:docPart w:val="7E74D52AD769472FB306DC4F23EF8A45"/>
                </w:placeholder>
                <w:showingPlcHdr/>
                <w15:color w:val="FFCC99"/>
                <w:date w:fullDate="2022-05-18T00:00:00Z">
                  <w:dateFormat w:val="yyyy 'm.' MMMM d 'd.'"/>
                  <w:lid w:val="lt-LT"/>
                  <w:storeMappedDataAs w:val="dateTime"/>
                  <w:calendar w:val="gregorian"/>
                </w:date>
              </w:sdtPr>
              <w:sdtEndPr/>
              <w:sdtContent>
                <w:r w:rsidRPr="009300B3">
                  <w:rPr>
                    <w:rStyle w:val="Vietosrezervavimoenklotekstas"/>
                  </w:rPr>
                  <w:t>Click here to enter a date.</w:t>
                </w:r>
              </w:sdtContent>
            </w:sdt>
            <w:r w:rsidRPr="009300B3">
              <w:t xml:space="preserve"> </w:t>
            </w:r>
          </w:p>
        </w:tc>
      </w:tr>
      <w:tr w:rsidR="00B07CB0" w:rsidRPr="009300B3" w14:paraId="41EB686E" w14:textId="77777777" w:rsidTr="00FB2B65">
        <w:trPr>
          <w:trHeight w:val="1278"/>
        </w:trPr>
        <w:tc>
          <w:tcPr>
            <w:tcW w:w="632" w:type="dxa"/>
          </w:tcPr>
          <w:p w14:paraId="713623BF" w14:textId="77777777" w:rsidR="00B07CB0" w:rsidRPr="009300B3" w:rsidRDefault="00B07CB0" w:rsidP="00FB2B65">
            <w:pPr>
              <w:jc w:val="both"/>
              <w:rPr>
                <w:rFonts w:eastAsia="Arial"/>
                <w:b/>
                <w:bCs/>
              </w:rPr>
            </w:pPr>
            <w:r w:rsidRPr="009300B3">
              <w:rPr>
                <w:rFonts w:eastAsia="Arial"/>
                <w:b/>
                <w:bCs/>
              </w:rPr>
              <w:lastRenderedPageBreak/>
              <w:t>1.6</w:t>
            </w:r>
          </w:p>
        </w:tc>
        <w:tc>
          <w:tcPr>
            <w:tcW w:w="3899" w:type="dxa"/>
          </w:tcPr>
          <w:p w14:paraId="45064761" w14:textId="77777777" w:rsidR="00B07CB0" w:rsidRPr="009300B3" w:rsidRDefault="00B07CB0" w:rsidP="00FB2B65">
            <w:pPr>
              <w:jc w:val="both"/>
              <w:rPr>
                <w:b/>
                <w:bCs/>
                <w:lang w:eastAsia="lt-LT"/>
              </w:rPr>
            </w:pPr>
            <w:r w:rsidRPr="009300B3">
              <w:rPr>
                <w:b/>
                <w:bCs/>
                <w:lang w:eastAsia="lt-LT"/>
              </w:rPr>
              <w:t xml:space="preserve">Teikiama kompensuoti terapinė indikacija </w:t>
            </w:r>
          </w:p>
          <w:p w14:paraId="1CED2AC8" w14:textId="77777777" w:rsidR="00B07CB0" w:rsidRPr="009300B3" w:rsidRDefault="00B07CB0" w:rsidP="00FB2B65">
            <w:pPr>
              <w:jc w:val="both"/>
              <w:rPr>
                <w:b/>
                <w:bCs/>
                <w:lang w:eastAsia="lt-LT"/>
              </w:rPr>
            </w:pPr>
          </w:p>
          <w:p w14:paraId="518F0CA1" w14:textId="77777777" w:rsidR="00B07CB0" w:rsidRDefault="00B07CB0" w:rsidP="00FB2B65">
            <w:pPr>
              <w:jc w:val="both"/>
              <w:rPr>
                <w:b/>
                <w:bCs/>
                <w:lang w:eastAsia="lt-LT"/>
              </w:rPr>
            </w:pPr>
          </w:p>
          <w:p w14:paraId="77E44B62" w14:textId="77777777" w:rsidR="00B07CB0" w:rsidRDefault="00B07CB0" w:rsidP="00FB2B65">
            <w:pPr>
              <w:jc w:val="both"/>
              <w:rPr>
                <w:b/>
                <w:bCs/>
                <w:lang w:eastAsia="lt-LT"/>
              </w:rPr>
            </w:pPr>
          </w:p>
          <w:p w14:paraId="0C2CF913" w14:textId="77777777" w:rsidR="00B07CB0" w:rsidRPr="009300B3" w:rsidRDefault="00B07CB0" w:rsidP="00FB2B65">
            <w:pPr>
              <w:jc w:val="both"/>
              <w:rPr>
                <w:b/>
                <w:bCs/>
                <w:lang w:eastAsia="lt-LT"/>
              </w:rPr>
            </w:pPr>
            <w:r w:rsidRPr="009300B3">
              <w:rPr>
                <w:b/>
                <w:bCs/>
                <w:lang w:eastAsia="lt-LT"/>
              </w:rPr>
              <w:t>Kodas pagal TLK-10 AM</w:t>
            </w:r>
          </w:p>
        </w:tc>
        <w:tc>
          <w:tcPr>
            <w:tcW w:w="4962" w:type="dxa"/>
          </w:tcPr>
          <w:p w14:paraId="345BF4CB" w14:textId="77777777" w:rsidR="00B07CB0" w:rsidRPr="009300B3" w:rsidRDefault="00B07CB0" w:rsidP="00FB2B65">
            <w:pPr>
              <w:jc w:val="both"/>
            </w:pPr>
            <w:r w:rsidRPr="00794C96">
              <w:t>Jaypirca monoterapija skirta gydyti suaugusiems pacientams, sergantiems atsinaujinančia arba atsparia mantijos ląstelių limfoma (MLL), kurie pirmiau buvo gydyti Brutono tirozino kinazės (BTK) inhibitoriumi.</w:t>
            </w:r>
            <w:r w:rsidRPr="007F5571">
              <w:rPr>
                <w:vertAlign w:val="superscript"/>
                <w:lang w:eastAsia="lt-LT"/>
              </w:rPr>
              <w:t>1</w:t>
            </w:r>
          </w:p>
          <w:p w14:paraId="46CACDA3" w14:textId="77777777" w:rsidR="00B07CB0" w:rsidRPr="009300B3" w:rsidRDefault="00B07CB0" w:rsidP="00FB2B65">
            <w:pPr>
              <w:ind w:left="720" w:hanging="720"/>
              <w:jc w:val="both"/>
            </w:pPr>
            <w:r>
              <w:t>C83.1</w:t>
            </w:r>
          </w:p>
          <w:p w14:paraId="6D3FC166" w14:textId="77777777" w:rsidR="00B07CB0" w:rsidRPr="009300B3" w:rsidRDefault="00B07CB0" w:rsidP="00FB2B65">
            <w:pPr>
              <w:jc w:val="both"/>
            </w:pPr>
          </w:p>
        </w:tc>
      </w:tr>
      <w:tr w:rsidR="00B07CB0" w:rsidRPr="009300B3" w14:paraId="1663600C" w14:textId="77777777" w:rsidTr="00FB2B65">
        <w:trPr>
          <w:trHeight w:val="378"/>
        </w:trPr>
        <w:tc>
          <w:tcPr>
            <w:tcW w:w="632" w:type="dxa"/>
          </w:tcPr>
          <w:p w14:paraId="7F121FE5" w14:textId="77777777" w:rsidR="00B07CB0" w:rsidRPr="009300B3" w:rsidRDefault="00B07CB0" w:rsidP="00FB2B65">
            <w:pPr>
              <w:jc w:val="both"/>
              <w:rPr>
                <w:rFonts w:eastAsia="Arial"/>
                <w:b/>
                <w:bCs/>
              </w:rPr>
            </w:pPr>
            <w:r w:rsidRPr="009300B3">
              <w:rPr>
                <w:rFonts w:eastAsia="Arial"/>
                <w:b/>
                <w:bCs/>
              </w:rPr>
              <w:t>1.7</w:t>
            </w:r>
          </w:p>
        </w:tc>
        <w:tc>
          <w:tcPr>
            <w:tcW w:w="3899" w:type="dxa"/>
          </w:tcPr>
          <w:p w14:paraId="755E8F85" w14:textId="77777777" w:rsidR="00B07CB0" w:rsidRPr="00840065" w:rsidRDefault="00B07CB0" w:rsidP="00FB2B65">
            <w:pPr>
              <w:jc w:val="both"/>
              <w:rPr>
                <w:b/>
                <w:bCs/>
                <w:u w:val="single"/>
                <w:lang w:eastAsia="lt-LT"/>
              </w:rPr>
            </w:pPr>
            <w:r w:rsidRPr="00840065">
              <w:rPr>
                <w:b/>
                <w:bCs/>
                <w:lang w:eastAsia="lt-LT"/>
              </w:rPr>
              <w:t xml:space="preserve">Teikiamos skyrimo sąlygos </w:t>
            </w:r>
          </w:p>
        </w:tc>
        <w:tc>
          <w:tcPr>
            <w:tcW w:w="4962" w:type="dxa"/>
          </w:tcPr>
          <w:p w14:paraId="47B4E0EB" w14:textId="77777777" w:rsidR="00B07CB0" w:rsidRPr="00840065" w:rsidRDefault="00B07CB0" w:rsidP="00FB2B65">
            <w:pPr>
              <w:jc w:val="both"/>
            </w:pPr>
            <w:r w:rsidRPr="00840065">
              <w:t>Kompensuoti pagal registruotas indikacijas: suaugusiems pacientams, sergantiems atsinaujinančia arba atsparia mantijos ląstelių limfoma, kurie pirmiau buvo gydyti Brutono tirozino kinazės (BTK) inhibitoriumi.</w:t>
            </w:r>
          </w:p>
          <w:p w14:paraId="01257E1A" w14:textId="77777777" w:rsidR="00B07CB0" w:rsidRPr="00840065" w:rsidRDefault="00B07CB0" w:rsidP="00FB2B65">
            <w:pPr>
              <w:jc w:val="both"/>
            </w:pPr>
          </w:p>
        </w:tc>
      </w:tr>
      <w:tr w:rsidR="00B07CB0" w:rsidRPr="009300B3" w14:paraId="6EEE766F" w14:textId="77777777" w:rsidTr="00FB2B65">
        <w:trPr>
          <w:trHeight w:val="378"/>
        </w:trPr>
        <w:tc>
          <w:tcPr>
            <w:tcW w:w="632" w:type="dxa"/>
          </w:tcPr>
          <w:p w14:paraId="7D687377" w14:textId="77777777" w:rsidR="00B07CB0" w:rsidRPr="009300B3" w:rsidRDefault="00B07CB0" w:rsidP="00FB2B65">
            <w:pPr>
              <w:jc w:val="both"/>
              <w:rPr>
                <w:rFonts w:eastAsia="Arial"/>
                <w:b/>
                <w:bCs/>
              </w:rPr>
            </w:pPr>
            <w:r w:rsidRPr="009300B3">
              <w:rPr>
                <w:rFonts w:eastAsia="Arial"/>
                <w:b/>
                <w:bCs/>
              </w:rPr>
              <w:t>1.8</w:t>
            </w:r>
          </w:p>
        </w:tc>
        <w:tc>
          <w:tcPr>
            <w:tcW w:w="3899" w:type="dxa"/>
          </w:tcPr>
          <w:p w14:paraId="2B229009" w14:textId="77777777" w:rsidR="00B07CB0" w:rsidRPr="009300B3" w:rsidRDefault="00B07CB0" w:rsidP="00FB2B65">
            <w:pPr>
              <w:jc w:val="both"/>
              <w:rPr>
                <w:b/>
                <w:bCs/>
                <w:lang w:eastAsia="lt-LT"/>
              </w:rPr>
            </w:pPr>
            <w:r w:rsidRPr="009300B3">
              <w:rPr>
                <w:b/>
                <w:bCs/>
                <w:lang w:eastAsia="lt-LT"/>
              </w:rPr>
              <w:t>Ekonominė analizė</w:t>
            </w:r>
          </w:p>
        </w:tc>
        <w:tc>
          <w:tcPr>
            <w:tcW w:w="4962" w:type="dxa"/>
          </w:tcPr>
          <w:p w14:paraId="67FC656F" w14:textId="77777777" w:rsidR="00B07CB0" w:rsidRPr="009300B3" w:rsidRDefault="003B5D70" w:rsidP="00FB2B65">
            <w:pPr>
              <w:jc w:val="both"/>
            </w:pPr>
            <w:sdt>
              <w:sdtPr>
                <w:rPr>
                  <w:rStyle w:val="Style2"/>
                </w:rPr>
                <w:id w:val="356323367"/>
                <w15:color w:val="FFCC00"/>
                <w14:checkbox>
                  <w14:checked w14:val="0"/>
                  <w14:checkedState w14:val="2612" w14:font="MS Gothic"/>
                  <w14:uncheckedState w14:val="2610" w14:font="MS Gothic"/>
                </w14:checkbox>
              </w:sdtPr>
              <w:sdtEndPr>
                <w:rPr>
                  <w:rStyle w:val="Style2"/>
                </w:rPr>
              </w:sdtEndPr>
              <w:sdtContent>
                <w:r w:rsidR="00B07CB0" w:rsidRPr="009300B3">
                  <w:rPr>
                    <w:rStyle w:val="Style2"/>
                    <w:rFonts w:ascii="Segoe UI Symbol" w:eastAsia="MS Gothic" w:hAnsi="Segoe UI Symbol" w:cs="Segoe UI Symbol"/>
                  </w:rPr>
                  <w:t>☐</w:t>
                </w:r>
              </w:sdtContent>
            </w:sdt>
            <w:r w:rsidR="00B07CB0" w:rsidRPr="009300B3">
              <w:t xml:space="preserve"> Kaštų naudingumo analizė</w:t>
            </w:r>
          </w:p>
          <w:p w14:paraId="58CC4E0E" w14:textId="77777777" w:rsidR="00B07CB0" w:rsidRDefault="003B5D70" w:rsidP="00FB2B65">
            <w:pPr>
              <w:jc w:val="both"/>
            </w:pPr>
            <w:sdt>
              <w:sdtPr>
                <w:rPr>
                  <w:rStyle w:val="Style2"/>
                </w:rPr>
                <w:id w:val="-250506580"/>
                <w15:color w:val="FFCC00"/>
                <w14:checkbox>
                  <w14:checked w14:val="1"/>
                  <w14:checkedState w14:val="2612" w14:font="MS Gothic"/>
                  <w14:uncheckedState w14:val="2610" w14:font="MS Gothic"/>
                </w14:checkbox>
              </w:sdtPr>
              <w:sdtEndPr>
                <w:rPr>
                  <w:rStyle w:val="Style2"/>
                </w:rPr>
              </w:sdtEndPr>
              <w:sdtContent>
                <w:r w:rsidR="00B07CB0">
                  <w:rPr>
                    <w:rStyle w:val="Style2"/>
                    <w:rFonts w:ascii="MS Gothic" w:eastAsia="MS Gothic" w:hAnsi="MS Gothic" w:hint="eastAsia"/>
                  </w:rPr>
                  <w:t>☒</w:t>
                </w:r>
              </w:sdtContent>
            </w:sdt>
            <w:r w:rsidR="00B07CB0" w:rsidRPr="009300B3">
              <w:t xml:space="preserve"> Kaštų mažinimo analizė</w:t>
            </w:r>
          </w:p>
          <w:p w14:paraId="30DB5D28" w14:textId="77777777" w:rsidR="00B07CB0" w:rsidRPr="009300B3" w:rsidRDefault="003B5D70" w:rsidP="00FB2B65">
            <w:pPr>
              <w:jc w:val="both"/>
            </w:pPr>
            <w:sdt>
              <w:sdtPr>
                <w:rPr>
                  <w:rStyle w:val="Style2"/>
                </w:rPr>
                <w:id w:val="-1517455044"/>
                <w15:color w:val="FFCC00"/>
                <w14:checkbox>
                  <w14:checked w14:val="0"/>
                  <w14:checkedState w14:val="2612" w14:font="MS Gothic"/>
                  <w14:uncheckedState w14:val="2610" w14:font="MS Gothic"/>
                </w14:checkbox>
              </w:sdtPr>
              <w:sdtEndPr>
                <w:rPr>
                  <w:rStyle w:val="Style2"/>
                </w:rPr>
              </w:sdtEndPr>
              <w:sdtContent>
                <w:r w:rsidR="00B07CB0" w:rsidRPr="009300B3">
                  <w:rPr>
                    <w:rStyle w:val="Style2"/>
                    <w:rFonts w:ascii="Segoe UI Symbol" w:eastAsia="MS Gothic" w:hAnsi="Segoe UI Symbol" w:cs="Segoe UI Symbol"/>
                  </w:rPr>
                  <w:t>☐</w:t>
                </w:r>
              </w:sdtContent>
            </w:sdt>
            <w:r w:rsidR="00B07CB0">
              <w:t xml:space="preserve"> Neteikiama</w:t>
            </w:r>
          </w:p>
          <w:p w14:paraId="6A919AD9" w14:textId="77777777" w:rsidR="00B07CB0" w:rsidRPr="009300B3" w:rsidRDefault="00B07CB0" w:rsidP="00FB2B65">
            <w:pPr>
              <w:jc w:val="both"/>
            </w:pPr>
          </w:p>
        </w:tc>
      </w:tr>
      <w:bookmarkEnd w:id="1"/>
    </w:tbl>
    <w:p w14:paraId="4D4266FA" w14:textId="77777777" w:rsidR="00B07CB0" w:rsidRDefault="00B07CB0" w:rsidP="00B07CB0">
      <w:pPr>
        <w:tabs>
          <w:tab w:val="left" w:pos="426"/>
        </w:tabs>
        <w:jc w:val="both"/>
        <w:rPr>
          <w:rFonts w:eastAsia="Arial"/>
          <w:b/>
          <w:bCs/>
        </w:rPr>
      </w:pPr>
    </w:p>
    <w:p w14:paraId="077558F8" w14:textId="77777777" w:rsidR="00B07CB0" w:rsidRDefault="00B07CB0" w:rsidP="00B07CB0">
      <w:pPr>
        <w:rPr>
          <w:rFonts w:eastAsia="Arial"/>
          <w:b/>
          <w:bCs/>
        </w:rPr>
      </w:pPr>
      <w:r>
        <w:rPr>
          <w:rFonts w:eastAsia="Arial"/>
          <w:b/>
          <w:bCs/>
        </w:rPr>
        <w:br w:type="page"/>
      </w:r>
    </w:p>
    <w:p w14:paraId="5055E8A8" w14:textId="19EE2F55" w:rsidR="002E6F80" w:rsidRPr="000203E1" w:rsidRDefault="00CC7832" w:rsidP="00CC09D4">
      <w:pPr>
        <w:pStyle w:val="Sraopastraipa"/>
        <w:numPr>
          <w:ilvl w:val="0"/>
          <w:numId w:val="12"/>
        </w:numPr>
        <w:tabs>
          <w:tab w:val="left" w:pos="567"/>
        </w:tabs>
        <w:ind w:hanging="720"/>
        <w:rPr>
          <w:b/>
          <w:bCs/>
          <w:caps/>
        </w:rPr>
      </w:pPr>
      <w:r w:rsidRPr="000203E1">
        <w:rPr>
          <w:b/>
          <w:bCs/>
          <w:caps/>
        </w:rPr>
        <w:lastRenderedPageBreak/>
        <w:t>Klinikinio vertinimo a</w:t>
      </w:r>
      <w:r w:rsidR="00D4485B" w:rsidRPr="000203E1">
        <w:rPr>
          <w:b/>
          <w:bCs/>
          <w:caps/>
        </w:rPr>
        <w:t>pibendrinimas</w:t>
      </w:r>
    </w:p>
    <w:p w14:paraId="25F89291" w14:textId="5C45C8FC" w:rsidR="00D4485B" w:rsidRDefault="00D4485B" w:rsidP="00A93AA6">
      <w:pPr>
        <w:pStyle w:val="Sraopastraipa"/>
        <w:tabs>
          <w:tab w:val="left" w:pos="426"/>
        </w:tabs>
        <w:ind w:left="0"/>
        <w:rPr>
          <w:b/>
          <w:bCs/>
          <w:caps/>
        </w:rPr>
      </w:pPr>
    </w:p>
    <w:p w14:paraId="312ED8D2" w14:textId="77777777" w:rsidR="005F1857" w:rsidRDefault="005F1857" w:rsidP="005F1857">
      <w:pPr>
        <w:spacing w:line="276" w:lineRule="auto"/>
        <w:ind w:firstLine="720"/>
        <w:jc w:val="both"/>
        <w:rPr>
          <w:lang w:eastAsia="lt-LT"/>
        </w:rPr>
      </w:pPr>
      <w:bookmarkStart w:id="2" w:name="_Hlk214558855"/>
      <w:r w:rsidRPr="005B6BE9">
        <w:rPr>
          <w:lang w:eastAsia="lt-LT"/>
        </w:rPr>
        <w:t xml:space="preserve">Mantijos ląstelių limfoma </w:t>
      </w:r>
      <w:r>
        <w:rPr>
          <w:lang w:eastAsia="lt-LT"/>
        </w:rPr>
        <w:t xml:space="preserve">(TLK-10-AM) </w:t>
      </w:r>
      <w:r w:rsidRPr="005B6BE9">
        <w:rPr>
          <w:lang w:eastAsia="lt-LT"/>
        </w:rPr>
        <w:t>C83.1.– B ląstelių piktybinė liga, priskiriama ne Hodžkino limfomoms. Tai reta ir sunkiai gydoma limfomos forma, dažnai diagnozuojama jau pažengusioje stadijoje ir turinti blogą prognozę. Mantijos pavadinimas kilęs iš limfomos ląstelių morfologinio panašumo į mantijos zonos ląsteles sveikame limfiniame mazge apie folikulus. Mantijos ląstelių limfoma priskiriama indolentinėms ne Hodžkino limfomoms, tačiau jos eiga dažniausiai būna agresyvi, tik 10–15% ligonių būdingas lėtas ligos progresavimas.</w:t>
      </w:r>
      <w:r>
        <w:rPr>
          <w:lang w:eastAsia="lt-LT"/>
        </w:rPr>
        <w:t xml:space="preserve"> </w:t>
      </w:r>
      <w:r w:rsidRPr="005B6BE9">
        <w:rPr>
          <w:lang w:eastAsia="lt-LT"/>
        </w:rPr>
        <w:t>Mantijos ląstelių limfoma paprastai suserga 60–70 metų amžiaus žmonės. Vyrams tikimybė susirgti šia liga yra tris kartus didesnė nei moterims.</w:t>
      </w:r>
      <w:r w:rsidRPr="005B6BE9">
        <w:rPr>
          <w:vertAlign w:val="superscript"/>
          <w:lang w:eastAsia="lt-LT"/>
        </w:rPr>
        <w:t xml:space="preserve"> </w:t>
      </w:r>
      <w:r w:rsidRPr="005B6BE9">
        <w:rPr>
          <w:lang w:eastAsia="lt-LT"/>
        </w:rPr>
        <w:t xml:space="preserve">Ligotumas mantijos ląstelių limfoma Lietuvoje sudaro apie 40 pacientų, per metus nustatoma 16 naujų ligos atvejų.  Lietuvoje, pagal VLK ibrutinibo vertinimą, ibrutinibu per metus būtų gydoma apie 20 pacientų, 78% iš jų nutrauktų gydymą ir 47% iš jų galėtų gauti gydymą pirtobrutinibu. Pagal šiuos skaičiavimus pirtobrutinibas kasmet galėtų būtų skiriamas 7 pacientams.  </w:t>
      </w:r>
    </w:p>
    <w:p w14:paraId="6D40C1F6" w14:textId="77777777" w:rsidR="005F1857" w:rsidRDefault="005F1857" w:rsidP="005F1857">
      <w:pPr>
        <w:spacing w:line="276" w:lineRule="auto"/>
        <w:ind w:firstLine="720"/>
        <w:jc w:val="both"/>
        <w:rPr>
          <w:lang w:eastAsia="lt-LT"/>
        </w:rPr>
      </w:pPr>
      <w:r>
        <w:rPr>
          <w:rFonts w:eastAsia="Arial"/>
        </w:rPr>
        <w:t xml:space="preserve">Pagal LR Sveikatos apsaugos ministro įsakymą Dėl gydymo antigeno receptorių T ląstelėmis paslaugos teikimo ir apmokėjimo privalomojo sveikatos draudimo fondo biudžeto lėšomis tvarkos aprašo patvirtinimo (2023 m. birželio 12 d., Nr. V-658), pacientai, sergantys atsparia ne Hodžkino limfomos forma, gali būti gydomi  CAR-T terapija. </w:t>
      </w:r>
      <w:r w:rsidRPr="00FF14F9">
        <w:rPr>
          <w:rFonts w:eastAsia="Arial"/>
        </w:rPr>
        <w:t xml:space="preserve">Atsižvelgiant į įprastą Lietuvos klinikinę praktiką </w:t>
      </w:r>
      <w:r>
        <w:rPr>
          <w:rFonts w:eastAsia="Arial"/>
        </w:rPr>
        <w:t>(</w:t>
      </w:r>
      <w:r w:rsidRPr="00FF14F9">
        <w:rPr>
          <w:rFonts w:eastAsia="Arial"/>
        </w:rPr>
        <w:t xml:space="preserve">bei Pareiškėjo siūlomą kompensuoti terapinę indikaciją, </w:t>
      </w:r>
      <w:r>
        <w:rPr>
          <w:rFonts w:eastAsia="Arial"/>
        </w:rPr>
        <w:t>kai nustatoma</w:t>
      </w:r>
      <w:r w:rsidRPr="005F66C8">
        <w:rPr>
          <w:rFonts w:eastAsia="Arial"/>
        </w:rPr>
        <w:t xml:space="preserve"> progresuojant</w:t>
      </w:r>
      <w:r>
        <w:rPr>
          <w:rFonts w:eastAsia="Arial"/>
        </w:rPr>
        <w:t>i</w:t>
      </w:r>
      <w:r w:rsidRPr="005F66C8">
        <w:rPr>
          <w:rFonts w:eastAsia="Arial"/>
        </w:rPr>
        <w:t xml:space="preserve"> MLL skiriant gydymą ibrutinibu (II eilės gydymas), </w:t>
      </w:r>
      <w:r>
        <w:rPr>
          <w:rFonts w:eastAsia="Arial"/>
        </w:rPr>
        <w:t>didžiajai pacientų daliai (apie 80 proc.) tinkamas palyginamasis gydymas yra CAR-T ląstelių terapija.</w:t>
      </w:r>
      <w:r>
        <w:rPr>
          <w:bCs/>
          <w:iCs/>
          <w:color w:val="00B050"/>
          <w:lang w:eastAsia="lt-LT"/>
        </w:rPr>
        <w:t xml:space="preserve"> </w:t>
      </w:r>
      <w:r>
        <w:rPr>
          <w:color w:val="000000"/>
        </w:rPr>
        <w:t xml:space="preserve">Esant ligos progresijai po antros eilės gydymo ibrutinibu </w:t>
      </w:r>
      <w:r w:rsidRPr="006600C0">
        <w:rPr>
          <w:color w:val="000000"/>
        </w:rPr>
        <w:t>Lietuvoje skiriama</w:t>
      </w:r>
      <w:r>
        <w:rPr>
          <w:color w:val="000000"/>
        </w:rPr>
        <w:t xml:space="preserve"> </w:t>
      </w:r>
      <w:r w:rsidRPr="006600C0">
        <w:rPr>
          <w:color w:val="000000"/>
        </w:rPr>
        <w:t>CAR-T ląstelių terapija. CAR-T ląstelių terapijos skyrimą ribojantys veiksniai gali būti bloga funkcinė būklė ir (arba) ypatingai agresyviai ir greitai progresuojanti liga.</w:t>
      </w:r>
      <w:r>
        <w:rPr>
          <w:color w:val="000000"/>
        </w:rPr>
        <w:t xml:space="preserve"> </w:t>
      </w:r>
      <w:r>
        <w:t>Tokiu atveju skiriamas alternatyvus gydymas -  chemoimunoterapija</w:t>
      </w:r>
      <w:r>
        <w:rPr>
          <w:lang w:eastAsia="lt-LT"/>
        </w:rPr>
        <w:t>.</w:t>
      </w:r>
    </w:p>
    <w:p w14:paraId="685DEAC2" w14:textId="77777777" w:rsidR="005F1857" w:rsidRDefault="005F1857" w:rsidP="005F1857">
      <w:pPr>
        <w:tabs>
          <w:tab w:val="left" w:pos="426"/>
        </w:tabs>
        <w:spacing w:line="276" w:lineRule="auto"/>
        <w:ind w:firstLine="426"/>
        <w:jc w:val="both"/>
        <w:rPr>
          <w:lang w:eastAsia="lt-LT"/>
        </w:rPr>
      </w:pPr>
      <w:r w:rsidRPr="00C34E8D">
        <w:rPr>
          <w:lang w:eastAsia="lt-LT"/>
        </w:rPr>
        <w:t xml:space="preserve">Pirtobrutinibas yra grįžtamasis ne kovalentine jungtimi prisijungiantis BTK inhibitorius. BTK – tai signalinis B ląstelių antigeno receptoriaus (BLAR) ir citokinų signalinių kelių receptoriaus baltymas. B ląstelėse BTK signalizacija suaktyvina B ląstelių proliferacijai, judėjimui, chemotaksei ir adhezijai būtinus kelius. Pirtobrutinibas prisijungia prie laukinio tipo BTK ir su BTK, turinčiu C481 mutacijų, todėl slopina BTK kinazės aktyvumą. </w:t>
      </w:r>
    </w:p>
    <w:p w14:paraId="46F0274E" w14:textId="77777777" w:rsidR="008D05F7" w:rsidRDefault="008D05F7" w:rsidP="005F1857">
      <w:pPr>
        <w:tabs>
          <w:tab w:val="left" w:pos="426"/>
        </w:tabs>
        <w:spacing w:line="276" w:lineRule="auto"/>
        <w:ind w:firstLine="426"/>
        <w:jc w:val="both"/>
        <w:rPr>
          <w:i/>
          <w:iCs/>
          <w:lang w:eastAsia="lt-LT"/>
        </w:rPr>
      </w:pPr>
    </w:p>
    <w:p w14:paraId="03A4BE15" w14:textId="5F4DCE4C" w:rsidR="00840065" w:rsidRPr="00DD7B2E" w:rsidRDefault="005F1857" w:rsidP="005F1857">
      <w:pPr>
        <w:tabs>
          <w:tab w:val="left" w:pos="426"/>
        </w:tabs>
        <w:spacing w:line="276" w:lineRule="auto"/>
        <w:ind w:firstLine="426"/>
        <w:jc w:val="both"/>
        <w:rPr>
          <w:i/>
          <w:iCs/>
          <w:lang w:eastAsia="lt-LT"/>
        </w:rPr>
      </w:pPr>
      <w:r w:rsidRPr="00DD7B2E">
        <w:rPr>
          <w:i/>
          <w:iCs/>
          <w:lang w:eastAsia="lt-LT"/>
        </w:rPr>
        <w:t>Tiesioginis palyginimas</w:t>
      </w:r>
    </w:p>
    <w:p w14:paraId="7603FFFF" w14:textId="78A5EDF3" w:rsidR="005F1857" w:rsidRPr="00840065" w:rsidRDefault="00840065" w:rsidP="005F1857">
      <w:pPr>
        <w:tabs>
          <w:tab w:val="left" w:pos="426"/>
        </w:tabs>
        <w:spacing w:line="276" w:lineRule="auto"/>
        <w:ind w:firstLine="426"/>
        <w:jc w:val="both"/>
        <w:rPr>
          <w:lang w:eastAsia="lt-LT"/>
        </w:rPr>
      </w:pPr>
      <w:r w:rsidRPr="00DD7B2E">
        <w:rPr>
          <w:lang w:eastAsia="lt-LT"/>
        </w:rPr>
        <w:t>N</w:t>
      </w:r>
      <w:r w:rsidR="005F1857" w:rsidRPr="00DD7B2E">
        <w:rPr>
          <w:lang w:eastAsia="lt-LT"/>
        </w:rPr>
        <w:t>e</w:t>
      </w:r>
      <w:r w:rsidR="00DD7B2E" w:rsidRPr="00DD7B2E">
        <w:rPr>
          <w:lang w:eastAsia="lt-LT"/>
        </w:rPr>
        <w:t>teikiama</w:t>
      </w:r>
      <w:r w:rsidR="005F1857" w:rsidRPr="00DD7B2E">
        <w:rPr>
          <w:lang w:eastAsia="lt-LT"/>
        </w:rPr>
        <w:t>.</w:t>
      </w:r>
    </w:p>
    <w:p w14:paraId="1280CC94" w14:textId="77777777" w:rsidR="005F1857" w:rsidRDefault="005F1857" w:rsidP="005F1857">
      <w:pPr>
        <w:tabs>
          <w:tab w:val="left" w:pos="426"/>
        </w:tabs>
        <w:spacing w:line="276" w:lineRule="auto"/>
        <w:ind w:firstLine="426"/>
        <w:jc w:val="both"/>
        <w:rPr>
          <w:i/>
          <w:iCs/>
          <w:lang w:eastAsia="lt-LT"/>
        </w:rPr>
      </w:pPr>
    </w:p>
    <w:p w14:paraId="723515D1" w14:textId="77777777" w:rsidR="005F1857" w:rsidRDefault="005F1857" w:rsidP="005F1857">
      <w:pPr>
        <w:tabs>
          <w:tab w:val="left" w:pos="426"/>
        </w:tabs>
        <w:spacing w:line="276" w:lineRule="auto"/>
        <w:ind w:firstLine="426"/>
        <w:jc w:val="both"/>
        <w:rPr>
          <w:i/>
          <w:iCs/>
          <w:lang w:eastAsia="lt-LT"/>
        </w:rPr>
      </w:pPr>
      <w:r w:rsidRPr="00FE3835">
        <w:rPr>
          <w:i/>
          <w:iCs/>
          <w:lang w:eastAsia="lt-LT"/>
        </w:rPr>
        <w:t>Netiesioginis palyginimas</w:t>
      </w:r>
    </w:p>
    <w:p w14:paraId="7992DAC6" w14:textId="2D16165D" w:rsidR="005F1857" w:rsidRDefault="005F1857" w:rsidP="006C5911">
      <w:pPr>
        <w:tabs>
          <w:tab w:val="left" w:pos="720"/>
        </w:tabs>
        <w:spacing w:line="276" w:lineRule="auto"/>
        <w:jc w:val="both"/>
        <w:rPr>
          <w:color w:val="000000"/>
          <w:lang w:eastAsia="lt-LT"/>
        </w:rPr>
      </w:pPr>
      <w:r>
        <w:rPr>
          <w:rFonts w:eastAsia="Arial"/>
          <w:bCs/>
        </w:rPr>
        <w:tab/>
      </w:r>
      <w:r w:rsidRPr="00EB0534">
        <w:rPr>
          <w:rFonts w:eastAsia="Arial"/>
          <w:bCs/>
        </w:rPr>
        <w:t>Par</w:t>
      </w:r>
      <w:r w:rsidR="00296187">
        <w:rPr>
          <w:rFonts w:eastAsia="Arial"/>
          <w:bCs/>
        </w:rPr>
        <w:t>aiškoje</w:t>
      </w:r>
      <w:r w:rsidRPr="00EB0534">
        <w:rPr>
          <w:rFonts w:eastAsia="Arial"/>
          <w:bCs/>
        </w:rPr>
        <w:t xml:space="preserve"> pateik</w:t>
      </w:r>
      <w:r w:rsidR="00296187">
        <w:rPr>
          <w:rFonts w:eastAsia="Arial"/>
          <w:bCs/>
        </w:rPr>
        <w:t>tas</w:t>
      </w:r>
      <w:r w:rsidRPr="00EB0534">
        <w:rPr>
          <w:rFonts w:eastAsia="Arial"/>
          <w:bCs/>
        </w:rPr>
        <w:t xml:space="preserve"> pagrindini</w:t>
      </w:r>
      <w:r w:rsidR="00296187">
        <w:rPr>
          <w:rFonts w:eastAsia="Arial"/>
          <w:bCs/>
        </w:rPr>
        <w:t>ų</w:t>
      </w:r>
      <w:r w:rsidRPr="00EB0534">
        <w:rPr>
          <w:rFonts w:eastAsia="Arial"/>
          <w:bCs/>
        </w:rPr>
        <w:t xml:space="preserve"> </w:t>
      </w:r>
      <w:bookmarkStart w:id="3" w:name="_Hlk216886284"/>
      <w:r w:rsidRPr="00EB0534">
        <w:rPr>
          <w:rFonts w:eastAsia="Arial"/>
          <w:bCs/>
        </w:rPr>
        <w:t>BRUIN 18001 (pirtobrutinibas)</w:t>
      </w:r>
      <w:bookmarkEnd w:id="3"/>
      <w:r w:rsidRPr="00EB0534">
        <w:rPr>
          <w:rFonts w:eastAsia="Arial"/>
          <w:bCs/>
        </w:rPr>
        <w:t xml:space="preserve"> tyrimo rezultat</w:t>
      </w:r>
      <w:r w:rsidR="00296187">
        <w:rPr>
          <w:rFonts w:eastAsia="Arial"/>
          <w:bCs/>
        </w:rPr>
        <w:t xml:space="preserve">ų ir </w:t>
      </w:r>
      <w:r w:rsidRPr="00EB0534">
        <w:rPr>
          <w:rFonts w:eastAsia="Arial"/>
          <w:bCs/>
        </w:rPr>
        <w:t xml:space="preserve"> </w:t>
      </w:r>
      <w:bookmarkStart w:id="4" w:name="_Hlk216886336"/>
      <w:r w:rsidRPr="00EB0534">
        <w:rPr>
          <w:color w:val="000000"/>
          <w:lang w:eastAsia="lt-LT"/>
        </w:rPr>
        <w:t>ZUMA-2</w:t>
      </w:r>
      <w:r w:rsidRPr="00EB0534">
        <w:rPr>
          <w:color w:val="000000"/>
          <w:vertAlign w:val="superscript"/>
          <w:lang w:eastAsia="lt-LT"/>
        </w:rPr>
        <w:t xml:space="preserve"> </w:t>
      </w:r>
      <w:r w:rsidRPr="00EB0534">
        <w:rPr>
          <w:color w:val="000000"/>
          <w:lang w:eastAsia="lt-LT"/>
        </w:rPr>
        <w:t>tyrimo</w:t>
      </w:r>
      <w:r w:rsidR="001A67C4">
        <w:rPr>
          <w:color w:val="000000"/>
          <w:lang w:eastAsia="lt-LT"/>
        </w:rPr>
        <w:t xml:space="preserve"> (CAR-T)</w:t>
      </w:r>
      <w:r w:rsidRPr="00EB0534">
        <w:rPr>
          <w:color w:val="000000"/>
          <w:lang w:eastAsia="lt-LT"/>
        </w:rPr>
        <w:t xml:space="preserve"> </w:t>
      </w:r>
      <w:bookmarkEnd w:id="4"/>
      <w:r w:rsidRPr="00EB0534">
        <w:rPr>
          <w:color w:val="000000"/>
          <w:lang w:eastAsia="lt-LT"/>
        </w:rPr>
        <w:t>rezultat</w:t>
      </w:r>
      <w:r w:rsidR="00296187">
        <w:rPr>
          <w:color w:val="000000"/>
          <w:lang w:eastAsia="lt-LT"/>
        </w:rPr>
        <w:t xml:space="preserve">ų supaprastintas </w:t>
      </w:r>
      <w:r>
        <w:rPr>
          <w:color w:val="000000"/>
          <w:lang w:eastAsia="lt-LT"/>
        </w:rPr>
        <w:t>palyginim</w:t>
      </w:r>
      <w:r w:rsidR="00296187">
        <w:rPr>
          <w:color w:val="000000"/>
          <w:lang w:eastAsia="lt-LT"/>
        </w:rPr>
        <w:t>as (</w:t>
      </w:r>
      <w:r w:rsidR="009E21EA">
        <w:rPr>
          <w:rFonts w:eastAsia="Arial"/>
          <w:i/>
          <w:iCs/>
        </w:rPr>
        <w:t xml:space="preserve">angl. </w:t>
      </w:r>
      <w:r w:rsidR="00296187" w:rsidRPr="00384DC9">
        <w:rPr>
          <w:rFonts w:eastAsia="Arial"/>
          <w:i/>
          <w:iCs/>
        </w:rPr>
        <w:t>Naïve comparison</w:t>
      </w:r>
      <w:r w:rsidR="00296187">
        <w:rPr>
          <w:rFonts w:eastAsia="Arial"/>
          <w:i/>
          <w:iCs/>
        </w:rPr>
        <w:t>)</w:t>
      </w:r>
      <w:r>
        <w:rPr>
          <w:color w:val="000000"/>
          <w:lang w:eastAsia="lt-LT"/>
        </w:rPr>
        <w:t>.</w:t>
      </w:r>
    </w:p>
    <w:p w14:paraId="11DFD4D8" w14:textId="61F9A47B" w:rsidR="005F1857" w:rsidRPr="0090793B" w:rsidRDefault="005F1857" w:rsidP="006C5911">
      <w:pPr>
        <w:spacing w:line="276" w:lineRule="auto"/>
        <w:jc w:val="both"/>
        <w:rPr>
          <w:lang w:eastAsia="lt-LT"/>
        </w:rPr>
      </w:pPr>
      <w:r>
        <w:rPr>
          <w:lang w:eastAsia="lt-LT"/>
        </w:rPr>
        <w:t>Įvertinus pacientų charakteristik</w:t>
      </w:r>
      <w:r w:rsidR="00296187">
        <w:rPr>
          <w:lang w:eastAsia="lt-LT"/>
        </w:rPr>
        <w:t>a</w:t>
      </w:r>
      <w:r>
        <w:rPr>
          <w:lang w:eastAsia="lt-LT"/>
        </w:rPr>
        <w:t xml:space="preserve">s, nustatyta, kad </w:t>
      </w:r>
      <w:r w:rsidRPr="0090793B">
        <w:rPr>
          <w:lang w:eastAsia="lt-LT"/>
        </w:rPr>
        <w:t>kiekvieno tyrimo populiacija atitinka Lietuvos pacientų sergančių atsparia mantijos ląstelių limfoma forma</w:t>
      </w:r>
      <w:r w:rsidR="00296187">
        <w:rPr>
          <w:lang w:eastAsia="lt-LT"/>
        </w:rPr>
        <w:t xml:space="preserve"> populiaciją</w:t>
      </w:r>
      <w:r w:rsidRPr="0090793B">
        <w:rPr>
          <w:lang w:eastAsia="lt-LT"/>
        </w:rPr>
        <w:t>, tačiau abiejų tyrimų populiacijos pasižymi dideliu heterogeniškumu viena kit</w:t>
      </w:r>
      <w:r w:rsidR="00296187">
        <w:rPr>
          <w:lang w:eastAsia="lt-LT"/>
        </w:rPr>
        <w:t>os</w:t>
      </w:r>
      <w:r w:rsidRPr="0090793B">
        <w:rPr>
          <w:lang w:eastAsia="lt-LT"/>
        </w:rPr>
        <w:t xml:space="preserve"> atžv</w:t>
      </w:r>
      <w:r w:rsidR="00296187">
        <w:rPr>
          <w:lang w:eastAsia="lt-LT"/>
        </w:rPr>
        <w:t>i</w:t>
      </w:r>
      <w:r w:rsidRPr="0090793B">
        <w:rPr>
          <w:lang w:eastAsia="lt-LT"/>
        </w:rPr>
        <w:t xml:space="preserve">lgiu dėl prieš tai taikytų terapijų skaičiaus, nustatytos ligos stadijos </w:t>
      </w:r>
      <w:r w:rsidR="00296187">
        <w:rPr>
          <w:lang w:eastAsia="lt-LT"/>
        </w:rPr>
        <w:t>(</w:t>
      </w:r>
      <w:r w:rsidRPr="0090793B">
        <w:rPr>
          <w:lang w:eastAsia="lt-LT"/>
        </w:rPr>
        <w:t>III ar IV</w:t>
      </w:r>
      <w:r w:rsidR="00296187">
        <w:rPr>
          <w:lang w:eastAsia="lt-LT"/>
        </w:rPr>
        <w:t>)</w:t>
      </w:r>
      <w:r w:rsidRPr="0090793B">
        <w:rPr>
          <w:lang w:eastAsia="lt-LT"/>
        </w:rPr>
        <w:t>, taikytos kamieninių ląstelių transplantacijos, ligos paplėtimo ir MIPI balų</w:t>
      </w:r>
      <w:r w:rsidR="006C5911">
        <w:rPr>
          <w:lang w:eastAsia="lt-LT"/>
        </w:rPr>
        <w:t xml:space="preserve">. </w:t>
      </w:r>
      <w:r w:rsidR="00296187">
        <w:rPr>
          <w:lang w:eastAsia="lt-LT"/>
        </w:rPr>
        <w:t>P</w:t>
      </w:r>
      <w:r w:rsidRPr="0090793B">
        <w:rPr>
          <w:lang w:eastAsia="lt-LT"/>
        </w:rPr>
        <w:t xml:space="preserve">alyginamųjų populiacijų heterogeniškumas </w:t>
      </w:r>
      <w:r w:rsidR="00296187">
        <w:rPr>
          <w:lang w:eastAsia="lt-LT"/>
        </w:rPr>
        <w:t xml:space="preserve"> lemia </w:t>
      </w:r>
      <w:r>
        <w:rPr>
          <w:lang w:eastAsia="lt-LT"/>
        </w:rPr>
        <w:t xml:space="preserve"> </w:t>
      </w:r>
      <w:r w:rsidRPr="0090793B">
        <w:rPr>
          <w:lang w:eastAsia="lt-LT"/>
        </w:rPr>
        <w:t>didel</w:t>
      </w:r>
      <w:r w:rsidR="00296187">
        <w:rPr>
          <w:lang w:eastAsia="lt-LT"/>
        </w:rPr>
        <w:t>į neapibrėžtumą.</w:t>
      </w:r>
    </w:p>
    <w:p w14:paraId="52F52022" w14:textId="70398232" w:rsidR="005F1857" w:rsidRPr="00B100A9" w:rsidRDefault="005F1857" w:rsidP="006C5911">
      <w:pPr>
        <w:tabs>
          <w:tab w:val="left" w:pos="720"/>
        </w:tabs>
        <w:spacing w:line="276" w:lineRule="auto"/>
        <w:jc w:val="both"/>
        <w:rPr>
          <w:color w:val="000000"/>
          <w:lang w:eastAsia="lt-LT"/>
        </w:rPr>
      </w:pPr>
      <w:r>
        <w:rPr>
          <w:color w:val="000000"/>
          <w:lang w:eastAsia="lt-LT"/>
        </w:rPr>
        <w:tab/>
      </w:r>
      <w:r w:rsidRPr="00B100A9">
        <w:rPr>
          <w:color w:val="000000"/>
          <w:lang w:eastAsia="lt-LT"/>
        </w:rPr>
        <w:t>Įvertinus pate</w:t>
      </w:r>
      <w:r w:rsidR="00296187">
        <w:rPr>
          <w:color w:val="000000"/>
          <w:lang w:eastAsia="lt-LT"/>
        </w:rPr>
        <w:t>i</w:t>
      </w:r>
      <w:r w:rsidRPr="00B100A9">
        <w:rPr>
          <w:color w:val="000000"/>
          <w:lang w:eastAsia="lt-LT"/>
        </w:rPr>
        <w:t xml:space="preserve">ktus duomenis, nustatyta, kad palyginamasis gydymas – CAR-T ląstelių terapija – atitinka įprastą klinikinę praktiką Lietuvoje. </w:t>
      </w:r>
    </w:p>
    <w:p w14:paraId="20DEA500" w14:textId="17D6E354" w:rsidR="005F1857" w:rsidRPr="006C5911" w:rsidRDefault="005F1857" w:rsidP="006C5911">
      <w:pPr>
        <w:tabs>
          <w:tab w:val="left" w:pos="720"/>
        </w:tabs>
        <w:spacing w:line="276" w:lineRule="auto"/>
        <w:jc w:val="both"/>
        <w:rPr>
          <w:color w:val="000000"/>
          <w:lang w:val="en-US" w:eastAsia="lt-LT"/>
        </w:rPr>
      </w:pPr>
      <w:r>
        <w:rPr>
          <w:color w:val="000000"/>
          <w:lang w:eastAsia="lt-LT"/>
        </w:rPr>
        <w:tab/>
      </w:r>
      <w:r w:rsidRPr="00B100A9">
        <w:rPr>
          <w:color w:val="000000"/>
          <w:lang w:eastAsia="lt-LT"/>
        </w:rPr>
        <w:t xml:space="preserve">Pateiktas </w:t>
      </w:r>
      <w:r w:rsidR="00296187">
        <w:rPr>
          <w:color w:val="000000"/>
          <w:lang w:eastAsia="lt-LT"/>
        </w:rPr>
        <w:t>supaprastintas</w:t>
      </w:r>
      <w:r w:rsidR="00296187" w:rsidRPr="00B100A9">
        <w:rPr>
          <w:color w:val="000000"/>
          <w:lang w:eastAsia="lt-LT"/>
        </w:rPr>
        <w:t xml:space="preserve"> </w:t>
      </w:r>
      <w:r w:rsidRPr="00B100A9">
        <w:rPr>
          <w:color w:val="000000"/>
          <w:lang w:eastAsia="lt-LT"/>
        </w:rPr>
        <w:t>atskirų klinikinių tyrimų rezultatų palyginimas parodė, kad gydymas CAR-T ląstelių terapija galimai yra veiksmingesn</w:t>
      </w:r>
      <w:r w:rsidR="00296187">
        <w:rPr>
          <w:color w:val="000000"/>
          <w:lang w:eastAsia="lt-LT"/>
        </w:rPr>
        <w:t>is</w:t>
      </w:r>
      <w:r w:rsidRPr="00B100A9">
        <w:rPr>
          <w:color w:val="000000"/>
          <w:lang w:eastAsia="lt-LT"/>
        </w:rPr>
        <w:t>, nei gydymas pirtobrutinibu.</w:t>
      </w:r>
      <w:r>
        <w:rPr>
          <w:bCs/>
          <w:iCs/>
          <w:color w:val="000000" w:themeColor="text1"/>
          <w:lang w:eastAsia="lt-LT"/>
        </w:rPr>
        <w:t xml:space="preserve">. </w:t>
      </w:r>
      <w:r w:rsidR="00296187">
        <w:rPr>
          <w:bCs/>
          <w:iCs/>
          <w:color w:val="000000" w:themeColor="text1"/>
          <w:lang w:eastAsia="lt-LT"/>
        </w:rPr>
        <w:t>Supaprastintas</w:t>
      </w:r>
      <w:r>
        <w:rPr>
          <w:bCs/>
          <w:iCs/>
          <w:color w:val="000000" w:themeColor="text1"/>
          <w:lang w:eastAsia="lt-LT"/>
        </w:rPr>
        <w:t xml:space="preserve"> pagrindinių baigčių palyginimas rodo, kad taikant CAR-T ląstelių terapiją pacientų  bendras išgyvenamumas yra 47,4 mėn. (95 proc. PI: 24,6-NA), o taikant pirtobrutinibą- 23,5 mėn. (95 proc. </w:t>
      </w:r>
      <w:r>
        <w:rPr>
          <w:bCs/>
          <w:iCs/>
          <w:color w:val="000000" w:themeColor="text1"/>
          <w:lang w:eastAsia="lt-LT"/>
        </w:rPr>
        <w:lastRenderedPageBreak/>
        <w:t>PI: 15,9-NA). Absoliučiais skaičiais gydant pacientus CAR-T ląstelių terapij</w:t>
      </w:r>
      <w:r w:rsidR="00296187">
        <w:rPr>
          <w:bCs/>
          <w:iCs/>
          <w:color w:val="000000" w:themeColor="text1"/>
          <w:lang w:eastAsia="lt-LT"/>
        </w:rPr>
        <w:t>a</w:t>
      </w:r>
      <w:r>
        <w:rPr>
          <w:bCs/>
          <w:iCs/>
          <w:color w:val="000000" w:themeColor="text1"/>
          <w:lang w:eastAsia="lt-LT"/>
        </w:rPr>
        <w:t xml:space="preserve"> galima pasiekt dvigubai </w:t>
      </w:r>
      <w:r w:rsidR="00296187">
        <w:rPr>
          <w:bCs/>
          <w:iCs/>
          <w:color w:val="000000" w:themeColor="text1"/>
          <w:lang w:eastAsia="lt-LT"/>
        </w:rPr>
        <w:t xml:space="preserve">didesnį </w:t>
      </w:r>
      <w:r>
        <w:rPr>
          <w:bCs/>
          <w:iCs/>
          <w:color w:val="000000" w:themeColor="text1"/>
          <w:lang w:eastAsia="lt-LT"/>
        </w:rPr>
        <w:t>bendr</w:t>
      </w:r>
      <w:r w:rsidR="00296187">
        <w:rPr>
          <w:bCs/>
          <w:iCs/>
          <w:color w:val="000000" w:themeColor="text1"/>
          <w:lang w:eastAsia="lt-LT"/>
        </w:rPr>
        <w:t>ą</w:t>
      </w:r>
      <w:r>
        <w:rPr>
          <w:bCs/>
          <w:iCs/>
          <w:color w:val="000000" w:themeColor="text1"/>
          <w:lang w:eastAsia="lt-LT"/>
        </w:rPr>
        <w:t xml:space="preserve"> išgyvenamum</w:t>
      </w:r>
      <w:r w:rsidR="00296187">
        <w:rPr>
          <w:bCs/>
          <w:iCs/>
          <w:color w:val="000000" w:themeColor="text1"/>
          <w:lang w:eastAsia="lt-LT"/>
        </w:rPr>
        <w:t>ą</w:t>
      </w:r>
      <w:r>
        <w:rPr>
          <w:bCs/>
          <w:iCs/>
          <w:color w:val="000000" w:themeColor="text1"/>
          <w:lang w:eastAsia="lt-LT"/>
        </w:rPr>
        <w:t>. Vertinant išgyvenamumo be ligos progresavimo (</w:t>
      </w:r>
      <w:r w:rsidRPr="00F561BC">
        <w:rPr>
          <w:bCs/>
          <w:i/>
          <w:color w:val="000000" w:themeColor="text1"/>
          <w:lang w:eastAsia="lt-LT"/>
        </w:rPr>
        <w:t xml:space="preserve">angl. </w:t>
      </w:r>
      <w:r w:rsidR="00296187">
        <w:rPr>
          <w:bCs/>
          <w:i/>
          <w:color w:val="000000" w:themeColor="text1"/>
          <w:lang w:eastAsia="lt-LT"/>
        </w:rPr>
        <w:t xml:space="preserve">progession free survival, </w:t>
      </w:r>
      <w:r w:rsidRPr="00F561BC">
        <w:rPr>
          <w:bCs/>
          <w:i/>
          <w:color w:val="000000" w:themeColor="text1"/>
          <w:lang w:eastAsia="lt-LT"/>
        </w:rPr>
        <w:t>PFS</w:t>
      </w:r>
      <w:r>
        <w:rPr>
          <w:bCs/>
          <w:iCs/>
          <w:color w:val="000000" w:themeColor="text1"/>
          <w:lang w:eastAsia="lt-LT"/>
        </w:rPr>
        <w:t>)</w:t>
      </w:r>
      <w:r w:rsidR="00296187">
        <w:rPr>
          <w:bCs/>
          <w:iCs/>
          <w:color w:val="000000" w:themeColor="text1"/>
          <w:lang w:eastAsia="lt-LT"/>
        </w:rPr>
        <w:t xml:space="preserve"> </w:t>
      </w:r>
      <w:r>
        <w:rPr>
          <w:bCs/>
          <w:iCs/>
          <w:color w:val="000000" w:themeColor="text1"/>
          <w:lang w:eastAsia="lt-LT"/>
        </w:rPr>
        <w:t>, taikant CAR-T ląstelių terapij</w:t>
      </w:r>
      <w:r w:rsidR="00840065">
        <w:rPr>
          <w:bCs/>
          <w:iCs/>
          <w:color w:val="000000" w:themeColor="text1"/>
          <w:lang w:eastAsia="lt-LT"/>
        </w:rPr>
        <w:t>ą</w:t>
      </w:r>
      <w:r>
        <w:rPr>
          <w:bCs/>
          <w:iCs/>
          <w:color w:val="000000" w:themeColor="text1"/>
          <w:lang w:eastAsia="lt-LT"/>
        </w:rPr>
        <w:t xml:space="preserve"> pacientai gali gyventi be ligos progresijos 24,0 mėn. (95 proc. PI: 10,1-48,2), taikant pirtobrutinibo monoterapija  - tik 7,4 mėn. (95 proc. PI: 5,3-13,3). Atsakas į gydymą ir atsako į gydymo trukmė taip pat ilgesni gydant CAR-T terapija, nei pirtobrutinibu</w:t>
      </w:r>
      <w:r>
        <w:rPr>
          <w:color w:val="000000"/>
          <w:lang w:eastAsia="lt-LT"/>
        </w:rPr>
        <w:t>. P</w:t>
      </w:r>
      <w:r w:rsidRPr="00B100A9">
        <w:rPr>
          <w:color w:val="000000"/>
          <w:lang w:eastAsia="lt-LT"/>
        </w:rPr>
        <w:t>ar</w:t>
      </w:r>
      <w:r w:rsidR="00296187">
        <w:rPr>
          <w:color w:val="000000"/>
          <w:lang w:eastAsia="lt-LT"/>
        </w:rPr>
        <w:t xml:space="preserve">aiškoje </w:t>
      </w:r>
      <w:r>
        <w:rPr>
          <w:color w:val="000000"/>
          <w:lang w:eastAsia="lt-LT"/>
        </w:rPr>
        <w:t xml:space="preserve"> taip pat pri</w:t>
      </w:r>
      <w:r w:rsidR="00296187">
        <w:rPr>
          <w:color w:val="000000"/>
          <w:lang w:eastAsia="lt-LT"/>
        </w:rPr>
        <w:t>pa</w:t>
      </w:r>
      <w:r>
        <w:rPr>
          <w:color w:val="000000"/>
          <w:lang w:eastAsia="lt-LT"/>
        </w:rPr>
        <w:t>žįsta</w:t>
      </w:r>
      <w:r w:rsidR="00296187">
        <w:rPr>
          <w:color w:val="000000"/>
          <w:lang w:eastAsia="lt-LT"/>
        </w:rPr>
        <w:t>ma</w:t>
      </w:r>
      <w:r>
        <w:rPr>
          <w:color w:val="000000"/>
          <w:lang w:eastAsia="lt-LT"/>
        </w:rPr>
        <w:t xml:space="preserve">, kad </w:t>
      </w:r>
      <w:r w:rsidR="00296187">
        <w:rPr>
          <w:bCs/>
          <w:iCs/>
          <w:color w:val="000000" w:themeColor="text1"/>
          <w:lang w:eastAsia="lt-LT"/>
        </w:rPr>
        <w:t>CAR-T  ląstelių terapija pranašesnė (</w:t>
      </w:r>
      <w:r w:rsidRPr="00B100A9">
        <w:rPr>
          <w:color w:val="000000"/>
          <w:lang w:eastAsia="lt-LT"/>
        </w:rPr>
        <w:t>„</w:t>
      </w:r>
      <w:r w:rsidRPr="00220F71">
        <w:rPr>
          <w:i/>
          <w:iCs/>
          <w:color w:val="000000"/>
          <w:lang w:eastAsia="lt-LT"/>
        </w:rPr>
        <w:t>CAR-T therapy with brexucabtagene autoleucel demonstrates superior ORR, PFS, and OS to that observed for pirtobrutinib</w:t>
      </w:r>
      <w:r w:rsidRPr="00B100A9">
        <w:rPr>
          <w:color w:val="000000"/>
          <w:lang w:eastAsia="lt-LT"/>
        </w:rPr>
        <w:t xml:space="preserve">“ </w:t>
      </w:r>
      <w:r w:rsidR="00296187">
        <w:rPr>
          <w:color w:val="000000"/>
          <w:lang w:eastAsia="lt-LT"/>
        </w:rPr>
        <w:t>)</w:t>
      </w:r>
    </w:p>
    <w:p w14:paraId="5883BACA" w14:textId="7BD74F8D" w:rsidR="00D7310F" w:rsidRDefault="005F1857" w:rsidP="006C5911">
      <w:pPr>
        <w:tabs>
          <w:tab w:val="left" w:pos="720"/>
        </w:tabs>
        <w:spacing w:line="276" w:lineRule="auto"/>
        <w:jc w:val="both"/>
        <w:rPr>
          <w:rFonts w:eastAsia="Arial"/>
          <w:bCs/>
        </w:rPr>
      </w:pPr>
      <w:r>
        <w:rPr>
          <w:color w:val="000000"/>
          <w:lang w:eastAsia="lt-LT"/>
        </w:rPr>
        <w:tab/>
      </w:r>
      <w:bookmarkStart w:id="5" w:name="_Hlk216883512"/>
      <w:r w:rsidR="00896A82">
        <w:rPr>
          <w:color w:val="000000"/>
          <w:lang w:eastAsia="lt-LT"/>
        </w:rPr>
        <w:t xml:space="preserve">Vadovaujantis </w:t>
      </w:r>
      <w:r w:rsidR="00896A82">
        <w:rPr>
          <w:rFonts w:eastAsia="Arial"/>
          <w:bCs/>
        </w:rPr>
        <w:t>Lietuvos Respublikos sveikatos apsaugos ministro įsakymu  „Dėl v</w:t>
      </w:r>
      <w:r w:rsidR="00896A82" w:rsidRPr="006C5911">
        <w:rPr>
          <w:rFonts w:eastAsia="Arial"/>
        </w:rPr>
        <w:t>aistinių preparatų ir medicinos pagalbos priemonių įrašymo į kompensavimo sąrašus ir jų keitimo tvarkos aprašo patvirtinimo</w:t>
      </w:r>
      <w:r w:rsidR="00896A82">
        <w:rPr>
          <w:rFonts w:eastAsia="Arial"/>
        </w:rPr>
        <w:t>“</w:t>
      </w:r>
      <w:r w:rsidR="00E26DE7" w:rsidRPr="00203137">
        <w:rPr>
          <w:rFonts w:eastAsia="Arial"/>
          <w:bCs/>
        </w:rPr>
        <w:t xml:space="preserve"> 2002 m. balandžio 5 d. Nr. 159, </w:t>
      </w:r>
      <w:r w:rsidR="00896A82">
        <w:rPr>
          <w:rFonts w:eastAsia="Arial"/>
          <w:bCs/>
        </w:rPr>
        <w:t xml:space="preserve">  patvirtintų P</w:t>
      </w:r>
      <w:r w:rsidR="00896A82" w:rsidRPr="006C5911">
        <w:rPr>
          <w:rFonts w:eastAsia="Arial"/>
        </w:rPr>
        <w:t>araiškos įrašyti vaistinį preparatą į kompensavimo sąrašus rengimo taisykl</w:t>
      </w:r>
      <w:r w:rsidR="00896A82">
        <w:rPr>
          <w:rFonts w:eastAsia="Arial"/>
        </w:rPr>
        <w:t>ių</w:t>
      </w:r>
      <w:r w:rsidR="00896A82" w:rsidRPr="00203137">
        <w:rPr>
          <w:rFonts w:eastAsia="Arial"/>
          <w:bCs/>
        </w:rPr>
        <w:t xml:space="preserve"> </w:t>
      </w:r>
      <w:r w:rsidR="00E26DE7" w:rsidRPr="00203137">
        <w:rPr>
          <w:rFonts w:eastAsia="Arial"/>
          <w:bCs/>
        </w:rPr>
        <w:t>140 punkt</w:t>
      </w:r>
      <w:r w:rsidR="00896A82">
        <w:rPr>
          <w:rFonts w:eastAsia="Arial"/>
          <w:bCs/>
        </w:rPr>
        <w:t xml:space="preserve">u,  </w:t>
      </w:r>
      <w:r w:rsidR="00E26DE7" w:rsidRPr="00203137">
        <w:rPr>
          <w:rFonts w:eastAsia="Arial"/>
          <w:bCs/>
        </w:rPr>
        <w:t xml:space="preserve"> palyginamajam veiksmingumui įvertinti </w:t>
      </w:r>
      <w:r w:rsidR="00D7310F">
        <w:rPr>
          <w:rFonts w:eastAsia="Arial"/>
          <w:bCs/>
        </w:rPr>
        <w:t xml:space="preserve">netiesioginiame palyginime </w:t>
      </w:r>
      <w:r w:rsidR="00E26DE7" w:rsidRPr="00203137">
        <w:rPr>
          <w:rFonts w:eastAsia="Arial"/>
          <w:bCs/>
        </w:rPr>
        <w:t>gal</w:t>
      </w:r>
      <w:r w:rsidR="00D7310F">
        <w:rPr>
          <w:rFonts w:eastAsia="Arial"/>
          <w:bCs/>
        </w:rPr>
        <w:t>i</w:t>
      </w:r>
      <w:r w:rsidR="00E26DE7">
        <w:rPr>
          <w:rFonts w:eastAsia="Arial"/>
          <w:bCs/>
        </w:rPr>
        <w:t xml:space="preserve"> </w:t>
      </w:r>
      <w:r w:rsidR="00E26DE7" w:rsidRPr="00203137">
        <w:rPr>
          <w:rFonts w:eastAsia="Arial"/>
          <w:bCs/>
        </w:rPr>
        <w:t>būti taikomas Butcher metodas arba kiti netiesiogini</w:t>
      </w:r>
      <w:r w:rsidR="00D7310F">
        <w:rPr>
          <w:rFonts w:eastAsia="Arial"/>
          <w:bCs/>
        </w:rPr>
        <w:t>am</w:t>
      </w:r>
      <w:r w:rsidR="00343962">
        <w:rPr>
          <w:rFonts w:eastAsia="Arial"/>
          <w:bCs/>
        </w:rPr>
        <w:t xml:space="preserve"> </w:t>
      </w:r>
      <w:r w:rsidR="00E26DE7" w:rsidRPr="00203137">
        <w:rPr>
          <w:rFonts w:eastAsia="Arial"/>
          <w:bCs/>
        </w:rPr>
        <w:t xml:space="preserve">palyginimui tinkami metodai – mišrus gydymų arba tinklinė metaanalizė (angl. Network meta-analysis). </w:t>
      </w:r>
      <w:bookmarkEnd w:id="5"/>
      <w:r w:rsidR="00E26DE7">
        <w:rPr>
          <w:rFonts w:eastAsia="Arial"/>
          <w:bCs/>
        </w:rPr>
        <w:t xml:space="preserve">Pažymėtina, kad </w:t>
      </w:r>
      <w:bookmarkStart w:id="6" w:name="_Hlk216885631"/>
      <w:r w:rsidR="00840065">
        <w:rPr>
          <w:rFonts w:eastAsia="Arial"/>
          <w:bCs/>
        </w:rPr>
        <w:t xml:space="preserve">supaprastintas </w:t>
      </w:r>
      <w:r w:rsidR="00840065" w:rsidRPr="00203137">
        <w:rPr>
          <w:rFonts w:eastAsia="Arial"/>
          <w:bCs/>
        </w:rPr>
        <w:t xml:space="preserve">gydymo grupių palyginimas </w:t>
      </w:r>
      <w:r w:rsidR="00E26DE7" w:rsidRPr="00203137">
        <w:rPr>
          <w:rFonts w:eastAsia="Arial"/>
          <w:bCs/>
        </w:rPr>
        <w:t xml:space="preserve"> (</w:t>
      </w:r>
      <w:bookmarkStart w:id="7" w:name="_Hlk216883481"/>
      <w:r w:rsidR="009E21EA">
        <w:rPr>
          <w:rFonts w:eastAsia="Arial"/>
          <w:i/>
          <w:iCs/>
        </w:rPr>
        <w:t xml:space="preserve">angl. </w:t>
      </w:r>
      <w:r w:rsidR="00840065" w:rsidRPr="006C5911">
        <w:rPr>
          <w:rFonts w:eastAsia="Arial"/>
          <w:i/>
          <w:iCs/>
        </w:rPr>
        <w:t>Naïve comparison</w:t>
      </w:r>
      <w:bookmarkEnd w:id="7"/>
      <w:r w:rsidR="00E26DE7" w:rsidRPr="00203137">
        <w:rPr>
          <w:rFonts w:eastAsia="Arial"/>
          <w:bCs/>
        </w:rPr>
        <w:t xml:space="preserve">) </w:t>
      </w:r>
      <w:bookmarkEnd w:id="6"/>
      <w:r w:rsidR="00E26DE7" w:rsidRPr="00203137">
        <w:rPr>
          <w:rFonts w:eastAsia="Arial"/>
          <w:bCs/>
        </w:rPr>
        <w:t>nerekomenduojamas sveikatos technologij</w:t>
      </w:r>
      <w:r w:rsidR="00D7310F">
        <w:rPr>
          <w:rFonts w:eastAsia="Arial"/>
          <w:bCs/>
        </w:rPr>
        <w:t>ų vertinimo gairėse</w:t>
      </w:r>
      <w:r w:rsidR="00E26DE7" w:rsidRPr="00203137">
        <w:rPr>
          <w:rFonts w:eastAsia="Arial"/>
          <w:bCs/>
        </w:rPr>
        <w:t xml:space="preserve"> (</w:t>
      </w:r>
      <w:r w:rsidR="00E26DE7" w:rsidRPr="006C5911">
        <w:rPr>
          <w:rFonts w:eastAsia="Arial"/>
          <w:bCs/>
          <w:i/>
          <w:iCs/>
        </w:rPr>
        <w:t>Methodological Guideline for Quantitative Evidence Synthesis: Direct and Indirect Comparisons, Adopted on 8 March 2024 by the HTA CG pursuant to Article 3(7), point (d), of Regulation (EU) 2021/2282 on Health Technology Assessment</w:t>
      </w:r>
      <w:r w:rsidR="00E26DE7" w:rsidRPr="00203137">
        <w:rPr>
          <w:rFonts w:eastAsia="Arial"/>
          <w:bCs/>
        </w:rPr>
        <w:t xml:space="preserve">). </w:t>
      </w:r>
    </w:p>
    <w:p w14:paraId="186CB304" w14:textId="48E58BF8" w:rsidR="005F1857" w:rsidRPr="00C571E8" w:rsidRDefault="00D7310F" w:rsidP="006C5911">
      <w:pPr>
        <w:tabs>
          <w:tab w:val="left" w:pos="720"/>
        </w:tabs>
        <w:spacing w:line="276" w:lineRule="auto"/>
        <w:jc w:val="both"/>
        <w:rPr>
          <w:color w:val="000000"/>
          <w:lang w:eastAsia="lt-LT"/>
        </w:rPr>
      </w:pPr>
      <w:r>
        <w:rPr>
          <w:rFonts w:eastAsia="Arial"/>
          <w:bCs/>
        </w:rPr>
        <w:tab/>
      </w:r>
      <w:r w:rsidR="00E26DE7" w:rsidRPr="00203137">
        <w:rPr>
          <w:rFonts w:eastAsia="Arial"/>
          <w:bCs/>
        </w:rPr>
        <w:t>Atsižvelgiant į pateiktus klinikinius duomenis</w:t>
      </w:r>
      <w:r w:rsidR="008D05F7">
        <w:rPr>
          <w:rFonts w:eastAsia="Arial"/>
          <w:bCs/>
        </w:rPr>
        <w:t>,</w:t>
      </w:r>
      <w:r w:rsidR="00E26DE7" w:rsidRPr="00203137">
        <w:rPr>
          <w:rFonts w:eastAsia="Arial"/>
          <w:bCs/>
        </w:rPr>
        <w:t xml:space="preserve"> laikoma, kad pirtobrutinibo nesiskirianti nauda palyginus su CAR-T terapija</w:t>
      </w:r>
      <w:r w:rsidR="008D05F7">
        <w:rPr>
          <w:rFonts w:eastAsia="Arial"/>
          <w:bCs/>
        </w:rPr>
        <w:t>,</w:t>
      </w:r>
      <w:r w:rsidR="00E26DE7" w:rsidRPr="00203137">
        <w:rPr>
          <w:rFonts w:eastAsia="Arial"/>
          <w:bCs/>
        </w:rPr>
        <w:t xml:space="preserve"> neįrodyta.</w:t>
      </w:r>
      <w:r w:rsidR="00E26DE7">
        <w:rPr>
          <w:rFonts w:eastAsia="Arial"/>
          <w:bCs/>
        </w:rPr>
        <w:t xml:space="preserve"> </w:t>
      </w:r>
      <w:r w:rsidR="005F1857" w:rsidRPr="00C571E8">
        <w:rPr>
          <w:color w:val="000000"/>
          <w:lang w:eastAsia="lt-LT"/>
        </w:rPr>
        <w:t>Nors galimai didesnis CAR-T ląstelių terapijos palyginamasis veiksmingumas nėra pagrįstas tiesioginio</w:t>
      </w:r>
      <w:r w:rsidR="000778CD">
        <w:rPr>
          <w:color w:val="000000"/>
          <w:lang w:eastAsia="lt-LT"/>
        </w:rPr>
        <w:t xml:space="preserve"> palyginimo</w:t>
      </w:r>
      <w:r w:rsidR="005F1857" w:rsidRPr="00C571E8">
        <w:rPr>
          <w:color w:val="000000"/>
          <w:lang w:eastAsia="lt-LT"/>
        </w:rPr>
        <w:t xml:space="preserve"> ar </w:t>
      </w:r>
      <w:r w:rsidR="000778CD">
        <w:rPr>
          <w:color w:val="000000"/>
          <w:lang w:eastAsia="lt-LT"/>
        </w:rPr>
        <w:t xml:space="preserve">tinkamu </w:t>
      </w:r>
      <w:r w:rsidR="005F1857" w:rsidRPr="00C571E8">
        <w:rPr>
          <w:color w:val="000000"/>
          <w:lang w:eastAsia="lt-LT"/>
        </w:rPr>
        <w:t>netiesioginio palyginimo analizių rezultatais</w:t>
      </w:r>
      <w:r w:rsidR="000778CD">
        <w:rPr>
          <w:color w:val="000000"/>
          <w:lang w:eastAsia="lt-LT"/>
        </w:rPr>
        <w:t xml:space="preserve"> palyginus su</w:t>
      </w:r>
      <w:r w:rsidR="005F1857" w:rsidRPr="00C571E8">
        <w:rPr>
          <w:color w:val="000000"/>
          <w:lang w:eastAsia="lt-LT"/>
        </w:rPr>
        <w:t xml:space="preserve"> pirtobrutinib</w:t>
      </w:r>
      <w:r w:rsidR="000778CD">
        <w:rPr>
          <w:color w:val="000000"/>
          <w:lang w:eastAsia="lt-LT"/>
        </w:rPr>
        <w:t>u</w:t>
      </w:r>
      <w:r w:rsidR="005F1857">
        <w:rPr>
          <w:color w:val="000000"/>
          <w:lang w:eastAsia="lt-LT"/>
        </w:rPr>
        <w:t>, manoma, kad p</w:t>
      </w:r>
      <w:r w:rsidR="005F1857" w:rsidRPr="00C571E8">
        <w:rPr>
          <w:color w:val="000000"/>
          <w:lang w:eastAsia="lt-LT"/>
        </w:rPr>
        <w:t xml:space="preserve">irtobrutinibo ir CAR-T ląstelių terapijos efektyvumas </w:t>
      </w:r>
      <w:r w:rsidR="005F1857">
        <w:rPr>
          <w:color w:val="000000"/>
          <w:lang w:eastAsia="lt-LT"/>
        </w:rPr>
        <w:t>nėra</w:t>
      </w:r>
      <w:r w:rsidR="005F1857" w:rsidRPr="00C571E8">
        <w:rPr>
          <w:color w:val="000000"/>
          <w:lang w:eastAsia="lt-LT"/>
        </w:rPr>
        <w:t xml:space="preserve"> panašus</w:t>
      </w:r>
      <w:r w:rsidR="005F1857">
        <w:rPr>
          <w:color w:val="000000"/>
          <w:lang w:eastAsia="lt-LT"/>
        </w:rPr>
        <w:t xml:space="preserve">. </w:t>
      </w:r>
      <w:r w:rsidR="000778CD">
        <w:rPr>
          <w:color w:val="000000"/>
          <w:lang w:eastAsia="lt-LT"/>
        </w:rPr>
        <w:t>P</w:t>
      </w:r>
      <w:r w:rsidR="000778CD" w:rsidRPr="00C571E8">
        <w:rPr>
          <w:color w:val="000000"/>
          <w:lang w:eastAsia="lt-LT"/>
        </w:rPr>
        <w:t>ar</w:t>
      </w:r>
      <w:r w:rsidR="000778CD">
        <w:rPr>
          <w:color w:val="000000"/>
          <w:lang w:eastAsia="lt-LT"/>
        </w:rPr>
        <w:t>aiškoje</w:t>
      </w:r>
      <w:r w:rsidR="000778CD" w:rsidRPr="00C571E8">
        <w:rPr>
          <w:color w:val="000000"/>
          <w:lang w:eastAsia="lt-LT"/>
        </w:rPr>
        <w:t xml:space="preserve"> nepateik</w:t>
      </w:r>
      <w:r w:rsidR="000778CD">
        <w:rPr>
          <w:color w:val="000000"/>
          <w:lang w:eastAsia="lt-LT"/>
        </w:rPr>
        <w:t>ta</w:t>
      </w:r>
      <w:r w:rsidR="000778CD" w:rsidRPr="00C571E8">
        <w:rPr>
          <w:color w:val="000000"/>
          <w:lang w:eastAsia="lt-LT"/>
        </w:rPr>
        <w:t xml:space="preserve"> pagrindimo apie pirtobrutinibo efektyvumo panašumą į CAR-T ląstelių terapiją. </w:t>
      </w:r>
      <w:r w:rsidR="005F1857" w:rsidRPr="00C571E8">
        <w:rPr>
          <w:color w:val="000000"/>
          <w:lang w:eastAsia="lt-LT"/>
        </w:rPr>
        <w:t>Papildomas pareiškėjo argumentas, kad abiem gydym</w:t>
      </w:r>
      <w:r w:rsidR="000778CD">
        <w:rPr>
          <w:color w:val="000000"/>
          <w:lang w:eastAsia="lt-LT"/>
        </w:rPr>
        <w:t>o būdams</w:t>
      </w:r>
      <w:r w:rsidR="005F1857" w:rsidRPr="00C571E8">
        <w:rPr>
          <w:color w:val="000000"/>
          <w:lang w:eastAsia="lt-LT"/>
        </w:rPr>
        <w:t xml:space="preserve"> sute</w:t>
      </w:r>
      <w:r w:rsidR="000778CD">
        <w:rPr>
          <w:color w:val="000000"/>
          <w:lang w:eastAsia="lt-LT"/>
        </w:rPr>
        <w:t>i</w:t>
      </w:r>
      <w:r w:rsidR="005F1857" w:rsidRPr="00C571E8">
        <w:rPr>
          <w:color w:val="000000"/>
          <w:lang w:eastAsia="lt-LT"/>
        </w:rPr>
        <w:t>ktas vienodas įrodymų lygmuo (III) ir rekomendacijos lygis  (A) nėra svarus</w:t>
      </w:r>
      <w:r w:rsidR="005F1857">
        <w:rPr>
          <w:color w:val="000000"/>
          <w:lang w:eastAsia="lt-LT"/>
        </w:rPr>
        <w:t xml:space="preserve">. Pažymėtina, kad </w:t>
      </w:r>
      <w:r w:rsidR="005F1857" w:rsidRPr="00C571E8">
        <w:rPr>
          <w:color w:val="000000"/>
          <w:lang w:eastAsia="lt-LT"/>
        </w:rPr>
        <w:t>III lygmens įrodymai gauti remiantis prospektyvinės kohortos pagrindu, t.y. vienos šakos tyrimu, kuriu</w:t>
      </w:r>
      <w:r w:rsidR="000778CD">
        <w:rPr>
          <w:color w:val="000000"/>
          <w:lang w:eastAsia="lt-LT"/>
        </w:rPr>
        <w:t>o</w:t>
      </w:r>
      <w:r w:rsidR="005F1857" w:rsidRPr="00C571E8">
        <w:rPr>
          <w:color w:val="000000"/>
          <w:lang w:eastAsia="lt-LT"/>
        </w:rPr>
        <w:t xml:space="preserve"> sveikatos technologijos vertinimas negali būti grindžiamas. </w:t>
      </w:r>
    </w:p>
    <w:p w14:paraId="1D1C54E8" w14:textId="29377D3D" w:rsidR="005F1857" w:rsidRPr="00FE3835" w:rsidRDefault="005F1857" w:rsidP="006C5911">
      <w:pPr>
        <w:tabs>
          <w:tab w:val="left" w:pos="720"/>
        </w:tabs>
        <w:spacing w:line="276" w:lineRule="auto"/>
        <w:jc w:val="both"/>
        <w:rPr>
          <w:i/>
          <w:iCs/>
          <w:lang w:eastAsia="lt-LT"/>
        </w:rPr>
      </w:pPr>
      <w:r>
        <w:rPr>
          <w:color w:val="000000"/>
          <w:lang w:eastAsia="lt-LT"/>
        </w:rPr>
        <w:tab/>
      </w:r>
      <w:r w:rsidRPr="00C571E8">
        <w:rPr>
          <w:color w:val="000000"/>
          <w:lang w:eastAsia="lt-LT"/>
        </w:rPr>
        <w:t xml:space="preserve">Atsižvelgiant į </w:t>
      </w:r>
      <w:r w:rsidR="00840065">
        <w:rPr>
          <w:color w:val="000000"/>
          <w:lang w:eastAsia="lt-LT"/>
        </w:rPr>
        <w:t xml:space="preserve">pirmiau </w:t>
      </w:r>
      <w:r w:rsidRPr="00C571E8">
        <w:rPr>
          <w:color w:val="000000"/>
          <w:lang w:eastAsia="lt-LT"/>
        </w:rPr>
        <w:t>išdėstyt</w:t>
      </w:r>
      <w:r w:rsidR="00840065">
        <w:rPr>
          <w:color w:val="000000"/>
          <w:lang w:eastAsia="lt-LT"/>
        </w:rPr>
        <w:t>ą</w:t>
      </w:r>
      <w:r w:rsidRPr="00C571E8">
        <w:rPr>
          <w:color w:val="000000"/>
          <w:lang w:eastAsia="lt-LT"/>
        </w:rPr>
        <w:t>, pirtobrutinibo veiksmingumas galimai nusileidžia CAR-T ląstelių terapijos veiksmingumui.</w:t>
      </w:r>
    </w:p>
    <w:bookmarkEnd w:id="2"/>
    <w:p w14:paraId="39C1ADA8" w14:textId="77777777" w:rsidR="00AC5129" w:rsidRPr="000203E1" w:rsidRDefault="00AC5129" w:rsidP="00A93AA6">
      <w:pPr>
        <w:pStyle w:val="Sraopastraipa"/>
        <w:tabs>
          <w:tab w:val="left" w:pos="426"/>
        </w:tabs>
        <w:ind w:left="0"/>
        <w:rPr>
          <w:b/>
          <w:bCs/>
          <w:caps/>
        </w:rPr>
      </w:pPr>
    </w:p>
    <w:p w14:paraId="7DE09EB5" w14:textId="69E9DD74" w:rsidR="00E03C3F" w:rsidRPr="000203E1" w:rsidRDefault="00CC7832" w:rsidP="00CC09D4">
      <w:pPr>
        <w:pStyle w:val="Sraopastraipa"/>
        <w:numPr>
          <w:ilvl w:val="0"/>
          <w:numId w:val="12"/>
        </w:numPr>
        <w:tabs>
          <w:tab w:val="left" w:pos="567"/>
        </w:tabs>
        <w:ind w:hanging="720"/>
        <w:rPr>
          <w:b/>
          <w:bCs/>
          <w:caps/>
        </w:rPr>
      </w:pPr>
      <w:r w:rsidRPr="000203E1">
        <w:rPr>
          <w:b/>
          <w:bCs/>
          <w:caps/>
        </w:rPr>
        <w:t xml:space="preserve">ekonominio vertinimo </w:t>
      </w:r>
      <w:r w:rsidR="002F0E4F" w:rsidRPr="000203E1">
        <w:rPr>
          <w:b/>
          <w:bCs/>
          <w:caps/>
        </w:rPr>
        <w:t>apibendrinimas</w:t>
      </w:r>
    </w:p>
    <w:p w14:paraId="1A900598" w14:textId="4826E5DF" w:rsidR="00C62B36" w:rsidRPr="008D05F7" w:rsidRDefault="00C62B36" w:rsidP="00A93AA6">
      <w:pPr>
        <w:tabs>
          <w:tab w:val="left" w:pos="426"/>
        </w:tabs>
        <w:rPr>
          <w:i/>
        </w:rPr>
      </w:pPr>
    </w:p>
    <w:p w14:paraId="51F4DFA8" w14:textId="5FE0126D" w:rsidR="001C2676" w:rsidRPr="009300B3" w:rsidRDefault="001C2676" w:rsidP="001C2676">
      <w:pPr>
        <w:spacing w:line="276" w:lineRule="auto"/>
        <w:jc w:val="both"/>
      </w:pPr>
      <w:r w:rsidRPr="009300B3">
        <w:rPr>
          <w:rFonts w:eastAsia="Arial"/>
        </w:rPr>
        <w:t>V</w:t>
      </w:r>
      <w:r>
        <w:rPr>
          <w:rFonts w:eastAsia="Arial"/>
        </w:rPr>
        <w:t>ykdant</w:t>
      </w:r>
      <w:r w:rsidRPr="009300B3">
        <w:rPr>
          <w:rFonts w:eastAsia="Arial"/>
        </w:rPr>
        <w:t xml:space="preserve"> </w:t>
      </w:r>
      <w:r>
        <w:t>V</w:t>
      </w:r>
      <w:r w:rsidRPr="009300B3">
        <w:t>aistinių preparatų ir medicinos pagalbos priemonių įrašymo į kompensavimo sąrašus ir jų keitimo tvarkos aprašo</w:t>
      </w:r>
      <w:r>
        <w:t>, patvirtinto</w:t>
      </w:r>
      <w:r w:rsidRPr="009300B3">
        <w:t xml:space="preserve"> Lietuvos Respublikos sveikatos apsaugos ministro 2002 m. balandžio 5 d. įsakym</w:t>
      </w:r>
      <w:r>
        <w:t>u</w:t>
      </w:r>
      <w:r w:rsidRPr="009300B3">
        <w:t xml:space="preserve"> Nr. V-159 „Dėl vaistinių preparatų ir medicinos pagalbos priemonių įrašymo į kompensavimo sąrašus ir jų keitimo tvarkos aprašo patvirtinimo“ </w:t>
      </w:r>
      <w:r>
        <w:t xml:space="preserve">(toliau – Aprašas) </w:t>
      </w:r>
      <w:r w:rsidRPr="009300B3">
        <w:t>17</w:t>
      </w:r>
      <w:r>
        <w:rPr>
          <w:vertAlign w:val="superscript"/>
        </w:rPr>
        <w:t>2</w:t>
      </w:r>
      <w:r w:rsidRPr="009300B3">
        <w:t xml:space="preserve"> punkt</w:t>
      </w:r>
      <w:r>
        <w:t>ą</w:t>
      </w:r>
      <w:r w:rsidRPr="009300B3">
        <w:t>, ekonomin</w:t>
      </w:r>
      <w:r>
        <w:t>is vertinimas</w:t>
      </w:r>
      <w:r w:rsidRPr="009300B3">
        <w:t xml:space="preserve"> neatliekama</w:t>
      </w:r>
      <w:r>
        <w:t xml:space="preserve">s </w:t>
      </w:r>
      <w:r>
        <w:rPr>
          <w:rFonts w:eastAsia="Arial"/>
        </w:rPr>
        <w:t>k</w:t>
      </w:r>
      <w:r w:rsidRPr="009300B3">
        <w:rPr>
          <w:rFonts w:eastAsia="Arial"/>
        </w:rPr>
        <w:t>linikinio vertinimo metu nustačius</w:t>
      </w:r>
      <w:r>
        <w:rPr>
          <w:rFonts w:eastAsia="Arial"/>
        </w:rPr>
        <w:t xml:space="preserve">, jog klinikinės dalies vertinimo išvada atitinka bent vieną iš </w:t>
      </w:r>
      <w:r w:rsidRPr="009300B3">
        <w:t>tvarkos aprašo</w:t>
      </w:r>
      <w:r>
        <w:t xml:space="preserve"> </w:t>
      </w:r>
      <w:r>
        <w:rPr>
          <w:rFonts w:eastAsia="Arial"/>
        </w:rPr>
        <w:t>29.1.3 - 29.1.5 papunkčiuose nurodytų sąlygų (šiuo atveju 29.1.</w:t>
      </w:r>
      <w:r w:rsidR="008D05F7">
        <w:rPr>
          <w:rFonts w:eastAsia="Arial"/>
        </w:rPr>
        <w:t>3</w:t>
      </w:r>
      <w:r>
        <w:rPr>
          <w:rFonts w:eastAsia="Arial"/>
        </w:rPr>
        <w:t xml:space="preserve">), tai laikoma esminiu Paraiškos trūkumu ir ekonominis vertinimas neatliekamas. </w:t>
      </w:r>
      <w:r w:rsidRPr="009300B3">
        <w:rPr>
          <w:rFonts w:eastAsia="Arial"/>
        </w:rPr>
        <w:t xml:space="preserve"> </w:t>
      </w:r>
    </w:p>
    <w:p w14:paraId="33875138" w14:textId="77777777" w:rsidR="0035172D" w:rsidRPr="000203E1" w:rsidRDefault="0035172D" w:rsidP="00A93AA6">
      <w:pPr>
        <w:tabs>
          <w:tab w:val="left" w:pos="426"/>
        </w:tabs>
        <w:rPr>
          <w:b/>
          <w:bCs/>
          <w:caps/>
        </w:rPr>
      </w:pPr>
    </w:p>
    <w:p w14:paraId="4FC424F9" w14:textId="4E767245" w:rsidR="00C62B36" w:rsidRDefault="00C62B36" w:rsidP="00CC09D4">
      <w:pPr>
        <w:pStyle w:val="Sraopastraipa"/>
        <w:numPr>
          <w:ilvl w:val="0"/>
          <w:numId w:val="12"/>
        </w:numPr>
        <w:tabs>
          <w:tab w:val="left" w:pos="567"/>
        </w:tabs>
        <w:ind w:hanging="720"/>
        <w:rPr>
          <w:b/>
          <w:bCs/>
          <w:caps/>
        </w:rPr>
      </w:pPr>
      <w:r w:rsidRPr="000203E1">
        <w:rPr>
          <w:b/>
          <w:bCs/>
          <w:caps/>
        </w:rPr>
        <w:t xml:space="preserve">Pacientų organizacijų pateikti duomenys </w:t>
      </w:r>
    </w:p>
    <w:p w14:paraId="54351841" w14:textId="77777777" w:rsidR="00C9728E" w:rsidRPr="000203E1" w:rsidRDefault="00C9728E" w:rsidP="00C9728E">
      <w:pPr>
        <w:pStyle w:val="Sraopastraipa"/>
        <w:tabs>
          <w:tab w:val="left" w:pos="567"/>
        </w:tabs>
        <w:rPr>
          <w:b/>
          <w:bCs/>
          <w:caps/>
        </w:rPr>
      </w:pPr>
    </w:p>
    <w:p w14:paraId="62992180" w14:textId="61D39342" w:rsidR="00937907" w:rsidRPr="000203E1" w:rsidRDefault="00937907" w:rsidP="00937907">
      <w:pPr>
        <w:spacing w:after="120"/>
        <w:jc w:val="both"/>
      </w:pPr>
      <w:r w:rsidRPr="000203E1">
        <w:t xml:space="preserve">Pacientų organizacijos pozicija </w:t>
      </w:r>
      <w:r w:rsidR="00880A44" w:rsidRPr="000203E1">
        <w:t>ne</w:t>
      </w:r>
      <w:r w:rsidRPr="000203E1">
        <w:t>pateikta.</w:t>
      </w:r>
    </w:p>
    <w:p w14:paraId="03E73D82" w14:textId="77777777" w:rsidR="00D417D2" w:rsidRPr="000203E1" w:rsidRDefault="00D417D2" w:rsidP="00937907">
      <w:pPr>
        <w:spacing w:after="120"/>
        <w:jc w:val="both"/>
      </w:pPr>
    </w:p>
    <w:p w14:paraId="3D3277FA" w14:textId="09414FFF" w:rsidR="00C62B36" w:rsidRDefault="00D67BAF" w:rsidP="00CC09D4">
      <w:pPr>
        <w:pStyle w:val="Sraopastraipa"/>
        <w:numPr>
          <w:ilvl w:val="0"/>
          <w:numId w:val="12"/>
        </w:numPr>
        <w:tabs>
          <w:tab w:val="left" w:pos="567"/>
        </w:tabs>
        <w:ind w:hanging="720"/>
        <w:rPr>
          <w:b/>
          <w:bCs/>
          <w:caps/>
        </w:rPr>
      </w:pPr>
      <w:r w:rsidRPr="00D67BAF">
        <w:rPr>
          <w:b/>
          <w:bCs/>
          <w:caps/>
        </w:rPr>
        <w:lastRenderedPageBreak/>
        <w:t xml:space="preserve">SVEIKATOS PRIEŽIŪROS SPECIALISTŲ </w:t>
      </w:r>
      <w:r w:rsidR="00C62B36" w:rsidRPr="000203E1">
        <w:rPr>
          <w:b/>
          <w:bCs/>
          <w:caps/>
        </w:rPr>
        <w:t xml:space="preserve"> organizacijų pateikti duomenys</w:t>
      </w:r>
    </w:p>
    <w:p w14:paraId="044D5084" w14:textId="77777777" w:rsidR="00C9728E" w:rsidRPr="000203E1" w:rsidRDefault="00C9728E" w:rsidP="00C9728E">
      <w:pPr>
        <w:pStyle w:val="Sraopastraipa"/>
        <w:tabs>
          <w:tab w:val="left" w:pos="567"/>
        </w:tabs>
        <w:rPr>
          <w:b/>
          <w:bCs/>
          <w:caps/>
        </w:rPr>
      </w:pPr>
    </w:p>
    <w:p w14:paraId="5D8CC48C" w14:textId="566D33AF" w:rsidR="00662983" w:rsidRPr="000203E1" w:rsidRDefault="00D67BAF" w:rsidP="00662983">
      <w:pPr>
        <w:spacing w:after="120"/>
        <w:jc w:val="both"/>
      </w:pPr>
      <w:r>
        <w:t>S</w:t>
      </w:r>
      <w:r w:rsidRPr="00E16035">
        <w:rPr>
          <w:bCs/>
        </w:rPr>
        <w:t>veikatos priežiūros specialistų</w:t>
      </w:r>
      <w:r w:rsidR="00937907" w:rsidRPr="000203E1">
        <w:t xml:space="preserve"> organizacijos pozicija </w:t>
      </w:r>
      <w:r w:rsidR="00880A44" w:rsidRPr="000203E1">
        <w:t>ne</w:t>
      </w:r>
      <w:r w:rsidR="00937907" w:rsidRPr="000203E1">
        <w:t>pateikta.</w:t>
      </w:r>
    </w:p>
    <w:p w14:paraId="3701D46A" w14:textId="77777777" w:rsidR="00A042B9" w:rsidRPr="000203E1" w:rsidRDefault="00A042B9" w:rsidP="00662983">
      <w:pPr>
        <w:spacing w:after="120"/>
        <w:jc w:val="both"/>
      </w:pPr>
    </w:p>
    <w:p w14:paraId="78F23ECB" w14:textId="3ED5BFD5" w:rsidR="002F0E4F" w:rsidRPr="000203E1" w:rsidRDefault="002F0E4F" w:rsidP="00CC09D4">
      <w:pPr>
        <w:pStyle w:val="Sraopastraipa"/>
        <w:numPr>
          <w:ilvl w:val="0"/>
          <w:numId w:val="12"/>
        </w:numPr>
        <w:tabs>
          <w:tab w:val="left" w:pos="567"/>
        </w:tabs>
        <w:ind w:hanging="720"/>
        <w:rPr>
          <w:b/>
          <w:bCs/>
          <w:caps/>
        </w:rPr>
      </w:pPr>
      <w:r w:rsidRPr="000203E1">
        <w:rPr>
          <w:b/>
          <w:bCs/>
          <w:caps/>
        </w:rPr>
        <w:t>Išvad</w:t>
      </w:r>
      <w:r w:rsidR="00B811A4">
        <w:rPr>
          <w:b/>
          <w:bCs/>
          <w:caps/>
        </w:rPr>
        <w:t>OS</w:t>
      </w:r>
      <w:r w:rsidRPr="000203E1">
        <w:rPr>
          <w:b/>
          <w:bCs/>
          <w:caps/>
        </w:rPr>
        <w:t xml:space="preserve"> </w:t>
      </w:r>
    </w:p>
    <w:p w14:paraId="30069D85" w14:textId="77777777" w:rsidR="0061611B" w:rsidRPr="000203E1" w:rsidRDefault="0061611B" w:rsidP="0061611B">
      <w:pPr>
        <w:ind w:left="360"/>
        <w:rPr>
          <w:i/>
          <w:szCs w:val="22"/>
        </w:rPr>
      </w:pPr>
    </w:p>
    <w:tbl>
      <w:tblPr>
        <w:tblStyle w:val="Lentelstinklelis"/>
        <w:tblW w:w="0" w:type="auto"/>
        <w:tblInd w:w="-5" w:type="dxa"/>
        <w:tblLook w:val="04A0" w:firstRow="1" w:lastRow="0" w:firstColumn="1" w:lastColumn="0" w:noHBand="0" w:noVBand="1"/>
      </w:tblPr>
      <w:tblGrid>
        <w:gridCol w:w="4820"/>
        <w:gridCol w:w="4814"/>
      </w:tblGrid>
      <w:tr w:rsidR="00B811A4" w:rsidRPr="00B811A4" w14:paraId="4D5EFB83" w14:textId="77777777" w:rsidTr="007111C4">
        <w:trPr>
          <w:trHeight w:val="510"/>
        </w:trPr>
        <w:tc>
          <w:tcPr>
            <w:tcW w:w="9634" w:type="dxa"/>
            <w:gridSpan w:val="2"/>
            <w:vAlign w:val="center"/>
          </w:tcPr>
          <w:p w14:paraId="294EC16B"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bookmarkStart w:id="8" w:name="_Hlk185430554"/>
            <w:r w:rsidRPr="00B811A4">
              <w:rPr>
                <w:rStyle w:val="Style2"/>
                <w:rFonts w:eastAsia="MS Gothic"/>
                <w:b/>
                <w:bCs/>
                <w:sz w:val="23"/>
                <w:szCs w:val="23"/>
              </w:rPr>
              <w:t>Palyginamasis veiksmingumas</w:t>
            </w:r>
          </w:p>
        </w:tc>
      </w:tr>
      <w:tr w:rsidR="00B811A4" w:rsidRPr="00B811A4" w14:paraId="30B67515" w14:textId="77777777" w:rsidTr="007111C4">
        <w:tc>
          <w:tcPr>
            <w:tcW w:w="4820" w:type="dxa"/>
          </w:tcPr>
          <w:p w14:paraId="4FE3C208" w14:textId="77777777" w:rsidR="00B811A4" w:rsidRPr="006372E0" w:rsidRDefault="003B5D7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0"/>
                  <w14:checkedState w14:val="2612" w14:font="MS Gothic"/>
                  <w14:uncheckedState w14:val="2610" w14:font="MS Gothic"/>
                </w14:checkbox>
              </w:sdtPr>
              <w:sdtEndPr>
                <w:rPr>
                  <w:rStyle w:val="Style2"/>
                </w:rPr>
              </w:sdtEndPr>
              <w:sdtContent>
                <w:r w:rsidR="00B811A4" w:rsidRPr="006372E0">
                  <w:rPr>
                    <w:rStyle w:val="Style2"/>
                    <w:rFonts w:ascii="Segoe UI Symbol" w:eastAsia="MS Gothic" w:hAnsi="Segoe UI Symbol" w:cs="Segoe UI Symbol"/>
                    <w:sz w:val="23"/>
                    <w:szCs w:val="23"/>
                  </w:rPr>
                  <w:t>☐</w:t>
                </w:r>
              </w:sdtContent>
            </w:sdt>
            <w:r w:rsidR="00B811A4" w:rsidRPr="006372E0">
              <w:rPr>
                <w:rStyle w:val="Style2"/>
                <w:sz w:val="23"/>
                <w:szCs w:val="23"/>
              </w:rPr>
              <w:t xml:space="preserve"> 29</w:t>
            </w:r>
            <w:r w:rsidR="00B811A4" w:rsidRPr="006372E0">
              <w:rPr>
                <w:sz w:val="23"/>
                <w:szCs w:val="23"/>
              </w:rPr>
              <w:t>.1.1 yra didesnis, lyginant su įprasta klinikine praktika</w:t>
            </w:r>
          </w:p>
          <w:p w14:paraId="6F9786E4" w14:textId="77777777" w:rsidR="00B811A4" w:rsidRPr="006372E0"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31EDECD" w14:textId="77777777" w:rsidR="00B811A4" w:rsidRPr="006372E0" w:rsidRDefault="003B5D7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0"/>
                  <w14:checkedState w14:val="2612" w14:font="MS Gothic"/>
                  <w14:uncheckedState w14:val="2610" w14:font="MS Gothic"/>
                </w14:checkbox>
              </w:sdtPr>
              <w:sdtEndPr>
                <w:rPr>
                  <w:rStyle w:val="Style2"/>
                </w:rPr>
              </w:sdtEndPr>
              <w:sdtContent>
                <w:r w:rsidR="00B811A4" w:rsidRPr="006372E0">
                  <w:rPr>
                    <w:rStyle w:val="Style2"/>
                    <w:rFonts w:ascii="Segoe UI Symbol" w:eastAsia="MS Gothic" w:hAnsi="Segoe UI Symbol" w:cs="Segoe UI Symbol"/>
                    <w:sz w:val="23"/>
                    <w:szCs w:val="23"/>
                  </w:rPr>
                  <w:t>☐</w:t>
                </w:r>
              </w:sdtContent>
            </w:sdt>
            <w:r w:rsidR="00B811A4" w:rsidRPr="006372E0">
              <w:rPr>
                <w:sz w:val="23"/>
                <w:szCs w:val="23"/>
              </w:rPr>
              <w:t xml:space="preserve"> </w:t>
            </w:r>
            <w:r w:rsidR="00B811A4" w:rsidRPr="006372E0">
              <w:rPr>
                <w:rStyle w:val="Style2"/>
                <w:sz w:val="23"/>
                <w:szCs w:val="23"/>
              </w:rPr>
              <w:t>29</w:t>
            </w:r>
            <w:r w:rsidR="00B811A4" w:rsidRPr="006372E0">
              <w:rPr>
                <w:sz w:val="23"/>
                <w:szCs w:val="23"/>
              </w:rPr>
              <w:t>.1.2 iš esmės nesiskiria, lyginant su įprasta klinikine praktika</w:t>
            </w:r>
          </w:p>
        </w:tc>
        <w:tc>
          <w:tcPr>
            <w:tcW w:w="4814" w:type="dxa"/>
          </w:tcPr>
          <w:p w14:paraId="72562F9E" w14:textId="322FD829" w:rsidR="00B811A4" w:rsidRPr="006372E0" w:rsidRDefault="003B5D7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1"/>
                  <w14:checkedState w14:val="2612" w14:font="MS Gothic"/>
                  <w14:uncheckedState w14:val="2610" w14:font="MS Gothic"/>
                </w14:checkbox>
              </w:sdtPr>
              <w:sdtEndPr>
                <w:rPr>
                  <w:rStyle w:val="Style2"/>
                </w:rPr>
              </w:sdtEndPr>
              <w:sdtContent>
                <w:r w:rsidR="006372E0" w:rsidRPr="006372E0">
                  <w:rPr>
                    <w:rStyle w:val="Style2"/>
                    <w:rFonts w:ascii="MS Gothic" w:eastAsia="MS Gothic" w:hAnsi="MS Gothic" w:cs="Segoe UI Symbol" w:hint="eastAsia"/>
                    <w:sz w:val="23"/>
                    <w:szCs w:val="23"/>
                  </w:rPr>
                  <w:t>☒</w:t>
                </w:r>
              </w:sdtContent>
            </w:sdt>
            <w:r w:rsidR="00B811A4" w:rsidRPr="006372E0">
              <w:rPr>
                <w:sz w:val="23"/>
                <w:szCs w:val="23"/>
              </w:rPr>
              <w:t xml:space="preserve"> </w:t>
            </w:r>
            <w:r w:rsidR="00B811A4" w:rsidRPr="006372E0">
              <w:rPr>
                <w:rStyle w:val="Style2"/>
                <w:sz w:val="23"/>
                <w:szCs w:val="23"/>
              </w:rPr>
              <w:t>29</w:t>
            </w:r>
            <w:r w:rsidR="00B811A4" w:rsidRPr="006372E0">
              <w:rPr>
                <w:sz w:val="23"/>
                <w:szCs w:val="23"/>
              </w:rPr>
              <w:t xml:space="preserve">.1.3 yra neįrodytas kaip iš esmės nesiskiriantis, lyginant su įprasta klinikine praktika  </w:t>
            </w:r>
          </w:p>
          <w:p w14:paraId="6F6DB5BC" w14:textId="77777777" w:rsidR="00B811A4" w:rsidRPr="006372E0"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EE1D885" w14:textId="156D454F" w:rsidR="00B811A4" w:rsidRPr="006372E0" w:rsidRDefault="003B5D7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EndPr>
                <w:rPr>
                  <w:rStyle w:val="Style2"/>
                </w:rPr>
              </w:sdtEndPr>
              <w:sdtContent>
                <w:r w:rsidR="006372E0" w:rsidRPr="006372E0">
                  <w:rPr>
                    <w:rStyle w:val="Style2"/>
                    <w:rFonts w:ascii="MS Gothic" w:eastAsia="MS Gothic" w:hAnsi="MS Gothic" w:hint="eastAsia"/>
                    <w:sz w:val="23"/>
                    <w:szCs w:val="23"/>
                  </w:rPr>
                  <w:t>☐</w:t>
                </w:r>
              </w:sdtContent>
            </w:sdt>
            <w:r w:rsidR="00B811A4" w:rsidRPr="006372E0">
              <w:rPr>
                <w:sz w:val="23"/>
                <w:szCs w:val="23"/>
              </w:rPr>
              <w:t xml:space="preserve"> </w:t>
            </w:r>
            <w:r w:rsidR="00B811A4" w:rsidRPr="006372E0">
              <w:rPr>
                <w:rStyle w:val="Style2"/>
                <w:sz w:val="23"/>
                <w:szCs w:val="23"/>
              </w:rPr>
              <w:t>29</w:t>
            </w:r>
            <w:r w:rsidR="00B811A4" w:rsidRPr="006372E0">
              <w:rPr>
                <w:sz w:val="23"/>
                <w:szCs w:val="23"/>
              </w:rPr>
              <w:t>.1.4 yra mažesnis, lyginant su įprasta klinikine praktika</w:t>
            </w:r>
          </w:p>
          <w:p w14:paraId="193C3D76" w14:textId="77777777" w:rsidR="00B811A4" w:rsidRPr="006372E0"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70E94DC" w14:textId="4EC80DB9" w:rsidR="00B811A4" w:rsidRPr="006372E0" w:rsidRDefault="003B5D7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EndPr>
                <w:rPr>
                  <w:rStyle w:val="Style2"/>
                </w:rPr>
              </w:sdtEndPr>
              <w:sdtContent>
                <w:r w:rsidR="00B811A4" w:rsidRPr="006372E0">
                  <w:rPr>
                    <w:rStyle w:val="Style2"/>
                    <w:rFonts w:ascii="Segoe UI Symbol" w:eastAsia="MS Gothic" w:hAnsi="Segoe UI Symbol" w:cs="Segoe UI Symbol"/>
                    <w:sz w:val="23"/>
                    <w:szCs w:val="23"/>
                  </w:rPr>
                  <w:t>☐</w:t>
                </w:r>
              </w:sdtContent>
            </w:sdt>
            <w:r w:rsidR="00B811A4" w:rsidRPr="006372E0">
              <w:rPr>
                <w:sz w:val="23"/>
                <w:szCs w:val="23"/>
              </w:rPr>
              <w:t xml:space="preserve"> </w:t>
            </w:r>
            <w:r w:rsidR="00B811A4" w:rsidRPr="006372E0">
              <w:rPr>
                <w:rStyle w:val="Style2"/>
                <w:sz w:val="23"/>
                <w:szCs w:val="23"/>
              </w:rPr>
              <w:t>29</w:t>
            </w:r>
            <w:r w:rsidR="00B811A4" w:rsidRPr="006372E0">
              <w:rPr>
                <w:sz w:val="23"/>
                <w:szCs w:val="23"/>
              </w:rPr>
              <w:t>.1.5 pateikti duomenys apie palyginamąjį veiksmingumą yra netinkami vertinti</w:t>
            </w:r>
          </w:p>
          <w:p w14:paraId="45719037" w14:textId="77777777" w:rsidR="00B811A4" w:rsidRPr="006372E0"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bookmarkEnd w:id="8"/>
    </w:tbl>
    <w:p w14:paraId="1B85C083" w14:textId="77777777" w:rsidR="009E44AE" w:rsidRPr="000203E1" w:rsidRDefault="009E44AE" w:rsidP="00381024"/>
    <w:p w14:paraId="3B2D1F25" w14:textId="3A80E19F" w:rsidR="000001B0" w:rsidRPr="000203E1" w:rsidRDefault="000001B0" w:rsidP="00CC09D4">
      <w:pPr>
        <w:pStyle w:val="Sraopastraipa"/>
        <w:numPr>
          <w:ilvl w:val="0"/>
          <w:numId w:val="12"/>
        </w:numPr>
        <w:ind w:left="567" w:hanging="567"/>
      </w:pPr>
      <w:r w:rsidRPr="000203E1">
        <w:rPr>
          <w:b/>
        </w:rPr>
        <w:t>REKOME</w:t>
      </w:r>
      <w:r w:rsidR="00D83182" w:rsidRPr="000203E1">
        <w:rPr>
          <w:b/>
        </w:rPr>
        <w:t>N</w:t>
      </w:r>
      <w:r w:rsidRPr="000203E1">
        <w:rPr>
          <w:b/>
        </w:rPr>
        <w:t>DACIJA</w:t>
      </w:r>
    </w:p>
    <w:p w14:paraId="35E33D78" w14:textId="59232BB3" w:rsidR="00B811A4" w:rsidRPr="00D05364" w:rsidRDefault="00B811A4" w:rsidP="00B811A4">
      <w:pPr>
        <w:pStyle w:val="Sraopastraipa"/>
        <w:ind w:left="567"/>
        <w:rPr>
          <w:b/>
        </w:rPr>
      </w:pPr>
    </w:p>
    <w:p w14:paraId="3BDBB196" w14:textId="208A6CFC" w:rsidR="001C2676" w:rsidRDefault="001C2676" w:rsidP="001C2676">
      <w:pPr>
        <w:jc w:val="both"/>
        <w:rPr>
          <w:color w:val="000000"/>
          <w:lang w:eastAsia="lt-LT"/>
        </w:rPr>
      </w:pPr>
      <w:r w:rsidRPr="009300B3">
        <w:t xml:space="preserve">Vadovaujantis </w:t>
      </w:r>
      <w:r>
        <w:t>Aprašo</w:t>
      </w:r>
      <w:r w:rsidRPr="009300B3">
        <w:t xml:space="preserve"> </w:t>
      </w:r>
      <w:r w:rsidRPr="009300B3">
        <w:rPr>
          <w:color w:val="000000"/>
          <w:lang w:eastAsia="lt-LT"/>
        </w:rPr>
        <w:t>30</w:t>
      </w:r>
      <w:r w:rsidRPr="009300B3">
        <w:rPr>
          <w:color w:val="000000"/>
          <w:vertAlign w:val="superscript"/>
          <w:lang w:eastAsia="lt-LT"/>
        </w:rPr>
        <w:t>1</w:t>
      </w:r>
      <w:r w:rsidRPr="009300B3">
        <w:rPr>
          <w:color w:val="000000"/>
          <w:lang w:eastAsia="lt-LT"/>
        </w:rPr>
        <w:t>.3. papunkčiu rekomenduojama nekompensuoti vaistinio preparato pagal paraiškoje nurodytą indikaciją (arba jos dalį) su arba be skyrimo sąlygų, taikant arba netaikant PGS, kai vertinimo išvados atitinka Aprašo 29.1.</w:t>
      </w:r>
      <w:r w:rsidR="008D05F7">
        <w:rPr>
          <w:color w:val="000000"/>
          <w:lang w:eastAsia="lt-LT"/>
        </w:rPr>
        <w:t>3</w:t>
      </w:r>
      <w:r w:rsidRPr="009300B3">
        <w:rPr>
          <w:color w:val="000000"/>
          <w:lang w:eastAsia="lt-LT"/>
        </w:rPr>
        <w:t xml:space="preserve"> papunk</w:t>
      </w:r>
      <w:r>
        <w:rPr>
          <w:color w:val="000000"/>
          <w:lang w:eastAsia="lt-LT"/>
        </w:rPr>
        <w:t>tyje</w:t>
      </w:r>
      <w:r w:rsidRPr="009300B3">
        <w:rPr>
          <w:color w:val="000000"/>
          <w:lang w:eastAsia="lt-LT"/>
        </w:rPr>
        <w:t xml:space="preserve"> numatyt</w:t>
      </w:r>
      <w:r>
        <w:rPr>
          <w:color w:val="000000"/>
          <w:lang w:eastAsia="lt-LT"/>
        </w:rPr>
        <w:t>ą</w:t>
      </w:r>
      <w:r w:rsidRPr="009300B3">
        <w:rPr>
          <w:color w:val="000000"/>
          <w:lang w:eastAsia="lt-LT"/>
        </w:rPr>
        <w:t xml:space="preserve"> sąlyg</w:t>
      </w:r>
      <w:r>
        <w:rPr>
          <w:color w:val="000000"/>
          <w:lang w:eastAsia="lt-LT"/>
        </w:rPr>
        <w:t>ą.</w:t>
      </w:r>
    </w:p>
    <w:p w14:paraId="3D60BB06" w14:textId="77777777" w:rsidR="00B811A4" w:rsidRPr="0089345A" w:rsidRDefault="00B811A4" w:rsidP="00B811A4">
      <w:pPr>
        <w:widowControl w:val="0"/>
        <w:tabs>
          <w:tab w:val="left" w:pos="1418"/>
        </w:tabs>
        <w:suppressAutoHyphens/>
        <w:spacing w:line="360" w:lineRule="atLeast"/>
        <w:jc w:val="center"/>
        <w:textAlignment w:val="center"/>
        <w:rPr>
          <w:color w:val="000000"/>
          <w:lang w:eastAsia="lt-LT"/>
        </w:rPr>
      </w:pPr>
    </w:p>
    <w:p w14:paraId="42F3A222" w14:textId="77777777" w:rsidR="00B811A4" w:rsidRPr="0073329D" w:rsidRDefault="00B811A4" w:rsidP="00B811A4">
      <w:pPr>
        <w:tabs>
          <w:tab w:val="left" w:pos="426"/>
        </w:tabs>
        <w:jc w:val="both"/>
        <w:rPr>
          <w:b/>
          <w:lang w:eastAsia="lt-LT"/>
        </w:rPr>
      </w:pPr>
      <w:r w:rsidRPr="0089345A">
        <w:rPr>
          <w:b/>
          <w:lang w:eastAsia="lt-LT"/>
        </w:rPr>
        <w:t>4.3 Siūloma (-os) kompensuoti terapinės indikacijos ir skyrimo sąlygos</w:t>
      </w:r>
      <w:r w:rsidRPr="0073329D">
        <w:rPr>
          <w:b/>
          <w:lang w:eastAsia="lt-LT"/>
        </w:rPr>
        <w:t xml:space="preserve"> </w:t>
      </w:r>
    </w:p>
    <w:p w14:paraId="179FBABC" w14:textId="77777777" w:rsidR="00B811A4" w:rsidRPr="0073329D" w:rsidRDefault="00B811A4" w:rsidP="00B811A4">
      <w:pPr>
        <w:tabs>
          <w:tab w:val="left" w:pos="426"/>
        </w:tabs>
        <w:jc w:val="both"/>
        <w:rPr>
          <w:b/>
          <w:lang w:eastAsia="lt-LT"/>
        </w:rPr>
      </w:pPr>
    </w:p>
    <w:p w14:paraId="65CB839B" w14:textId="77777777" w:rsidR="00B811A4" w:rsidRDefault="00B811A4" w:rsidP="00B811A4">
      <w:pPr>
        <w:pStyle w:val="Betarp"/>
        <w:rPr>
          <w:rFonts w:ascii="Times New Roman" w:hAnsi="Times New Roman"/>
          <w:b/>
          <w:sz w:val="24"/>
          <w:szCs w:val="24"/>
          <w:lang w:eastAsia="lt-LT"/>
        </w:rPr>
      </w:pPr>
      <w:r w:rsidRPr="0073329D">
        <w:rPr>
          <w:rFonts w:ascii="Times New Roman" w:hAnsi="Times New Roman"/>
          <w:b/>
          <w:sz w:val="24"/>
          <w:szCs w:val="24"/>
          <w:lang w:eastAsia="lt-LT"/>
        </w:rPr>
        <w:t>Terapinės indikacijos</w:t>
      </w:r>
    </w:p>
    <w:p w14:paraId="55A8221C" w14:textId="77777777" w:rsidR="001B0154" w:rsidRPr="001B0154" w:rsidRDefault="001B0154" w:rsidP="00B811A4">
      <w:pPr>
        <w:pStyle w:val="Betarp"/>
        <w:rPr>
          <w:rFonts w:ascii="Times New Roman" w:hAnsi="Times New Roman"/>
          <w:bCs/>
          <w:color w:val="000000" w:themeColor="text1"/>
          <w:sz w:val="24"/>
          <w:szCs w:val="24"/>
          <w:lang w:eastAsia="lt-LT"/>
        </w:rPr>
      </w:pPr>
    </w:p>
    <w:p w14:paraId="3BC08150" w14:textId="065334C9" w:rsidR="00B811A4" w:rsidRDefault="001B0154" w:rsidP="00B811A4">
      <w:pPr>
        <w:pStyle w:val="Betarp"/>
        <w:rPr>
          <w:rFonts w:ascii="Times New Roman" w:hAnsi="Times New Roman"/>
          <w:sz w:val="24"/>
          <w:szCs w:val="24"/>
        </w:rPr>
      </w:pPr>
      <w:r w:rsidRPr="001B0154">
        <w:rPr>
          <w:rFonts w:ascii="Times New Roman" w:hAnsi="Times New Roman"/>
          <w:sz w:val="24"/>
          <w:szCs w:val="24"/>
        </w:rPr>
        <w:t>Jaypirca monoterapija skirta gydyti suaugusiems pacientams, sergantiems atsinaujinančia arba atsparia mantijos ląstelių limfoma (MLL), kurie pirmiau buvo gydyti Brutono tirozino kinazės (BTK) inhibitoriumi.</w:t>
      </w:r>
    </w:p>
    <w:p w14:paraId="081E7A75" w14:textId="77777777" w:rsidR="001B0154" w:rsidRPr="0073329D" w:rsidRDefault="001B0154" w:rsidP="00B811A4">
      <w:pPr>
        <w:pStyle w:val="Betarp"/>
        <w:rPr>
          <w:rFonts w:ascii="Times New Roman" w:hAnsi="Times New Roman"/>
          <w:sz w:val="24"/>
          <w:szCs w:val="24"/>
        </w:rPr>
      </w:pPr>
    </w:p>
    <w:p w14:paraId="632DB4B9" w14:textId="77777777" w:rsidR="00B811A4" w:rsidRDefault="00B811A4" w:rsidP="00B811A4">
      <w:pPr>
        <w:pStyle w:val="Betarp"/>
        <w:rPr>
          <w:rFonts w:ascii="Times New Roman" w:hAnsi="Times New Roman"/>
          <w:b/>
          <w:sz w:val="24"/>
          <w:szCs w:val="24"/>
        </w:rPr>
      </w:pPr>
      <w:r w:rsidRPr="0073329D">
        <w:rPr>
          <w:rFonts w:ascii="Times New Roman" w:hAnsi="Times New Roman"/>
          <w:b/>
          <w:sz w:val="24"/>
          <w:szCs w:val="24"/>
        </w:rPr>
        <w:t>Skyrimo sąlygos</w:t>
      </w:r>
    </w:p>
    <w:p w14:paraId="6E2D9FD5" w14:textId="615039D6" w:rsidR="00F2682E" w:rsidRPr="00F2682E" w:rsidRDefault="00F2682E" w:rsidP="00B811A4">
      <w:pPr>
        <w:pStyle w:val="Betarp"/>
        <w:rPr>
          <w:rFonts w:ascii="Times New Roman" w:hAnsi="Times New Roman"/>
          <w:bCs/>
          <w:sz w:val="24"/>
          <w:szCs w:val="24"/>
        </w:rPr>
      </w:pPr>
      <w:r>
        <w:rPr>
          <w:rFonts w:ascii="Times New Roman" w:hAnsi="Times New Roman"/>
          <w:bCs/>
          <w:sz w:val="24"/>
          <w:szCs w:val="24"/>
        </w:rPr>
        <w:t>Netaikoma.</w:t>
      </w:r>
    </w:p>
    <w:p w14:paraId="76D9496A" w14:textId="77777777" w:rsidR="00F2682E" w:rsidRDefault="00F2682E" w:rsidP="00283E59">
      <w:pPr>
        <w:widowControl w:val="0"/>
        <w:tabs>
          <w:tab w:val="left" w:pos="1418"/>
        </w:tabs>
        <w:suppressAutoHyphens/>
        <w:spacing w:line="360" w:lineRule="atLeast"/>
        <w:jc w:val="center"/>
        <w:textAlignment w:val="center"/>
        <w:rPr>
          <w:color w:val="000000"/>
          <w:lang w:eastAsia="lt-LT"/>
        </w:rPr>
      </w:pPr>
    </w:p>
    <w:p w14:paraId="33B8DE04" w14:textId="1836514A" w:rsidR="00283E59" w:rsidRDefault="00283E59" w:rsidP="00283E59">
      <w:pPr>
        <w:widowControl w:val="0"/>
        <w:tabs>
          <w:tab w:val="left" w:pos="1418"/>
        </w:tabs>
        <w:suppressAutoHyphens/>
        <w:spacing w:line="360" w:lineRule="atLeast"/>
        <w:jc w:val="center"/>
        <w:textAlignment w:val="center"/>
      </w:pPr>
      <w:r>
        <w:rPr>
          <w:color w:val="000000"/>
          <w:lang w:eastAsia="lt-LT"/>
        </w:rPr>
        <w:t>____________________________</w:t>
      </w:r>
    </w:p>
    <w:p w14:paraId="562A1372" w14:textId="77777777" w:rsidR="00283E59" w:rsidRDefault="00283E59" w:rsidP="00283E59">
      <w:pPr>
        <w:jc w:val="both"/>
        <w:rPr>
          <w:b/>
          <w:sz w:val="20"/>
        </w:rPr>
      </w:pPr>
    </w:p>
    <w:p w14:paraId="7CDFF220" w14:textId="58191D98" w:rsidR="000723FF" w:rsidRPr="000203E1" w:rsidRDefault="000723FF" w:rsidP="00824B92">
      <w:pPr>
        <w:rPr>
          <w:b/>
        </w:rPr>
      </w:pPr>
    </w:p>
    <w:sectPr w:rsidR="000723FF" w:rsidRPr="000203E1" w:rsidSect="00063A50">
      <w:headerReference w:type="first" r:id="rId8"/>
      <w:footerReference w:type="first" r:id="rId9"/>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9F9CD" w14:textId="77777777" w:rsidR="001821B3" w:rsidRDefault="001821B3">
      <w:r>
        <w:separator/>
      </w:r>
    </w:p>
  </w:endnote>
  <w:endnote w:type="continuationSeparator" w:id="0">
    <w:p w14:paraId="5AC6B4E4" w14:textId="77777777" w:rsidR="001821B3" w:rsidRDefault="0018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A5084" w14:textId="77777777" w:rsidR="001821B3" w:rsidRDefault="001821B3">
      <w:r>
        <w:separator/>
      </w:r>
    </w:p>
  </w:footnote>
  <w:footnote w:type="continuationSeparator" w:id="0">
    <w:p w14:paraId="5B39939D" w14:textId="77777777" w:rsidR="001821B3" w:rsidRDefault="00182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276250"/>
    <w:multiLevelType w:val="hybridMultilevel"/>
    <w:tmpl w:val="3B6C29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B56BED"/>
    <w:multiLevelType w:val="hybridMultilevel"/>
    <w:tmpl w:val="03368D8C"/>
    <w:lvl w:ilvl="0" w:tplc="02445F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 w15:restartNumberingAfterBreak="0">
    <w:nsid w:val="1A816B09"/>
    <w:multiLevelType w:val="hybridMultilevel"/>
    <w:tmpl w:val="8FBEE17A"/>
    <w:lvl w:ilvl="0" w:tplc="0427000F">
      <w:start w:val="16"/>
      <w:numFmt w:val="decimal"/>
      <w:lvlText w:val="%1."/>
      <w:lvlJc w:val="left"/>
      <w:pPr>
        <w:ind w:left="50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7"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9"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3017897">
    <w:abstractNumId w:val="9"/>
  </w:num>
  <w:num w:numId="2" w16cid:durableId="792096994">
    <w:abstractNumId w:val="2"/>
  </w:num>
  <w:num w:numId="3" w16cid:durableId="2101755703">
    <w:abstractNumId w:val="11"/>
  </w:num>
  <w:num w:numId="4" w16cid:durableId="1191648475">
    <w:abstractNumId w:val="10"/>
  </w:num>
  <w:num w:numId="5" w16cid:durableId="1944605152">
    <w:abstractNumId w:val="8"/>
  </w:num>
  <w:num w:numId="6" w16cid:durableId="2001033773">
    <w:abstractNumId w:val="7"/>
  </w:num>
  <w:num w:numId="7" w16cid:durableId="1600061705">
    <w:abstractNumId w:val="5"/>
  </w:num>
  <w:num w:numId="8" w16cid:durableId="1293707255">
    <w:abstractNumId w:val="14"/>
  </w:num>
  <w:num w:numId="9" w16cid:durableId="1027801510">
    <w:abstractNumId w:val="0"/>
  </w:num>
  <w:num w:numId="10" w16cid:durableId="287051148">
    <w:abstractNumId w:val="12"/>
  </w:num>
  <w:num w:numId="11" w16cid:durableId="125203014">
    <w:abstractNumId w:val="13"/>
  </w:num>
  <w:num w:numId="12" w16cid:durableId="260383475">
    <w:abstractNumId w:val="4"/>
  </w:num>
  <w:num w:numId="13" w16cid:durableId="1093740783">
    <w:abstractNumId w:val="6"/>
  </w:num>
  <w:num w:numId="14" w16cid:durableId="885337161">
    <w:abstractNumId w:val="1"/>
  </w:num>
  <w:num w:numId="15" w16cid:durableId="1406343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3E1"/>
    <w:rsid w:val="0002686C"/>
    <w:rsid w:val="00031D0E"/>
    <w:rsid w:val="000337E6"/>
    <w:rsid w:val="0003402E"/>
    <w:rsid w:val="00034EAE"/>
    <w:rsid w:val="00042924"/>
    <w:rsid w:val="000448C6"/>
    <w:rsid w:val="00052BD8"/>
    <w:rsid w:val="00053975"/>
    <w:rsid w:val="00057A2B"/>
    <w:rsid w:val="000606BE"/>
    <w:rsid w:val="000624FF"/>
    <w:rsid w:val="00063A50"/>
    <w:rsid w:val="000723FF"/>
    <w:rsid w:val="000736B8"/>
    <w:rsid w:val="000778CD"/>
    <w:rsid w:val="0008190F"/>
    <w:rsid w:val="00081D9C"/>
    <w:rsid w:val="00082907"/>
    <w:rsid w:val="0008378D"/>
    <w:rsid w:val="000908A5"/>
    <w:rsid w:val="00092805"/>
    <w:rsid w:val="000A50C9"/>
    <w:rsid w:val="000B2B2C"/>
    <w:rsid w:val="000C454C"/>
    <w:rsid w:val="000D5038"/>
    <w:rsid w:val="000E29D4"/>
    <w:rsid w:val="000F3540"/>
    <w:rsid w:val="00100491"/>
    <w:rsid w:val="00104E2E"/>
    <w:rsid w:val="00107287"/>
    <w:rsid w:val="00117194"/>
    <w:rsid w:val="00117406"/>
    <w:rsid w:val="00121EF0"/>
    <w:rsid w:val="00124A9E"/>
    <w:rsid w:val="00130703"/>
    <w:rsid w:val="0013153F"/>
    <w:rsid w:val="001408B8"/>
    <w:rsid w:val="001453A8"/>
    <w:rsid w:val="001466FE"/>
    <w:rsid w:val="001517E2"/>
    <w:rsid w:val="001521D9"/>
    <w:rsid w:val="001554E2"/>
    <w:rsid w:val="00164146"/>
    <w:rsid w:val="00164D64"/>
    <w:rsid w:val="0017369C"/>
    <w:rsid w:val="00175D57"/>
    <w:rsid w:val="00180C39"/>
    <w:rsid w:val="00180D96"/>
    <w:rsid w:val="001821B3"/>
    <w:rsid w:val="00184BD3"/>
    <w:rsid w:val="001921F3"/>
    <w:rsid w:val="001A0CAA"/>
    <w:rsid w:val="001A67C4"/>
    <w:rsid w:val="001B0154"/>
    <w:rsid w:val="001B3C5B"/>
    <w:rsid w:val="001C2676"/>
    <w:rsid w:val="001C2FC8"/>
    <w:rsid w:val="001C6353"/>
    <w:rsid w:val="001D5B91"/>
    <w:rsid w:val="001D746F"/>
    <w:rsid w:val="001E0B2D"/>
    <w:rsid w:val="001E2590"/>
    <w:rsid w:val="001E4BBB"/>
    <w:rsid w:val="001E6304"/>
    <w:rsid w:val="001F115E"/>
    <w:rsid w:val="0020381E"/>
    <w:rsid w:val="00213471"/>
    <w:rsid w:val="00215906"/>
    <w:rsid w:val="00241CD8"/>
    <w:rsid w:val="00244B09"/>
    <w:rsid w:val="002519CB"/>
    <w:rsid w:val="0025697F"/>
    <w:rsid w:val="00260258"/>
    <w:rsid w:val="0026588E"/>
    <w:rsid w:val="00272428"/>
    <w:rsid w:val="00272948"/>
    <w:rsid w:val="00283E59"/>
    <w:rsid w:val="00292392"/>
    <w:rsid w:val="002946C7"/>
    <w:rsid w:val="00296187"/>
    <w:rsid w:val="002B3CC1"/>
    <w:rsid w:val="002C0686"/>
    <w:rsid w:val="002C09E0"/>
    <w:rsid w:val="002C100E"/>
    <w:rsid w:val="002C1BB1"/>
    <w:rsid w:val="002C2786"/>
    <w:rsid w:val="002C3A10"/>
    <w:rsid w:val="002C4A90"/>
    <w:rsid w:val="002C4ED5"/>
    <w:rsid w:val="002D02EF"/>
    <w:rsid w:val="002D7214"/>
    <w:rsid w:val="002E0702"/>
    <w:rsid w:val="002E1A83"/>
    <w:rsid w:val="002E57AD"/>
    <w:rsid w:val="002E6F80"/>
    <w:rsid w:val="002F0E4F"/>
    <w:rsid w:val="002F1053"/>
    <w:rsid w:val="00314816"/>
    <w:rsid w:val="00317B0E"/>
    <w:rsid w:val="00336238"/>
    <w:rsid w:val="00343962"/>
    <w:rsid w:val="00347FAA"/>
    <w:rsid w:val="0035172D"/>
    <w:rsid w:val="0036187D"/>
    <w:rsid w:val="00367EDB"/>
    <w:rsid w:val="003705F0"/>
    <w:rsid w:val="00381024"/>
    <w:rsid w:val="00386307"/>
    <w:rsid w:val="003874DE"/>
    <w:rsid w:val="00393E9F"/>
    <w:rsid w:val="0039696E"/>
    <w:rsid w:val="003B211A"/>
    <w:rsid w:val="003B5D70"/>
    <w:rsid w:val="003C141F"/>
    <w:rsid w:val="003C6B0E"/>
    <w:rsid w:val="003C7257"/>
    <w:rsid w:val="003C7E35"/>
    <w:rsid w:val="003D1E99"/>
    <w:rsid w:val="003D6208"/>
    <w:rsid w:val="00404E8A"/>
    <w:rsid w:val="0040622F"/>
    <w:rsid w:val="00413F24"/>
    <w:rsid w:val="00422853"/>
    <w:rsid w:val="00423160"/>
    <w:rsid w:val="00437623"/>
    <w:rsid w:val="00444A2B"/>
    <w:rsid w:val="00453862"/>
    <w:rsid w:val="0045469B"/>
    <w:rsid w:val="00461338"/>
    <w:rsid w:val="004677DB"/>
    <w:rsid w:val="00476256"/>
    <w:rsid w:val="0048630F"/>
    <w:rsid w:val="004910DC"/>
    <w:rsid w:val="004947A1"/>
    <w:rsid w:val="0049482A"/>
    <w:rsid w:val="004979D3"/>
    <w:rsid w:val="004A00E7"/>
    <w:rsid w:val="004A3A61"/>
    <w:rsid w:val="004B59BA"/>
    <w:rsid w:val="004B5A03"/>
    <w:rsid w:val="004C263A"/>
    <w:rsid w:val="004C6221"/>
    <w:rsid w:val="004D48A6"/>
    <w:rsid w:val="004D70B6"/>
    <w:rsid w:val="004D7B8F"/>
    <w:rsid w:val="004E241F"/>
    <w:rsid w:val="004E6458"/>
    <w:rsid w:val="004E6E7D"/>
    <w:rsid w:val="004F1AAC"/>
    <w:rsid w:val="004F1AE2"/>
    <w:rsid w:val="004F34F0"/>
    <w:rsid w:val="004F3B2B"/>
    <w:rsid w:val="004F6050"/>
    <w:rsid w:val="005005EF"/>
    <w:rsid w:val="005123C2"/>
    <w:rsid w:val="0052144B"/>
    <w:rsid w:val="00524066"/>
    <w:rsid w:val="00526A0F"/>
    <w:rsid w:val="00534E11"/>
    <w:rsid w:val="005378D8"/>
    <w:rsid w:val="005400D9"/>
    <w:rsid w:val="005476A4"/>
    <w:rsid w:val="0055019B"/>
    <w:rsid w:val="00556E63"/>
    <w:rsid w:val="005601A4"/>
    <w:rsid w:val="00566DBB"/>
    <w:rsid w:val="00567B14"/>
    <w:rsid w:val="005767DB"/>
    <w:rsid w:val="00581154"/>
    <w:rsid w:val="005815E6"/>
    <w:rsid w:val="0058712F"/>
    <w:rsid w:val="005976CE"/>
    <w:rsid w:val="005A23D4"/>
    <w:rsid w:val="005A2D1E"/>
    <w:rsid w:val="005A4698"/>
    <w:rsid w:val="005B3756"/>
    <w:rsid w:val="005C493F"/>
    <w:rsid w:val="005C6BF7"/>
    <w:rsid w:val="005C71BF"/>
    <w:rsid w:val="005D002C"/>
    <w:rsid w:val="005D30E1"/>
    <w:rsid w:val="005D6555"/>
    <w:rsid w:val="005D7BDF"/>
    <w:rsid w:val="005E4870"/>
    <w:rsid w:val="005F1857"/>
    <w:rsid w:val="005F71D9"/>
    <w:rsid w:val="005F7602"/>
    <w:rsid w:val="006062BE"/>
    <w:rsid w:val="00613143"/>
    <w:rsid w:val="00613501"/>
    <w:rsid w:val="0061611B"/>
    <w:rsid w:val="006166A8"/>
    <w:rsid w:val="006174A1"/>
    <w:rsid w:val="00621D6C"/>
    <w:rsid w:val="00633B49"/>
    <w:rsid w:val="006372E0"/>
    <w:rsid w:val="0064297F"/>
    <w:rsid w:val="00645102"/>
    <w:rsid w:val="00646CF3"/>
    <w:rsid w:val="00653D11"/>
    <w:rsid w:val="00662983"/>
    <w:rsid w:val="00677EA2"/>
    <w:rsid w:val="006834D3"/>
    <w:rsid w:val="00692625"/>
    <w:rsid w:val="00695CD3"/>
    <w:rsid w:val="006A38B6"/>
    <w:rsid w:val="006B1987"/>
    <w:rsid w:val="006B5B71"/>
    <w:rsid w:val="006B5D3E"/>
    <w:rsid w:val="006B6141"/>
    <w:rsid w:val="006B6CB0"/>
    <w:rsid w:val="006C2B64"/>
    <w:rsid w:val="006C3214"/>
    <w:rsid w:val="006C5911"/>
    <w:rsid w:val="006D1BF3"/>
    <w:rsid w:val="006D4C85"/>
    <w:rsid w:val="006D66AC"/>
    <w:rsid w:val="006E33F6"/>
    <w:rsid w:val="006F1251"/>
    <w:rsid w:val="006F1C23"/>
    <w:rsid w:val="00702C18"/>
    <w:rsid w:val="00703166"/>
    <w:rsid w:val="007111C4"/>
    <w:rsid w:val="007127F3"/>
    <w:rsid w:val="007301CF"/>
    <w:rsid w:val="007316FB"/>
    <w:rsid w:val="00737E2D"/>
    <w:rsid w:val="007424D5"/>
    <w:rsid w:val="00745C63"/>
    <w:rsid w:val="00750A88"/>
    <w:rsid w:val="007523DD"/>
    <w:rsid w:val="00757B7E"/>
    <w:rsid w:val="007656B2"/>
    <w:rsid w:val="0077016F"/>
    <w:rsid w:val="007713AD"/>
    <w:rsid w:val="00771E68"/>
    <w:rsid w:val="00795DC5"/>
    <w:rsid w:val="00797153"/>
    <w:rsid w:val="007A21F7"/>
    <w:rsid w:val="007A2B68"/>
    <w:rsid w:val="007B0DDA"/>
    <w:rsid w:val="007B68A3"/>
    <w:rsid w:val="007D3347"/>
    <w:rsid w:val="007D654E"/>
    <w:rsid w:val="007E5466"/>
    <w:rsid w:val="007F1949"/>
    <w:rsid w:val="007F2592"/>
    <w:rsid w:val="00800A08"/>
    <w:rsid w:val="00817A84"/>
    <w:rsid w:val="008225A4"/>
    <w:rsid w:val="00824B92"/>
    <w:rsid w:val="00826D5E"/>
    <w:rsid w:val="00832013"/>
    <w:rsid w:val="00832DB7"/>
    <w:rsid w:val="00834732"/>
    <w:rsid w:val="00840065"/>
    <w:rsid w:val="0085200C"/>
    <w:rsid w:val="00857C52"/>
    <w:rsid w:val="00860D5F"/>
    <w:rsid w:val="00880A44"/>
    <w:rsid w:val="0088345E"/>
    <w:rsid w:val="0088656F"/>
    <w:rsid w:val="008875BC"/>
    <w:rsid w:val="00891EF6"/>
    <w:rsid w:val="00892FF4"/>
    <w:rsid w:val="0089345A"/>
    <w:rsid w:val="00896A82"/>
    <w:rsid w:val="008A0303"/>
    <w:rsid w:val="008A5FDD"/>
    <w:rsid w:val="008C3947"/>
    <w:rsid w:val="008D05F7"/>
    <w:rsid w:val="008E473B"/>
    <w:rsid w:val="008E51A6"/>
    <w:rsid w:val="008E7329"/>
    <w:rsid w:val="008F2ED5"/>
    <w:rsid w:val="0092297E"/>
    <w:rsid w:val="00923292"/>
    <w:rsid w:val="00923651"/>
    <w:rsid w:val="00924DF7"/>
    <w:rsid w:val="00927B56"/>
    <w:rsid w:val="009341BF"/>
    <w:rsid w:val="00937907"/>
    <w:rsid w:val="00941739"/>
    <w:rsid w:val="00951573"/>
    <w:rsid w:val="00963003"/>
    <w:rsid w:val="00965919"/>
    <w:rsid w:val="00966EEF"/>
    <w:rsid w:val="00971B28"/>
    <w:rsid w:val="00983471"/>
    <w:rsid w:val="009909AB"/>
    <w:rsid w:val="009B37DB"/>
    <w:rsid w:val="009C7A8C"/>
    <w:rsid w:val="009D23F9"/>
    <w:rsid w:val="009D4FA8"/>
    <w:rsid w:val="009E21EA"/>
    <w:rsid w:val="009E44AE"/>
    <w:rsid w:val="009E6CD6"/>
    <w:rsid w:val="009F4D66"/>
    <w:rsid w:val="00A00C3C"/>
    <w:rsid w:val="00A01091"/>
    <w:rsid w:val="00A042B9"/>
    <w:rsid w:val="00A06DBB"/>
    <w:rsid w:val="00A22ADF"/>
    <w:rsid w:val="00A2310D"/>
    <w:rsid w:val="00A254A2"/>
    <w:rsid w:val="00A31E86"/>
    <w:rsid w:val="00A54D87"/>
    <w:rsid w:val="00A5553C"/>
    <w:rsid w:val="00A701C9"/>
    <w:rsid w:val="00A81785"/>
    <w:rsid w:val="00A84803"/>
    <w:rsid w:val="00A84C51"/>
    <w:rsid w:val="00A86F2B"/>
    <w:rsid w:val="00A91366"/>
    <w:rsid w:val="00A92F91"/>
    <w:rsid w:val="00A93AA6"/>
    <w:rsid w:val="00AA4E48"/>
    <w:rsid w:val="00AA6202"/>
    <w:rsid w:val="00AA7B57"/>
    <w:rsid w:val="00AB2806"/>
    <w:rsid w:val="00AB2D54"/>
    <w:rsid w:val="00AC26FC"/>
    <w:rsid w:val="00AC4A99"/>
    <w:rsid w:val="00AC5129"/>
    <w:rsid w:val="00AC64D2"/>
    <w:rsid w:val="00AD02E7"/>
    <w:rsid w:val="00AE0FE8"/>
    <w:rsid w:val="00AF60D5"/>
    <w:rsid w:val="00B00959"/>
    <w:rsid w:val="00B04415"/>
    <w:rsid w:val="00B06509"/>
    <w:rsid w:val="00B07CB0"/>
    <w:rsid w:val="00B11D60"/>
    <w:rsid w:val="00B13D65"/>
    <w:rsid w:val="00B21805"/>
    <w:rsid w:val="00B3072E"/>
    <w:rsid w:val="00B36E15"/>
    <w:rsid w:val="00B37245"/>
    <w:rsid w:val="00B4017A"/>
    <w:rsid w:val="00B4468D"/>
    <w:rsid w:val="00B663AD"/>
    <w:rsid w:val="00B71C72"/>
    <w:rsid w:val="00B71F04"/>
    <w:rsid w:val="00B74A62"/>
    <w:rsid w:val="00B811A4"/>
    <w:rsid w:val="00B81E92"/>
    <w:rsid w:val="00B908D7"/>
    <w:rsid w:val="00B935E8"/>
    <w:rsid w:val="00B93B30"/>
    <w:rsid w:val="00B94CB5"/>
    <w:rsid w:val="00BA0DD9"/>
    <w:rsid w:val="00BA5DBC"/>
    <w:rsid w:val="00BA6584"/>
    <w:rsid w:val="00BB6312"/>
    <w:rsid w:val="00BC39C2"/>
    <w:rsid w:val="00BC4D06"/>
    <w:rsid w:val="00BD05E1"/>
    <w:rsid w:val="00BD585E"/>
    <w:rsid w:val="00BD6919"/>
    <w:rsid w:val="00BE1EA7"/>
    <w:rsid w:val="00BE7489"/>
    <w:rsid w:val="00BF2E0D"/>
    <w:rsid w:val="00BF3927"/>
    <w:rsid w:val="00BF3F8B"/>
    <w:rsid w:val="00BF76DA"/>
    <w:rsid w:val="00C00CDB"/>
    <w:rsid w:val="00C07C7B"/>
    <w:rsid w:val="00C16245"/>
    <w:rsid w:val="00C22DC5"/>
    <w:rsid w:val="00C24479"/>
    <w:rsid w:val="00C273F2"/>
    <w:rsid w:val="00C37B53"/>
    <w:rsid w:val="00C434EB"/>
    <w:rsid w:val="00C517D2"/>
    <w:rsid w:val="00C5772E"/>
    <w:rsid w:val="00C62B36"/>
    <w:rsid w:val="00C64C04"/>
    <w:rsid w:val="00C7012C"/>
    <w:rsid w:val="00C712EA"/>
    <w:rsid w:val="00C92910"/>
    <w:rsid w:val="00C9728E"/>
    <w:rsid w:val="00CA217D"/>
    <w:rsid w:val="00CA3131"/>
    <w:rsid w:val="00CC09D4"/>
    <w:rsid w:val="00CC4F5F"/>
    <w:rsid w:val="00CC668D"/>
    <w:rsid w:val="00CC7832"/>
    <w:rsid w:val="00CD488E"/>
    <w:rsid w:val="00CE4B0B"/>
    <w:rsid w:val="00CF099C"/>
    <w:rsid w:val="00CF0C1C"/>
    <w:rsid w:val="00CF27FD"/>
    <w:rsid w:val="00CF5F12"/>
    <w:rsid w:val="00D00D8F"/>
    <w:rsid w:val="00D05392"/>
    <w:rsid w:val="00D12869"/>
    <w:rsid w:val="00D14512"/>
    <w:rsid w:val="00D15ED6"/>
    <w:rsid w:val="00D21F3A"/>
    <w:rsid w:val="00D23808"/>
    <w:rsid w:val="00D3016A"/>
    <w:rsid w:val="00D417D2"/>
    <w:rsid w:val="00D42960"/>
    <w:rsid w:val="00D43BD7"/>
    <w:rsid w:val="00D4485B"/>
    <w:rsid w:val="00D46CCD"/>
    <w:rsid w:val="00D4708D"/>
    <w:rsid w:val="00D4744C"/>
    <w:rsid w:val="00D51046"/>
    <w:rsid w:val="00D521DE"/>
    <w:rsid w:val="00D5470B"/>
    <w:rsid w:val="00D63068"/>
    <w:rsid w:val="00D6498C"/>
    <w:rsid w:val="00D67BAF"/>
    <w:rsid w:val="00D7310F"/>
    <w:rsid w:val="00D76A70"/>
    <w:rsid w:val="00D83182"/>
    <w:rsid w:val="00D8521E"/>
    <w:rsid w:val="00D855D7"/>
    <w:rsid w:val="00D9291C"/>
    <w:rsid w:val="00D93A97"/>
    <w:rsid w:val="00DA5602"/>
    <w:rsid w:val="00DB1F64"/>
    <w:rsid w:val="00DC261A"/>
    <w:rsid w:val="00DC2F53"/>
    <w:rsid w:val="00DC5BAC"/>
    <w:rsid w:val="00DC6816"/>
    <w:rsid w:val="00DC76C2"/>
    <w:rsid w:val="00DD1CF2"/>
    <w:rsid w:val="00DD7B2E"/>
    <w:rsid w:val="00DE4484"/>
    <w:rsid w:val="00DF41B7"/>
    <w:rsid w:val="00DF4A4A"/>
    <w:rsid w:val="00DF583C"/>
    <w:rsid w:val="00E03C3F"/>
    <w:rsid w:val="00E06FD7"/>
    <w:rsid w:val="00E07417"/>
    <w:rsid w:val="00E24D45"/>
    <w:rsid w:val="00E26DE7"/>
    <w:rsid w:val="00E33DB8"/>
    <w:rsid w:val="00E33EFF"/>
    <w:rsid w:val="00E34387"/>
    <w:rsid w:val="00E348BA"/>
    <w:rsid w:val="00E369FE"/>
    <w:rsid w:val="00E37C6F"/>
    <w:rsid w:val="00E475F8"/>
    <w:rsid w:val="00E5102E"/>
    <w:rsid w:val="00E5721C"/>
    <w:rsid w:val="00E619C6"/>
    <w:rsid w:val="00E70CED"/>
    <w:rsid w:val="00E745A1"/>
    <w:rsid w:val="00E81529"/>
    <w:rsid w:val="00E83A13"/>
    <w:rsid w:val="00EB1151"/>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477"/>
    <w:rsid w:val="00F14B5D"/>
    <w:rsid w:val="00F259FC"/>
    <w:rsid w:val="00F2682E"/>
    <w:rsid w:val="00F313F4"/>
    <w:rsid w:val="00F36972"/>
    <w:rsid w:val="00F42426"/>
    <w:rsid w:val="00F44F01"/>
    <w:rsid w:val="00F456BC"/>
    <w:rsid w:val="00F50666"/>
    <w:rsid w:val="00F70731"/>
    <w:rsid w:val="00F70C9E"/>
    <w:rsid w:val="00F74A74"/>
    <w:rsid w:val="00F7572C"/>
    <w:rsid w:val="00F8382C"/>
    <w:rsid w:val="00F855D7"/>
    <w:rsid w:val="00F92035"/>
    <w:rsid w:val="00F92748"/>
    <w:rsid w:val="00FA4169"/>
    <w:rsid w:val="00FB0D41"/>
    <w:rsid w:val="00FB2030"/>
    <w:rsid w:val="00FD0E46"/>
    <w:rsid w:val="00FD1060"/>
    <w:rsid w:val="00FD1CF2"/>
    <w:rsid w:val="00FD3EDF"/>
    <w:rsid w:val="00FD793C"/>
    <w:rsid w:val="00FE0FD5"/>
    <w:rsid w:val="00FE20E6"/>
    <w:rsid w:val="00FE3E3B"/>
    <w:rsid w:val="00FE5878"/>
    <w:rsid w:val="00FF4032"/>
    <w:rsid w:val="00FF4A2E"/>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Summary box,Dossier Table"/>
    <w:basedOn w:val="prastojilentel"/>
    <w:uiPriority w:val="5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 List,Bullet1,Use Case List Paragraph,List Paragraph1,Body Bullet,Table Number Paragraph,Colorful List - Accent 11,List Paragraph 1,Ref,B1,Figure_name,bu1,bu1 + Before:  0 pt,After:  6 pt,Bullet for no #'s,Paragraph,lp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 List Diagrama,Bullet1 Diagrama,Use Case List Paragraph Diagrama,List Paragraph1 Diagrama,Body Bullet Diagrama,Table Number Paragraph Diagrama,Colorful List - Accent 11 Diagrama,List Paragraph 1 Diagrama,Ref Diagrama"/>
    <w:link w:val="Sraopastraipa"/>
    <w:uiPriority w:val="34"/>
    <w:locked/>
    <w:rsid w:val="00B07CB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8B36CB0C9745E2B633DA033D055CBA"/>
        <w:category>
          <w:name w:val="General"/>
          <w:gallery w:val="placeholder"/>
        </w:category>
        <w:types>
          <w:type w:val="bbPlcHdr"/>
        </w:types>
        <w:behaviors>
          <w:behavior w:val="content"/>
        </w:behaviors>
        <w:guid w:val="{8533498C-B0E2-49A5-A7F9-6708FA33AE06}"/>
      </w:docPartPr>
      <w:docPartBody>
        <w:p w:rsidR="00BA5B27" w:rsidRDefault="00FC1A14" w:rsidP="00FC1A14">
          <w:pPr>
            <w:pStyle w:val="7A8B36CB0C9745E2B633DA033D055CBA"/>
          </w:pPr>
          <w:r>
            <w:rPr>
              <w:rStyle w:val="Vietosrezervavimoenklotekstas"/>
            </w:rPr>
            <w:t>Click here to enter a date.</w:t>
          </w:r>
        </w:p>
      </w:docPartBody>
    </w:docPart>
    <w:docPart>
      <w:docPartPr>
        <w:name w:val="E96DF1D59C964F52BE2343B1C09C3E6F"/>
        <w:category>
          <w:name w:val="General"/>
          <w:gallery w:val="placeholder"/>
        </w:category>
        <w:types>
          <w:type w:val="bbPlcHdr"/>
        </w:types>
        <w:behaviors>
          <w:behavior w:val="content"/>
        </w:behaviors>
        <w:guid w:val="{D43231C2-7891-489E-8D0A-74522AABC6AD}"/>
      </w:docPartPr>
      <w:docPartBody>
        <w:p w:rsidR="00BA5B27" w:rsidRDefault="00FC1A14" w:rsidP="00FC1A14">
          <w:pPr>
            <w:pStyle w:val="E96DF1D59C964F52BE2343B1C09C3E6F"/>
          </w:pPr>
          <w:r>
            <w:rPr>
              <w:rStyle w:val="Vietosrezervavimoenklotekstas"/>
            </w:rPr>
            <w:t>Click here to enter a date.</w:t>
          </w:r>
        </w:p>
      </w:docPartBody>
    </w:docPart>
    <w:docPart>
      <w:docPartPr>
        <w:name w:val="7E74D52AD769472FB306DC4F23EF8A45"/>
        <w:category>
          <w:name w:val="General"/>
          <w:gallery w:val="placeholder"/>
        </w:category>
        <w:types>
          <w:type w:val="bbPlcHdr"/>
        </w:types>
        <w:behaviors>
          <w:behavior w:val="content"/>
        </w:behaviors>
        <w:guid w:val="{02E917B5-0C23-4746-8D54-0028D8854ADA}"/>
      </w:docPartPr>
      <w:docPartBody>
        <w:p w:rsidR="00BA5B27" w:rsidRDefault="00FC1A14" w:rsidP="00FC1A14">
          <w:pPr>
            <w:pStyle w:val="7E74D52AD769472FB306DC4F23EF8A45"/>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47C19"/>
    <w:rsid w:val="00061157"/>
    <w:rsid w:val="000624FF"/>
    <w:rsid w:val="000937FE"/>
    <w:rsid w:val="000A50C9"/>
    <w:rsid w:val="000A559A"/>
    <w:rsid w:val="000D24D4"/>
    <w:rsid w:val="000D6217"/>
    <w:rsid w:val="0014006D"/>
    <w:rsid w:val="001453A8"/>
    <w:rsid w:val="001C35A9"/>
    <w:rsid w:val="00237556"/>
    <w:rsid w:val="002C0686"/>
    <w:rsid w:val="002D7214"/>
    <w:rsid w:val="0039303B"/>
    <w:rsid w:val="004144A3"/>
    <w:rsid w:val="004160E7"/>
    <w:rsid w:val="004416C6"/>
    <w:rsid w:val="00456E96"/>
    <w:rsid w:val="004910DC"/>
    <w:rsid w:val="004C6221"/>
    <w:rsid w:val="004D038D"/>
    <w:rsid w:val="004F4E20"/>
    <w:rsid w:val="004F5AB2"/>
    <w:rsid w:val="005074B9"/>
    <w:rsid w:val="00563A5F"/>
    <w:rsid w:val="005C62E5"/>
    <w:rsid w:val="005E40DD"/>
    <w:rsid w:val="00601F4E"/>
    <w:rsid w:val="006B6141"/>
    <w:rsid w:val="006E6A2C"/>
    <w:rsid w:val="007219C1"/>
    <w:rsid w:val="00745C63"/>
    <w:rsid w:val="00753462"/>
    <w:rsid w:val="00771E68"/>
    <w:rsid w:val="00772325"/>
    <w:rsid w:val="007A2FE0"/>
    <w:rsid w:val="007C6D1D"/>
    <w:rsid w:val="007D654E"/>
    <w:rsid w:val="00892FF4"/>
    <w:rsid w:val="008C0DC0"/>
    <w:rsid w:val="0090074D"/>
    <w:rsid w:val="00901A35"/>
    <w:rsid w:val="009B3BF0"/>
    <w:rsid w:val="009D5E5E"/>
    <w:rsid w:val="009F1BB4"/>
    <w:rsid w:val="00A20D39"/>
    <w:rsid w:val="00A254A2"/>
    <w:rsid w:val="00AB2D54"/>
    <w:rsid w:val="00AB6ED4"/>
    <w:rsid w:val="00B14210"/>
    <w:rsid w:val="00B22ED6"/>
    <w:rsid w:val="00B23DC0"/>
    <w:rsid w:val="00B663AD"/>
    <w:rsid w:val="00B71F04"/>
    <w:rsid w:val="00B96656"/>
    <w:rsid w:val="00BA0A8E"/>
    <w:rsid w:val="00BA5B27"/>
    <w:rsid w:val="00BE3364"/>
    <w:rsid w:val="00C2401D"/>
    <w:rsid w:val="00C250D7"/>
    <w:rsid w:val="00C53A68"/>
    <w:rsid w:val="00C66578"/>
    <w:rsid w:val="00CA5BB4"/>
    <w:rsid w:val="00CB3D87"/>
    <w:rsid w:val="00CB4BD1"/>
    <w:rsid w:val="00CD139C"/>
    <w:rsid w:val="00CE2DA9"/>
    <w:rsid w:val="00CE44BE"/>
    <w:rsid w:val="00D008F3"/>
    <w:rsid w:val="00D0142D"/>
    <w:rsid w:val="00D04DFF"/>
    <w:rsid w:val="00D05392"/>
    <w:rsid w:val="00D15ED6"/>
    <w:rsid w:val="00D20347"/>
    <w:rsid w:val="00D4356B"/>
    <w:rsid w:val="00D7162F"/>
    <w:rsid w:val="00D855D7"/>
    <w:rsid w:val="00DA599C"/>
    <w:rsid w:val="00DB4DB5"/>
    <w:rsid w:val="00DE4D10"/>
    <w:rsid w:val="00E44A86"/>
    <w:rsid w:val="00E522EB"/>
    <w:rsid w:val="00E60827"/>
    <w:rsid w:val="00EF6E0C"/>
    <w:rsid w:val="00F14477"/>
    <w:rsid w:val="00F370E5"/>
    <w:rsid w:val="00F55028"/>
    <w:rsid w:val="00F677F0"/>
    <w:rsid w:val="00F77BEF"/>
    <w:rsid w:val="00FC1A14"/>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FC1A14"/>
    <w:rPr>
      <w:color w:val="808080"/>
    </w:rPr>
  </w:style>
  <w:style w:type="paragraph" w:customStyle="1" w:styleId="7A8B36CB0C9745E2B633DA033D055CBA">
    <w:name w:val="7A8B36CB0C9745E2B633DA033D055CBA"/>
    <w:rsid w:val="00FC1A14"/>
    <w:pPr>
      <w:spacing w:line="278" w:lineRule="auto"/>
    </w:pPr>
    <w:rPr>
      <w:kern w:val="2"/>
      <w:sz w:val="24"/>
      <w:szCs w:val="24"/>
      <w14:ligatures w14:val="standardContextual"/>
    </w:rPr>
  </w:style>
  <w:style w:type="paragraph" w:customStyle="1" w:styleId="E96DF1D59C964F52BE2343B1C09C3E6F">
    <w:name w:val="E96DF1D59C964F52BE2343B1C09C3E6F"/>
    <w:rsid w:val="00FC1A14"/>
    <w:pPr>
      <w:spacing w:line="278" w:lineRule="auto"/>
    </w:pPr>
    <w:rPr>
      <w:kern w:val="2"/>
      <w:sz w:val="24"/>
      <w:szCs w:val="24"/>
      <w14:ligatures w14:val="standardContextual"/>
    </w:rPr>
  </w:style>
  <w:style w:type="paragraph" w:customStyle="1" w:styleId="7E74D52AD769472FB306DC4F23EF8A45">
    <w:name w:val="7E74D52AD769472FB306DC4F23EF8A45"/>
    <w:rsid w:val="00FC1A1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F0943-FC13-4F31-B4C5-BE0D5B231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1251</Words>
  <Characters>9086</Characters>
  <Application>Microsoft Office Word</Application>
  <DocSecurity>0</DocSecurity>
  <Lines>75</Lines>
  <Paragraphs>20</Paragraphs>
  <ScaleCrop>false</ScaleCrop>
  <Company/>
  <LinksUpToDate>false</LinksUpToDate>
  <CharactersWithSpaces>10317</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2025-12-18T10:01:00Z</dcterms:created>
  <dcterms:modified xsi:type="dcterms:W3CDTF">2025-12-18T10:01:00Z</dcterms:modified>
</cp:coreProperties>
</file>