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3E8F70CF" w14:textId="617DF4F8" w:rsidR="00E06C2D" w:rsidRDefault="00E06C2D" w:rsidP="00E06C2D">
      <w:pPr>
        <w:spacing w:line="276" w:lineRule="auto"/>
        <w:jc w:val="center"/>
        <w:rPr>
          <w:color w:val="000000"/>
        </w:rPr>
      </w:pPr>
      <w:r>
        <w:rPr>
          <w:b/>
          <w:bCs/>
          <w:color w:val="000000"/>
        </w:rPr>
        <w:t>RYBREVANT</w:t>
      </w:r>
      <w:r>
        <w:rPr>
          <w:color w:val="000000"/>
        </w:rPr>
        <w:t xml:space="preserve"> </w:t>
      </w:r>
      <w:r>
        <w:rPr>
          <w:b/>
          <w:bCs/>
          <w:color w:val="000000"/>
        </w:rPr>
        <w:t>350 mg koncentratas infuziniam tirpalui</w:t>
      </w:r>
    </w:p>
    <w:p w14:paraId="1FE784DA" w14:textId="77777777" w:rsidR="00E06C2D" w:rsidRDefault="00E06C2D" w:rsidP="00E06C2D">
      <w:pPr>
        <w:spacing w:line="276" w:lineRule="auto"/>
        <w:jc w:val="center"/>
        <w:rPr>
          <w:color w:val="000000"/>
        </w:rPr>
      </w:pPr>
    </w:p>
    <w:p w14:paraId="0FE055E5" w14:textId="102A609F" w:rsidR="00E06C2D" w:rsidRPr="00E30C84" w:rsidRDefault="00E06C2D" w:rsidP="00E06C2D">
      <w:pPr>
        <w:spacing w:line="276" w:lineRule="auto"/>
        <w:jc w:val="center"/>
        <w:rPr>
          <w:b/>
          <w:bCs/>
          <w:color w:val="000000"/>
        </w:rPr>
      </w:pPr>
      <w:proofErr w:type="spellStart"/>
      <w:r w:rsidRPr="00E30C84">
        <w:rPr>
          <w:b/>
          <w:bCs/>
          <w:color w:val="000000"/>
        </w:rPr>
        <w:t>Amivantamabas</w:t>
      </w:r>
      <w:proofErr w:type="spellEnd"/>
    </w:p>
    <w:p w14:paraId="2C4BFC99" w14:textId="77777777" w:rsidR="00E06C2D" w:rsidRDefault="00E06C2D" w:rsidP="00E06C2D">
      <w:pPr>
        <w:spacing w:line="276" w:lineRule="auto"/>
        <w:jc w:val="center"/>
        <w:rPr>
          <w:color w:val="000000"/>
        </w:rPr>
      </w:pPr>
    </w:p>
    <w:p w14:paraId="7A263B37" w14:textId="6B99373D" w:rsidR="00E06C2D" w:rsidRDefault="00E06C2D" w:rsidP="00E06C2D">
      <w:pPr>
        <w:spacing w:line="276" w:lineRule="auto"/>
        <w:jc w:val="center"/>
        <w:rPr>
          <w:b/>
          <w:bCs/>
          <w:color w:val="000000"/>
        </w:rPr>
      </w:pPr>
      <w:r>
        <w:rPr>
          <w:b/>
          <w:bCs/>
          <w:color w:val="000000"/>
        </w:rPr>
        <w:t>Paraiškos numeris STV</w:t>
      </w:r>
      <w:r w:rsidR="00E30C84">
        <w:rPr>
          <w:b/>
          <w:bCs/>
          <w:color w:val="000000"/>
        </w:rPr>
        <w:t>-</w:t>
      </w:r>
      <w:r>
        <w:rPr>
          <w:b/>
          <w:bCs/>
          <w:color w:val="000000"/>
        </w:rPr>
        <w:t>224</w:t>
      </w:r>
    </w:p>
    <w:p w14:paraId="5BC2EA5D" w14:textId="45A77B4A" w:rsidR="00937907" w:rsidRPr="00E33EFF" w:rsidRDefault="00937907" w:rsidP="003B211A">
      <w:pPr>
        <w:jc w:val="center"/>
        <w:rPr>
          <w:b/>
        </w:rPr>
      </w:pPr>
    </w:p>
    <w:p w14:paraId="453197C8" w14:textId="77777777" w:rsidR="00D4708D" w:rsidRPr="00E33EFF" w:rsidRDefault="00D4708D" w:rsidP="003B211A">
      <w:pPr>
        <w:jc w:val="center"/>
        <w:rPr>
          <w:b/>
        </w:rPr>
      </w:pPr>
    </w:p>
    <w:p w14:paraId="78C89D1C" w14:textId="0DEFFAA5" w:rsidR="00D4485B" w:rsidRDefault="00B13D65" w:rsidP="00CC09D4">
      <w:pPr>
        <w:pStyle w:val="Sraopastraipa"/>
        <w:numPr>
          <w:ilvl w:val="0"/>
          <w:numId w:val="12"/>
        </w:numPr>
        <w:tabs>
          <w:tab w:val="left" w:pos="567"/>
        </w:tabs>
        <w:ind w:left="567" w:hanging="567"/>
        <w:rPr>
          <w:b/>
          <w:bCs/>
          <w:caps/>
        </w:rPr>
      </w:pPr>
      <w:r w:rsidRPr="00E33EFF">
        <w:rPr>
          <w:b/>
          <w:bCs/>
          <w:caps/>
        </w:rPr>
        <w:t>Bendroji dalis</w:t>
      </w:r>
    </w:p>
    <w:p w14:paraId="7902C553" w14:textId="77777777" w:rsidR="00197CF0" w:rsidRPr="00197CF0" w:rsidRDefault="00197CF0" w:rsidP="00197CF0">
      <w:pPr>
        <w:spacing w:line="276" w:lineRule="auto"/>
        <w:jc w:val="both"/>
        <w:rPr>
          <w:color w:val="00000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4117"/>
        <w:gridCol w:w="5096"/>
      </w:tblGrid>
      <w:tr w:rsidR="00197CF0" w14:paraId="248CA5BA" w14:textId="77777777" w:rsidTr="00335E20">
        <w:trPr>
          <w:trHeight w:val="342"/>
        </w:trPr>
        <w:tc>
          <w:tcPr>
            <w:tcW w:w="705" w:type="dxa"/>
          </w:tcPr>
          <w:p w14:paraId="7A58F61D" w14:textId="77777777" w:rsidR="00197CF0" w:rsidRDefault="00197CF0" w:rsidP="00335E20">
            <w:pPr>
              <w:tabs>
                <w:tab w:val="left" w:pos="284"/>
              </w:tabs>
              <w:spacing w:line="276" w:lineRule="auto"/>
              <w:jc w:val="both"/>
              <w:rPr>
                <w:b/>
                <w:bCs/>
                <w:color w:val="000000"/>
              </w:rPr>
            </w:pPr>
            <w:r>
              <w:rPr>
                <w:b/>
                <w:bCs/>
                <w:color w:val="000000"/>
              </w:rPr>
              <w:t>1.1</w:t>
            </w:r>
          </w:p>
        </w:tc>
        <w:tc>
          <w:tcPr>
            <w:tcW w:w="4117" w:type="dxa"/>
          </w:tcPr>
          <w:p w14:paraId="41E6A534" w14:textId="77777777" w:rsidR="00197CF0" w:rsidRDefault="00197CF0" w:rsidP="00335E20">
            <w:pPr>
              <w:tabs>
                <w:tab w:val="left" w:pos="284"/>
              </w:tabs>
              <w:spacing w:line="276" w:lineRule="auto"/>
              <w:jc w:val="both"/>
              <w:rPr>
                <w:b/>
                <w:bCs/>
                <w:color w:val="000000"/>
              </w:rPr>
            </w:pPr>
            <w:r>
              <w:rPr>
                <w:b/>
                <w:bCs/>
                <w:color w:val="000000"/>
              </w:rPr>
              <w:t>Pareiškėjas</w:t>
            </w:r>
          </w:p>
        </w:tc>
        <w:tc>
          <w:tcPr>
            <w:tcW w:w="5096" w:type="dxa"/>
          </w:tcPr>
          <w:p w14:paraId="485CA0AB" w14:textId="77777777" w:rsidR="00197CF0" w:rsidRDefault="00197CF0" w:rsidP="00335E20">
            <w:pPr>
              <w:pBdr>
                <w:top w:val="nil"/>
                <w:left w:val="nil"/>
                <w:bottom w:val="nil"/>
                <w:right w:val="nil"/>
                <w:between w:val="nil"/>
              </w:pBdr>
              <w:spacing w:after="120" w:line="276" w:lineRule="auto"/>
              <w:jc w:val="both"/>
              <w:rPr>
                <w:color w:val="000000"/>
              </w:rPr>
            </w:pPr>
            <w:r>
              <w:rPr>
                <w:color w:val="000000"/>
              </w:rPr>
              <w:t>UAB „</w:t>
            </w:r>
            <w:proofErr w:type="spellStart"/>
            <w:r>
              <w:rPr>
                <w:color w:val="000000"/>
              </w:rPr>
              <w:t>Johnson</w:t>
            </w:r>
            <w:proofErr w:type="spellEnd"/>
            <w:r>
              <w:rPr>
                <w:color w:val="000000"/>
              </w:rPr>
              <w:t xml:space="preserve"> &amp; </w:t>
            </w:r>
            <w:proofErr w:type="spellStart"/>
            <w:r>
              <w:rPr>
                <w:color w:val="000000"/>
              </w:rPr>
              <w:t>Johnson</w:t>
            </w:r>
            <w:proofErr w:type="spellEnd"/>
            <w:r>
              <w:rPr>
                <w:color w:val="000000"/>
              </w:rPr>
              <w:t>”</w:t>
            </w:r>
          </w:p>
        </w:tc>
      </w:tr>
      <w:tr w:rsidR="00197CF0" w14:paraId="76822E0E" w14:textId="77777777" w:rsidTr="00335E20">
        <w:trPr>
          <w:trHeight w:val="479"/>
        </w:trPr>
        <w:tc>
          <w:tcPr>
            <w:tcW w:w="705" w:type="dxa"/>
          </w:tcPr>
          <w:p w14:paraId="42BE8FBC" w14:textId="77777777" w:rsidR="00197CF0" w:rsidRDefault="00197CF0" w:rsidP="00335E20">
            <w:pPr>
              <w:tabs>
                <w:tab w:val="left" w:pos="284"/>
              </w:tabs>
              <w:spacing w:line="276" w:lineRule="auto"/>
              <w:jc w:val="both"/>
              <w:rPr>
                <w:b/>
                <w:bCs/>
                <w:color w:val="000000"/>
              </w:rPr>
            </w:pPr>
            <w:r>
              <w:rPr>
                <w:b/>
                <w:bCs/>
                <w:color w:val="000000"/>
              </w:rPr>
              <w:t>1.2</w:t>
            </w:r>
          </w:p>
        </w:tc>
        <w:tc>
          <w:tcPr>
            <w:tcW w:w="4117" w:type="dxa"/>
          </w:tcPr>
          <w:p w14:paraId="239CFDDC" w14:textId="77777777" w:rsidR="00197CF0" w:rsidRDefault="00197CF0" w:rsidP="00335E20">
            <w:pPr>
              <w:tabs>
                <w:tab w:val="left" w:pos="284"/>
              </w:tabs>
              <w:spacing w:line="276" w:lineRule="auto"/>
              <w:jc w:val="both"/>
              <w:rPr>
                <w:b/>
                <w:bCs/>
                <w:color w:val="000000"/>
              </w:rPr>
            </w:pPr>
            <w:r>
              <w:rPr>
                <w:b/>
                <w:bCs/>
                <w:color w:val="000000"/>
              </w:rPr>
              <w:t>Registracijos data (EVA)</w:t>
            </w:r>
          </w:p>
          <w:p w14:paraId="58C39D3D" w14:textId="77777777" w:rsidR="00197CF0" w:rsidRDefault="00197CF0" w:rsidP="00335E20">
            <w:pPr>
              <w:tabs>
                <w:tab w:val="left" w:pos="284"/>
              </w:tabs>
              <w:spacing w:line="276" w:lineRule="auto"/>
              <w:jc w:val="both"/>
              <w:rPr>
                <w:color w:val="000000"/>
              </w:rPr>
            </w:pPr>
          </w:p>
        </w:tc>
        <w:tc>
          <w:tcPr>
            <w:tcW w:w="5096" w:type="dxa"/>
          </w:tcPr>
          <w:p w14:paraId="63740F77" w14:textId="77777777" w:rsidR="00197CF0" w:rsidRDefault="00197CF0" w:rsidP="00335E20">
            <w:pPr>
              <w:pBdr>
                <w:top w:val="nil"/>
                <w:left w:val="nil"/>
                <w:bottom w:val="nil"/>
                <w:right w:val="nil"/>
                <w:between w:val="nil"/>
              </w:pBdr>
              <w:spacing w:after="120" w:line="276" w:lineRule="auto"/>
              <w:jc w:val="both"/>
              <w:rPr>
                <w:color w:val="000000"/>
              </w:rPr>
            </w:pPr>
            <w:r>
              <w:rPr>
                <w:color w:val="000000"/>
              </w:rPr>
              <w:t>2021 m. gruodžio 9 d.</w:t>
            </w:r>
          </w:p>
        </w:tc>
      </w:tr>
      <w:tr w:rsidR="00197CF0" w14:paraId="50BDA489" w14:textId="77777777" w:rsidTr="00335E20">
        <w:trPr>
          <w:trHeight w:val="1328"/>
        </w:trPr>
        <w:tc>
          <w:tcPr>
            <w:tcW w:w="705" w:type="dxa"/>
          </w:tcPr>
          <w:p w14:paraId="7B2DC984" w14:textId="77777777" w:rsidR="00197CF0" w:rsidRDefault="00197CF0" w:rsidP="00335E20">
            <w:pPr>
              <w:tabs>
                <w:tab w:val="left" w:pos="284"/>
              </w:tabs>
              <w:spacing w:line="276" w:lineRule="auto"/>
              <w:jc w:val="both"/>
              <w:rPr>
                <w:b/>
                <w:bCs/>
                <w:color w:val="000000"/>
              </w:rPr>
            </w:pPr>
            <w:r>
              <w:rPr>
                <w:b/>
                <w:bCs/>
                <w:color w:val="000000"/>
              </w:rPr>
              <w:t>1.3</w:t>
            </w:r>
          </w:p>
        </w:tc>
        <w:tc>
          <w:tcPr>
            <w:tcW w:w="4117" w:type="dxa"/>
          </w:tcPr>
          <w:p w14:paraId="2698C5AA" w14:textId="77777777" w:rsidR="00197CF0" w:rsidRDefault="00197CF0" w:rsidP="00335E20">
            <w:pPr>
              <w:pBdr>
                <w:top w:val="nil"/>
                <w:left w:val="nil"/>
                <w:bottom w:val="nil"/>
                <w:right w:val="nil"/>
                <w:between w:val="nil"/>
              </w:pBdr>
              <w:spacing w:line="276" w:lineRule="auto"/>
              <w:jc w:val="both"/>
              <w:rPr>
                <w:b/>
                <w:bCs/>
                <w:color w:val="000000"/>
              </w:rPr>
            </w:pPr>
            <w:r>
              <w:rPr>
                <w:b/>
                <w:bCs/>
                <w:color w:val="000000"/>
              </w:rPr>
              <w:t xml:space="preserve">Paraiškos tipas </w:t>
            </w:r>
          </w:p>
          <w:p w14:paraId="4DE3D636" w14:textId="77777777" w:rsidR="00197CF0" w:rsidRDefault="00197CF0" w:rsidP="00335E20">
            <w:pPr>
              <w:spacing w:line="276" w:lineRule="auto"/>
              <w:jc w:val="both"/>
              <w:rPr>
                <w:b/>
                <w:bCs/>
                <w:color w:val="000000"/>
              </w:rPr>
            </w:pPr>
            <w:r>
              <w:rPr>
                <w:b/>
                <w:bCs/>
                <w:color w:val="000000"/>
              </w:rPr>
              <w:t xml:space="preserve">(pagal </w:t>
            </w:r>
            <w:r>
              <w:rPr>
                <w:b/>
                <w:bCs/>
                <w:color w:val="000000"/>
                <w:highlight w:val="white"/>
              </w:rPr>
              <w:t>vaistinio preparato registracijos tipą, įtvirtintą</w:t>
            </w:r>
            <w:r>
              <w:rPr>
                <w:b/>
                <w:bCs/>
                <w:color w:val="000000"/>
              </w:rPr>
              <w:t xml:space="preserve"> Direktyvos 2001/83/EB straipsniuose)</w:t>
            </w:r>
          </w:p>
          <w:p w14:paraId="389DAC16" w14:textId="77777777" w:rsidR="00197CF0" w:rsidRDefault="00197CF0" w:rsidP="00335E20">
            <w:pPr>
              <w:tabs>
                <w:tab w:val="left" w:pos="284"/>
              </w:tabs>
              <w:spacing w:line="276" w:lineRule="auto"/>
              <w:jc w:val="both"/>
              <w:rPr>
                <w:b/>
                <w:bCs/>
                <w:color w:val="000000"/>
              </w:rPr>
            </w:pPr>
          </w:p>
        </w:tc>
        <w:tc>
          <w:tcPr>
            <w:tcW w:w="5096" w:type="dxa"/>
          </w:tcPr>
          <w:p w14:paraId="13DF9300" w14:textId="77777777" w:rsidR="00197CF0" w:rsidRDefault="00D66899" w:rsidP="00335E20">
            <w:pPr>
              <w:spacing w:line="276" w:lineRule="auto"/>
              <w:jc w:val="both"/>
              <w:rPr>
                <w:color w:val="000000"/>
              </w:rPr>
            </w:pPr>
            <w:sdt>
              <w:sdtPr>
                <w:tag w:val="goog_rdk_0"/>
                <w:id w:val="-1006603223"/>
              </w:sdtPr>
              <w:sdtEndPr/>
              <w:sdtContent>
                <w:r w:rsidR="00197CF0">
                  <w:rPr>
                    <w:rFonts w:ascii="Arial Unicode MS" w:eastAsia="Arial Unicode MS" w:hAnsi="Arial Unicode MS" w:cs="Arial Unicode MS"/>
                    <w:color w:val="000000"/>
                  </w:rPr>
                  <w:t>☒</w:t>
                </w:r>
              </w:sdtContent>
            </w:sdt>
            <w:r w:rsidR="00197CF0">
              <w:rPr>
                <w:color w:val="000000"/>
              </w:rPr>
              <w:t xml:space="preserve"> 8.3 str. (pilna byla, pagrįsta savais tyrimais) </w:t>
            </w:r>
          </w:p>
          <w:p w14:paraId="031713A9" w14:textId="77777777" w:rsidR="00197CF0" w:rsidRDefault="00D66899" w:rsidP="00335E20">
            <w:pPr>
              <w:spacing w:line="276" w:lineRule="auto"/>
              <w:jc w:val="both"/>
              <w:rPr>
                <w:color w:val="000000"/>
              </w:rPr>
            </w:pPr>
            <w:sdt>
              <w:sdtPr>
                <w:tag w:val="goog_rdk_1"/>
                <w:id w:val="1416427698"/>
              </w:sdtPr>
              <w:sdtEndPr/>
              <w:sdtContent>
                <w:r w:rsidR="00197CF0">
                  <w:rPr>
                    <w:rFonts w:ascii="Arial Unicode MS" w:eastAsia="Arial Unicode MS" w:hAnsi="Arial Unicode MS" w:cs="Arial Unicode MS"/>
                    <w:color w:val="000000"/>
                  </w:rPr>
                  <w:t>☐</w:t>
                </w:r>
              </w:sdtContent>
            </w:sdt>
            <w:r w:rsidR="00197CF0">
              <w:rPr>
                <w:color w:val="000000"/>
              </w:rPr>
              <w:t xml:space="preserve"> 10 a str. (pripažintas medicininis vartojimas) </w:t>
            </w:r>
          </w:p>
          <w:p w14:paraId="2759F7C3" w14:textId="77777777" w:rsidR="00197CF0" w:rsidRDefault="00D66899" w:rsidP="00335E20">
            <w:pPr>
              <w:spacing w:line="276" w:lineRule="auto"/>
              <w:jc w:val="both"/>
              <w:rPr>
                <w:color w:val="000000"/>
              </w:rPr>
            </w:pPr>
            <w:sdt>
              <w:sdtPr>
                <w:tag w:val="goog_rdk_2"/>
                <w:id w:val="558021489"/>
              </w:sdtPr>
              <w:sdtEndPr/>
              <w:sdtContent>
                <w:r w:rsidR="00197CF0">
                  <w:rPr>
                    <w:rFonts w:ascii="Arial Unicode MS" w:eastAsia="Arial Unicode MS" w:hAnsi="Arial Unicode MS" w:cs="Arial Unicode MS"/>
                    <w:color w:val="000000"/>
                  </w:rPr>
                  <w:t>☐</w:t>
                </w:r>
              </w:sdtContent>
            </w:sdt>
            <w:r w:rsidR="00197CF0">
              <w:rPr>
                <w:color w:val="000000"/>
              </w:rPr>
              <w:t xml:space="preserve"> 10.1 str. (</w:t>
            </w:r>
            <w:proofErr w:type="spellStart"/>
            <w:r w:rsidR="00197CF0">
              <w:rPr>
                <w:color w:val="000000"/>
              </w:rPr>
              <w:t>generinis</w:t>
            </w:r>
            <w:proofErr w:type="spellEnd"/>
            <w:r w:rsidR="00197CF0">
              <w:rPr>
                <w:color w:val="000000"/>
              </w:rPr>
              <w:t>)</w:t>
            </w:r>
          </w:p>
          <w:p w14:paraId="4182C49D" w14:textId="77777777" w:rsidR="00197CF0" w:rsidRDefault="00D66899" w:rsidP="00335E20">
            <w:pPr>
              <w:spacing w:line="276" w:lineRule="auto"/>
              <w:jc w:val="both"/>
              <w:rPr>
                <w:color w:val="000000"/>
              </w:rPr>
            </w:pPr>
            <w:sdt>
              <w:sdtPr>
                <w:tag w:val="goog_rdk_3"/>
                <w:id w:val="-505427195"/>
              </w:sdtPr>
              <w:sdtEndPr/>
              <w:sdtContent>
                <w:r w:rsidR="00197CF0">
                  <w:rPr>
                    <w:rFonts w:ascii="Arial Unicode MS" w:eastAsia="Arial Unicode MS" w:hAnsi="Arial Unicode MS" w:cs="Arial Unicode MS"/>
                    <w:color w:val="000000"/>
                  </w:rPr>
                  <w:t>☐</w:t>
                </w:r>
              </w:sdtContent>
            </w:sdt>
            <w:r w:rsidR="00197CF0">
              <w:rPr>
                <w:color w:val="000000"/>
              </w:rPr>
              <w:t xml:space="preserve"> 10.3 str. (hibridinis)</w:t>
            </w:r>
          </w:p>
        </w:tc>
      </w:tr>
      <w:tr w:rsidR="00197CF0" w14:paraId="123AB0B7" w14:textId="77777777" w:rsidTr="00335E20">
        <w:trPr>
          <w:trHeight w:val="1109"/>
        </w:trPr>
        <w:tc>
          <w:tcPr>
            <w:tcW w:w="705" w:type="dxa"/>
          </w:tcPr>
          <w:p w14:paraId="165DEC05" w14:textId="77777777" w:rsidR="00197CF0" w:rsidRDefault="00197CF0" w:rsidP="00335E20">
            <w:pPr>
              <w:tabs>
                <w:tab w:val="left" w:pos="284"/>
              </w:tabs>
              <w:spacing w:line="276" w:lineRule="auto"/>
              <w:jc w:val="both"/>
              <w:rPr>
                <w:b/>
                <w:bCs/>
                <w:color w:val="000000"/>
              </w:rPr>
            </w:pPr>
            <w:r>
              <w:rPr>
                <w:b/>
                <w:bCs/>
                <w:color w:val="000000"/>
              </w:rPr>
              <w:t>1.4</w:t>
            </w:r>
          </w:p>
        </w:tc>
        <w:tc>
          <w:tcPr>
            <w:tcW w:w="4117" w:type="dxa"/>
          </w:tcPr>
          <w:p w14:paraId="2C3443E6" w14:textId="77777777" w:rsidR="00197CF0" w:rsidRDefault="00197CF0" w:rsidP="00335E20">
            <w:pPr>
              <w:tabs>
                <w:tab w:val="left" w:pos="284"/>
              </w:tabs>
              <w:spacing w:line="276" w:lineRule="auto"/>
              <w:jc w:val="both"/>
              <w:rPr>
                <w:b/>
                <w:bCs/>
                <w:color w:val="000000"/>
              </w:rPr>
            </w:pPr>
            <w:r>
              <w:rPr>
                <w:b/>
                <w:bCs/>
                <w:color w:val="000000"/>
              </w:rPr>
              <w:t>Ar vaistinis preparatas įrašytas į Bendrijos retųjų vaistinių preparatų registrą?</w:t>
            </w:r>
          </w:p>
          <w:p w14:paraId="6C1D9E5A" w14:textId="77777777" w:rsidR="00197CF0" w:rsidRDefault="00197CF0" w:rsidP="00335E20">
            <w:pPr>
              <w:tabs>
                <w:tab w:val="left" w:pos="284"/>
              </w:tabs>
              <w:spacing w:line="276" w:lineRule="auto"/>
              <w:jc w:val="both"/>
              <w:rPr>
                <w:b/>
                <w:bCs/>
                <w:color w:val="000000"/>
              </w:rPr>
            </w:pPr>
          </w:p>
        </w:tc>
        <w:tc>
          <w:tcPr>
            <w:tcW w:w="5096" w:type="dxa"/>
          </w:tcPr>
          <w:p w14:paraId="4750CDB1" w14:textId="77777777" w:rsidR="00197CF0" w:rsidRDefault="00D66899" w:rsidP="00335E20">
            <w:pPr>
              <w:spacing w:line="276" w:lineRule="auto"/>
              <w:jc w:val="both"/>
              <w:rPr>
                <w:color w:val="000000"/>
              </w:rPr>
            </w:pPr>
            <w:sdt>
              <w:sdtPr>
                <w:tag w:val="goog_rdk_4"/>
                <w:id w:val="550155491"/>
              </w:sdtPr>
              <w:sdtEndPr/>
              <w:sdtContent>
                <w:r w:rsidR="00197CF0">
                  <w:rPr>
                    <w:rFonts w:ascii="Arial Unicode MS" w:eastAsia="Arial Unicode MS" w:hAnsi="Arial Unicode MS" w:cs="Arial Unicode MS"/>
                    <w:color w:val="000000"/>
                  </w:rPr>
                  <w:t>☐</w:t>
                </w:r>
              </w:sdtContent>
            </w:sdt>
            <w:r w:rsidR="00197CF0">
              <w:rPr>
                <w:color w:val="000000"/>
              </w:rPr>
              <w:t xml:space="preserve"> Taip</w:t>
            </w:r>
          </w:p>
          <w:p w14:paraId="01EFE7D4" w14:textId="77777777" w:rsidR="00197CF0" w:rsidRDefault="00D66899" w:rsidP="00335E20">
            <w:pPr>
              <w:spacing w:line="276" w:lineRule="auto"/>
              <w:jc w:val="both"/>
              <w:rPr>
                <w:color w:val="000000"/>
              </w:rPr>
            </w:pPr>
            <w:sdt>
              <w:sdtPr>
                <w:tag w:val="goog_rdk_5"/>
                <w:id w:val="-1651099967"/>
              </w:sdtPr>
              <w:sdtEndPr/>
              <w:sdtContent>
                <w:r w:rsidR="00197CF0">
                  <w:rPr>
                    <w:rFonts w:ascii="Arial Unicode MS" w:eastAsia="Arial Unicode MS" w:hAnsi="Arial Unicode MS" w:cs="Arial Unicode MS"/>
                    <w:color w:val="000000"/>
                  </w:rPr>
                  <w:t>☒</w:t>
                </w:r>
              </w:sdtContent>
            </w:sdt>
            <w:r w:rsidR="00197CF0">
              <w:rPr>
                <w:color w:val="000000"/>
              </w:rPr>
              <w:t xml:space="preserve"> Ne</w:t>
            </w:r>
          </w:p>
          <w:p w14:paraId="6B9D7266" w14:textId="77777777" w:rsidR="00197CF0" w:rsidRDefault="00197CF0" w:rsidP="00335E20">
            <w:pPr>
              <w:spacing w:line="276" w:lineRule="auto"/>
              <w:jc w:val="both"/>
              <w:rPr>
                <w:b/>
                <w:bCs/>
                <w:color w:val="000000"/>
              </w:rPr>
            </w:pPr>
            <w:proofErr w:type="spellStart"/>
            <w:r>
              <w:rPr>
                <w:color w:val="000000"/>
              </w:rPr>
              <w:t>Click</w:t>
            </w:r>
            <w:proofErr w:type="spellEnd"/>
            <w:r>
              <w:rPr>
                <w:color w:val="000000"/>
              </w:rPr>
              <w:t xml:space="preserve"> </w:t>
            </w:r>
            <w:proofErr w:type="spellStart"/>
            <w:r>
              <w:rPr>
                <w:color w:val="000000"/>
              </w:rPr>
              <w:t>here</w:t>
            </w:r>
            <w:proofErr w:type="spellEnd"/>
            <w:r>
              <w:rPr>
                <w:color w:val="000000"/>
              </w:rPr>
              <w:t xml:space="preserve"> to </w:t>
            </w:r>
            <w:proofErr w:type="spellStart"/>
            <w:r>
              <w:rPr>
                <w:color w:val="000000"/>
              </w:rPr>
              <w:t>enter</w:t>
            </w:r>
            <w:proofErr w:type="spellEnd"/>
            <w:r>
              <w:rPr>
                <w:color w:val="000000"/>
              </w:rPr>
              <w:t xml:space="preserve"> a </w:t>
            </w:r>
            <w:proofErr w:type="spellStart"/>
            <w:r>
              <w:rPr>
                <w:color w:val="000000"/>
              </w:rPr>
              <w:t>date</w:t>
            </w:r>
            <w:proofErr w:type="spellEnd"/>
            <w:r>
              <w:rPr>
                <w:color w:val="000000"/>
              </w:rPr>
              <w:t>.</w:t>
            </w:r>
          </w:p>
        </w:tc>
      </w:tr>
      <w:tr w:rsidR="00197CF0" w14:paraId="3E01206E" w14:textId="77777777" w:rsidTr="00335E20">
        <w:trPr>
          <w:trHeight w:val="958"/>
        </w:trPr>
        <w:tc>
          <w:tcPr>
            <w:tcW w:w="705" w:type="dxa"/>
            <w:tcBorders>
              <w:bottom w:val="single" w:sz="4" w:space="0" w:color="000000"/>
            </w:tcBorders>
          </w:tcPr>
          <w:p w14:paraId="709A180C" w14:textId="77777777" w:rsidR="00197CF0" w:rsidRDefault="00197CF0" w:rsidP="00335E20">
            <w:pPr>
              <w:tabs>
                <w:tab w:val="left" w:pos="284"/>
              </w:tabs>
              <w:spacing w:line="276" w:lineRule="auto"/>
              <w:jc w:val="both"/>
              <w:rPr>
                <w:b/>
                <w:bCs/>
                <w:color w:val="000000"/>
              </w:rPr>
            </w:pPr>
            <w:r>
              <w:rPr>
                <w:b/>
                <w:bCs/>
                <w:color w:val="000000"/>
              </w:rPr>
              <w:t>1.5</w:t>
            </w:r>
          </w:p>
        </w:tc>
        <w:tc>
          <w:tcPr>
            <w:tcW w:w="4117" w:type="dxa"/>
            <w:tcBorders>
              <w:bottom w:val="single" w:sz="4" w:space="0" w:color="000000"/>
            </w:tcBorders>
          </w:tcPr>
          <w:p w14:paraId="62996DB5" w14:textId="77777777" w:rsidR="00197CF0" w:rsidRDefault="00197CF0" w:rsidP="00335E20">
            <w:pPr>
              <w:tabs>
                <w:tab w:val="left" w:pos="284"/>
              </w:tabs>
              <w:spacing w:line="276" w:lineRule="auto"/>
              <w:jc w:val="both"/>
              <w:rPr>
                <w:b/>
                <w:bCs/>
                <w:color w:val="000000"/>
              </w:rPr>
            </w:pPr>
            <w:r>
              <w:rPr>
                <w:b/>
                <w:bCs/>
                <w:color w:val="000000"/>
              </w:rPr>
              <w:t>Pareiškėjo teikiama (-</w:t>
            </w:r>
            <w:proofErr w:type="spellStart"/>
            <w:r>
              <w:rPr>
                <w:b/>
                <w:bCs/>
                <w:color w:val="000000"/>
              </w:rPr>
              <w:t>os</w:t>
            </w:r>
            <w:proofErr w:type="spellEnd"/>
            <w:r>
              <w:rPr>
                <w:b/>
                <w:bCs/>
                <w:color w:val="000000"/>
              </w:rPr>
              <w:t>) kompensuoti preparato indikacija (-</w:t>
            </w:r>
            <w:proofErr w:type="spellStart"/>
            <w:r>
              <w:rPr>
                <w:b/>
                <w:bCs/>
                <w:color w:val="000000"/>
              </w:rPr>
              <w:t>os</w:t>
            </w:r>
            <w:proofErr w:type="spellEnd"/>
            <w:r>
              <w:rPr>
                <w:b/>
                <w:bCs/>
                <w:color w:val="000000"/>
              </w:rPr>
              <w:t>)</w:t>
            </w:r>
          </w:p>
          <w:p w14:paraId="3312A194" w14:textId="77777777" w:rsidR="00197CF0" w:rsidRDefault="00197CF0" w:rsidP="00335E20">
            <w:pPr>
              <w:tabs>
                <w:tab w:val="left" w:pos="284"/>
              </w:tabs>
              <w:spacing w:line="276" w:lineRule="auto"/>
              <w:jc w:val="both"/>
              <w:rPr>
                <w:b/>
                <w:bCs/>
                <w:color w:val="000000"/>
              </w:rPr>
            </w:pPr>
          </w:p>
          <w:p w14:paraId="6CCD8906" w14:textId="77777777" w:rsidR="00197CF0" w:rsidRDefault="00197CF0" w:rsidP="00335E20">
            <w:pPr>
              <w:tabs>
                <w:tab w:val="left" w:pos="284"/>
              </w:tabs>
              <w:spacing w:line="276" w:lineRule="auto"/>
              <w:jc w:val="both"/>
              <w:rPr>
                <w:b/>
                <w:bCs/>
                <w:color w:val="000000"/>
              </w:rPr>
            </w:pPr>
          </w:p>
          <w:p w14:paraId="240E985A" w14:textId="77777777" w:rsidR="00197CF0" w:rsidRDefault="00197CF0" w:rsidP="00335E20">
            <w:pPr>
              <w:tabs>
                <w:tab w:val="left" w:pos="284"/>
              </w:tabs>
              <w:spacing w:line="276" w:lineRule="auto"/>
              <w:jc w:val="both"/>
              <w:rPr>
                <w:b/>
                <w:bCs/>
                <w:color w:val="000000"/>
              </w:rPr>
            </w:pPr>
          </w:p>
          <w:p w14:paraId="5EF78132" w14:textId="77777777" w:rsidR="00197CF0" w:rsidRDefault="00197CF0" w:rsidP="00335E20">
            <w:pPr>
              <w:tabs>
                <w:tab w:val="left" w:pos="284"/>
              </w:tabs>
              <w:spacing w:line="276" w:lineRule="auto"/>
              <w:jc w:val="both"/>
              <w:rPr>
                <w:b/>
                <w:bCs/>
                <w:color w:val="000000"/>
              </w:rPr>
            </w:pPr>
          </w:p>
          <w:p w14:paraId="58244676" w14:textId="77777777" w:rsidR="00197CF0" w:rsidRDefault="00197CF0" w:rsidP="00335E20">
            <w:pPr>
              <w:tabs>
                <w:tab w:val="left" w:pos="284"/>
              </w:tabs>
              <w:spacing w:line="276" w:lineRule="auto"/>
              <w:jc w:val="both"/>
              <w:rPr>
                <w:b/>
                <w:bCs/>
                <w:color w:val="000000"/>
              </w:rPr>
            </w:pPr>
          </w:p>
          <w:p w14:paraId="02AFFAE8" w14:textId="77777777" w:rsidR="00197CF0" w:rsidRDefault="00197CF0" w:rsidP="00335E20">
            <w:pPr>
              <w:tabs>
                <w:tab w:val="left" w:pos="284"/>
              </w:tabs>
              <w:spacing w:line="276" w:lineRule="auto"/>
              <w:jc w:val="both"/>
              <w:rPr>
                <w:b/>
                <w:bCs/>
                <w:color w:val="000000"/>
              </w:rPr>
            </w:pPr>
            <w:r>
              <w:rPr>
                <w:b/>
                <w:bCs/>
                <w:color w:val="000000"/>
              </w:rPr>
              <w:t xml:space="preserve">Kodas pagal TLK-10 AM  </w:t>
            </w:r>
          </w:p>
        </w:tc>
        <w:tc>
          <w:tcPr>
            <w:tcW w:w="5096" w:type="dxa"/>
            <w:tcBorders>
              <w:bottom w:val="single" w:sz="4" w:space="0" w:color="000000"/>
            </w:tcBorders>
          </w:tcPr>
          <w:p w14:paraId="3439482F" w14:textId="77777777" w:rsidR="00197CF0" w:rsidRDefault="00197CF0" w:rsidP="00335E20">
            <w:pPr>
              <w:pBdr>
                <w:top w:val="nil"/>
                <w:left w:val="nil"/>
                <w:bottom w:val="nil"/>
                <w:right w:val="nil"/>
                <w:between w:val="nil"/>
              </w:pBdr>
              <w:spacing w:after="120" w:line="276" w:lineRule="auto"/>
              <w:jc w:val="both"/>
              <w:rPr>
                <w:color w:val="000000"/>
              </w:rPr>
            </w:pPr>
            <w:proofErr w:type="spellStart"/>
            <w:r>
              <w:rPr>
                <w:color w:val="000000"/>
              </w:rPr>
              <w:t>Rybrevant</w:t>
            </w:r>
            <w:proofErr w:type="spellEnd"/>
            <w:r>
              <w:rPr>
                <w:color w:val="000000"/>
              </w:rPr>
              <w:t xml:space="preserve"> yra skirtas suaugusiųjų pacientų, sergančių išplitusiu NSLPV su epidermio augimo faktoriaus receptoriaus (EAFR) aktyvinančiomis 20 </w:t>
            </w:r>
            <w:proofErr w:type="spellStart"/>
            <w:r>
              <w:rPr>
                <w:color w:val="000000"/>
              </w:rPr>
              <w:t>egzono</w:t>
            </w:r>
            <w:proofErr w:type="spellEnd"/>
            <w:r>
              <w:rPr>
                <w:color w:val="000000"/>
              </w:rPr>
              <w:t xml:space="preserve"> intarpo mutacijomis, pirmos eilės gydymui kartu su </w:t>
            </w:r>
            <w:proofErr w:type="spellStart"/>
            <w:r>
              <w:rPr>
                <w:color w:val="000000"/>
              </w:rPr>
              <w:t>karboplatina</w:t>
            </w:r>
            <w:proofErr w:type="spellEnd"/>
            <w:r>
              <w:rPr>
                <w:color w:val="000000"/>
              </w:rPr>
              <w:t xml:space="preserve"> ir </w:t>
            </w:r>
            <w:proofErr w:type="spellStart"/>
            <w:r>
              <w:rPr>
                <w:color w:val="000000"/>
              </w:rPr>
              <w:t>pemetreksedu</w:t>
            </w:r>
            <w:proofErr w:type="spellEnd"/>
            <w:r>
              <w:rPr>
                <w:color w:val="000000"/>
              </w:rPr>
              <w:t>.</w:t>
            </w:r>
          </w:p>
          <w:p w14:paraId="14930BDF" w14:textId="77777777" w:rsidR="00197CF0" w:rsidRDefault="00197CF0" w:rsidP="00335E20">
            <w:pPr>
              <w:pBdr>
                <w:top w:val="nil"/>
                <w:left w:val="nil"/>
                <w:bottom w:val="nil"/>
                <w:right w:val="nil"/>
                <w:between w:val="nil"/>
              </w:pBdr>
              <w:spacing w:after="120" w:line="276" w:lineRule="auto"/>
              <w:jc w:val="both"/>
              <w:rPr>
                <w:color w:val="000000"/>
              </w:rPr>
            </w:pPr>
          </w:p>
          <w:p w14:paraId="683B177E" w14:textId="77777777" w:rsidR="00197CF0" w:rsidRDefault="00197CF0" w:rsidP="00335E20">
            <w:pPr>
              <w:pBdr>
                <w:top w:val="nil"/>
                <w:left w:val="nil"/>
                <w:bottom w:val="nil"/>
                <w:right w:val="nil"/>
                <w:between w:val="nil"/>
              </w:pBdr>
              <w:spacing w:after="120" w:line="276" w:lineRule="auto"/>
              <w:jc w:val="both"/>
              <w:rPr>
                <w:color w:val="000000"/>
              </w:rPr>
            </w:pPr>
            <w:r>
              <w:rPr>
                <w:color w:val="000000"/>
              </w:rPr>
              <w:t>C34</w:t>
            </w:r>
          </w:p>
        </w:tc>
      </w:tr>
      <w:tr w:rsidR="00197CF0" w14:paraId="6DBF2536" w14:textId="77777777" w:rsidTr="00335E20">
        <w:trPr>
          <w:trHeight w:val="479"/>
        </w:trPr>
        <w:tc>
          <w:tcPr>
            <w:tcW w:w="705" w:type="dxa"/>
            <w:tcBorders>
              <w:top w:val="single" w:sz="4" w:space="0" w:color="000000"/>
              <w:left w:val="single" w:sz="4" w:space="0" w:color="000000"/>
              <w:bottom w:val="single" w:sz="4" w:space="0" w:color="000000"/>
              <w:right w:val="single" w:sz="4" w:space="0" w:color="000000"/>
            </w:tcBorders>
          </w:tcPr>
          <w:p w14:paraId="4C45E5C4" w14:textId="77777777" w:rsidR="00197CF0" w:rsidRDefault="00197CF0" w:rsidP="00335E20">
            <w:pPr>
              <w:tabs>
                <w:tab w:val="left" w:pos="284"/>
              </w:tabs>
              <w:spacing w:line="276" w:lineRule="auto"/>
              <w:jc w:val="both"/>
              <w:rPr>
                <w:b/>
                <w:bCs/>
                <w:color w:val="000000"/>
              </w:rPr>
            </w:pPr>
            <w:r>
              <w:rPr>
                <w:b/>
                <w:bCs/>
                <w:color w:val="000000"/>
              </w:rPr>
              <w:t>1.6</w:t>
            </w:r>
          </w:p>
        </w:tc>
        <w:tc>
          <w:tcPr>
            <w:tcW w:w="4117" w:type="dxa"/>
            <w:tcBorders>
              <w:top w:val="single" w:sz="4" w:space="0" w:color="000000"/>
              <w:left w:val="single" w:sz="4" w:space="0" w:color="000000"/>
              <w:bottom w:val="single" w:sz="4" w:space="0" w:color="000000"/>
              <w:right w:val="single" w:sz="4" w:space="0" w:color="000000"/>
            </w:tcBorders>
          </w:tcPr>
          <w:p w14:paraId="308C66D2" w14:textId="77777777" w:rsidR="00197CF0" w:rsidRDefault="00197CF0" w:rsidP="00335E20">
            <w:pPr>
              <w:tabs>
                <w:tab w:val="left" w:pos="284"/>
              </w:tabs>
              <w:spacing w:line="276" w:lineRule="auto"/>
              <w:jc w:val="both"/>
              <w:rPr>
                <w:color w:val="000000"/>
                <w:u w:val="single"/>
              </w:rPr>
            </w:pPr>
            <w:r>
              <w:rPr>
                <w:b/>
                <w:bCs/>
                <w:color w:val="000000"/>
              </w:rPr>
              <w:t xml:space="preserve">Pareiškėjo teikiamos skyrimo sąlygos </w:t>
            </w:r>
          </w:p>
        </w:tc>
        <w:tc>
          <w:tcPr>
            <w:tcW w:w="5096" w:type="dxa"/>
            <w:tcBorders>
              <w:top w:val="single" w:sz="4" w:space="0" w:color="000000"/>
              <w:left w:val="single" w:sz="4" w:space="0" w:color="000000"/>
              <w:bottom w:val="single" w:sz="4" w:space="0" w:color="000000"/>
              <w:right w:val="single" w:sz="4" w:space="0" w:color="000000"/>
            </w:tcBorders>
          </w:tcPr>
          <w:p w14:paraId="15515F3B" w14:textId="77777777" w:rsidR="00197CF0" w:rsidRDefault="00197CF0" w:rsidP="00335E20">
            <w:pPr>
              <w:pBdr>
                <w:top w:val="nil"/>
                <w:left w:val="nil"/>
                <w:bottom w:val="nil"/>
                <w:right w:val="nil"/>
                <w:between w:val="nil"/>
              </w:pBdr>
              <w:spacing w:after="120" w:line="276" w:lineRule="auto"/>
              <w:jc w:val="both"/>
              <w:rPr>
                <w:color w:val="000000"/>
              </w:rPr>
            </w:pPr>
            <w:r>
              <w:rPr>
                <w:color w:val="000000"/>
              </w:rPr>
              <w:t>Neteikiamos</w:t>
            </w:r>
          </w:p>
        </w:tc>
      </w:tr>
      <w:tr w:rsidR="00197CF0" w14:paraId="5A5889D1" w14:textId="77777777" w:rsidTr="00335E20">
        <w:trPr>
          <w:trHeight w:val="479"/>
        </w:trPr>
        <w:tc>
          <w:tcPr>
            <w:tcW w:w="705" w:type="dxa"/>
            <w:tcBorders>
              <w:top w:val="single" w:sz="4" w:space="0" w:color="000000"/>
              <w:left w:val="single" w:sz="4" w:space="0" w:color="000000"/>
              <w:bottom w:val="single" w:sz="4" w:space="0" w:color="000000"/>
              <w:right w:val="single" w:sz="4" w:space="0" w:color="000000"/>
            </w:tcBorders>
          </w:tcPr>
          <w:p w14:paraId="59036D18" w14:textId="77777777" w:rsidR="00197CF0" w:rsidRDefault="00197CF0" w:rsidP="00335E20">
            <w:pPr>
              <w:tabs>
                <w:tab w:val="left" w:pos="284"/>
              </w:tabs>
              <w:spacing w:line="276" w:lineRule="auto"/>
              <w:jc w:val="both"/>
              <w:rPr>
                <w:b/>
                <w:bCs/>
                <w:color w:val="000000"/>
              </w:rPr>
            </w:pPr>
            <w:r>
              <w:rPr>
                <w:b/>
                <w:bCs/>
                <w:color w:val="000000"/>
              </w:rPr>
              <w:lastRenderedPageBreak/>
              <w:t>1.7</w:t>
            </w:r>
          </w:p>
        </w:tc>
        <w:tc>
          <w:tcPr>
            <w:tcW w:w="4117" w:type="dxa"/>
            <w:tcBorders>
              <w:top w:val="single" w:sz="4" w:space="0" w:color="000000"/>
              <w:left w:val="single" w:sz="4" w:space="0" w:color="000000"/>
              <w:bottom w:val="single" w:sz="4" w:space="0" w:color="000000"/>
              <w:right w:val="single" w:sz="4" w:space="0" w:color="000000"/>
            </w:tcBorders>
          </w:tcPr>
          <w:p w14:paraId="737D21E2" w14:textId="77777777" w:rsidR="00197CF0" w:rsidRDefault="00197CF0" w:rsidP="00335E20">
            <w:pPr>
              <w:tabs>
                <w:tab w:val="left" w:pos="284"/>
              </w:tabs>
              <w:spacing w:line="276" w:lineRule="auto"/>
              <w:jc w:val="both"/>
              <w:rPr>
                <w:b/>
                <w:bCs/>
                <w:color w:val="000000"/>
              </w:rPr>
            </w:pPr>
            <w:r>
              <w:rPr>
                <w:b/>
                <w:bCs/>
                <w:color w:val="000000"/>
              </w:rPr>
              <w:t>STV paraiškos pobūdis</w:t>
            </w:r>
          </w:p>
        </w:tc>
        <w:tc>
          <w:tcPr>
            <w:tcW w:w="5096" w:type="dxa"/>
            <w:tcBorders>
              <w:top w:val="single" w:sz="4" w:space="0" w:color="000000"/>
              <w:left w:val="single" w:sz="4" w:space="0" w:color="000000"/>
              <w:bottom w:val="single" w:sz="4" w:space="0" w:color="000000"/>
              <w:right w:val="single" w:sz="4" w:space="0" w:color="000000"/>
            </w:tcBorders>
          </w:tcPr>
          <w:p w14:paraId="2289D816" w14:textId="77777777" w:rsidR="00197CF0" w:rsidRDefault="00D66899" w:rsidP="00335E20">
            <w:pPr>
              <w:spacing w:line="276" w:lineRule="auto"/>
              <w:jc w:val="both"/>
              <w:rPr>
                <w:color w:val="000000"/>
              </w:rPr>
            </w:pPr>
            <w:sdt>
              <w:sdtPr>
                <w:tag w:val="goog_rdk_6"/>
                <w:id w:val="2052692344"/>
              </w:sdtPr>
              <w:sdtEndPr/>
              <w:sdtContent>
                <w:r w:rsidR="00197CF0">
                  <w:rPr>
                    <w:rFonts w:ascii="Arial Unicode MS" w:eastAsia="Arial Unicode MS" w:hAnsi="Arial Unicode MS" w:cs="Arial Unicode MS"/>
                    <w:color w:val="000000"/>
                  </w:rPr>
                  <w:t>☒</w:t>
                </w:r>
              </w:sdtContent>
            </w:sdt>
            <w:r w:rsidR="00197CF0">
              <w:rPr>
                <w:color w:val="000000"/>
              </w:rPr>
              <w:t xml:space="preserve"> Pilna paraiška</w:t>
            </w:r>
          </w:p>
          <w:p w14:paraId="1D337692" w14:textId="77777777" w:rsidR="00197CF0" w:rsidRDefault="00D66899" w:rsidP="00335E20">
            <w:pPr>
              <w:spacing w:line="276" w:lineRule="auto"/>
              <w:jc w:val="both"/>
              <w:rPr>
                <w:color w:val="000000"/>
              </w:rPr>
            </w:pPr>
            <w:sdt>
              <w:sdtPr>
                <w:tag w:val="goog_rdk_7"/>
                <w:id w:val="74234354"/>
              </w:sdtPr>
              <w:sdtEndPr/>
              <w:sdtContent>
                <w:r w:rsidR="00197CF0">
                  <w:rPr>
                    <w:rFonts w:ascii="Arial Unicode MS" w:eastAsia="Arial Unicode MS" w:hAnsi="Arial Unicode MS" w:cs="Arial Unicode MS"/>
                    <w:color w:val="000000"/>
                  </w:rPr>
                  <w:t>☐</w:t>
                </w:r>
              </w:sdtContent>
            </w:sdt>
            <w:r w:rsidR="00197CF0">
              <w:rPr>
                <w:color w:val="000000"/>
              </w:rPr>
              <w:t xml:space="preserve"> Supaprastinta paraiška</w:t>
            </w:r>
          </w:p>
        </w:tc>
      </w:tr>
      <w:tr w:rsidR="00197CF0" w14:paraId="434A311C" w14:textId="77777777" w:rsidTr="00335E20">
        <w:trPr>
          <w:trHeight w:val="479"/>
        </w:trPr>
        <w:tc>
          <w:tcPr>
            <w:tcW w:w="705" w:type="dxa"/>
            <w:tcBorders>
              <w:top w:val="single" w:sz="4" w:space="0" w:color="000000"/>
              <w:left w:val="single" w:sz="4" w:space="0" w:color="000000"/>
              <w:bottom w:val="single" w:sz="4" w:space="0" w:color="000000"/>
              <w:right w:val="single" w:sz="4" w:space="0" w:color="000000"/>
            </w:tcBorders>
          </w:tcPr>
          <w:p w14:paraId="11ABFB68" w14:textId="77777777" w:rsidR="00197CF0" w:rsidRDefault="00197CF0" w:rsidP="00335E20">
            <w:pPr>
              <w:tabs>
                <w:tab w:val="left" w:pos="284"/>
              </w:tabs>
              <w:spacing w:line="276" w:lineRule="auto"/>
              <w:jc w:val="both"/>
              <w:rPr>
                <w:b/>
                <w:bCs/>
                <w:color w:val="000000"/>
              </w:rPr>
            </w:pPr>
            <w:r>
              <w:rPr>
                <w:b/>
                <w:bCs/>
                <w:color w:val="000000"/>
              </w:rPr>
              <w:t>1.8</w:t>
            </w:r>
          </w:p>
        </w:tc>
        <w:tc>
          <w:tcPr>
            <w:tcW w:w="4117" w:type="dxa"/>
            <w:tcBorders>
              <w:top w:val="single" w:sz="4" w:space="0" w:color="000000"/>
              <w:left w:val="single" w:sz="4" w:space="0" w:color="000000"/>
              <w:bottom w:val="single" w:sz="4" w:space="0" w:color="000000"/>
              <w:right w:val="single" w:sz="4" w:space="0" w:color="000000"/>
            </w:tcBorders>
          </w:tcPr>
          <w:p w14:paraId="0DD88E84" w14:textId="77777777" w:rsidR="00197CF0" w:rsidRDefault="00197CF0" w:rsidP="00335E20">
            <w:pPr>
              <w:tabs>
                <w:tab w:val="left" w:pos="284"/>
              </w:tabs>
              <w:spacing w:line="276" w:lineRule="auto"/>
              <w:jc w:val="both"/>
              <w:rPr>
                <w:b/>
                <w:bCs/>
                <w:color w:val="000000"/>
              </w:rPr>
            </w:pPr>
            <w:r>
              <w:rPr>
                <w:b/>
                <w:bCs/>
                <w:color w:val="000000"/>
              </w:rPr>
              <w:t xml:space="preserve">Klinikinių tyrimų tipas </w:t>
            </w:r>
          </w:p>
        </w:tc>
        <w:tc>
          <w:tcPr>
            <w:tcW w:w="5096" w:type="dxa"/>
            <w:tcBorders>
              <w:top w:val="single" w:sz="4" w:space="0" w:color="000000"/>
              <w:left w:val="single" w:sz="4" w:space="0" w:color="000000"/>
              <w:bottom w:val="single" w:sz="4" w:space="0" w:color="000000"/>
              <w:right w:val="single" w:sz="4" w:space="0" w:color="000000"/>
            </w:tcBorders>
          </w:tcPr>
          <w:p w14:paraId="47E0073D" w14:textId="77777777" w:rsidR="00197CF0" w:rsidRDefault="00D66899" w:rsidP="00335E20">
            <w:pPr>
              <w:spacing w:line="276" w:lineRule="auto"/>
              <w:jc w:val="both"/>
              <w:rPr>
                <w:color w:val="000000"/>
              </w:rPr>
            </w:pPr>
            <w:sdt>
              <w:sdtPr>
                <w:tag w:val="goog_rdk_8"/>
                <w:id w:val="415462533"/>
              </w:sdtPr>
              <w:sdtEndPr/>
              <w:sdtContent>
                <w:r w:rsidR="00197CF0">
                  <w:rPr>
                    <w:rFonts w:ascii="Arial Unicode MS" w:eastAsia="Arial Unicode MS" w:hAnsi="Arial Unicode MS" w:cs="Arial Unicode MS"/>
                    <w:color w:val="000000"/>
                  </w:rPr>
                  <w:t>☒</w:t>
                </w:r>
              </w:sdtContent>
            </w:sdt>
            <w:r w:rsidR="00197CF0">
              <w:rPr>
                <w:color w:val="000000"/>
              </w:rPr>
              <w:t xml:space="preserve"> Tiesioginis palyginimas</w:t>
            </w:r>
          </w:p>
          <w:p w14:paraId="78828C38" w14:textId="77777777" w:rsidR="00197CF0" w:rsidRDefault="00D66899" w:rsidP="00335E20">
            <w:pPr>
              <w:spacing w:line="276" w:lineRule="auto"/>
              <w:jc w:val="both"/>
              <w:rPr>
                <w:color w:val="000000"/>
              </w:rPr>
            </w:pPr>
            <w:sdt>
              <w:sdtPr>
                <w:tag w:val="goog_rdk_9"/>
                <w:id w:val="-785050087"/>
              </w:sdtPr>
              <w:sdtEndPr/>
              <w:sdtContent>
                <w:r w:rsidR="00197CF0">
                  <w:rPr>
                    <w:rFonts w:ascii="Arial Unicode MS" w:eastAsia="Arial Unicode MS" w:hAnsi="Arial Unicode MS" w:cs="Arial Unicode MS"/>
                    <w:color w:val="000000"/>
                  </w:rPr>
                  <w:t>☐</w:t>
                </w:r>
              </w:sdtContent>
            </w:sdt>
            <w:r w:rsidR="00197CF0">
              <w:rPr>
                <w:color w:val="000000"/>
              </w:rPr>
              <w:t xml:space="preserve"> Netiesioginis palyginimas</w:t>
            </w:r>
          </w:p>
        </w:tc>
      </w:tr>
      <w:tr w:rsidR="00197CF0" w14:paraId="68F4B901" w14:textId="77777777" w:rsidTr="00335E20">
        <w:trPr>
          <w:trHeight w:val="479"/>
        </w:trPr>
        <w:tc>
          <w:tcPr>
            <w:tcW w:w="705" w:type="dxa"/>
            <w:tcBorders>
              <w:top w:val="single" w:sz="4" w:space="0" w:color="000000"/>
              <w:left w:val="single" w:sz="4" w:space="0" w:color="000000"/>
              <w:bottom w:val="single" w:sz="4" w:space="0" w:color="000000"/>
              <w:right w:val="single" w:sz="4" w:space="0" w:color="000000"/>
            </w:tcBorders>
          </w:tcPr>
          <w:p w14:paraId="104AE740" w14:textId="77777777" w:rsidR="00197CF0" w:rsidRDefault="00197CF0" w:rsidP="00335E20">
            <w:pPr>
              <w:tabs>
                <w:tab w:val="left" w:pos="284"/>
              </w:tabs>
              <w:spacing w:line="276" w:lineRule="auto"/>
              <w:jc w:val="both"/>
              <w:rPr>
                <w:b/>
                <w:bCs/>
                <w:color w:val="000000"/>
              </w:rPr>
            </w:pPr>
            <w:r>
              <w:rPr>
                <w:b/>
                <w:bCs/>
                <w:color w:val="000000"/>
              </w:rPr>
              <w:t>1.9</w:t>
            </w:r>
          </w:p>
        </w:tc>
        <w:tc>
          <w:tcPr>
            <w:tcW w:w="4117" w:type="dxa"/>
            <w:tcBorders>
              <w:top w:val="single" w:sz="4" w:space="0" w:color="000000"/>
              <w:left w:val="single" w:sz="4" w:space="0" w:color="000000"/>
              <w:bottom w:val="single" w:sz="4" w:space="0" w:color="000000"/>
              <w:right w:val="single" w:sz="4" w:space="0" w:color="000000"/>
            </w:tcBorders>
          </w:tcPr>
          <w:p w14:paraId="24964131" w14:textId="77777777" w:rsidR="00197CF0" w:rsidRDefault="00197CF0" w:rsidP="00335E20">
            <w:pPr>
              <w:tabs>
                <w:tab w:val="left" w:pos="284"/>
              </w:tabs>
              <w:spacing w:line="276" w:lineRule="auto"/>
              <w:jc w:val="both"/>
              <w:rPr>
                <w:b/>
                <w:bCs/>
                <w:color w:val="000000"/>
              </w:rPr>
            </w:pPr>
            <w:r>
              <w:rPr>
                <w:b/>
                <w:bCs/>
                <w:color w:val="000000"/>
              </w:rPr>
              <w:t>Ekonominės analizės rūšis</w:t>
            </w:r>
          </w:p>
        </w:tc>
        <w:tc>
          <w:tcPr>
            <w:tcW w:w="5096" w:type="dxa"/>
            <w:tcBorders>
              <w:top w:val="single" w:sz="4" w:space="0" w:color="000000"/>
              <w:left w:val="single" w:sz="4" w:space="0" w:color="000000"/>
              <w:bottom w:val="single" w:sz="4" w:space="0" w:color="000000"/>
              <w:right w:val="single" w:sz="4" w:space="0" w:color="000000"/>
            </w:tcBorders>
          </w:tcPr>
          <w:p w14:paraId="334FBE75" w14:textId="77777777" w:rsidR="00197CF0" w:rsidRDefault="00D66899" w:rsidP="00335E20">
            <w:pPr>
              <w:spacing w:line="276" w:lineRule="auto"/>
              <w:jc w:val="both"/>
              <w:rPr>
                <w:color w:val="000000"/>
              </w:rPr>
            </w:pPr>
            <w:sdt>
              <w:sdtPr>
                <w:tag w:val="goog_rdk_10"/>
                <w:id w:val="953004943"/>
              </w:sdtPr>
              <w:sdtEndPr/>
              <w:sdtContent>
                <w:r w:rsidR="00197CF0">
                  <w:rPr>
                    <w:rFonts w:ascii="Arial Unicode MS" w:eastAsia="Arial Unicode MS" w:hAnsi="Arial Unicode MS" w:cs="Arial Unicode MS"/>
                    <w:color w:val="000000"/>
                  </w:rPr>
                  <w:t>☒</w:t>
                </w:r>
              </w:sdtContent>
            </w:sdt>
            <w:r w:rsidR="00197CF0">
              <w:rPr>
                <w:color w:val="000000"/>
              </w:rPr>
              <w:t xml:space="preserve"> Kaštų naudingumo analizė</w:t>
            </w:r>
          </w:p>
          <w:p w14:paraId="154A5730" w14:textId="77777777" w:rsidR="00197CF0" w:rsidRDefault="00D66899" w:rsidP="00335E20">
            <w:pPr>
              <w:spacing w:line="276" w:lineRule="auto"/>
              <w:jc w:val="both"/>
              <w:rPr>
                <w:color w:val="000000"/>
              </w:rPr>
            </w:pPr>
            <w:sdt>
              <w:sdtPr>
                <w:tag w:val="goog_rdk_11"/>
                <w:id w:val="1325463041"/>
              </w:sdtPr>
              <w:sdtEndPr/>
              <w:sdtContent>
                <w:r w:rsidR="00197CF0">
                  <w:rPr>
                    <w:rFonts w:ascii="Arial Unicode MS" w:eastAsia="Arial Unicode MS" w:hAnsi="Arial Unicode MS" w:cs="Arial Unicode MS"/>
                    <w:color w:val="000000"/>
                  </w:rPr>
                  <w:t>☐</w:t>
                </w:r>
              </w:sdtContent>
            </w:sdt>
            <w:r w:rsidR="00197CF0">
              <w:rPr>
                <w:color w:val="000000"/>
              </w:rPr>
              <w:t xml:space="preserve"> Kaštų mažinimo analizė</w:t>
            </w:r>
          </w:p>
          <w:p w14:paraId="5FFF8741" w14:textId="77777777" w:rsidR="00197CF0" w:rsidRDefault="00D66899" w:rsidP="00335E20">
            <w:pPr>
              <w:spacing w:line="276" w:lineRule="auto"/>
              <w:jc w:val="both"/>
              <w:rPr>
                <w:color w:val="000000"/>
              </w:rPr>
            </w:pPr>
            <w:sdt>
              <w:sdtPr>
                <w:tag w:val="goog_rdk_12"/>
                <w:id w:val="-1748963682"/>
              </w:sdtPr>
              <w:sdtEndPr/>
              <w:sdtContent>
                <w:r w:rsidR="00197CF0">
                  <w:rPr>
                    <w:rFonts w:ascii="Arial Unicode MS" w:eastAsia="Arial Unicode MS" w:hAnsi="Arial Unicode MS" w:cs="Arial Unicode MS"/>
                    <w:color w:val="000000"/>
                  </w:rPr>
                  <w:t>☐</w:t>
                </w:r>
              </w:sdtContent>
            </w:sdt>
            <w:r w:rsidR="00197CF0">
              <w:rPr>
                <w:color w:val="000000"/>
              </w:rPr>
              <w:t xml:space="preserve"> Kita: _________________ </w:t>
            </w:r>
          </w:p>
        </w:tc>
      </w:tr>
    </w:tbl>
    <w:p w14:paraId="0F6A46E3" w14:textId="77777777" w:rsidR="00197CF0" w:rsidRPr="00197CF0" w:rsidRDefault="00197CF0" w:rsidP="00197CF0">
      <w:pPr>
        <w:pStyle w:val="Sraopastraipa"/>
        <w:spacing w:line="276" w:lineRule="auto"/>
        <w:jc w:val="both"/>
        <w:rPr>
          <w:color w:val="000000"/>
        </w:rPr>
      </w:pPr>
    </w:p>
    <w:p w14:paraId="5807E9FA" w14:textId="23FCEDA3" w:rsidR="00705676" w:rsidRDefault="00705676" w:rsidP="00705676">
      <w:pPr>
        <w:spacing w:line="276" w:lineRule="auto"/>
        <w:jc w:val="both"/>
        <w:rPr>
          <w:b/>
          <w:bCs/>
          <w:color w:val="000000"/>
        </w:rPr>
      </w:pPr>
      <w:r>
        <w:rPr>
          <w:rFonts w:eastAsia="Arial"/>
          <w:b/>
        </w:rPr>
        <w:t xml:space="preserve">1.10 </w:t>
      </w:r>
      <w:r w:rsidR="00F70C9E" w:rsidRPr="004537D0">
        <w:rPr>
          <w:rFonts w:eastAsia="Arial"/>
          <w:b/>
        </w:rPr>
        <w:t xml:space="preserve">Kitų </w:t>
      </w:r>
      <w:r w:rsidR="00DF583C" w:rsidRPr="004537D0">
        <w:rPr>
          <w:rFonts w:eastAsia="Arial"/>
          <w:b/>
        </w:rPr>
        <w:t xml:space="preserve">valstybių </w:t>
      </w:r>
      <w:r w:rsidR="00F70C9E" w:rsidRPr="004537D0">
        <w:rPr>
          <w:rFonts w:eastAsia="Arial"/>
          <w:b/>
        </w:rPr>
        <w:t xml:space="preserve">atsakingų institucijų atlikto </w:t>
      </w:r>
      <w:r w:rsidR="00DF583C" w:rsidRPr="004537D0">
        <w:rPr>
          <w:rFonts w:eastAsia="Arial"/>
          <w:b/>
        </w:rPr>
        <w:t xml:space="preserve">Sveikatos technologijų vertinimo (toliau – </w:t>
      </w:r>
      <w:r>
        <w:rPr>
          <w:b/>
          <w:bCs/>
          <w:color w:val="000000"/>
        </w:rPr>
        <w:t>1.10 Kitų valstybių atsakingų institucijų atlikto Sveikatos technologijų vertinimo (toliau – STV) vertinimo išvados</w:t>
      </w:r>
    </w:p>
    <w:p w14:paraId="42A8019D" w14:textId="77777777" w:rsidR="00705676" w:rsidRDefault="00705676" w:rsidP="00705676">
      <w:pPr>
        <w:spacing w:line="276" w:lineRule="auto"/>
        <w:jc w:val="both"/>
        <w:rPr>
          <w:color w:val="00000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43"/>
        <w:gridCol w:w="2945"/>
        <w:gridCol w:w="2725"/>
      </w:tblGrid>
      <w:tr w:rsidR="00705676" w14:paraId="586908A3" w14:textId="77777777" w:rsidTr="00335E20">
        <w:trPr>
          <w:trHeight w:val="924"/>
        </w:trPr>
        <w:tc>
          <w:tcPr>
            <w:tcW w:w="2405" w:type="dxa"/>
          </w:tcPr>
          <w:p w14:paraId="4252B868" w14:textId="77777777" w:rsidR="00705676" w:rsidRDefault="00705676" w:rsidP="00335E20">
            <w:pPr>
              <w:spacing w:line="276" w:lineRule="auto"/>
              <w:jc w:val="both"/>
              <w:rPr>
                <w:color w:val="000000"/>
              </w:rPr>
            </w:pPr>
            <w:r>
              <w:rPr>
                <w:color w:val="000000"/>
              </w:rPr>
              <w:t>STV agentūros pavadinimas, šalis</w:t>
            </w:r>
          </w:p>
        </w:tc>
        <w:tc>
          <w:tcPr>
            <w:tcW w:w="1843" w:type="dxa"/>
          </w:tcPr>
          <w:p w14:paraId="7A79357C" w14:textId="77777777" w:rsidR="00705676" w:rsidRDefault="00705676" w:rsidP="00335E20">
            <w:pPr>
              <w:spacing w:line="276" w:lineRule="auto"/>
              <w:jc w:val="both"/>
              <w:rPr>
                <w:color w:val="000000"/>
              </w:rPr>
            </w:pPr>
            <w:r>
              <w:rPr>
                <w:color w:val="000000"/>
              </w:rPr>
              <w:t>STV vertinimas atliktas</w:t>
            </w:r>
          </w:p>
        </w:tc>
        <w:tc>
          <w:tcPr>
            <w:tcW w:w="2945" w:type="dxa"/>
          </w:tcPr>
          <w:p w14:paraId="1705CFBC" w14:textId="77777777" w:rsidR="00705676" w:rsidRDefault="00705676" w:rsidP="00335E20">
            <w:pPr>
              <w:spacing w:line="276" w:lineRule="auto"/>
              <w:jc w:val="both"/>
              <w:rPr>
                <w:color w:val="000000"/>
              </w:rPr>
            </w:pPr>
            <w:r>
              <w:rPr>
                <w:color w:val="000000"/>
              </w:rPr>
              <w:t>Klinikinio vertinimo išvada</w:t>
            </w:r>
          </w:p>
        </w:tc>
        <w:tc>
          <w:tcPr>
            <w:tcW w:w="2725" w:type="dxa"/>
          </w:tcPr>
          <w:p w14:paraId="54FF122C" w14:textId="77777777" w:rsidR="00705676" w:rsidRDefault="00705676" w:rsidP="00335E20">
            <w:pPr>
              <w:spacing w:line="276" w:lineRule="auto"/>
              <w:jc w:val="both"/>
              <w:rPr>
                <w:color w:val="000000"/>
              </w:rPr>
            </w:pPr>
            <w:proofErr w:type="spellStart"/>
            <w:r>
              <w:rPr>
                <w:color w:val="000000"/>
              </w:rPr>
              <w:t>Farmakoekonominio</w:t>
            </w:r>
            <w:proofErr w:type="spellEnd"/>
            <w:r>
              <w:rPr>
                <w:color w:val="000000"/>
              </w:rPr>
              <w:t xml:space="preserve"> vertinimo išvada</w:t>
            </w:r>
          </w:p>
        </w:tc>
      </w:tr>
      <w:tr w:rsidR="00705676" w14:paraId="5B87C4C4" w14:textId="77777777" w:rsidTr="00335E20">
        <w:trPr>
          <w:trHeight w:val="3673"/>
        </w:trPr>
        <w:tc>
          <w:tcPr>
            <w:tcW w:w="2405" w:type="dxa"/>
          </w:tcPr>
          <w:p w14:paraId="507D2935" w14:textId="77777777" w:rsidR="00705676" w:rsidRDefault="00705676" w:rsidP="00335E20">
            <w:pPr>
              <w:spacing w:line="276" w:lineRule="auto"/>
              <w:jc w:val="both"/>
              <w:rPr>
                <w:color w:val="000000"/>
              </w:rPr>
            </w:pPr>
            <w:r>
              <w:rPr>
                <w:color w:val="000000"/>
              </w:rPr>
              <w:t>Nacionalinis sveikatos ir klinikinės kompetencijos institutas, Didžioji Britanija</w:t>
            </w:r>
          </w:p>
          <w:p w14:paraId="6CA2C7D8" w14:textId="77777777" w:rsidR="00705676" w:rsidRDefault="00705676" w:rsidP="00335E20">
            <w:pPr>
              <w:spacing w:line="276" w:lineRule="auto"/>
              <w:jc w:val="both"/>
              <w:rPr>
                <w:color w:val="000000"/>
              </w:rPr>
            </w:pPr>
            <w:r>
              <w:rPr>
                <w:color w:val="000000"/>
              </w:rPr>
              <w:t xml:space="preserve">(angl. </w:t>
            </w:r>
            <w:proofErr w:type="spellStart"/>
            <w:r>
              <w:rPr>
                <w:i/>
                <w:iCs/>
                <w:color w:val="000000"/>
              </w:rPr>
              <w:t>National</w:t>
            </w:r>
            <w:proofErr w:type="spellEnd"/>
            <w:r>
              <w:rPr>
                <w:i/>
                <w:iCs/>
                <w:color w:val="000000"/>
              </w:rPr>
              <w:t xml:space="preserve"> Institute </w:t>
            </w:r>
            <w:proofErr w:type="spellStart"/>
            <w:r>
              <w:rPr>
                <w:i/>
                <w:iCs/>
                <w:color w:val="000000"/>
              </w:rPr>
              <w:t>for</w:t>
            </w:r>
            <w:proofErr w:type="spellEnd"/>
            <w:r>
              <w:rPr>
                <w:i/>
                <w:iCs/>
                <w:color w:val="000000"/>
              </w:rPr>
              <w:t xml:space="preserve"> </w:t>
            </w:r>
            <w:proofErr w:type="spellStart"/>
            <w:r>
              <w:rPr>
                <w:i/>
                <w:iCs/>
                <w:color w:val="000000"/>
              </w:rPr>
              <w:t>Health</w:t>
            </w:r>
            <w:proofErr w:type="spellEnd"/>
            <w:r>
              <w:rPr>
                <w:i/>
                <w:iCs/>
                <w:color w:val="000000"/>
              </w:rPr>
              <w:t xml:space="preserve"> </w:t>
            </w:r>
            <w:proofErr w:type="spellStart"/>
            <w:r>
              <w:rPr>
                <w:i/>
                <w:iCs/>
                <w:color w:val="000000"/>
              </w:rPr>
              <w:t>and</w:t>
            </w:r>
            <w:proofErr w:type="spellEnd"/>
            <w:r>
              <w:rPr>
                <w:i/>
                <w:iCs/>
                <w:color w:val="000000"/>
              </w:rPr>
              <w:t xml:space="preserve"> Care </w:t>
            </w:r>
            <w:proofErr w:type="spellStart"/>
            <w:r>
              <w:rPr>
                <w:i/>
                <w:iCs/>
                <w:color w:val="000000"/>
              </w:rPr>
              <w:t>Excellence</w:t>
            </w:r>
            <w:proofErr w:type="spellEnd"/>
            <w:r>
              <w:rPr>
                <w:i/>
                <w:iCs/>
                <w:color w:val="000000"/>
              </w:rPr>
              <w:t>, NICE</w:t>
            </w:r>
            <w:r>
              <w:rPr>
                <w:color w:val="000000"/>
              </w:rPr>
              <w:t>)</w:t>
            </w:r>
          </w:p>
        </w:tc>
        <w:tc>
          <w:tcPr>
            <w:tcW w:w="1843" w:type="dxa"/>
          </w:tcPr>
          <w:p w14:paraId="3BD99165" w14:textId="77777777" w:rsidR="00705676" w:rsidRDefault="00D66899" w:rsidP="00335E20">
            <w:pPr>
              <w:spacing w:line="276" w:lineRule="auto"/>
              <w:jc w:val="both"/>
              <w:rPr>
                <w:color w:val="000000"/>
              </w:rPr>
            </w:pPr>
            <w:sdt>
              <w:sdtPr>
                <w:tag w:val="goog_rdk_13"/>
                <w:id w:val="341127279"/>
              </w:sdtPr>
              <w:sdtEndPr/>
              <w:sdtContent>
                <w:r w:rsidR="00705676">
                  <w:rPr>
                    <w:rFonts w:ascii="Arial Unicode MS" w:eastAsia="Arial Unicode MS" w:hAnsi="Arial Unicode MS" w:cs="Arial Unicode MS"/>
                    <w:color w:val="000000"/>
                  </w:rPr>
                  <w:t>☐</w:t>
                </w:r>
              </w:sdtContent>
            </w:sdt>
            <w:r w:rsidR="00705676">
              <w:rPr>
                <w:color w:val="000000"/>
              </w:rPr>
              <w:t xml:space="preserve"> Taip</w:t>
            </w:r>
          </w:p>
          <w:p w14:paraId="24ABA722" w14:textId="77777777" w:rsidR="00705676" w:rsidRDefault="00D66899" w:rsidP="00335E20">
            <w:pPr>
              <w:spacing w:line="276" w:lineRule="auto"/>
              <w:jc w:val="both"/>
              <w:rPr>
                <w:color w:val="000000"/>
              </w:rPr>
            </w:pPr>
            <w:sdt>
              <w:sdtPr>
                <w:tag w:val="goog_rdk_14"/>
                <w:id w:val="2006746030"/>
              </w:sdtPr>
              <w:sdtEndPr/>
              <w:sdtContent>
                <w:r w:rsidR="00705676">
                  <w:rPr>
                    <w:rFonts w:ascii="Arial Unicode MS" w:eastAsia="Arial Unicode MS" w:hAnsi="Arial Unicode MS" w:cs="Arial Unicode MS"/>
                    <w:color w:val="000000"/>
                  </w:rPr>
                  <w:t>☒</w:t>
                </w:r>
              </w:sdtContent>
            </w:sdt>
            <w:r w:rsidR="00705676">
              <w:rPr>
                <w:color w:val="000000"/>
              </w:rPr>
              <w:t xml:space="preserve"> Ne</w:t>
            </w:r>
          </w:p>
          <w:p w14:paraId="68379C37" w14:textId="77777777" w:rsidR="00705676" w:rsidRDefault="00705676" w:rsidP="00335E20">
            <w:pPr>
              <w:spacing w:line="276" w:lineRule="auto"/>
              <w:jc w:val="both"/>
              <w:rPr>
                <w:color w:val="000000"/>
              </w:rPr>
            </w:pPr>
            <w:proofErr w:type="spellStart"/>
            <w:r>
              <w:rPr>
                <w:color w:val="000000"/>
              </w:rPr>
              <w:t>Click</w:t>
            </w:r>
            <w:proofErr w:type="spellEnd"/>
            <w:r>
              <w:rPr>
                <w:color w:val="000000"/>
              </w:rPr>
              <w:t xml:space="preserve"> </w:t>
            </w:r>
            <w:proofErr w:type="spellStart"/>
            <w:r>
              <w:rPr>
                <w:color w:val="000000"/>
              </w:rPr>
              <w:t>here</w:t>
            </w:r>
            <w:proofErr w:type="spellEnd"/>
            <w:r>
              <w:rPr>
                <w:color w:val="000000"/>
              </w:rPr>
              <w:t xml:space="preserve"> to </w:t>
            </w:r>
            <w:proofErr w:type="spellStart"/>
            <w:r>
              <w:rPr>
                <w:color w:val="000000"/>
              </w:rPr>
              <w:t>enter</w:t>
            </w:r>
            <w:proofErr w:type="spellEnd"/>
            <w:r>
              <w:rPr>
                <w:color w:val="000000"/>
              </w:rPr>
              <w:t xml:space="preserve"> a </w:t>
            </w:r>
            <w:proofErr w:type="spellStart"/>
            <w:r>
              <w:rPr>
                <w:color w:val="000000"/>
              </w:rPr>
              <w:t>date</w:t>
            </w:r>
            <w:proofErr w:type="spellEnd"/>
            <w:r>
              <w:rPr>
                <w:color w:val="000000"/>
              </w:rPr>
              <w:t>.</w:t>
            </w:r>
          </w:p>
        </w:tc>
        <w:tc>
          <w:tcPr>
            <w:tcW w:w="5670" w:type="dxa"/>
            <w:gridSpan w:val="2"/>
          </w:tcPr>
          <w:p w14:paraId="3870D428" w14:textId="77777777" w:rsidR="00705676" w:rsidRDefault="00705676" w:rsidP="00335E20">
            <w:pPr>
              <w:spacing w:line="276" w:lineRule="auto"/>
              <w:jc w:val="both"/>
              <w:rPr>
                <w:i/>
                <w:iCs/>
                <w:color w:val="000000"/>
              </w:rPr>
            </w:pPr>
            <w:r>
              <w:rPr>
                <w:i/>
                <w:iCs/>
                <w:color w:val="000000"/>
              </w:rPr>
              <w:t>Vertinimas atliekamas, numatoma sprendimo publikavimo data 2025 m. spalio 23 d.</w:t>
            </w:r>
          </w:p>
        </w:tc>
      </w:tr>
      <w:tr w:rsidR="00705676" w14:paraId="47D6B969" w14:textId="77777777" w:rsidTr="00335E20">
        <w:trPr>
          <w:trHeight w:val="1547"/>
        </w:trPr>
        <w:tc>
          <w:tcPr>
            <w:tcW w:w="2405" w:type="dxa"/>
          </w:tcPr>
          <w:p w14:paraId="029482ED" w14:textId="77777777" w:rsidR="00705676" w:rsidRDefault="00705676" w:rsidP="00335E20">
            <w:pPr>
              <w:spacing w:line="276" w:lineRule="auto"/>
              <w:jc w:val="both"/>
              <w:rPr>
                <w:color w:val="000000"/>
              </w:rPr>
            </w:pPr>
            <w:r>
              <w:rPr>
                <w:color w:val="000000"/>
              </w:rPr>
              <w:t>Kanados sveikatos technologijų agentūra</w:t>
            </w:r>
          </w:p>
          <w:p w14:paraId="166F6AE8" w14:textId="77777777" w:rsidR="00705676" w:rsidRDefault="00705676" w:rsidP="00335E20">
            <w:pPr>
              <w:spacing w:line="276" w:lineRule="auto"/>
              <w:jc w:val="both"/>
              <w:rPr>
                <w:color w:val="000000"/>
              </w:rPr>
            </w:pPr>
            <w:r>
              <w:rPr>
                <w:color w:val="000000"/>
              </w:rPr>
              <w:t xml:space="preserve">(angl. </w:t>
            </w:r>
            <w:proofErr w:type="spellStart"/>
            <w:r>
              <w:rPr>
                <w:i/>
                <w:iCs/>
                <w:color w:val="000000"/>
              </w:rPr>
              <w:t>Canadian</w:t>
            </w:r>
            <w:proofErr w:type="spellEnd"/>
            <w:r>
              <w:rPr>
                <w:i/>
                <w:iCs/>
                <w:color w:val="000000"/>
              </w:rPr>
              <w:t xml:space="preserve"> </w:t>
            </w:r>
            <w:proofErr w:type="spellStart"/>
            <w:r>
              <w:rPr>
                <w:i/>
                <w:iCs/>
                <w:color w:val="000000"/>
              </w:rPr>
              <w:t>health</w:t>
            </w:r>
            <w:proofErr w:type="spellEnd"/>
            <w:r>
              <w:rPr>
                <w:i/>
                <w:iCs/>
                <w:color w:val="000000"/>
              </w:rPr>
              <w:t xml:space="preserve"> </w:t>
            </w:r>
            <w:proofErr w:type="spellStart"/>
            <w:r>
              <w:rPr>
                <w:i/>
                <w:iCs/>
                <w:color w:val="000000"/>
              </w:rPr>
              <w:t>Technology</w:t>
            </w:r>
            <w:proofErr w:type="spellEnd"/>
            <w:r>
              <w:rPr>
                <w:i/>
                <w:iCs/>
                <w:color w:val="000000"/>
              </w:rPr>
              <w:t xml:space="preserve"> </w:t>
            </w:r>
            <w:proofErr w:type="spellStart"/>
            <w:r>
              <w:rPr>
                <w:i/>
                <w:iCs/>
                <w:color w:val="000000"/>
              </w:rPr>
              <w:t>Assessment</w:t>
            </w:r>
            <w:proofErr w:type="spellEnd"/>
            <w:r>
              <w:rPr>
                <w:i/>
                <w:iCs/>
                <w:color w:val="000000"/>
              </w:rPr>
              <w:t xml:space="preserve"> </w:t>
            </w:r>
            <w:proofErr w:type="spellStart"/>
            <w:r>
              <w:rPr>
                <w:i/>
                <w:iCs/>
                <w:color w:val="000000"/>
              </w:rPr>
              <w:t>agency</w:t>
            </w:r>
            <w:proofErr w:type="spellEnd"/>
            <w:r>
              <w:rPr>
                <w:i/>
                <w:iCs/>
                <w:color w:val="000000"/>
              </w:rPr>
              <w:t>, CADTH</w:t>
            </w:r>
            <w:r>
              <w:rPr>
                <w:color w:val="000000"/>
              </w:rPr>
              <w:t>)</w:t>
            </w:r>
          </w:p>
        </w:tc>
        <w:tc>
          <w:tcPr>
            <w:tcW w:w="1843" w:type="dxa"/>
          </w:tcPr>
          <w:p w14:paraId="4B651196" w14:textId="77777777" w:rsidR="00705676" w:rsidRDefault="00D66899" w:rsidP="00335E20">
            <w:pPr>
              <w:spacing w:line="276" w:lineRule="auto"/>
              <w:jc w:val="both"/>
              <w:rPr>
                <w:color w:val="000000"/>
              </w:rPr>
            </w:pPr>
            <w:sdt>
              <w:sdtPr>
                <w:tag w:val="goog_rdk_15"/>
                <w:id w:val="669540678"/>
              </w:sdtPr>
              <w:sdtEndPr/>
              <w:sdtContent>
                <w:r w:rsidR="00705676">
                  <w:rPr>
                    <w:rFonts w:ascii="Arial Unicode MS" w:eastAsia="Arial Unicode MS" w:hAnsi="Arial Unicode MS" w:cs="Arial Unicode MS"/>
                    <w:color w:val="000000"/>
                  </w:rPr>
                  <w:t>☒</w:t>
                </w:r>
              </w:sdtContent>
            </w:sdt>
            <w:r w:rsidR="00705676">
              <w:rPr>
                <w:color w:val="000000"/>
              </w:rPr>
              <w:t xml:space="preserve"> Taip</w:t>
            </w:r>
          </w:p>
          <w:p w14:paraId="7F608706" w14:textId="77777777" w:rsidR="00705676" w:rsidRDefault="00D66899" w:rsidP="00335E20">
            <w:pPr>
              <w:spacing w:line="276" w:lineRule="auto"/>
              <w:jc w:val="both"/>
              <w:rPr>
                <w:color w:val="000000"/>
              </w:rPr>
            </w:pPr>
            <w:sdt>
              <w:sdtPr>
                <w:tag w:val="goog_rdk_16"/>
                <w:id w:val="-1766860561"/>
              </w:sdtPr>
              <w:sdtEndPr/>
              <w:sdtContent>
                <w:r w:rsidR="00705676">
                  <w:rPr>
                    <w:rFonts w:ascii="Arial Unicode MS" w:eastAsia="Arial Unicode MS" w:hAnsi="Arial Unicode MS" w:cs="Arial Unicode MS"/>
                    <w:color w:val="000000"/>
                  </w:rPr>
                  <w:t>☐</w:t>
                </w:r>
              </w:sdtContent>
            </w:sdt>
            <w:r w:rsidR="00705676">
              <w:rPr>
                <w:color w:val="000000"/>
              </w:rPr>
              <w:t xml:space="preserve"> Ne</w:t>
            </w:r>
          </w:p>
          <w:p w14:paraId="3528E1B9" w14:textId="77777777" w:rsidR="00705676" w:rsidRDefault="00705676" w:rsidP="00335E20">
            <w:pPr>
              <w:spacing w:line="276" w:lineRule="auto"/>
              <w:jc w:val="both"/>
              <w:rPr>
                <w:color w:val="000000"/>
              </w:rPr>
            </w:pPr>
            <w:r>
              <w:rPr>
                <w:color w:val="000000"/>
              </w:rPr>
              <w:t>2025 m. rugsėjo 10 d.</w:t>
            </w:r>
          </w:p>
        </w:tc>
        <w:tc>
          <w:tcPr>
            <w:tcW w:w="5670" w:type="dxa"/>
            <w:gridSpan w:val="2"/>
          </w:tcPr>
          <w:p w14:paraId="7C684973" w14:textId="77777777" w:rsidR="00705676" w:rsidRDefault="00705676" w:rsidP="00335E20">
            <w:pPr>
              <w:pBdr>
                <w:top w:val="nil"/>
                <w:left w:val="nil"/>
                <w:bottom w:val="nil"/>
                <w:right w:val="nil"/>
                <w:between w:val="nil"/>
              </w:pBdr>
              <w:spacing w:line="276" w:lineRule="auto"/>
              <w:rPr>
                <w:color w:val="000000"/>
              </w:rPr>
            </w:pPr>
            <w:r>
              <w:rPr>
                <w:color w:val="000000"/>
              </w:rPr>
              <w:t xml:space="preserve">CADTH komitetas rekomenduoja, kompensuoti </w:t>
            </w:r>
            <w:proofErr w:type="spellStart"/>
            <w:r>
              <w:rPr>
                <w:color w:val="000000"/>
              </w:rPr>
              <w:t>Rybrevant</w:t>
            </w:r>
            <w:proofErr w:type="spellEnd"/>
            <w:r>
              <w:rPr>
                <w:color w:val="000000"/>
              </w:rPr>
              <w:t xml:space="preserve">, </w:t>
            </w:r>
            <w:r>
              <w:rPr>
                <w:color w:val="000000"/>
                <w:u w:val="single"/>
              </w:rPr>
              <w:t>jeigu</w:t>
            </w:r>
            <w:r>
              <w:rPr>
                <w:color w:val="000000"/>
              </w:rPr>
              <w:t xml:space="preserve"> jis skiriamas po chemoterapijos platinos pagrindu (</w:t>
            </w:r>
            <w:proofErr w:type="spellStart"/>
            <w:r>
              <w:rPr>
                <w:color w:val="000000"/>
              </w:rPr>
              <w:t>t.y</w:t>
            </w:r>
            <w:proofErr w:type="spellEnd"/>
            <w:r>
              <w:rPr>
                <w:color w:val="000000"/>
              </w:rPr>
              <w:t xml:space="preserve">. antros eilės gydymui), bei yra sumažinta vaisto kaina. Jis neturėtų būti kompensuojamas, jei skiriamas kartu su kitais vaistais nuo vėžio. </w:t>
            </w:r>
            <w:proofErr w:type="spellStart"/>
            <w:r>
              <w:rPr>
                <w:color w:val="000000"/>
              </w:rPr>
              <w:t>Rybrevant</w:t>
            </w:r>
            <w:proofErr w:type="spellEnd"/>
            <w:r>
              <w:rPr>
                <w:color w:val="000000"/>
              </w:rPr>
              <w:t xml:space="preserve"> turi skirti specialistai, turintys patirties gydant NSLPV.</w:t>
            </w:r>
          </w:p>
        </w:tc>
      </w:tr>
      <w:tr w:rsidR="00705676" w14:paraId="0D95BE39" w14:textId="77777777" w:rsidTr="00335E20">
        <w:trPr>
          <w:trHeight w:val="1927"/>
        </w:trPr>
        <w:tc>
          <w:tcPr>
            <w:tcW w:w="2405" w:type="dxa"/>
          </w:tcPr>
          <w:p w14:paraId="1393DC12" w14:textId="77777777" w:rsidR="00705676" w:rsidRDefault="00705676" w:rsidP="00335E20">
            <w:pPr>
              <w:spacing w:line="276" w:lineRule="auto"/>
              <w:jc w:val="both"/>
              <w:rPr>
                <w:color w:val="000000"/>
              </w:rPr>
            </w:pPr>
            <w:r>
              <w:rPr>
                <w:color w:val="000000"/>
              </w:rPr>
              <w:t xml:space="preserve">Nacionalinis </w:t>
            </w:r>
            <w:proofErr w:type="spellStart"/>
            <w:r>
              <w:rPr>
                <w:color w:val="000000"/>
              </w:rPr>
              <w:t>farmakoekonomikos</w:t>
            </w:r>
            <w:proofErr w:type="spellEnd"/>
            <w:r>
              <w:rPr>
                <w:color w:val="000000"/>
              </w:rPr>
              <w:t xml:space="preserve"> centras, Airija</w:t>
            </w:r>
          </w:p>
          <w:p w14:paraId="2A6E59BC" w14:textId="77777777" w:rsidR="00705676" w:rsidRDefault="00705676" w:rsidP="00335E20">
            <w:pPr>
              <w:spacing w:line="276" w:lineRule="auto"/>
              <w:jc w:val="both"/>
              <w:rPr>
                <w:color w:val="000000"/>
              </w:rPr>
            </w:pPr>
            <w:r>
              <w:rPr>
                <w:color w:val="000000"/>
              </w:rPr>
              <w:t>(angl.</w:t>
            </w:r>
            <w:r>
              <w:rPr>
                <w:i/>
                <w:iCs/>
                <w:color w:val="000000"/>
              </w:rPr>
              <w:t xml:space="preserve"> </w:t>
            </w:r>
            <w:proofErr w:type="spellStart"/>
            <w:r>
              <w:rPr>
                <w:i/>
                <w:iCs/>
                <w:color w:val="000000"/>
              </w:rPr>
              <w:t>National</w:t>
            </w:r>
            <w:proofErr w:type="spellEnd"/>
            <w:r>
              <w:rPr>
                <w:i/>
                <w:iCs/>
                <w:color w:val="000000"/>
              </w:rPr>
              <w:t xml:space="preserve"> Centre </w:t>
            </w:r>
            <w:proofErr w:type="spellStart"/>
            <w:r>
              <w:rPr>
                <w:i/>
                <w:iCs/>
                <w:color w:val="000000"/>
              </w:rPr>
              <w:t>for</w:t>
            </w:r>
            <w:proofErr w:type="spellEnd"/>
            <w:r>
              <w:rPr>
                <w:i/>
                <w:iCs/>
                <w:color w:val="000000"/>
              </w:rPr>
              <w:t xml:space="preserve"> </w:t>
            </w:r>
            <w:proofErr w:type="spellStart"/>
            <w:r>
              <w:rPr>
                <w:i/>
                <w:iCs/>
                <w:color w:val="000000"/>
              </w:rPr>
              <w:t>Pharmacoeconomics</w:t>
            </w:r>
            <w:proofErr w:type="spellEnd"/>
            <w:r>
              <w:rPr>
                <w:i/>
                <w:iCs/>
                <w:color w:val="000000"/>
              </w:rPr>
              <w:t>, NCPE</w:t>
            </w:r>
            <w:r>
              <w:rPr>
                <w:color w:val="000000"/>
              </w:rPr>
              <w:t>)</w:t>
            </w:r>
          </w:p>
        </w:tc>
        <w:tc>
          <w:tcPr>
            <w:tcW w:w="1843" w:type="dxa"/>
          </w:tcPr>
          <w:p w14:paraId="667547CD" w14:textId="77777777" w:rsidR="00705676" w:rsidRDefault="00D66899" w:rsidP="00335E20">
            <w:pPr>
              <w:spacing w:line="276" w:lineRule="auto"/>
              <w:jc w:val="both"/>
              <w:rPr>
                <w:color w:val="000000"/>
              </w:rPr>
            </w:pPr>
            <w:sdt>
              <w:sdtPr>
                <w:tag w:val="goog_rdk_17"/>
                <w:id w:val="-360265682"/>
              </w:sdtPr>
              <w:sdtEndPr/>
              <w:sdtContent>
                <w:r w:rsidR="00705676">
                  <w:rPr>
                    <w:rFonts w:ascii="Arial Unicode MS" w:eastAsia="Arial Unicode MS" w:hAnsi="Arial Unicode MS" w:cs="Arial Unicode MS"/>
                    <w:color w:val="000000"/>
                  </w:rPr>
                  <w:t>☐</w:t>
                </w:r>
              </w:sdtContent>
            </w:sdt>
            <w:r w:rsidR="00705676">
              <w:rPr>
                <w:color w:val="000000"/>
              </w:rPr>
              <w:t xml:space="preserve"> Taip</w:t>
            </w:r>
          </w:p>
          <w:p w14:paraId="3C5080C1" w14:textId="77777777" w:rsidR="00705676" w:rsidRDefault="00D66899" w:rsidP="00335E20">
            <w:pPr>
              <w:spacing w:line="276" w:lineRule="auto"/>
              <w:jc w:val="both"/>
              <w:rPr>
                <w:color w:val="000000"/>
              </w:rPr>
            </w:pPr>
            <w:sdt>
              <w:sdtPr>
                <w:tag w:val="goog_rdk_18"/>
                <w:id w:val="809915927"/>
              </w:sdtPr>
              <w:sdtEndPr/>
              <w:sdtContent>
                <w:r w:rsidR="00705676">
                  <w:rPr>
                    <w:rFonts w:ascii="Arial Unicode MS" w:eastAsia="Arial Unicode MS" w:hAnsi="Arial Unicode MS" w:cs="Arial Unicode MS"/>
                    <w:color w:val="000000"/>
                  </w:rPr>
                  <w:t>☒</w:t>
                </w:r>
              </w:sdtContent>
            </w:sdt>
            <w:r w:rsidR="00705676">
              <w:rPr>
                <w:color w:val="000000"/>
              </w:rPr>
              <w:t xml:space="preserve"> Ne</w:t>
            </w:r>
          </w:p>
          <w:p w14:paraId="77683A8F" w14:textId="77777777" w:rsidR="00705676" w:rsidRDefault="00705676" w:rsidP="00335E20">
            <w:pPr>
              <w:spacing w:line="276" w:lineRule="auto"/>
              <w:jc w:val="both"/>
              <w:rPr>
                <w:i/>
                <w:iCs/>
                <w:color w:val="000000"/>
              </w:rPr>
            </w:pPr>
            <w:r>
              <w:rPr>
                <w:i/>
                <w:iCs/>
                <w:color w:val="000000"/>
              </w:rPr>
              <w:t>2024 m. liepos 11 d. atlikta greitoji peržiūra, pilnas vertinimas nepaskelbtas</w:t>
            </w:r>
          </w:p>
        </w:tc>
        <w:tc>
          <w:tcPr>
            <w:tcW w:w="5670" w:type="dxa"/>
            <w:gridSpan w:val="2"/>
          </w:tcPr>
          <w:p w14:paraId="749B86F8" w14:textId="77777777" w:rsidR="00705676" w:rsidRDefault="00705676" w:rsidP="00335E20">
            <w:pPr>
              <w:spacing w:line="276" w:lineRule="auto"/>
              <w:jc w:val="both"/>
              <w:rPr>
                <w:color w:val="000000"/>
              </w:rPr>
            </w:pPr>
          </w:p>
        </w:tc>
      </w:tr>
    </w:tbl>
    <w:p w14:paraId="20E38D87" w14:textId="44AF5A5D" w:rsidR="00997A8D" w:rsidRDefault="00997A8D" w:rsidP="00705676">
      <w:pPr>
        <w:pStyle w:val="Sraopastraipa"/>
        <w:spacing w:line="276" w:lineRule="auto"/>
        <w:jc w:val="both"/>
        <w:rPr>
          <w:rFonts w:eastAsia="Arial"/>
          <w:b/>
        </w:rPr>
      </w:pPr>
    </w:p>
    <w:p w14:paraId="2AC15625" w14:textId="77777777" w:rsidR="00E36D62" w:rsidRPr="00997A8D" w:rsidRDefault="00E36D62" w:rsidP="00705676">
      <w:pPr>
        <w:pStyle w:val="Sraopastraipa"/>
        <w:spacing w:line="276" w:lineRule="auto"/>
        <w:jc w:val="both"/>
        <w:rPr>
          <w:rFonts w:eastAsia="Arial"/>
          <w:b/>
        </w:rPr>
      </w:pPr>
    </w:p>
    <w:p w14:paraId="25F89291" w14:textId="03338545" w:rsidR="00D4485B" w:rsidRDefault="00CC7832" w:rsidP="004537D0">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3702E64" w14:textId="77777777" w:rsidR="004537D0" w:rsidRDefault="004537D0" w:rsidP="004537D0">
      <w:pPr>
        <w:tabs>
          <w:tab w:val="left" w:pos="567"/>
        </w:tabs>
        <w:rPr>
          <w:b/>
          <w:bCs/>
          <w:caps/>
        </w:rPr>
      </w:pPr>
    </w:p>
    <w:p w14:paraId="69AC3F30" w14:textId="599F2FFC" w:rsidR="00677235" w:rsidRDefault="00E30C84" w:rsidP="00677235">
      <w:pPr>
        <w:tabs>
          <w:tab w:val="left" w:pos="426"/>
        </w:tabs>
        <w:spacing w:line="276" w:lineRule="auto"/>
        <w:jc w:val="both"/>
        <w:rPr>
          <w:color w:val="4472C4"/>
        </w:rPr>
      </w:pPr>
      <w:r>
        <w:rPr>
          <w:color w:val="000000"/>
        </w:rPr>
        <w:tab/>
      </w:r>
      <w:r w:rsidR="00677235">
        <w:rPr>
          <w:color w:val="000000"/>
        </w:rPr>
        <w:t>Plaučių vėžys yra dažniausiai nustatomas piktybinis navikas pasaulyje, nusinešantis daugiausiai gyvybių, lyginant su kitomis onkologinėmis ligomis. Remiantis 2018 m. tarptautiniais vėžio stebėjimo (GLOBOCAN) duomenimis, plaučių vėžys buvo dažniausiai diagnozuojamas piktybinis navikas pasaulyje.</w:t>
      </w:r>
    </w:p>
    <w:p w14:paraId="100115EB" w14:textId="77777777" w:rsidR="00677235" w:rsidRDefault="00677235" w:rsidP="00677235">
      <w:pPr>
        <w:tabs>
          <w:tab w:val="left" w:pos="426"/>
        </w:tabs>
        <w:spacing w:line="276" w:lineRule="auto"/>
        <w:jc w:val="both"/>
        <w:rPr>
          <w:color w:val="000000"/>
        </w:rPr>
      </w:pPr>
      <w:r>
        <w:rPr>
          <w:color w:val="4472C4"/>
        </w:rPr>
        <w:tab/>
      </w:r>
      <w:r>
        <w:rPr>
          <w:color w:val="000000"/>
        </w:rPr>
        <w:t xml:space="preserve">Priklausomai nuo navikinių ląstelių morfologinės sandaros ir biologinių savybių, plaučių vėžys skirstomas į </w:t>
      </w:r>
      <w:proofErr w:type="spellStart"/>
      <w:r>
        <w:rPr>
          <w:color w:val="000000"/>
        </w:rPr>
        <w:t>smulkialąstelinį</w:t>
      </w:r>
      <w:proofErr w:type="spellEnd"/>
      <w:r>
        <w:rPr>
          <w:color w:val="000000"/>
        </w:rPr>
        <w:t xml:space="preserve"> ir </w:t>
      </w:r>
      <w:proofErr w:type="spellStart"/>
      <w:r>
        <w:rPr>
          <w:color w:val="000000"/>
        </w:rPr>
        <w:t>nesmulkialąstelinį</w:t>
      </w:r>
      <w:proofErr w:type="spellEnd"/>
      <w:r>
        <w:rPr>
          <w:color w:val="000000"/>
        </w:rPr>
        <w:t xml:space="preserve"> (pastarasis sudaro maždaug 80-85 proc. visų atvejų). </w:t>
      </w:r>
      <w:proofErr w:type="spellStart"/>
      <w:r>
        <w:rPr>
          <w:color w:val="000000"/>
        </w:rPr>
        <w:t>Nesmulkialąstelinis</w:t>
      </w:r>
      <w:proofErr w:type="spellEnd"/>
      <w:r>
        <w:rPr>
          <w:color w:val="000000"/>
        </w:rPr>
        <w:t xml:space="preserve"> plaučių vėžys (NSLPV) skirstomas į kelias rūšis, kurios priklauso nuo piktybinių ląstelių tipo, iš jų plačiausiai paplitęs </w:t>
      </w:r>
      <w:proofErr w:type="spellStart"/>
      <w:r>
        <w:rPr>
          <w:color w:val="000000"/>
        </w:rPr>
        <w:t>plokščialąstelinis</w:t>
      </w:r>
      <w:proofErr w:type="spellEnd"/>
      <w:r>
        <w:rPr>
          <w:color w:val="000000"/>
        </w:rPr>
        <w:t xml:space="preserve"> vėžys (sudaro apie 33 proc. visų NSLPV atvejų), bei </w:t>
      </w:r>
      <w:proofErr w:type="spellStart"/>
      <w:r>
        <w:rPr>
          <w:color w:val="000000"/>
        </w:rPr>
        <w:t>adenokarcinoma</w:t>
      </w:r>
      <w:proofErr w:type="spellEnd"/>
      <w:r>
        <w:rPr>
          <w:color w:val="000000"/>
        </w:rPr>
        <w:t xml:space="preserve"> (sudaro apie 25 proc. atvejų). </w:t>
      </w:r>
      <w:r>
        <w:t>EAFR</w:t>
      </w:r>
      <w:r>
        <w:rPr>
          <w:color w:val="000000"/>
        </w:rPr>
        <w:t xml:space="preserve"> mutacijos - epidermio augimo faktoriaus receptoriaus (</w:t>
      </w:r>
      <w:r>
        <w:t>EAFR</w:t>
      </w:r>
      <w:r>
        <w:rPr>
          <w:color w:val="000000"/>
        </w:rPr>
        <w:t xml:space="preserve">) </w:t>
      </w:r>
      <w:proofErr w:type="spellStart"/>
      <w:r>
        <w:rPr>
          <w:color w:val="000000"/>
        </w:rPr>
        <w:t>tirozino</w:t>
      </w:r>
      <w:proofErr w:type="spellEnd"/>
      <w:r>
        <w:rPr>
          <w:color w:val="000000"/>
        </w:rPr>
        <w:t xml:space="preserve"> </w:t>
      </w:r>
      <w:proofErr w:type="spellStart"/>
      <w:r>
        <w:rPr>
          <w:color w:val="000000"/>
        </w:rPr>
        <w:t>kinazės</w:t>
      </w:r>
      <w:proofErr w:type="spellEnd"/>
      <w:r>
        <w:rPr>
          <w:color w:val="000000"/>
        </w:rPr>
        <w:t xml:space="preserve"> mutacijos aptinkamos maždaug 15 proc. NSLPV </w:t>
      </w:r>
      <w:proofErr w:type="spellStart"/>
      <w:r>
        <w:rPr>
          <w:color w:val="000000"/>
        </w:rPr>
        <w:t>adenokarcinomų</w:t>
      </w:r>
      <w:proofErr w:type="spellEnd"/>
      <w:r>
        <w:rPr>
          <w:color w:val="000000"/>
        </w:rPr>
        <w:t xml:space="preserve"> Jungtinėse Amerikos Valstijose ir dažniau pasitaiko nerūkantiems žmonėms. Esant pažengusiam NSLPV, </w:t>
      </w:r>
      <w:r>
        <w:t>EAFR</w:t>
      </w:r>
      <w:r>
        <w:rPr>
          <w:color w:val="000000"/>
        </w:rPr>
        <w:t xml:space="preserve"> mutacijos buvimas lemia palankesnę prognozę ir stipriai prognozuoja jautrumą </w:t>
      </w:r>
      <w:r>
        <w:t>EAFR</w:t>
      </w:r>
      <w:r>
        <w:rPr>
          <w:color w:val="000000"/>
        </w:rPr>
        <w:t xml:space="preserve"> TKI, todėl </w:t>
      </w:r>
      <w:r>
        <w:t>EAFR</w:t>
      </w:r>
      <w:r>
        <w:rPr>
          <w:color w:val="000000"/>
        </w:rPr>
        <w:t xml:space="preserve"> teigiamo NSLPV atveju taikinių terapija turėtų būti taikoma anksčiau nei chemoterapija ir imunoterapija. </w:t>
      </w:r>
    </w:p>
    <w:p w14:paraId="14B2870E" w14:textId="77777777" w:rsidR="00677235" w:rsidRDefault="00677235" w:rsidP="00677235">
      <w:pPr>
        <w:tabs>
          <w:tab w:val="left" w:pos="426"/>
        </w:tabs>
        <w:spacing w:line="276" w:lineRule="auto"/>
        <w:jc w:val="both"/>
        <w:rPr>
          <w:color w:val="000000"/>
        </w:rPr>
      </w:pPr>
      <w:r>
        <w:rPr>
          <w:color w:val="4472C4"/>
        </w:rPr>
        <w:tab/>
      </w:r>
      <w:r>
        <w:rPr>
          <w:color w:val="000000"/>
        </w:rPr>
        <w:t xml:space="preserve">Lietuvos Higienos instituto duomenimis, naujų plaučių vėžio atvejų skaičius 2015–2019 m. kasmet viršijo 1500 atvejų (2019 m. nustatytas 1531 naujas plaučių vėžio atvejis), per minėtą laikotarpį kasmet nuo plaučių vėžio mirdavo apie 1300 ligonių (2019 m. mirė 1273 ligoniai). 2019 m. buvo nustatyta 3780 asmenų, kuriems metų laikotarpiu yra užregistruota plaučių vėžio diagnozė. 2020 m. sergančių broncho ir plaučio navikais (TLK kodas C34) buvo iš viso 4113 gyventojų, </w:t>
      </w:r>
      <w:proofErr w:type="spellStart"/>
      <w:r>
        <w:rPr>
          <w:color w:val="000000"/>
        </w:rPr>
        <w:t>t.y</w:t>
      </w:r>
      <w:proofErr w:type="spellEnd"/>
      <w:r>
        <w:rPr>
          <w:color w:val="000000"/>
        </w:rPr>
        <w:t xml:space="preserve">. 1,47 sergančiųjų 1000 gyventojų. 2021 m. sergančių broncho ir plaučio navikais buvo iš viso 4302 gyventojų, </w:t>
      </w:r>
      <w:proofErr w:type="spellStart"/>
      <w:r>
        <w:rPr>
          <w:color w:val="000000"/>
        </w:rPr>
        <w:t>t.y</w:t>
      </w:r>
      <w:proofErr w:type="spellEnd"/>
      <w:r>
        <w:rPr>
          <w:color w:val="000000"/>
        </w:rPr>
        <w:t xml:space="preserve">. 1,54 sergančiųjų 1000 gyventojų. 2022 m. sergančių broncho ir plaučio navikais buvo iš viso 4487 gyventojų, </w:t>
      </w:r>
      <w:proofErr w:type="spellStart"/>
      <w:r>
        <w:rPr>
          <w:color w:val="000000"/>
        </w:rPr>
        <w:t>t.y</w:t>
      </w:r>
      <w:proofErr w:type="spellEnd"/>
      <w:r>
        <w:rPr>
          <w:color w:val="000000"/>
        </w:rPr>
        <w:t>. 1,58 sergančiųjų 1000 gyventojų.</w:t>
      </w:r>
    </w:p>
    <w:p w14:paraId="1FF3DDC8" w14:textId="77777777" w:rsidR="00677235" w:rsidRDefault="00677235" w:rsidP="00677235">
      <w:pPr>
        <w:tabs>
          <w:tab w:val="left" w:pos="426"/>
        </w:tabs>
        <w:spacing w:line="276" w:lineRule="auto"/>
        <w:jc w:val="both"/>
        <w:rPr>
          <w:color w:val="000000"/>
        </w:rPr>
      </w:pPr>
      <w:r>
        <w:rPr>
          <w:color w:val="4472C4"/>
        </w:rPr>
        <w:tab/>
      </w:r>
      <w:r>
        <w:rPr>
          <w:color w:val="000000"/>
        </w:rPr>
        <w:t xml:space="preserve">Remiantis Europos medicininės onkologijos draugijos (angl. </w:t>
      </w:r>
      <w:proofErr w:type="spellStart"/>
      <w:r>
        <w:rPr>
          <w:color w:val="000000"/>
        </w:rPr>
        <w:t>European</w:t>
      </w:r>
      <w:proofErr w:type="spellEnd"/>
      <w:r>
        <w:rPr>
          <w:color w:val="000000"/>
        </w:rPr>
        <w:t xml:space="preserve"> </w:t>
      </w:r>
      <w:proofErr w:type="spellStart"/>
      <w:r>
        <w:rPr>
          <w:color w:val="000000"/>
        </w:rPr>
        <w:t>Society</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Medical</w:t>
      </w:r>
      <w:proofErr w:type="spellEnd"/>
      <w:r>
        <w:rPr>
          <w:color w:val="000000"/>
        </w:rPr>
        <w:t xml:space="preserve"> </w:t>
      </w:r>
      <w:proofErr w:type="spellStart"/>
      <w:r>
        <w:rPr>
          <w:color w:val="000000"/>
        </w:rPr>
        <w:t>Oncology</w:t>
      </w:r>
      <w:proofErr w:type="spellEnd"/>
      <w:r>
        <w:rPr>
          <w:color w:val="000000"/>
        </w:rPr>
        <w:t xml:space="preserve">, ESMO) gairėmis (2023 m., atnaujinta 2025 m. sausio mėn.), pacientams, sergantiems NSLPV su </w:t>
      </w:r>
      <w:r>
        <w:t>EAFR</w:t>
      </w:r>
      <w:r>
        <w:rPr>
          <w:color w:val="000000"/>
        </w:rPr>
        <w:t xml:space="preserve"> 20 </w:t>
      </w:r>
      <w:proofErr w:type="spellStart"/>
      <w:r>
        <w:rPr>
          <w:color w:val="000000"/>
        </w:rPr>
        <w:t>egzono</w:t>
      </w:r>
      <w:proofErr w:type="spellEnd"/>
      <w:r>
        <w:rPr>
          <w:color w:val="000000"/>
        </w:rPr>
        <w:t xml:space="preserve"> intarpo mutacijomis rekomenduojama pirmos eilės gydymui skirti </w:t>
      </w:r>
      <w:proofErr w:type="spellStart"/>
      <w:r>
        <w:rPr>
          <w:color w:val="000000"/>
        </w:rPr>
        <w:t>amivantamabą</w:t>
      </w:r>
      <w:proofErr w:type="spellEnd"/>
      <w:r>
        <w:rPr>
          <w:color w:val="000000"/>
        </w:rPr>
        <w:t xml:space="preserve">, derinant su </w:t>
      </w:r>
      <w:proofErr w:type="spellStart"/>
      <w:r>
        <w:rPr>
          <w:color w:val="000000"/>
        </w:rPr>
        <w:t>karboplatina</w:t>
      </w:r>
      <w:proofErr w:type="spellEnd"/>
      <w:r>
        <w:rPr>
          <w:color w:val="000000"/>
        </w:rPr>
        <w:t xml:space="preserve"> ir </w:t>
      </w:r>
      <w:proofErr w:type="spellStart"/>
      <w:r>
        <w:rPr>
          <w:color w:val="000000"/>
        </w:rPr>
        <w:t>pemetreksedu</w:t>
      </w:r>
      <w:proofErr w:type="spellEnd"/>
      <w:r>
        <w:rPr>
          <w:color w:val="000000"/>
        </w:rPr>
        <w:t>, (I,B lygio rekomendacija).</w:t>
      </w:r>
    </w:p>
    <w:p w14:paraId="69901640" w14:textId="77777777" w:rsidR="00677235" w:rsidRDefault="00677235" w:rsidP="00677235">
      <w:pPr>
        <w:tabs>
          <w:tab w:val="left" w:pos="426"/>
        </w:tabs>
        <w:spacing w:line="276" w:lineRule="auto"/>
        <w:jc w:val="both"/>
        <w:rPr>
          <w:color w:val="4472C4"/>
        </w:rPr>
      </w:pPr>
      <w:r>
        <w:rPr>
          <w:color w:val="000000"/>
        </w:rPr>
        <w:tab/>
        <w:t xml:space="preserve">Remiantis Nacionalinio išplėstinio vėžio tinklo (angl. </w:t>
      </w:r>
      <w:proofErr w:type="spellStart"/>
      <w:r>
        <w:rPr>
          <w:color w:val="000000"/>
        </w:rPr>
        <w:t>National</w:t>
      </w:r>
      <w:proofErr w:type="spellEnd"/>
      <w:r>
        <w:rPr>
          <w:color w:val="000000"/>
        </w:rPr>
        <w:t xml:space="preserve"> </w:t>
      </w:r>
      <w:proofErr w:type="spellStart"/>
      <w:r>
        <w:rPr>
          <w:color w:val="000000"/>
        </w:rPr>
        <w:t>Comprehensive</w:t>
      </w:r>
      <w:proofErr w:type="spellEnd"/>
      <w:r>
        <w:rPr>
          <w:color w:val="000000"/>
        </w:rPr>
        <w:t xml:space="preserve"> </w:t>
      </w:r>
      <w:proofErr w:type="spellStart"/>
      <w:r>
        <w:rPr>
          <w:color w:val="000000"/>
        </w:rPr>
        <w:t>Cancer</w:t>
      </w:r>
      <w:proofErr w:type="spellEnd"/>
      <w:r>
        <w:rPr>
          <w:color w:val="000000"/>
        </w:rPr>
        <w:t xml:space="preserve"> Network, NCCN) gairėmis (2025 m.), pirmos eilės gydymui išplitusiam arba </w:t>
      </w:r>
      <w:proofErr w:type="spellStart"/>
      <w:r>
        <w:rPr>
          <w:color w:val="000000"/>
        </w:rPr>
        <w:t>metastazavusiam</w:t>
      </w:r>
      <w:proofErr w:type="spellEnd"/>
      <w:r>
        <w:rPr>
          <w:color w:val="000000"/>
        </w:rPr>
        <w:t xml:space="preserve"> NSLPV su </w:t>
      </w:r>
      <w:r>
        <w:t>EAFR</w:t>
      </w:r>
      <w:r>
        <w:rPr>
          <w:color w:val="000000"/>
        </w:rPr>
        <w:t xml:space="preserve"> 20 </w:t>
      </w:r>
      <w:proofErr w:type="spellStart"/>
      <w:r>
        <w:rPr>
          <w:color w:val="000000"/>
        </w:rPr>
        <w:t>egzono</w:t>
      </w:r>
      <w:proofErr w:type="spellEnd"/>
      <w:r>
        <w:rPr>
          <w:color w:val="000000"/>
        </w:rPr>
        <w:t xml:space="preserve"> intarpo mutacijomis, </w:t>
      </w:r>
      <w:proofErr w:type="spellStart"/>
      <w:r>
        <w:rPr>
          <w:color w:val="000000"/>
        </w:rPr>
        <w:t>rekomenduojams</w:t>
      </w:r>
      <w:proofErr w:type="spellEnd"/>
      <w:r>
        <w:rPr>
          <w:color w:val="000000"/>
        </w:rPr>
        <w:t xml:space="preserve"> </w:t>
      </w:r>
      <w:proofErr w:type="spellStart"/>
      <w:r>
        <w:rPr>
          <w:color w:val="000000"/>
        </w:rPr>
        <w:t>amivantamabo</w:t>
      </w:r>
      <w:proofErr w:type="spellEnd"/>
      <w:r>
        <w:rPr>
          <w:color w:val="000000"/>
        </w:rPr>
        <w:t xml:space="preserve"> derinys su </w:t>
      </w:r>
      <w:proofErr w:type="spellStart"/>
      <w:r>
        <w:rPr>
          <w:color w:val="000000"/>
        </w:rPr>
        <w:t>karboplatina</w:t>
      </w:r>
      <w:proofErr w:type="spellEnd"/>
      <w:r>
        <w:rPr>
          <w:color w:val="000000"/>
        </w:rPr>
        <w:t xml:space="preserve"> ir </w:t>
      </w:r>
      <w:proofErr w:type="spellStart"/>
      <w:r>
        <w:rPr>
          <w:color w:val="000000"/>
        </w:rPr>
        <w:t>pemetreksedu</w:t>
      </w:r>
      <w:proofErr w:type="spellEnd"/>
      <w:r>
        <w:rPr>
          <w:color w:val="000000"/>
        </w:rPr>
        <w:t>.</w:t>
      </w:r>
    </w:p>
    <w:p w14:paraId="57B271DC" w14:textId="77777777" w:rsidR="00677235" w:rsidRDefault="00677235" w:rsidP="00677235">
      <w:pPr>
        <w:tabs>
          <w:tab w:val="left" w:pos="426"/>
        </w:tabs>
        <w:spacing w:line="276" w:lineRule="auto"/>
        <w:jc w:val="both"/>
        <w:rPr>
          <w:color w:val="000000"/>
        </w:rPr>
      </w:pPr>
      <w:r>
        <w:rPr>
          <w:color w:val="4472C4"/>
        </w:rPr>
        <w:tab/>
      </w:r>
      <w:r>
        <w:rPr>
          <w:color w:val="000000"/>
        </w:rPr>
        <w:t xml:space="preserve">Šiuo metu Lietuvoje standartinis pirmos eilės gydymas pacientams, sergantiems NSLPV su nustatyta </w:t>
      </w:r>
      <w:r>
        <w:t>EAFR</w:t>
      </w:r>
      <w:r>
        <w:rPr>
          <w:color w:val="000000"/>
        </w:rPr>
        <w:t xml:space="preserve"> 20 </w:t>
      </w:r>
      <w:proofErr w:type="spellStart"/>
      <w:r>
        <w:rPr>
          <w:color w:val="000000"/>
        </w:rPr>
        <w:t>egzono</w:t>
      </w:r>
      <w:proofErr w:type="spellEnd"/>
      <w:r>
        <w:rPr>
          <w:color w:val="000000"/>
        </w:rPr>
        <w:t xml:space="preserve"> </w:t>
      </w:r>
      <w:proofErr w:type="spellStart"/>
      <w:r>
        <w:rPr>
          <w:color w:val="000000"/>
        </w:rPr>
        <w:t>insercija</w:t>
      </w:r>
      <w:proofErr w:type="spellEnd"/>
      <w:r>
        <w:rPr>
          <w:color w:val="000000"/>
        </w:rPr>
        <w:t xml:space="preserve">, yra chemoterapija </w:t>
      </w:r>
      <w:proofErr w:type="spellStart"/>
      <w:r>
        <w:rPr>
          <w:color w:val="000000"/>
        </w:rPr>
        <w:t>pemetreksedu</w:t>
      </w:r>
      <w:proofErr w:type="spellEnd"/>
      <w:r>
        <w:rPr>
          <w:color w:val="000000"/>
        </w:rPr>
        <w:t xml:space="preserve"> ir </w:t>
      </w:r>
      <w:proofErr w:type="spellStart"/>
      <w:r>
        <w:rPr>
          <w:color w:val="000000"/>
        </w:rPr>
        <w:t>karboplatina</w:t>
      </w:r>
      <w:proofErr w:type="spellEnd"/>
      <w:r>
        <w:rPr>
          <w:color w:val="000000"/>
        </w:rPr>
        <w:t xml:space="preserve">. Šis gydymas yra kompensuojamas. Ekspertų nuomone, </w:t>
      </w:r>
      <w:proofErr w:type="spellStart"/>
      <w:r>
        <w:rPr>
          <w:color w:val="000000"/>
        </w:rPr>
        <w:t>karboplatinos</w:t>
      </w:r>
      <w:proofErr w:type="spellEnd"/>
      <w:r>
        <w:rPr>
          <w:color w:val="000000"/>
        </w:rPr>
        <w:t xml:space="preserve"> ir </w:t>
      </w:r>
      <w:proofErr w:type="spellStart"/>
      <w:r>
        <w:rPr>
          <w:color w:val="000000"/>
        </w:rPr>
        <w:t>pemetreksedo</w:t>
      </w:r>
      <w:proofErr w:type="spellEnd"/>
      <w:r>
        <w:rPr>
          <w:color w:val="000000"/>
        </w:rPr>
        <w:t xml:space="preserve"> derinys kaip palyginamasis gydymas atitinka standartinę praktiką Lietuvoje. Remiantis paraiškoje (Lietuvos gydytojų onkologų </w:t>
      </w:r>
      <w:proofErr w:type="spellStart"/>
      <w:r>
        <w:rPr>
          <w:color w:val="000000"/>
        </w:rPr>
        <w:t>chemoterapeutų</w:t>
      </w:r>
      <w:proofErr w:type="spellEnd"/>
      <w:r>
        <w:rPr>
          <w:color w:val="000000"/>
        </w:rPr>
        <w:t xml:space="preserve"> ir gydytojų pulmonologų bei gydytojų patologų patariamojo susitikimo, vykusio 2024 m. spalio 10 d., protokolas, kuris patikslintas 2025 m. sausio 30 d. gavus C34 antrinių duomenų panaudojimo analizės galutinę ataskaitą) pateikta bendra ekspertų nuomone, </w:t>
      </w:r>
      <w:proofErr w:type="spellStart"/>
      <w:r>
        <w:rPr>
          <w:color w:val="000000"/>
        </w:rPr>
        <w:t>karboplatinos</w:t>
      </w:r>
      <w:proofErr w:type="spellEnd"/>
      <w:r>
        <w:rPr>
          <w:color w:val="000000"/>
        </w:rPr>
        <w:t xml:space="preserve"> ir </w:t>
      </w:r>
      <w:proofErr w:type="spellStart"/>
      <w:r>
        <w:rPr>
          <w:color w:val="000000"/>
        </w:rPr>
        <w:t>pemetreksedo</w:t>
      </w:r>
      <w:proofErr w:type="spellEnd"/>
      <w:r>
        <w:rPr>
          <w:color w:val="000000"/>
        </w:rPr>
        <w:t xml:space="preserve"> derinys atitinka standartinę praktiką Lietuvoje ir yra tinkamas palyginamasis gydymas.</w:t>
      </w:r>
    </w:p>
    <w:p w14:paraId="73C6F23D" w14:textId="77777777" w:rsidR="00677235" w:rsidRDefault="00677235" w:rsidP="00677235">
      <w:pPr>
        <w:tabs>
          <w:tab w:val="left" w:pos="426"/>
        </w:tabs>
        <w:spacing w:line="276" w:lineRule="auto"/>
        <w:jc w:val="both"/>
        <w:rPr>
          <w:color w:val="000000"/>
        </w:rPr>
      </w:pPr>
      <w:r>
        <w:rPr>
          <w:color w:val="000000"/>
        </w:rPr>
        <w:tab/>
        <w:t xml:space="preserve">Palyginamasis vaistinis preparatas </w:t>
      </w:r>
      <w:proofErr w:type="spellStart"/>
      <w:r>
        <w:rPr>
          <w:color w:val="000000"/>
        </w:rPr>
        <w:t>pemetreksedas</w:t>
      </w:r>
      <w:proofErr w:type="spellEnd"/>
      <w:r>
        <w:rPr>
          <w:color w:val="000000"/>
        </w:rPr>
        <w:t xml:space="preserve"> ir </w:t>
      </w:r>
      <w:proofErr w:type="spellStart"/>
      <w:r>
        <w:rPr>
          <w:color w:val="000000"/>
        </w:rPr>
        <w:t>karboplatina</w:t>
      </w:r>
      <w:proofErr w:type="spellEnd"/>
      <w:r>
        <w:rPr>
          <w:color w:val="000000"/>
        </w:rPr>
        <w:t xml:space="preserve"> laikomi atitinkančiais 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116–119 punktus.</w:t>
      </w:r>
    </w:p>
    <w:p w14:paraId="32480EE3" w14:textId="77777777" w:rsidR="00677235" w:rsidRDefault="00677235" w:rsidP="00677235">
      <w:pPr>
        <w:tabs>
          <w:tab w:val="left" w:pos="426"/>
        </w:tabs>
        <w:spacing w:line="276" w:lineRule="auto"/>
        <w:jc w:val="both"/>
        <w:rPr>
          <w:color w:val="000000"/>
        </w:rPr>
      </w:pPr>
    </w:p>
    <w:p w14:paraId="116FF6B4" w14:textId="77777777" w:rsidR="00677235" w:rsidRDefault="00677235" w:rsidP="00677235">
      <w:pPr>
        <w:tabs>
          <w:tab w:val="left" w:pos="284"/>
        </w:tabs>
        <w:spacing w:line="276" w:lineRule="auto"/>
        <w:jc w:val="both"/>
        <w:rPr>
          <w:color w:val="000000"/>
        </w:rPr>
      </w:pPr>
      <w:r>
        <w:rPr>
          <w:color w:val="000000"/>
        </w:rPr>
        <w:lastRenderedPageBreak/>
        <w:tab/>
      </w:r>
    </w:p>
    <w:p w14:paraId="0F5821DF" w14:textId="77777777" w:rsidR="00677235" w:rsidRPr="00E30C84" w:rsidRDefault="00677235" w:rsidP="00677235">
      <w:pPr>
        <w:tabs>
          <w:tab w:val="left" w:pos="284"/>
        </w:tabs>
        <w:spacing w:line="276" w:lineRule="auto"/>
        <w:jc w:val="both"/>
        <w:rPr>
          <w:i/>
          <w:iCs/>
          <w:color w:val="000000"/>
        </w:rPr>
      </w:pPr>
      <w:r w:rsidRPr="00E30C84">
        <w:rPr>
          <w:i/>
          <w:iCs/>
          <w:color w:val="000000"/>
        </w:rPr>
        <w:t>Tiesioginis palyginimas</w:t>
      </w:r>
    </w:p>
    <w:p w14:paraId="4318309E" w14:textId="55F63E37" w:rsidR="00677235" w:rsidRDefault="00677235" w:rsidP="00677235">
      <w:pPr>
        <w:spacing w:line="276" w:lineRule="auto"/>
        <w:ind w:firstLine="720"/>
        <w:jc w:val="both"/>
        <w:rPr>
          <w:color w:val="000000"/>
        </w:rPr>
      </w:pPr>
      <w:r>
        <w:rPr>
          <w:color w:val="000000"/>
        </w:rPr>
        <w:t>Klinikini</w:t>
      </w:r>
      <w:r w:rsidR="008719A9">
        <w:rPr>
          <w:color w:val="000000"/>
        </w:rPr>
        <w:t>s</w:t>
      </w:r>
      <w:r>
        <w:rPr>
          <w:color w:val="000000"/>
        </w:rPr>
        <w:t xml:space="preserve"> veiksmingum</w:t>
      </w:r>
      <w:r w:rsidR="008719A9">
        <w:rPr>
          <w:color w:val="000000"/>
        </w:rPr>
        <w:t>as</w:t>
      </w:r>
      <w:r>
        <w:rPr>
          <w:color w:val="000000"/>
        </w:rPr>
        <w:t xml:space="preserve"> grindžiamas tiesioginio palyginimo PAPILLON tyrimo duomenimis. PAPILLON yra atsitiktinių imčių atvirasis </w:t>
      </w:r>
      <w:proofErr w:type="spellStart"/>
      <w:r>
        <w:rPr>
          <w:color w:val="000000"/>
        </w:rPr>
        <w:t>daugiacentris</w:t>
      </w:r>
      <w:proofErr w:type="spellEnd"/>
      <w:r>
        <w:rPr>
          <w:color w:val="000000"/>
        </w:rPr>
        <w:t xml:space="preserve"> III fazės tyrimas, kuriame palygintas </w:t>
      </w:r>
      <w:proofErr w:type="spellStart"/>
      <w:r>
        <w:rPr>
          <w:color w:val="000000"/>
        </w:rPr>
        <w:t>amivantamabo</w:t>
      </w:r>
      <w:proofErr w:type="spellEnd"/>
      <w:r>
        <w:rPr>
          <w:color w:val="000000"/>
        </w:rPr>
        <w:t xml:space="preserve"> (</w:t>
      </w:r>
      <w:proofErr w:type="spellStart"/>
      <w:r>
        <w:rPr>
          <w:color w:val="000000"/>
        </w:rPr>
        <w:t>Rybrevant</w:t>
      </w:r>
      <w:proofErr w:type="spellEnd"/>
      <w:r>
        <w:rPr>
          <w:color w:val="000000"/>
        </w:rPr>
        <w:t xml:space="preserve">) derinio su </w:t>
      </w:r>
      <w:proofErr w:type="spellStart"/>
      <w:r>
        <w:rPr>
          <w:color w:val="000000"/>
        </w:rPr>
        <w:t>karboplatina</w:t>
      </w:r>
      <w:proofErr w:type="spellEnd"/>
      <w:r>
        <w:rPr>
          <w:color w:val="000000"/>
        </w:rPr>
        <w:t xml:space="preserve"> ir </w:t>
      </w:r>
      <w:proofErr w:type="spellStart"/>
      <w:r>
        <w:rPr>
          <w:color w:val="000000"/>
        </w:rPr>
        <w:t>pemetreksedu</w:t>
      </w:r>
      <w:proofErr w:type="spellEnd"/>
      <w:r>
        <w:rPr>
          <w:color w:val="000000"/>
        </w:rPr>
        <w:t xml:space="preserve"> </w:t>
      </w:r>
      <w:r w:rsidR="008719A9">
        <w:rPr>
          <w:color w:val="000000"/>
        </w:rPr>
        <w:t>(</w:t>
      </w:r>
      <w:proofErr w:type="spellStart"/>
      <w:r w:rsidR="008719A9">
        <w:rPr>
          <w:color w:val="000000"/>
        </w:rPr>
        <w:t>A+Ch</w:t>
      </w:r>
      <w:proofErr w:type="spellEnd"/>
      <w:r w:rsidR="005E1042">
        <w:rPr>
          <w:color w:val="000000"/>
        </w:rPr>
        <w:t xml:space="preserve"> grupė</w:t>
      </w:r>
      <w:r w:rsidR="008719A9">
        <w:rPr>
          <w:color w:val="000000"/>
        </w:rPr>
        <w:t xml:space="preserve">) </w:t>
      </w:r>
      <w:r>
        <w:rPr>
          <w:color w:val="000000"/>
        </w:rPr>
        <w:t xml:space="preserve">klinikinis veiksmingumas ir saugumas, su gydymu chemoterapija </w:t>
      </w:r>
      <w:proofErr w:type="spellStart"/>
      <w:r>
        <w:rPr>
          <w:color w:val="000000"/>
        </w:rPr>
        <w:t>karboplatina</w:t>
      </w:r>
      <w:proofErr w:type="spellEnd"/>
      <w:r>
        <w:rPr>
          <w:color w:val="000000"/>
        </w:rPr>
        <w:t xml:space="preserve"> ir </w:t>
      </w:r>
      <w:proofErr w:type="spellStart"/>
      <w:r>
        <w:rPr>
          <w:color w:val="000000"/>
        </w:rPr>
        <w:t>pemetreksedu</w:t>
      </w:r>
      <w:proofErr w:type="spellEnd"/>
      <w:r w:rsidR="005E1042">
        <w:rPr>
          <w:color w:val="000000"/>
        </w:rPr>
        <w:t xml:space="preserve"> (</w:t>
      </w:r>
      <w:proofErr w:type="spellStart"/>
      <w:r w:rsidR="005E1042">
        <w:rPr>
          <w:color w:val="000000"/>
        </w:rPr>
        <w:t>Ch</w:t>
      </w:r>
      <w:proofErr w:type="spellEnd"/>
      <w:r w:rsidR="005E1042">
        <w:rPr>
          <w:color w:val="000000"/>
        </w:rPr>
        <w:t xml:space="preserve"> grupė</w:t>
      </w:r>
      <w:r>
        <w:rPr>
          <w:color w:val="000000"/>
        </w:rPr>
        <w:t xml:space="preserve">) gydant pacientus, sergančius vietiškai išplitusiu ar </w:t>
      </w:r>
      <w:proofErr w:type="spellStart"/>
      <w:r>
        <w:rPr>
          <w:color w:val="000000"/>
        </w:rPr>
        <w:t>metastazavusiu</w:t>
      </w:r>
      <w:proofErr w:type="spellEnd"/>
      <w:r>
        <w:rPr>
          <w:color w:val="000000"/>
        </w:rPr>
        <w:t xml:space="preserve"> NSLPV su </w:t>
      </w:r>
      <w:r>
        <w:t>EAFR</w:t>
      </w:r>
      <w:r>
        <w:rPr>
          <w:color w:val="000000"/>
        </w:rPr>
        <w:t xml:space="preserve"> aktyvinančiomis 20 </w:t>
      </w:r>
      <w:proofErr w:type="spellStart"/>
      <w:r>
        <w:rPr>
          <w:color w:val="000000"/>
        </w:rPr>
        <w:t>egzono</w:t>
      </w:r>
      <w:proofErr w:type="spellEnd"/>
      <w:r>
        <w:rPr>
          <w:color w:val="000000"/>
        </w:rPr>
        <w:t xml:space="preserve"> intarpo mutacijomis, kuriems anksčiau gydymas nebuvo taikytas. </w:t>
      </w:r>
      <w:r>
        <w:rPr>
          <w:color w:val="4472C4"/>
        </w:rPr>
        <w:t xml:space="preserve"> </w:t>
      </w:r>
    </w:p>
    <w:p w14:paraId="120DF79D" w14:textId="77777777" w:rsidR="00677235" w:rsidRDefault="00677235" w:rsidP="00677235">
      <w:pPr>
        <w:tabs>
          <w:tab w:val="left" w:pos="426"/>
        </w:tabs>
        <w:spacing w:line="276" w:lineRule="auto"/>
        <w:jc w:val="both"/>
        <w:rPr>
          <w:color w:val="000000"/>
        </w:rPr>
      </w:pPr>
      <w:r>
        <w:rPr>
          <w:color w:val="4472C4"/>
        </w:rPr>
        <w:tab/>
      </w:r>
      <w:r>
        <w:rPr>
          <w:color w:val="000000"/>
        </w:rPr>
        <w:t xml:space="preserve">Palyginamasis gydymas yra chemoterapija </w:t>
      </w:r>
      <w:proofErr w:type="spellStart"/>
      <w:r>
        <w:rPr>
          <w:color w:val="000000"/>
        </w:rPr>
        <w:t>pemetreksedu</w:t>
      </w:r>
      <w:proofErr w:type="spellEnd"/>
      <w:r>
        <w:rPr>
          <w:color w:val="000000"/>
        </w:rPr>
        <w:t xml:space="preserve"> ir </w:t>
      </w:r>
      <w:proofErr w:type="spellStart"/>
      <w:r>
        <w:rPr>
          <w:color w:val="000000"/>
        </w:rPr>
        <w:t>karboplatina</w:t>
      </w:r>
      <w:proofErr w:type="spellEnd"/>
      <w:r>
        <w:rPr>
          <w:color w:val="000000"/>
        </w:rPr>
        <w:t xml:space="preserve">, toks gydymas laikomas atitinkantis įprastinę klinikinę praktiką Lietuvoje. </w:t>
      </w:r>
    </w:p>
    <w:p w14:paraId="3CE11030" w14:textId="76C1D6D9" w:rsidR="00677235" w:rsidRDefault="00677235" w:rsidP="00677235">
      <w:pPr>
        <w:tabs>
          <w:tab w:val="left" w:pos="426"/>
        </w:tabs>
        <w:spacing w:line="276" w:lineRule="auto"/>
        <w:jc w:val="both"/>
        <w:rPr>
          <w:color w:val="000000"/>
        </w:rPr>
      </w:pPr>
      <w:r>
        <w:rPr>
          <w:color w:val="000000"/>
        </w:rPr>
        <w:tab/>
        <w:t xml:space="preserve">Tyrimo pacientų populiacija atitinka Lietuvos pacientų populiaciją, kuriai gydymas gali būti skiriamas pagal </w:t>
      </w:r>
      <w:r w:rsidR="008719A9">
        <w:rPr>
          <w:color w:val="000000"/>
        </w:rPr>
        <w:t xml:space="preserve">patvirtintas </w:t>
      </w:r>
      <w:proofErr w:type="spellStart"/>
      <w:r>
        <w:rPr>
          <w:color w:val="000000"/>
        </w:rPr>
        <w:t>amivantamabo</w:t>
      </w:r>
      <w:proofErr w:type="spellEnd"/>
      <w:r>
        <w:rPr>
          <w:color w:val="000000"/>
        </w:rPr>
        <w:t xml:space="preserve"> indikacijas ir siūlomas skyrimo sąlygas. Statistiniai metodai buvo taikomi tinkamai, tyrime vertintos pirminės ir antrinės baigtys atitinka klinikinėje praktikoje reikšmingus gydymo efektyvumo vertinimo kriterijus ir atspindi gydymo tikslus.</w:t>
      </w:r>
    </w:p>
    <w:p w14:paraId="2136C639" w14:textId="77777777" w:rsidR="00677235" w:rsidRDefault="00677235" w:rsidP="00677235">
      <w:pPr>
        <w:spacing w:line="276" w:lineRule="auto"/>
        <w:ind w:firstLine="720"/>
        <w:jc w:val="both"/>
        <w:rPr>
          <w:color w:val="000000"/>
        </w:rPr>
      </w:pPr>
      <w:r>
        <w:rPr>
          <w:i/>
          <w:iCs/>
          <w:color w:val="000000"/>
        </w:rPr>
        <w:t>Pirminė vertinamoji baigtis</w:t>
      </w:r>
      <w:r>
        <w:rPr>
          <w:color w:val="000000"/>
        </w:rPr>
        <w:t xml:space="preserve">- išgyvenamumas be ligos progresavimo (IBLP arba PFS, angl. </w:t>
      </w:r>
      <w:proofErr w:type="spellStart"/>
      <w:r>
        <w:rPr>
          <w:color w:val="000000"/>
        </w:rPr>
        <w:t>progression</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survival</w:t>
      </w:r>
      <w:proofErr w:type="spellEnd"/>
      <w:r>
        <w:rPr>
          <w:color w:val="000000"/>
        </w:rPr>
        <w:t xml:space="preserve">), apibrėžiamas kaip laikas nuo atsitiktinių imčių sudarymo datos iki pirmojo radiologiniu tyrimu patvirtinto ligos progresavimo ar mirties dėl bet kokios priežasties, atsižvelgiant į tai, kas įvyksta anksčiau. Vidutinė stebėjimo trukmė buvo 14,9 mėnesio. Galutinė IBLP analizė parodė, taikant gydymą </w:t>
      </w:r>
      <w:proofErr w:type="spellStart"/>
      <w:r>
        <w:rPr>
          <w:color w:val="000000"/>
        </w:rPr>
        <w:t>amivantamabu</w:t>
      </w:r>
      <w:proofErr w:type="spellEnd"/>
      <w:r>
        <w:rPr>
          <w:color w:val="000000"/>
        </w:rPr>
        <w:t xml:space="preserve"> kartu su chemoterapija, išgyvenamumo be ligos progresavimo trukmė pailgėjo 4,7 mėnesio, o IBLP įvykių rizika (</w:t>
      </w:r>
      <w:proofErr w:type="spellStart"/>
      <w:r>
        <w:rPr>
          <w:color w:val="000000"/>
        </w:rPr>
        <w:t>t.y</w:t>
      </w:r>
      <w:proofErr w:type="spellEnd"/>
      <w:r>
        <w:rPr>
          <w:color w:val="000000"/>
        </w:rPr>
        <w:t xml:space="preserve">. ligos progresavimo ar mirties) rizika sumažėjo 60 proc., palyginus su gydymu chemoterapija. Išgyvenamumas be ligos progresavimo buvo 11,4 mėnesio </w:t>
      </w:r>
      <w:proofErr w:type="spellStart"/>
      <w:r>
        <w:rPr>
          <w:color w:val="000000"/>
        </w:rPr>
        <w:t>amivantamabo</w:t>
      </w:r>
      <w:proofErr w:type="spellEnd"/>
      <w:r>
        <w:rPr>
          <w:color w:val="000000"/>
        </w:rPr>
        <w:t xml:space="preserve"> ir chemoterapijos grupėje (intervalas 9,8-13,7), palyginti su 6,7 mėnesio (intervalas 5,6-7,3) chemoterapijos grupėje (RS=0,4; p &lt; 0,001), tai sudaro 4,7 mėn. IBLP skirtumą, šis skirtumas laikomas statistiškai ir kliniškai reikšmingu. Rezultatai taip pat parodė išgyvenamumo be ligos progresavimo pailgėjimą visuose iš anksto numatytuose pogrupiuose.</w:t>
      </w:r>
    </w:p>
    <w:p w14:paraId="4D5F48CE" w14:textId="5E8637A0" w:rsidR="00677235" w:rsidRDefault="00677235" w:rsidP="00677235">
      <w:pPr>
        <w:pBdr>
          <w:top w:val="nil"/>
          <w:left w:val="nil"/>
          <w:bottom w:val="nil"/>
          <w:right w:val="nil"/>
          <w:between w:val="nil"/>
        </w:pBdr>
        <w:spacing w:after="120" w:line="276" w:lineRule="auto"/>
        <w:jc w:val="both"/>
        <w:rPr>
          <w:color w:val="000000"/>
        </w:rPr>
      </w:pPr>
      <w:r>
        <w:rPr>
          <w:color w:val="000000"/>
        </w:rPr>
        <w:tab/>
      </w:r>
      <w:r w:rsidRPr="006A0E20">
        <w:rPr>
          <w:i/>
          <w:iCs/>
          <w:color w:val="000000"/>
        </w:rPr>
        <w:t>Pagrindinė</w:t>
      </w:r>
      <w:r>
        <w:rPr>
          <w:color w:val="000000"/>
        </w:rPr>
        <w:t xml:space="preserve"> </w:t>
      </w:r>
      <w:r>
        <w:rPr>
          <w:i/>
          <w:iCs/>
          <w:color w:val="000000"/>
        </w:rPr>
        <w:t>antrinė vertinamoji baigtis</w:t>
      </w:r>
      <w:r>
        <w:rPr>
          <w:color w:val="000000"/>
        </w:rPr>
        <w:t xml:space="preserve">- bendras išgyvenamumas (BI), laikas nuo atsitiktinės atrankos iki mirties nuo bet kokios priežasties datos. ITT populiacijoje bendro išgyvenamumo duomenų rezultatai tiek pirmos, tiek antros tarpinės analizės metu buvo </w:t>
      </w:r>
      <w:r w:rsidR="008719A9">
        <w:rPr>
          <w:color w:val="000000"/>
        </w:rPr>
        <w:t>ne</w:t>
      </w:r>
      <w:r>
        <w:rPr>
          <w:color w:val="000000"/>
        </w:rPr>
        <w:t xml:space="preserve">brandūs, </w:t>
      </w:r>
      <w:proofErr w:type="spellStart"/>
      <w:r>
        <w:rPr>
          <w:color w:val="000000"/>
        </w:rPr>
        <w:t>t.y</w:t>
      </w:r>
      <w:proofErr w:type="spellEnd"/>
      <w:r>
        <w:rPr>
          <w:color w:val="000000"/>
        </w:rPr>
        <w:t>. 26 proc. tiriamojoje (40 įvykiai iš 153 dalyvių) ir 34 proc. kontrolinėje grupėje (52 įvykiai iš 155 dalyvių), viso užfiksuoti 92 BI įvykiai (remiantis 2024 m. duomenimis)</w:t>
      </w:r>
      <w:r w:rsidR="008719A9">
        <w:rPr>
          <w:color w:val="000000"/>
        </w:rPr>
        <w:t xml:space="preserve">. </w:t>
      </w:r>
      <w:r>
        <w:rPr>
          <w:color w:val="000000"/>
        </w:rPr>
        <w:t xml:space="preserve">Remiantis </w:t>
      </w:r>
      <w:r w:rsidR="008719A9">
        <w:rPr>
          <w:color w:val="000000"/>
        </w:rPr>
        <w:t xml:space="preserve">tarpiniais </w:t>
      </w:r>
      <w:r>
        <w:rPr>
          <w:color w:val="000000"/>
        </w:rPr>
        <w:t xml:space="preserve">duomenimis, </w:t>
      </w:r>
      <w:r w:rsidR="008719A9">
        <w:rPr>
          <w:color w:val="000000"/>
        </w:rPr>
        <w:t xml:space="preserve">gautais </w:t>
      </w:r>
      <w:r>
        <w:rPr>
          <w:color w:val="000000"/>
        </w:rPr>
        <w:t xml:space="preserve">iki 2024 m. balandžio 26 d., </w:t>
      </w:r>
      <w:proofErr w:type="spellStart"/>
      <w:r>
        <w:rPr>
          <w:color w:val="000000"/>
        </w:rPr>
        <w:t>A+Ch</w:t>
      </w:r>
      <w:proofErr w:type="spellEnd"/>
      <w:r>
        <w:rPr>
          <w:color w:val="000000"/>
        </w:rPr>
        <w:t xml:space="preserve"> grupėje BI mediana nebuvo pasiekta (95 proc. PI: 28,3, NV), o </w:t>
      </w:r>
      <w:proofErr w:type="spellStart"/>
      <w:r>
        <w:rPr>
          <w:color w:val="000000"/>
        </w:rPr>
        <w:t>Ch</w:t>
      </w:r>
      <w:proofErr w:type="spellEnd"/>
      <w:r>
        <w:rPr>
          <w:color w:val="000000"/>
        </w:rPr>
        <w:t xml:space="preserve"> grupėje BI mediana buvo 28,6 mėnesio (95 proc. PI: 24,4, NV). Rizikos santykis 0,756 (95 proc. PI: 0,50, 1,14), tačiau p-reikšmė (0,1825) nebuvo statistiškai reikšminga, iš anksto nustatytas reikšmingumo lygis p=0,014. </w:t>
      </w:r>
      <w:r w:rsidR="005E1042">
        <w:rPr>
          <w:color w:val="000000"/>
        </w:rPr>
        <w:t xml:space="preserve">Įvertinusi klinikinių tyrimų duomenis Tarnyba kreipėsi į Pareiškėja, prašydama </w:t>
      </w:r>
      <w:r>
        <w:rPr>
          <w:color w:val="000000"/>
        </w:rPr>
        <w:t xml:space="preserve"> </w:t>
      </w:r>
      <w:r w:rsidRPr="006A0E20">
        <w:rPr>
          <w:color w:val="000000"/>
        </w:rPr>
        <w:t>pateikti papildomus (naujausius) bendro išgyvenamumo analizės rezultatus klinikinio tyrimo PAPILLON palyginamose grupėse,  kuri</w:t>
      </w:r>
      <w:r w:rsidR="005E1042">
        <w:rPr>
          <w:color w:val="000000"/>
        </w:rPr>
        <w:t>e</w:t>
      </w:r>
      <w:r w:rsidRPr="006A0E20">
        <w:rPr>
          <w:color w:val="000000"/>
        </w:rPr>
        <w:t xml:space="preserve"> pagrįst</w:t>
      </w:r>
      <w:r w:rsidR="005E1042">
        <w:rPr>
          <w:color w:val="000000"/>
        </w:rPr>
        <w:t>ų</w:t>
      </w:r>
      <w:r w:rsidRPr="006A0E20">
        <w:rPr>
          <w:color w:val="000000"/>
        </w:rPr>
        <w:t xml:space="preserve"> </w:t>
      </w:r>
      <w:proofErr w:type="spellStart"/>
      <w:r w:rsidRPr="006A0E20">
        <w:rPr>
          <w:color w:val="000000"/>
        </w:rPr>
        <w:t>amivantamabo</w:t>
      </w:r>
      <w:proofErr w:type="spellEnd"/>
      <w:r w:rsidRPr="006A0E20">
        <w:rPr>
          <w:color w:val="000000"/>
        </w:rPr>
        <w:t xml:space="preserve"> </w:t>
      </w:r>
      <w:r w:rsidR="005E1042" w:rsidRPr="006A0E20">
        <w:rPr>
          <w:color w:val="000000"/>
        </w:rPr>
        <w:t xml:space="preserve">sukuriamą </w:t>
      </w:r>
      <w:r w:rsidRPr="006A0E20">
        <w:rPr>
          <w:color w:val="000000"/>
        </w:rPr>
        <w:t>papildomą naudą</w:t>
      </w:r>
      <w:r w:rsidR="005E1042">
        <w:rPr>
          <w:color w:val="000000"/>
        </w:rPr>
        <w:t xml:space="preserve"> (esminis prieštaravimas dėl klinikinės dalies). </w:t>
      </w:r>
      <w:r w:rsidRPr="006A0E20">
        <w:rPr>
          <w:color w:val="000000"/>
        </w:rPr>
        <w:t xml:space="preserve"> </w:t>
      </w:r>
    </w:p>
    <w:p w14:paraId="5B78E758" w14:textId="73B53454" w:rsidR="00677235" w:rsidRPr="006A0E20" w:rsidRDefault="005E1042" w:rsidP="003A1D4B">
      <w:pPr>
        <w:spacing w:line="276" w:lineRule="auto"/>
        <w:ind w:right="10" w:firstLine="720"/>
        <w:jc w:val="both"/>
      </w:pPr>
      <w:r>
        <w:rPr>
          <w:color w:val="000000"/>
        </w:rPr>
        <w:t xml:space="preserve">Įvertinus </w:t>
      </w:r>
      <w:r w:rsidR="00677235" w:rsidRPr="00B61FF5">
        <w:rPr>
          <w:color w:val="000000"/>
        </w:rPr>
        <w:t xml:space="preserve"> pateiktą atsakymą į  esminį prieštaravimą </w:t>
      </w:r>
      <w:r>
        <w:rPr>
          <w:color w:val="000000"/>
        </w:rPr>
        <w:t xml:space="preserve">dėl klinikinės dalies nustatyta, kad </w:t>
      </w:r>
      <w:r w:rsidR="00677235" w:rsidRPr="00B61FF5">
        <w:rPr>
          <w:color w:val="000000"/>
        </w:rPr>
        <w:t>remiantis BI pirminės ir antrines analizių rezultatai</w:t>
      </w:r>
      <w:r>
        <w:rPr>
          <w:color w:val="000000"/>
        </w:rPr>
        <w:t>s</w:t>
      </w:r>
      <w:r w:rsidR="00677235" w:rsidRPr="00B61FF5">
        <w:rPr>
          <w:color w:val="000000"/>
        </w:rPr>
        <w:t xml:space="preserve">, numatyti BI rezultatai bendroje pacientų populiacijoje (pagal iš </w:t>
      </w:r>
      <w:r>
        <w:rPr>
          <w:color w:val="000000"/>
        </w:rPr>
        <w:t xml:space="preserve">anksto </w:t>
      </w:r>
      <w:r w:rsidR="00677235" w:rsidRPr="00B61FF5">
        <w:rPr>
          <w:color w:val="000000"/>
        </w:rPr>
        <w:t>numatytą statistinį planą) nebuvo pasiekti</w:t>
      </w:r>
      <w:r w:rsidR="00677235">
        <w:rPr>
          <w:color w:val="000000"/>
        </w:rPr>
        <w:t xml:space="preserve">. </w:t>
      </w:r>
      <w:r w:rsidR="0026078A">
        <w:rPr>
          <w:color w:val="000000"/>
        </w:rPr>
        <w:t xml:space="preserve">Galimai tai nulėmė tyrimo metu taikytas </w:t>
      </w:r>
      <w:r w:rsidR="00677235" w:rsidRPr="00B61FF5">
        <w:rPr>
          <w:color w:val="000000"/>
        </w:rPr>
        <w:t xml:space="preserve">kryžminio gydymo metodas bei galimai nuvertintas </w:t>
      </w:r>
      <w:r w:rsidR="0026078A">
        <w:rPr>
          <w:color w:val="000000"/>
        </w:rPr>
        <w:t>c</w:t>
      </w:r>
      <w:r w:rsidR="00677235" w:rsidRPr="00B61FF5">
        <w:rPr>
          <w:color w:val="000000"/>
        </w:rPr>
        <w:t>h</w:t>
      </w:r>
      <w:r w:rsidR="0026078A">
        <w:rPr>
          <w:color w:val="000000"/>
        </w:rPr>
        <w:t>emoterapijos</w:t>
      </w:r>
      <w:r w:rsidR="00677235" w:rsidRPr="00B61FF5">
        <w:rPr>
          <w:color w:val="000000"/>
        </w:rPr>
        <w:t xml:space="preserve">  efektyvumas, nes šiuo metu viršutinė BI medianos PI riba </w:t>
      </w:r>
      <w:proofErr w:type="spellStart"/>
      <w:r w:rsidR="00677235" w:rsidRPr="00B61FF5">
        <w:rPr>
          <w:color w:val="000000"/>
        </w:rPr>
        <w:t>Ch</w:t>
      </w:r>
      <w:proofErr w:type="spellEnd"/>
      <w:r w:rsidR="00677235" w:rsidRPr="00B61FF5">
        <w:rPr>
          <w:color w:val="000000"/>
        </w:rPr>
        <w:t xml:space="preserve"> grupėje taip pat nepasiekta.</w:t>
      </w:r>
      <w:r w:rsidR="00677235">
        <w:rPr>
          <w:color w:val="000000"/>
        </w:rPr>
        <w:t xml:space="preserve"> </w:t>
      </w:r>
      <w:r w:rsidR="00677235" w:rsidRPr="006A0E20">
        <w:t xml:space="preserve">Siekiant sumažinti kryžminio gydymo įtaką </w:t>
      </w:r>
      <w:r w:rsidR="0026078A">
        <w:t>santykinei rizikai</w:t>
      </w:r>
      <w:r w:rsidR="00677235" w:rsidRPr="006A0E20">
        <w:t xml:space="preserve">, pareiškėjas pateikė papildomai atliktas jautrumo analizes, referuojant į </w:t>
      </w:r>
      <w:proofErr w:type="spellStart"/>
      <w:r w:rsidR="00677235" w:rsidRPr="006A0E20">
        <w:t>Rachel</w:t>
      </w:r>
      <w:proofErr w:type="spellEnd"/>
      <w:r w:rsidR="00677235" w:rsidRPr="006A0E20">
        <w:t xml:space="preserve"> E. </w:t>
      </w:r>
      <w:proofErr w:type="spellStart"/>
      <w:r w:rsidR="00677235" w:rsidRPr="006A0E20">
        <w:t>Sanborn</w:t>
      </w:r>
      <w:proofErr w:type="spellEnd"/>
      <w:r w:rsidR="00677235" w:rsidRPr="006A0E20">
        <w:t xml:space="preserve"> ir </w:t>
      </w:r>
      <w:r w:rsidR="0026078A">
        <w:t xml:space="preserve"> bendraautorių</w:t>
      </w:r>
      <w:r w:rsidR="005F6861">
        <w:t xml:space="preserve"> </w:t>
      </w:r>
      <w:r w:rsidR="00677235" w:rsidRPr="006A0E20">
        <w:t xml:space="preserve">(2025) publikaciją. Remiantis šios publikacijos duomenimis, papildomai prie BI analizės bendroje pacientų populiacijoje, buvo atliktos RPSFT, </w:t>
      </w:r>
      <w:r w:rsidR="00677235" w:rsidRPr="006A0E20">
        <w:lastRenderedPageBreak/>
        <w:t>IPCW ir TSE jautrumo analizės. Nors IPCW ir TSE analizių rezultatai rodo galimai statistiškai reikšmingai mažesn</w:t>
      </w:r>
      <w:r w:rsidR="0026078A">
        <w:t>ę</w:t>
      </w:r>
      <w:r w:rsidR="00677235" w:rsidRPr="006A0E20">
        <w:t xml:space="preserve"> mirties santykinę riziką </w:t>
      </w:r>
      <w:proofErr w:type="spellStart"/>
      <w:r w:rsidR="00677235" w:rsidRPr="006A0E20">
        <w:t>A+Ch</w:t>
      </w:r>
      <w:proofErr w:type="spellEnd"/>
      <w:r w:rsidR="00677235" w:rsidRPr="006A0E20">
        <w:t xml:space="preserve"> grupėje, pirminėje ir antrinėje ITT populiacijos analizėje ir pirminėje RPSFT analizėje santykinė rizika nebuvo statiškai reikšmingai mažesnė </w:t>
      </w:r>
      <w:proofErr w:type="spellStart"/>
      <w:r w:rsidR="00677235" w:rsidRPr="006A0E20">
        <w:t>A+Ch</w:t>
      </w:r>
      <w:proofErr w:type="spellEnd"/>
      <w:r w:rsidR="00677235" w:rsidRPr="006A0E20">
        <w:t xml:space="preserve"> grupėje. </w:t>
      </w:r>
      <w:r w:rsidR="0026078A">
        <w:t>A</w:t>
      </w:r>
      <w:r w:rsidR="00677235" w:rsidRPr="006A0E20">
        <w:t>ntrinės analizės rezultatų taikant papildomą jautrumo RPSFT analizę</w:t>
      </w:r>
      <w:r w:rsidR="0026078A">
        <w:t xml:space="preserve"> nebuvo pateikta</w:t>
      </w:r>
      <w:r w:rsidR="00677235" w:rsidRPr="006A0E20">
        <w:t xml:space="preserve">. </w:t>
      </w:r>
    </w:p>
    <w:p w14:paraId="548DC493" w14:textId="77777777" w:rsidR="008C1CD5" w:rsidRPr="008C1CD5" w:rsidRDefault="008C1CD5" w:rsidP="008C1CD5">
      <w:pPr>
        <w:spacing w:line="276" w:lineRule="auto"/>
        <w:ind w:right="10" w:firstLine="720"/>
        <w:jc w:val="both"/>
      </w:pPr>
      <w:bookmarkStart w:id="0" w:name="_Hlk217079911"/>
      <w:r w:rsidRPr="008C1CD5">
        <w:t xml:space="preserve">Pažymėtina, kad šių trijų jautrumo analizių stipriosios pusės yra tai, kad taikomi metodai yra pripažinti ir rekomenduojami, kai klinikiniuose tyrimuose buvo taikomas kryžminis gydymo metodas (IPCW, RPSFT ir TSE, EMA/845963/2018). Vis dėlto  </w:t>
      </w:r>
      <w:r w:rsidRPr="008C1CD5">
        <w:rPr>
          <w:b/>
          <w:bCs/>
        </w:rPr>
        <w:t>šie metodai dažnai nėra tikslesni</w:t>
      </w:r>
      <w:r w:rsidRPr="008C1CD5">
        <w:t xml:space="preserve"> (EMA/845963/2018).  Kiekvienas iš šių statistinių metodų, naudojamas kryžminio koregavimo BI įvertinimui, remiasi prielaidomis, kurių negalima tiesiogiai patikrinti. Vargu ar yra įmanoma įtikinamai pagrįsti prielaidas (ypač </w:t>
      </w:r>
      <w:proofErr w:type="spellStart"/>
      <w:r w:rsidRPr="008C1CD5">
        <w:rPr>
          <w:i/>
          <w:iCs/>
        </w:rPr>
        <w:t>post</w:t>
      </w:r>
      <w:proofErr w:type="spellEnd"/>
      <w:r w:rsidRPr="008C1CD5">
        <w:rPr>
          <w:i/>
          <w:iCs/>
        </w:rPr>
        <w:t xml:space="preserve"> </w:t>
      </w:r>
      <w:proofErr w:type="spellStart"/>
      <w:r w:rsidRPr="008C1CD5">
        <w:rPr>
          <w:i/>
          <w:iCs/>
        </w:rPr>
        <w:t>hoc</w:t>
      </w:r>
      <w:proofErr w:type="spellEnd"/>
      <w:r w:rsidRPr="008C1CD5">
        <w:t xml:space="preserve">)- „nėra nepamatuotų trikdančių veiksnių“, kurios taikomos IPWC ir TSE metoduose, nes daugybė „subjektyvių“ veiksnių daro įtaką tam, kurie pacientai yra tyrėjų atrenkami pereiti iš </w:t>
      </w:r>
      <w:proofErr w:type="spellStart"/>
      <w:r w:rsidRPr="008C1CD5">
        <w:t>Ch</w:t>
      </w:r>
      <w:proofErr w:type="spellEnd"/>
      <w:r w:rsidRPr="008C1CD5">
        <w:t xml:space="preserve"> grupės į </w:t>
      </w:r>
      <w:proofErr w:type="spellStart"/>
      <w:r w:rsidRPr="008C1CD5">
        <w:t>A+Ch</w:t>
      </w:r>
      <w:proofErr w:type="spellEnd"/>
      <w:r w:rsidRPr="008C1CD5">
        <w:t xml:space="preserve"> grupę.</w:t>
      </w:r>
    </w:p>
    <w:bookmarkEnd w:id="0"/>
    <w:p w14:paraId="3E2A7DFA" w14:textId="7CD6B6D5" w:rsidR="00677235" w:rsidRPr="00115268" w:rsidRDefault="00677235" w:rsidP="00677235">
      <w:pPr>
        <w:pBdr>
          <w:top w:val="nil"/>
          <w:left w:val="nil"/>
          <w:bottom w:val="nil"/>
          <w:right w:val="nil"/>
          <w:between w:val="nil"/>
        </w:pBdr>
        <w:spacing w:after="120" w:line="276" w:lineRule="auto"/>
        <w:jc w:val="both"/>
        <w:rPr>
          <w:color w:val="000000"/>
        </w:rPr>
      </w:pPr>
      <w:r>
        <w:rPr>
          <w:color w:val="000000"/>
        </w:rPr>
        <w:tab/>
        <w:t xml:space="preserve">Vertinant nepageidaujamus reiškiniu, gydymas </w:t>
      </w:r>
      <w:proofErr w:type="spellStart"/>
      <w:r>
        <w:rPr>
          <w:color w:val="000000"/>
        </w:rPr>
        <w:t>amivantamabu</w:t>
      </w:r>
      <w:proofErr w:type="spellEnd"/>
      <w:r>
        <w:rPr>
          <w:color w:val="000000"/>
        </w:rPr>
        <w:t xml:space="preserve"> </w:t>
      </w:r>
      <w:r w:rsidR="0026078A">
        <w:rPr>
          <w:color w:val="000000"/>
        </w:rPr>
        <w:t>derinyje</w:t>
      </w:r>
      <w:r>
        <w:rPr>
          <w:color w:val="000000"/>
        </w:rPr>
        <w:t xml:space="preserve"> su chemoterapija </w:t>
      </w:r>
      <w:proofErr w:type="spellStart"/>
      <w:r>
        <w:rPr>
          <w:color w:val="000000"/>
        </w:rPr>
        <w:t>pemetreksedu</w:t>
      </w:r>
      <w:proofErr w:type="spellEnd"/>
      <w:r>
        <w:rPr>
          <w:color w:val="000000"/>
        </w:rPr>
        <w:t xml:space="preserve"> ir </w:t>
      </w:r>
      <w:proofErr w:type="spellStart"/>
      <w:r>
        <w:rPr>
          <w:color w:val="000000"/>
        </w:rPr>
        <w:t>karboplatina</w:t>
      </w:r>
      <w:proofErr w:type="spellEnd"/>
      <w:r>
        <w:rPr>
          <w:color w:val="000000"/>
        </w:rPr>
        <w:t xml:space="preserve">, lyginant su gydymu chemoterapija, neparodė statistiškai reikšmingai blogesnių gyvenimo kokybės, skausmo ar nuovargio rodiklių, vertinant </w:t>
      </w:r>
      <w:r w:rsidRPr="003A1D4B">
        <w:rPr>
          <w:color w:val="000000"/>
        </w:rPr>
        <w:t>pacientų praneštas baigtis</w:t>
      </w:r>
      <w:r w:rsidRPr="0026078A">
        <w:rPr>
          <w:color w:val="000000"/>
        </w:rPr>
        <w:t xml:space="preserve">. </w:t>
      </w:r>
      <w:r w:rsidR="0026078A">
        <w:rPr>
          <w:color w:val="000000"/>
        </w:rPr>
        <w:t>Nepageidaujami poveikiai</w:t>
      </w:r>
      <w:r w:rsidR="0026078A" w:rsidRPr="0026078A">
        <w:rPr>
          <w:color w:val="000000"/>
        </w:rPr>
        <w:t xml:space="preserve"> </w:t>
      </w:r>
      <w:r w:rsidRPr="0026078A">
        <w:rPr>
          <w:color w:val="000000"/>
        </w:rPr>
        <w:t xml:space="preserve">atitiko </w:t>
      </w:r>
      <w:r w:rsidRPr="003A1D4B">
        <w:rPr>
          <w:color w:val="000000"/>
        </w:rPr>
        <w:t>saugumo</w:t>
      </w:r>
      <w:r w:rsidRPr="0026078A">
        <w:rPr>
          <w:color w:val="000000"/>
        </w:rPr>
        <w:t xml:space="preserve"> duomenis,</w:t>
      </w:r>
      <w:r w:rsidR="0026078A">
        <w:rPr>
          <w:color w:val="000000"/>
        </w:rPr>
        <w:t xml:space="preserve"> nurodytos preparato charakteristikų </w:t>
      </w:r>
      <w:r w:rsidR="0026078A" w:rsidRPr="00115268">
        <w:rPr>
          <w:color w:val="000000"/>
        </w:rPr>
        <w:t>santraukoje</w:t>
      </w:r>
      <w:r w:rsidR="00525856" w:rsidRPr="00115268">
        <w:rPr>
          <w:color w:val="000000"/>
        </w:rPr>
        <w:t>.</w:t>
      </w:r>
    </w:p>
    <w:p w14:paraId="283E231D" w14:textId="27FA616C" w:rsidR="006E4909" w:rsidRPr="002F69AF" w:rsidRDefault="00525856" w:rsidP="006E4909">
      <w:pPr>
        <w:spacing w:line="276" w:lineRule="auto"/>
        <w:ind w:right="10" w:firstLine="720"/>
        <w:jc w:val="both"/>
      </w:pPr>
      <w:r w:rsidRPr="00115268">
        <w:t>Apibendrinant, dėl duomenų nebrandumo ir  duomenų analizėje taikytų statistikos metodų ribotumo (</w:t>
      </w:r>
      <w:r w:rsidR="006E4909" w:rsidRPr="00115268">
        <w:t>negalima įrodyti, jog pagrindinės kryžminio gydymo koregavimo metodų prielaidos yra teisingos</w:t>
      </w:r>
      <w:r w:rsidR="00E760A6" w:rsidRPr="00115268">
        <w:t xml:space="preserve"> ir </w:t>
      </w:r>
      <w:r w:rsidR="006E4909" w:rsidRPr="00115268">
        <w:t xml:space="preserve">gydymas </w:t>
      </w:r>
      <w:proofErr w:type="spellStart"/>
      <w:r w:rsidR="006E4909" w:rsidRPr="00115268">
        <w:t>A+Ch</w:t>
      </w:r>
      <w:proofErr w:type="spellEnd"/>
      <w:r w:rsidR="006E4909" w:rsidRPr="00115268">
        <w:t xml:space="preserve"> suteikia BI pranašumą,</w:t>
      </w:r>
      <w:r w:rsidR="00E760A6" w:rsidRPr="00115268">
        <w:t xml:space="preserve"> palyginus su chemoterapija</w:t>
      </w:r>
      <w:r w:rsidR="00EE6CE8" w:rsidRPr="00115268">
        <w:t>)</w:t>
      </w:r>
      <w:r w:rsidR="00E760A6" w:rsidRPr="00115268">
        <w:t xml:space="preserve">, laikoma, kad didesnis </w:t>
      </w:r>
      <w:proofErr w:type="spellStart"/>
      <w:r w:rsidR="00E760A6" w:rsidRPr="00115268">
        <w:t>amivantanabo</w:t>
      </w:r>
      <w:proofErr w:type="spellEnd"/>
      <w:r w:rsidR="00E760A6" w:rsidRPr="00115268">
        <w:t xml:space="preserve"> palyginamasis veiksmingumas</w:t>
      </w:r>
      <w:r w:rsidR="00EE6CE8" w:rsidRPr="00115268">
        <w:t>, lyginant su įprastine Lietuvos klinikine praktika,</w:t>
      </w:r>
      <w:r w:rsidR="00E760A6" w:rsidRPr="00115268">
        <w:t xml:space="preserve"> </w:t>
      </w:r>
      <w:r w:rsidR="00EE6CE8" w:rsidRPr="00115268">
        <w:t xml:space="preserve">yra </w:t>
      </w:r>
      <w:r w:rsidR="00E760A6" w:rsidRPr="00115268">
        <w:t>neįrodyt</w:t>
      </w:r>
      <w:r w:rsidR="00EE6CE8" w:rsidRPr="00115268">
        <w:t>as.</w:t>
      </w:r>
      <w:r w:rsidR="006E4909" w:rsidRPr="00115268">
        <w:t xml:space="preserve"> </w:t>
      </w:r>
    </w:p>
    <w:p w14:paraId="489A2E3C" w14:textId="470CAD31" w:rsidR="004537D0" w:rsidRDefault="004537D0" w:rsidP="00997A8D">
      <w:pPr>
        <w:tabs>
          <w:tab w:val="left" w:pos="426"/>
        </w:tabs>
        <w:spacing w:line="276" w:lineRule="auto"/>
        <w:jc w:val="both"/>
        <w:rPr>
          <w:b/>
          <w:bCs/>
          <w:caps/>
        </w:rPr>
      </w:pPr>
    </w:p>
    <w:p w14:paraId="574D3486" w14:textId="77777777" w:rsidR="004537D0" w:rsidRPr="004537D0" w:rsidRDefault="004537D0" w:rsidP="004537D0">
      <w:pPr>
        <w:tabs>
          <w:tab w:val="left" w:pos="567"/>
        </w:tabs>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33875138" w14:textId="77777777" w:rsidR="0035172D" w:rsidRDefault="0035172D" w:rsidP="00A93AA6">
      <w:pPr>
        <w:tabs>
          <w:tab w:val="left" w:pos="426"/>
        </w:tabs>
        <w:rPr>
          <w:b/>
          <w:bCs/>
          <w:caps/>
        </w:rPr>
      </w:pPr>
    </w:p>
    <w:p w14:paraId="6D341FFD" w14:textId="77777777" w:rsidR="00D167DB" w:rsidRPr="009300B3" w:rsidRDefault="00D167DB" w:rsidP="00D167DB">
      <w:pPr>
        <w:spacing w:line="276" w:lineRule="auto"/>
        <w:jc w:val="both"/>
      </w:pPr>
      <w:r w:rsidRPr="009300B3">
        <w:rPr>
          <w:rFonts w:eastAsia="Arial"/>
        </w:rPr>
        <w:t>V</w:t>
      </w:r>
      <w:r>
        <w:rPr>
          <w:rFonts w:eastAsia="Arial"/>
        </w:rPr>
        <w:t>ykdant</w:t>
      </w:r>
      <w:r w:rsidRPr="009300B3">
        <w:rPr>
          <w:rFonts w:eastAsia="Arial"/>
        </w:rPr>
        <w:t xml:space="preserve"> </w:t>
      </w:r>
      <w:r>
        <w:t>V</w:t>
      </w:r>
      <w:r w:rsidRPr="009300B3">
        <w:t>aistinių preparatų ir medicinos pagalbos priemonių įrašymo į kompensavimo sąrašus ir jų keitimo tvarkos aprašo</w:t>
      </w:r>
      <w:r>
        <w:t>, patvirtinto</w:t>
      </w:r>
      <w:r w:rsidRPr="009300B3">
        <w:t xml:space="preserve"> Lietuvos Respublikos sveikatos apsaugos ministro 2002 m. balandžio 5 d. įsakym</w:t>
      </w:r>
      <w:r>
        <w:t>u</w:t>
      </w:r>
      <w:r w:rsidRPr="009300B3">
        <w:t xml:space="preserve"> Nr. V-159 „Dėl vaistinių preparatų ir medicinos pagalbos priemonių įrašymo į kompensavimo sąrašus ir jų keitimo tvarkos aprašo patvirtinimo“ </w:t>
      </w:r>
      <w:r>
        <w:t xml:space="preserve">(toliau – Aprašas) </w:t>
      </w:r>
      <w:r w:rsidRPr="009300B3">
        <w:t>17</w:t>
      </w:r>
      <w:r>
        <w:rPr>
          <w:vertAlign w:val="superscript"/>
        </w:rPr>
        <w:t>2</w:t>
      </w:r>
      <w:r w:rsidRPr="009300B3">
        <w:t xml:space="preserve"> punkt</w:t>
      </w:r>
      <w:r>
        <w:t>ą</w:t>
      </w:r>
      <w:r w:rsidRPr="009300B3">
        <w:t>, ekonomin</w:t>
      </w:r>
      <w:r>
        <w:t>is vertinimas</w:t>
      </w:r>
      <w:r w:rsidRPr="009300B3">
        <w:t xml:space="preserve"> neatliekama</w:t>
      </w:r>
      <w:r>
        <w:t xml:space="preserve">s </w:t>
      </w:r>
      <w:r>
        <w:rPr>
          <w:rFonts w:eastAsia="Arial"/>
        </w:rPr>
        <w:t>k</w:t>
      </w:r>
      <w:r w:rsidRPr="009300B3">
        <w:rPr>
          <w:rFonts w:eastAsia="Arial"/>
        </w:rPr>
        <w:t>linikinio vertinimo metu nustačius</w:t>
      </w:r>
      <w:r>
        <w:rPr>
          <w:rFonts w:eastAsia="Arial"/>
        </w:rPr>
        <w:t xml:space="preserve">, jog klinikinės dalies vertinimo išvada atitinka bent vieną iš </w:t>
      </w:r>
      <w:r w:rsidRPr="009300B3">
        <w:t>tvarkos aprašo</w:t>
      </w:r>
      <w:r>
        <w:t xml:space="preserve"> </w:t>
      </w:r>
      <w:r>
        <w:rPr>
          <w:rFonts w:eastAsia="Arial"/>
        </w:rPr>
        <w:t xml:space="preserve">29.1.3 - 29.1.5 papunkčiuose nurodytų sąlygų (šiuo atveju 29.1.3), tai laikoma esminiu Paraiškos trūkumu ir ekonominis vertinimas neatliekamas. </w:t>
      </w:r>
      <w:r w:rsidRPr="009300B3">
        <w:rPr>
          <w:rFonts w:eastAsia="Arial"/>
        </w:rPr>
        <w:t xml:space="preserve"> </w:t>
      </w:r>
    </w:p>
    <w:p w14:paraId="6410A26D" w14:textId="77777777" w:rsidR="00D167DB" w:rsidRPr="00E33EFF" w:rsidRDefault="00D167DB"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D66899"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121952C0" w:rsidR="00937907" w:rsidRPr="00E33EFF" w:rsidRDefault="00D66899"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C630AE">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D66899"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36A77852" w:rsidR="00662983" w:rsidRPr="00E33EFF" w:rsidRDefault="00D66899"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C630AE">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445006AC" w14:textId="77777777" w:rsidR="00D167DB" w:rsidRPr="00E33EFF" w:rsidRDefault="00D167DB" w:rsidP="00D167DB">
      <w:pPr>
        <w:pStyle w:val="Sraopastraipa"/>
        <w:tabs>
          <w:tab w:val="left" w:pos="567"/>
        </w:tabs>
        <w:rPr>
          <w:b/>
          <w:bCs/>
          <w:caps/>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6"/>
        <w:gridCol w:w="5032"/>
      </w:tblGrid>
      <w:tr w:rsidR="00D167DB" w14:paraId="1FFBFCE3" w14:textId="77777777" w:rsidTr="00AB2133">
        <w:trPr>
          <w:trHeight w:val="494"/>
          <w:jc w:val="center"/>
        </w:trPr>
        <w:tc>
          <w:tcPr>
            <w:tcW w:w="9918" w:type="dxa"/>
            <w:gridSpan w:val="2"/>
            <w:vAlign w:val="center"/>
          </w:tcPr>
          <w:p w14:paraId="6CD7704C" w14:textId="77777777" w:rsidR="00D167DB" w:rsidRDefault="00D167DB" w:rsidP="00AB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Pr>
                <w:b/>
                <w:bCs/>
                <w:color w:val="000000"/>
              </w:rPr>
              <w:lastRenderedPageBreak/>
              <w:t>Palyginamasis veiksmingumas</w:t>
            </w:r>
          </w:p>
        </w:tc>
      </w:tr>
      <w:tr w:rsidR="00D167DB" w14:paraId="0E9DC990" w14:textId="77777777" w:rsidTr="00AB2133">
        <w:trPr>
          <w:trHeight w:val="1546"/>
          <w:jc w:val="center"/>
        </w:trPr>
        <w:tc>
          <w:tcPr>
            <w:tcW w:w="4886" w:type="dxa"/>
          </w:tcPr>
          <w:p w14:paraId="21214BE3" w14:textId="77777777" w:rsidR="00D167DB" w:rsidRDefault="00D66899" w:rsidP="00AB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sdt>
              <w:sdtPr>
                <w:tag w:val="goog_rdk_24"/>
                <w:id w:val="-1408367668"/>
              </w:sdtPr>
              <w:sdtEndPr/>
              <w:sdtContent>
                <w:r w:rsidR="00D167DB">
                  <w:rPr>
                    <w:rFonts w:ascii="Arial Unicode MS" w:eastAsia="Arial Unicode MS" w:hAnsi="Arial Unicode MS" w:cs="Arial Unicode MS"/>
                  </w:rPr>
                  <w:t>☐</w:t>
                </w:r>
              </w:sdtContent>
            </w:sdt>
            <w:r w:rsidR="00D167DB">
              <w:rPr>
                <w:color w:val="000000"/>
              </w:rPr>
              <w:t xml:space="preserve"> 29.1.1 yra didesnis, lyginant su įprasta klinikine praktika</w:t>
            </w:r>
          </w:p>
          <w:p w14:paraId="1568F884" w14:textId="77777777" w:rsidR="00D167DB" w:rsidRDefault="00D167DB" w:rsidP="00AB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p>
          <w:p w14:paraId="7712AA81" w14:textId="77777777" w:rsidR="00D167DB" w:rsidRDefault="00D66899" w:rsidP="00AB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sdt>
              <w:sdtPr>
                <w:tag w:val="goog_rdk_25"/>
                <w:id w:val="-87630166"/>
              </w:sdtPr>
              <w:sdtEndPr/>
              <w:sdtContent>
                <w:r w:rsidR="00D167DB">
                  <w:rPr>
                    <w:rFonts w:ascii="Arial Unicode MS" w:eastAsia="Arial Unicode MS" w:hAnsi="Arial Unicode MS" w:cs="Arial Unicode MS"/>
                    <w:color w:val="000000"/>
                  </w:rPr>
                  <w:t>☐</w:t>
                </w:r>
              </w:sdtContent>
            </w:sdt>
            <w:r w:rsidR="00D167DB">
              <w:rPr>
                <w:color w:val="000000"/>
              </w:rPr>
              <w:t xml:space="preserve"> 29.1.2 iš esmės nesiskiria, lyginant su įprasta klinikine praktika</w:t>
            </w:r>
          </w:p>
        </w:tc>
        <w:tc>
          <w:tcPr>
            <w:tcW w:w="5032" w:type="dxa"/>
          </w:tcPr>
          <w:p w14:paraId="22240CCD" w14:textId="25D54E9F" w:rsidR="00D167DB" w:rsidRDefault="00D66899" w:rsidP="00AB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sdt>
              <w:sdtPr>
                <w:tag w:val="goog_rdk_26"/>
                <w:id w:val="-2092077558"/>
              </w:sdtPr>
              <w:sdtEndPr/>
              <w:sdtContent>
                <w:sdt>
                  <w:sdtPr>
                    <w:rPr>
                      <w:rStyle w:val="Style2"/>
                      <w:color w:val="000000" w:themeColor="text1"/>
                    </w:rPr>
                    <w:id w:val="-969977331"/>
                    <w15:color w:val="FFCC00"/>
                    <w14:checkbox>
                      <w14:checked w14:val="1"/>
                      <w14:checkedState w14:val="2612" w14:font="MS Gothic"/>
                      <w14:uncheckedState w14:val="2610" w14:font="MS Gothic"/>
                    </w14:checkbox>
                  </w:sdtPr>
                  <w:sdtEndPr>
                    <w:rPr>
                      <w:rStyle w:val="Style2"/>
                    </w:rPr>
                  </w:sdtEndPr>
                  <w:sdtContent>
                    <w:r w:rsidR="00D167DB">
                      <w:rPr>
                        <w:rStyle w:val="Style2"/>
                        <w:rFonts w:ascii="MS Gothic" w:eastAsia="MS Gothic" w:hAnsi="MS Gothic" w:hint="eastAsia"/>
                        <w:color w:val="000000" w:themeColor="text1"/>
                      </w:rPr>
                      <w:t>☒</w:t>
                    </w:r>
                  </w:sdtContent>
                </w:sdt>
              </w:sdtContent>
            </w:sdt>
            <w:r w:rsidR="00D167DB">
              <w:rPr>
                <w:color w:val="000000"/>
              </w:rPr>
              <w:t xml:space="preserve">29.1.3 yra neįrodytas kaip didesnis ar iš esmės nesiskiriantis, lyginant su įprasta klinikine praktika  </w:t>
            </w:r>
          </w:p>
          <w:p w14:paraId="5C0BEAB7" w14:textId="77777777" w:rsidR="00D167DB" w:rsidRDefault="00D167DB" w:rsidP="00AB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p>
          <w:p w14:paraId="50384AF1" w14:textId="77777777" w:rsidR="00D167DB" w:rsidRDefault="00D66899" w:rsidP="00AB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sdt>
              <w:sdtPr>
                <w:tag w:val="goog_rdk_27"/>
                <w:id w:val="546269622"/>
              </w:sdtPr>
              <w:sdtEndPr/>
              <w:sdtContent>
                <w:r w:rsidR="00D167DB">
                  <w:rPr>
                    <w:rFonts w:ascii="Arial Unicode MS" w:eastAsia="Arial Unicode MS" w:hAnsi="Arial Unicode MS" w:cs="Arial Unicode MS"/>
                    <w:color w:val="000000"/>
                  </w:rPr>
                  <w:t>☐</w:t>
                </w:r>
              </w:sdtContent>
            </w:sdt>
            <w:r w:rsidR="00D167DB">
              <w:rPr>
                <w:color w:val="000000"/>
              </w:rPr>
              <w:t xml:space="preserve"> 29.1.4 yra mažesnis, lyginant su įprasta klinikine praktika</w:t>
            </w:r>
          </w:p>
          <w:p w14:paraId="1A9FDEF0" w14:textId="77777777" w:rsidR="00D167DB" w:rsidRDefault="00D167DB" w:rsidP="00AB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p>
          <w:p w14:paraId="0238596F" w14:textId="77777777" w:rsidR="00D167DB" w:rsidRDefault="00D66899" w:rsidP="00AB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sdt>
              <w:sdtPr>
                <w:tag w:val="goog_rdk_28"/>
                <w:id w:val="-735470371"/>
              </w:sdtPr>
              <w:sdtEndPr/>
              <w:sdtContent>
                <w:r w:rsidR="00D167DB">
                  <w:rPr>
                    <w:rFonts w:ascii="Arial Unicode MS" w:eastAsia="Arial Unicode MS" w:hAnsi="Arial Unicode MS" w:cs="Arial Unicode MS"/>
                    <w:color w:val="000000"/>
                  </w:rPr>
                  <w:t>☐</w:t>
                </w:r>
              </w:sdtContent>
            </w:sdt>
            <w:r w:rsidR="00D167DB">
              <w:rPr>
                <w:color w:val="000000"/>
              </w:rPr>
              <w:t xml:space="preserve"> 29.1.5 pateikti duomenys apie palyginamąjį veiksmingumą yra netinkami vertinti</w:t>
            </w:r>
          </w:p>
          <w:p w14:paraId="46CBAC4C" w14:textId="77777777" w:rsidR="00D167DB" w:rsidRDefault="00D167DB" w:rsidP="00AB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p>
        </w:tc>
      </w:tr>
    </w:tbl>
    <w:p w14:paraId="65ACA3C5" w14:textId="76C604A1" w:rsidR="004A3A61" w:rsidRPr="00E33EFF" w:rsidRDefault="004A3A61"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145DAB45" w14:textId="77777777" w:rsidR="00D167DB" w:rsidRDefault="00D167DB" w:rsidP="00D167DB">
      <w:pPr>
        <w:jc w:val="both"/>
      </w:pPr>
    </w:p>
    <w:p w14:paraId="236A3102" w14:textId="6CA1C05D" w:rsidR="00D167DB" w:rsidRPr="00D167DB" w:rsidRDefault="00D167DB" w:rsidP="0034749B">
      <w:pPr>
        <w:spacing w:line="276" w:lineRule="auto"/>
        <w:jc w:val="both"/>
        <w:rPr>
          <w:color w:val="000000"/>
          <w:lang w:eastAsia="lt-LT"/>
        </w:rPr>
      </w:pPr>
      <w:r w:rsidRPr="009300B3">
        <w:t xml:space="preserve">Vadovaujantis </w:t>
      </w:r>
      <w:r>
        <w:t>Aprašo</w:t>
      </w:r>
      <w:r w:rsidRPr="009300B3">
        <w:t xml:space="preserve"> </w:t>
      </w:r>
      <w:r w:rsidRPr="00D167DB">
        <w:rPr>
          <w:color w:val="000000"/>
          <w:lang w:eastAsia="lt-LT"/>
        </w:rPr>
        <w:t>30</w:t>
      </w:r>
      <w:r w:rsidRPr="00D167DB">
        <w:rPr>
          <w:color w:val="000000"/>
          <w:vertAlign w:val="superscript"/>
          <w:lang w:eastAsia="lt-LT"/>
        </w:rPr>
        <w:t>1</w:t>
      </w:r>
      <w:r w:rsidRPr="00D167DB">
        <w:rPr>
          <w:color w:val="000000"/>
          <w:lang w:eastAsia="lt-LT"/>
        </w:rPr>
        <w:t>.3. papunkčiu rekomenduojama nekompensuoti vaistinio preparato pagal paraiškoje nurodytą indikaciją (arba jos dalį) su arba be skyrimo sąlygų, taikant arba netaikant PGS, kai vertinimo išvados atitinka Aprašo 29.1.3 papunktyje numatytą sąlygą.</w:t>
      </w:r>
    </w:p>
    <w:p w14:paraId="06BC01EE" w14:textId="44333E0B" w:rsidR="000723FF" w:rsidRPr="00E33EFF" w:rsidRDefault="000723FF" w:rsidP="0034749B">
      <w:pPr>
        <w:spacing w:line="276" w:lineRule="auto"/>
      </w:pPr>
    </w:p>
    <w:p w14:paraId="18B4292E" w14:textId="52B7A138"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687EC94C" w14:textId="77777777" w:rsidR="00EE2831" w:rsidRDefault="00EE2831" w:rsidP="00EE2831">
      <w:pPr>
        <w:pBdr>
          <w:top w:val="nil"/>
          <w:left w:val="nil"/>
          <w:bottom w:val="nil"/>
          <w:right w:val="nil"/>
          <w:between w:val="nil"/>
        </w:pBdr>
        <w:spacing w:line="276" w:lineRule="auto"/>
        <w:jc w:val="both"/>
        <w:rPr>
          <w:b/>
          <w:bCs/>
          <w:color w:val="000000"/>
        </w:rPr>
      </w:pPr>
      <w:r>
        <w:rPr>
          <w:b/>
          <w:bCs/>
          <w:color w:val="000000"/>
        </w:rPr>
        <w:t>Terapinės indikacijos</w:t>
      </w:r>
    </w:p>
    <w:p w14:paraId="62FD5674" w14:textId="77777777" w:rsidR="00EE2831" w:rsidRDefault="00D66899" w:rsidP="00EE2831">
      <w:pPr>
        <w:pBdr>
          <w:top w:val="nil"/>
          <w:left w:val="nil"/>
          <w:bottom w:val="nil"/>
          <w:right w:val="nil"/>
          <w:between w:val="nil"/>
        </w:pBdr>
        <w:spacing w:line="276" w:lineRule="auto"/>
        <w:jc w:val="both"/>
        <w:rPr>
          <w:color w:val="000000"/>
        </w:rPr>
      </w:pPr>
      <w:sdt>
        <w:sdtPr>
          <w:tag w:val="goog_rdk_23"/>
          <w:id w:val="833745960"/>
        </w:sdtPr>
        <w:sdtEndPr/>
        <w:sdtContent>
          <w:r w:rsidR="00EE2831">
            <w:rPr>
              <w:rFonts w:ascii="Arial Unicode MS" w:eastAsia="Arial Unicode MS" w:hAnsi="Arial Unicode MS" w:cs="Arial Unicode MS"/>
              <w:color w:val="000000"/>
            </w:rPr>
            <w:t>☒</w:t>
          </w:r>
        </w:sdtContent>
      </w:sdt>
      <w:r w:rsidR="00EE2831">
        <w:rPr>
          <w:color w:val="000000"/>
        </w:rPr>
        <w:t xml:space="preserve"> Siūloma kompensuoti Pareiškėjo teikiamą indikaciją be pakeitimų.</w:t>
      </w:r>
    </w:p>
    <w:p w14:paraId="0BCF8B7E" w14:textId="77777777" w:rsidR="00F92D75" w:rsidRDefault="00EE2831" w:rsidP="00F92D75">
      <w:pPr>
        <w:pBdr>
          <w:top w:val="nil"/>
          <w:left w:val="nil"/>
          <w:bottom w:val="nil"/>
          <w:right w:val="nil"/>
          <w:between w:val="nil"/>
        </w:pBdr>
        <w:spacing w:after="120" w:line="276" w:lineRule="auto"/>
        <w:jc w:val="both"/>
        <w:rPr>
          <w:color w:val="000000"/>
        </w:rPr>
      </w:pPr>
      <w:proofErr w:type="spellStart"/>
      <w:r w:rsidRPr="0034749B">
        <w:rPr>
          <w:color w:val="000000"/>
        </w:rPr>
        <w:t>Amivantamabas</w:t>
      </w:r>
      <w:proofErr w:type="spellEnd"/>
      <w:r w:rsidRPr="0034749B">
        <w:rPr>
          <w:color w:val="000000"/>
        </w:rPr>
        <w:t xml:space="preserve"> yra skirtas suaugusiųjų pacientų, sergančių išplitusiu NSLPV su epidermio augimo faktoriaus receptoriaus (EAFR) aktyvinančiomis 20 </w:t>
      </w:r>
      <w:proofErr w:type="spellStart"/>
      <w:r w:rsidRPr="0034749B">
        <w:rPr>
          <w:color w:val="000000"/>
        </w:rPr>
        <w:t>egzono</w:t>
      </w:r>
      <w:proofErr w:type="spellEnd"/>
      <w:r w:rsidRPr="0034749B">
        <w:rPr>
          <w:color w:val="000000"/>
        </w:rPr>
        <w:t xml:space="preserve"> intarpo mutacijomis, pirmos eilės </w:t>
      </w:r>
      <w:r w:rsidR="00F92D75">
        <w:rPr>
          <w:color w:val="000000"/>
        </w:rPr>
        <w:t xml:space="preserve">gydymui kartu su </w:t>
      </w:r>
      <w:proofErr w:type="spellStart"/>
      <w:r w:rsidR="00F92D75">
        <w:rPr>
          <w:color w:val="000000"/>
        </w:rPr>
        <w:t>karboplatina</w:t>
      </w:r>
      <w:proofErr w:type="spellEnd"/>
      <w:r w:rsidR="00F92D75">
        <w:rPr>
          <w:color w:val="000000"/>
        </w:rPr>
        <w:t xml:space="preserve"> ir </w:t>
      </w:r>
      <w:proofErr w:type="spellStart"/>
      <w:r w:rsidR="00F92D75">
        <w:rPr>
          <w:color w:val="000000"/>
        </w:rPr>
        <w:t>pemetreksedu</w:t>
      </w:r>
      <w:proofErr w:type="spellEnd"/>
      <w:r w:rsidR="00F92D75">
        <w:rPr>
          <w:color w:val="000000"/>
        </w:rPr>
        <w:t>.</w:t>
      </w:r>
    </w:p>
    <w:p w14:paraId="3A6A05FC" w14:textId="342715D3" w:rsidR="00EE2831" w:rsidRDefault="00EE2831" w:rsidP="00115268">
      <w:pPr>
        <w:pBdr>
          <w:top w:val="nil"/>
          <w:left w:val="nil"/>
          <w:bottom w:val="nil"/>
          <w:right w:val="nil"/>
          <w:between w:val="nil"/>
        </w:pBdr>
        <w:spacing w:line="276" w:lineRule="auto"/>
        <w:jc w:val="both"/>
        <w:rPr>
          <w:color w:val="000000"/>
        </w:rPr>
      </w:pPr>
    </w:p>
    <w:p w14:paraId="1074731C" w14:textId="77777777" w:rsidR="00EE2831" w:rsidRDefault="00EE2831" w:rsidP="00EE2831">
      <w:pPr>
        <w:pBdr>
          <w:top w:val="nil"/>
          <w:left w:val="nil"/>
          <w:bottom w:val="nil"/>
          <w:right w:val="nil"/>
          <w:between w:val="nil"/>
        </w:pBdr>
        <w:spacing w:line="276" w:lineRule="auto"/>
        <w:jc w:val="both"/>
        <w:rPr>
          <w:color w:val="000000"/>
        </w:rPr>
      </w:pPr>
    </w:p>
    <w:p w14:paraId="5E70B57D" w14:textId="77777777" w:rsidR="00EE2831" w:rsidRDefault="00EE2831" w:rsidP="00EE2831">
      <w:pPr>
        <w:pBdr>
          <w:top w:val="nil"/>
          <w:left w:val="nil"/>
          <w:bottom w:val="nil"/>
          <w:right w:val="nil"/>
          <w:between w:val="nil"/>
        </w:pBdr>
        <w:spacing w:line="276" w:lineRule="auto"/>
        <w:jc w:val="both"/>
        <w:rPr>
          <w:b/>
          <w:bCs/>
          <w:color w:val="000000"/>
        </w:rPr>
      </w:pPr>
      <w:r>
        <w:rPr>
          <w:b/>
          <w:bCs/>
          <w:color w:val="000000"/>
        </w:rPr>
        <w:t>Skyrimo sąlygos</w:t>
      </w:r>
    </w:p>
    <w:p w14:paraId="1B1DF813" w14:textId="61ED88CC" w:rsidR="00EE6CE8" w:rsidRPr="0034749B" w:rsidRDefault="00EE6CE8" w:rsidP="00EE2831">
      <w:pPr>
        <w:pBdr>
          <w:top w:val="nil"/>
          <w:left w:val="nil"/>
          <w:bottom w:val="nil"/>
          <w:right w:val="nil"/>
          <w:between w:val="nil"/>
        </w:pBdr>
        <w:spacing w:line="276" w:lineRule="auto"/>
        <w:jc w:val="both"/>
        <w:rPr>
          <w:color w:val="000000"/>
        </w:rPr>
      </w:pPr>
      <w:r w:rsidRPr="0034749B">
        <w:rPr>
          <w:color w:val="000000"/>
        </w:rPr>
        <w:t>Neteikiamos.</w:t>
      </w:r>
    </w:p>
    <w:p w14:paraId="3F1B54F8" w14:textId="3FDA7D96" w:rsidR="00EE2831" w:rsidRDefault="0034749B" w:rsidP="00EE2831">
      <w:pPr>
        <w:pBdr>
          <w:top w:val="nil"/>
          <w:left w:val="nil"/>
          <w:bottom w:val="nil"/>
          <w:right w:val="nil"/>
          <w:between w:val="nil"/>
        </w:pBdr>
        <w:spacing w:line="276" w:lineRule="auto"/>
        <w:jc w:val="both"/>
        <w:rPr>
          <w:color w:val="000000"/>
        </w:rPr>
      </w:pPr>
      <w:r>
        <w:rPr>
          <w:color w:val="000000"/>
        </w:rPr>
        <w:t>S</w:t>
      </w:r>
      <w:r w:rsidR="00EE6CE8">
        <w:rPr>
          <w:color w:val="000000"/>
        </w:rPr>
        <w:t>kyrimo sąlygos nesiūlomos</w:t>
      </w:r>
      <w:r w:rsidR="00EA033C">
        <w:rPr>
          <w:color w:val="000000"/>
        </w:rPr>
        <w:t>.</w:t>
      </w:r>
    </w:p>
    <w:p w14:paraId="2EC11D86" w14:textId="74925AA5" w:rsidR="0034749B" w:rsidRDefault="0034749B" w:rsidP="0034749B">
      <w:pPr>
        <w:pBdr>
          <w:top w:val="nil"/>
          <w:left w:val="nil"/>
          <w:bottom w:val="nil"/>
          <w:right w:val="nil"/>
          <w:between w:val="nil"/>
        </w:pBdr>
        <w:spacing w:line="276" w:lineRule="auto"/>
        <w:jc w:val="center"/>
        <w:rPr>
          <w:color w:val="000000"/>
        </w:rPr>
      </w:pPr>
      <w:r>
        <w:rPr>
          <w:color w:val="000000"/>
        </w:rPr>
        <w:t>_____________________________</w:t>
      </w:r>
    </w:p>
    <w:p w14:paraId="7CDFF220" w14:textId="58191D98" w:rsidR="000723FF" w:rsidRPr="000723FF" w:rsidRDefault="000723FF" w:rsidP="00824B92">
      <w:pPr>
        <w:rPr>
          <w:b/>
        </w:rPr>
      </w:pPr>
    </w:p>
    <w:sectPr w:rsidR="000723FF" w:rsidRPr="000723FF" w:rsidSect="005D30E1">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BB584" w14:textId="77777777" w:rsidR="00A26FE9" w:rsidRDefault="00A26FE9">
      <w:r>
        <w:separator/>
      </w:r>
    </w:p>
  </w:endnote>
  <w:endnote w:type="continuationSeparator" w:id="0">
    <w:p w14:paraId="3B94DB9F" w14:textId="77777777" w:rsidR="00A26FE9" w:rsidRDefault="00A2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1B03" w14:textId="77777777" w:rsidR="00A26FE9" w:rsidRDefault="00A26FE9">
      <w:r>
        <w:separator/>
      </w:r>
    </w:p>
  </w:footnote>
  <w:footnote w:type="continuationSeparator" w:id="0">
    <w:p w14:paraId="012BC979" w14:textId="77777777" w:rsidR="00A26FE9" w:rsidRDefault="00A26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multilevel"/>
    <w:tmpl w:val="79D2DBD2"/>
    <w:lvl w:ilvl="0">
      <w:start w:val="1"/>
      <w:numFmt w:val="decimal"/>
      <w:lvlText w:val="%1."/>
      <w:lvlJc w:val="left"/>
      <w:pPr>
        <w:ind w:left="720" w:hanging="360"/>
      </w:pPr>
      <w:rPr>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3FB4173D"/>
    <w:multiLevelType w:val="hybridMultilevel"/>
    <w:tmpl w:val="45BEFCF4"/>
    <w:lvl w:ilvl="0" w:tplc="7CEC0E9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6980906">
    <w:abstractNumId w:val="7"/>
  </w:num>
  <w:num w:numId="2" w16cid:durableId="1790975148">
    <w:abstractNumId w:val="1"/>
  </w:num>
  <w:num w:numId="3" w16cid:durableId="1846941018">
    <w:abstractNumId w:val="9"/>
  </w:num>
  <w:num w:numId="4" w16cid:durableId="924996488">
    <w:abstractNumId w:val="8"/>
  </w:num>
  <w:num w:numId="5" w16cid:durableId="309290400">
    <w:abstractNumId w:val="5"/>
  </w:num>
  <w:num w:numId="6" w16cid:durableId="1618488282">
    <w:abstractNumId w:val="4"/>
  </w:num>
  <w:num w:numId="7" w16cid:durableId="1932202095">
    <w:abstractNumId w:val="3"/>
  </w:num>
  <w:num w:numId="8" w16cid:durableId="1625891423">
    <w:abstractNumId w:val="12"/>
  </w:num>
  <w:num w:numId="9" w16cid:durableId="667906533">
    <w:abstractNumId w:val="0"/>
  </w:num>
  <w:num w:numId="10" w16cid:durableId="379328410">
    <w:abstractNumId w:val="10"/>
  </w:num>
  <w:num w:numId="11" w16cid:durableId="2029410026">
    <w:abstractNumId w:val="11"/>
  </w:num>
  <w:num w:numId="12" w16cid:durableId="1537278901">
    <w:abstractNumId w:val="2"/>
  </w:num>
  <w:num w:numId="13" w16cid:durableId="2110074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18A"/>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A175D"/>
    <w:rsid w:val="000C3804"/>
    <w:rsid w:val="000C454C"/>
    <w:rsid w:val="000D5038"/>
    <w:rsid w:val="000E29D4"/>
    <w:rsid w:val="000F3540"/>
    <w:rsid w:val="00100491"/>
    <w:rsid w:val="00104E2E"/>
    <w:rsid w:val="00107287"/>
    <w:rsid w:val="00115268"/>
    <w:rsid w:val="00117406"/>
    <w:rsid w:val="00121EF0"/>
    <w:rsid w:val="00124A9E"/>
    <w:rsid w:val="001263B0"/>
    <w:rsid w:val="00130703"/>
    <w:rsid w:val="0013153F"/>
    <w:rsid w:val="001408B8"/>
    <w:rsid w:val="001517E2"/>
    <w:rsid w:val="001521D9"/>
    <w:rsid w:val="001554E2"/>
    <w:rsid w:val="00160105"/>
    <w:rsid w:val="00164146"/>
    <w:rsid w:val="0017369C"/>
    <w:rsid w:val="00175D57"/>
    <w:rsid w:val="00180C39"/>
    <w:rsid w:val="00180D96"/>
    <w:rsid w:val="00184BD3"/>
    <w:rsid w:val="001921F3"/>
    <w:rsid w:val="00197CF0"/>
    <w:rsid w:val="001B3C5B"/>
    <w:rsid w:val="001C2727"/>
    <w:rsid w:val="001D746F"/>
    <w:rsid w:val="001E4BBB"/>
    <w:rsid w:val="001E6304"/>
    <w:rsid w:val="002009FA"/>
    <w:rsid w:val="00200C53"/>
    <w:rsid w:val="0020381E"/>
    <w:rsid w:val="00213471"/>
    <w:rsid w:val="00215906"/>
    <w:rsid w:val="00241CD8"/>
    <w:rsid w:val="00244B09"/>
    <w:rsid w:val="002519CB"/>
    <w:rsid w:val="0025697F"/>
    <w:rsid w:val="00260258"/>
    <w:rsid w:val="0026078A"/>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02825"/>
    <w:rsid w:val="00317B0E"/>
    <w:rsid w:val="0034749B"/>
    <w:rsid w:val="00347FAA"/>
    <w:rsid w:val="0035172D"/>
    <w:rsid w:val="0036187D"/>
    <w:rsid w:val="00367EDB"/>
    <w:rsid w:val="00381024"/>
    <w:rsid w:val="00386307"/>
    <w:rsid w:val="003874DE"/>
    <w:rsid w:val="00393E9F"/>
    <w:rsid w:val="0039696E"/>
    <w:rsid w:val="003A1D4B"/>
    <w:rsid w:val="003B211A"/>
    <w:rsid w:val="003C141F"/>
    <w:rsid w:val="003C6B0E"/>
    <w:rsid w:val="003C7257"/>
    <w:rsid w:val="003C7E35"/>
    <w:rsid w:val="003D1877"/>
    <w:rsid w:val="003D1E99"/>
    <w:rsid w:val="003D6208"/>
    <w:rsid w:val="00404E8A"/>
    <w:rsid w:val="0040622F"/>
    <w:rsid w:val="00413F24"/>
    <w:rsid w:val="00422853"/>
    <w:rsid w:val="00423160"/>
    <w:rsid w:val="00425088"/>
    <w:rsid w:val="00431C47"/>
    <w:rsid w:val="00441DB6"/>
    <w:rsid w:val="004537D0"/>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25856"/>
    <w:rsid w:val="00534E11"/>
    <w:rsid w:val="005378D8"/>
    <w:rsid w:val="005400D9"/>
    <w:rsid w:val="005476A4"/>
    <w:rsid w:val="0055019B"/>
    <w:rsid w:val="00556E63"/>
    <w:rsid w:val="005601A4"/>
    <w:rsid w:val="005669BD"/>
    <w:rsid w:val="00566DBB"/>
    <w:rsid w:val="005767DB"/>
    <w:rsid w:val="005815E6"/>
    <w:rsid w:val="0058712F"/>
    <w:rsid w:val="00592CBC"/>
    <w:rsid w:val="005976CE"/>
    <w:rsid w:val="005A23D4"/>
    <w:rsid w:val="005A2D1E"/>
    <w:rsid w:val="005B3756"/>
    <w:rsid w:val="005C493F"/>
    <w:rsid w:val="005C6BF7"/>
    <w:rsid w:val="005C71BF"/>
    <w:rsid w:val="005D002C"/>
    <w:rsid w:val="005D30E1"/>
    <w:rsid w:val="005D6555"/>
    <w:rsid w:val="005D7BDF"/>
    <w:rsid w:val="005E1042"/>
    <w:rsid w:val="005E4870"/>
    <w:rsid w:val="005F6861"/>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77235"/>
    <w:rsid w:val="006834D3"/>
    <w:rsid w:val="00692625"/>
    <w:rsid w:val="00695CD3"/>
    <w:rsid w:val="006A38B6"/>
    <w:rsid w:val="006B1987"/>
    <w:rsid w:val="006B5B71"/>
    <w:rsid w:val="006B6CB0"/>
    <w:rsid w:val="006C0296"/>
    <w:rsid w:val="006C2B64"/>
    <w:rsid w:val="006D4C85"/>
    <w:rsid w:val="006D66AC"/>
    <w:rsid w:val="006E29DE"/>
    <w:rsid w:val="006E33F6"/>
    <w:rsid w:val="006E4909"/>
    <w:rsid w:val="006F1251"/>
    <w:rsid w:val="006F1C23"/>
    <w:rsid w:val="00702C18"/>
    <w:rsid w:val="00703166"/>
    <w:rsid w:val="00704571"/>
    <w:rsid w:val="00705676"/>
    <w:rsid w:val="007127F3"/>
    <w:rsid w:val="00721275"/>
    <w:rsid w:val="007301CF"/>
    <w:rsid w:val="007316FB"/>
    <w:rsid w:val="00734DF9"/>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C0875"/>
    <w:rsid w:val="007C6794"/>
    <w:rsid w:val="007C7519"/>
    <w:rsid w:val="007D3347"/>
    <w:rsid w:val="007E5466"/>
    <w:rsid w:val="007F1949"/>
    <w:rsid w:val="007F2592"/>
    <w:rsid w:val="00800A08"/>
    <w:rsid w:val="00817A84"/>
    <w:rsid w:val="008225A4"/>
    <w:rsid w:val="00824899"/>
    <w:rsid w:val="00824B92"/>
    <w:rsid w:val="00826D5E"/>
    <w:rsid w:val="00832013"/>
    <w:rsid w:val="00832DB7"/>
    <w:rsid w:val="00834732"/>
    <w:rsid w:val="0085200C"/>
    <w:rsid w:val="00857C52"/>
    <w:rsid w:val="00860D5F"/>
    <w:rsid w:val="008719A9"/>
    <w:rsid w:val="00880A44"/>
    <w:rsid w:val="0088345E"/>
    <w:rsid w:val="0088656F"/>
    <w:rsid w:val="00891EF6"/>
    <w:rsid w:val="008A0303"/>
    <w:rsid w:val="008A5FDD"/>
    <w:rsid w:val="008C1CD5"/>
    <w:rsid w:val="008C3947"/>
    <w:rsid w:val="008E473B"/>
    <w:rsid w:val="008E51A6"/>
    <w:rsid w:val="008E7329"/>
    <w:rsid w:val="008F2ED5"/>
    <w:rsid w:val="009122E1"/>
    <w:rsid w:val="0092297E"/>
    <w:rsid w:val="00923651"/>
    <w:rsid w:val="00927B56"/>
    <w:rsid w:val="009341BF"/>
    <w:rsid w:val="00937907"/>
    <w:rsid w:val="00941739"/>
    <w:rsid w:val="00943E06"/>
    <w:rsid w:val="00951573"/>
    <w:rsid w:val="00963003"/>
    <w:rsid w:val="00966EEF"/>
    <w:rsid w:val="00971B28"/>
    <w:rsid w:val="00973567"/>
    <w:rsid w:val="00983471"/>
    <w:rsid w:val="009909AB"/>
    <w:rsid w:val="00997A8D"/>
    <w:rsid w:val="009B37DB"/>
    <w:rsid w:val="009C793D"/>
    <w:rsid w:val="009C7A8C"/>
    <w:rsid w:val="009D23F9"/>
    <w:rsid w:val="009D4FA8"/>
    <w:rsid w:val="009E44AE"/>
    <w:rsid w:val="009E6CD6"/>
    <w:rsid w:val="009F4D66"/>
    <w:rsid w:val="00A00C3C"/>
    <w:rsid w:val="00A01091"/>
    <w:rsid w:val="00A042B9"/>
    <w:rsid w:val="00A06DBB"/>
    <w:rsid w:val="00A22ADF"/>
    <w:rsid w:val="00A26FE9"/>
    <w:rsid w:val="00A31E86"/>
    <w:rsid w:val="00A54D87"/>
    <w:rsid w:val="00A5553C"/>
    <w:rsid w:val="00A67712"/>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3C00"/>
    <w:rsid w:val="00B04415"/>
    <w:rsid w:val="00B06509"/>
    <w:rsid w:val="00B11D60"/>
    <w:rsid w:val="00B13D65"/>
    <w:rsid w:val="00B21805"/>
    <w:rsid w:val="00B3072E"/>
    <w:rsid w:val="00B36E15"/>
    <w:rsid w:val="00B37084"/>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18D3"/>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5FA6"/>
    <w:rsid w:val="00C517D2"/>
    <w:rsid w:val="00C5772E"/>
    <w:rsid w:val="00C62B36"/>
    <w:rsid w:val="00C630AE"/>
    <w:rsid w:val="00C7012C"/>
    <w:rsid w:val="00C712EA"/>
    <w:rsid w:val="00CA217D"/>
    <w:rsid w:val="00CC09D4"/>
    <w:rsid w:val="00CC668D"/>
    <w:rsid w:val="00CC7832"/>
    <w:rsid w:val="00CF0C1C"/>
    <w:rsid w:val="00CF27FD"/>
    <w:rsid w:val="00CF5F12"/>
    <w:rsid w:val="00D00D8F"/>
    <w:rsid w:val="00D167DB"/>
    <w:rsid w:val="00D21F3A"/>
    <w:rsid w:val="00D23808"/>
    <w:rsid w:val="00D3016A"/>
    <w:rsid w:val="00D31225"/>
    <w:rsid w:val="00D417D2"/>
    <w:rsid w:val="00D42960"/>
    <w:rsid w:val="00D43BD7"/>
    <w:rsid w:val="00D4485B"/>
    <w:rsid w:val="00D4708D"/>
    <w:rsid w:val="00D4744C"/>
    <w:rsid w:val="00D521DE"/>
    <w:rsid w:val="00D5470B"/>
    <w:rsid w:val="00D63068"/>
    <w:rsid w:val="00D6498C"/>
    <w:rsid w:val="00D66899"/>
    <w:rsid w:val="00D7696E"/>
    <w:rsid w:val="00D76A70"/>
    <w:rsid w:val="00D83182"/>
    <w:rsid w:val="00D8521E"/>
    <w:rsid w:val="00D9291C"/>
    <w:rsid w:val="00D93A97"/>
    <w:rsid w:val="00D970E4"/>
    <w:rsid w:val="00DB1F64"/>
    <w:rsid w:val="00DC2F53"/>
    <w:rsid w:val="00DC5BAC"/>
    <w:rsid w:val="00DC6816"/>
    <w:rsid w:val="00DC76C2"/>
    <w:rsid w:val="00DD1CF2"/>
    <w:rsid w:val="00DE4484"/>
    <w:rsid w:val="00DF41B7"/>
    <w:rsid w:val="00DF4A4A"/>
    <w:rsid w:val="00DF583C"/>
    <w:rsid w:val="00E03C3F"/>
    <w:rsid w:val="00E06C2D"/>
    <w:rsid w:val="00E06FD7"/>
    <w:rsid w:val="00E07417"/>
    <w:rsid w:val="00E24D45"/>
    <w:rsid w:val="00E30C84"/>
    <w:rsid w:val="00E33DB8"/>
    <w:rsid w:val="00E33EFF"/>
    <w:rsid w:val="00E34387"/>
    <w:rsid w:val="00E348BA"/>
    <w:rsid w:val="00E369FE"/>
    <w:rsid w:val="00E36D62"/>
    <w:rsid w:val="00E37C6F"/>
    <w:rsid w:val="00E475F8"/>
    <w:rsid w:val="00E5102E"/>
    <w:rsid w:val="00E5721C"/>
    <w:rsid w:val="00E619C6"/>
    <w:rsid w:val="00E745A1"/>
    <w:rsid w:val="00E760A6"/>
    <w:rsid w:val="00E81529"/>
    <w:rsid w:val="00E83A13"/>
    <w:rsid w:val="00EA033C"/>
    <w:rsid w:val="00EB6FC5"/>
    <w:rsid w:val="00EC2356"/>
    <w:rsid w:val="00EC2582"/>
    <w:rsid w:val="00EC337C"/>
    <w:rsid w:val="00ED0CFF"/>
    <w:rsid w:val="00ED31D2"/>
    <w:rsid w:val="00EE0EAC"/>
    <w:rsid w:val="00EE2831"/>
    <w:rsid w:val="00EE3322"/>
    <w:rsid w:val="00EE33CB"/>
    <w:rsid w:val="00EE6CE8"/>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92D75"/>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Tabellengitternetz 9pt,Lash Style Table,Nexus Values grey"/>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1"/>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paragraph" w:customStyle="1" w:styleId="Tekstas">
    <w:name w:val="Tekstas"/>
    <w:basedOn w:val="prastasis"/>
    <w:link w:val="TekstasChar"/>
    <w:qFormat/>
    <w:rsid w:val="00704571"/>
    <w:pPr>
      <w:spacing w:after="120"/>
      <w:jc w:val="both"/>
    </w:pPr>
  </w:style>
  <w:style w:type="character" w:customStyle="1" w:styleId="TekstasChar">
    <w:name w:val="Tekstas Char"/>
    <w:link w:val="Tekstas"/>
    <w:rsid w:val="0070457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DB18-5D8C-4453-8CB7-9D159968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13151</Characters>
  <Application>Microsoft Office Word</Application>
  <DocSecurity>0</DocSecurity>
  <Lines>109</Lines>
  <Paragraphs>29</Paragraphs>
  <ScaleCrop>false</ScaleCrop>
  <Company/>
  <LinksUpToDate>false</LinksUpToDate>
  <CharactersWithSpaces>14969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2025-12-22T06:48:00Z</dcterms:created>
  <dcterms:modified xsi:type="dcterms:W3CDTF">2025-12-22T06:49:00Z</dcterms:modified>
</cp:coreProperties>
</file>