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632E6FD0" w14:textId="51C3243B" w:rsidR="0094765C" w:rsidRDefault="001D01BD" w:rsidP="0094765C">
      <w:pPr>
        <w:spacing w:line="276" w:lineRule="auto"/>
        <w:jc w:val="center"/>
        <w:rPr>
          <w:b/>
        </w:rPr>
      </w:pPr>
      <w:r>
        <w:rPr>
          <w:b/>
        </w:rPr>
        <w:t xml:space="preserve">Ryeqo </w:t>
      </w:r>
      <w:r w:rsidRPr="001D01BD">
        <w:rPr>
          <w:b/>
        </w:rPr>
        <w:t>40/1/0,5 mg plėvele dengtos tabletės</w:t>
      </w:r>
    </w:p>
    <w:p w14:paraId="4C1DA82D" w14:textId="77777777" w:rsidR="001D01BD" w:rsidRDefault="001D01BD" w:rsidP="0094765C">
      <w:pPr>
        <w:spacing w:line="276" w:lineRule="auto"/>
        <w:jc w:val="center"/>
        <w:rPr>
          <w:b/>
        </w:rPr>
      </w:pPr>
    </w:p>
    <w:p w14:paraId="5ABCBB7A" w14:textId="6EE29F38" w:rsidR="001D01BD" w:rsidRDefault="00AE0E35" w:rsidP="0094765C">
      <w:pPr>
        <w:spacing w:line="276" w:lineRule="auto"/>
        <w:jc w:val="center"/>
        <w:rPr>
          <w:b/>
        </w:rPr>
      </w:pPr>
      <w:r>
        <w:rPr>
          <w:b/>
        </w:rPr>
        <w:t>(</w:t>
      </w:r>
      <w:r w:rsidRPr="001D01BD">
        <w:rPr>
          <w:b/>
        </w:rPr>
        <w:t>Relugoliksas/Estradiolis/Noretisterono acetatas</w:t>
      </w:r>
      <w:r>
        <w:rPr>
          <w:b/>
        </w:rPr>
        <w:t>)</w:t>
      </w:r>
    </w:p>
    <w:p w14:paraId="31695881" w14:textId="77777777" w:rsidR="001D01BD" w:rsidRPr="0073329D" w:rsidRDefault="001D01BD" w:rsidP="0094765C">
      <w:pPr>
        <w:spacing w:line="276" w:lineRule="auto"/>
        <w:jc w:val="center"/>
      </w:pPr>
    </w:p>
    <w:p w14:paraId="07847BD9" w14:textId="0F00B77F" w:rsidR="0094765C" w:rsidRPr="0073329D" w:rsidRDefault="0094765C" w:rsidP="0094765C">
      <w:pPr>
        <w:spacing w:line="276" w:lineRule="auto"/>
        <w:jc w:val="center"/>
        <w:rPr>
          <w:b/>
        </w:rPr>
      </w:pPr>
      <w:r>
        <w:rPr>
          <w:b/>
        </w:rPr>
        <w:t>STV-</w:t>
      </w:r>
      <w:r w:rsidR="00AE0E35">
        <w:rPr>
          <w:b/>
        </w:rPr>
        <w:t>228</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C22A0" w:rsidRPr="000203E1" w14:paraId="18A83EC2" w14:textId="77777777" w:rsidTr="00BE7489">
        <w:trPr>
          <w:trHeight w:val="538"/>
        </w:trPr>
        <w:tc>
          <w:tcPr>
            <w:tcW w:w="632" w:type="dxa"/>
          </w:tcPr>
          <w:p w14:paraId="0646FBEA" w14:textId="77777777" w:rsidR="00BC22A0" w:rsidRPr="000203E1" w:rsidRDefault="00BC22A0" w:rsidP="00BC22A0">
            <w:pPr>
              <w:rPr>
                <w:rFonts w:eastAsia="Arial"/>
              </w:rPr>
            </w:pPr>
            <w:r w:rsidRPr="000203E1">
              <w:rPr>
                <w:rFonts w:eastAsia="Arial"/>
              </w:rPr>
              <w:t>1.1</w:t>
            </w:r>
          </w:p>
        </w:tc>
        <w:tc>
          <w:tcPr>
            <w:tcW w:w="3694" w:type="dxa"/>
          </w:tcPr>
          <w:p w14:paraId="6C3AE864" w14:textId="77777777" w:rsidR="00BC22A0" w:rsidRPr="000203E1" w:rsidRDefault="00BC22A0" w:rsidP="00BC22A0">
            <w:pPr>
              <w:rPr>
                <w:rFonts w:eastAsia="Arial"/>
              </w:rPr>
            </w:pPr>
            <w:r w:rsidRPr="000203E1">
              <w:rPr>
                <w:rFonts w:eastAsia="Arial"/>
              </w:rPr>
              <w:t>Pareiškėjas</w:t>
            </w:r>
          </w:p>
          <w:p w14:paraId="2AF240DC" w14:textId="77777777" w:rsidR="00BC22A0" w:rsidRPr="000203E1" w:rsidRDefault="00BC22A0" w:rsidP="00BC22A0">
            <w:pPr>
              <w:rPr>
                <w:rFonts w:eastAsia="Arial"/>
              </w:rPr>
            </w:pPr>
          </w:p>
        </w:tc>
        <w:tc>
          <w:tcPr>
            <w:tcW w:w="5167" w:type="dxa"/>
          </w:tcPr>
          <w:p w14:paraId="2AAF0D91" w14:textId="2BA22C4D" w:rsidR="00BC22A0" w:rsidRPr="000203E1" w:rsidRDefault="009A4208" w:rsidP="0094765C">
            <w:pPr>
              <w:jc w:val="both"/>
              <w:rPr>
                <w:rFonts w:eastAsia="Arial"/>
              </w:rPr>
            </w:pPr>
            <w:r>
              <w:t>Gedeon Richter Plc. Atstovybė</w:t>
            </w:r>
          </w:p>
        </w:tc>
      </w:tr>
      <w:tr w:rsidR="0094765C" w:rsidRPr="000203E1" w14:paraId="31998B0D" w14:textId="77777777" w:rsidTr="00BE7489">
        <w:trPr>
          <w:trHeight w:val="538"/>
        </w:trPr>
        <w:tc>
          <w:tcPr>
            <w:tcW w:w="632" w:type="dxa"/>
          </w:tcPr>
          <w:p w14:paraId="2005EC67" w14:textId="662300D0" w:rsidR="0094765C" w:rsidRPr="000203E1" w:rsidRDefault="0094765C" w:rsidP="0094765C">
            <w:pPr>
              <w:rPr>
                <w:rFonts w:eastAsia="Arial"/>
              </w:rPr>
            </w:pPr>
            <w:r w:rsidRPr="000203E1">
              <w:rPr>
                <w:rFonts w:eastAsia="Arial"/>
              </w:rPr>
              <w:t>1.2</w:t>
            </w:r>
          </w:p>
        </w:tc>
        <w:tc>
          <w:tcPr>
            <w:tcW w:w="3694" w:type="dxa"/>
          </w:tcPr>
          <w:p w14:paraId="1E4AE3B1" w14:textId="77777777" w:rsidR="0094765C" w:rsidRPr="000203E1" w:rsidRDefault="0094765C" w:rsidP="0094765C">
            <w:pPr>
              <w:rPr>
                <w:bCs/>
                <w:lang w:eastAsia="lt-LT"/>
              </w:rPr>
            </w:pPr>
            <w:r w:rsidRPr="000203E1">
              <w:rPr>
                <w:bCs/>
                <w:lang w:eastAsia="lt-LT"/>
              </w:rPr>
              <w:t xml:space="preserve">Registracijos data </w:t>
            </w:r>
          </w:p>
          <w:p w14:paraId="3A0DC096" w14:textId="77777777" w:rsidR="0094765C" w:rsidRPr="000203E1" w:rsidRDefault="0094765C" w:rsidP="0094765C">
            <w:pPr>
              <w:rPr>
                <w:bCs/>
                <w:lang w:eastAsia="lt-LT"/>
              </w:rPr>
            </w:pPr>
          </w:p>
        </w:tc>
        <w:tc>
          <w:tcPr>
            <w:tcW w:w="5167" w:type="dxa"/>
          </w:tcPr>
          <w:p w14:paraId="3CA218AD" w14:textId="107AE25B" w:rsidR="0094765C" w:rsidRPr="000203E1" w:rsidRDefault="009620FA" w:rsidP="0094765C">
            <w:pPr>
              <w:jc w:val="both"/>
              <w:rPr>
                <w:rStyle w:val="Style2"/>
              </w:rPr>
            </w:pPr>
            <w:sdt>
              <w:sdtPr>
                <w:rPr>
                  <w:sz w:val="32"/>
                </w:rPr>
                <w:alias w:val="Nurodykite konkrečią dieną"/>
                <w:tag w:val="Nurodykite pradžios datą"/>
                <w:id w:val="423238108"/>
                <w:placeholder>
                  <w:docPart w:val="288EB8AF24AB497AB2C17B96DB12F582"/>
                </w:placeholder>
                <w15:color w:val="FFCC99"/>
                <w:date>
                  <w:dateFormat w:val="yyyy 'm.' MMMM d 'd.'"/>
                  <w:lid w:val="lt-LT"/>
                  <w:storeMappedDataAs w:val="dateTime"/>
                  <w:calendar w:val="gregorian"/>
                </w:date>
              </w:sdtPr>
              <w:sdtEndPr>
                <w:rPr>
                  <w:sz w:val="24"/>
                </w:rPr>
              </w:sdtEndPr>
              <w:sdtContent>
                <w:r w:rsidR="0094765C" w:rsidRPr="005349AD">
                  <w:t xml:space="preserve">2021 m. </w:t>
                </w:r>
                <w:r w:rsidR="009A4208">
                  <w:t>liepos 16</w:t>
                </w:r>
                <w:r w:rsidR="0094765C" w:rsidRPr="005349AD">
                  <w:t xml:space="preserve"> d.</w:t>
                </w:r>
              </w:sdtContent>
            </w:sdt>
          </w:p>
        </w:tc>
      </w:tr>
      <w:tr w:rsidR="0094765C" w:rsidRPr="000203E1" w14:paraId="15968AE1" w14:textId="77777777" w:rsidTr="00BE7489">
        <w:trPr>
          <w:trHeight w:val="1500"/>
        </w:trPr>
        <w:tc>
          <w:tcPr>
            <w:tcW w:w="632" w:type="dxa"/>
          </w:tcPr>
          <w:p w14:paraId="6A784245" w14:textId="1E461489" w:rsidR="0094765C" w:rsidRPr="000203E1" w:rsidRDefault="0094765C" w:rsidP="0094765C">
            <w:pPr>
              <w:rPr>
                <w:rFonts w:eastAsia="Arial"/>
              </w:rPr>
            </w:pPr>
            <w:r w:rsidRPr="000203E1">
              <w:rPr>
                <w:rFonts w:eastAsia="Arial"/>
              </w:rPr>
              <w:t>1.3</w:t>
            </w:r>
          </w:p>
        </w:tc>
        <w:tc>
          <w:tcPr>
            <w:tcW w:w="3694" w:type="dxa"/>
          </w:tcPr>
          <w:p w14:paraId="22933506" w14:textId="77777777" w:rsidR="0094765C" w:rsidRPr="000203E1" w:rsidRDefault="0094765C" w:rsidP="0094765C">
            <w:r w:rsidRPr="000203E1">
              <w:t xml:space="preserve">Paraiškos tipas </w:t>
            </w:r>
          </w:p>
          <w:p w14:paraId="0465E680" w14:textId="7F0A0714" w:rsidR="0094765C" w:rsidRPr="000203E1" w:rsidRDefault="0094765C" w:rsidP="0094765C">
            <w:r w:rsidRPr="000203E1">
              <w:t xml:space="preserve">(pagal </w:t>
            </w:r>
            <w:r w:rsidRPr="000203E1">
              <w:rPr>
                <w:shd w:val="clear" w:color="auto" w:fill="FFFFFF"/>
              </w:rPr>
              <w:t>vaistinio preparato registracijos tipą, įtvirtintą</w:t>
            </w:r>
            <w:r w:rsidRPr="000203E1">
              <w:t xml:space="preserve"> Direktyvos 2001/83/EB straipsiuose)</w:t>
            </w:r>
          </w:p>
          <w:p w14:paraId="77089D80" w14:textId="6681D72A" w:rsidR="0094765C" w:rsidRPr="000203E1" w:rsidRDefault="0094765C" w:rsidP="0094765C">
            <w:pPr>
              <w:rPr>
                <w:bCs/>
                <w:lang w:eastAsia="lt-LT"/>
              </w:rPr>
            </w:pPr>
          </w:p>
        </w:tc>
        <w:tc>
          <w:tcPr>
            <w:tcW w:w="5167" w:type="dxa"/>
          </w:tcPr>
          <w:p w14:paraId="08F96058" w14:textId="77777777" w:rsidR="0094765C" w:rsidRPr="0073329D" w:rsidRDefault="009620FA" w:rsidP="0094765C">
            <w:pPr>
              <w:spacing w:line="276" w:lineRule="auto"/>
              <w:jc w:val="both"/>
            </w:pPr>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94765C">
                  <w:rPr>
                    <w:rStyle w:val="Style2"/>
                    <w:rFonts w:ascii="MS Gothic" w:eastAsia="MS Gothic" w:hAnsi="MS Gothic" w:hint="eastAsia"/>
                  </w:rPr>
                  <w:t>☒</w:t>
                </w:r>
              </w:sdtContent>
            </w:sdt>
            <w:r w:rsidR="0094765C" w:rsidRPr="0073329D">
              <w:t xml:space="preserve"> 8.3 str. (pilna byla, pagrįsta savais tyrimais) </w:t>
            </w:r>
          </w:p>
          <w:p w14:paraId="61F1CE3B" w14:textId="77777777" w:rsidR="0094765C" w:rsidRPr="0073329D" w:rsidRDefault="009620FA" w:rsidP="0094765C">
            <w:pPr>
              <w:spacing w:line="276" w:lineRule="auto"/>
              <w:jc w:val="both"/>
            </w:pPr>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94765C" w:rsidRPr="0073329D">
                  <w:rPr>
                    <w:rStyle w:val="Style2"/>
                    <w:rFonts w:ascii="Segoe UI Symbol" w:eastAsia="MS Gothic" w:hAnsi="Segoe UI Symbol" w:cs="Segoe UI Symbol"/>
                  </w:rPr>
                  <w:t>☐</w:t>
                </w:r>
              </w:sdtContent>
            </w:sdt>
            <w:r w:rsidR="0094765C" w:rsidRPr="0073329D">
              <w:t xml:space="preserve"> 10 a str. (pripažintas medicininis vartojimas) </w:t>
            </w:r>
          </w:p>
          <w:p w14:paraId="1481AB77" w14:textId="77777777" w:rsidR="0094765C" w:rsidRPr="0073329D" w:rsidRDefault="009620FA" w:rsidP="0094765C">
            <w:pPr>
              <w:spacing w:line="276" w:lineRule="auto"/>
              <w:jc w:val="both"/>
            </w:pPr>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94765C" w:rsidRPr="0073329D">
                  <w:rPr>
                    <w:rStyle w:val="Style2"/>
                    <w:rFonts w:ascii="MS Gothic" w:eastAsia="MS Gothic" w:hAnsi="MS Gothic" w:hint="eastAsia"/>
                  </w:rPr>
                  <w:t>☐</w:t>
                </w:r>
              </w:sdtContent>
            </w:sdt>
            <w:r w:rsidR="0094765C" w:rsidRPr="0073329D">
              <w:t xml:space="preserve"> 10.1 str. (generinis)</w:t>
            </w:r>
          </w:p>
          <w:p w14:paraId="3B0A4F72" w14:textId="4D9BBBA3" w:rsidR="0094765C" w:rsidRPr="000203E1" w:rsidRDefault="009620FA" w:rsidP="0094765C">
            <w:pPr>
              <w:jc w:val="both"/>
              <w:rPr>
                <w:rStyle w:val="Style2"/>
                <w:sz w:val="24"/>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94765C" w:rsidRPr="0073329D">
                  <w:rPr>
                    <w:rStyle w:val="Style2"/>
                    <w:rFonts w:ascii="Segoe UI Symbol" w:eastAsia="MS Gothic" w:hAnsi="Segoe UI Symbol" w:cs="Segoe UI Symbol"/>
                  </w:rPr>
                  <w:t>☐</w:t>
                </w:r>
              </w:sdtContent>
            </w:sdt>
            <w:r w:rsidR="0094765C" w:rsidRPr="0073329D">
              <w:t xml:space="preserve"> 10.3 str. (hibridinis)</w:t>
            </w:r>
          </w:p>
        </w:tc>
      </w:tr>
      <w:tr w:rsidR="0094765C" w:rsidRPr="000203E1" w14:paraId="310E9662" w14:textId="77777777" w:rsidTr="00BE7489">
        <w:trPr>
          <w:trHeight w:val="1442"/>
        </w:trPr>
        <w:tc>
          <w:tcPr>
            <w:tcW w:w="632" w:type="dxa"/>
          </w:tcPr>
          <w:p w14:paraId="4B5A91A2" w14:textId="561B5E5F" w:rsidR="0094765C" w:rsidRPr="000203E1" w:rsidRDefault="0094765C" w:rsidP="0094765C">
            <w:pPr>
              <w:rPr>
                <w:rFonts w:eastAsia="Arial"/>
              </w:rPr>
            </w:pPr>
            <w:r w:rsidRPr="000203E1">
              <w:rPr>
                <w:rFonts w:eastAsia="Arial"/>
              </w:rPr>
              <w:t>1.4</w:t>
            </w:r>
          </w:p>
        </w:tc>
        <w:tc>
          <w:tcPr>
            <w:tcW w:w="3694" w:type="dxa"/>
          </w:tcPr>
          <w:p w14:paraId="6C91E105" w14:textId="77777777" w:rsidR="0094765C" w:rsidRPr="000203E1" w:rsidRDefault="0094765C" w:rsidP="0094765C">
            <w:pPr>
              <w:rPr>
                <w:bCs/>
                <w:lang w:eastAsia="lt-LT"/>
              </w:rPr>
            </w:pPr>
            <w:r w:rsidRPr="000203E1">
              <w:rPr>
                <w:bCs/>
                <w:lang w:eastAsia="lt-LT"/>
              </w:rPr>
              <w:t xml:space="preserve">Ar vaistinis preparatas įrašytas į Bendrijos retųjų vaistinių preparatų registrą? </w:t>
            </w:r>
          </w:p>
          <w:p w14:paraId="33726F9C" w14:textId="77777777" w:rsidR="0094765C" w:rsidRPr="000203E1" w:rsidRDefault="0094765C" w:rsidP="0094765C">
            <w:pPr>
              <w:rPr>
                <w:bCs/>
                <w:i/>
                <w:lang w:eastAsia="lt-LT"/>
              </w:rPr>
            </w:pPr>
          </w:p>
          <w:p w14:paraId="483071A3" w14:textId="0F633FFC" w:rsidR="0094765C" w:rsidRPr="000203E1" w:rsidRDefault="0094765C" w:rsidP="0094765C">
            <w:pPr>
              <w:rPr>
                <w:bCs/>
                <w:lang w:eastAsia="lt-LT"/>
              </w:rPr>
            </w:pPr>
            <w:r w:rsidRPr="000203E1">
              <w:rPr>
                <w:bCs/>
                <w:i/>
                <w:sz w:val="20"/>
                <w:lang w:eastAsia="lt-LT"/>
              </w:rPr>
              <w:t>Jei taip, nurodykite įrašymo datą ir numerį</w:t>
            </w:r>
          </w:p>
        </w:tc>
        <w:tc>
          <w:tcPr>
            <w:tcW w:w="5167" w:type="dxa"/>
          </w:tcPr>
          <w:p w14:paraId="6E10E1E7" w14:textId="77777777" w:rsidR="0094765C" w:rsidRPr="0073329D" w:rsidRDefault="009620FA" w:rsidP="0094765C">
            <w:pPr>
              <w:spacing w:line="276" w:lineRule="auto"/>
              <w:jc w:val="both"/>
            </w:pPr>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94765C" w:rsidRPr="0073329D">
                  <w:rPr>
                    <w:rStyle w:val="Style2"/>
                    <w:rFonts w:ascii="Segoe UI Symbol" w:eastAsia="MS Gothic" w:hAnsi="Segoe UI Symbol" w:cs="Segoe UI Symbol"/>
                  </w:rPr>
                  <w:t>☐</w:t>
                </w:r>
              </w:sdtContent>
            </w:sdt>
            <w:r w:rsidR="0094765C" w:rsidRPr="0073329D">
              <w:t xml:space="preserve"> Taip</w:t>
            </w:r>
          </w:p>
          <w:p w14:paraId="29C2CBBB" w14:textId="18B74013" w:rsidR="0094765C" w:rsidRPr="000203E1" w:rsidRDefault="009620FA" w:rsidP="0094765C">
            <w:pPr>
              <w:jc w:val="both"/>
              <w:rPr>
                <w:rFonts w:eastAsia="Arial"/>
              </w:rPr>
            </w:pPr>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94765C">
                  <w:rPr>
                    <w:rStyle w:val="Style2"/>
                    <w:rFonts w:ascii="MS Gothic" w:eastAsia="MS Gothic" w:hAnsi="MS Gothic" w:hint="eastAsia"/>
                  </w:rPr>
                  <w:t>☒</w:t>
                </w:r>
              </w:sdtContent>
            </w:sdt>
            <w:r w:rsidR="0094765C" w:rsidRPr="0073329D">
              <w:t xml:space="preserve"> Ne</w:t>
            </w:r>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671ADAEE" w:rsidR="00D417D2" w:rsidRPr="000203E1" w:rsidRDefault="009620FA" w:rsidP="0094765C">
            <w:pPr>
              <w:jc w:val="both"/>
            </w:pPr>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9620FA" w:rsidP="0094765C">
            <w:pPr>
              <w:jc w:val="both"/>
            </w:pPr>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0203E1" w:rsidRPr="000203E1" w14:paraId="274D1DAF" w14:textId="77777777" w:rsidTr="00BE7489">
        <w:trPr>
          <w:trHeight w:val="1922"/>
        </w:trPr>
        <w:tc>
          <w:tcPr>
            <w:tcW w:w="632" w:type="dxa"/>
          </w:tcPr>
          <w:p w14:paraId="17ABF217" w14:textId="14AC00D7" w:rsidR="00B13D65" w:rsidRPr="000203E1" w:rsidRDefault="00B13D65" w:rsidP="00824B92">
            <w:pPr>
              <w:rPr>
                <w:rFonts w:eastAsia="Arial"/>
              </w:rPr>
            </w:pPr>
            <w:r w:rsidRPr="000203E1">
              <w:rPr>
                <w:rFonts w:eastAsia="Arial"/>
              </w:rPr>
              <w:t>1.</w:t>
            </w:r>
            <w:r w:rsidR="00D417D2" w:rsidRPr="000203E1">
              <w:rPr>
                <w:rFonts w:eastAsia="Arial"/>
              </w:rPr>
              <w:t>6</w:t>
            </w:r>
          </w:p>
        </w:tc>
        <w:tc>
          <w:tcPr>
            <w:tcW w:w="3694" w:type="dxa"/>
          </w:tcPr>
          <w:p w14:paraId="4D49DBF5" w14:textId="77777777" w:rsidR="007656B2" w:rsidRPr="000203E1" w:rsidRDefault="00DE4484" w:rsidP="00824B92">
            <w:pPr>
              <w:rPr>
                <w:bCs/>
                <w:lang w:eastAsia="lt-LT"/>
              </w:rPr>
            </w:pPr>
            <w:r w:rsidRPr="000203E1">
              <w:rPr>
                <w:bCs/>
                <w:lang w:eastAsia="lt-LT"/>
              </w:rPr>
              <w:t>Par</w:t>
            </w:r>
            <w:r w:rsidR="007656B2" w:rsidRPr="000203E1">
              <w:rPr>
                <w:bCs/>
                <w:lang w:eastAsia="lt-LT"/>
              </w:rPr>
              <w:t>eiškėjo t</w:t>
            </w:r>
            <w:r w:rsidR="00B13D65" w:rsidRPr="000203E1">
              <w:rPr>
                <w:bCs/>
                <w:lang w:eastAsia="lt-LT"/>
              </w:rPr>
              <w:t>eikiama (-os) kompensuoti vaistinio preparato indikacija (-os)</w:t>
            </w:r>
          </w:p>
          <w:p w14:paraId="6B4FEEC1" w14:textId="6A619694" w:rsidR="00B13D65" w:rsidRPr="000203E1" w:rsidRDefault="007656B2" w:rsidP="00824B92">
            <w:pPr>
              <w:rPr>
                <w:bCs/>
                <w:lang w:eastAsia="lt-LT"/>
              </w:rPr>
            </w:pPr>
            <w:r w:rsidRPr="000203E1">
              <w:rPr>
                <w:bCs/>
                <w:lang w:eastAsia="lt-LT"/>
              </w:rPr>
              <w:t>K</w:t>
            </w:r>
            <w:r w:rsidR="00B13D65" w:rsidRPr="000203E1">
              <w:rPr>
                <w:bCs/>
                <w:lang w:eastAsia="lt-LT"/>
              </w:rPr>
              <w:t>odas</w:t>
            </w:r>
            <w:r w:rsidRPr="000203E1">
              <w:rPr>
                <w:bCs/>
                <w:lang w:eastAsia="lt-LT"/>
              </w:rPr>
              <w:t xml:space="preserve"> pagal TLK-10 AM</w:t>
            </w:r>
          </w:p>
        </w:tc>
        <w:tc>
          <w:tcPr>
            <w:tcW w:w="5167" w:type="dxa"/>
          </w:tcPr>
          <w:p w14:paraId="13F4324A" w14:textId="77777777" w:rsidR="004B15F1" w:rsidRDefault="004B15F1" w:rsidP="004B15F1">
            <w:pPr>
              <w:spacing w:line="276" w:lineRule="auto"/>
              <w:jc w:val="both"/>
            </w:pPr>
            <w:r w:rsidRPr="00AA0C13">
              <w:t>Ryeqo skirtas suaugusioms vaisingoms moterims</w:t>
            </w:r>
            <w:r>
              <w:t xml:space="preserve"> simptominei endometriozei gydyti moterims, kurioms anksčiau taikytas medikamentinis arba</w:t>
            </w:r>
          </w:p>
          <w:p w14:paraId="1A39EBF8" w14:textId="77777777" w:rsidR="004B15F1" w:rsidRDefault="004B15F1" w:rsidP="004B15F1">
            <w:pPr>
              <w:spacing w:line="276" w:lineRule="auto"/>
              <w:jc w:val="both"/>
            </w:pPr>
            <w:r>
              <w:t>chirurginis endometriozės gydymas.</w:t>
            </w:r>
          </w:p>
          <w:p w14:paraId="3B1E4D94" w14:textId="77777777" w:rsidR="004B15F1" w:rsidRDefault="004B15F1" w:rsidP="004B15F1">
            <w:pPr>
              <w:spacing w:line="276" w:lineRule="auto"/>
              <w:jc w:val="both"/>
            </w:pPr>
          </w:p>
          <w:p w14:paraId="13F7DFB0" w14:textId="1493015B" w:rsidR="00B13D65" w:rsidRPr="000203E1" w:rsidRDefault="004B15F1" w:rsidP="004B15F1">
            <w:pPr>
              <w:pStyle w:val="ListParagraph"/>
              <w:spacing w:after="120" w:line="276" w:lineRule="auto"/>
              <w:ind w:left="0"/>
              <w:jc w:val="both"/>
            </w:pPr>
            <w:bookmarkStart w:id="0" w:name="_Hlk173772609"/>
            <w:r w:rsidRPr="0033595B">
              <w:t>TLK-10 AM</w:t>
            </w:r>
            <w:r>
              <w:t xml:space="preserve"> kodas: N80</w:t>
            </w:r>
            <w:bookmarkEnd w:id="0"/>
          </w:p>
        </w:tc>
      </w:tr>
      <w:tr w:rsidR="0094765C" w:rsidRPr="000203E1" w14:paraId="2F79DC08" w14:textId="77777777" w:rsidTr="00BE7489">
        <w:trPr>
          <w:trHeight w:val="378"/>
        </w:trPr>
        <w:tc>
          <w:tcPr>
            <w:tcW w:w="632" w:type="dxa"/>
          </w:tcPr>
          <w:p w14:paraId="547885A2" w14:textId="2EE70237" w:rsidR="0094765C" w:rsidRPr="000203E1" w:rsidRDefault="0094765C" w:rsidP="0094765C">
            <w:pPr>
              <w:rPr>
                <w:rFonts w:eastAsia="Arial"/>
              </w:rPr>
            </w:pPr>
            <w:r w:rsidRPr="000203E1">
              <w:rPr>
                <w:rFonts w:eastAsia="Arial"/>
              </w:rPr>
              <w:lastRenderedPageBreak/>
              <w:t>1.</w:t>
            </w:r>
            <w:r>
              <w:rPr>
                <w:rFonts w:eastAsia="Arial"/>
              </w:rPr>
              <w:t>7</w:t>
            </w:r>
          </w:p>
        </w:tc>
        <w:tc>
          <w:tcPr>
            <w:tcW w:w="3694" w:type="dxa"/>
          </w:tcPr>
          <w:p w14:paraId="2EAB877F" w14:textId="39A36941" w:rsidR="0094765C" w:rsidRPr="000203E1" w:rsidRDefault="0094765C" w:rsidP="0094765C">
            <w:pPr>
              <w:rPr>
                <w:bCs/>
                <w:u w:val="single"/>
                <w:lang w:eastAsia="lt-LT"/>
              </w:rPr>
            </w:pPr>
            <w:r w:rsidRPr="000203E1">
              <w:rPr>
                <w:bCs/>
                <w:lang w:eastAsia="lt-LT"/>
              </w:rPr>
              <w:t xml:space="preserve">Pareiškėjo teikiamos skyrimo sąlygos </w:t>
            </w:r>
          </w:p>
        </w:tc>
        <w:tc>
          <w:tcPr>
            <w:tcW w:w="5167" w:type="dxa"/>
          </w:tcPr>
          <w:p w14:paraId="0579DF58" w14:textId="6DC6CCDD" w:rsidR="0094765C" w:rsidRPr="000203E1" w:rsidRDefault="00510983" w:rsidP="006A16A6">
            <w:pPr>
              <w:jc w:val="both"/>
            </w:pPr>
            <w:r>
              <w:rPr>
                <w:lang w:eastAsia="lt-LT"/>
              </w:rPr>
              <w:t>Skiriamas esant III ir IV stadijos endometriozei, kai gydymas dienogestu ir GnRH agonistu yra neveiksmingas ar negalimas.</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730D43D6" w:rsidR="009F4D66" w:rsidRPr="000203E1" w:rsidRDefault="009620FA" w:rsidP="0094765C">
            <w:pPr>
              <w:jc w:val="both"/>
            </w:pPr>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94765C">
                  <w:rPr>
                    <w:rStyle w:val="Style2"/>
                    <w:rFonts w:ascii="MS Gothic" w:eastAsia="MS Gothic" w:hAnsi="MS Gothic" w:hint="eastAsia"/>
                    <w:sz w:val="24"/>
                  </w:rPr>
                  <w:t>☒</w:t>
                </w:r>
              </w:sdtContent>
            </w:sdt>
            <w:r w:rsidR="009F4D66" w:rsidRPr="000203E1">
              <w:t xml:space="preserve"> Tinkamas</w:t>
            </w:r>
            <w:r w:rsidR="00BC22A0">
              <w:t xml:space="preserve"> (</w:t>
            </w:r>
            <w:r w:rsidR="00510983">
              <w:t>GnRH agonistas</w:t>
            </w:r>
            <w:r w:rsidR="00BC22A0">
              <w:t>)</w:t>
            </w:r>
          </w:p>
          <w:p w14:paraId="41B44044" w14:textId="7EF65BDE" w:rsidR="00B13D65" w:rsidRPr="000203E1" w:rsidRDefault="009620FA" w:rsidP="0094765C">
            <w:pPr>
              <w:jc w:val="both"/>
            </w:pPr>
            <w:sdt>
              <w:sdtPr>
                <w:rPr>
                  <w:rStyle w:val="Style2"/>
                  <w:sz w:val="24"/>
                </w:rPr>
                <w:id w:val="-352420698"/>
                <w15:color w:val="FFCC00"/>
                <w14:checkbox>
                  <w14:checked w14:val="1"/>
                  <w14:checkedState w14:val="2612" w14:font="MS Gothic"/>
                  <w14:uncheckedState w14:val="2610" w14:font="MS Gothic"/>
                </w14:checkbox>
              </w:sdtPr>
              <w:sdtEndPr>
                <w:rPr>
                  <w:rStyle w:val="Style2"/>
                </w:rPr>
              </w:sdtEndPr>
              <w:sdtContent>
                <w:r w:rsidR="0094765C">
                  <w:rPr>
                    <w:rStyle w:val="Style2"/>
                    <w:rFonts w:ascii="MS Gothic" w:eastAsia="MS Gothic" w:hAnsi="MS Gothic" w:hint="eastAsia"/>
                    <w:sz w:val="24"/>
                  </w:rPr>
                  <w:t>☒</w:t>
                </w:r>
              </w:sdtContent>
            </w:sdt>
            <w:r w:rsidR="009F4D66" w:rsidRPr="000203E1">
              <w:t xml:space="preserve"> Netinkama</w:t>
            </w:r>
            <w:r w:rsidR="00016F32">
              <w:t>s</w:t>
            </w:r>
            <w:r w:rsidR="0094765C">
              <w:t xml:space="preserve"> (placebo)</w:t>
            </w:r>
          </w:p>
        </w:tc>
      </w:tr>
    </w:tbl>
    <w:p w14:paraId="108176F7" w14:textId="640C6F75" w:rsidR="00F70C9E" w:rsidRPr="000203E1" w:rsidRDefault="00F70C9E" w:rsidP="00E03C3F">
      <w:pPr>
        <w:pStyle w:val="ListParagraph"/>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TableGrid"/>
        <w:tblW w:w="9440" w:type="dxa"/>
        <w:tblLook w:val="04A0" w:firstRow="1" w:lastRow="0" w:firstColumn="1" w:lastColumn="0" w:noHBand="0" w:noVBand="1"/>
      </w:tblPr>
      <w:tblGrid>
        <w:gridCol w:w="2631"/>
        <w:gridCol w:w="2020"/>
        <w:gridCol w:w="2394"/>
        <w:gridCol w:w="2395"/>
      </w:tblGrid>
      <w:tr w:rsidR="0020271F" w:rsidRPr="00B93732" w14:paraId="28EADDC8" w14:textId="77777777" w:rsidTr="0020271F">
        <w:trPr>
          <w:trHeight w:val="208"/>
        </w:trPr>
        <w:tc>
          <w:tcPr>
            <w:tcW w:w="2631" w:type="dxa"/>
            <w:tcBorders>
              <w:top w:val="single" w:sz="4" w:space="0" w:color="auto"/>
              <w:left w:val="single" w:sz="4" w:space="0" w:color="auto"/>
              <w:bottom w:val="single" w:sz="4" w:space="0" w:color="auto"/>
              <w:right w:val="single" w:sz="4" w:space="0" w:color="auto"/>
            </w:tcBorders>
            <w:hideMark/>
          </w:tcPr>
          <w:p w14:paraId="298DBE77" w14:textId="77777777" w:rsidR="0020271F" w:rsidRPr="00B93732" w:rsidRDefault="0020271F" w:rsidP="00B561EE">
            <w:pPr>
              <w:spacing w:line="276" w:lineRule="auto"/>
              <w:rPr>
                <w:rFonts w:eastAsia="Arial"/>
              </w:rPr>
            </w:pPr>
            <w:bookmarkStart w:id="1" w:name="_Hlk197873091"/>
            <w:r w:rsidRPr="00B93732">
              <w:rPr>
                <w:rFonts w:eastAsia="Arial"/>
              </w:rPr>
              <w:t>STV agentūros pavadinimas, šalis</w:t>
            </w:r>
          </w:p>
        </w:tc>
        <w:tc>
          <w:tcPr>
            <w:tcW w:w="2020" w:type="dxa"/>
            <w:tcBorders>
              <w:top w:val="single" w:sz="4" w:space="0" w:color="auto"/>
              <w:left w:val="single" w:sz="4" w:space="0" w:color="auto"/>
              <w:bottom w:val="single" w:sz="4" w:space="0" w:color="auto"/>
              <w:right w:val="single" w:sz="4" w:space="0" w:color="auto"/>
            </w:tcBorders>
            <w:hideMark/>
          </w:tcPr>
          <w:p w14:paraId="3DD09AC5" w14:textId="77777777" w:rsidR="0020271F" w:rsidRPr="00B93732" w:rsidRDefault="0020271F" w:rsidP="00B561EE">
            <w:pPr>
              <w:spacing w:line="276" w:lineRule="auto"/>
              <w:rPr>
                <w:rFonts w:eastAsia="Arial"/>
              </w:rPr>
            </w:pPr>
            <w:r w:rsidRPr="00B93732">
              <w:rPr>
                <w:rFonts w:eastAsia="Arial"/>
              </w:rPr>
              <w:t>STV vertinimas atliktas</w:t>
            </w:r>
          </w:p>
        </w:tc>
        <w:tc>
          <w:tcPr>
            <w:tcW w:w="2394" w:type="dxa"/>
            <w:tcBorders>
              <w:top w:val="single" w:sz="4" w:space="0" w:color="auto"/>
              <w:left w:val="single" w:sz="4" w:space="0" w:color="auto"/>
              <w:bottom w:val="single" w:sz="4" w:space="0" w:color="auto"/>
              <w:right w:val="single" w:sz="4" w:space="0" w:color="auto"/>
            </w:tcBorders>
            <w:hideMark/>
          </w:tcPr>
          <w:p w14:paraId="06CE529C" w14:textId="77777777" w:rsidR="0020271F" w:rsidRPr="00B93732" w:rsidRDefault="0020271F" w:rsidP="00B561EE">
            <w:pPr>
              <w:spacing w:line="276" w:lineRule="auto"/>
              <w:rPr>
                <w:rFonts w:eastAsia="Arial"/>
              </w:rPr>
            </w:pPr>
            <w:r w:rsidRPr="00B93732">
              <w:rPr>
                <w:rFonts w:eastAsia="Arial"/>
              </w:rPr>
              <w:t>Klinikinio vertinimo išvada</w:t>
            </w:r>
          </w:p>
        </w:tc>
        <w:tc>
          <w:tcPr>
            <w:tcW w:w="2395" w:type="dxa"/>
            <w:tcBorders>
              <w:top w:val="single" w:sz="4" w:space="0" w:color="auto"/>
              <w:left w:val="single" w:sz="4" w:space="0" w:color="auto"/>
              <w:bottom w:val="single" w:sz="4" w:space="0" w:color="auto"/>
              <w:right w:val="single" w:sz="4" w:space="0" w:color="auto"/>
            </w:tcBorders>
            <w:hideMark/>
          </w:tcPr>
          <w:p w14:paraId="3443D263" w14:textId="77777777" w:rsidR="0020271F" w:rsidRPr="00B93732" w:rsidRDefault="0020271F" w:rsidP="00B561EE">
            <w:pPr>
              <w:spacing w:line="276" w:lineRule="auto"/>
              <w:rPr>
                <w:rFonts w:eastAsia="Arial"/>
              </w:rPr>
            </w:pPr>
            <w:r w:rsidRPr="00B93732">
              <w:rPr>
                <w:rFonts w:eastAsia="Arial"/>
              </w:rPr>
              <w:t>Farmakoekonominio vertinimo išvada</w:t>
            </w:r>
          </w:p>
        </w:tc>
      </w:tr>
      <w:tr w:rsidR="0020271F" w:rsidRPr="00B93732" w14:paraId="62AD05F4" w14:textId="77777777" w:rsidTr="0020271F">
        <w:trPr>
          <w:trHeight w:val="2037"/>
        </w:trPr>
        <w:tc>
          <w:tcPr>
            <w:tcW w:w="2631" w:type="dxa"/>
            <w:tcBorders>
              <w:top w:val="single" w:sz="4" w:space="0" w:color="auto"/>
              <w:left w:val="single" w:sz="4" w:space="0" w:color="auto"/>
              <w:bottom w:val="single" w:sz="4" w:space="0" w:color="auto"/>
              <w:right w:val="single" w:sz="4" w:space="0" w:color="auto"/>
            </w:tcBorders>
            <w:hideMark/>
          </w:tcPr>
          <w:p w14:paraId="554B15E0" w14:textId="77777777" w:rsidR="0020271F" w:rsidRPr="00B93732" w:rsidRDefault="0020271F" w:rsidP="00B561EE">
            <w:pPr>
              <w:autoSpaceDE w:val="0"/>
              <w:autoSpaceDN w:val="0"/>
              <w:adjustRightInd w:val="0"/>
              <w:spacing w:line="276" w:lineRule="auto"/>
              <w:rPr>
                <w:bCs/>
              </w:rPr>
            </w:pPr>
            <w:r w:rsidRPr="00B93732">
              <w:rPr>
                <w:bCs/>
              </w:rPr>
              <w:t>Nacionalinis sveikatos ir klinikinės kompetencijos institutas, Didžioji Britanija</w:t>
            </w:r>
          </w:p>
          <w:p w14:paraId="3C931282" w14:textId="77777777" w:rsidR="0020271F" w:rsidRPr="00B93732" w:rsidRDefault="0020271F" w:rsidP="00B561EE">
            <w:pPr>
              <w:spacing w:line="276" w:lineRule="auto"/>
              <w:rPr>
                <w:rFonts w:eastAsia="Arial"/>
              </w:rPr>
            </w:pPr>
            <w:r w:rsidRPr="00B93732">
              <w:rPr>
                <w:rFonts w:eastAsia="Arial"/>
              </w:rPr>
              <w:t xml:space="preserve">(angl. </w:t>
            </w:r>
            <w:r w:rsidRPr="00B93732">
              <w:rPr>
                <w:rFonts w:eastAsia="Arial"/>
                <w:i/>
              </w:rPr>
              <w:t>National Institute for Health and Care Excellence, NICE</w:t>
            </w:r>
            <w:r w:rsidRPr="00B93732">
              <w:rPr>
                <w:rFonts w:eastAsia="Arial"/>
              </w:rPr>
              <w:t>)</w:t>
            </w:r>
          </w:p>
        </w:tc>
        <w:tc>
          <w:tcPr>
            <w:tcW w:w="2020" w:type="dxa"/>
            <w:tcBorders>
              <w:top w:val="single" w:sz="4" w:space="0" w:color="auto"/>
              <w:left w:val="single" w:sz="4" w:space="0" w:color="auto"/>
              <w:bottom w:val="single" w:sz="4" w:space="0" w:color="auto"/>
              <w:right w:val="single" w:sz="4" w:space="0" w:color="auto"/>
            </w:tcBorders>
            <w:hideMark/>
          </w:tcPr>
          <w:p w14:paraId="7139E0C9" w14:textId="77777777" w:rsidR="0020271F" w:rsidRPr="00B93732" w:rsidRDefault="0020271F" w:rsidP="00B561EE">
            <w:pPr>
              <w:pStyle w:val="ListParagraph"/>
              <w:spacing w:after="120" w:line="276" w:lineRule="auto"/>
              <w:ind w:left="0"/>
              <w:jc w:val="both"/>
            </w:pPr>
            <w:r>
              <w:rPr>
                <w:rStyle w:val="Style2"/>
                <w:rFonts w:ascii="MS Gothic" w:eastAsia="MS Gothic" w:hAnsi="MS Gothic" w:hint="eastAsia"/>
              </w:rPr>
              <w:t>☒</w:t>
            </w:r>
            <w:r w:rsidRPr="00B93732">
              <w:t xml:space="preserve"> Taip</w:t>
            </w:r>
          </w:p>
          <w:p w14:paraId="54717DDF" w14:textId="77777777" w:rsidR="0020271F" w:rsidRPr="00B93732" w:rsidRDefault="0020271F" w:rsidP="00B561EE">
            <w:pPr>
              <w:pStyle w:val="ListParagraph"/>
              <w:spacing w:after="120" w:line="276" w:lineRule="auto"/>
              <w:ind w:left="0"/>
              <w:jc w:val="both"/>
            </w:pPr>
            <w:r>
              <w:rPr>
                <w:rStyle w:val="Style2"/>
                <w:rFonts w:ascii="MS Gothic" w:eastAsia="MS Gothic" w:hAnsi="MS Gothic" w:hint="eastAsia"/>
              </w:rPr>
              <w:t>☐</w:t>
            </w:r>
            <w:r w:rsidRPr="00B93732">
              <w:t xml:space="preserve"> Ne</w:t>
            </w:r>
          </w:p>
          <w:p w14:paraId="20F6C1C9" w14:textId="77777777" w:rsidR="0020271F" w:rsidRPr="00B93732" w:rsidRDefault="009620FA" w:rsidP="00B561EE">
            <w:pPr>
              <w:spacing w:line="276" w:lineRule="auto"/>
              <w:rPr>
                <w:rFonts w:eastAsia="Arial"/>
              </w:rPr>
            </w:pPr>
            <w:sdt>
              <w:sdtPr>
                <w:alias w:val="Nurodykite konkrečią dieną"/>
                <w:tag w:val="Nurodykite pradžios datą"/>
                <w:id w:val="922837954"/>
                <w:placeholder>
                  <w:docPart w:val="1C92FDA899D0473A9B3DD5BC65F9E19C"/>
                </w:placeholder>
                <w:date>
                  <w:dateFormat w:val="yyyy 'm.' MMMM d 'd.'"/>
                  <w:lid w:val="lt-LT"/>
                  <w:storeMappedDataAs w:val="dateTime"/>
                  <w:calendar w:val="gregorian"/>
                </w:date>
              </w:sdtPr>
              <w:sdtEndPr/>
              <w:sdtContent>
                <w:r w:rsidR="0020271F">
                  <w:t>2025 m. balandžio 16 d.</w:t>
                </w:r>
              </w:sdtContent>
            </w:sdt>
          </w:p>
        </w:tc>
        <w:tc>
          <w:tcPr>
            <w:tcW w:w="4789" w:type="dxa"/>
            <w:gridSpan w:val="2"/>
            <w:tcBorders>
              <w:top w:val="single" w:sz="4" w:space="0" w:color="auto"/>
              <w:left w:val="single" w:sz="4" w:space="0" w:color="auto"/>
              <w:bottom w:val="single" w:sz="4" w:space="0" w:color="auto"/>
              <w:right w:val="single" w:sz="4" w:space="0" w:color="auto"/>
            </w:tcBorders>
          </w:tcPr>
          <w:p w14:paraId="3574F378" w14:textId="77777777" w:rsidR="0020271F" w:rsidRPr="00032A11" w:rsidRDefault="0020271F" w:rsidP="00B561EE">
            <w:pPr>
              <w:spacing w:line="276" w:lineRule="auto"/>
              <w:jc w:val="both"/>
            </w:pPr>
            <w:r>
              <w:rPr>
                <w:rFonts w:eastAsia="Arial"/>
              </w:rPr>
              <w:t>Rekomenduojama kompensuoti simptominei endometriozei gydyti vaisingo amžiaus amžiaus asmenims, kuriems anksčiau taikytas medikamentinis ar chirurginis endometriozės gydymas. Buvo pateiktas netiesioginis palyginimas su GnRH agonistais.</w:t>
            </w:r>
          </w:p>
        </w:tc>
      </w:tr>
      <w:tr w:rsidR="0020271F" w:rsidRPr="00B93732" w14:paraId="732ED0BF" w14:textId="77777777" w:rsidTr="0020271F">
        <w:trPr>
          <w:trHeight w:val="1785"/>
        </w:trPr>
        <w:tc>
          <w:tcPr>
            <w:tcW w:w="2631" w:type="dxa"/>
            <w:tcBorders>
              <w:top w:val="single" w:sz="4" w:space="0" w:color="auto"/>
              <w:left w:val="single" w:sz="4" w:space="0" w:color="auto"/>
              <w:bottom w:val="single" w:sz="4" w:space="0" w:color="auto"/>
              <w:right w:val="single" w:sz="4" w:space="0" w:color="auto"/>
            </w:tcBorders>
            <w:hideMark/>
          </w:tcPr>
          <w:p w14:paraId="22CA46CC" w14:textId="77777777" w:rsidR="0020271F" w:rsidRPr="00B93732" w:rsidRDefault="0020271F" w:rsidP="00B561EE">
            <w:pPr>
              <w:spacing w:line="276" w:lineRule="auto"/>
              <w:rPr>
                <w:rFonts w:eastAsia="Arial"/>
              </w:rPr>
            </w:pPr>
            <w:r w:rsidRPr="00B93732">
              <w:rPr>
                <w:rFonts w:eastAsia="Arial"/>
              </w:rPr>
              <w:t>Kanados sveikatos technologijų agentūra</w:t>
            </w:r>
          </w:p>
          <w:p w14:paraId="450ABBD4" w14:textId="77777777" w:rsidR="0020271F" w:rsidRPr="00B93732" w:rsidRDefault="0020271F" w:rsidP="00B561EE">
            <w:pPr>
              <w:spacing w:line="276" w:lineRule="auto"/>
              <w:rPr>
                <w:rFonts w:eastAsia="Arial"/>
              </w:rPr>
            </w:pPr>
            <w:r w:rsidRPr="00B93732">
              <w:rPr>
                <w:rFonts w:eastAsia="Arial"/>
              </w:rPr>
              <w:t xml:space="preserve">(angl. </w:t>
            </w:r>
            <w:r w:rsidRPr="00B93732">
              <w:rPr>
                <w:rFonts w:eastAsia="Arial"/>
                <w:i/>
              </w:rPr>
              <w:t>Canadian health Technology Assessment agency, CADTH</w:t>
            </w:r>
            <w:r w:rsidRPr="00B93732">
              <w:rPr>
                <w:rFonts w:eastAsia="Arial"/>
              </w:rPr>
              <w:t>)</w:t>
            </w:r>
          </w:p>
        </w:tc>
        <w:tc>
          <w:tcPr>
            <w:tcW w:w="2020" w:type="dxa"/>
            <w:tcBorders>
              <w:top w:val="single" w:sz="4" w:space="0" w:color="auto"/>
              <w:left w:val="single" w:sz="4" w:space="0" w:color="auto"/>
              <w:bottom w:val="single" w:sz="4" w:space="0" w:color="auto"/>
              <w:right w:val="single" w:sz="4" w:space="0" w:color="auto"/>
            </w:tcBorders>
            <w:hideMark/>
          </w:tcPr>
          <w:p w14:paraId="47D484F0" w14:textId="77777777" w:rsidR="0020271F" w:rsidRPr="00B93732" w:rsidRDefault="0020271F" w:rsidP="00B561EE">
            <w:pPr>
              <w:pStyle w:val="ListParagraph"/>
              <w:spacing w:after="120" w:line="276" w:lineRule="auto"/>
              <w:ind w:left="0"/>
              <w:jc w:val="both"/>
            </w:pPr>
            <w:r w:rsidRPr="00B93732">
              <w:rPr>
                <w:rStyle w:val="Style2"/>
                <w:rFonts w:ascii="Segoe UI Symbol" w:eastAsia="MS Gothic" w:hAnsi="Segoe UI Symbol" w:cs="Segoe UI Symbol"/>
              </w:rPr>
              <w:t>☐</w:t>
            </w:r>
            <w:r w:rsidRPr="00B93732">
              <w:t>Taip</w:t>
            </w:r>
          </w:p>
          <w:p w14:paraId="3EFCCB9F" w14:textId="77777777" w:rsidR="0020271F" w:rsidRPr="00032A11" w:rsidRDefault="0020271F" w:rsidP="00B561EE">
            <w:pPr>
              <w:pStyle w:val="ListParagraph"/>
              <w:spacing w:after="120" w:line="276" w:lineRule="auto"/>
              <w:ind w:left="0"/>
              <w:jc w:val="both"/>
            </w:pPr>
            <w:r>
              <w:rPr>
                <w:rStyle w:val="Style2"/>
                <w:rFonts w:ascii="MS Gothic" w:eastAsia="MS Gothic" w:hAnsi="MS Gothic" w:hint="eastAsia"/>
              </w:rPr>
              <w:t>☒</w:t>
            </w:r>
            <w:r w:rsidRPr="00B93732">
              <w:t xml:space="preserve"> N</w:t>
            </w:r>
            <w:r>
              <w:t>e</w:t>
            </w:r>
          </w:p>
        </w:tc>
        <w:tc>
          <w:tcPr>
            <w:tcW w:w="4789" w:type="dxa"/>
            <w:gridSpan w:val="2"/>
            <w:tcBorders>
              <w:top w:val="single" w:sz="4" w:space="0" w:color="auto"/>
              <w:left w:val="single" w:sz="4" w:space="0" w:color="auto"/>
              <w:bottom w:val="single" w:sz="4" w:space="0" w:color="auto"/>
              <w:right w:val="single" w:sz="4" w:space="0" w:color="auto"/>
            </w:tcBorders>
          </w:tcPr>
          <w:p w14:paraId="031C63D7" w14:textId="77777777" w:rsidR="0020271F" w:rsidRPr="002703A8" w:rsidRDefault="0020271F" w:rsidP="00B561EE">
            <w:pPr>
              <w:spacing w:line="276" w:lineRule="auto"/>
              <w:jc w:val="both"/>
            </w:pPr>
            <w:r>
              <w:t>–</w:t>
            </w:r>
          </w:p>
        </w:tc>
      </w:tr>
      <w:tr w:rsidR="0020271F" w:rsidRPr="00B93732" w14:paraId="6D2D6FAA" w14:textId="77777777" w:rsidTr="0020271F">
        <w:trPr>
          <w:trHeight w:val="1785"/>
        </w:trPr>
        <w:tc>
          <w:tcPr>
            <w:tcW w:w="2631" w:type="dxa"/>
            <w:tcBorders>
              <w:top w:val="single" w:sz="4" w:space="0" w:color="auto"/>
              <w:left w:val="single" w:sz="4" w:space="0" w:color="auto"/>
              <w:bottom w:val="single" w:sz="4" w:space="0" w:color="auto"/>
              <w:right w:val="single" w:sz="4" w:space="0" w:color="auto"/>
            </w:tcBorders>
          </w:tcPr>
          <w:p w14:paraId="660B1E95" w14:textId="77777777" w:rsidR="0020271F" w:rsidRPr="00B242DE" w:rsidRDefault="0020271F" w:rsidP="00B561EE">
            <w:pPr>
              <w:spacing w:line="276" w:lineRule="auto"/>
              <w:rPr>
                <w:rFonts w:eastAsia="Arial"/>
                <w:i/>
                <w:iCs/>
              </w:rPr>
            </w:pPr>
            <w:r>
              <w:rPr>
                <w:rFonts w:eastAsia="Arial"/>
              </w:rPr>
              <w:t xml:space="preserve">Airijos nacionalinis farmakoekonomikos centras (angl. </w:t>
            </w:r>
            <w:r w:rsidRPr="00B242DE">
              <w:rPr>
                <w:rFonts w:eastAsia="Arial"/>
                <w:i/>
                <w:iCs/>
              </w:rPr>
              <w:t>National Centre for Pharmacoeconomics, NCPE</w:t>
            </w:r>
            <w:r>
              <w:rPr>
                <w:rFonts w:eastAsia="Arial"/>
              </w:rPr>
              <w:t>)</w:t>
            </w:r>
          </w:p>
        </w:tc>
        <w:tc>
          <w:tcPr>
            <w:tcW w:w="2020" w:type="dxa"/>
            <w:tcBorders>
              <w:top w:val="single" w:sz="4" w:space="0" w:color="auto"/>
              <w:left w:val="single" w:sz="4" w:space="0" w:color="auto"/>
              <w:bottom w:val="single" w:sz="4" w:space="0" w:color="auto"/>
              <w:right w:val="single" w:sz="4" w:space="0" w:color="auto"/>
            </w:tcBorders>
          </w:tcPr>
          <w:p w14:paraId="53A119F6" w14:textId="77777777" w:rsidR="0020271F" w:rsidRPr="00B93732" w:rsidRDefault="0020271F" w:rsidP="00B561EE">
            <w:pPr>
              <w:pStyle w:val="ListParagraph"/>
              <w:spacing w:after="120" w:line="276" w:lineRule="auto"/>
              <w:ind w:left="0"/>
              <w:jc w:val="both"/>
            </w:pPr>
            <w:r w:rsidRPr="00B93732">
              <w:rPr>
                <w:rStyle w:val="Style2"/>
                <w:rFonts w:ascii="Segoe UI Symbol" w:eastAsia="MS Gothic" w:hAnsi="Segoe UI Symbol" w:cs="Segoe UI Symbol"/>
              </w:rPr>
              <w:t>☐</w:t>
            </w:r>
            <w:r w:rsidRPr="00B93732">
              <w:t xml:space="preserve"> Taip</w:t>
            </w:r>
          </w:p>
          <w:p w14:paraId="666DD86B" w14:textId="77777777" w:rsidR="0020271F" w:rsidRPr="00032A11" w:rsidRDefault="0020271F" w:rsidP="00B561EE">
            <w:pPr>
              <w:pStyle w:val="ListParagraph"/>
              <w:spacing w:after="120" w:line="276" w:lineRule="auto"/>
              <w:ind w:left="0"/>
              <w:jc w:val="both"/>
              <w:rPr>
                <w:rStyle w:val="Style2"/>
              </w:rPr>
            </w:pPr>
            <w:r>
              <w:rPr>
                <w:rStyle w:val="Style2"/>
                <w:rFonts w:ascii="MS Gothic" w:eastAsia="MS Gothic" w:hAnsi="MS Gothic" w:hint="eastAsia"/>
              </w:rPr>
              <w:t>☒</w:t>
            </w:r>
            <w:r w:rsidRPr="00B93732">
              <w:t xml:space="preserve"> N</w:t>
            </w:r>
            <w:r>
              <w:t>e</w:t>
            </w:r>
          </w:p>
        </w:tc>
        <w:tc>
          <w:tcPr>
            <w:tcW w:w="4789" w:type="dxa"/>
            <w:gridSpan w:val="2"/>
            <w:tcBorders>
              <w:top w:val="single" w:sz="4" w:space="0" w:color="auto"/>
              <w:left w:val="single" w:sz="4" w:space="0" w:color="auto"/>
              <w:bottom w:val="single" w:sz="4" w:space="0" w:color="auto"/>
              <w:right w:val="single" w:sz="4" w:space="0" w:color="auto"/>
            </w:tcBorders>
          </w:tcPr>
          <w:p w14:paraId="1F1469D9" w14:textId="77777777" w:rsidR="0020271F" w:rsidRPr="00B242DE" w:rsidRDefault="0020271F" w:rsidP="00B561EE">
            <w:pPr>
              <w:spacing w:line="276" w:lineRule="auto"/>
              <w:jc w:val="both"/>
            </w:pPr>
            <w:r>
              <w:t>2024 m. liepos 15 d. po atlikto pirminio vertinimo nuspręsta atlikti pilną sveikatos technologijų vertinimo procesą.</w:t>
            </w:r>
          </w:p>
        </w:tc>
      </w:tr>
      <w:bookmarkEnd w:id="1"/>
    </w:tbl>
    <w:p w14:paraId="2EB7FD31" w14:textId="4D2A8479" w:rsidR="007A2B68" w:rsidRPr="000203E1" w:rsidRDefault="007A2B68" w:rsidP="00E03C3F">
      <w:pPr>
        <w:pStyle w:val="ListParagraph"/>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5055E8A8" w14:textId="471A9757" w:rsidR="002E6F80" w:rsidRPr="000203E1" w:rsidRDefault="00CC7832" w:rsidP="00CC09D4">
      <w:pPr>
        <w:pStyle w:val="ListParagraph"/>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25F89291" w14:textId="5C45C8FC" w:rsidR="00D4485B" w:rsidRDefault="00D4485B" w:rsidP="00A93AA6">
      <w:pPr>
        <w:pStyle w:val="ListParagraph"/>
        <w:tabs>
          <w:tab w:val="left" w:pos="426"/>
        </w:tabs>
        <w:ind w:left="0"/>
        <w:rPr>
          <w:b/>
          <w:bCs/>
          <w:caps/>
        </w:rPr>
      </w:pPr>
    </w:p>
    <w:p w14:paraId="589E297D" w14:textId="77777777" w:rsidR="009E478C" w:rsidRDefault="009E478C" w:rsidP="004B4BDA">
      <w:pPr>
        <w:pStyle w:val="Tekstas"/>
        <w:spacing w:line="276" w:lineRule="auto"/>
        <w:ind w:firstLine="720"/>
      </w:pPr>
      <w:r w:rsidRPr="001C7676">
        <w:t>Endometriozė – liga, kuria susergama, kai į gimdos gleivinę panašus audinys tarpsta už gimdos ertmės ribų ir sukelia nuo estrogenų priklausomą lėtinio uždegimo reakciją.</w:t>
      </w:r>
      <w:r>
        <w:t xml:space="preserve"> </w:t>
      </w:r>
      <w:r w:rsidRPr="001C7676">
        <w:t>Endometriozė dažniausiai išsivysto vaisingo amžiaus moterims</w:t>
      </w:r>
      <w:r>
        <w:t xml:space="preserve">, ši liga </w:t>
      </w:r>
      <w:r w:rsidRPr="001C7676">
        <w:t xml:space="preserve">nustatoma </w:t>
      </w:r>
      <w:r>
        <w:t>iki 10 proc</w:t>
      </w:r>
      <w:r w:rsidRPr="001C7676">
        <w:t xml:space="preserve">. bendrosios populiacijos moterų. </w:t>
      </w:r>
      <w:r>
        <w:t xml:space="preserve">Higienos instituto duomenimis, 2024 m. endometriozė (TLK-10 AM kodas N80) nustatyta iš viso </w:t>
      </w:r>
      <w:r w:rsidRPr="001C7676">
        <w:t>24028</w:t>
      </w:r>
      <w:r>
        <w:t xml:space="preserve"> pacientėms. </w:t>
      </w:r>
      <w:r w:rsidRPr="00FD13BF">
        <w:t>Daugeliui moterų endometriozė nesukelia jokių simptomų</w:t>
      </w:r>
      <w:r>
        <w:t>, tačiau likusios moterims</w:t>
      </w:r>
      <w:r w:rsidRPr="00F470C6">
        <w:t xml:space="preserve"> ši liga yra lėtinė, progresuojanti, atsinaujinanti, sutrikdanti gyvenimo kokybę ir reikalaujanti nuolatinio simptominio gydymo</w:t>
      </w:r>
      <w:r>
        <w:t>.</w:t>
      </w:r>
    </w:p>
    <w:p w14:paraId="46AA8124" w14:textId="77777777" w:rsidR="009E478C" w:rsidRDefault="009E478C" w:rsidP="004B4BDA">
      <w:pPr>
        <w:pStyle w:val="Tekstas"/>
        <w:spacing w:line="276" w:lineRule="auto"/>
        <w:ind w:firstLine="720"/>
      </w:pPr>
      <w:r>
        <w:t xml:space="preserve">Lietuvos Respublikos Sveikatos apsaugos ministerijos patvirtintoje endometriozės diagnostikos ir gydymo metodikoje </w:t>
      </w:r>
      <w:r w:rsidRPr="00171DDD">
        <w:t>išskiriami keletas pakopinio medikamentinio gydymo variantų. Sudėtinės kontraceptinės tabletės nepertraukiamu režimu bei geriamieji / injekciniai progestinai (dienogestas, depo-medroksiprogesteroacetatas) yra pirmo pasirinkimo vaistiniai preparatai (A lygio rekomendacija). GnRH agonistai (triptorelinas, goserelinas) su papildoma hormonų terapija (ilgalaikiam gydymui) arba intrauterinė levonogestrelį išskirianti sistema yra antro pasirinkimo vaistiniai preparatai. Nesteroidiniai vaistai nuo uždegimo ir opioidiniai analgetikai skiriami, kol laukiama kito medikamentinio ar chirurginio gydymo efekto.</w:t>
      </w:r>
      <w:r>
        <w:t xml:space="preserve"> </w:t>
      </w:r>
      <w:r w:rsidRPr="00961D06">
        <w:t>2022 m. Europos endometriozės (</w:t>
      </w:r>
      <w:r>
        <w:t xml:space="preserve">angl. </w:t>
      </w:r>
      <w:r w:rsidRPr="00C90B21">
        <w:rPr>
          <w:i/>
          <w:iCs/>
        </w:rPr>
        <w:t>European Society of Human Reproduction and Embryology</w:t>
      </w:r>
      <w:r w:rsidRPr="00961D06">
        <w:t xml:space="preserve">) </w:t>
      </w:r>
      <w:r>
        <w:t>gairėse nurodoma</w:t>
      </w:r>
      <w:r w:rsidRPr="00961D06">
        <w:t>, jog su endometrioze susijusiam skausmui gydyti rekomenduojama pacientėms skirti hormonoterapiją (sudėtinė kontraceptinė tabletė, progestinai, GnRH agonistai ar antagonistai), tačiau išskiriamas šio gydymo eiliškumas. Sudėtinės kontraceptinės tabletės ir progestinai rekomenduojami kaip pirmos eilės hormonoterapija, o GnRH agonistai ir antagonistai dėl</w:t>
      </w:r>
      <w:r>
        <w:t xml:space="preserve"> jų</w:t>
      </w:r>
      <w:r w:rsidRPr="00961D06">
        <w:t xml:space="preserve"> saugumo profilio – kaip antros eilės gydymas, kai gydymas sudėtinėmis kontraceptinėmis tabletėmis ar progestinais yra neveiksmingas.</w:t>
      </w:r>
      <w:r>
        <w:t xml:space="preserve"> </w:t>
      </w:r>
      <w:r w:rsidRPr="00171DDD">
        <w:t>Lietuvoje</w:t>
      </w:r>
      <w:r>
        <w:t xml:space="preserve"> </w:t>
      </w:r>
      <w:r w:rsidRPr="00CE2BA2">
        <w:t xml:space="preserve">esant III ir IV stadijos </w:t>
      </w:r>
      <w:r>
        <w:t>endometriozės gydymui (pagal TLK-10-AM kodą N80) kompensuojamas progestinas dienogestas ir GnRH agonistai triptorelinas ir goserelinas.</w:t>
      </w:r>
    </w:p>
    <w:p w14:paraId="16292F07" w14:textId="77777777" w:rsidR="009E478C" w:rsidRDefault="009E478C" w:rsidP="004B4BDA">
      <w:pPr>
        <w:pStyle w:val="Tekstas"/>
        <w:spacing w:line="276" w:lineRule="auto"/>
        <w:ind w:firstLine="720"/>
        <w:rPr>
          <w:bCs/>
          <w:iCs/>
          <w:lang w:eastAsia="lt-LT"/>
        </w:rPr>
      </w:pPr>
      <w:r w:rsidRPr="006041FD">
        <w:rPr>
          <w:bCs/>
          <w:iCs/>
          <w:lang w:eastAsia="lt-LT"/>
        </w:rPr>
        <w:t xml:space="preserve">Pareiškėjas siūlo, jog </w:t>
      </w:r>
      <w:r>
        <w:rPr>
          <w:bCs/>
          <w:iCs/>
          <w:lang w:eastAsia="lt-LT"/>
        </w:rPr>
        <w:t>relugoliksas / e</w:t>
      </w:r>
      <w:r w:rsidRPr="00B67DF7">
        <w:rPr>
          <w:bCs/>
          <w:iCs/>
          <w:lang w:eastAsia="lt-LT"/>
        </w:rPr>
        <w:t>stradioli</w:t>
      </w:r>
      <w:r>
        <w:rPr>
          <w:bCs/>
          <w:iCs/>
          <w:lang w:eastAsia="lt-LT"/>
        </w:rPr>
        <w:t xml:space="preserve">s </w:t>
      </w:r>
      <w:r w:rsidRPr="00B67DF7">
        <w:rPr>
          <w:bCs/>
          <w:iCs/>
          <w:lang w:eastAsia="lt-LT"/>
        </w:rPr>
        <w:t>/</w:t>
      </w:r>
      <w:r>
        <w:rPr>
          <w:bCs/>
          <w:iCs/>
          <w:lang w:eastAsia="lt-LT"/>
        </w:rPr>
        <w:t xml:space="preserve"> n</w:t>
      </w:r>
      <w:r w:rsidRPr="00B67DF7">
        <w:rPr>
          <w:bCs/>
          <w:iCs/>
          <w:lang w:eastAsia="lt-LT"/>
        </w:rPr>
        <w:t>oretisterono acetat</w:t>
      </w:r>
      <w:r>
        <w:rPr>
          <w:bCs/>
          <w:iCs/>
          <w:lang w:eastAsia="lt-LT"/>
        </w:rPr>
        <w:t>as (toliau – Ryeqo)</w:t>
      </w:r>
      <w:r>
        <w:rPr>
          <w:i/>
          <w:iCs/>
          <w:color w:val="000000"/>
        </w:rPr>
        <w:t xml:space="preserve"> </w:t>
      </w:r>
      <w:r w:rsidRPr="006041FD">
        <w:rPr>
          <w:bCs/>
          <w:iCs/>
          <w:lang w:eastAsia="lt-LT"/>
        </w:rPr>
        <w:t xml:space="preserve">šiuo metu Lietuvoje taikomoje gydymo schemoje turėtų būti </w:t>
      </w:r>
      <w:r>
        <w:rPr>
          <w:bCs/>
          <w:iCs/>
          <w:lang w:eastAsia="lt-LT"/>
        </w:rPr>
        <w:t xml:space="preserve">skiriamas III ir IV laipsnio endometriozės atvejais, </w:t>
      </w:r>
      <w:r>
        <w:rPr>
          <w:lang w:eastAsia="lt-LT"/>
        </w:rPr>
        <w:t>kai gydymas dienogestu ir GnRH agonistu yra neveiksmingas ar negalimas</w:t>
      </w:r>
      <w:r w:rsidRPr="006041FD">
        <w:rPr>
          <w:bCs/>
          <w:iCs/>
          <w:lang w:eastAsia="lt-LT"/>
        </w:rPr>
        <w:t>.</w:t>
      </w:r>
      <w:r>
        <w:rPr>
          <w:bCs/>
          <w:iCs/>
          <w:lang w:eastAsia="lt-LT"/>
        </w:rPr>
        <w:t xml:space="preserve"> Tarnyba laikosi, nuomonės, jog Ryeqo</w:t>
      </w:r>
      <w:r w:rsidRPr="00194DF1">
        <w:t xml:space="preserve"> </w:t>
      </w:r>
      <w:r w:rsidRPr="00194DF1">
        <w:rPr>
          <w:bCs/>
          <w:iCs/>
          <w:lang w:eastAsia="lt-LT"/>
        </w:rPr>
        <w:t>šiuo metu Lietuvoje taikomoje gydymo schemoje turėtų būti skiriamas III ir IV laipsnio endometriozės atvejais vienoje eilėje kartu su GnRH agonistais</w:t>
      </w:r>
      <w:r>
        <w:rPr>
          <w:bCs/>
          <w:iCs/>
          <w:lang w:eastAsia="lt-LT"/>
        </w:rPr>
        <w:t>, todėl aktualūs palyginamasis gydymas šioje pacienčių populiacijoje yra GnRH agonistai ir/ar chirurginis gydymas.</w:t>
      </w:r>
    </w:p>
    <w:p w14:paraId="44FDD711" w14:textId="77777777" w:rsidR="009E478C" w:rsidRDefault="009E478C" w:rsidP="004B4BDA">
      <w:pPr>
        <w:pStyle w:val="Tekstas"/>
        <w:spacing w:line="276" w:lineRule="auto"/>
        <w:ind w:firstLine="720"/>
      </w:pPr>
    </w:p>
    <w:p w14:paraId="59307181" w14:textId="77777777" w:rsidR="009E478C" w:rsidRDefault="009E478C" w:rsidP="004B4BDA">
      <w:pPr>
        <w:spacing w:line="276" w:lineRule="auto"/>
        <w:jc w:val="both"/>
        <w:rPr>
          <w:rFonts w:eastAsia="Arial"/>
          <w:bCs/>
          <w:i/>
          <w:iCs/>
        </w:rPr>
      </w:pPr>
      <w:r w:rsidRPr="00692AD4">
        <w:rPr>
          <w:rFonts w:eastAsia="Arial"/>
          <w:bCs/>
          <w:i/>
          <w:iCs/>
        </w:rPr>
        <w:t>Tiesioginis palyginimas</w:t>
      </w:r>
    </w:p>
    <w:p w14:paraId="327F42E6" w14:textId="77777777" w:rsidR="009E478C" w:rsidRDefault="009E478C" w:rsidP="004B4BDA">
      <w:pPr>
        <w:spacing w:line="276" w:lineRule="auto"/>
        <w:jc w:val="both"/>
        <w:rPr>
          <w:rFonts w:eastAsia="Arial"/>
          <w:bCs/>
        </w:rPr>
      </w:pPr>
      <w:r>
        <w:rPr>
          <w:rFonts w:eastAsia="Arial"/>
          <w:bCs/>
        </w:rPr>
        <w:tab/>
      </w:r>
    </w:p>
    <w:p w14:paraId="57362DA5" w14:textId="77777777" w:rsidR="009E478C" w:rsidRDefault="009E478C" w:rsidP="004B4BDA">
      <w:pPr>
        <w:spacing w:line="276" w:lineRule="auto"/>
        <w:ind w:firstLine="720"/>
        <w:jc w:val="both"/>
        <w:rPr>
          <w:bCs/>
          <w:iCs/>
          <w:lang w:eastAsia="lt-LT"/>
        </w:rPr>
      </w:pPr>
      <w:r>
        <w:rPr>
          <w:rFonts w:eastAsia="Arial"/>
          <w:bCs/>
        </w:rPr>
        <w:t xml:space="preserve">Klinikinis vertinimas buvo atliktas pagal paraiškoje pateiktus SPIRIT 1, SPIRIT 2 ir </w:t>
      </w:r>
      <w:r w:rsidRPr="006C4C0C">
        <w:rPr>
          <w:rFonts w:eastAsia="Arial"/>
          <w:bCs/>
        </w:rPr>
        <w:t>NCT03931915</w:t>
      </w:r>
      <w:r>
        <w:rPr>
          <w:rFonts w:eastAsia="Arial"/>
          <w:bCs/>
        </w:rPr>
        <w:t xml:space="preserve"> tyrimus. Įvertinus analogiškos metodologijos SPIRIT 1 ir SPIRIT 2 tyrimų įtraukimo ir atmetimo kriterijus bei pradines įtrauktų pacienčių klinikines charakteristikas, nustatyta, jog tyrimo populiacija pagal pareiškėjo siūlomas skyrimo sąlygas yra netinkama (</w:t>
      </w:r>
      <w:r w:rsidRPr="007D7651">
        <w:rPr>
          <w:iCs/>
          <w:szCs w:val="28"/>
        </w:rPr>
        <w:t>visiškas GnRH agonistų, antagonistų ir medroksiprogesterono neveiksmingumas buvo laikomas atmetimo kriterijumi</w:t>
      </w:r>
      <w:r>
        <w:rPr>
          <w:iCs/>
          <w:szCs w:val="28"/>
        </w:rPr>
        <w:t xml:space="preserve">, šiuose </w:t>
      </w:r>
      <w:r w:rsidRPr="00CC418A">
        <w:rPr>
          <w:iCs/>
          <w:szCs w:val="28"/>
        </w:rPr>
        <w:t>tyrimuose iš esmės nebuvo pacienčių, kurioms gydymas GnRH agonistu yra neveiksmingas</w:t>
      </w:r>
      <w:r>
        <w:rPr>
          <w:iCs/>
          <w:szCs w:val="28"/>
        </w:rPr>
        <w:t xml:space="preserve">, </w:t>
      </w:r>
      <w:r w:rsidRPr="00CC418A">
        <w:rPr>
          <w:iCs/>
          <w:szCs w:val="28"/>
        </w:rPr>
        <w:t>t.y. 7,6%</w:t>
      </w:r>
      <w:r>
        <w:rPr>
          <w:iCs/>
          <w:szCs w:val="28"/>
        </w:rPr>
        <w:t xml:space="preserve"> arba </w:t>
      </w:r>
      <w:r w:rsidRPr="00CC418A">
        <w:rPr>
          <w:iCs/>
          <w:szCs w:val="28"/>
        </w:rPr>
        <w:t>96 pacientės per abu SPIRIT-1 ir SPIRIT-2 tyrimus)</w:t>
      </w:r>
      <w:r>
        <w:rPr>
          <w:rFonts w:eastAsia="Arial"/>
          <w:bCs/>
        </w:rPr>
        <w:t xml:space="preserve">. Vertinant šiuos tyrimus atsižvelgiant į Tarnybos poziciją, jog </w:t>
      </w:r>
      <w:r>
        <w:rPr>
          <w:bCs/>
          <w:iCs/>
          <w:lang w:eastAsia="lt-LT"/>
        </w:rPr>
        <w:t>Ryeqo</w:t>
      </w:r>
      <w:r w:rsidRPr="00194DF1">
        <w:t xml:space="preserve"> </w:t>
      </w:r>
      <w:r w:rsidRPr="00194DF1">
        <w:rPr>
          <w:bCs/>
          <w:iCs/>
          <w:lang w:eastAsia="lt-LT"/>
        </w:rPr>
        <w:t>šiuo metu Lietuvoje taikomoje gydymo schemoje turėtų būti skiriamas</w:t>
      </w:r>
      <w:r>
        <w:rPr>
          <w:bCs/>
          <w:iCs/>
          <w:lang w:eastAsia="lt-LT"/>
        </w:rPr>
        <w:t xml:space="preserve"> </w:t>
      </w:r>
      <w:r w:rsidRPr="00194DF1">
        <w:rPr>
          <w:bCs/>
          <w:iCs/>
          <w:lang w:eastAsia="lt-LT"/>
        </w:rPr>
        <w:t>vienoje eilėje kartu su GnRH agonistais</w:t>
      </w:r>
      <w:r>
        <w:rPr>
          <w:bCs/>
          <w:iCs/>
          <w:lang w:eastAsia="lt-LT"/>
        </w:rPr>
        <w:t>, šių tyrimų populiacija yra tinkama, tačiau palyginamasis gydymas (placebo) laikomas netinkamu.</w:t>
      </w:r>
    </w:p>
    <w:p w14:paraId="548206B4" w14:textId="77777777" w:rsidR="009E478C" w:rsidRDefault="009E478C" w:rsidP="004B4BDA">
      <w:pPr>
        <w:spacing w:line="276" w:lineRule="auto"/>
        <w:ind w:firstLine="720"/>
        <w:jc w:val="both"/>
        <w:rPr>
          <w:rFonts w:eastAsia="Arial"/>
          <w:bCs/>
        </w:rPr>
      </w:pPr>
      <w:r w:rsidRPr="00275AC2">
        <w:rPr>
          <w:rFonts w:eastAsia="Arial"/>
          <w:bCs/>
        </w:rPr>
        <w:lastRenderedPageBreak/>
        <w:t>Apibendrinant SPIRIT 1 ir 2 tyrimų duomenis, Ryeqo užtikrina geresnę endometriozės sukeltų simptomų kontrolę, mažina analgetikų poreikį ir pagerina pacienčių gyvenimo kokybę rodiklius, lyginant su placebo.</w:t>
      </w:r>
      <w:r>
        <w:rPr>
          <w:rFonts w:eastAsia="Arial"/>
          <w:bCs/>
        </w:rPr>
        <w:t xml:space="preserve"> Pareiškėjas taip pat pateikė </w:t>
      </w:r>
      <w:r w:rsidRPr="008416B4">
        <w:rPr>
          <w:rFonts w:eastAsia="Arial"/>
          <w:bCs/>
        </w:rPr>
        <w:t>ilgalaikės stebėsenos tyrimo SPIRIT EXTENSION duomenis</w:t>
      </w:r>
      <w:r>
        <w:rPr>
          <w:rFonts w:eastAsia="Arial"/>
          <w:bCs/>
        </w:rPr>
        <w:t xml:space="preserve">, kuriame ilgalaikis </w:t>
      </w:r>
      <w:r w:rsidRPr="00275AC2">
        <w:rPr>
          <w:rFonts w:eastAsia="Arial"/>
          <w:bCs/>
        </w:rPr>
        <w:t>Ryeqo vartojimas siejamas su gera endometrioze susijusio skausmo kontrole, gyvenimo kokybės pagerėjimu bei minimaliai mažėjančiu kaulų mineraliniu tankiu po 52 ir 104 sav.</w:t>
      </w:r>
    </w:p>
    <w:p w14:paraId="1B481995" w14:textId="77777777" w:rsidR="009E478C" w:rsidRPr="00CB06FB" w:rsidRDefault="009E478C" w:rsidP="004B4BDA">
      <w:pPr>
        <w:tabs>
          <w:tab w:val="left" w:pos="284"/>
        </w:tabs>
        <w:spacing w:line="276" w:lineRule="auto"/>
        <w:jc w:val="both"/>
        <w:rPr>
          <w:rFonts w:eastAsia="Arial"/>
          <w:bCs/>
        </w:rPr>
      </w:pPr>
      <w:r>
        <w:rPr>
          <w:rFonts w:eastAsia="Arial"/>
          <w:bCs/>
        </w:rPr>
        <w:tab/>
      </w:r>
      <w:r>
        <w:rPr>
          <w:rFonts w:eastAsia="Arial"/>
          <w:bCs/>
        </w:rPr>
        <w:tab/>
        <w:t>NCT03931915 yra daugiacentrinis, dvigubai maskuotas, aktyviu palyginamuoju gydymu kontroliuojamas 3 fazės klinikinis tyrimas, kuriame buvo palyginta relugolikso (GnRH antagonisto) ir leuprorelino (GnRH agonisto) monoterapijos efektyvumas ir saugumas gydant vaisingo amžiaus pacientes, kurioms nustatyta simptominė endometriozė. Vertinant pirminę (didžiausio su endometrioze susijusio skausmo pagal VAS skalę pokytis po 24 sav.) ir svarbiausias antrines vertinamąsias (vidutinio su endometrioze susijusios skausmo, dismenorėjos, nemenstruacinio dubens skausmo, dispareunijos pagal VAS skalę pokytis) baigtis, skirtumo tarp relugolikso ir leuprorelino grupių nenustatyta.</w:t>
      </w:r>
    </w:p>
    <w:p w14:paraId="380A3C13" w14:textId="77777777" w:rsidR="009E478C" w:rsidRDefault="009E478C" w:rsidP="004B4BDA">
      <w:pPr>
        <w:tabs>
          <w:tab w:val="left" w:pos="284"/>
        </w:tabs>
        <w:spacing w:line="276" w:lineRule="auto"/>
        <w:jc w:val="both"/>
        <w:rPr>
          <w:rFonts w:eastAsia="Arial"/>
          <w:bCs/>
        </w:rPr>
      </w:pPr>
      <w:r>
        <w:rPr>
          <w:rFonts w:eastAsia="Arial"/>
          <w:bCs/>
        </w:rPr>
        <w:tab/>
      </w:r>
      <w:r>
        <w:rPr>
          <w:rFonts w:eastAsia="Arial"/>
          <w:bCs/>
        </w:rPr>
        <w:tab/>
        <w:t xml:space="preserve">Vertinant saugumo duomenis, </w:t>
      </w:r>
      <w:r>
        <w:rPr>
          <w:iCs/>
        </w:rPr>
        <w:t xml:space="preserve">Ryeqo saugumo problemų nenustatyta. </w:t>
      </w:r>
      <w:r>
        <w:rPr>
          <w:rFonts w:eastAsia="Arial"/>
          <w:bCs/>
        </w:rPr>
        <w:t>Vertinant relugolikso ir leuprorelino monoterapijų palyginamojo saugumo duomenis, leuprorelino grupėje šiek tiek dažniau pasireiškė su gydymu susiję NR (atitinkamai 79,5% ir 90,9%; leuprorelino grupėje buvo daugiau kraujavimo iš lytinių takų ir karščio pylimo epizodų), sunkių NR ar tokių NR, dėl kurių reikėtų nutraukti gydymą, dažnis tarp grupių nesiskyrė.</w:t>
      </w:r>
    </w:p>
    <w:p w14:paraId="7BAF81A9" w14:textId="77777777" w:rsidR="009E478C" w:rsidRPr="002B0301" w:rsidRDefault="009E478C" w:rsidP="004B4BDA">
      <w:pPr>
        <w:tabs>
          <w:tab w:val="left" w:pos="284"/>
        </w:tabs>
        <w:spacing w:line="276" w:lineRule="auto"/>
        <w:jc w:val="both"/>
        <w:rPr>
          <w:rFonts w:eastAsia="Arial"/>
          <w:bCs/>
        </w:rPr>
      </w:pPr>
    </w:p>
    <w:p w14:paraId="170E2BA8" w14:textId="77777777" w:rsidR="009E478C" w:rsidRPr="00CB06FB" w:rsidRDefault="009E478C" w:rsidP="004B4BDA">
      <w:pPr>
        <w:spacing w:line="276" w:lineRule="auto"/>
        <w:jc w:val="both"/>
        <w:rPr>
          <w:iCs/>
          <w:szCs w:val="28"/>
        </w:rPr>
      </w:pPr>
      <w:r>
        <w:rPr>
          <w:rFonts w:eastAsia="Arial"/>
          <w:bCs/>
        </w:rPr>
        <w:tab/>
        <w:t xml:space="preserve">Pareiškėjui buvo pateiktas esminis prieštaravimas dėl netinkamos SPIRIT 1 ir SPIRIT 2 tyrimų populiacijos </w:t>
      </w:r>
      <w:r>
        <w:rPr>
          <w:iCs/>
          <w:szCs w:val="28"/>
        </w:rPr>
        <w:t xml:space="preserve">ir paprašyta pateikti Ryeqo ir dienogesto ir/ar GnRH agonistų tiesioginio ar netiesioginio palyginimo duomenis. Pareiškėjas atsakydamas į esminį prieštaravimą paprašytų duomenų nepateikė, tačiau pateikė </w:t>
      </w:r>
      <w:r>
        <w:t>Lietuvos akušerių ginekologų draugijos poziciją dėl Ryeqo skyrimo galimybių endometriozės gydyme ir jo potencialios vietos kompensavimo sistemoje. Gydytojai specialistai siūlo „siūlo „apsvarstyti galimybę įtraukti Ryeqo į kompensavimo sąrašą kaip antro pasirinkimo gydymą pacientėms, sergančioms III – IV stadijos endometrioze, kai dienogestas ar GnRH agonistai yra neveiksmingi, netoleruojami arba mediciniškai netinkami tęstiniam vartojimui.“</w:t>
      </w:r>
    </w:p>
    <w:p w14:paraId="15AD77DE" w14:textId="77777777" w:rsidR="009E478C" w:rsidRDefault="009E478C" w:rsidP="004B4BDA">
      <w:pPr>
        <w:spacing w:line="276" w:lineRule="auto"/>
        <w:jc w:val="both"/>
        <w:rPr>
          <w:iCs/>
          <w:szCs w:val="28"/>
        </w:rPr>
      </w:pPr>
      <w:r>
        <w:rPr>
          <w:iCs/>
          <w:szCs w:val="28"/>
        </w:rPr>
        <w:tab/>
      </w:r>
      <w:r w:rsidRPr="00AA0A24">
        <w:rPr>
          <w:iCs/>
          <w:szCs w:val="28"/>
        </w:rPr>
        <w:t xml:space="preserve">Atsižvelgiant į gydytojų specialistų pateiktą poziciją, įžvelgiamą nepatenkintą </w:t>
      </w:r>
      <w:r>
        <w:rPr>
          <w:iCs/>
          <w:szCs w:val="28"/>
        </w:rPr>
        <w:t xml:space="preserve">efektyvaus </w:t>
      </w:r>
      <w:r w:rsidRPr="00AA0A24">
        <w:rPr>
          <w:iCs/>
          <w:szCs w:val="28"/>
        </w:rPr>
        <w:t xml:space="preserve">gydymo poreikį Lietuvoje ir NCT03931915 tyrimo duomenis (GnRH agonisto leuprorelino ir antagonisto relugolikso palyginamasis veiksmingumas iš esmės nesiskiria), </w:t>
      </w:r>
      <w:r>
        <w:rPr>
          <w:iCs/>
          <w:szCs w:val="28"/>
        </w:rPr>
        <w:t>d</w:t>
      </w:r>
      <w:r w:rsidRPr="00AA0A24">
        <w:rPr>
          <w:iCs/>
          <w:szCs w:val="28"/>
        </w:rPr>
        <w:t xml:space="preserve">arant prielaidą, jog Lietuvoje kompensuojamų GnRH agonistų (triptorelino, goserelino) veiksmingumas bus panašus </w:t>
      </w:r>
      <w:r>
        <w:rPr>
          <w:iCs/>
          <w:szCs w:val="28"/>
        </w:rPr>
        <w:t>į</w:t>
      </w:r>
      <w:r w:rsidRPr="00AA0A24">
        <w:rPr>
          <w:iCs/>
          <w:szCs w:val="28"/>
        </w:rPr>
        <w:t xml:space="preserve"> leuprorelino</w:t>
      </w:r>
      <w:r>
        <w:rPr>
          <w:iCs/>
          <w:szCs w:val="28"/>
        </w:rPr>
        <w:t>, p</w:t>
      </w:r>
      <w:r w:rsidRPr="00AA0A24">
        <w:rPr>
          <w:iCs/>
          <w:szCs w:val="28"/>
        </w:rPr>
        <w:t xml:space="preserve">agal šiuo metu pateiktus pareiškėjo duomenis, palyginamasis Ryeqo veiksmingumas </w:t>
      </w:r>
      <w:r>
        <w:rPr>
          <w:iCs/>
          <w:szCs w:val="28"/>
        </w:rPr>
        <w:t>įvertintas</w:t>
      </w:r>
      <w:r w:rsidRPr="00AA0A24">
        <w:rPr>
          <w:iCs/>
          <w:szCs w:val="28"/>
        </w:rPr>
        <w:t xml:space="preserve"> kaip iš esmės nesiskiriantis, lyginant su įprasta klinikine praktika (GnRH agonistais).</w:t>
      </w:r>
      <w:r>
        <w:rPr>
          <w:iCs/>
          <w:szCs w:val="28"/>
        </w:rPr>
        <w:t xml:space="preserve"> Kadangi </w:t>
      </w:r>
      <w:r w:rsidRPr="00AA0A24">
        <w:rPr>
          <w:iCs/>
          <w:szCs w:val="28"/>
        </w:rPr>
        <w:t>didesnę Ryeqo naudą gali lemti geresnis jo saugumas, lyginant su GnRH agonistais, nuspręsta pareiškėjui pateikti papildomus klausimus</w:t>
      </w:r>
      <w:r>
        <w:rPr>
          <w:iCs/>
          <w:szCs w:val="28"/>
        </w:rPr>
        <w:t xml:space="preserve">, prašant papildomų </w:t>
      </w:r>
      <w:r w:rsidRPr="007D7651">
        <w:rPr>
          <w:iCs/>
          <w:lang w:eastAsia="lt-LT"/>
        </w:rPr>
        <w:t>Ryeqo ir GnRH agonistų palyginamojo saugumo duomen</w:t>
      </w:r>
      <w:r>
        <w:rPr>
          <w:iCs/>
          <w:lang w:eastAsia="lt-LT"/>
        </w:rPr>
        <w:t>ų</w:t>
      </w:r>
      <w:r w:rsidRPr="00AA0A24">
        <w:rPr>
          <w:iCs/>
          <w:szCs w:val="28"/>
        </w:rPr>
        <w:t>.</w:t>
      </w:r>
    </w:p>
    <w:p w14:paraId="3ADC3D17" w14:textId="77777777" w:rsidR="009E478C" w:rsidRDefault="009E478C" w:rsidP="004B4BDA">
      <w:pPr>
        <w:spacing w:line="276" w:lineRule="auto"/>
        <w:ind w:firstLine="720"/>
        <w:jc w:val="both"/>
        <w:rPr>
          <w:iCs/>
          <w:szCs w:val="28"/>
        </w:rPr>
      </w:pPr>
      <w:r>
        <w:rPr>
          <w:iCs/>
          <w:szCs w:val="28"/>
        </w:rPr>
        <w:t xml:space="preserve">Pareiškėjas </w:t>
      </w:r>
      <w:r w:rsidRPr="00DC08A6">
        <w:rPr>
          <w:iCs/>
          <w:szCs w:val="28"/>
        </w:rPr>
        <w:t>atsakydamas į papildomus klausimus dėl klinikinės dalies nepateikė papildomų GnRH agonistų ir Ryeqo saugumo duomenų</w:t>
      </w:r>
      <w:r>
        <w:rPr>
          <w:iCs/>
          <w:szCs w:val="28"/>
        </w:rPr>
        <w:t>, todėl klinikinio vertinimo išvada nepasikeitė ir Ryeqo</w:t>
      </w:r>
      <w:r w:rsidRPr="00DC08A6">
        <w:rPr>
          <w:iCs/>
          <w:szCs w:val="28"/>
        </w:rPr>
        <w:t xml:space="preserve"> palyginamasis veiksmingumas vertinamas kaip iš esmės nesiskiriantis, lyginant su įprasta klinikine praktika</w:t>
      </w:r>
      <w:r>
        <w:rPr>
          <w:iCs/>
          <w:szCs w:val="28"/>
        </w:rPr>
        <w:t>.</w:t>
      </w:r>
    </w:p>
    <w:p w14:paraId="0B0CBBEE" w14:textId="77777777" w:rsidR="0024262A" w:rsidRPr="0024262A" w:rsidRDefault="0024262A" w:rsidP="0024262A">
      <w:pPr>
        <w:spacing w:line="276" w:lineRule="auto"/>
        <w:ind w:firstLine="720"/>
        <w:jc w:val="both"/>
        <w:rPr>
          <w:rFonts w:eastAsia="Arial"/>
          <w:bCs/>
        </w:rPr>
      </w:pPr>
    </w:p>
    <w:p w14:paraId="7DE09EB5" w14:textId="69E9DD74" w:rsidR="00E03C3F" w:rsidRPr="005B6B79" w:rsidRDefault="00CC7832" w:rsidP="00434D0C">
      <w:pPr>
        <w:pStyle w:val="ListParagraph"/>
        <w:numPr>
          <w:ilvl w:val="0"/>
          <w:numId w:val="12"/>
        </w:numPr>
        <w:tabs>
          <w:tab w:val="left" w:pos="567"/>
        </w:tabs>
        <w:spacing w:line="276" w:lineRule="auto"/>
        <w:ind w:hanging="720"/>
        <w:rPr>
          <w:b/>
          <w:bCs/>
          <w:caps/>
        </w:rPr>
      </w:pPr>
      <w:r w:rsidRPr="005B6B79">
        <w:rPr>
          <w:b/>
          <w:bCs/>
          <w:caps/>
        </w:rPr>
        <w:t xml:space="preserve">ekonominio vertinimo </w:t>
      </w:r>
      <w:r w:rsidR="002F0E4F" w:rsidRPr="005B6B79">
        <w:rPr>
          <w:b/>
          <w:bCs/>
          <w:caps/>
        </w:rPr>
        <w:t>apibendrinimas</w:t>
      </w:r>
    </w:p>
    <w:p w14:paraId="2D2F963E" w14:textId="4EB6F438" w:rsidR="009E3BD6" w:rsidRDefault="009E3BD6" w:rsidP="00434D0C">
      <w:pPr>
        <w:tabs>
          <w:tab w:val="left" w:pos="426"/>
        </w:tabs>
        <w:spacing w:line="276" w:lineRule="auto"/>
        <w:rPr>
          <w:b/>
          <w:bCs/>
          <w:caps/>
        </w:rPr>
      </w:pPr>
    </w:p>
    <w:p w14:paraId="325A3876" w14:textId="77777777" w:rsidR="00722BDF" w:rsidRDefault="00722BDF" w:rsidP="00722BDF">
      <w:pPr>
        <w:spacing w:line="276" w:lineRule="auto"/>
        <w:ind w:firstLine="720"/>
        <w:jc w:val="both"/>
      </w:pPr>
      <w:r w:rsidRPr="00603B3A">
        <w:rPr>
          <w:rFonts w:eastAsia="Arial"/>
        </w:rPr>
        <w:lastRenderedPageBreak/>
        <w:t xml:space="preserve">Vykdant </w:t>
      </w:r>
      <w:r w:rsidRPr="00603B3A">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(toliau – Aprašas) 17</w:t>
      </w:r>
      <w:r w:rsidRPr="00603B3A">
        <w:rPr>
          <w:vertAlign w:val="superscript"/>
        </w:rPr>
        <w:t>3</w:t>
      </w:r>
      <w:r w:rsidRPr="00603B3A">
        <w:t xml:space="preserve"> punktą, ekonominis vertinimas neatliekamas </w:t>
      </w:r>
      <w:r>
        <w:rPr>
          <w:rFonts w:eastAsia="Arial"/>
        </w:rPr>
        <w:t>k</w:t>
      </w:r>
      <w:r w:rsidRPr="00603B3A">
        <w:rPr>
          <w:rFonts w:eastAsia="Arial"/>
        </w:rPr>
        <w:t xml:space="preserve">linikinio vertinimo metu nustačius </w:t>
      </w:r>
      <w:r w:rsidRPr="00603B3A">
        <w:rPr>
          <w:bCs/>
          <w:i/>
          <w:iCs/>
          <w:lang w:eastAsia="lt-LT"/>
        </w:rPr>
        <w:t>iš esmės nesiskiriantį</w:t>
      </w:r>
      <w:r w:rsidRPr="00603B3A">
        <w:rPr>
          <w:rFonts w:eastAsia="Arial"/>
        </w:rPr>
        <w:t xml:space="preserve"> palyginamąjį veiksmingumą lyginant su įprasta klinikine praktika (atitinka </w:t>
      </w:r>
      <w:r w:rsidRPr="00603B3A">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29.1.2 papunktį).</w:t>
      </w:r>
    </w:p>
    <w:p w14:paraId="3F336944" w14:textId="77777777" w:rsidR="00722BDF" w:rsidRDefault="00722BDF" w:rsidP="00434D0C">
      <w:pPr>
        <w:tabs>
          <w:tab w:val="left" w:pos="426"/>
        </w:tabs>
        <w:spacing w:line="276" w:lineRule="auto"/>
        <w:rPr>
          <w:b/>
          <w:bCs/>
          <w:caps/>
        </w:rPr>
      </w:pPr>
    </w:p>
    <w:p w14:paraId="3954A39C" w14:textId="39D86837" w:rsidR="009E3BD6" w:rsidRPr="000203E1" w:rsidRDefault="009E3BD6" w:rsidP="00434D0C">
      <w:pPr>
        <w:tabs>
          <w:tab w:val="left" w:pos="426"/>
        </w:tabs>
        <w:spacing w:line="276" w:lineRule="auto"/>
        <w:rPr>
          <w:b/>
          <w:bCs/>
          <w:caps/>
        </w:rPr>
      </w:pPr>
    </w:p>
    <w:p w14:paraId="4FC424F9" w14:textId="4E767245" w:rsidR="00C62B36" w:rsidRPr="000203E1" w:rsidRDefault="00C62B36" w:rsidP="00434D0C">
      <w:pPr>
        <w:pStyle w:val="ListParagraph"/>
        <w:numPr>
          <w:ilvl w:val="0"/>
          <w:numId w:val="12"/>
        </w:numPr>
        <w:tabs>
          <w:tab w:val="left" w:pos="567"/>
        </w:tabs>
        <w:spacing w:line="276" w:lineRule="auto"/>
        <w:ind w:hanging="720"/>
        <w:rPr>
          <w:b/>
          <w:bCs/>
          <w:caps/>
        </w:rPr>
      </w:pPr>
      <w:r w:rsidRPr="000203E1">
        <w:rPr>
          <w:b/>
          <w:bCs/>
          <w:caps/>
        </w:rPr>
        <w:t xml:space="preserve">Pacientų organizacijų pateikti duomenys </w:t>
      </w:r>
    </w:p>
    <w:p w14:paraId="79BCFF40" w14:textId="3B292590" w:rsidR="00937907" w:rsidRPr="000203E1" w:rsidRDefault="009620FA" w:rsidP="00434D0C">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w:t>
      </w:r>
      <w:r w:rsidR="00016F32">
        <w:t>.</w:t>
      </w:r>
    </w:p>
    <w:p w14:paraId="62992180" w14:textId="57C93CA1" w:rsidR="00937907" w:rsidRPr="000203E1" w:rsidRDefault="009620FA" w:rsidP="00434D0C">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434D0C">
      <w:pPr>
        <w:spacing w:after="120" w:line="276" w:lineRule="auto"/>
        <w:jc w:val="both"/>
      </w:pPr>
    </w:p>
    <w:p w14:paraId="3D3277FA" w14:textId="3CEEB2D2" w:rsidR="00C62B36" w:rsidRPr="000203E1" w:rsidRDefault="00C62B36" w:rsidP="00434D0C">
      <w:pPr>
        <w:pStyle w:val="ListParagraph"/>
        <w:numPr>
          <w:ilvl w:val="0"/>
          <w:numId w:val="12"/>
        </w:numPr>
        <w:tabs>
          <w:tab w:val="left" w:pos="567"/>
        </w:tabs>
        <w:spacing w:line="276" w:lineRule="auto"/>
        <w:ind w:hanging="720"/>
        <w:rPr>
          <w:b/>
          <w:bCs/>
          <w:caps/>
        </w:rPr>
      </w:pPr>
      <w:r w:rsidRPr="000203E1">
        <w:rPr>
          <w:b/>
          <w:bCs/>
          <w:caps/>
        </w:rPr>
        <w:t>Gydytojų organizacijų pateikti duomenys</w:t>
      </w:r>
    </w:p>
    <w:p w14:paraId="389A346C" w14:textId="44FE4F8C" w:rsidR="00937907" w:rsidRPr="000203E1" w:rsidRDefault="009620FA" w:rsidP="00434D0C">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Gydytojų specialistų organizacijos pozicija pateikta.</w:t>
      </w:r>
    </w:p>
    <w:p w14:paraId="5D8CC48C" w14:textId="01AC52E9" w:rsidR="00662983" w:rsidRPr="000203E1" w:rsidRDefault="009620FA" w:rsidP="00434D0C">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434D0C">
      <w:pPr>
        <w:spacing w:after="120" w:line="276" w:lineRule="auto"/>
        <w:jc w:val="both"/>
      </w:pPr>
    </w:p>
    <w:p w14:paraId="78F23ECB" w14:textId="23A3A002" w:rsidR="002F0E4F" w:rsidRPr="000203E1" w:rsidRDefault="002F0E4F" w:rsidP="00434D0C">
      <w:pPr>
        <w:pStyle w:val="ListParagraph"/>
        <w:numPr>
          <w:ilvl w:val="0"/>
          <w:numId w:val="12"/>
        </w:numPr>
        <w:tabs>
          <w:tab w:val="left" w:pos="567"/>
        </w:tabs>
        <w:spacing w:line="276" w:lineRule="auto"/>
        <w:ind w:hanging="720"/>
        <w:rPr>
          <w:b/>
          <w:bCs/>
          <w:caps/>
        </w:rPr>
      </w:pPr>
      <w:r w:rsidRPr="000203E1">
        <w:rPr>
          <w:b/>
          <w:bCs/>
          <w:caps/>
        </w:rPr>
        <w:t xml:space="preserve">Išvada </w:t>
      </w:r>
    </w:p>
    <w:p w14:paraId="08D5B3B6" w14:textId="3492CFB8" w:rsidR="0061611B" w:rsidRDefault="0061611B" w:rsidP="00045709">
      <w:pPr>
        <w:spacing w:line="276" w:lineRule="auto"/>
        <w:ind w:firstLine="720"/>
        <w:rPr>
          <w:i/>
          <w:szCs w:val="22"/>
        </w:rPr>
      </w:pPr>
    </w:p>
    <w:tbl>
      <w:tblPr>
        <w:tblStyle w:val="TableGrid"/>
        <w:tblW w:w="0" w:type="auto"/>
        <w:tblLook w:val="04A0" w:firstRow="1" w:lastRow="0" w:firstColumn="1" w:lastColumn="0" w:noHBand="0" w:noVBand="1"/>
      </w:tblPr>
      <w:tblGrid>
        <w:gridCol w:w="4815"/>
        <w:gridCol w:w="4814"/>
      </w:tblGrid>
      <w:tr w:rsidR="00931A54" w:rsidRPr="00034325" w14:paraId="5BF2B94B" w14:textId="77777777" w:rsidTr="00427779">
        <w:trPr>
          <w:trHeight w:val="510"/>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01CCD0A" w14:textId="77777777" w:rsidR="00931A54" w:rsidRPr="00034325" w:rsidRDefault="00931A54" w:rsidP="00931A54">
            <w:pPr>
              <w:spacing w:line="276" w:lineRule="auto"/>
              <w:jc w:val="center"/>
              <w:rPr>
                <w:rFonts w:eastAsia="Arial"/>
                <w:b/>
                <w:bCs/>
                <w:iCs/>
              </w:rPr>
            </w:pPr>
            <w:r w:rsidRPr="00034325">
              <w:rPr>
                <w:rFonts w:eastAsia="Arial"/>
                <w:b/>
                <w:bCs/>
                <w:iCs/>
              </w:rPr>
              <w:t>Palyginamasis veiksmingumas</w:t>
            </w:r>
          </w:p>
        </w:tc>
      </w:tr>
      <w:tr w:rsidR="00931A54" w:rsidRPr="00034325" w14:paraId="147A875A" w14:textId="77777777" w:rsidTr="00427779">
        <w:tc>
          <w:tcPr>
            <w:tcW w:w="4815" w:type="dxa"/>
            <w:tcBorders>
              <w:top w:val="single" w:sz="4" w:space="0" w:color="auto"/>
              <w:left w:val="single" w:sz="4" w:space="0" w:color="auto"/>
              <w:bottom w:val="single" w:sz="4" w:space="0" w:color="auto"/>
              <w:right w:val="single" w:sz="4" w:space="0" w:color="auto"/>
            </w:tcBorders>
          </w:tcPr>
          <w:p w14:paraId="09BB6916" w14:textId="6078D57B" w:rsidR="00931A54" w:rsidRPr="00034325" w:rsidRDefault="009620FA" w:rsidP="00427779">
            <w:pPr>
              <w:spacing w:line="276" w:lineRule="auto"/>
              <w:rPr>
                <w:rFonts w:eastAsia="Arial"/>
                <w:bCs/>
                <w:iCs/>
              </w:rPr>
            </w:pPr>
            <w:sdt>
              <w:sdtPr>
                <w:rPr>
                  <w:rFonts w:eastAsia="Arial"/>
                  <w:bCs/>
                  <w:iCs/>
                </w:rPr>
                <w:id w:val="1397324644"/>
                <w14:checkbox>
                  <w14:checked w14:val="0"/>
                  <w14:checkedState w14:val="2612" w14:font="MS Gothic"/>
                  <w14:uncheckedState w14:val="2610" w14:font="MS Gothic"/>
                </w14:checkbox>
              </w:sdtPr>
              <w:sdtEndPr/>
              <w:sdtContent>
                <w:r w:rsidR="0024262A">
                  <w:rPr>
                    <w:rFonts w:ascii="MS Gothic" w:eastAsia="MS Gothic" w:hAnsi="MS Gothic" w:hint="eastAsia"/>
                    <w:bCs/>
                    <w:iCs/>
                  </w:rPr>
                  <w:t>☐</w:t>
                </w:r>
              </w:sdtContent>
            </w:sdt>
            <w:r w:rsidR="00931A54" w:rsidRPr="00034325">
              <w:rPr>
                <w:rFonts w:eastAsia="Arial"/>
                <w:bCs/>
                <w:iCs/>
              </w:rPr>
              <w:t xml:space="preserve"> 29.1.1 yra didesnis, lyginant su įprasta klinikine praktika</w:t>
            </w:r>
          </w:p>
          <w:p w14:paraId="75BB279D" w14:textId="77777777" w:rsidR="00931A54" w:rsidRPr="00034325" w:rsidRDefault="00931A54" w:rsidP="00427779">
            <w:pPr>
              <w:spacing w:line="276" w:lineRule="auto"/>
              <w:rPr>
                <w:rFonts w:eastAsia="Arial"/>
                <w:bCs/>
                <w:iCs/>
              </w:rPr>
            </w:pPr>
          </w:p>
          <w:p w14:paraId="27EB9BD6" w14:textId="2C3C68A1" w:rsidR="00931A54" w:rsidRPr="00034325" w:rsidRDefault="009620FA" w:rsidP="00427779">
            <w:pPr>
              <w:spacing w:line="276" w:lineRule="auto"/>
              <w:rPr>
                <w:rFonts w:eastAsia="Arial"/>
                <w:bCs/>
                <w:iCs/>
              </w:rPr>
            </w:pPr>
            <w:sdt>
              <w:sdtPr>
                <w:rPr>
                  <w:rFonts w:eastAsia="Arial"/>
                  <w:bCs/>
                  <w:iCs/>
                </w:rPr>
                <w:id w:val="418297090"/>
                <w14:checkbox>
                  <w14:checked w14:val="1"/>
                  <w14:checkedState w14:val="2612" w14:font="MS Gothic"/>
                  <w14:uncheckedState w14:val="2610" w14:font="MS Gothic"/>
                </w14:checkbox>
              </w:sdtPr>
              <w:sdtEndPr/>
              <w:sdtContent>
                <w:r w:rsidR="0024262A">
                  <w:rPr>
                    <w:rFonts w:ascii="MS Gothic" w:eastAsia="MS Gothic" w:hAnsi="MS Gothic" w:hint="eastAsia"/>
                    <w:bCs/>
                    <w:iCs/>
                  </w:rPr>
                  <w:t>☒</w:t>
                </w:r>
              </w:sdtContent>
            </w:sdt>
            <w:r w:rsidR="00931A54" w:rsidRPr="00034325">
              <w:rPr>
                <w:rFonts w:eastAsia="Arial"/>
                <w:bCs/>
                <w:iCs/>
              </w:rPr>
              <w:t xml:space="preserve"> 29.1.2 iš esmės nesiskiria, lyginant su įprasta klinikine praktika</w:t>
            </w:r>
          </w:p>
        </w:tc>
        <w:tc>
          <w:tcPr>
            <w:tcW w:w="4814" w:type="dxa"/>
            <w:tcBorders>
              <w:top w:val="single" w:sz="4" w:space="0" w:color="auto"/>
              <w:left w:val="single" w:sz="4" w:space="0" w:color="auto"/>
              <w:bottom w:val="single" w:sz="4" w:space="0" w:color="auto"/>
              <w:right w:val="single" w:sz="4" w:space="0" w:color="auto"/>
            </w:tcBorders>
          </w:tcPr>
          <w:p w14:paraId="14C62681" w14:textId="77777777" w:rsidR="00931A54" w:rsidRPr="00034325" w:rsidRDefault="009620FA" w:rsidP="00427779">
            <w:pPr>
              <w:spacing w:line="276" w:lineRule="auto"/>
              <w:rPr>
                <w:rFonts w:eastAsia="Arial"/>
                <w:bCs/>
                <w:iCs/>
              </w:rPr>
            </w:pPr>
            <w:sdt>
              <w:sdtPr>
                <w:rPr>
                  <w:rFonts w:eastAsia="Arial"/>
                  <w:bCs/>
                  <w:iCs/>
                </w:rPr>
                <w:id w:val="-724755596"/>
                <w14:checkbox>
                  <w14:checked w14:val="0"/>
                  <w14:checkedState w14:val="2612" w14:font="MS Gothic"/>
                  <w14:uncheckedState w14:val="2610" w14:font="MS Gothic"/>
                </w14:checkbox>
              </w:sdtPr>
              <w:sdtEnd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29.1.3 yra neįrodytas kaip didesnis  ar iš esmės nesiskiriantis, lyginant su įprasta klinikine praktika  </w:t>
            </w:r>
          </w:p>
          <w:p w14:paraId="10BFDA77" w14:textId="77777777" w:rsidR="00931A54" w:rsidRPr="00034325" w:rsidRDefault="00931A54" w:rsidP="00427779">
            <w:pPr>
              <w:spacing w:line="276" w:lineRule="auto"/>
              <w:rPr>
                <w:rFonts w:eastAsia="Arial"/>
                <w:bCs/>
                <w:iCs/>
              </w:rPr>
            </w:pPr>
          </w:p>
          <w:p w14:paraId="2B2CB22A" w14:textId="77777777" w:rsidR="00931A54" w:rsidRPr="00034325" w:rsidRDefault="009620FA" w:rsidP="00427779">
            <w:pPr>
              <w:spacing w:line="276" w:lineRule="auto"/>
              <w:rPr>
                <w:rFonts w:eastAsia="Arial"/>
                <w:bCs/>
                <w:iCs/>
              </w:rPr>
            </w:pPr>
            <w:sdt>
              <w:sdtPr>
                <w:rPr>
                  <w:rFonts w:eastAsia="Arial"/>
                  <w:bCs/>
                  <w:iCs/>
                </w:rPr>
                <w:id w:val="1862168479"/>
                <w14:checkbox>
                  <w14:checked w14:val="0"/>
                  <w14:checkedState w14:val="2612" w14:font="MS Gothic"/>
                  <w14:uncheckedState w14:val="2610" w14:font="MS Gothic"/>
                </w14:checkbox>
              </w:sdtPr>
              <w:sdtEnd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29.1.4 yra mažesnis, lyginant su įprasta klinikine praktika</w:t>
            </w:r>
          </w:p>
          <w:p w14:paraId="6CBBD22B" w14:textId="77777777" w:rsidR="00931A54" w:rsidRPr="00034325" w:rsidRDefault="00931A54" w:rsidP="00427779">
            <w:pPr>
              <w:spacing w:line="276" w:lineRule="auto"/>
              <w:rPr>
                <w:rFonts w:eastAsia="Arial"/>
                <w:bCs/>
                <w:iCs/>
              </w:rPr>
            </w:pPr>
          </w:p>
          <w:p w14:paraId="7C7A9E73" w14:textId="77777777" w:rsidR="00931A54" w:rsidRPr="00034325" w:rsidRDefault="009620FA" w:rsidP="00427779">
            <w:pPr>
              <w:spacing w:line="276" w:lineRule="auto"/>
              <w:rPr>
                <w:rFonts w:eastAsia="Arial"/>
                <w:bCs/>
                <w:iCs/>
              </w:rPr>
            </w:pPr>
            <w:sdt>
              <w:sdtPr>
                <w:rPr>
                  <w:rFonts w:eastAsia="Arial"/>
                  <w:bCs/>
                  <w:iCs/>
                </w:rPr>
                <w:id w:val="-1857960180"/>
                <w14:checkbox>
                  <w14:checked w14:val="0"/>
                  <w14:checkedState w14:val="2612" w14:font="MS Gothic"/>
                  <w14:uncheckedState w14:val="2610" w14:font="MS Gothic"/>
                </w14:checkbox>
              </w:sdtPr>
              <w:sdtEnd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29.1.5 pateikti duomenys apie palyginamąjį veiksmingumą yra netinkami vertinti</w:t>
            </w:r>
          </w:p>
          <w:p w14:paraId="071D9219" w14:textId="77777777" w:rsidR="00931A54" w:rsidRPr="00034325" w:rsidRDefault="00931A54" w:rsidP="00427779">
            <w:pPr>
              <w:spacing w:line="276" w:lineRule="auto"/>
              <w:rPr>
                <w:rFonts w:eastAsia="Arial"/>
                <w:bCs/>
                <w:iCs/>
              </w:rPr>
            </w:pPr>
          </w:p>
        </w:tc>
      </w:tr>
    </w:tbl>
    <w:tbl>
      <w:tblPr>
        <w:tblStyle w:val="DossierTable2"/>
        <w:tblW w:w="0" w:type="auto"/>
        <w:tblInd w:w="-5" w:type="dxa"/>
        <w:tblLook w:val="04A0" w:firstRow="1" w:lastRow="0" w:firstColumn="1" w:lastColumn="0" w:noHBand="0" w:noVBand="1"/>
      </w:tblPr>
      <w:tblGrid>
        <w:gridCol w:w="4820"/>
        <w:gridCol w:w="4814"/>
      </w:tblGrid>
      <w:tr w:rsidR="00A10164" w:rsidRPr="00603B3A" w14:paraId="0B2BAFDB" w14:textId="77777777" w:rsidTr="00096EEA">
        <w:trPr>
          <w:trHeight w:val="510"/>
        </w:trPr>
        <w:tc>
          <w:tcPr>
            <w:tcW w:w="9634" w:type="dxa"/>
            <w:gridSpan w:val="2"/>
            <w:vAlign w:val="center"/>
          </w:tcPr>
          <w:p w14:paraId="3A027412" w14:textId="77777777" w:rsidR="00A10164" w:rsidRPr="00603B3A" w:rsidRDefault="00A10164" w:rsidP="0009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603B3A">
              <w:rPr>
                <w:rStyle w:val="Style2"/>
                <w:rFonts w:eastAsia="MS Gothic"/>
                <w:b/>
                <w:bCs/>
                <w:sz w:val="23"/>
                <w:szCs w:val="23"/>
              </w:rPr>
              <w:t>Kaštų naudingumas</w:t>
            </w:r>
          </w:p>
        </w:tc>
      </w:tr>
      <w:tr w:rsidR="00A10164" w:rsidRPr="00603B3A" w14:paraId="25CBAABC" w14:textId="77777777" w:rsidTr="00096EEA">
        <w:tc>
          <w:tcPr>
            <w:tcW w:w="4820" w:type="dxa"/>
          </w:tcPr>
          <w:p w14:paraId="26062BD1" w14:textId="77777777" w:rsidR="00A10164" w:rsidRPr="00603B3A" w:rsidRDefault="009620FA" w:rsidP="0009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A10164" w:rsidRPr="00603B3A">
                  <w:rPr>
                    <w:rStyle w:val="Style2"/>
                    <w:rFonts w:ascii="Segoe UI Symbol" w:eastAsia="MS Gothic" w:hAnsi="Segoe UI Symbol" w:cs="Segoe UI Symbol"/>
                    <w:sz w:val="23"/>
                    <w:szCs w:val="23"/>
                  </w:rPr>
                  <w:t>☐</w:t>
                </w:r>
              </w:sdtContent>
            </w:sdt>
            <w:r w:rsidR="00A10164" w:rsidRPr="00603B3A">
              <w:rPr>
                <w:sz w:val="23"/>
                <w:szCs w:val="23"/>
              </w:rPr>
              <w:t xml:space="preserve"> 29.2.1 atitinka referencinę naudingumo vertę taikant arba netaikant</w:t>
            </w:r>
            <w:r w:rsidR="00A10164" w:rsidRPr="00603B3A">
              <w:rPr>
                <w:b/>
                <w:bCs/>
                <w:sz w:val="23"/>
                <w:szCs w:val="23"/>
              </w:rPr>
              <w:t> </w:t>
            </w:r>
            <w:r w:rsidR="00A10164" w:rsidRPr="00603B3A">
              <w:rPr>
                <w:sz w:val="23"/>
                <w:szCs w:val="23"/>
              </w:rPr>
              <w:t>PGS</w:t>
            </w:r>
          </w:p>
          <w:p w14:paraId="55CBC0CC" w14:textId="77777777" w:rsidR="00A10164" w:rsidRPr="00603B3A" w:rsidRDefault="00A10164" w:rsidP="0009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04B04414" w14:textId="77777777" w:rsidR="00A10164" w:rsidRPr="00603B3A" w:rsidRDefault="00A10164" w:rsidP="0009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7930714E" w14:textId="77777777" w:rsidR="00A10164" w:rsidRPr="00603B3A" w:rsidRDefault="009620FA" w:rsidP="0009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A10164" w:rsidRPr="00603B3A">
                  <w:rPr>
                    <w:rStyle w:val="Style2"/>
                    <w:rFonts w:ascii="Segoe UI Symbol" w:eastAsia="MS Gothic" w:hAnsi="Segoe UI Symbol" w:cs="Segoe UI Symbol"/>
                    <w:sz w:val="23"/>
                    <w:szCs w:val="23"/>
                  </w:rPr>
                  <w:t>☐</w:t>
                </w:r>
              </w:sdtContent>
            </w:sdt>
            <w:r w:rsidR="00A10164" w:rsidRPr="00603B3A">
              <w:rPr>
                <w:sz w:val="23"/>
                <w:szCs w:val="23"/>
              </w:rPr>
              <w:t xml:space="preserve"> 29.2.3 neatitinka referencinės naudingumo vertės taikant arba netaikant PGS</w:t>
            </w:r>
          </w:p>
          <w:p w14:paraId="5277A676" w14:textId="77777777" w:rsidR="00A10164" w:rsidRPr="00603B3A" w:rsidRDefault="00A10164" w:rsidP="0009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5339D0B6" w14:textId="77777777" w:rsidR="00A10164" w:rsidRPr="00603B3A" w:rsidRDefault="009620FA" w:rsidP="0009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A10164" w:rsidRPr="00603B3A">
                  <w:rPr>
                    <w:rStyle w:val="Style2"/>
                    <w:rFonts w:ascii="Segoe UI Symbol" w:eastAsia="MS Gothic" w:hAnsi="Segoe UI Symbol" w:cs="Segoe UI Symbol"/>
                    <w:sz w:val="23"/>
                    <w:szCs w:val="23"/>
                  </w:rPr>
                  <w:t>☐</w:t>
                </w:r>
              </w:sdtContent>
            </w:sdt>
            <w:r w:rsidR="00A10164" w:rsidRPr="00603B3A">
              <w:rPr>
                <w:sz w:val="23"/>
                <w:szCs w:val="23"/>
              </w:rPr>
              <w:t xml:space="preserve"> 29.2.5 pateikti duomenys apie kaštų naudingumą yra netinkami vertinti</w:t>
            </w:r>
          </w:p>
          <w:p w14:paraId="6C08B9C5" w14:textId="77777777" w:rsidR="00A10164" w:rsidRPr="00603B3A" w:rsidRDefault="00A10164" w:rsidP="0009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A10164" w:rsidRPr="00603B3A" w14:paraId="6ECEFDD1" w14:textId="77777777" w:rsidTr="00096EEA">
        <w:tc>
          <w:tcPr>
            <w:tcW w:w="9634" w:type="dxa"/>
            <w:gridSpan w:val="2"/>
          </w:tcPr>
          <w:p w14:paraId="1161C4FE" w14:textId="77777777" w:rsidR="00A10164" w:rsidRPr="00603B3A" w:rsidRDefault="009620FA" w:rsidP="0009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EndPr>
                <w:rPr>
                  <w:rStyle w:val="Style2"/>
                </w:rPr>
              </w:sdtEndPr>
              <w:sdtContent>
                <w:r w:rsidR="00A10164">
                  <w:rPr>
                    <w:rStyle w:val="Style2"/>
                    <w:rFonts w:ascii="MS Gothic" w:eastAsia="MS Gothic" w:hAnsi="MS Gothic" w:hint="eastAsia"/>
                    <w:sz w:val="23"/>
                    <w:szCs w:val="23"/>
                  </w:rPr>
                  <w:t>☒</w:t>
                </w:r>
              </w:sdtContent>
            </w:sdt>
            <w:r w:rsidR="00A10164" w:rsidRPr="00603B3A">
              <w:rPr>
                <w:sz w:val="23"/>
                <w:szCs w:val="23"/>
              </w:rPr>
              <w:t xml:space="preserve"> Vykdant Aprašo 17</w:t>
            </w:r>
            <w:r w:rsidR="00A10164" w:rsidRPr="00603B3A">
              <w:rPr>
                <w:sz w:val="23"/>
                <w:szCs w:val="23"/>
                <w:vertAlign w:val="superscript"/>
              </w:rPr>
              <w:t>3</w:t>
            </w:r>
            <w:r w:rsidR="00A10164" w:rsidRPr="00603B3A">
              <w:rPr>
                <w:sz w:val="23"/>
                <w:szCs w:val="23"/>
              </w:rPr>
              <w:t xml:space="preserve">.3 punktą vaistinio (-ų) preparato (-ų) ekonominis vertinimas neatliekamas, išvados dėl kaštų naudingumo neteikiamos </w:t>
            </w:r>
          </w:p>
        </w:tc>
      </w:tr>
    </w:tbl>
    <w:p w14:paraId="4FA90E0B" w14:textId="77777777" w:rsidR="00515302" w:rsidRDefault="00515302" w:rsidP="00434D0C">
      <w:pPr>
        <w:spacing w:line="276" w:lineRule="auto"/>
      </w:pPr>
    </w:p>
    <w:p w14:paraId="3B2D1F25" w14:textId="3A80E19F" w:rsidR="000001B0" w:rsidRPr="00E61FE4" w:rsidRDefault="000001B0" w:rsidP="00434D0C">
      <w:pPr>
        <w:pStyle w:val="ListParagraph"/>
        <w:numPr>
          <w:ilvl w:val="0"/>
          <w:numId w:val="12"/>
        </w:numPr>
        <w:spacing w:line="276" w:lineRule="auto"/>
        <w:ind w:left="567" w:hanging="567"/>
      </w:pPr>
      <w:r w:rsidRPr="00E61FE4">
        <w:rPr>
          <w:b/>
        </w:rPr>
        <w:t>REKOME</w:t>
      </w:r>
      <w:r w:rsidR="00D83182" w:rsidRPr="00E61FE4">
        <w:rPr>
          <w:b/>
        </w:rPr>
        <w:t>N</w:t>
      </w:r>
      <w:r w:rsidRPr="00E61FE4">
        <w:rPr>
          <w:b/>
        </w:rPr>
        <w:t>DACIJA</w:t>
      </w:r>
    </w:p>
    <w:p w14:paraId="753C7A38" w14:textId="77777777" w:rsidR="00D8151D" w:rsidRPr="00515302" w:rsidRDefault="00D8151D" w:rsidP="00434D0C">
      <w:pPr>
        <w:pStyle w:val="ListParagraph"/>
        <w:spacing w:line="276" w:lineRule="auto"/>
        <w:ind w:left="567"/>
        <w:rPr>
          <w:highlight w:val="yellow"/>
        </w:rPr>
      </w:pPr>
    </w:p>
    <w:p w14:paraId="04DC0793" w14:textId="3AEF3DF5" w:rsidR="00E61FE4" w:rsidRPr="00225CFF" w:rsidRDefault="00E61FE4" w:rsidP="00E61FE4">
      <w:pPr>
        <w:spacing w:line="276" w:lineRule="auto"/>
        <w:jc w:val="both"/>
      </w:pPr>
      <w:bookmarkStart w:id="2" w:name="_Hlk183908864"/>
      <w:r w:rsidRPr="00385F68">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w:t>
      </w:r>
      <w:r>
        <w:t xml:space="preserve"> </w:t>
      </w:r>
      <w:r w:rsidRPr="00603B3A">
        <w:rPr>
          <w:lang w:eastAsia="lt-LT"/>
        </w:rPr>
        <w:t>30</w:t>
      </w:r>
      <w:r w:rsidRPr="00603B3A">
        <w:rPr>
          <w:vertAlign w:val="superscript"/>
          <w:lang w:eastAsia="lt-LT"/>
        </w:rPr>
        <w:t>1</w:t>
      </w:r>
      <w:r w:rsidRPr="00603B3A">
        <w:rPr>
          <w:lang w:eastAsia="lt-LT"/>
        </w:rPr>
        <w:t xml:space="preserve">.5. papunkčiu rekomenduojama kompensuoti vaistinį preparatą pagal paraiškoje nurodytą indikaciją (arba jos dalį) su arba be skyrimo sąlygų, jei išvados apie įtaką PSDF biudžetui atitinka aprašo </w:t>
      </w:r>
      <w:r w:rsidRPr="00603B3A">
        <w:t>54.1</w:t>
      </w:r>
      <w:r w:rsidRPr="00603B3A">
        <w:rPr>
          <w:vertAlign w:val="superscript"/>
        </w:rPr>
        <w:t>1</w:t>
      </w:r>
      <w:r w:rsidRPr="00603B3A">
        <w:t xml:space="preserve"> papunkčio nuostatas arba šio papunkčio sąlygos išpildomos pateikus naują ar atnaujintą PGS</w:t>
      </w:r>
      <w:r w:rsidR="00531A65">
        <w:t>.</w:t>
      </w:r>
    </w:p>
    <w:p w14:paraId="0DC387E1" w14:textId="77777777" w:rsidR="009F6ADE" w:rsidRPr="000203E1" w:rsidRDefault="009F6ADE" w:rsidP="00AF2AD6"/>
    <w:bookmarkEnd w:id="2"/>
    <w:p w14:paraId="30D974B6" w14:textId="573D8B45" w:rsidR="008A3423" w:rsidRPr="009F6ADE" w:rsidRDefault="008A3423" w:rsidP="009F6ADE">
      <w:pPr>
        <w:pStyle w:val="NoSpacing"/>
        <w:spacing w:line="276" w:lineRule="auto"/>
        <w:rPr>
          <w:rFonts w:ascii="Times New Roman" w:hAnsi="Times New Roman"/>
          <w:b/>
          <w:sz w:val="24"/>
          <w:szCs w:val="24"/>
          <w:lang w:eastAsia="lt-LT"/>
        </w:rPr>
      </w:pPr>
      <w:r w:rsidRPr="00B93732">
        <w:rPr>
          <w:rFonts w:ascii="Times New Roman" w:hAnsi="Times New Roman"/>
          <w:b/>
          <w:sz w:val="24"/>
          <w:szCs w:val="24"/>
          <w:lang w:eastAsia="lt-LT"/>
        </w:rPr>
        <w:t>Terapinės indikacijos</w:t>
      </w:r>
    </w:p>
    <w:p w14:paraId="769B487F" w14:textId="77777777" w:rsidR="008A3423" w:rsidRDefault="008A3423" w:rsidP="008A3423">
      <w:pPr>
        <w:pStyle w:val="NoSpacing"/>
        <w:spacing w:line="276" w:lineRule="auto"/>
        <w:rPr>
          <w:rFonts w:ascii="Times New Roman" w:hAnsi="Times New Roman"/>
          <w:sz w:val="24"/>
          <w:szCs w:val="24"/>
        </w:rPr>
      </w:pPr>
      <w:r w:rsidRPr="00B93732">
        <w:rPr>
          <w:rStyle w:val="Style2"/>
          <w:rFonts w:ascii="Segoe UI Symbol" w:eastAsia="MS Gothic" w:hAnsi="Segoe UI Symbol" w:cs="Segoe UI Symbol"/>
          <w:sz w:val="24"/>
          <w:szCs w:val="24"/>
        </w:rPr>
        <w:t>☒</w:t>
      </w:r>
      <w:r>
        <w:rPr>
          <w:rStyle w:val="Style2"/>
          <w:rFonts w:ascii="Segoe UI Symbol" w:eastAsia="MS Gothic" w:hAnsi="Segoe UI Symbol" w:cs="Segoe UI Symbol"/>
          <w:sz w:val="24"/>
          <w:szCs w:val="24"/>
        </w:rPr>
        <w:t xml:space="preserve"> </w:t>
      </w:r>
      <w:r w:rsidRPr="00B93732">
        <w:rPr>
          <w:rFonts w:ascii="Times New Roman" w:hAnsi="Times New Roman"/>
          <w:sz w:val="24"/>
          <w:szCs w:val="24"/>
        </w:rPr>
        <w:t>Siūloma kompensuoti Pareiškėjo teikiamą indikaciją be pakeitimų.</w:t>
      </w:r>
    </w:p>
    <w:p w14:paraId="0378A878" w14:textId="690B308D" w:rsidR="0092525A" w:rsidRDefault="00765C98" w:rsidP="00FA4EF6">
      <w:pPr>
        <w:pStyle w:val="NoSpacing"/>
        <w:jc w:val="both"/>
        <w:rPr>
          <w:rFonts w:ascii="Times New Roman" w:hAnsi="Times New Roman"/>
          <w:sz w:val="24"/>
          <w:szCs w:val="24"/>
        </w:rPr>
      </w:pPr>
      <w:r w:rsidRPr="00F27054">
        <w:rPr>
          <w:rFonts w:ascii="Times New Roman" w:hAnsi="Times New Roman"/>
          <w:sz w:val="24"/>
          <w:szCs w:val="24"/>
        </w:rPr>
        <w:t>Ryeqo skirtas suaugusioms vaisingoms moterims simptominei endometriozei gydyti moterims, kurioms anksčiau taikytas medikamentinis arba</w:t>
      </w:r>
      <w:r>
        <w:rPr>
          <w:rFonts w:ascii="Times New Roman" w:hAnsi="Times New Roman"/>
          <w:sz w:val="24"/>
          <w:szCs w:val="24"/>
        </w:rPr>
        <w:t xml:space="preserve"> </w:t>
      </w:r>
      <w:r w:rsidRPr="00F27054">
        <w:rPr>
          <w:rFonts w:ascii="Times New Roman" w:hAnsi="Times New Roman"/>
          <w:sz w:val="24"/>
          <w:szCs w:val="24"/>
        </w:rPr>
        <w:t>chirurginis endometriozės gydymas.</w:t>
      </w:r>
    </w:p>
    <w:p w14:paraId="10DBD437" w14:textId="77777777" w:rsidR="00FA4EF6" w:rsidRDefault="00FA4EF6" w:rsidP="00FA4EF6">
      <w:pPr>
        <w:pStyle w:val="NoSpacing"/>
        <w:jc w:val="both"/>
        <w:rPr>
          <w:rFonts w:ascii="Times New Roman" w:hAnsi="Times New Roman"/>
          <w:sz w:val="24"/>
          <w:szCs w:val="24"/>
        </w:rPr>
      </w:pPr>
    </w:p>
    <w:p w14:paraId="40C6D576" w14:textId="2CE1441A" w:rsidR="00FA4EF6" w:rsidRDefault="00FA4EF6" w:rsidP="00FA4EF6">
      <w:pPr>
        <w:pStyle w:val="NoSpacing"/>
        <w:jc w:val="both"/>
        <w:rPr>
          <w:rFonts w:ascii="Times New Roman" w:hAnsi="Times New Roman"/>
          <w:sz w:val="24"/>
          <w:szCs w:val="24"/>
        </w:rPr>
      </w:pPr>
      <w:r w:rsidRPr="00CC1B1B">
        <w:rPr>
          <w:rFonts w:ascii="Times New Roman" w:hAnsi="Times New Roman"/>
          <w:sz w:val="24"/>
          <w:szCs w:val="24"/>
        </w:rPr>
        <w:t xml:space="preserve">TLK-10-AM kodai: </w:t>
      </w:r>
      <w:r>
        <w:rPr>
          <w:rFonts w:ascii="Times New Roman" w:hAnsi="Times New Roman"/>
          <w:sz w:val="24"/>
          <w:szCs w:val="24"/>
        </w:rPr>
        <w:t>N80.</w:t>
      </w:r>
    </w:p>
    <w:p w14:paraId="5438E81E" w14:textId="77777777" w:rsidR="00FA4EF6" w:rsidRDefault="00FA4EF6" w:rsidP="00FA4EF6">
      <w:pPr>
        <w:pStyle w:val="NoSpacing"/>
        <w:jc w:val="both"/>
        <w:rPr>
          <w:rFonts w:ascii="Times New Roman" w:hAnsi="Times New Roman"/>
          <w:b/>
          <w:sz w:val="24"/>
          <w:szCs w:val="24"/>
        </w:rPr>
      </w:pPr>
    </w:p>
    <w:p w14:paraId="6C0229D0" w14:textId="3D1255F7" w:rsidR="008A3423" w:rsidRPr="00B93732" w:rsidRDefault="008A3423" w:rsidP="008A3423">
      <w:pPr>
        <w:pStyle w:val="NoSpacing"/>
        <w:spacing w:line="276" w:lineRule="auto"/>
        <w:rPr>
          <w:rFonts w:ascii="Times New Roman" w:hAnsi="Times New Roman"/>
          <w:b/>
          <w:sz w:val="24"/>
          <w:szCs w:val="24"/>
        </w:rPr>
      </w:pPr>
      <w:r w:rsidRPr="00B93732">
        <w:rPr>
          <w:rFonts w:ascii="Times New Roman" w:hAnsi="Times New Roman"/>
          <w:b/>
          <w:sz w:val="24"/>
          <w:szCs w:val="24"/>
        </w:rPr>
        <w:t>Skyrimo sąlygos</w:t>
      </w:r>
    </w:p>
    <w:p w14:paraId="75AEAAA8" w14:textId="77777777" w:rsidR="008B158A" w:rsidRDefault="009620FA" w:rsidP="008B158A">
      <w:pPr>
        <w:pStyle w:val="NoSpacing"/>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8B158A">
            <w:rPr>
              <w:rStyle w:val="Style2"/>
              <w:rFonts w:ascii="MS Gothic" w:eastAsia="MS Gothic" w:hAnsi="MS Gothic" w:hint="eastAsia"/>
              <w:sz w:val="24"/>
              <w:szCs w:val="24"/>
            </w:rPr>
            <w:t>☒</w:t>
          </w:r>
        </w:sdtContent>
      </w:sdt>
      <w:r w:rsidR="008B158A" w:rsidRPr="0073329D">
        <w:rPr>
          <w:rFonts w:ascii="Times New Roman" w:hAnsi="Times New Roman"/>
          <w:sz w:val="24"/>
          <w:szCs w:val="24"/>
        </w:rPr>
        <w:t xml:space="preserve"> Pareiškėjo siūlomos skyrimo sąlygos nepriimtinos.</w:t>
      </w:r>
    </w:p>
    <w:p w14:paraId="48D5DE60" w14:textId="77777777" w:rsidR="008B158A" w:rsidRDefault="008B158A" w:rsidP="008B158A">
      <w:pPr>
        <w:pStyle w:val="NoSpacing"/>
        <w:rPr>
          <w:rFonts w:ascii="Times New Roman" w:hAnsi="Times New Roman"/>
          <w:sz w:val="24"/>
          <w:szCs w:val="24"/>
        </w:rPr>
      </w:pPr>
    </w:p>
    <w:p w14:paraId="4FC0DFB7" w14:textId="77777777" w:rsidR="008B158A" w:rsidRPr="00821267" w:rsidRDefault="008B158A" w:rsidP="008B158A">
      <w:pPr>
        <w:pStyle w:val="NoSpacing"/>
        <w:rPr>
          <w:rFonts w:ascii="Times New Roman" w:hAnsi="Times New Roman"/>
          <w:b/>
          <w:bCs/>
          <w:sz w:val="24"/>
          <w:szCs w:val="24"/>
        </w:rPr>
      </w:pPr>
      <w:r w:rsidRPr="00821267">
        <w:rPr>
          <w:rFonts w:ascii="Times New Roman" w:hAnsi="Times New Roman"/>
          <w:b/>
          <w:bCs/>
          <w:sz w:val="24"/>
          <w:szCs w:val="24"/>
        </w:rPr>
        <w:t>Siūlomos skyrimo sąlygos:</w:t>
      </w:r>
    </w:p>
    <w:p w14:paraId="35535D54" w14:textId="77777777" w:rsidR="008B158A" w:rsidRDefault="008B158A" w:rsidP="008B158A">
      <w:pPr>
        <w:tabs>
          <w:tab w:val="left" w:pos="426"/>
        </w:tabs>
        <w:spacing w:line="276" w:lineRule="auto"/>
        <w:jc w:val="both"/>
        <w:rPr>
          <w:lang w:eastAsia="lt-LT"/>
        </w:rPr>
      </w:pPr>
      <w:r w:rsidRPr="00F27054">
        <w:rPr>
          <w:lang w:eastAsia="lt-LT"/>
        </w:rPr>
        <w:t>Skiriamas esant III ir IV stadijos endometriozei.</w:t>
      </w:r>
    </w:p>
    <w:p w14:paraId="562A1372" w14:textId="7F308C23" w:rsidR="00283E59" w:rsidRPr="00AF2AD6" w:rsidRDefault="00283E59" w:rsidP="008A3423">
      <w:pPr>
        <w:jc w:val="both"/>
        <w:rPr>
          <w:b/>
          <w:sz w:val="20"/>
        </w:rPr>
      </w:pPr>
    </w:p>
    <w:p w14:paraId="7CDFF220" w14:textId="58191D98" w:rsidR="000723FF" w:rsidRPr="000203E1" w:rsidRDefault="000723FF" w:rsidP="00824B92">
      <w:pPr>
        <w:rPr>
          <w:b/>
        </w:rPr>
      </w:pPr>
    </w:p>
    <w:sectPr w:rsidR="000723FF" w:rsidRPr="000203E1" w:rsidSect="005D30E1">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A308" w14:textId="77777777" w:rsidR="00DB5CFA" w:rsidRDefault="00DB5CFA">
      <w:r>
        <w:separator/>
      </w:r>
    </w:p>
  </w:endnote>
  <w:endnote w:type="continuationSeparator" w:id="0">
    <w:p w14:paraId="60AF5A2A" w14:textId="77777777" w:rsidR="00DB5CFA" w:rsidRDefault="00DB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7D3E8" w14:textId="77777777" w:rsidR="00DB5CFA" w:rsidRDefault="00DB5CFA">
      <w:r>
        <w:separator/>
      </w:r>
    </w:p>
  </w:footnote>
  <w:footnote w:type="continuationSeparator" w:id="0">
    <w:p w14:paraId="1157A2D6" w14:textId="77777777" w:rsidR="00DB5CFA" w:rsidRDefault="00DB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28275A2"/>
    <w:multiLevelType w:val="hybridMultilevel"/>
    <w:tmpl w:val="46C2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111115"/>
    <w:multiLevelType w:val="hybridMultilevel"/>
    <w:tmpl w:val="22EA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0045319">
    <w:abstractNumId w:val="7"/>
  </w:num>
  <w:num w:numId="2" w16cid:durableId="1486436171">
    <w:abstractNumId w:val="1"/>
  </w:num>
  <w:num w:numId="3" w16cid:durableId="1000354228">
    <w:abstractNumId w:val="9"/>
  </w:num>
  <w:num w:numId="4" w16cid:durableId="1260679485">
    <w:abstractNumId w:val="8"/>
  </w:num>
  <w:num w:numId="5" w16cid:durableId="1155296632">
    <w:abstractNumId w:val="6"/>
  </w:num>
  <w:num w:numId="6" w16cid:durableId="1078795527">
    <w:abstractNumId w:val="5"/>
  </w:num>
  <w:num w:numId="7" w16cid:durableId="607813388">
    <w:abstractNumId w:val="3"/>
  </w:num>
  <w:num w:numId="8" w16cid:durableId="705253707">
    <w:abstractNumId w:val="13"/>
  </w:num>
  <w:num w:numId="9" w16cid:durableId="1235775500">
    <w:abstractNumId w:val="0"/>
  </w:num>
  <w:num w:numId="10" w16cid:durableId="91097374">
    <w:abstractNumId w:val="10"/>
  </w:num>
  <w:num w:numId="11" w16cid:durableId="750346889">
    <w:abstractNumId w:val="12"/>
  </w:num>
  <w:num w:numId="12" w16cid:durableId="1604340731">
    <w:abstractNumId w:val="2"/>
  </w:num>
  <w:num w:numId="13" w16cid:durableId="949436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948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16F32"/>
    <w:rsid w:val="000203E1"/>
    <w:rsid w:val="0002686C"/>
    <w:rsid w:val="00026FC0"/>
    <w:rsid w:val="00031D0E"/>
    <w:rsid w:val="0003320E"/>
    <w:rsid w:val="000337E6"/>
    <w:rsid w:val="0003402E"/>
    <w:rsid w:val="00034EAE"/>
    <w:rsid w:val="00042924"/>
    <w:rsid w:val="00045709"/>
    <w:rsid w:val="00053975"/>
    <w:rsid w:val="00057A2B"/>
    <w:rsid w:val="000606BE"/>
    <w:rsid w:val="00062613"/>
    <w:rsid w:val="000723FF"/>
    <w:rsid w:val="000736B8"/>
    <w:rsid w:val="0008190F"/>
    <w:rsid w:val="00081D9C"/>
    <w:rsid w:val="00082907"/>
    <w:rsid w:val="0008378D"/>
    <w:rsid w:val="000908A5"/>
    <w:rsid w:val="0009140B"/>
    <w:rsid w:val="00092805"/>
    <w:rsid w:val="000C454C"/>
    <w:rsid w:val="000D5038"/>
    <w:rsid w:val="000D7DCE"/>
    <w:rsid w:val="000E29D4"/>
    <w:rsid w:val="000E610E"/>
    <w:rsid w:val="000F0099"/>
    <w:rsid w:val="000F3540"/>
    <w:rsid w:val="00100491"/>
    <w:rsid w:val="00104E2E"/>
    <w:rsid w:val="00107287"/>
    <w:rsid w:val="00117406"/>
    <w:rsid w:val="00121EF0"/>
    <w:rsid w:val="00124A9E"/>
    <w:rsid w:val="00130703"/>
    <w:rsid w:val="0013153F"/>
    <w:rsid w:val="001408B8"/>
    <w:rsid w:val="001478D2"/>
    <w:rsid w:val="001517E2"/>
    <w:rsid w:val="001521D9"/>
    <w:rsid w:val="001554E2"/>
    <w:rsid w:val="00164146"/>
    <w:rsid w:val="00164D64"/>
    <w:rsid w:val="00166F00"/>
    <w:rsid w:val="00170DB5"/>
    <w:rsid w:val="0017369C"/>
    <w:rsid w:val="00175D57"/>
    <w:rsid w:val="00180C39"/>
    <w:rsid w:val="00180D96"/>
    <w:rsid w:val="00184BD3"/>
    <w:rsid w:val="00184F42"/>
    <w:rsid w:val="001921F3"/>
    <w:rsid w:val="001A5428"/>
    <w:rsid w:val="001B2742"/>
    <w:rsid w:val="001B3C5B"/>
    <w:rsid w:val="001D01BD"/>
    <w:rsid w:val="001D1DCA"/>
    <w:rsid w:val="001D5B91"/>
    <w:rsid w:val="001D746F"/>
    <w:rsid w:val="001E4BBB"/>
    <w:rsid w:val="001E6304"/>
    <w:rsid w:val="0020271F"/>
    <w:rsid w:val="0020381E"/>
    <w:rsid w:val="00213471"/>
    <w:rsid w:val="00215906"/>
    <w:rsid w:val="00241CD8"/>
    <w:rsid w:val="0024262A"/>
    <w:rsid w:val="00244B09"/>
    <w:rsid w:val="002519CB"/>
    <w:rsid w:val="0025697F"/>
    <w:rsid w:val="00260258"/>
    <w:rsid w:val="0026519C"/>
    <w:rsid w:val="0026588E"/>
    <w:rsid w:val="00272428"/>
    <w:rsid w:val="00272948"/>
    <w:rsid w:val="00283E59"/>
    <w:rsid w:val="00292392"/>
    <w:rsid w:val="002946C7"/>
    <w:rsid w:val="002B3CC1"/>
    <w:rsid w:val="002C09E0"/>
    <w:rsid w:val="002C1BB1"/>
    <w:rsid w:val="002C2786"/>
    <w:rsid w:val="002C3A10"/>
    <w:rsid w:val="002C4258"/>
    <w:rsid w:val="002C4A90"/>
    <w:rsid w:val="002C4ED5"/>
    <w:rsid w:val="002D02EF"/>
    <w:rsid w:val="002E0702"/>
    <w:rsid w:val="002E1488"/>
    <w:rsid w:val="002E57AD"/>
    <w:rsid w:val="002E6F80"/>
    <w:rsid w:val="002F0E4F"/>
    <w:rsid w:val="002F1053"/>
    <w:rsid w:val="0030069A"/>
    <w:rsid w:val="00314816"/>
    <w:rsid w:val="00317B0E"/>
    <w:rsid w:val="003450D7"/>
    <w:rsid w:val="00347FAA"/>
    <w:rsid w:val="0035172D"/>
    <w:rsid w:val="0036187D"/>
    <w:rsid w:val="00367EDB"/>
    <w:rsid w:val="0037543E"/>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34D0C"/>
    <w:rsid w:val="00453862"/>
    <w:rsid w:val="0045469B"/>
    <w:rsid w:val="00461338"/>
    <w:rsid w:val="004677DB"/>
    <w:rsid w:val="00476256"/>
    <w:rsid w:val="0048630F"/>
    <w:rsid w:val="0048680D"/>
    <w:rsid w:val="004947A1"/>
    <w:rsid w:val="0049482A"/>
    <w:rsid w:val="004979D3"/>
    <w:rsid w:val="004A00E7"/>
    <w:rsid w:val="004A3A61"/>
    <w:rsid w:val="004B15F1"/>
    <w:rsid w:val="004B4BDA"/>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10983"/>
    <w:rsid w:val="005123C2"/>
    <w:rsid w:val="00515302"/>
    <w:rsid w:val="0052144B"/>
    <w:rsid w:val="00524066"/>
    <w:rsid w:val="0053001B"/>
    <w:rsid w:val="00531A65"/>
    <w:rsid w:val="00534E11"/>
    <w:rsid w:val="005378D8"/>
    <w:rsid w:val="005400D9"/>
    <w:rsid w:val="00541298"/>
    <w:rsid w:val="005476A4"/>
    <w:rsid w:val="0055019B"/>
    <w:rsid w:val="00556E63"/>
    <w:rsid w:val="005601A4"/>
    <w:rsid w:val="00566DBB"/>
    <w:rsid w:val="00571D03"/>
    <w:rsid w:val="005767DB"/>
    <w:rsid w:val="005815E6"/>
    <w:rsid w:val="0058285F"/>
    <w:rsid w:val="0058712F"/>
    <w:rsid w:val="005976CE"/>
    <w:rsid w:val="005A23D4"/>
    <w:rsid w:val="005A2D1E"/>
    <w:rsid w:val="005A4698"/>
    <w:rsid w:val="005B3756"/>
    <w:rsid w:val="005B6B79"/>
    <w:rsid w:val="005C493F"/>
    <w:rsid w:val="005C6BF7"/>
    <w:rsid w:val="005C71BF"/>
    <w:rsid w:val="005D002C"/>
    <w:rsid w:val="005D30E1"/>
    <w:rsid w:val="005D6555"/>
    <w:rsid w:val="005D7BDF"/>
    <w:rsid w:val="005E4870"/>
    <w:rsid w:val="005F71D9"/>
    <w:rsid w:val="005F7602"/>
    <w:rsid w:val="006062BE"/>
    <w:rsid w:val="0061007A"/>
    <w:rsid w:val="00613143"/>
    <w:rsid w:val="00613501"/>
    <w:rsid w:val="0061611B"/>
    <w:rsid w:val="006166A8"/>
    <w:rsid w:val="006174A1"/>
    <w:rsid w:val="00621D6C"/>
    <w:rsid w:val="006334AA"/>
    <w:rsid w:val="00633B49"/>
    <w:rsid w:val="0064297F"/>
    <w:rsid w:val="00645102"/>
    <w:rsid w:val="00646CF3"/>
    <w:rsid w:val="00652D65"/>
    <w:rsid w:val="00653D11"/>
    <w:rsid w:val="00662983"/>
    <w:rsid w:val="0066796B"/>
    <w:rsid w:val="0067524F"/>
    <w:rsid w:val="006834D3"/>
    <w:rsid w:val="00687DC7"/>
    <w:rsid w:val="00692625"/>
    <w:rsid w:val="00695CD3"/>
    <w:rsid w:val="006A16A6"/>
    <w:rsid w:val="006A38B6"/>
    <w:rsid w:val="006B1987"/>
    <w:rsid w:val="006B5B71"/>
    <w:rsid w:val="006B5D3E"/>
    <w:rsid w:val="006B6CB0"/>
    <w:rsid w:val="006C2B64"/>
    <w:rsid w:val="006C6F33"/>
    <w:rsid w:val="006D1BF3"/>
    <w:rsid w:val="006D4C85"/>
    <w:rsid w:val="006D66AC"/>
    <w:rsid w:val="006E33F6"/>
    <w:rsid w:val="006F1251"/>
    <w:rsid w:val="006F1C23"/>
    <w:rsid w:val="00702C18"/>
    <w:rsid w:val="00703166"/>
    <w:rsid w:val="007127F3"/>
    <w:rsid w:val="00722BDF"/>
    <w:rsid w:val="007301CF"/>
    <w:rsid w:val="007316FB"/>
    <w:rsid w:val="00737E2D"/>
    <w:rsid w:val="007424D5"/>
    <w:rsid w:val="00750A88"/>
    <w:rsid w:val="007523DD"/>
    <w:rsid w:val="00757B7E"/>
    <w:rsid w:val="007656B2"/>
    <w:rsid w:val="00765C98"/>
    <w:rsid w:val="0077016F"/>
    <w:rsid w:val="007713AD"/>
    <w:rsid w:val="00795DC5"/>
    <w:rsid w:val="00797153"/>
    <w:rsid w:val="007A1440"/>
    <w:rsid w:val="007A21F7"/>
    <w:rsid w:val="007A2B68"/>
    <w:rsid w:val="007B0A44"/>
    <w:rsid w:val="007B0DDA"/>
    <w:rsid w:val="007B6CE3"/>
    <w:rsid w:val="007D3347"/>
    <w:rsid w:val="007D6E2D"/>
    <w:rsid w:val="007E236B"/>
    <w:rsid w:val="007E2C2F"/>
    <w:rsid w:val="007E5466"/>
    <w:rsid w:val="007F1949"/>
    <w:rsid w:val="007F2592"/>
    <w:rsid w:val="00800A08"/>
    <w:rsid w:val="0080146E"/>
    <w:rsid w:val="00817A84"/>
    <w:rsid w:val="008225A4"/>
    <w:rsid w:val="00822DB3"/>
    <w:rsid w:val="00824B92"/>
    <w:rsid w:val="00826D5E"/>
    <w:rsid w:val="00832013"/>
    <w:rsid w:val="00832DB7"/>
    <w:rsid w:val="00834732"/>
    <w:rsid w:val="00835750"/>
    <w:rsid w:val="00843FB8"/>
    <w:rsid w:val="0085200C"/>
    <w:rsid w:val="00852CFC"/>
    <w:rsid w:val="00857C52"/>
    <w:rsid w:val="00860D5F"/>
    <w:rsid w:val="00880A44"/>
    <w:rsid w:val="0088345E"/>
    <w:rsid w:val="0088656F"/>
    <w:rsid w:val="00891EF6"/>
    <w:rsid w:val="008A0303"/>
    <w:rsid w:val="008A3423"/>
    <w:rsid w:val="008A5FDD"/>
    <w:rsid w:val="008B158A"/>
    <w:rsid w:val="008C01DC"/>
    <w:rsid w:val="008C3947"/>
    <w:rsid w:val="008E473B"/>
    <w:rsid w:val="008E51A6"/>
    <w:rsid w:val="008E64BC"/>
    <w:rsid w:val="008E7329"/>
    <w:rsid w:val="008F2ED5"/>
    <w:rsid w:val="008F4B94"/>
    <w:rsid w:val="009121B2"/>
    <w:rsid w:val="0092297E"/>
    <w:rsid w:val="00923651"/>
    <w:rsid w:val="0092525A"/>
    <w:rsid w:val="00927B56"/>
    <w:rsid w:val="00931A54"/>
    <w:rsid w:val="009341BF"/>
    <w:rsid w:val="00937907"/>
    <w:rsid w:val="00941739"/>
    <w:rsid w:val="0094765C"/>
    <w:rsid w:val="00951573"/>
    <w:rsid w:val="009620FA"/>
    <w:rsid w:val="00963003"/>
    <w:rsid w:val="00966EEF"/>
    <w:rsid w:val="00971B28"/>
    <w:rsid w:val="00983471"/>
    <w:rsid w:val="009909AB"/>
    <w:rsid w:val="009A33BF"/>
    <w:rsid w:val="009A4208"/>
    <w:rsid w:val="009A69EC"/>
    <w:rsid w:val="009B37DB"/>
    <w:rsid w:val="009C7A8C"/>
    <w:rsid w:val="009D23F9"/>
    <w:rsid w:val="009D4FA8"/>
    <w:rsid w:val="009E3BD6"/>
    <w:rsid w:val="009E44AE"/>
    <w:rsid w:val="009E478C"/>
    <w:rsid w:val="009E6CD6"/>
    <w:rsid w:val="009F4D66"/>
    <w:rsid w:val="009F6ADE"/>
    <w:rsid w:val="00A00C3C"/>
    <w:rsid w:val="00A01091"/>
    <w:rsid w:val="00A02485"/>
    <w:rsid w:val="00A042B9"/>
    <w:rsid w:val="00A06DBB"/>
    <w:rsid w:val="00A10164"/>
    <w:rsid w:val="00A22ADF"/>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6C7B"/>
    <w:rsid w:val="00AC26FC"/>
    <w:rsid w:val="00AC4A99"/>
    <w:rsid w:val="00AC627E"/>
    <w:rsid w:val="00AC64D2"/>
    <w:rsid w:val="00AD02E7"/>
    <w:rsid w:val="00AE0E35"/>
    <w:rsid w:val="00AE0FE8"/>
    <w:rsid w:val="00AE3B31"/>
    <w:rsid w:val="00AF2AD6"/>
    <w:rsid w:val="00AF60D5"/>
    <w:rsid w:val="00B00959"/>
    <w:rsid w:val="00B04415"/>
    <w:rsid w:val="00B06509"/>
    <w:rsid w:val="00B07B7B"/>
    <w:rsid w:val="00B11D60"/>
    <w:rsid w:val="00B13D65"/>
    <w:rsid w:val="00B21805"/>
    <w:rsid w:val="00B3072E"/>
    <w:rsid w:val="00B33E91"/>
    <w:rsid w:val="00B33FA8"/>
    <w:rsid w:val="00B36E15"/>
    <w:rsid w:val="00B37245"/>
    <w:rsid w:val="00B4017A"/>
    <w:rsid w:val="00B4468D"/>
    <w:rsid w:val="00B71C72"/>
    <w:rsid w:val="00B72A0A"/>
    <w:rsid w:val="00B81E92"/>
    <w:rsid w:val="00B908D7"/>
    <w:rsid w:val="00B935E8"/>
    <w:rsid w:val="00B93B30"/>
    <w:rsid w:val="00B94CB5"/>
    <w:rsid w:val="00BA0DD9"/>
    <w:rsid w:val="00BA5DBC"/>
    <w:rsid w:val="00BA6584"/>
    <w:rsid w:val="00BB6312"/>
    <w:rsid w:val="00BC22A0"/>
    <w:rsid w:val="00BC4D06"/>
    <w:rsid w:val="00BD585E"/>
    <w:rsid w:val="00BD6919"/>
    <w:rsid w:val="00BE1EA7"/>
    <w:rsid w:val="00BE7489"/>
    <w:rsid w:val="00BF2E0D"/>
    <w:rsid w:val="00BF3927"/>
    <w:rsid w:val="00BF3F8B"/>
    <w:rsid w:val="00BF76DA"/>
    <w:rsid w:val="00C056A9"/>
    <w:rsid w:val="00C07C7B"/>
    <w:rsid w:val="00C16245"/>
    <w:rsid w:val="00C1763F"/>
    <w:rsid w:val="00C22DC5"/>
    <w:rsid w:val="00C24479"/>
    <w:rsid w:val="00C273F2"/>
    <w:rsid w:val="00C37B53"/>
    <w:rsid w:val="00C434EB"/>
    <w:rsid w:val="00C517D2"/>
    <w:rsid w:val="00C5330B"/>
    <w:rsid w:val="00C5772E"/>
    <w:rsid w:val="00C61CC5"/>
    <w:rsid w:val="00C62B36"/>
    <w:rsid w:val="00C7012C"/>
    <w:rsid w:val="00C712EA"/>
    <w:rsid w:val="00C80E90"/>
    <w:rsid w:val="00C83F04"/>
    <w:rsid w:val="00CA217D"/>
    <w:rsid w:val="00CC09D4"/>
    <w:rsid w:val="00CC668D"/>
    <w:rsid w:val="00CC7832"/>
    <w:rsid w:val="00CD488E"/>
    <w:rsid w:val="00CF0C1C"/>
    <w:rsid w:val="00CF27FD"/>
    <w:rsid w:val="00CF5F12"/>
    <w:rsid w:val="00D00D8F"/>
    <w:rsid w:val="00D118FB"/>
    <w:rsid w:val="00D21F3A"/>
    <w:rsid w:val="00D226D9"/>
    <w:rsid w:val="00D23808"/>
    <w:rsid w:val="00D3016A"/>
    <w:rsid w:val="00D417D2"/>
    <w:rsid w:val="00D42960"/>
    <w:rsid w:val="00D43BD7"/>
    <w:rsid w:val="00D4485B"/>
    <w:rsid w:val="00D46CCD"/>
    <w:rsid w:val="00D4708D"/>
    <w:rsid w:val="00D4744C"/>
    <w:rsid w:val="00D521DE"/>
    <w:rsid w:val="00D5470B"/>
    <w:rsid w:val="00D63068"/>
    <w:rsid w:val="00D64441"/>
    <w:rsid w:val="00D6498C"/>
    <w:rsid w:val="00D76A70"/>
    <w:rsid w:val="00D8151D"/>
    <w:rsid w:val="00D83182"/>
    <w:rsid w:val="00D8521E"/>
    <w:rsid w:val="00D9291C"/>
    <w:rsid w:val="00D93A97"/>
    <w:rsid w:val="00DA0EE3"/>
    <w:rsid w:val="00DA2A77"/>
    <w:rsid w:val="00DB1F64"/>
    <w:rsid w:val="00DB5CFA"/>
    <w:rsid w:val="00DC2F53"/>
    <w:rsid w:val="00DC5BAC"/>
    <w:rsid w:val="00DC6816"/>
    <w:rsid w:val="00DC76C2"/>
    <w:rsid w:val="00DD1CF2"/>
    <w:rsid w:val="00DD72FA"/>
    <w:rsid w:val="00DE4484"/>
    <w:rsid w:val="00DF380D"/>
    <w:rsid w:val="00DF3B0C"/>
    <w:rsid w:val="00DF41B7"/>
    <w:rsid w:val="00DF4A4A"/>
    <w:rsid w:val="00DF583C"/>
    <w:rsid w:val="00E03C3F"/>
    <w:rsid w:val="00E06FD7"/>
    <w:rsid w:val="00E07417"/>
    <w:rsid w:val="00E24D45"/>
    <w:rsid w:val="00E300BD"/>
    <w:rsid w:val="00E33DB8"/>
    <w:rsid w:val="00E33EFF"/>
    <w:rsid w:val="00E34387"/>
    <w:rsid w:val="00E348BA"/>
    <w:rsid w:val="00E36132"/>
    <w:rsid w:val="00E369FE"/>
    <w:rsid w:val="00E37C6F"/>
    <w:rsid w:val="00E475F8"/>
    <w:rsid w:val="00E5102E"/>
    <w:rsid w:val="00E549A3"/>
    <w:rsid w:val="00E5721C"/>
    <w:rsid w:val="00E619C6"/>
    <w:rsid w:val="00E61FE4"/>
    <w:rsid w:val="00E745A1"/>
    <w:rsid w:val="00E81529"/>
    <w:rsid w:val="00E83A13"/>
    <w:rsid w:val="00E92613"/>
    <w:rsid w:val="00EB2A66"/>
    <w:rsid w:val="00EB6FC5"/>
    <w:rsid w:val="00EC2356"/>
    <w:rsid w:val="00EC2582"/>
    <w:rsid w:val="00EC337C"/>
    <w:rsid w:val="00ED0CFF"/>
    <w:rsid w:val="00ED2708"/>
    <w:rsid w:val="00ED31D2"/>
    <w:rsid w:val="00EE0EAC"/>
    <w:rsid w:val="00EE3322"/>
    <w:rsid w:val="00EE33CB"/>
    <w:rsid w:val="00F0061A"/>
    <w:rsid w:val="00F02834"/>
    <w:rsid w:val="00F04EEB"/>
    <w:rsid w:val="00F05467"/>
    <w:rsid w:val="00F055D2"/>
    <w:rsid w:val="00F07CD7"/>
    <w:rsid w:val="00F127E9"/>
    <w:rsid w:val="00F14B5D"/>
    <w:rsid w:val="00F167B5"/>
    <w:rsid w:val="00F259FC"/>
    <w:rsid w:val="00F36972"/>
    <w:rsid w:val="00F42426"/>
    <w:rsid w:val="00F456BC"/>
    <w:rsid w:val="00F47F81"/>
    <w:rsid w:val="00F50666"/>
    <w:rsid w:val="00F70731"/>
    <w:rsid w:val="00F70C9E"/>
    <w:rsid w:val="00F74A74"/>
    <w:rsid w:val="00F7572C"/>
    <w:rsid w:val="00F8382C"/>
    <w:rsid w:val="00F855D7"/>
    <w:rsid w:val="00F92035"/>
    <w:rsid w:val="00F92748"/>
    <w:rsid w:val="00FA4169"/>
    <w:rsid w:val="00FA4EF6"/>
    <w:rsid w:val="00FB0D41"/>
    <w:rsid w:val="00FB2030"/>
    <w:rsid w:val="00FB22C4"/>
    <w:rsid w:val="00FC22D9"/>
    <w:rsid w:val="00FC3102"/>
    <w:rsid w:val="00FD0E46"/>
    <w:rsid w:val="00FD1CF2"/>
    <w:rsid w:val="00FD3EDF"/>
    <w:rsid w:val="00FD793C"/>
    <w:rsid w:val="00FE0FD5"/>
    <w:rsid w:val="00FE20E6"/>
    <w:rsid w:val="00FE3E3B"/>
    <w:rsid w:val="00FE5362"/>
    <w:rsid w:val="00FE5665"/>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List Paragraph CCT minutes,Bullet 1,Section 5,1. Bullet Blank,Bulleted - 2,FooterText,List Paragraph1,numbered,列出段落"/>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List Paragraph CCT minutes Char,Bullet 1 Char,Section 5 Char,1. Bullet Blank Char"/>
    <w:link w:val="ListParagraph"/>
    <w:uiPriority w:val="34"/>
    <w:qFormat/>
    <w:locked/>
    <w:rsid w:val="00016F32"/>
    <w:rPr>
      <w:sz w:val="24"/>
      <w:szCs w:val="24"/>
      <w:lang w:eastAsia="en-US"/>
    </w:rPr>
  </w:style>
  <w:style w:type="paragraph" w:customStyle="1" w:styleId="Tekstas">
    <w:name w:val="Tekstas"/>
    <w:basedOn w:val="Normal"/>
    <w:link w:val="TekstasChar"/>
    <w:qFormat/>
    <w:rsid w:val="00931A54"/>
    <w:pPr>
      <w:spacing w:after="120"/>
      <w:jc w:val="both"/>
    </w:pPr>
  </w:style>
  <w:style w:type="character" w:customStyle="1" w:styleId="TekstasChar">
    <w:name w:val="Tekstas Char"/>
    <w:link w:val="Tekstas"/>
    <w:locked/>
    <w:rsid w:val="00931A54"/>
    <w:rPr>
      <w:sz w:val="24"/>
      <w:szCs w:val="24"/>
      <w:lang w:eastAsia="en-US"/>
    </w:rPr>
  </w:style>
  <w:style w:type="character" w:styleId="Emphasis">
    <w:name w:val="Emphasis"/>
    <w:basedOn w:val="DefaultParagraphFont"/>
    <w:qFormat/>
    <w:rsid w:val="00AB6C7B"/>
    <w:rPr>
      <w:i/>
      <w:iCs/>
    </w:rPr>
  </w:style>
  <w:style w:type="table" w:customStyle="1" w:styleId="DossierTable1">
    <w:name w:val="Dossier Table1"/>
    <w:basedOn w:val="TableNormal"/>
    <w:next w:val="TableGrid"/>
    <w:rsid w:val="00AB6C7B"/>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ssierTable2">
    <w:name w:val="Dossier Table2"/>
    <w:basedOn w:val="TableNormal"/>
    <w:next w:val="TableGrid"/>
    <w:rsid w:val="00A10164"/>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2226">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375422692">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8EB8AF24AB497AB2C17B96DB12F582"/>
        <w:category>
          <w:name w:val="General"/>
          <w:gallery w:val="placeholder"/>
        </w:category>
        <w:types>
          <w:type w:val="bbPlcHdr"/>
        </w:types>
        <w:behaviors>
          <w:behavior w:val="content"/>
        </w:behaviors>
        <w:guid w:val="{D5390282-8A6A-4AF0-9591-642E773C2D4C}"/>
      </w:docPartPr>
      <w:docPartBody>
        <w:p w:rsidR="00402AD0" w:rsidRDefault="006819A7" w:rsidP="006819A7">
          <w:pPr>
            <w:pStyle w:val="288EB8AF24AB497AB2C17B96DB12F582"/>
          </w:pPr>
          <w:r>
            <w:rPr>
              <w:rStyle w:val="PlaceholderText"/>
            </w:rPr>
            <w:t>Click here to enter a date.</w:t>
          </w:r>
        </w:p>
      </w:docPartBody>
    </w:docPart>
    <w:docPart>
      <w:docPartPr>
        <w:name w:val="1C92FDA899D0473A9B3DD5BC65F9E19C"/>
        <w:category>
          <w:name w:val="Bendrosios nuostatos"/>
          <w:gallery w:val="placeholder"/>
        </w:category>
        <w:types>
          <w:type w:val="bbPlcHdr"/>
        </w:types>
        <w:behaviors>
          <w:behavior w:val="content"/>
        </w:behaviors>
        <w:guid w:val="{8C03706E-B1AC-40A0-B1B3-044400D9D362}"/>
      </w:docPartPr>
      <w:docPartBody>
        <w:p w:rsidR="00FE143B" w:rsidRDefault="00FE143B" w:rsidP="00FE143B">
          <w:pPr>
            <w:pStyle w:val="1C92FDA899D0473A9B3DD5BC65F9E19C"/>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320E"/>
    <w:rsid w:val="00061157"/>
    <w:rsid w:val="00062613"/>
    <w:rsid w:val="00065284"/>
    <w:rsid w:val="000937FE"/>
    <w:rsid w:val="000A559A"/>
    <w:rsid w:val="000D24D4"/>
    <w:rsid w:val="001C35A9"/>
    <w:rsid w:val="001C3BD0"/>
    <w:rsid w:val="001D1DCA"/>
    <w:rsid w:val="00237556"/>
    <w:rsid w:val="002C4258"/>
    <w:rsid w:val="003450D7"/>
    <w:rsid w:val="0039303B"/>
    <w:rsid w:val="003D2FD4"/>
    <w:rsid w:val="00402AD0"/>
    <w:rsid w:val="004144A3"/>
    <w:rsid w:val="004160E7"/>
    <w:rsid w:val="004416C6"/>
    <w:rsid w:val="00456E96"/>
    <w:rsid w:val="0048680D"/>
    <w:rsid w:val="004B3BE4"/>
    <w:rsid w:val="004F5AB2"/>
    <w:rsid w:val="005074B9"/>
    <w:rsid w:val="0053001B"/>
    <w:rsid w:val="005C62E5"/>
    <w:rsid w:val="005E40DD"/>
    <w:rsid w:val="006328CD"/>
    <w:rsid w:val="00652D65"/>
    <w:rsid w:val="006819A7"/>
    <w:rsid w:val="007219C1"/>
    <w:rsid w:val="00753462"/>
    <w:rsid w:val="00772325"/>
    <w:rsid w:val="007A2FE0"/>
    <w:rsid w:val="007C6D1D"/>
    <w:rsid w:val="007C76AC"/>
    <w:rsid w:val="007F014A"/>
    <w:rsid w:val="00835750"/>
    <w:rsid w:val="008526F7"/>
    <w:rsid w:val="00852CFC"/>
    <w:rsid w:val="008D5053"/>
    <w:rsid w:val="008E64BC"/>
    <w:rsid w:val="0090074D"/>
    <w:rsid w:val="00991811"/>
    <w:rsid w:val="009A33BF"/>
    <w:rsid w:val="009B3BF0"/>
    <w:rsid w:val="009D5E5E"/>
    <w:rsid w:val="009F1BB4"/>
    <w:rsid w:val="00A92BBA"/>
    <w:rsid w:val="00AB6ED4"/>
    <w:rsid w:val="00AD47BC"/>
    <w:rsid w:val="00AE3B31"/>
    <w:rsid w:val="00AF6A90"/>
    <w:rsid w:val="00B14210"/>
    <w:rsid w:val="00B22ED6"/>
    <w:rsid w:val="00B23DC0"/>
    <w:rsid w:val="00B96656"/>
    <w:rsid w:val="00BE0C79"/>
    <w:rsid w:val="00C2401D"/>
    <w:rsid w:val="00C250D7"/>
    <w:rsid w:val="00C371EA"/>
    <w:rsid w:val="00C53A68"/>
    <w:rsid w:val="00C83F04"/>
    <w:rsid w:val="00CA5BB4"/>
    <w:rsid w:val="00CB4BD1"/>
    <w:rsid w:val="00CD139C"/>
    <w:rsid w:val="00CE2DA9"/>
    <w:rsid w:val="00CE44BE"/>
    <w:rsid w:val="00D0142D"/>
    <w:rsid w:val="00D15A60"/>
    <w:rsid w:val="00D4356B"/>
    <w:rsid w:val="00D7162F"/>
    <w:rsid w:val="00D90870"/>
    <w:rsid w:val="00DA0EE3"/>
    <w:rsid w:val="00DB4DB5"/>
    <w:rsid w:val="00DE4D10"/>
    <w:rsid w:val="00E44A86"/>
    <w:rsid w:val="00E522EB"/>
    <w:rsid w:val="00E60827"/>
    <w:rsid w:val="00EB2A66"/>
    <w:rsid w:val="00EF395F"/>
    <w:rsid w:val="00EF6E0C"/>
    <w:rsid w:val="00F47F81"/>
    <w:rsid w:val="00F55028"/>
    <w:rsid w:val="00F77BEF"/>
    <w:rsid w:val="00FC755C"/>
    <w:rsid w:val="00FE0B99"/>
    <w:rsid w:val="00FE0D46"/>
    <w:rsid w:val="00FE143B"/>
    <w:rsid w:val="00FE56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E143B"/>
  </w:style>
  <w:style w:type="paragraph" w:customStyle="1" w:styleId="288EB8AF24AB497AB2C17B96DB12F582">
    <w:name w:val="288EB8AF24AB497AB2C17B96DB12F582"/>
    <w:rsid w:val="006819A7"/>
  </w:style>
  <w:style w:type="paragraph" w:customStyle="1" w:styleId="1C92FDA899D0473A9B3DD5BC65F9E19C">
    <w:name w:val="1C92FDA899D0473A9B3DD5BC65F9E19C"/>
    <w:rsid w:val="00FE14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B93DD-CE7B-4898-ACB6-BE4F3EB0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1567</Words>
  <Characters>11473</Characters>
  <Application>Microsoft Office Word</Application>
  <DocSecurity>0</DocSecurity>
  <Lines>95</Lines>
  <Paragraphs>26</Paragraphs>
  <ScaleCrop>false</ScaleCrop>
  <Company/>
  <LinksUpToDate>false</LinksUpToDate>
  <CharactersWithSpaces>13014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2025-12-22T09:40:00Z</dcterms:created>
  <dcterms:modified xsi:type="dcterms:W3CDTF">2025-12-22T09:40:00Z</dcterms:modified>
</cp:coreProperties>
</file>