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E5EB3" w14:textId="1955ADE3" w:rsidR="005F7602" w:rsidRPr="00CE2918" w:rsidRDefault="005F7602" w:rsidP="002946C7">
      <w:pPr>
        <w:ind w:left="5529"/>
      </w:pPr>
    </w:p>
    <w:p w14:paraId="12FA4B9E" w14:textId="39AA3336" w:rsidR="001B3C5B" w:rsidRPr="00CE2918" w:rsidRDefault="00DC261A" w:rsidP="001B3C5B">
      <w:pPr>
        <w:ind w:left="6096"/>
      </w:pPr>
      <w:bookmarkStart w:id="0" w:name="_Hlk189565243"/>
      <w:r w:rsidRPr="00CE2918">
        <w:t>PATVIRTINTA</w:t>
      </w:r>
    </w:p>
    <w:p w14:paraId="7206970B" w14:textId="70E9BD2E" w:rsidR="004C263A" w:rsidRPr="00CE2918" w:rsidRDefault="001B3C5B" w:rsidP="001B3C5B">
      <w:pPr>
        <w:ind w:left="6096"/>
      </w:pPr>
      <w:r w:rsidRPr="00CE2918">
        <w:t>Valstybinės vaistų kontrolės tarnybos prie Lietuvos Respublikos sveikatos apsaugos ministerijos viršininko 2021 m</w:t>
      </w:r>
      <w:r w:rsidR="004C263A" w:rsidRPr="00CE2918">
        <w:t xml:space="preserve">. lapkričio 12 </w:t>
      </w:r>
      <w:r w:rsidRPr="00CE2918">
        <w:t>d. įsakymu Nr.</w:t>
      </w:r>
      <w:r w:rsidR="004C263A" w:rsidRPr="00CE2918">
        <w:t xml:space="preserve"> (1.72E)1A-1418</w:t>
      </w:r>
    </w:p>
    <w:p w14:paraId="5B219AA6" w14:textId="3A5D6CB4" w:rsidR="001B3C5B" w:rsidRPr="00CE2918" w:rsidRDefault="004C263A" w:rsidP="001B3C5B">
      <w:pPr>
        <w:ind w:left="6096"/>
      </w:pPr>
      <w:r w:rsidRPr="00CE2918">
        <w:t>(Valstybinės vaistų kontrolės tarnybos prie Lietuvos Respublikos sveikatos apsaugos ministerijos viršininko 202</w:t>
      </w:r>
      <w:r w:rsidR="00A2310D" w:rsidRPr="00CE2918">
        <w:t>5</w:t>
      </w:r>
      <w:r w:rsidRPr="00CE2918">
        <w:t xml:space="preserve"> m.                         d. įsakymo Nr.                    redakcija)</w:t>
      </w:r>
    </w:p>
    <w:p w14:paraId="3336BD74" w14:textId="77777777" w:rsidR="001B3C5B" w:rsidRPr="00CE2918" w:rsidRDefault="001B3C5B" w:rsidP="00FA4169"/>
    <w:bookmarkEnd w:id="0"/>
    <w:p w14:paraId="77AFB67E" w14:textId="0FB133A2" w:rsidR="00613501" w:rsidRPr="00CE2918" w:rsidRDefault="002F0E4F" w:rsidP="003B211A">
      <w:pPr>
        <w:jc w:val="center"/>
        <w:rPr>
          <w:b/>
          <w:bCs/>
          <w:caps/>
        </w:rPr>
      </w:pPr>
      <w:r w:rsidRPr="00CE2918">
        <w:rPr>
          <w:b/>
        </w:rPr>
        <w:t xml:space="preserve">REKOMENDACIJA DĖL VAISTINIO PREPARATO </w:t>
      </w:r>
      <w:r w:rsidRPr="00CE2918">
        <w:rPr>
          <w:b/>
          <w:bCs/>
          <w:caps/>
        </w:rPr>
        <w:t>Lietuvos Respublikos Sveikatos apsaugos ministerijos vaistinių preparatų ir medicinos pagalbos priemonių kompensavimo komisijai</w:t>
      </w:r>
    </w:p>
    <w:p w14:paraId="66E10E7E" w14:textId="77777777" w:rsidR="00477155" w:rsidRPr="00CE2918" w:rsidRDefault="00477155" w:rsidP="003B211A">
      <w:pPr>
        <w:jc w:val="center"/>
        <w:rPr>
          <w:b/>
          <w:bCs/>
          <w:caps/>
        </w:rPr>
      </w:pPr>
    </w:p>
    <w:p w14:paraId="3DDFB2C5" w14:textId="7A559055" w:rsidR="00477155" w:rsidRPr="00CE2918" w:rsidRDefault="00477155" w:rsidP="00477155">
      <w:pPr>
        <w:spacing w:line="276" w:lineRule="auto"/>
        <w:jc w:val="center"/>
        <w:rPr>
          <w:b/>
          <w:bCs/>
        </w:rPr>
      </w:pPr>
      <w:r w:rsidRPr="00CE2918">
        <w:rPr>
          <w:b/>
          <w:bCs/>
        </w:rPr>
        <w:t>RYBREVANT</w:t>
      </w:r>
      <w:r w:rsidRPr="00CE2918">
        <w:t xml:space="preserve"> </w:t>
      </w:r>
      <w:r w:rsidRPr="00CE2918">
        <w:rPr>
          <w:b/>
          <w:bCs/>
        </w:rPr>
        <w:t>350 mg koncentratas infuziniam tirpalui</w:t>
      </w:r>
    </w:p>
    <w:p w14:paraId="49D9FFD0" w14:textId="6DBF12C1" w:rsidR="00477155" w:rsidRPr="00CE2918" w:rsidRDefault="00477155" w:rsidP="00477155">
      <w:pPr>
        <w:spacing w:line="276" w:lineRule="auto"/>
        <w:jc w:val="center"/>
        <w:rPr>
          <w:b/>
          <w:bCs/>
        </w:rPr>
      </w:pPr>
      <w:r w:rsidRPr="00CE2918">
        <w:rPr>
          <w:b/>
          <w:bCs/>
        </w:rPr>
        <w:t>RYBREVANT 1600 mg, 2240 mg ir 3500 mg injekcinis tirpalas</w:t>
      </w:r>
    </w:p>
    <w:p w14:paraId="30D3482E" w14:textId="77777777" w:rsidR="00CE2918" w:rsidRPr="00CE2918" w:rsidRDefault="00CE2918" w:rsidP="00CE2918">
      <w:pPr>
        <w:spacing w:line="276" w:lineRule="auto"/>
        <w:jc w:val="center"/>
      </w:pPr>
      <w:r w:rsidRPr="00CE2918">
        <w:t>(Amivantamabas)</w:t>
      </w:r>
    </w:p>
    <w:p w14:paraId="2311FD62" w14:textId="77777777" w:rsidR="00CE2918" w:rsidRPr="00CE2918" w:rsidRDefault="00CE2918" w:rsidP="00477155">
      <w:pPr>
        <w:spacing w:line="276" w:lineRule="auto"/>
        <w:jc w:val="center"/>
        <w:rPr>
          <w:b/>
          <w:bCs/>
        </w:rPr>
      </w:pPr>
    </w:p>
    <w:p w14:paraId="4B37BD02" w14:textId="0970BC35" w:rsidR="00477155" w:rsidRPr="00CE2918" w:rsidRDefault="00477155" w:rsidP="00477155">
      <w:pPr>
        <w:spacing w:line="276" w:lineRule="auto"/>
        <w:jc w:val="center"/>
        <w:rPr>
          <w:b/>
          <w:bCs/>
        </w:rPr>
      </w:pPr>
      <w:r w:rsidRPr="00CE2918">
        <w:rPr>
          <w:b/>
          <w:bCs/>
        </w:rPr>
        <w:t>LA</w:t>
      </w:r>
      <w:r w:rsidR="00F44E82">
        <w:rPr>
          <w:b/>
          <w:bCs/>
        </w:rPr>
        <w:t>Z</w:t>
      </w:r>
      <w:r w:rsidRPr="00CE2918">
        <w:rPr>
          <w:b/>
          <w:bCs/>
        </w:rPr>
        <w:t>CLUZE 80 mg ir 240 mg plėvele dengtos tabletės</w:t>
      </w:r>
    </w:p>
    <w:p w14:paraId="75B3255F" w14:textId="77777777" w:rsidR="00477155" w:rsidRPr="00CE2918" w:rsidRDefault="00477155" w:rsidP="00477155">
      <w:pPr>
        <w:spacing w:line="276" w:lineRule="auto"/>
        <w:jc w:val="center"/>
      </w:pPr>
      <w:r w:rsidRPr="00CE2918">
        <w:t>(Lazertinibas)</w:t>
      </w:r>
    </w:p>
    <w:p w14:paraId="74AD9642" w14:textId="77777777" w:rsidR="00477155" w:rsidRPr="00CE2918" w:rsidRDefault="00477155" w:rsidP="00477155">
      <w:pPr>
        <w:spacing w:line="276" w:lineRule="auto"/>
        <w:jc w:val="center"/>
      </w:pPr>
    </w:p>
    <w:p w14:paraId="426A5FC8" w14:textId="69E97CC1" w:rsidR="00477155" w:rsidRPr="00CE2918" w:rsidRDefault="00477155" w:rsidP="00477155">
      <w:pPr>
        <w:spacing w:line="276" w:lineRule="auto"/>
        <w:jc w:val="center"/>
        <w:rPr>
          <w:b/>
          <w:bCs/>
        </w:rPr>
      </w:pPr>
      <w:r w:rsidRPr="00CE2918">
        <w:rPr>
          <w:b/>
          <w:bCs/>
        </w:rPr>
        <w:t>Paraiškos numeris STV</w:t>
      </w:r>
      <w:r w:rsidR="00CE2918" w:rsidRPr="00CE2918">
        <w:rPr>
          <w:b/>
          <w:bCs/>
        </w:rPr>
        <w:t>-</w:t>
      </w:r>
      <w:r w:rsidRPr="00CE2918">
        <w:rPr>
          <w:b/>
          <w:bCs/>
        </w:rPr>
        <w:t>224</w:t>
      </w:r>
    </w:p>
    <w:p w14:paraId="05E9549A" w14:textId="77777777" w:rsidR="00477155" w:rsidRPr="00CE2918" w:rsidRDefault="00477155" w:rsidP="00477155">
      <w:pPr>
        <w:spacing w:line="276" w:lineRule="auto"/>
        <w:jc w:val="both"/>
      </w:pPr>
    </w:p>
    <w:p w14:paraId="635F3C5C" w14:textId="77777777" w:rsidR="00477155" w:rsidRPr="00CE2918" w:rsidRDefault="00477155" w:rsidP="00477155">
      <w:pPr>
        <w:tabs>
          <w:tab w:val="left" w:pos="284"/>
        </w:tabs>
        <w:spacing w:line="276" w:lineRule="auto"/>
        <w:jc w:val="both"/>
        <w:rPr>
          <w:b/>
          <w:bCs/>
        </w:rPr>
      </w:pPr>
      <w:r w:rsidRPr="00CE2918">
        <w:rPr>
          <w:b/>
          <w:bCs/>
        </w:rPr>
        <w:t>I. BENDROJI DALIS</w:t>
      </w:r>
    </w:p>
    <w:p w14:paraId="579B79E6" w14:textId="77777777" w:rsidR="00477155" w:rsidRPr="00CE2918" w:rsidRDefault="00477155" w:rsidP="00477155">
      <w:pPr>
        <w:spacing w:line="276" w:lineRule="auto"/>
        <w:jc w:val="both"/>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
        <w:gridCol w:w="4117"/>
        <w:gridCol w:w="5096"/>
      </w:tblGrid>
      <w:tr w:rsidR="00CE2918" w:rsidRPr="00CE2918" w14:paraId="2F15A6CC" w14:textId="77777777" w:rsidTr="006715C9">
        <w:trPr>
          <w:trHeight w:val="342"/>
        </w:trPr>
        <w:tc>
          <w:tcPr>
            <w:tcW w:w="705" w:type="dxa"/>
          </w:tcPr>
          <w:p w14:paraId="02A05CA7" w14:textId="77777777" w:rsidR="00477155" w:rsidRPr="00CE2918" w:rsidRDefault="00477155" w:rsidP="006715C9">
            <w:pPr>
              <w:tabs>
                <w:tab w:val="left" w:pos="284"/>
              </w:tabs>
              <w:spacing w:line="276" w:lineRule="auto"/>
              <w:jc w:val="both"/>
              <w:rPr>
                <w:b/>
                <w:bCs/>
              </w:rPr>
            </w:pPr>
            <w:r w:rsidRPr="00CE2918">
              <w:rPr>
                <w:b/>
                <w:bCs/>
              </w:rPr>
              <w:t>1.1</w:t>
            </w:r>
          </w:p>
        </w:tc>
        <w:tc>
          <w:tcPr>
            <w:tcW w:w="4117" w:type="dxa"/>
          </w:tcPr>
          <w:p w14:paraId="5D0F1BF4" w14:textId="77777777" w:rsidR="00477155" w:rsidRPr="00CE2918" w:rsidRDefault="00477155" w:rsidP="006715C9">
            <w:pPr>
              <w:tabs>
                <w:tab w:val="left" w:pos="284"/>
              </w:tabs>
              <w:spacing w:line="276" w:lineRule="auto"/>
              <w:jc w:val="both"/>
              <w:rPr>
                <w:b/>
                <w:bCs/>
              </w:rPr>
            </w:pPr>
            <w:r w:rsidRPr="00CE2918">
              <w:rPr>
                <w:b/>
                <w:bCs/>
              </w:rPr>
              <w:t>Pareiškėjas</w:t>
            </w:r>
          </w:p>
        </w:tc>
        <w:tc>
          <w:tcPr>
            <w:tcW w:w="5096" w:type="dxa"/>
          </w:tcPr>
          <w:p w14:paraId="27B03CB5" w14:textId="77777777" w:rsidR="00477155" w:rsidRPr="00CE2918" w:rsidRDefault="00477155" w:rsidP="006715C9">
            <w:pPr>
              <w:pBdr>
                <w:top w:val="nil"/>
                <w:left w:val="nil"/>
                <w:bottom w:val="nil"/>
                <w:right w:val="nil"/>
                <w:between w:val="nil"/>
              </w:pBdr>
              <w:spacing w:after="120" w:line="276" w:lineRule="auto"/>
              <w:jc w:val="both"/>
            </w:pPr>
            <w:r w:rsidRPr="00CE2918">
              <w:t>UAB „Johnson &amp; Johnson”</w:t>
            </w:r>
          </w:p>
        </w:tc>
      </w:tr>
      <w:tr w:rsidR="00CE2918" w:rsidRPr="00CE2918" w14:paraId="29C4B4D5" w14:textId="77777777" w:rsidTr="006715C9">
        <w:trPr>
          <w:trHeight w:val="479"/>
        </w:trPr>
        <w:tc>
          <w:tcPr>
            <w:tcW w:w="705" w:type="dxa"/>
          </w:tcPr>
          <w:p w14:paraId="6CACBF0B" w14:textId="77777777" w:rsidR="00477155" w:rsidRPr="00CE2918" w:rsidRDefault="00477155" w:rsidP="006715C9">
            <w:pPr>
              <w:tabs>
                <w:tab w:val="left" w:pos="284"/>
              </w:tabs>
              <w:spacing w:line="276" w:lineRule="auto"/>
              <w:jc w:val="both"/>
              <w:rPr>
                <w:b/>
                <w:bCs/>
              </w:rPr>
            </w:pPr>
            <w:r w:rsidRPr="00CE2918">
              <w:rPr>
                <w:b/>
                <w:bCs/>
              </w:rPr>
              <w:t>1.2</w:t>
            </w:r>
          </w:p>
        </w:tc>
        <w:tc>
          <w:tcPr>
            <w:tcW w:w="4117" w:type="dxa"/>
          </w:tcPr>
          <w:p w14:paraId="3A29E828" w14:textId="77777777" w:rsidR="00477155" w:rsidRPr="00CE2918" w:rsidRDefault="00477155" w:rsidP="006715C9">
            <w:pPr>
              <w:tabs>
                <w:tab w:val="left" w:pos="284"/>
              </w:tabs>
              <w:spacing w:line="276" w:lineRule="auto"/>
              <w:jc w:val="both"/>
              <w:rPr>
                <w:b/>
                <w:bCs/>
              </w:rPr>
            </w:pPr>
            <w:r w:rsidRPr="00CE2918">
              <w:rPr>
                <w:b/>
                <w:bCs/>
              </w:rPr>
              <w:t>Registracijos data (EVA)</w:t>
            </w:r>
          </w:p>
          <w:p w14:paraId="74BC1461" w14:textId="77777777" w:rsidR="00477155" w:rsidRPr="00CE2918" w:rsidRDefault="00477155" w:rsidP="006715C9">
            <w:pPr>
              <w:tabs>
                <w:tab w:val="left" w:pos="284"/>
              </w:tabs>
              <w:spacing w:line="276" w:lineRule="auto"/>
              <w:jc w:val="both"/>
            </w:pPr>
          </w:p>
        </w:tc>
        <w:tc>
          <w:tcPr>
            <w:tcW w:w="5096" w:type="dxa"/>
          </w:tcPr>
          <w:p w14:paraId="6E66C2E0" w14:textId="77777777" w:rsidR="00477155" w:rsidRPr="00CE2918" w:rsidRDefault="00477155" w:rsidP="006715C9">
            <w:pPr>
              <w:pBdr>
                <w:top w:val="nil"/>
                <w:left w:val="nil"/>
                <w:bottom w:val="nil"/>
                <w:right w:val="nil"/>
                <w:between w:val="nil"/>
              </w:pBdr>
              <w:spacing w:after="120" w:line="276" w:lineRule="auto"/>
              <w:jc w:val="both"/>
            </w:pPr>
            <w:r w:rsidRPr="00CE2918">
              <w:t>2021 m. gruodžio 9 d. (Amivantamabas)</w:t>
            </w:r>
          </w:p>
          <w:p w14:paraId="774EEC1B" w14:textId="77777777" w:rsidR="00477155" w:rsidRPr="00CE2918" w:rsidRDefault="00477155" w:rsidP="006715C9">
            <w:pPr>
              <w:pBdr>
                <w:top w:val="nil"/>
                <w:left w:val="nil"/>
                <w:bottom w:val="nil"/>
                <w:right w:val="nil"/>
                <w:between w:val="nil"/>
              </w:pBdr>
              <w:spacing w:after="120" w:line="276" w:lineRule="auto"/>
              <w:jc w:val="both"/>
            </w:pPr>
            <w:r w:rsidRPr="00CE2918">
              <w:t>2025 m. sausio 20 d. (Lazertinibas)</w:t>
            </w:r>
          </w:p>
        </w:tc>
      </w:tr>
      <w:tr w:rsidR="00CE2918" w:rsidRPr="00CE2918" w14:paraId="2A76F586" w14:textId="77777777" w:rsidTr="006715C9">
        <w:trPr>
          <w:trHeight w:val="1328"/>
        </w:trPr>
        <w:tc>
          <w:tcPr>
            <w:tcW w:w="705" w:type="dxa"/>
          </w:tcPr>
          <w:p w14:paraId="7A5A0DF1" w14:textId="77777777" w:rsidR="00477155" w:rsidRPr="00CE2918" w:rsidRDefault="00477155" w:rsidP="006715C9">
            <w:pPr>
              <w:tabs>
                <w:tab w:val="left" w:pos="284"/>
              </w:tabs>
              <w:spacing w:line="276" w:lineRule="auto"/>
              <w:jc w:val="both"/>
              <w:rPr>
                <w:b/>
                <w:bCs/>
              </w:rPr>
            </w:pPr>
            <w:r w:rsidRPr="00CE2918">
              <w:rPr>
                <w:b/>
                <w:bCs/>
              </w:rPr>
              <w:t>1.3</w:t>
            </w:r>
          </w:p>
        </w:tc>
        <w:tc>
          <w:tcPr>
            <w:tcW w:w="4117" w:type="dxa"/>
          </w:tcPr>
          <w:p w14:paraId="6BD5CA16" w14:textId="77777777" w:rsidR="00477155" w:rsidRPr="00CE2918" w:rsidRDefault="00477155" w:rsidP="006715C9">
            <w:pPr>
              <w:pBdr>
                <w:top w:val="nil"/>
                <w:left w:val="nil"/>
                <w:bottom w:val="nil"/>
                <w:right w:val="nil"/>
                <w:between w:val="nil"/>
              </w:pBdr>
              <w:spacing w:line="276" w:lineRule="auto"/>
              <w:jc w:val="both"/>
              <w:rPr>
                <w:b/>
                <w:bCs/>
              </w:rPr>
            </w:pPr>
            <w:r w:rsidRPr="00CE2918">
              <w:rPr>
                <w:b/>
                <w:bCs/>
              </w:rPr>
              <w:t xml:space="preserve">Paraiškos tipas </w:t>
            </w:r>
          </w:p>
          <w:p w14:paraId="03B6B1CC" w14:textId="77777777" w:rsidR="00477155" w:rsidRPr="00CE2918" w:rsidRDefault="00477155" w:rsidP="006715C9">
            <w:pPr>
              <w:spacing w:line="276" w:lineRule="auto"/>
              <w:jc w:val="both"/>
              <w:rPr>
                <w:b/>
                <w:bCs/>
              </w:rPr>
            </w:pPr>
            <w:r w:rsidRPr="00CE2918">
              <w:rPr>
                <w:b/>
                <w:bCs/>
              </w:rPr>
              <w:t xml:space="preserve">(pagal </w:t>
            </w:r>
            <w:r w:rsidRPr="00CE2918">
              <w:rPr>
                <w:b/>
                <w:bCs/>
                <w:highlight w:val="white"/>
              </w:rPr>
              <w:t>vaistinio preparato registracijos tipą, įtvirtintą</w:t>
            </w:r>
            <w:r w:rsidRPr="00CE2918">
              <w:rPr>
                <w:b/>
                <w:bCs/>
              </w:rPr>
              <w:t xml:space="preserve"> Direktyvos 2001/83/EB straipsniuose)</w:t>
            </w:r>
          </w:p>
          <w:p w14:paraId="12CF7FB5" w14:textId="77777777" w:rsidR="00477155" w:rsidRPr="00CE2918" w:rsidRDefault="00477155" w:rsidP="006715C9">
            <w:pPr>
              <w:tabs>
                <w:tab w:val="left" w:pos="284"/>
              </w:tabs>
              <w:spacing w:line="276" w:lineRule="auto"/>
              <w:jc w:val="both"/>
              <w:rPr>
                <w:b/>
                <w:bCs/>
              </w:rPr>
            </w:pPr>
          </w:p>
        </w:tc>
        <w:tc>
          <w:tcPr>
            <w:tcW w:w="5096" w:type="dxa"/>
          </w:tcPr>
          <w:p w14:paraId="3D62F6C1" w14:textId="77777777" w:rsidR="00477155" w:rsidRPr="00CE2918" w:rsidRDefault="00477155" w:rsidP="006715C9">
            <w:pPr>
              <w:spacing w:line="276" w:lineRule="auto"/>
              <w:jc w:val="both"/>
            </w:pPr>
            <w:r w:rsidRPr="00CE2918">
              <w:rPr>
                <w:rFonts w:ascii="Arial Unicode MS" w:eastAsia="Arial Unicode MS" w:hAnsi="Arial Unicode MS" w:cs="Arial Unicode MS"/>
              </w:rPr>
              <w:t>☒</w:t>
            </w:r>
            <w:r w:rsidRPr="00CE2918">
              <w:t xml:space="preserve"> 8.3 str. (pilna byla, pagrįsta savais tyrimais) </w:t>
            </w:r>
          </w:p>
          <w:p w14:paraId="18A12634" w14:textId="77777777" w:rsidR="00477155" w:rsidRPr="00CE2918" w:rsidRDefault="00477155" w:rsidP="006715C9">
            <w:pPr>
              <w:spacing w:line="276" w:lineRule="auto"/>
              <w:jc w:val="both"/>
            </w:pPr>
            <w:r w:rsidRPr="00CE2918">
              <w:rPr>
                <w:rFonts w:ascii="Arial Unicode MS" w:eastAsia="Arial Unicode MS" w:hAnsi="Arial Unicode MS" w:cs="Arial Unicode MS"/>
              </w:rPr>
              <w:t>☐</w:t>
            </w:r>
            <w:r w:rsidRPr="00CE2918">
              <w:t xml:space="preserve"> 10 a str. (pripažintas medicininis vartojimas) </w:t>
            </w:r>
          </w:p>
          <w:p w14:paraId="7943556E" w14:textId="77777777" w:rsidR="00477155" w:rsidRPr="00CE2918" w:rsidRDefault="00477155" w:rsidP="006715C9">
            <w:pPr>
              <w:spacing w:line="276" w:lineRule="auto"/>
              <w:jc w:val="both"/>
            </w:pPr>
            <w:r w:rsidRPr="00CE2918">
              <w:rPr>
                <w:rFonts w:ascii="Arial Unicode MS" w:eastAsia="Arial Unicode MS" w:hAnsi="Arial Unicode MS" w:cs="Arial Unicode MS"/>
              </w:rPr>
              <w:t>☐</w:t>
            </w:r>
            <w:r w:rsidRPr="00CE2918">
              <w:t xml:space="preserve"> 10.1 str. (generinis)</w:t>
            </w:r>
          </w:p>
          <w:p w14:paraId="2731542C" w14:textId="77777777" w:rsidR="00477155" w:rsidRPr="00CE2918" w:rsidRDefault="00477155" w:rsidP="006715C9">
            <w:pPr>
              <w:spacing w:line="276" w:lineRule="auto"/>
              <w:jc w:val="both"/>
            </w:pPr>
            <w:r w:rsidRPr="00CE2918">
              <w:rPr>
                <w:rFonts w:ascii="Arial Unicode MS" w:eastAsia="Arial Unicode MS" w:hAnsi="Arial Unicode MS" w:cs="Arial Unicode MS"/>
              </w:rPr>
              <w:t>☐</w:t>
            </w:r>
            <w:r w:rsidRPr="00CE2918">
              <w:t xml:space="preserve"> 10.3 str. (hibridinis)</w:t>
            </w:r>
          </w:p>
        </w:tc>
      </w:tr>
      <w:tr w:rsidR="00CE2918" w:rsidRPr="00CE2918" w14:paraId="13D580C4" w14:textId="77777777" w:rsidTr="006715C9">
        <w:trPr>
          <w:trHeight w:val="1109"/>
        </w:trPr>
        <w:tc>
          <w:tcPr>
            <w:tcW w:w="705" w:type="dxa"/>
          </w:tcPr>
          <w:p w14:paraId="30B5F1D8" w14:textId="77777777" w:rsidR="00477155" w:rsidRPr="00CE2918" w:rsidRDefault="00477155" w:rsidP="006715C9">
            <w:pPr>
              <w:tabs>
                <w:tab w:val="left" w:pos="284"/>
              </w:tabs>
              <w:spacing w:line="276" w:lineRule="auto"/>
              <w:jc w:val="both"/>
              <w:rPr>
                <w:b/>
                <w:bCs/>
              </w:rPr>
            </w:pPr>
            <w:r w:rsidRPr="00CE2918">
              <w:rPr>
                <w:b/>
                <w:bCs/>
              </w:rPr>
              <w:t>1.4</w:t>
            </w:r>
          </w:p>
        </w:tc>
        <w:tc>
          <w:tcPr>
            <w:tcW w:w="4117" w:type="dxa"/>
          </w:tcPr>
          <w:p w14:paraId="4F0BAEFB" w14:textId="77777777" w:rsidR="00477155" w:rsidRPr="00CE2918" w:rsidRDefault="00477155" w:rsidP="006715C9">
            <w:pPr>
              <w:tabs>
                <w:tab w:val="left" w:pos="284"/>
              </w:tabs>
              <w:spacing w:line="276" w:lineRule="auto"/>
              <w:jc w:val="both"/>
              <w:rPr>
                <w:b/>
                <w:bCs/>
              </w:rPr>
            </w:pPr>
            <w:r w:rsidRPr="00CE2918">
              <w:rPr>
                <w:b/>
                <w:bCs/>
              </w:rPr>
              <w:t>Ar vaistinis preparatas įrašytas į Bendrijos retųjų vaistinių preparatų registrą?</w:t>
            </w:r>
          </w:p>
          <w:p w14:paraId="0E449FEA" w14:textId="77777777" w:rsidR="00477155" w:rsidRPr="00CE2918" w:rsidRDefault="00477155" w:rsidP="006715C9">
            <w:pPr>
              <w:tabs>
                <w:tab w:val="left" w:pos="284"/>
              </w:tabs>
              <w:spacing w:line="276" w:lineRule="auto"/>
              <w:jc w:val="both"/>
              <w:rPr>
                <w:b/>
                <w:bCs/>
              </w:rPr>
            </w:pPr>
          </w:p>
        </w:tc>
        <w:tc>
          <w:tcPr>
            <w:tcW w:w="5096" w:type="dxa"/>
          </w:tcPr>
          <w:p w14:paraId="79B7877B" w14:textId="77777777" w:rsidR="00477155" w:rsidRPr="00CE2918" w:rsidRDefault="00477155" w:rsidP="006715C9">
            <w:pPr>
              <w:spacing w:line="276" w:lineRule="auto"/>
              <w:jc w:val="both"/>
            </w:pPr>
            <w:r w:rsidRPr="00CE2918">
              <w:rPr>
                <w:rFonts w:ascii="Arial Unicode MS" w:eastAsia="Arial Unicode MS" w:hAnsi="Arial Unicode MS" w:cs="Arial Unicode MS"/>
              </w:rPr>
              <w:t>☐</w:t>
            </w:r>
            <w:r w:rsidRPr="00CE2918">
              <w:t xml:space="preserve"> Taip</w:t>
            </w:r>
          </w:p>
          <w:p w14:paraId="10D571B9" w14:textId="77777777" w:rsidR="00477155" w:rsidRPr="00CE2918" w:rsidRDefault="00477155" w:rsidP="006715C9">
            <w:pPr>
              <w:spacing w:line="276" w:lineRule="auto"/>
              <w:jc w:val="both"/>
            </w:pPr>
            <w:r w:rsidRPr="00CE2918">
              <w:rPr>
                <w:rFonts w:ascii="Arial Unicode MS" w:eastAsia="Arial Unicode MS" w:hAnsi="Arial Unicode MS" w:cs="Arial Unicode MS"/>
              </w:rPr>
              <w:t>☒</w:t>
            </w:r>
            <w:r w:rsidRPr="00CE2918">
              <w:t xml:space="preserve"> Ne</w:t>
            </w:r>
          </w:p>
          <w:p w14:paraId="67787962" w14:textId="77777777" w:rsidR="00477155" w:rsidRPr="00CE2918" w:rsidRDefault="00477155" w:rsidP="006715C9">
            <w:pPr>
              <w:spacing w:line="276" w:lineRule="auto"/>
              <w:jc w:val="both"/>
              <w:rPr>
                <w:b/>
                <w:bCs/>
              </w:rPr>
            </w:pPr>
            <w:r w:rsidRPr="00CE2918">
              <w:t>Click here to enter a date.</w:t>
            </w:r>
          </w:p>
        </w:tc>
      </w:tr>
      <w:tr w:rsidR="00CE2918" w:rsidRPr="00CE2918" w14:paraId="7E16C8F4" w14:textId="77777777" w:rsidTr="006715C9">
        <w:trPr>
          <w:trHeight w:val="958"/>
        </w:trPr>
        <w:tc>
          <w:tcPr>
            <w:tcW w:w="705" w:type="dxa"/>
            <w:tcBorders>
              <w:bottom w:val="single" w:sz="4" w:space="0" w:color="000000"/>
            </w:tcBorders>
          </w:tcPr>
          <w:p w14:paraId="00B9A2B8" w14:textId="77777777" w:rsidR="00477155" w:rsidRPr="00CE2918" w:rsidRDefault="00477155" w:rsidP="006715C9">
            <w:pPr>
              <w:tabs>
                <w:tab w:val="left" w:pos="284"/>
              </w:tabs>
              <w:spacing w:line="276" w:lineRule="auto"/>
              <w:jc w:val="both"/>
              <w:rPr>
                <w:b/>
                <w:bCs/>
              </w:rPr>
            </w:pPr>
            <w:r w:rsidRPr="00CE2918">
              <w:rPr>
                <w:b/>
                <w:bCs/>
              </w:rPr>
              <w:t>1.5</w:t>
            </w:r>
          </w:p>
        </w:tc>
        <w:tc>
          <w:tcPr>
            <w:tcW w:w="4117" w:type="dxa"/>
            <w:tcBorders>
              <w:bottom w:val="single" w:sz="4" w:space="0" w:color="000000"/>
            </w:tcBorders>
          </w:tcPr>
          <w:p w14:paraId="6CA41334" w14:textId="77777777" w:rsidR="00477155" w:rsidRPr="00CE2918" w:rsidRDefault="00477155" w:rsidP="006715C9">
            <w:pPr>
              <w:tabs>
                <w:tab w:val="left" w:pos="284"/>
              </w:tabs>
              <w:spacing w:line="276" w:lineRule="auto"/>
              <w:jc w:val="both"/>
              <w:rPr>
                <w:b/>
                <w:bCs/>
              </w:rPr>
            </w:pPr>
            <w:r w:rsidRPr="00CE2918">
              <w:rPr>
                <w:b/>
                <w:bCs/>
              </w:rPr>
              <w:t>Pareiškėjo teikiama (-os) kompensuoti preparato indikacija (-os)</w:t>
            </w:r>
          </w:p>
          <w:p w14:paraId="6D81B217" w14:textId="77777777" w:rsidR="00477155" w:rsidRPr="00CE2918" w:rsidRDefault="00477155" w:rsidP="006715C9">
            <w:pPr>
              <w:tabs>
                <w:tab w:val="left" w:pos="284"/>
              </w:tabs>
              <w:spacing w:line="276" w:lineRule="auto"/>
              <w:jc w:val="both"/>
              <w:rPr>
                <w:b/>
                <w:bCs/>
              </w:rPr>
            </w:pPr>
          </w:p>
          <w:p w14:paraId="239A2002" w14:textId="77777777" w:rsidR="00477155" w:rsidRPr="00CE2918" w:rsidRDefault="00477155" w:rsidP="006715C9">
            <w:pPr>
              <w:tabs>
                <w:tab w:val="left" w:pos="284"/>
              </w:tabs>
              <w:spacing w:line="276" w:lineRule="auto"/>
              <w:jc w:val="both"/>
              <w:rPr>
                <w:b/>
                <w:bCs/>
              </w:rPr>
            </w:pPr>
          </w:p>
          <w:p w14:paraId="6ACAA5BF" w14:textId="77777777" w:rsidR="00477155" w:rsidRPr="00CE2918" w:rsidRDefault="00477155" w:rsidP="006715C9">
            <w:pPr>
              <w:tabs>
                <w:tab w:val="left" w:pos="284"/>
              </w:tabs>
              <w:spacing w:line="276" w:lineRule="auto"/>
              <w:jc w:val="both"/>
              <w:rPr>
                <w:b/>
                <w:bCs/>
              </w:rPr>
            </w:pPr>
          </w:p>
          <w:p w14:paraId="7B4572FD" w14:textId="77777777" w:rsidR="00477155" w:rsidRPr="00CE2918" w:rsidRDefault="00477155" w:rsidP="006715C9">
            <w:pPr>
              <w:tabs>
                <w:tab w:val="left" w:pos="284"/>
              </w:tabs>
              <w:spacing w:line="276" w:lineRule="auto"/>
              <w:jc w:val="both"/>
              <w:rPr>
                <w:b/>
                <w:bCs/>
              </w:rPr>
            </w:pPr>
          </w:p>
          <w:p w14:paraId="3259559D" w14:textId="77777777" w:rsidR="00477155" w:rsidRPr="00CE2918" w:rsidRDefault="00477155" w:rsidP="006715C9">
            <w:pPr>
              <w:tabs>
                <w:tab w:val="left" w:pos="284"/>
              </w:tabs>
              <w:spacing w:line="276" w:lineRule="auto"/>
              <w:jc w:val="both"/>
              <w:rPr>
                <w:b/>
                <w:bCs/>
              </w:rPr>
            </w:pPr>
          </w:p>
          <w:p w14:paraId="28362BB2" w14:textId="77777777" w:rsidR="00477155" w:rsidRPr="00CE2918" w:rsidRDefault="00477155" w:rsidP="006715C9">
            <w:pPr>
              <w:tabs>
                <w:tab w:val="left" w:pos="284"/>
              </w:tabs>
              <w:spacing w:line="276" w:lineRule="auto"/>
              <w:jc w:val="both"/>
              <w:rPr>
                <w:b/>
                <w:bCs/>
              </w:rPr>
            </w:pPr>
            <w:r w:rsidRPr="00CE2918">
              <w:rPr>
                <w:b/>
                <w:bCs/>
              </w:rPr>
              <w:t xml:space="preserve">Kodas pagal TLK-10 AM  </w:t>
            </w:r>
          </w:p>
        </w:tc>
        <w:tc>
          <w:tcPr>
            <w:tcW w:w="5096" w:type="dxa"/>
            <w:tcBorders>
              <w:bottom w:val="single" w:sz="4" w:space="0" w:color="000000"/>
            </w:tcBorders>
          </w:tcPr>
          <w:p w14:paraId="41372654" w14:textId="77777777" w:rsidR="00477155" w:rsidRPr="00CE2918" w:rsidRDefault="00477155" w:rsidP="006715C9">
            <w:pPr>
              <w:pBdr>
                <w:top w:val="nil"/>
                <w:left w:val="nil"/>
                <w:bottom w:val="nil"/>
                <w:right w:val="nil"/>
                <w:between w:val="nil"/>
              </w:pBdr>
              <w:spacing w:after="120" w:line="276" w:lineRule="auto"/>
              <w:jc w:val="both"/>
            </w:pPr>
            <w:r w:rsidRPr="00CE2918">
              <w:lastRenderedPageBreak/>
              <w:t>Rybrevant yra skirtas suaugusių pacientų, sergančių išplitusiu nesmulkialąsteliniu plaučių vėžiu (NSLPV) su epidermio augimo faktoriaus receptoriaus (EAFR) 19 egzono delecijomis arba 21 egzono L858R substitucijos mutacijomis, pirmos eilės gydymui kartu su lazertinibu.</w:t>
            </w:r>
          </w:p>
          <w:p w14:paraId="7BC6361C" w14:textId="77777777" w:rsidR="00477155" w:rsidRPr="00CE2918" w:rsidRDefault="00477155" w:rsidP="006715C9">
            <w:pPr>
              <w:pBdr>
                <w:top w:val="nil"/>
                <w:left w:val="nil"/>
                <w:bottom w:val="nil"/>
                <w:right w:val="nil"/>
                <w:between w:val="nil"/>
              </w:pBdr>
              <w:spacing w:after="120" w:line="276" w:lineRule="auto"/>
              <w:jc w:val="both"/>
            </w:pPr>
            <w:r w:rsidRPr="00CE2918">
              <w:lastRenderedPageBreak/>
              <w:t>C34</w:t>
            </w:r>
          </w:p>
        </w:tc>
      </w:tr>
      <w:tr w:rsidR="00CE2918" w:rsidRPr="00CE2918" w14:paraId="58DE2D6F" w14:textId="77777777" w:rsidTr="006715C9">
        <w:trPr>
          <w:trHeight w:val="479"/>
        </w:trPr>
        <w:tc>
          <w:tcPr>
            <w:tcW w:w="705" w:type="dxa"/>
            <w:tcBorders>
              <w:top w:val="single" w:sz="4" w:space="0" w:color="000000"/>
              <w:left w:val="single" w:sz="4" w:space="0" w:color="000000"/>
              <w:bottom w:val="single" w:sz="4" w:space="0" w:color="000000"/>
              <w:right w:val="single" w:sz="4" w:space="0" w:color="000000"/>
            </w:tcBorders>
          </w:tcPr>
          <w:p w14:paraId="4B28315A" w14:textId="77777777" w:rsidR="00477155" w:rsidRPr="00CE2918" w:rsidRDefault="00477155" w:rsidP="006715C9">
            <w:pPr>
              <w:tabs>
                <w:tab w:val="left" w:pos="284"/>
              </w:tabs>
              <w:spacing w:line="276" w:lineRule="auto"/>
              <w:jc w:val="both"/>
              <w:rPr>
                <w:b/>
                <w:bCs/>
              </w:rPr>
            </w:pPr>
            <w:r w:rsidRPr="00CE2918">
              <w:rPr>
                <w:b/>
                <w:bCs/>
              </w:rPr>
              <w:lastRenderedPageBreak/>
              <w:t>1.6</w:t>
            </w:r>
          </w:p>
        </w:tc>
        <w:tc>
          <w:tcPr>
            <w:tcW w:w="4117" w:type="dxa"/>
            <w:tcBorders>
              <w:top w:val="single" w:sz="4" w:space="0" w:color="000000"/>
              <w:left w:val="single" w:sz="4" w:space="0" w:color="000000"/>
              <w:bottom w:val="single" w:sz="4" w:space="0" w:color="000000"/>
              <w:right w:val="single" w:sz="4" w:space="0" w:color="000000"/>
            </w:tcBorders>
          </w:tcPr>
          <w:p w14:paraId="5FFA1525" w14:textId="77777777" w:rsidR="00477155" w:rsidRPr="00CE2918" w:rsidRDefault="00477155" w:rsidP="006715C9">
            <w:pPr>
              <w:tabs>
                <w:tab w:val="left" w:pos="284"/>
              </w:tabs>
              <w:spacing w:line="276" w:lineRule="auto"/>
              <w:jc w:val="both"/>
              <w:rPr>
                <w:u w:val="single"/>
              </w:rPr>
            </w:pPr>
            <w:r w:rsidRPr="00CE2918">
              <w:rPr>
                <w:b/>
                <w:bCs/>
              </w:rPr>
              <w:t xml:space="preserve">Pareiškėjo teikiamos skyrimo sąlygos </w:t>
            </w:r>
          </w:p>
        </w:tc>
        <w:tc>
          <w:tcPr>
            <w:tcW w:w="5096" w:type="dxa"/>
            <w:tcBorders>
              <w:top w:val="single" w:sz="4" w:space="0" w:color="000000"/>
              <w:left w:val="single" w:sz="4" w:space="0" w:color="000000"/>
              <w:bottom w:val="single" w:sz="4" w:space="0" w:color="000000"/>
              <w:right w:val="single" w:sz="4" w:space="0" w:color="000000"/>
            </w:tcBorders>
          </w:tcPr>
          <w:p w14:paraId="180A2946" w14:textId="77777777" w:rsidR="00477155" w:rsidRPr="00CE2918" w:rsidRDefault="00477155" w:rsidP="006715C9">
            <w:pPr>
              <w:pBdr>
                <w:top w:val="nil"/>
                <w:left w:val="nil"/>
                <w:bottom w:val="nil"/>
                <w:right w:val="nil"/>
                <w:between w:val="nil"/>
              </w:pBdr>
              <w:spacing w:after="120" w:line="276" w:lineRule="auto"/>
              <w:jc w:val="both"/>
            </w:pPr>
            <w:r w:rsidRPr="00CE2918">
              <w:t>Neteikiamos</w:t>
            </w:r>
          </w:p>
        </w:tc>
      </w:tr>
      <w:tr w:rsidR="00CE2918" w:rsidRPr="00CE2918" w14:paraId="542AAD68" w14:textId="77777777" w:rsidTr="006715C9">
        <w:trPr>
          <w:trHeight w:val="479"/>
        </w:trPr>
        <w:tc>
          <w:tcPr>
            <w:tcW w:w="705" w:type="dxa"/>
            <w:tcBorders>
              <w:top w:val="single" w:sz="4" w:space="0" w:color="000000"/>
              <w:left w:val="single" w:sz="4" w:space="0" w:color="000000"/>
              <w:bottom w:val="single" w:sz="4" w:space="0" w:color="000000"/>
              <w:right w:val="single" w:sz="4" w:space="0" w:color="000000"/>
            </w:tcBorders>
          </w:tcPr>
          <w:p w14:paraId="5E81CE58" w14:textId="77777777" w:rsidR="00477155" w:rsidRPr="00CE2918" w:rsidRDefault="00477155" w:rsidP="006715C9">
            <w:pPr>
              <w:tabs>
                <w:tab w:val="left" w:pos="284"/>
              </w:tabs>
              <w:spacing w:line="276" w:lineRule="auto"/>
              <w:jc w:val="both"/>
              <w:rPr>
                <w:b/>
                <w:bCs/>
              </w:rPr>
            </w:pPr>
            <w:r w:rsidRPr="00CE2918">
              <w:rPr>
                <w:b/>
                <w:bCs/>
              </w:rPr>
              <w:t>1.7</w:t>
            </w:r>
          </w:p>
        </w:tc>
        <w:tc>
          <w:tcPr>
            <w:tcW w:w="4117" w:type="dxa"/>
            <w:tcBorders>
              <w:top w:val="single" w:sz="4" w:space="0" w:color="000000"/>
              <w:left w:val="single" w:sz="4" w:space="0" w:color="000000"/>
              <w:bottom w:val="single" w:sz="4" w:space="0" w:color="000000"/>
              <w:right w:val="single" w:sz="4" w:space="0" w:color="000000"/>
            </w:tcBorders>
          </w:tcPr>
          <w:p w14:paraId="34D5E9B3" w14:textId="77777777" w:rsidR="00477155" w:rsidRPr="00CE2918" w:rsidRDefault="00477155" w:rsidP="006715C9">
            <w:pPr>
              <w:tabs>
                <w:tab w:val="left" w:pos="284"/>
              </w:tabs>
              <w:spacing w:line="276" w:lineRule="auto"/>
              <w:jc w:val="both"/>
              <w:rPr>
                <w:b/>
                <w:bCs/>
              </w:rPr>
            </w:pPr>
            <w:r w:rsidRPr="00CE2918">
              <w:rPr>
                <w:b/>
                <w:bCs/>
              </w:rPr>
              <w:t>STV paraiškos pobūdis</w:t>
            </w:r>
          </w:p>
        </w:tc>
        <w:tc>
          <w:tcPr>
            <w:tcW w:w="5096" w:type="dxa"/>
            <w:tcBorders>
              <w:top w:val="single" w:sz="4" w:space="0" w:color="000000"/>
              <w:left w:val="single" w:sz="4" w:space="0" w:color="000000"/>
              <w:bottom w:val="single" w:sz="4" w:space="0" w:color="000000"/>
              <w:right w:val="single" w:sz="4" w:space="0" w:color="000000"/>
            </w:tcBorders>
          </w:tcPr>
          <w:p w14:paraId="0D7348CE" w14:textId="77777777" w:rsidR="00477155" w:rsidRPr="00CE2918" w:rsidRDefault="00477155" w:rsidP="006715C9">
            <w:pPr>
              <w:spacing w:line="276" w:lineRule="auto"/>
              <w:jc w:val="both"/>
            </w:pPr>
            <w:r w:rsidRPr="00CE2918">
              <w:rPr>
                <w:rFonts w:ascii="Arial Unicode MS" w:eastAsia="Arial Unicode MS" w:hAnsi="Arial Unicode MS" w:cs="Arial Unicode MS"/>
              </w:rPr>
              <w:t>☒</w:t>
            </w:r>
            <w:r w:rsidRPr="00CE2918">
              <w:t xml:space="preserve"> Pilna paraiška</w:t>
            </w:r>
          </w:p>
          <w:p w14:paraId="1ABCB2F9" w14:textId="77777777" w:rsidR="00477155" w:rsidRPr="00CE2918" w:rsidRDefault="00477155" w:rsidP="006715C9">
            <w:pPr>
              <w:spacing w:line="276" w:lineRule="auto"/>
              <w:jc w:val="both"/>
            </w:pPr>
            <w:r w:rsidRPr="00CE2918">
              <w:rPr>
                <w:rFonts w:ascii="Arial Unicode MS" w:eastAsia="Arial Unicode MS" w:hAnsi="Arial Unicode MS" w:cs="Arial Unicode MS"/>
              </w:rPr>
              <w:t>☐</w:t>
            </w:r>
            <w:r w:rsidRPr="00CE2918">
              <w:t xml:space="preserve"> Supaprastinta paraiška</w:t>
            </w:r>
          </w:p>
        </w:tc>
      </w:tr>
      <w:tr w:rsidR="00CE2918" w:rsidRPr="00CE2918" w14:paraId="0D40AAED" w14:textId="77777777" w:rsidTr="006715C9">
        <w:trPr>
          <w:trHeight w:val="479"/>
        </w:trPr>
        <w:tc>
          <w:tcPr>
            <w:tcW w:w="705" w:type="dxa"/>
            <w:tcBorders>
              <w:top w:val="single" w:sz="4" w:space="0" w:color="000000"/>
              <w:left w:val="single" w:sz="4" w:space="0" w:color="000000"/>
              <w:bottom w:val="single" w:sz="4" w:space="0" w:color="000000"/>
              <w:right w:val="single" w:sz="4" w:space="0" w:color="000000"/>
            </w:tcBorders>
          </w:tcPr>
          <w:p w14:paraId="044B5C68" w14:textId="77777777" w:rsidR="00477155" w:rsidRPr="00CE2918" w:rsidRDefault="00477155" w:rsidP="006715C9">
            <w:pPr>
              <w:tabs>
                <w:tab w:val="left" w:pos="284"/>
              </w:tabs>
              <w:spacing w:line="276" w:lineRule="auto"/>
              <w:jc w:val="both"/>
              <w:rPr>
                <w:b/>
                <w:bCs/>
              </w:rPr>
            </w:pPr>
            <w:r w:rsidRPr="00CE2918">
              <w:rPr>
                <w:b/>
                <w:bCs/>
              </w:rPr>
              <w:t>1.8</w:t>
            </w:r>
          </w:p>
        </w:tc>
        <w:tc>
          <w:tcPr>
            <w:tcW w:w="4117" w:type="dxa"/>
            <w:tcBorders>
              <w:top w:val="single" w:sz="4" w:space="0" w:color="000000"/>
              <w:left w:val="single" w:sz="4" w:space="0" w:color="000000"/>
              <w:bottom w:val="single" w:sz="4" w:space="0" w:color="000000"/>
              <w:right w:val="single" w:sz="4" w:space="0" w:color="000000"/>
            </w:tcBorders>
          </w:tcPr>
          <w:p w14:paraId="5A24AB4A" w14:textId="77777777" w:rsidR="00477155" w:rsidRPr="00CE2918" w:rsidRDefault="00477155" w:rsidP="006715C9">
            <w:pPr>
              <w:tabs>
                <w:tab w:val="left" w:pos="284"/>
              </w:tabs>
              <w:spacing w:line="276" w:lineRule="auto"/>
              <w:jc w:val="both"/>
              <w:rPr>
                <w:b/>
                <w:bCs/>
              </w:rPr>
            </w:pPr>
            <w:r w:rsidRPr="00CE2918">
              <w:rPr>
                <w:b/>
                <w:bCs/>
              </w:rPr>
              <w:t xml:space="preserve">Klinikinių tyrimų tipas </w:t>
            </w:r>
          </w:p>
        </w:tc>
        <w:tc>
          <w:tcPr>
            <w:tcW w:w="5096" w:type="dxa"/>
            <w:tcBorders>
              <w:top w:val="single" w:sz="4" w:space="0" w:color="000000"/>
              <w:left w:val="single" w:sz="4" w:space="0" w:color="000000"/>
              <w:bottom w:val="single" w:sz="4" w:space="0" w:color="000000"/>
              <w:right w:val="single" w:sz="4" w:space="0" w:color="000000"/>
            </w:tcBorders>
          </w:tcPr>
          <w:p w14:paraId="4BCC27D9" w14:textId="77777777" w:rsidR="00477155" w:rsidRPr="00CE2918" w:rsidRDefault="00477155" w:rsidP="006715C9">
            <w:pPr>
              <w:spacing w:line="276" w:lineRule="auto"/>
              <w:jc w:val="both"/>
            </w:pPr>
            <w:r w:rsidRPr="00CE2918">
              <w:rPr>
                <w:rFonts w:ascii="Arial Unicode MS" w:eastAsia="Arial Unicode MS" w:hAnsi="Arial Unicode MS" w:cs="Arial Unicode MS"/>
              </w:rPr>
              <w:t>☒</w:t>
            </w:r>
            <w:r w:rsidRPr="00CE2918">
              <w:t xml:space="preserve"> Tiesioginis palyginimas</w:t>
            </w:r>
          </w:p>
          <w:p w14:paraId="7221943C" w14:textId="77777777" w:rsidR="00477155" w:rsidRPr="00CE2918" w:rsidRDefault="00477155" w:rsidP="006715C9">
            <w:pPr>
              <w:spacing w:line="276" w:lineRule="auto"/>
              <w:jc w:val="both"/>
            </w:pPr>
            <w:r w:rsidRPr="00CE2918">
              <w:rPr>
                <w:rFonts w:ascii="Arial Unicode MS" w:eastAsia="Arial Unicode MS" w:hAnsi="Arial Unicode MS" w:cs="Arial Unicode MS"/>
              </w:rPr>
              <w:t>☐</w:t>
            </w:r>
            <w:r w:rsidRPr="00CE2918">
              <w:t xml:space="preserve"> Netiesioginis palyginimas</w:t>
            </w:r>
          </w:p>
        </w:tc>
      </w:tr>
      <w:tr w:rsidR="00CE2918" w:rsidRPr="00CE2918" w14:paraId="12350D95" w14:textId="77777777" w:rsidTr="006715C9">
        <w:trPr>
          <w:trHeight w:val="479"/>
        </w:trPr>
        <w:tc>
          <w:tcPr>
            <w:tcW w:w="705" w:type="dxa"/>
            <w:tcBorders>
              <w:top w:val="single" w:sz="4" w:space="0" w:color="000000"/>
              <w:left w:val="single" w:sz="4" w:space="0" w:color="000000"/>
              <w:bottom w:val="single" w:sz="4" w:space="0" w:color="000000"/>
              <w:right w:val="single" w:sz="4" w:space="0" w:color="000000"/>
            </w:tcBorders>
          </w:tcPr>
          <w:p w14:paraId="04E9F395" w14:textId="77777777" w:rsidR="00477155" w:rsidRPr="00CE2918" w:rsidRDefault="00477155" w:rsidP="006715C9">
            <w:pPr>
              <w:tabs>
                <w:tab w:val="left" w:pos="284"/>
              </w:tabs>
              <w:spacing w:line="276" w:lineRule="auto"/>
              <w:jc w:val="both"/>
              <w:rPr>
                <w:b/>
                <w:bCs/>
              </w:rPr>
            </w:pPr>
            <w:r w:rsidRPr="00CE2918">
              <w:rPr>
                <w:b/>
                <w:bCs/>
              </w:rPr>
              <w:t>1.9</w:t>
            </w:r>
          </w:p>
        </w:tc>
        <w:tc>
          <w:tcPr>
            <w:tcW w:w="4117" w:type="dxa"/>
            <w:tcBorders>
              <w:top w:val="single" w:sz="4" w:space="0" w:color="000000"/>
              <w:left w:val="single" w:sz="4" w:space="0" w:color="000000"/>
              <w:bottom w:val="single" w:sz="4" w:space="0" w:color="000000"/>
              <w:right w:val="single" w:sz="4" w:space="0" w:color="000000"/>
            </w:tcBorders>
          </w:tcPr>
          <w:p w14:paraId="1E32586C" w14:textId="77777777" w:rsidR="00477155" w:rsidRPr="00CE2918" w:rsidRDefault="00477155" w:rsidP="006715C9">
            <w:pPr>
              <w:tabs>
                <w:tab w:val="left" w:pos="284"/>
              </w:tabs>
              <w:spacing w:line="276" w:lineRule="auto"/>
              <w:jc w:val="both"/>
              <w:rPr>
                <w:b/>
                <w:bCs/>
              </w:rPr>
            </w:pPr>
            <w:r w:rsidRPr="00CE2918">
              <w:rPr>
                <w:b/>
                <w:bCs/>
              </w:rPr>
              <w:t>Ekonominės analizės rūšis</w:t>
            </w:r>
          </w:p>
        </w:tc>
        <w:tc>
          <w:tcPr>
            <w:tcW w:w="5096" w:type="dxa"/>
            <w:tcBorders>
              <w:top w:val="single" w:sz="4" w:space="0" w:color="000000"/>
              <w:left w:val="single" w:sz="4" w:space="0" w:color="000000"/>
              <w:bottom w:val="single" w:sz="4" w:space="0" w:color="000000"/>
              <w:right w:val="single" w:sz="4" w:space="0" w:color="000000"/>
            </w:tcBorders>
          </w:tcPr>
          <w:p w14:paraId="0C76F10B" w14:textId="77777777" w:rsidR="00477155" w:rsidRPr="00CE2918" w:rsidRDefault="00477155" w:rsidP="006715C9">
            <w:pPr>
              <w:spacing w:line="276" w:lineRule="auto"/>
              <w:jc w:val="both"/>
            </w:pPr>
            <w:r w:rsidRPr="00CE2918">
              <w:rPr>
                <w:rFonts w:ascii="Arial Unicode MS" w:eastAsia="Arial Unicode MS" w:hAnsi="Arial Unicode MS" w:cs="Arial Unicode MS"/>
              </w:rPr>
              <w:t>☒</w:t>
            </w:r>
            <w:r w:rsidRPr="00CE2918">
              <w:t xml:space="preserve"> Kaštų naudingumo analizė</w:t>
            </w:r>
          </w:p>
          <w:p w14:paraId="4A09E340" w14:textId="77777777" w:rsidR="00477155" w:rsidRPr="00CE2918" w:rsidRDefault="00477155" w:rsidP="006715C9">
            <w:pPr>
              <w:spacing w:line="276" w:lineRule="auto"/>
              <w:jc w:val="both"/>
            </w:pPr>
            <w:r w:rsidRPr="00CE2918">
              <w:rPr>
                <w:rFonts w:ascii="Arial Unicode MS" w:eastAsia="Arial Unicode MS" w:hAnsi="Arial Unicode MS" w:cs="Arial Unicode MS"/>
              </w:rPr>
              <w:t>☐</w:t>
            </w:r>
            <w:r w:rsidRPr="00CE2918">
              <w:t xml:space="preserve"> Kaštų mažinimo analizė</w:t>
            </w:r>
          </w:p>
          <w:p w14:paraId="785FE730" w14:textId="77777777" w:rsidR="00477155" w:rsidRPr="00CE2918" w:rsidRDefault="00477155" w:rsidP="006715C9">
            <w:pPr>
              <w:spacing w:line="276" w:lineRule="auto"/>
              <w:jc w:val="both"/>
            </w:pPr>
            <w:r w:rsidRPr="00CE2918">
              <w:rPr>
                <w:rFonts w:ascii="Arial Unicode MS" w:eastAsia="Arial Unicode MS" w:hAnsi="Arial Unicode MS" w:cs="Arial Unicode MS"/>
              </w:rPr>
              <w:t>☐</w:t>
            </w:r>
            <w:r w:rsidRPr="00CE2918">
              <w:t xml:space="preserve"> Kita: _________________ </w:t>
            </w:r>
          </w:p>
        </w:tc>
      </w:tr>
    </w:tbl>
    <w:p w14:paraId="1020300A" w14:textId="77777777" w:rsidR="00477155" w:rsidRPr="00CE2918" w:rsidRDefault="00477155" w:rsidP="003B211A">
      <w:pPr>
        <w:jc w:val="center"/>
        <w:rPr>
          <w:b/>
          <w:bCs/>
          <w:caps/>
        </w:rPr>
      </w:pPr>
    </w:p>
    <w:p w14:paraId="34E4395D" w14:textId="15FB10DF" w:rsidR="00B13D65" w:rsidRPr="00CE2918" w:rsidRDefault="00B13D65" w:rsidP="003B211A">
      <w:pPr>
        <w:jc w:val="center"/>
        <w:rPr>
          <w:b/>
        </w:rPr>
      </w:pPr>
    </w:p>
    <w:p w14:paraId="5055E8A8" w14:textId="3C691240" w:rsidR="002E6F80" w:rsidRPr="00CE2918" w:rsidRDefault="00CC7832" w:rsidP="00CC09D4">
      <w:pPr>
        <w:pStyle w:val="ListParagraph"/>
        <w:numPr>
          <w:ilvl w:val="0"/>
          <w:numId w:val="12"/>
        </w:numPr>
        <w:tabs>
          <w:tab w:val="left" w:pos="567"/>
        </w:tabs>
        <w:ind w:hanging="720"/>
        <w:rPr>
          <w:b/>
          <w:bCs/>
          <w:caps/>
        </w:rPr>
      </w:pPr>
      <w:r w:rsidRPr="00CE2918">
        <w:rPr>
          <w:b/>
          <w:bCs/>
          <w:caps/>
        </w:rPr>
        <w:t>Klinikinio vertinimo a</w:t>
      </w:r>
      <w:r w:rsidR="00D4485B" w:rsidRPr="00CE2918">
        <w:rPr>
          <w:b/>
          <w:bCs/>
          <w:caps/>
        </w:rPr>
        <w:t>pibendrinimas</w:t>
      </w:r>
    </w:p>
    <w:p w14:paraId="650150A2" w14:textId="529084F0" w:rsidR="00D12869" w:rsidRPr="00CE2918" w:rsidRDefault="00D12869" w:rsidP="00477155">
      <w:pPr>
        <w:tabs>
          <w:tab w:val="left" w:pos="284"/>
        </w:tabs>
        <w:rPr>
          <w:i/>
        </w:rPr>
      </w:pPr>
    </w:p>
    <w:p w14:paraId="710F3720" w14:textId="2CBDDE84" w:rsidR="00477155" w:rsidRPr="00CE2918" w:rsidRDefault="006B6FC8" w:rsidP="00477155">
      <w:pPr>
        <w:tabs>
          <w:tab w:val="left" w:pos="426"/>
        </w:tabs>
        <w:spacing w:line="276" w:lineRule="auto"/>
        <w:jc w:val="both"/>
      </w:pPr>
      <w:r>
        <w:tab/>
      </w:r>
      <w:bookmarkStart w:id="1" w:name="_Hlk217343178"/>
      <w:r w:rsidR="00477155" w:rsidRPr="00CE2918">
        <w:t>Plaučių vėžys yra dažniausiai nustatomas piktybinis navikas pasaulyje, nusinešantis daugiausiai gyvybių, lyginant su kitomis onkologinėmis ligomis.  Remiantis 2018 m. tarptautiniais vėžio stebėjimo (GLOBOCAN) duomenimis, plaučių vėžys buvo dažniausiai diagnozuojamas piktybinis navikas pasaulyje (daugiau nei 2 mln. naujų atvejų arba 11,6 proc. visų onkologinių ligų), pirmavęs tarp mirties priežasčių, lyginant su kitų organų piktybiniais navikais (beveik 1,8 mln. mirčių 18,4 proc. visų onkologinių ligų), 2022 m. duomenims, plaučių vėžys sudarė didžiausią dalį, 12,4 proc. visų vėžio atvejų pasaulyje. Lietuvoje plaučių vėžys taip pat yra viena iš dažniausių onkologinių ligų, lemianti didžiausią mirštamumą. Remiantis Higienos instituto, Lietuvos vėžio registro duomenimis, kasmet stebima didėjanti sergamumo plaučių vėžiu tendencija Lietuvoje. 2021 m. sergančių broncho ir plaučio navikais buvo iš viso 4302 gyventojų, t.y. 1,54 sergančiųjų 1000 gyventojų. 2022 m. sergančių broncho ir plaučio navikais buvo iš viso 4487 gyventojų, t.y. 1,58 sergančiųjų 1000 gyventojų.</w:t>
      </w:r>
    </w:p>
    <w:p w14:paraId="6FC2B06C" w14:textId="40C4A37E" w:rsidR="00477155" w:rsidRPr="00CE2918" w:rsidRDefault="006B6FC8" w:rsidP="00477155">
      <w:pPr>
        <w:tabs>
          <w:tab w:val="left" w:pos="426"/>
        </w:tabs>
        <w:spacing w:line="276" w:lineRule="auto"/>
        <w:jc w:val="both"/>
      </w:pPr>
      <w:r>
        <w:tab/>
      </w:r>
      <w:r w:rsidR="00477155" w:rsidRPr="00CE2918">
        <w:t>EGFR mutacijos - epidermio augimo faktoriaus receptoriaus (EGFR) tirozino kinazės mutacijos</w:t>
      </w:r>
      <w:r w:rsidR="00C66E17">
        <w:t xml:space="preserve">. </w:t>
      </w:r>
      <w:r w:rsidR="00477155" w:rsidRPr="00CE2918">
        <w:t xml:space="preserve">EGFR 19 egzono delecijos ir 21 egzono L858R substitucijos yra dažniausios EGFR geno mutacijos, jos sudaro 85 proc. visų EGFR geno mutacijų. Esant pažengusiam NSLPV, EGFR mutacijos buvimas lemia palankesnę prognozę ir stipriai prognozuoja jautrumą EGFR TKI, todėl EGFR teigiamo NSLPV atveju taikinių terapija turėtų būti taikoma anksčiau nei chemoterapija ir imunoterapija. </w:t>
      </w:r>
    </w:p>
    <w:p w14:paraId="127B8019" w14:textId="5E68308E" w:rsidR="00477155" w:rsidRPr="00CE2918" w:rsidRDefault="00711F15" w:rsidP="00477155">
      <w:pPr>
        <w:tabs>
          <w:tab w:val="left" w:pos="426"/>
        </w:tabs>
        <w:spacing w:line="276" w:lineRule="auto"/>
        <w:jc w:val="both"/>
      </w:pPr>
      <w:r>
        <w:t>L</w:t>
      </w:r>
      <w:r w:rsidRPr="00C66E17">
        <w:t xml:space="preserve">ietuvos </w:t>
      </w:r>
      <w:r>
        <w:t>R</w:t>
      </w:r>
      <w:r w:rsidRPr="00C66E17">
        <w:t>espublikos sveikatos apsaugos ministr</w:t>
      </w:r>
      <w:r w:rsidR="005C2D08">
        <w:t>o</w:t>
      </w:r>
      <w:r>
        <w:t xml:space="preserve"> </w:t>
      </w:r>
      <w:r w:rsidRPr="00C66E17">
        <w:t>įsakym</w:t>
      </w:r>
      <w:r>
        <w:t>e „D</w:t>
      </w:r>
      <w:r w:rsidRPr="00C66E17">
        <w:t>ėl plaučių vėžio ambulatorinio gydymo, kurio išlaidos kompensuojamos iš privalomojo sveikatos draudimo fondo biudžeto, tvarkos aprašo patvirtinimo</w:t>
      </w:r>
      <w:r>
        <w:t xml:space="preserve">“ </w:t>
      </w:r>
      <w:r w:rsidRPr="00711F15">
        <w:t xml:space="preserve">2009 m. vasario 20 d. </w:t>
      </w:r>
      <w:r>
        <w:t>N</w:t>
      </w:r>
      <w:r w:rsidRPr="00711F15">
        <w:t xml:space="preserve">r. </w:t>
      </w:r>
      <w:r>
        <w:t>V</w:t>
      </w:r>
      <w:r w:rsidRPr="00711F15">
        <w:t>-127</w:t>
      </w:r>
      <w:r w:rsidR="005C2D08">
        <w:t xml:space="preserve"> </w:t>
      </w:r>
      <w:r w:rsidR="00477155" w:rsidRPr="00CE2918">
        <w:t xml:space="preserve"> aprašytas gydymas apima lokaliai išplitusio ar metastazavusio nesmulkialąstelinio plaučių vėžio gydymą, skiriant EGFR tirozinkinazės inhibitorius pacientams, kuriems nustatytos aktyvinančios EGFR mutacijos (pvz., gefitinibą, erlotinibą, afatinibą, osimertinibą). </w:t>
      </w:r>
    </w:p>
    <w:p w14:paraId="1142CC57" w14:textId="4745185E" w:rsidR="00477155" w:rsidRPr="00CE2918" w:rsidRDefault="006B6FC8" w:rsidP="00477155">
      <w:pPr>
        <w:tabs>
          <w:tab w:val="left" w:pos="426"/>
        </w:tabs>
        <w:spacing w:line="276" w:lineRule="auto"/>
        <w:jc w:val="both"/>
      </w:pPr>
      <w:r>
        <w:tab/>
      </w:r>
      <w:r w:rsidR="00477155" w:rsidRPr="00CE2918">
        <w:t xml:space="preserve">Remiantis Europos medicininės onkologijos draugijos (angl. </w:t>
      </w:r>
      <w:r w:rsidR="00477155" w:rsidRPr="00CE2918">
        <w:rPr>
          <w:i/>
          <w:iCs/>
        </w:rPr>
        <w:t>European Society for Medical Oncology</w:t>
      </w:r>
      <w:r w:rsidR="00477155" w:rsidRPr="00CE2918">
        <w:t>, ESMO) gairėmis (2023 m., atnaujinta 2025 m. sausio mėn.), išplitusiam nesmulkialąsteliniam plaučių vėžiui (NSLPV) su EGFR aktyvinančiomis mutacijomis pirmos eilės gydymui rekomenduojama skirti amivantamabo ir lazertinibo kombinaciją, I A lygio rekomendacija.</w:t>
      </w:r>
    </w:p>
    <w:p w14:paraId="61950A5B" w14:textId="77777777" w:rsidR="00477155" w:rsidRPr="00CE2918" w:rsidRDefault="00477155" w:rsidP="00477155">
      <w:pPr>
        <w:spacing w:line="276" w:lineRule="auto"/>
        <w:jc w:val="both"/>
      </w:pPr>
      <w:r w:rsidRPr="00CE2918">
        <w:lastRenderedPageBreak/>
        <w:t>Remiantis įprastine klinikine praktika Lietuvoje, NSLPV su EGFR 19 egzono delecijomis ar 21 egzono substitucijos mutacijomis, pirmos eilės gydymui skiriamas osimertinibas, rečiau skiriami kiti TKI inhibitoriai: gefitinibas, erlotinibas, afatinibas. </w:t>
      </w:r>
    </w:p>
    <w:p w14:paraId="2DBB24F8" w14:textId="1565CB6E" w:rsidR="00477155" w:rsidRPr="00CE2918" w:rsidRDefault="006B6FC8" w:rsidP="00477155">
      <w:pPr>
        <w:tabs>
          <w:tab w:val="left" w:pos="426"/>
        </w:tabs>
        <w:spacing w:line="276" w:lineRule="auto"/>
        <w:jc w:val="both"/>
      </w:pPr>
      <w:r>
        <w:tab/>
      </w:r>
      <w:r w:rsidR="00477155" w:rsidRPr="00CE2918">
        <w:t xml:space="preserve">Įvertinus paraiškoje pateiktus  klinikinius duomenis, siūlomą kompensuoti terapinę indikaciją bei įprastinę klinikinę praktiką Lietuvoje, šiuo metu </w:t>
      </w:r>
      <w:r w:rsidR="000A0F39">
        <w:t xml:space="preserve">indikacijose teikiamai populiacijai gydymas </w:t>
      </w:r>
      <w:r w:rsidR="00477155" w:rsidRPr="00CE2918">
        <w:t xml:space="preserve">osimertinibu yra laikomas tinkamu palyginamuoju gydymu.  </w:t>
      </w:r>
    </w:p>
    <w:p w14:paraId="53711E9A" w14:textId="77777777" w:rsidR="00477155" w:rsidRPr="00CE2918" w:rsidRDefault="00477155" w:rsidP="00477155">
      <w:pPr>
        <w:tabs>
          <w:tab w:val="left" w:pos="426"/>
        </w:tabs>
        <w:spacing w:line="276" w:lineRule="auto"/>
        <w:jc w:val="both"/>
        <w:rPr>
          <w:u w:val="single"/>
        </w:rPr>
      </w:pPr>
    </w:p>
    <w:p w14:paraId="35AFE6AB" w14:textId="77777777" w:rsidR="00477155" w:rsidRPr="00CE2918" w:rsidRDefault="00477155" w:rsidP="00477155">
      <w:pPr>
        <w:tabs>
          <w:tab w:val="left" w:pos="426"/>
        </w:tabs>
        <w:spacing w:line="276" w:lineRule="auto"/>
        <w:jc w:val="both"/>
        <w:rPr>
          <w:i/>
          <w:iCs/>
        </w:rPr>
      </w:pPr>
      <w:r w:rsidRPr="00CE2918">
        <w:rPr>
          <w:i/>
          <w:iCs/>
        </w:rPr>
        <w:t>Tiesioginis palyginimas</w:t>
      </w:r>
    </w:p>
    <w:p w14:paraId="11720C3E" w14:textId="0FAC267A" w:rsidR="00C66E17" w:rsidRPr="00CE2918" w:rsidRDefault="006B6FC8" w:rsidP="00C66E17">
      <w:pPr>
        <w:tabs>
          <w:tab w:val="left" w:pos="426"/>
        </w:tabs>
        <w:spacing w:line="276" w:lineRule="auto"/>
        <w:jc w:val="both"/>
      </w:pPr>
      <w:r>
        <w:tab/>
      </w:r>
      <w:r w:rsidR="00937F47">
        <w:t>A</w:t>
      </w:r>
      <w:r w:rsidR="00477155" w:rsidRPr="00CE2918">
        <w:t xml:space="preserve">mivantamabo derinio su lazertinibu </w:t>
      </w:r>
      <w:r w:rsidR="00937F47">
        <w:t>palyginamasis veiksmingumas</w:t>
      </w:r>
      <w:r w:rsidR="00477155" w:rsidRPr="00CE2918">
        <w:t xml:space="preserve"> vertinamas remiantis paraiškoje pateikto MARIPOSA klinikinio tyrimo </w:t>
      </w:r>
      <w:r w:rsidR="0017398E">
        <w:t>duomenimis.</w:t>
      </w:r>
      <w:r w:rsidR="00477155" w:rsidRPr="00CE2918">
        <w:t xml:space="preserve"> MARIPOSA tai atsitiktinių imčių III fazės, daugiacentris, d</w:t>
      </w:r>
      <w:r w:rsidR="00937F47">
        <w:t>v</w:t>
      </w:r>
      <w:r w:rsidR="00477155" w:rsidRPr="00CE2918">
        <w:t xml:space="preserve">igubai </w:t>
      </w:r>
      <w:r w:rsidR="005C2D08">
        <w:t>koduotas</w:t>
      </w:r>
      <w:r w:rsidR="005C2D08" w:rsidRPr="00CE2918">
        <w:t xml:space="preserve"> </w:t>
      </w:r>
      <w:r w:rsidR="00477155" w:rsidRPr="00CE2918">
        <w:t>klinikinis tyrimas, kuriame lokaliai išplitusio ir metastazavusio NSLPV su EGFR mutacijomis pirmos eilės gydymas amivantamabo ir lazertinibo deriniu palygintas su gydymu osimertinibu kontrolinėje grupėje ir su lazertinibo monoterapija, gydant suaugusius pacientus, sergančius vietiškai išplitusiu ar metastazavusiu NSLPV su EGRF 19 egzono delecijos arba 21 egzono L858R substitucijos mutacijomis</w:t>
      </w:r>
      <w:r w:rsidR="0017398E">
        <w:t>,</w:t>
      </w:r>
      <w:r w:rsidR="0017398E" w:rsidRPr="0017398E">
        <w:t xml:space="preserve"> </w:t>
      </w:r>
      <w:r w:rsidR="0017398E" w:rsidRPr="00CE2918">
        <w:t>kurie anksčiau dėl šios ligos</w:t>
      </w:r>
      <w:r w:rsidR="000A0F39">
        <w:t xml:space="preserve"> nebuvo gydyti</w:t>
      </w:r>
      <w:r w:rsidR="00477155" w:rsidRPr="00CE2918">
        <w:t xml:space="preserve">. </w:t>
      </w:r>
      <w:r w:rsidR="00C66E17" w:rsidRPr="00CE2918">
        <w:t>Tyrimo pacientų populiacija atitinka Lietuvos pacientų populiaciją</w:t>
      </w:r>
      <w:r w:rsidR="00C66E17">
        <w:t xml:space="preserve">. </w:t>
      </w:r>
    </w:p>
    <w:p w14:paraId="49847723" w14:textId="5F4C68AF" w:rsidR="00477155" w:rsidRPr="00CE2918" w:rsidRDefault="00477155" w:rsidP="00477155">
      <w:pPr>
        <w:pBdr>
          <w:top w:val="nil"/>
          <w:left w:val="nil"/>
          <w:bottom w:val="nil"/>
          <w:right w:val="nil"/>
          <w:between w:val="nil"/>
        </w:pBdr>
        <w:spacing w:line="276" w:lineRule="auto"/>
        <w:jc w:val="both"/>
      </w:pPr>
    </w:p>
    <w:p w14:paraId="7C86D564" w14:textId="5501AC76" w:rsidR="00477155" w:rsidRPr="00CE2918" w:rsidRDefault="00477155" w:rsidP="00477155">
      <w:pPr>
        <w:tabs>
          <w:tab w:val="left" w:pos="426"/>
        </w:tabs>
        <w:spacing w:line="276" w:lineRule="auto"/>
        <w:jc w:val="both"/>
      </w:pPr>
      <w:r w:rsidRPr="00837ECB">
        <w:rPr>
          <w:i/>
          <w:iCs/>
        </w:rPr>
        <w:t>Pirma pirminė vertinamoji baigtis</w:t>
      </w:r>
      <w:r w:rsidRPr="00CE2918">
        <w:t>, išgyvenamumas be ligos progresavimo (IBLP arba PFS, angl. progression free survival), apibrėžiamas kaip laikas nuo atsitiktinių imčių sudarymo datos iki pirmojo radiologiniu tyrimu patvirtinto ligos progresavimo ar mirties dėl bet kokios priežasties, atsižvelgiant į tai, kas įvyksta anksčiau.</w:t>
      </w:r>
      <w:r w:rsidR="00C66E17" w:rsidRPr="00C66E17">
        <w:t xml:space="preserve"> </w:t>
      </w:r>
      <w:r w:rsidR="00C66E17" w:rsidRPr="00837ECB">
        <w:rPr>
          <w:i/>
          <w:iCs/>
        </w:rPr>
        <w:t>Antra vertinamoji baigtis</w:t>
      </w:r>
      <w:r w:rsidR="00C66E17" w:rsidRPr="00CE2918">
        <w:t>, bendras išgyvenamumas (BI) – laikas nuo atsitiktinės atrankos iki mirties nuo bet kokios priežasties datos.</w:t>
      </w:r>
    </w:p>
    <w:p w14:paraId="14DB0E36" w14:textId="77777777" w:rsidR="000A0F39" w:rsidRDefault="000A0F39" w:rsidP="00477155">
      <w:pPr>
        <w:tabs>
          <w:tab w:val="left" w:pos="426"/>
        </w:tabs>
        <w:spacing w:line="276" w:lineRule="auto"/>
        <w:jc w:val="both"/>
        <w:rPr>
          <w:i/>
          <w:iCs/>
        </w:rPr>
      </w:pPr>
    </w:p>
    <w:p w14:paraId="5BB547F3" w14:textId="6A81E92B" w:rsidR="00477155" w:rsidRPr="00763C26" w:rsidRDefault="00763C26" w:rsidP="00477155">
      <w:pPr>
        <w:tabs>
          <w:tab w:val="left" w:pos="426"/>
        </w:tabs>
        <w:spacing w:line="276" w:lineRule="auto"/>
        <w:jc w:val="both"/>
        <w:rPr>
          <w:i/>
          <w:iCs/>
        </w:rPr>
      </w:pPr>
      <w:r w:rsidRPr="00763C26">
        <w:rPr>
          <w:i/>
          <w:iCs/>
        </w:rPr>
        <w:t>Išgyvenamumas be ligos progresavimo</w:t>
      </w:r>
    </w:p>
    <w:p w14:paraId="54962166" w14:textId="5FC5CD1B" w:rsidR="00477155" w:rsidRDefault="00477155" w:rsidP="006B6FC8">
      <w:pPr>
        <w:spacing w:line="276" w:lineRule="auto"/>
        <w:ind w:firstLine="720"/>
        <w:jc w:val="both"/>
      </w:pPr>
      <w:r w:rsidRPr="00CE2918">
        <w:t>IBLP analizė</w:t>
      </w:r>
      <w:r w:rsidR="00837ECB">
        <w:t xml:space="preserve"> parodė, kad </w:t>
      </w:r>
      <w:r w:rsidRPr="00CE2918">
        <w:t>IBLP buvo statistiškai reikšmingai geresnis remiantis rizikos santykių skaičiavimu: RS= 0,70 (95 proc. PI 0,58-0,85; p &lt; 0,00</w:t>
      </w:r>
      <w:r w:rsidR="00837ECB">
        <w:t xml:space="preserve">1. </w:t>
      </w:r>
      <w:r w:rsidR="00837ECB" w:rsidRPr="00CE2918">
        <w:t xml:space="preserve">IBLP </w:t>
      </w:r>
      <w:r w:rsidR="00837ECB">
        <w:t xml:space="preserve">mediana </w:t>
      </w:r>
      <w:r w:rsidR="00837ECB" w:rsidRPr="00CE2918">
        <w:t xml:space="preserve">buvo </w:t>
      </w:r>
      <w:r w:rsidR="00837ECB">
        <w:t xml:space="preserve">7,3 mėn. </w:t>
      </w:r>
      <w:r w:rsidR="00837ECB" w:rsidRPr="00CE2918">
        <w:t xml:space="preserve">ilgesnė amivantamabo ir lazertinibo terapijos grupėje, palyginti su osimertinibo grupe. </w:t>
      </w:r>
      <w:r w:rsidR="00837ECB">
        <w:t>A</w:t>
      </w:r>
      <w:r w:rsidR="00837ECB" w:rsidRPr="00CE2918">
        <w:t xml:space="preserve">mivantamabo ir lazertinibo grupėje </w:t>
      </w:r>
      <w:r w:rsidRPr="00CE2918">
        <w:t xml:space="preserve">IBLP </w:t>
      </w:r>
      <w:r w:rsidR="00837ECB">
        <w:t xml:space="preserve">mediana </w:t>
      </w:r>
      <w:r w:rsidRPr="00CE2918">
        <w:t xml:space="preserve">buvo 23,72 mėn. (95 proc. PI, 19,12–27,66), palyginti su 16,59 mėn. (95 proc. PI, 14,78–18,46) osimertinibo grupėje. Pacientų, kuriems nebuvo pasireiškę IBLP įvykiai, </w:t>
      </w:r>
      <w:r w:rsidR="00B6725F">
        <w:t>dalis</w:t>
      </w:r>
      <w:r w:rsidRPr="00CE2918">
        <w:t xml:space="preserve"> buvo 60 proc. (95 proc. PI, 55–64) po 18 mėnesių ir 48 proc. (95 proc. PI, 42–54) po 24 mėnesių amivantamabo-lazertinibo grupėje, palyginus su 48 proc. (95 proc. PI, 43–53) po 18 mėnesių ir 34 proc. (95 proc. PI, 28–39) po 24 mėnesių osimertinibo grupėje. IBLP rezultatai išliko tolygūs vertinant iš anksto numatytus pogrupius</w:t>
      </w:r>
      <w:r w:rsidR="00837ECB">
        <w:t xml:space="preserve"> </w:t>
      </w:r>
      <w:r w:rsidR="00763C26">
        <w:t>(</w:t>
      </w:r>
      <w:r w:rsidR="00763C26" w:rsidRPr="00CE2918">
        <w:t>pacientus</w:t>
      </w:r>
      <w:r w:rsidR="00763C26">
        <w:t xml:space="preserve"> </w:t>
      </w:r>
      <w:r w:rsidR="00837ECB">
        <w:t>&gt;</w:t>
      </w:r>
      <w:r w:rsidR="00763C26">
        <w:t xml:space="preserve"> 65 metų ir 65 metų</w:t>
      </w:r>
      <w:r w:rsidR="00837ECB">
        <w:t xml:space="preserve"> ≤</w:t>
      </w:r>
      <w:r w:rsidR="00B6725F">
        <w:t xml:space="preserve">; </w:t>
      </w:r>
      <w:r w:rsidRPr="00CE2918">
        <w:t>pacientus, kuriems nustatyta EGFR 19 egzono delecijaEGFR L858 21 egzono mutacija</w:t>
      </w:r>
      <w:r w:rsidR="00763C26">
        <w:t xml:space="preserve"> ir kiti)</w:t>
      </w:r>
      <w:r w:rsidRPr="00CE2918">
        <w:t>.</w:t>
      </w:r>
    </w:p>
    <w:p w14:paraId="4EFD67BF" w14:textId="77777777" w:rsidR="000A0F39" w:rsidRDefault="000A0F39" w:rsidP="00477155">
      <w:pPr>
        <w:spacing w:line="276" w:lineRule="auto"/>
        <w:jc w:val="both"/>
        <w:rPr>
          <w:i/>
          <w:iCs/>
        </w:rPr>
      </w:pPr>
    </w:p>
    <w:p w14:paraId="1D800AC5" w14:textId="5A4CCA65" w:rsidR="00763C26" w:rsidRPr="00763C26" w:rsidRDefault="00763C26" w:rsidP="00477155">
      <w:pPr>
        <w:spacing w:line="276" w:lineRule="auto"/>
        <w:jc w:val="both"/>
        <w:rPr>
          <w:i/>
          <w:iCs/>
        </w:rPr>
      </w:pPr>
      <w:r w:rsidRPr="00763C26">
        <w:rPr>
          <w:i/>
          <w:iCs/>
        </w:rPr>
        <w:t>Bendras išgyvenamumas</w:t>
      </w:r>
    </w:p>
    <w:p w14:paraId="014E7EC1" w14:textId="6473D94E" w:rsidR="00477155" w:rsidRPr="00CE2918" w:rsidRDefault="00763C26" w:rsidP="006B6FC8">
      <w:pPr>
        <w:spacing w:line="276" w:lineRule="auto"/>
        <w:ind w:firstLine="720"/>
        <w:jc w:val="both"/>
      </w:pPr>
      <w:r>
        <w:t>B</w:t>
      </w:r>
      <w:r w:rsidRPr="00CE2918">
        <w:t>endras išgyvenamumas (BI)</w:t>
      </w:r>
      <w:r>
        <w:rPr>
          <w:i/>
          <w:iCs/>
        </w:rPr>
        <w:t xml:space="preserve"> - pagrindinė a</w:t>
      </w:r>
      <w:r w:rsidRPr="00837ECB">
        <w:rPr>
          <w:i/>
          <w:iCs/>
        </w:rPr>
        <w:t>ntr</w:t>
      </w:r>
      <w:r>
        <w:rPr>
          <w:i/>
          <w:iCs/>
        </w:rPr>
        <w:t>inė</w:t>
      </w:r>
      <w:r w:rsidRPr="00837ECB">
        <w:rPr>
          <w:i/>
          <w:iCs/>
        </w:rPr>
        <w:t xml:space="preserve"> vertinamoji baigtis</w:t>
      </w:r>
      <w:r>
        <w:t xml:space="preserve"> - </w:t>
      </w:r>
      <w:r w:rsidRPr="00CE2918">
        <w:t>laikas nuo atsitiktinės atrankos iki mirties nuo bet kokios priežasties datos.</w:t>
      </w:r>
      <w:r>
        <w:t xml:space="preserve"> </w:t>
      </w:r>
      <w:r w:rsidR="00477155" w:rsidRPr="00CE2918">
        <w:t xml:space="preserve">Galutinės analizės, 2024 m. gruodžio mėnesio duomenimis, buvo įvykusios 173 mirtys amivantamabo ir lazertinibo, bei 217 mirčių osimertinibo grupėse) galutinėje analizėje BI RS buvo 0,75 (95 proc. PI: 0,61, 0,92; p&lt;0,005), t.y. mirties rizika sumažėjusi 25 proc. Po trejų metų 60 proc. dalyvių, vartojusių amivantamabo ir lazertinibo derinį, buvo gyvi, palyginti su 53 proc. osimertinibo grupėje, nauda išliko ir po 42 mėnesių, kai išgyvenamumas buvo atitinkamai 56 proc. ir 44 proc. </w:t>
      </w:r>
    </w:p>
    <w:p w14:paraId="6A7ECAD1" w14:textId="59984038" w:rsidR="00B6725F" w:rsidRPr="00CE2918" w:rsidRDefault="006B6FC8" w:rsidP="00B6725F">
      <w:pPr>
        <w:tabs>
          <w:tab w:val="left" w:pos="426"/>
        </w:tabs>
        <w:spacing w:line="276" w:lineRule="auto"/>
        <w:jc w:val="both"/>
      </w:pPr>
      <w:r>
        <w:tab/>
      </w:r>
      <w:r w:rsidR="00477155" w:rsidRPr="00CE2918">
        <w:t>Kitos antrinės vertinamosios baigtys</w:t>
      </w:r>
      <w:r w:rsidR="00B6725F">
        <w:t xml:space="preserve"> - </w:t>
      </w:r>
      <w:r w:rsidR="00477155" w:rsidRPr="00CE2918">
        <w:t>objektyvaus atsako dažnis, visiškas ir dalinis atsakas</w:t>
      </w:r>
      <w:r w:rsidR="00B6725F">
        <w:t xml:space="preserve"> bei </w:t>
      </w:r>
      <w:r w:rsidR="00477155" w:rsidRPr="00CE2918">
        <w:t xml:space="preserve"> atsako trukmė</w:t>
      </w:r>
      <w:r w:rsidR="00B6725F">
        <w:t xml:space="preserve">s - </w:t>
      </w:r>
      <w:r w:rsidR="00B6725F" w:rsidRPr="00CE2918">
        <w:t>parodė amivantamabo ir lazertinibo derinio tikėtina naudą bei papildo IBLP ir BI rezultatus.</w:t>
      </w:r>
    </w:p>
    <w:p w14:paraId="3B6168A9" w14:textId="5EC8A6C4" w:rsidR="00477155" w:rsidRPr="00B6725F" w:rsidRDefault="00B6725F" w:rsidP="00477155">
      <w:pPr>
        <w:tabs>
          <w:tab w:val="left" w:pos="426"/>
        </w:tabs>
        <w:spacing w:line="276" w:lineRule="auto"/>
        <w:jc w:val="both"/>
        <w:rPr>
          <w:b/>
          <w:bCs/>
        </w:rPr>
      </w:pPr>
      <w:r>
        <w:lastRenderedPageBreak/>
        <w:t>I</w:t>
      </w:r>
      <w:r w:rsidR="00477155" w:rsidRPr="00CE2918">
        <w:t xml:space="preserve">ntrakranijinius simptomus vertinusios baigtys, pacientų praneštos (vertinami naudojant EORTC QLQ-C30 klausimyną), </w:t>
      </w:r>
      <w:r>
        <w:t>vienareikšmiškai ne</w:t>
      </w:r>
      <w:r w:rsidR="00477155" w:rsidRPr="00CE2918">
        <w:t>parodė amivantamabo ir lazertinibo derinio naud</w:t>
      </w:r>
      <w:r>
        <w:t xml:space="preserve">os, lyginant su monoterapija </w:t>
      </w:r>
      <w:r w:rsidRPr="00CE2918">
        <w:t>osimertinib</w:t>
      </w:r>
      <w:r>
        <w:t>u.</w:t>
      </w:r>
    </w:p>
    <w:p w14:paraId="22F8FE3A" w14:textId="77777777" w:rsidR="00477155" w:rsidRPr="00CE2918" w:rsidRDefault="00477155" w:rsidP="00477155">
      <w:pPr>
        <w:tabs>
          <w:tab w:val="left" w:pos="426"/>
        </w:tabs>
        <w:spacing w:line="276" w:lineRule="auto"/>
        <w:jc w:val="both"/>
      </w:pPr>
    </w:p>
    <w:p w14:paraId="6ED7D413" w14:textId="344E70AA" w:rsidR="00477155" w:rsidRPr="00CE2918" w:rsidRDefault="006B6FC8" w:rsidP="00477155">
      <w:pPr>
        <w:tabs>
          <w:tab w:val="left" w:pos="426"/>
        </w:tabs>
        <w:spacing w:line="276" w:lineRule="auto"/>
        <w:jc w:val="both"/>
      </w:pPr>
      <w:r>
        <w:tab/>
      </w:r>
      <w:r w:rsidR="00477155" w:rsidRPr="00CE2918">
        <w:t>Vertinant nepageidaujamus reiškiniu</w:t>
      </w:r>
      <w:r w:rsidR="000C1EDA">
        <w:t>s pagal pacientų praneštas baigtis</w:t>
      </w:r>
      <w:r w:rsidR="00477155" w:rsidRPr="00CE2918">
        <w:t xml:space="preserve">, gydymas amivantamabu derinyje su lazertinibu, lyginant kontroline grupe, statistiškai reikšmingai </w:t>
      </w:r>
      <w:r w:rsidR="000C1EDA">
        <w:t xml:space="preserve">nesiskyrė </w:t>
      </w:r>
      <w:r w:rsidR="00477155" w:rsidRPr="00CE2918">
        <w:t>gyvenimo kokybės, skausmo ar nuovargio rodiklių</w:t>
      </w:r>
      <w:r w:rsidR="000C1EDA">
        <w:t xml:space="preserve"> atžvilgiu.</w:t>
      </w:r>
      <w:r w:rsidR="00477155" w:rsidRPr="00CE2918">
        <w:t xml:space="preserve"> </w:t>
      </w:r>
      <w:r w:rsidR="002D2A2F">
        <w:t>Tačiau, k</w:t>
      </w:r>
      <w:r w:rsidR="00477155" w:rsidRPr="00CE2918">
        <w:t>linikinio tyrimo MARIPOSA saugumo duomenys rodo, kad reikšmingai didesnė pacientų, vartojančių amivantamabo ir lazertinibo derinį, turėjo laikinai nutraukti gydymą, sumažinti amivantamabo doz</w:t>
      </w:r>
      <w:r w:rsidR="000C1EDA">
        <w:t>ę</w:t>
      </w:r>
      <w:r w:rsidR="00477155" w:rsidRPr="00CE2918">
        <w:t xml:space="preserve"> arba </w:t>
      </w:r>
      <w:r w:rsidR="003645B8">
        <w:t>nutraukti</w:t>
      </w:r>
      <w:r w:rsidR="00477155" w:rsidRPr="00CE2918">
        <w:t xml:space="preserve"> amivantamabo ir lazertinibo derin</w:t>
      </w:r>
      <w:r w:rsidR="003645B8">
        <w:t>io vartojimą</w:t>
      </w:r>
      <w:r w:rsidR="00477155" w:rsidRPr="00CE2918">
        <w:t xml:space="preserve"> dėl netoleravimo arba nepage</w:t>
      </w:r>
      <w:r w:rsidR="00190DB5">
        <w:t>i</w:t>
      </w:r>
      <w:r w:rsidR="00477155" w:rsidRPr="00CE2918">
        <w:t>dau</w:t>
      </w:r>
      <w:r w:rsidR="000A0F39">
        <w:t>jam</w:t>
      </w:r>
      <w:r w:rsidR="00477155" w:rsidRPr="00CE2918">
        <w:t>ų reiškinių.</w:t>
      </w:r>
      <w:r w:rsidR="00477155" w:rsidRPr="00CE2918">
        <w:rPr>
          <w:i/>
          <w:iCs/>
        </w:rPr>
        <w:t xml:space="preserve"> </w:t>
      </w:r>
      <w:r w:rsidR="00477155" w:rsidRPr="00CE2918">
        <w:t>Remiantis tarpiniais saugumo vertinimo duomenimis (tyrimas tebevykdomas), amivantamabo ir lazertinibo derini</w:t>
      </w:r>
      <w:r w:rsidR="000A0F39">
        <w:t>o saugumas</w:t>
      </w:r>
      <w:r w:rsidR="00477155" w:rsidRPr="00CE2918">
        <w:t xml:space="preserve"> atitinka žinomą abiejų vaistų poveikį. Venų tromboembolijos reiškiniai pasireiškė dažniau, tačiau jų sunkumo laipsnio pasiskirstymas ir gydymo nutraukimo dažnis išliko panašus abiejose grupėse, o rizika daugiausia koncentruojasi pirmuosiuose gydymo mėnesiuose ir yra valdoma antikoaguliacine profilaktika.</w:t>
      </w:r>
    </w:p>
    <w:p w14:paraId="68EFC760" w14:textId="4AFD6AAE" w:rsidR="00477155" w:rsidRPr="00CE2918" w:rsidRDefault="00D9359A" w:rsidP="00477155">
      <w:pPr>
        <w:tabs>
          <w:tab w:val="left" w:pos="426"/>
        </w:tabs>
        <w:spacing w:line="276" w:lineRule="auto"/>
        <w:jc w:val="both"/>
      </w:pPr>
      <w:r>
        <w:tab/>
      </w:r>
      <w:r w:rsidR="00477155" w:rsidRPr="00CE2918">
        <w:t xml:space="preserve">Paraiškoje pateikti papildomi duomenys dėl poodinės amivantamabo formos, kurios </w:t>
      </w:r>
      <w:r w:rsidR="000A0F39">
        <w:t>veiksmingumas</w:t>
      </w:r>
      <w:r w:rsidR="00477155" w:rsidRPr="00CE2918">
        <w:t xml:space="preserve"> ir saugumas vertintas PALOMA-3 klinikiniame tyrime. Nors PALOMA-3 tyrimo duomenimis nustatytas ne mažesnis poodinio amivantambo efektyvumas, lyginant su intravenine vaisto forma, bei reikšmingai geresni saugumo ir su infuzija susijusių komplikacijų duomenys, tačiau </w:t>
      </w:r>
      <w:r w:rsidR="00477155" w:rsidRPr="00FB4017">
        <w:t>PALOMA-3 tyrim</w:t>
      </w:r>
      <w:r w:rsidR="00190DB5" w:rsidRPr="00FB4017">
        <w:t xml:space="preserve">e </w:t>
      </w:r>
      <w:r w:rsidR="00F825B5" w:rsidRPr="00FB4017">
        <w:t xml:space="preserve">amivantambas buvo skiriamas </w:t>
      </w:r>
      <w:r w:rsidR="00477155" w:rsidRPr="00FB4017">
        <w:t>antros ir vėlesnės eilės gydymui</w:t>
      </w:r>
      <w:r w:rsidR="00F825B5" w:rsidRPr="00FB4017">
        <w:t>, tačiau tikėtina, kad tai</w:t>
      </w:r>
      <w:r w:rsidR="00F825B5">
        <w:rPr>
          <w:u w:val="single"/>
        </w:rPr>
        <w:t xml:space="preserve"> </w:t>
      </w:r>
      <w:r w:rsidR="00F825B5" w:rsidRPr="00CE2918">
        <w:t xml:space="preserve">poodinės </w:t>
      </w:r>
      <w:r w:rsidR="00F825B5">
        <w:t>bei intravenin</w:t>
      </w:r>
      <w:r w:rsidR="000A0F39">
        <w:t>ė</w:t>
      </w:r>
      <w:r w:rsidR="00F825B5">
        <w:t xml:space="preserve">s </w:t>
      </w:r>
      <w:r w:rsidR="00F825B5" w:rsidRPr="00CE2918">
        <w:t>amivantamabo form</w:t>
      </w:r>
      <w:r w:rsidR="00F825B5">
        <w:t>ų</w:t>
      </w:r>
      <w:r w:rsidR="00F825B5" w:rsidRPr="00CE2918">
        <w:t xml:space="preserve"> </w:t>
      </w:r>
      <w:r w:rsidR="000A0F39">
        <w:t xml:space="preserve">veiksmingumas </w:t>
      </w:r>
      <w:r w:rsidR="00F825B5">
        <w:t xml:space="preserve">nepriklauso ne gydymo eilės. </w:t>
      </w:r>
    </w:p>
    <w:p w14:paraId="62CA01A6" w14:textId="3FFF67B2" w:rsidR="00477155" w:rsidRPr="00CE2918" w:rsidRDefault="00DE19F5" w:rsidP="00477155">
      <w:pPr>
        <w:tabs>
          <w:tab w:val="left" w:pos="426"/>
        </w:tabs>
        <w:spacing w:line="276" w:lineRule="auto"/>
        <w:jc w:val="both"/>
      </w:pPr>
      <w:r>
        <w:tab/>
      </w:r>
      <w:r w:rsidR="00CE2918">
        <w:t xml:space="preserve">Įvertinus </w:t>
      </w:r>
      <w:r w:rsidR="00477155" w:rsidRPr="00CE2918">
        <w:t>klinikini</w:t>
      </w:r>
      <w:r w:rsidR="00CE2918">
        <w:t>us tyrimų duomenis nustatyta</w:t>
      </w:r>
      <w:r w:rsidR="00477155" w:rsidRPr="00CE2918">
        <w:t xml:space="preserve">, kad gydymas amivantamabu derinyje su lazertinibu </w:t>
      </w:r>
      <w:r>
        <w:t>25</w:t>
      </w:r>
      <w:r w:rsidR="00477155" w:rsidRPr="00CE2918">
        <w:t xml:space="preserve"> proc. sumažino mirties</w:t>
      </w:r>
      <w:r>
        <w:t xml:space="preserve"> riziką</w:t>
      </w:r>
      <w:r w:rsidR="00477155" w:rsidRPr="00CE2918">
        <w:t xml:space="preserve"> dėl bet kokios priežasties, lyginant su gydymu osimertinibo monoterapija</w:t>
      </w:r>
      <w:r w:rsidR="00CE2918">
        <w:t>.</w:t>
      </w:r>
      <w:r w:rsidR="00477155" w:rsidRPr="00CE2918">
        <w:t xml:space="preserve"> </w:t>
      </w:r>
    </w:p>
    <w:p w14:paraId="7AAE3436" w14:textId="56D97E3D" w:rsidR="00477155" w:rsidRPr="00DE19F5" w:rsidRDefault="00477155" w:rsidP="00477155">
      <w:pPr>
        <w:tabs>
          <w:tab w:val="left" w:pos="426"/>
        </w:tabs>
        <w:spacing w:line="276" w:lineRule="auto"/>
        <w:jc w:val="both"/>
      </w:pPr>
      <w:r w:rsidRPr="00CE2918">
        <w:tab/>
        <w:t xml:space="preserve">Apibendrinant, amivantamabo ir lazertinibo derinio klinikinis veiksmingumas įvertintas kaip pagrindžiantis papildomos naudos pacientų sveikatai sukūrimą, lyginant su gydymu osimertinibo monoterapija, </w:t>
      </w:r>
      <w:r w:rsidR="00711F15">
        <w:t xml:space="preserve">gydant </w:t>
      </w:r>
      <w:r w:rsidRPr="00CE2918">
        <w:t>pacient</w:t>
      </w:r>
      <w:r w:rsidR="00711F15">
        <w:t>us</w:t>
      </w:r>
      <w:r w:rsidRPr="00CE2918">
        <w:t>, sergan</w:t>
      </w:r>
      <w:r w:rsidR="00711F15">
        <w:t>čius</w:t>
      </w:r>
      <w:r w:rsidRPr="00CE2918">
        <w:t xml:space="preserve"> išplitusiu nesmulkialąsteliniu plaučių vėžiu (NSLPV) su epidermio augimo faktoriaus receptoriaus (EAFR) 19 egzono delecijomis arba 21 egzono L858R substitucijos mutacijomis, pirmos eilės gydymui</w:t>
      </w:r>
      <w:r w:rsidR="00DE19F5">
        <w:t xml:space="preserve"> ir kuriems </w:t>
      </w:r>
      <w:r w:rsidR="00DE19F5" w:rsidRPr="00DE19F5">
        <w:rPr>
          <w:color w:val="000000"/>
        </w:rPr>
        <w:t xml:space="preserve">anksčiau netaikytas chirurginis, spindulinis ar sisteminis gydymas dėl NSPLV. </w:t>
      </w:r>
    </w:p>
    <w:bookmarkEnd w:id="1"/>
    <w:p w14:paraId="39C1ADA8" w14:textId="77777777" w:rsidR="00AC5129" w:rsidRPr="00CE2918" w:rsidRDefault="00AC5129" w:rsidP="00A93AA6">
      <w:pPr>
        <w:pStyle w:val="ListParagraph"/>
        <w:tabs>
          <w:tab w:val="left" w:pos="426"/>
        </w:tabs>
        <w:ind w:left="0"/>
        <w:rPr>
          <w:b/>
          <w:bCs/>
          <w:caps/>
        </w:rPr>
      </w:pPr>
    </w:p>
    <w:p w14:paraId="7DE09EB5" w14:textId="69E9DD74" w:rsidR="00E03C3F" w:rsidRPr="00CE2918" w:rsidRDefault="00CC7832" w:rsidP="00CC09D4">
      <w:pPr>
        <w:pStyle w:val="ListParagraph"/>
        <w:numPr>
          <w:ilvl w:val="0"/>
          <w:numId w:val="12"/>
        </w:numPr>
        <w:tabs>
          <w:tab w:val="left" w:pos="567"/>
        </w:tabs>
        <w:ind w:hanging="720"/>
        <w:rPr>
          <w:b/>
          <w:bCs/>
          <w:caps/>
        </w:rPr>
      </w:pPr>
      <w:r w:rsidRPr="00CE2918">
        <w:rPr>
          <w:b/>
          <w:bCs/>
          <w:caps/>
        </w:rPr>
        <w:t xml:space="preserve">ekonominio vertinimo </w:t>
      </w:r>
      <w:r w:rsidR="002F0E4F" w:rsidRPr="00CE2918">
        <w:rPr>
          <w:b/>
          <w:bCs/>
          <w:caps/>
        </w:rPr>
        <w:t>apibendrinimas</w:t>
      </w:r>
    </w:p>
    <w:p w14:paraId="1A900598" w14:textId="4826E5DF" w:rsidR="00C62B36" w:rsidRPr="00CE2918" w:rsidRDefault="00C62B36" w:rsidP="00A93AA6">
      <w:pPr>
        <w:tabs>
          <w:tab w:val="left" w:pos="426"/>
        </w:tabs>
        <w:rPr>
          <w:i/>
        </w:rPr>
      </w:pPr>
    </w:p>
    <w:p w14:paraId="362F3EF0" w14:textId="77777777" w:rsidR="00071E5C" w:rsidRPr="00CE2918" w:rsidRDefault="00071E5C" w:rsidP="00CE2918">
      <w:pPr>
        <w:tabs>
          <w:tab w:val="left" w:pos="567"/>
        </w:tabs>
        <w:spacing w:line="276" w:lineRule="auto"/>
        <w:jc w:val="both"/>
        <w:rPr>
          <w:bCs/>
          <w:iCs/>
          <w:lang w:eastAsia="lt-LT"/>
        </w:rPr>
      </w:pPr>
      <w:r w:rsidRPr="00CE2918">
        <w:rPr>
          <w:bCs/>
          <w:iCs/>
          <w:lang w:eastAsia="lt-LT"/>
        </w:rPr>
        <w:t>Ekonominiam vertinimui pateikta kaštų naudingumo analizė. Atsižvelgiant į tai, jog klinikinio vertinimo metu nustatytas didesnis palyginamasis veiksmingumas, lyginant su įprasta klinikine praktika, kaštų naudingumo analizė yra tinkamas metodas šioje situacijoje. Ekonominėje analizėje nagrinėjamą pacientų populiaciją sudaro pacientai, sergantys EGFR mutavusiu, vietiškai pažengusiu ar metastazavusiu NSCLC. Šią pacientų populiaciją atitinka MARIPOSA klinikinio tyrimo populiacija. Ekonominėje analizėje atliekamas amivantamabo ir lazertinibo kombinacijos palyginimas su osimertinibo monoterapija. Šis palyginimas atitinka Lietuvos klinikinę praktiką. Analizėje taikoma viso gyvenimo laiko perspektyva, yra tinkama atsižvelgiant į ligos įtaką paciento išgyvenamumui. Analizė modeliuojama taikant padalintos kohortos išgyvenamumo modelį. Toks modeliavimo metodas laikomas tinkamu analizės rezultato apskaičiavimui.</w:t>
      </w:r>
    </w:p>
    <w:p w14:paraId="4D8E4B6A" w14:textId="77777777" w:rsidR="00071E5C" w:rsidRPr="00CE2918" w:rsidRDefault="00071E5C" w:rsidP="00CE2918">
      <w:pPr>
        <w:tabs>
          <w:tab w:val="left" w:pos="567"/>
        </w:tabs>
        <w:spacing w:line="276" w:lineRule="auto"/>
        <w:jc w:val="both"/>
        <w:rPr>
          <w:bCs/>
          <w:iCs/>
          <w:lang w:eastAsia="lt-LT"/>
        </w:rPr>
      </w:pPr>
      <w:r w:rsidRPr="00CE2918">
        <w:rPr>
          <w:bCs/>
          <w:iCs/>
          <w:lang w:eastAsia="lt-LT"/>
        </w:rPr>
        <w:t>Klinikiniai duomenys analizėje buvo gauti iš MARIPOSA klinikinio tyrimo. Klinikinių išeičių modeliavimui taikyta parametrinė išgyvenamumo analizė.</w:t>
      </w:r>
    </w:p>
    <w:p w14:paraId="66EFED42" w14:textId="77777777" w:rsidR="00071E5C" w:rsidRPr="00CE2918" w:rsidRDefault="00071E5C" w:rsidP="00CE2918">
      <w:pPr>
        <w:tabs>
          <w:tab w:val="left" w:pos="567"/>
        </w:tabs>
        <w:spacing w:line="276" w:lineRule="auto"/>
        <w:jc w:val="both"/>
        <w:rPr>
          <w:bCs/>
          <w:iCs/>
          <w:lang w:eastAsia="lt-LT"/>
        </w:rPr>
      </w:pPr>
      <w:r w:rsidRPr="00CE2918">
        <w:rPr>
          <w:bCs/>
          <w:iCs/>
          <w:lang w:eastAsia="lt-LT"/>
        </w:rPr>
        <w:lastRenderedPageBreak/>
        <w:t>Gyvenimo kokybė analizėje grindžiama MARIPOSA klinikinio tyrimo duomenimis. Pareiškėjas nepateikė papildomų gyvenimo kokybės įvesčių iš kitų šaltinių, todėl Tarnyba negali pilnai įvertinti ar gyvenimo kokybė analizėje yra įvertinta tinkamai. Vis dėlto, atsižvelgiant, jog visa analizė paremta MARIPOSA klinikinio tyrimo duomenimis, vertinama, jog analizės rezultatas gali būti interpretuojamas.</w:t>
      </w:r>
    </w:p>
    <w:p w14:paraId="1D6DEF52" w14:textId="77777777" w:rsidR="00071E5C" w:rsidRPr="00CE2918" w:rsidRDefault="00071E5C" w:rsidP="00CE2918">
      <w:pPr>
        <w:tabs>
          <w:tab w:val="left" w:pos="567"/>
        </w:tabs>
        <w:spacing w:line="276" w:lineRule="auto"/>
        <w:jc w:val="both"/>
        <w:rPr>
          <w:bCs/>
          <w:iCs/>
          <w:lang w:eastAsia="lt-LT"/>
        </w:rPr>
      </w:pPr>
      <w:r w:rsidRPr="00CE2918">
        <w:rPr>
          <w:bCs/>
          <w:iCs/>
          <w:lang w:eastAsia="lt-LT"/>
        </w:rPr>
        <w:t xml:space="preserve">Vertindamas kaštus, Pareiškėjas rėmėsi patariamosios tarybos nuomone. </w:t>
      </w:r>
    </w:p>
    <w:p w14:paraId="1D82D74F" w14:textId="77777777" w:rsidR="00071E5C" w:rsidRPr="00CE2918" w:rsidRDefault="00071E5C" w:rsidP="00CE2918">
      <w:pPr>
        <w:tabs>
          <w:tab w:val="left" w:pos="567"/>
        </w:tabs>
        <w:spacing w:line="276" w:lineRule="auto"/>
        <w:jc w:val="both"/>
        <w:rPr>
          <w:bCs/>
          <w:iCs/>
          <w:lang w:eastAsia="lt-LT"/>
        </w:rPr>
      </w:pPr>
      <w:r w:rsidRPr="00CE2918">
        <w:rPr>
          <w:bCs/>
          <w:iCs/>
          <w:lang w:eastAsia="lt-LT"/>
        </w:rPr>
        <w:t>Atlikdama analizės rezultato perskaičiavimą, Tarnyba koregavo šias modelio įvestis:</w:t>
      </w:r>
    </w:p>
    <w:p w14:paraId="3F8AC638" w14:textId="5FBC9C24" w:rsidR="00071E5C" w:rsidRPr="00CE2918" w:rsidRDefault="00071E5C" w:rsidP="00CE2918">
      <w:pPr>
        <w:pStyle w:val="ListParagraph"/>
        <w:numPr>
          <w:ilvl w:val="0"/>
          <w:numId w:val="15"/>
        </w:numPr>
        <w:tabs>
          <w:tab w:val="left" w:pos="567"/>
        </w:tabs>
        <w:spacing w:line="276" w:lineRule="auto"/>
        <w:jc w:val="both"/>
        <w:rPr>
          <w:lang w:eastAsia="lt-LT"/>
        </w:rPr>
      </w:pPr>
      <w:r w:rsidRPr="00CE2918">
        <w:rPr>
          <w:bCs/>
          <w:iCs/>
          <w:lang w:eastAsia="lt-LT"/>
        </w:rPr>
        <w:t>Ekstrapoliuojant BI amivantamabo ir lazertinibo grupėje, Pareiškėjas pagrindinio atvejo analizėje pasirinko Weibull funkciją. Vis dėlto, remiantis AIC bei BIC kriterijais, geriausią atitikimą demonstravo Gompertz ir Gen gamma funkcijos.</w:t>
      </w:r>
      <w:r w:rsidR="00A77305">
        <w:rPr>
          <w:bCs/>
          <w:iCs/>
          <w:lang w:eastAsia="lt-LT"/>
        </w:rPr>
        <w:t xml:space="preserve">******************  </w:t>
      </w:r>
      <w:r w:rsidR="00B00026">
        <w:rPr>
          <w:bCs/>
          <w:iCs/>
          <w:lang w:val="en-US" w:eastAsia="lt-LT"/>
        </w:rPr>
        <w:t>***********************************************************************************************************************************************************</w:t>
      </w:r>
      <w:r w:rsidRPr="00CE2918">
        <w:rPr>
          <w:bCs/>
          <w:iCs/>
          <w:lang w:eastAsia="lt-LT"/>
        </w:rPr>
        <w:t xml:space="preserve">. Gen gamma ir Gompertz funkcijos demonstruoja prastesnį išgyvenamumą nei Weibull, tačiau pasak pareiškėjo – šios funkcijos demonstruoja per daug pesimistinį scenarijų, todėl pagrindinio atvejo analizei pasirinkta Weibull funkcija. Tarnybos manymu, BI įvertinimas analizėje yra kritinis veiksnys analizės rezultatui. Atsižvelgiant į tai, jog pagal AIC ir BIC tinkamiausia BI funkcija demonstruoja prasčiausią išgyvenamumo rezultatą (gompertz), Tarnyba pagrindinio atvejo analizėje renkasi antrą pagal tinkamumą funkciją – gen gamma. </w:t>
      </w:r>
      <w:proofErr w:type="spellStart"/>
      <w:r w:rsidRPr="00CE2918">
        <w:rPr>
          <w:iCs/>
          <w:lang w:val="en-US"/>
        </w:rPr>
        <w:t>Tarnybos</w:t>
      </w:r>
      <w:proofErr w:type="spellEnd"/>
      <w:r w:rsidRPr="00CE2918">
        <w:rPr>
          <w:iCs/>
          <w:lang w:val="en-US"/>
        </w:rPr>
        <w:t xml:space="preserve"> </w:t>
      </w:r>
      <w:proofErr w:type="spellStart"/>
      <w:r w:rsidRPr="00CE2918">
        <w:rPr>
          <w:iCs/>
          <w:lang w:val="en-US"/>
        </w:rPr>
        <w:t>manymu</w:t>
      </w:r>
      <w:proofErr w:type="spellEnd"/>
      <w:r w:rsidRPr="00CE2918">
        <w:rPr>
          <w:iCs/>
          <w:lang w:val="en-US"/>
        </w:rPr>
        <w:t xml:space="preserve">, </w:t>
      </w:r>
      <w:proofErr w:type="spellStart"/>
      <w:r w:rsidRPr="00CE2918">
        <w:rPr>
          <w:iCs/>
          <w:lang w:val="en-US"/>
        </w:rPr>
        <w:t>toks</w:t>
      </w:r>
      <w:proofErr w:type="spellEnd"/>
      <w:r w:rsidRPr="00CE2918">
        <w:rPr>
          <w:iCs/>
          <w:lang w:val="en-US"/>
        </w:rPr>
        <w:t xml:space="preserve"> </w:t>
      </w:r>
      <w:proofErr w:type="spellStart"/>
      <w:r w:rsidRPr="00CE2918">
        <w:rPr>
          <w:iCs/>
          <w:lang w:val="en-US"/>
        </w:rPr>
        <w:t>pasirinkimas</w:t>
      </w:r>
      <w:proofErr w:type="spellEnd"/>
      <w:r w:rsidRPr="00CE2918">
        <w:rPr>
          <w:iCs/>
          <w:lang w:val="en-US"/>
        </w:rPr>
        <w:t xml:space="preserve"> </w:t>
      </w:r>
      <w:proofErr w:type="spellStart"/>
      <w:r w:rsidRPr="00CE2918">
        <w:rPr>
          <w:iCs/>
          <w:lang w:val="en-US"/>
        </w:rPr>
        <w:t>pateikia</w:t>
      </w:r>
      <w:proofErr w:type="spellEnd"/>
      <w:r w:rsidRPr="00CE2918">
        <w:rPr>
          <w:iCs/>
          <w:lang w:val="en-US"/>
        </w:rPr>
        <w:t xml:space="preserve"> </w:t>
      </w:r>
      <w:proofErr w:type="spellStart"/>
      <w:r w:rsidRPr="00CE2918">
        <w:rPr>
          <w:iCs/>
          <w:lang w:val="en-US"/>
        </w:rPr>
        <w:t>konservatyvų</w:t>
      </w:r>
      <w:proofErr w:type="spellEnd"/>
      <w:r w:rsidRPr="00CE2918">
        <w:rPr>
          <w:iCs/>
          <w:lang w:val="en-US"/>
        </w:rPr>
        <w:t xml:space="preserve"> </w:t>
      </w:r>
      <w:proofErr w:type="spellStart"/>
      <w:r w:rsidRPr="00CE2918">
        <w:rPr>
          <w:iCs/>
          <w:lang w:val="en-US"/>
        </w:rPr>
        <w:t>rezultatą</w:t>
      </w:r>
      <w:proofErr w:type="spellEnd"/>
      <w:r w:rsidRPr="00CE2918">
        <w:rPr>
          <w:iCs/>
          <w:lang w:val="en-US"/>
        </w:rPr>
        <w:t>.</w:t>
      </w:r>
    </w:p>
    <w:p w14:paraId="09433130" w14:textId="77777777" w:rsidR="00A77305" w:rsidRPr="00A77305" w:rsidRDefault="000D4B05" w:rsidP="00CD344A">
      <w:pPr>
        <w:pStyle w:val="ListParagraph"/>
        <w:numPr>
          <w:ilvl w:val="0"/>
          <w:numId w:val="15"/>
        </w:numPr>
        <w:tabs>
          <w:tab w:val="left" w:pos="567"/>
        </w:tabs>
        <w:rPr>
          <w:lang w:eastAsia="lt-LT"/>
        </w:rPr>
      </w:pPr>
      <w:r w:rsidRPr="00E358F7">
        <w:rPr>
          <w:lang w:eastAsia="lt-LT"/>
        </w:rPr>
        <w:t xml:space="preserve">Pareiškėjas analizėje taiko dozės intensyvumo (RDI) prielaidą, pagal kurią vaistų įsigijimo kaštai analizėje yra pakoreguojami. RDI prielaida analizėje taikoma remiantis MARIPOSA klinikinio tyrimo duomenimis. </w:t>
      </w:r>
      <w:r w:rsidR="00CD344A">
        <w:rPr>
          <w:lang w:val="en-US" w:eastAsia="lt-LT"/>
        </w:rPr>
        <w:t>*************************************************</w:t>
      </w:r>
    </w:p>
    <w:p w14:paraId="15D4A32F" w14:textId="1F8B9B30" w:rsidR="000D4B05" w:rsidRPr="00A16DE3" w:rsidRDefault="00CD344A" w:rsidP="00A77305">
      <w:pPr>
        <w:pStyle w:val="ListParagraph"/>
        <w:tabs>
          <w:tab w:val="left" w:pos="567"/>
        </w:tabs>
        <w:jc w:val="both"/>
        <w:rPr>
          <w:lang w:eastAsia="lt-LT"/>
        </w:rPr>
      </w:pPr>
      <w:r>
        <w:rPr>
          <w:lang w:val="en-US" w:eastAsia="lt-LT"/>
        </w:rPr>
        <w:t>************************************************************************************************************************************</w:t>
      </w:r>
      <w:r w:rsidR="00A77305">
        <w:rPr>
          <w:lang w:val="en-US" w:eastAsia="lt-LT"/>
        </w:rPr>
        <w:t>.</w:t>
      </w:r>
      <w:r w:rsidR="000D4B05" w:rsidRPr="00E358F7">
        <w:rPr>
          <w:lang w:val="en-US" w:eastAsia="lt-LT"/>
        </w:rPr>
        <w:t xml:space="preserve"> </w:t>
      </w:r>
      <w:proofErr w:type="spellStart"/>
      <w:r w:rsidR="000D4B05">
        <w:rPr>
          <w:lang w:val="en-US" w:eastAsia="lt-LT"/>
        </w:rPr>
        <w:t>Tarnybos</w:t>
      </w:r>
      <w:proofErr w:type="spellEnd"/>
      <w:r w:rsidR="000D4B05">
        <w:rPr>
          <w:lang w:val="en-US" w:eastAsia="lt-LT"/>
        </w:rPr>
        <w:t xml:space="preserve"> </w:t>
      </w:r>
      <w:proofErr w:type="spellStart"/>
      <w:r w:rsidR="000D4B05">
        <w:rPr>
          <w:lang w:val="en-US" w:eastAsia="lt-LT"/>
        </w:rPr>
        <w:t>ekspertai</w:t>
      </w:r>
      <w:proofErr w:type="spellEnd"/>
      <w:r w:rsidR="000D4B05">
        <w:rPr>
          <w:lang w:val="en-US" w:eastAsia="lt-LT"/>
        </w:rPr>
        <w:t xml:space="preserve"> </w:t>
      </w:r>
      <w:proofErr w:type="spellStart"/>
      <w:r w:rsidR="000D4B05">
        <w:rPr>
          <w:lang w:val="en-US" w:eastAsia="lt-LT"/>
        </w:rPr>
        <w:t>sutinka</w:t>
      </w:r>
      <w:proofErr w:type="spellEnd"/>
      <w:r w:rsidR="000D4B05">
        <w:rPr>
          <w:lang w:val="en-US" w:eastAsia="lt-LT"/>
        </w:rPr>
        <w:t xml:space="preserve"> su RDI </w:t>
      </w:r>
      <w:proofErr w:type="spellStart"/>
      <w:r w:rsidR="000D4B05">
        <w:rPr>
          <w:lang w:val="en-US" w:eastAsia="lt-LT"/>
        </w:rPr>
        <w:t>taikymu</w:t>
      </w:r>
      <w:proofErr w:type="spellEnd"/>
      <w:r w:rsidR="000D4B05">
        <w:rPr>
          <w:lang w:val="en-US" w:eastAsia="lt-LT"/>
        </w:rPr>
        <w:t xml:space="preserve"> </w:t>
      </w:r>
      <w:proofErr w:type="spellStart"/>
      <w:r w:rsidR="000D4B05">
        <w:rPr>
          <w:lang w:val="en-US" w:eastAsia="lt-LT"/>
        </w:rPr>
        <w:t>analizėje</w:t>
      </w:r>
      <w:proofErr w:type="spellEnd"/>
      <w:r w:rsidR="000D4B05">
        <w:rPr>
          <w:lang w:val="en-US" w:eastAsia="lt-LT"/>
        </w:rPr>
        <w:t xml:space="preserve">, </w:t>
      </w:r>
      <w:proofErr w:type="spellStart"/>
      <w:r w:rsidR="000D4B05">
        <w:rPr>
          <w:lang w:val="en-US" w:eastAsia="lt-LT"/>
        </w:rPr>
        <w:t>atsižvelgiant</w:t>
      </w:r>
      <w:proofErr w:type="spellEnd"/>
      <w:r w:rsidR="000D4B05">
        <w:rPr>
          <w:lang w:val="en-US" w:eastAsia="lt-LT"/>
        </w:rPr>
        <w:t xml:space="preserve"> į </w:t>
      </w:r>
      <w:proofErr w:type="spellStart"/>
      <w:r w:rsidR="000D4B05">
        <w:rPr>
          <w:lang w:val="en-US" w:eastAsia="lt-LT"/>
        </w:rPr>
        <w:t>praktinį</w:t>
      </w:r>
      <w:proofErr w:type="spellEnd"/>
      <w:r w:rsidR="000D4B05">
        <w:rPr>
          <w:lang w:val="en-US" w:eastAsia="lt-LT"/>
        </w:rPr>
        <w:t xml:space="preserve"> </w:t>
      </w:r>
      <w:proofErr w:type="spellStart"/>
      <w:r w:rsidR="000D4B05">
        <w:rPr>
          <w:lang w:val="en-US" w:eastAsia="lt-LT"/>
        </w:rPr>
        <w:t>amivantamabo+lazertinibo</w:t>
      </w:r>
      <w:proofErr w:type="spellEnd"/>
      <w:r w:rsidR="000D4B05">
        <w:rPr>
          <w:lang w:val="en-US" w:eastAsia="lt-LT"/>
        </w:rPr>
        <w:t xml:space="preserve"> </w:t>
      </w:r>
      <w:proofErr w:type="spellStart"/>
      <w:r w:rsidR="000D4B05">
        <w:rPr>
          <w:lang w:val="en-US" w:eastAsia="lt-LT"/>
        </w:rPr>
        <w:t>vartojimą</w:t>
      </w:r>
      <w:proofErr w:type="spellEnd"/>
      <w:r w:rsidR="000D4B05">
        <w:rPr>
          <w:lang w:val="en-US" w:eastAsia="lt-LT"/>
        </w:rPr>
        <w:t xml:space="preserve">, vis </w:t>
      </w:r>
      <w:proofErr w:type="spellStart"/>
      <w:r w:rsidR="000D4B05">
        <w:rPr>
          <w:lang w:val="en-US" w:eastAsia="lt-LT"/>
        </w:rPr>
        <w:t>dėlto</w:t>
      </w:r>
      <w:proofErr w:type="spellEnd"/>
      <w:r w:rsidR="000D4B05">
        <w:rPr>
          <w:lang w:val="en-US" w:eastAsia="lt-LT"/>
        </w:rPr>
        <w:t xml:space="preserve">, </w:t>
      </w:r>
      <w:proofErr w:type="spellStart"/>
      <w:r w:rsidR="000D4B05">
        <w:rPr>
          <w:lang w:val="en-US" w:eastAsia="lt-LT"/>
        </w:rPr>
        <w:t>Tarnybos</w:t>
      </w:r>
      <w:proofErr w:type="spellEnd"/>
      <w:r w:rsidR="000D4B05">
        <w:rPr>
          <w:lang w:val="en-US" w:eastAsia="lt-LT"/>
        </w:rPr>
        <w:t xml:space="preserve"> </w:t>
      </w:r>
      <w:proofErr w:type="spellStart"/>
      <w:r w:rsidR="000D4B05">
        <w:rPr>
          <w:lang w:val="en-US" w:eastAsia="lt-LT"/>
        </w:rPr>
        <w:t>ekspertų</w:t>
      </w:r>
      <w:proofErr w:type="spellEnd"/>
      <w:r w:rsidR="000D4B05">
        <w:rPr>
          <w:lang w:val="en-US" w:eastAsia="lt-LT"/>
        </w:rPr>
        <w:t xml:space="preserve"> </w:t>
      </w:r>
      <w:proofErr w:type="spellStart"/>
      <w:r w:rsidR="000D4B05">
        <w:rPr>
          <w:lang w:val="en-US" w:eastAsia="lt-LT"/>
        </w:rPr>
        <w:t>manymu</w:t>
      </w:r>
      <w:proofErr w:type="spellEnd"/>
      <w:r w:rsidR="000D4B05">
        <w:rPr>
          <w:lang w:val="en-US" w:eastAsia="lt-LT"/>
        </w:rPr>
        <w:t xml:space="preserve">, </w:t>
      </w:r>
      <w:proofErr w:type="spellStart"/>
      <w:r w:rsidR="000D4B05">
        <w:rPr>
          <w:lang w:val="en-US" w:eastAsia="lt-LT"/>
        </w:rPr>
        <w:t>osimertinibo</w:t>
      </w:r>
      <w:proofErr w:type="spellEnd"/>
      <w:r w:rsidR="000D4B05">
        <w:rPr>
          <w:lang w:val="en-US" w:eastAsia="lt-LT"/>
        </w:rPr>
        <w:t xml:space="preserve"> </w:t>
      </w:r>
      <w:proofErr w:type="spellStart"/>
      <w:r w:rsidR="000D4B05">
        <w:rPr>
          <w:lang w:val="en-US" w:eastAsia="lt-LT"/>
        </w:rPr>
        <w:t>grupės</w:t>
      </w:r>
      <w:proofErr w:type="spellEnd"/>
      <w:r w:rsidR="000D4B05">
        <w:rPr>
          <w:lang w:val="en-US" w:eastAsia="lt-LT"/>
        </w:rPr>
        <w:t xml:space="preserve"> RDI </w:t>
      </w:r>
      <w:proofErr w:type="spellStart"/>
      <w:r w:rsidR="000D4B05">
        <w:rPr>
          <w:lang w:val="en-US" w:eastAsia="lt-LT"/>
        </w:rPr>
        <w:t>analizėje</w:t>
      </w:r>
      <w:proofErr w:type="spellEnd"/>
      <w:r w:rsidR="000D4B05">
        <w:rPr>
          <w:lang w:val="en-US" w:eastAsia="lt-LT"/>
        </w:rPr>
        <w:t xml:space="preserve"> </w:t>
      </w:r>
      <w:proofErr w:type="spellStart"/>
      <w:r w:rsidR="000D4B05">
        <w:rPr>
          <w:lang w:val="en-US" w:eastAsia="lt-LT"/>
        </w:rPr>
        <w:t>yra</w:t>
      </w:r>
      <w:proofErr w:type="spellEnd"/>
      <w:r w:rsidR="000D4B05">
        <w:rPr>
          <w:lang w:val="en-US" w:eastAsia="lt-LT"/>
        </w:rPr>
        <w:t xml:space="preserve"> </w:t>
      </w:r>
      <w:proofErr w:type="spellStart"/>
      <w:r w:rsidR="000D4B05">
        <w:rPr>
          <w:lang w:val="en-US" w:eastAsia="lt-LT"/>
        </w:rPr>
        <w:t>optimistinis</w:t>
      </w:r>
      <w:proofErr w:type="spellEnd"/>
      <w:r w:rsidR="000D4B05">
        <w:rPr>
          <w:lang w:val="en-US" w:eastAsia="lt-LT"/>
        </w:rPr>
        <w:t xml:space="preserve">, </w:t>
      </w:r>
      <w:proofErr w:type="spellStart"/>
      <w:r w:rsidR="000D4B05">
        <w:rPr>
          <w:lang w:val="en-US" w:eastAsia="lt-LT"/>
        </w:rPr>
        <w:t>todėl</w:t>
      </w:r>
      <w:proofErr w:type="spellEnd"/>
      <w:r w:rsidR="000D4B05">
        <w:rPr>
          <w:lang w:val="en-US" w:eastAsia="lt-LT"/>
        </w:rPr>
        <w:t xml:space="preserve"> </w:t>
      </w:r>
      <w:proofErr w:type="spellStart"/>
      <w:r w:rsidR="000D4B05">
        <w:rPr>
          <w:lang w:val="en-US" w:eastAsia="lt-LT"/>
        </w:rPr>
        <w:t>osimertinibo</w:t>
      </w:r>
      <w:proofErr w:type="spellEnd"/>
      <w:r w:rsidR="000D4B05">
        <w:rPr>
          <w:lang w:val="en-US" w:eastAsia="lt-LT"/>
        </w:rPr>
        <w:t xml:space="preserve"> </w:t>
      </w:r>
      <w:proofErr w:type="spellStart"/>
      <w:r w:rsidR="000D4B05">
        <w:rPr>
          <w:lang w:val="en-US" w:eastAsia="lt-LT"/>
        </w:rPr>
        <w:t>grupės</w:t>
      </w:r>
      <w:proofErr w:type="spellEnd"/>
      <w:r w:rsidR="000D4B05">
        <w:rPr>
          <w:lang w:val="en-US" w:eastAsia="lt-LT"/>
        </w:rPr>
        <w:t xml:space="preserve"> RDI </w:t>
      </w:r>
      <w:proofErr w:type="spellStart"/>
      <w:r w:rsidR="000D4B05">
        <w:rPr>
          <w:lang w:val="en-US" w:eastAsia="lt-LT"/>
        </w:rPr>
        <w:t>pagrindinio</w:t>
      </w:r>
      <w:proofErr w:type="spellEnd"/>
      <w:r w:rsidR="000D4B05">
        <w:rPr>
          <w:lang w:val="en-US" w:eastAsia="lt-LT"/>
        </w:rPr>
        <w:t xml:space="preserve"> </w:t>
      </w:r>
      <w:proofErr w:type="spellStart"/>
      <w:r w:rsidR="000D4B05">
        <w:rPr>
          <w:lang w:val="en-US" w:eastAsia="lt-LT"/>
        </w:rPr>
        <w:t>atvejo</w:t>
      </w:r>
      <w:proofErr w:type="spellEnd"/>
      <w:r w:rsidR="000D4B05">
        <w:rPr>
          <w:lang w:val="en-US" w:eastAsia="lt-LT"/>
        </w:rPr>
        <w:t xml:space="preserve"> </w:t>
      </w:r>
      <w:proofErr w:type="spellStart"/>
      <w:r w:rsidR="000D4B05">
        <w:rPr>
          <w:lang w:val="en-US" w:eastAsia="lt-LT"/>
        </w:rPr>
        <w:t>analizėje</w:t>
      </w:r>
      <w:proofErr w:type="spellEnd"/>
      <w:r w:rsidR="000D4B05">
        <w:rPr>
          <w:lang w:val="en-US" w:eastAsia="lt-LT"/>
        </w:rPr>
        <w:t xml:space="preserve"> </w:t>
      </w:r>
      <w:proofErr w:type="spellStart"/>
      <w:r w:rsidR="000D4B05">
        <w:rPr>
          <w:lang w:val="en-US" w:eastAsia="lt-LT"/>
        </w:rPr>
        <w:t>koreguojamas</w:t>
      </w:r>
      <w:proofErr w:type="spellEnd"/>
      <w:r w:rsidR="000D4B05">
        <w:rPr>
          <w:lang w:val="en-US" w:eastAsia="lt-LT"/>
        </w:rPr>
        <w:t xml:space="preserve"> į 95 proc. </w:t>
      </w:r>
    </w:p>
    <w:p w14:paraId="19850390" w14:textId="0D173403" w:rsidR="000D4B05" w:rsidRDefault="000D4B05" w:rsidP="000D4B05">
      <w:pPr>
        <w:spacing w:line="280" w:lineRule="atLeast"/>
        <w:jc w:val="both"/>
        <w:rPr>
          <w:rFonts w:eastAsia="Arial"/>
        </w:rPr>
      </w:pPr>
      <w:r>
        <w:rPr>
          <w:lang w:eastAsia="lt-LT"/>
        </w:rPr>
        <w:t xml:space="preserve">Pateikiamas ekonominės analizės rezultatas laikomas konservatyviu. </w:t>
      </w:r>
      <w:r>
        <w:rPr>
          <w:rFonts w:eastAsia="Arial"/>
        </w:rPr>
        <w:t xml:space="preserve">Siekiant kad amivantamabo ir lazertinibo derinys būtų kaštams naudingas, reikalinga papildoma bent </w:t>
      </w:r>
      <w:r w:rsidR="00E86C11">
        <w:rPr>
          <w:rFonts w:eastAsia="Arial"/>
        </w:rPr>
        <w:t>**</w:t>
      </w:r>
      <w:r w:rsidR="00B00026">
        <w:rPr>
          <w:rFonts w:eastAsia="Arial"/>
        </w:rPr>
        <w:t>*</w:t>
      </w:r>
      <w:r>
        <w:rPr>
          <w:rFonts w:eastAsia="Arial"/>
        </w:rPr>
        <w:t xml:space="preserve"> proc. nuolaida amivantamabui. Ši nuolaida įvertinta laikant, jog referencinė kaštų naudingumo vertė yra 5 BVP </w:t>
      </w:r>
      <w:r w:rsidRPr="007B46BC">
        <w:rPr>
          <w:rFonts w:eastAsia="Arial"/>
          <w:i/>
          <w:iCs/>
        </w:rPr>
        <w:t>per capita</w:t>
      </w:r>
      <w:r>
        <w:rPr>
          <w:rFonts w:eastAsia="Arial"/>
        </w:rPr>
        <w:t xml:space="preserve"> bei naudojantis Pareiškėjo pateiktu modeliu, kuriame automatiškai apskaičiuojama reikalinga nuolaida.</w:t>
      </w:r>
    </w:p>
    <w:p w14:paraId="041E92C7" w14:textId="77777777" w:rsidR="00071E5C" w:rsidRPr="00CE2918" w:rsidRDefault="00071E5C" w:rsidP="00CE2918">
      <w:pPr>
        <w:tabs>
          <w:tab w:val="left" w:pos="426"/>
        </w:tabs>
        <w:spacing w:line="276" w:lineRule="auto"/>
        <w:rPr>
          <w:b/>
          <w:bCs/>
          <w:caps/>
        </w:rPr>
      </w:pPr>
    </w:p>
    <w:p w14:paraId="174D84D7" w14:textId="09C7BC2B" w:rsidR="0035172D" w:rsidRPr="00CE2918" w:rsidRDefault="00164D64" w:rsidP="00A93AA6">
      <w:pPr>
        <w:tabs>
          <w:tab w:val="left" w:pos="426"/>
        </w:tabs>
        <w:rPr>
          <w:b/>
          <w:lang w:eastAsia="lt-LT"/>
        </w:rPr>
      </w:pPr>
      <w:r w:rsidRPr="00CE2918">
        <w:rPr>
          <w:b/>
          <w:lang w:eastAsia="lt-LT"/>
        </w:rPr>
        <w:t xml:space="preserve">3.1 </w:t>
      </w:r>
      <w:r w:rsidR="0035172D" w:rsidRPr="00CE2918">
        <w:rPr>
          <w:b/>
          <w:lang w:eastAsia="lt-LT"/>
        </w:rPr>
        <w:t>Ekonominės analizės rezultatas</w:t>
      </w:r>
    </w:p>
    <w:p w14:paraId="4801D227" w14:textId="77777777" w:rsidR="009E44AE" w:rsidRPr="00CE2918" w:rsidRDefault="009E44AE" w:rsidP="00A93AA6">
      <w:pPr>
        <w:tabs>
          <w:tab w:val="left" w:pos="426"/>
        </w:tabs>
        <w:rPr>
          <w:b/>
          <w:lang w:eastAsia="lt-LT"/>
        </w:rPr>
      </w:pPr>
    </w:p>
    <w:tbl>
      <w:tblPr>
        <w:tblStyle w:val="Lentelstinklelis1"/>
        <w:tblW w:w="9439"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200"/>
        <w:gridCol w:w="3239"/>
      </w:tblGrid>
      <w:tr w:rsidR="00CE2918" w:rsidRPr="00CE2918" w14:paraId="42D6C843" w14:textId="77777777" w:rsidTr="00BE7489">
        <w:trPr>
          <w:trHeight w:val="344"/>
          <w:jc w:val="center"/>
        </w:trPr>
        <w:tc>
          <w:tcPr>
            <w:tcW w:w="9439" w:type="dxa"/>
            <w:gridSpan w:val="2"/>
            <w:tcBorders>
              <w:top w:val="single" w:sz="12" w:space="0" w:color="auto"/>
              <w:left w:val="single" w:sz="4" w:space="0" w:color="auto"/>
              <w:right w:val="single" w:sz="4" w:space="0" w:color="auto"/>
            </w:tcBorders>
            <w:vAlign w:val="center"/>
          </w:tcPr>
          <w:p w14:paraId="39FD3B40" w14:textId="77777777" w:rsidR="009E44AE" w:rsidRPr="00CE2918" w:rsidRDefault="009E44AE" w:rsidP="009E44AE">
            <w:pPr>
              <w:tabs>
                <w:tab w:val="left" w:pos="567"/>
              </w:tabs>
              <w:jc w:val="center"/>
              <w:rPr>
                <w:b/>
                <w:bCs/>
                <w:sz w:val="26"/>
                <w:szCs w:val="26"/>
                <w:lang w:eastAsia="lt-LT"/>
              </w:rPr>
            </w:pPr>
            <w:r w:rsidRPr="00CE2918">
              <w:rPr>
                <w:b/>
                <w:bCs/>
                <w:sz w:val="26"/>
                <w:szCs w:val="26"/>
                <w:lang w:eastAsia="lt-LT"/>
              </w:rPr>
              <w:t>Rezultatai</w:t>
            </w:r>
          </w:p>
        </w:tc>
      </w:tr>
      <w:tr w:rsidR="00CE2918" w:rsidRPr="00CE2918" w14:paraId="319AF392" w14:textId="77777777" w:rsidTr="00071E5C">
        <w:trPr>
          <w:trHeight w:val="267"/>
          <w:jc w:val="center"/>
        </w:trPr>
        <w:tc>
          <w:tcPr>
            <w:tcW w:w="6200" w:type="dxa"/>
            <w:tcBorders>
              <w:left w:val="single" w:sz="4" w:space="0" w:color="auto"/>
            </w:tcBorders>
          </w:tcPr>
          <w:p w14:paraId="44CD8D27" w14:textId="27245A0B" w:rsidR="00BA5DBC" w:rsidRPr="00CE2918" w:rsidRDefault="00BA5DBC" w:rsidP="00BA5DBC">
            <w:pPr>
              <w:tabs>
                <w:tab w:val="left" w:pos="567"/>
              </w:tabs>
              <w:jc w:val="right"/>
              <w:rPr>
                <w:iCs/>
                <w:lang w:eastAsia="lt-LT"/>
              </w:rPr>
            </w:pPr>
            <w:r w:rsidRPr="00CE2918">
              <w:rPr>
                <w:iCs/>
                <w:lang w:eastAsia="lt-LT"/>
              </w:rPr>
              <w:t>Kaštų skirtumas</w:t>
            </w:r>
          </w:p>
        </w:tc>
        <w:tc>
          <w:tcPr>
            <w:tcW w:w="3239" w:type="dxa"/>
            <w:tcBorders>
              <w:right w:val="single" w:sz="4" w:space="0" w:color="auto"/>
            </w:tcBorders>
          </w:tcPr>
          <w:p w14:paraId="1CACF0B4" w14:textId="513D2BE5" w:rsidR="00BA5DBC" w:rsidRPr="00CE2918" w:rsidRDefault="00E86C11" w:rsidP="00BA5DBC">
            <w:pPr>
              <w:tabs>
                <w:tab w:val="left" w:pos="567"/>
              </w:tabs>
              <w:jc w:val="both"/>
              <w:rPr>
                <w:i/>
                <w:iCs/>
                <w:lang w:eastAsia="lt-LT"/>
              </w:rPr>
            </w:pPr>
            <w:r>
              <w:rPr>
                <w:i/>
                <w:iCs/>
                <w:lang w:eastAsia="lt-LT"/>
              </w:rPr>
              <w:t>******</w:t>
            </w:r>
            <w:r w:rsidR="00071E5C" w:rsidRPr="00CE2918">
              <w:rPr>
                <w:i/>
                <w:iCs/>
                <w:lang w:eastAsia="lt-LT"/>
              </w:rPr>
              <w:t xml:space="preserve"> eur</w:t>
            </w:r>
          </w:p>
        </w:tc>
      </w:tr>
      <w:tr w:rsidR="00CE2918" w:rsidRPr="00CE2918" w14:paraId="49F818A3" w14:textId="77777777" w:rsidTr="00071E5C">
        <w:trPr>
          <w:trHeight w:val="267"/>
          <w:jc w:val="center"/>
        </w:trPr>
        <w:tc>
          <w:tcPr>
            <w:tcW w:w="6200" w:type="dxa"/>
            <w:tcBorders>
              <w:left w:val="single" w:sz="4" w:space="0" w:color="auto"/>
            </w:tcBorders>
          </w:tcPr>
          <w:p w14:paraId="021DB925" w14:textId="389F1BF5" w:rsidR="00BA5DBC" w:rsidRPr="00CE2918" w:rsidRDefault="00BA5DBC" w:rsidP="00BA5DBC">
            <w:pPr>
              <w:tabs>
                <w:tab w:val="left" w:pos="567"/>
              </w:tabs>
              <w:jc w:val="right"/>
              <w:rPr>
                <w:iCs/>
                <w:lang w:eastAsia="lt-LT"/>
              </w:rPr>
            </w:pPr>
            <w:r w:rsidRPr="00CE2918">
              <w:rPr>
                <w:iCs/>
                <w:lang w:eastAsia="lt-LT"/>
              </w:rPr>
              <w:t>Papildomi gyvenimo metai (LY)</w:t>
            </w:r>
          </w:p>
        </w:tc>
        <w:tc>
          <w:tcPr>
            <w:tcW w:w="3239" w:type="dxa"/>
            <w:tcBorders>
              <w:right w:val="single" w:sz="4" w:space="0" w:color="auto"/>
            </w:tcBorders>
          </w:tcPr>
          <w:p w14:paraId="4954817B" w14:textId="1AD8D602" w:rsidR="00BA5DBC" w:rsidRPr="00CE2918" w:rsidRDefault="00E86C11" w:rsidP="00BA5DBC">
            <w:pPr>
              <w:tabs>
                <w:tab w:val="left" w:pos="567"/>
              </w:tabs>
              <w:jc w:val="both"/>
              <w:rPr>
                <w:i/>
                <w:iCs/>
                <w:lang w:eastAsia="lt-LT"/>
              </w:rPr>
            </w:pPr>
            <w:r>
              <w:rPr>
                <w:i/>
                <w:iCs/>
                <w:lang w:eastAsia="lt-LT"/>
              </w:rPr>
              <w:t>***</w:t>
            </w:r>
          </w:p>
        </w:tc>
      </w:tr>
      <w:tr w:rsidR="00CE2918" w:rsidRPr="00CE2918" w14:paraId="20ADA742" w14:textId="77777777" w:rsidTr="00071E5C">
        <w:trPr>
          <w:trHeight w:val="267"/>
          <w:jc w:val="center"/>
        </w:trPr>
        <w:tc>
          <w:tcPr>
            <w:tcW w:w="6200" w:type="dxa"/>
            <w:tcBorders>
              <w:left w:val="single" w:sz="4" w:space="0" w:color="auto"/>
            </w:tcBorders>
          </w:tcPr>
          <w:p w14:paraId="0F567576" w14:textId="2606A2E9" w:rsidR="00BA5DBC" w:rsidRPr="00CE2918" w:rsidRDefault="0058712F" w:rsidP="00BA5DBC">
            <w:pPr>
              <w:tabs>
                <w:tab w:val="left" w:pos="567"/>
              </w:tabs>
              <w:jc w:val="right"/>
              <w:rPr>
                <w:iCs/>
                <w:lang w:eastAsia="lt-LT"/>
              </w:rPr>
            </w:pPr>
            <w:r w:rsidRPr="00CE2918">
              <w:rPr>
                <w:iCs/>
                <w:lang w:eastAsia="lt-LT"/>
              </w:rPr>
              <w:t>Papildomi k</w:t>
            </w:r>
            <w:r w:rsidR="00BA5DBC" w:rsidRPr="00CE2918">
              <w:rPr>
                <w:iCs/>
                <w:lang w:eastAsia="lt-LT"/>
              </w:rPr>
              <w:t>okybiški gyvenimo metai (QALY)</w:t>
            </w:r>
          </w:p>
        </w:tc>
        <w:tc>
          <w:tcPr>
            <w:tcW w:w="3239" w:type="dxa"/>
            <w:tcBorders>
              <w:right w:val="single" w:sz="4" w:space="0" w:color="auto"/>
            </w:tcBorders>
          </w:tcPr>
          <w:p w14:paraId="02E4DAE1" w14:textId="42B80FF6" w:rsidR="00BA5DBC" w:rsidRPr="00CE2918" w:rsidRDefault="00E86C11" w:rsidP="00BA5DBC">
            <w:pPr>
              <w:tabs>
                <w:tab w:val="left" w:pos="567"/>
              </w:tabs>
              <w:jc w:val="both"/>
              <w:rPr>
                <w:i/>
                <w:iCs/>
                <w:lang w:eastAsia="lt-LT"/>
              </w:rPr>
            </w:pPr>
            <w:r>
              <w:rPr>
                <w:i/>
                <w:iCs/>
                <w:lang w:eastAsia="lt-LT"/>
              </w:rPr>
              <w:t>***</w:t>
            </w:r>
          </w:p>
        </w:tc>
      </w:tr>
      <w:tr w:rsidR="00CE2918" w:rsidRPr="00CE2918" w14:paraId="1FADA2B3" w14:textId="77777777" w:rsidTr="00071E5C">
        <w:trPr>
          <w:trHeight w:val="267"/>
          <w:jc w:val="center"/>
        </w:trPr>
        <w:tc>
          <w:tcPr>
            <w:tcW w:w="6200" w:type="dxa"/>
            <w:tcBorders>
              <w:left w:val="single" w:sz="4" w:space="0" w:color="auto"/>
            </w:tcBorders>
          </w:tcPr>
          <w:p w14:paraId="13E089E8" w14:textId="0BCEB339" w:rsidR="00BA5DBC" w:rsidRPr="00CE2918" w:rsidRDefault="00BA5DBC" w:rsidP="009E44AE">
            <w:pPr>
              <w:tabs>
                <w:tab w:val="left" w:pos="567"/>
              </w:tabs>
              <w:jc w:val="right"/>
              <w:rPr>
                <w:iCs/>
                <w:lang w:eastAsia="lt-LT"/>
              </w:rPr>
            </w:pPr>
            <w:r w:rsidRPr="00CE2918">
              <w:rPr>
                <w:iCs/>
                <w:lang w:eastAsia="lt-LT"/>
              </w:rPr>
              <w:t>ICER už LY</w:t>
            </w:r>
          </w:p>
        </w:tc>
        <w:tc>
          <w:tcPr>
            <w:tcW w:w="3239" w:type="dxa"/>
            <w:tcBorders>
              <w:right w:val="single" w:sz="4" w:space="0" w:color="auto"/>
            </w:tcBorders>
          </w:tcPr>
          <w:p w14:paraId="2817448D" w14:textId="42930AFE" w:rsidR="00BA5DBC" w:rsidRPr="00CE2918" w:rsidRDefault="00E86C11" w:rsidP="009E44AE">
            <w:pPr>
              <w:tabs>
                <w:tab w:val="left" w:pos="567"/>
              </w:tabs>
              <w:jc w:val="both"/>
              <w:rPr>
                <w:i/>
                <w:iCs/>
                <w:lang w:eastAsia="lt-LT"/>
              </w:rPr>
            </w:pPr>
            <w:r>
              <w:rPr>
                <w:i/>
                <w:iCs/>
                <w:lang w:eastAsia="lt-LT"/>
              </w:rPr>
              <w:t>******</w:t>
            </w:r>
            <w:r w:rsidRPr="00CE2918">
              <w:rPr>
                <w:i/>
                <w:iCs/>
                <w:lang w:eastAsia="lt-LT"/>
              </w:rPr>
              <w:t xml:space="preserve"> </w:t>
            </w:r>
            <w:r w:rsidR="00071E5C" w:rsidRPr="00CE2918">
              <w:rPr>
                <w:i/>
                <w:iCs/>
                <w:lang w:eastAsia="lt-LT"/>
              </w:rPr>
              <w:t>eur/LY</w:t>
            </w:r>
          </w:p>
        </w:tc>
      </w:tr>
      <w:tr w:rsidR="00CE2918" w:rsidRPr="00CE2918" w14:paraId="250DE960" w14:textId="77777777" w:rsidTr="00071E5C">
        <w:trPr>
          <w:trHeight w:val="267"/>
          <w:jc w:val="center"/>
        </w:trPr>
        <w:tc>
          <w:tcPr>
            <w:tcW w:w="6200" w:type="dxa"/>
            <w:tcBorders>
              <w:left w:val="single" w:sz="4" w:space="0" w:color="auto"/>
            </w:tcBorders>
          </w:tcPr>
          <w:p w14:paraId="207EFB23" w14:textId="77777777" w:rsidR="00071E5C" w:rsidRPr="00CE2918" w:rsidRDefault="00071E5C" w:rsidP="00071E5C">
            <w:pPr>
              <w:tabs>
                <w:tab w:val="left" w:pos="567"/>
              </w:tabs>
              <w:jc w:val="right"/>
              <w:rPr>
                <w:iCs/>
                <w:lang w:eastAsia="lt-LT"/>
              </w:rPr>
            </w:pPr>
            <w:r w:rsidRPr="00CE2918">
              <w:rPr>
                <w:iCs/>
                <w:lang w:eastAsia="lt-LT"/>
              </w:rPr>
              <w:t>ICER už QALY</w:t>
            </w:r>
          </w:p>
        </w:tc>
        <w:tc>
          <w:tcPr>
            <w:tcW w:w="3239" w:type="dxa"/>
            <w:tcBorders>
              <w:right w:val="single" w:sz="4" w:space="0" w:color="auto"/>
            </w:tcBorders>
          </w:tcPr>
          <w:p w14:paraId="4275320D" w14:textId="549CCC28" w:rsidR="00071E5C" w:rsidRPr="00CE2918" w:rsidRDefault="00E86C11" w:rsidP="00071E5C">
            <w:pPr>
              <w:tabs>
                <w:tab w:val="left" w:pos="567"/>
              </w:tabs>
              <w:jc w:val="both"/>
              <w:rPr>
                <w:i/>
                <w:iCs/>
                <w:lang w:eastAsia="lt-LT"/>
              </w:rPr>
            </w:pPr>
            <w:r>
              <w:rPr>
                <w:i/>
                <w:iCs/>
                <w:lang w:eastAsia="lt-LT"/>
              </w:rPr>
              <w:t>******</w:t>
            </w:r>
            <w:r w:rsidRPr="00CE2918">
              <w:rPr>
                <w:i/>
                <w:iCs/>
                <w:lang w:eastAsia="lt-LT"/>
              </w:rPr>
              <w:t xml:space="preserve"> </w:t>
            </w:r>
            <w:r w:rsidR="00071E5C" w:rsidRPr="00CE2918">
              <w:rPr>
                <w:i/>
                <w:iCs/>
                <w:lang w:eastAsia="lt-LT"/>
              </w:rPr>
              <w:t>eur/QALY</w:t>
            </w:r>
          </w:p>
        </w:tc>
      </w:tr>
      <w:tr w:rsidR="00CE2918" w:rsidRPr="00CE2918" w14:paraId="2C4C68BA" w14:textId="77777777" w:rsidTr="00071E5C">
        <w:trPr>
          <w:trHeight w:val="267"/>
          <w:jc w:val="center"/>
        </w:trPr>
        <w:tc>
          <w:tcPr>
            <w:tcW w:w="6200" w:type="dxa"/>
            <w:tcBorders>
              <w:left w:val="single" w:sz="4" w:space="0" w:color="auto"/>
              <w:bottom w:val="single" w:sz="4" w:space="0" w:color="auto"/>
              <w:right w:val="single" w:sz="4" w:space="0" w:color="auto"/>
            </w:tcBorders>
          </w:tcPr>
          <w:p w14:paraId="21BEDABF" w14:textId="3471AFB3" w:rsidR="00071E5C" w:rsidRPr="00CE2918" w:rsidRDefault="00071E5C" w:rsidP="00071E5C">
            <w:pPr>
              <w:tabs>
                <w:tab w:val="left" w:pos="567"/>
              </w:tabs>
              <w:jc w:val="right"/>
              <w:rPr>
                <w:iCs/>
                <w:lang w:eastAsia="lt-LT"/>
              </w:rPr>
            </w:pPr>
            <w:r w:rsidRPr="00CE2918">
              <w:rPr>
                <w:iCs/>
                <w:lang w:eastAsia="lt-LT"/>
              </w:rPr>
              <w:t>Referencinė kaštų naudingumo vertė</w:t>
            </w:r>
          </w:p>
        </w:tc>
        <w:tc>
          <w:tcPr>
            <w:tcW w:w="3239" w:type="dxa"/>
            <w:tcBorders>
              <w:left w:val="single" w:sz="4" w:space="0" w:color="auto"/>
              <w:bottom w:val="single" w:sz="4" w:space="0" w:color="auto"/>
              <w:right w:val="single" w:sz="4" w:space="0" w:color="auto"/>
            </w:tcBorders>
          </w:tcPr>
          <w:p w14:paraId="31DAA72E" w14:textId="225436D7" w:rsidR="00071E5C" w:rsidRPr="00CE2918" w:rsidRDefault="00E86C11" w:rsidP="00071E5C">
            <w:pPr>
              <w:tabs>
                <w:tab w:val="left" w:pos="567"/>
              </w:tabs>
              <w:jc w:val="both"/>
              <w:rPr>
                <w:i/>
                <w:iCs/>
                <w:lang w:eastAsia="lt-LT"/>
              </w:rPr>
            </w:pPr>
            <w:r>
              <w:rPr>
                <w:i/>
                <w:iCs/>
                <w:lang w:eastAsia="lt-LT"/>
              </w:rPr>
              <w:t>******</w:t>
            </w:r>
            <w:r w:rsidRPr="00CE2918">
              <w:rPr>
                <w:i/>
                <w:iCs/>
                <w:lang w:eastAsia="lt-LT"/>
              </w:rPr>
              <w:t xml:space="preserve"> </w:t>
            </w:r>
            <w:r w:rsidR="00071E5C" w:rsidRPr="00CE2918">
              <w:rPr>
                <w:i/>
                <w:iCs/>
                <w:lang w:eastAsia="lt-LT"/>
              </w:rPr>
              <w:t>eur/QALY</w:t>
            </w:r>
          </w:p>
        </w:tc>
      </w:tr>
    </w:tbl>
    <w:p w14:paraId="5FC8C737" w14:textId="4136B7F4" w:rsidR="0035172D" w:rsidRPr="00CE2918" w:rsidRDefault="00E5102E" w:rsidP="0035172D">
      <w:pPr>
        <w:tabs>
          <w:tab w:val="left" w:pos="567"/>
        </w:tabs>
        <w:jc w:val="both"/>
        <w:rPr>
          <w:iCs/>
          <w:sz w:val="20"/>
          <w:lang w:eastAsia="lt-LT"/>
        </w:rPr>
      </w:pPr>
      <w:r w:rsidRPr="00CE2918">
        <w:rPr>
          <w:iCs/>
          <w:sz w:val="20"/>
          <w:lang w:eastAsia="lt-LT"/>
        </w:rPr>
        <w:t xml:space="preserve">ICER </w:t>
      </w:r>
      <w:r w:rsidR="00453862" w:rsidRPr="00CE2918">
        <w:rPr>
          <w:iCs/>
          <w:sz w:val="20"/>
          <w:lang w:eastAsia="lt-LT"/>
        </w:rPr>
        <w:t>– (</w:t>
      </w:r>
      <w:r w:rsidR="00453862" w:rsidRPr="00CE2918">
        <w:rPr>
          <w:i/>
          <w:sz w:val="20"/>
          <w:lang w:eastAsia="lt-LT"/>
        </w:rPr>
        <w:t>angl. incremental cost-effectiveness ratio</w:t>
      </w:r>
      <w:r w:rsidR="00453862" w:rsidRPr="00CE2918">
        <w:rPr>
          <w:iCs/>
          <w:sz w:val="20"/>
          <w:lang w:eastAsia="lt-LT"/>
        </w:rPr>
        <w:t>) inkrementinis kaštų naudingumo koeficientas</w:t>
      </w:r>
      <w:r w:rsidRPr="00CE2918">
        <w:rPr>
          <w:iCs/>
          <w:sz w:val="20"/>
          <w:lang w:eastAsia="lt-LT"/>
        </w:rPr>
        <w:t>; LY –</w:t>
      </w:r>
      <w:r w:rsidR="00453862" w:rsidRPr="00CE2918">
        <w:rPr>
          <w:iCs/>
          <w:sz w:val="20"/>
          <w:lang w:eastAsia="lt-LT"/>
        </w:rPr>
        <w:t xml:space="preserve"> (</w:t>
      </w:r>
      <w:r w:rsidR="00453862" w:rsidRPr="00CE2918">
        <w:rPr>
          <w:i/>
          <w:sz w:val="20"/>
          <w:lang w:eastAsia="lt-LT"/>
        </w:rPr>
        <w:t>angl. life years</w:t>
      </w:r>
      <w:r w:rsidR="00453862" w:rsidRPr="00CE2918">
        <w:rPr>
          <w:iCs/>
          <w:sz w:val="20"/>
          <w:lang w:eastAsia="lt-LT"/>
        </w:rPr>
        <w:t>) gyvenimo metai</w:t>
      </w:r>
      <w:r w:rsidRPr="00CE2918">
        <w:rPr>
          <w:iCs/>
          <w:sz w:val="20"/>
          <w:lang w:eastAsia="lt-LT"/>
        </w:rPr>
        <w:t xml:space="preserve">; QALY- </w:t>
      </w:r>
      <w:r w:rsidR="00453862" w:rsidRPr="00CE2918">
        <w:rPr>
          <w:iCs/>
          <w:sz w:val="20"/>
          <w:lang w:eastAsia="lt-LT"/>
        </w:rPr>
        <w:t>(</w:t>
      </w:r>
      <w:r w:rsidR="00453862" w:rsidRPr="00CE2918">
        <w:rPr>
          <w:i/>
          <w:sz w:val="20"/>
          <w:lang w:eastAsia="lt-LT"/>
        </w:rPr>
        <w:t xml:space="preserve">angl. quality adjusted life years) </w:t>
      </w:r>
      <w:r w:rsidR="00453862" w:rsidRPr="00CE2918">
        <w:rPr>
          <w:iCs/>
          <w:sz w:val="20"/>
          <w:lang w:eastAsia="lt-LT"/>
        </w:rPr>
        <w:t>kokybiški gyvenimo metai.</w:t>
      </w:r>
    </w:p>
    <w:p w14:paraId="33875138" w14:textId="77777777" w:rsidR="0035172D" w:rsidRPr="00CE2918" w:rsidRDefault="0035172D" w:rsidP="00A93AA6">
      <w:pPr>
        <w:tabs>
          <w:tab w:val="left" w:pos="426"/>
        </w:tabs>
        <w:rPr>
          <w:b/>
          <w:bCs/>
          <w:caps/>
        </w:rPr>
      </w:pPr>
    </w:p>
    <w:p w14:paraId="4FC424F9" w14:textId="4E767245" w:rsidR="00C62B36" w:rsidRPr="00C31512" w:rsidRDefault="00C62B36" w:rsidP="00CC09D4">
      <w:pPr>
        <w:pStyle w:val="ListParagraph"/>
        <w:numPr>
          <w:ilvl w:val="0"/>
          <w:numId w:val="12"/>
        </w:numPr>
        <w:tabs>
          <w:tab w:val="left" w:pos="567"/>
        </w:tabs>
        <w:ind w:hanging="720"/>
        <w:rPr>
          <w:b/>
          <w:bCs/>
          <w:caps/>
        </w:rPr>
      </w:pPr>
      <w:r w:rsidRPr="00C31512">
        <w:rPr>
          <w:b/>
          <w:bCs/>
          <w:caps/>
        </w:rPr>
        <w:t xml:space="preserve">Pacientų organizacijų pateikti duomenys </w:t>
      </w:r>
    </w:p>
    <w:p w14:paraId="12067AAD" w14:textId="77777777" w:rsidR="00C31512" w:rsidRPr="00C31512" w:rsidRDefault="00C31512" w:rsidP="00937907">
      <w:pPr>
        <w:spacing w:after="120"/>
        <w:jc w:val="both"/>
      </w:pPr>
    </w:p>
    <w:p w14:paraId="62992180" w14:textId="1D9CECA2" w:rsidR="00937907" w:rsidRPr="00C31512" w:rsidRDefault="00937907" w:rsidP="00937907">
      <w:pPr>
        <w:spacing w:after="120"/>
        <w:jc w:val="both"/>
      </w:pPr>
      <w:r w:rsidRPr="00C31512">
        <w:t xml:space="preserve">Pacientų organizacijos pozicija </w:t>
      </w:r>
      <w:r w:rsidR="00880A44" w:rsidRPr="00C31512">
        <w:t>ne</w:t>
      </w:r>
      <w:r w:rsidRPr="00C31512">
        <w:t>pateikta.</w:t>
      </w:r>
    </w:p>
    <w:p w14:paraId="03E73D82" w14:textId="77777777" w:rsidR="00D417D2" w:rsidRPr="00C31512" w:rsidRDefault="00D417D2" w:rsidP="00937907">
      <w:pPr>
        <w:spacing w:after="120"/>
        <w:jc w:val="both"/>
        <w:rPr>
          <w:highlight w:val="yellow"/>
        </w:rPr>
      </w:pPr>
    </w:p>
    <w:p w14:paraId="3D3277FA" w14:textId="09414FFF" w:rsidR="00C62B36" w:rsidRPr="00C31512" w:rsidRDefault="00D67BAF" w:rsidP="00CC09D4">
      <w:pPr>
        <w:pStyle w:val="ListParagraph"/>
        <w:numPr>
          <w:ilvl w:val="0"/>
          <w:numId w:val="12"/>
        </w:numPr>
        <w:tabs>
          <w:tab w:val="left" w:pos="567"/>
        </w:tabs>
        <w:ind w:hanging="720"/>
        <w:rPr>
          <w:b/>
          <w:bCs/>
          <w:caps/>
        </w:rPr>
      </w:pPr>
      <w:r w:rsidRPr="00C31512">
        <w:rPr>
          <w:b/>
          <w:bCs/>
          <w:caps/>
        </w:rPr>
        <w:t xml:space="preserve">SVEIKATOS PRIEŽIŪROS SPECIALISTŲ </w:t>
      </w:r>
      <w:r w:rsidR="00C62B36" w:rsidRPr="00C31512">
        <w:rPr>
          <w:b/>
          <w:bCs/>
          <w:caps/>
        </w:rPr>
        <w:t xml:space="preserve"> organizacijų pateikti duomenys</w:t>
      </w:r>
    </w:p>
    <w:p w14:paraId="044D5084" w14:textId="77777777" w:rsidR="00C9728E" w:rsidRPr="00C31512" w:rsidRDefault="00C9728E" w:rsidP="00C9728E">
      <w:pPr>
        <w:pStyle w:val="ListParagraph"/>
        <w:tabs>
          <w:tab w:val="left" w:pos="567"/>
        </w:tabs>
        <w:rPr>
          <w:b/>
          <w:bCs/>
          <w:caps/>
        </w:rPr>
      </w:pPr>
    </w:p>
    <w:p w14:paraId="5D8CC48C" w14:textId="2E11BC38" w:rsidR="00662983" w:rsidRPr="00CE2918" w:rsidRDefault="00D67BAF" w:rsidP="00662983">
      <w:pPr>
        <w:spacing w:after="120"/>
        <w:jc w:val="both"/>
      </w:pPr>
      <w:r w:rsidRPr="00C31512">
        <w:t>S</w:t>
      </w:r>
      <w:r w:rsidRPr="00C31512">
        <w:rPr>
          <w:bCs/>
        </w:rPr>
        <w:t>veikatos priežiūros specialistų</w:t>
      </w:r>
      <w:r w:rsidR="00937907" w:rsidRPr="00C31512">
        <w:t xml:space="preserve"> organizacijos pozicija </w:t>
      </w:r>
      <w:r w:rsidR="00880A44" w:rsidRPr="00C31512">
        <w:t>ne</w:t>
      </w:r>
      <w:r w:rsidR="00937907" w:rsidRPr="00C31512">
        <w:t>pateikta.</w:t>
      </w:r>
    </w:p>
    <w:p w14:paraId="3701D46A" w14:textId="77777777" w:rsidR="00A042B9" w:rsidRPr="00CE2918" w:rsidRDefault="00A042B9" w:rsidP="00662983">
      <w:pPr>
        <w:spacing w:after="120"/>
        <w:jc w:val="both"/>
      </w:pPr>
    </w:p>
    <w:p w14:paraId="78F23ECB" w14:textId="3ED5BFD5" w:rsidR="002F0E4F" w:rsidRPr="00CE2918" w:rsidRDefault="002F0E4F" w:rsidP="00CC09D4">
      <w:pPr>
        <w:pStyle w:val="ListParagraph"/>
        <w:numPr>
          <w:ilvl w:val="0"/>
          <w:numId w:val="12"/>
        </w:numPr>
        <w:tabs>
          <w:tab w:val="left" w:pos="567"/>
        </w:tabs>
        <w:ind w:hanging="720"/>
        <w:rPr>
          <w:b/>
          <w:bCs/>
          <w:caps/>
        </w:rPr>
      </w:pPr>
      <w:r w:rsidRPr="00CE2918">
        <w:rPr>
          <w:b/>
          <w:bCs/>
          <w:caps/>
        </w:rPr>
        <w:t>Išvad</w:t>
      </w:r>
      <w:r w:rsidR="00B811A4" w:rsidRPr="00CE2918">
        <w:rPr>
          <w:b/>
          <w:bCs/>
          <w:caps/>
        </w:rPr>
        <w:t>OS</w:t>
      </w:r>
      <w:r w:rsidRPr="00CE2918">
        <w:rPr>
          <w:b/>
          <w:bCs/>
          <w:caps/>
        </w:rPr>
        <w:t xml:space="preserve"> </w:t>
      </w:r>
    </w:p>
    <w:p w14:paraId="30069D85" w14:textId="77777777" w:rsidR="0061611B" w:rsidRPr="00CE2918" w:rsidRDefault="0061611B" w:rsidP="0061611B">
      <w:pPr>
        <w:ind w:left="360"/>
        <w:rPr>
          <w:i/>
          <w:szCs w:val="22"/>
        </w:rPr>
      </w:pPr>
    </w:p>
    <w:tbl>
      <w:tblPr>
        <w:tblStyle w:val="TableGrid"/>
        <w:tblW w:w="0" w:type="auto"/>
        <w:tblInd w:w="-5" w:type="dxa"/>
        <w:tblLook w:val="04A0" w:firstRow="1" w:lastRow="0" w:firstColumn="1" w:lastColumn="0" w:noHBand="0" w:noVBand="1"/>
      </w:tblPr>
      <w:tblGrid>
        <w:gridCol w:w="4820"/>
        <w:gridCol w:w="4814"/>
      </w:tblGrid>
      <w:tr w:rsidR="00CE2918" w:rsidRPr="00CE2918" w14:paraId="4D5EFB83" w14:textId="77777777" w:rsidTr="007111C4">
        <w:trPr>
          <w:trHeight w:val="510"/>
        </w:trPr>
        <w:tc>
          <w:tcPr>
            <w:tcW w:w="9634" w:type="dxa"/>
            <w:gridSpan w:val="2"/>
            <w:vAlign w:val="center"/>
          </w:tcPr>
          <w:p w14:paraId="294EC16B" w14:textId="77777777" w:rsidR="00B811A4" w:rsidRPr="00CE29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3"/>
                <w:szCs w:val="23"/>
              </w:rPr>
            </w:pPr>
            <w:bookmarkStart w:id="2" w:name="_Hlk185430554"/>
            <w:r w:rsidRPr="00CE2918">
              <w:rPr>
                <w:rStyle w:val="Style2"/>
                <w:rFonts w:eastAsia="MS Gothic"/>
                <w:b/>
                <w:bCs/>
                <w:sz w:val="23"/>
                <w:szCs w:val="23"/>
              </w:rPr>
              <w:t>Palyginamasis veiksmingumas</w:t>
            </w:r>
          </w:p>
        </w:tc>
      </w:tr>
      <w:tr w:rsidR="00CE2918" w:rsidRPr="00CE2918" w14:paraId="30B67515" w14:textId="77777777" w:rsidTr="007111C4">
        <w:tc>
          <w:tcPr>
            <w:tcW w:w="4820" w:type="dxa"/>
          </w:tcPr>
          <w:p w14:paraId="4FE3C208" w14:textId="153EC515" w:rsidR="00B811A4" w:rsidRPr="00CE2918" w:rsidRDefault="00A77305"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397324644"/>
                <w15:color w:val="FFCC00"/>
                <w14:checkbox>
                  <w14:checked w14:val="1"/>
                  <w14:checkedState w14:val="2612" w14:font="MS Gothic"/>
                  <w14:uncheckedState w14:val="2610" w14:font="MS Gothic"/>
                </w14:checkbox>
              </w:sdtPr>
              <w:sdtEndPr>
                <w:rPr>
                  <w:rStyle w:val="Style2"/>
                </w:rPr>
              </w:sdtEndPr>
              <w:sdtContent>
                <w:r w:rsidR="00477155" w:rsidRPr="00CE2918">
                  <w:rPr>
                    <w:rStyle w:val="Style2"/>
                    <w:rFonts w:ascii="MS Gothic" w:eastAsia="MS Gothic" w:hAnsi="MS Gothic" w:hint="eastAsia"/>
                    <w:sz w:val="23"/>
                    <w:szCs w:val="23"/>
                  </w:rPr>
                  <w:t>☒</w:t>
                </w:r>
              </w:sdtContent>
            </w:sdt>
            <w:r w:rsidR="00B811A4" w:rsidRPr="00CE2918">
              <w:rPr>
                <w:rStyle w:val="Style2"/>
                <w:sz w:val="23"/>
                <w:szCs w:val="23"/>
              </w:rPr>
              <w:t xml:space="preserve"> 29</w:t>
            </w:r>
            <w:r w:rsidR="00B811A4" w:rsidRPr="00CE2918">
              <w:rPr>
                <w:sz w:val="23"/>
                <w:szCs w:val="23"/>
              </w:rPr>
              <w:t>.1.1 yra didesnis, lyginant su įprasta klinikine praktika</w:t>
            </w:r>
          </w:p>
          <w:p w14:paraId="6F9786E4" w14:textId="77777777" w:rsidR="00B811A4" w:rsidRPr="00CE29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231EDECD" w14:textId="77777777" w:rsidR="00B811A4" w:rsidRPr="00CE2918" w:rsidRDefault="00A77305"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3"/>
                <w:szCs w:val="23"/>
              </w:rPr>
            </w:pPr>
            <w:sdt>
              <w:sdtPr>
                <w:rPr>
                  <w:rStyle w:val="Style2"/>
                  <w:sz w:val="23"/>
                  <w:szCs w:val="23"/>
                </w:rPr>
                <w:id w:val="418297090"/>
                <w15:color w:val="FFCC00"/>
                <w14:checkbox>
                  <w14:checked w14:val="0"/>
                  <w14:checkedState w14:val="2612" w14:font="MS Gothic"/>
                  <w14:uncheckedState w14:val="2610" w14:font="MS Gothic"/>
                </w14:checkbox>
              </w:sdtPr>
              <w:sdtEndPr>
                <w:rPr>
                  <w:rStyle w:val="Style2"/>
                </w:rPr>
              </w:sdtEndPr>
              <w:sdtContent>
                <w:r w:rsidR="00B811A4" w:rsidRPr="00CE2918">
                  <w:rPr>
                    <w:rStyle w:val="Style2"/>
                    <w:rFonts w:ascii="Segoe UI Symbol" w:eastAsia="MS Gothic" w:hAnsi="Segoe UI Symbol" w:cs="Segoe UI Symbol"/>
                    <w:sz w:val="23"/>
                    <w:szCs w:val="23"/>
                  </w:rPr>
                  <w:t>☐</w:t>
                </w:r>
              </w:sdtContent>
            </w:sdt>
            <w:r w:rsidR="00B811A4" w:rsidRPr="00CE2918">
              <w:rPr>
                <w:sz w:val="23"/>
                <w:szCs w:val="23"/>
              </w:rPr>
              <w:t xml:space="preserve"> </w:t>
            </w:r>
            <w:r w:rsidR="00B811A4" w:rsidRPr="00CE2918">
              <w:rPr>
                <w:rStyle w:val="Style2"/>
                <w:sz w:val="23"/>
                <w:szCs w:val="23"/>
              </w:rPr>
              <w:t>29</w:t>
            </w:r>
            <w:r w:rsidR="00B811A4" w:rsidRPr="00CE2918">
              <w:rPr>
                <w:sz w:val="23"/>
                <w:szCs w:val="23"/>
              </w:rPr>
              <w:t>.1.2 iš esmės nesiskiria, lyginant su įprasta klinikine praktika</w:t>
            </w:r>
          </w:p>
        </w:tc>
        <w:tc>
          <w:tcPr>
            <w:tcW w:w="4814" w:type="dxa"/>
          </w:tcPr>
          <w:p w14:paraId="72562F9E" w14:textId="77777777" w:rsidR="00B811A4" w:rsidRPr="00CE2918" w:rsidRDefault="00A77305"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724755596"/>
                <w15:color w:val="FFCC00"/>
                <w14:checkbox>
                  <w14:checked w14:val="0"/>
                  <w14:checkedState w14:val="2612" w14:font="MS Gothic"/>
                  <w14:uncheckedState w14:val="2610" w14:font="MS Gothic"/>
                </w14:checkbox>
              </w:sdtPr>
              <w:sdtEndPr>
                <w:rPr>
                  <w:rStyle w:val="Style2"/>
                </w:rPr>
              </w:sdtEndPr>
              <w:sdtContent>
                <w:r w:rsidR="00B811A4" w:rsidRPr="00CE2918">
                  <w:rPr>
                    <w:rStyle w:val="Style2"/>
                    <w:rFonts w:ascii="Segoe UI Symbol" w:eastAsia="MS Gothic" w:hAnsi="Segoe UI Symbol" w:cs="Segoe UI Symbol"/>
                    <w:sz w:val="23"/>
                    <w:szCs w:val="23"/>
                  </w:rPr>
                  <w:t>☐</w:t>
                </w:r>
              </w:sdtContent>
            </w:sdt>
            <w:r w:rsidR="00B811A4" w:rsidRPr="00CE2918">
              <w:rPr>
                <w:sz w:val="23"/>
                <w:szCs w:val="23"/>
              </w:rPr>
              <w:t xml:space="preserve"> </w:t>
            </w:r>
            <w:r w:rsidR="00B811A4" w:rsidRPr="00CE2918">
              <w:rPr>
                <w:rStyle w:val="Style2"/>
                <w:sz w:val="23"/>
                <w:szCs w:val="23"/>
              </w:rPr>
              <w:t>29</w:t>
            </w:r>
            <w:r w:rsidR="00B811A4" w:rsidRPr="00CE2918">
              <w:rPr>
                <w:sz w:val="23"/>
                <w:szCs w:val="23"/>
              </w:rPr>
              <w:t xml:space="preserve">.1.3 yra neįrodytas kaip didesnis  ar iš esmės nesiskiriantis, lyginant su įprasta klinikine praktika  </w:t>
            </w:r>
          </w:p>
          <w:p w14:paraId="6F6DB5BC" w14:textId="77777777" w:rsidR="00B811A4" w:rsidRPr="00CE29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5EE1D885" w14:textId="77777777" w:rsidR="00B811A4" w:rsidRPr="00CE2918" w:rsidRDefault="00A77305"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862168479"/>
                <w15:color w:val="FFCC00"/>
                <w14:checkbox>
                  <w14:checked w14:val="0"/>
                  <w14:checkedState w14:val="2612" w14:font="MS Gothic"/>
                  <w14:uncheckedState w14:val="2610" w14:font="MS Gothic"/>
                </w14:checkbox>
              </w:sdtPr>
              <w:sdtEndPr>
                <w:rPr>
                  <w:rStyle w:val="Style2"/>
                </w:rPr>
              </w:sdtEndPr>
              <w:sdtContent>
                <w:r w:rsidR="00B811A4" w:rsidRPr="00CE2918">
                  <w:rPr>
                    <w:rStyle w:val="Style2"/>
                    <w:rFonts w:ascii="Segoe UI Symbol" w:eastAsia="MS Gothic" w:hAnsi="Segoe UI Symbol" w:cs="Segoe UI Symbol"/>
                    <w:sz w:val="23"/>
                    <w:szCs w:val="23"/>
                  </w:rPr>
                  <w:t>☐</w:t>
                </w:r>
              </w:sdtContent>
            </w:sdt>
            <w:r w:rsidR="00B811A4" w:rsidRPr="00CE2918">
              <w:rPr>
                <w:sz w:val="23"/>
                <w:szCs w:val="23"/>
              </w:rPr>
              <w:t xml:space="preserve"> </w:t>
            </w:r>
            <w:r w:rsidR="00B811A4" w:rsidRPr="00CE2918">
              <w:rPr>
                <w:rStyle w:val="Style2"/>
                <w:sz w:val="23"/>
                <w:szCs w:val="23"/>
              </w:rPr>
              <w:t>29</w:t>
            </w:r>
            <w:r w:rsidR="00B811A4" w:rsidRPr="00CE2918">
              <w:rPr>
                <w:sz w:val="23"/>
                <w:szCs w:val="23"/>
              </w:rPr>
              <w:t>.1.4 yra mažesnis, lyginant su įprasta klinikine praktika</w:t>
            </w:r>
          </w:p>
          <w:p w14:paraId="193C3D76" w14:textId="77777777" w:rsidR="00B811A4" w:rsidRPr="00CE29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370E94DC" w14:textId="4EC80DB9" w:rsidR="00B811A4" w:rsidRPr="00CE2918" w:rsidRDefault="00A77305"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857960180"/>
                <w15:color w:val="FFCC00"/>
                <w14:checkbox>
                  <w14:checked w14:val="0"/>
                  <w14:checkedState w14:val="2612" w14:font="MS Gothic"/>
                  <w14:uncheckedState w14:val="2610" w14:font="MS Gothic"/>
                </w14:checkbox>
              </w:sdtPr>
              <w:sdtEndPr>
                <w:rPr>
                  <w:rStyle w:val="Style2"/>
                </w:rPr>
              </w:sdtEndPr>
              <w:sdtContent>
                <w:r w:rsidR="00B811A4" w:rsidRPr="00CE2918">
                  <w:rPr>
                    <w:rStyle w:val="Style2"/>
                    <w:rFonts w:ascii="Segoe UI Symbol" w:eastAsia="MS Gothic" w:hAnsi="Segoe UI Symbol" w:cs="Segoe UI Symbol"/>
                    <w:sz w:val="23"/>
                    <w:szCs w:val="23"/>
                  </w:rPr>
                  <w:t>☐</w:t>
                </w:r>
              </w:sdtContent>
            </w:sdt>
            <w:r w:rsidR="00B811A4" w:rsidRPr="00CE2918">
              <w:rPr>
                <w:sz w:val="23"/>
                <w:szCs w:val="23"/>
              </w:rPr>
              <w:t xml:space="preserve"> </w:t>
            </w:r>
            <w:r w:rsidR="00B811A4" w:rsidRPr="00CE2918">
              <w:rPr>
                <w:rStyle w:val="Style2"/>
                <w:sz w:val="23"/>
                <w:szCs w:val="23"/>
              </w:rPr>
              <w:t>29</w:t>
            </w:r>
            <w:r w:rsidR="00B811A4" w:rsidRPr="00CE2918">
              <w:rPr>
                <w:sz w:val="23"/>
                <w:szCs w:val="23"/>
              </w:rPr>
              <w:t>.1.5 pateikti duomenys apie palyginamąjį veiksmingumą yra netinkami vertinti</w:t>
            </w:r>
          </w:p>
          <w:p w14:paraId="45719037" w14:textId="77777777" w:rsidR="00B811A4" w:rsidRPr="00CE29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p>
        </w:tc>
      </w:tr>
      <w:bookmarkEnd w:id="2"/>
      <w:tr w:rsidR="00CE2918" w:rsidRPr="00CE2918" w14:paraId="0E0F5168" w14:textId="77777777" w:rsidTr="00743956">
        <w:trPr>
          <w:trHeight w:val="510"/>
        </w:trPr>
        <w:tc>
          <w:tcPr>
            <w:tcW w:w="9634" w:type="dxa"/>
            <w:gridSpan w:val="2"/>
            <w:vAlign w:val="center"/>
          </w:tcPr>
          <w:p w14:paraId="62B67E12" w14:textId="77777777" w:rsidR="00B811A4" w:rsidRPr="00CE29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3"/>
                <w:szCs w:val="23"/>
              </w:rPr>
            </w:pPr>
            <w:r w:rsidRPr="00CE2918">
              <w:rPr>
                <w:rStyle w:val="Style2"/>
                <w:rFonts w:eastAsia="MS Gothic"/>
                <w:b/>
                <w:bCs/>
                <w:sz w:val="23"/>
                <w:szCs w:val="23"/>
              </w:rPr>
              <w:t>Kaštų naudingumas</w:t>
            </w:r>
          </w:p>
        </w:tc>
      </w:tr>
      <w:tr w:rsidR="00CE2918" w:rsidRPr="00CE2918" w14:paraId="6A2F62B2" w14:textId="77777777" w:rsidTr="00743956">
        <w:tc>
          <w:tcPr>
            <w:tcW w:w="4820" w:type="dxa"/>
          </w:tcPr>
          <w:p w14:paraId="7CB2C697" w14:textId="44A4E1DF" w:rsidR="00B811A4" w:rsidRPr="00CE2918" w:rsidRDefault="00A77305"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301657889"/>
                <w15:color w:val="FFCC00"/>
                <w14:checkbox>
                  <w14:checked w14:val="0"/>
                  <w14:checkedState w14:val="2612" w14:font="MS Gothic"/>
                  <w14:uncheckedState w14:val="2610" w14:font="MS Gothic"/>
                </w14:checkbox>
              </w:sdtPr>
              <w:sdtEndPr>
                <w:rPr>
                  <w:rStyle w:val="Style2"/>
                </w:rPr>
              </w:sdtEndPr>
              <w:sdtContent>
                <w:r w:rsidR="00B811A4" w:rsidRPr="00CE2918">
                  <w:rPr>
                    <w:rStyle w:val="Style2"/>
                    <w:rFonts w:ascii="Segoe UI Symbol" w:eastAsia="MS Gothic" w:hAnsi="Segoe UI Symbol" w:cs="Segoe UI Symbol"/>
                    <w:sz w:val="23"/>
                    <w:szCs w:val="23"/>
                  </w:rPr>
                  <w:t>☐</w:t>
                </w:r>
              </w:sdtContent>
            </w:sdt>
            <w:r w:rsidR="00B811A4" w:rsidRPr="00CE2918">
              <w:rPr>
                <w:sz w:val="23"/>
                <w:szCs w:val="23"/>
              </w:rPr>
              <w:t xml:space="preserve"> 29.2.1 atitinka referencinę naudingumo vertę taikant arba netaikant</w:t>
            </w:r>
            <w:r w:rsidR="00437623" w:rsidRPr="00CE2918">
              <w:rPr>
                <w:b/>
                <w:bCs/>
                <w:sz w:val="23"/>
                <w:szCs w:val="23"/>
              </w:rPr>
              <w:t xml:space="preserve"> </w:t>
            </w:r>
            <w:r w:rsidR="00B811A4" w:rsidRPr="00CE2918">
              <w:rPr>
                <w:sz w:val="23"/>
                <w:szCs w:val="23"/>
              </w:rPr>
              <w:t>PGS</w:t>
            </w:r>
          </w:p>
          <w:p w14:paraId="71797774" w14:textId="77777777" w:rsidR="00B811A4" w:rsidRPr="00CE29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5BE88CDB" w14:textId="60C4FFA7" w:rsidR="00B811A4" w:rsidRPr="00CE29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p>
        </w:tc>
        <w:tc>
          <w:tcPr>
            <w:tcW w:w="4814" w:type="dxa"/>
          </w:tcPr>
          <w:p w14:paraId="0370A72C" w14:textId="2FAE851C" w:rsidR="00B811A4" w:rsidRPr="00CE2918" w:rsidRDefault="00A77305"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791860283"/>
                <w15:color w:val="FFCC00"/>
                <w14:checkbox>
                  <w14:checked w14:val="1"/>
                  <w14:checkedState w14:val="2612" w14:font="MS Gothic"/>
                  <w14:uncheckedState w14:val="2610" w14:font="MS Gothic"/>
                </w14:checkbox>
              </w:sdtPr>
              <w:sdtEndPr>
                <w:rPr>
                  <w:rStyle w:val="Style2"/>
                </w:rPr>
              </w:sdtEndPr>
              <w:sdtContent>
                <w:r w:rsidR="00594E5B" w:rsidRPr="00CE2918">
                  <w:rPr>
                    <w:rStyle w:val="Style2"/>
                    <w:rFonts w:ascii="MS Gothic" w:eastAsia="MS Gothic" w:hAnsi="MS Gothic" w:hint="eastAsia"/>
                    <w:sz w:val="23"/>
                    <w:szCs w:val="23"/>
                  </w:rPr>
                  <w:t>☒</w:t>
                </w:r>
              </w:sdtContent>
            </w:sdt>
            <w:r w:rsidR="00B811A4" w:rsidRPr="00CE2918">
              <w:rPr>
                <w:sz w:val="23"/>
                <w:szCs w:val="23"/>
              </w:rPr>
              <w:t xml:space="preserve"> 29.2.3 neatitinka referencinės naudingumo vertės taikant arba netaikant PGS</w:t>
            </w:r>
          </w:p>
          <w:p w14:paraId="13C9EEE5" w14:textId="77777777" w:rsidR="00B811A4" w:rsidRPr="00CE29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289E6691" w14:textId="77777777" w:rsidR="00B811A4" w:rsidRPr="00CE29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5FD1976C" w14:textId="77777777" w:rsidR="00B811A4" w:rsidRPr="00CE2918" w:rsidRDefault="00A77305"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3"/>
                <w:szCs w:val="23"/>
              </w:rPr>
            </w:pPr>
            <w:sdt>
              <w:sdtPr>
                <w:rPr>
                  <w:rStyle w:val="Style2"/>
                  <w:sz w:val="23"/>
                  <w:szCs w:val="23"/>
                </w:rPr>
                <w:id w:val="-943849855"/>
                <w15:color w:val="FFCC00"/>
                <w14:checkbox>
                  <w14:checked w14:val="0"/>
                  <w14:checkedState w14:val="2612" w14:font="MS Gothic"/>
                  <w14:uncheckedState w14:val="2610" w14:font="MS Gothic"/>
                </w14:checkbox>
              </w:sdtPr>
              <w:sdtEndPr>
                <w:rPr>
                  <w:rStyle w:val="Style2"/>
                </w:rPr>
              </w:sdtEndPr>
              <w:sdtContent>
                <w:r w:rsidR="00B811A4" w:rsidRPr="00CE2918">
                  <w:rPr>
                    <w:rStyle w:val="Style2"/>
                    <w:rFonts w:ascii="Segoe UI Symbol" w:eastAsia="MS Gothic" w:hAnsi="Segoe UI Symbol" w:cs="Segoe UI Symbol"/>
                    <w:sz w:val="23"/>
                    <w:szCs w:val="23"/>
                  </w:rPr>
                  <w:t>☐</w:t>
                </w:r>
              </w:sdtContent>
            </w:sdt>
            <w:r w:rsidR="00B811A4" w:rsidRPr="00CE2918">
              <w:rPr>
                <w:sz w:val="23"/>
                <w:szCs w:val="23"/>
              </w:rPr>
              <w:t xml:space="preserve"> 29.2.5 pateikti duomenys apie kaštų naudingumą yra netinkami vertinti</w:t>
            </w:r>
          </w:p>
          <w:p w14:paraId="06AB06C5" w14:textId="77777777" w:rsidR="00B811A4" w:rsidRPr="00CE29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p>
        </w:tc>
      </w:tr>
      <w:tr w:rsidR="00CE2918" w:rsidRPr="00CE2918" w14:paraId="632C9193" w14:textId="77777777" w:rsidTr="00027464">
        <w:tc>
          <w:tcPr>
            <w:tcW w:w="9634" w:type="dxa"/>
            <w:gridSpan w:val="2"/>
          </w:tcPr>
          <w:p w14:paraId="15C289C9" w14:textId="47C5A3CE" w:rsidR="007111C4" w:rsidRPr="00CE2918" w:rsidRDefault="00A77305"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3"/>
                <w:szCs w:val="23"/>
              </w:rPr>
            </w:pPr>
            <w:sdt>
              <w:sdtPr>
                <w:rPr>
                  <w:rStyle w:val="Style2"/>
                  <w:sz w:val="23"/>
                  <w:szCs w:val="23"/>
                </w:rPr>
                <w:id w:val="1266579562"/>
                <w15:color w:val="FFCC00"/>
                <w14:checkbox>
                  <w14:checked w14:val="0"/>
                  <w14:checkedState w14:val="2612" w14:font="MS Gothic"/>
                  <w14:uncheckedState w14:val="2610" w14:font="MS Gothic"/>
                </w14:checkbox>
              </w:sdtPr>
              <w:sdtEndPr>
                <w:rPr>
                  <w:rStyle w:val="Style2"/>
                </w:rPr>
              </w:sdtEndPr>
              <w:sdtContent>
                <w:r w:rsidR="007111C4" w:rsidRPr="00CE2918">
                  <w:rPr>
                    <w:rStyle w:val="Style2"/>
                    <w:rFonts w:ascii="Segoe UI Symbol" w:eastAsia="MS Gothic" w:hAnsi="Segoe UI Symbol" w:cs="Segoe UI Symbol"/>
                    <w:sz w:val="23"/>
                    <w:szCs w:val="23"/>
                  </w:rPr>
                  <w:t>☐</w:t>
                </w:r>
              </w:sdtContent>
            </w:sdt>
            <w:r w:rsidR="007111C4" w:rsidRPr="00CE2918">
              <w:rPr>
                <w:sz w:val="23"/>
                <w:szCs w:val="23"/>
              </w:rPr>
              <w:t xml:space="preserve"> Vykdant Aprašo &lt;17</w:t>
            </w:r>
            <w:r w:rsidR="007111C4" w:rsidRPr="00CE2918">
              <w:rPr>
                <w:sz w:val="23"/>
                <w:szCs w:val="23"/>
                <w:vertAlign w:val="superscript"/>
              </w:rPr>
              <w:t>3</w:t>
            </w:r>
            <w:r w:rsidR="007111C4" w:rsidRPr="00CE2918">
              <w:rPr>
                <w:sz w:val="23"/>
                <w:szCs w:val="23"/>
              </w:rPr>
              <w:t>.1&gt;&lt;17</w:t>
            </w:r>
            <w:r w:rsidR="007111C4" w:rsidRPr="00CE2918">
              <w:rPr>
                <w:sz w:val="23"/>
                <w:szCs w:val="23"/>
                <w:vertAlign w:val="superscript"/>
              </w:rPr>
              <w:t>3</w:t>
            </w:r>
            <w:r w:rsidR="007111C4" w:rsidRPr="00CE2918">
              <w:rPr>
                <w:sz w:val="23"/>
                <w:szCs w:val="23"/>
              </w:rPr>
              <w:t>.2&gt;&lt;17</w:t>
            </w:r>
            <w:r w:rsidR="007111C4" w:rsidRPr="00CE2918">
              <w:rPr>
                <w:sz w:val="23"/>
                <w:szCs w:val="23"/>
                <w:vertAlign w:val="superscript"/>
              </w:rPr>
              <w:t>3</w:t>
            </w:r>
            <w:r w:rsidR="007111C4" w:rsidRPr="00CE2918">
              <w:rPr>
                <w:sz w:val="23"/>
                <w:szCs w:val="23"/>
              </w:rPr>
              <w:t>.3&gt; punktą vaistinio (-ų) preparato (-ų) ekonominis vertinimas neatliekamas, išvados dėl kaštų naudingumo neteikiamos</w:t>
            </w:r>
          </w:p>
        </w:tc>
      </w:tr>
    </w:tbl>
    <w:p w14:paraId="08D5B3B6" w14:textId="292D1124" w:rsidR="0061611B" w:rsidRPr="00CE2918" w:rsidRDefault="0061611B" w:rsidP="0061611B">
      <w:pPr>
        <w:rPr>
          <w:i/>
          <w:szCs w:val="22"/>
        </w:rPr>
      </w:pPr>
    </w:p>
    <w:p w14:paraId="1B85C083" w14:textId="77777777" w:rsidR="009E44AE" w:rsidRPr="00CE2918" w:rsidRDefault="009E44AE" w:rsidP="00381024"/>
    <w:p w14:paraId="3B2D1F25" w14:textId="3A80E19F" w:rsidR="000001B0" w:rsidRPr="00CE2918" w:rsidRDefault="000001B0" w:rsidP="00CC09D4">
      <w:pPr>
        <w:pStyle w:val="ListParagraph"/>
        <w:numPr>
          <w:ilvl w:val="0"/>
          <w:numId w:val="12"/>
        </w:numPr>
        <w:ind w:left="567" w:hanging="567"/>
      </w:pPr>
      <w:r w:rsidRPr="00CE2918">
        <w:rPr>
          <w:b/>
        </w:rPr>
        <w:t>REKOME</w:t>
      </w:r>
      <w:r w:rsidR="00D83182" w:rsidRPr="00CE2918">
        <w:rPr>
          <w:b/>
        </w:rPr>
        <w:t>N</w:t>
      </w:r>
      <w:r w:rsidRPr="00CE2918">
        <w:rPr>
          <w:b/>
        </w:rPr>
        <w:t>DACIJA</w:t>
      </w:r>
    </w:p>
    <w:p w14:paraId="35E33D78" w14:textId="59232BB3" w:rsidR="00B811A4" w:rsidRPr="00CE2918" w:rsidRDefault="00B811A4" w:rsidP="00B811A4">
      <w:pPr>
        <w:pStyle w:val="ListParagraph"/>
        <w:ind w:left="567"/>
        <w:rPr>
          <w:b/>
        </w:rPr>
      </w:pPr>
    </w:p>
    <w:p w14:paraId="22AD7B35" w14:textId="4D6A2718" w:rsidR="00AC5129" w:rsidRPr="00CE2918" w:rsidRDefault="00B811A4" w:rsidP="00CE2918">
      <w:pPr>
        <w:spacing w:line="276" w:lineRule="auto"/>
        <w:jc w:val="both"/>
        <w:rPr>
          <w:lang w:eastAsia="lt-LT"/>
        </w:rPr>
      </w:pPr>
      <w:r w:rsidRPr="00CE2918">
        <w:t xml:space="preserve">Vadovaujantis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w:t>
      </w:r>
      <w:bookmarkStart w:id="3" w:name="part_2e1d9dd50ec54141ab7a1b19970b9847"/>
      <w:bookmarkEnd w:id="3"/>
      <w:r w:rsidR="00AC5129" w:rsidRPr="00CE2918">
        <w:rPr>
          <w:lang w:eastAsia="lt-LT"/>
        </w:rPr>
        <w:t>30</w:t>
      </w:r>
      <w:r w:rsidR="00AC5129" w:rsidRPr="00CE2918">
        <w:rPr>
          <w:vertAlign w:val="superscript"/>
          <w:lang w:eastAsia="lt-LT"/>
        </w:rPr>
        <w:t>1</w:t>
      </w:r>
      <w:r w:rsidR="00AC5129" w:rsidRPr="00CE2918">
        <w:rPr>
          <w:lang w:eastAsia="lt-LT"/>
        </w:rPr>
        <w:t>.2. papunkčiu rekomenduojama kompensuoti vaistinį preparatą pagal paraiškoje nurodytą indikaciją (arba jos dalį) su arba be skyrimo sąlygų, jei, pateikus naują ar atnaujintą PGS, kaštų naudingumas atitinka referencinę naudingumo vertę</w:t>
      </w:r>
      <w:r w:rsidR="008A4AFB" w:rsidRPr="00CE2918">
        <w:rPr>
          <w:lang w:eastAsia="lt-LT"/>
        </w:rPr>
        <w:t xml:space="preserve">, </w:t>
      </w:r>
      <w:r w:rsidR="00AC5129" w:rsidRPr="00CE2918">
        <w:rPr>
          <w:lang w:eastAsia="lt-LT"/>
        </w:rPr>
        <w:t>kai vertinimo išvados atitinka Aprašo 29.1.1 ir 29.2.3 papunkčiuose numatytas sąlygas</w:t>
      </w:r>
      <w:r w:rsidR="008A4AFB" w:rsidRPr="00CE2918">
        <w:rPr>
          <w:lang w:eastAsia="lt-LT"/>
        </w:rPr>
        <w:t>.</w:t>
      </w:r>
    </w:p>
    <w:p w14:paraId="3D60BB06" w14:textId="77777777" w:rsidR="00B811A4" w:rsidRPr="00CE2918" w:rsidRDefault="00B811A4" w:rsidP="00B811A4">
      <w:pPr>
        <w:widowControl w:val="0"/>
        <w:tabs>
          <w:tab w:val="left" w:pos="1418"/>
        </w:tabs>
        <w:suppressAutoHyphens/>
        <w:spacing w:line="360" w:lineRule="atLeast"/>
        <w:jc w:val="center"/>
        <w:textAlignment w:val="center"/>
        <w:rPr>
          <w:lang w:eastAsia="lt-LT"/>
        </w:rPr>
      </w:pPr>
    </w:p>
    <w:p w14:paraId="42F3A222" w14:textId="77777777" w:rsidR="00B811A4" w:rsidRPr="00CE2918" w:rsidRDefault="00B811A4" w:rsidP="00B811A4">
      <w:pPr>
        <w:tabs>
          <w:tab w:val="left" w:pos="426"/>
        </w:tabs>
        <w:jc w:val="both"/>
        <w:rPr>
          <w:b/>
          <w:lang w:eastAsia="lt-LT"/>
        </w:rPr>
      </w:pPr>
      <w:r w:rsidRPr="00CE2918">
        <w:rPr>
          <w:b/>
          <w:lang w:eastAsia="lt-LT"/>
        </w:rPr>
        <w:t xml:space="preserve">4.3 Siūloma (-os) kompensuoti terapinės indikacijos ir skyrimo sąlygos </w:t>
      </w:r>
    </w:p>
    <w:p w14:paraId="179FBABC" w14:textId="77777777" w:rsidR="00B811A4" w:rsidRPr="00CE2918" w:rsidRDefault="00B811A4" w:rsidP="00B811A4">
      <w:pPr>
        <w:tabs>
          <w:tab w:val="left" w:pos="426"/>
        </w:tabs>
        <w:jc w:val="both"/>
        <w:rPr>
          <w:b/>
          <w:lang w:eastAsia="lt-LT"/>
        </w:rPr>
      </w:pPr>
    </w:p>
    <w:p w14:paraId="65CB839B" w14:textId="77777777" w:rsidR="00B811A4" w:rsidRPr="00CE2918" w:rsidRDefault="00B811A4" w:rsidP="00B811A4">
      <w:pPr>
        <w:pStyle w:val="NoSpacing"/>
        <w:rPr>
          <w:rFonts w:ascii="Times New Roman" w:hAnsi="Times New Roman"/>
          <w:b/>
          <w:sz w:val="24"/>
          <w:szCs w:val="24"/>
          <w:lang w:eastAsia="lt-LT"/>
        </w:rPr>
      </w:pPr>
      <w:r w:rsidRPr="00CE2918">
        <w:rPr>
          <w:rFonts w:ascii="Times New Roman" w:hAnsi="Times New Roman"/>
          <w:b/>
          <w:sz w:val="24"/>
          <w:szCs w:val="24"/>
          <w:lang w:eastAsia="lt-LT"/>
        </w:rPr>
        <w:t>Terapinės indikacijos</w:t>
      </w:r>
    </w:p>
    <w:p w14:paraId="4B84ABD2" w14:textId="32BBE155" w:rsidR="00B811A4" w:rsidRDefault="004A086D" w:rsidP="004A086D">
      <w:pPr>
        <w:tabs>
          <w:tab w:val="left" w:pos="284"/>
        </w:tabs>
        <w:spacing w:line="276" w:lineRule="auto"/>
        <w:jc w:val="both"/>
        <w:rPr>
          <w:bCs/>
          <w:lang w:eastAsia="lt-LT"/>
        </w:rPr>
      </w:pPr>
      <w:r w:rsidRPr="00CE2918">
        <w:lastRenderedPageBreak/>
        <w:t>Rybrevant yra skirtas suaugusių pacientų, sergančių išplitusiu nesmulkialąsteliniu plaučių vėžiu (NSLPV) su epidermio augimo faktoriaus receptoriaus (EAFR) 19 egzono delecijomis arba 21 egzono L858R substitucijos mutacijomis, pirmos eilės gydymui kartu su lazertinibu.</w:t>
      </w:r>
    </w:p>
    <w:p w14:paraId="5B4D73FC" w14:textId="7B674558" w:rsidR="0094179A" w:rsidRPr="00CE2918" w:rsidRDefault="0094179A" w:rsidP="004A086D">
      <w:pPr>
        <w:tabs>
          <w:tab w:val="left" w:pos="284"/>
        </w:tabs>
        <w:spacing w:line="276" w:lineRule="auto"/>
        <w:jc w:val="both"/>
      </w:pPr>
      <w:bookmarkStart w:id="4" w:name="_Hlk217900481"/>
      <w:r w:rsidRPr="0094179A">
        <w:rPr>
          <w:b/>
          <w:lang w:eastAsia="lt-LT"/>
        </w:rPr>
        <w:t>TLK 10 AM</w:t>
      </w:r>
      <w:r>
        <w:rPr>
          <w:bCs/>
          <w:lang w:eastAsia="lt-LT"/>
        </w:rPr>
        <w:t>: C34</w:t>
      </w:r>
    </w:p>
    <w:bookmarkEnd w:id="4"/>
    <w:p w14:paraId="3BC08150" w14:textId="77777777" w:rsidR="00B811A4" w:rsidRPr="00CE2918" w:rsidRDefault="00B811A4" w:rsidP="00B811A4">
      <w:pPr>
        <w:pStyle w:val="NoSpacing"/>
        <w:rPr>
          <w:rFonts w:ascii="Times New Roman" w:hAnsi="Times New Roman"/>
          <w:sz w:val="24"/>
          <w:szCs w:val="24"/>
        </w:rPr>
      </w:pPr>
    </w:p>
    <w:p w14:paraId="632DB4B9" w14:textId="101FF4FB" w:rsidR="00B811A4" w:rsidRDefault="001A5DDE" w:rsidP="00B811A4">
      <w:pPr>
        <w:pStyle w:val="NoSpacing"/>
        <w:rPr>
          <w:rFonts w:ascii="Times New Roman" w:hAnsi="Times New Roman"/>
          <w:b/>
          <w:sz w:val="24"/>
          <w:szCs w:val="24"/>
        </w:rPr>
      </w:pPr>
      <w:r>
        <w:rPr>
          <w:rFonts w:ascii="Times New Roman" w:hAnsi="Times New Roman"/>
          <w:b/>
          <w:sz w:val="24"/>
          <w:szCs w:val="24"/>
        </w:rPr>
        <w:t>Siūlomos s</w:t>
      </w:r>
      <w:r w:rsidR="00B811A4" w:rsidRPr="00CE2918">
        <w:rPr>
          <w:rFonts w:ascii="Times New Roman" w:hAnsi="Times New Roman"/>
          <w:b/>
          <w:sz w:val="24"/>
          <w:szCs w:val="24"/>
        </w:rPr>
        <w:t>kyrimo sąlygos</w:t>
      </w:r>
    </w:p>
    <w:p w14:paraId="43DD8E28" w14:textId="669B7402" w:rsidR="001A5DDE" w:rsidRPr="000A0F39" w:rsidRDefault="005B4E58" w:rsidP="001A5DDE">
      <w:pPr>
        <w:pStyle w:val="NoSpacing"/>
        <w:jc w:val="both"/>
        <w:rPr>
          <w:rFonts w:ascii="Times New Roman" w:hAnsi="Times New Roman"/>
          <w:bCs/>
          <w:sz w:val="24"/>
          <w:szCs w:val="24"/>
        </w:rPr>
      </w:pPr>
      <w:bookmarkStart w:id="5" w:name="_Hlk217899695"/>
      <w:r w:rsidRPr="005B4E58">
        <w:rPr>
          <w:rFonts w:ascii="Times New Roman" w:hAnsi="Times New Roman"/>
          <w:bCs/>
          <w:sz w:val="24"/>
          <w:szCs w:val="24"/>
        </w:rPr>
        <w:t>Skir</w:t>
      </w:r>
      <w:r>
        <w:rPr>
          <w:rFonts w:ascii="Times New Roman" w:hAnsi="Times New Roman"/>
          <w:bCs/>
          <w:sz w:val="24"/>
          <w:szCs w:val="24"/>
        </w:rPr>
        <w:t>i</w:t>
      </w:r>
      <w:r w:rsidRPr="005B4E58">
        <w:rPr>
          <w:rFonts w:ascii="Times New Roman" w:hAnsi="Times New Roman"/>
          <w:bCs/>
          <w:sz w:val="24"/>
          <w:szCs w:val="24"/>
        </w:rPr>
        <w:t>amas derina</w:t>
      </w:r>
      <w:r w:rsidR="00877543">
        <w:rPr>
          <w:rFonts w:ascii="Times New Roman" w:hAnsi="Times New Roman"/>
          <w:bCs/>
          <w:sz w:val="24"/>
          <w:szCs w:val="24"/>
        </w:rPr>
        <w:t>n</w:t>
      </w:r>
      <w:r w:rsidRPr="005B4E58">
        <w:rPr>
          <w:rFonts w:ascii="Times New Roman" w:hAnsi="Times New Roman"/>
          <w:bCs/>
          <w:sz w:val="24"/>
          <w:szCs w:val="24"/>
        </w:rPr>
        <w:t>t su</w:t>
      </w:r>
      <w:r w:rsidR="001A5DDE" w:rsidRPr="005B4E58">
        <w:rPr>
          <w:rFonts w:ascii="Times New Roman" w:hAnsi="Times New Roman"/>
          <w:bCs/>
          <w:sz w:val="24"/>
          <w:szCs w:val="24"/>
        </w:rPr>
        <w:t xml:space="preserve"> lazertinibu išplitusiu NSLPV su epidermio augimo faktoriaus receptoriaus (EAFR) 19 egzono delecijomis arba 21 egzono L858R substitucijos mutacijomis </w:t>
      </w:r>
      <w:r w:rsidR="00877543" w:rsidRPr="005B4E58">
        <w:rPr>
          <w:rFonts w:ascii="Times New Roman" w:hAnsi="Times New Roman"/>
          <w:bCs/>
          <w:sz w:val="24"/>
          <w:szCs w:val="24"/>
        </w:rPr>
        <w:t>sergantiems suaugusiems pacientams</w:t>
      </w:r>
      <w:r w:rsidR="00877543">
        <w:rPr>
          <w:rFonts w:ascii="Times New Roman" w:hAnsi="Times New Roman"/>
          <w:bCs/>
          <w:sz w:val="24"/>
          <w:szCs w:val="24"/>
        </w:rPr>
        <w:t>,</w:t>
      </w:r>
      <w:r w:rsidR="00877543" w:rsidRPr="005B4E58">
        <w:rPr>
          <w:rFonts w:ascii="Times New Roman" w:hAnsi="Times New Roman"/>
          <w:bCs/>
          <w:sz w:val="24"/>
          <w:szCs w:val="24"/>
        </w:rPr>
        <w:t xml:space="preserve"> </w:t>
      </w:r>
      <w:r w:rsidR="001A5DDE" w:rsidRPr="005B4E58">
        <w:rPr>
          <w:rFonts w:ascii="Times New Roman" w:hAnsi="Times New Roman"/>
          <w:bCs/>
          <w:sz w:val="24"/>
          <w:szCs w:val="24"/>
        </w:rPr>
        <w:t>kuriems anksčiau netaikytas chirurginis, spindulinis ar sisteminis gydymas. Gydymas tęsi</w:t>
      </w:r>
      <w:r w:rsidR="00877543">
        <w:rPr>
          <w:rFonts w:ascii="Times New Roman" w:hAnsi="Times New Roman"/>
          <w:bCs/>
          <w:sz w:val="24"/>
          <w:szCs w:val="24"/>
        </w:rPr>
        <w:t>a</w:t>
      </w:r>
      <w:r w:rsidR="001A5DDE" w:rsidRPr="005B4E58">
        <w:rPr>
          <w:rFonts w:ascii="Times New Roman" w:hAnsi="Times New Roman"/>
          <w:bCs/>
          <w:sz w:val="24"/>
          <w:szCs w:val="24"/>
        </w:rPr>
        <w:t>mas iki ligos progres</w:t>
      </w:r>
      <w:r w:rsidR="00877543">
        <w:rPr>
          <w:rFonts w:ascii="Times New Roman" w:hAnsi="Times New Roman"/>
          <w:bCs/>
          <w:sz w:val="24"/>
          <w:szCs w:val="24"/>
        </w:rPr>
        <w:t>avimo</w:t>
      </w:r>
      <w:r w:rsidR="001A5DDE" w:rsidRPr="005B4E58">
        <w:rPr>
          <w:rFonts w:ascii="Times New Roman" w:hAnsi="Times New Roman"/>
          <w:bCs/>
          <w:sz w:val="24"/>
          <w:szCs w:val="24"/>
        </w:rPr>
        <w:t xml:space="preserve"> arba </w:t>
      </w:r>
      <w:r w:rsidR="00877543" w:rsidRPr="00C3291C">
        <w:rPr>
          <w:rFonts w:ascii="Times New Roman" w:hAnsi="Times New Roman"/>
          <w:sz w:val="24"/>
          <w:szCs w:val="24"/>
        </w:rPr>
        <w:t>nepriimtino toksinio poveikio atsiradimo</w:t>
      </w:r>
      <w:r w:rsidR="00877543">
        <w:rPr>
          <w:rFonts w:ascii="Times New Roman" w:hAnsi="Times New Roman"/>
          <w:sz w:val="24"/>
          <w:szCs w:val="24"/>
        </w:rPr>
        <w:t>.</w:t>
      </w:r>
    </w:p>
    <w:bookmarkEnd w:id="5"/>
    <w:p w14:paraId="2D9B8EEA" w14:textId="77777777" w:rsidR="001A5DDE" w:rsidRDefault="001A5DDE" w:rsidP="00283E59">
      <w:pPr>
        <w:widowControl w:val="0"/>
        <w:tabs>
          <w:tab w:val="left" w:pos="1418"/>
        </w:tabs>
        <w:suppressAutoHyphens/>
        <w:spacing w:line="360" w:lineRule="atLeast"/>
        <w:jc w:val="center"/>
        <w:textAlignment w:val="center"/>
        <w:rPr>
          <w:lang w:eastAsia="lt-LT"/>
        </w:rPr>
      </w:pPr>
    </w:p>
    <w:p w14:paraId="33B8DE04" w14:textId="43C68365" w:rsidR="00283E59" w:rsidRPr="00CE2918" w:rsidRDefault="00283E59" w:rsidP="00283E59">
      <w:pPr>
        <w:widowControl w:val="0"/>
        <w:tabs>
          <w:tab w:val="left" w:pos="1418"/>
        </w:tabs>
        <w:suppressAutoHyphens/>
        <w:spacing w:line="360" w:lineRule="atLeast"/>
        <w:jc w:val="center"/>
        <w:textAlignment w:val="center"/>
      </w:pPr>
      <w:r w:rsidRPr="00CE2918">
        <w:rPr>
          <w:lang w:eastAsia="lt-LT"/>
        </w:rPr>
        <w:t>____________________________</w:t>
      </w:r>
    </w:p>
    <w:p w14:paraId="562A1372" w14:textId="77777777" w:rsidR="00283E59" w:rsidRPr="00CE2918" w:rsidRDefault="00283E59" w:rsidP="00283E59">
      <w:pPr>
        <w:jc w:val="both"/>
        <w:rPr>
          <w:b/>
          <w:sz w:val="20"/>
        </w:rPr>
      </w:pPr>
    </w:p>
    <w:p w14:paraId="7CDFF220" w14:textId="58191D98" w:rsidR="000723FF" w:rsidRPr="00CE2918" w:rsidRDefault="000723FF" w:rsidP="00824B92">
      <w:pPr>
        <w:rPr>
          <w:b/>
        </w:rPr>
      </w:pPr>
    </w:p>
    <w:sectPr w:rsidR="000723FF" w:rsidRPr="00CE2918" w:rsidSect="00063A50">
      <w:headerReference w:type="first" r:id="rId8"/>
      <w:footerReference w:type="first" r:id="rId9"/>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CC3CA" w14:textId="77777777" w:rsidR="000B76AD" w:rsidRDefault="000B76AD">
      <w:r>
        <w:separator/>
      </w:r>
    </w:p>
  </w:endnote>
  <w:endnote w:type="continuationSeparator" w:id="0">
    <w:p w14:paraId="6B31BA7D" w14:textId="77777777" w:rsidR="000B76AD" w:rsidRDefault="000B7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3368" w14:textId="77777777" w:rsidR="00347FAA" w:rsidRDefault="00347FAA">
    <w:pPr>
      <w:pStyle w:val="Footer"/>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79694" w14:textId="77777777" w:rsidR="000B76AD" w:rsidRDefault="000B76AD">
      <w:r>
        <w:separator/>
      </w:r>
    </w:p>
  </w:footnote>
  <w:footnote w:type="continuationSeparator" w:id="0">
    <w:p w14:paraId="66A74D59" w14:textId="77777777" w:rsidR="000B76AD" w:rsidRDefault="000B7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1C8F" w14:textId="77777777" w:rsidR="00347FAA" w:rsidRDefault="00347FAA" w:rsidP="00FD793C">
    <w:pPr>
      <w:pStyle w:val="Header"/>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1276250"/>
    <w:multiLevelType w:val="hybridMultilevel"/>
    <w:tmpl w:val="3B6C29F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5" w15:restartNumberingAfterBreak="0">
    <w:nsid w:val="1A816B09"/>
    <w:multiLevelType w:val="hybridMultilevel"/>
    <w:tmpl w:val="8FBEE17A"/>
    <w:lvl w:ilvl="0" w:tplc="0427000F">
      <w:start w:val="16"/>
      <w:numFmt w:val="decimal"/>
      <w:lvlText w:val="%1."/>
      <w:lvlJc w:val="left"/>
      <w:pPr>
        <w:ind w:left="501" w:hanging="360"/>
      </w:pPr>
      <w:rPr>
        <w:rFonts w:hint="default"/>
      </w:rPr>
    </w:lvl>
    <w:lvl w:ilvl="1" w:tplc="04270019" w:tentative="1">
      <w:start w:val="1"/>
      <w:numFmt w:val="lowerLetter"/>
      <w:lvlText w:val="%2."/>
      <w:lvlJc w:val="left"/>
      <w:pPr>
        <w:ind w:left="1581" w:hanging="360"/>
      </w:pPr>
    </w:lvl>
    <w:lvl w:ilvl="2" w:tplc="0427001B" w:tentative="1">
      <w:start w:val="1"/>
      <w:numFmt w:val="lowerRoman"/>
      <w:lvlText w:val="%3."/>
      <w:lvlJc w:val="right"/>
      <w:pPr>
        <w:ind w:left="2301" w:hanging="180"/>
      </w:pPr>
    </w:lvl>
    <w:lvl w:ilvl="3" w:tplc="0427000F" w:tentative="1">
      <w:start w:val="1"/>
      <w:numFmt w:val="decimal"/>
      <w:lvlText w:val="%4."/>
      <w:lvlJc w:val="left"/>
      <w:pPr>
        <w:ind w:left="3021" w:hanging="360"/>
      </w:pPr>
    </w:lvl>
    <w:lvl w:ilvl="4" w:tplc="04270019" w:tentative="1">
      <w:start w:val="1"/>
      <w:numFmt w:val="lowerLetter"/>
      <w:lvlText w:val="%5."/>
      <w:lvlJc w:val="left"/>
      <w:pPr>
        <w:ind w:left="3741" w:hanging="360"/>
      </w:pPr>
    </w:lvl>
    <w:lvl w:ilvl="5" w:tplc="0427001B" w:tentative="1">
      <w:start w:val="1"/>
      <w:numFmt w:val="lowerRoman"/>
      <w:lvlText w:val="%6."/>
      <w:lvlJc w:val="right"/>
      <w:pPr>
        <w:ind w:left="4461" w:hanging="180"/>
      </w:pPr>
    </w:lvl>
    <w:lvl w:ilvl="6" w:tplc="0427000F" w:tentative="1">
      <w:start w:val="1"/>
      <w:numFmt w:val="decimal"/>
      <w:lvlText w:val="%7."/>
      <w:lvlJc w:val="left"/>
      <w:pPr>
        <w:ind w:left="5181" w:hanging="360"/>
      </w:pPr>
    </w:lvl>
    <w:lvl w:ilvl="7" w:tplc="04270019" w:tentative="1">
      <w:start w:val="1"/>
      <w:numFmt w:val="lowerLetter"/>
      <w:lvlText w:val="%8."/>
      <w:lvlJc w:val="left"/>
      <w:pPr>
        <w:ind w:left="5901" w:hanging="360"/>
      </w:pPr>
    </w:lvl>
    <w:lvl w:ilvl="8" w:tplc="0427001B" w:tentative="1">
      <w:start w:val="1"/>
      <w:numFmt w:val="lowerRoman"/>
      <w:lvlText w:val="%9."/>
      <w:lvlJc w:val="right"/>
      <w:pPr>
        <w:ind w:left="6621" w:hanging="180"/>
      </w:pPr>
    </w:lvl>
  </w:abstractNum>
  <w:abstractNum w:abstractNumId="6" w15:restartNumberingAfterBreak="0">
    <w:nsid w:val="30072794"/>
    <w:multiLevelType w:val="hybridMultilevel"/>
    <w:tmpl w:val="380EC874"/>
    <w:lvl w:ilvl="0" w:tplc="F6049FFC">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9"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2"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29035017">
    <w:abstractNumId w:val="9"/>
  </w:num>
  <w:num w:numId="2" w16cid:durableId="985162166">
    <w:abstractNumId w:val="2"/>
  </w:num>
  <w:num w:numId="3" w16cid:durableId="480578891">
    <w:abstractNumId w:val="11"/>
  </w:num>
  <w:num w:numId="4" w16cid:durableId="442387534">
    <w:abstractNumId w:val="10"/>
  </w:num>
  <w:num w:numId="5" w16cid:durableId="823667834">
    <w:abstractNumId w:val="8"/>
  </w:num>
  <w:num w:numId="6" w16cid:durableId="417020125">
    <w:abstractNumId w:val="7"/>
  </w:num>
  <w:num w:numId="7" w16cid:durableId="1843550031">
    <w:abstractNumId w:val="4"/>
  </w:num>
  <w:num w:numId="8" w16cid:durableId="580068462">
    <w:abstractNumId w:val="14"/>
  </w:num>
  <w:num w:numId="9" w16cid:durableId="257183606">
    <w:abstractNumId w:val="0"/>
  </w:num>
  <w:num w:numId="10" w16cid:durableId="131410136">
    <w:abstractNumId w:val="12"/>
  </w:num>
  <w:num w:numId="11" w16cid:durableId="1133251921">
    <w:abstractNumId w:val="13"/>
  </w:num>
  <w:num w:numId="12" w16cid:durableId="700133012">
    <w:abstractNumId w:val="3"/>
  </w:num>
  <w:num w:numId="13" w16cid:durableId="373774129">
    <w:abstractNumId w:val="5"/>
  </w:num>
  <w:num w:numId="14" w16cid:durableId="1004668447">
    <w:abstractNumId w:val="1"/>
  </w:num>
  <w:num w:numId="15" w16cid:durableId="13759306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114DD"/>
    <w:rsid w:val="000136F7"/>
    <w:rsid w:val="000203E1"/>
    <w:rsid w:val="0002686C"/>
    <w:rsid w:val="00031D0E"/>
    <w:rsid w:val="000337E6"/>
    <w:rsid w:val="0003402E"/>
    <w:rsid w:val="00034EAE"/>
    <w:rsid w:val="00042924"/>
    <w:rsid w:val="000448C6"/>
    <w:rsid w:val="00052BD8"/>
    <w:rsid w:val="00053975"/>
    <w:rsid w:val="00057A2B"/>
    <w:rsid w:val="000606BE"/>
    <w:rsid w:val="000624FF"/>
    <w:rsid w:val="00063A50"/>
    <w:rsid w:val="00063CE5"/>
    <w:rsid w:val="00071E5C"/>
    <w:rsid w:val="000723FF"/>
    <w:rsid w:val="000736B8"/>
    <w:rsid w:val="0008190F"/>
    <w:rsid w:val="00081D9C"/>
    <w:rsid w:val="00082907"/>
    <w:rsid w:val="0008378D"/>
    <w:rsid w:val="00083974"/>
    <w:rsid w:val="000908A5"/>
    <w:rsid w:val="00092805"/>
    <w:rsid w:val="000A0F39"/>
    <w:rsid w:val="000A50C9"/>
    <w:rsid w:val="000B2B2C"/>
    <w:rsid w:val="000B76AD"/>
    <w:rsid w:val="000C1EDA"/>
    <w:rsid w:val="000C454C"/>
    <w:rsid w:val="000D4B05"/>
    <w:rsid w:val="000D5038"/>
    <w:rsid w:val="000E29D4"/>
    <w:rsid w:val="000F3540"/>
    <w:rsid w:val="00100491"/>
    <w:rsid w:val="00104E2E"/>
    <w:rsid w:val="00107287"/>
    <w:rsid w:val="00117194"/>
    <w:rsid w:val="00117406"/>
    <w:rsid w:val="00121EF0"/>
    <w:rsid w:val="00124A9E"/>
    <w:rsid w:val="00130703"/>
    <w:rsid w:val="0013153F"/>
    <w:rsid w:val="001408B8"/>
    <w:rsid w:val="001466FE"/>
    <w:rsid w:val="001517E2"/>
    <w:rsid w:val="001521D9"/>
    <w:rsid w:val="001554E2"/>
    <w:rsid w:val="00164146"/>
    <w:rsid w:val="00164D64"/>
    <w:rsid w:val="0017369C"/>
    <w:rsid w:val="0017398E"/>
    <w:rsid w:val="00175D57"/>
    <w:rsid w:val="00180C39"/>
    <w:rsid w:val="00180D96"/>
    <w:rsid w:val="00184BD3"/>
    <w:rsid w:val="00190DB5"/>
    <w:rsid w:val="001921F3"/>
    <w:rsid w:val="001A0CAA"/>
    <w:rsid w:val="001A5DDE"/>
    <w:rsid w:val="001B3C5B"/>
    <w:rsid w:val="001C2FC8"/>
    <w:rsid w:val="001C6353"/>
    <w:rsid w:val="001D5B91"/>
    <w:rsid w:val="001D746F"/>
    <w:rsid w:val="001E0B2D"/>
    <w:rsid w:val="001E4BBB"/>
    <w:rsid w:val="001E6304"/>
    <w:rsid w:val="001F115E"/>
    <w:rsid w:val="0020381E"/>
    <w:rsid w:val="00213471"/>
    <w:rsid w:val="00215906"/>
    <w:rsid w:val="00241CD8"/>
    <w:rsid w:val="00244B09"/>
    <w:rsid w:val="002519CB"/>
    <w:rsid w:val="0025697F"/>
    <w:rsid w:val="00260258"/>
    <w:rsid w:val="0026588E"/>
    <w:rsid w:val="00272428"/>
    <w:rsid w:val="00272948"/>
    <w:rsid w:val="00283E59"/>
    <w:rsid w:val="00292392"/>
    <w:rsid w:val="002946C7"/>
    <w:rsid w:val="002B3CC1"/>
    <w:rsid w:val="002C0686"/>
    <w:rsid w:val="002C09E0"/>
    <w:rsid w:val="002C100E"/>
    <w:rsid w:val="002C1BB1"/>
    <w:rsid w:val="002C2786"/>
    <w:rsid w:val="002C3A10"/>
    <w:rsid w:val="002C4A90"/>
    <w:rsid w:val="002C4ED5"/>
    <w:rsid w:val="002D02EF"/>
    <w:rsid w:val="002D2A2F"/>
    <w:rsid w:val="002E0702"/>
    <w:rsid w:val="002E1A83"/>
    <w:rsid w:val="002E57AD"/>
    <w:rsid w:val="002E6F80"/>
    <w:rsid w:val="002F0E4F"/>
    <w:rsid w:val="002F1053"/>
    <w:rsid w:val="00314816"/>
    <w:rsid w:val="00317B0E"/>
    <w:rsid w:val="00334F18"/>
    <w:rsid w:val="00336238"/>
    <w:rsid w:val="00347FAA"/>
    <w:rsid w:val="0035172D"/>
    <w:rsid w:val="0036187D"/>
    <w:rsid w:val="003645B8"/>
    <w:rsid w:val="00367EDB"/>
    <w:rsid w:val="003705F0"/>
    <w:rsid w:val="00381024"/>
    <w:rsid w:val="00386307"/>
    <w:rsid w:val="003874DE"/>
    <w:rsid w:val="00393E9F"/>
    <w:rsid w:val="0039696E"/>
    <w:rsid w:val="003B211A"/>
    <w:rsid w:val="003C141F"/>
    <w:rsid w:val="003C6B0E"/>
    <w:rsid w:val="003C7257"/>
    <w:rsid w:val="003C7E35"/>
    <w:rsid w:val="003D1E99"/>
    <w:rsid w:val="003D6208"/>
    <w:rsid w:val="00404E8A"/>
    <w:rsid w:val="0040622F"/>
    <w:rsid w:val="00413F24"/>
    <w:rsid w:val="00422853"/>
    <w:rsid w:val="00423160"/>
    <w:rsid w:val="00437623"/>
    <w:rsid w:val="00444A2B"/>
    <w:rsid w:val="00453862"/>
    <w:rsid w:val="0045469B"/>
    <w:rsid w:val="00461338"/>
    <w:rsid w:val="004677DB"/>
    <w:rsid w:val="00476256"/>
    <w:rsid w:val="00477155"/>
    <w:rsid w:val="0048630F"/>
    <w:rsid w:val="004947A1"/>
    <w:rsid w:val="0049482A"/>
    <w:rsid w:val="004979D3"/>
    <w:rsid w:val="004A00E7"/>
    <w:rsid w:val="004A086D"/>
    <w:rsid w:val="004A3A61"/>
    <w:rsid w:val="004B59BA"/>
    <w:rsid w:val="004B5A03"/>
    <w:rsid w:val="004C263A"/>
    <w:rsid w:val="004C6221"/>
    <w:rsid w:val="004D48A6"/>
    <w:rsid w:val="004D70B6"/>
    <w:rsid w:val="004D7B8F"/>
    <w:rsid w:val="004E241F"/>
    <w:rsid w:val="004E27DE"/>
    <w:rsid w:val="004E4404"/>
    <w:rsid w:val="004E6458"/>
    <w:rsid w:val="004E6E7D"/>
    <w:rsid w:val="004F1AAC"/>
    <w:rsid w:val="004F1AE2"/>
    <w:rsid w:val="004F34F0"/>
    <w:rsid w:val="004F3B2B"/>
    <w:rsid w:val="004F6050"/>
    <w:rsid w:val="005005EF"/>
    <w:rsid w:val="005123C2"/>
    <w:rsid w:val="0052144B"/>
    <w:rsid w:val="00524066"/>
    <w:rsid w:val="00526A0F"/>
    <w:rsid w:val="00534E11"/>
    <w:rsid w:val="005378D8"/>
    <w:rsid w:val="005400D9"/>
    <w:rsid w:val="005476A4"/>
    <w:rsid w:val="0055019B"/>
    <w:rsid w:val="00556E63"/>
    <w:rsid w:val="005601A4"/>
    <w:rsid w:val="00566DBB"/>
    <w:rsid w:val="00567B14"/>
    <w:rsid w:val="005767DB"/>
    <w:rsid w:val="005815E6"/>
    <w:rsid w:val="0058712F"/>
    <w:rsid w:val="00594E5B"/>
    <w:rsid w:val="005976CE"/>
    <w:rsid w:val="005A23D4"/>
    <w:rsid w:val="005A2D1E"/>
    <w:rsid w:val="005A4698"/>
    <w:rsid w:val="005B3756"/>
    <w:rsid w:val="005B4E58"/>
    <w:rsid w:val="005C2D08"/>
    <w:rsid w:val="005C493F"/>
    <w:rsid w:val="005C515C"/>
    <w:rsid w:val="005C6BF7"/>
    <w:rsid w:val="005C71BF"/>
    <w:rsid w:val="005D002C"/>
    <w:rsid w:val="005D30E1"/>
    <w:rsid w:val="005D6555"/>
    <w:rsid w:val="005D7BDF"/>
    <w:rsid w:val="005E4870"/>
    <w:rsid w:val="005F71D9"/>
    <w:rsid w:val="005F7602"/>
    <w:rsid w:val="006062BE"/>
    <w:rsid w:val="00613143"/>
    <w:rsid w:val="00613501"/>
    <w:rsid w:val="0061611B"/>
    <w:rsid w:val="006166A8"/>
    <w:rsid w:val="006174A1"/>
    <w:rsid w:val="00621D6C"/>
    <w:rsid w:val="00633B49"/>
    <w:rsid w:val="0064297F"/>
    <w:rsid w:val="00645102"/>
    <w:rsid w:val="00646CF3"/>
    <w:rsid w:val="00653D11"/>
    <w:rsid w:val="00662983"/>
    <w:rsid w:val="00667101"/>
    <w:rsid w:val="006834D3"/>
    <w:rsid w:val="00690E85"/>
    <w:rsid w:val="00692625"/>
    <w:rsid w:val="00695CD3"/>
    <w:rsid w:val="006A0AA6"/>
    <w:rsid w:val="006A38B6"/>
    <w:rsid w:val="006B1987"/>
    <w:rsid w:val="006B5B71"/>
    <w:rsid w:val="006B5D3E"/>
    <w:rsid w:val="006B6CB0"/>
    <w:rsid w:val="006B6FC8"/>
    <w:rsid w:val="006C2B64"/>
    <w:rsid w:val="006D1BF3"/>
    <w:rsid w:val="006D4C85"/>
    <w:rsid w:val="006D66AC"/>
    <w:rsid w:val="006E33F6"/>
    <w:rsid w:val="006F1251"/>
    <w:rsid w:val="006F1C23"/>
    <w:rsid w:val="00702C18"/>
    <w:rsid w:val="00703166"/>
    <w:rsid w:val="007111C4"/>
    <w:rsid w:val="00711F15"/>
    <w:rsid w:val="007127F3"/>
    <w:rsid w:val="007301CF"/>
    <w:rsid w:val="007316FB"/>
    <w:rsid w:val="00737E2D"/>
    <w:rsid w:val="007424D5"/>
    <w:rsid w:val="00745C63"/>
    <w:rsid w:val="00750A88"/>
    <w:rsid w:val="007523DD"/>
    <w:rsid w:val="00757B7E"/>
    <w:rsid w:val="007621C6"/>
    <w:rsid w:val="00763C26"/>
    <w:rsid w:val="007656B2"/>
    <w:rsid w:val="0077016F"/>
    <w:rsid w:val="007713AD"/>
    <w:rsid w:val="0078198A"/>
    <w:rsid w:val="00795DC5"/>
    <w:rsid w:val="00797153"/>
    <w:rsid w:val="007A21F7"/>
    <w:rsid w:val="007A2B68"/>
    <w:rsid w:val="007B0DDA"/>
    <w:rsid w:val="007D3347"/>
    <w:rsid w:val="007D654E"/>
    <w:rsid w:val="007E5466"/>
    <w:rsid w:val="007F1949"/>
    <w:rsid w:val="007F2592"/>
    <w:rsid w:val="00800A08"/>
    <w:rsid w:val="00817A84"/>
    <w:rsid w:val="008225A4"/>
    <w:rsid w:val="00824B92"/>
    <w:rsid w:val="00826D5E"/>
    <w:rsid w:val="00832013"/>
    <w:rsid w:val="00832DB7"/>
    <w:rsid w:val="00834732"/>
    <w:rsid w:val="00837ECB"/>
    <w:rsid w:val="0085200C"/>
    <w:rsid w:val="00853487"/>
    <w:rsid w:val="00857C52"/>
    <w:rsid w:val="00860D5F"/>
    <w:rsid w:val="00877543"/>
    <w:rsid w:val="00880A44"/>
    <w:rsid w:val="0088345E"/>
    <w:rsid w:val="0088656F"/>
    <w:rsid w:val="008875BC"/>
    <w:rsid w:val="00891EF6"/>
    <w:rsid w:val="00892FF4"/>
    <w:rsid w:val="0089345A"/>
    <w:rsid w:val="008A0303"/>
    <w:rsid w:val="008A4AFB"/>
    <w:rsid w:val="008A5FDD"/>
    <w:rsid w:val="008C3947"/>
    <w:rsid w:val="008E14EF"/>
    <w:rsid w:val="008E473B"/>
    <w:rsid w:val="008E51A6"/>
    <w:rsid w:val="008E7329"/>
    <w:rsid w:val="008F2ED5"/>
    <w:rsid w:val="0092297E"/>
    <w:rsid w:val="00923292"/>
    <w:rsid w:val="00923651"/>
    <w:rsid w:val="00924DF7"/>
    <w:rsid w:val="00927B56"/>
    <w:rsid w:val="009341BF"/>
    <w:rsid w:val="00937907"/>
    <w:rsid w:val="00937F47"/>
    <w:rsid w:val="00941739"/>
    <w:rsid w:val="0094179A"/>
    <w:rsid w:val="00951573"/>
    <w:rsid w:val="00963003"/>
    <w:rsid w:val="00965919"/>
    <w:rsid w:val="00966EEF"/>
    <w:rsid w:val="00971B28"/>
    <w:rsid w:val="00983471"/>
    <w:rsid w:val="009909AB"/>
    <w:rsid w:val="009B37DB"/>
    <w:rsid w:val="009C7A8C"/>
    <w:rsid w:val="009D23F9"/>
    <w:rsid w:val="009D4FA8"/>
    <w:rsid w:val="009E44AE"/>
    <w:rsid w:val="009E6CD6"/>
    <w:rsid w:val="009F4D66"/>
    <w:rsid w:val="00A00C3C"/>
    <w:rsid w:val="00A01091"/>
    <w:rsid w:val="00A042B9"/>
    <w:rsid w:val="00A06DBB"/>
    <w:rsid w:val="00A17B4D"/>
    <w:rsid w:val="00A22ADF"/>
    <w:rsid w:val="00A2310D"/>
    <w:rsid w:val="00A254A2"/>
    <w:rsid w:val="00A31E86"/>
    <w:rsid w:val="00A54D87"/>
    <w:rsid w:val="00A5553C"/>
    <w:rsid w:val="00A701C9"/>
    <w:rsid w:val="00A727AF"/>
    <w:rsid w:val="00A77305"/>
    <w:rsid w:val="00A81785"/>
    <w:rsid w:val="00A84803"/>
    <w:rsid w:val="00A84C51"/>
    <w:rsid w:val="00A86F2B"/>
    <w:rsid w:val="00A91366"/>
    <w:rsid w:val="00A92F91"/>
    <w:rsid w:val="00A93AA6"/>
    <w:rsid w:val="00AA4E48"/>
    <w:rsid w:val="00AA6202"/>
    <w:rsid w:val="00AA7B57"/>
    <w:rsid w:val="00AB083A"/>
    <w:rsid w:val="00AB2806"/>
    <w:rsid w:val="00AB2D54"/>
    <w:rsid w:val="00AC26FC"/>
    <w:rsid w:val="00AC4A99"/>
    <w:rsid w:val="00AC5129"/>
    <w:rsid w:val="00AC64D2"/>
    <w:rsid w:val="00AD02E7"/>
    <w:rsid w:val="00AE0FE8"/>
    <w:rsid w:val="00AF60D5"/>
    <w:rsid w:val="00B00026"/>
    <w:rsid w:val="00B00959"/>
    <w:rsid w:val="00B00AE9"/>
    <w:rsid w:val="00B04415"/>
    <w:rsid w:val="00B06509"/>
    <w:rsid w:val="00B11D60"/>
    <w:rsid w:val="00B13D65"/>
    <w:rsid w:val="00B21805"/>
    <w:rsid w:val="00B3072E"/>
    <w:rsid w:val="00B36E15"/>
    <w:rsid w:val="00B37245"/>
    <w:rsid w:val="00B4017A"/>
    <w:rsid w:val="00B4468D"/>
    <w:rsid w:val="00B6725F"/>
    <w:rsid w:val="00B71C72"/>
    <w:rsid w:val="00B71F04"/>
    <w:rsid w:val="00B74A62"/>
    <w:rsid w:val="00B811A4"/>
    <w:rsid w:val="00B81E92"/>
    <w:rsid w:val="00B908D7"/>
    <w:rsid w:val="00B935E8"/>
    <w:rsid w:val="00B93B30"/>
    <w:rsid w:val="00B94CB5"/>
    <w:rsid w:val="00BA0DD9"/>
    <w:rsid w:val="00BA5DBC"/>
    <w:rsid w:val="00BA6584"/>
    <w:rsid w:val="00BB6312"/>
    <w:rsid w:val="00BC39C2"/>
    <w:rsid w:val="00BC4D06"/>
    <w:rsid w:val="00BD05E1"/>
    <w:rsid w:val="00BD585E"/>
    <w:rsid w:val="00BD6919"/>
    <w:rsid w:val="00BE1EA7"/>
    <w:rsid w:val="00BE7489"/>
    <w:rsid w:val="00BF2E0D"/>
    <w:rsid w:val="00BF3927"/>
    <w:rsid w:val="00BF3F8B"/>
    <w:rsid w:val="00BF76DA"/>
    <w:rsid w:val="00C00CDB"/>
    <w:rsid w:val="00C07C7B"/>
    <w:rsid w:val="00C16245"/>
    <w:rsid w:val="00C22DC5"/>
    <w:rsid w:val="00C24479"/>
    <w:rsid w:val="00C273F2"/>
    <w:rsid w:val="00C31512"/>
    <w:rsid w:val="00C37B53"/>
    <w:rsid w:val="00C434EB"/>
    <w:rsid w:val="00C517D2"/>
    <w:rsid w:val="00C5772E"/>
    <w:rsid w:val="00C62B36"/>
    <w:rsid w:val="00C66E17"/>
    <w:rsid w:val="00C7012C"/>
    <w:rsid w:val="00C712EA"/>
    <w:rsid w:val="00C8412A"/>
    <w:rsid w:val="00C9728E"/>
    <w:rsid w:val="00CA217D"/>
    <w:rsid w:val="00CA3131"/>
    <w:rsid w:val="00CC09D4"/>
    <w:rsid w:val="00CC4F5F"/>
    <w:rsid w:val="00CC668D"/>
    <w:rsid w:val="00CC7832"/>
    <w:rsid w:val="00CD344A"/>
    <w:rsid w:val="00CD488E"/>
    <w:rsid w:val="00CE2918"/>
    <w:rsid w:val="00CE4B0B"/>
    <w:rsid w:val="00CF0C1C"/>
    <w:rsid w:val="00CF27FD"/>
    <w:rsid w:val="00CF5F12"/>
    <w:rsid w:val="00D00D8F"/>
    <w:rsid w:val="00D12869"/>
    <w:rsid w:val="00D14512"/>
    <w:rsid w:val="00D15ED6"/>
    <w:rsid w:val="00D21F3A"/>
    <w:rsid w:val="00D23808"/>
    <w:rsid w:val="00D3016A"/>
    <w:rsid w:val="00D417D2"/>
    <w:rsid w:val="00D42960"/>
    <w:rsid w:val="00D43BD7"/>
    <w:rsid w:val="00D4485B"/>
    <w:rsid w:val="00D46CCD"/>
    <w:rsid w:val="00D4708D"/>
    <w:rsid w:val="00D4744C"/>
    <w:rsid w:val="00D51046"/>
    <w:rsid w:val="00D521DE"/>
    <w:rsid w:val="00D5470B"/>
    <w:rsid w:val="00D63068"/>
    <w:rsid w:val="00D6498C"/>
    <w:rsid w:val="00D67BAF"/>
    <w:rsid w:val="00D7696E"/>
    <w:rsid w:val="00D76A70"/>
    <w:rsid w:val="00D83182"/>
    <w:rsid w:val="00D8521E"/>
    <w:rsid w:val="00D9291C"/>
    <w:rsid w:val="00D9359A"/>
    <w:rsid w:val="00D93A97"/>
    <w:rsid w:val="00DA5602"/>
    <w:rsid w:val="00DB1F64"/>
    <w:rsid w:val="00DB7D38"/>
    <w:rsid w:val="00DC261A"/>
    <w:rsid w:val="00DC2F53"/>
    <w:rsid w:val="00DC5BAC"/>
    <w:rsid w:val="00DC6816"/>
    <w:rsid w:val="00DC76C2"/>
    <w:rsid w:val="00DD1CF2"/>
    <w:rsid w:val="00DE19F5"/>
    <w:rsid w:val="00DE4484"/>
    <w:rsid w:val="00DF41B7"/>
    <w:rsid w:val="00DF4A4A"/>
    <w:rsid w:val="00DF583C"/>
    <w:rsid w:val="00E03C3F"/>
    <w:rsid w:val="00E06FD7"/>
    <w:rsid w:val="00E07417"/>
    <w:rsid w:val="00E24D45"/>
    <w:rsid w:val="00E33DB8"/>
    <w:rsid w:val="00E33EFF"/>
    <w:rsid w:val="00E34387"/>
    <w:rsid w:val="00E348BA"/>
    <w:rsid w:val="00E369FE"/>
    <w:rsid w:val="00E37C6F"/>
    <w:rsid w:val="00E475F8"/>
    <w:rsid w:val="00E5102E"/>
    <w:rsid w:val="00E5721C"/>
    <w:rsid w:val="00E619C6"/>
    <w:rsid w:val="00E70CED"/>
    <w:rsid w:val="00E745A1"/>
    <w:rsid w:val="00E81529"/>
    <w:rsid w:val="00E83A13"/>
    <w:rsid w:val="00E86C11"/>
    <w:rsid w:val="00EB1151"/>
    <w:rsid w:val="00EB6FC5"/>
    <w:rsid w:val="00EC2356"/>
    <w:rsid w:val="00EC2582"/>
    <w:rsid w:val="00EC337C"/>
    <w:rsid w:val="00ED0CFF"/>
    <w:rsid w:val="00ED31D2"/>
    <w:rsid w:val="00EE0EAC"/>
    <w:rsid w:val="00EE3322"/>
    <w:rsid w:val="00EE33CB"/>
    <w:rsid w:val="00F0061A"/>
    <w:rsid w:val="00F02834"/>
    <w:rsid w:val="00F04EEB"/>
    <w:rsid w:val="00F05467"/>
    <w:rsid w:val="00F055D2"/>
    <w:rsid w:val="00F07CD7"/>
    <w:rsid w:val="00F127E9"/>
    <w:rsid w:val="00F14477"/>
    <w:rsid w:val="00F14B5D"/>
    <w:rsid w:val="00F259FC"/>
    <w:rsid w:val="00F313F4"/>
    <w:rsid w:val="00F36972"/>
    <w:rsid w:val="00F42426"/>
    <w:rsid w:val="00F44E82"/>
    <w:rsid w:val="00F44F01"/>
    <w:rsid w:val="00F456BC"/>
    <w:rsid w:val="00F50666"/>
    <w:rsid w:val="00F70731"/>
    <w:rsid w:val="00F70C9E"/>
    <w:rsid w:val="00F74A74"/>
    <w:rsid w:val="00F7572C"/>
    <w:rsid w:val="00F825B5"/>
    <w:rsid w:val="00F8382C"/>
    <w:rsid w:val="00F855D7"/>
    <w:rsid w:val="00F92035"/>
    <w:rsid w:val="00F92748"/>
    <w:rsid w:val="00FA4169"/>
    <w:rsid w:val="00FB0D41"/>
    <w:rsid w:val="00FB2030"/>
    <w:rsid w:val="00FB4017"/>
    <w:rsid w:val="00FD0E46"/>
    <w:rsid w:val="00FD1060"/>
    <w:rsid w:val="00FD1CF2"/>
    <w:rsid w:val="00FD3EDF"/>
    <w:rsid w:val="00FD793C"/>
    <w:rsid w:val="00FE0FD5"/>
    <w:rsid w:val="00FE20E6"/>
    <w:rsid w:val="00FE3E3B"/>
    <w:rsid w:val="00FE5878"/>
    <w:rsid w:val="00FF4032"/>
    <w:rsid w:val="00FF4A2E"/>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1529"/>
    <w:rPr>
      <w:sz w:val="24"/>
      <w:szCs w:val="24"/>
      <w:lang w:eastAsia="en-US"/>
    </w:rPr>
  </w:style>
  <w:style w:type="paragraph" w:styleId="Heading1">
    <w:name w:val="heading 1"/>
    <w:basedOn w:val="Normal"/>
    <w:next w:val="Normal"/>
    <w:qFormat/>
    <w:rsid w:val="00A84C51"/>
    <w:pPr>
      <w:keepNext/>
      <w:jc w:val="center"/>
      <w:outlineLvl w:val="0"/>
    </w:pPr>
    <w:rPr>
      <w:b/>
      <w:bCs/>
      <w:caps/>
    </w:rPr>
  </w:style>
  <w:style w:type="paragraph" w:styleId="Heading2">
    <w:name w:val="heading 2"/>
    <w:basedOn w:val="Normal"/>
    <w:next w:val="Normal"/>
    <w:qFormat/>
    <w:rsid w:val="00A84C51"/>
    <w:pPr>
      <w:keepNext/>
      <w:jc w:val="center"/>
      <w:outlineLvl w:val="1"/>
    </w:pPr>
    <w:rPr>
      <w:b/>
      <w:bCs/>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4C51"/>
    <w:pPr>
      <w:tabs>
        <w:tab w:val="center" w:pos="4986"/>
        <w:tab w:val="right" w:pos="9972"/>
      </w:tabs>
    </w:pPr>
  </w:style>
  <w:style w:type="paragraph" w:styleId="Footer">
    <w:name w:val="footer"/>
    <w:basedOn w:val="Normal"/>
    <w:link w:val="FooterChar"/>
    <w:rsid w:val="00A84C51"/>
    <w:pPr>
      <w:tabs>
        <w:tab w:val="center" w:pos="4986"/>
        <w:tab w:val="right" w:pos="9972"/>
      </w:tabs>
    </w:pPr>
  </w:style>
  <w:style w:type="character" w:styleId="PageNumber">
    <w:name w:val="page number"/>
    <w:basedOn w:val="DefaultParagraphFont"/>
    <w:rsid w:val="00A84C51"/>
  </w:style>
  <w:style w:type="character" w:styleId="Hyperlink">
    <w:name w:val="Hyperlink"/>
    <w:basedOn w:val="DefaultParagraphFont"/>
    <w:rsid w:val="00A84C51"/>
    <w:rPr>
      <w:color w:val="0000FF"/>
      <w:u w:val="single"/>
    </w:rPr>
  </w:style>
  <w:style w:type="paragraph" w:styleId="BalloonText">
    <w:name w:val="Balloon Text"/>
    <w:basedOn w:val="Normal"/>
    <w:semiHidden/>
    <w:rsid w:val="00EC2356"/>
    <w:rPr>
      <w:rFonts w:ascii="Tahoma" w:hAnsi="Tahoma" w:cs="Tahoma"/>
      <w:sz w:val="16"/>
      <w:szCs w:val="16"/>
    </w:rPr>
  </w:style>
  <w:style w:type="character" w:customStyle="1" w:styleId="FooterChar">
    <w:name w:val="Footer Char"/>
    <w:basedOn w:val="DefaultParagraphFont"/>
    <w:link w:val="Footer"/>
    <w:rsid w:val="00737E2D"/>
    <w:rPr>
      <w:sz w:val="24"/>
      <w:szCs w:val="24"/>
      <w:lang w:eastAsia="en-US"/>
    </w:rPr>
  </w:style>
  <w:style w:type="character" w:customStyle="1" w:styleId="Neapdorotaspaminjimas1">
    <w:name w:val="Neapdorotas paminėjimas1"/>
    <w:basedOn w:val="DefaultParagraphFont"/>
    <w:uiPriority w:val="99"/>
    <w:semiHidden/>
    <w:unhideWhenUsed/>
    <w:rsid w:val="00A31E86"/>
    <w:rPr>
      <w:color w:val="605E5C"/>
      <w:shd w:val="clear" w:color="auto" w:fill="E1DFDD"/>
    </w:rPr>
  </w:style>
  <w:style w:type="character" w:styleId="FollowedHyperlink">
    <w:name w:val="FollowedHyperlink"/>
    <w:basedOn w:val="DefaultParagraphFont"/>
    <w:semiHidden/>
    <w:unhideWhenUsed/>
    <w:rsid w:val="00A31E86"/>
    <w:rPr>
      <w:color w:val="800080" w:themeColor="followedHyperlink"/>
      <w:u w:val="single"/>
    </w:rPr>
  </w:style>
  <w:style w:type="table" w:styleId="TableGrid">
    <w:name w:val="Table Grid"/>
    <w:basedOn w:val="TableNorma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7012C"/>
    <w:rPr>
      <w:sz w:val="16"/>
      <w:szCs w:val="16"/>
    </w:rPr>
  </w:style>
  <w:style w:type="paragraph" w:styleId="CommentText">
    <w:name w:val="annotation text"/>
    <w:basedOn w:val="Normal"/>
    <w:link w:val="CommentTextChar"/>
    <w:unhideWhenUsed/>
    <w:rsid w:val="00C7012C"/>
    <w:rPr>
      <w:sz w:val="20"/>
      <w:szCs w:val="20"/>
    </w:rPr>
  </w:style>
  <w:style w:type="character" w:customStyle="1" w:styleId="CommentTextChar">
    <w:name w:val="Comment Text Char"/>
    <w:basedOn w:val="DefaultParagraphFont"/>
    <w:link w:val="CommentText"/>
    <w:rsid w:val="00C7012C"/>
    <w:rPr>
      <w:lang w:eastAsia="en-US"/>
    </w:rPr>
  </w:style>
  <w:style w:type="paragraph" w:styleId="CommentSubject">
    <w:name w:val="annotation subject"/>
    <w:basedOn w:val="CommentText"/>
    <w:next w:val="CommentText"/>
    <w:link w:val="CommentSubjectChar"/>
    <w:semiHidden/>
    <w:unhideWhenUsed/>
    <w:rsid w:val="00C7012C"/>
    <w:rPr>
      <w:b/>
      <w:bCs/>
    </w:rPr>
  </w:style>
  <w:style w:type="character" w:customStyle="1" w:styleId="CommentSubjectChar">
    <w:name w:val="Comment Subject Char"/>
    <w:basedOn w:val="CommentTextChar"/>
    <w:link w:val="CommentSubject"/>
    <w:semiHidden/>
    <w:rsid w:val="00C7012C"/>
    <w:rPr>
      <w:b/>
      <w:bCs/>
      <w:lang w:eastAsia="en-US"/>
    </w:rPr>
  </w:style>
  <w:style w:type="paragraph" w:styleId="ListParagraph">
    <w:name w:val="List Paragraph"/>
    <w:basedOn w:val="Normal"/>
    <w:uiPriority w:val="34"/>
    <w:qFormat/>
    <w:rsid w:val="00104E2E"/>
    <w:pPr>
      <w:ind w:left="720"/>
      <w:contextualSpacing/>
    </w:pPr>
  </w:style>
  <w:style w:type="character" w:customStyle="1" w:styleId="Style2">
    <w:name w:val="Style2"/>
    <w:basedOn w:val="DefaultParagraphFont"/>
    <w:uiPriority w:val="1"/>
    <w:rsid w:val="00D6498C"/>
    <w:rPr>
      <w:sz w:val="32"/>
    </w:rPr>
  </w:style>
  <w:style w:type="character" w:styleId="PlaceholderText">
    <w:name w:val="Placeholder Text"/>
    <w:basedOn w:val="DefaultParagraphFont"/>
    <w:uiPriority w:val="99"/>
    <w:rsid w:val="00B13D65"/>
    <w:rPr>
      <w:color w:val="808080"/>
    </w:rPr>
  </w:style>
  <w:style w:type="paragraph" w:styleId="NoSpacing">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TableNormal"/>
    <w:next w:val="TableGrid"/>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625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F0943-FC13-4F31-B4C5-BE0D5B231D0F}">
  <ds:schemaRefs>
    <ds:schemaRef ds:uri="http://schemas.openxmlformats.org/officeDocument/2006/bibliography"/>
  </ds:schemaRefs>
</ds:datastoreItem>
</file>

<file path=docMetadata/LabelInfo.xml><?xml version="1.0" encoding="utf-8"?>
<clbl:labelList xmlns:clbl="http://schemas.microsoft.com/office/2020/mipLabelMetadata">
  <clbl:label id="{3ca48ea3-8c75-4d36-b64f-70604b11fd22}" enabled="1" method="Standard" siteId="{3ac94b33-9135-4821-9502-eafda6592a35}"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2069</Words>
  <Characters>15201</Characters>
  <Application>Microsoft Office Word</Application>
  <DocSecurity>0</DocSecurity>
  <Lines>292</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17178</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2026-01-12T07:37:00Z</dcterms:created>
  <dcterms:modified xsi:type="dcterms:W3CDTF">2026-01-12T07:41:00Z</dcterms:modified>
</cp:coreProperties>
</file>