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5EB3" w14:textId="1955ADE3" w:rsidR="005F7602" w:rsidRDefault="005F7602" w:rsidP="002946C7">
      <w:pPr>
        <w:ind w:left="5529"/>
      </w:pPr>
    </w:p>
    <w:p w14:paraId="12FA4B9E" w14:textId="77777777" w:rsidR="001B3C5B" w:rsidRPr="00E33EFF" w:rsidRDefault="001B3C5B" w:rsidP="001B3C5B">
      <w:pPr>
        <w:ind w:left="6096"/>
      </w:pPr>
      <w:r w:rsidRPr="00E33EFF">
        <w:t>Forma patvirtinta</w:t>
      </w:r>
    </w:p>
    <w:p w14:paraId="7206970B" w14:textId="70E9BD2E" w:rsidR="004C263A" w:rsidRPr="00E33EFF" w:rsidRDefault="001B3C5B" w:rsidP="001B3C5B">
      <w:pPr>
        <w:ind w:left="6096"/>
      </w:pPr>
      <w:r w:rsidRPr="00E33EFF">
        <w:t>Valstybinės vaistų kontrolės tarnybos prie Lietuvos Respublikos sveikatos apsaugos ministerijos viršininko 2021 m</w:t>
      </w:r>
      <w:r w:rsidR="004C263A" w:rsidRPr="00E33EFF">
        <w:t xml:space="preserve">. lapkričio 12 </w:t>
      </w:r>
      <w:r w:rsidRPr="00E33EFF">
        <w:t>d. įsakymu Nr.</w:t>
      </w:r>
      <w:r w:rsidR="004C263A" w:rsidRPr="00E33EFF">
        <w:t xml:space="preserve"> (1.72E)1A-1418</w:t>
      </w:r>
    </w:p>
    <w:p w14:paraId="5B219AA6" w14:textId="520B9136" w:rsidR="001B3C5B" w:rsidRPr="00E33EFF" w:rsidRDefault="004C263A" w:rsidP="001B3C5B">
      <w:pPr>
        <w:ind w:left="6096"/>
      </w:pPr>
      <w:r w:rsidRPr="00E33EFF">
        <w:t>(Valstybinės vaistų kontrolės tarnybos prie Lietuvos Respublikos sveikatos apsaugos ministerijos viršininko 2022 m.                         d. įsakymo Nr.                    redakcija)</w:t>
      </w:r>
    </w:p>
    <w:p w14:paraId="3336BD74" w14:textId="77777777" w:rsidR="001B3C5B" w:rsidRPr="00E33EFF" w:rsidRDefault="001B3C5B" w:rsidP="00FA4169"/>
    <w:p w14:paraId="77AFB67E" w14:textId="16397257" w:rsidR="00613501" w:rsidRPr="00E33EFF" w:rsidRDefault="002F0E4F" w:rsidP="003B211A">
      <w:pPr>
        <w:jc w:val="center"/>
        <w:rPr>
          <w:b/>
          <w:bCs/>
          <w:caps/>
        </w:rPr>
      </w:pPr>
      <w:r w:rsidRPr="00E33EFF">
        <w:rPr>
          <w:b/>
        </w:rPr>
        <w:t xml:space="preserve">REKOMENDACIJA DĖL VAISTINIO PREPARATO </w:t>
      </w:r>
      <w:r w:rsidRPr="00E33EFF">
        <w:rPr>
          <w:b/>
          <w:bCs/>
          <w:caps/>
        </w:rPr>
        <w:t>Lietuvos Respublikos Sveikatos apsaugos ministerijos vaistinių preparatų ir medicinos pagalbos priemonių kompensavimo komisijai</w:t>
      </w:r>
    </w:p>
    <w:p w14:paraId="34E4395D" w14:textId="15FB10DF" w:rsidR="00B13D65" w:rsidRPr="00E33EFF" w:rsidRDefault="00B13D65" w:rsidP="003B211A">
      <w:pPr>
        <w:jc w:val="center"/>
        <w:rPr>
          <w:b/>
        </w:rPr>
      </w:pPr>
    </w:p>
    <w:p w14:paraId="61CB393E" w14:textId="77777777" w:rsidR="00B56C5A" w:rsidRPr="00987F8D" w:rsidRDefault="00B56C5A" w:rsidP="00B56C5A">
      <w:pPr>
        <w:jc w:val="center"/>
        <w:rPr>
          <w:b/>
          <w:bCs/>
        </w:rPr>
      </w:pPr>
      <w:r w:rsidRPr="00987F8D">
        <w:rPr>
          <w:b/>
          <w:bCs/>
        </w:rPr>
        <w:t>Imfinzi 50 mg/ml koncentratas infuziniam tirpalui</w:t>
      </w:r>
    </w:p>
    <w:p w14:paraId="4C5FEECB" w14:textId="77777777" w:rsidR="00B56C5A" w:rsidRPr="00987F8D" w:rsidRDefault="00B56C5A" w:rsidP="00B56C5A">
      <w:pPr>
        <w:tabs>
          <w:tab w:val="left" w:pos="2713"/>
        </w:tabs>
        <w:rPr>
          <w:b/>
          <w:bCs/>
        </w:rPr>
      </w:pPr>
      <w:r w:rsidRPr="00987F8D">
        <w:rPr>
          <w:b/>
          <w:bCs/>
        </w:rPr>
        <w:tab/>
      </w:r>
    </w:p>
    <w:p w14:paraId="1758B179" w14:textId="77777777" w:rsidR="00B56C5A" w:rsidRPr="00583D8C" w:rsidRDefault="00B56C5A" w:rsidP="00B56C5A">
      <w:pPr>
        <w:jc w:val="center"/>
        <w:rPr>
          <w:b/>
          <w:bCs/>
        </w:rPr>
      </w:pPr>
      <w:r w:rsidRPr="00583D8C">
        <w:rPr>
          <w:b/>
          <w:bCs/>
        </w:rPr>
        <w:t>Durvalumabas</w:t>
      </w:r>
    </w:p>
    <w:p w14:paraId="409D2CA0" w14:textId="77777777" w:rsidR="00B56C5A" w:rsidRPr="00987F8D" w:rsidRDefault="00B56C5A" w:rsidP="00B56C5A">
      <w:pPr>
        <w:jc w:val="center"/>
        <w:rPr>
          <w:b/>
          <w:bCs/>
        </w:rPr>
      </w:pPr>
    </w:p>
    <w:p w14:paraId="68C5BC68" w14:textId="77777777" w:rsidR="00B56C5A" w:rsidRPr="00987F8D" w:rsidRDefault="00B56C5A" w:rsidP="00B56C5A">
      <w:pPr>
        <w:jc w:val="center"/>
        <w:rPr>
          <w:b/>
          <w:bCs/>
        </w:rPr>
      </w:pPr>
      <w:r w:rsidRPr="00987F8D">
        <w:rPr>
          <w:b/>
          <w:bCs/>
        </w:rPr>
        <w:t>STV-244</w:t>
      </w:r>
    </w:p>
    <w:p w14:paraId="04D9CA29" w14:textId="77777777" w:rsidR="00B56C5A" w:rsidRPr="00987F8D" w:rsidRDefault="00B56C5A" w:rsidP="00B56C5A">
      <w:pPr>
        <w:spacing w:line="280" w:lineRule="atLeast"/>
        <w:rPr>
          <w:rFonts w:eastAsia="Arial"/>
        </w:rPr>
      </w:pPr>
    </w:p>
    <w:p w14:paraId="322D3B58" w14:textId="77777777" w:rsidR="00B56C5A" w:rsidRPr="00987F8D" w:rsidRDefault="00B56C5A" w:rsidP="00B56C5A">
      <w:pPr>
        <w:tabs>
          <w:tab w:val="left" w:pos="284"/>
        </w:tabs>
        <w:spacing w:line="280" w:lineRule="atLeast"/>
        <w:jc w:val="center"/>
        <w:rPr>
          <w:rFonts w:eastAsia="Arial"/>
          <w:b/>
        </w:rPr>
      </w:pPr>
      <w:r w:rsidRPr="00987F8D">
        <w:rPr>
          <w:rFonts w:eastAsia="Arial"/>
          <w:b/>
        </w:rPr>
        <w:t>I. BENDROJI DALIS</w:t>
      </w:r>
    </w:p>
    <w:p w14:paraId="0C4A7E81" w14:textId="77777777" w:rsidR="00B56C5A" w:rsidRPr="00987F8D" w:rsidRDefault="00B56C5A" w:rsidP="00B56C5A">
      <w:pPr>
        <w:spacing w:line="280" w:lineRule="atLeast"/>
        <w:rPr>
          <w:rFonts w:eastAsia="Arial"/>
        </w:rPr>
      </w:pPr>
    </w:p>
    <w:tbl>
      <w:tblPr>
        <w:tblStyle w:val="TableGrid"/>
        <w:tblW w:w="9918" w:type="dxa"/>
        <w:tblLook w:val="04A0" w:firstRow="1" w:lastRow="0" w:firstColumn="1" w:lastColumn="0" w:noHBand="0" w:noVBand="1"/>
      </w:tblPr>
      <w:tblGrid>
        <w:gridCol w:w="705"/>
        <w:gridCol w:w="4117"/>
        <w:gridCol w:w="5096"/>
      </w:tblGrid>
      <w:tr w:rsidR="00B56C5A" w:rsidRPr="00987F8D" w14:paraId="00DC28BE" w14:textId="77777777" w:rsidTr="0073259F">
        <w:trPr>
          <w:trHeight w:val="342"/>
        </w:trPr>
        <w:tc>
          <w:tcPr>
            <w:tcW w:w="705" w:type="dxa"/>
          </w:tcPr>
          <w:p w14:paraId="20E3E50B" w14:textId="77777777" w:rsidR="00B56C5A" w:rsidRPr="00987F8D" w:rsidRDefault="00B56C5A" w:rsidP="0073259F">
            <w:pPr>
              <w:tabs>
                <w:tab w:val="left" w:pos="284"/>
              </w:tabs>
              <w:spacing w:line="280" w:lineRule="atLeast"/>
              <w:rPr>
                <w:rFonts w:eastAsia="Arial"/>
                <w:b/>
              </w:rPr>
            </w:pPr>
            <w:r w:rsidRPr="00987F8D">
              <w:rPr>
                <w:rFonts w:eastAsia="Arial"/>
                <w:b/>
              </w:rPr>
              <w:t>1.1</w:t>
            </w:r>
          </w:p>
        </w:tc>
        <w:tc>
          <w:tcPr>
            <w:tcW w:w="4117" w:type="dxa"/>
          </w:tcPr>
          <w:p w14:paraId="61D6AA17" w14:textId="77777777" w:rsidR="00B56C5A" w:rsidRPr="00987F8D" w:rsidRDefault="00B56C5A" w:rsidP="0073259F">
            <w:pPr>
              <w:tabs>
                <w:tab w:val="left" w:pos="284"/>
              </w:tabs>
              <w:spacing w:line="280" w:lineRule="atLeast"/>
              <w:rPr>
                <w:b/>
                <w:bCs/>
                <w:color w:val="000000"/>
                <w:lang w:eastAsia="lt-LT"/>
              </w:rPr>
            </w:pPr>
            <w:r w:rsidRPr="00987F8D">
              <w:rPr>
                <w:b/>
                <w:bCs/>
                <w:color w:val="000000"/>
                <w:lang w:eastAsia="lt-LT"/>
              </w:rPr>
              <w:t>Pareiškėjas</w:t>
            </w:r>
          </w:p>
        </w:tc>
        <w:tc>
          <w:tcPr>
            <w:tcW w:w="5096" w:type="dxa"/>
          </w:tcPr>
          <w:p w14:paraId="03481F0F" w14:textId="77777777" w:rsidR="00B56C5A" w:rsidRPr="00987F8D" w:rsidRDefault="00B56C5A" w:rsidP="0073259F">
            <w:pPr>
              <w:pStyle w:val="ListParagraph"/>
              <w:ind w:left="0"/>
              <w:contextualSpacing w:val="0"/>
              <w:jc w:val="both"/>
            </w:pPr>
            <w:r w:rsidRPr="00987F8D">
              <w:t>UAB „AstraZeneca Lietuva“</w:t>
            </w:r>
          </w:p>
        </w:tc>
      </w:tr>
      <w:tr w:rsidR="00B56C5A" w:rsidRPr="00987F8D" w14:paraId="6297F77C" w14:textId="77777777" w:rsidTr="0073259F">
        <w:trPr>
          <w:trHeight w:val="479"/>
        </w:trPr>
        <w:tc>
          <w:tcPr>
            <w:tcW w:w="705" w:type="dxa"/>
          </w:tcPr>
          <w:p w14:paraId="1913AD89" w14:textId="77777777" w:rsidR="00B56C5A" w:rsidRPr="00987F8D" w:rsidRDefault="00B56C5A" w:rsidP="0073259F">
            <w:pPr>
              <w:tabs>
                <w:tab w:val="left" w:pos="284"/>
              </w:tabs>
              <w:spacing w:line="280" w:lineRule="atLeast"/>
              <w:rPr>
                <w:rFonts w:eastAsia="Arial"/>
                <w:b/>
              </w:rPr>
            </w:pPr>
            <w:r w:rsidRPr="00987F8D">
              <w:rPr>
                <w:rFonts w:eastAsia="Arial"/>
                <w:b/>
              </w:rPr>
              <w:t>1.2</w:t>
            </w:r>
          </w:p>
        </w:tc>
        <w:tc>
          <w:tcPr>
            <w:tcW w:w="4117" w:type="dxa"/>
          </w:tcPr>
          <w:p w14:paraId="22F52733" w14:textId="77777777" w:rsidR="00B56C5A" w:rsidRPr="00987F8D" w:rsidRDefault="00B56C5A" w:rsidP="0073259F">
            <w:pPr>
              <w:tabs>
                <w:tab w:val="left" w:pos="284"/>
              </w:tabs>
              <w:spacing w:line="280" w:lineRule="atLeast"/>
              <w:rPr>
                <w:b/>
                <w:bCs/>
                <w:color w:val="000000"/>
                <w:lang w:eastAsia="lt-LT"/>
              </w:rPr>
            </w:pPr>
            <w:r w:rsidRPr="00987F8D">
              <w:rPr>
                <w:b/>
                <w:bCs/>
                <w:color w:val="000000"/>
                <w:lang w:eastAsia="lt-LT"/>
              </w:rPr>
              <w:t>Registracijos data (EVA)</w:t>
            </w:r>
          </w:p>
          <w:p w14:paraId="31ED8C5A" w14:textId="77777777" w:rsidR="00B56C5A" w:rsidRPr="00987F8D" w:rsidRDefault="00B56C5A" w:rsidP="0073259F">
            <w:pPr>
              <w:tabs>
                <w:tab w:val="left" w:pos="284"/>
              </w:tabs>
              <w:spacing w:line="280" w:lineRule="atLeast"/>
              <w:rPr>
                <w:bCs/>
                <w:color w:val="000000"/>
                <w:lang w:eastAsia="lt-LT"/>
              </w:rPr>
            </w:pPr>
          </w:p>
        </w:tc>
        <w:tc>
          <w:tcPr>
            <w:tcW w:w="5096" w:type="dxa"/>
          </w:tcPr>
          <w:p w14:paraId="012E26ED" w14:textId="77777777" w:rsidR="00B56C5A" w:rsidRPr="00987F8D" w:rsidRDefault="00B56C5A" w:rsidP="0073259F">
            <w:pPr>
              <w:pStyle w:val="ListParagraph"/>
              <w:ind w:left="0"/>
              <w:contextualSpacing w:val="0"/>
              <w:jc w:val="both"/>
              <w:rPr>
                <w:rStyle w:val="Style2"/>
              </w:rPr>
            </w:pPr>
            <w:r w:rsidRPr="00987F8D">
              <w:t>2018 m. rugsėjo 21 d.</w:t>
            </w:r>
          </w:p>
        </w:tc>
      </w:tr>
      <w:tr w:rsidR="00B56C5A" w:rsidRPr="00987F8D" w14:paraId="3959E57E" w14:textId="77777777" w:rsidTr="0073259F">
        <w:trPr>
          <w:trHeight w:val="1328"/>
        </w:trPr>
        <w:tc>
          <w:tcPr>
            <w:tcW w:w="705" w:type="dxa"/>
          </w:tcPr>
          <w:p w14:paraId="7AFE4263" w14:textId="77777777" w:rsidR="00B56C5A" w:rsidRPr="00987F8D" w:rsidRDefault="00B56C5A" w:rsidP="0073259F">
            <w:pPr>
              <w:tabs>
                <w:tab w:val="left" w:pos="284"/>
              </w:tabs>
              <w:spacing w:line="280" w:lineRule="atLeast"/>
              <w:rPr>
                <w:rFonts w:eastAsia="Arial"/>
                <w:b/>
              </w:rPr>
            </w:pPr>
            <w:r w:rsidRPr="00987F8D">
              <w:rPr>
                <w:rFonts w:eastAsia="Arial"/>
                <w:b/>
              </w:rPr>
              <w:t>1.3</w:t>
            </w:r>
          </w:p>
        </w:tc>
        <w:tc>
          <w:tcPr>
            <w:tcW w:w="4117" w:type="dxa"/>
          </w:tcPr>
          <w:p w14:paraId="0745BC51" w14:textId="77777777" w:rsidR="00B56C5A" w:rsidRPr="00987F8D" w:rsidRDefault="00B56C5A" w:rsidP="0073259F">
            <w:pPr>
              <w:pStyle w:val="NoSpacing"/>
              <w:rPr>
                <w:rFonts w:ascii="Times New Roman" w:hAnsi="Times New Roman"/>
                <w:b/>
                <w:sz w:val="24"/>
                <w:szCs w:val="24"/>
              </w:rPr>
            </w:pPr>
            <w:r w:rsidRPr="00987F8D">
              <w:rPr>
                <w:rFonts w:ascii="Times New Roman" w:hAnsi="Times New Roman"/>
                <w:b/>
                <w:sz w:val="24"/>
                <w:szCs w:val="24"/>
              </w:rPr>
              <w:t xml:space="preserve">Paraiškos tipas </w:t>
            </w:r>
          </w:p>
          <w:p w14:paraId="195615B8" w14:textId="77777777" w:rsidR="00B56C5A" w:rsidRPr="00987F8D" w:rsidRDefault="00B56C5A" w:rsidP="0073259F">
            <w:pPr>
              <w:rPr>
                <w:b/>
              </w:rPr>
            </w:pPr>
            <w:r w:rsidRPr="00987F8D">
              <w:rPr>
                <w:b/>
              </w:rPr>
              <w:t xml:space="preserve">(pagal </w:t>
            </w:r>
            <w:r w:rsidRPr="00987F8D">
              <w:rPr>
                <w:b/>
                <w:shd w:val="clear" w:color="auto" w:fill="FFFFFF"/>
              </w:rPr>
              <w:t>vaistinio preparato registracijos tipą, įtvirtintą</w:t>
            </w:r>
            <w:r w:rsidRPr="00987F8D">
              <w:rPr>
                <w:b/>
              </w:rPr>
              <w:t xml:space="preserve"> Direktyvos 2001/83/EB straipsniuose)</w:t>
            </w:r>
          </w:p>
          <w:p w14:paraId="168BE05B" w14:textId="77777777" w:rsidR="00B56C5A" w:rsidRPr="00987F8D" w:rsidRDefault="00B56C5A" w:rsidP="0073259F">
            <w:pPr>
              <w:tabs>
                <w:tab w:val="left" w:pos="284"/>
              </w:tabs>
              <w:spacing w:line="280" w:lineRule="atLeast"/>
              <w:rPr>
                <w:b/>
                <w:bCs/>
                <w:color w:val="000000"/>
                <w:lang w:eastAsia="lt-LT"/>
              </w:rPr>
            </w:pPr>
          </w:p>
        </w:tc>
        <w:tc>
          <w:tcPr>
            <w:tcW w:w="5096" w:type="dxa"/>
          </w:tcPr>
          <w:p w14:paraId="0F2AB27E" w14:textId="77777777" w:rsidR="00B56C5A" w:rsidRPr="00987F8D" w:rsidRDefault="00000000" w:rsidP="0073259F">
            <w:sdt>
              <w:sdtPr>
                <w:rPr>
                  <w:rStyle w:val="Style2"/>
                </w:rPr>
                <w:id w:val="-366596377"/>
                <w15:color w:val="FFCC00"/>
                <w14:checkbox>
                  <w14:checked w14:val="1"/>
                  <w14:checkedState w14:val="2612" w14:font="MS Gothic"/>
                  <w14:uncheckedState w14:val="2610" w14:font="MS Gothic"/>
                </w14:checkbox>
              </w:sdtPr>
              <w:sdtContent>
                <w:r w:rsidR="00B56C5A" w:rsidRPr="00987F8D">
                  <w:rPr>
                    <w:rStyle w:val="Style2"/>
                    <w:rFonts w:ascii="MS Gothic" w:eastAsia="MS Gothic" w:hAnsi="MS Gothic"/>
                  </w:rPr>
                  <w:t>☒</w:t>
                </w:r>
              </w:sdtContent>
            </w:sdt>
            <w:r w:rsidR="00B56C5A" w:rsidRPr="00987F8D">
              <w:t xml:space="preserve"> 8.3 str. (pilna byla, pagrįsta savais tyrimais) </w:t>
            </w:r>
          </w:p>
          <w:p w14:paraId="740E3E6C" w14:textId="77777777" w:rsidR="00B56C5A" w:rsidRPr="00987F8D" w:rsidRDefault="00000000" w:rsidP="0073259F">
            <w:sdt>
              <w:sdtPr>
                <w:rPr>
                  <w:rStyle w:val="Style2"/>
                </w:rPr>
                <w:id w:val="675462298"/>
                <w15:color w:val="FFCC00"/>
                <w14:checkbox>
                  <w14:checked w14:val="0"/>
                  <w14:checkedState w14:val="2612" w14:font="MS Gothic"/>
                  <w14:uncheckedState w14:val="2610" w14:font="MS Gothic"/>
                </w14:checkbox>
              </w:sdtPr>
              <w:sdtContent>
                <w:r w:rsidR="00B56C5A" w:rsidRPr="00987F8D">
                  <w:rPr>
                    <w:rStyle w:val="Style2"/>
                    <w:rFonts w:ascii="Segoe UI Symbol" w:eastAsia="MS Gothic" w:hAnsi="Segoe UI Symbol" w:cs="Segoe UI Symbol"/>
                  </w:rPr>
                  <w:t>☐</w:t>
                </w:r>
              </w:sdtContent>
            </w:sdt>
            <w:r w:rsidR="00B56C5A" w:rsidRPr="00987F8D">
              <w:t xml:space="preserve"> 10 a str. (pripažintas medicininis vartojimas) </w:t>
            </w:r>
          </w:p>
          <w:p w14:paraId="617DAD58" w14:textId="77777777" w:rsidR="00B56C5A" w:rsidRPr="00987F8D" w:rsidRDefault="00000000" w:rsidP="0073259F">
            <w:sdt>
              <w:sdtPr>
                <w:rPr>
                  <w:rStyle w:val="Style2"/>
                </w:rPr>
                <w:id w:val="-1290435890"/>
                <w15:color w:val="FFCC00"/>
                <w14:checkbox>
                  <w14:checked w14:val="0"/>
                  <w14:checkedState w14:val="2612" w14:font="MS Gothic"/>
                  <w14:uncheckedState w14:val="2610" w14:font="MS Gothic"/>
                </w14:checkbox>
              </w:sdtPr>
              <w:sdtContent>
                <w:r w:rsidR="00B56C5A" w:rsidRPr="00987F8D">
                  <w:rPr>
                    <w:rStyle w:val="Style2"/>
                    <w:rFonts w:ascii="MS Gothic" w:eastAsia="MS Gothic" w:hAnsi="MS Gothic"/>
                  </w:rPr>
                  <w:t>☐</w:t>
                </w:r>
              </w:sdtContent>
            </w:sdt>
            <w:r w:rsidR="00B56C5A" w:rsidRPr="00987F8D">
              <w:t xml:space="preserve"> 10.1 str. (generinis)</w:t>
            </w:r>
          </w:p>
          <w:p w14:paraId="2D6FE967" w14:textId="77777777" w:rsidR="00B56C5A" w:rsidRPr="00987F8D" w:rsidRDefault="00000000" w:rsidP="0073259F">
            <w:pPr>
              <w:rPr>
                <w:rStyle w:val="Style2"/>
              </w:rPr>
            </w:pPr>
            <w:sdt>
              <w:sdtPr>
                <w:rPr>
                  <w:rStyle w:val="Style2"/>
                </w:rPr>
                <w:id w:val="-124545030"/>
                <w15:color w:val="FFCC00"/>
                <w14:checkbox>
                  <w14:checked w14:val="0"/>
                  <w14:checkedState w14:val="2612" w14:font="MS Gothic"/>
                  <w14:uncheckedState w14:val="2610" w14:font="MS Gothic"/>
                </w14:checkbox>
              </w:sdtPr>
              <w:sdtContent>
                <w:r w:rsidR="00B56C5A" w:rsidRPr="00987F8D">
                  <w:rPr>
                    <w:rStyle w:val="Style2"/>
                    <w:rFonts w:ascii="Segoe UI Symbol" w:eastAsia="MS Gothic" w:hAnsi="Segoe UI Symbol" w:cs="Segoe UI Symbol"/>
                  </w:rPr>
                  <w:t>☐</w:t>
                </w:r>
              </w:sdtContent>
            </w:sdt>
            <w:r w:rsidR="00B56C5A" w:rsidRPr="00987F8D">
              <w:t xml:space="preserve"> 10.3 str. (hibridinis)</w:t>
            </w:r>
          </w:p>
        </w:tc>
      </w:tr>
      <w:tr w:rsidR="00B56C5A" w:rsidRPr="00987F8D" w14:paraId="76FF1A9E" w14:textId="77777777" w:rsidTr="0073259F">
        <w:trPr>
          <w:trHeight w:val="1109"/>
        </w:trPr>
        <w:tc>
          <w:tcPr>
            <w:tcW w:w="705" w:type="dxa"/>
          </w:tcPr>
          <w:p w14:paraId="48C5DAC8" w14:textId="77777777" w:rsidR="00B56C5A" w:rsidRPr="00987F8D" w:rsidRDefault="00B56C5A" w:rsidP="0073259F">
            <w:pPr>
              <w:tabs>
                <w:tab w:val="left" w:pos="284"/>
              </w:tabs>
              <w:spacing w:line="280" w:lineRule="atLeast"/>
              <w:rPr>
                <w:rFonts w:eastAsia="Arial"/>
                <w:b/>
              </w:rPr>
            </w:pPr>
            <w:r w:rsidRPr="00987F8D">
              <w:rPr>
                <w:rFonts w:eastAsia="Arial"/>
                <w:b/>
              </w:rPr>
              <w:t>1.4</w:t>
            </w:r>
          </w:p>
        </w:tc>
        <w:tc>
          <w:tcPr>
            <w:tcW w:w="4117" w:type="dxa"/>
          </w:tcPr>
          <w:p w14:paraId="6966F37C" w14:textId="77777777" w:rsidR="00B56C5A" w:rsidRPr="00987F8D" w:rsidRDefault="00B56C5A" w:rsidP="0073259F">
            <w:pPr>
              <w:tabs>
                <w:tab w:val="left" w:pos="284"/>
              </w:tabs>
              <w:spacing w:line="280" w:lineRule="atLeast"/>
              <w:rPr>
                <w:b/>
                <w:bCs/>
                <w:color w:val="000000"/>
                <w:lang w:eastAsia="lt-LT"/>
              </w:rPr>
            </w:pPr>
            <w:r w:rsidRPr="00987F8D">
              <w:rPr>
                <w:b/>
                <w:bCs/>
                <w:color w:val="000000"/>
                <w:lang w:eastAsia="lt-LT"/>
              </w:rPr>
              <w:t>Ar vaistinis preparatas įrašytas į Bendrijos retųjų vaistinių preparatų registrą?</w:t>
            </w:r>
          </w:p>
        </w:tc>
        <w:tc>
          <w:tcPr>
            <w:tcW w:w="5096" w:type="dxa"/>
          </w:tcPr>
          <w:p w14:paraId="2D97CB2B" w14:textId="77777777" w:rsidR="00B56C5A" w:rsidRPr="00987F8D" w:rsidRDefault="00000000" w:rsidP="0073259F">
            <w:sdt>
              <w:sdtPr>
                <w:rPr>
                  <w:rStyle w:val="Style2"/>
                </w:rPr>
                <w:id w:val="2024432173"/>
                <w15:color w:val="FFCC00"/>
                <w14:checkbox>
                  <w14:checked w14:val="0"/>
                  <w14:checkedState w14:val="2612" w14:font="MS Gothic"/>
                  <w14:uncheckedState w14:val="2610" w14:font="MS Gothic"/>
                </w14:checkbox>
              </w:sdtPr>
              <w:sdtContent>
                <w:r w:rsidR="00B56C5A" w:rsidRPr="00987F8D">
                  <w:rPr>
                    <w:rStyle w:val="Style2"/>
                    <w:rFonts w:ascii="Segoe UI Symbol" w:eastAsia="MS Gothic" w:hAnsi="Segoe UI Symbol" w:cs="Segoe UI Symbol"/>
                  </w:rPr>
                  <w:t>☐</w:t>
                </w:r>
              </w:sdtContent>
            </w:sdt>
            <w:r w:rsidR="00B56C5A" w:rsidRPr="00987F8D">
              <w:t xml:space="preserve"> Taip</w:t>
            </w:r>
          </w:p>
          <w:p w14:paraId="3359F269" w14:textId="77777777" w:rsidR="00B56C5A" w:rsidRPr="00987F8D" w:rsidRDefault="00000000" w:rsidP="0073259F">
            <w:sdt>
              <w:sdtPr>
                <w:rPr>
                  <w:rStyle w:val="Style2"/>
                </w:rPr>
                <w:id w:val="-970507926"/>
                <w15:color w:val="FFCC00"/>
                <w14:checkbox>
                  <w14:checked w14:val="1"/>
                  <w14:checkedState w14:val="2612" w14:font="MS Gothic"/>
                  <w14:uncheckedState w14:val="2610" w14:font="MS Gothic"/>
                </w14:checkbox>
              </w:sdtPr>
              <w:sdtContent>
                <w:r w:rsidR="00B56C5A" w:rsidRPr="00987F8D">
                  <w:rPr>
                    <w:rStyle w:val="Style2"/>
                    <w:rFonts w:ascii="MS Gothic" w:eastAsia="MS Gothic" w:hAnsi="MS Gothic"/>
                  </w:rPr>
                  <w:t>☒</w:t>
                </w:r>
              </w:sdtContent>
            </w:sdt>
            <w:r w:rsidR="00B56C5A" w:rsidRPr="00987F8D">
              <w:t xml:space="preserve"> Ne</w:t>
            </w:r>
          </w:p>
          <w:p w14:paraId="1CB56C0E" w14:textId="77777777" w:rsidR="00B56C5A" w:rsidRPr="00987F8D" w:rsidRDefault="00000000" w:rsidP="0073259F">
            <w:pPr>
              <w:rPr>
                <w:rFonts w:eastAsia="Arial"/>
                <w:b/>
              </w:rPr>
            </w:pPr>
            <w:sdt>
              <w:sdtPr>
                <w:alias w:val="Nurodykite konkrečią dieną"/>
                <w:tag w:val="Nurodykite pradžios datą"/>
                <w:id w:val="693498901"/>
                <w:placeholder>
                  <w:docPart w:val="48737E272FFA4A738C9C015CBC5C681F"/>
                </w:placeholder>
                <w:showingPlcHdr/>
                <w15:color w:val="FFCC99"/>
                <w:date w:fullDate="2022-05-18T00:00:00Z">
                  <w:dateFormat w:val="yyyy 'm.' MMMM d 'd.'"/>
                  <w:lid w:val="lt-LT"/>
                  <w:storeMappedDataAs w:val="dateTime"/>
                  <w:calendar w:val="gregorian"/>
                </w:date>
              </w:sdtPr>
              <w:sdtContent>
                <w:r w:rsidR="00B56C5A" w:rsidRPr="00987F8D">
                  <w:rPr>
                    <w:rStyle w:val="PlaceholderText"/>
                  </w:rPr>
                  <w:t>Click here to enter a date.</w:t>
                </w:r>
              </w:sdtContent>
            </w:sdt>
          </w:p>
        </w:tc>
      </w:tr>
      <w:tr w:rsidR="00B56C5A" w:rsidRPr="00987F8D" w14:paraId="19A99AE7" w14:textId="77777777" w:rsidTr="0073259F">
        <w:trPr>
          <w:trHeight w:val="958"/>
        </w:trPr>
        <w:tc>
          <w:tcPr>
            <w:tcW w:w="705" w:type="dxa"/>
            <w:tcBorders>
              <w:bottom w:val="single" w:sz="4" w:space="0" w:color="auto"/>
            </w:tcBorders>
          </w:tcPr>
          <w:p w14:paraId="33AD0ED1" w14:textId="77777777" w:rsidR="00B56C5A" w:rsidRPr="00987F8D" w:rsidRDefault="00B56C5A" w:rsidP="0073259F">
            <w:pPr>
              <w:tabs>
                <w:tab w:val="left" w:pos="284"/>
              </w:tabs>
              <w:spacing w:line="280" w:lineRule="atLeast"/>
              <w:rPr>
                <w:rFonts w:eastAsia="Arial"/>
                <w:b/>
              </w:rPr>
            </w:pPr>
            <w:r w:rsidRPr="00987F8D">
              <w:rPr>
                <w:rFonts w:eastAsia="Arial"/>
                <w:b/>
              </w:rPr>
              <w:t>1.5</w:t>
            </w:r>
          </w:p>
        </w:tc>
        <w:tc>
          <w:tcPr>
            <w:tcW w:w="4117" w:type="dxa"/>
            <w:tcBorders>
              <w:bottom w:val="single" w:sz="4" w:space="0" w:color="auto"/>
            </w:tcBorders>
          </w:tcPr>
          <w:p w14:paraId="111E45AA" w14:textId="77777777" w:rsidR="00B56C5A" w:rsidRPr="00987F8D" w:rsidRDefault="00B56C5A" w:rsidP="0073259F">
            <w:pPr>
              <w:tabs>
                <w:tab w:val="left" w:pos="284"/>
              </w:tabs>
              <w:spacing w:line="280" w:lineRule="atLeast"/>
              <w:rPr>
                <w:b/>
                <w:bCs/>
                <w:color w:val="000000"/>
                <w:lang w:eastAsia="lt-LT"/>
              </w:rPr>
            </w:pPr>
            <w:r w:rsidRPr="00987F8D">
              <w:rPr>
                <w:b/>
                <w:bCs/>
                <w:color w:val="000000"/>
                <w:lang w:eastAsia="lt-LT"/>
              </w:rPr>
              <w:t>Pareiškėjo teikiama (-os) kompensuoti preparato indikacija (-os)</w:t>
            </w:r>
          </w:p>
          <w:p w14:paraId="51634726" w14:textId="77777777" w:rsidR="00B56C5A" w:rsidRPr="00987F8D" w:rsidRDefault="00B56C5A" w:rsidP="0073259F">
            <w:pPr>
              <w:tabs>
                <w:tab w:val="left" w:pos="284"/>
              </w:tabs>
              <w:spacing w:line="280" w:lineRule="atLeast"/>
              <w:rPr>
                <w:b/>
                <w:bCs/>
                <w:color w:val="000000"/>
                <w:lang w:eastAsia="lt-LT"/>
              </w:rPr>
            </w:pPr>
            <w:r w:rsidRPr="00987F8D">
              <w:rPr>
                <w:b/>
                <w:bCs/>
                <w:color w:val="000000"/>
                <w:lang w:eastAsia="lt-LT"/>
              </w:rPr>
              <w:t xml:space="preserve">Kodas pagal TLK-10 AM  </w:t>
            </w:r>
          </w:p>
        </w:tc>
        <w:tc>
          <w:tcPr>
            <w:tcW w:w="5096" w:type="dxa"/>
            <w:tcBorders>
              <w:bottom w:val="single" w:sz="4" w:space="0" w:color="auto"/>
            </w:tcBorders>
          </w:tcPr>
          <w:p w14:paraId="68AD6614" w14:textId="77777777" w:rsidR="00B56C5A" w:rsidRPr="00987F8D" w:rsidRDefault="00B56C5A" w:rsidP="0073259F">
            <w:pPr>
              <w:jc w:val="both"/>
              <w:rPr>
                <w:lang w:eastAsia="lt-LT"/>
              </w:rPr>
            </w:pPr>
            <w:bookmarkStart w:id="0" w:name="_Hlk199687281"/>
            <w:r w:rsidRPr="00987F8D">
              <w:t>Monoterapija IMFINZI yra skirta gydyti suaugusiesiems, sergantiems neišplitusiu smulkialąsteliniu plaučių vėžiu (angl. limited-stage small cell lung cancer, LS-SCLC), kurių liga neprogresavo po chemospindulinio gydymo platinos pagrindu</w:t>
            </w:r>
            <w:bookmarkStart w:id="1" w:name="_Hlk199966789"/>
            <w:r w:rsidRPr="00987F8D">
              <w:t>.</w:t>
            </w:r>
          </w:p>
          <w:bookmarkEnd w:id="0"/>
          <w:bookmarkEnd w:id="1"/>
          <w:p w14:paraId="5F31EEF8" w14:textId="77777777" w:rsidR="00B56C5A" w:rsidRPr="00987F8D" w:rsidRDefault="00B56C5A" w:rsidP="0073259F">
            <w:pPr>
              <w:pStyle w:val="ListParagraph"/>
              <w:ind w:left="0"/>
              <w:contextualSpacing w:val="0"/>
              <w:jc w:val="both"/>
            </w:pPr>
          </w:p>
        </w:tc>
      </w:tr>
      <w:tr w:rsidR="00B56C5A" w:rsidRPr="00987F8D" w14:paraId="45922E2D" w14:textId="77777777" w:rsidTr="0073259F">
        <w:trPr>
          <w:trHeight w:val="479"/>
        </w:trPr>
        <w:tc>
          <w:tcPr>
            <w:tcW w:w="705" w:type="dxa"/>
            <w:tcBorders>
              <w:top w:val="single" w:sz="4" w:space="0" w:color="auto"/>
              <w:left w:val="single" w:sz="4" w:space="0" w:color="auto"/>
              <w:bottom w:val="single" w:sz="4" w:space="0" w:color="auto"/>
              <w:right w:val="single" w:sz="4" w:space="0" w:color="auto"/>
            </w:tcBorders>
          </w:tcPr>
          <w:p w14:paraId="1AA85E98" w14:textId="77777777" w:rsidR="00B56C5A" w:rsidRPr="00987F8D" w:rsidRDefault="00B56C5A" w:rsidP="0073259F">
            <w:pPr>
              <w:tabs>
                <w:tab w:val="left" w:pos="284"/>
              </w:tabs>
              <w:spacing w:line="280" w:lineRule="atLeast"/>
              <w:rPr>
                <w:rFonts w:eastAsia="Arial"/>
                <w:b/>
              </w:rPr>
            </w:pPr>
            <w:r w:rsidRPr="00987F8D">
              <w:rPr>
                <w:rFonts w:eastAsia="Arial"/>
                <w:b/>
              </w:rPr>
              <w:t>1.6</w:t>
            </w:r>
          </w:p>
        </w:tc>
        <w:tc>
          <w:tcPr>
            <w:tcW w:w="4117" w:type="dxa"/>
            <w:tcBorders>
              <w:top w:val="single" w:sz="4" w:space="0" w:color="auto"/>
              <w:left w:val="single" w:sz="4" w:space="0" w:color="auto"/>
              <w:bottom w:val="single" w:sz="4" w:space="0" w:color="auto"/>
              <w:right w:val="single" w:sz="4" w:space="0" w:color="auto"/>
            </w:tcBorders>
          </w:tcPr>
          <w:p w14:paraId="4841BC6B" w14:textId="77777777" w:rsidR="00B56C5A" w:rsidRPr="00987F8D" w:rsidRDefault="00B56C5A" w:rsidP="0073259F">
            <w:pPr>
              <w:tabs>
                <w:tab w:val="left" w:pos="284"/>
              </w:tabs>
              <w:spacing w:line="280" w:lineRule="atLeast"/>
              <w:rPr>
                <w:bCs/>
                <w:color w:val="000000"/>
                <w:u w:val="single"/>
                <w:lang w:eastAsia="lt-LT"/>
              </w:rPr>
            </w:pPr>
            <w:r w:rsidRPr="00987F8D">
              <w:rPr>
                <w:b/>
                <w:bCs/>
                <w:color w:val="000000"/>
                <w:lang w:eastAsia="lt-LT"/>
              </w:rPr>
              <w:t xml:space="preserve">Pareiškėjo teikiamos skyrimo sąlygos </w:t>
            </w:r>
          </w:p>
        </w:tc>
        <w:tc>
          <w:tcPr>
            <w:tcW w:w="5096" w:type="dxa"/>
            <w:tcBorders>
              <w:top w:val="single" w:sz="4" w:space="0" w:color="auto"/>
              <w:left w:val="single" w:sz="4" w:space="0" w:color="auto"/>
              <w:bottom w:val="single" w:sz="4" w:space="0" w:color="auto"/>
              <w:right w:val="single" w:sz="4" w:space="0" w:color="auto"/>
            </w:tcBorders>
          </w:tcPr>
          <w:p w14:paraId="1CE62E7D" w14:textId="77777777" w:rsidR="00B56C5A" w:rsidRPr="00987F8D" w:rsidRDefault="00B56C5A" w:rsidP="0073259F">
            <w:pPr>
              <w:pStyle w:val="ListParagraph"/>
              <w:ind w:left="0"/>
              <w:contextualSpacing w:val="0"/>
              <w:jc w:val="both"/>
            </w:pPr>
            <w:r w:rsidRPr="00987F8D">
              <w:rPr>
                <w:lang w:eastAsia="lt-LT"/>
              </w:rPr>
              <w:t>Neteikiamos.</w:t>
            </w:r>
          </w:p>
        </w:tc>
      </w:tr>
      <w:tr w:rsidR="00B56C5A" w:rsidRPr="00987F8D" w14:paraId="5F91378E" w14:textId="77777777" w:rsidTr="0073259F">
        <w:trPr>
          <w:trHeight w:val="479"/>
        </w:trPr>
        <w:tc>
          <w:tcPr>
            <w:tcW w:w="705" w:type="dxa"/>
            <w:tcBorders>
              <w:top w:val="single" w:sz="4" w:space="0" w:color="auto"/>
              <w:left w:val="single" w:sz="4" w:space="0" w:color="auto"/>
              <w:bottom w:val="single" w:sz="4" w:space="0" w:color="auto"/>
              <w:right w:val="single" w:sz="4" w:space="0" w:color="auto"/>
            </w:tcBorders>
          </w:tcPr>
          <w:p w14:paraId="14025A1A" w14:textId="77777777" w:rsidR="00B56C5A" w:rsidRPr="00987F8D" w:rsidRDefault="00B56C5A" w:rsidP="0073259F">
            <w:pPr>
              <w:tabs>
                <w:tab w:val="left" w:pos="284"/>
              </w:tabs>
              <w:spacing w:line="280" w:lineRule="atLeast"/>
              <w:rPr>
                <w:rFonts w:eastAsia="Arial"/>
                <w:b/>
              </w:rPr>
            </w:pPr>
            <w:r w:rsidRPr="00987F8D">
              <w:rPr>
                <w:rFonts w:eastAsia="Arial"/>
                <w:b/>
              </w:rPr>
              <w:t>1.7</w:t>
            </w:r>
          </w:p>
        </w:tc>
        <w:tc>
          <w:tcPr>
            <w:tcW w:w="4117" w:type="dxa"/>
            <w:tcBorders>
              <w:top w:val="single" w:sz="4" w:space="0" w:color="auto"/>
              <w:left w:val="single" w:sz="4" w:space="0" w:color="auto"/>
              <w:bottom w:val="single" w:sz="4" w:space="0" w:color="auto"/>
              <w:right w:val="single" w:sz="4" w:space="0" w:color="auto"/>
            </w:tcBorders>
          </w:tcPr>
          <w:p w14:paraId="3947648C" w14:textId="77777777" w:rsidR="00B56C5A" w:rsidRPr="00987F8D" w:rsidRDefault="00B56C5A" w:rsidP="0073259F">
            <w:pPr>
              <w:tabs>
                <w:tab w:val="left" w:pos="284"/>
              </w:tabs>
              <w:spacing w:line="280" w:lineRule="atLeast"/>
              <w:rPr>
                <w:b/>
                <w:bCs/>
                <w:color w:val="000000"/>
                <w:lang w:eastAsia="lt-LT"/>
              </w:rPr>
            </w:pPr>
            <w:r w:rsidRPr="00987F8D">
              <w:rPr>
                <w:b/>
              </w:rPr>
              <w:t>STV paraiškos pobūdis</w:t>
            </w:r>
          </w:p>
        </w:tc>
        <w:tc>
          <w:tcPr>
            <w:tcW w:w="5096" w:type="dxa"/>
            <w:tcBorders>
              <w:top w:val="single" w:sz="4" w:space="0" w:color="auto"/>
              <w:left w:val="single" w:sz="4" w:space="0" w:color="auto"/>
              <w:bottom w:val="single" w:sz="4" w:space="0" w:color="auto"/>
              <w:right w:val="single" w:sz="4" w:space="0" w:color="auto"/>
            </w:tcBorders>
          </w:tcPr>
          <w:p w14:paraId="02E9252E" w14:textId="77777777" w:rsidR="00B56C5A" w:rsidRPr="00987F8D" w:rsidRDefault="00000000" w:rsidP="0073259F">
            <w:sdt>
              <w:sdtPr>
                <w:rPr>
                  <w:rStyle w:val="Style2"/>
                </w:rPr>
                <w:id w:val="-468433535"/>
                <w15:color w:val="FFCC00"/>
                <w14:checkbox>
                  <w14:checked w14:val="1"/>
                  <w14:checkedState w14:val="2612" w14:font="MS Gothic"/>
                  <w14:uncheckedState w14:val="2610" w14:font="MS Gothic"/>
                </w14:checkbox>
              </w:sdtPr>
              <w:sdtContent>
                <w:r w:rsidR="00B56C5A" w:rsidRPr="00987F8D">
                  <w:rPr>
                    <w:rStyle w:val="Style2"/>
                    <w:rFonts w:ascii="MS Gothic" w:eastAsia="MS Gothic" w:hAnsi="MS Gothic"/>
                  </w:rPr>
                  <w:t>☒</w:t>
                </w:r>
              </w:sdtContent>
            </w:sdt>
            <w:r w:rsidR="00B56C5A" w:rsidRPr="00987F8D">
              <w:t xml:space="preserve"> Pilna paraiška</w:t>
            </w:r>
          </w:p>
          <w:p w14:paraId="454412C7" w14:textId="77777777" w:rsidR="00B56C5A" w:rsidRPr="00987F8D" w:rsidRDefault="00000000" w:rsidP="0073259F">
            <w:pPr>
              <w:rPr>
                <w:rStyle w:val="Style2"/>
              </w:rPr>
            </w:pPr>
            <w:sdt>
              <w:sdtPr>
                <w:rPr>
                  <w:rStyle w:val="Style2"/>
                </w:rPr>
                <w:id w:val="-1489014904"/>
                <w15:color w:val="FFCC00"/>
                <w14:checkbox>
                  <w14:checked w14:val="0"/>
                  <w14:checkedState w14:val="2612" w14:font="MS Gothic"/>
                  <w14:uncheckedState w14:val="2610" w14:font="MS Gothic"/>
                </w14:checkbox>
              </w:sdtPr>
              <w:sdtContent>
                <w:r w:rsidR="00B56C5A" w:rsidRPr="00987F8D">
                  <w:rPr>
                    <w:rStyle w:val="Style2"/>
                    <w:rFonts w:ascii="MS Gothic" w:eastAsia="MS Gothic" w:hAnsi="MS Gothic"/>
                  </w:rPr>
                  <w:t>☐</w:t>
                </w:r>
              </w:sdtContent>
            </w:sdt>
            <w:r w:rsidR="00B56C5A" w:rsidRPr="00987F8D">
              <w:t xml:space="preserve"> Supaprastinta paraiška</w:t>
            </w:r>
          </w:p>
        </w:tc>
      </w:tr>
      <w:tr w:rsidR="00B56C5A" w:rsidRPr="00987F8D" w14:paraId="3A2147FC" w14:textId="77777777" w:rsidTr="0073259F">
        <w:trPr>
          <w:trHeight w:val="479"/>
        </w:trPr>
        <w:tc>
          <w:tcPr>
            <w:tcW w:w="705" w:type="dxa"/>
            <w:tcBorders>
              <w:top w:val="single" w:sz="4" w:space="0" w:color="auto"/>
              <w:left w:val="single" w:sz="4" w:space="0" w:color="auto"/>
              <w:bottom w:val="single" w:sz="4" w:space="0" w:color="auto"/>
              <w:right w:val="single" w:sz="4" w:space="0" w:color="auto"/>
            </w:tcBorders>
          </w:tcPr>
          <w:p w14:paraId="610D3C91" w14:textId="77777777" w:rsidR="00B56C5A" w:rsidRPr="00987F8D" w:rsidRDefault="00B56C5A" w:rsidP="0073259F">
            <w:pPr>
              <w:tabs>
                <w:tab w:val="left" w:pos="284"/>
              </w:tabs>
              <w:spacing w:line="280" w:lineRule="atLeast"/>
              <w:rPr>
                <w:rFonts w:eastAsia="Arial"/>
                <w:b/>
              </w:rPr>
            </w:pPr>
            <w:r w:rsidRPr="00987F8D">
              <w:rPr>
                <w:rFonts w:eastAsia="Arial"/>
                <w:b/>
              </w:rPr>
              <w:t>1.8</w:t>
            </w:r>
          </w:p>
        </w:tc>
        <w:tc>
          <w:tcPr>
            <w:tcW w:w="4117" w:type="dxa"/>
            <w:tcBorders>
              <w:top w:val="single" w:sz="4" w:space="0" w:color="auto"/>
              <w:left w:val="single" w:sz="4" w:space="0" w:color="auto"/>
              <w:bottom w:val="single" w:sz="4" w:space="0" w:color="auto"/>
              <w:right w:val="single" w:sz="4" w:space="0" w:color="auto"/>
            </w:tcBorders>
          </w:tcPr>
          <w:p w14:paraId="53D97BCA" w14:textId="77777777" w:rsidR="00B56C5A" w:rsidRPr="00987F8D" w:rsidRDefault="00B56C5A" w:rsidP="0073259F">
            <w:pPr>
              <w:tabs>
                <w:tab w:val="left" w:pos="284"/>
              </w:tabs>
              <w:spacing w:line="280" w:lineRule="atLeast"/>
              <w:rPr>
                <w:b/>
                <w:bCs/>
                <w:color w:val="000000"/>
                <w:lang w:eastAsia="lt-LT"/>
              </w:rPr>
            </w:pPr>
            <w:r w:rsidRPr="00987F8D">
              <w:rPr>
                <w:b/>
                <w:bCs/>
                <w:color w:val="000000"/>
                <w:lang w:eastAsia="lt-LT"/>
              </w:rPr>
              <w:t xml:space="preserve">Klinikinių tyrimų tipas </w:t>
            </w:r>
          </w:p>
        </w:tc>
        <w:tc>
          <w:tcPr>
            <w:tcW w:w="5096" w:type="dxa"/>
            <w:tcBorders>
              <w:top w:val="single" w:sz="4" w:space="0" w:color="auto"/>
              <w:left w:val="single" w:sz="4" w:space="0" w:color="auto"/>
              <w:bottom w:val="single" w:sz="4" w:space="0" w:color="auto"/>
              <w:right w:val="single" w:sz="4" w:space="0" w:color="auto"/>
            </w:tcBorders>
          </w:tcPr>
          <w:p w14:paraId="596ECA8D" w14:textId="77777777" w:rsidR="00B56C5A" w:rsidRPr="00987F8D" w:rsidRDefault="00000000" w:rsidP="0073259F">
            <w:sdt>
              <w:sdtPr>
                <w:rPr>
                  <w:rStyle w:val="Style2"/>
                </w:rPr>
                <w:id w:val="1348903796"/>
                <w15:color w:val="FFCC00"/>
                <w14:checkbox>
                  <w14:checked w14:val="1"/>
                  <w14:checkedState w14:val="2612" w14:font="MS Gothic"/>
                  <w14:uncheckedState w14:val="2610" w14:font="MS Gothic"/>
                </w14:checkbox>
              </w:sdtPr>
              <w:sdtContent>
                <w:r w:rsidR="00B56C5A" w:rsidRPr="00987F8D">
                  <w:rPr>
                    <w:rStyle w:val="Style2"/>
                    <w:rFonts w:ascii="MS Gothic" w:eastAsia="MS Gothic" w:hAnsi="MS Gothic"/>
                  </w:rPr>
                  <w:t>☒</w:t>
                </w:r>
              </w:sdtContent>
            </w:sdt>
            <w:r w:rsidR="00B56C5A" w:rsidRPr="00987F8D">
              <w:t xml:space="preserve"> Tiesioginis palyginimas</w:t>
            </w:r>
          </w:p>
          <w:p w14:paraId="0A5D58B8" w14:textId="77777777" w:rsidR="00B56C5A" w:rsidRPr="00987F8D" w:rsidRDefault="00000000" w:rsidP="0073259F">
            <w:sdt>
              <w:sdtPr>
                <w:id w:val="-210416744"/>
                <w15:color w:val="FFCC00"/>
                <w14:checkbox>
                  <w14:checked w14:val="0"/>
                  <w14:checkedState w14:val="2612" w14:font="MS Gothic"/>
                  <w14:uncheckedState w14:val="2610" w14:font="MS Gothic"/>
                </w14:checkbox>
              </w:sdtPr>
              <w:sdtContent>
                <w:r w:rsidR="00B56C5A" w:rsidRPr="00987F8D">
                  <w:rPr>
                    <w:rFonts w:ascii="MS Gothic" w:eastAsia="MS Gothic" w:hAnsi="MS Gothic"/>
                  </w:rPr>
                  <w:t>☐</w:t>
                </w:r>
              </w:sdtContent>
            </w:sdt>
            <w:r w:rsidR="00B56C5A" w:rsidRPr="00987F8D">
              <w:t xml:space="preserve"> Netiesioginis palyginimas</w:t>
            </w:r>
          </w:p>
        </w:tc>
      </w:tr>
      <w:tr w:rsidR="00B56C5A" w:rsidRPr="00987F8D" w14:paraId="19C39242" w14:textId="77777777" w:rsidTr="0073259F">
        <w:trPr>
          <w:trHeight w:val="479"/>
        </w:trPr>
        <w:tc>
          <w:tcPr>
            <w:tcW w:w="705" w:type="dxa"/>
            <w:tcBorders>
              <w:top w:val="single" w:sz="4" w:space="0" w:color="auto"/>
              <w:left w:val="single" w:sz="4" w:space="0" w:color="auto"/>
              <w:bottom w:val="single" w:sz="4" w:space="0" w:color="auto"/>
              <w:right w:val="single" w:sz="4" w:space="0" w:color="auto"/>
            </w:tcBorders>
          </w:tcPr>
          <w:p w14:paraId="29D370C8" w14:textId="77777777" w:rsidR="00B56C5A" w:rsidRPr="00987F8D" w:rsidRDefault="00B56C5A" w:rsidP="0073259F">
            <w:pPr>
              <w:tabs>
                <w:tab w:val="left" w:pos="284"/>
              </w:tabs>
              <w:spacing w:line="280" w:lineRule="atLeast"/>
              <w:rPr>
                <w:rFonts w:eastAsia="Arial"/>
                <w:b/>
              </w:rPr>
            </w:pPr>
            <w:r w:rsidRPr="00987F8D">
              <w:rPr>
                <w:rFonts w:eastAsia="Arial"/>
                <w:b/>
              </w:rPr>
              <w:lastRenderedPageBreak/>
              <w:t>1.9</w:t>
            </w:r>
          </w:p>
        </w:tc>
        <w:tc>
          <w:tcPr>
            <w:tcW w:w="4117" w:type="dxa"/>
            <w:tcBorders>
              <w:top w:val="single" w:sz="4" w:space="0" w:color="auto"/>
              <w:left w:val="single" w:sz="4" w:space="0" w:color="auto"/>
              <w:bottom w:val="single" w:sz="4" w:space="0" w:color="auto"/>
              <w:right w:val="single" w:sz="4" w:space="0" w:color="auto"/>
            </w:tcBorders>
          </w:tcPr>
          <w:p w14:paraId="2F9A6127" w14:textId="77777777" w:rsidR="00B56C5A" w:rsidRPr="00987F8D" w:rsidRDefault="00B56C5A" w:rsidP="0073259F">
            <w:pPr>
              <w:tabs>
                <w:tab w:val="left" w:pos="284"/>
              </w:tabs>
              <w:spacing w:line="280" w:lineRule="atLeast"/>
              <w:rPr>
                <w:b/>
                <w:bCs/>
                <w:color w:val="000000"/>
                <w:lang w:eastAsia="lt-LT"/>
              </w:rPr>
            </w:pPr>
            <w:r w:rsidRPr="00987F8D">
              <w:rPr>
                <w:b/>
                <w:bCs/>
                <w:color w:val="000000"/>
                <w:lang w:eastAsia="lt-LT"/>
              </w:rPr>
              <w:t>Ekonominės analizės rūšis</w:t>
            </w:r>
          </w:p>
        </w:tc>
        <w:tc>
          <w:tcPr>
            <w:tcW w:w="5096" w:type="dxa"/>
            <w:tcBorders>
              <w:top w:val="single" w:sz="4" w:space="0" w:color="auto"/>
              <w:left w:val="single" w:sz="4" w:space="0" w:color="auto"/>
              <w:bottom w:val="single" w:sz="4" w:space="0" w:color="auto"/>
              <w:right w:val="single" w:sz="4" w:space="0" w:color="auto"/>
            </w:tcBorders>
          </w:tcPr>
          <w:p w14:paraId="508DED5C" w14:textId="77777777" w:rsidR="00B56C5A" w:rsidRPr="00987F8D" w:rsidRDefault="00000000" w:rsidP="0073259F">
            <w:sdt>
              <w:sdtPr>
                <w:rPr>
                  <w:rStyle w:val="Style2"/>
                </w:rPr>
                <w:id w:val="-836689216"/>
                <w15:color w:val="FFCC00"/>
                <w14:checkbox>
                  <w14:checked w14:val="1"/>
                  <w14:checkedState w14:val="2612" w14:font="MS Gothic"/>
                  <w14:uncheckedState w14:val="2610" w14:font="MS Gothic"/>
                </w14:checkbox>
              </w:sdtPr>
              <w:sdtContent>
                <w:r w:rsidR="00B56C5A" w:rsidRPr="00987F8D">
                  <w:rPr>
                    <w:rStyle w:val="Style2"/>
                    <w:rFonts w:ascii="MS Gothic" w:eastAsia="MS Gothic" w:hAnsi="MS Gothic"/>
                  </w:rPr>
                  <w:t>☒</w:t>
                </w:r>
              </w:sdtContent>
            </w:sdt>
            <w:r w:rsidR="00B56C5A" w:rsidRPr="00987F8D">
              <w:t xml:space="preserve"> Kaštų naudingumo analizė</w:t>
            </w:r>
          </w:p>
          <w:p w14:paraId="6FD7B43E" w14:textId="77777777" w:rsidR="00B56C5A" w:rsidRPr="00987F8D" w:rsidRDefault="00000000" w:rsidP="0073259F">
            <w:sdt>
              <w:sdtPr>
                <w:rPr>
                  <w:rStyle w:val="Style2"/>
                </w:rPr>
                <w:id w:val="2013950720"/>
                <w15:color w:val="FFCC00"/>
                <w14:checkbox>
                  <w14:checked w14:val="0"/>
                  <w14:checkedState w14:val="2612" w14:font="MS Gothic"/>
                  <w14:uncheckedState w14:val="2610" w14:font="MS Gothic"/>
                </w14:checkbox>
              </w:sdtPr>
              <w:sdtContent>
                <w:r w:rsidR="00B56C5A" w:rsidRPr="00987F8D">
                  <w:rPr>
                    <w:rStyle w:val="Style2"/>
                    <w:rFonts w:ascii="MS Gothic" w:eastAsia="MS Gothic" w:hAnsi="MS Gothic"/>
                  </w:rPr>
                  <w:t>☐</w:t>
                </w:r>
              </w:sdtContent>
            </w:sdt>
            <w:r w:rsidR="00B56C5A" w:rsidRPr="00987F8D">
              <w:t xml:space="preserve"> Kaštų mažinimo analizė</w:t>
            </w:r>
          </w:p>
          <w:p w14:paraId="412A95DA" w14:textId="77777777" w:rsidR="00B56C5A" w:rsidRPr="00987F8D" w:rsidRDefault="00000000" w:rsidP="0073259F">
            <w:sdt>
              <w:sdtPr>
                <w:rPr>
                  <w:rStyle w:val="Style2"/>
                </w:rPr>
                <w:id w:val="362025833"/>
                <w15:color w:val="FFCC00"/>
                <w14:checkbox>
                  <w14:checked w14:val="0"/>
                  <w14:checkedState w14:val="2612" w14:font="MS Gothic"/>
                  <w14:uncheckedState w14:val="2610" w14:font="MS Gothic"/>
                </w14:checkbox>
              </w:sdtPr>
              <w:sdtContent>
                <w:r w:rsidR="00B56C5A" w:rsidRPr="00987F8D">
                  <w:rPr>
                    <w:rStyle w:val="Style2"/>
                    <w:rFonts w:ascii="MS Gothic" w:eastAsia="MS Gothic" w:hAnsi="MS Gothic"/>
                  </w:rPr>
                  <w:t>☐</w:t>
                </w:r>
              </w:sdtContent>
            </w:sdt>
            <w:r w:rsidR="00B56C5A" w:rsidRPr="00987F8D">
              <w:t xml:space="preserve"> Kita: </w:t>
            </w:r>
            <w:sdt>
              <w:sdtPr>
                <w:alias w:val="Įrašykite"/>
                <w:tag w:val="Įrašykite"/>
                <w:id w:val="-16472040"/>
                <w:placeholder>
                  <w:docPart w:val="05127E37995E4EFABB7EA19F79AD7DB5"/>
                </w:placeholder>
                <w15:color w:val="FFCC99"/>
              </w:sdtPr>
              <w:sdtContent>
                <w:r w:rsidR="00B56C5A" w:rsidRPr="00987F8D">
                  <w:t>_________________</w:t>
                </w:r>
              </w:sdtContent>
            </w:sdt>
            <w:r w:rsidR="00B56C5A" w:rsidRPr="00987F8D">
              <w:t xml:space="preserve"> </w:t>
            </w:r>
          </w:p>
        </w:tc>
      </w:tr>
    </w:tbl>
    <w:p w14:paraId="7ECE9B14" w14:textId="77777777" w:rsidR="00B56C5A" w:rsidRPr="00987F8D" w:rsidRDefault="00B56C5A" w:rsidP="00B56C5A">
      <w:pPr>
        <w:spacing w:line="276" w:lineRule="auto"/>
        <w:rPr>
          <w:rFonts w:eastAsia="Arial"/>
        </w:rPr>
      </w:pPr>
    </w:p>
    <w:p w14:paraId="2871CA7F" w14:textId="2370BDDB" w:rsidR="00F70C9E" w:rsidRPr="00E33EFF" w:rsidRDefault="00F70C9E" w:rsidP="00880A44">
      <w:pPr>
        <w:spacing w:line="276" w:lineRule="auto"/>
        <w:jc w:val="both"/>
        <w:rPr>
          <w:rFonts w:eastAsia="Arial"/>
          <w:b/>
        </w:rPr>
      </w:pPr>
      <w:r w:rsidRPr="00E33EFF">
        <w:rPr>
          <w:rFonts w:eastAsia="Arial"/>
          <w:b/>
        </w:rPr>
        <w:t xml:space="preserve">1.8 Kitų </w:t>
      </w:r>
      <w:r w:rsidR="00DF583C" w:rsidRPr="00E33EFF">
        <w:rPr>
          <w:rFonts w:eastAsia="Arial"/>
          <w:b/>
        </w:rPr>
        <w:t xml:space="preserve">valstybių </w:t>
      </w:r>
      <w:r w:rsidRPr="00E33EFF">
        <w:rPr>
          <w:rFonts w:eastAsia="Arial"/>
          <w:b/>
        </w:rPr>
        <w:t xml:space="preserve">atsakingų institucijų atlikto </w:t>
      </w:r>
      <w:r w:rsidR="00DF583C" w:rsidRPr="00E33EFF">
        <w:rPr>
          <w:rFonts w:eastAsia="Arial"/>
          <w:b/>
        </w:rPr>
        <w:t>Sveikatos technologijų vertinimo (toliau – STV)</w:t>
      </w:r>
      <w:r w:rsidRPr="00E33EFF">
        <w:rPr>
          <w:rFonts w:eastAsia="Arial"/>
          <w:b/>
        </w:rPr>
        <w:t xml:space="preserve"> išvados</w:t>
      </w:r>
    </w:p>
    <w:p w14:paraId="30721FDD" w14:textId="77777777" w:rsidR="00F70C9E" w:rsidRPr="00E33EFF" w:rsidRDefault="00F70C9E" w:rsidP="00F70C9E">
      <w:pPr>
        <w:spacing w:line="276" w:lineRule="auto"/>
        <w:rPr>
          <w:rFonts w:eastAsia="Arial"/>
        </w:rPr>
      </w:pPr>
    </w:p>
    <w:tbl>
      <w:tblPr>
        <w:tblStyle w:val="TableGrid"/>
        <w:tblW w:w="0" w:type="auto"/>
        <w:tblLook w:val="04A0" w:firstRow="1" w:lastRow="0" w:firstColumn="1" w:lastColumn="0" w:noHBand="0" w:noVBand="1"/>
      </w:tblPr>
      <w:tblGrid>
        <w:gridCol w:w="2813"/>
        <w:gridCol w:w="1369"/>
        <w:gridCol w:w="2089"/>
        <w:gridCol w:w="3358"/>
      </w:tblGrid>
      <w:tr w:rsidR="00B56C5A" w:rsidRPr="00987F8D" w14:paraId="62AE49D1" w14:textId="77777777" w:rsidTr="00B56C5A">
        <w:trPr>
          <w:trHeight w:val="924"/>
        </w:trPr>
        <w:tc>
          <w:tcPr>
            <w:tcW w:w="0" w:type="auto"/>
          </w:tcPr>
          <w:p w14:paraId="1C9FA3F0" w14:textId="77777777" w:rsidR="00B56C5A" w:rsidRPr="00987F8D" w:rsidRDefault="00B56C5A" w:rsidP="0073259F">
            <w:pPr>
              <w:spacing w:line="276" w:lineRule="auto"/>
              <w:rPr>
                <w:rFonts w:eastAsia="Arial"/>
              </w:rPr>
            </w:pPr>
            <w:r w:rsidRPr="00987F8D">
              <w:rPr>
                <w:rFonts w:eastAsia="Arial"/>
              </w:rPr>
              <w:t>STV agentūros pavadinimas, šalis</w:t>
            </w:r>
          </w:p>
        </w:tc>
        <w:tc>
          <w:tcPr>
            <w:tcW w:w="0" w:type="auto"/>
          </w:tcPr>
          <w:p w14:paraId="3360E9C2" w14:textId="77777777" w:rsidR="00B56C5A" w:rsidRPr="00987F8D" w:rsidRDefault="00B56C5A" w:rsidP="0073259F">
            <w:pPr>
              <w:spacing w:line="276" w:lineRule="auto"/>
              <w:rPr>
                <w:rFonts w:eastAsia="Arial"/>
              </w:rPr>
            </w:pPr>
            <w:r w:rsidRPr="00987F8D">
              <w:rPr>
                <w:rFonts w:eastAsia="Arial"/>
              </w:rPr>
              <w:t>STV vertinimas atliktas</w:t>
            </w:r>
          </w:p>
        </w:tc>
        <w:tc>
          <w:tcPr>
            <w:tcW w:w="0" w:type="auto"/>
          </w:tcPr>
          <w:p w14:paraId="27F47A77" w14:textId="77777777" w:rsidR="00B56C5A" w:rsidRPr="00987F8D" w:rsidRDefault="00B56C5A" w:rsidP="0073259F">
            <w:pPr>
              <w:spacing w:line="276" w:lineRule="auto"/>
              <w:rPr>
                <w:rFonts w:eastAsia="Arial"/>
              </w:rPr>
            </w:pPr>
            <w:r w:rsidRPr="00987F8D">
              <w:rPr>
                <w:rFonts w:eastAsia="Arial"/>
              </w:rPr>
              <w:t>Klinikinio vertinimo išvada</w:t>
            </w:r>
          </w:p>
        </w:tc>
        <w:tc>
          <w:tcPr>
            <w:tcW w:w="0" w:type="auto"/>
          </w:tcPr>
          <w:p w14:paraId="690AE98A" w14:textId="77777777" w:rsidR="00B56C5A" w:rsidRPr="00987F8D" w:rsidRDefault="00B56C5A" w:rsidP="0073259F">
            <w:pPr>
              <w:spacing w:line="276" w:lineRule="auto"/>
              <w:rPr>
                <w:rFonts w:eastAsia="Arial"/>
              </w:rPr>
            </w:pPr>
            <w:r w:rsidRPr="00987F8D">
              <w:rPr>
                <w:rFonts w:eastAsia="Arial"/>
              </w:rPr>
              <w:t>Farmakoekonominio vertinimo išvada</w:t>
            </w:r>
          </w:p>
        </w:tc>
      </w:tr>
      <w:tr w:rsidR="00B56C5A" w:rsidRPr="00987F8D" w14:paraId="722DC439" w14:textId="77777777" w:rsidTr="00B56C5A">
        <w:trPr>
          <w:trHeight w:val="1765"/>
        </w:trPr>
        <w:tc>
          <w:tcPr>
            <w:tcW w:w="0" w:type="auto"/>
          </w:tcPr>
          <w:p w14:paraId="5352CC56" w14:textId="77777777" w:rsidR="00B56C5A" w:rsidRPr="00987F8D" w:rsidRDefault="00B56C5A" w:rsidP="0073259F">
            <w:pPr>
              <w:autoSpaceDE w:val="0"/>
              <w:autoSpaceDN w:val="0"/>
              <w:adjustRightInd w:val="0"/>
              <w:rPr>
                <w:bCs/>
              </w:rPr>
            </w:pPr>
            <w:r w:rsidRPr="00987F8D">
              <w:rPr>
                <w:bCs/>
              </w:rPr>
              <w:t>Nacionalinis sveikatos ir klinikinės kompetencijos institutas, Didžioji Britanija</w:t>
            </w:r>
          </w:p>
          <w:p w14:paraId="2A75F149" w14:textId="77777777" w:rsidR="00B56C5A" w:rsidRPr="00987F8D" w:rsidRDefault="00B56C5A" w:rsidP="0073259F">
            <w:pPr>
              <w:spacing w:line="276" w:lineRule="auto"/>
              <w:rPr>
                <w:rFonts w:eastAsia="Arial"/>
              </w:rPr>
            </w:pPr>
            <w:r w:rsidRPr="00987F8D">
              <w:rPr>
                <w:rFonts w:eastAsia="Arial"/>
              </w:rPr>
              <w:t xml:space="preserve">(angl. </w:t>
            </w:r>
            <w:r w:rsidRPr="00987F8D">
              <w:rPr>
                <w:rFonts w:eastAsia="Arial"/>
                <w:i/>
              </w:rPr>
              <w:t>National Institute for Health and Care Excellence, NICE</w:t>
            </w:r>
            <w:r w:rsidRPr="00987F8D">
              <w:rPr>
                <w:rFonts w:eastAsia="Arial"/>
              </w:rPr>
              <w:t>)</w:t>
            </w:r>
          </w:p>
        </w:tc>
        <w:tc>
          <w:tcPr>
            <w:tcW w:w="0" w:type="auto"/>
          </w:tcPr>
          <w:p w14:paraId="09B64288" w14:textId="77777777" w:rsidR="00B56C5A" w:rsidRPr="00987F8D" w:rsidRDefault="00000000" w:rsidP="0073259F">
            <w:sdt>
              <w:sdtPr>
                <w:rPr>
                  <w:rStyle w:val="Style2"/>
                </w:rPr>
                <w:id w:val="1558205022"/>
                <w14:checkbox>
                  <w14:checked w14:val="0"/>
                  <w14:checkedState w14:val="2612" w14:font="MS Gothic"/>
                  <w14:uncheckedState w14:val="2610" w14:font="MS Gothic"/>
                </w14:checkbox>
              </w:sdtPr>
              <w:sdtContent>
                <w:r w:rsidR="00B56C5A" w:rsidRPr="00987F8D">
                  <w:rPr>
                    <w:rStyle w:val="Style2"/>
                    <w:rFonts w:ascii="MS Gothic" w:eastAsia="MS Gothic" w:hAnsi="MS Gothic"/>
                  </w:rPr>
                  <w:t>☐</w:t>
                </w:r>
              </w:sdtContent>
            </w:sdt>
            <w:r w:rsidR="00B56C5A" w:rsidRPr="00987F8D">
              <w:t xml:space="preserve"> Taip</w:t>
            </w:r>
          </w:p>
          <w:p w14:paraId="30231A0C" w14:textId="77777777" w:rsidR="00B56C5A" w:rsidRPr="00987F8D" w:rsidRDefault="00000000" w:rsidP="0073259F">
            <w:sdt>
              <w:sdtPr>
                <w:rPr>
                  <w:rStyle w:val="Style2"/>
                </w:rPr>
                <w:id w:val="866029625"/>
                <w14:checkbox>
                  <w14:checked w14:val="1"/>
                  <w14:checkedState w14:val="2612" w14:font="MS Gothic"/>
                  <w14:uncheckedState w14:val="2610" w14:font="MS Gothic"/>
                </w14:checkbox>
              </w:sdtPr>
              <w:sdtContent>
                <w:r w:rsidR="00B56C5A" w:rsidRPr="00987F8D">
                  <w:rPr>
                    <w:rStyle w:val="Style2"/>
                    <w:rFonts w:ascii="MS Gothic" w:eastAsia="MS Gothic" w:hAnsi="MS Gothic"/>
                  </w:rPr>
                  <w:t>☒</w:t>
                </w:r>
              </w:sdtContent>
            </w:sdt>
            <w:r w:rsidR="00B56C5A" w:rsidRPr="00987F8D">
              <w:t xml:space="preserve"> Ne</w:t>
            </w:r>
          </w:p>
          <w:p w14:paraId="4DAB1281" w14:textId="77777777" w:rsidR="00B56C5A" w:rsidRPr="00987F8D" w:rsidRDefault="00000000" w:rsidP="0073259F">
            <w:pPr>
              <w:rPr>
                <w:rFonts w:eastAsia="Arial"/>
              </w:rPr>
            </w:pPr>
            <w:sdt>
              <w:sdtPr>
                <w:alias w:val="Nurodykite konkrečią dieną"/>
                <w:tag w:val="Nurodykite pradžios datą"/>
                <w:id w:val="922837954"/>
                <w:placeholder>
                  <w:docPart w:val="87097F42D2AB4383BA08C3F5032FAC52"/>
                </w:placeholder>
                <w:showingPlcHdr/>
                <w:date>
                  <w:dateFormat w:val="yyyy 'm.' MMMM d 'd.'"/>
                  <w:lid w:val="lt-LT"/>
                  <w:storeMappedDataAs w:val="dateTime"/>
                  <w:calendar w:val="gregorian"/>
                </w:date>
              </w:sdtPr>
              <w:sdtContent>
                <w:r w:rsidR="00B56C5A" w:rsidRPr="00987F8D">
                  <w:rPr>
                    <w:rStyle w:val="PlaceholderText"/>
                  </w:rPr>
                  <w:t>Click here to enter a date.</w:t>
                </w:r>
              </w:sdtContent>
            </w:sdt>
          </w:p>
        </w:tc>
        <w:tc>
          <w:tcPr>
            <w:tcW w:w="0" w:type="auto"/>
            <w:gridSpan w:val="2"/>
          </w:tcPr>
          <w:p w14:paraId="36F1B807" w14:textId="77777777" w:rsidR="00B56C5A" w:rsidRPr="00987F8D" w:rsidRDefault="00B56C5A" w:rsidP="0073259F">
            <w:pPr>
              <w:jc w:val="both"/>
              <w:rPr>
                <w:rFonts w:eastAsia="Arial"/>
              </w:rPr>
            </w:pPr>
            <w:r w:rsidRPr="00987F8D">
              <w:rPr>
                <w:rFonts w:eastAsia="Arial"/>
              </w:rPr>
              <w:t>–</w:t>
            </w:r>
          </w:p>
        </w:tc>
      </w:tr>
      <w:tr w:rsidR="00B56C5A" w:rsidRPr="00987F8D" w14:paraId="1737B973" w14:textId="77777777" w:rsidTr="00B56C5A">
        <w:trPr>
          <w:trHeight w:val="1547"/>
        </w:trPr>
        <w:tc>
          <w:tcPr>
            <w:tcW w:w="0" w:type="auto"/>
          </w:tcPr>
          <w:p w14:paraId="60CDBD2F" w14:textId="77777777" w:rsidR="00B56C5A" w:rsidRPr="00987F8D" w:rsidRDefault="00B56C5A" w:rsidP="0073259F">
            <w:pPr>
              <w:spacing w:line="276" w:lineRule="auto"/>
              <w:rPr>
                <w:rFonts w:eastAsia="Arial"/>
              </w:rPr>
            </w:pPr>
            <w:r w:rsidRPr="00987F8D">
              <w:rPr>
                <w:rFonts w:eastAsia="Arial"/>
              </w:rPr>
              <w:t>Kanados sveikatos technologijų agentūra</w:t>
            </w:r>
          </w:p>
          <w:p w14:paraId="4FDFA54A" w14:textId="77777777" w:rsidR="00B56C5A" w:rsidRPr="00987F8D" w:rsidRDefault="00B56C5A" w:rsidP="0073259F">
            <w:pPr>
              <w:spacing w:line="276" w:lineRule="auto"/>
              <w:rPr>
                <w:rFonts w:eastAsia="Arial"/>
              </w:rPr>
            </w:pPr>
            <w:r w:rsidRPr="00987F8D">
              <w:rPr>
                <w:rFonts w:eastAsia="Arial"/>
              </w:rPr>
              <w:t xml:space="preserve">(angl. </w:t>
            </w:r>
            <w:r w:rsidRPr="00987F8D">
              <w:rPr>
                <w:rFonts w:eastAsia="Arial"/>
                <w:i/>
              </w:rPr>
              <w:t>Canadian health Technology Assessment agency, CADTH</w:t>
            </w:r>
            <w:r w:rsidRPr="00987F8D">
              <w:rPr>
                <w:rFonts w:eastAsia="Arial"/>
              </w:rPr>
              <w:t>)</w:t>
            </w:r>
          </w:p>
        </w:tc>
        <w:tc>
          <w:tcPr>
            <w:tcW w:w="0" w:type="auto"/>
          </w:tcPr>
          <w:p w14:paraId="51D4F354" w14:textId="77777777" w:rsidR="00B56C5A" w:rsidRPr="00987F8D" w:rsidRDefault="00000000" w:rsidP="0073259F">
            <w:sdt>
              <w:sdtPr>
                <w:rPr>
                  <w:rStyle w:val="Style2"/>
                </w:rPr>
                <w:id w:val="-372539057"/>
                <w14:checkbox>
                  <w14:checked w14:val="1"/>
                  <w14:checkedState w14:val="2612" w14:font="MS Gothic"/>
                  <w14:uncheckedState w14:val="2610" w14:font="MS Gothic"/>
                </w14:checkbox>
              </w:sdtPr>
              <w:sdtContent>
                <w:r w:rsidR="00B56C5A" w:rsidRPr="00987F8D">
                  <w:rPr>
                    <w:rStyle w:val="Style2"/>
                    <w:rFonts w:ascii="MS Gothic" w:eastAsia="MS Gothic" w:hAnsi="MS Gothic"/>
                  </w:rPr>
                  <w:t>☒</w:t>
                </w:r>
              </w:sdtContent>
            </w:sdt>
            <w:r w:rsidR="00B56C5A" w:rsidRPr="00987F8D">
              <w:t xml:space="preserve"> Taip</w:t>
            </w:r>
          </w:p>
          <w:p w14:paraId="7187C97C" w14:textId="77777777" w:rsidR="00B56C5A" w:rsidRPr="00987F8D" w:rsidRDefault="00000000" w:rsidP="0073259F">
            <w:sdt>
              <w:sdtPr>
                <w:rPr>
                  <w:rStyle w:val="Style2"/>
                </w:rPr>
                <w:id w:val="594442222"/>
                <w14:checkbox>
                  <w14:checked w14:val="0"/>
                  <w14:checkedState w14:val="2612" w14:font="MS Gothic"/>
                  <w14:uncheckedState w14:val="2610" w14:font="MS Gothic"/>
                </w14:checkbox>
              </w:sdtPr>
              <w:sdtContent>
                <w:r w:rsidR="00B56C5A" w:rsidRPr="00987F8D">
                  <w:rPr>
                    <w:rStyle w:val="Style2"/>
                    <w:rFonts w:ascii="MS Gothic" w:eastAsia="MS Gothic" w:hAnsi="MS Gothic"/>
                  </w:rPr>
                  <w:t>☐</w:t>
                </w:r>
              </w:sdtContent>
            </w:sdt>
            <w:r w:rsidR="00B56C5A" w:rsidRPr="00987F8D">
              <w:t xml:space="preserve"> Ne</w:t>
            </w:r>
          </w:p>
          <w:p w14:paraId="01499070" w14:textId="77777777" w:rsidR="00B56C5A" w:rsidRPr="00987F8D" w:rsidRDefault="00000000" w:rsidP="0073259F">
            <w:pPr>
              <w:spacing w:line="276" w:lineRule="auto"/>
              <w:rPr>
                <w:rFonts w:eastAsia="Arial"/>
              </w:rPr>
            </w:pPr>
            <w:sdt>
              <w:sdtPr>
                <w:alias w:val="Nurodykite konkrečią dieną"/>
                <w:tag w:val="Nurodykite pradžios datą"/>
                <w:id w:val="1072468416"/>
                <w:placeholder>
                  <w:docPart w:val="7B0FCBB4BBF947A3BD7CBA4A9FF4997C"/>
                </w:placeholder>
                <w:date>
                  <w:dateFormat w:val="yyyy 'm.' MMMM d 'd.'"/>
                  <w:lid w:val="lt-LT"/>
                  <w:storeMappedDataAs w:val="dateTime"/>
                  <w:calendar w:val="gregorian"/>
                </w:date>
              </w:sdtPr>
              <w:sdtContent>
                <w:r w:rsidR="00B56C5A" w:rsidRPr="00987F8D">
                  <w:t>2025 m. rugpjūčio 11 d.</w:t>
                </w:r>
              </w:sdtContent>
            </w:sdt>
          </w:p>
        </w:tc>
        <w:tc>
          <w:tcPr>
            <w:tcW w:w="0" w:type="auto"/>
            <w:gridSpan w:val="2"/>
          </w:tcPr>
          <w:p w14:paraId="7E36CBDC" w14:textId="77777777" w:rsidR="00B56C5A" w:rsidRPr="00987F8D" w:rsidRDefault="00B56C5A" w:rsidP="0073259F">
            <w:pPr>
              <w:spacing w:line="276" w:lineRule="auto"/>
              <w:jc w:val="both"/>
              <w:rPr>
                <w:rFonts w:eastAsia="Arial"/>
              </w:rPr>
            </w:pPr>
            <w:r w:rsidRPr="00987F8D">
              <w:rPr>
                <w:rFonts w:eastAsia="Arial"/>
              </w:rPr>
              <w:t xml:space="preserve">Rekomenduojama kompensuoti durvalumabą kaip monoterapiją suaugusiųjų, sergančių </w:t>
            </w:r>
            <w:r w:rsidRPr="00987F8D">
              <w:t xml:space="preserve">neišplitusiu </w:t>
            </w:r>
            <w:r w:rsidRPr="00987F8D">
              <w:rPr>
                <w:rFonts w:eastAsia="Arial"/>
              </w:rPr>
              <w:t>LS-SCLC, gydymui, jei liga neprogresavo po gydymo platinos pagrindu su chemoradioterapija (CRT), tik tuo atveju, jei yra įvykdytos nurodytos sąlygos.</w:t>
            </w:r>
          </w:p>
        </w:tc>
      </w:tr>
      <w:tr w:rsidR="00B56C5A" w:rsidRPr="00987F8D" w14:paraId="44669B6F" w14:textId="77777777" w:rsidTr="00B56C5A">
        <w:trPr>
          <w:trHeight w:val="1927"/>
        </w:trPr>
        <w:tc>
          <w:tcPr>
            <w:tcW w:w="0" w:type="auto"/>
          </w:tcPr>
          <w:p w14:paraId="4FD23FD3" w14:textId="77777777" w:rsidR="00B56C5A" w:rsidRPr="00987F8D" w:rsidRDefault="00B56C5A" w:rsidP="0073259F">
            <w:pPr>
              <w:spacing w:line="276" w:lineRule="auto"/>
              <w:rPr>
                <w:rFonts w:eastAsia="Arial"/>
              </w:rPr>
            </w:pPr>
            <w:r w:rsidRPr="00987F8D">
              <w:rPr>
                <w:rFonts w:eastAsia="Arial"/>
              </w:rPr>
              <w:t>Nacionalinis farmakoekonomikos centras, Airija</w:t>
            </w:r>
          </w:p>
          <w:p w14:paraId="4FE773B1" w14:textId="77777777" w:rsidR="00B56C5A" w:rsidRPr="00987F8D" w:rsidRDefault="00B56C5A" w:rsidP="0073259F">
            <w:pPr>
              <w:spacing w:line="276" w:lineRule="auto"/>
              <w:rPr>
                <w:rFonts w:eastAsia="Arial"/>
              </w:rPr>
            </w:pPr>
            <w:r w:rsidRPr="00987F8D">
              <w:rPr>
                <w:rFonts w:eastAsia="Arial"/>
              </w:rPr>
              <w:t>(angl.</w:t>
            </w:r>
            <w:r w:rsidRPr="00987F8D">
              <w:rPr>
                <w:rFonts w:eastAsia="Arial"/>
                <w:i/>
              </w:rPr>
              <w:t xml:space="preserve"> National Centre for Pharmacoeconomics, NCPE</w:t>
            </w:r>
            <w:r w:rsidRPr="00987F8D">
              <w:rPr>
                <w:rFonts w:eastAsia="Arial"/>
              </w:rPr>
              <w:t>)</w:t>
            </w:r>
          </w:p>
        </w:tc>
        <w:tc>
          <w:tcPr>
            <w:tcW w:w="0" w:type="auto"/>
          </w:tcPr>
          <w:p w14:paraId="7D4E38AB" w14:textId="77777777" w:rsidR="00B56C5A" w:rsidRPr="00987F8D" w:rsidRDefault="00000000" w:rsidP="0073259F">
            <w:sdt>
              <w:sdtPr>
                <w:rPr>
                  <w:rStyle w:val="Style2"/>
                </w:rPr>
                <w:id w:val="-1888403732"/>
                <w14:checkbox>
                  <w14:checked w14:val="0"/>
                  <w14:checkedState w14:val="2612" w14:font="MS Gothic"/>
                  <w14:uncheckedState w14:val="2610" w14:font="MS Gothic"/>
                </w14:checkbox>
              </w:sdtPr>
              <w:sdtContent>
                <w:r w:rsidR="00B56C5A" w:rsidRPr="00987F8D">
                  <w:rPr>
                    <w:rStyle w:val="Style2"/>
                    <w:rFonts w:ascii="MS Gothic" w:eastAsia="MS Gothic" w:hAnsi="MS Gothic"/>
                  </w:rPr>
                  <w:t>☐</w:t>
                </w:r>
              </w:sdtContent>
            </w:sdt>
            <w:r w:rsidR="00B56C5A" w:rsidRPr="00987F8D">
              <w:t xml:space="preserve"> Taip</w:t>
            </w:r>
          </w:p>
          <w:p w14:paraId="3CE1037D" w14:textId="77777777" w:rsidR="00B56C5A" w:rsidRPr="00987F8D" w:rsidRDefault="00000000" w:rsidP="0073259F">
            <w:sdt>
              <w:sdtPr>
                <w:rPr>
                  <w:rStyle w:val="Style2"/>
                </w:rPr>
                <w:id w:val="1092201793"/>
                <w14:checkbox>
                  <w14:checked w14:val="1"/>
                  <w14:checkedState w14:val="2612" w14:font="MS Gothic"/>
                  <w14:uncheckedState w14:val="2610" w14:font="MS Gothic"/>
                </w14:checkbox>
              </w:sdtPr>
              <w:sdtContent>
                <w:r w:rsidR="00B56C5A" w:rsidRPr="00987F8D">
                  <w:rPr>
                    <w:rStyle w:val="Style2"/>
                    <w:rFonts w:ascii="MS Gothic" w:eastAsia="MS Gothic" w:hAnsi="MS Gothic"/>
                  </w:rPr>
                  <w:t>☒</w:t>
                </w:r>
              </w:sdtContent>
            </w:sdt>
            <w:r w:rsidR="00B56C5A" w:rsidRPr="00987F8D">
              <w:t xml:space="preserve"> Ne</w:t>
            </w:r>
          </w:p>
          <w:p w14:paraId="1F4FA68F" w14:textId="77777777" w:rsidR="00B56C5A" w:rsidRPr="00987F8D" w:rsidRDefault="00000000" w:rsidP="0073259F">
            <w:pPr>
              <w:spacing w:line="276" w:lineRule="auto"/>
              <w:rPr>
                <w:rFonts w:eastAsia="Arial"/>
              </w:rPr>
            </w:pPr>
            <w:sdt>
              <w:sdtPr>
                <w:alias w:val="Nurodykite konkrečią dieną"/>
                <w:tag w:val="Nurodykite pradžios datą"/>
                <w:id w:val="-198323198"/>
                <w:placeholder>
                  <w:docPart w:val="6C9D88DFF1F04C2D8D4F55C7A3A7F61E"/>
                </w:placeholder>
                <w:showingPlcHdr/>
                <w:date>
                  <w:dateFormat w:val="yyyy 'm.' MMMM d 'd.'"/>
                  <w:lid w:val="lt-LT"/>
                  <w:storeMappedDataAs w:val="dateTime"/>
                  <w:calendar w:val="gregorian"/>
                </w:date>
              </w:sdtPr>
              <w:sdtContent>
                <w:r w:rsidR="00B56C5A" w:rsidRPr="00987F8D">
                  <w:rPr>
                    <w:rStyle w:val="PlaceholderText"/>
                  </w:rPr>
                  <w:t>Click here to enter a date.</w:t>
                </w:r>
              </w:sdtContent>
            </w:sdt>
          </w:p>
        </w:tc>
        <w:tc>
          <w:tcPr>
            <w:tcW w:w="0" w:type="auto"/>
            <w:gridSpan w:val="2"/>
          </w:tcPr>
          <w:p w14:paraId="4DB56EC0" w14:textId="77777777" w:rsidR="00B56C5A" w:rsidRPr="00987F8D" w:rsidRDefault="00B56C5A" w:rsidP="0073259F">
            <w:pPr>
              <w:spacing w:line="276" w:lineRule="auto"/>
              <w:rPr>
                <w:rFonts w:eastAsia="Arial"/>
              </w:rPr>
            </w:pPr>
            <w:r w:rsidRPr="00987F8D">
              <w:rPr>
                <w:rFonts w:eastAsia="Arial"/>
              </w:rPr>
              <w:t>–</w:t>
            </w:r>
          </w:p>
        </w:tc>
      </w:tr>
    </w:tbl>
    <w:p w14:paraId="73290081" w14:textId="59C7356D" w:rsidR="007A2B68" w:rsidRDefault="007A2B68">
      <w:pPr>
        <w:rPr>
          <w:b/>
          <w:bCs/>
          <w:caps/>
        </w:rPr>
      </w:pPr>
      <w:r>
        <w:rPr>
          <w:b/>
          <w:bCs/>
          <w:caps/>
        </w:rPr>
        <w:br w:type="page"/>
      </w:r>
    </w:p>
    <w:p w14:paraId="5055E8A8" w14:textId="471A9757" w:rsidR="002E6F80" w:rsidRPr="00E33EFF" w:rsidRDefault="00CC7832" w:rsidP="00CC09D4">
      <w:pPr>
        <w:pStyle w:val="ListParagraph"/>
        <w:numPr>
          <w:ilvl w:val="0"/>
          <w:numId w:val="12"/>
        </w:numPr>
        <w:tabs>
          <w:tab w:val="left" w:pos="567"/>
        </w:tabs>
        <w:ind w:hanging="720"/>
        <w:rPr>
          <w:b/>
          <w:bCs/>
          <w:caps/>
        </w:rPr>
      </w:pPr>
      <w:r w:rsidRPr="00E33EFF">
        <w:rPr>
          <w:b/>
          <w:bCs/>
          <w:caps/>
        </w:rPr>
        <w:lastRenderedPageBreak/>
        <w:t>Klinikinio vertinimo a</w:t>
      </w:r>
      <w:r w:rsidR="00D4485B" w:rsidRPr="00E33EFF">
        <w:rPr>
          <w:b/>
          <w:bCs/>
          <w:caps/>
        </w:rPr>
        <w:t>pibendrinimas</w:t>
      </w:r>
    </w:p>
    <w:p w14:paraId="61039A30" w14:textId="77777777" w:rsidR="00861400" w:rsidRDefault="00861400" w:rsidP="00135175">
      <w:pPr>
        <w:tabs>
          <w:tab w:val="left" w:pos="426"/>
        </w:tabs>
        <w:spacing w:line="276" w:lineRule="auto"/>
        <w:jc w:val="both"/>
        <w:rPr>
          <w:rFonts w:eastAsia="Arial"/>
          <w:color w:val="000000" w:themeColor="text1"/>
        </w:rPr>
      </w:pPr>
      <w:r>
        <w:rPr>
          <w:rFonts w:eastAsia="Arial"/>
          <w:color w:val="000000" w:themeColor="text1"/>
        </w:rPr>
        <w:tab/>
      </w:r>
    </w:p>
    <w:p w14:paraId="117611A5" w14:textId="77777777" w:rsidR="00B56C5A" w:rsidRPr="00987F8D" w:rsidRDefault="00B56C5A" w:rsidP="00583D8C">
      <w:pPr>
        <w:spacing w:line="276" w:lineRule="auto"/>
        <w:ind w:firstLine="645"/>
        <w:jc w:val="both"/>
      </w:pPr>
      <w:r w:rsidRPr="00987F8D">
        <w:t xml:space="preserve">Plaučių vėžys yra antras dažniausiai diagnozuojamas vėžys ir pagrindinė mirtingumo nuo vėžio priežastis visame pasaulyje. Smulkialąstelinis plaučių vėžys (SLPV), kuris sudaro apie 15% visų plaučių vėžio atvejų, yra susijęs su agresyvesne ligos eiga ir blogesne prognoze nei labiau paplitęs nesmulkialąstelinis plaučių vėžys (NSLPV). SLPV klasifikuojamas kaip neišplitęs SLPV (I–III stadijos) arba išplitęs SLPV (IV stadija), o neišplitusio SLPV prognozė yra geresnė nei išplitusio. Dažniausi simptomai, pasireiškiantys sergant SLPV, yra kosulys, švokštimas, dusulys ir krūtinės skausmas, taip pat nuovargis ir apetito bei svorio praradimas. </w:t>
      </w:r>
    </w:p>
    <w:p w14:paraId="798FA67A" w14:textId="77777777" w:rsidR="00B56C5A" w:rsidRPr="00987F8D" w:rsidRDefault="00B56C5A" w:rsidP="00583D8C">
      <w:pPr>
        <w:spacing w:line="276" w:lineRule="auto"/>
        <w:ind w:firstLine="645"/>
        <w:jc w:val="both"/>
      </w:pPr>
      <w:r w:rsidRPr="00987F8D">
        <w:t xml:space="preserve">Pacientai, sergantys neišplitusiu SLPV, paprastai gydomi sutaptine chemoradioterapija (CRT) platinos pagrindu, tačiau, nepaisant gydymo tikslo ir didelio atsako dažnio, dauguma pacientų patiria ligos progresavimą arba miršta per pirmuosius dvejus metus. Todėl paciento prognozė yra prasta,  išgyvenamumo be ligos progresavimo (IBLP) dažnio mediana svyruoja nuo 14,3 iki 15,5 mėnesio, o 5 metų bendro išgyvenamumo (BI) dažnis svyruoja nuo 29% iki 34%. </w:t>
      </w:r>
    </w:p>
    <w:p w14:paraId="16F297B9" w14:textId="77777777" w:rsidR="00B56C5A" w:rsidRPr="00987F8D" w:rsidRDefault="00B56C5A" w:rsidP="00583D8C">
      <w:pPr>
        <w:tabs>
          <w:tab w:val="left" w:pos="426"/>
        </w:tabs>
        <w:spacing w:line="276" w:lineRule="auto"/>
        <w:jc w:val="both"/>
      </w:pPr>
      <w:r w:rsidRPr="00987F8D">
        <w:rPr>
          <w:b/>
          <w:bCs/>
          <w:i/>
          <w:iCs/>
        </w:rPr>
        <w:tab/>
      </w:r>
      <w:r w:rsidRPr="00987F8D">
        <w:rPr>
          <w:b/>
          <w:bCs/>
          <w:i/>
          <w:iCs/>
        </w:rPr>
        <w:tab/>
      </w:r>
      <w:r w:rsidRPr="00987F8D">
        <w:t xml:space="preserve">Prašomai kompensuoti indikacijai gydymo rekomendacijų Lietuvoje nėra. Remiantis SAM įsakymu Nr. V-127 “Dėl plaučių vėžio ambulatorinio gydymo, kurio išlaidos kompensuojamos iš privalomojo sveikatos draudimo fondo biudžeto, tvarkos aprašo patvirtinimo“ (toliau – Tvarkos aprašas), gydant </w:t>
      </w:r>
      <w:r>
        <w:t>SLPV</w:t>
      </w:r>
      <w:r w:rsidRPr="00987F8D">
        <w:t xml:space="preserve"> galima skirti cisplatinos (netoleruojant – karboplatinos) ir etopozido derinį kartu su spinduliniu gydymu. Tačiau pacientams, kurių liga po chemospindulinio gydymo platinos pagrindu neprogresavo, paskesnio kompensuojamo gydymo nėra, t.y. taikomas tik stebėjimas. </w:t>
      </w:r>
    </w:p>
    <w:p w14:paraId="73B3625B" w14:textId="77777777" w:rsidR="00B56C5A" w:rsidRPr="00987F8D" w:rsidRDefault="00B56C5A" w:rsidP="00583D8C">
      <w:pPr>
        <w:tabs>
          <w:tab w:val="left" w:pos="426"/>
        </w:tabs>
        <w:spacing w:line="276" w:lineRule="auto"/>
        <w:jc w:val="both"/>
      </w:pPr>
      <w:r w:rsidRPr="00987F8D">
        <w:tab/>
      </w:r>
      <w:r w:rsidRPr="00987F8D">
        <w:tab/>
        <w:t xml:space="preserve">Remiantis Jungtinių Amerikos Valstijų Nacionalinėmis vispusiško vėžio tinklo 2026 m. (angl. </w:t>
      </w:r>
      <w:r w:rsidRPr="00987F8D">
        <w:rPr>
          <w:i/>
          <w:iCs/>
        </w:rPr>
        <w:t>National Comprehensive Cancer Network</w:t>
      </w:r>
      <w:r w:rsidRPr="00987F8D">
        <w:t xml:space="preserve">) SLPV diagnostikos ir gydymo gairėmis, pirmos eilės gydymas suaugusiesiems, sergantiems neišplitusiu </w:t>
      </w:r>
      <w:r>
        <w:t>SLPV</w:t>
      </w:r>
      <w:r w:rsidRPr="00987F8D">
        <w:t>, kurių liga neprogresavo po chemospindulinio gydymo platinos pagrindu, gydymui yra rekomenduojamas vienintelis vaistas durvalumabas.</w:t>
      </w:r>
    </w:p>
    <w:p w14:paraId="43D12835" w14:textId="77777777" w:rsidR="00B56C5A" w:rsidRPr="00987F8D" w:rsidRDefault="00B56C5A" w:rsidP="00583D8C">
      <w:pPr>
        <w:tabs>
          <w:tab w:val="left" w:pos="426"/>
        </w:tabs>
        <w:spacing w:line="276" w:lineRule="auto"/>
        <w:jc w:val="both"/>
        <w:rPr>
          <w:rFonts w:eastAsia="Arial"/>
        </w:rPr>
      </w:pPr>
      <w:r w:rsidRPr="00987F8D">
        <w:rPr>
          <w:rFonts w:eastAsia="Arial"/>
        </w:rPr>
        <w:tab/>
      </w:r>
      <w:r w:rsidRPr="00987F8D">
        <w:rPr>
          <w:rFonts w:eastAsia="Arial"/>
        </w:rPr>
        <w:tab/>
        <w:t>Durvalumabo farmakoterapinė grupė – antinavikiniai vaistai, monokloniniai antikūnai ir antikūnų pobūdžio konjugantai, PD-1 / PDL-1 programuojamojo ląstelių žūties baltymo Nr. 1 / žūties ligando Nr. 1 (angl. Programmed cell death protein 1/ death ligand 1) inhibitoriai</w:t>
      </w:r>
      <w:r>
        <w:rPr>
          <w:rFonts w:eastAsia="Arial"/>
        </w:rPr>
        <w:t xml:space="preserve">. </w:t>
      </w:r>
      <w:r w:rsidRPr="00987F8D">
        <w:rPr>
          <w:rFonts w:eastAsia="Arial"/>
        </w:rPr>
        <w:t>Programuojamos</w:t>
      </w:r>
      <w:r>
        <w:rPr>
          <w:rFonts w:eastAsia="Arial"/>
        </w:rPr>
        <w:t xml:space="preserve"> l</w:t>
      </w:r>
      <w:r w:rsidRPr="00987F8D">
        <w:rPr>
          <w:rFonts w:eastAsia="Arial"/>
        </w:rPr>
        <w:t>ąstelių žūties ligando Nr. 1 (angl. programmed cell death ligand-1, PD-L1) baltymo raiška yra adaptacinis imuninis atsakas, kuris padeda navikui išvengti atpažinimo ir sunaikinimo veikiant imuninei sistemai. PD-L1 gali indukuoti uždegiminiai signalai (pvz., gama interferonas [IFN gama]), jis gali būti išreikštas ant navikinių ląstelių ir su naviku susijusių imuninių ląstelių naviko mikroaplinkoje. PD-L1, sąveikaudamas su PD-1 ir CD80 (B7.1), blokuoja T ląstelių funkciją ir aktyvinimą. Prisijungęs prie savo receptorių, PD-L1 sumažina citotoksinių T ląstelių aktyvumą, proliferaciją ir citokinų gamybą.</w:t>
      </w:r>
    </w:p>
    <w:p w14:paraId="4A004980" w14:textId="77777777" w:rsidR="00B56C5A" w:rsidRPr="00987F8D" w:rsidRDefault="00B56C5A" w:rsidP="00583D8C">
      <w:pPr>
        <w:tabs>
          <w:tab w:val="left" w:pos="426"/>
        </w:tabs>
        <w:spacing w:line="276" w:lineRule="auto"/>
        <w:jc w:val="both"/>
        <w:rPr>
          <w:rFonts w:eastAsia="Arial"/>
        </w:rPr>
      </w:pPr>
      <w:r w:rsidRPr="00987F8D">
        <w:rPr>
          <w:rFonts w:eastAsia="Arial"/>
        </w:rPr>
        <w:tab/>
      </w:r>
      <w:r w:rsidRPr="00987F8D">
        <w:rPr>
          <w:rFonts w:eastAsia="Arial"/>
        </w:rPr>
        <w:tab/>
        <w:t>Durvalumabas yra pilnai žmogaus imunoglobulinų G1 kapa (IgG1κ) grupės monokloniniai antikūnai, kurie selektyviai blokuoja PD-L1 sąveiką su PD-1 ir CD80 (B7.1). Durvalumabas nesukelia nuo antikūnų priklausomo ląstelinio citotoksinio poveikio. Selektyviai užblokavus PD-L1 / PD-1 ir PD-L1 / CD80 sąveiką, sustiprėja priešnavikinis imuninis atsakas ir skatinamas T ląstelių aktyvinimas.</w:t>
      </w:r>
    </w:p>
    <w:p w14:paraId="0810A1F3" w14:textId="77777777" w:rsidR="00B56C5A" w:rsidRPr="00987F8D" w:rsidRDefault="00B56C5A" w:rsidP="00583D8C">
      <w:pPr>
        <w:tabs>
          <w:tab w:val="left" w:pos="426"/>
        </w:tabs>
        <w:spacing w:line="276" w:lineRule="auto"/>
        <w:jc w:val="both"/>
        <w:rPr>
          <w:rFonts w:eastAsia="Arial"/>
        </w:rPr>
      </w:pPr>
      <w:r w:rsidRPr="00987F8D">
        <w:rPr>
          <w:rFonts w:eastAsia="Arial"/>
        </w:rPr>
        <w:tab/>
      </w:r>
      <w:r w:rsidRPr="00987F8D">
        <w:rPr>
          <w:rFonts w:eastAsia="Arial"/>
        </w:rPr>
        <w:tab/>
        <w:t>Pagal Respublikos sveikatos apsaugos ministro 2000 m. sausio 28 d. įsakyme Nr. 49  „Dėl kompensuojamųjų vaistų sąrašų patvirtinimo“ pateiktą ligų ir kompensuojamųjų vaistų joms gydyti sąrašą palyginamasis gydymas atitinka Lietuvos Respublikos sveikatos apsaugos ministro 2002 m. balandžio 5 d. įsakymo Nr. V-159 „Dėl vaistinių preparatų ir medicinos pagalbos priemonių įrašymo į kompensavimo sąrašus ir jų keitimo tvarkos aprašo patvirtinimo“ 116.1 punkto, nes suaugusiesiems, sergantiems neišplitusiu</w:t>
      </w:r>
      <w:r>
        <w:rPr>
          <w:rFonts w:eastAsia="Arial"/>
        </w:rPr>
        <w:t xml:space="preserve"> SLPV</w:t>
      </w:r>
      <w:r w:rsidRPr="00987F8D">
        <w:rPr>
          <w:rFonts w:eastAsia="Arial"/>
        </w:rPr>
        <w:t xml:space="preserve">, kurių liga neprogresavo po chemospindulinio gydymo platinos </w:t>
      </w:r>
      <w:r w:rsidRPr="00987F8D">
        <w:rPr>
          <w:rFonts w:eastAsia="Arial"/>
        </w:rPr>
        <w:lastRenderedPageBreak/>
        <w:t>pagrindu, stebėjimas</w:t>
      </w:r>
      <w:r w:rsidRPr="00987F8D">
        <w:rPr>
          <w:lang w:eastAsia="lt-LT"/>
        </w:rPr>
        <w:t xml:space="preserve"> </w:t>
      </w:r>
      <w:r w:rsidRPr="00987F8D">
        <w:rPr>
          <w:rFonts w:eastAsia="Arial"/>
        </w:rPr>
        <w:t>yra „</w:t>
      </w:r>
      <w:r w:rsidRPr="00987F8D">
        <w:rPr>
          <w:rFonts w:eastAsia="Arial"/>
          <w:i/>
          <w:iCs/>
        </w:rPr>
        <w:t>paraiškos vertinimo metu atitinkantis įprastą klinikinę praktiką ir pagrįstai laikomas atitinkančiu pripažintas konkrečios ligos gydymo gaires</w:t>
      </w:r>
      <w:r w:rsidRPr="00987F8D">
        <w:rPr>
          <w:rFonts w:eastAsia="Arial"/>
        </w:rPr>
        <w:t>“.</w:t>
      </w:r>
    </w:p>
    <w:p w14:paraId="012190B8" w14:textId="77777777" w:rsidR="00B56C5A" w:rsidRDefault="00B56C5A" w:rsidP="00583D8C">
      <w:pPr>
        <w:spacing w:line="276" w:lineRule="auto"/>
        <w:ind w:firstLine="720"/>
        <w:jc w:val="both"/>
        <w:rPr>
          <w:rFonts w:eastAsia="Arial"/>
          <w:iCs/>
          <w:color w:val="000000" w:themeColor="text1"/>
          <w:highlight w:val="yellow"/>
        </w:rPr>
      </w:pPr>
    </w:p>
    <w:p w14:paraId="7FB9811C" w14:textId="77777777" w:rsidR="00B56C5A" w:rsidRDefault="00B56C5A" w:rsidP="00583D8C">
      <w:pPr>
        <w:spacing w:line="276" w:lineRule="auto"/>
        <w:jc w:val="both"/>
        <w:rPr>
          <w:rFonts w:eastAsia="Arial"/>
          <w:i/>
          <w:color w:val="000000" w:themeColor="text1"/>
        </w:rPr>
      </w:pPr>
      <w:r w:rsidRPr="001B2A5B">
        <w:rPr>
          <w:rFonts w:eastAsia="Arial"/>
          <w:i/>
          <w:color w:val="000000" w:themeColor="text1"/>
        </w:rPr>
        <w:t>Tiesioginis palyginimas</w:t>
      </w:r>
    </w:p>
    <w:p w14:paraId="0A9B1E11" w14:textId="77777777" w:rsidR="00B56C5A" w:rsidRDefault="00B56C5A" w:rsidP="00583D8C">
      <w:pPr>
        <w:spacing w:line="276" w:lineRule="auto"/>
        <w:ind w:firstLine="720"/>
        <w:jc w:val="both"/>
        <w:rPr>
          <w:rFonts w:eastAsia="Arial"/>
          <w:i/>
          <w:color w:val="000000" w:themeColor="text1"/>
        </w:rPr>
      </w:pPr>
      <w:r w:rsidRPr="00987F8D">
        <w:t xml:space="preserve">ADRIATIC tyrimas – tai daugiacentris atsitiktinių imčių dvigubai koduotas placebu kontroliuojamasis tyrimas, kuriame dalyvavo 730 pacientų, kuriems histologiškai arba citologiškai yra patvirtinta </w:t>
      </w:r>
      <w:r>
        <w:t>SLPV</w:t>
      </w:r>
      <w:r w:rsidRPr="00987F8D">
        <w:t xml:space="preserve"> (nuo I iki III stadijos pagal 8-ojo leidimo AJCC klasifikaciją) diagnozė ir liga po chemospindulinio gydymo neprogresavo.</w:t>
      </w:r>
    </w:p>
    <w:p w14:paraId="7BDD19CF" w14:textId="77777777" w:rsidR="00B56C5A" w:rsidRPr="00891B9F" w:rsidRDefault="00B56C5A" w:rsidP="00583D8C">
      <w:pPr>
        <w:spacing w:line="276" w:lineRule="auto"/>
        <w:ind w:firstLine="720"/>
        <w:jc w:val="both"/>
        <w:rPr>
          <w:rFonts w:eastAsia="Arial"/>
        </w:rPr>
      </w:pPr>
      <w:r w:rsidRPr="00987F8D">
        <w:rPr>
          <w:rFonts w:eastAsia="Arial"/>
        </w:rPr>
        <w:t xml:space="preserve">Tyrimo pacientų </w:t>
      </w:r>
      <w:r w:rsidRPr="00891B9F">
        <w:rPr>
          <w:rFonts w:eastAsia="Arial"/>
        </w:rPr>
        <w:t xml:space="preserve">populiacija atitinka egzistuojančią Lietuvos pacientų populiaciją, kuriai gydymas gali būti skiriamas pagal numatomas </w:t>
      </w:r>
      <w:r w:rsidRPr="00891B9F">
        <w:t xml:space="preserve">durvalumabo </w:t>
      </w:r>
      <w:r w:rsidRPr="00891B9F">
        <w:rPr>
          <w:rFonts w:eastAsia="Arial"/>
        </w:rPr>
        <w:t xml:space="preserve">skyrimo indikaciją. </w:t>
      </w:r>
      <w:r w:rsidRPr="00891B9F">
        <w:rPr>
          <w:lang w:eastAsia="lt-LT"/>
        </w:rPr>
        <w:t xml:space="preserve">Tyrimo dizainas atitinka III fazės klinikinių tyrimų reikalavimą, yra tinkamas išsikeltoms hipotezėms pagrįsti. Statistiniai metodai buvo taikomi tinkamai, tyrime vertintos pirminės ir antrinės baigtys atitinka klinikinėje praktikoje reikšmingus gydymo efektyvumo vertinimo kriterijus ir atspindi gydymo tikslus. Pagrindinės vertinamosios baigtys, BI ir </w:t>
      </w:r>
      <w:r w:rsidRPr="00891B9F">
        <w:t>IBLP</w:t>
      </w:r>
      <w:r w:rsidRPr="00891B9F">
        <w:rPr>
          <w:lang w:eastAsia="lt-LT"/>
        </w:rPr>
        <w:t>, laikomos tinkamomis pirminėmis baigtimis įvertinus pacientų, kuriems yra numatyti skirti gydymą, populiaciją.</w:t>
      </w:r>
    </w:p>
    <w:p w14:paraId="6C341DC5" w14:textId="77777777" w:rsidR="00B56C5A" w:rsidRPr="00891B9F" w:rsidRDefault="00B56C5A" w:rsidP="00583D8C">
      <w:pPr>
        <w:tabs>
          <w:tab w:val="left" w:pos="426"/>
        </w:tabs>
        <w:spacing w:line="276" w:lineRule="auto"/>
        <w:jc w:val="both"/>
        <w:rPr>
          <w:rFonts w:eastAsia="Arial"/>
          <w:color w:val="000000" w:themeColor="text1"/>
        </w:rPr>
      </w:pPr>
      <w:r w:rsidRPr="00891B9F">
        <w:tab/>
      </w:r>
      <w:r w:rsidRPr="00891B9F">
        <w:tab/>
        <w:t xml:space="preserve">ADRIATIC </w:t>
      </w:r>
      <w:r w:rsidRPr="00891B9F">
        <w:rPr>
          <w:rFonts w:eastAsia="Arial"/>
          <w:iCs/>
          <w:color w:val="000000" w:themeColor="text1"/>
        </w:rPr>
        <w:t>klinikiniame tyrime viso dalyvavo 530 pacientų. Pacientų bendrosios charakteristikos, demografiniai bei ligos rodikliai buvo pateikti visai pacientų imčiai, tai atspindi realią pacientų populiaciją, kuriai šis vaistai būtų skiriamas Lietuvoje.</w:t>
      </w:r>
      <w:r w:rsidRPr="00891B9F">
        <w:rPr>
          <w:rFonts w:eastAsia="Arial"/>
          <w:color w:val="000000" w:themeColor="text1"/>
        </w:rPr>
        <w:t xml:space="preserve"> Tyrimo </w:t>
      </w:r>
      <w:r w:rsidRPr="00891B9F">
        <w:t>pagrindinės (pirminės) tyrimo vertinamosios baigtys buvo BI ir IBLP</w:t>
      </w:r>
      <w:r w:rsidRPr="00891B9F">
        <w:rPr>
          <w:rFonts w:eastAsia="Arial"/>
          <w:color w:val="000000" w:themeColor="text1"/>
        </w:rPr>
        <w:t>.</w:t>
      </w:r>
    </w:p>
    <w:p w14:paraId="26670D46" w14:textId="77777777" w:rsidR="00B56C5A" w:rsidRPr="00891B9F" w:rsidRDefault="00B56C5A" w:rsidP="00583D8C">
      <w:pPr>
        <w:spacing w:line="276" w:lineRule="auto"/>
        <w:ind w:firstLine="720"/>
        <w:jc w:val="both"/>
        <w:rPr>
          <w:rFonts w:eastAsia="Arial"/>
        </w:rPr>
      </w:pPr>
    </w:p>
    <w:p w14:paraId="5A74EFE6" w14:textId="0CEA5FFA" w:rsidR="00B56C5A" w:rsidRPr="00891B9F" w:rsidRDefault="00B56C5A" w:rsidP="00583D8C">
      <w:pPr>
        <w:spacing w:line="276" w:lineRule="auto"/>
        <w:ind w:firstLine="720"/>
        <w:jc w:val="both"/>
        <w:rPr>
          <w:b/>
          <w:bCs/>
        </w:rPr>
      </w:pPr>
      <w:r w:rsidRPr="00891B9F">
        <w:rPr>
          <w:rFonts w:eastAsia="Arial"/>
          <w:b/>
          <w:bCs/>
        </w:rPr>
        <w:t>Pirminės baigtys</w:t>
      </w:r>
      <w:r w:rsidRPr="00891B9F">
        <w:rPr>
          <w:b/>
          <w:bCs/>
        </w:rPr>
        <w:t xml:space="preserve"> </w:t>
      </w:r>
    </w:p>
    <w:p w14:paraId="5324309B" w14:textId="77777777" w:rsidR="00B56C5A" w:rsidRPr="00891B9F" w:rsidRDefault="00B56C5A" w:rsidP="00583D8C">
      <w:pPr>
        <w:pStyle w:val="ListParagraph"/>
        <w:numPr>
          <w:ilvl w:val="0"/>
          <w:numId w:val="17"/>
        </w:numPr>
        <w:spacing w:line="276" w:lineRule="auto"/>
        <w:jc w:val="both"/>
        <w:rPr>
          <w:rFonts w:eastAsia="Arial"/>
        </w:rPr>
      </w:pPr>
      <w:r w:rsidRPr="00891B9F">
        <w:rPr>
          <w:rFonts w:eastAsia="Arial"/>
        </w:rPr>
        <w:t>Bendras išgyvenamumas:</w:t>
      </w:r>
    </w:p>
    <w:p w14:paraId="2E699349" w14:textId="77777777" w:rsidR="00B56C5A" w:rsidRPr="00891B9F" w:rsidRDefault="00B56C5A" w:rsidP="00583D8C">
      <w:pPr>
        <w:pStyle w:val="ListParagraph"/>
        <w:numPr>
          <w:ilvl w:val="1"/>
          <w:numId w:val="17"/>
        </w:numPr>
        <w:spacing w:line="276" w:lineRule="auto"/>
        <w:jc w:val="both"/>
        <w:rPr>
          <w:rFonts w:eastAsia="Arial"/>
        </w:rPr>
      </w:pPr>
      <w:r w:rsidRPr="00891B9F">
        <w:rPr>
          <w:rFonts w:eastAsia="Arial"/>
        </w:rPr>
        <w:t>Pirminėje analizėje BI mediana buvo reikšmingai ilgesnė durvalumabo grupėje – 55,9 mėn., palyginti su 33,4 mėn. placebo grupėje (RS 0,73; 98,321 % PI 0,54–0,98; p = 0,01), kas atitiko 27 % santykinį mirties rizikos sumažėjimą.</w:t>
      </w:r>
    </w:p>
    <w:p w14:paraId="23441D5B" w14:textId="77777777" w:rsidR="00B56C5A" w:rsidRPr="00891B9F" w:rsidRDefault="00B56C5A" w:rsidP="00583D8C">
      <w:pPr>
        <w:pStyle w:val="ListParagraph"/>
        <w:numPr>
          <w:ilvl w:val="1"/>
          <w:numId w:val="17"/>
        </w:numPr>
        <w:spacing w:line="276" w:lineRule="auto"/>
        <w:jc w:val="both"/>
        <w:rPr>
          <w:rFonts w:eastAsia="Arial"/>
          <w:color w:val="000000" w:themeColor="text1"/>
        </w:rPr>
      </w:pPr>
      <w:r w:rsidRPr="00891B9F">
        <w:rPr>
          <w:rFonts w:eastAsia="Arial"/>
        </w:rPr>
        <w:t>Papildomose iš anksto numatytose pogrupių analizėse pranašumas nuosekliai išliko įvairiose pacientų populiacijose, ypač vyrų, III stadijos ligos bei cisplatina-etopozidu gydytų pacientų pogrupiuose.</w:t>
      </w:r>
    </w:p>
    <w:p w14:paraId="0726EAA1" w14:textId="77777777" w:rsidR="00B56C5A" w:rsidRPr="00891B9F" w:rsidRDefault="00B56C5A" w:rsidP="00583D8C">
      <w:pPr>
        <w:pStyle w:val="ListParagraph"/>
        <w:numPr>
          <w:ilvl w:val="0"/>
          <w:numId w:val="17"/>
        </w:numPr>
        <w:spacing w:line="276" w:lineRule="auto"/>
        <w:jc w:val="both"/>
        <w:rPr>
          <w:rFonts w:eastAsia="Arial"/>
          <w:color w:val="000000" w:themeColor="text1"/>
        </w:rPr>
      </w:pPr>
      <w:r w:rsidRPr="00891B9F">
        <w:rPr>
          <w:rFonts w:eastAsia="Arial"/>
        </w:rPr>
        <w:t>Išgyvenamumas be ligos progreso:</w:t>
      </w:r>
    </w:p>
    <w:p w14:paraId="7B03C94C" w14:textId="77777777" w:rsidR="00B56C5A" w:rsidRPr="00891B9F" w:rsidRDefault="00B56C5A" w:rsidP="00583D8C">
      <w:pPr>
        <w:pStyle w:val="ListParagraph"/>
        <w:numPr>
          <w:ilvl w:val="1"/>
          <w:numId w:val="17"/>
        </w:numPr>
        <w:spacing w:line="276" w:lineRule="auto"/>
        <w:jc w:val="both"/>
        <w:rPr>
          <w:rFonts w:eastAsia="Arial"/>
          <w:color w:val="000000" w:themeColor="text1"/>
        </w:rPr>
      </w:pPr>
      <w:r w:rsidRPr="00891B9F">
        <w:rPr>
          <w:rFonts w:eastAsia="Arial"/>
          <w:color w:val="000000" w:themeColor="text1"/>
        </w:rPr>
        <w:t>Pirminėje analizėje IBLP mediana buvo reikšmingai ilgesnė durvalumabo grupėje – 16,6 mėn., palyginti su 9,2 mėn. placebo grupėje (RS 0,76; 97,195 % PI 0,59–0,98; p = 0,02), kas atitiko 24 % santykinį ligos progresavimo rizikos sumažėjimą.</w:t>
      </w:r>
    </w:p>
    <w:p w14:paraId="5B4E6C42" w14:textId="77777777" w:rsidR="00B56C5A" w:rsidRPr="00891B9F" w:rsidRDefault="00B56C5A" w:rsidP="00583D8C">
      <w:pPr>
        <w:pStyle w:val="ListParagraph"/>
        <w:numPr>
          <w:ilvl w:val="1"/>
          <w:numId w:val="17"/>
        </w:numPr>
        <w:spacing w:line="276" w:lineRule="auto"/>
        <w:jc w:val="both"/>
        <w:rPr>
          <w:rFonts w:eastAsia="Arial"/>
          <w:color w:val="000000" w:themeColor="text1"/>
        </w:rPr>
      </w:pPr>
      <w:r w:rsidRPr="00891B9F">
        <w:rPr>
          <w:rFonts w:eastAsia="Arial"/>
          <w:color w:val="000000" w:themeColor="text1"/>
        </w:rPr>
        <w:t xml:space="preserve">Papildomose iš anksto numatytose pogrupių analizėse pranašumas nuosekliai išliko įvairiose pacientų populiacijose, ypač baltaodžių, europiečių, PSO 0 veiklos būklės, tyrimo metu rūkančių pacientų pogrupiuose. </w:t>
      </w:r>
    </w:p>
    <w:p w14:paraId="6A9BFF5C" w14:textId="77777777" w:rsidR="00B56C5A" w:rsidRPr="00891B9F" w:rsidRDefault="00B56C5A" w:rsidP="00583D8C">
      <w:pPr>
        <w:pStyle w:val="NormalWeb"/>
        <w:spacing w:before="0" w:beforeAutospacing="0" w:after="0" w:afterAutospacing="0" w:line="276" w:lineRule="auto"/>
        <w:ind w:firstLine="720"/>
        <w:rPr>
          <w:b/>
          <w:bCs/>
        </w:rPr>
      </w:pPr>
    </w:p>
    <w:p w14:paraId="7DA04F06" w14:textId="77777777" w:rsidR="00B56C5A" w:rsidRPr="00891B9F" w:rsidRDefault="00B56C5A" w:rsidP="00583D8C">
      <w:pPr>
        <w:pStyle w:val="NormalWeb"/>
        <w:spacing w:before="0" w:beforeAutospacing="0" w:after="0" w:afterAutospacing="0" w:line="276" w:lineRule="auto"/>
        <w:ind w:firstLine="720"/>
        <w:rPr>
          <w:b/>
          <w:bCs/>
        </w:rPr>
      </w:pPr>
      <w:r w:rsidRPr="00891B9F">
        <w:rPr>
          <w:b/>
          <w:bCs/>
        </w:rPr>
        <w:t>Antrinės baigtys:</w:t>
      </w:r>
    </w:p>
    <w:p w14:paraId="0A049AE2" w14:textId="77777777" w:rsidR="00B56C5A" w:rsidRPr="00891B9F" w:rsidRDefault="00B56C5A" w:rsidP="00583D8C">
      <w:pPr>
        <w:pStyle w:val="ListParagraph"/>
        <w:numPr>
          <w:ilvl w:val="0"/>
          <w:numId w:val="18"/>
        </w:numPr>
        <w:tabs>
          <w:tab w:val="left" w:pos="426"/>
        </w:tabs>
        <w:spacing w:line="276" w:lineRule="auto"/>
        <w:jc w:val="both"/>
      </w:pPr>
      <w:r w:rsidRPr="00891B9F">
        <w:t>Objektyvaus atsako dažnis (OAD) ir atsako trukmė (AT)</w:t>
      </w:r>
    </w:p>
    <w:p w14:paraId="6DB693C2" w14:textId="77777777" w:rsidR="00B56C5A" w:rsidRPr="00891B9F" w:rsidRDefault="00B56C5A" w:rsidP="00583D8C">
      <w:pPr>
        <w:pStyle w:val="ListParagraph"/>
        <w:numPr>
          <w:ilvl w:val="1"/>
          <w:numId w:val="18"/>
        </w:numPr>
        <w:tabs>
          <w:tab w:val="left" w:pos="426"/>
        </w:tabs>
        <w:spacing w:line="276" w:lineRule="auto"/>
        <w:jc w:val="both"/>
      </w:pPr>
      <w:r w:rsidRPr="00891B9F">
        <w:t xml:space="preserve">OAD buvo vertinami tik tie pacientai, kuriems tyrimo pradžioje buvo nustatyta pamatuojama liga – tokių buvo 175 durvalumabo grupėje ir 169 placebo grupėje. Tyrimo metu objektyvus atsakas buvo stebėtas panašiai dažnai abiejose grupėse: 53 pacientams (30,3 %; 95 % PI, 23,6–37,7) durvalumabo grupėje ir 54 pacientams (32,0 %; 95 % PI, 25,0–39,6) placebo grupėje. </w:t>
      </w:r>
    </w:p>
    <w:p w14:paraId="104F7A82" w14:textId="77777777" w:rsidR="00B56C5A" w:rsidRPr="00891B9F" w:rsidRDefault="00B56C5A" w:rsidP="00583D8C">
      <w:pPr>
        <w:pStyle w:val="ListParagraph"/>
        <w:numPr>
          <w:ilvl w:val="1"/>
          <w:numId w:val="18"/>
        </w:numPr>
        <w:tabs>
          <w:tab w:val="left" w:pos="426"/>
        </w:tabs>
        <w:spacing w:line="276" w:lineRule="auto"/>
        <w:jc w:val="both"/>
      </w:pPr>
      <w:r w:rsidRPr="00891B9F">
        <w:t xml:space="preserve">Pacientams, kurie pasiekė objektyvų atsaką, AT mediana siekė 33,0 mėn. (95 % PI, 22,4 iki nepasiekta) durvalumabo grupėje, palyginti su 27,7 mėn. (95 % PI, 9,6 iki nepasiekta) </w:t>
      </w:r>
      <w:r w:rsidRPr="00891B9F">
        <w:lastRenderedPageBreak/>
        <w:t>placebo grupėje. Tai rodo, kad nors OAD tarp grupių nesiskyrė, pacientams, gavusiems durvalumabą, atsakas paprastai buvo ilgesnis ir išsilaikė ilgiau.</w:t>
      </w:r>
    </w:p>
    <w:p w14:paraId="50078D76" w14:textId="77777777" w:rsidR="00B56C5A" w:rsidRPr="00B56C5A" w:rsidRDefault="00B56C5A" w:rsidP="00583D8C">
      <w:pPr>
        <w:pStyle w:val="ListParagraph"/>
        <w:numPr>
          <w:ilvl w:val="0"/>
          <w:numId w:val="18"/>
        </w:numPr>
        <w:tabs>
          <w:tab w:val="left" w:pos="426"/>
        </w:tabs>
        <w:spacing w:line="276" w:lineRule="auto"/>
        <w:jc w:val="both"/>
      </w:pPr>
      <w:r w:rsidRPr="00B56C5A">
        <w:rPr>
          <w:rFonts w:eastAsiaTheme="minorHAnsi"/>
          <w:noProof/>
        </w:rPr>
        <w:t>Pacientų praneštos baigtys</w:t>
      </w:r>
    </w:p>
    <w:p w14:paraId="3CEED908" w14:textId="639B187E" w:rsidR="00B56C5A" w:rsidRPr="00891B9F" w:rsidRDefault="00B56C5A" w:rsidP="00583D8C">
      <w:pPr>
        <w:pStyle w:val="ListParagraph"/>
        <w:numPr>
          <w:ilvl w:val="1"/>
          <w:numId w:val="18"/>
        </w:numPr>
        <w:tabs>
          <w:tab w:val="left" w:pos="426"/>
        </w:tabs>
        <w:spacing w:line="276" w:lineRule="auto"/>
        <w:jc w:val="both"/>
      </w:pPr>
      <w:r w:rsidRPr="00891B9F">
        <w:t>Apibendrinant, rezultatai rodo, kad gydymas durvalumabu nepablogino pacientų gyvenimo kokybės, o kai kuriais aspektais – ypač mažinant krūtinės skausmą bei atitolindamas kitų simptomų pablogėjimą – suteikė papildomos naudos.</w:t>
      </w:r>
    </w:p>
    <w:p w14:paraId="5D60F620" w14:textId="13BCDB15" w:rsidR="00A1059E" w:rsidRPr="005420C9" w:rsidRDefault="00B56C5A" w:rsidP="00583D8C">
      <w:pPr>
        <w:spacing w:line="276" w:lineRule="auto"/>
        <w:ind w:firstLine="720"/>
        <w:jc w:val="both"/>
        <w:rPr>
          <w:rFonts w:eastAsia="Arial"/>
          <w:iCs/>
          <w:color w:val="000000" w:themeColor="text1"/>
        </w:rPr>
      </w:pPr>
      <w:r w:rsidRPr="00891B9F">
        <w:rPr>
          <w:rFonts w:eastAsia="Arial"/>
          <w:iCs/>
          <w:color w:val="000000" w:themeColor="text1"/>
        </w:rPr>
        <w:t xml:space="preserve">Atsižvelgiant į </w:t>
      </w:r>
      <w:r w:rsidR="00583D8C">
        <w:rPr>
          <w:rFonts w:eastAsia="Arial"/>
          <w:iCs/>
          <w:color w:val="000000" w:themeColor="text1"/>
        </w:rPr>
        <w:t xml:space="preserve">palyginamojo </w:t>
      </w:r>
      <w:r w:rsidRPr="00891B9F">
        <w:rPr>
          <w:rFonts w:eastAsia="Arial"/>
          <w:iCs/>
          <w:color w:val="000000" w:themeColor="text1"/>
        </w:rPr>
        <w:t>veiksmingumo ir saugumo rezultatus, d</w:t>
      </w:r>
      <w:r w:rsidRPr="00891B9F">
        <w:rPr>
          <w:rFonts w:eastAsia="Arial"/>
          <w:color w:val="000000" w:themeColor="text1"/>
        </w:rPr>
        <w:t xml:space="preserve">urvalumabo monoterapijos </w:t>
      </w:r>
      <w:r w:rsidRPr="00891B9F">
        <w:rPr>
          <w:rFonts w:eastAsia="Arial"/>
          <w:iCs/>
          <w:color w:val="000000" w:themeColor="text1"/>
        </w:rPr>
        <w:t xml:space="preserve">palyginamasis veiksmingumas yra didesnis, lyginant su įprasta klinikine praktika </w:t>
      </w:r>
      <w:r w:rsidRPr="00891B9F">
        <w:t>suaugusiesiems, sergantiems neišplitusiu SLPV, kurių liga neprogresavo po chemospindulinio gydymo platinos pagrindu.</w:t>
      </w:r>
    </w:p>
    <w:p w14:paraId="25F89291" w14:textId="0DAAE031" w:rsidR="00D4485B" w:rsidRPr="00E33EFF" w:rsidRDefault="00D4485B" w:rsidP="0045089C">
      <w:pPr>
        <w:tabs>
          <w:tab w:val="left" w:pos="426"/>
        </w:tabs>
        <w:spacing w:line="276" w:lineRule="auto"/>
        <w:jc w:val="both"/>
        <w:rPr>
          <w:b/>
          <w:bCs/>
          <w:caps/>
        </w:rPr>
      </w:pPr>
    </w:p>
    <w:p w14:paraId="7DE09EB5" w14:textId="69E9DD74" w:rsidR="00E03C3F" w:rsidRDefault="00CC7832" w:rsidP="00CC09D4">
      <w:pPr>
        <w:pStyle w:val="ListParagraph"/>
        <w:numPr>
          <w:ilvl w:val="0"/>
          <w:numId w:val="12"/>
        </w:numPr>
        <w:tabs>
          <w:tab w:val="left" w:pos="567"/>
        </w:tabs>
        <w:ind w:hanging="720"/>
        <w:rPr>
          <w:b/>
          <w:bCs/>
          <w:caps/>
        </w:rPr>
      </w:pPr>
      <w:r w:rsidRPr="00D053C5">
        <w:rPr>
          <w:b/>
          <w:bCs/>
          <w:caps/>
        </w:rPr>
        <w:t xml:space="preserve">ekonominio vertinimo </w:t>
      </w:r>
      <w:r w:rsidR="002F0E4F" w:rsidRPr="00D053C5">
        <w:rPr>
          <w:b/>
          <w:bCs/>
          <w:caps/>
        </w:rPr>
        <w:t>apibendrinimas</w:t>
      </w:r>
    </w:p>
    <w:p w14:paraId="7A3DD5F7" w14:textId="77777777" w:rsidR="00583D8C" w:rsidRPr="00D053C5" w:rsidRDefault="00583D8C" w:rsidP="00583D8C">
      <w:pPr>
        <w:pStyle w:val="ListParagraph"/>
        <w:tabs>
          <w:tab w:val="left" w:pos="567"/>
        </w:tabs>
        <w:rPr>
          <w:b/>
          <w:bCs/>
          <w:caps/>
        </w:rPr>
      </w:pPr>
    </w:p>
    <w:p w14:paraId="33004EFF" w14:textId="77777777" w:rsidR="002B520B" w:rsidRPr="00294733" w:rsidRDefault="000A290A" w:rsidP="002B520B">
      <w:pPr>
        <w:spacing w:line="276" w:lineRule="auto"/>
        <w:jc w:val="both"/>
        <w:rPr>
          <w:lang w:eastAsia="lt-LT"/>
        </w:rPr>
      </w:pPr>
      <w:r>
        <w:rPr>
          <w:rFonts w:eastAsia="Arial"/>
          <w:bCs/>
        </w:rPr>
        <w:tab/>
      </w:r>
      <w:r w:rsidR="002B520B" w:rsidRPr="0024006C">
        <w:rPr>
          <w:rFonts w:eastAsia="Arial"/>
          <w:bCs/>
        </w:rPr>
        <w:t xml:space="preserve">Analizė atliekama siekiant įvertinti durvalumabo </w:t>
      </w:r>
      <w:r w:rsidR="002B520B">
        <w:rPr>
          <w:rFonts w:eastAsia="Arial"/>
          <w:bCs/>
        </w:rPr>
        <w:t>monoterapijos</w:t>
      </w:r>
      <w:r w:rsidR="002B520B" w:rsidRPr="0024006C">
        <w:rPr>
          <w:rFonts w:eastAsia="Arial"/>
          <w:bCs/>
        </w:rPr>
        <w:t xml:space="preserve">, kaštų naudingumą </w:t>
      </w:r>
      <w:r w:rsidR="002B520B" w:rsidRPr="00987F8D">
        <w:t>suaugusiesiems</w:t>
      </w:r>
      <w:r w:rsidR="002B520B">
        <w:t xml:space="preserve"> pacientams</w:t>
      </w:r>
      <w:r w:rsidR="002B520B" w:rsidRPr="00987F8D">
        <w:t>, sergantiems neišplitusiu smulkialąsteliniu plaučių vėžiu (angl</w:t>
      </w:r>
      <w:r w:rsidR="002B520B" w:rsidRPr="00185835">
        <w:rPr>
          <w:i/>
          <w:iCs/>
        </w:rPr>
        <w:t>. limited-stage small cell lung cancer, LS-SCLC</w:t>
      </w:r>
      <w:r w:rsidR="002B520B" w:rsidRPr="00987F8D">
        <w:t>), kurių liga neprogresavo po chemospindulinio gydymo platinos pagrindu.</w:t>
      </w:r>
      <w:r w:rsidR="002B520B">
        <w:rPr>
          <w:lang w:eastAsia="lt-LT"/>
        </w:rPr>
        <w:t xml:space="preserve"> </w:t>
      </w:r>
      <w:r w:rsidR="002B520B" w:rsidRPr="00294733">
        <w:t xml:space="preserve">Ši populiacija atitinka </w:t>
      </w:r>
      <w:r w:rsidR="002B520B">
        <w:t xml:space="preserve">pacientų </w:t>
      </w:r>
      <w:r w:rsidR="002B520B" w:rsidRPr="00294733">
        <w:t>populiaciją, įtrauktą į A</w:t>
      </w:r>
      <w:r w:rsidR="002B520B">
        <w:t>DRIATIC</w:t>
      </w:r>
      <w:r w:rsidR="002B520B" w:rsidRPr="00294733">
        <w:t xml:space="preserve"> III fazės klinikinio tyrimo pirminę analizę.</w:t>
      </w:r>
    </w:p>
    <w:p w14:paraId="2DE36641" w14:textId="77777777" w:rsidR="002B520B" w:rsidRPr="0024006C" w:rsidRDefault="002B520B" w:rsidP="002B520B">
      <w:pPr>
        <w:shd w:val="clear" w:color="auto" w:fill="FFFFFF"/>
        <w:spacing w:line="276" w:lineRule="auto"/>
        <w:jc w:val="both"/>
        <w:rPr>
          <w:rFonts w:eastAsia="Arial"/>
          <w:bCs/>
        </w:rPr>
      </w:pPr>
    </w:p>
    <w:p w14:paraId="07D68862" w14:textId="77777777" w:rsidR="002B520B" w:rsidRPr="0024006C" w:rsidRDefault="002B520B" w:rsidP="002B520B">
      <w:pPr>
        <w:spacing w:line="276" w:lineRule="auto"/>
        <w:jc w:val="both"/>
        <w:rPr>
          <w:rFonts w:eastAsia="Arial"/>
          <w:bCs/>
          <w:szCs w:val="22"/>
        </w:rPr>
      </w:pPr>
      <w:r>
        <w:t>Klinikiniame tyrime, p</w:t>
      </w:r>
      <w:r w:rsidRPr="0024006C">
        <w:t>acientai gavo</w:t>
      </w:r>
      <w:r>
        <w:t xml:space="preserve"> gydymą </w:t>
      </w:r>
      <w:r w:rsidRPr="0024006C">
        <w:t>durvalumab</w:t>
      </w:r>
      <w:r>
        <w:t>u</w:t>
      </w:r>
      <w:r w:rsidRPr="0024006C">
        <w:t xml:space="preserve"> </w:t>
      </w:r>
      <w:r>
        <w:t>iki ligos progresijos, vaisto netoleravimo arba mirties</w:t>
      </w:r>
      <w:r w:rsidRPr="0024006C">
        <w:t xml:space="preserve">. </w:t>
      </w:r>
      <w:r>
        <w:rPr>
          <w:rFonts w:eastAsia="Arial"/>
          <w:bCs/>
          <w:szCs w:val="22"/>
        </w:rPr>
        <w:t>D</w:t>
      </w:r>
      <w:r w:rsidRPr="0024006C">
        <w:rPr>
          <w:rFonts w:eastAsia="Arial"/>
          <w:bCs/>
          <w:szCs w:val="22"/>
        </w:rPr>
        <w:t xml:space="preserve">urvalumabas skiriamas kaip monoterapija iki </w:t>
      </w:r>
      <w:r>
        <w:rPr>
          <w:rFonts w:eastAsia="Arial"/>
          <w:bCs/>
          <w:szCs w:val="22"/>
        </w:rPr>
        <w:t>24</w:t>
      </w:r>
      <w:r w:rsidRPr="0024006C">
        <w:rPr>
          <w:rFonts w:eastAsia="Arial"/>
          <w:bCs/>
          <w:szCs w:val="22"/>
        </w:rPr>
        <w:t xml:space="preserve"> ciklų. Palyginamasis gydymas analizėje yra geriausias prieinamas gydymas </w:t>
      </w:r>
      <w:r>
        <w:rPr>
          <w:rFonts w:eastAsia="Arial"/>
          <w:bCs/>
          <w:szCs w:val="22"/>
        </w:rPr>
        <w:t>(</w:t>
      </w:r>
      <w:r w:rsidRPr="0024006C">
        <w:rPr>
          <w:rFonts w:eastAsia="Arial"/>
          <w:bCs/>
          <w:szCs w:val="22"/>
        </w:rPr>
        <w:t>GPG</w:t>
      </w:r>
      <w:r>
        <w:rPr>
          <w:rFonts w:eastAsia="Arial"/>
          <w:bCs/>
          <w:szCs w:val="22"/>
        </w:rPr>
        <w:t>), todėl p</w:t>
      </w:r>
      <w:r w:rsidRPr="0024006C">
        <w:rPr>
          <w:rFonts w:eastAsia="Arial"/>
          <w:bCs/>
          <w:szCs w:val="22"/>
        </w:rPr>
        <w:t xml:space="preserve">alyginamojo gydymo grupėje </w:t>
      </w:r>
      <w:r>
        <w:rPr>
          <w:rFonts w:eastAsia="Arial"/>
          <w:bCs/>
          <w:szCs w:val="22"/>
        </w:rPr>
        <w:t xml:space="preserve">taikomas </w:t>
      </w:r>
      <w:r w:rsidRPr="0024006C">
        <w:rPr>
          <w:rFonts w:eastAsia="Arial"/>
          <w:bCs/>
          <w:szCs w:val="22"/>
        </w:rPr>
        <w:t xml:space="preserve">stebėjimas. </w:t>
      </w:r>
    </w:p>
    <w:p w14:paraId="4C3AD6FE" w14:textId="77777777" w:rsidR="002B520B" w:rsidRPr="0024006C" w:rsidRDefault="002B520B" w:rsidP="002B520B">
      <w:pPr>
        <w:spacing w:line="276" w:lineRule="auto"/>
        <w:jc w:val="both"/>
        <w:rPr>
          <w:rFonts w:eastAsia="Arial"/>
          <w:bCs/>
          <w:szCs w:val="22"/>
        </w:rPr>
      </w:pPr>
    </w:p>
    <w:p w14:paraId="08569B61" w14:textId="77777777" w:rsidR="002B520B" w:rsidRDefault="002B520B" w:rsidP="002B520B">
      <w:pPr>
        <w:spacing w:line="276" w:lineRule="auto"/>
        <w:jc w:val="both"/>
        <w:rPr>
          <w:rFonts w:eastAsia="Arial"/>
          <w:bCs/>
        </w:rPr>
      </w:pPr>
      <w:r w:rsidRPr="0024006C">
        <w:t xml:space="preserve">Pareiškėjas </w:t>
      </w:r>
      <w:r w:rsidRPr="00286AD5">
        <w:t>naudoja, būsenų perėjimo modelį (STM).</w:t>
      </w:r>
      <w:r>
        <w:rPr>
          <w:b/>
          <w:bCs/>
        </w:rPr>
        <w:t xml:space="preserve"> </w:t>
      </w:r>
      <w:r w:rsidRPr="00A776E6">
        <w:t xml:space="preserve">Naudotas STM yra pusiau Markovo </w:t>
      </w:r>
      <w:r>
        <w:t xml:space="preserve">kohortos </w:t>
      </w:r>
      <w:r w:rsidRPr="00A776E6">
        <w:t>modelis, kuriame atsisakoma pastovi</w:t>
      </w:r>
      <w:r>
        <w:t>ų</w:t>
      </w:r>
      <w:r w:rsidRPr="00A776E6">
        <w:t xml:space="preserve"> perėjimo tikimyb</w:t>
      </w:r>
      <w:r>
        <w:t>ių</w:t>
      </w:r>
      <w:r w:rsidRPr="00A776E6">
        <w:t xml:space="preserve"> prielaidos. </w:t>
      </w:r>
      <w:r>
        <w:t xml:space="preserve">Modelis yra sudarytas iš 3 sveikatos būklių: be ligos progresijos (PF), progresavusi liga (PD) bei mirtis. </w:t>
      </w:r>
      <w:r w:rsidRPr="00A776E6">
        <w:t xml:space="preserve">Pareiškėjas atliko </w:t>
      </w:r>
      <w:r w:rsidRPr="00286AD5">
        <w:t xml:space="preserve">ADRIATIC tyrimo </w:t>
      </w:r>
      <w:r w:rsidRPr="00A776E6">
        <w:t xml:space="preserve">išgyvenamumo be ligos progresijos (IBLP) </w:t>
      </w:r>
      <w:r w:rsidRPr="00286AD5">
        <w:t xml:space="preserve">ir </w:t>
      </w:r>
      <w:r w:rsidRPr="00A776E6">
        <w:t>bendro išgyvenamumo (BI)</w:t>
      </w:r>
      <w:r w:rsidRPr="00286AD5">
        <w:t xml:space="preserve"> ekstrapoliacij</w:t>
      </w:r>
      <w:r w:rsidRPr="00A776E6">
        <w:t>as</w:t>
      </w:r>
      <w:r>
        <w:t xml:space="preserve">, kad nustatyti perėjimo tarp sveikatos būklių tikimybes. </w:t>
      </w:r>
      <w:r w:rsidRPr="0024006C">
        <w:rPr>
          <w:rFonts w:eastAsia="Arial"/>
          <w:bCs/>
        </w:rPr>
        <w:t xml:space="preserve">Siekiant įvertinti struktūrinę neapibrėžtį modelyje, buvo atlikta platesnė jautrumo analizė, apimanti skirtingas ekstrapoliacinių kreivių kombinacijas, kuriose kiekvienam perėjimui iš sveikatos būsenų buvo pritaikytos skirtingos parametrinės funkcijos.  </w:t>
      </w:r>
    </w:p>
    <w:p w14:paraId="7D938830" w14:textId="77777777" w:rsidR="002B520B" w:rsidRDefault="002B520B" w:rsidP="002B520B">
      <w:pPr>
        <w:shd w:val="clear" w:color="auto" w:fill="FFFFFF"/>
        <w:spacing w:line="276" w:lineRule="auto"/>
        <w:jc w:val="both"/>
        <w:rPr>
          <w:rFonts w:eastAsia="Arial"/>
          <w:bCs/>
        </w:rPr>
      </w:pPr>
    </w:p>
    <w:p w14:paraId="1FDCA33C" w14:textId="72EC305C" w:rsidR="002B520B" w:rsidRDefault="002B520B" w:rsidP="002B520B">
      <w:pPr>
        <w:shd w:val="clear" w:color="auto" w:fill="FFFFFF"/>
        <w:spacing w:line="276" w:lineRule="auto"/>
        <w:jc w:val="both"/>
        <w:rPr>
          <w:rFonts w:eastAsia="Arial"/>
          <w:bCs/>
        </w:rPr>
      </w:pPr>
      <w:r w:rsidRPr="00292A64">
        <w:rPr>
          <w:rFonts w:eastAsia="Arial"/>
          <w:bCs/>
        </w:rPr>
        <w:t>Tarnyba atnaujin</w:t>
      </w:r>
      <w:r>
        <w:rPr>
          <w:rFonts w:eastAsia="Arial"/>
          <w:bCs/>
        </w:rPr>
        <w:t>o</w:t>
      </w:r>
      <w:r w:rsidRPr="00292A64">
        <w:rPr>
          <w:rFonts w:eastAsia="Arial"/>
          <w:bCs/>
        </w:rPr>
        <w:t xml:space="preserve"> prielaidas ir pakoregavo modelyje taikomus parametrus. Atnaujinimai apima kelias esmines korekcijas, susijusias su išgyvenamumo ekstrapoliacija, gyvenimo kokybės įverčiais</w:t>
      </w:r>
      <w:r>
        <w:rPr>
          <w:rFonts w:eastAsia="Arial"/>
          <w:bCs/>
        </w:rPr>
        <w:t>,</w:t>
      </w:r>
      <w:r w:rsidRPr="00292A64">
        <w:rPr>
          <w:rFonts w:eastAsia="Arial"/>
          <w:bCs/>
        </w:rPr>
        <w:t xml:space="preserve"> bei kaštų apskaičiavimu. Pirmiausia, Tarnyba pakeitė ekstrapoliacinių išgyvenamumo kreivių pasirinkimus, naudojamus perėjimų tarp sveikatos būklių modeliavimui: IBLP e</w:t>
      </w:r>
      <w:r>
        <w:rPr>
          <w:rFonts w:eastAsia="Arial"/>
          <w:bCs/>
        </w:rPr>
        <w:t>kstrapoliacijai</w:t>
      </w:r>
      <w:r w:rsidRPr="00292A64">
        <w:rPr>
          <w:rFonts w:eastAsia="Arial"/>
          <w:bCs/>
        </w:rPr>
        <w:t xml:space="preserve"> durvalumabo šakai taikoma 2 spline normal funkcija, o placebo šakai – 3 spline normal funkcija; TTP analizei abiem gydymo šakoms parinkta 3 spline odds funkcija; po progresavimo </w:t>
      </w:r>
      <w:r>
        <w:rPr>
          <w:rFonts w:eastAsia="Arial"/>
          <w:bCs/>
        </w:rPr>
        <w:t xml:space="preserve">(post-PS) </w:t>
      </w:r>
      <w:r w:rsidRPr="00292A64">
        <w:rPr>
          <w:rFonts w:eastAsia="Arial"/>
          <w:bCs/>
        </w:rPr>
        <w:t>abiem šakoms taikoma log-logistic funkcija. Tarnyba taiko prielaidą, kad gydymo efektyvumas ima mažėti nuo 60-ojo mėnesio, t. y. praėjus penkeriems metams nuo gydymo pradžios.</w:t>
      </w:r>
      <w:r>
        <w:rPr>
          <w:rFonts w:eastAsia="Arial"/>
          <w:bCs/>
        </w:rPr>
        <w:t xml:space="preserve"> </w:t>
      </w:r>
      <w:r w:rsidRPr="00292A64">
        <w:rPr>
          <w:rFonts w:eastAsia="Arial"/>
          <w:bCs/>
        </w:rPr>
        <w:t xml:space="preserve">Gyvenimo kokybės įverčiai buvo atnaujinti: </w:t>
      </w:r>
      <w:r>
        <w:rPr>
          <w:rFonts w:eastAsia="Arial"/>
          <w:bCs/>
        </w:rPr>
        <w:t>siekiant</w:t>
      </w:r>
      <w:r w:rsidRPr="00292A64">
        <w:rPr>
          <w:rFonts w:eastAsia="Arial"/>
          <w:bCs/>
        </w:rPr>
        <w:t xml:space="preserve"> konservatyvesnio vertinimo, labiau atitinkančio Lietuvos pacientų populiaciją, Tarnyba PD būsenos gyvenimo kokybei taiko </w:t>
      </w:r>
      <w:r w:rsidR="00AD3263">
        <w:rPr>
          <w:rFonts w:eastAsia="Arial"/>
          <w:bCs/>
        </w:rPr>
        <w:t>***</w:t>
      </w:r>
      <w:r w:rsidRPr="00292A64">
        <w:rPr>
          <w:rFonts w:eastAsia="Arial"/>
          <w:bCs/>
        </w:rPr>
        <w:t xml:space="preserve"> įvertį, gautą iš CASPIAN klinikinio tyrimo duomenų. Tarnyba daro prielaidą, kad buteliukų dalijimasis nėra leidžiamas, todėl ši nuostata įtraukiama į visus modelio kaštų apskaičiavimus.</w:t>
      </w:r>
      <w:r>
        <w:rPr>
          <w:rFonts w:eastAsia="Arial"/>
          <w:bCs/>
        </w:rPr>
        <w:t xml:space="preserve"> </w:t>
      </w:r>
      <w:r w:rsidRPr="00292A64">
        <w:rPr>
          <w:rFonts w:eastAsia="Arial"/>
          <w:bCs/>
        </w:rPr>
        <w:t>Šios korekcijos sudaro Tarnybos atnaujintą bazinį vertinimą, kuris laikomas tiksliau atspindinčiu klinikinę praktiką Lietuvo</w:t>
      </w:r>
      <w:r>
        <w:rPr>
          <w:rFonts w:eastAsia="Arial"/>
          <w:bCs/>
        </w:rPr>
        <w:t xml:space="preserve">je. </w:t>
      </w:r>
    </w:p>
    <w:p w14:paraId="6E6EE9C5" w14:textId="77777777" w:rsidR="002B520B" w:rsidRDefault="002B520B" w:rsidP="002B520B">
      <w:pPr>
        <w:shd w:val="clear" w:color="auto" w:fill="FFFFFF"/>
        <w:spacing w:line="276" w:lineRule="auto"/>
        <w:jc w:val="both"/>
        <w:rPr>
          <w:rFonts w:eastAsia="Arial"/>
          <w:bCs/>
        </w:rPr>
      </w:pPr>
    </w:p>
    <w:p w14:paraId="300B1484" w14:textId="520B9BEB" w:rsidR="002B520B" w:rsidRPr="0024006C" w:rsidRDefault="002B520B" w:rsidP="002B520B">
      <w:pPr>
        <w:shd w:val="clear" w:color="auto" w:fill="FFFFFF"/>
        <w:spacing w:line="276" w:lineRule="auto"/>
        <w:jc w:val="both"/>
        <w:rPr>
          <w:rFonts w:eastAsia="Arial"/>
          <w:bCs/>
        </w:rPr>
      </w:pPr>
      <w:r w:rsidRPr="0024006C">
        <w:t xml:space="preserve">Atlikus </w:t>
      </w:r>
      <w:r>
        <w:t xml:space="preserve">pagrindinės </w:t>
      </w:r>
      <w:r w:rsidRPr="0024006C">
        <w:t xml:space="preserve">analizės rezultato perskaičiavimą, </w:t>
      </w:r>
      <w:r>
        <w:rPr>
          <w:rFonts w:eastAsia="Arial"/>
          <w:bCs/>
        </w:rPr>
        <w:t xml:space="preserve">pagrindinio </w:t>
      </w:r>
      <w:r w:rsidRPr="00E758DD">
        <w:rPr>
          <w:rFonts w:eastAsia="Arial"/>
          <w:bCs/>
        </w:rPr>
        <w:t xml:space="preserve">atvejo analizėje, ekonominės analizės rezultatas yra € </w:t>
      </w:r>
      <w:r w:rsidR="005E5652">
        <w:rPr>
          <w:rFonts w:eastAsia="Arial"/>
          <w:bCs/>
        </w:rPr>
        <w:t>*****</w:t>
      </w:r>
      <w:r w:rsidR="005E5652" w:rsidRPr="00E758DD">
        <w:rPr>
          <w:rFonts w:eastAsia="Arial"/>
          <w:bCs/>
        </w:rPr>
        <w:t xml:space="preserve"> </w:t>
      </w:r>
      <w:r w:rsidRPr="00E758DD">
        <w:rPr>
          <w:rFonts w:eastAsia="Arial"/>
          <w:bCs/>
        </w:rPr>
        <w:t xml:space="preserve">ir yra laikomas ribiniu, kadangi referencinė kaštų naudingumo vertė yra  </w:t>
      </w:r>
      <w:r w:rsidR="005E5652">
        <w:rPr>
          <w:rFonts w:eastAsia="Arial"/>
          <w:bCs/>
        </w:rPr>
        <w:t>*****</w:t>
      </w:r>
      <w:r w:rsidR="005E5652" w:rsidRPr="00E758DD">
        <w:rPr>
          <w:rFonts w:eastAsia="Arial"/>
          <w:bCs/>
        </w:rPr>
        <w:t xml:space="preserve"> </w:t>
      </w:r>
      <w:r w:rsidRPr="00E758DD">
        <w:rPr>
          <w:rFonts w:eastAsia="Arial"/>
          <w:bCs/>
        </w:rPr>
        <w:t xml:space="preserve">eur/QALY. Atsižvelgiant į tai, jog reikalinga 1 proc. nuolaida nuo pateiktos durvalumabo kainos – </w:t>
      </w:r>
      <w:r w:rsidR="005E5652">
        <w:rPr>
          <w:rFonts w:eastAsia="Arial"/>
          <w:bCs/>
        </w:rPr>
        <w:t>*****</w:t>
      </w:r>
      <w:r w:rsidRPr="00E758DD">
        <w:rPr>
          <w:rFonts w:eastAsia="Arial"/>
          <w:bCs/>
        </w:rPr>
        <w:t xml:space="preserve"> EUR</w:t>
      </w:r>
      <w:r>
        <w:rPr>
          <w:rFonts w:eastAsia="Arial"/>
          <w:bCs/>
        </w:rPr>
        <w:t xml:space="preserve"> (2026 m. I pusmečio kainynas)</w:t>
      </w:r>
      <w:r w:rsidRPr="00E758DD">
        <w:rPr>
          <w:rFonts w:eastAsia="Arial"/>
          <w:bCs/>
        </w:rPr>
        <w:t>, durvalumabas yra</w:t>
      </w:r>
      <w:r>
        <w:rPr>
          <w:rFonts w:eastAsia="Arial"/>
          <w:bCs/>
        </w:rPr>
        <w:t xml:space="preserve"> laikomas</w:t>
      </w:r>
      <w:r w:rsidRPr="00E758DD">
        <w:rPr>
          <w:rFonts w:eastAsia="Arial"/>
          <w:bCs/>
        </w:rPr>
        <w:t xml:space="preserve"> kaštams naudingu. Tarnyba nori pabrėžti, jog atsižvelgiant į analizės neapibrėžtumą rast</w:t>
      </w:r>
      <w:r>
        <w:rPr>
          <w:rFonts w:eastAsia="Arial"/>
          <w:bCs/>
        </w:rPr>
        <w:t>ą</w:t>
      </w:r>
      <w:r w:rsidRPr="00E758DD">
        <w:rPr>
          <w:rFonts w:eastAsia="Arial"/>
          <w:bCs/>
        </w:rPr>
        <w:t xml:space="preserve"> atlikus vienpuses, bei scenarijų analizes, bei ribinį pagrindinės kaštų analizės rezultatą, yra siūloma </w:t>
      </w:r>
      <w:r w:rsidR="00AD3263">
        <w:rPr>
          <w:rFonts w:eastAsia="Arial"/>
          <w:bCs/>
        </w:rPr>
        <w:t>***</w:t>
      </w:r>
      <w:r w:rsidRPr="00E758DD">
        <w:rPr>
          <w:rFonts w:eastAsia="Arial"/>
          <w:bCs/>
        </w:rPr>
        <w:t>.</w:t>
      </w:r>
    </w:p>
    <w:p w14:paraId="15E2123B" w14:textId="341EDFCD" w:rsidR="00D053C5" w:rsidRDefault="00D053C5" w:rsidP="002B520B">
      <w:pPr>
        <w:spacing w:line="276" w:lineRule="auto"/>
        <w:jc w:val="both"/>
        <w:rPr>
          <w:rFonts w:eastAsia="Arial"/>
        </w:rPr>
      </w:pPr>
    </w:p>
    <w:p w14:paraId="29EDD382" w14:textId="77777777" w:rsidR="00D053C5" w:rsidRPr="001412EE" w:rsidRDefault="00D053C5" w:rsidP="00D053C5">
      <w:pPr>
        <w:tabs>
          <w:tab w:val="left" w:pos="426"/>
        </w:tabs>
        <w:rPr>
          <w:b/>
          <w:bCs/>
          <w:caps/>
        </w:rPr>
      </w:pPr>
    </w:p>
    <w:p w14:paraId="23D7EC1C" w14:textId="2BEB8C7B" w:rsidR="00D053C5" w:rsidRPr="001412EE" w:rsidRDefault="00D053C5" w:rsidP="00D053C5">
      <w:pPr>
        <w:tabs>
          <w:tab w:val="left" w:pos="426"/>
        </w:tabs>
        <w:rPr>
          <w:b/>
          <w:lang w:eastAsia="lt-LT"/>
        </w:rPr>
      </w:pPr>
      <w:r>
        <w:rPr>
          <w:b/>
          <w:lang w:eastAsia="lt-LT"/>
        </w:rPr>
        <w:t>2</w:t>
      </w:r>
      <w:r w:rsidRPr="001412EE">
        <w:rPr>
          <w:b/>
          <w:lang w:eastAsia="lt-LT"/>
        </w:rPr>
        <w:t>.1 Ekonominės analizės rezultatas</w:t>
      </w:r>
    </w:p>
    <w:p w14:paraId="2D89A565" w14:textId="77777777" w:rsidR="00D053C5" w:rsidRPr="001412EE" w:rsidRDefault="00D053C5" w:rsidP="00D053C5">
      <w:pPr>
        <w:tabs>
          <w:tab w:val="left" w:pos="426"/>
        </w:tabs>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D053C5" w:rsidRPr="001412EE" w14:paraId="15D6B4BF" w14:textId="77777777" w:rsidTr="0048665D">
        <w:trPr>
          <w:trHeight w:val="344"/>
          <w:jc w:val="center"/>
        </w:trPr>
        <w:tc>
          <w:tcPr>
            <w:tcW w:w="9439" w:type="dxa"/>
            <w:gridSpan w:val="2"/>
            <w:tcBorders>
              <w:top w:val="single" w:sz="12" w:space="0" w:color="auto"/>
              <w:left w:val="single" w:sz="4" w:space="0" w:color="auto"/>
              <w:right w:val="single" w:sz="4" w:space="0" w:color="auto"/>
            </w:tcBorders>
            <w:vAlign w:val="center"/>
          </w:tcPr>
          <w:p w14:paraId="149AE883" w14:textId="77777777" w:rsidR="00D053C5" w:rsidRPr="001412EE" w:rsidRDefault="00D053C5" w:rsidP="0048665D">
            <w:pPr>
              <w:tabs>
                <w:tab w:val="left" w:pos="567"/>
              </w:tabs>
              <w:jc w:val="center"/>
              <w:rPr>
                <w:b/>
                <w:bCs/>
                <w:sz w:val="26"/>
                <w:szCs w:val="26"/>
                <w:lang w:eastAsia="lt-LT"/>
              </w:rPr>
            </w:pPr>
            <w:r w:rsidRPr="001412EE">
              <w:rPr>
                <w:b/>
                <w:bCs/>
                <w:sz w:val="26"/>
                <w:szCs w:val="26"/>
                <w:lang w:eastAsia="lt-LT"/>
              </w:rPr>
              <w:t>Rezultatai</w:t>
            </w:r>
          </w:p>
        </w:tc>
      </w:tr>
      <w:tr w:rsidR="00D053C5" w:rsidRPr="001412EE" w14:paraId="41499502" w14:textId="77777777" w:rsidTr="0048665D">
        <w:trPr>
          <w:trHeight w:val="267"/>
          <w:jc w:val="center"/>
        </w:trPr>
        <w:tc>
          <w:tcPr>
            <w:tcW w:w="6200" w:type="dxa"/>
            <w:tcBorders>
              <w:left w:val="single" w:sz="4" w:space="0" w:color="auto"/>
            </w:tcBorders>
          </w:tcPr>
          <w:p w14:paraId="68E0BDFA" w14:textId="77777777" w:rsidR="00D053C5" w:rsidRPr="001412EE" w:rsidRDefault="00D053C5" w:rsidP="0048665D">
            <w:pPr>
              <w:tabs>
                <w:tab w:val="left" w:pos="567"/>
              </w:tabs>
              <w:jc w:val="right"/>
              <w:rPr>
                <w:iCs/>
                <w:lang w:eastAsia="lt-LT"/>
              </w:rPr>
            </w:pPr>
            <w:r w:rsidRPr="001412EE">
              <w:rPr>
                <w:iCs/>
                <w:lang w:eastAsia="lt-LT"/>
              </w:rPr>
              <w:t>Kaštų skirtumas</w:t>
            </w:r>
          </w:p>
        </w:tc>
        <w:tc>
          <w:tcPr>
            <w:tcW w:w="3239" w:type="dxa"/>
            <w:tcBorders>
              <w:right w:val="single" w:sz="4" w:space="0" w:color="auto"/>
            </w:tcBorders>
          </w:tcPr>
          <w:p w14:paraId="10E521AD" w14:textId="17FD4339" w:rsidR="00D053C5" w:rsidRPr="001412EE" w:rsidRDefault="003C1FBB" w:rsidP="0048665D">
            <w:pPr>
              <w:tabs>
                <w:tab w:val="left" w:pos="567"/>
              </w:tabs>
              <w:jc w:val="both"/>
              <w:rPr>
                <w:i/>
                <w:iCs/>
                <w:lang w:eastAsia="lt-LT"/>
              </w:rPr>
            </w:pPr>
            <w:r w:rsidRPr="00AA3523">
              <w:t>***</w:t>
            </w:r>
            <w:r>
              <w:t>*</w:t>
            </w:r>
          </w:p>
        </w:tc>
      </w:tr>
      <w:tr w:rsidR="00D053C5" w:rsidRPr="001412EE" w14:paraId="40D85FB7" w14:textId="77777777" w:rsidTr="0048665D">
        <w:trPr>
          <w:trHeight w:val="267"/>
          <w:jc w:val="center"/>
        </w:trPr>
        <w:tc>
          <w:tcPr>
            <w:tcW w:w="6200" w:type="dxa"/>
            <w:tcBorders>
              <w:left w:val="single" w:sz="4" w:space="0" w:color="auto"/>
            </w:tcBorders>
          </w:tcPr>
          <w:p w14:paraId="3EE6392E" w14:textId="77777777" w:rsidR="00D053C5" w:rsidRPr="001412EE" w:rsidRDefault="00D053C5" w:rsidP="0048665D">
            <w:pPr>
              <w:tabs>
                <w:tab w:val="left" w:pos="567"/>
              </w:tabs>
              <w:jc w:val="right"/>
              <w:rPr>
                <w:iCs/>
                <w:lang w:eastAsia="lt-LT"/>
              </w:rPr>
            </w:pPr>
            <w:r w:rsidRPr="001412EE">
              <w:rPr>
                <w:iCs/>
                <w:lang w:eastAsia="lt-LT"/>
              </w:rPr>
              <w:t>Papildomi gyvenimo metai (LY)</w:t>
            </w:r>
          </w:p>
        </w:tc>
        <w:tc>
          <w:tcPr>
            <w:tcW w:w="3239" w:type="dxa"/>
            <w:tcBorders>
              <w:right w:val="single" w:sz="4" w:space="0" w:color="auto"/>
            </w:tcBorders>
          </w:tcPr>
          <w:p w14:paraId="212C702E" w14:textId="4C5EB722" w:rsidR="00D053C5" w:rsidRPr="001412EE" w:rsidRDefault="005E5652" w:rsidP="0048665D">
            <w:pPr>
              <w:tabs>
                <w:tab w:val="left" w:pos="567"/>
              </w:tabs>
              <w:jc w:val="both"/>
              <w:rPr>
                <w:i/>
                <w:iCs/>
                <w:lang w:eastAsia="lt-LT"/>
              </w:rPr>
            </w:pPr>
            <w:r>
              <w:rPr>
                <w:rFonts w:eastAsia="Arial"/>
                <w:bCs/>
              </w:rPr>
              <w:t>*****</w:t>
            </w:r>
          </w:p>
        </w:tc>
      </w:tr>
      <w:tr w:rsidR="00D053C5" w:rsidRPr="001412EE" w14:paraId="5DF68434" w14:textId="77777777" w:rsidTr="0048665D">
        <w:trPr>
          <w:trHeight w:val="267"/>
          <w:jc w:val="center"/>
        </w:trPr>
        <w:tc>
          <w:tcPr>
            <w:tcW w:w="6200" w:type="dxa"/>
            <w:tcBorders>
              <w:left w:val="single" w:sz="4" w:space="0" w:color="auto"/>
            </w:tcBorders>
          </w:tcPr>
          <w:p w14:paraId="47DCC280" w14:textId="77777777" w:rsidR="00D053C5" w:rsidRPr="001412EE" w:rsidRDefault="00D053C5" w:rsidP="0048665D">
            <w:pPr>
              <w:tabs>
                <w:tab w:val="left" w:pos="567"/>
              </w:tabs>
              <w:jc w:val="right"/>
              <w:rPr>
                <w:iCs/>
                <w:lang w:eastAsia="lt-LT"/>
              </w:rPr>
            </w:pPr>
            <w:r w:rsidRPr="001412EE">
              <w:rPr>
                <w:iCs/>
                <w:lang w:eastAsia="lt-LT"/>
              </w:rPr>
              <w:t>Papildomi kokybiški gyvenimo metai (QALY)</w:t>
            </w:r>
          </w:p>
        </w:tc>
        <w:tc>
          <w:tcPr>
            <w:tcW w:w="3239" w:type="dxa"/>
            <w:tcBorders>
              <w:right w:val="single" w:sz="4" w:space="0" w:color="auto"/>
            </w:tcBorders>
          </w:tcPr>
          <w:p w14:paraId="7B1E8C3A" w14:textId="09A703D3" w:rsidR="00D053C5" w:rsidRPr="001412EE" w:rsidRDefault="005E5652" w:rsidP="0048665D">
            <w:pPr>
              <w:tabs>
                <w:tab w:val="left" w:pos="567"/>
              </w:tabs>
              <w:jc w:val="both"/>
              <w:rPr>
                <w:i/>
                <w:iCs/>
                <w:lang w:eastAsia="lt-LT"/>
              </w:rPr>
            </w:pPr>
            <w:r>
              <w:rPr>
                <w:rFonts w:eastAsia="Arial"/>
                <w:bCs/>
              </w:rPr>
              <w:t>*****</w:t>
            </w:r>
          </w:p>
        </w:tc>
      </w:tr>
      <w:tr w:rsidR="00D053C5" w:rsidRPr="001412EE" w14:paraId="50899937" w14:textId="77777777" w:rsidTr="0048665D">
        <w:trPr>
          <w:trHeight w:val="267"/>
          <w:jc w:val="center"/>
        </w:trPr>
        <w:tc>
          <w:tcPr>
            <w:tcW w:w="6200" w:type="dxa"/>
            <w:tcBorders>
              <w:left w:val="single" w:sz="4" w:space="0" w:color="auto"/>
            </w:tcBorders>
          </w:tcPr>
          <w:p w14:paraId="553AB7E6" w14:textId="77777777" w:rsidR="00D053C5" w:rsidRPr="001412EE" w:rsidRDefault="00D053C5" w:rsidP="0048665D">
            <w:pPr>
              <w:tabs>
                <w:tab w:val="left" w:pos="567"/>
              </w:tabs>
              <w:jc w:val="right"/>
              <w:rPr>
                <w:iCs/>
                <w:lang w:eastAsia="lt-LT"/>
              </w:rPr>
            </w:pPr>
            <w:r w:rsidRPr="001412EE">
              <w:rPr>
                <w:iCs/>
                <w:lang w:eastAsia="lt-LT"/>
              </w:rPr>
              <w:t>ICER už LY</w:t>
            </w:r>
          </w:p>
        </w:tc>
        <w:tc>
          <w:tcPr>
            <w:tcW w:w="3239" w:type="dxa"/>
            <w:tcBorders>
              <w:right w:val="single" w:sz="4" w:space="0" w:color="auto"/>
            </w:tcBorders>
          </w:tcPr>
          <w:p w14:paraId="48ADD9CE" w14:textId="2FBAE59D" w:rsidR="00D053C5" w:rsidRPr="001412EE" w:rsidRDefault="005E5652" w:rsidP="0048665D">
            <w:pPr>
              <w:tabs>
                <w:tab w:val="left" w:pos="567"/>
              </w:tabs>
              <w:jc w:val="both"/>
              <w:rPr>
                <w:i/>
                <w:iCs/>
                <w:lang w:eastAsia="lt-LT"/>
              </w:rPr>
            </w:pPr>
            <w:r>
              <w:rPr>
                <w:rFonts w:eastAsia="Arial"/>
                <w:bCs/>
              </w:rPr>
              <w:t>*****</w:t>
            </w:r>
          </w:p>
        </w:tc>
      </w:tr>
      <w:tr w:rsidR="00D053C5" w:rsidRPr="001412EE" w14:paraId="3D0B6735" w14:textId="77777777" w:rsidTr="0048665D">
        <w:trPr>
          <w:trHeight w:val="267"/>
          <w:jc w:val="center"/>
        </w:trPr>
        <w:tc>
          <w:tcPr>
            <w:tcW w:w="6200" w:type="dxa"/>
            <w:tcBorders>
              <w:left w:val="single" w:sz="4" w:space="0" w:color="auto"/>
            </w:tcBorders>
          </w:tcPr>
          <w:p w14:paraId="49C7A39A" w14:textId="77777777" w:rsidR="00D053C5" w:rsidRPr="001412EE" w:rsidRDefault="00D053C5" w:rsidP="0048665D">
            <w:pPr>
              <w:tabs>
                <w:tab w:val="left" w:pos="567"/>
              </w:tabs>
              <w:jc w:val="right"/>
              <w:rPr>
                <w:iCs/>
                <w:lang w:eastAsia="lt-LT"/>
              </w:rPr>
            </w:pPr>
            <w:r w:rsidRPr="001412EE">
              <w:rPr>
                <w:iCs/>
                <w:lang w:eastAsia="lt-LT"/>
              </w:rPr>
              <w:t>ICER už QALY</w:t>
            </w:r>
          </w:p>
        </w:tc>
        <w:tc>
          <w:tcPr>
            <w:tcW w:w="3239" w:type="dxa"/>
            <w:tcBorders>
              <w:right w:val="single" w:sz="4" w:space="0" w:color="auto"/>
            </w:tcBorders>
          </w:tcPr>
          <w:p w14:paraId="0ADC35DF" w14:textId="2CBEF832" w:rsidR="00D053C5" w:rsidRPr="001412EE" w:rsidRDefault="005E5652" w:rsidP="0048665D">
            <w:pPr>
              <w:tabs>
                <w:tab w:val="left" w:pos="567"/>
              </w:tabs>
              <w:jc w:val="both"/>
              <w:rPr>
                <w:i/>
                <w:iCs/>
                <w:lang w:eastAsia="lt-LT"/>
              </w:rPr>
            </w:pPr>
            <w:r>
              <w:rPr>
                <w:rFonts w:eastAsia="Arial"/>
                <w:bCs/>
              </w:rPr>
              <w:t>*****</w:t>
            </w:r>
          </w:p>
        </w:tc>
      </w:tr>
      <w:tr w:rsidR="00D053C5" w:rsidRPr="001412EE" w14:paraId="4DBB05ED" w14:textId="77777777" w:rsidTr="0048665D">
        <w:trPr>
          <w:trHeight w:val="267"/>
          <w:jc w:val="center"/>
        </w:trPr>
        <w:tc>
          <w:tcPr>
            <w:tcW w:w="6200" w:type="dxa"/>
            <w:tcBorders>
              <w:left w:val="single" w:sz="4" w:space="0" w:color="auto"/>
              <w:bottom w:val="single" w:sz="4" w:space="0" w:color="auto"/>
              <w:right w:val="single" w:sz="4" w:space="0" w:color="auto"/>
            </w:tcBorders>
          </w:tcPr>
          <w:p w14:paraId="798322C2" w14:textId="77777777" w:rsidR="00D053C5" w:rsidRPr="001412EE" w:rsidRDefault="00D053C5" w:rsidP="0048665D">
            <w:pPr>
              <w:tabs>
                <w:tab w:val="left" w:pos="567"/>
              </w:tabs>
              <w:jc w:val="right"/>
              <w:rPr>
                <w:iCs/>
                <w:lang w:eastAsia="lt-LT"/>
              </w:rPr>
            </w:pPr>
            <w:r w:rsidRPr="001412EE">
              <w:rPr>
                <w:iCs/>
                <w:lang w:eastAsia="lt-LT"/>
              </w:rPr>
              <w:t>Referencinė kaštų naudingumo vertė</w:t>
            </w:r>
          </w:p>
        </w:tc>
        <w:tc>
          <w:tcPr>
            <w:tcW w:w="3239" w:type="dxa"/>
            <w:tcBorders>
              <w:left w:val="single" w:sz="4" w:space="0" w:color="auto"/>
              <w:bottom w:val="single" w:sz="4" w:space="0" w:color="auto"/>
              <w:right w:val="single" w:sz="4" w:space="0" w:color="auto"/>
            </w:tcBorders>
          </w:tcPr>
          <w:p w14:paraId="36D969C2" w14:textId="1C225834" w:rsidR="00D053C5" w:rsidRPr="001412EE" w:rsidRDefault="005E5652" w:rsidP="0048665D">
            <w:pPr>
              <w:tabs>
                <w:tab w:val="left" w:pos="567"/>
              </w:tabs>
              <w:jc w:val="both"/>
              <w:rPr>
                <w:i/>
                <w:iCs/>
                <w:lang w:eastAsia="lt-LT"/>
              </w:rPr>
            </w:pPr>
            <w:r>
              <w:rPr>
                <w:rFonts w:eastAsia="Arial"/>
                <w:bCs/>
              </w:rPr>
              <w:t>*****</w:t>
            </w:r>
            <w:r w:rsidRPr="00E758DD">
              <w:rPr>
                <w:rFonts w:eastAsia="Arial"/>
                <w:bCs/>
              </w:rPr>
              <w:t xml:space="preserve"> </w:t>
            </w:r>
            <w:r w:rsidR="00D053C5" w:rsidRPr="001412EE">
              <w:rPr>
                <w:rFonts w:eastAsiaTheme="minorHAnsi"/>
              </w:rPr>
              <w:t>Eur/QALY</w:t>
            </w:r>
          </w:p>
        </w:tc>
      </w:tr>
    </w:tbl>
    <w:p w14:paraId="1ADF35C2" w14:textId="77777777" w:rsidR="00D053C5" w:rsidRPr="001412EE" w:rsidRDefault="00D053C5" w:rsidP="00D053C5">
      <w:pPr>
        <w:tabs>
          <w:tab w:val="left" w:pos="567"/>
        </w:tabs>
        <w:jc w:val="both"/>
        <w:rPr>
          <w:iCs/>
          <w:sz w:val="20"/>
          <w:lang w:eastAsia="lt-LT"/>
        </w:rPr>
      </w:pPr>
      <w:r w:rsidRPr="001412EE">
        <w:rPr>
          <w:iCs/>
          <w:sz w:val="20"/>
          <w:lang w:eastAsia="lt-LT"/>
        </w:rPr>
        <w:t>ICER – (</w:t>
      </w:r>
      <w:r w:rsidRPr="001412EE">
        <w:rPr>
          <w:i/>
          <w:sz w:val="20"/>
          <w:lang w:eastAsia="lt-LT"/>
        </w:rPr>
        <w:t>angl. incremental cost-effectiveness ratio</w:t>
      </w:r>
      <w:r w:rsidRPr="001412EE">
        <w:rPr>
          <w:iCs/>
          <w:sz w:val="20"/>
          <w:lang w:eastAsia="lt-LT"/>
        </w:rPr>
        <w:t>) inkrementinis kaštų naudingumo koeficientas; LY – (</w:t>
      </w:r>
      <w:r w:rsidRPr="001412EE">
        <w:rPr>
          <w:i/>
          <w:sz w:val="20"/>
          <w:lang w:eastAsia="lt-LT"/>
        </w:rPr>
        <w:t>angl. life years</w:t>
      </w:r>
      <w:r w:rsidRPr="001412EE">
        <w:rPr>
          <w:iCs/>
          <w:sz w:val="20"/>
          <w:lang w:eastAsia="lt-LT"/>
        </w:rPr>
        <w:t>) gyvenimo metai; QALY- (</w:t>
      </w:r>
      <w:r w:rsidRPr="001412EE">
        <w:rPr>
          <w:i/>
          <w:sz w:val="20"/>
          <w:lang w:eastAsia="lt-LT"/>
        </w:rPr>
        <w:t xml:space="preserve">angl. quality adjusted life years) </w:t>
      </w:r>
      <w:r w:rsidRPr="001412EE">
        <w:rPr>
          <w:iCs/>
          <w:sz w:val="20"/>
          <w:lang w:eastAsia="lt-LT"/>
        </w:rPr>
        <w:t>kokybiški gyvenimo metai.</w:t>
      </w:r>
    </w:p>
    <w:p w14:paraId="33875138" w14:textId="77777777" w:rsidR="0035172D" w:rsidRDefault="0035172D" w:rsidP="00A93AA6">
      <w:pPr>
        <w:tabs>
          <w:tab w:val="left" w:pos="426"/>
        </w:tabs>
        <w:rPr>
          <w:b/>
          <w:bCs/>
          <w:caps/>
        </w:rPr>
      </w:pPr>
    </w:p>
    <w:p w14:paraId="6C5DCA70" w14:textId="77777777" w:rsidR="0045089C" w:rsidRPr="00E33EFF" w:rsidRDefault="0045089C" w:rsidP="00A93AA6">
      <w:pPr>
        <w:tabs>
          <w:tab w:val="left" w:pos="426"/>
        </w:tabs>
        <w:rPr>
          <w:b/>
          <w:bCs/>
          <w:caps/>
        </w:rPr>
      </w:pPr>
    </w:p>
    <w:p w14:paraId="4FC424F9" w14:textId="4E767245" w:rsidR="00C62B36" w:rsidRPr="00E33EFF" w:rsidRDefault="00C62B36" w:rsidP="00CC09D4">
      <w:pPr>
        <w:pStyle w:val="ListParagraph"/>
        <w:numPr>
          <w:ilvl w:val="0"/>
          <w:numId w:val="12"/>
        </w:numPr>
        <w:tabs>
          <w:tab w:val="left" w:pos="567"/>
        </w:tabs>
        <w:ind w:hanging="720"/>
        <w:rPr>
          <w:b/>
          <w:bCs/>
          <w:caps/>
        </w:rPr>
      </w:pPr>
      <w:r w:rsidRPr="00E33EFF">
        <w:rPr>
          <w:b/>
          <w:bCs/>
          <w:caps/>
        </w:rPr>
        <w:t xml:space="preserve">Pacientų organizacijų pateikti duomenys </w:t>
      </w:r>
    </w:p>
    <w:p w14:paraId="79BCFF40" w14:textId="1992DF4A" w:rsidR="00937907" w:rsidRPr="00E33EFF" w:rsidRDefault="00000000"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Content>
          <w:r w:rsidR="00937907" w:rsidRPr="00E33EFF">
            <w:rPr>
              <w:rStyle w:val="Style2"/>
              <w:rFonts w:ascii="MS Gothic" w:eastAsia="MS Gothic" w:hAnsi="MS Gothic" w:hint="eastAsia"/>
              <w:sz w:val="24"/>
            </w:rPr>
            <w:t>☐</w:t>
          </w:r>
        </w:sdtContent>
      </w:sdt>
      <w:r w:rsidR="00937907" w:rsidRPr="00E33EFF">
        <w:t xml:space="preserve"> Pacientų organizacijos pozicija pateikta. Žr. priedą.</w:t>
      </w:r>
    </w:p>
    <w:p w14:paraId="62992180" w14:textId="337C8B97" w:rsidR="00937907" w:rsidRPr="00E33EFF" w:rsidRDefault="00000000"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Content>
          <w:r w:rsidR="00BE3577">
            <w:rPr>
              <w:rStyle w:val="Style2"/>
              <w:rFonts w:ascii="MS Gothic" w:eastAsia="MS Gothic" w:hAnsi="MS Gothic" w:hint="eastAsia"/>
              <w:sz w:val="24"/>
            </w:rPr>
            <w:t>☒</w:t>
          </w:r>
        </w:sdtContent>
      </w:sdt>
      <w:r w:rsidR="00937907" w:rsidRPr="00E33EFF">
        <w:t xml:space="preserve"> Pacientų organizacijos pozicija </w:t>
      </w:r>
      <w:r w:rsidR="00880A44" w:rsidRPr="00E33EFF">
        <w:t>ne</w:t>
      </w:r>
      <w:r w:rsidR="00937907" w:rsidRPr="00E33EFF">
        <w:t>pateikta.</w:t>
      </w:r>
    </w:p>
    <w:p w14:paraId="03E73D82" w14:textId="77777777" w:rsidR="00D417D2" w:rsidRPr="00E33EFF" w:rsidRDefault="00D417D2" w:rsidP="00937907">
      <w:pPr>
        <w:spacing w:after="120"/>
        <w:jc w:val="both"/>
      </w:pPr>
    </w:p>
    <w:p w14:paraId="3D3277FA" w14:textId="3CEEB2D2" w:rsidR="00C62B36" w:rsidRPr="00E33EFF" w:rsidRDefault="00C62B36" w:rsidP="00CC09D4">
      <w:pPr>
        <w:pStyle w:val="ListParagraph"/>
        <w:numPr>
          <w:ilvl w:val="0"/>
          <w:numId w:val="12"/>
        </w:numPr>
        <w:tabs>
          <w:tab w:val="left" w:pos="567"/>
        </w:tabs>
        <w:ind w:hanging="720"/>
        <w:rPr>
          <w:b/>
          <w:bCs/>
          <w:caps/>
        </w:rPr>
      </w:pPr>
      <w:r w:rsidRPr="00E33EFF">
        <w:rPr>
          <w:b/>
          <w:bCs/>
          <w:caps/>
        </w:rPr>
        <w:t>Gydytojų organizacijų pateikti duomenys</w:t>
      </w:r>
    </w:p>
    <w:p w14:paraId="389A346C" w14:textId="17184B64" w:rsidR="00937907" w:rsidRPr="00E33EFF" w:rsidRDefault="00000000" w:rsidP="00662983">
      <w:pPr>
        <w:spacing w:after="120"/>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Content>
          <w:r w:rsidR="00937907" w:rsidRPr="00E33EFF">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pateikta. </w:t>
      </w:r>
      <w:r w:rsidR="00662983" w:rsidRPr="00E33EFF">
        <w:t>Žr. priedą</w:t>
      </w:r>
      <w:r w:rsidR="00937907" w:rsidRPr="00E33EFF">
        <w:t>.</w:t>
      </w:r>
    </w:p>
    <w:p w14:paraId="5D8CC48C" w14:textId="61EA4D71" w:rsidR="00662983" w:rsidRPr="00E33EFF" w:rsidRDefault="00000000" w:rsidP="00662983">
      <w:pPr>
        <w:spacing w:after="120"/>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Content>
          <w:r w:rsidR="00BE3577">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w:t>
      </w:r>
      <w:r w:rsidR="00880A44" w:rsidRPr="00E33EFF">
        <w:t>ne</w:t>
      </w:r>
      <w:r w:rsidR="00937907" w:rsidRPr="00E33EFF">
        <w:t>pateikta.</w:t>
      </w:r>
    </w:p>
    <w:p w14:paraId="3701D46A" w14:textId="77777777" w:rsidR="00A042B9" w:rsidRPr="00E33EFF" w:rsidRDefault="00A042B9" w:rsidP="00662983">
      <w:pPr>
        <w:spacing w:after="120"/>
        <w:jc w:val="both"/>
      </w:pPr>
    </w:p>
    <w:p w14:paraId="78F23ECB" w14:textId="23A3A002" w:rsidR="002F0E4F" w:rsidRPr="00E33EFF" w:rsidRDefault="002F0E4F" w:rsidP="00CC09D4">
      <w:pPr>
        <w:pStyle w:val="ListParagraph"/>
        <w:numPr>
          <w:ilvl w:val="0"/>
          <w:numId w:val="12"/>
        </w:numPr>
        <w:tabs>
          <w:tab w:val="left" w:pos="567"/>
        </w:tabs>
        <w:ind w:hanging="720"/>
        <w:rPr>
          <w:b/>
          <w:bCs/>
          <w:caps/>
        </w:rPr>
      </w:pPr>
      <w:r w:rsidRPr="00E33EFF">
        <w:rPr>
          <w:b/>
          <w:bCs/>
          <w:caps/>
        </w:rPr>
        <w:t xml:space="preserve">Išvada </w:t>
      </w:r>
    </w:p>
    <w:p w14:paraId="30069D85" w14:textId="77777777" w:rsidR="0061611B" w:rsidRPr="00BF3927" w:rsidRDefault="0061611B" w:rsidP="0061611B">
      <w:pPr>
        <w:ind w:left="360"/>
        <w:rPr>
          <w:i/>
          <w:color w:val="000000" w:themeColor="text1"/>
          <w:szCs w:val="22"/>
        </w:rPr>
      </w:pPr>
    </w:p>
    <w:tbl>
      <w:tblPr>
        <w:tblStyle w:val="TableGrid"/>
        <w:tblW w:w="0" w:type="auto"/>
        <w:tblInd w:w="-5" w:type="dxa"/>
        <w:tblLook w:val="04A0" w:firstRow="1" w:lastRow="0" w:firstColumn="1" w:lastColumn="0" w:noHBand="0" w:noVBand="1"/>
      </w:tblPr>
      <w:tblGrid>
        <w:gridCol w:w="4815"/>
        <w:gridCol w:w="4814"/>
      </w:tblGrid>
      <w:tr w:rsidR="00BA6A88" w:rsidRPr="001A132A" w14:paraId="088B6AEF" w14:textId="77777777" w:rsidTr="00E5611D">
        <w:trPr>
          <w:trHeight w:val="510"/>
        </w:trPr>
        <w:tc>
          <w:tcPr>
            <w:tcW w:w="9629" w:type="dxa"/>
            <w:gridSpan w:val="2"/>
            <w:vAlign w:val="center"/>
          </w:tcPr>
          <w:p w14:paraId="780C3CF5" w14:textId="77777777" w:rsidR="00BA6A88" w:rsidRPr="001A132A" w:rsidRDefault="00BA6A88" w:rsidP="00E5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3"/>
                <w:szCs w:val="23"/>
              </w:rPr>
            </w:pPr>
            <w:r w:rsidRPr="001A132A">
              <w:rPr>
                <w:rStyle w:val="Style2"/>
                <w:rFonts w:eastAsia="MS Gothic"/>
                <w:b/>
                <w:bCs/>
                <w:sz w:val="23"/>
                <w:szCs w:val="23"/>
              </w:rPr>
              <w:t>Palyginamasis veiksmingumas</w:t>
            </w:r>
          </w:p>
        </w:tc>
      </w:tr>
      <w:tr w:rsidR="00BA6A88" w:rsidRPr="001A132A" w14:paraId="1CBE9111" w14:textId="77777777" w:rsidTr="00E5611D">
        <w:tc>
          <w:tcPr>
            <w:tcW w:w="4815" w:type="dxa"/>
          </w:tcPr>
          <w:p w14:paraId="679203E6" w14:textId="00D0EF04" w:rsidR="00BA6A88" w:rsidRPr="001A132A" w:rsidRDefault="00000000" w:rsidP="00E5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397324644"/>
                <w15:color w:val="FFCC00"/>
                <w14:checkbox>
                  <w14:checked w14:val="1"/>
                  <w14:checkedState w14:val="2612" w14:font="MS Gothic"/>
                  <w14:uncheckedState w14:val="2610" w14:font="MS Gothic"/>
                </w14:checkbox>
              </w:sdtPr>
              <w:sdtContent>
                <w:r w:rsidR="00DD6247">
                  <w:rPr>
                    <w:rStyle w:val="Style2"/>
                    <w:rFonts w:ascii="MS Gothic" w:eastAsia="MS Gothic" w:hAnsi="MS Gothic" w:hint="eastAsia"/>
                    <w:sz w:val="23"/>
                    <w:szCs w:val="23"/>
                  </w:rPr>
                  <w:t>☒</w:t>
                </w:r>
              </w:sdtContent>
            </w:sdt>
            <w:r w:rsidR="00BA6A88" w:rsidRPr="001A132A">
              <w:rPr>
                <w:rStyle w:val="Style2"/>
                <w:sz w:val="23"/>
                <w:szCs w:val="23"/>
              </w:rPr>
              <w:t xml:space="preserve"> 29</w:t>
            </w:r>
            <w:r w:rsidR="00BA6A88" w:rsidRPr="001A132A">
              <w:rPr>
                <w:sz w:val="23"/>
                <w:szCs w:val="23"/>
              </w:rPr>
              <w:t>.1.1 yra didesnis, lyginant su įprasta klinikine praktika</w:t>
            </w:r>
          </w:p>
          <w:p w14:paraId="67AC8DC8" w14:textId="77777777" w:rsidR="00BA6A88" w:rsidRPr="001A132A" w:rsidRDefault="00BA6A88" w:rsidP="00E5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61C81BD4" w14:textId="43824A57" w:rsidR="00BA6A88" w:rsidRPr="001A132A" w:rsidRDefault="00000000" w:rsidP="00E5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3"/>
                <w:szCs w:val="23"/>
              </w:rPr>
            </w:pPr>
            <w:sdt>
              <w:sdtPr>
                <w:rPr>
                  <w:rStyle w:val="Style2"/>
                  <w:sz w:val="23"/>
                  <w:szCs w:val="23"/>
                </w:rPr>
                <w:id w:val="418297090"/>
                <w15:color w:val="FFCC00"/>
                <w14:checkbox>
                  <w14:checked w14:val="0"/>
                  <w14:checkedState w14:val="2612" w14:font="MS Gothic"/>
                  <w14:uncheckedState w14:val="2610" w14:font="MS Gothic"/>
                </w14:checkbox>
              </w:sdtPr>
              <w:sdtContent>
                <w:r w:rsidR="00347315">
                  <w:rPr>
                    <w:rStyle w:val="Style2"/>
                    <w:rFonts w:ascii="MS Gothic" w:eastAsia="MS Gothic" w:hAnsi="MS Gothic" w:hint="eastAsia"/>
                    <w:sz w:val="23"/>
                    <w:szCs w:val="23"/>
                  </w:rPr>
                  <w:t>☐</w:t>
                </w:r>
              </w:sdtContent>
            </w:sdt>
            <w:r w:rsidR="00BA6A88" w:rsidRPr="001A132A">
              <w:rPr>
                <w:sz w:val="23"/>
                <w:szCs w:val="23"/>
              </w:rPr>
              <w:t xml:space="preserve"> </w:t>
            </w:r>
            <w:r w:rsidR="00BA6A88" w:rsidRPr="001A132A">
              <w:rPr>
                <w:rStyle w:val="Style2"/>
                <w:sz w:val="23"/>
                <w:szCs w:val="23"/>
              </w:rPr>
              <w:t>29</w:t>
            </w:r>
            <w:r w:rsidR="00BA6A88" w:rsidRPr="001A132A">
              <w:rPr>
                <w:sz w:val="23"/>
                <w:szCs w:val="23"/>
              </w:rPr>
              <w:t>.1.2 iš esmės nesiskiria, lyginant su įprasta klinikine praktika</w:t>
            </w:r>
          </w:p>
        </w:tc>
        <w:tc>
          <w:tcPr>
            <w:tcW w:w="4814" w:type="dxa"/>
          </w:tcPr>
          <w:p w14:paraId="54E07C9D" w14:textId="77777777" w:rsidR="00BA6A88" w:rsidRPr="001A132A" w:rsidRDefault="00000000" w:rsidP="00E5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724755596"/>
                <w15:color w:val="FFCC00"/>
                <w14:checkbox>
                  <w14:checked w14:val="0"/>
                  <w14:checkedState w14:val="2612" w14:font="MS Gothic"/>
                  <w14:uncheckedState w14:val="2610" w14:font="MS Gothic"/>
                </w14:checkbox>
              </w:sdtPr>
              <w:sdtContent>
                <w:r w:rsidR="00BA6A88" w:rsidRPr="001A132A">
                  <w:rPr>
                    <w:rStyle w:val="Style2"/>
                    <w:rFonts w:ascii="Segoe UI Symbol" w:eastAsia="MS Gothic" w:hAnsi="Segoe UI Symbol" w:cs="Segoe UI Symbol"/>
                    <w:sz w:val="23"/>
                    <w:szCs w:val="23"/>
                  </w:rPr>
                  <w:t>☐</w:t>
                </w:r>
              </w:sdtContent>
            </w:sdt>
            <w:r w:rsidR="00BA6A88" w:rsidRPr="001A132A">
              <w:rPr>
                <w:sz w:val="23"/>
                <w:szCs w:val="23"/>
              </w:rPr>
              <w:t xml:space="preserve"> </w:t>
            </w:r>
            <w:r w:rsidR="00BA6A88" w:rsidRPr="001A132A">
              <w:rPr>
                <w:rStyle w:val="Style2"/>
                <w:sz w:val="23"/>
                <w:szCs w:val="23"/>
              </w:rPr>
              <w:t>29</w:t>
            </w:r>
            <w:r w:rsidR="00BA6A88" w:rsidRPr="001A132A">
              <w:rPr>
                <w:sz w:val="23"/>
                <w:szCs w:val="23"/>
              </w:rPr>
              <w:t xml:space="preserve">.1.3 yra neįrodytas kaip didesnis  ar iš esmės nesiskiriantis, lyginant su įprasta klinikine praktika  </w:t>
            </w:r>
          </w:p>
          <w:p w14:paraId="431982C1" w14:textId="77777777" w:rsidR="00BA6A88" w:rsidRPr="001A132A" w:rsidRDefault="00BA6A88" w:rsidP="00E5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44B9F949" w14:textId="77777777" w:rsidR="00BA6A88" w:rsidRPr="001A132A" w:rsidRDefault="00000000" w:rsidP="00E5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862168479"/>
                <w15:color w:val="FFCC00"/>
                <w14:checkbox>
                  <w14:checked w14:val="0"/>
                  <w14:checkedState w14:val="2612" w14:font="MS Gothic"/>
                  <w14:uncheckedState w14:val="2610" w14:font="MS Gothic"/>
                </w14:checkbox>
              </w:sdtPr>
              <w:sdtContent>
                <w:r w:rsidR="00BA6A88" w:rsidRPr="001A132A">
                  <w:rPr>
                    <w:rStyle w:val="Style2"/>
                    <w:rFonts w:ascii="Segoe UI Symbol" w:eastAsia="MS Gothic" w:hAnsi="Segoe UI Symbol" w:cs="Segoe UI Symbol"/>
                    <w:sz w:val="23"/>
                    <w:szCs w:val="23"/>
                  </w:rPr>
                  <w:t>☐</w:t>
                </w:r>
              </w:sdtContent>
            </w:sdt>
            <w:r w:rsidR="00BA6A88" w:rsidRPr="001A132A">
              <w:rPr>
                <w:sz w:val="23"/>
                <w:szCs w:val="23"/>
              </w:rPr>
              <w:t xml:space="preserve"> </w:t>
            </w:r>
            <w:r w:rsidR="00BA6A88" w:rsidRPr="001A132A">
              <w:rPr>
                <w:rStyle w:val="Style2"/>
                <w:sz w:val="23"/>
                <w:szCs w:val="23"/>
              </w:rPr>
              <w:t>29</w:t>
            </w:r>
            <w:r w:rsidR="00BA6A88" w:rsidRPr="001A132A">
              <w:rPr>
                <w:sz w:val="23"/>
                <w:szCs w:val="23"/>
              </w:rPr>
              <w:t>.1.4 yra mažesnis, lyginant su įprasta klinikine praktika</w:t>
            </w:r>
          </w:p>
          <w:p w14:paraId="2D9D30D3" w14:textId="77777777" w:rsidR="00BA6A88" w:rsidRPr="001A132A" w:rsidRDefault="00BA6A88" w:rsidP="00E5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0266D730" w14:textId="77777777" w:rsidR="00BA6A88" w:rsidRPr="001A132A" w:rsidRDefault="00000000" w:rsidP="00E5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857960180"/>
                <w15:color w:val="FFCC00"/>
                <w14:checkbox>
                  <w14:checked w14:val="0"/>
                  <w14:checkedState w14:val="2612" w14:font="MS Gothic"/>
                  <w14:uncheckedState w14:val="2610" w14:font="MS Gothic"/>
                </w14:checkbox>
              </w:sdtPr>
              <w:sdtContent>
                <w:r w:rsidR="00BA6A88" w:rsidRPr="001A132A">
                  <w:rPr>
                    <w:rStyle w:val="Style2"/>
                    <w:rFonts w:ascii="Segoe UI Symbol" w:eastAsia="MS Gothic" w:hAnsi="Segoe UI Symbol" w:cs="Segoe UI Symbol"/>
                    <w:sz w:val="23"/>
                    <w:szCs w:val="23"/>
                  </w:rPr>
                  <w:t>☐</w:t>
                </w:r>
              </w:sdtContent>
            </w:sdt>
            <w:r w:rsidR="00BA6A88" w:rsidRPr="001A132A">
              <w:rPr>
                <w:sz w:val="23"/>
                <w:szCs w:val="23"/>
              </w:rPr>
              <w:t xml:space="preserve">  </w:t>
            </w:r>
            <w:r w:rsidR="00BA6A88" w:rsidRPr="001A132A">
              <w:rPr>
                <w:rStyle w:val="Style2"/>
                <w:sz w:val="23"/>
                <w:szCs w:val="23"/>
              </w:rPr>
              <w:t>29</w:t>
            </w:r>
            <w:r w:rsidR="00BA6A88" w:rsidRPr="001A132A">
              <w:rPr>
                <w:sz w:val="23"/>
                <w:szCs w:val="23"/>
              </w:rPr>
              <w:t>.1.5 pateikti duomenys apie palyginamąjį veiksmingumą yra netinkami vertinti</w:t>
            </w:r>
          </w:p>
          <w:p w14:paraId="3E59F952" w14:textId="77777777" w:rsidR="00BA6A88" w:rsidRPr="001A132A" w:rsidRDefault="00BA6A88" w:rsidP="00E5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tbl>
    <w:tbl>
      <w:tblPr>
        <w:tblStyle w:val="NexusValuesgrey1"/>
        <w:tblW w:w="0" w:type="auto"/>
        <w:tblInd w:w="-5" w:type="dxa"/>
        <w:tblLook w:val="04A0" w:firstRow="1" w:lastRow="0" w:firstColumn="1" w:lastColumn="0" w:noHBand="0" w:noVBand="1"/>
      </w:tblPr>
      <w:tblGrid>
        <w:gridCol w:w="4820"/>
        <w:gridCol w:w="4814"/>
      </w:tblGrid>
      <w:tr w:rsidR="002B520B" w:rsidRPr="00A0356D" w14:paraId="58F50708" w14:textId="77777777" w:rsidTr="00815633">
        <w:trPr>
          <w:trHeight w:val="510"/>
        </w:trPr>
        <w:tc>
          <w:tcPr>
            <w:tcW w:w="9634" w:type="dxa"/>
            <w:gridSpan w:val="2"/>
            <w:vAlign w:val="center"/>
          </w:tcPr>
          <w:p w14:paraId="5CCDA9B9" w14:textId="77777777" w:rsidR="002B520B" w:rsidRPr="00A0356D" w:rsidRDefault="002B520B" w:rsidP="008156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Style2"/>
                <w:rFonts w:eastAsia="MS Gothic"/>
                <w:b/>
                <w:bCs/>
              </w:rPr>
            </w:pPr>
            <w:r w:rsidRPr="00A0356D">
              <w:rPr>
                <w:rStyle w:val="Style2"/>
                <w:rFonts w:eastAsia="MS Gothic"/>
                <w:b/>
                <w:bCs/>
              </w:rPr>
              <w:t>Kaštų naudingumas</w:t>
            </w:r>
          </w:p>
        </w:tc>
      </w:tr>
      <w:tr w:rsidR="002B520B" w:rsidRPr="00A0356D" w14:paraId="723E519D" w14:textId="77777777" w:rsidTr="00815633">
        <w:tc>
          <w:tcPr>
            <w:tcW w:w="4820" w:type="dxa"/>
          </w:tcPr>
          <w:p w14:paraId="4B1B9C2A" w14:textId="77777777" w:rsidR="002B520B" w:rsidRPr="00A0356D" w:rsidRDefault="00000000" w:rsidP="008156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rPr>
                <w:id w:val="301657889"/>
                <w15:color w:val="FFCC00"/>
                <w14:checkbox>
                  <w14:checked w14:val="1"/>
                  <w14:checkedState w14:val="2612" w14:font="MS Gothic"/>
                  <w14:uncheckedState w14:val="2610" w14:font="MS Gothic"/>
                </w14:checkbox>
              </w:sdtPr>
              <w:sdtContent>
                <w:r w:rsidR="002B520B">
                  <w:rPr>
                    <w:rStyle w:val="Style2"/>
                    <w:rFonts w:ascii="MS Gothic" w:eastAsia="MS Gothic" w:hAnsi="MS Gothic" w:hint="eastAsia"/>
                  </w:rPr>
                  <w:t>☒</w:t>
                </w:r>
              </w:sdtContent>
            </w:sdt>
            <w:r w:rsidR="002B520B" w:rsidRPr="00A0356D">
              <w:t xml:space="preserve"> 29.2.1 atitinka referencinę naudingumo vertę taikant arba netaikant</w:t>
            </w:r>
            <w:r w:rsidR="002B520B" w:rsidRPr="00A0356D">
              <w:rPr>
                <w:b/>
                <w:bCs/>
              </w:rPr>
              <w:t xml:space="preserve"> </w:t>
            </w:r>
            <w:r w:rsidR="002B520B" w:rsidRPr="00A0356D">
              <w:t>PGS</w:t>
            </w:r>
          </w:p>
          <w:p w14:paraId="7D42E46D" w14:textId="77777777" w:rsidR="002B520B" w:rsidRPr="00A0356D" w:rsidRDefault="002B520B" w:rsidP="008156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A421C64" w14:textId="77777777" w:rsidR="002B520B" w:rsidRPr="00A0356D" w:rsidRDefault="002B520B" w:rsidP="008156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rFonts w:eastAsia="MS Gothic"/>
              </w:rPr>
            </w:pPr>
          </w:p>
        </w:tc>
        <w:tc>
          <w:tcPr>
            <w:tcW w:w="4814" w:type="dxa"/>
          </w:tcPr>
          <w:p w14:paraId="2547E64C" w14:textId="77777777" w:rsidR="002B520B" w:rsidRPr="00A0356D" w:rsidRDefault="00000000" w:rsidP="008156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rPr>
                <w:id w:val="791860283"/>
                <w15:color w:val="FFCC00"/>
                <w14:checkbox>
                  <w14:checked w14:val="0"/>
                  <w14:checkedState w14:val="2612" w14:font="MS Gothic"/>
                  <w14:uncheckedState w14:val="2610" w14:font="MS Gothic"/>
                </w14:checkbox>
              </w:sdtPr>
              <w:sdtContent>
                <w:r w:rsidR="002B520B">
                  <w:rPr>
                    <w:rStyle w:val="Style2"/>
                    <w:rFonts w:ascii="MS Gothic" w:eastAsia="MS Gothic" w:hAnsi="MS Gothic" w:hint="eastAsia"/>
                  </w:rPr>
                  <w:t>☐</w:t>
                </w:r>
              </w:sdtContent>
            </w:sdt>
            <w:r w:rsidR="002B520B" w:rsidRPr="00A0356D">
              <w:t xml:space="preserve"> 29.2.3 neatitinka referencinės naudingumo vertės taikant arba netaikant PGS</w:t>
            </w:r>
          </w:p>
          <w:p w14:paraId="525AAD67" w14:textId="77777777" w:rsidR="002B520B" w:rsidRPr="00A0356D" w:rsidRDefault="002B520B" w:rsidP="008156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7BBB204E" w14:textId="77777777" w:rsidR="002B520B" w:rsidRPr="00A0356D" w:rsidRDefault="002B520B" w:rsidP="008156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4D35303" w14:textId="77777777" w:rsidR="002B520B" w:rsidRPr="00A0356D" w:rsidRDefault="00000000" w:rsidP="008156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sdt>
              <w:sdtPr>
                <w:rPr>
                  <w:rStyle w:val="Style2"/>
                </w:rPr>
                <w:id w:val="-943849855"/>
                <w15:color w:val="FFCC00"/>
                <w14:checkbox>
                  <w14:checked w14:val="0"/>
                  <w14:checkedState w14:val="2612" w14:font="MS Gothic"/>
                  <w14:uncheckedState w14:val="2610" w14:font="MS Gothic"/>
                </w14:checkbox>
              </w:sdtPr>
              <w:sdtContent>
                <w:r w:rsidR="002B520B" w:rsidRPr="00A0356D">
                  <w:rPr>
                    <w:rStyle w:val="Style2"/>
                    <w:rFonts w:ascii="Segoe UI Symbol" w:eastAsia="MS Gothic" w:hAnsi="Segoe UI Symbol" w:cs="Segoe UI Symbol"/>
                  </w:rPr>
                  <w:t>☐</w:t>
                </w:r>
              </w:sdtContent>
            </w:sdt>
            <w:r w:rsidR="002B520B" w:rsidRPr="00A0356D">
              <w:t xml:space="preserve"> 29.2.5 pateikti duomenys apie kaštų naudingumą yra netinkami vertinti</w:t>
            </w:r>
          </w:p>
          <w:p w14:paraId="4A246B89" w14:textId="77777777" w:rsidR="002B520B" w:rsidRPr="00A0356D" w:rsidRDefault="002B520B" w:rsidP="008156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rFonts w:eastAsia="MS Gothic"/>
              </w:rPr>
            </w:pPr>
          </w:p>
        </w:tc>
      </w:tr>
      <w:tr w:rsidR="002B520B" w:rsidRPr="00A0356D" w14:paraId="073C589E" w14:textId="77777777" w:rsidTr="00815633">
        <w:tc>
          <w:tcPr>
            <w:tcW w:w="9634" w:type="dxa"/>
            <w:gridSpan w:val="2"/>
          </w:tcPr>
          <w:p w14:paraId="5BCDF4FC" w14:textId="77777777" w:rsidR="002B520B" w:rsidRPr="00A0356D" w:rsidRDefault="00000000" w:rsidP="008156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rPr>
            </w:pPr>
            <w:sdt>
              <w:sdtPr>
                <w:rPr>
                  <w:rStyle w:val="Style2"/>
                </w:rPr>
                <w:id w:val="1266579562"/>
                <w15:color w:val="FFCC00"/>
                <w14:checkbox>
                  <w14:checked w14:val="0"/>
                  <w14:checkedState w14:val="2612" w14:font="MS Gothic"/>
                  <w14:uncheckedState w14:val="2610" w14:font="MS Gothic"/>
                </w14:checkbox>
              </w:sdtPr>
              <w:sdtContent>
                <w:r w:rsidR="002B520B" w:rsidRPr="00A0356D">
                  <w:rPr>
                    <w:rStyle w:val="Style2"/>
                    <w:rFonts w:ascii="Segoe UI Symbol" w:eastAsia="MS Gothic" w:hAnsi="Segoe UI Symbol" w:cs="Segoe UI Symbol"/>
                  </w:rPr>
                  <w:t>☐</w:t>
                </w:r>
              </w:sdtContent>
            </w:sdt>
            <w:r w:rsidR="002B520B" w:rsidRPr="00A0356D">
              <w:t xml:space="preserve"> Vykdant Aprašo &lt;17</w:t>
            </w:r>
            <w:r w:rsidR="002B520B" w:rsidRPr="00A0356D">
              <w:rPr>
                <w:vertAlign w:val="superscript"/>
              </w:rPr>
              <w:t>3</w:t>
            </w:r>
            <w:r w:rsidR="002B520B" w:rsidRPr="00A0356D">
              <w:t>.1&gt;&lt;17</w:t>
            </w:r>
            <w:r w:rsidR="002B520B" w:rsidRPr="00A0356D">
              <w:rPr>
                <w:vertAlign w:val="superscript"/>
              </w:rPr>
              <w:t>3</w:t>
            </w:r>
            <w:r w:rsidR="002B520B" w:rsidRPr="00A0356D">
              <w:t>.2&gt;&lt;17</w:t>
            </w:r>
            <w:r w:rsidR="002B520B" w:rsidRPr="00A0356D">
              <w:rPr>
                <w:vertAlign w:val="superscript"/>
              </w:rPr>
              <w:t>3</w:t>
            </w:r>
            <w:r w:rsidR="002B520B" w:rsidRPr="00A0356D">
              <w:t>.3&gt; punktą vaistinio (-ų) preparato (-ų) ekonominis vertinimas neatliekamas, išvados dėl kaštų naudingumo neteikiamos</w:t>
            </w:r>
          </w:p>
        </w:tc>
      </w:tr>
    </w:tbl>
    <w:p w14:paraId="1B85C083" w14:textId="77777777" w:rsidR="009E44AE" w:rsidRPr="00E33EFF" w:rsidRDefault="009E44AE" w:rsidP="00381024"/>
    <w:p w14:paraId="133270A8" w14:textId="351C9FD3" w:rsidR="007D7D6C" w:rsidRPr="007D7D6C" w:rsidRDefault="000001B0" w:rsidP="007D7D6C">
      <w:pPr>
        <w:pStyle w:val="ListParagraph"/>
        <w:numPr>
          <w:ilvl w:val="0"/>
          <w:numId w:val="12"/>
        </w:numPr>
        <w:ind w:left="567" w:hanging="567"/>
      </w:pPr>
      <w:r w:rsidRPr="007D7D6C">
        <w:rPr>
          <w:b/>
        </w:rPr>
        <w:t>REKOME</w:t>
      </w:r>
      <w:r w:rsidR="00D83182" w:rsidRPr="007D7D6C">
        <w:rPr>
          <w:b/>
        </w:rPr>
        <w:t>N</w:t>
      </w:r>
      <w:r w:rsidRPr="007D7D6C">
        <w:rPr>
          <w:b/>
        </w:rPr>
        <w:t>DACIJA</w:t>
      </w:r>
    </w:p>
    <w:p w14:paraId="49087331" w14:textId="77777777" w:rsidR="007D7D6C" w:rsidRPr="007D7D6C" w:rsidRDefault="007D7D6C" w:rsidP="007D7D6C">
      <w:pPr>
        <w:pStyle w:val="ListParagraph"/>
        <w:ind w:left="567"/>
      </w:pPr>
    </w:p>
    <w:p w14:paraId="1FBAB620" w14:textId="63D6218A" w:rsidR="007D7D6C" w:rsidRDefault="007D7D6C" w:rsidP="007D7D6C">
      <w:pPr>
        <w:rPr>
          <w:rFonts w:eastAsia="Arial"/>
        </w:rPr>
      </w:pPr>
      <w:r w:rsidRPr="007D7D6C">
        <w:rPr>
          <w:rFonts w:eastAsia="Arial"/>
        </w:rPr>
        <w:t>Vadovaujantis Aprašo 30</w:t>
      </w:r>
      <w:r w:rsidRPr="007D7D6C">
        <w:rPr>
          <w:rFonts w:eastAsia="Arial"/>
          <w:vertAlign w:val="superscript"/>
        </w:rPr>
        <w:t>1</w:t>
      </w:r>
      <w:r w:rsidRPr="007D7D6C">
        <w:rPr>
          <w:rFonts w:eastAsia="Arial"/>
        </w:rPr>
        <w:t xml:space="preserve">.2. papunkčiu rekomenduojama kompensuoti vaistinį preparatą pagal paraiškoje nurodytą indikaciją (arba jos dalį) su arba be skyrimo sąlygų, </w:t>
      </w:r>
      <w:r w:rsidR="00C357BA">
        <w:rPr>
          <w:lang w:eastAsia="lt-LT"/>
        </w:rPr>
        <w:t>taikant/</w:t>
      </w:r>
      <w:r w:rsidR="00C357BA" w:rsidRPr="00FA4049">
        <w:rPr>
          <w:lang w:eastAsia="lt-LT"/>
        </w:rPr>
        <w:t>netaikant PGS, kai vertinimo išvados atitinka Aprašo 29.1.1 ir 29.2.1 papunkčiuose numatytas sąlygas.</w:t>
      </w:r>
    </w:p>
    <w:p w14:paraId="0CBB4A08" w14:textId="77777777" w:rsidR="00C357BA" w:rsidRPr="007D7D6C" w:rsidRDefault="00C357BA" w:rsidP="007D7D6C">
      <w:pPr>
        <w:rPr>
          <w:rFonts w:eastAsia="Arial"/>
        </w:rPr>
      </w:pPr>
    </w:p>
    <w:p w14:paraId="18121A53" w14:textId="18940A47" w:rsidR="007D7D6C" w:rsidRPr="007D7D6C" w:rsidRDefault="007D7D6C" w:rsidP="007D7D6C">
      <w:pPr>
        <w:spacing w:line="276" w:lineRule="auto"/>
        <w:jc w:val="both"/>
      </w:pPr>
      <w:r w:rsidRPr="007D7D6C">
        <w:rPr>
          <w:b/>
          <w:i/>
          <w:color w:val="000000"/>
          <w:lang w:eastAsia="lt-LT"/>
        </w:rPr>
        <w:t xml:space="preserve">Svarbu: </w:t>
      </w:r>
      <w:r w:rsidRPr="007D7D6C">
        <w:rPr>
          <w:rFonts w:eastAsia="Arial"/>
        </w:rPr>
        <w:t>Vadovaujantis Aprašo 30</w:t>
      </w:r>
      <w:r w:rsidRPr="007D7D6C">
        <w:rPr>
          <w:rFonts w:eastAsia="Arial"/>
          <w:vertAlign w:val="superscript"/>
        </w:rPr>
        <w:t>1</w:t>
      </w:r>
      <w:r w:rsidRPr="007D7D6C">
        <w:rPr>
          <w:rFonts w:eastAsia="Arial"/>
        </w:rPr>
        <w:t>.2. papunkčiu rekomenduojama kompensuoti vaistinį preparatą pagal paraiškoje nurodytą indikaciją</w:t>
      </w:r>
      <w:r w:rsidRPr="007D7D6C">
        <w:rPr>
          <w:color w:val="000000"/>
          <w:lang w:eastAsia="lt-LT"/>
        </w:rPr>
        <w:t xml:space="preserve">, Tarnyba rekomenduoja kompensuoti durvalumabą </w:t>
      </w:r>
      <w:r w:rsidR="00C357BA">
        <w:rPr>
          <w:color w:val="000000"/>
          <w:lang w:eastAsia="lt-LT"/>
        </w:rPr>
        <w:t>taikant</w:t>
      </w:r>
      <w:r w:rsidRPr="007D7D6C">
        <w:rPr>
          <w:color w:val="000000"/>
          <w:lang w:eastAsia="lt-LT"/>
        </w:rPr>
        <w:t xml:space="preserve"> paraiškoje pateikt</w:t>
      </w:r>
      <w:r w:rsidR="00C357BA">
        <w:rPr>
          <w:color w:val="000000"/>
          <w:lang w:eastAsia="lt-LT"/>
        </w:rPr>
        <w:t>ą</w:t>
      </w:r>
      <w:r w:rsidRPr="007D7D6C">
        <w:rPr>
          <w:color w:val="000000"/>
          <w:lang w:eastAsia="lt-LT"/>
        </w:rPr>
        <w:t xml:space="preserve"> kain</w:t>
      </w:r>
      <w:r w:rsidR="00C357BA">
        <w:rPr>
          <w:color w:val="000000"/>
          <w:lang w:eastAsia="lt-LT"/>
        </w:rPr>
        <w:t>ą</w:t>
      </w:r>
      <w:r w:rsidRPr="007D7D6C">
        <w:rPr>
          <w:color w:val="000000"/>
          <w:lang w:eastAsia="lt-LT"/>
        </w:rPr>
        <w:t xml:space="preserve"> - </w:t>
      </w:r>
      <w:r w:rsidR="005E5652">
        <w:rPr>
          <w:rFonts w:eastAsia="Arial"/>
          <w:bCs/>
        </w:rPr>
        <w:t>*****</w:t>
      </w:r>
      <w:r w:rsidR="005E5652" w:rsidRPr="00E758DD">
        <w:rPr>
          <w:rFonts w:eastAsia="Arial"/>
          <w:bCs/>
        </w:rPr>
        <w:t xml:space="preserve"> </w:t>
      </w:r>
      <w:r w:rsidRPr="007D7D6C">
        <w:rPr>
          <w:rFonts w:eastAsia="Arial"/>
        </w:rPr>
        <w:t>EUR</w:t>
      </w:r>
      <w:r w:rsidR="002B520B">
        <w:rPr>
          <w:rFonts w:eastAsia="Arial"/>
        </w:rPr>
        <w:t>, remiantis 2026 m. I pusmečio kainynu</w:t>
      </w:r>
      <w:r w:rsidRPr="007D7D6C">
        <w:rPr>
          <w:rFonts w:eastAsia="Arial"/>
          <w:bCs/>
        </w:rPr>
        <w:t>.</w:t>
      </w:r>
    </w:p>
    <w:p w14:paraId="06BC01EE" w14:textId="44333E0B" w:rsidR="000723FF" w:rsidRPr="00E33EFF" w:rsidRDefault="000723FF" w:rsidP="00B56C5A"/>
    <w:p w14:paraId="18B4292E" w14:textId="2AC31E2C" w:rsidR="000723FF" w:rsidRPr="00E33EFF" w:rsidRDefault="00B56C5A" w:rsidP="00B56C5A">
      <w:pPr>
        <w:tabs>
          <w:tab w:val="left" w:pos="567"/>
        </w:tabs>
        <w:ind w:left="567" w:hanging="567"/>
        <w:jc w:val="both"/>
        <w:rPr>
          <w:b/>
          <w:color w:val="000000"/>
          <w:lang w:eastAsia="lt-LT"/>
        </w:rPr>
      </w:pPr>
      <w:r>
        <w:rPr>
          <w:b/>
          <w:color w:val="000000"/>
          <w:lang w:eastAsia="lt-LT"/>
        </w:rPr>
        <w:t>7</w:t>
      </w:r>
      <w:r w:rsidR="00CC09D4">
        <w:rPr>
          <w:b/>
          <w:color w:val="000000"/>
          <w:lang w:eastAsia="lt-LT"/>
        </w:rPr>
        <w:t>.</w:t>
      </w:r>
      <w:r w:rsidR="00CC09D4">
        <w:rPr>
          <w:b/>
          <w:color w:val="000000"/>
          <w:lang w:eastAsia="lt-LT"/>
        </w:rPr>
        <w:tab/>
      </w:r>
      <w:r w:rsidR="000723FF" w:rsidRPr="00E33EFF">
        <w:rPr>
          <w:b/>
          <w:color w:val="000000"/>
          <w:lang w:eastAsia="lt-LT"/>
        </w:rPr>
        <w:t>SIŪLOMOS KOMPENSUOTI TERAPINĖS INDIKACIJOS IR SKYRIMO SĄLYGOS</w:t>
      </w:r>
    </w:p>
    <w:p w14:paraId="691340BB" w14:textId="77777777" w:rsidR="000723FF" w:rsidRPr="00E33EFF" w:rsidRDefault="000723FF" w:rsidP="00B56C5A">
      <w:pPr>
        <w:tabs>
          <w:tab w:val="left" w:pos="426"/>
        </w:tabs>
        <w:jc w:val="both"/>
        <w:rPr>
          <w:b/>
          <w:color w:val="000000"/>
          <w:lang w:eastAsia="lt-LT"/>
        </w:rPr>
      </w:pPr>
    </w:p>
    <w:p w14:paraId="516C9B1A" w14:textId="77777777" w:rsidR="00B56C5A" w:rsidRPr="00987F8D" w:rsidRDefault="00B56C5A" w:rsidP="00583D8C">
      <w:pPr>
        <w:pStyle w:val="NoSpacing"/>
        <w:spacing w:line="276" w:lineRule="auto"/>
        <w:rPr>
          <w:rFonts w:ascii="Times New Roman" w:hAnsi="Times New Roman"/>
          <w:b/>
          <w:sz w:val="24"/>
          <w:szCs w:val="24"/>
          <w:lang w:eastAsia="lt-LT"/>
        </w:rPr>
      </w:pPr>
      <w:bookmarkStart w:id="2" w:name="_Hlk217067338"/>
      <w:r w:rsidRPr="00987F8D">
        <w:rPr>
          <w:rFonts w:ascii="Times New Roman" w:hAnsi="Times New Roman"/>
          <w:b/>
          <w:sz w:val="24"/>
          <w:szCs w:val="24"/>
          <w:lang w:eastAsia="lt-LT"/>
        </w:rPr>
        <w:t>Terapinės indikacijos</w:t>
      </w:r>
    </w:p>
    <w:p w14:paraId="4E870FC9" w14:textId="77777777" w:rsidR="00B56C5A" w:rsidRPr="00987F8D" w:rsidRDefault="00000000" w:rsidP="00583D8C">
      <w:pPr>
        <w:pStyle w:val="NoSpacing"/>
        <w:spacing w:line="276" w:lineRule="auto"/>
        <w:rPr>
          <w:rFonts w:ascii="Times New Roman" w:hAnsi="Times New Roman"/>
          <w:sz w:val="24"/>
          <w:szCs w:val="24"/>
        </w:rPr>
      </w:pPr>
      <w:sdt>
        <w:sdtPr>
          <w:rPr>
            <w:rStyle w:val="Style2"/>
            <w:rFonts w:ascii="Times New Roman" w:hAnsi="Times New Roman"/>
            <w:sz w:val="24"/>
            <w:szCs w:val="24"/>
          </w:rPr>
          <w:id w:val="1146316688"/>
          <w15:color w:val="FFCC00"/>
          <w14:checkbox>
            <w14:checked w14:val="1"/>
            <w14:checkedState w14:val="2612" w14:font="MS Gothic"/>
            <w14:uncheckedState w14:val="2610" w14:font="MS Gothic"/>
          </w14:checkbox>
        </w:sdtPr>
        <w:sdtContent>
          <w:r w:rsidR="00B56C5A" w:rsidRPr="00987F8D">
            <w:rPr>
              <w:rStyle w:val="Style2"/>
              <w:rFonts w:ascii="MS Gothic" w:eastAsia="MS Gothic" w:hAnsi="MS Gothic"/>
              <w:sz w:val="24"/>
              <w:szCs w:val="24"/>
            </w:rPr>
            <w:t>☒</w:t>
          </w:r>
        </w:sdtContent>
      </w:sdt>
      <w:r w:rsidR="00B56C5A" w:rsidRPr="00987F8D">
        <w:rPr>
          <w:rFonts w:ascii="Times New Roman" w:hAnsi="Times New Roman"/>
          <w:sz w:val="24"/>
          <w:szCs w:val="24"/>
        </w:rPr>
        <w:t xml:space="preserve"> Siūloma kompensuoti Pareiškėjo teikiamą indikaciją be pakeitimų.</w:t>
      </w:r>
    </w:p>
    <w:p w14:paraId="4CAA7FF3" w14:textId="77777777" w:rsidR="00583D8C" w:rsidRDefault="00583D8C" w:rsidP="00583D8C">
      <w:pPr>
        <w:spacing w:line="276" w:lineRule="auto"/>
        <w:jc w:val="both"/>
      </w:pPr>
      <w:r w:rsidRPr="00987F8D">
        <w:t>Monoterapija IMFINZI yra skirta gydyti suaugusiesiems, sergantiems neišplitusiu smulkialąsteliniu plaučių vėžiu (angl. limited-stage small cell lung cancer, LS-SCLC), kurių liga neprogresavo po chemospindulinio gydymo platinos pagrindu.</w:t>
      </w:r>
    </w:p>
    <w:p w14:paraId="17579403" w14:textId="0C209CE3" w:rsidR="00A708E3" w:rsidRPr="00A708E3" w:rsidRDefault="00A708E3" w:rsidP="00583D8C">
      <w:pPr>
        <w:spacing w:line="276" w:lineRule="auto"/>
        <w:jc w:val="both"/>
        <w:rPr>
          <w:b/>
          <w:bCs/>
          <w:lang w:eastAsia="lt-LT"/>
        </w:rPr>
      </w:pPr>
      <w:bookmarkStart w:id="3" w:name="_Hlk217067556"/>
      <w:r w:rsidRPr="00A708E3">
        <w:rPr>
          <w:b/>
          <w:bCs/>
        </w:rPr>
        <w:t xml:space="preserve">TLK 10 AM kodas: </w:t>
      </w:r>
      <w:r w:rsidRPr="00A708E3">
        <w:t>C34</w:t>
      </w:r>
      <w:r>
        <w:t>.</w:t>
      </w:r>
    </w:p>
    <w:bookmarkEnd w:id="2"/>
    <w:bookmarkEnd w:id="3"/>
    <w:p w14:paraId="6819BB37" w14:textId="77777777" w:rsidR="00B56C5A" w:rsidRDefault="00B56C5A" w:rsidP="00B56C5A">
      <w:pPr>
        <w:pStyle w:val="NoSpacing"/>
        <w:rPr>
          <w:rFonts w:ascii="Times New Roman" w:hAnsi="Times New Roman"/>
          <w:sz w:val="24"/>
          <w:szCs w:val="24"/>
        </w:rPr>
      </w:pPr>
    </w:p>
    <w:p w14:paraId="593B2294" w14:textId="77777777" w:rsidR="00583D8C" w:rsidRPr="00987F8D" w:rsidRDefault="00583D8C" w:rsidP="00B56C5A">
      <w:pPr>
        <w:pStyle w:val="NoSpacing"/>
        <w:rPr>
          <w:rFonts w:ascii="Times New Roman" w:hAnsi="Times New Roman"/>
          <w:sz w:val="24"/>
          <w:szCs w:val="24"/>
        </w:rPr>
      </w:pPr>
    </w:p>
    <w:p w14:paraId="3E30185A" w14:textId="77777777" w:rsidR="00B56C5A" w:rsidRPr="00987F8D" w:rsidRDefault="00B56C5A" w:rsidP="00B56C5A">
      <w:pPr>
        <w:pStyle w:val="NoSpacing"/>
        <w:rPr>
          <w:rFonts w:ascii="Times New Roman" w:hAnsi="Times New Roman"/>
          <w:b/>
          <w:sz w:val="24"/>
          <w:szCs w:val="24"/>
        </w:rPr>
      </w:pPr>
      <w:r w:rsidRPr="00987F8D">
        <w:rPr>
          <w:rFonts w:ascii="Times New Roman" w:hAnsi="Times New Roman"/>
          <w:b/>
          <w:sz w:val="24"/>
          <w:szCs w:val="24"/>
        </w:rPr>
        <w:t>Skyrimo sąlygos</w:t>
      </w:r>
    </w:p>
    <w:p w14:paraId="1B9DBC2D" w14:textId="77777777" w:rsidR="00B56C5A" w:rsidRPr="00987F8D" w:rsidRDefault="00000000" w:rsidP="00B56C5A">
      <w:pPr>
        <w:pStyle w:val="NoSpacing"/>
        <w:rPr>
          <w:rFonts w:ascii="Times New Roman" w:hAnsi="Times New Roman"/>
          <w:sz w:val="24"/>
          <w:szCs w:val="24"/>
        </w:rPr>
      </w:pPr>
      <w:sdt>
        <w:sdtPr>
          <w:rPr>
            <w:rStyle w:val="Style2"/>
            <w:rFonts w:ascii="Times New Roman" w:hAnsi="Times New Roman"/>
            <w:sz w:val="24"/>
            <w:szCs w:val="24"/>
          </w:rPr>
          <w:id w:val="1823936883"/>
          <w15:color w:val="FFCC00"/>
          <w14:checkbox>
            <w14:checked w14:val="1"/>
            <w14:checkedState w14:val="2612" w14:font="MS Gothic"/>
            <w14:uncheckedState w14:val="2610" w14:font="MS Gothic"/>
          </w14:checkbox>
        </w:sdtPr>
        <w:sdtContent>
          <w:r w:rsidR="00B56C5A" w:rsidRPr="00987F8D">
            <w:rPr>
              <w:rStyle w:val="Style2"/>
              <w:rFonts w:ascii="MS Gothic" w:eastAsia="MS Gothic" w:hAnsi="MS Gothic"/>
              <w:sz w:val="24"/>
              <w:szCs w:val="24"/>
            </w:rPr>
            <w:t>☒</w:t>
          </w:r>
        </w:sdtContent>
      </w:sdt>
      <w:r w:rsidR="00B56C5A" w:rsidRPr="00987F8D">
        <w:rPr>
          <w:rFonts w:ascii="Times New Roman" w:hAnsi="Times New Roman"/>
          <w:sz w:val="24"/>
          <w:szCs w:val="24"/>
        </w:rPr>
        <w:t xml:space="preserve"> Pareiškėjo siūlomos skyrimo sąlygos nepriimtinos. </w:t>
      </w:r>
    </w:p>
    <w:p w14:paraId="0D48BD27" w14:textId="77777777" w:rsidR="00B56C5A" w:rsidRPr="00987F8D" w:rsidRDefault="00B56C5A" w:rsidP="00B56C5A">
      <w:pPr>
        <w:pStyle w:val="NoSpacing"/>
        <w:rPr>
          <w:rFonts w:ascii="Times New Roman" w:hAnsi="Times New Roman"/>
          <w:sz w:val="24"/>
          <w:szCs w:val="24"/>
        </w:rPr>
      </w:pPr>
    </w:p>
    <w:p w14:paraId="3A8D3A7D" w14:textId="77777777" w:rsidR="00B56C5A" w:rsidRPr="00987F8D" w:rsidRDefault="00B56C5A" w:rsidP="00583D8C">
      <w:pPr>
        <w:pStyle w:val="NoSpacing"/>
        <w:spacing w:line="276" w:lineRule="auto"/>
        <w:rPr>
          <w:rFonts w:ascii="Times New Roman" w:hAnsi="Times New Roman"/>
          <w:sz w:val="24"/>
          <w:szCs w:val="24"/>
        </w:rPr>
      </w:pPr>
      <w:r w:rsidRPr="00987F8D">
        <w:rPr>
          <w:rFonts w:ascii="Times New Roman" w:hAnsi="Times New Roman"/>
          <w:sz w:val="24"/>
          <w:szCs w:val="24"/>
        </w:rPr>
        <w:t>Nustatytos skyrimo sąlygos:</w:t>
      </w:r>
    </w:p>
    <w:p w14:paraId="5709A586" w14:textId="515E4CDE" w:rsidR="00B56C5A" w:rsidRPr="00987F8D" w:rsidRDefault="00583D8C" w:rsidP="00583D8C">
      <w:pPr>
        <w:spacing w:line="276" w:lineRule="auto"/>
        <w:jc w:val="both"/>
      </w:pPr>
      <w:bookmarkStart w:id="4" w:name="_Hlk217067478"/>
      <w:r>
        <w:t>S</w:t>
      </w:r>
      <w:r w:rsidR="00B56C5A" w:rsidRPr="00987F8D">
        <w:t>kir</w:t>
      </w:r>
      <w:r>
        <w:t>iamas kaip monoterpija</w:t>
      </w:r>
      <w:r w:rsidR="00B56C5A" w:rsidRPr="00987F8D">
        <w:t xml:space="preserve"> </w:t>
      </w:r>
      <w:r w:rsidR="006123A6">
        <w:t>n</w:t>
      </w:r>
      <w:r w:rsidR="00B56C5A" w:rsidRPr="00987F8D">
        <w:t>eišplitusi</w:t>
      </w:r>
      <w:r w:rsidR="006123A6">
        <w:t>o</w:t>
      </w:r>
      <w:r w:rsidR="00B56C5A" w:rsidRPr="00987F8D">
        <w:t xml:space="preserve"> smulkialąstelini</w:t>
      </w:r>
      <w:r w:rsidR="006123A6">
        <w:t>o</w:t>
      </w:r>
      <w:r w:rsidR="00B56C5A" w:rsidRPr="00987F8D">
        <w:t xml:space="preserve"> plaučių vėži</w:t>
      </w:r>
      <w:r w:rsidR="006123A6">
        <w:t>o</w:t>
      </w:r>
      <w:r w:rsidR="00B56C5A" w:rsidRPr="00987F8D">
        <w:t xml:space="preserve"> (angl. limited-stage small cell lung cancer, LS-SCLC) neprogresav</w:t>
      </w:r>
      <w:r w:rsidR="006123A6">
        <w:t>usio</w:t>
      </w:r>
      <w:r w:rsidR="00B56C5A" w:rsidRPr="00987F8D">
        <w:t xml:space="preserve"> po chemospindulinio gydymo platinos pagrindu</w:t>
      </w:r>
      <w:bookmarkEnd w:id="4"/>
      <w:r w:rsidR="006123A6">
        <w:t>, gydymui</w:t>
      </w:r>
      <w:r w:rsidR="00B56C5A" w:rsidRPr="00987F8D">
        <w:t xml:space="preserve">. </w:t>
      </w:r>
      <w:r w:rsidR="006123A6" w:rsidRPr="00E05879">
        <w:t>Gydymas tęsiamas iki nepriimtino toksinio poveikio atsiradimo, ligos progresavimo arba planuoto gydymo užbaigimo.</w:t>
      </w:r>
      <w:r w:rsidR="006123A6">
        <w:t xml:space="preserve"> Gydymo trukmė ne ilgesnė kaip</w:t>
      </w:r>
      <w:r w:rsidR="00B56C5A" w:rsidRPr="00987F8D">
        <w:t xml:space="preserve"> 24 mėn</w:t>
      </w:r>
      <w:r w:rsidR="006123A6">
        <w:t>esiai</w:t>
      </w:r>
      <w:r w:rsidR="00B56C5A" w:rsidRPr="00987F8D">
        <w:t>.</w:t>
      </w:r>
    </w:p>
    <w:p w14:paraId="77F80378" w14:textId="0080348C" w:rsidR="00BE3577" w:rsidRPr="00A97B51" w:rsidRDefault="00BE3577" w:rsidP="00583D8C">
      <w:pPr>
        <w:spacing w:line="276" w:lineRule="auto"/>
      </w:pPr>
    </w:p>
    <w:sectPr w:rsidR="00BE3577" w:rsidRPr="00A97B51" w:rsidSect="005D30E1">
      <w:headerReference w:type="first" r:id="rId8"/>
      <w:footerReference w:type="first" r:id="rId9"/>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62BA2" w14:textId="77777777" w:rsidR="003A42D2" w:rsidRDefault="003A42D2">
      <w:r>
        <w:separator/>
      </w:r>
    </w:p>
  </w:endnote>
  <w:endnote w:type="continuationSeparator" w:id="0">
    <w:p w14:paraId="735EDA11" w14:textId="77777777" w:rsidR="003A42D2" w:rsidRDefault="003A4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368" w14:textId="77777777" w:rsidR="00347FAA" w:rsidRDefault="00347FA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12731" w14:textId="77777777" w:rsidR="003A42D2" w:rsidRDefault="003A42D2">
      <w:r>
        <w:separator/>
      </w:r>
    </w:p>
  </w:footnote>
  <w:footnote w:type="continuationSeparator" w:id="0">
    <w:p w14:paraId="6CD26683" w14:textId="77777777" w:rsidR="003A42D2" w:rsidRDefault="003A42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1C8F" w14:textId="77777777" w:rsidR="00347FAA" w:rsidRDefault="00347FAA"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6BA4D47"/>
    <w:multiLevelType w:val="hybridMultilevel"/>
    <w:tmpl w:val="E93C569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5" w15:restartNumberingAfterBreak="0">
    <w:nsid w:val="1E414B1D"/>
    <w:multiLevelType w:val="hybridMultilevel"/>
    <w:tmpl w:val="71C632D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F2868AB"/>
    <w:multiLevelType w:val="multilevel"/>
    <w:tmpl w:val="471A206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EE2B6E"/>
    <w:multiLevelType w:val="multilevel"/>
    <w:tmpl w:val="CB52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10"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482758D"/>
    <w:multiLevelType w:val="multilevel"/>
    <w:tmpl w:val="471A206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A9399C"/>
    <w:multiLevelType w:val="hybridMultilevel"/>
    <w:tmpl w:val="01489E4A"/>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987973531">
    <w:abstractNumId w:val="10"/>
  </w:num>
  <w:num w:numId="2" w16cid:durableId="1349602710">
    <w:abstractNumId w:val="2"/>
  </w:num>
  <w:num w:numId="3" w16cid:durableId="978921764">
    <w:abstractNumId w:val="12"/>
  </w:num>
  <w:num w:numId="4" w16cid:durableId="1082920746">
    <w:abstractNumId w:val="11"/>
  </w:num>
  <w:num w:numId="5" w16cid:durableId="1881749017">
    <w:abstractNumId w:val="9"/>
  </w:num>
  <w:num w:numId="6" w16cid:durableId="2085177044">
    <w:abstractNumId w:val="8"/>
  </w:num>
  <w:num w:numId="7" w16cid:durableId="1796367175">
    <w:abstractNumId w:val="4"/>
  </w:num>
  <w:num w:numId="8" w16cid:durableId="1549220046">
    <w:abstractNumId w:val="15"/>
  </w:num>
  <w:num w:numId="9" w16cid:durableId="300429107">
    <w:abstractNumId w:val="0"/>
  </w:num>
  <w:num w:numId="10" w16cid:durableId="1418553618">
    <w:abstractNumId w:val="13"/>
  </w:num>
  <w:num w:numId="11" w16cid:durableId="44184969">
    <w:abstractNumId w:val="14"/>
  </w:num>
  <w:num w:numId="12" w16cid:durableId="1251112763">
    <w:abstractNumId w:val="3"/>
  </w:num>
  <w:num w:numId="13" w16cid:durableId="1784956678">
    <w:abstractNumId w:val="16"/>
  </w:num>
  <w:num w:numId="14" w16cid:durableId="1530291951">
    <w:abstractNumId w:val="6"/>
  </w:num>
  <w:num w:numId="15" w16cid:durableId="1617447274">
    <w:abstractNumId w:val="5"/>
  </w:num>
  <w:num w:numId="16" w16cid:durableId="1825849154">
    <w:abstractNumId w:val="7"/>
  </w:num>
  <w:num w:numId="17" w16cid:durableId="1018701259">
    <w:abstractNumId w:val="1"/>
  </w:num>
  <w:num w:numId="18" w16cid:durableId="6045773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686C"/>
    <w:rsid w:val="00031D0E"/>
    <w:rsid w:val="000337E6"/>
    <w:rsid w:val="0003402E"/>
    <w:rsid w:val="00034EAE"/>
    <w:rsid w:val="00042924"/>
    <w:rsid w:val="000503A3"/>
    <w:rsid w:val="00053975"/>
    <w:rsid w:val="00057A2B"/>
    <w:rsid w:val="000606BE"/>
    <w:rsid w:val="000723FF"/>
    <w:rsid w:val="000736B8"/>
    <w:rsid w:val="0008190F"/>
    <w:rsid w:val="00081D9C"/>
    <w:rsid w:val="00082907"/>
    <w:rsid w:val="0008378D"/>
    <w:rsid w:val="000908A5"/>
    <w:rsid w:val="00092805"/>
    <w:rsid w:val="00097297"/>
    <w:rsid w:val="000A290A"/>
    <w:rsid w:val="000C454C"/>
    <w:rsid w:val="000D06F9"/>
    <w:rsid w:val="000D5038"/>
    <w:rsid w:val="000E29D4"/>
    <w:rsid w:val="000E540E"/>
    <w:rsid w:val="000F3540"/>
    <w:rsid w:val="00100491"/>
    <w:rsid w:val="00104E2E"/>
    <w:rsid w:val="00107287"/>
    <w:rsid w:val="00117406"/>
    <w:rsid w:val="00121EF0"/>
    <w:rsid w:val="0012372F"/>
    <w:rsid w:val="00124A9E"/>
    <w:rsid w:val="00130703"/>
    <w:rsid w:val="0013153F"/>
    <w:rsid w:val="00135175"/>
    <w:rsid w:val="001408B8"/>
    <w:rsid w:val="001517E2"/>
    <w:rsid w:val="001521D9"/>
    <w:rsid w:val="001554E2"/>
    <w:rsid w:val="00164146"/>
    <w:rsid w:val="0017369C"/>
    <w:rsid w:val="00175D57"/>
    <w:rsid w:val="00180C39"/>
    <w:rsid w:val="00180D96"/>
    <w:rsid w:val="00184BD3"/>
    <w:rsid w:val="001921F3"/>
    <w:rsid w:val="001B3C5B"/>
    <w:rsid w:val="001D3F7C"/>
    <w:rsid w:val="001D746F"/>
    <w:rsid w:val="001E4BBB"/>
    <w:rsid w:val="001E6304"/>
    <w:rsid w:val="00202EB5"/>
    <w:rsid w:val="0020381E"/>
    <w:rsid w:val="00213471"/>
    <w:rsid w:val="00215906"/>
    <w:rsid w:val="00241CD8"/>
    <w:rsid w:val="00244B09"/>
    <w:rsid w:val="00251116"/>
    <w:rsid w:val="002519CB"/>
    <w:rsid w:val="0025697F"/>
    <w:rsid w:val="00260258"/>
    <w:rsid w:val="0026588E"/>
    <w:rsid w:val="00272428"/>
    <w:rsid w:val="00272948"/>
    <w:rsid w:val="002850A2"/>
    <w:rsid w:val="0029070E"/>
    <w:rsid w:val="00292392"/>
    <w:rsid w:val="002946C7"/>
    <w:rsid w:val="002B3CC1"/>
    <w:rsid w:val="002B520B"/>
    <w:rsid w:val="002C09E0"/>
    <w:rsid w:val="002C1BB1"/>
    <w:rsid w:val="002C2786"/>
    <w:rsid w:val="002C3A10"/>
    <w:rsid w:val="002C4A90"/>
    <w:rsid w:val="002C4ED5"/>
    <w:rsid w:val="002D02EF"/>
    <w:rsid w:val="002E0702"/>
    <w:rsid w:val="002E57AD"/>
    <w:rsid w:val="002E6F80"/>
    <w:rsid w:val="002F0E4F"/>
    <w:rsid w:val="002F1053"/>
    <w:rsid w:val="003061B7"/>
    <w:rsid w:val="00310545"/>
    <w:rsid w:val="003133DA"/>
    <w:rsid w:val="00317B0E"/>
    <w:rsid w:val="003466E8"/>
    <w:rsid w:val="00347315"/>
    <w:rsid w:val="00347FAA"/>
    <w:rsid w:val="00351302"/>
    <w:rsid w:val="0035172D"/>
    <w:rsid w:val="0036187D"/>
    <w:rsid w:val="00367EDB"/>
    <w:rsid w:val="003715F1"/>
    <w:rsid w:val="00381024"/>
    <w:rsid w:val="00386307"/>
    <w:rsid w:val="003874DE"/>
    <w:rsid w:val="00393E9F"/>
    <w:rsid w:val="0039696E"/>
    <w:rsid w:val="003A42D2"/>
    <w:rsid w:val="003B211A"/>
    <w:rsid w:val="003B5F6E"/>
    <w:rsid w:val="003B7039"/>
    <w:rsid w:val="003C141F"/>
    <w:rsid w:val="003C1FBB"/>
    <w:rsid w:val="003C6B0E"/>
    <w:rsid w:val="003C7257"/>
    <w:rsid w:val="003C7E35"/>
    <w:rsid w:val="003D1E99"/>
    <w:rsid w:val="003D6208"/>
    <w:rsid w:val="003D7315"/>
    <w:rsid w:val="004049CC"/>
    <w:rsid w:val="00404E8A"/>
    <w:rsid w:val="0040622F"/>
    <w:rsid w:val="00413F24"/>
    <w:rsid w:val="00422853"/>
    <w:rsid w:val="00423160"/>
    <w:rsid w:val="00450728"/>
    <w:rsid w:val="0045089C"/>
    <w:rsid w:val="00453862"/>
    <w:rsid w:val="0045469B"/>
    <w:rsid w:val="00461338"/>
    <w:rsid w:val="004677DB"/>
    <w:rsid w:val="00476256"/>
    <w:rsid w:val="00483703"/>
    <w:rsid w:val="0048630F"/>
    <w:rsid w:val="004947A1"/>
    <w:rsid w:val="0049482A"/>
    <w:rsid w:val="004953FA"/>
    <w:rsid w:val="004979D3"/>
    <w:rsid w:val="004A00E7"/>
    <w:rsid w:val="004A3A61"/>
    <w:rsid w:val="004A6F2F"/>
    <w:rsid w:val="004B59BA"/>
    <w:rsid w:val="004B5A03"/>
    <w:rsid w:val="004C224C"/>
    <w:rsid w:val="004C263A"/>
    <w:rsid w:val="004D48A6"/>
    <w:rsid w:val="004D7B8F"/>
    <w:rsid w:val="004E6458"/>
    <w:rsid w:val="004E6E7D"/>
    <w:rsid w:val="004F1AAC"/>
    <w:rsid w:val="004F1AE2"/>
    <w:rsid w:val="004F34F0"/>
    <w:rsid w:val="004F3B2B"/>
    <w:rsid w:val="004F6050"/>
    <w:rsid w:val="005005EF"/>
    <w:rsid w:val="005123C2"/>
    <w:rsid w:val="0052144B"/>
    <w:rsid w:val="00524066"/>
    <w:rsid w:val="00534E11"/>
    <w:rsid w:val="005378D8"/>
    <w:rsid w:val="005400D9"/>
    <w:rsid w:val="005476A4"/>
    <w:rsid w:val="0055019B"/>
    <w:rsid w:val="00553359"/>
    <w:rsid w:val="00556E63"/>
    <w:rsid w:val="005601A4"/>
    <w:rsid w:val="00566DBB"/>
    <w:rsid w:val="005767DB"/>
    <w:rsid w:val="005815E6"/>
    <w:rsid w:val="00583D8C"/>
    <w:rsid w:val="0058712F"/>
    <w:rsid w:val="00587B9A"/>
    <w:rsid w:val="005976CE"/>
    <w:rsid w:val="005A23D4"/>
    <w:rsid w:val="005A2D1E"/>
    <w:rsid w:val="005A420C"/>
    <w:rsid w:val="005B3756"/>
    <w:rsid w:val="005B5E7A"/>
    <w:rsid w:val="005C493F"/>
    <w:rsid w:val="005C6BF7"/>
    <w:rsid w:val="005C71BF"/>
    <w:rsid w:val="005D002C"/>
    <w:rsid w:val="005D30E1"/>
    <w:rsid w:val="005D6555"/>
    <w:rsid w:val="005D7BDF"/>
    <w:rsid w:val="005E4870"/>
    <w:rsid w:val="005E5652"/>
    <w:rsid w:val="005F71D9"/>
    <w:rsid w:val="005F7602"/>
    <w:rsid w:val="006062BE"/>
    <w:rsid w:val="006123A6"/>
    <w:rsid w:val="00613143"/>
    <w:rsid w:val="00613501"/>
    <w:rsid w:val="0061611B"/>
    <w:rsid w:val="006166A8"/>
    <w:rsid w:val="006174A1"/>
    <w:rsid w:val="00621D6C"/>
    <w:rsid w:val="00633B49"/>
    <w:rsid w:val="0064297F"/>
    <w:rsid w:val="00645102"/>
    <w:rsid w:val="00646CF3"/>
    <w:rsid w:val="00653D11"/>
    <w:rsid w:val="00662983"/>
    <w:rsid w:val="00672FDC"/>
    <w:rsid w:val="006834D3"/>
    <w:rsid w:val="00692625"/>
    <w:rsid w:val="00695CD3"/>
    <w:rsid w:val="006A38B6"/>
    <w:rsid w:val="006B1987"/>
    <w:rsid w:val="006B5B71"/>
    <w:rsid w:val="006B6CB0"/>
    <w:rsid w:val="006C0296"/>
    <w:rsid w:val="006C2B64"/>
    <w:rsid w:val="006D4C85"/>
    <w:rsid w:val="006D66AC"/>
    <w:rsid w:val="006E33F6"/>
    <w:rsid w:val="006F1251"/>
    <w:rsid w:val="006F1C23"/>
    <w:rsid w:val="00702C18"/>
    <w:rsid w:val="00703166"/>
    <w:rsid w:val="007127F3"/>
    <w:rsid w:val="007301CF"/>
    <w:rsid w:val="007316FB"/>
    <w:rsid w:val="007374D0"/>
    <w:rsid w:val="00737E2D"/>
    <w:rsid w:val="007424D5"/>
    <w:rsid w:val="00750A88"/>
    <w:rsid w:val="007523DD"/>
    <w:rsid w:val="00757B7E"/>
    <w:rsid w:val="007656B2"/>
    <w:rsid w:val="0077016F"/>
    <w:rsid w:val="007713AD"/>
    <w:rsid w:val="00795DC5"/>
    <w:rsid w:val="00797153"/>
    <w:rsid w:val="007A21F7"/>
    <w:rsid w:val="007A2B68"/>
    <w:rsid w:val="007A498A"/>
    <w:rsid w:val="007B0DDA"/>
    <w:rsid w:val="007D3347"/>
    <w:rsid w:val="007D7D6C"/>
    <w:rsid w:val="007E037F"/>
    <w:rsid w:val="007E5466"/>
    <w:rsid w:val="007F1949"/>
    <w:rsid w:val="007F2592"/>
    <w:rsid w:val="00800A08"/>
    <w:rsid w:val="00817A84"/>
    <w:rsid w:val="008225A4"/>
    <w:rsid w:val="00824B92"/>
    <w:rsid w:val="00826D5E"/>
    <w:rsid w:val="00832013"/>
    <w:rsid w:val="00832DB7"/>
    <w:rsid w:val="00834732"/>
    <w:rsid w:val="00851AB5"/>
    <w:rsid w:val="0085200C"/>
    <w:rsid w:val="0085384E"/>
    <w:rsid w:val="00857C52"/>
    <w:rsid w:val="00860D5F"/>
    <w:rsid w:val="00861400"/>
    <w:rsid w:val="0087654D"/>
    <w:rsid w:val="00880A44"/>
    <w:rsid w:val="0088345E"/>
    <w:rsid w:val="0088656F"/>
    <w:rsid w:val="00890BA8"/>
    <w:rsid w:val="00891EF6"/>
    <w:rsid w:val="008A0303"/>
    <w:rsid w:val="008A5FDD"/>
    <w:rsid w:val="008C3947"/>
    <w:rsid w:val="008C48F0"/>
    <w:rsid w:val="008E473B"/>
    <w:rsid w:val="008E51A6"/>
    <w:rsid w:val="008E7329"/>
    <w:rsid w:val="008F2ED5"/>
    <w:rsid w:val="00910ED7"/>
    <w:rsid w:val="0092297E"/>
    <w:rsid w:val="00923651"/>
    <w:rsid w:val="00927B56"/>
    <w:rsid w:val="009341BF"/>
    <w:rsid w:val="00937907"/>
    <w:rsid w:val="00941739"/>
    <w:rsid w:val="00951573"/>
    <w:rsid w:val="00952107"/>
    <w:rsid w:val="00963003"/>
    <w:rsid w:val="00966EEF"/>
    <w:rsid w:val="00971B28"/>
    <w:rsid w:val="00983471"/>
    <w:rsid w:val="009909AB"/>
    <w:rsid w:val="009B37DB"/>
    <w:rsid w:val="009C7324"/>
    <w:rsid w:val="009C7A8C"/>
    <w:rsid w:val="009D23F9"/>
    <w:rsid w:val="009D4FA8"/>
    <w:rsid w:val="009E44AE"/>
    <w:rsid w:val="009E6CD6"/>
    <w:rsid w:val="009F4D66"/>
    <w:rsid w:val="00A00C3C"/>
    <w:rsid w:val="00A01091"/>
    <w:rsid w:val="00A042B9"/>
    <w:rsid w:val="00A06DBB"/>
    <w:rsid w:val="00A1059E"/>
    <w:rsid w:val="00A22ADF"/>
    <w:rsid w:val="00A31E86"/>
    <w:rsid w:val="00A40564"/>
    <w:rsid w:val="00A42FFE"/>
    <w:rsid w:val="00A54D87"/>
    <w:rsid w:val="00A54DE9"/>
    <w:rsid w:val="00A5553C"/>
    <w:rsid w:val="00A61928"/>
    <w:rsid w:val="00A701C9"/>
    <w:rsid w:val="00A708E3"/>
    <w:rsid w:val="00A81785"/>
    <w:rsid w:val="00A81F1F"/>
    <w:rsid w:val="00A84803"/>
    <w:rsid w:val="00A84C51"/>
    <w:rsid w:val="00A86F2B"/>
    <w:rsid w:val="00A91366"/>
    <w:rsid w:val="00A93AA6"/>
    <w:rsid w:val="00A97B51"/>
    <w:rsid w:val="00AA4E48"/>
    <w:rsid w:val="00AA6202"/>
    <w:rsid w:val="00AA7B57"/>
    <w:rsid w:val="00AC26FC"/>
    <w:rsid w:val="00AC4A99"/>
    <w:rsid w:val="00AC64D2"/>
    <w:rsid w:val="00AD02E7"/>
    <w:rsid w:val="00AD3263"/>
    <w:rsid w:val="00AE0FE8"/>
    <w:rsid w:val="00AE1322"/>
    <w:rsid w:val="00AF60D5"/>
    <w:rsid w:val="00B00959"/>
    <w:rsid w:val="00B04415"/>
    <w:rsid w:val="00B06509"/>
    <w:rsid w:val="00B11D60"/>
    <w:rsid w:val="00B13279"/>
    <w:rsid w:val="00B13D65"/>
    <w:rsid w:val="00B21805"/>
    <w:rsid w:val="00B3072E"/>
    <w:rsid w:val="00B36E15"/>
    <w:rsid w:val="00B37245"/>
    <w:rsid w:val="00B4017A"/>
    <w:rsid w:val="00B4468D"/>
    <w:rsid w:val="00B56C5A"/>
    <w:rsid w:val="00B71C72"/>
    <w:rsid w:val="00B77902"/>
    <w:rsid w:val="00B81E92"/>
    <w:rsid w:val="00B908D7"/>
    <w:rsid w:val="00B915AB"/>
    <w:rsid w:val="00B935E8"/>
    <w:rsid w:val="00B93B30"/>
    <w:rsid w:val="00B94CB5"/>
    <w:rsid w:val="00BA0DD9"/>
    <w:rsid w:val="00BA5DBC"/>
    <w:rsid w:val="00BA6A88"/>
    <w:rsid w:val="00BB3B54"/>
    <w:rsid w:val="00BB3BF2"/>
    <w:rsid w:val="00BB6312"/>
    <w:rsid w:val="00BC0B0A"/>
    <w:rsid w:val="00BC4D06"/>
    <w:rsid w:val="00BD585E"/>
    <w:rsid w:val="00BD6919"/>
    <w:rsid w:val="00BE1EA7"/>
    <w:rsid w:val="00BE33B6"/>
    <w:rsid w:val="00BE3577"/>
    <w:rsid w:val="00BE7489"/>
    <w:rsid w:val="00BF2E0D"/>
    <w:rsid w:val="00BF3927"/>
    <w:rsid w:val="00BF3EC1"/>
    <w:rsid w:val="00BF3F8B"/>
    <w:rsid w:val="00BF76DA"/>
    <w:rsid w:val="00C0306A"/>
    <w:rsid w:val="00C07C7B"/>
    <w:rsid w:val="00C16245"/>
    <w:rsid w:val="00C22DC5"/>
    <w:rsid w:val="00C24479"/>
    <w:rsid w:val="00C273F2"/>
    <w:rsid w:val="00C308C3"/>
    <w:rsid w:val="00C31C5B"/>
    <w:rsid w:val="00C357BA"/>
    <w:rsid w:val="00C37B53"/>
    <w:rsid w:val="00C517D2"/>
    <w:rsid w:val="00C5772E"/>
    <w:rsid w:val="00C62B36"/>
    <w:rsid w:val="00C7012C"/>
    <w:rsid w:val="00C70688"/>
    <w:rsid w:val="00C712EA"/>
    <w:rsid w:val="00CA217D"/>
    <w:rsid w:val="00CA347B"/>
    <w:rsid w:val="00CC09D4"/>
    <w:rsid w:val="00CC668D"/>
    <w:rsid w:val="00CC7832"/>
    <w:rsid w:val="00CF0C1C"/>
    <w:rsid w:val="00CF27FD"/>
    <w:rsid w:val="00CF5F12"/>
    <w:rsid w:val="00D00D8F"/>
    <w:rsid w:val="00D053C5"/>
    <w:rsid w:val="00D21F3A"/>
    <w:rsid w:val="00D23808"/>
    <w:rsid w:val="00D3016A"/>
    <w:rsid w:val="00D349DB"/>
    <w:rsid w:val="00D417D2"/>
    <w:rsid w:val="00D42960"/>
    <w:rsid w:val="00D43BD7"/>
    <w:rsid w:val="00D4485B"/>
    <w:rsid w:val="00D4708D"/>
    <w:rsid w:val="00D4744C"/>
    <w:rsid w:val="00D521DE"/>
    <w:rsid w:val="00D5470B"/>
    <w:rsid w:val="00D63068"/>
    <w:rsid w:val="00D6498C"/>
    <w:rsid w:val="00D7696E"/>
    <w:rsid w:val="00D76A70"/>
    <w:rsid w:val="00D83182"/>
    <w:rsid w:val="00D8521E"/>
    <w:rsid w:val="00D9291C"/>
    <w:rsid w:val="00D93A97"/>
    <w:rsid w:val="00D949DB"/>
    <w:rsid w:val="00DB1F64"/>
    <w:rsid w:val="00DC2F53"/>
    <w:rsid w:val="00DC5BAC"/>
    <w:rsid w:val="00DC6816"/>
    <w:rsid w:val="00DC76C2"/>
    <w:rsid w:val="00DD1CF2"/>
    <w:rsid w:val="00DD4764"/>
    <w:rsid w:val="00DD6247"/>
    <w:rsid w:val="00DE4484"/>
    <w:rsid w:val="00DE44BD"/>
    <w:rsid w:val="00DF41B7"/>
    <w:rsid w:val="00DF4A4A"/>
    <w:rsid w:val="00DF583C"/>
    <w:rsid w:val="00E03C3F"/>
    <w:rsid w:val="00E06FD7"/>
    <w:rsid w:val="00E07417"/>
    <w:rsid w:val="00E24D45"/>
    <w:rsid w:val="00E33DB8"/>
    <w:rsid w:val="00E33EFF"/>
    <w:rsid w:val="00E34387"/>
    <w:rsid w:val="00E348BA"/>
    <w:rsid w:val="00E369FE"/>
    <w:rsid w:val="00E37C6F"/>
    <w:rsid w:val="00E4695B"/>
    <w:rsid w:val="00E475F8"/>
    <w:rsid w:val="00E5102E"/>
    <w:rsid w:val="00E5721C"/>
    <w:rsid w:val="00E619C6"/>
    <w:rsid w:val="00E66FC8"/>
    <w:rsid w:val="00E745A1"/>
    <w:rsid w:val="00E800B5"/>
    <w:rsid w:val="00E81529"/>
    <w:rsid w:val="00E83A13"/>
    <w:rsid w:val="00E944DD"/>
    <w:rsid w:val="00EB23EA"/>
    <w:rsid w:val="00EB6FC5"/>
    <w:rsid w:val="00EC2356"/>
    <w:rsid w:val="00EC2582"/>
    <w:rsid w:val="00EC337C"/>
    <w:rsid w:val="00EC4BA0"/>
    <w:rsid w:val="00ED0CFF"/>
    <w:rsid w:val="00ED31D2"/>
    <w:rsid w:val="00EE0EAC"/>
    <w:rsid w:val="00EE3322"/>
    <w:rsid w:val="00EE33CB"/>
    <w:rsid w:val="00F0061A"/>
    <w:rsid w:val="00F02834"/>
    <w:rsid w:val="00F04EEB"/>
    <w:rsid w:val="00F05467"/>
    <w:rsid w:val="00F055D2"/>
    <w:rsid w:val="00F07CD7"/>
    <w:rsid w:val="00F127E9"/>
    <w:rsid w:val="00F14B5D"/>
    <w:rsid w:val="00F17798"/>
    <w:rsid w:val="00F259FC"/>
    <w:rsid w:val="00F36972"/>
    <w:rsid w:val="00F42426"/>
    <w:rsid w:val="00F456BC"/>
    <w:rsid w:val="00F50666"/>
    <w:rsid w:val="00F70C9E"/>
    <w:rsid w:val="00F74A74"/>
    <w:rsid w:val="00F7572C"/>
    <w:rsid w:val="00F8382C"/>
    <w:rsid w:val="00F855D7"/>
    <w:rsid w:val="00F92035"/>
    <w:rsid w:val="00F92748"/>
    <w:rsid w:val="00F97900"/>
    <w:rsid w:val="00FA4169"/>
    <w:rsid w:val="00FB0D41"/>
    <w:rsid w:val="00FB2030"/>
    <w:rsid w:val="00FB7D17"/>
    <w:rsid w:val="00FC1408"/>
    <w:rsid w:val="00FD0E46"/>
    <w:rsid w:val="00FD1CF2"/>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aliases w:val="Summary box,Dossier Table,Dossier table,Section 3- footnotes,Legemiddelverket 3,Summary Table,ASD Table,Key messages box,YHEC table,Tabellengitternetz 9pt,Table Grid nm,Lash Style Table"/>
    <w:basedOn w:val="TableNorma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aliases w:val="Bullet1,Bullet 1,Bullet List,1. Bullet Blank,Bulleted - 2,Dairy Paragraphe,Bullets Points,Table Header Row,Bullet Paragraph,Bullet Point,Table Legend,List Paragraph CCT minutes,Section 5,FooterText,List Paragraph1,numbered,列出段落"/>
    <w:basedOn w:val="Normal"/>
    <w:link w:val="ListParagraphChar"/>
    <w:uiPriority w:val="1"/>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TableNormal"/>
    <w:next w:val="TableGrid"/>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6256"/>
    <w:rPr>
      <w:sz w:val="24"/>
      <w:szCs w:val="24"/>
      <w:lang w:eastAsia="en-US"/>
    </w:rPr>
  </w:style>
  <w:style w:type="table" w:customStyle="1" w:styleId="Keymessagesbox1">
    <w:name w:val="Key messages box1"/>
    <w:basedOn w:val="TableNormal"/>
    <w:next w:val="TableGrid"/>
    <w:rsid w:val="00BA6A88"/>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1 Char,Bullet 1 Char,Bullet List Char,1. Bullet Blank Char,Bulleted - 2 Char,Dairy Paragraphe Char,Bullets Points Char,Table Header Row Char,Bullet Paragraph Char,Bullet Point Char,Table Legend Char,Section 5 Char,numbered Char"/>
    <w:link w:val="ListParagraph"/>
    <w:uiPriority w:val="1"/>
    <w:qFormat/>
    <w:locked/>
    <w:rsid w:val="00135175"/>
    <w:rPr>
      <w:sz w:val="24"/>
      <w:szCs w:val="24"/>
      <w:lang w:eastAsia="en-US"/>
    </w:rPr>
  </w:style>
  <w:style w:type="paragraph" w:styleId="NormalWeb">
    <w:name w:val="Normal (Web)"/>
    <w:basedOn w:val="Normal"/>
    <w:uiPriority w:val="99"/>
    <w:unhideWhenUsed/>
    <w:rsid w:val="00A1059E"/>
    <w:pPr>
      <w:spacing w:before="100" w:beforeAutospacing="1" w:after="100" w:afterAutospacing="1"/>
    </w:pPr>
    <w:rPr>
      <w:lang w:eastAsia="lt-LT"/>
    </w:rPr>
  </w:style>
  <w:style w:type="table" w:customStyle="1" w:styleId="NexusValuesgrey1">
    <w:name w:val="Nexus Values grey1"/>
    <w:basedOn w:val="TableNormal"/>
    <w:next w:val="TableGrid"/>
    <w:rsid w:val="002B520B"/>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37181">
      <w:bodyDiv w:val="1"/>
      <w:marLeft w:val="0"/>
      <w:marRight w:val="0"/>
      <w:marTop w:val="0"/>
      <w:marBottom w:val="0"/>
      <w:divBdr>
        <w:top w:val="none" w:sz="0" w:space="0" w:color="auto"/>
        <w:left w:val="none" w:sz="0" w:space="0" w:color="auto"/>
        <w:bottom w:val="none" w:sz="0" w:space="0" w:color="auto"/>
        <w:right w:val="none" w:sz="0" w:space="0" w:color="auto"/>
      </w:divBdr>
    </w:div>
    <w:div w:id="383799586">
      <w:bodyDiv w:val="1"/>
      <w:marLeft w:val="0"/>
      <w:marRight w:val="0"/>
      <w:marTop w:val="0"/>
      <w:marBottom w:val="0"/>
      <w:divBdr>
        <w:top w:val="none" w:sz="0" w:space="0" w:color="auto"/>
        <w:left w:val="none" w:sz="0" w:space="0" w:color="auto"/>
        <w:bottom w:val="none" w:sz="0" w:space="0" w:color="auto"/>
        <w:right w:val="none" w:sz="0" w:space="0" w:color="auto"/>
      </w:divBdr>
    </w:div>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097F42D2AB4383BA08C3F5032FAC52"/>
        <w:category>
          <w:name w:val="Bendrosios nuostatos"/>
          <w:gallery w:val="placeholder"/>
        </w:category>
        <w:types>
          <w:type w:val="bbPlcHdr"/>
        </w:types>
        <w:behaviors>
          <w:behavior w:val="content"/>
        </w:behaviors>
        <w:guid w:val="{DBCA6B03-3A22-4A9C-9390-66724BFB8C4D}"/>
      </w:docPartPr>
      <w:docPartBody>
        <w:p w:rsidR="00AA504A" w:rsidRDefault="00570591" w:rsidP="00570591">
          <w:pPr>
            <w:pStyle w:val="87097F42D2AB4383BA08C3F5032FAC52"/>
          </w:pPr>
          <w:r>
            <w:rPr>
              <w:rStyle w:val="PlaceholderText"/>
            </w:rPr>
            <w:t>Click here to enter a date.</w:t>
          </w:r>
        </w:p>
      </w:docPartBody>
    </w:docPart>
    <w:docPart>
      <w:docPartPr>
        <w:name w:val="7B0FCBB4BBF947A3BD7CBA4A9FF4997C"/>
        <w:category>
          <w:name w:val="Bendrosios nuostatos"/>
          <w:gallery w:val="placeholder"/>
        </w:category>
        <w:types>
          <w:type w:val="bbPlcHdr"/>
        </w:types>
        <w:behaviors>
          <w:behavior w:val="content"/>
        </w:behaviors>
        <w:guid w:val="{25F7CC21-766B-48CF-8F84-89D0EF8F94FB}"/>
      </w:docPartPr>
      <w:docPartBody>
        <w:p w:rsidR="00AA504A" w:rsidRDefault="00570591" w:rsidP="00570591">
          <w:pPr>
            <w:pStyle w:val="7B0FCBB4BBF947A3BD7CBA4A9FF4997C"/>
          </w:pPr>
          <w:r>
            <w:rPr>
              <w:rStyle w:val="PlaceholderText"/>
            </w:rPr>
            <w:t>Click here to enter a date.</w:t>
          </w:r>
        </w:p>
      </w:docPartBody>
    </w:docPart>
    <w:docPart>
      <w:docPartPr>
        <w:name w:val="6C9D88DFF1F04C2D8D4F55C7A3A7F61E"/>
        <w:category>
          <w:name w:val="Bendrosios nuostatos"/>
          <w:gallery w:val="placeholder"/>
        </w:category>
        <w:types>
          <w:type w:val="bbPlcHdr"/>
        </w:types>
        <w:behaviors>
          <w:behavior w:val="content"/>
        </w:behaviors>
        <w:guid w:val="{D59392E2-C4C0-44B1-BC00-2BD6F69548A8}"/>
      </w:docPartPr>
      <w:docPartBody>
        <w:p w:rsidR="00AA504A" w:rsidRDefault="00570591" w:rsidP="00570591">
          <w:pPr>
            <w:pStyle w:val="6C9D88DFF1F04C2D8D4F55C7A3A7F61E"/>
          </w:pPr>
          <w:r>
            <w:rPr>
              <w:rStyle w:val="PlaceholderText"/>
            </w:rPr>
            <w:t>Click here to enter a date.</w:t>
          </w:r>
        </w:p>
      </w:docPartBody>
    </w:docPart>
    <w:docPart>
      <w:docPartPr>
        <w:name w:val="48737E272FFA4A738C9C015CBC5C681F"/>
        <w:category>
          <w:name w:val="Bendrosios nuostatos"/>
          <w:gallery w:val="placeholder"/>
        </w:category>
        <w:types>
          <w:type w:val="bbPlcHdr"/>
        </w:types>
        <w:behaviors>
          <w:behavior w:val="content"/>
        </w:behaviors>
        <w:guid w:val="{6879F31F-D816-41A8-82A0-ED1D9393475A}"/>
      </w:docPartPr>
      <w:docPartBody>
        <w:p w:rsidR="00AA504A" w:rsidRDefault="00570591" w:rsidP="00570591">
          <w:pPr>
            <w:pStyle w:val="48737E272FFA4A738C9C015CBC5C681F"/>
          </w:pPr>
          <w:r>
            <w:rPr>
              <w:rStyle w:val="PlaceholderText"/>
            </w:rPr>
            <w:t>Click here to enter a date.</w:t>
          </w:r>
        </w:p>
      </w:docPartBody>
    </w:docPart>
    <w:docPart>
      <w:docPartPr>
        <w:name w:val="05127E37995E4EFABB7EA19F79AD7DB5"/>
        <w:category>
          <w:name w:val="Bendrosios nuostatos"/>
          <w:gallery w:val="placeholder"/>
        </w:category>
        <w:types>
          <w:type w:val="bbPlcHdr"/>
        </w:types>
        <w:behaviors>
          <w:behavior w:val="content"/>
        </w:behaviors>
        <w:guid w:val="{C4EFE03B-B33D-43F1-8570-8750A16FF137}"/>
      </w:docPartPr>
      <w:docPartBody>
        <w:p w:rsidR="00AA504A" w:rsidRDefault="00570591" w:rsidP="00570591">
          <w:pPr>
            <w:pStyle w:val="05127E37995E4EFABB7EA19F79AD7DB5"/>
          </w:pPr>
          <w:r w:rsidRPr="0054646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36FE9"/>
    <w:rsid w:val="000503A3"/>
    <w:rsid w:val="00061157"/>
    <w:rsid w:val="000937FE"/>
    <w:rsid w:val="00097297"/>
    <w:rsid w:val="000A559A"/>
    <w:rsid w:val="000D24D4"/>
    <w:rsid w:val="000E540E"/>
    <w:rsid w:val="0012372F"/>
    <w:rsid w:val="001C35A9"/>
    <w:rsid w:val="00237556"/>
    <w:rsid w:val="002850A2"/>
    <w:rsid w:val="002C6C0A"/>
    <w:rsid w:val="00336BA1"/>
    <w:rsid w:val="0037032E"/>
    <w:rsid w:val="0039303B"/>
    <w:rsid w:val="00393DCF"/>
    <w:rsid w:val="004144A3"/>
    <w:rsid w:val="004160E7"/>
    <w:rsid w:val="004416C6"/>
    <w:rsid w:val="00450728"/>
    <w:rsid w:val="004D33EE"/>
    <w:rsid w:val="004F5AB2"/>
    <w:rsid w:val="005074B9"/>
    <w:rsid w:val="00553359"/>
    <w:rsid w:val="005627DC"/>
    <w:rsid w:val="00570591"/>
    <w:rsid w:val="00580CA9"/>
    <w:rsid w:val="00587B9A"/>
    <w:rsid w:val="005B5E7A"/>
    <w:rsid w:val="005E40DD"/>
    <w:rsid w:val="00652E23"/>
    <w:rsid w:val="006F1352"/>
    <w:rsid w:val="007219C1"/>
    <w:rsid w:val="00753462"/>
    <w:rsid w:val="00772325"/>
    <w:rsid w:val="007A2FE0"/>
    <w:rsid w:val="007A498A"/>
    <w:rsid w:val="007C6D1D"/>
    <w:rsid w:val="00851AB5"/>
    <w:rsid w:val="0090074D"/>
    <w:rsid w:val="00925835"/>
    <w:rsid w:val="009B3BF0"/>
    <w:rsid w:val="009D5E5E"/>
    <w:rsid w:val="009F1BB4"/>
    <w:rsid w:val="00A54DE9"/>
    <w:rsid w:val="00A65210"/>
    <w:rsid w:val="00A6763E"/>
    <w:rsid w:val="00AA504A"/>
    <w:rsid w:val="00AB6ED4"/>
    <w:rsid w:val="00B05164"/>
    <w:rsid w:val="00B14210"/>
    <w:rsid w:val="00B23DC0"/>
    <w:rsid w:val="00B33701"/>
    <w:rsid w:val="00B96656"/>
    <w:rsid w:val="00BB3BF2"/>
    <w:rsid w:val="00BC4B41"/>
    <w:rsid w:val="00BE29C1"/>
    <w:rsid w:val="00BF3EC1"/>
    <w:rsid w:val="00C2401D"/>
    <w:rsid w:val="00C332DD"/>
    <w:rsid w:val="00C53A68"/>
    <w:rsid w:val="00CA347B"/>
    <w:rsid w:val="00CA5BB4"/>
    <w:rsid w:val="00CA7279"/>
    <w:rsid w:val="00CB4BD1"/>
    <w:rsid w:val="00CE2DA9"/>
    <w:rsid w:val="00CE44BE"/>
    <w:rsid w:val="00CF7D5F"/>
    <w:rsid w:val="00D4356B"/>
    <w:rsid w:val="00D65033"/>
    <w:rsid w:val="00D7162F"/>
    <w:rsid w:val="00D7696E"/>
    <w:rsid w:val="00D85637"/>
    <w:rsid w:val="00D949DB"/>
    <w:rsid w:val="00E44A86"/>
    <w:rsid w:val="00E522EB"/>
    <w:rsid w:val="00E60827"/>
    <w:rsid w:val="00E73FF6"/>
    <w:rsid w:val="00E944DD"/>
    <w:rsid w:val="00EF6E0C"/>
    <w:rsid w:val="00F55028"/>
    <w:rsid w:val="00F77BEF"/>
    <w:rsid w:val="00F97900"/>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70591"/>
    <w:rPr>
      <w:color w:val="808080"/>
    </w:rPr>
  </w:style>
  <w:style w:type="paragraph" w:customStyle="1" w:styleId="87097F42D2AB4383BA08C3F5032FAC52">
    <w:name w:val="87097F42D2AB4383BA08C3F5032FAC52"/>
    <w:rsid w:val="00570591"/>
    <w:pPr>
      <w:spacing w:line="278" w:lineRule="auto"/>
    </w:pPr>
    <w:rPr>
      <w:kern w:val="2"/>
      <w:sz w:val="24"/>
      <w:szCs w:val="24"/>
      <w14:ligatures w14:val="standardContextual"/>
    </w:rPr>
  </w:style>
  <w:style w:type="paragraph" w:customStyle="1" w:styleId="7B0FCBB4BBF947A3BD7CBA4A9FF4997C">
    <w:name w:val="7B0FCBB4BBF947A3BD7CBA4A9FF4997C"/>
    <w:rsid w:val="00570591"/>
    <w:pPr>
      <w:spacing w:line="278" w:lineRule="auto"/>
    </w:pPr>
    <w:rPr>
      <w:kern w:val="2"/>
      <w:sz w:val="24"/>
      <w:szCs w:val="24"/>
      <w14:ligatures w14:val="standardContextual"/>
    </w:rPr>
  </w:style>
  <w:style w:type="paragraph" w:customStyle="1" w:styleId="6C9D88DFF1F04C2D8D4F55C7A3A7F61E">
    <w:name w:val="6C9D88DFF1F04C2D8D4F55C7A3A7F61E"/>
    <w:rsid w:val="00570591"/>
    <w:pPr>
      <w:spacing w:line="278" w:lineRule="auto"/>
    </w:pPr>
    <w:rPr>
      <w:kern w:val="2"/>
      <w:sz w:val="24"/>
      <w:szCs w:val="24"/>
      <w14:ligatures w14:val="standardContextual"/>
    </w:rPr>
  </w:style>
  <w:style w:type="paragraph" w:customStyle="1" w:styleId="48737E272FFA4A738C9C015CBC5C681F">
    <w:name w:val="48737E272FFA4A738C9C015CBC5C681F"/>
    <w:rsid w:val="00570591"/>
    <w:pPr>
      <w:spacing w:line="278" w:lineRule="auto"/>
    </w:pPr>
    <w:rPr>
      <w:kern w:val="2"/>
      <w:sz w:val="24"/>
      <w:szCs w:val="24"/>
      <w14:ligatures w14:val="standardContextual"/>
    </w:rPr>
  </w:style>
  <w:style w:type="paragraph" w:customStyle="1" w:styleId="05127E37995E4EFABB7EA19F79AD7DB5">
    <w:name w:val="05127E37995E4EFABB7EA19F79AD7DB5"/>
    <w:rsid w:val="0057059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26C6E-92DF-4B1F-8792-BB09A0EF4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2491</Words>
  <Characters>14201</Characters>
  <Application>Microsoft Office Word</Application>
  <DocSecurity>0</DocSecurity>
  <Lines>118</Lines>
  <Paragraphs>33</Paragraphs>
  <ScaleCrop>false</ScaleCrop>
  <Company/>
  <LinksUpToDate>false</LinksUpToDate>
  <CharactersWithSpaces>16659</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2025-12-22T08:46:00Z</dcterms:created>
  <dcterms:modified xsi:type="dcterms:W3CDTF">2026-01-13T21:50:00Z</dcterms:modified>
</cp:coreProperties>
</file>