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3000C6C8" w14:textId="77777777" w:rsidR="003B7039" w:rsidRPr="001D1FE4" w:rsidRDefault="003B7039" w:rsidP="003B7039">
      <w:pPr>
        <w:jc w:val="center"/>
        <w:rPr>
          <w:b/>
          <w:bCs/>
        </w:rPr>
      </w:pPr>
      <w:r w:rsidRPr="001D1FE4">
        <w:rPr>
          <w:b/>
          <w:bCs/>
        </w:rPr>
        <w:t>Tagrisso 40 mg plėvele dengtos tabletės</w:t>
      </w:r>
    </w:p>
    <w:p w14:paraId="28D6B841" w14:textId="77777777" w:rsidR="003B7039" w:rsidRPr="001D1FE4" w:rsidRDefault="003B7039" w:rsidP="003B7039">
      <w:pPr>
        <w:jc w:val="center"/>
        <w:rPr>
          <w:b/>
          <w:bCs/>
        </w:rPr>
      </w:pPr>
      <w:r w:rsidRPr="001D1FE4">
        <w:rPr>
          <w:b/>
          <w:bCs/>
        </w:rPr>
        <w:t>Tagrisso 80 mg plėvele dengtos tabletės</w:t>
      </w:r>
    </w:p>
    <w:p w14:paraId="50676809" w14:textId="77777777" w:rsidR="003B7039" w:rsidRPr="001D1FE4" w:rsidRDefault="003B7039" w:rsidP="003B7039">
      <w:pPr>
        <w:tabs>
          <w:tab w:val="left" w:pos="2713"/>
        </w:tabs>
        <w:rPr>
          <w:b/>
          <w:bCs/>
        </w:rPr>
      </w:pPr>
      <w:r w:rsidRPr="001D1FE4">
        <w:rPr>
          <w:b/>
          <w:bCs/>
        </w:rPr>
        <w:tab/>
      </w:r>
    </w:p>
    <w:p w14:paraId="2A0EF39E" w14:textId="77777777" w:rsidR="003B7039" w:rsidRPr="001D1FE4" w:rsidRDefault="003B7039" w:rsidP="003B7039">
      <w:pPr>
        <w:jc w:val="center"/>
        <w:rPr>
          <w:b/>
          <w:bCs/>
        </w:rPr>
      </w:pPr>
      <w:r w:rsidRPr="001D1FE4">
        <w:rPr>
          <w:b/>
          <w:bCs/>
        </w:rPr>
        <w:t>Osimertinibas</w:t>
      </w:r>
    </w:p>
    <w:p w14:paraId="1AA4BFC7" w14:textId="77777777" w:rsidR="003B7039" w:rsidRPr="001D1FE4" w:rsidRDefault="003B7039" w:rsidP="003B7039">
      <w:pPr>
        <w:jc w:val="center"/>
        <w:rPr>
          <w:b/>
          <w:bCs/>
        </w:rPr>
      </w:pPr>
    </w:p>
    <w:p w14:paraId="3D5E04CB" w14:textId="77777777" w:rsidR="003B7039" w:rsidRPr="001D1FE4" w:rsidRDefault="003B7039" w:rsidP="003B7039">
      <w:pPr>
        <w:jc w:val="center"/>
        <w:rPr>
          <w:b/>
          <w:bCs/>
        </w:rPr>
      </w:pPr>
      <w:r w:rsidRPr="001D1FE4">
        <w:rPr>
          <w:b/>
          <w:bCs/>
        </w:rPr>
        <w:t>STV-226</w:t>
      </w:r>
    </w:p>
    <w:p w14:paraId="453197C8" w14:textId="77777777" w:rsidR="00D4708D" w:rsidRPr="00E33EFF" w:rsidRDefault="00D4708D" w:rsidP="003B211A">
      <w:pPr>
        <w:jc w:val="center"/>
        <w:rPr>
          <w:b/>
        </w:rPr>
      </w:pPr>
    </w:p>
    <w:p w14:paraId="78C89D1C" w14:textId="0DEFFAA5" w:rsidR="00D4485B" w:rsidRPr="00E33EFF" w:rsidRDefault="00B13D65" w:rsidP="00CC09D4">
      <w:pPr>
        <w:pStyle w:val="ListParagraph"/>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DE44BD" w:rsidRPr="00E33EFF" w14:paraId="18A83EC2" w14:textId="77777777" w:rsidTr="00BE7489">
        <w:trPr>
          <w:trHeight w:val="538"/>
        </w:trPr>
        <w:tc>
          <w:tcPr>
            <w:tcW w:w="632" w:type="dxa"/>
          </w:tcPr>
          <w:p w14:paraId="0646FBEA" w14:textId="77777777" w:rsidR="00DE44BD" w:rsidRPr="00E33EFF" w:rsidRDefault="00DE44BD" w:rsidP="00DE44BD">
            <w:pPr>
              <w:rPr>
                <w:rFonts w:eastAsia="Arial"/>
              </w:rPr>
            </w:pPr>
            <w:r w:rsidRPr="00E33EFF">
              <w:rPr>
                <w:rFonts w:eastAsia="Arial"/>
              </w:rPr>
              <w:t>1.1</w:t>
            </w:r>
          </w:p>
        </w:tc>
        <w:tc>
          <w:tcPr>
            <w:tcW w:w="3694" w:type="dxa"/>
          </w:tcPr>
          <w:p w14:paraId="6C3AE864" w14:textId="77777777" w:rsidR="00DE44BD" w:rsidRPr="00E33EFF" w:rsidRDefault="00DE44BD" w:rsidP="00DE44BD">
            <w:pPr>
              <w:rPr>
                <w:rFonts w:eastAsia="Arial"/>
              </w:rPr>
            </w:pPr>
            <w:r w:rsidRPr="00E33EFF">
              <w:rPr>
                <w:rFonts w:eastAsia="Arial"/>
              </w:rPr>
              <w:t>Pareiškėjas</w:t>
            </w:r>
          </w:p>
          <w:p w14:paraId="2AF240DC" w14:textId="77777777" w:rsidR="00DE44BD" w:rsidRPr="00E33EFF" w:rsidRDefault="00DE44BD" w:rsidP="00DE44BD">
            <w:pPr>
              <w:rPr>
                <w:rFonts w:eastAsia="Arial"/>
              </w:rPr>
            </w:pPr>
          </w:p>
        </w:tc>
        <w:tc>
          <w:tcPr>
            <w:tcW w:w="5167" w:type="dxa"/>
          </w:tcPr>
          <w:p w14:paraId="2AAF0D91" w14:textId="21C05C1D" w:rsidR="00DE44BD" w:rsidRPr="00E33EFF" w:rsidRDefault="00DE44BD" w:rsidP="00DE44BD">
            <w:pPr>
              <w:rPr>
                <w:rFonts w:eastAsia="Arial"/>
              </w:rPr>
            </w:pPr>
            <w:r w:rsidRPr="00EE73FA">
              <w:t>UAB „AstraZeneca Lietuva“</w:t>
            </w:r>
          </w:p>
        </w:tc>
      </w:tr>
      <w:tr w:rsidR="00DE44BD" w:rsidRPr="00E33EFF" w14:paraId="31998B0D" w14:textId="77777777" w:rsidTr="00BE7489">
        <w:trPr>
          <w:trHeight w:val="538"/>
        </w:trPr>
        <w:tc>
          <w:tcPr>
            <w:tcW w:w="632" w:type="dxa"/>
          </w:tcPr>
          <w:p w14:paraId="2005EC67" w14:textId="662300D0" w:rsidR="00DE44BD" w:rsidRPr="00E33EFF" w:rsidRDefault="00DE44BD" w:rsidP="00DE44BD">
            <w:pPr>
              <w:rPr>
                <w:rFonts w:eastAsia="Arial"/>
              </w:rPr>
            </w:pPr>
            <w:r w:rsidRPr="00E33EFF">
              <w:rPr>
                <w:rFonts w:eastAsia="Arial"/>
              </w:rPr>
              <w:t>1.2</w:t>
            </w:r>
          </w:p>
        </w:tc>
        <w:tc>
          <w:tcPr>
            <w:tcW w:w="3694" w:type="dxa"/>
          </w:tcPr>
          <w:p w14:paraId="1E4AE3B1" w14:textId="77777777" w:rsidR="00DE44BD" w:rsidRPr="00135175" w:rsidRDefault="00DE44BD" w:rsidP="00DE44BD">
            <w:pPr>
              <w:rPr>
                <w:bCs/>
                <w:color w:val="000000"/>
                <w:lang w:eastAsia="lt-LT"/>
              </w:rPr>
            </w:pPr>
            <w:r w:rsidRPr="00135175">
              <w:rPr>
                <w:bCs/>
                <w:color w:val="000000"/>
                <w:lang w:eastAsia="lt-LT"/>
              </w:rPr>
              <w:t xml:space="preserve">Registracijos data </w:t>
            </w:r>
          </w:p>
          <w:p w14:paraId="3A0DC096" w14:textId="77777777" w:rsidR="00DE44BD" w:rsidRPr="00135175" w:rsidRDefault="00DE44BD" w:rsidP="00DE44BD">
            <w:pPr>
              <w:rPr>
                <w:bCs/>
                <w:color w:val="000000"/>
                <w:lang w:eastAsia="lt-LT"/>
              </w:rPr>
            </w:pPr>
          </w:p>
        </w:tc>
        <w:tc>
          <w:tcPr>
            <w:tcW w:w="5167" w:type="dxa"/>
          </w:tcPr>
          <w:p w14:paraId="3CA218AD" w14:textId="1FBE7F7B" w:rsidR="00DE44BD" w:rsidRPr="00135175" w:rsidRDefault="00DE44BD" w:rsidP="00DE44BD">
            <w:pPr>
              <w:rPr>
                <w:rStyle w:val="Style2"/>
                <w:sz w:val="24"/>
              </w:rPr>
            </w:pPr>
            <w:r w:rsidRPr="00EE73FA">
              <w:t>2016 m. vasario 2 d.</w:t>
            </w:r>
          </w:p>
        </w:tc>
      </w:tr>
      <w:tr w:rsidR="00B77902" w:rsidRPr="00E33EFF" w14:paraId="15968AE1" w14:textId="77777777" w:rsidTr="00BE7489">
        <w:trPr>
          <w:trHeight w:val="1500"/>
        </w:trPr>
        <w:tc>
          <w:tcPr>
            <w:tcW w:w="632" w:type="dxa"/>
          </w:tcPr>
          <w:p w14:paraId="6A784245" w14:textId="1E461489" w:rsidR="00B77902" w:rsidRPr="00E33EFF" w:rsidRDefault="00B77902" w:rsidP="00B77902">
            <w:pPr>
              <w:rPr>
                <w:rFonts w:eastAsia="Arial"/>
              </w:rPr>
            </w:pPr>
            <w:r w:rsidRPr="00E33EFF">
              <w:rPr>
                <w:rFonts w:eastAsia="Arial"/>
              </w:rPr>
              <w:t>1.3</w:t>
            </w:r>
          </w:p>
        </w:tc>
        <w:tc>
          <w:tcPr>
            <w:tcW w:w="3694" w:type="dxa"/>
          </w:tcPr>
          <w:p w14:paraId="22933506" w14:textId="77777777" w:rsidR="00B77902" w:rsidRPr="00E33EFF" w:rsidRDefault="00B77902" w:rsidP="00B77902">
            <w:r w:rsidRPr="00E33EFF">
              <w:t xml:space="preserve">Paraiškos tipas </w:t>
            </w:r>
          </w:p>
          <w:p w14:paraId="0465E680" w14:textId="7F0A0714" w:rsidR="00B77902" w:rsidRPr="00E33EFF" w:rsidRDefault="00B77902" w:rsidP="00B77902">
            <w:r w:rsidRPr="00E33EFF">
              <w:t xml:space="preserve">(pagal </w:t>
            </w:r>
            <w:r w:rsidRPr="00E33EFF">
              <w:rPr>
                <w:color w:val="333333"/>
                <w:shd w:val="clear" w:color="auto" w:fill="FFFFFF"/>
              </w:rPr>
              <w:t>vaistinio preparato registracijos tipą, įtvirtintą</w:t>
            </w:r>
            <w:r w:rsidRPr="00E33EFF">
              <w:t xml:space="preserve"> Direktyvos 2001/83/EB straipsiuose)</w:t>
            </w:r>
          </w:p>
          <w:p w14:paraId="77089D80" w14:textId="6681D72A" w:rsidR="00B77902" w:rsidRPr="00E33EFF" w:rsidRDefault="00B77902" w:rsidP="00B77902">
            <w:pPr>
              <w:rPr>
                <w:bCs/>
                <w:color w:val="000000"/>
                <w:lang w:eastAsia="lt-LT"/>
              </w:rPr>
            </w:pPr>
          </w:p>
        </w:tc>
        <w:tc>
          <w:tcPr>
            <w:tcW w:w="5167" w:type="dxa"/>
          </w:tcPr>
          <w:p w14:paraId="31FA0E00" w14:textId="77777777" w:rsidR="00B77902" w:rsidRPr="00B77902" w:rsidRDefault="00000000" w:rsidP="00B77902">
            <w:sdt>
              <w:sdtPr>
                <w:rPr>
                  <w:rStyle w:val="Style2"/>
                  <w:sz w:val="24"/>
                </w:rPr>
                <w:id w:val="-366596377"/>
                <w15:color w:val="FFCC00"/>
                <w14:checkbox>
                  <w14:checked w14:val="1"/>
                  <w14:checkedState w14:val="2612" w14:font="MS Gothic"/>
                  <w14:uncheckedState w14:val="2610" w14:font="MS Gothic"/>
                </w14:checkbox>
              </w:sdtPr>
              <w:sdtContent>
                <w:r w:rsidR="00B77902" w:rsidRPr="00B77902">
                  <w:rPr>
                    <w:rStyle w:val="Style2"/>
                    <w:rFonts w:ascii="MS Gothic" w:eastAsia="MS Gothic" w:hAnsi="MS Gothic" w:hint="eastAsia"/>
                    <w:sz w:val="24"/>
                  </w:rPr>
                  <w:t>☒</w:t>
                </w:r>
              </w:sdtContent>
            </w:sdt>
            <w:r w:rsidR="00B77902" w:rsidRPr="00B77902">
              <w:t xml:space="preserve"> 8.3 str. (pilna byla, pagrįsta savais tyrimais) </w:t>
            </w:r>
          </w:p>
          <w:p w14:paraId="60F7E4F9" w14:textId="78D13CA9" w:rsidR="00B77902" w:rsidRPr="00B77902" w:rsidRDefault="00000000" w:rsidP="00B77902">
            <w:sdt>
              <w:sdtPr>
                <w:rPr>
                  <w:rStyle w:val="Style2"/>
                  <w:sz w:val="24"/>
                </w:rPr>
                <w:id w:val="675462298"/>
                <w15:color w:val="FFCC00"/>
                <w14:checkbox>
                  <w14:checked w14:val="0"/>
                  <w14:checkedState w14:val="2612" w14:font="MS Gothic"/>
                  <w14:uncheckedState w14:val="2610" w14:font="MS Gothic"/>
                </w14:checkbox>
              </w:sdtPr>
              <w:sdtContent>
                <w:r w:rsidR="00B77902" w:rsidRPr="00B77902">
                  <w:rPr>
                    <w:rStyle w:val="Style2"/>
                    <w:rFonts w:ascii="MS Gothic" w:eastAsia="MS Gothic" w:hAnsi="MS Gothic" w:hint="eastAsia"/>
                    <w:sz w:val="24"/>
                  </w:rPr>
                  <w:t>☐</w:t>
                </w:r>
              </w:sdtContent>
            </w:sdt>
            <w:r w:rsidR="00B77902" w:rsidRPr="00B77902">
              <w:t xml:space="preserve"> 10 a str. (pripažintas medicininis vartojimas) </w:t>
            </w:r>
          </w:p>
          <w:p w14:paraId="21180F88" w14:textId="462F1E14" w:rsidR="00B77902" w:rsidRPr="00B77902" w:rsidRDefault="00000000" w:rsidP="00B77902">
            <w:sdt>
              <w:sdtPr>
                <w:rPr>
                  <w:rStyle w:val="Style2"/>
                  <w:sz w:val="24"/>
                </w:rPr>
                <w:id w:val="-1290435890"/>
                <w15:color w:val="FFCC00"/>
                <w14:checkbox>
                  <w14:checked w14:val="0"/>
                  <w14:checkedState w14:val="2612" w14:font="MS Gothic"/>
                  <w14:uncheckedState w14:val="2610" w14:font="MS Gothic"/>
                </w14:checkbox>
              </w:sdtPr>
              <w:sdtContent>
                <w:r w:rsidR="00B77902" w:rsidRPr="00B77902">
                  <w:rPr>
                    <w:rStyle w:val="Style2"/>
                    <w:rFonts w:ascii="MS Gothic" w:eastAsia="MS Gothic" w:hAnsi="MS Gothic" w:hint="eastAsia"/>
                    <w:sz w:val="24"/>
                  </w:rPr>
                  <w:t>☐</w:t>
                </w:r>
              </w:sdtContent>
            </w:sdt>
            <w:r w:rsidR="00B77902" w:rsidRPr="00B77902">
              <w:t xml:space="preserve"> 10.1 str. (generinis)</w:t>
            </w:r>
          </w:p>
          <w:p w14:paraId="3B0A4F72" w14:textId="6B3113EF" w:rsidR="00B77902" w:rsidRPr="00B77902" w:rsidRDefault="00000000" w:rsidP="00B77902">
            <w:pPr>
              <w:rPr>
                <w:rStyle w:val="Style2"/>
                <w:sz w:val="24"/>
              </w:rPr>
            </w:pPr>
            <w:sdt>
              <w:sdtPr>
                <w:rPr>
                  <w:rStyle w:val="Style2"/>
                  <w:sz w:val="24"/>
                </w:rPr>
                <w:id w:val="-124545030"/>
                <w15:color w:val="FFCC00"/>
                <w14:checkbox>
                  <w14:checked w14:val="0"/>
                  <w14:checkedState w14:val="2612" w14:font="MS Gothic"/>
                  <w14:uncheckedState w14:val="2610" w14:font="MS Gothic"/>
                </w14:checkbox>
              </w:sdtPr>
              <w:sdtContent>
                <w:r w:rsidR="00B77902" w:rsidRPr="00B77902">
                  <w:rPr>
                    <w:rStyle w:val="Style2"/>
                    <w:rFonts w:ascii="MS Gothic" w:eastAsia="MS Gothic" w:hAnsi="MS Gothic" w:hint="eastAsia"/>
                    <w:sz w:val="24"/>
                  </w:rPr>
                  <w:t>☐</w:t>
                </w:r>
              </w:sdtContent>
            </w:sdt>
            <w:r w:rsidR="00B77902" w:rsidRPr="00B77902">
              <w:t xml:space="preserve"> 10.3 str. (hibridinis)</w:t>
            </w:r>
          </w:p>
        </w:tc>
      </w:tr>
      <w:tr w:rsidR="00B13D65" w:rsidRPr="00E33EFF" w14:paraId="310E9662" w14:textId="77777777" w:rsidTr="00135175">
        <w:trPr>
          <w:trHeight w:val="935"/>
        </w:trPr>
        <w:tc>
          <w:tcPr>
            <w:tcW w:w="632" w:type="dxa"/>
          </w:tcPr>
          <w:p w14:paraId="4B5A91A2" w14:textId="561B5E5F"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483071A3" w14:textId="05C29CC5"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tc>
        <w:tc>
          <w:tcPr>
            <w:tcW w:w="5167" w:type="dxa"/>
          </w:tcPr>
          <w:p w14:paraId="05845C60" w14:textId="499A210F" w:rsidR="00B13D65" w:rsidRPr="00B77902"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B77902" w:rsidRPr="00B77902">
                  <w:rPr>
                    <w:rStyle w:val="Style2"/>
                    <w:rFonts w:ascii="MS Gothic" w:eastAsia="MS Gothic" w:hAnsi="MS Gothic" w:hint="eastAsia"/>
                    <w:sz w:val="24"/>
                  </w:rPr>
                  <w:t>☐</w:t>
                </w:r>
              </w:sdtContent>
            </w:sdt>
            <w:r w:rsidR="00B13D65" w:rsidRPr="00B77902">
              <w:t xml:space="preserve"> Taip</w:t>
            </w:r>
          </w:p>
          <w:p w14:paraId="29C2CBBB" w14:textId="1F7284F7" w:rsidR="00B13D65" w:rsidRPr="00B77902"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135175" w:rsidRPr="00B77902">
                  <w:rPr>
                    <w:rStyle w:val="Style2"/>
                    <w:rFonts w:ascii="MS Gothic" w:eastAsia="MS Gothic" w:hAnsi="MS Gothic" w:hint="eastAsia"/>
                    <w:sz w:val="24"/>
                  </w:rPr>
                  <w:t>☒</w:t>
                </w:r>
              </w:sdtContent>
            </w:sdt>
            <w:r w:rsidR="00B13D65" w:rsidRPr="00B77902">
              <w:t xml:space="preserve"> Ne</w:t>
            </w:r>
          </w:p>
        </w:tc>
      </w:tr>
      <w:tr w:rsidR="00D417D2" w:rsidRPr="00E33EFF" w14:paraId="7841E5F8" w14:textId="77777777" w:rsidTr="00BE7489">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74C06622" w:rsidR="00D417D2" w:rsidRPr="00B77902"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135175" w:rsidRPr="00B77902">
                  <w:rPr>
                    <w:rStyle w:val="Style2"/>
                    <w:rFonts w:ascii="MS Gothic" w:eastAsia="MS Gothic" w:hAnsi="MS Gothic" w:hint="eastAsia"/>
                    <w:sz w:val="24"/>
                  </w:rPr>
                  <w:t>☒</w:t>
                </w:r>
              </w:sdtContent>
            </w:sdt>
            <w:r w:rsidR="00D417D2" w:rsidRPr="00B77902">
              <w:t xml:space="preserve"> Pilna paraiška</w:t>
            </w:r>
          </w:p>
          <w:p w14:paraId="6B8213E3" w14:textId="3495CDF4" w:rsidR="00D417D2" w:rsidRPr="00B77902"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B77902">
                  <w:rPr>
                    <w:rStyle w:val="Style2"/>
                    <w:rFonts w:ascii="MS Gothic" w:eastAsia="MS Gothic" w:hAnsi="MS Gothic" w:hint="eastAsia"/>
                    <w:sz w:val="24"/>
                  </w:rPr>
                  <w:t>☐</w:t>
                </w:r>
              </w:sdtContent>
            </w:sdt>
            <w:r w:rsidR="00D417D2" w:rsidRPr="00B77902">
              <w:t xml:space="preserve"> Supaprastinta paraiška</w:t>
            </w:r>
          </w:p>
        </w:tc>
      </w:tr>
      <w:tr w:rsidR="00EC4BA0" w:rsidRPr="00E33EFF" w14:paraId="274D1DAF" w14:textId="77777777" w:rsidTr="00135175">
        <w:trPr>
          <w:trHeight w:val="699"/>
        </w:trPr>
        <w:tc>
          <w:tcPr>
            <w:tcW w:w="632" w:type="dxa"/>
          </w:tcPr>
          <w:p w14:paraId="17ABF217" w14:textId="14AC00D7" w:rsidR="00EC4BA0" w:rsidRPr="00E33EFF" w:rsidRDefault="00EC4BA0" w:rsidP="00EC4BA0">
            <w:pPr>
              <w:rPr>
                <w:rFonts w:eastAsia="Arial"/>
              </w:rPr>
            </w:pPr>
            <w:r w:rsidRPr="00E33EFF">
              <w:rPr>
                <w:rFonts w:eastAsia="Arial"/>
              </w:rPr>
              <w:t>1.6</w:t>
            </w:r>
          </w:p>
        </w:tc>
        <w:tc>
          <w:tcPr>
            <w:tcW w:w="3694" w:type="dxa"/>
          </w:tcPr>
          <w:p w14:paraId="4D49DBF5" w14:textId="77777777" w:rsidR="00EC4BA0" w:rsidRPr="00E33EFF" w:rsidRDefault="00EC4BA0" w:rsidP="00EC4BA0">
            <w:pPr>
              <w:rPr>
                <w:bCs/>
                <w:color w:val="000000"/>
                <w:lang w:eastAsia="lt-LT"/>
              </w:rPr>
            </w:pPr>
            <w:r w:rsidRPr="00E33EFF">
              <w:rPr>
                <w:bCs/>
                <w:color w:val="000000"/>
                <w:lang w:eastAsia="lt-LT"/>
              </w:rPr>
              <w:t>Pareiškėjo teikiama (-os) kompensuoti vaistinio preparato indikacija (-os)</w:t>
            </w:r>
          </w:p>
          <w:p w14:paraId="3FB07EE5" w14:textId="77777777" w:rsidR="00EC4BA0" w:rsidRDefault="00EC4BA0" w:rsidP="00EC4BA0">
            <w:pPr>
              <w:rPr>
                <w:bCs/>
                <w:color w:val="000000"/>
                <w:lang w:eastAsia="lt-LT"/>
              </w:rPr>
            </w:pPr>
          </w:p>
          <w:p w14:paraId="3A6B054C" w14:textId="77777777" w:rsidR="00EC4BA0" w:rsidRDefault="00EC4BA0" w:rsidP="00EC4BA0">
            <w:pPr>
              <w:rPr>
                <w:bCs/>
                <w:color w:val="000000"/>
                <w:lang w:eastAsia="lt-LT"/>
              </w:rPr>
            </w:pPr>
          </w:p>
          <w:p w14:paraId="6B4FEEC1" w14:textId="378668B0" w:rsidR="00EC4BA0" w:rsidRPr="00E33EFF" w:rsidRDefault="00EC4BA0" w:rsidP="00EC4BA0">
            <w:pPr>
              <w:rPr>
                <w:bCs/>
                <w:color w:val="000000"/>
                <w:lang w:eastAsia="lt-LT"/>
              </w:rPr>
            </w:pPr>
            <w:r w:rsidRPr="00E33EFF">
              <w:rPr>
                <w:bCs/>
                <w:color w:val="000000"/>
                <w:lang w:eastAsia="lt-LT"/>
              </w:rPr>
              <w:t>Kodas pagal TLK-10 AM</w:t>
            </w:r>
          </w:p>
        </w:tc>
        <w:tc>
          <w:tcPr>
            <w:tcW w:w="5167" w:type="dxa"/>
          </w:tcPr>
          <w:p w14:paraId="2C9F44EC" w14:textId="3FB058A8" w:rsidR="00EC4BA0" w:rsidRPr="00EE73FA" w:rsidRDefault="00EC4BA0" w:rsidP="00EC4BA0">
            <w:pPr>
              <w:rPr>
                <w:lang w:eastAsia="lt-LT"/>
              </w:rPr>
            </w:pPr>
            <w:bookmarkStart w:id="0" w:name="_Hlk199687281"/>
            <w:r w:rsidRPr="00EE73FA">
              <w:t>TAGRISSO skiriamas deriniu su: pemetreksedu ir chemoterapija platinos pagrindu</w:t>
            </w:r>
            <w:bookmarkStart w:id="1" w:name="_Hlk199966789"/>
            <w:r w:rsidRPr="00EE73FA">
              <w:t xml:space="preserve">, suaugusiems pacientams, sergantiems išplitusiu </w:t>
            </w:r>
            <w:r w:rsidR="00814604">
              <w:t>NSLPV</w:t>
            </w:r>
            <w:r w:rsidRPr="00EE73FA">
              <w:t xml:space="preserve">, kurių navikuose nustatyta </w:t>
            </w:r>
            <w:r>
              <w:t>EAFR</w:t>
            </w:r>
            <w:r w:rsidRPr="00EE73FA">
              <w:t xml:space="preserve"> 19 egzono delecijų arba 21 egzono (L858R) substitucijos mutacijų, pirmaeiliam gydymui.</w:t>
            </w:r>
          </w:p>
          <w:bookmarkEnd w:id="0"/>
          <w:bookmarkEnd w:id="1"/>
          <w:p w14:paraId="7523CD73" w14:textId="77777777" w:rsidR="00EC4BA0" w:rsidRPr="00EE73FA" w:rsidRDefault="00EC4BA0" w:rsidP="00EC4BA0">
            <w:pPr>
              <w:rPr>
                <w:lang w:eastAsia="lt-LT"/>
              </w:rPr>
            </w:pPr>
          </w:p>
          <w:p w14:paraId="13F7DFB0" w14:textId="798DAC0F" w:rsidR="00EC4BA0" w:rsidRPr="00E33EFF" w:rsidRDefault="00EC4BA0" w:rsidP="00EC4BA0">
            <w:pPr>
              <w:pStyle w:val="ListParagraph"/>
              <w:spacing w:after="120"/>
              <w:ind w:left="0"/>
              <w:contextualSpacing w:val="0"/>
              <w:jc w:val="both"/>
            </w:pPr>
            <w:r w:rsidRPr="00EE73FA">
              <w:rPr>
                <w:lang w:eastAsia="lt-LT"/>
              </w:rPr>
              <w:t>(C34 - broncho ir plaučio piktybinis navikas)</w:t>
            </w:r>
          </w:p>
        </w:tc>
      </w:tr>
      <w:tr w:rsidR="00EC4BA0" w:rsidRPr="00E33EFF" w14:paraId="2F79DC08" w14:textId="77777777" w:rsidTr="00BE7489">
        <w:trPr>
          <w:trHeight w:val="378"/>
        </w:trPr>
        <w:tc>
          <w:tcPr>
            <w:tcW w:w="632" w:type="dxa"/>
          </w:tcPr>
          <w:p w14:paraId="547885A2" w14:textId="08AA8055" w:rsidR="00EC4BA0" w:rsidRPr="00E33EFF" w:rsidRDefault="00EC4BA0" w:rsidP="00EC4BA0">
            <w:pPr>
              <w:rPr>
                <w:rFonts w:eastAsia="Arial"/>
              </w:rPr>
            </w:pPr>
            <w:r w:rsidRPr="00E33EFF">
              <w:rPr>
                <w:rFonts w:eastAsia="Arial"/>
              </w:rPr>
              <w:t>1.6</w:t>
            </w:r>
          </w:p>
        </w:tc>
        <w:tc>
          <w:tcPr>
            <w:tcW w:w="3694" w:type="dxa"/>
          </w:tcPr>
          <w:p w14:paraId="2EAB877F" w14:textId="39A36941" w:rsidR="00EC4BA0" w:rsidRPr="00E33EFF" w:rsidRDefault="00EC4BA0" w:rsidP="00EC4BA0">
            <w:pPr>
              <w:rPr>
                <w:bCs/>
                <w:color w:val="000000"/>
                <w:u w:val="single"/>
                <w:lang w:eastAsia="lt-LT"/>
              </w:rPr>
            </w:pPr>
            <w:r w:rsidRPr="00E33EFF">
              <w:rPr>
                <w:bCs/>
                <w:color w:val="000000"/>
                <w:lang w:eastAsia="lt-LT"/>
              </w:rPr>
              <w:t xml:space="preserve">Pareiškėjo teikiamos skyrimo sąlygos </w:t>
            </w:r>
          </w:p>
        </w:tc>
        <w:tc>
          <w:tcPr>
            <w:tcW w:w="5167" w:type="dxa"/>
          </w:tcPr>
          <w:p w14:paraId="0579DF58" w14:textId="103EBC0A" w:rsidR="00EC4BA0" w:rsidRPr="00E33EFF" w:rsidRDefault="00EC4BA0" w:rsidP="00EC4BA0">
            <w:r w:rsidRPr="00EE73FA">
              <w:rPr>
                <w:lang w:eastAsia="lt-LT"/>
              </w:rPr>
              <w:t>Pagal registruotą indikaciją.</w:t>
            </w:r>
          </w:p>
        </w:tc>
      </w:tr>
      <w:tr w:rsidR="00B13D65" w:rsidRPr="00E33EFF" w14:paraId="3B125269" w14:textId="77777777" w:rsidTr="00351302">
        <w:trPr>
          <w:trHeight w:val="1118"/>
        </w:trPr>
        <w:tc>
          <w:tcPr>
            <w:tcW w:w="632" w:type="dxa"/>
          </w:tcPr>
          <w:p w14:paraId="0058E11F" w14:textId="77777777" w:rsidR="00B13D65" w:rsidRPr="00E33EFF" w:rsidRDefault="00B13D65" w:rsidP="00824B92">
            <w:pPr>
              <w:rPr>
                <w:rFonts w:eastAsia="Arial"/>
              </w:rPr>
            </w:pPr>
            <w:r w:rsidRPr="00E33EFF">
              <w:rPr>
                <w:rFonts w:eastAsia="Arial"/>
              </w:rPr>
              <w:lastRenderedPageBreak/>
              <w:t>1.7</w:t>
            </w:r>
          </w:p>
        </w:tc>
        <w:tc>
          <w:tcPr>
            <w:tcW w:w="3694" w:type="dxa"/>
          </w:tcPr>
          <w:p w14:paraId="738E1926" w14:textId="77777777" w:rsidR="00B13D65" w:rsidRPr="00E33EFF"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 xml:space="preserve">gydymas </w:t>
            </w:r>
          </w:p>
          <w:p w14:paraId="61EC5BBD" w14:textId="7A8BD8B4" w:rsidR="009F4D66" w:rsidRDefault="009F4D66" w:rsidP="00824B92">
            <w:pPr>
              <w:rPr>
                <w:bCs/>
                <w:color w:val="000000"/>
                <w:lang w:eastAsia="lt-LT"/>
              </w:rPr>
            </w:pPr>
          </w:p>
          <w:p w14:paraId="34B858F8" w14:textId="4D98EA28" w:rsidR="00135175" w:rsidRPr="00E33EFF" w:rsidRDefault="00135175" w:rsidP="00824B92">
            <w:pPr>
              <w:rPr>
                <w:bCs/>
                <w:color w:val="000000"/>
                <w:lang w:eastAsia="lt-LT"/>
              </w:rPr>
            </w:pPr>
            <w:r>
              <w:rPr>
                <w:bCs/>
                <w:color w:val="000000"/>
                <w:lang w:eastAsia="lt-LT"/>
              </w:rPr>
              <w:t xml:space="preserve">Tiesioginis palyginimas </w:t>
            </w:r>
          </w:p>
          <w:p w14:paraId="6CC1022E" w14:textId="1A81E01C" w:rsidR="00135175" w:rsidRPr="00E33EFF" w:rsidRDefault="00135175" w:rsidP="00824B92">
            <w:pPr>
              <w:rPr>
                <w:bCs/>
                <w:color w:val="000000"/>
                <w:lang w:eastAsia="lt-LT"/>
              </w:rPr>
            </w:pPr>
          </w:p>
        </w:tc>
        <w:tc>
          <w:tcPr>
            <w:tcW w:w="5167" w:type="dxa"/>
          </w:tcPr>
          <w:p w14:paraId="4ED4CC2B" w14:textId="304D6F29" w:rsidR="00135175" w:rsidRDefault="00135175" w:rsidP="00824B92"/>
          <w:p w14:paraId="03181E5A" w14:textId="77777777" w:rsidR="00135175" w:rsidRDefault="00135175" w:rsidP="00824B92"/>
          <w:p w14:paraId="673E4AE6" w14:textId="77777777" w:rsidR="00135175" w:rsidRDefault="00135175" w:rsidP="00824B92"/>
          <w:p w14:paraId="1F113AC0" w14:textId="01B64535" w:rsidR="009F4D66" w:rsidRPr="00E33EFF" w:rsidRDefault="00000000" w:rsidP="00824B92">
            <w:sdt>
              <w:sdtPr>
                <w:rPr>
                  <w:rStyle w:val="Style2"/>
                  <w:sz w:val="24"/>
                </w:rPr>
                <w:id w:val="1480955706"/>
                <w15:color w:val="FFCC00"/>
                <w14:checkbox>
                  <w14:checked w14:val="1"/>
                  <w14:checkedState w14:val="2612" w14:font="MS Gothic"/>
                  <w14:uncheckedState w14:val="2610" w14:font="MS Gothic"/>
                </w14:checkbox>
              </w:sdtPr>
              <w:sdtContent>
                <w:r w:rsidR="00135175">
                  <w:rPr>
                    <w:rStyle w:val="Style2"/>
                    <w:rFonts w:ascii="MS Gothic" w:eastAsia="MS Gothic" w:hAnsi="MS Gothic" w:hint="eastAsia"/>
                    <w:sz w:val="24"/>
                  </w:rPr>
                  <w:t>☒</w:t>
                </w:r>
              </w:sdtContent>
            </w:sdt>
            <w:r w:rsidR="00135175" w:rsidRPr="00E33EFF">
              <w:t xml:space="preserve"> </w:t>
            </w:r>
            <w:r w:rsidR="009F4D66" w:rsidRPr="00E33EFF">
              <w:t>Tinkamas</w:t>
            </w:r>
          </w:p>
          <w:p w14:paraId="41B44044" w14:textId="18FF7946" w:rsidR="00135175" w:rsidRPr="00E33EFF" w:rsidRDefault="00000000" w:rsidP="00351302">
            <w:sdt>
              <w:sdtPr>
                <w:rPr>
                  <w:rStyle w:val="Style2"/>
                  <w:sz w:val="24"/>
                </w:rPr>
                <w:id w:val="-352420698"/>
                <w15:color w:val="FFCC00"/>
                <w14:checkbox>
                  <w14:checked w14:val="0"/>
                  <w14:checkedState w14:val="2612" w14:font="MS Gothic"/>
                  <w14:uncheckedState w14:val="2610" w14:font="MS Gothic"/>
                </w14:checkbox>
              </w:sdtPr>
              <w:sdtContent>
                <w:r w:rsidR="009F4D66" w:rsidRPr="00E33EFF">
                  <w:rPr>
                    <w:rStyle w:val="Style2"/>
                    <w:rFonts w:ascii="MS Gothic" w:eastAsia="MS Gothic" w:hAnsi="MS Gothic" w:hint="eastAsia"/>
                    <w:sz w:val="24"/>
                  </w:rPr>
                  <w:t>☐</w:t>
                </w:r>
              </w:sdtContent>
            </w:sdt>
            <w:r w:rsidR="009F4D66" w:rsidRPr="00E33EFF">
              <w:t xml:space="preserve"> Netinkama</w:t>
            </w:r>
          </w:p>
        </w:tc>
      </w:tr>
    </w:tbl>
    <w:p w14:paraId="108176F7" w14:textId="640C6F75" w:rsidR="00F70C9E" w:rsidRPr="00E33EFF" w:rsidRDefault="00F70C9E" w:rsidP="00E03C3F">
      <w:pPr>
        <w:pStyle w:val="ListParagraph"/>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TableGrid"/>
        <w:tblW w:w="9918" w:type="dxa"/>
        <w:tblLook w:val="04A0" w:firstRow="1" w:lastRow="0" w:firstColumn="1" w:lastColumn="0" w:noHBand="0" w:noVBand="1"/>
      </w:tblPr>
      <w:tblGrid>
        <w:gridCol w:w="2927"/>
        <w:gridCol w:w="1915"/>
        <w:gridCol w:w="2351"/>
        <w:gridCol w:w="2725"/>
      </w:tblGrid>
      <w:tr w:rsidR="004A6F2F" w:rsidRPr="00EE73FA" w14:paraId="3627CD18" w14:textId="77777777" w:rsidTr="00DE7DFE">
        <w:trPr>
          <w:trHeight w:val="924"/>
        </w:trPr>
        <w:tc>
          <w:tcPr>
            <w:tcW w:w="2927" w:type="dxa"/>
          </w:tcPr>
          <w:p w14:paraId="2CFD3CF9" w14:textId="77777777" w:rsidR="004A6F2F" w:rsidRPr="00EE73FA" w:rsidRDefault="004A6F2F" w:rsidP="00DE7DFE">
            <w:pPr>
              <w:spacing w:line="276" w:lineRule="auto"/>
              <w:rPr>
                <w:rFonts w:eastAsia="Arial"/>
              </w:rPr>
            </w:pPr>
            <w:r w:rsidRPr="00EE73FA">
              <w:rPr>
                <w:rFonts w:eastAsia="Arial"/>
              </w:rPr>
              <w:t>STV agentūros pavadinimas, šalis</w:t>
            </w:r>
          </w:p>
        </w:tc>
        <w:tc>
          <w:tcPr>
            <w:tcW w:w="1915" w:type="dxa"/>
          </w:tcPr>
          <w:p w14:paraId="0A18F121" w14:textId="77777777" w:rsidR="004A6F2F" w:rsidRPr="00EE73FA" w:rsidRDefault="004A6F2F" w:rsidP="00DE7DFE">
            <w:pPr>
              <w:spacing w:line="276" w:lineRule="auto"/>
              <w:rPr>
                <w:rFonts w:eastAsia="Arial"/>
              </w:rPr>
            </w:pPr>
            <w:r w:rsidRPr="00EE73FA">
              <w:rPr>
                <w:rFonts w:eastAsia="Arial"/>
              </w:rPr>
              <w:t>STV vertinimas atliktas</w:t>
            </w:r>
          </w:p>
        </w:tc>
        <w:tc>
          <w:tcPr>
            <w:tcW w:w="2351" w:type="dxa"/>
          </w:tcPr>
          <w:p w14:paraId="79E73C34" w14:textId="77777777" w:rsidR="004A6F2F" w:rsidRPr="00EE73FA" w:rsidRDefault="004A6F2F" w:rsidP="00DE7DFE">
            <w:pPr>
              <w:spacing w:line="276" w:lineRule="auto"/>
              <w:rPr>
                <w:rFonts w:eastAsia="Arial"/>
              </w:rPr>
            </w:pPr>
            <w:r w:rsidRPr="00EE73FA">
              <w:rPr>
                <w:rFonts w:eastAsia="Arial"/>
              </w:rPr>
              <w:t>Klinikinio vertinimo išvada</w:t>
            </w:r>
          </w:p>
        </w:tc>
        <w:tc>
          <w:tcPr>
            <w:tcW w:w="2725" w:type="dxa"/>
          </w:tcPr>
          <w:p w14:paraId="36FD8017" w14:textId="77777777" w:rsidR="004A6F2F" w:rsidRPr="00EE73FA" w:rsidRDefault="004A6F2F" w:rsidP="00DE7DFE">
            <w:pPr>
              <w:spacing w:line="276" w:lineRule="auto"/>
              <w:rPr>
                <w:rFonts w:eastAsia="Arial"/>
              </w:rPr>
            </w:pPr>
            <w:r w:rsidRPr="00EE73FA">
              <w:rPr>
                <w:rFonts w:eastAsia="Arial"/>
              </w:rPr>
              <w:t>Farmakoekonominio vertinimo išvada</w:t>
            </w:r>
          </w:p>
        </w:tc>
      </w:tr>
      <w:tr w:rsidR="004A6F2F" w:rsidRPr="00EE73FA" w14:paraId="32F93654" w14:textId="77777777" w:rsidTr="00DE7DFE">
        <w:trPr>
          <w:trHeight w:val="1765"/>
        </w:trPr>
        <w:tc>
          <w:tcPr>
            <w:tcW w:w="2927" w:type="dxa"/>
          </w:tcPr>
          <w:p w14:paraId="2FF3EA49" w14:textId="77777777" w:rsidR="004A6F2F" w:rsidRPr="00EE73FA" w:rsidRDefault="004A6F2F" w:rsidP="00DE7DFE">
            <w:pPr>
              <w:autoSpaceDE w:val="0"/>
              <w:autoSpaceDN w:val="0"/>
              <w:adjustRightInd w:val="0"/>
              <w:rPr>
                <w:bCs/>
              </w:rPr>
            </w:pPr>
            <w:r w:rsidRPr="00EE73FA">
              <w:rPr>
                <w:bCs/>
              </w:rPr>
              <w:t>Nacionalinis sveikatos ir klinikinės kompetencijos institutas, Didžioji Britanija</w:t>
            </w:r>
          </w:p>
          <w:p w14:paraId="3B6FC0D2" w14:textId="77777777" w:rsidR="004A6F2F" w:rsidRPr="00EE73FA" w:rsidRDefault="004A6F2F" w:rsidP="00DE7DFE">
            <w:pPr>
              <w:spacing w:line="276" w:lineRule="auto"/>
              <w:rPr>
                <w:rFonts w:eastAsia="Arial"/>
              </w:rPr>
            </w:pPr>
            <w:r w:rsidRPr="00EE73FA">
              <w:rPr>
                <w:rFonts w:eastAsia="Arial"/>
              </w:rPr>
              <w:t xml:space="preserve">(angl. </w:t>
            </w:r>
            <w:r w:rsidRPr="00EE73FA">
              <w:rPr>
                <w:rFonts w:eastAsia="Arial"/>
                <w:i/>
              </w:rPr>
              <w:t>National Institute for Health and Care Excellence, NICE</w:t>
            </w:r>
            <w:r w:rsidRPr="00EE73FA">
              <w:rPr>
                <w:rFonts w:eastAsia="Arial"/>
              </w:rPr>
              <w:t>)</w:t>
            </w:r>
          </w:p>
        </w:tc>
        <w:tc>
          <w:tcPr>
            <w:tcW w:w="1915" w:type="dxa"/>
          </w:tcPr>
          <w:p w14:paraId="49450B02" w14:textId="77777777" w:rsidR="004A6F2F" w:rsidRPr="00EE73FA" w:rsidRDefault="00000000" w:rsidP="00DE7DFE">
            <w:sdt>
              <w:sdtPr>
                <w:rPr>
                  <w:rStyle w:val="Style2"/>
                  <w:sz w:val="24"/>
                </w:rPr>
                <w:id w:val="1558205022"/>
                <w14:checkbox>
                  <w14:checked w14:val="1"/>
                  <w14:checkedState w14:val="2612" w14:font="MS Gothic"/>
                  <w14:uncheckedState w14:val="2610" w14:font="MS Gothic"/>
                </w14:checkbox>
              </w:sdtPr>
              <w:sdtContent>
                <w:r w:rsidR="004A6F2F" w:rsidRPr="00EE73FA">
                  <w:rPr>
                    <w:rStyle w:val="Style2"/>
                    <w:rFonts w:ascii="MS Gothic" w:eastAsia="MS Gothic" w:hAnsi="MS Gothic"/>
                    <w:sz w:val="24"/>
                  </w:rPr>
                  <w:t>☒</w:t>
                </w:r>
              </w:sdtContent>
            </w:sdt>
            <w:r w:rsidR="004A6F2F" w:rsidRPr="00EE73FA">
              <w:t xml:space="preserve"> Taip</w:t>
            </w:r>
          </w:p>
          <w:p w14:paraId="78C439F1" w14:textId="77777777" w:rsidR="004A6F2F" w:rsidRPr="00EE73FA" w:rsidRDefault="00000000" w:rsidP="00DE7DFE">
            <w:sdt>
              <w:sdtPr>
                <w:rPr>
                  <w:rStyle w:val="Style2"/>
                  <w:sz w:val="24"/>
                </w:rPr>
                <w:id w:val="866029625"/>
                <w14:checkbox>
                  <w14:checked w14:val="0"/>
                  <w14:checkedState w14:val="2612" w14:font="MS Gothic"/>
                  <w14:uncheckedState w14:val="2610" w14:font="MS Gothic"/>
                </w14:checkbox>
              </w:sdtPr>
              <w:sdtContent>
                <w:r w:rsidR="004A6F2F" w:rsidRPr="00EE73FA">
                  <w:rPr>
                    <w:rStyle w:val="Style2"/>
                    <w:rFonts w:ascii="MS Gothic" w:eastAsia="MS Gothic" w:hAnsi="MS Gothic"/>
                    <w:sz w:val="24"/>
                  </w:rPr>
                  <w:t>☐</w:t>
                </w:r>
              </w:sdtContent>
            </w:sdt>
            <w:r w:rsidR="004A6F2F" w:rsidRPr="00EE73FA">
              <w:t xml:space="preserve"> Ne</w:t>
            </w:r>
          </w:p>
          <w:p w14:paraId="1AEFDA2C" w14:textId="77777777" w:rsidR="004A6F2F" w:rsidRPr="00EE73FA" w:rsidRDefault="00000000" w:rsidP="00DE7DFE">
            <w:pPr>
              <w:rPr>
                <w:rFonts w:eastAsia="Arial"/>
              </w:rPr>
            </w:pPr>
            <w:sdt>
              <w:sdtPr>
                <w:alias w:val="Nurodykite konkrečią dieną"/>
                <w:tag w:val="Nurodykite pradžios datą"/>
                <w:id w:val="922837954"/>
                <w:placeholder>
                  <w:docPart w:val="7E2C11DED1EF415B9EED2CD3A4ABA51E"/>
                </w:placeholder>
                <w:date>
                  <w:dateFormat w:val="yyyy 'm.' MMMM d 'd.'"/>
                  <w:lid w:val="lt-LT"/>
                  <w:storeMappedDataAs w:val="dateTime"/>
                  <w:calendar w:val="gregorian"/>
                </w:date>
              </w:sdtPr>
              <w:sdtContent>
                <w:r w:rsidR="004A6F2F" w:rsidRPr="00EE73FA">
                  <w:t>2025 gegužės 8 d.</w:t>
                </w:r>
              </w:sdtContent>
            </w:sdt>
          </w:p>
        </w:tc>
        <w:tc>
          <w:tcPr>
            <w:tcW w:w="5076" w:type="dxa"/>
            <w:gridSpan w:val="2"/>
          </w:tcPr>
          <w:p w14:paraId="7E919B21" w14:textId="755E390E" w:rsidR="004A6F2F" w:rsidRPr="00EE73FA" w:rsidRDefault="004A6F2F" w:rsidP="00DE7DFE">
            <w:pPr>
              <w:jc w:val="both"/>
              <w:rPr>
                <w:rFonts w:eastAsia="Arial"/>
              </w:rPr>
            </w:pPr>
            <w:r w:rsidRPr="00EE73FA">
              <w:t xml:space="preserve">Tagrisso </w:t>
            </w:r>
            <w:r w:rsidRPr="00EE73FA">
              <w:rPr>
                <w:rFonts w:eastAsia="Arial"/>
              </w:rPr>
              <w:t>kartu su pemetreksedu ir platinos pagrindu sudaryta chemoterapija rekomenduojamas, laikantis registracijos sąlygų, kaip gydymo galimybė suaugusiesiems, sergantiems anksčiau negydytu išplitusiu nesmulkialąsteliniu plaučių vėžiu (</w:t>
            </w:r>
            <w:r w:rsidR="00814604">
              <w:rPr>
                <w:rFonts w:eastAsia="Arial"/>
              </w:rPr>
              <w:t>NSLPV</w:t>
            </w:r>
            <w:r w:rsidRPr="00EE73FA">
              <w:rPr>
                <w:rFonts w:eastAsia="Arial"/>
              </w:rPr>
              <w:t>), kai navikuose nustatytos epidermio augimo faktoriaus receptoriaus (</w:t>
            </w:r>
            <w:r>
              <w:rPr>
                <w:rFonts w:eastAsia="Arial"/>
              </w:rPr>
              <w:t>EAFR</w:t>
            </w:r>
            <w:r w:rsidRPr="00EE73FA">
              <w:rPr>
                <w:rFonts w:eastAsia="Arial"/>
              </w:rPr>
              <w:t>) 19 eksono delecijos arba 21 eksono (L858R) pakaitos mutacijos. Rekomenduojamas tik tuo atveju, jei įmonė jį teikia pagal komercinį susitarimą.</w:t>
            </w:r>
          </w:p>
        </w:tc>
      </w:tr>
      <w:tr w:rsidR="004A6F2F" w:rsidRPr="00EE73FA" w14:paraId="574933E2" w14:textId="77777777" w:rsidTr="00DE7DFE">
        <w:trPr>
          <w:trHeight w:val="1547"/>
        </w:trPr>
        <w:tc>
          <w:tcPr>
            <w:tcW w:w="2927" w:type="dxa"/>
          </w:tcPr>
          <w:p w14:paraId="1DA5F961" w14:textId="77777777" w:rsidR="004A6F2F" w:rsidRPr="00EE73FA" w:rsidRDefault="004A6F2F" w:rsidP="00DE7DFE">
            <w:pPr>
              <w:spacing w:line="276" w:lineRule="auto"/>
              <w:rPr>
                <w:rFonts w:eastAsia="Arial"/>
              </w:rPr>
            </w:pPr>
            <w:r w:rsidRPr="00EE73FA">
              <w:rPr>
                <w:rFonts w:eastAsia="Arial"/>
              </w:rPr>
              <w:t>Kanados sveikatos technologijų agentūra</w:t>
            </w:r>
          </w:p>
          <w:p w14:paraId="035CAEF2" w14:textId="77777777" w:rsidR="004A6F2F" w:rsidRPr="00EE73FA" w:rsidRDefault="004A6F2F" w:rsidP="00DE7DFE">
            <w:pPr>
              <w:spacing w:line="276" w:lineRule="auto"/>
              <w:rPr>
                <w:rFonts w:eastAsia="Arial"/>
              </w:rPr>
            </w:pPr>
            <w:r w:rsidRPr="00EE73FA">
              <w:rPr>
                <w:rFonts w:eastAsia="Arial"/>
              </w:rPr>
              <w:t xml:space="preserve">(angl. </w:t>
            </w:r>
            <w:r w:rsidRPr="00EE73FA">
              <w:rPr>
                <w:rFonts w:eastAsia="Arial"/>
                <w:i/>
              </w:rPr>
              <w:t>Canadian health Technology Assessment agency, CADTH</w:t>
            </w:r>
            <w:r w:rsidRPr="00EE73FA">
              <w:rPr>
                <w:rFonts w:eastAsia="Arial"/>
              </w:rPr>
              <w:t>)</w:t>
            </w:r>
          </w:p>
        </w:tc>
        <w:tc>
          <w:tcPr>
            <w:tcW w:w="1915" w:type="dxa"/>
          </w:tcPr>
          <w:p w14:paraId="15B02FF1" w14:textId="77777777" w:rsidR="004A6F2F" w:rsidRPr="00EE73FA" w:rsidRDefault="00000000" w:rsidP="00DE7DFE">
            <w:sdt>
              <w:sdtPr>
                <w:rPr>
                  <w:rStyle w:val="Style2"/>
                  <w:sz w:val="24"/>
                </w:rPr>
                <w:id w:val="-372539057"/>
                <w14:checkbox>
                  <w14:checked w14:val="1"/>
                  <w14:checkedState w14:val="2612" w14:font="MS Gothic"/>
                  <w14:uncheckedState w14:val="2610" w14:font="MS Gothic"/>
                </w14:checkbox>
              </w:sdtPr>
              <w:sdtContent>
                <w:r w:rsidR="004A6F2F" w:rsidRPr="00EE73FA">
                  <w:rPr>
                    <w:rStyle w:val="Style2"/>
                    <w:rFonts w:ascii="MS Gothic" w:eastAsia="MS Gothic" w:hAnsi="MS Gothic"/>
                  </w:rPr>
                  <w:t>☒</w:t>
                </w:r>
              </w:sdtContent>
            </w:sdt>
            <w:r w:rsidR="004A6F2F" w:rsidRPr="00EE73FA">
              <w:t xml:space="preserve"> Taip</w:t>
            </w:r>
          </w:p>
          <w:p w14:paraId="232BE29B" w14:textId="77777777" w:rsidR="004A6F2F" w:rsidRPr="00EE73FA" w:rsidRDefault="00000000" w:rsidP="00DE7DFE">
            <w:sdt>
              <w:sdtPr>
                <w:rPr>
                  <w:rStyle w:val="Style2"/>
                  <w:sz w:val="24"/>
                </w:rPr>
                <w:id w:val="594442222"/>
                <w14:checkbox>
                  <w14:checked w14:val="0"/>
                  <w14:checkedState w14:val="2612" w14:font="MS Gothic"/>
                  <w14:uncheckedState w14:val="2610" w14:font="MS Gothic"/>
                </w14:checkbox>
              </w:sdtPr>
              <w:sdtContent>
                <w:r w:rsidR="004A6F2F" w:rsidRPr="00EE73FA">
                  <w:rPr>
                    <w:rStyle w:val="Style2"/>
                    <w:rFonts w:ascii="MS Gothic" w:eastAsia="MS Gothic" w:hAnsi="MS Gothic"/>
                  </w:rPr>
                  <w:t>☐</w:t>
                </w:r>
              </w:sdtContent>
            </w:sdt>
            <w:r w:rsidR="004A6F2F" w:rsidRPr="00EE73FA">
              <w:t xml:space="preserve"> Ne</w:t>
            </w:r>
          </w:p>
          <w:p w14:paraId="65A114AC" w14:textId="77777777" w:rsidR="004A6F2F" w:rsidRPr="00EE73FA" w:rsidRDefault="00000000" w:rsidP="00DE7DFE">
            <w:pPr>
              <w:spacing w:line="276" w:lineRule="auto"/>
              <w:rPr>
                <w:rFonts w:eastAsia="Arial"/>
              </w:rPr>
            </w:pPr>
            <w:sdt>
              <w:sdtPr>
                <w:alias w:val="Nurodykite konkrečią dieną"/>
                <w:tag w:val="Nurodykite pradžios datą"/>
                <w:id w:val="1072468416"/>
                <w:placeholder>
                  <w:docPart w:val="620176386C9A4722A774C7083135183A"/>
                </w:placeholder>
                <w:date>
                  <w:dateFormat w:val="yyyy 'm.' MMMM d 'd.'"/>
                  <w:lid w:val="lt-LT"/>
                  <w:storeMappedDataAs w:val="dateTime"/>
                  <w:calendar w:val="gregorian"/>
                </w:date>
              </w:sdtPr>
              <w:sdtContent>
                <w:r w:rsidR="004A6F2F" w:rsidRPr="00EE73FA">
                  <w:t>2024 m. spalio 3 d.</w:t>
                </w:r>
              </w:sdtContent>
            </w:sdt>
          </w:p>
        </w:tc>
        <w:tc>
          <w:tcPr>
            <w:tcW w:w="5076" w:type="dxa"/>
            <w:gridSpan w:val="2"/>
          </w:tcPr>
          <w:p w14:paraId="6FA2E572" w14:textId="68E71AD2" w:rsidR="004A6F2F" w:rsidRPr="00EE73FA" w:rsidRDefault="004A6F2F" w:rsidP="00DE7DFE">
            <w:pPr>
              <w:spacing w:line="276" w:lineRule="auto"/>
              <w:jc w:val="both"/>
              <w:rPr>
                <w:rFonts w:eastAsia="Arial"/>
              </w:rPr>
            </w:pPr>
            <w:r w:rsidRPr="00EE73FA">
              <w:rPr>
                <w:rFonts w:eastAsia="Arial"/>
              </w:rPr>
              <w:t>R</w:t>
            </w:r>
            <w:r w:rsidRPr="005C1E30">
              <w:rPr>
                <w:rFonts w:eastAsia="Arial"/>
              </w:rPr>
              <w:t>ekomenduoja, kad Tagrisso, vartojamas kartu su pemetreksedu ir platinos pagrindu sudaryta chemoterapija, būtų kompensuojamas iš viešųjų vaistų kompensavimo fondų kaip pirmos eilės gydymas pacientams, sergantiems lokaliai išplitusiu (negalimu išgydyti taikant kurį nors gydymą) arba metastazavusiu nesmulkialąsteliniu plaučių vėžiu (</w:t>
            </w:r>
            <w:r w:rsidR="00814604">
              <w:rPr>
                <w:rFonts w:eastAsia="Arial"/>
              </w:rPr>
              <w:t>NSLPV</w:t>
            </w:r>
            <w:r w:rsidRPr="005C1E30">
              <w:rPr>
                <w:rFonts w:eastAsia="Arial"/>
              </w:rPr>
              <w:t>), kuriame nustatytos epidermio augimo faktoriaus receptoriaus (</w:t>
            </w:r>
            <w:r>
              <w:rPr>
                <w:rFonts w:eastAsia="Arial"/>
              </w:rPr>
              <w:t>EAFR</w:t>
            </w:r>
            <w:r w:rsidRPr="005C1E30">
              <w:rPr>
                <w:rFonts w:eastAsia="Arial"/>
              </w:rPr>
              <w:t>) 19 eksono delecijos (Ex19del) arba 21 eksono (L858R) pakaitos mutacijos, jei yra įvykdytos tam tikros sąlygos.</w:t>
            </w:r>
          </w:p>
        </w:tc>
      </w:tr>
      <w:tr w:rsidR="004A6F2F" w:rsidRPr="00EE73FA" w14:paraId="6A839BBE" w14:textId="77777777" w:rsidTr="00DE7DFE">
        <w:trPr>
          <w:trHeight w:val="1927"/>
        </w:trPr>
        <w:tc>
          <w:tcPr>
            <w:tcW w:w="2927" w:type="dxa"/>
          </w:tcPr>
          <w:p w14:paraId="2E584D7A" w14:textId="77777777" w:rsidR="004A6F2F" w:rsidRPr="00EE73FA" w:rsidRDefault="004A6F2F" w:rsidP="00DE7DFE">
            <w:pPr>
              <w:spacing w:line="276" w:lineRule="auto"/>
              <w:rPr>
                <w:rFonts w:eastAsia="Arial"/>
              </w:rPr>
            </w:pPr>
            <w:r w:rsidRPr="00EE73FA">
              <w:rPr>
                <w:rFonts w:eastAsia="Arial"/>
              </w:rPr>
              <w:t>Nacionalinis farmakoekonomikos centras, Airija</w:t>
            </w:r>
          </w:p>
          <w:p w14:paraId="0CA11C23" w14:textId="77777777" w:rsidR="004A6F2F" w:rsidRPr="00EE73FA" w:rsidRDefault="004A6F2F" w:rsidP="00DE7DFE">
            <w:pPr>
              <w:spacing w:line="276" w:lineRule="auto"/>
              <w:rPr>
                <w:rFonts w:eastAsia="Arial"/>
              </w:rPr>
            </w:pPr>
            <w:r w:rsidRPr="00EE73FA">
              <w:rPr>
                <w:rFonts w:eastAsia="Arial"/>
              </w:rPr>
              <w:t>(angl.</w:t>
            </w:r>
            <w:r w:rsidRPr="00EE73FA">
              <w:rPr>
                <w:rFonts w:eastAsia="Arial"/>
                <w:i/>
              </w:rPr>
              <w:t xml:space="preserve"> National Centre for Pharmacoeconomics, NCPE</w:t>
            </w:r>
            <w:r w:rsidRPr="00EE73FA">
              <w:rPr>
                <w:rFonts w:eastAsia="Arial"/>
              </w:rPr>
              <w:t>)</w:t>
            </w:r>
          </w:p>
        </w:tc>
        <w:tc>
          <w:tcPr>
            <w:tcW w:w="1915" w:type="dxa"/>
          </w:tcPr>
          <w:p w14:paraId="1BC123E3" w14:textId="77777777" w:rsidR="004A6F2F" w:rsidRPr="00EE73FA" w:rsidRDefault="00000000" w:rsidP="00DE7DFE">
            <w:sdt>
              <w:sdtPr>
                <w:rPr>
                  <w:rStyle w:val="Style2"/>
                  <w:sz w:val="24"/>
                </w:rPr>
                <w:id w:val="-1888403732"/>
                <w14:checkbox>
                  <w14:checked w14:val="0"/>
                  <w14:checkedState w14:val="2612" w14:font="MS Gothic"/>
                  <w14:uncheckedState w14:val="2610" w14:font="MS Gothic"/>
                </w14:checkbox>
              </w:sdtPr>
              <w:sdtContent>
                <w:r w:rsidR="004A6F2F" w:rsidRPr="00EE73FA">
                  <w:rPr>
                    <w:rStyle w:val="Style2"/>
                    <w:rFonts w:ascii="MS Gothic" w:eastAsia="MS Gothic" w:hAnsi="MS Gothic"/>
                    <w:sz w:val="24"/>
                  </w:rPr>
                  <w:t>☐</w:t>
                </w:r>
              </w:sdtContent>
            </w:sdt>
            <w:r w:rsidR="004A6F2F" w:rsidRPr="00EE73FA">
              <w:t xml:space="preserve"> Taip</w:t>
            </w:r>
          </w:p>
          <w:p w14:paraId="5B8A85A4" w14:textId="77777777" w:rsidR="004A6F2F" w:rsidRPr="00EE73FA" w:rsidRDefault="00000000" w:rsidP="00DE7DFE">
            <w:sdt>
              <w:sdtPr>
                <w:rPr>
                  <w:rStyle w:val="Style2"/>
                  <w:sz w:val="24"/>
                </w:rPr>
                <w:id w:val="1092201793"/>
                <w14:checkbox>
                  <w14:checked w14:val="1"/>
                  <w14:checkedState w14:val="2612" w14:font="MS Gothic"/>
                  <w14:uncheckedState w14:val="2610" w14:font="MS Gothic"/>
                </w14:checkbox>
              </w:sdtPr>
              <w:sdtContent>
                <w:r w:rsidR="004A6F2F" w:rsidRPr="00EE73FA">
                  <w:rPr>
                    <w:rStyle w:val="Style2"/>
                    <w:rFonts w:ascii="MS Gothic" w:eastAsia="MS Gothic" w:hAnsi="MS Gothic"/>
                    <w:sz w:val="24"/>
                  </w:rPr>
                  <w:t>☒</w:t>
                </w:r>
              </w:sdtContent>
            </w:sdt>
            <w:r w:rsidR="004A6F2F" w:rsidRPr="00EE73FA">
              <w:t xml:space="preserve"> Ne</w:t>
            </w:r>
          </w:p>
          <w:p w14:paraId="6C35DE09" w14:textId="77777777" w:rsidR="004A6F2F" w:rsidRPr="00EE73FA" w:rsidRDefault="00000000" w:rsidP="00DE7DFE">
            <w:pPr>
              <w:spacing w:line="276" w:lineRule="auto"/>
              <w:rPr>
                <w:rFonts w:eastAsia="Arial"/>
              </w:rPr>
            </w:pPr>
            <w:sdt>
              <w:sdtPr>
                <w:alias w:val="Nurodykite konkrečią dieną"/>
                <w:tag w:val="Nurodykite pradžios datą"/>
                <w:id w:val="-198323198"/>
                <w:placeholder>
                  <w:docPart w:val="E23AF5697265412497CAC9114AF8F995"/>
                </w:placeholder>
                <w:showingPlcHdr/>
                <w:date>
                  <w:dateFormat w:val="yyyy 'm.' MMMM d 'd.'"/>
                  <w:lid w:val="lt-LT"/>
                  <w:storeMappedDataAs w:val="dateTime"/>
                  <w:calendar w:val="gregorian"/>
                </w:date>
              </w:sdtPr>
              <w:sdtContent>
                <w:r w:rsidR="004A6F2F" w:rsidRPr="00EE73FA">
                  <w:rPr>
                    <w:rStyle w:val="PlaceholderText"/>
                  </w:rPr>
                  <w:t>Click here to enter a date.</w:t>
                </w:r>
              </w:sdtContent>
            </w:sdt>
          </w:p>
        </w:tc>
        <w:tc>
          <w:tcPr>
            <w:tcW w:w="5076" w:type="dxa"/>
            <w:gridSpan w:val="2"/>
          </w:tcPr>
          <w:p w14:paraId="6993E9F7" w14:textId="77777777" w:rsidR="004A6F2F" w:rsidRPr="00EE73FA" w:rsidRDefault="004A6F2F" w:rsidP="00DE7DFE">
            <w:pPr>
              <w:spacing w:line="276" w:lineRule="auto"/>
              <w:rPr>
                <w:rFonts w:eastAsia="Arial"/>
              </w:rPr>
            </w:pPr>
            <w:r w:rsidRPr="00EE73FA">
              <w:rPr>
                <w:rFonts w:eastAsia="Arial"/>
              </w:rPr>
              <w:t>–</w:t>
            </w:r>
          </w:p>
        </w:tc>
      </w:tr>
    </w:tbl>
    <w:p w14:paraId="73290081" w14:textId="77777777" w:rsidR="007A2B68" w:rsidRDefault="007A2B68">
      <w:pPr>
        <w:rPr>
          <w:b/>
          <w:bCs/>
          <w:caps/>
        </w:rPr>
      </w:pPr>
      <w:r>
        <w:rPr>
          <w:b/>
          <w:bCs/>
          <w:caps/>
        </w:rPr>
        <w:br w:type="page"/>
      </w:r>
    </w:p>
    <w:p w14:paraId="5055E8A8" w14:textId="471A9757" w:rsidR="002E6F80" w:rsidRPr="00E33EFF" w:rsidRDefault="00CC7832" w:rsidP="00CC09D4">
      <w:pPr>
        <w:pStyle w:val="ListParagraph"/>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61039A30" w14:textId="77777777" w:rsidR="00861400" w:rsidRDefault="00861400" w:rsidP="00135175">
      <w:pPr>
        <w:tabs>
          <w:tab w:val="left" w:pos="426"/>
        </w:tabs>
        <w:spacing w:line="276" w:lineRule="auto"/>
        <w:jc w:val="both"/>
        <w:rPr>
          <w:rFonts w:eastAsia="Arial"/>
          <w:color w:val="000000" w:themeColor="text1"/>
        </w:rPr>
      </w:pPr>
      <w:r>
        <w:rPr>
          <w:rFonts w:eastAsia="Arial"/>
          <w:color w:val="000000" w:themeColor="text1"/>
        </w:rPr>
        <w:tab/>
      </w:r>
    </w:p>
    <w:p w14:paraId="41B98B5C" w14:textId="77777777" w:rsidR="00A1059E" w:rsidRPr="00E17717" w:rsidRDefault="00A1059E" w:rsidP="00814604">
      <w:pPr>
        <w:spacing w:line="276" w:lineRule="auto"/>
        <w:ind w:firstLine="720"/>
        <w:jc w:val="both"/>
        <w:rPr>
          <w:rFonts w:eastAsia="Arial"/>
          <w:iCs/>
          <w:color w:val="000000" w:themeColor="text1"/>
        </w:rPr>
      </w:pPr>
      <w:r w:rsidRPr="00E17717">
        <w:rPr>
          <w:rFonts w:eastAsia="Arial"/>
          <w:iCs/>
          <w:color w:val="000000" w:themeColor="text1"/>
        </w:rPr>
        <w:t>Plaučių vėžys (C34) – dažniausia mirties nuo vėžio priežastis. Dažniausiai pasitaiko nesmulkiųjų ląstelių plaučių vėžys (NSLPV), kuris sudaro apie 85 % visų atvejų. Lietuvoje, pagal NVI duomenis, daugumai pacientų liga diagnozuojama pažengusios stadijos – III–IV (beveik 50 %), o stadija nenurodoma dar 42 % atvejų.</w:t>
      </w:r>
    </w:p>
    <w:p w14:paraId="06241CB8" w14:textId="77777777" w:rsidR="00A1059E" w:rsidRPr="00E17717" w:rsidRDefault="00A1059E" w:rsidP="00814604">
      <w:pPr>
        <w:spacing w:line="276" w:lineRule="auto"/>
        <w:ind w:firstLine="720"/>
        <w:jc w:val="both"/>
        <w:rPr>
          <w:rFonts w:eastAsia="Arial"/>
          <w:iCs/>
          <w:color w:val="000000" w:themeColor="text1"/>
        </w:rPr>
      </w:pPr>
      <w:r w:rsidRPr="00E17717">
        <w:rPr>
          <w:rFonts w:eastAsia="Arial"/>
          <w:iCs/>
          <w:color w:val="000000" w:themeColor="text1"/>
        </w:rPr>
        <w:t xml:space="preserve">Molekulinių pažaidų, ypač </w:t>
      </w:r>
      <w:r>
        <w:rPr>
          <w:rFonts w:eastAsia="Arial"/>
          <w:iCs/>
          <w:color w:val="000000" w:themeColor="text1"/>
        </w:rPr>
        <w:t>EAFR</w:t>
      </w:r>
      <w:r w:rsidRPr="00E17717">
        <w:rPr>
          <w:rFonts w:eastAsia="Arial"/>
          <w:iCs/>
          <w:color w:val="000000" w:themeColor="text1"/>
        </w:rPr>
        <w:t xml:space="preserve"> mutacijų, nustatymas yra svarbus tikslinio gydymo pasirinkimui. </w:t>
      </w:r>
      <w:r>
        <w:rPr>
          <w:rFonts w:eastAsia="Arial"/>
          <w:iCs/>
          <w:color w:val="000000" w:themeColor="text1"/>
        </w:rPr>
        <w:t>EAFR</w:t>
      </w:r>
      <w:r w:rsidRPr="00E17717">
        <w:rPr>
          <w:rFonts w:eastAsia="Arial"/>
          <w:iCs/>
          <w:color w:val="000000" w:themeColor="text1"/>
        </w:rPr>
        <w:t xml:space="preserve"> aktyvinančios mutacijos dažniausiai aptinkamos 19 egzone (45 %) ir 21 egzone (40 %), dažniau tarp nerūkančių ir moterų. Lietuvoje šios mutacijos nustatomos apie 10 % pacientų, sergančių NSLPV.</w:t>
      </w:r>
    </w:p>
    <w:p w14:paraId="326E7F95" w14:textId="77777777" w:rsidR="00A1059E" w:rsidRPr="00E17717" w:rsidRDefault="00A1059E" w:rsidP="00814604">
      <w:pPr>
        <w:spacing w:line="276" w:lineRule="auto"/>
        <w:ind w:firstLine="720"/>
        <w:jc w:val="both"/>
        <w:rPr>
          <w:rFonts w:eastAsia="Arial"/>
          <w:iCs/>
          <w:color w:val="000000" w:themeColor="text1"/>
        </w:rPr>
      </w:pPr>
      <w:r w:rsidRPr="00E17717">
        <w:rPr>
          <w:rFonts w:eastAsia="Arial"/>
          <w:iCs/>
          <w:color w:val="000000" w:themeColor="text1"/>
        </w:rPr>
        <w:t xml:space="preserve">Pagal LR SAM patvirtintą gydymo tvarką, esant </w:t>
      </w:r>
      <w:r>
        <w:rPr>
          <w:rFonts w:eastAsia="Arial"/>
          <w:iCs/>
          <w:color w:val="000000" w:themeColor="text1"/>
        </w:rPr>
        <w:t>EAFR</w:t>
      </w:r>
      <w:r w:rsidRPr="00E17717">
        <w:rPr>
          <w:rFonts w:eastAsia="Arial"/>
          <w:iCs/>
          <w:color w:val="000000" w:themeColor="text1"/>
        </w:rPr>
        <w:t xml:space="preserve"> mutacijai, pirmos eilės gydymui skiriama osimertinibo monoterapija. Visgi, gydymo tvarka neatnaujinta nuo 2021 m. ir neatspindi naujausių tarptautinių gairių.</w:t>
      </w:r>
      <w:r w:rsidRPr="00CF23BF">
        <w:rPr>
          <w:rFonts w:eastAsia="Arial"/>
          <w:iCs/>
          <w:color w:val="000000" w:themeColor="text1"/>
        </w:rPr>
        <w:t xml:space="preserve"> </w:t>
      </w:r>
      <w:r w:rsidRPr="00E17717">
        <w:rPr>
          <w:rFonts w:eastAsia="Arial"/>
          <w:iCs/>
          <w:color w:val="000000" w:themeColor="text1"/>
        </w:rPr>
        <w:t xml:space="preserve">2025 m. ESMO ir NCCN gairėse rekomenduojama, kad pacientams, sergantiems IV stadijos NSLPV su klasikinėmis </w:t>
      </w:r>
      <w:r>
        <w:rPr>
          <w:rFonts w:eastAsia="Arial"/>
          <w:iCs/>
          <w:color w:val="000000" w:themeColor="text1"/>
        </w:rPr>
        <w:t>EAFR</w:t>
      </w:r>
      <w:r w:rsidRPr="00E17717">
        <w:rPr>
          <w:rFonts w:eastAsia="Arial"/>
          <w:iCs/>
          <w:color w:val="000000" w:themeColor="text1"/>
        </w:rPr>
        <w:t xml:space="preserve"> mutacijomis ir ECOG 0–2, pirmos eilės gydymui būtų skiriama:</w:t>
      </w:r>
    </w:p>
    <w:p w14:paraId="54214E92" w14:textId="77777777" w:rsidR="00A1059E" w:rsidRPr="00E17717" w:rsidRDefault="00A1059E" w:rsidP="00814604">
      <w:pPr>
        <w:numPr>
          <w:ilvl w:val="0"/>
          <w:numId w:val="16"/>
        </w:numPr>
        <w:spacing w:line="276" w:lineRule="auto"/>
        <w:jc w:val="both"/>
        <w:rPr>
          <w:rFonts w:eastAsia="Arial"/>
          <w:iCs/>
          <w:color w:val="000000" w:themeColor="text1"/>
        </w:rPr>
      </w:pPr>
      <w:r w:rsidRPr="00E17717">
        <w:rPr>
          <w:rFonts w:eastAsia="Arial"/>
          <w:iCs/>
          <w:color w:val="000000" w:themeColor="text1"/>
        </w:rPr>
        <w:t>osimertinibo monoterapija (prioritetinis pasirinkimas),</w:t>
      </w:r>
    </w:p>
    <w:p w14:paraId="1CD00FE8" w14:textId="77777777" w:rsidR="00A1059E" w:rsidRPr="00E17717" w:rsidRDefault="00A1059E" w:rsidP="00814604">
      <w:pPr>
        <w:numPr>
          <w:ilvl w:val="0"/>
          <w:numId w:val="16"/>
        </w:numPr>
        <w:spacing w:line="276" w:lineRule="auto"/>
        <w:jc w:val="both"/>
        <w:rPr>
          <w:rFonts w:eastAsia="Arial"/>
          <w:iCs/>
          <w:color w:val="000000" w:themeColor="text1"/>
        </w:rPr>
      </w:pPr>
      <w:r w:rsidRPr="00E17717">
        <w:rPr>
          <w:rFonts w:eastAsia="Arial"/>
          <w:iCs/>
          <w:color w:val="000000" w:themeColor="text1"/>
        </w:rPr>
        <w:t>osimertinibas kartu su pemetreksedu ir platinos chemoterapija,</w:t>
      </w:r>
    </w:p>
    <w:p w14:paraId="74FEFB17" w14:textId="77777777" w:rsidR="00A1059E" w:rsidRPr="00E17717" w:rsidRDefault="00A1059E" w:rsidP="00814604">
      <w:pPr>
        <w:numPr>
          <w:ilvl w:val="0"/>
          <w:numId w:val="16"/>
        </w:numPr>
        <w:spacing w:line="276" w:lineRule="auto"/>
        <w:jc w:val="both"/>
        <w:rPr>
          <w:rFonts w:eastAsia="Arial"/>
          <w:iCs/>
          <w:color w:val="000000" w:themeColor="text1"/>
        </w:rPr>
      </w:pPr>
      <w:r w:rsidRPr="00E17717">
        <w:rPr>
          <w:rFonts w:eastAsia="Arial"/>
          <w:iCs/>
          <w:color w:val="000000" w:themeColor="text1"/>
        </w:rPr>
        <w:t>lazertinibas su amivantamabu,</w:t>
      </w:r>
    </w:p>
    <w:p w14:paraId="74F389F4" w14:textId="77777777" w:rsidR="00A1059E" w:rsidRPr="00E17717" w:rsidRDefault="00A1059E" w:rsidP="00814604">
      <w:pPr>
        <w:numPr>
          <w:ilvl w:val="0"/>
          <w:numId w:val="16"/>
        </w:numPr>
        <w:spacing w:line="276" w:lineRule="auto"/>
        <w:jc w:val="both"/>
        <w:rPr>
          <w:rFonts w:eastAsia="Arial"/>
          <w:iCs/>
          <w:color w:val="000000" w:themeColor="text1"/>
        </w:rPr>
      </w:pPr>
      <w:r w:rsidRPr="00E17717">
        <w:rPr>
          <w:rFonts w:eastAsia="Arial"/>
          <w:iCs/>
          <w:color w:val="000000" w:themeColor="text1"/>
        </w:rPr>
        <w:t xml:space="preserve">alternatyvos – I ir II kartos </w:t>
      </w:r>
      <w:r>
        <w:rPr>
          <w:rFonts w:eastAsia="Arial"/>
          <w:iCs/>
          <w:color w:val="000000" w:themeColor="text1"/>
        </w:rPr>
        <w:t>EAFR</w:t>
      </w:r>
      <w:r w:rsidRPr="00E17717">
        <w:rPr>
          <w:rFonts w:eastAsia="Arial"/>
          <w:iCs/>
          <w:color w:val="000000" w:themeColor="text1"/>
        </w:rPr>
        <w:t xml:space="preserve"> TKI ar jų deriniai su antiangiogenine terapija.</w:t>
      </w:r>
    </w:p>
    <w:p w14:paraId="3E00455C" w14:textId="77777777" w:rsidR="00A1059E" w:rsidRPr="00EE73FA" w:rsidRDefault="00A1059E" w:rsidP="00814604">
      <w:pPr>
        <w:tabs>
          <w:tab w:val="left" w:pos="426"/>
        </w:tabs>
        <w:spacing w:line="276" w:lineRule="auto"/>
        <w:jc w:val="both"/>
        <w:rPr>
          <w:bCs/>
          <w:i/>
          <w:color w:val="00B050"/>
          <w:lang w:eastAsia="lt-LT"/>
        </w:rPr>
      </w:pPr>
      <w:r w:rsidRPr="00CF23BF">
        <w:rPr>
          <w:rFonts w:eastAsia="Arial"/>
        </w:rPr>
        <w:tab/>
      </w:r>
      <w:r w:rsidRPr="00CF23BF">
        <w:rPr>
          <w:rFonts w:eastAsia="Arial"/>
        </w:rPr>
        <w:tab/>
        <w:t xml:space="preserve">Osimertinibas yra negrįžtamas </w:t>
      </w:r>
      <w:r>
        <w:rPr>
          <w:rFonts w:eastAsia="Arial"/>
        </w:rPr>
        <w:t>EAFR</w:t>
      </w:r>
      <w:r w:rsidRPr="00CF23BF">
        <w:rPr>
          <w:rFonts w:eastAsia="Arial"/>
        </w:rPr>
        <w:t xml:space="preserve"> TKI, sukurtas selektyviai veikti esant T790M mutacijai. TAGRISSO veikia </w:t>
      </w:r>
      <w:r>
        <w:rPr>
          <w:rFonts w:eastAsia="Arial"/>
        </w:rPr>
        <w:t>EAFR</w:t>
      </w:r>
      <w:r w:rsidRPr="00CF23BF">
        <w:rPr>
          <w:rFonts w:eastAsia="Arial"/>
        </w:rPr>
        <w:t xml:space="preserve"> aktyvų centrą vietoje adenozino trifosfato (ATF). Skirtingai nei, pvz., gefitinibo ATF konkurencinis veikimas, TAGRISSO negrįžtamai blokuoja mutuotą </w:t>
      </w:r>
      <w:r>
        <w:rPr>
          <w:rFonts w:eastAsia="Arial"/>
        </w:rPr>
        <w:t>EAFR</w:t>
      </w:r>
      <w:r w:rsidRPr="00CF23BF">
        <w:rPr>
          <w:rFonts w:eastAsia="Arial"/>
        </w:rPr>
        <w:t xml:space="preserve"> kinazę per</w:t>
      </w:r>
      <w:r w:rsidRPr="00EE73FA">
        <w:rPr>
          <w:rFonts w:eastAsia="Arial"/>
        </w:rPr>
        <w:t xml:space="preserve"> kovalentinę jungtį su cys797 liekana ATF prisijungimo vietoje.</w:t>
      </w:r>
    </w:p>
    <w:p w14:paraId="2B71ADAB" w14:textId="77777777" w:rsidR="00A1059E" w:rsidRPr="004B7BD2" w:rsidRDefault="00A1059E" w:rsidP="00814604">
      <w:pPr>
        <w:tabs>
          <w:tab w:val="left" w:pos="426"/>
        </w:tabs>
        <w:spacing w:line="276" w:lineRule="auto"/>
        <w:jc w:val="both"/>
        <w:rPr>
          <w:rFonts w:eastAsia="Arial"/>
        </w:rPr>
      </w:pPr>
      <w:r w:rsidRPr="00EE73FA">
        <w:rPr>
          <w:rFonts w:eastAsia="Arial"/>
        </w:rPr>
        <w:tab/>
      </w:r>
      <w:r w:rsidRPr="00EE73FA">
        <w:rPr>
          <w:rFonts w:eastAsia="Arial"/>
        </w:rPr>
        <w:tab/>
        <w:t xml:space="preserve">Pagal Respublikos sveikatos apsaugos ministro 2000 m. sausio 28 d. įsakyme Nr. 49  „Dėl kompensuojamųjų vaistų sąrašų patvirtinimo“ pateiktą ligų ir kompensuojamųjų vaistų joms gydyti sąrašą palyginamasis gydymas atitinka Lietuvos Respublikos sveikatos apsaugos ministro 2002 m. balandžio 5 d. </w:t>
      </w:r>
      <w:r w:rsidRPr="004B7BD2">
        <w:rPr>
          <w:rFonts w:eastAsia="Arial"/>
        </w:rPr>
        <w:t xml:space="preserve">įsakymo Nr. V-159 „Dėl vaistinių preparatų ir medicinos pagalbos priemonių įrašymo į kompensavimo sąrašus ir jų keitimo tvarkos aprašo patvirtinimo“ 116.1 punkto, nes NSLPV pirmos eilės gydymas </w:t>
      </w:r>
      <w:r w:rsidRPr="000A11AD">
        <w:rPr>
          <w:lang w:eastAsia="lt-LT"/>
        </w:rPr>
        <w:t>osimertinib</w:t>
      </w:r>
      <w:r w:rsidRPr="004B7BD2">
        <w:rPr>
          <w:lang w:eastAsia="lt-LT"/>
        </w:rPr>
        <w:t>u</w:t>
      </w:r>
      <w:r w:rsidRPr="000A11AD">
        <w:rPr>
          <w:lang w:eastAsia="lt-LT"/>
        </w:rPr>
        <w:t xml:space="preserve"> </w:t>
      </w:r>
      <w:r w:rsidRPr="004B7BD2">
        <w:rPr>
          <w:rFonts w:eastAsia="Arial"/>
        </w:rPr>
        <w:t>yra „</w:t>
      </w:r>
      <w:r w:rsidRPr="004B7BD2">
        <w:rPr>
          <w:rFonts w:eastAsia="Arial"/>
          <w:i/>
          <w:iCs/>
        </w:rPr>
        <w:t>paraiškos vertinimo metu atitinkantis įprastą klinikinę praktiką ir pagrįstai laikomas atitinkančiu pripažintas konkrečios ligos gydymo gaires</w:t>
      </w:r>
      <w:r w:rsidRPr="004B7BD2">
        <w:rPr>
          <w:rFonts w:eastAsia="Arial"/>
        </w:rPr>
        <w:t>“.</w:t>
      </w:r>
    </w:p>
    <w:p w14:paraId="43204B64" w14:textId="77777777" w:rsidR="00A1059E" w:rsidRPr="004B7BD2" w:rsidRDefault="00A1059E" w:rsidP="00814604">
      <w:pPr>
        <w:spacing w:line="276" w:lineRule="auto"/>
        <w:jc w:val="both"/>
        <w:rPr>
          <w:rFonts w:eastAsia="Arial"/>
          <w:iCs/>
          <w:color w:val="000000" w:themeColor="text1"/>
        </w:rPr>
      </w:pPr>
    </w:p>
    <w:p w14:paraId="48F9261A" w14:textId="77777777" w:rsidR="00A1059E" w:rsidRPr="00151DC7" w:rsidRDefault="00A1059E" w:rsidP="00814604">
      <w:pPr>
        <w:spacing w:line="276" w:lineRule="auto"/>
        <w:jc w:val="both"/>
        <w:rPr>
          <w:rFonts w:eastAsia="Arial"/>
          <w:i/>
          <w:color w:val="000000" w:themeColor="text1"/>
        </w:rPr>
      </w:pPr>
      <w:r w:rsidRPr="00151DC7">
        <w:rPr>
          <w:rFonts w:eastAsia="Arial"/>
          <w:i/>
          <w:color w:val="000000" w:themeColor="text1"/>
        </w:rPr>
        <w:t>Tiesioginis palyginimas</w:t>
      </w:r>
    </w:p>
    <w:p w14:paraId="19378711" w14:textId="77777777" w:rsidR="00A1059E" w:rsidRPr="008F6F14" w:rsidRDefault="00A1059E" w:rsidP="00814604">
      <w:pPr>
        <w:tabs>
          <w:tab w:val="left" w:pos="492"/>
        </w:tabs>
        <w:spacing w:line="276" w:lineRule="auto"/>
        <w:jc w:val="both"/>
        <w:outlineLvl w:val="1"/>
      </w:pPr>
      <w:r w:rsidRPr="004B7BD2">
        <w:tab/>
      </w:r>
      <w:r w:rsidRPr="004B7BD2">
        <w:tab/>
      </w:r>
      <w:r w:rsidRPr="008F6F14">
        <w:t>FLAURA2 – tai III fazės atvir</w:t>
      </w:r>
      <w:r w:rsidRPr="004B7BD2">
        <w:t>as</w:t>
      </w:r>
      <w:r w:rsidRPr="008F6F14">
        <w:t>, atsitiktinės atrankos, daugiacentrinis tyrimas, kuriame vertinamas osimertinibo kartu su chemoterapija (</w:t>
      </w:r>
      <w:r w:rsidRPr="004B7BD2">
        <w:t>Cht</w:t>
      </w:r>
      <w:r w:rsidRPr="008F6F14">
        <w:t xml:space="preserve">) veiksmingumas ir saugumas, palyginti su vien tik osimertinibo monoterapija, taikoma kaip pirmos eilės gydymas pacientams, sergantiems vietiškai išplitusiu arba metastazavusiu </w:t>
      </w:r>
      <w:r>
        <w:t>EAFR</w:t>
      </w:r>
      <w:r w:rsidRPr="008F6F14">
        <w:t xml:space="preserve"> mutacijas turinčiu </w:t>
      </w:r>
      <w:r w:rsidRPr="004B7BD2">
        <w:t>NSLPV</w:t>
      </w:r>
      <w:r w:rsidRPr="008F6F14">
        <w:t>. Į tyrimą buvo įtraukti pacientai iš 153 tyrimų centrų, esančių 21-oje šalyje Europoje, Azijos ir Ramiojo vandenyno regione, Šiaurės ir Pietų Amerikoje bei Afrikoje.</w:t>
      </w:r>
    </w:p>
    <w:p w14:paraId="024565EE" w14:textId="77777777" w:rsidR="00A1059E" w:rsidRPr="009E24A0" w:rsidRDefault="00A1059E" w:rsidP="00814604">
      <w:pPr>
        <w:spacing w:line="276" w:lineRule="auto"/>
        <w:ind w:firstLine="720"/>
        <w:jc w:val="both"/>
        <w:rPr>
          <w:rFonts w:eastAsia="Arial"/>
          <w:iCs/>
          <w:color w:val="000000" w:themeColor="text1"/>
        </w:rPr>
      </w:pPr>
      <w:r w:rsidRPr="009E24A0">
        <w:rPr>
          <w:rFonts w:eastAsia="Arial"/>
          <w:iCs/>
          <w:color w:val="000000" w:themeColor="text1"/>
        </w:rPr>
        <w:t>Tyrimo pacientų populiacija atitinka egzistuojančią Lietuvos pacientų populiaciją, kuriai gydymas gali būti skiriamas pagal numatomas osimertinibo skyrimo indikacijas. Tyrimo dizainas atitinka III fazės klinikinių tyrimų reikalavimą, yra tinkamas išsikeltoms hipotezėms pagrįsti. Statistiniai metodai buvo taikomi tinkamai, tyrime vertintos pirminės ir antrinės baigtys atitinka klinikinėje praktikoje reikšmingus gydymo efektyvumo vertinimo kriterijus ir atspindi gydymo tikslus. Pagrindinė vertinamoji baigtis, IBLP, laikomas tinkama pirmine baigtimi įvertinus pacientų, kuriems yra numatyti skirti gydymą, populiaciją.</w:t>
      </w:r>
    </w:p>
    <w:p w14:paraId="3B640B44" w14:textId="77777777" w:rsidR="00A1059E" w:rsidRPr="009E24A0" w:rsidRDefault="00A1059E" w:rsidP="00814604">
      <w:pPr>
        <w:spacing w:line="276" w:lineRule="auto"/>
        <w:ind w:firstLine="720"/>
        <w:jc w:val="both"/>
        <w:rPr>
          <w:rFonts w:eastAsia="Arial"/>
          <w:iCs/>
          <w:color w:val="000000" w:themeColor="text1"/>
        </w:rPr>
      </w:pPr>
      <w:r w:rsidRPr="009E24A0">
        <w:rPr>
          <w:rFonts w:eastAsia="Arial"/>
          <w:iCs/>
          <w:color w:val="000000" w:themeColor="text1"/>
        </w:rPr>
        <w:lastRenderedPageBreak/>
        <w:t>FLAURA2 klinikiniame tyrime viso dalyvavo 557 pacientai. Pacientų bendrosios charakteristikos, demografiniai bei ligos rodikliai buvo pateikti visai pacientų imčiai, tai atspindi realią pacientų populiaciją, kuriai šis vaistai būtų skiriamas Lietuvoje.</w:t>
      </w:r>
      <w:r>
        <w:rPr>
          <w:rFonts w:eastAsia="Arial"/>
          <w:iCs/>
          <w:color w:val="000000" w:themeColor="text1"/>
        </w:rPr>
        <w:t xml:space="preserve"> </w:t>
      </w:r>
      <w:r w:rsidRPr="009E24A0">
        <w:rPr>
          <w:rFonts w:eastAsia="Arial"/>
          <w:iCs/>
          <w:color w:val="000000" w:themeColor="text1"/>
        </w:rPr>
        <w:t xml:space="preserve">Klinikiniame tyrime pagrindinė vertinamoji baigtis buvo išgyvenamumas be ligos progresavimo. </w:t>
      </w:r>
    </w:p>
    <w:p w14:paraId="08110534" w14:textId="77777777" w:rsidR="00A1059E" w:rsidRPr="009E24A0" w:rsidRDefault="00A1059E" w:rsidP="00814604">
      <w:pPr>
        <w:spacing w:line="276" w:lineRule="auto"/>
        <w:jc w:val="both"/>
        <w:rPr>
          <w:rFonts w:eastAsia="Arial"/>
          <w:iCs/>
          <w:color w:val="000000" w:themeColor="text1"/>
          <w:highlight w:val="yellow"/>
        </w:rPr>
      </w:pPr>
      <w:r w:rsidRPr="009E24A0">
        <w:rPr>
          <w:rFonts w:eastAsia="Arial"/>
          <w:iCs/>
          <w:color w:val="000000" w:themeColor="text1"/>
        </w:rPr>
        <w:tab/>
        <w:t>Rezultatai parodė, kad mediana IBLP trukmė osimertinibo + Cht grupėje siekė 25,5 mėn. (95 % PI: 24,7; nenustatyta), o monoterapijos grupėje – 16,7 mėn. (95 % PI: 14,1–21,3). Tai atitiko maždaug 8,8 mėn. pranašumą ir 50 % ilgesnę ligos nekintamos būklės trukmę kombinuoto gydymo naudai. Rizikos santykis (RS) buvo 0,62 (95 % PI: 0,49–0,79; p &lt; 0,001), nurodantis 38 % sumažėjusią ligos progresavimo ar mirties riziką</w:t>
      </w:r>
      <w:r>
        <w:rPr>
          <w:rFonts w:eastAsia="Arial"/>
          <w:iCs/>
          <w:color w:val="000000" w:themeColor="text1"/>
        </w:rPr>
        <w:t>.</w:t>
      </w:r>
      <w:r w:rsidRPr="009E24A0">
        <w:rPr>
          <w:rFonts w:eastAsia="Arial"/>
          <w:iCs/>
          <w:color w:val="000000" w:themeColor="text1"/>
        </w:rPr>
        <w:t xml:space="preserve"> Šis rezultatas rodo kliniškai reikšmingą ligos kontrolės pagerėjimą ir pagrindžia osimertinibo bei Cht derinį kaip efektyvų pirmos eilės gydymo pasirinkimą šiai pacientų populiacijai.</w:t>
      </w:r>
      <w:r>
        <w:rPr>
          <w:rFonts w:eastAsia="Arial"/>
          <w:iCs/>
          <w:color w:val="000000" w:themeColor="text1"/>
        </w:rPr>
        <w:t xml:space="preserve"> </w:t>
      </w:r>
      <w:r w:rsidRPr="009E24A0">
        <w:rPr>
          <w:rFonts w:eastAsia="Arial"/>
          <w:iCs/>
          <w:color w:val="000000" w:themeColor="text1"/>
        </w:rPr>
        <w:t xml:space="preserve">Rezultatai rodo, kad osimertinibo ir Cht derinys reikšmingai pagerino IBLP visuose iš anksto nustatytose pogrupiuose, įskaitant skirtingą lytį, amžių, rasę, rūkymo istoriją, CNS metastazių buvimą tyrimo pradžioje ir </w:t>
      </w:r>
      <w:r>
        <w:rPr>
          <w:rFonts w:eastAsia="Arial"/>
          <w:iCs/>
          <w:color w:val="000000" w:themeColor="text1"/>
        </w:rPr>
        <w:t>EAFR</w:t>
      </w:r>
      <w:r w:rsidRPr="009E24A0">
        <w:rPr>
          <w:rFonts w:eastAsia="Arial"/>
          <w:iCs/>
          <w:color w:val="000000" w:themeColor="text1"/>
        </w:rPr>
        <w:t xml:space="preserve"> mutacijos tipą (Ex19del ar L858R). Gydymo nauda buvo nuosekli, nes visų pogrupių RS buvo mažesni nei 1 ir svyravo nuo 0,42 iki 0,82</w:t>
      </w:r>
      <w:r>
        <w:rPr>
          <w:rFonts w:eastAsia="Arial"/>
          <w:iCs/>
          <w:color w:val="000000" w:themeColor="text1"/>
        </w:rPr>
        <w:t>.</w:t>
      </w:r>
    </w:p>
    <w:p w14:paraId="100149AD" w14:textId="0836E789" w:rsidR="00A1059E" w:rsidRPr="00814604" w:rsidRDefault="00A1059E" w:rsidP="00814604">
      <w:pPr>
        <w:spacing w:line="276" w:lineRule="auto"/>
        <w:ind w:firstLine="720"/>
        <w:jc w:val="both"/>
        <w:rPr>
          <w:rFonts w:eastAsia="Arial"/>
          <w:b/>
          <w:bCs/>
          <w:iCs/>
          <w:color w:val="000000" w:themeColor="text1"/>
        </w:rPr>
      </w:pPr>
      <w:r w:rsidRPr="00814604">
        <w:rPr>
          <w:rFonts w:eastAsia="Arial"/>
          <w:b/>
          <w:bCs/>
          <w:iCs/>
          <w:color w:val="000000" w:themeColor="text1"/>
        </w:rPr>
        <w:t>Antrinės vertinamosios baigtys</w:t>
      </w:r>
    </w:p>
    <w:p w14:paraId="1C7424A7" w14:textId="77777777" w:rsidR="00A1059E" w:rsidRPr="00886D2F" w:rsidRDefault="00A1059E" w:rsidP="00814604">
      <w:pPr>
        <w:pStyle w:val="NormalWeb"/>
        <w:numPr>
          <w:ilvl w:val="0"/>
          <w:numId w:val="15"/>
        </w:numPr>
        <w:spacing w:before="0" w:beforeAutospacing="0" w:after="0" w:afterAutospacing="0" w:line="276" w:lineRule="auto"/>
      </w:pPr>
      <w:r w:rsidRPr="001B0945">
        <w:t>Bendras išgyvenamumas (BI)</w:t>
      </w:r>
    </w:p>
    <w:p w14:paraId="2EAED3FD" w14:textId="77777777" w:rsidR="00A1059E" w:rsidRPr="00886D2F" w:rsidRDefault="00A1059E" w:rsidP="00814604">
      <w:pPr>
        <w:pStyle w:val="NormalWeb"/>
        <w:spacing w:before="0" w:beforeAutospacing="0" w:after="0" w:afterAutospacing="0" w:line="276" w:lineRule="auto"/>
        <w:jc w:val="both"/>
      </w:pPr>
      <w:r>
        <w:t>P</w:t>
      </w:r>
      <w:r w:rsidRPr="001B0945">
        <w:t xml:space="preserve">apildomoje antroje tarpinėje analizėje, duomenų subrendimas siekė 40,6 %. BI mediana nebuvo pasiekta osimertinibo + </w:t>
      </w:r>
      <w:r w:rsidRPr="00886D2F">
        <w:t>Cht</w:t>
      </w:r>
      <w:r w:rsidRPr="001B0945">
        <w:t xml:space="preserve"> gydymo grupėje, tačiau monoterapijos grupėje ji siekė 36,7 mėn. (95 % PI: 33,2–nenustatyta). Šioje analizėje statistiškai reikšmingas bendro išgyvenamumo pagerėjimas buvo užfiksuotas osimertinibo + </w:t>
      </w:r>
      <w:r w:rsidRPr="00886D2F">
        <w:t>Cht</w:t>
      </w:r>
      <w:r w:rsidRPr="001B0945">
        <w:t xml:space="preserve"> grupėje (RS 0,75; 95 % PI: 0,57–0,97; p = 0,0280), atitinkantis 25 % sumažėjusią mirties riziką.</w:t>
      </w:r>
    </w:p>
    <w:p w14:paraId="04076908" w14:textId="77777777" w:rsidR="00A1059E" w:rsidRPr="00B37011" w:rsidRDefault="00A1059E" w:rsidP="00814604">
      <w:pPr>
        <w:pStyle w:val="ListParagraph"/>
        <w:numPr>
          <w:ilvl w:val="0"/>
          <w:numId w:val="14"/>
        </w:numPr>
        <w:tabs>
          <w:tab w:val="left" w:pos="426"/>
        </w:tabs>
        <w:spacing w:line="276" w:lineRule="auto"/>
        <w:jc w:val="both"/>
      </w:pPr>
      <w:r w:rsidRPr="00B37011">
        <w:t>Objektyvaus atsako dažnis (OAD)</w:t>
      </w:r>
    </w:p>
    <w:p w14:paraId="2B54FC66" w14:textId="77777777" w:rsidR="00A1059E" w:rsidRPr="000F6768" w:rsidRDefault="00A1059E" w:rsidP="00814604">
      <w:pPr>
        <w:tabs>
          <w:tab w:val="left" w:pos="426"/>
        </w:tabs>
        <w:spacing w:line="276" w:lineRule="auto"/>
        <w:jc w:val="both"/>
      </w:pPr>
      <w:r>
        <w:t xml:space="preserve">Atlikus papildomą analizę, pakoreguotą pagal stratifikuojančius veiksnius, nustatyta, kad OAD siekė 84,4 % </w:t>
      </w:r>
      <w:r w:rsidRPr="001B0945">
        <w:rPr>
          <w:lang w:eastAsia="lt-LT"/>
        </w:rPr>
        <w:t xml:space="preserve">osimertinibo + </w:t>
      </w:r>
      <w:r w:rsidRPr="00886D2F">
        <w:t>Cht</w:t>
      </w:r>
      <w:r w:rsidRPr="001B0945">
        <w:rPr>
          <w:lang w:eastAsia="lt-LT"/>
        </w:rPr>
        <w:t xml:space="preserve"> </w:t>
      </w:r>
      <w:r>
        <w:t xml:space="preserve">grupėje ir 77,1 % monoterapijos grupėje, o šansų santykis (ŠS) – 1,61 (95 % PI: 1,06–2,44; p = 0,0261), statistiškai reikšmingai palankesnis </w:t>
      </w:r>
      <w:r w:rsidRPr="001B0945">
        <w:rPr>
          <w:lang w:eastAsia="lt-LT"/>
        </w:rPr>
        <w:t xml:space="preserve">osimertinibo + </w:t>
      </w:r>
      <w:r w:rsidRPr="00886D2F">
        <w:t>Cht</w:t>
      </w:r>
      <w:r w:rsidRPr="001B0945">
        <w:rPr>
          <w:lang w:eastAsia="lt-LT"/>
        </w:rPr>
        <w:t xml:space="preserve"> </w:t>
      </w:r>
      <w:r>
        <w:t>naudai.</w:t>
      </w:r>
      <w:r w:rsidRPr="000F6768">
        <w:t xml:space="preserve"> </w:t>
      </w:r>
    </w:p>
    <w:p w14:paraId="76639A23" w14:textId="77777777" w:rsidR="00A1059E" w:rsidRPr="000F6768" w:rsidRDefault="00A1059E" w:rsidP="00814604">
      <w:pPr>
        <w:pStyle w:val="ListParagraph"/>
        <w:numPr>
          <w:ilvl w:val="0"/>
          <w:numId w:val="13"/>
        </w:numPr>
        <w:tabs>
          <w:tab w:val="left" w:pos="426"/>
        </w:tabs>
        <w:spacing w:line="276" w:lineRule="auto"/>
        <w:jc w:val="both"/>
      </w:pPr>
      <w:r w:rsidRPr="000F6768">
        <w:t>Atsako trukmė (AT)</w:t>
      </w:r>
    </w:p>
    <w:p w14:paraId="661D1CAF" w14:textId="77777777" w:rsidR="00A1059E" w:rsidRPr="000F6768" w:rsidRDefault="00A1059E" w:rsidP="00814604">
      <w:pPr>
        <w:tabs>
          <w:tab w:val="left" w:pos="426"/>
        </w:tabs>
        <w:spacing w:line="276" w:lineRule="auto"/>
        <w:jc w:val="both"/>
      </w:pPr>
      <w:r w:rsidRPr="000F6768">
        <w:t xml:space="preserve">Tarpinėje analizėje pacientams, kurie atsakė į gydymą, osimertinibo </w:t>
      </w:r>
      <w:r>
        <w:t>+</w:t>
      </w:r>
      <w:r w:rsidRPr="000F6768">
        <w:t xml:space="preserve"> Cht derinys užtikrino kliniškai reikšmingą 8,7 mėnesio ilgesnę atsako trukmę, palyginti su monoterapija – vidutinė AT siekė 24,0 mėn. (95 % PI: 20,9–27,8) osimertinibo </w:t>
      </w:r>
      <w:r>
        <w:t>+</w:t>
      </w:r>
      <w:r w:rsidRPr="000F6768">
        <w:t xml:space="preserve"> Cht grupėje ir 15,3 mėn. (95 % PI: 12,7–19,4) monoterapijos grupėje.</w:t>
      </w:r>
    </w:p>
    <w:p w14:paraId="05E25C0A" w14:textId="77777777" w:rsidR="00A1059E" w:rsidRPr="001739B9" w:rsidRDefault="00A1059E" w:rsidP="00814604">
      <w:pPr>
        <w:pStyle w:val="ListParagraph"/>
        <w:numPr>
          <w:ilvl w:val="0"/>
          <w:numId w:val="15"/>
        </w:numPr>
        <w:tabs>
          <w:tab w:val="left" w:pos="426"/>
        </w:tabs>
        <w:spacing w:line="276" w:lineRule="auto"/>
        <w:jc w:val="both"/>
        <w:rPr>
          <w:rFonts w:eastAsiaTheme="minorHAnsi"/>
          <w:noProof/>
        </w:rPr>
      </w:pPr>
      <w:r w:rsidRPr="001739B9">
        <w:rPr>
          <w:rFonts w:eastAsiaTheme="minorHAnsi"/>
          <w:b/>
          <w:bCs/>
          <w:noProof/>
        </w:rPr>
        <w:t>Pacientų praneštos baigtys</w:t>
      </w:r>
    </w:p>
    <w:p w14:paraId="57F1A5C7" w14:textId="77777777" w:rsidR="00A1059E" w:rsidRPr="005161ED" w:rsidRDefault="00A1059E" w:rsidP="00814604">
      <w:pPr>
        <w:tabs>
          <w:tab w:val="left" w:pos="426"/>
        </w:tabs>
        <w:spacing w:line="276" w:lineRule="auto"/>
        <w:jc w:val="both"/>
      </w:pPr>
      <w:r w:rsidRPr="001739B9">
        <w:tab/>
      </w:r>
      <w:r w:rsidRPr="001739B9">
        <w:tab/>
      </w:r>
      <w:r w:rsidRPr="00F54F71">
        <w:t xml:space="preserve">Bendrai abiejose gydymo grupėse stebėtas nereikšmingas (kliniškai neesminis) bendros sveikatos būklės ir gyvenimo kokybės (GHS/QoL) bei fizinės funkcijos pagerėjimas. Tai rodo, kad kliniškai reikšminga veiksmingumo nauda, pasiekta pridedant chemoterapiją prie osimertinibo, buvo įgyta </w:t>
      </w:r>
      <w:r w:rsidRPr="005161ED">
        <w:t>nesumažinant gyvenimo kokybės.</w:t>
      </w:r>
    </w:p>
    <w:p w14:paraId="016A882D" w14:textId="77777777" w:rsidR="005161ED" w:rsidRPr="005161ED" w:rsidRDefault="005161ED" w:rsidP="00814604">
      <w:pPr>
        <w:numPr>
          <w:ilvl w:val="0"/>
          <w:numId w:val="18"/>
        </w:numPr>
        <w:tabs>
          <w:tab w:val="left" w:pos="426"/>
        </w:tabs>
        <w:spacing w:line="276" w:lineRule="auto"/>
        <w:jc w:val="both"/>
        <w:rPr>
          <w:rFonts w:eastAsia="Arial"/>
          <w:iCs/>
          <w:color w:val="000000" w:themeColor="text1"/>
        </w:rPr>
      </w:pPr>
      <w:r w:rsidRPr="005161ED">
        <w:rPr>
          <w:rFonts w:eastAsia="Arial"/>
          <w:iCs/>
          <w:color w:val="000000" w:themeColor="text1"/>
        </w:rPr>
        <w:t>Galutinis bendras išgyvenamumas (BI)</w:t>
      </w:r>
    </w:p>
    <w:p w14:paraId="6EF6DDA4" w14:textId="77777777" w:rsidR="005161ED" w:rsidRPr="005161ED" w:rsidRDefault="005161ED" w:rsidP="00814604">
      <w:pPr>
        <w:tabs>
          <w:tab w:val="left" w:pos="426"/>
        </w:tabs>
        <w:spacing w:line="276" w:lineRule="auto"/>
        <w:jc w:val="both"/>
        <w:rPr>
          <w:rFonts w:eastAsia="Arial"/>
          <w:iCs/>
          <w:color w:val="000000" w:themeColor="text1"/>
        </w:rPr>
      </w:pPr>
      <w:r w:rsidRPr="005161ED">
        <w:rPr>
          <w:rFonts w:eastAsia="Arial"/>
          <w:iCs/>
          <w:color w:val="000000" w:themeColor="text1"/>
        </w:rPr>
        <w:t>Galutinėje BI analizėje, publikuotoje 2025 m. lapkričio 26 d., viso duomenų brandumas buvo 57 proc. Tyrime mirties atvejų buvo užfiksuota 52 % pacientų osimertinibo + Cht grupėje (n = 144) ir 62 % – monoterapijos grupėje (n = 171). Galutinis skirtumas tarp grupių buvo statistiškai reikšmingas (RS 0,77; 95 % PI: 0,61–0,96; p = 0,02).</w:t>
      </w:r>
    </w:p>
    <w:p w14:paraId="5D60F620" w14:textId="18B0D93F" w:rsidR="00A1059E" w:rsidRPr="005420C9" w:rsidRDefault="00A1059E" w:rsidP="00814604">
      <w:pPr>
        <w:spacing w:line="276" w:lineRule="auto"/>
        <w:ind w:firstLine="720"/>
        <w:jc w:val="both"/>
        <w:rPr>
          <w:rFonts w:eastAsia="Arial"/>
          <w:iCs/>
          <w:color w:val="000000" w:themeColor="text1"/>
        </w:rPr>
      </w:pPr>
      <w:bookmarkStart w:id="2" w:name="_Hlk217065863"/>
      <w:r w:rsidRPr="005420C9">
        <w:rPr>
          <w:rFonts w:eastAsia="Arial"/>
          <w:iCs/>
          <w:color w:val="000000" w:themeColor="text1"/>
        </w:rPr>
        <w:t xml:space="preserve">Atsižvelgiant į </w:t>
      </w:r>
      <w:r w:rsidR="00814604">
        <w:rPr>
          <w:rFonts w:eastAsia="Arial"/>
          <w:iCs/>
          <w:color w:val="000000" w:themeColor="text1"/>
        </w:rPr>
        <w:t xml:space="preserve">palyginamojo </w:t>
      </w:r>
      <w:r w:rsidRPr="005420C9">
        <w:rPr>
          <w:rFonts w:eastAsia="Arial"/>
          <w:iCs/>
          <w:color w:val="000000" w:themeColor="text1"/>
        </w:rPr>
        <w:t xml:space="preserve">veiksmingumo ir saugumo rezultatus, </w:t>
      </w:r>
      <w:r w:rsidRPr="008F6F14">
        <w:t xml:space="preserve">osimertinibo su chemoterapija </w:t>
      </w:r>
      <w:r w:rsidRPr="005420C9">
        <w:rPr>
          <w:rFonts w:eastAsia="Arial"/>
          <w:iCs/>
          <w:color w:val="000000" w:themeColor="text1"/>
        </w:rPr>
        <w:t xml:space="preserve">derinio palyginamasis veiksmingumas yra didesnis, lyginant su įprasta klinikine praktika pirmos eilės gydymu </w:t>
      </w:r>
      <w:r w:rsidRPr="000A11AD">
        <w:rPr>
          <w:lang w:eastAsia="lt-LT"/>
        </w:rPr>
        <w:t>osimertinib</w:t>
      </w:r>
      <w:r w:rsidRPr="005420C9">
        <w:rPr>
          <w:lang w:eastAsia="lt-LT"/>
        </w:rPr>
        <w:t xml:space="preserve">u </w:t>
      </w:r>
      <w:r w:rsidRPr="005420C9">
        <w:t xml:space="preserve">pacientams, sergantiems išplitusiu NLSPV, kurių navikuose nustatyta </w:t>
      </w:r>
      <w:r>
        <w:t>EAFR</w:t>
      </w:r>
      <w:r w:rsidRPr="005420C9">
        <w:t xml:space="preserve"> 19 egzono delecijų arba 21 egzono (L858R) substitucijos mutacijų</w:t>
      </w:r>
      <w:r w:rsidRPr="005420C9">
        <w:rPr>
          <w:rFonts w:eastAsia="Arial"/>
        </w:rPr>
        <w:t>.</w:t>
      </w:r>
    </w:p>
    <w:bookmarkEnd w:id="2"/>
    <w:p w14:paraId="25F89291" w14:textId="0DAAE031" w:rsidR="00D4485B" w:rsidRPr="00E33EFF" w:rsidRDefault="00D4485B" w:rsidP="00814604">
      <w:pPr>
        <w:tabs>
          <w:tab w:val="left" w:pos="426"/>
        </w:tabs>
        <w:spacing w:line="276" w:lineRule="auto"/>
        <w:jc w:val="both"/>
        <w:rPr>
          <w:b/>
          <w:bCs/>
          <w:caps/>
        </w:rPr>
      </w:pPr>
    </w:p>
    <w:p w14:paraId="7DE09EB5" w14:textId="69E9DD74" w:rsidR="00E03C3F" w:rsidRPr="00844A21" w:rsidRDefault="00CC7832" w:rsidP="00CC09D4">
      <w:pPr>
        <w:pStyle w:val="ListParagraph"/>
        <w:numPr>
          <w:ilvl w:val="0"/>
          <w:numId w:val="12"/>
        </w:numPr>
        <w:tabs>
          <w:tab w:val="left" w:pos="567"/>
        </w:tabs>
        <w:ind w:hanging="720"/>
        <w:rPr>
          <w:b/>
          <w:bCs/>
          <w:caps/>
        </w:rPr>
      </w:pPr>
      <w:r w:rsidRPr="00844A21">
        <w:rPr>
          <w:b/>
          <w:bCs/>
          <w:caps/>
        </w:rPr>
        <w:t xml:space="preserve">ekonominio vertinimo </w:t>
      </w:r>
      <w:r w:rsidR="002F0E4F" w:rsidRPr="00844A21">
        <w:rPr>
          <w:b/>
          <w:bCs/>
          <w:caps/>
        </w:rPr>
        <w:t>apibendrinimas</w:t>
      </w:r>
    </w:p>
    <w:p w14:paraId="2A42DC6B" w14:textId="3F7E1F63" w:rsidR="00BA6A88" w:rsidRDefault="00BA6A88" w:rsidP="00BA6A88">
      <w:pPr>
        <w:shd w:val="clear" w:color="auto" w:fill="FFFFFF"/>
        <w:spacing w:line="276" w:lineRule="auto"/>
        <w:jc w:val="both"/>
        <w:rPr>
          <w:rFonts w:eastAsia="Arial"/>
        </w:rPr>
      </w:pPr>
    </w:p>
    <w:p w14:paraId="26ECE240" w14:textId="0253B42D" w:rsidR="00BF0466" w:rsidRDefault="00BF0466" w:rsidP="00BF0466">
      <w:pPr>
        <w:spacing w:line="276" w:lineRule="auto"/>
        <w:ind w:firstLine="360"/>
        <w:jc w:val="both"/>
      </w:pPr>
      <w:r w:rsidRPr="00EE73FA">
        <w:t>T</w:t>
      </w:r>
      <w:r>
        <w:t>agrisso skiriamo</w:t>
      </w:r>
      <w:r w:rsidRPr="00EE73FA">
        <w:t xml:space="preserve"> deriniu su: pemetreksedu ir chemoterapija platinos pagrindu</w:t>
      </w:r>
      <w:r>
        <w:t xml:space="preserve">, suaugusiems </w:t>
      </w:r>
      <w:r w:rsidRPr="00EE73FA">
        <w:t xml:space="preserve">pacientams, sergantiems išplitusiu </w:t>
      </w:r>
      <w:r w:rsidR="00814604">
        <w:t>NSLPV</w:t>
      </w:r>
      <w:r w:rsidRPr="00EE73FA">
        <w:t xml:space="preserve">, kurių navikuose nustatyta </w:t>
      </w:r>
      <w:r>
        <w:t>EAFR</w:t>
      </w:r>
      <w:r w:rsidRPr="00EE73FA">
        <w:t xml:space="preserve"> 19 egzono delecijų arba 21 egzono (L858R) substitucijos mutacijų, pirmaeiliam gydymui</w:t>
      </w:r>
      <w:r>
        <w:t xml:space="preserve"> </w:t>
      </w:r>
      <w:r w:rsidRPr="00EE73FA">
        <w:rPr>
          <w:lang w:eastAsia="lt-LT"/>
        </w:rPr>
        <w:t>(C34 - broncho ir plaučio piktybinis navikas)</w:t>
      </w:r>
      <w:r>
        <w:rPr>
          <w:lang w:eastAsia="lt-LT"/>
        </w:rPr>
        <w:t xml:space="preserve"> populiaciniai duomenys KNA pagrįsti </w:t>
      </w:r>
      <w:r>
        <w:t>FLAURA2 klinikiniu tyrimu.</w:t>
      </w:r>
    </w:p>
    <w:p w14:paraId="2B0AE1E8" w14:textId="2A5F592D" w:rsidR="00BF0466" w:rsidRPr="00E3158D" w:rsidRDefault="00BF0466" w:rsidP="00BF0466">
      <w:pPr>
        <w:spacing w:line="276" w:lineRule="auto"/>
        <w:ind w:firstLine="360"/>
        <w:jc w:val="both"/>
      </w:pPr>
      <w:r>
        <w:rPr>
          <w:color w:val="000000"/>
        </w:rPr>
        <w:t>KNA atliekama osimertinibo</w:t>
      </w:r>
      <w:r w:rsidRPr="00606ECF">
        <w:rPr>
          <w:rFonts w:eastAsia="Arial"/>
        </w:rPr>
        <w:t xml:space="preserve"> kartu su pemetreksedu ir platinos pagrindu sudaryta chemoterapija</w:t>
      </w:r>
      <w:r>
        <w:rPr>
          <w:rFonts w:eastAsia="Arial"/>
        </w:rPr>
        <w:t xml:space="preserve"> lyginant su osimertinibo monoterapija. </w:t>
      </w:r>
      <w:r w:rsidRPr="00EE73FA">
        <w:rPr>
          <w:rFonts w:eastAsia="Arial"/>
        </w:rPr>
        <w:t xml:space="preserve">Pagal Respublikos sveikatos apsaugos ministro 2000 m. sausio 28 d. įsakyme Nr. 49  „Dėl kompensuojamųjų vaistų sąrašų patvirtinimo“ pateiktą ligų ir kompensuojamųjų vaistų joms gydyti sąrašą palyginamasis gydymas atitinka Lietuvos Respublikos sveikatos apsaugos ministro 2002 m. balandžio 5 d. įsakymo Nr. V-159 „Dėl vaistinių preparatų ir medicinos pagalbos priemonių įrašymo į kompensavimo sąrašus ir jų keitimo tvarkos aprašo patvirtinimo“ 116.1 punkto, nes NSLPV pirmos eilės gydymas </w:t>
      </w:r>
      <w:r w:rsidRPr="000A11AD">
        <w:t>osimertinib</w:t>
      </w:r>
      <w:r w:rsidRPr="00EE73FA">
        <w:t>u</w:t>
      </w:r>
      <w:r w:rsidRPr="000A11AD">
        <w:t xml:space="preserve"> </w:t>
      </w:r>
      <w:r w:rsidRPr="00EE73FA">
        <w:rPr>
          <w:rFonts w:eastAsia="Arial"/>
        </w:rPr>
        <w:t>yra „</w:t>
      </w:r>
      <w:r w:rsidRPr="00EE73FA">
        <w:rPr>
          <w:rFonts w:eastAsia="Arial"/>
          <w:i/>
          <w:iCs/>
        </w:rPr>
        <w:t>paraiškos vertinimo metu atitinkantis įprastą klinikinę praktiką ir pagrįstai laikomas atitinkančiu pripažintas konkrečios ligos gydymo gaires</w:t>
      </w:r>
      <w:r w:rsidRPr="00EE73FA">
        <w:rPr>
          <w:rFonts w:eastAsia="Arial"/>
        </w:rPr>
        <w:t>“.</w:t>
      </w:r>
    </w:p>
    <w:p w14:paraId="5B89562C" w14:textId="77777777" w:rsidR="00BF0466" w:rsidRPr="00D53EB4" w:rsidRDefault="00BF0466" w:rsidP="00BF0466">
      <w:pPr>
        <w:spacing w:line="276" w:lineRule="auto"/>
        <w:ind w:firstLine="360"/>
        <w:jc w:val="both"/>
      </w:pPr>
      <w:r w:rsidRPr="00D53EB4">
        <w:rPr>
          <w:bCs/>
          <w:lang w:eastAsia="lt-LT"/>
        </w:rPr>
        <w:t xml:space="preserve">Pareiškėjo taikomas </w:t>
      </w:r>
      <w:r w:rsidRPr="00D53EB4">
        <w:t>padalintos kohortos išgyvenamumo trijų sveikatos būklių modelis yra plačiai taikomas sveikatos technologijų vertinimo praktikoje onkologinių ligų KNA modeliavimui ir yra tinkamas ir priimtinas.</w:t>
      </w:r>
    </w:p>
    <w:p w14:paraId="3EBBCE78" w14:textId="77777777" w:rsidR="00BF0466" w:rsidRPr="00D53EB4" w:rsidRDefault="00BF0466" w:rsidP="00BF0466">
      <w:pPr>
        <w:spacing w:line="276" w:lineRule="auto"/>
        <w:ind w:firstLine="360"/>
        <w:jc w:val="both"/>
        <w:rPr>
          <w:i/>
        </w:rPr>
      </w:pPr>
      <w:r>
        <w:rPr>
          <w:rFonts w:eastAsia="Arial"/>
          <w:bCs/>
        </w:rPr>
        <w:t xml:space="preserve">KNA įtraukti </w:t>
      </w:r>
      <w:r w:rsidRPr="008F6F14">
        <w:t>osimertinibo kartu su chemoterapija</w:t>
      </w:r>
      <w:r>
        <w:t xml:space="preserve"> ir osimertinimo monoterapijos</w:t>
      </w:r>
      <w:r w:rsidRPr="008F6F14">
        <w:t xml:space="preserve"> </w:t>
      </w:r>
      <w:r>
        <w:t xml:space="preserve">paciento lygmens </w:t>
      </w:r>
      <w:r>
        <w:rPr>
          <w:rFonts w:eastAsia="Arial"/>
          <w:bCs/>
        </w:rPr>
        <w:t xml:space="preserve">IBLP </w:t>
      </w:r>
      <w:r w:rsidRPr="00772C54">
        <w:t>(DCO: 2023 m. balandžio 3 d.).</w:t>
      </w:r>
      <w:r w:rsidRPr="00772C54">
        <w:rPr>
          <w:rFonts w:eastAsia="Arial"/>
          <w:bCs/>
        </w:rPr>
        <w:t>, BI ir gydymo trukmės duomenys (I</w:t>
      </w:r>
      <w:r w:rsidRPr="00772C54">
        <w:rPr>
          <w:rFonts w:eastAsia="Aptos"/>
          <w:kern w:val="2"/>
        </w:rPr>
        <w:t>A2 DCO: 2024 m. sausio 8 d.)</w:t>
      </w:r>
      <w:r>
        <w:rPr>
          <w:rFonts w:eastAsia="Arial"/>
          <w:bCs/>
        </w:rPr>
        <w:t xml:space="preserve"> iš</w:t>
      </w:r>
      <w:r w:rsidRPr="003D3C2F">
        <w:t xml:space="preserve"> </w:t>
      </w:r>
      <w:r w:rsidRPr="008F6F14">
        <w:t>FLAURA2</w:t>
      </w:r>
      <w:r>
        <w:t xml:space="preserve"> klinikinio tyrimo.</w:t>
      </w:r>
    </w:p>
    <w:p w14:paraId="45ECAE6E" w14:textId="4640C613" w:rsidR="00BF0466" w:rsidRPr="00894B10" w:rsidRDefault="00BF0466" w:rsidP="00BF0466">
      <w:pPr>
        <w:pStyle w:val="NormalWeb"/>
        <w:spacing w:before="0" w:beforeAutospacing="0" w:after="0" w:afterAutospacing="0" w:line="276" w:lineRule="auto"/>
        <w:jc w:val="both"/>
      </w:pPr>
      <w:r>
        <w:t>Pareiškėjas papildomai patei</w:t>
      </w:r>
      <w:r w:rsidR="00F46F97">
        <w:t>k</w:t>
      </w:r>
      <w:r>
        <w:t xml:space="preserve">ė atnaujintus </w:t>
      </w:r>
      <w:r w:rsidRPr="008F6F14">
        <w:t>FLAURA2</w:t>
      </w:r>
      <w:r>
        <w:t xml:space="preserve"> tyrimo galutinius rezultatus.  Osimertinibas su chemoterapija parodė statistiškai reikšmingą ir kliniškai reikšmingą BI pagerėjimą, palyginti su tik osimertinibu (HR 0,77; 95,047% PI 0,61; 0,96; p=0,0202; 57% duomenų branda). Osimertinibui su chemoterapija palyginti su tik osimertinibu, medianinis BI buvo 47,5 prieš 37,6 mėnesių; 36 mėnesių išgyvenamumo dažniai buvo 63% prieš 51%. </w:t>
      </w:r>
      <w:r>
        <w:rPr>
          <w:rFonts w:eastAsia="Arial"/>
          <w:iCs/>
          <w:color w:val="000000" w:themeColor="text1"/>
        </w:rPr>
        <w:t>Vertinant klinikinius rezultatus bei a</w:t>
      </w:r>
      <w:r w:rsidRPr="005420C9">
        <w:rPr>
          <w:rFonts w:eastAsia="Arial"/>
          <w:iCs/>
          <w:color w:val="000000" w:themeColor="text1"/>
        </w:rPr>
        <w:t xml:space="preserve">tsižvelgiant į veiksmingumo ir saugumo rezultatus, </w:t>
      </w:r>
      <w:r w:rsidRPr="008F6F14">
        <w:t xml:space="preserve">osimertinibo su chemoterapija </w:t>
      </w:r>
      <w:r w:rsidRPr="005420C9">
        <w:rPr>
          <w:rFonts w:eastAsia="Arial"/>
          <w:iCs/>
          <w:color w:val="000000" w:themeColor="text1"/>
        </w:rPr>
        <w:t xml:space="preserve">derinio </w:t>
      </w:r>
      <w:r>
        <w:rPr>
          <w:rFonts w:eastAsia="Arial"/>
          <w:iCs/>
          <w:color w:val="000000" w:themeColor="text1"/>
        </w:rPr>
        <w:t>palyginamasis veiksmingumas yra laikomas didesniu</w:t>
      </w:r>
      <w:r w:rsidRPr="005420C9">
        <w:rPr>
          <w:rFonts w:eastAsia="Arial"/>
          <w:iCs/>
          <w:color w:val="000000" w:themeColor="text1"/>
        </w:rPr>
        <w:t xml:space="preserve">, lyginant su įprasta klinikine praktika pirmos eilės gydymu </w:t>
      </w:r>
      <w:r w:rsidRPr="000A11AD">
        <w:t>osimertinib</w:t>
      </w:r>
      <w:r w:rsidRPr="005420C9">
        <w:t xml:space="preserve">u pacientams, sergantiems išplitusiu NLSPV, kurių navikuose nustatyta </w:t>
      </w:r>
      <w:r>
        <w:t>EAFR</w:t>
      </w:r>
      <w:r w:rsidRPr="005420C9">
        <w:t xml:space="preserve"> 19 egzono delecijų arba 21 egzono (L858R) substitucijos mutacijų</w:t>
      </w:r>
      <w:r w:rsidRPr="005420C9">
        <w:rPr>
          <w:rFonts w:eastAsia="Arial"/>
        </w:rPr>
        <w:t>.</w:t>
      </w:r>
    </w:p>
    <w:p w14:paraId="140E1012" w14:textId="77777777" w:rsidR="00BF0466" w:rsidRDefault="00BF0466" w:rsidP="00BF0466">
      <w:pPr>
        <w:pStyle w:val="Tekstas"/>
        <w:spacing w:after="0" w:line="276" w:lineRule="auto"/>
        <w:ind w:firstLine="360"/>
        <w:rPr>
          <w:lang w:eastAsia="lt-LT"/>
        </w:rPr>
      </w:pPr>
      <w:r w:rsidRPr="001365E9">
        <w:t>Modelyje taikoma ilgesnė laiko perspektyva, besitęsianti po klinikinio tyrimo stebėsenos pabaigos. Pareiškėjas modelyje po klinikinio tyrimo pabaigos, vertinant ilguoju laikotarpiu (viso gyvenimo perspektyvoje</w:t>
      </w:r>
      <w:r>
        <w:t>, laiko horizontas 20 m.</w:t>
      </w:r>
      <w:r w:rsidRPr="001365E9">
        <w:t xml:space="preserve">) taiko duomenų ekstrapoliaciją. </w:t>
      </w:r>
      <w:r>
        <w:t xml:space="preserve"> </w:t>
      </w:r>
      <w:r w:rsidRPr="00D53EB4">
        <w:rPr>
          <w:lang w:eastAsia="en-GB"/>
        </w:rPr>
        <w:t xml:space="preserve">Apibendrinant, duomenų ekstrapoliacijai po klinikinio tyrimo pabaigos taikomas prielaidas, Tarnyba vertina, kad duomenys yra pagrįsti trumpuoju laikotarpiu (Pareiškėjas taiko aiškius atmetimo kriterijus: vadovaujamasi AIC/BIC informaciniai kriterijais, vizualine ekstrapoliuotų kreivių atitiktimi KM, laikoma, kad </w:t>
      </w:r>
      <w:r w:rsidRPr="00D53EB4">
        <w:rPr>
          <w:lang w:eastAsia="lt-LT"/>
        </w:rPr>
        <w:t>IBLP ir gydymo trukmės ekstrapoliacijos kreivės neturėtų kirsti BI kreivės atitinkamoje grupėje bei osimertinibo su CTh nauda ligos progresijavimo atžvilgiu bus bent lygi (ne mažesnė nei) osimertinibo monoterapijai, todėl osimertinibo su CTh IBLP kreivės, kertančios osimertinibo monoterapijos IBLP kreives buvo laikomos kliniškai negalimomis), tačiau trūksta duomenų pagrindimo ilguoju laikotarpiu.</w:t>
      </w:r>
    </w:p>
    <w:p w14:paraId="4509A5A7" w14:textId="0A2A4E64" w:rsidR="00BF0466" w:rsidRPr="00D53EB4" w:rsidRDefault="00BF0466" w:rsidP="00BF0466">
      <w:pPr>
        <w:pStyle w:val="Tekstas"/>
        <w:spacing w:after="0" w:line="276" w:lineRule="auto"/>
        <w:ind w:firstLine="360"/>
      </w:pPr>
      <w:r w:rsidRPr="00D53EB4">
        <w:t>Tarnyba atsižvelgia, jog Paraiškos pateikimo metu tarpiniai BI duomenys buvo nebrandūs, todėl Pareiškėjas papildomai remiasi publikuotais duomenimis iš ankstesnių tyrimų šiai indikacijai, kurie rodo tipinius išgyvenamumo įverčius apie 15–25 proc. po 5 metų pacientams, gydytiems pirmos kartos EGFR TKI, mažėjant iki apie 5–7 proc. po 7–9 metų. Apie 5 proc. pacientų, gyvų po 15 metų, taip pat atspindėtų kliniškai tikėtiną, tačiau konservatyvų išgyvenamumo įvertį modelyje, atsižvelgiant į išgyvenamumo naudą, susijusią su osimertinibu.</w:t>
      </w:r>
    </w:p>
    <w:p w14:paraId="25C414B9" w14:textId="4F4F207C" w:rsidR="00BF0466" w:rsidRDefault="00BF0466" w:rsidP="00BF0466">
      <w:pPr>
        <w:pStyle w:val="NormalWeb"/>
        <w:spacing w:before="0" w:beforeAutospacing="0" w:after="0" w:afterAutospacing="0" w:line="276" w:lineRule="auto"/>
        <w:ind w:firstLine="360"/>
        <w:jc w:val="both"/>
      </w:pPr>
      <w:r w:rsidRPr="00D53EB4">
        <w:lastRenderedPageBreak/>
        <w:t xml:space="preserve">Tarnyba parenkant tinkmiausią modeliavimą atsižvelgia į Pareiškėjo pateiktus atnaujintus naujausius klinikinio tyrimo FLAURA2 BI baigtinius rezultatus (pav. 10.6.). Duomenys nepagrindžia ilgalaikės duomenų ekstrapoliacijos, tačiau papildomai atsižvelgiama ir įtraukiami naujausi BI duomenys ketvirtaisiais bei penktaisiais metais. Atitinkamai Tarnyba vertina, kad pagal klinikines baigtis ir vizualią atitiktį KM kreivėms tinkamiausias </w:t>
      </w:r>
      <w:r w:rsidR="00EF1509">
        <w:t>***</w:t>
      </w:r>
      <w:r w:rsidRPr="00D53EB4">
        <w:t xml:space="preserve"> modelis (BI 4 m. 49,1 proc., 5 m. - ~47 proc.) osimertinibas+chemo grupėje ir </w:t>
      </w:r>
      <w:r w:rsidR="00B50E3C">
        <w:t>***</w:t>
      </w:r>
      <w:r w:rsidRPr="00D53EB4">
        <w:t xml:space="preserve"> – osimertinibo monoterapijos grupėje (BI 4 m. 40,8 proc., 5 m. - ~35 proc.</w:t>
      </w:r>
    </w:p>
    <w:p w14:paraId="0E463749" w14:textId="77777777" w:rsidR="00BF0466" w:rsidRDefault="00BF0466" w:rsidP="00BF0466">
      <w:pPr>
        <w:pStyle w:val="NormalWeb"/>
        <w:spacing w:before="0" w:beforeAutospacing="0" w:after="0" w:afterAutospacing="0" w:line="276" w:lineRule="auto"/>
        <w:ind w:firstLine="360"/>
        <w:jc w:val="both"/>
      </w:pPr>
      <w:r w:rsidRPr="00D53EB4">
        <w:t>Atkreiptinas dėmesys, kad nė vienu atveju keičiant parametrinius skirstinius galutinis ekonominės analizės rezultatas (ICER) neviršija sunkiai ligos naštai taikomos referencinės kaštų</w:t>
      </w:r>
      <w:r>
        <w:t xml:space="preserve"> naudingumo vertės, todėl Tarnyb</w:t>
      </w:r>
      <w:r w:rsidRPr="00D53EB4">
        <w:t>a sutinka su Pareiškėjo taikomu įprastinės atvejo analizės modeliavimu.</w:t>
      </w:r>
    </w:p>
    <w:p w14:paraId="12665FBB" w14:textId="35357057" w:rsidR="00BF0466" w:rsidRDefault="00BF0466" w:rsidP="00BF0466">
      <w:pPr>
        <w:pStyle w:val="NormalWeb"/>
        <w:spacing w:before="0" w:beforeAutospacing="0" w:after="0" w:afterAutospacing="0" w:line="276" w:lineRule="auto"/>
        <w:ind w:firstLine="360"/>
        <w:jc w:val="both"/>
        <w:rPr>
          <w:rFonts w:eastAsia="Aptos"/>
          <w:kern w:val="2"/>
        </w:rPr>
      </w:pPr>
      <w:r>
        <w:rPr>
          <w:rFonts w:eastAsia="Aptos"/>
          <w:kern w:val="2"/>
        </w:rPr>
        <w:t>Pareiškėjo duomenimis,</w:t>
      </w:r>
      <w:r w:rsidRPr="00BF463C">
        <w:rPr>
          <w:rFonts w:eastAsia="Aptos"/>
          <w:kern w:val="2"/>
        </w:rPr>
        <w:t xml:space="preserve"> </w:t>
      </w:r>
      <w:r w:rsidR="00814604">
        <w:rPr>
          <w:rFonts w:eastAsia="Aptos"/>
          <w:kern w:val="2"/>
        </w:rPr>
        <w:t>NSLPV</w:t>
      </w:r>
      <w:r w:rsidRPr="00BF463C">
        <w:rPr>
          <w:rFonts w:eastAsia="Aptos"/>
          <w:kern w:val="2"/>
        </w:rPr>
        <w:t xml:space="preserve"> pacientams su smegenų metastazėmis gydymo kaštai yra </w:t>
      </w:r>
      <w:r w:rsidR="00B50E3C">
        <w:rPr>
          <w:rFonts w:eastAsia="Aptos"/>
          <w:kern w:val="2"/>
        </w:rPr>
        <w:t>***</w:t>
      </w:r>
      <w:r w:rsidRPr="00BF463C">
        <w:rPr>
          <w:rFonts w:eastAsia="Aptos"/>
          <w:kern w:val="2"/>
        </w:rPr>
        <w:t xml:space="preserve"> karto didesni nei pacientams s</w:t>
      </w:r>
      <w:r>
        <w:rPr>
          <w:rFonts w:eastAsia="Aptos"/>
          <w:kern w:val="2"/>
        </w:rPr>
        <w:t xml:space="preserve">u </w:t>
      </w:r>
      <w:r w:rsidR="00814604">
        <w:rPr>
          <w:rFonts w:eastAsia="Aptos"/>
          <w:kern w:val="2"/>
        </w:rPr>
        <w:t>NSLPV</w:t>
      </w:r>
      <w:r>
        <w:rPr>
          <w:rFonts w:eastAsia="Aptos"/>
          <w:kern w:val="2"/>
        </w:rPr>
        <w:t xml:space="preserve"> be metastazių smegenyse, todėl </w:t>
      </w:r>
      <w:r w:rsidR="00B50E3C">
        <w:rPr>
          <w:rFonts w:eastAsia="Aptos"/>
          <w:kern w:val="2"/>
        </w:rPr>
        <w:t>***</w:t>
      </w:r>
      <w:r w:rsidRPr="00BF463C">
        <w:rPr>
          <w:rFonts w:eastAsia="Aptos"/>
          <w:kern w:val="2"/>
        </w:rPr>
        <w:t xml:space="preserve"> koeficientas buvo taikytas ligos valdymo kaštams apskaičiuoti tai daliai pacientų, kurie FLAURA2 tyrimo pradžioje turėjo metastazes smegenyse</w:t>
      </w:r>
      <w:r>
        <w:rPr>
          <w:rFonts w:eastAsia="Aptos"/>
          <w:kern w:val="2"/>
        </w:rPr>
        <w:t xml:space="preserve">. Tarnyba nesutinka, kadangi realioje klininikinėje pratikoje pacientų apimtys ir kaštai nėra aiškus (t.y. </w:t>
      </w:r>
      <w:r w:rsidR="005C4545">
        <w:rPr>
          <w:rFonts w:eastAsia="Aptos"/>
          <w:kern w:val="2"/>
        </w:rPr>
        <w:t>***</w:t>
      </w:r>
      <w:r>
        <w:rPr>
          <w:rFonts w:eastAsia="Aptos"/>
          <w:kern w:val="2"/>
        </w:rPr>
        <w:t xml:space="preserve"> karto nepagrindžia Lietuvos kaštų) ir įprastinėje atvejo analizėje daugiklio netaiko. Įtaka ICER nėra esminė.</w:t>
      </w:r>
    </w:p>
    <w:p w14:paraId="493599A0" w14:textId="70596EB6" w:rsidR="00BF0466" w:rsidRDefault="00BF0466" w:rsidP="00BF0466">
      <w:pPr>
        <w:pStyle w:val="NormalWeb"/>
        <w:spacing w:before="0" w:beforeAutospacing="0" w:after="0" w:afterAutospacing="0" w:line="276" w:lineRule="auto"/>
        <w:ind w:firstLine="360"/>
        <w:jc w:val="both"/>
      </w:pPr>
      <w:r w:rsidRPr="00F37B9B">
        <w:t xml:space="preserve">Kaštų naudingumo analizėje sveikatai sukuriama nauda buvo vertinama pagal su sveikata susijusią gyvenimo kokybę (angl. </w:t>
      </w:r>
      <w:r w:rsidRPr="00F37B9B">
        <w:rPr>
          <w:iCs/>
        </w:rPr>
        <w:t xml:space="preserve">Health realated quality of life, </w:t>
      </w:r>
      <w:r w:rsidRPr="00F37B9B">
        <w:t>HRQoL). Sveikatos būklių gyvenimo kokybės įverčiai (</w:t>
      </w:r>
      <w:r w:rsidRPr="00F37B9B">
        <w:rPr>
          <w:rStyle w:val="Emphasis"/>
        </w:rPr>
        <w:t>Health state utilities</w:t>
      </w:r>
      <w:r w:rsidRPr="00F37B9B">
        <w:t xml:space="preserve">) IBLP (be ligos progresavimo) ir PD (po ligos progresavimo) sveikatos būklėms buvo apskaičiuoti remiantis FLAURA2 tyrimo duomenimis. Pareiškėjas gyvenimo kokybės įverčius sveikatos būklėje iki ligos progreso taiko remiantis </w:t>
      </w:r>
      <w:r w:rsidRPr="00F37B9B">
        <w:rPr>
          <w:rFonts w:eastAsia="Aptos"/>
          <w:kern w:val="2"/>
        </w:rPr>
        <w:t>FLAURA2 klinikinio tyrimo duomenimis, būklei po ligos progreso -</w:t>
      </w:r>
      <w:r w:rsidRPr="00F37B9B">
        <w:t xml:space="preserve"> įtraukiant literatūros šaltinius (Labbé et all (2017)), kuriuose taikyti alternatyvūs gyvenimo kokybės įverčiai. Tarnyba atsižvelgia į anskesnės osimertinibo paraiškos vertinimo metu taikytus gyvenimo kokybės įverčius (nemetastazinei, metastazinei I ir II eilės ligos progresijai), taikomi vidutiniai įverčiai - </w:t>
      </w:r>
      <w:r w:rsidR="006A533F">
        <w:t>***</w:t>
      </w:r>
      <w:r w:rsidRPr="00F37B9B">
        <w:t>. Įtraukiami gyvenimo kokybės praradimų įverčiai dėl patirto nepageidaujamo poveikio (anlg. disutilities).</w:t>
      </w:r>
    </w:p>
    <w:p w14:paraId="58348382" w14:textId="3C6937CC" w:rsidR="00BF0466" w:rsidRPr="00BF0466" w:rsidRDefault="00BF0466" w:rsidP="00BF0466">
      <w:pPr>
        <w:pStyle w:val="NormalWeb"/>
        <w:spacing w:before="0" w:beforeAutospacing="0" w:after="0" w:afterAutospacing="0" w:line="276" w:lineRule="auto"/>
        <w:ind w:firstLine="360"/>
        <w:jc w:val="both"/>
      </w:pPr>
      <w:r w:rsidRPr="00F37B9B">
        <w:t>Analizė atlikta iš PSDF biudžeto perspektyvos, įtraukti tiesiogiai su sveikatos sistema susiję kaštai (VP įsigijimo, skyrimo, stebėsenos, ligos valdymo (sveikatos būklių), nepageidaujamo poveikio ir gyvenimo pabaigos kaštai)). Tai atitinka teisės aktuose nustatytus paraiškos rengimo</w:t>
      </w:r>
      <w:r w:rsidRPr="0046292F">
        <w:t xml:space="preserve"> taisyklių reikalavimus</w:t>
      </w:r>
      <w:r>
        <w:t xml:space="preserve">. </w:t>
      </w:r>
      <w:r w:rsidRPr="00DA0FC3">
        <w:rPr>
          <w:lang w:val="en-US"/>
        </w:rPr>
        <w:t xml:space="preserve">Tarnyba perskaičiuoja kaštus pagal 2025 m. II pusm. kainyno įkainius ir ASPPĮ. KNA taikoma </w:t>
      </w:r>
      <w:r>
        <w:rPr>
          <w:lang w:val="en-US"/>
        </w:rPr>
        <w:t xml:space="preserve">osimertinibo </w:t>
      </w:r>
      <w:r w:rsidRPr="00DA0FC3">
        <w:rPr>
          <w:lang w:val="en-US"/>
        </w:rPr>
        <w:t>kaina</w:t>
      </w:r>
      <w:r>
        <w:rPr>
          <w:lang w:val="en-US"/>
        </w:rPr>
        <w:t xml:space="preserve"> su PGS</w:t>
      </w:r>
      <w:r w:rsidRPr="00DA0FC3">
        <w:rPr>
          <w:lang w:val="en-US"/>
        </w:rPr>
        <w:t xml:space="preserve"> (</w:t>
      </w:r>
      <w:r w:rsidR="008621E6">
        <w:t xml:space="preserve">***** </w:t>
      </w:r>
      <w:r w:rsidRPr="004402B9">
        <w:t>Eur.</w:t>
      </w:r>
      <w:r>
        <w:t>);</w:t>
      </w:r>
      <w:r w:rsidRPr="004402B9">
        <w:rPr>
          <w:rFonts w:eastAsia="Arial"/>
        </w:rPr>
        <w:t xml:space="preserve"> </w:t>
      </w:r>
      <w:r w:rsidRPr="0019492B">
        <w:rPr>
          <w:rFonts w:eastAsia="Arial"/>
        </w:rPr>
        <w:t>Palyginamojo gydymo</w:t>
      </w:r>
      <w:r>
        <w:rPr>
          <w:rFonts w:eastAsia="Arial"/>
        </w:rPr>
        <w:t xml:space="preserve"> </w:t>
      </w:r>
      <w:r w:rsidRPr="0019492B">
        <w:rPr>
          <w:rFonts w:eastAsia="Arial"/>
        </w:rPr>
        <w:t>vaistinių preparatų kainos taikomos remiantis 2025 m. II pusmečio kainynu.</w:t>
      </w:r>
      <w:r>
        <w:rPr>
          <w:rFonts w:eastAsia="Arial"/>
        </w:rPr>
        <w:t xml:space="preserve"> Bevacizumabo kaina KNA taikoma remiantis paskutiniais VLK centralizuotais bevacizumabo pirkimo įkainiais (VLK duomenys).</w:t>
      </w:r>
    </w:p>
    <w:p w14:paraId="31A69216" w14:textId="77777777" w:rsidR="00BF0466" w:rsidRDefault="00BF0466" w:rsidP="00BF0466">
      <w:pPr>
        <w:spacing w:line="276" w:lineRule="auto"/>
        <w:jc w:val="both"/>
        <w:rPr>
          <w:rFonts w:eastAsia="CIDFont+F2"/>
        </w:rPr>
      </w:pPr>
      <w:r w:rsidRPr="009F2580">
        <w:rPr>
          <w:rFonts w:eastAsia="Aptos"/>
          <w:kern w:val="2"/>
        </w:rPr>
        <w:t>Dozavimo informacija atitinka PCS nurodytą. Tarnyba taiko visais atvejais dozės intensyvumą 100 proc. dėl duomenų Lietuvos realioje klinikinėje praktikoje trūkumo. Flakonai intraveniniam gydymui parinkti pagal mažiausią terapijos kainą mėnesiui, neskaičiuojant nubyrėjimo. Dozavimas chemoterapijos režimams skaičiuotas pagal FLAURA2 populiacijos charakteristikas.</w:t>
      </w:r>
      <w:r w:rsidRPr="00F37B9B">
        <w:rPr>
          <w:rFonts w:eastAsia="CIDFont+F2"/>
        </w:rPr>
        <w:t xml:space="preserve"> </w:t>
      </w:r>
      <w:r w:rsidRPr="00FF30BA">
        <w:rPr>
          <w:rFonts w:eastAsia="CIDFont+F2"/>
        </w:rPr>
        <w:t>Gydymas TAGRISSO taikomas tol, kol liga pradės progresuoti arba pasireikš nepriimtinas toksinis poveikis, todėl Tarnyba įprastinėje atvejo analizėje gydymo nutraukimo prielaidos netaiko.</w:t>
      </w:r>
    </w:p>
    <w:p w14:paraId="177DC149" w14:textId="1A25A2DD" w:rsidR="00BF0466" w:rsidRDefault="00BF0466" w:rsidP="00BF0466">
      <w:pPr>
        <w:spacing w:line="276" w:lineRule="auto"/>
        <w:ind w:firstLine="360"/>
        <w:jc w:val="both"/>
      </w:pPr>
      <w:r w:rsidRPr="00F37B9B">
        <w:rPr>
          <w:rFonts w:eastAsia="Aptos"/>
          <w:kern w:val="2"/>
        </w:rPr>
        <w:t xml:space="preserve">Apskaičiuojant sekančių eilių gydymo kaštus Pareiškėjas vadovaujasi FLAURA2 klinikinio tyrimo metu stebėtu VP pasiskirstymu, Tarnyba sutinka, tačiau vertina kitus scenarijus, kai abiejose grupėse pasiskirstymas panašus bei </w:t>
      </w:r>
      <w:r w:rsidRPr="00F37B9B">
        <w:rPr>
          <w:rFonts w:eastAsia="Arial"/>
        </w:rPr>
        <w:t>atezolizumabas ir afatinibas turi sudarytas PGS sutartis, todėl KNA įtraukiami su konfidencialiomis kainomis (su nuolaida). Paminėtina, kad afatinibo indikacija pagal kuri</w:t>
      </w:r>
      <w:r w:rsidR="00EB5383">
        <w:rPr>
          <w:rFonts w:eastAsia="Arial"/>
        </w:rPr>
        <w:t>ą</w:t>
      </w:r>
      <w:r w:rsidRPr="00F37B9B">
        <w:rPr>
          <w:rFonts w:eastAsia="Arial"/>
        </w:rPr>
        <w:t xml:space="preserve"> yra kompensuojamas neatitinka sekančių eilių gydymui taikomų prielaidų (1 L) bei biologinės terapijos kriterijaus („</w:t>
      </w:r>
      <w:r w:rsidRPr="00307C67">
        <w:t>s</w:t>
      </w:r>
      <w:r w:rsidRPr="00F37B9B">
        <w:t xml:space="preserve">kiriamas, nustačius EAFR tirozinkinazę aktyvinančias mutacijas, </w:t>
      </w:r>
      <w:r w:rsidRPr="00F37B9B">
        <w:lastRenderedPageBreak/>
        <w:t xml:space="preserve">pacientams, sergantiems lokaliai išplitusiu ar metastazavusiu NSLPV, kuriems chemoterapija, biologinė ar imunologinė terapija </w:t>
      </w:r>
      <w:r w:rsidRPr="00F37B9B">
        <w:rPr>
          <w:u w:val="single"/>
        </w:rPr>
        <w:t>dar nebuvo taikyta”</w:t>
      </w:r>
      <w:r w:rsidRPr="00F37B9B">
        <w:t>)</w:t>
      </w:r>
      <w:r w:rsidRPr="00307C67">
        <w:t>. Tarnyba vertina scenarijų, kai afatinibo kaštai sekančių eilių gydyme yra neįtraukiami, esminės įtakos ICER neturi.</w:t>
      </w:r>
    </w:p>
    <w:p w14:paraId="7CF54B96" w14:textId="25FA9FE3" w:rsidR="00B84669" w:rsidRDefault="00B84669" w:rsidP="00BF0466">
      <w:pPr>
        <w:spacing w:line="276" w:lineRule="auto"/>
        <w:ind w:firstLine="360"/>
        <w:jc w:val="both"/>
      </w:pPr>
    </w:p>
    <w:p w14:paraId="712C6F60" w14:textId="77777777" w:rsidR="00B84669" w:rsidRPr="000203E1" w:rsidRDefault="00B84669" w:rsidP="00B84669">
      <w:pPr>
        <w:tabs>
          <w:tab w:val="left" w:pos="426"/>
        </w:tabs>
        <w:rPr>
          <w:b/>
          <w:lang w:eastAsia="lt-LT"/>
        </w:rPr>
      </w:pPr>
      <w:r>
        <w:rPr>
          <w:b/>
          <w:lang w:eastAsia="lt-LT"/>
        </w:rPr>
        <w:t xml:space="preserve">3.1 </w:t>
      </w:r>
      <w:r w:rsidRPr="000203E1">
        <w:rPr>
          <w:b/>
          <w:lang w:eastAsia="lt-LT"/>
        </w:rPr>
        <w:t>Ekonominės analizės rezultatas</w:t>
      </w:r>
    </w:p>
    <w:p w14:paraId="50B9ADC2" w14:textId="77777777" w:rsidR="00B84669" w:rsidRPr="000203E1" w:rsidRDefault="00B84669" w:rsidP="00B84669">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B84669" w:rsidRPr="000203E1" w14:paraId="3F755CB7" w14:textId="77777777" w:rsidTr="00671E76">
        <w:trPr>
          <w:trHeight w:val="344"/>
          <w:jc w:val="center"/>
        </w:trPr>
        <w:tc>
          <w:tcPr>
            <w:tcW w:w="9439" w:type="dxa"/>
            <w:gridSpan w:val="2"/>
            <w:tcBorders>
              <w:top w:val="single" w:sz="12" w:space="0" w:color="auto"/>
              <w:left w:val="single" w:sz="4" w:space="0" w:color="auto"/>
              <w:right w:val="single" w:sz="4" w:space="0" w:color="auto"/>
            </w:tcBorders>
            <w:vAlign w:val="center"/>
          </w:tcPr>
          <w:p w14:paraId="7E4BDD4A" w14:textId="77777777" w:rsidR="00B84669" w:rsidRPr="000203E1" w:rsidRDefault="00B84669" w:rsidP="00671E76">
            <w:pPr>
              <w:tabs>
                <w:tab w:val="left" w:pos="567"/>
              </w:tabs>
              <w:jc w:val="center"/>
              <w:rPr>
                <w:b/>
                <w:bCs/>
                <w:sz w:val="26"/>
                <w:szCs w:val="26"/>
                <w:lang w:eastAsia="lt-LT"/>
              </w:rPr>
            </w:pPr>
            <w:r w:rsidRPr="000203E1">
              <w:rPr>
                <w:b/>
                <w:bCs/>
                <w:sz w:val="26"/>
                <w:szCs w:val="26"/>
                <w:lang w:eastAsia="lt-LT"/>
              </w:rPr>
              <w:t>Rezultatai</w:t>
            </w:r>
          </w:p>
        </w:tc>
      </w:tr>
      <w:tr w:rsidR="00B84669" w:rsidRPr="000203E1" w14:paraId="48CE06B0" w14:textId="77777777" w:rsidTr="00671E76">
        <w:trPr>
          <w:trHeight w:val="267"/>
          <w:jc w:val="center"/>
        </w:trPr>
        <w:tc>
          <w:tcPr>
            <w:tcW w:w="6200" w:type="dxa"/>
            <w:tcBorders>
              <w:left w:val="single" w:sz="4" w:space="0" w:color="auto"/>
            </w:tcBorders>
          </w:tcPr>
          <w:p w14:paraId="1472A3A3" w14:textId="77777777" w:rsidR="00B84669" w:rsidRPr="000203E1" w:rsidRDefault="00B84669" w:rsidP="00671E76">
            <w:pPr>
              <w:tabs>
                <w:tab w:val="left" w:pos="567"/>
              </w:tabs>
              <w:jc w:val="right"/>
              <w:rPr>
                <w:iCs/>
                <w:lang w:eastAsia="lt-LT"/>
              </w:rPr>
            </w:pPr>
            <w:r w:rsidRPr="000203E1">
              <w:rPr>
                <w:iCs/>
                <w:lang w:eastAsia="lt-LT"/>
              </w:rPr>
              <w:t>Kaštų skirtumas</w:t>
            </w:r>
          </w:p>
        </w:tc>
        <w:tc>
          <w:tcPr>
            <w:tcW w:w="3239" w:type="dxa"/>
            <w:tcBorders>
              <w:right w:val="single" w:sz="4" w:space="0" w:color="auto"/>
            </w:tcBorders>
          </w:tcPr>
          <w:p w14:paraId="0CFC5ED0" w14:textId="049F22FF" w:rsidR="00B84669" w:rsidRPr="000203E1" w:rsidRDefault="008621E6" w:rsidP="00671E76">
            <w:pPr>
              <w:tabs>
                <w:tab w:val="left" w:pos="567"/>
              </w:tabs>
              <w:jc w:val="both"/>
              <w:rPr>
                <w:i/>
                <w:iCs/>
                <w:lang w:eastAsia="lt-LT"/>
              </w:rPr>
            </w:pPr>
            <w:r>
              <w:t>***</w:t>
            </w:r>
            <w:r w:rsidR="00B84669">
              <w:t xml:space="preserve"> Eur.</w:t>
            </w:r>
          </w:p>
        </w:tc>
      </w:tr>
      <w:tr w:rsidR="00B84669" w:rsidRPr="000203E1" w14:paraId="1DF00942" w14:textId="77777777" w:rsidTr="00671E76">
        <w:trPr>
          <w:trHeight w:val="267"/>
          <w:jc w:val="center"/>
        </w:trPr>
        <w:tc>
          <w:tcPr>
            <w:tcW w:w="6200" w:type="dxa"/>
            <w:tcBorders>
              <w:left w:val="single" w:sz="4" w:space="0" w:color="auto"/>
            </w:tcBorders>
          </w:tcPr>
          <w:p w14:paraId="22E35F76" w14:textId="77777777" w:rsidR="00B84669" w:rsidRPr="000203E1" w:rsidRDefault="00B84669" w:rsidP="00671E76">
            <w:pPr>
              <w:tabs>
                <w:tab w:val="left" w:pos="567"/>
              </w:tabs>
              <w:jc w:val="right"/>
              <w:rPr>
                <w:iCs/>
                <w:lang w:eastAsia="lt-LT"/>
              </w:rPr>
            </w:pPr>
            <w:r w:rsidRPr="000203E1">
              <w:rPr>
                <w:iCs/>
                <w:lang w:eastAsia="lt-LT"/>
              </w:rPr>
              <w:t>Papildomi gyvenimo metai (LY)</w:t>
            </w:r>
          </w:p>
        </w:tc>
        <w:tc>
          <w:tcPr>
            <w:tcW w:w="3239" w:type="dxa"/>
            <w:tcBorders>
              <w:right w:val="single" w:sz="4" w:space="0" w:color="auto"/>
            </w:tcBorders>
          </w:tcPr>
          <w:p w14:paraId="07D1FD53" w14:textId="091DDE44" w:rsidR="00B84669" w:rsidRPr="00BA2FB7" w:rsidRDefault="008621E6" w:rsidP="00671E76">
            <w:pPr>
              <w:jc w:val="both"/>
            </w:pPr>
            <w:r>
              <w:t>***</w:t>
            </w:r>
          </w:p>
        </w:tc>
      </w:tr>
      <w:tr w:rsidR="00B84669" w:rsidRPr="000203E1" w14:paraId="5604299F" w14:textId="77777777" w:rsidTr="00671E76">
        <w:trPr>
          <w:trHeight w:val="267"/>
          <w:jc w:val="center"/>
        </w:trPr>
        <w:tc>
          <w:tcPr>
            <w:tcW w:w="6200" w:type="dxa"/>
            <w:tcBorders>
              <w:left w:val="single" w:sz="4" w:space="0" w:color="auto"/>
            </w:tcBorders>
          </w:tcPr>
          <w:p w14:paraId="1C9FF3FB" w14:textId="77777777" w:rsidR="00B84669" w:rsidRPr="000203E1" w:rsidRDefault="00B84669" w:rsidP="00671E76">
            <w:pPr>
              <w:tabs>
                <w:tab w:val="left" w:pos="567"/>
              </w:tabs>
              <w:jc w:val="right"/>
              <w:rPr>
                <w:iCs/>
                <w:lang w:eastAsia="lt-LT"/>
              </w:rPr>
            </w:pPr>
            <w:r w:rsidRPr="000203E1">
              <w:rPr>
                <w:iCs/>
                <w:lang w:eastAsia="lt-LT"/>
              </w:rPr>
              <w:t>Papildomi kokybiški gyvenimo metai (QALY)</w:t>
            </w:r>
          </w:p>
        </w:tc>
        <w:tc>
          <w:tcPr>
            <w:tcW w:w="3239" w:type="dxa"/>
            <w:tcBorders>
              <w:right w:val="single" w:sz="4" w:space="0" w:color="auto"/>
            </w:tcBorders>
          </w:tcPr>
          <w:p w14:paraId="3F5FB734" w14:textId="32339A40" w:rsidR="00B84669" w:rsidRPr="00B84669" w:rsidRDefault="008621E6" w:rsidP="00B84669">
            <w:pPr>
              <w:jc w:val="both"/>
            </w:pPr>
            <w:r>
              <w:t>***</w:t>
            </w:r>
          </w:p>
        </w:tc>
      </w:tr>
      <w:tr w:rsidR="00B84669" w:rsidRPr="000203E1" w14:paraId="5B864D17" w14:textId="77777777" w:rsidTr="00671E76">
        <w:trPr>
          <w:trHeight w:val="267"/>
          <w:jc w:val="center"/>
        </w:trPr>
        <w:tc>
          <w:tcPr>
            <w:tcW w:w="6200" w:type="dxa"/>
            <w:tcBorders>
              <w:left w:val="single" w:sz="4" w:space="0" w:color="auto"/>
            </w:tcBorders>
          </w:tcPr>
          <w:p w14:paraId="78BD8988" w14:textId="77777777" w:rsidR="00B84669" w:rsidRPr="000203E1" w:rsidRDefault="00B84669" w:rsidP="00B84669">
            <w:pPr>
              <w:tabs>
                <w:tab w:val="left" w:pos="567"/>
              </w:tabs>
              <w:jc w:val="right"/>
              <w:rPr>
                <w:iCs/>
                <w:lang w:eastAsia="lt-LT"/>
              </w:rPr>
            </w:pPr>
            <w:r w:rsidRPr="000203E1">
              <w:rPr>
                <w:iCs/>
                <w:lang w:eastAsia="lt-LT"/>
              </w:rPr>
              <w:t>ICER už LY</w:t>
            </w:r>
          </w:p>
        </w:tc>
        <w:tc>
          <w:tcPr>
            <w:tcW w:w="3239" w:type="dxa"/>
            <w:tcBorders>
              <w:right w:val="single" w:sz="4" w:space="0" w:color="auto"/>
            </w:tcBorders>
          </w:tcPr>
          <w:p w14:paraId="1A521F45" w14:textId="2FF6DDBF" w:rsidR="00B84669" w:rsidRPr="000203E1" w:rsidRDefault="008621E6" w:rsidP="00B84669">
            <w:pPr>
              <w:tabs>
                <w:tab w:val="left" w:pos="567"/>
              </w:tabs>
              <w:jc w:val="both"/>
              <w:rPr>
                <w:i/>
                <w:iCs/>
                <w:lang w:eastAsia="lt-LT"/>
              </w:rPr>
            </w:pPr>
            <w:r>
              <w:t xml:space="preserve">*** </w:t>
            </w:r>
            <w:r w:rsidR="00B84669" w:rsidRPr="002454D7">
              <w:t xml:space="preserve"> Eur./LYs</w:t>
            </w:r>
          </w:p>
        </w:tc>
      </w:tr>
      <w:tr w:rsidR="00B84669" w:rsidRPr="000203E1" w14:paraId="66287619" w14:textId="77777777" w:rsidTr="00671E76">
        <w:trPr>
          <w:trHeight w:val="267"/>
          <w:jc w:val="center"/>
        </w:trPr>
        <w:tc>
          <w:tcPr>
            <w:tcW w:w="6200" w:type="dxa"/>
            <w:tcBorders>
              <w:left w:val="single" w:sz="4" w:space="0" w:color="auto"/>
            </w:tcBorders>
          </w:tcPr>
          <w:p w14:paraId="4A485FF2" w14:textId="77777777" w:rsidR="00B84669" w:rsidRPr="000203E1" w:rsidRDefault="00B84669" w:rsidP="00B84669">
            <w:pPr>
              <w:tabs>
                <w:tab w:val="left" w:pos="567"/>
              </w:tabs>
              <w:jc w:val="right"/>
              <w:rPr>
                <w:iCs/>
                <w:lang w:eastAsia="lt-LT"/>
              </w:rPr>
            </w:pPr>
            <w:r w:rsidRPr="000203E1">
              <w:rPr>
                <w:iCs/>
                <w:lang w:eastAsia="lt-LT"/>
              </w:rPr>
              <w:t>ICER už QALY</w:t>
            </w:r>
          </w:p>
        </w:tc>
        <w:tc>
          <w:tcPr>
            <w:tcW w:w="3239" w:type="dxa"/>
            <w:tcBorders>
              <w:right w:val="single" w:sz="4" w:space="0" w:color="auto"/>
            </w:tcBorders>
          </w:tcPr>
          <w:p w14:paraId="559592AA" w14:textId="69C09A4A" w:rsidR="00B84669" w:rsidRPr="000203E1" w:rsidRDefault="008621E6" w:rsidP="00B84669">
            <w:pPr>
              <w:tabs>
                <w:tab w:val="left" w:pos="567"/>
              </w:tabs>
              <w:jc w:val="both"/>
              <w:rPr>
                <w:i/>
                <w:iCs/>
                <w:lang w:eastAsia="lt-LT"/>
              </w:rPr>
            </w:pPr>
            <w:r>
              <w:t xml:space="preserve">*** </w:t>
            </w:r>
            <w:r w:rsidR="00B84669" w:rsidRPr="002454D7">
              <w:t>Eur./QALY</w:t>
            </w:r>
          </w:p>
        </w:tc>
      </w:tr>
      <w:tr w:rsidR="00B84669" w:rsidRPr="000203E1" w14:paraId="65AC09E4" w14:textId="77777777" w:rsidTr="00671E76">
        <w:trPr>
          <w:trHeight w:val="267"/>
          <w:jc w:val="center"/>
        </w:trPr>
        <w:tc>
          <w:tcPr>
            <w:tcW w:w="6200" w:type="dxa"/>
            <w:tcBorders>
              <w:left w:val="single" w:sz="4" w:space="0" w:color="auto"/>
              <w:bottom w:val="single" w:sz="4" w:space="0" w:color="auto"/>
              <w:right w:val="single" w:sz="4" w:space="0" w:color="auto"/>
            </w:tcBorders>
          </w:tcPr>
          <w:p w14:paraId="39477DF7" w14:textId="77777777" w:rsidR="00B84669" w:rsidRPr="000203E1" w:rsidRDefault="00B84669" w:rsidP="00B84669">
            <w:pPr>
              <w:tabs>
                <w:tab w:val="left" w:pos="567"/>
              </w:tabs>
              <w:jc w:val="right"/>
              <w:rPr>
                <w:iCs/>
                <w:lang w:eastAsia="lt-LT"/>
              </w:rPr>
            </w:pPr>
            <w:r>
              <w:rPr>
                <w:iCs/>
                <w:lang w:eastAsia="lt-LT"/>
              </w:rPr>
              <w:t>Referenc</w:t>
            </w:r>
            <w:r w:rsidRPr="000203E1">
              <w:rPr>
                <w:iCs/>
                <w:lang w:eastAsia="lt-LT"/>
              </w:rPr>
              <w:t>inė kaštų naudingumo vertė</w:t>
            </w:r>
          </w:p>
        </w:tc>
        <w:tc>
          <w:tcPr>
            <w:tcW w:w="3239" w:type="dxa"/>
            <w:tcBorders>
              <w:left w:val="single" w:sz="4" w:space="0" w:color="auto"/>
              <w:bottom w:val="single" w:sz="4" w:space="0" w:color="auto"/>
              <w:right w:val="single" w:sz="4" w:space="0" w:color="auto"/>
            </w:tcBorders>
          </w:tcPr>
          <w:p w14:paraId="06B84141" w14:textId="25D09672" w:rsidR="00B84669" w:rsidRPr="000203E1" w:rsidRDefault="008621E6" w:rsidP="00B84669">
            <w:pPr>
              <w:tabs>
                <w:tab w:val="left" w:pos="567"/>
              </w:tabs>
              <w:jc w:val="both"/>
              <w:rPr>
                <w:i/>
                <w:iCs/>
                <w:lang w:eastAsia="lt-LT"/>
              </w:rPr>
            </w:pPr>
            <w:r>
              <w:t xml:space="preserve">*** </w:t>
            </w:r>
            <w:r w:rsidR="00B84669" w:rsidRPr="002454D7">
              <w:rPr>
                <w:i/>
                <w:iCs/>
                <w:lang w:eastAsia="lt-LT"/>
              </w:rPr>
              <w:t xml:space="preserve"> Eur.</w:t>
            </w:r>
          </w:p>
        </w:tc>
      </w:tr>
    </w:tbl>
    <w:p w14:paraId="14046146" w14:textId="77777777" w:rsidR="00B84669" w:rsidRPr="000203E1" w:rsidRDefault="00B84669" w:rsidP="00B84669">
      <w:pPr>
        <w:tabs>
          <w:tab w:val="left" w:pos="567"/>
        </w:tabs>
        <w:jc w:val="both"/>
        <w:rPr>
          <w:iCs/>
          <w:sz w:val="20"/>
          <w:lang w:eastAsia="lt-LT"/>
        </w:rPr>
      </w:pPr>
      <w:r w:rsidRPr="000203E1">
        <w:rPr>
          <w:iCs/>
          <w:sz w:val="20"/>
          <w:lang w:eastAsia="lt-LT"/>
        </w:rPr>
        <w:t>ICER – (</w:t>
      </w:r>
      <w:r w:rsidRPr="000203E1">
        <w:rPr>
          <w:i/>
          <w:sz w:val="20"/>
          <w:lang w:eastAsia="lt-LT"/>
        </w:rPr>
        <w:t>angl. incremental cost-effectiveness ratio</w:t>
      </w:r>
      <w:r w:rsidRPr="000203E1">
        <w:rPr>
          <w:iCs/>
          <w:sz w:val="20"/>
          <w:lang w:eastAsia="lt-LT"/>
        </w:rPr>
        <w:t>) inkrementinis kaštų naudingumo koeficientas; LY – (</w:t>
      </w:r>
      <w:r w:rsidRPr="000203E1">
        <w:rPr>
          <w:i/>
          <w:sz w:val="20"/>
          <w:lang w:eastAsia="lt-LT"/>
        </w:rPr>
        <w:t>angl. life years</w:t>
      </w:r>
      <w:r w:rsidRPr="000203E1">
        <w:rPr>
          <w:iCs/>
          <w:sz w:val="20"/>
          <w:lang w:eastAsia="lt-LT"/>
        </w:rPr>
        <w:t>) gyvenimo metai; QALY- (</w:t>
      </w:r>
      <w:r w:rsidRPr="000203E1">
        <w:rPr>
          <w:i/>
          <w:sz w:val="20"/>
          <w:lang w:eastAsia="lt-LT"/>
        </w:rPr>
        <w:t xml:space="preserve">angl. quality adjusted life years) </w:t>
      </w:r>
      <w:r w:rsidRPr="000203E1">
        <w:rPr>
          <w:iCs/>
          <w:sz w:val="20"/>
          <w:lang w:eastAsia="lt-LT"/>
        </w:rPr>
        <w:t>kokybiški gyvenimo metai.</w:t>
      </w:r>
    </w:p>
    <w:p w14:paraId="1AD49D1C" w14:textId="77777777" w:rsidR="00B84669" w:rsidRDefault="00B84669" w:rsidP="00BF0466">
      <w:pPr>
        <w:spacing w:line="276" w:lineRule="auto"/>
        <w:ind w:firstLine="360"/>
        <w:jc w:val="both"/>
        <w:rPr>
          <w:rFonts w:eastAsia="CIDFont+F2"/>
        </w:rPr>
      </w:pPr>
    </w:p>
    <w:p w14:paraId="77AA30E2" w14:textId="6B8B32A9" w:rsidR="00BF0466" w:rsidRPr="00BF0466" w:rsidRDefault="00BF0466" w:rsidP="00BF0466">
      <w:pPr>
        <w:spacing w:line="276" w:lineRule="auto"/>
        <w:ind w:firstLine="360"/>
        <w:jc w:val="both"/>
        <w:rPr>
          <w:rFonts w:eastAsia="CIDFont+F2"/>
        </w:rPr>
      </w:pPr>
      <w:r w:rsidRPr="00AD6E81">
        <w:rPr>
          <w:rFonts w:eastAsia="Arial"/>
        </w:rPr>
        <w:t>Iš ekonominės a</w:t>
      </w:r>
      <w:r>
        <w:rPr>
          <w:rFonts w:eastAsia="Arial"/>
        </w:rPr>
        <w:t>nalizės rezultatų matyti, kad osimertini</w:t>
      </w:r>
      <w:r w:rsidRPr="00AD6E81">
        <w:rPr>
          <w:rFonts w:eastAsia="Arial"/>
        </w:rPr>
        <w:t>bą</w:t>
      </w:r>
      <w:r>
        <w:rPr>
          <w:rFonts w:eastAsia="Arial"/>
        </w:rPr>
        <w:t>+chemo</w:t>
      </w:r>
      <w:r w:rsidRPr="00AD6E81">
        <w:rPr>
          <w:rFonts w:eastAsia="Arial"/>
        </w:rPr>
        <w:t xml:space="preserve"> lyginant su įprastiniu gydymu (</w:t>
      </w:r>
      <w:r>
        <w:rPr>
          <w:rFonts w:eastAsia="Arial"/>
        </w:rPr>
        <w:t>osimertinibu monoterapija</w:t>
      </w:r>
      <w:r w:rsidRPr="00AD6E81">
        <w:rPr>
          <w:rFonts w:eastAsia="Arial"/>
        </w:rPr>
        <w:t>) sveikatai sukuriama papildoma na</w:t>
      </w:r>
      <w:r>
        <w:rPr>
          <w:rFonts w:eastAsia="Arial"/>
        </w:rPr>
        <w:t xml:space="preserve">uda (inkrementiniai QALYS) – </w:t>
      </w:r>
      <w:r w:rsidR="008621E6">
        <w:t>***</w:t>
      </w:r>
      <w:r w:rsidRPr="00AD6E81">
        <w:rPr>
          <w:rFonts w:eastAsia="Arial"/>
        </w:rPr>
        <w:t xml:space="preserve">, </w:t>
      </w:r>
      <w:r w:rsidRPr="00AD6E81">
        <w:t xml:space="preserve">o gydymo </w:t>
      </w:r>
      <w:r>
        <w:t>osimertinibu derinyje su pemetreksedu ir platinos chemoterapija</w:t>
      </w:r>
      <w:r w:rsidRPr="00AD6E81">
        <w:t xml:space="preserve"> kaštai yra </w:t>
      </w:r>
      <w:r w:rsidR="008621E6">
        <w:t xml:space="preserve">*** </w:t>
      </w:r>
      <w:r w:rsidRPr="00AD6E81">
        <w:rPr>
          <w:lang w:eastAsia="lt-LT"/>
        </w:rPr>
        <w:t xml:space="preserve">Eur. </w:t>
      </w:r>
      <w:r w:rsidRPr="00AD6E81">
        <w:t>didesni nei standartinio šiuo metu Lietuvoje taikomo gydymo.</w:t>
      </w:r>
      <w:r w:rsidRPr="00AD6E81">
        <w:rPr>
          <w:lang w:eastAsia="lt-LT"/>
        </w:rPr>
        <w:t xml:space="preserve"> Apskaičiuotas ICER – </w:t>
      </w:r>
      <w:r w:rsidR="008621E6">
        <w:t xml:space="preserve">*** </w:t>
      </w:r>
      <w:r w:rsidRPr="00AD6E81">
        <w:rPr>
          <w:color w:val="000000"/>
        </w:rPr>
        <w:t>Eur./QALY</w:t>
      </w:r>
      <w:r>
        <w:rPr>
          <w:color w:val="000000"/>
          <w:lang w:eastAsia="lt-LT"/>
        </w:rPr>
        <w:t xml:space="preserve"> </w:t>
      </w:r>
      <w:r w:rsidRPr="00AD6E81">
        <w:rPr>
          <w:lang w:eastAsia="lt-LT"/>
        </w:rPr>
        <w:t>atitinka sunkiai ligos naštai taikomą referencinę kaštų naudingumo vertę</w:t>
      </w:r>
      <w:r>
        <w:rPr>
          <w:lang w:eastAsia="lt-LT"/>
        </w:rPr>
        <w:t>.</w:t>
      </w:r>
      <w:r w:rsidR="00BA6429">
        <w:rPr>
          <w:lang w:eastAsia="lt-LT"/>
        </w:rPr>
        <w:t xml:space="preserve"> Jautrumo analizės rezultatai patvirtina, kad modelis tvarus, t.y. keičiant prielaidas</w:t>
      </w:r>
      <w:r w:rsidR="00BA6429">
        <w:rPr>
          <w:color w:val="000000"/>
        </w:rPr>
        <w:t xml:space="preserve"> nei vienu atveju sunkiai ligos naštai taikomas referencinės kaštų naudingumo vertės slenkstis nėra viršijamas.</w:t>
      </w:r>
    </w:p>
    <w:p w14:paraId="6C5DCA70" w14:textId="1EC7B039" w:rsidR="0045089C" w:rsidRPr="00E33EFF" w:rsidRDefault="0045089C" w:rsidP="00A93AA6">
      <w:pPr>
        <w:tabs>
          <w:tab w:val="left" w:pos="426"/>
        </w:tabs>
        <w:rPr>
          <w:b/>
          <w:bCs/>
          <w:caps/>
        </w:rPr>
      </w:pPr>
    </w:p>
    <w:p w14:paraId="4FC424F9" w14:textId="4E767245" w:rsidR="00C62B36" w:rsidRPr="00E33EFF" w:rsidRDefault="00C62B36" w:rsidP="00CC09D4">
      <w:pPr>
        <w:pStyle w:val="ListParagraph"/>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337C8B97" w:rsidR="00937907" w:rsidRPr="00E33EFF"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BE3577">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ListParagraph"/>
        <w:numPr>
          <w:ilvl w:val="0"/>
          <w:numId w:val="12"/>
        </w:numPr>
        <w:tabs>
          <w:tab w:val="left" w:pos="567"/>
        </w:tabs>
        <w:ind w:hanging="720"/>
        <w:rPr>
          <w:b/>
          <w:bCs/>
          <w:caps/>
        </w:rPr>
      </w:pPr>
      <w:r w:rsidRPr="00E33EFF">
        <w:rPr>
          <w:b/>
          <w:bCs/>
          <w:caps/>
        </w:rPr>
        <w:t>Gydytojų organizacijų pateikti duomenys</w:t>
      </w:r>
    </w:p>
    <w:p w14:paraId="389A346C" w14:textId="17184B64" w:rsidR="00937907" w:rsidRPr="00E33EFF"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61EA4D71" w:rsidR="00662983" w:rsidRPr="00E33EFF"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BE3577">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ListParagraph"/>
        <w:numPr>
          <w:ilvl w:val="0"/>
          <w:numId w:val="12"/>
        </w:numPr>
        <w:tabs>
          <w:tab w:val="left" w:pos="567"/>
        </w:tabs>
        <w:ind w:hanging="720"/>
        <w:rPr>
          <w:b/>
          <w:bCs/>
          <w:caps/>
        </w:rPr>
      </w:pPr>
      <w:r w:rsidRPr="00E33EFF">
        <w:rPr>
          <w:b/>
          <w:bCs/>
          <w:caps/>
        </w:rPr>
        <w:t xml:space="preserve">Išvada </w:t>
      </w:r>
    </w:p>
    <w:p w14:paraId="30069D85" w14:textId="77777777" w:rsidR="0061611B" w:rsidRPr="00BF3927" w:rsidRDefault="0061611B" w:rsidP="0061611B">
      <w:pPr>
        <w:ind w:left="360"/>
        <w:rPr>
          <w:i/>
          <w:color w:val="000000" w:themeColor="text1"/>
          <w:szCs w:val="22"/>
        </w:rPr>
      </w:pPr>
    </w:p>
    <w:tbl>
      <w:tblPr>
        <w:tblStyle w:val="TableGrid"/>
        <w:tblW w:w="0" w:type="auto"/>
        <w:tblInd w:w="-5" w:type="dxa"/>
        <w:tblLook w:val="04A0" w:firstRow="1" w:lastRow="0" w:firstColumn="1" w:lastColumn="0" w:noHBand="0" w:noVBand="1"/>
      </w:tblPr>
      <w:tblGrid>
        <w:gridCol w:w="4815"/>
        <w:gridCol w:w="4814"/>
      </w:tblGrid>
      <w:tr w:rsidR="00BA6A88" w:rsidRPr="001A132A" w14:paraId="088B6AEF" w14:textId="77777777" w:rsidTr="00E5611D">
        <w:trPr>
          <w:trHeight w:val="510"/>
        </w:trPr>
        <w:tc>
          <w:tcPr>
            <w:tcW w:w="9629" w:type="dxa"/>
            <w:gridSpan w:val="2"/>
            <w:vAlign w:val="center"/>
          </w:tcPr>
          <w:p w14:paraId="780C3CF5" w14:textId="77777777" w:rsidR="00BA6A88" w:rsidRPr="001A132A"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1A132A">
              <w:rPr>
                <w:rStyle w:val="Style2"/>
                <w:rFonts w:eastAsia="MS Gothic"/>
                <w:b/>
                <w:bCs/>
                <w:sz w:val="23"/>
                <w:szCs w:val="23"/>
              </w:rPr>
              <w:t>Palyginamasis veiksmingumas</w:t>
            </w:r>
          </w:p>
        </w:tc>
      </w:tr>
      <w:tr w:rsidR="00BA6A88" w:rsidRPr="001A132A" w14:paraId="1CBE9111" w14:textId="77777777" w:rsidTr="00E5611D">
        <w:tc>
          <w:tcPr>
            <w:tcW w:w="4815" w:type="dxa"/>
          </w:tcPr>
          <w:p w14:paraId="679203E6" w14:textId="00D0EF04" w:rsidR="00BA6A88" w:rsidRPr="001A132A"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1"/>
                  <w14:checkedState w14:val="2612" w14:font="MS Gothic"/>
                  <w14:uncheckedState w14:val="2610" w14:font="MS Gothic"/>
                </w14:checkbox>
              </w:sdtPr>
              <w:sdtContent>
                <w:r w:rsidR="00DD6247">
                  <w:rPr>
                    <w:rStyle w:val="Style2"/>
                    <w:rFonts w:ascii="MS Gothic" w:eastAsia="MS Gothic" w:hAnsi="MS Gothic" w:hint="eastAsia"/>
                    <w:sz w:val="23"/>
                    <w:szCs w:val="23"/>
                  </w:rPr>
                  <w:t>☒</w:t>
                </w:r>
              </w:sdtContent>
            </w:sdt>
            <w:r w:rsidR="00BA6A88" w:rsidRPr="001A132A">
              <w:rPr>
                <w:rStyle w:val="Style2"/>
                <w:sz w:val="23"/>
                <w:szCs w:val="23"/>
              </w:rPr>
              <w:t xml:space="preserve"> 29</w:t>
            </w:r>
            <w:r w:rsidR="00BA6A88" w:rsidRPr="001A132A">
              <w:rPr>
                <w:sz w:val="23"/>
                <w:szCs w:val="23"/>
              </w:rPr>
              <w:t>.1.1 yra didesnis, lyginant su įprasta klinikine praktika</w:t>
            </w:r>
          </w:p>
          <w:p w14:paraId="67AC8DC8" w14:textId="77777777" w:rsidR="00BA6A88" w:rsidRPr="001A132A"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61C81BD4" w14:textId="43824A57" w:rsidR="00BA6A88" w:rsidRPr="001A132A"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0"/>
                  <w14:checkedState w14:val="2612" w14:font="MS Gothic"/>
                  <w14:uncheckedState w14:val="2610" w14:font="MS Gothic"/>
                </w14:checkbox>
              </w:sdtPr>
              <w:sdtContent>
                <w:r w:rsidR="00347315">
                  <w:rPr>
                    <w:rStyle w:val="Style2"/>
                    <w:rFonts w:ascii="MS Gothic" w:eastAsia="MS Gothic" w:hAnsi="MS Gothic" w:hint="eastAsia"/>
                    <w:sz w:val="23"/>
                    <w:szCs w:val="23"/>
                  </w:rPr>
                  <w:t>☐</w:t>
                </w:r>
              </w:sdtContent>
            </w:sdt>
            <w:r w:rsidR="00BA6A88" w:rsidRPr="001A132A">
              <w:rPr>
                <w:sz w:val="23"/>
                <w:szCs w:val="23"/>
              </w:rPr>
              <w:t xml:space="preserve"> </w:t>
            </w:r>
            <w:r w:rsidR="00BA6A88" w:rsidRPr="001A132A">
              <w:rPr>
                <w:rStyle w:val="Style2"/>
                <w:sz w:val="23"/>
                <w:szCs w:val="23"/>
              </w:rPr>
              <w:t>29</w:t>
            </w:r>
            <w:r w:rsidR="00BA6A88" w:rsidRPr="001A132A">
              <w:rPr>
                <w:sz w:val="23"/>
                <w:szCs w:val="23"/>
              </w:rPr>
              <w:t>.1.2 iš esmės nesiskiria, lyginant su įprasta klinikine praktika</w:t>
            </w:r>
          </w:p>
        </w:tc>
        <w:tc>
          <w:tcPr>
            <w:tcW w:w="4814" w:type="dxa"/>
          </w:tcPr>
          <w:p w14:paraId="54E07C9D" w14:textId="77777777" w:rsidR="00BA6A88" w:rsidRPr="001A132A"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Content>
                <w:r w:rsidR="00BA6A88" w:rsidRPr="001A132A">
                  <w:rPr>
                    <w:rStyle w:val="Style2"/>
                    <w:rFonts w:ascii="Segoe UI Symbol" w:eastAsia="MS Gothic" w:hAnsi="Segoe UI Symbol" w:cs="Segoe UI Symbol"/>
                    <w:sz w:val="23"/>
                    <w:szCs w:val="23"/>
                  </w:rPr>
                  <w:t>☐</w:t>
                </w:r>
              </w:sdtContent>
            </w:sdt>
            <w:r w:rsidR="00BA6A88" w:rsidRPr="001A132A">
              <w:rPr>
                <w:sz w:val="23"/>
                <w:szCs w:val="23"/>
              </w:rPr>
              <w:t xml:space="preserve"> </w:t>
            </w:r>
            <w:r w:rsidR="00BA6A88" w:rsidRPr="001A132A">
              <w:rPr>
                <w:rStyle w:val="Style2"/>
                <w:sz w:val="23"/>
                <w:szCs w:val="23"/>
              </w:rPr>
              <w:t>29</w:t>
            </w:r>
            <w:r w:rsidR="00BA6A88" w:rsidRPr="001A132A">
              <w:rPr>
                <w:sz w:val="23"/>
                <w:szCs w:val="23"/>
              </w:rPr>
              <w:t xml:space="preserve">.1.3 yra neįrodytas kaip didesnis  ar iš esmės nesiskiriantis, lyginant su įprasta klinikine praktika  </w:t>
            </w:r>
          </w:p>
          <w:p w14:paraId="431982C1" w14:textId="77777777" w:rsidR="00BA6A88" w:rsidRPr="001A132A"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44B9F949" w14:textId="77777777" w:rsidR="00BA6A88" w:rsidRPr="001A132A"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Content>
                <w:r w:rsidR="00BA6A88" w:rsidRPr="001A132A">
                  <w:rPr>
                    <w:rStyle w:val="Style2"/>
                    <w:rFonts w:ascii="Segoe UI Symbol" w:eastAsia="MS Gothic" w:hAnsi="Segoe UI Symbol" w:cs="Segoe UI Symbol"/>
                    <w:sz w:val="23"/>
                    <w:szCs w:val="23"/>
                  </w:rPr>
                  <w:t>☐</w:t>
                </w:r>
              </w:sdtContent>
            </w:sdt>
            <w:r w:rsidR="00BA6A88" w:rsidRPr="001A132A">
              <w:rPr>
                <w:sz w:val="23"/>
                <w:szCs w:val="23"/>
              </w:rPr>
              <w:t xml:space="preserve"> </w:t>
            </w:r>
            <w:r w:rsidR="00BA6A88" w:rsidRPr="001A132A">
              <w:rPr>
                <w:rStyle w:val="Style2"/>
                <w:sz w:val="23"/>
                <w:szCs w:val="23"/>
              </w:rPr>
              <w:t>29</w:t>
            </w:r>
            <w:r w:rsidR="00BA6A88" w:rsidRPr="001A132A">
              <w:rPr>
                <w:sz w:val="23"/>
                <w:szCs w:val="23"/>
              </w:rPr>
              <w:t>.1.4 yra mažesnis, lyginant su įprasta klinikine praktika</w:t>
            </w:r>
          </w:p>
          <w:p w14:paraId="2D9D30D3" w14:textId="77777777" w:rsidR="00BA6A88" w:rsidRPr="001A132A"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0266D730" w14:textId="77777777" w:rsidR="00BA6A88" w:rsidRPr="001A132A"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Content>
                <w:r w:rsidR="00BA6A88" w:rsidRPr="001A132A">
                  <w:rPr>
                    <w:rStyle w:val="Style2"/>
                    <w:rFonts w:ascii="Segoe UI Symbol" w:eastAsia="MS Gothic" w:hAnsi="Segoe UI Symbol" w:cs="Segoe UI Symbol"/>
                    <w:sz w:val="23"/>
                    <w:szCs w:val="23"/>
                  </w:rPr>
                  <w:t>☐</w:t>
                </w:r>
              </w:sdtContent>
            </w:sdt>
            <w:r w:rsidR="00BA6A88" w:rsidRPr="001A132A">
              <w:rPr>
                <w:sz w:val="23"/>
                <w:szCs w:val="23"/>
              </w:rPr>
              <w:t xml:space="preserve">  </w:t>
            </w:r>
            <w:r w:rsidR="00BA6A88" w:rsidRPr="001A132A">
              <w:rPr>
                <w:rStyle w:val="Style2"/>
                <w:sz w:val="23"/>
                <w:szCs w:val="23"/>
              </w:rPr>
              <w:t>29</w:t>
            </w:r>
            <w:r w:rsidR="00BA6A88" w:rsidRPr="001A132A">
              <w:rPr>
                <w:sz w:val="23"/>
                <w:szCs w:val="23"/>
              </w:rPr>
              <w:t>.1.5 pateikti duomenys apie palyginamąjį veiksmingumą yra netinkami vertinti</w:t>
            </w:r>
          </w:p>
          <w:p w14:paraId="3E59F952" w14:textId="77777777" w:rsidR="00BA6A88" w:rsidRPr="001A132A"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bl>
    <w:tbl>
      <w:tblPr>
        <w:tblStyle w:val="Keymessagesbox1"/>
        <w:tblW w:w="0" w:type="auto"/>
        <w:tblInd w:w="-5" w:type="dxa"/>
        <w:tblLook w:val="04A0" w:firstRow="1" w:lastRow="0" w:firstColumn="1" w:lastColumn="0" w:noHBand="0" w:noVBand="1"/>
      </w:tblPr>
      <w:tblGrid>
        <w:gridCol w:w="4820"/>
        <w:gridCol w:w="4814"/>
      </w:tblGrid>
      <w:tr w:rsidR="00BA6A88" w:rsidRPr="001A132A" w14:paraId="000B8E34" w14:textId="77777777" w:rsidTr="00E5611D">
        <w:trPr>
          <w:trHeight w:val="510"/>
        </w:trPr>
        <w:tc>
          <w:tcPr>
            <w:tcW w:w="9634" w:type="dxa"/>
            <w:gridSpan w:val="2"/>
            <w:vAlign w:val="center"/>
          </w:tcPr>
          <w:p w14:paraId="52DCEA0B" w14:textId="77777777" w:rsidR="00BA6A88" w:rsidRPr="001A132A"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1A132A">
              <w:rPr>
                <w:rStyle w:val="Style2"/>
                <w:rFonts w:eastAsia="MS Gothic"/>
                <w:b/>
                <w:bCs/>
                <w:sz w:val="23"/>
                <w:szCs w:val="23"/>
              </w:rPr>
              <w:lastRenderedPageBreak/>
              <w:t>Kaštų naudingumas</w:t>
            </w:r>
          </w:p>
        </w:tc>
      </w:tr>
      <w:tr w:rsidR="00BA6A88" w:rsidRPr="001A132A" w14:paraId="629A7D04" w14:textId="77777777" w:rsidTr="00E5611D">
        <w:tc>
          <w:tcPr>
            <w:tcW w:w="4820" w:type="dxa"/>
          </w:tcPr>
          <w:p w14:paraId="565B0B13" w14:textId="2EAB0327" w:rsidR="00BA6A88" w:rsidRPr="001A132A"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1"/>
                  <w14:checkedState w14:val="2612" w14:font="MS Gothic"/>
                  <w14:uncheckedState w14:val="2610" w14:font="MS Gothic"/>
                </w14:checkbox>
              </w:sdtPr>
              <w:sdtContent>
                <w:r w:rsidR="00A65267">
                  <w:rPr>
                    <w:rStyle w:val="Style2"/>
                    <w:rFonts w:ascii="MS Gothic" w:eastAsia="MS Gothic" w:hAnsi="MS Gothic" w:hint="eastAsia"/>
                    <w:sz w:val="23"/>
                    <w:szCs w:val="23"/>
                  </w:rPr>
                  <w:t>☒</w:t>
                </w:r>
              </w:sdtContent>
            </w:sdt>
            <w:r w:rsidR="00BA6A88" w:rsidRPr="001A132A">
              <w:rPr>
                <w:sz w:val="23"/>
                <w:szCs w:val="23"/>
              </w:rPr>
              <w:t xml:space="preserve"> 29.2.1 atitinka referencinę naudingumo vertę taikant arba netaikant</w:t>
            </w:r>
            <w:r w:rsidR="00BA6A88" w:rsidRPr="001A132A">
              <w:rPr>
                <w:b/>
                <w:bCs/>
                <w:sz w:val="23"/>
                <w:szCs w:val="23"/>
              </w:rPr>
              <w:t> </w:t>
            </w:r>
            <w:r w:rsidR="00BA6A88" w:rsidRPr="001A132A">
              <w:rPr>
                <w:sz w:val="23"/>
                <w:szCs w:val="23"/>
              </w:rPr>
              <w:t>PGS</w:t>
            </w:r>
          </w:p>
          <w:p w14:paraId="7DC4BBDB" w14:textId="77777777" w:rsidR="00BA6A88" w:rsidRPr="001A132A"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7F67B3DF" w14:textId="77777777" w:rsidR="00BA6A88" w:rsidRPr="001A132A"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sdt>
              <w:sdtPr>
                <w:rPr>
                  <w:rStyle w:val="Style2"/>
                  <w:sz w:val="23"/>
                  <w:szCs w:val="23"/>
                </w:rPr>
                <w:id w:val="865947106"/>
                <w15:color w:val="FFCC00"/>
                <w14:checkbox>
                  <w14:checked w14:val="0"/>
                  <w14:checkedState w14:val="2612" w14:font="MS Gothic"/>
                  <w14:uncheckedState w14:val="2610" w14:font="MS Gothic"/>
                </w14:checkbox>
              </w:sdtPr>
              <w:sdtContent>
                <w:r w:rsidR="00BA6A88" w:rsidRPr="001A132A">
                  <w:rPr>
                    <w:rStyle w:val="Style2"/>
                    <w:rFonts w:ascii="Segoe UI Symbol" w:eastAsia="MS Gothic" w:hAnsi="Segoe UI Symbol" w:cs="Segoe UI Symbol"/>
                    <w:sz w:val="23"/>
                    <w:szCs w:val="23"/>
                  </w:rPr>
                  <w:t>☐</w:t>
                </w:r>
              </w:sdtContent>
            </w:sdt>
            <w:r w:rsidR="00BA6A88" w:rsidRPr="001A132A">
              <w:rPr>
                <w:sz w:val="23"/>
                <w:szCs w:val="23"/>
              </w:rPr>
              <w:t xml:space="preserve"> 29.2.2 gydymo juo kaštai yra mažesni ar tokie patys esant iš esmės nesiskiriančiam palyginamajam efektyvumui, taikant arba netaikant  PGS</w:t>
            </w:r>
          </w:p>
        </w:tc>
        <w:tc>
          <w:tcPr>
            <w:tcW w:w="4814" w:type="dxa"/>
          </w:tcPr>
          <w:p w14:paraId="486C60D5" w14:textId="77777777" w:rsidR="00BA6A88" w:rsidRPr="001A132A"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0"/>
                  <w14:checkedState w14:val="2612" w14:font="MS Gothic"/>
                  <w14:uncheckedState w14:val="2610" w14:font="MS Gothic"/>
                </w14:checkbox>
              </w:sdtPr>
              <w:sdtContent>
                <w:r w:rsidR="00BA6A88" w:rsidRPr="001A132A">
                  <w:rPr>
                    <w:rStyle w:val="Style2"/>
                    <w:rFonts w:ascii="Segoe UI Symbol" w:eastAsia="MS Gothic" w:hAnsi="Segoe UI Symbol" w:cs="Segoe UI Symbol"/>
                    <w:sz w:val="23"/>
                    <w:szCs w:val="23"/>
                  </w:rPr>
                  <w:t>☐</w:t>
                </w:r>
              </w:sdtContent>
            </w:sdt>
            <w:r w:rsidR="00BA6A88" w:rsidRPr="001A132A">
              <w:rPr>
                <w:sz w:val="23"/>
                <w:szCs w:val="23"/>
              </w:rPr>
              <w:t xml:space="preserve"> 29.2.3 neatitinka referencinės naudingumo vertės taikant arba netaikant PGS</w:t>
            </w:r>
          </w:p>
          <w:p w14:paraId="00CB97BC" w14:textId="77777777" w:rsidR="00BA6A88" w:rsidRPr="001A132A"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1D88BE4C" w14:textId="795E94B9" w:rsidR="00BA6A88" w:rsidRPr="001A132A"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1118650590"/>
                <w15:color w:val="FFCC00"/>
                <w14:checkbox>
                  <w14:checked w14:val="0"/>
                  <w14:checkedState w14:val="2612" w14:font="MS Gothic"/>
                  <w14:uncheckedState w14:val="2610" w14:font="MS Gothic"/>
                </w14:checkbox>
              </w:sdtPr>
              <w:sdtContent>
                <w:r w:rsidR="00BE3577">
                  <w:rPr>
                    <w:rStyle w:val="Style2"/>
                    <w:rFonts w:ascii="MS Gothic" w:eastAsia="MS Gothic" w:hAnsi="MS Gothic" w:hint="eastAsia"/>
                    <w:sz w:val="23"/>
                    <w:szCs w:val="23"/>
                  </w:rPr>
                  <w:t>☐</w:t>
                </w:r>
              </w:sdtContent>
            </w:sdt>
            <w:r w:rsidR="00BA6A88" w:rsidRPr="001A132A">
              <w:rPr>
                <w:sz w:val="23"/>
                <w:szCs w:val="23"/>
              </w:rPr>
              <w:t xml:space="preserve"> 29.2.4 gydymo juo kaštai yra didesni esant iš esmės nesiskiriančiam palyginamajam veiksmingumui, taikant arba netaikant PGS</w:t>
            </w:r>
          </w:p>
          <w:p w14:paraId="21F92987" w14:textId="77777777" w:rsidR="00BA6A88" w:rsidRPr="001A132A"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6EBADCB2" w14:textId="77777777" w:rsidR="00BA6A88" w:rsidRPr="001A132A" w:rsidRDefault="00000000"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Content>
                <w:r w:rsidR="00BA6A88" w:rsidRPr="001A132A">
                  <w:rPr>
                    <w:rStyle w:val="Style2"/>
                    <w:rFonts w:ascii="Segoe UI Symbol" w:eastAsia="MS Gothic" w:hAnsi="Segoe UI Symbol" w:cs="Segoe UI Symbol"/>
                    <w:sz w:val="23"/>
                    <w:szCs w:val="23"/>
                  </w:rPr>
                  <w:t>☐</w:t>
                </w:r>
              </w:sdtContent>
            </w:sdt>
            <w:r w:rsidR="00BA6A88" w:rsidRPr="001A132A">
              <w:rPr>
                <w:sz w:val="23"/>
                <w:szCs w:val="23"/>
              </w:rPr>
              <w:t xml:space="preserve"> 29.2.5 pateikti duomenys apie kaštų naudingumą yra netinkami vertinti</w:t>
            </w:r>
          </w:p>
          <w:p w14:paraId="11B18726" w14:textId="77777777" w:rsidR="00BA6A88" w:rsidRPr="001A132A" w:rsidRDefault="00BA6A88" w:rsidP="00E5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bl>
    <w:p w14:paraId="1B85C083" w14:textId="77777777" w:rsidR="009E44AE" w:rsidRPr="00E33EFF" w:rsidRDefault="009E44AE" w:rsidP="00381024"/>
    <w:p w14:paraId="3B2D1F25" w14:textId="3A80E19F" w:rsidR="000001B0" w:rsidRPr="00DB6819" w:rsidRDefault="000001B0" w:rsidP="00CC09D4">
      <w:pPr>
        <w:pStyle w:val="ListParagraph"/>
        <w:numPr>
          <w:ilvl w:val="0"/>
          <w:numId w:val="12"/>
        </w:numPr>
        <w:ind w:left="567" w:hanging="567"/>
      </w:pPr>
      <w:r w:rsidRPr="00DB6819">
        <w:rPr>
          <w:b/>
        </w:rPr>
        <w:t>REKOME</w:t>
      </w:r>
      <w:r w:rsidR="00D83182" w:rsidRPr="00DB6819">
        <w:rPr>
          <w:b/>
        </w:rPr>
        <w:t>N</w:t>
      </w:r>
      <w:r w:rsidRPr="00DB6819">
        <w:rPr>
          <w:b/>
        </w:rPr>
        <w:t>DACIJA</w:t>
      </w:r>
    </w:p>
    <w:p w14:paraId="7271EF8B" w14:textId="77777777" w:rsidR="00DB6819" w:rsidRDefault="00DB6819" w:rsidP="00DB6819">
      <w:pPr>
        <w:spacing w:line="276" w:lineRule="auto"/>
        <w:jc w:val="both"/>
      </w:pPr>
    </w:p>
    <w:p w14:paraId="7D5C6700" w14:textId="5DB9C4DC" w:rsidR="00D5470B" w:rsidRPr="00DB6819" w:rsidRDefault="00DB6819" w:rsidP="00DB6819">
      <w:pPr>
        <w:spacing w:line="276" w:lineRule="auto"/>
        <w:jc w:val="both"/>
        <w:rPr>
          <w:color w:val="000000"/>
          <w:lang w:eastAsia="lt-LT"/>
        </w:rPr>
      </w:pPr>
      <w:r w:rsidRPr="002A024D">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r>
        <w:t xml:space="preserve"> </w:t>
      </w:r>
      <w:r w:rsidRPr="00DB6819">
        <w:rPr>
          <w:color w:val="000000"/>
        </w:rPr>
        <w:t>30</w:t>
      </w:r>
      <w:r w:rsidRPr="00DB6819">
        <w:rPr>
          <w:color w:val="000000"/>
          <w:vertAlign w:val="superscript"/>
        </w:rPr>
        <w:t>1</w:t>
      </w:r>
      <w:r w:rsidRPr="00DB6819">
        <w:rPr>
          <w:color w:val="000000"/>
        </w:rPr>
        <w:t xml:space="preserve">.1. kai vertinimo išvados atitinka Aprašo 29.1.1 ir 29.2.1 papunkčiuose numatytas sąlygas arba Aprašo 29.1.2 ir 29.2.2 papunkčiuose numatytas sąlygas, teikiama rekomendacija </w:t>
      </w:r>
      <w:r w:rsidRPr="00DB6819">
        <w:rPr>
          <w:i/>
          <w:color w:val="000000"/>
        </w:rPr>
        <w:t>kompensuoti</w:t>
      </w:r>
      <w:r w:rsidRPr="00DB6819">
        <w:rPr>
          <w:color w:val="000000"/>
        </w:rPr>
        <w:t xml:space="preserve"> vaistinį preparatą pagal paraiškoje nurodytą indikaciją (arba jos dalį) su arba be skyrimo sąlygų, taikant ar netaikant PGS</w:t>
      </w:r>
      <w:r w:rsidRPr="00DB6819">
        <w:rPr>
          <w:color w:val="000000"/>
          <w:lang w:eastAsia="lt-LT"/>
        </w:rPr>
        <w:t>.</w:t>
      </w:r>
    </w:p>
    <w:p w14:paraId="06BC01EE" w14:textId="44333E0B" w:rsidR="000723FF" w:rsidRPr="00E33EFF" w:rsidRDefault="000723FF" w:rsidP="00381024"/>
    <w:p w14:paraId="18B4292E" w14:textId="74A6B04D"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SIŪLOMOS KOMPENSUOTI TERAPINĖS INDIKACIJOS IR SKYRIMO SĄLYGOS</w:t>
      </w:r>
    </w:p>
    <w:p w14:paraId="691340BB" w14:textId="77777777" w:rsidR="000723FF" w:rsidRPr="00E33EFF" w:rsidRDefault="000723FF" w:rsidP="000723FF">
      <w:pPr>
        <w:tabs>
          <w:tab w:val="left" w:pos="426"/>
        </w:tabs>
        <w:jc w:val="both"/>
        <w:rPr>
          <w:b/>
          <w:color w:val="000000"/>
          <w:lang w:eastAsia="lt-LT"/>
        </w:rPr>
      </w:pPr>
    </w:p>
    <w:p w14:paraId="529C92C4" w14:textId="152E5FB4" w:rsidR="000723FF" w:rsidRPr="00DC5BAC" w:rsidRDefault="000723FF" w:rsidP="00824B92">
      <w:pPr>
        <w:rPr>
          <w:b/>
          <w:lang w:eastAsia="lt-LT"/>
        </w:rPr>
      </w:pPr>
      <w:r w:rsidRPr="00DC5BAC">
        <w:rPr>
          <w:b/>
          <w:lang w:eastAsia="lt-LT"/>
        </w:rPr>
        <w:t>Terapinės indikacijos</w:t>
      </w:r>
    </w:p>
    <w:p w14:paraId="5BB746DD" w14:textId="6AE4477C" w:rsidR="000723FF" w:rsidRPr="00E33EFF" w:rsidRDefault="00000000" w:rsidP="00824B92">
      <w:sdt>
        <w:sdtPr>
          <w:rPr>
            <w:rStyle w:val="Style2"/>
          </w:rPr>
          <w:id w:val="1146316688"/>
          <w15:color w:val="FFCC00"/>
          <w14:checkbox>
            <w14:checked w14:val="1"/>
            <w14:checkedState w14:val="2612" w14:font="MS Gothic"/>
            <w14:uncheckedState w14:val="2610" w14:font="MS Gothic"/>
          </w14:checkbox>
        </w:sdtPr>
        <w:sdtContent>
          <w:r w:rsidR="00BE3577">
            <w:rPr>
              <w:rStyle w:val="Style2"/>
              <w:rFonts w:ascii="MS Gothic" w:eastAsia="MS Gothic" w:hAnsi="MS Gothic" w:hint="eastAsia"/>
            </w:rPr>
            <w:t>☒</w:t>
          </w:r>
        </w:sdtContent>
      </w:sdt>
      <w:r w:rsidR="000723FF" w:rsidRPr="00E33EFF">
        <w:t xml:space="preserve"> Siūloma kompensuoti Pareiškėjo teikiamą indikaciją be pakeitimų.</w:t>
      </w:r>
    </w:p>
    <w:p w14:paraId="3A45CDEA" w14:textId="78E5CE48" w:rsidR="00A42FFE" w:rsidRPr="005939B6" w:rsidRDefault="00A42FFE" w:rsidP="001D3F7C">
      <w:pPr>
        <w:jc w:val="both"/>
      </w:pPr>
      <w:r w:rsidRPr="00EE73FA">
        <w:t xml:space="preserve">TAGRISSO skiriamas deriniu su: pemetreksedu ir chemoterapija platinos pagrindu, suaugusiems pacientams, sergantiems išplitusiu </w:t>
      </w:r>
      <w:r w:rsidR="00814604">
        <w:t>NSLPV</w:t>
      </w:r>
      <w:r w:rsidRPr="00EE73FA">
        <w:t xml:space="preserve">, kurių navikuose nustatyta </w:t>
      </w:r>
      <w:r>
        <w:t>EAFR</w:t>
      </w:r>
      <w:r w:rsidRPr="00EE73FA">
        <w:t xml:space="preserve"> 19 egzono delecijų arba </w:t>
      </w:r>
      <w:r w:rsidRPr="005939B6">
        <w:t>21 egzono (L858R) substitucijos mutacijų, pirmaeiliam gydymui.</w:t>
      </w:r>
    </w:p>
    <w:p w14:paraId="376F8852" w14:textId="77777777" w:rsidR="005939B6" w:rsidRDefault="005939B6" w:rsidP="001D3F7C">
      <w:pPr>
        <w:jc w:val="both"/>
        <w:rPr>
          <w:b/>
          <w:bCs/>
          <w:color w:val="000000"/>
          <w:lang w:eastAsia="lt-LT"/>
        </w:rPr>
      </w:pPr>
    </w:p>
    <w:p w14:paraId="26482B99" w14:textId="6D502A31" w:rsidR="005939B6" w:rsidRDefault="005939B6" w:rsidP="001D3F7C">
      <w:pPr>
        <w:jc w:val="both"/>
        <w:rPr>
          <w:lang w:eastAsia="lt-LT"/>
        </w:rPr>
      </w:pPr>
      <w:r w:rsidRPr="005939B6">
        <w:rPr>
          <w:b/>
          <w:bCs/>
          <w:color w:val="000000"/>
          <w:lang w:eastAsia="lt-LT"/>
        </w:rPr>
        <w:t>TLK-10 AM kodas</w:t>
      </w:r>
      <w:r w:rsidRPr="005939B6">
        <w:rPr>
          <w:color w:val="000000"/>
          <w:lang w:eastAsia="lt-LT"/>
        </w:rPr>
        <w:t xml:space="preserve"> C34 </w:t>
      </w:r>
    </w:p>
    <w:p w14:paraId="699ED520" w14:textId="77777777" w:rsidR="005939B6" w:rsidRPr="00EE73FA" w:rsidRDefault="005939B6" w:rsidP="001D3F7C">
      <w:pPr>
        <w:jc w:val="both"/>
        <w:rPr>
          <w:lang w:eastAsia="lt-LT"/>
        </w:rPr>
      </w:pPr>
    </w:p>
    <w:p w14:paraId="7DD65F7E" w14:textId="77777777" w:rsidR="000723FF" w:rsidRPr="00E33EFF" w:rsidRDefault="000723FF" w:rsidP="00824B92"/>
    <w:p w14:paraId="241A6E6B" w14:textId="77777777" w:rsidR="000723FF" w:rsidRPr="00E33EFF" w:rsidRDefault="000723FF" w:rsidP="00824B92">
      <w:pPr>
        <w:rPr>
          <w:b/>
        </w:rPr>
      </w:pPr>
      <w:r w:rsidRPr="00E33EFF">
        <w:rPr>
          <w:b/>
        </w:rPr>
        <w:t>Skyrimo sąlygos</w:t>
      </w:r>
    </w:p>
    <w:p w14:paraId="77F80378" w14:textId="766C1C73" w:rsidR="00BE3577" w:rsidRDefault="00814604" w:rsidP="001D3F7C">
      <w:pPr>
        <w:pStyle w:val="NoSpacing"/>
        <w:spacing w:line="276" w:lineRule="auto"/>
        <w:jc w:val="both"/>
        <w:rPr>
          <w:rFonts w:ascii="Times New Roman" w:hAnsi="Times New Roman"/>
          <w:sz w:val="24"/>
          <w:szCs w:val="24"/>
          <w:lang w:eastAsia="lt-LT"/>
        </w:rPr>
      </w:pPr>
      <w:bookmarkStart w:id="3" w:name="_Hlk217066286"/>
      <w:r>
        <w:rPr>
          <w:rFonts w:ascii="Times New Roman" w:hAnsi="Times New Roman"/>
          <w:sz w:val="24"/>
          <w:szCs w:val="24"/>
        </w:rPr>
        <w:t>S</w:t>
      </w:r>
      <w:r w:rsidR="001D3F7C" w:rsidRPr="001D3F7C">
        <w:rPr>
          <w:rFonts w:ascii="Times New Roman" w:hAnsi="Times New Roman"/>
          <w:sz w:val="24"/>
          <w:szCs w:val="24"/>
        </w:rPr>
        <w:t>kiriamas derin</w:t>
      </w:r>
      <w:r>
        <w:rPr>
          <w:rFonts w:ascii="Times New Roman" w:hAnsi="Times New Roman"/>
          <w:sz w:val="24"/>
          <w:szCs w:val="24"/>
        </w:rPr>
        <w:t xml:space="preserve">yje </w:t>
      </w:r>
      <w:r w:rsidR="001D3F7C" w:rsidRPr="001D3F7C">
        <w:rPr>
          <w:rFonts w:ascii="Times New Roman" w:hAnsi="Times New Roman"/>
          <w:sz w:val="24"/>
          <w:szCs w:val="24"/>
        </w:rPr>
        <w:t xml:space="preserve">su pemetreksedu ir chemoterapija platinos pagrindu </w:t>
      </w:r>
      <w:r w:rsidR="005939B6">
        <w:rPr>
          <w:rFonts w:ascii="Times New Roman" w:hAnsi="Times New Roman"/>
          <w:sz w:val="24"/>
          <w:szCs w:val="24"/>
        </w:rPr>
        <w:t xml:space="preserve">pirmaeiliam gydymui </w:t>
      </w:r>
      <w:r w:rsidR="001D3F7C" w:rsidRPr="001D3F7C">
        <w:rPr>
          <w:rFonts w:ascii="Times New Roman" w:hAnsi="Times New Roman"/>
          <w:sz w:val="24"/>
          <w:szCs w:val="24"/>
        </w:rPr>
        <w:t>suaugusiems pacientams, sergantiems išplitusiu NLSPV, kurių navikuose nustatyta EAFR 19 egzono delecijų arba 21 egzono (L858R) substitucijos mutacijų</w:t>
      </w:r>
      <w:r w:rsidR="005939B6">
        <w:rPr>
          <w:rFonts w:ascii="Times New Roman" w:hAnsi="Times New Roman"/>
          <w:sz w:val="24"/>
          <w:szCs w:val="24"/>
        </w:rPr>
        <w:t xml:space="preserve">. </w:t>
      </w:r>
      <w:r w:rsidR="005939B6" w:rsidRPr="004206A0">
        <w:rPr>
          <w:rFonts w:ascii="Times New Roman" w:hAnsi="Times New Roman"/>
          <w:sz w:val="24"/>
          <w:szCs w:val="24"/>
          <w:lang w:eastAsia="lt-LT"/>
        </w:rPr>
        <w:t>Gydymas tęsiamas iki nepriimtino toksinio poveikio atsiradimo, ligos progresavimo</w:t>
      </w:r>
      <w:bookmarkEnd w:id="3"/>
      <w:r w:rsidR="005939B6" w:rsidRPr="004206A0">
        <w:rPr>
          <w:rFonts w:ascii="Times New Roman" w:hAnsi="Times New Roman"/>
          <w:sz w:val="24"/>
          <w:szCs w:val="24"/>
          <w:lang w:eastAsia="lt-LT"/>
        </w:rPr>
        <w:t>.</w:t>
      </w:r>
      <w:r w:rsidR="00DC2D24">
        <w:rPr>
          <w:rFonts w:ascii="Times New Roman" w:hAnsi="Times New Roman"/>
          <w:sz w:val="24"/>
          <w:szCs w:val="24"/>
          <w:lang w:eastAsia="lt-LT"/>
        </w:rPr>
        <w:t>*</w:t>
      </w:r>
    </w:p>
    <w:p w14:paraId="1DB245A5" w14:textId="77777777" w:rsidR="00DC2D24" w:rsidRDefault="00DC2D24" w:rsidP="001D3F7C">
      <w:pPr>
        <w:pStyle w:val="NoSpacing"/>
        <w:spacing w:line="276" w:lineRule="auto"/>
        <w:jc w:val="both"/>
        <w:rPr>
          <w:rFonts w:ascii="Times New Roman" w:hAnsi="Times New Roman"/>
          <w:sz w:val="24"/>
          <w:szCs w:val="24"/>
          <w:lang w:eastAsia="lt-LT"/>
        </w:rPr>
      </w:pPr>
    </w:p>
    <w:p w14:paraId="70DDBE14" w14:textId="77777777" w:rsidR="00DC2D24" w:rsidRDefault="00DC2D24" w:rsidP="001D3F7C">
      <w:pPr>
        <w:pStyle w:val="NoSpacing"/>
        <w:spacing w:line="276" w:lineRule="auto"/>
        <w:jc w:val="both"/>
        <w:rPr>
          <w:rFonts w:ascii="Times New Roman" w:hAnsi="Times New Roman"/>
          <w:sz w:val="24"/>
          <w:szCs w:val="24"/>
          <w:lang w:eastAsia="lt-LT"/>
        </w:rPr>
      </w:pPr>
    </w:p>
    <w:p w14:paraId="6456C7DB" w14:textId="77777777" w:rsidR="00DC2D24" w:rsidRDefault="00DC2D24" w:rsidP="001D3F7C">
      <w:pPr>
        <w:pStyle w:val="NoSpacing"/>
        <w:spacing w:line="276" w:lineRule="auto"/>
        <w:jc w:val="both"/>
        <w:rPr>
          <w:rFonts w:ascii="Times New Roman" w:hAnsi="Times New Roman"/>
          <w:sz w:val="24"/>
          <w:szCs w:val="24"/>
          <w:lang w:eastAsia="lt-LT"/>
        </w:rPr>
      </w:pPr>
    </w:p>
    <w:p w14:paraId="153F0BED" w14:textId="77777777" w:rsidR="00DC2D24" w:rsidRDefault="00DC2D24" w:rsidP="001D3F7C">
      <w:pPr>
        <w:pStyle w:val="NoSpacing"/>
        <w:spacing w:line="276" w:lineRule="auto"/>
        <w:jc w:val="both"/>
        <w:rPr>
          <w:rFonts w:ascii="Times New Roman" w:hAnsi="Times New Roman"/>
          <w:sz w:val="24"/>
          <w:szCs w:val="24"/>
          <w:lang w:eastAsia="lt-LT"/>
        </w:rPr>
      </w:pPr>
    </w:p>
    <w:p w14:paraId="147A9F8A" w14:textId="77777777" w:rsidR="00DC2D24" w:rsidRDefault="00DC2D24" w:rsidP="001D3F7C">
      <w:pPr>
        <w:pStyle w:val="NoSpacing"/>
        <w:spacing w:line="276" w:lineRule="auto"/>
        <w:jc w:val="both"/>
        <w:rPr>
          <w:rFonts w:ascii="Times New Roman" w:hAnsi="Times New Roman"/>
          <w:sz w:val="24"/>
          <w:szCs w:val="24"/>
          <w:lang w:eastAsia="lt-LT"/>
        </w:rPr>
      </w:pPr>
    </w:p>
    <w:p w14:paraId="29D82960" w14:textId="77777777" w:rsidR="00DC2D24" w:rsidRDefault="00DC2D24" w:rsidP="001D3F7C">
      <w:pPr>
        <w:pStyle w:val="NoSpacing"/>
        <w:spacing w:line="276" w:lineRule="auto"/>
        <w:jc w:val="both"/>
        <w:rPr>
          <w:rFonts w:ascii="Times New Roman" w:hAnsi="Times New Roman"/>
          <w:sz w:val="24"/>
          <w:szCs w:val="24"/>
          <w:lang w:eastAsia="lt-LT"/>
        </w:rPr>
      </w:pPr>
    </w:p>
    <w:p w14:paraId="06850012" w14:textId="77777777" w:rsidR="00DC2D24" w:rsidRDefault="00DC2D24" w:rsidP="001D3F7C">
      <w:pPr>
        <w:pStyle w:val="NoSpacing"/>
        <w:spacing w:line="276" w:lineRule="auto"/>
        <w:jc w:val="both"/>
        <w:rPr>
          <w:rFonts w:ascii="Times New Roman" w:hAnsi="Times New Roman"/>
          <w:sz w:val="24"/>
          <w:szCs w:val="24"/>
          <w:lang w:eastAsia="lt-LT"/>
        </w:rPr>
      </w:pPr>
    </w:p>
    <w:p w14:paraId="44B21E35" w14:textId="6E077999" w:rsidR="00C431B3" w:rsidRPr="00EC5903" w:rsidRDefault="00C431B3" w:rsidP="00C431B3">
      <w:pPr>
        <w:tabs>
          <w:tab w:val="left" w:pos="9180"/>
        </w:tabs>
        <w:outlineLvl w:val="0"/>
        <w:rPr>
          <w:b/>
          <w:bCs/>
          <w:color w:val="000000" w:themeColor="text1"/>
        </w:rPr>
      </w:pPr>
      <w:r w:rsidRPr="00DC2D24">
        <w:rPr>
          <w:rFonts w:eastAsia="Calibri"/>
          <w:sz w:val="20"/>
          <w:szCs w:val="20"/>
          <w:lang w:eastAsia="lt-LT"/>
        </w:rPr>
        <w:t>*</w:t>
      </w:r>
      <w:r>
        <w:rPr>
          <w:sz w:val="20"/>
          <w:szCs w:val="20"/>
        </w:rPr>
        <w:t xml:space="preserve"> S</w:t>
      </w:r>
      <w:r w:rsidR="00DB4828" w:rsidRPr="00DB4828">
        <w:rPr>
          <w:sz w:val="20"/>
          <w:szCs w:val="20"/>
        </w:rPr>
        <w:t>kyrimo sąlygos pakoreguotos remiantis Vaistinių preparatų ir medicinos pagalbos priemonių kompensavimo komisijos 2026 m. sausio 29 d. protokolu Nr. LKV-2/26.</w:t>
      </w:r>
    </w:p>
    <w:p w14:paraId="46CE8302" w14:textId="0A9CDFC3" w:rsidR="00DC2D24" w:rsidRPr="00DC2D24" w:rsidRDefault="00DC2D24" w:rsidP="00DC2D24">
      <w:pPr>
        <w:pStyle w:val="NoSpacing"/>
        <w:spacing w:line="276" w:lineRule="auto"/>
        <w:jc w:val="both"/>
        <w:rPr>
          <w:rFonts w:ascii="Times New Roman" w:hAnsi="Times New Roman"/>
          <w:sz w:val="20"/>
          <w:szCs w:val="20"/>
        </w:rPr>
      </w:pPr>
    </w:p>
    <w:sectPr w:rsidR="00DC2D24" w:rsidRPr="00DC2D24" w:rsidSect="005D30E1">
      <w:headerReference w:type="first" r:id="rId8"/>
      <w:footerReference w:type="first" r:id="rId9"/>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2B625" w14:textId="77777777" w:rsidR="008C135C" w:rsidRDefault="008C135C">
      <w:r>
        <w:separator/>
      </w:r>
    </w:p>
  </w:endnote>
  <w:endnote w:type="continuationSeparator" w:id="0">
    <w:p w14:paraId="7FEC1D4E" w14:textId="77777777" w:rsidR="008C135C" w:rsidRDefault="008C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IDFont+F2">
    <w:altName w:val="MS Gothic"/>
    <w:panose1 w:val="00000000000000000000"/>
    <w:charset w:val="80"/>
    <w:family w:val="auto"/>
    <w:notTrueType/>
    <w:pitch w:val="default"/>
    <w:sig w:usb0="00000005" w:usb1="08070000" w:usb2="00000010" w:usb3="00000000" w:csb0="00020002"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68032" w14:textId="77777777" w:rsidR="008C135C" w:rsidRDefault="008C135C">
      <w:r>
        <w:separator/>
      </w:r>
    </w:p>
  </w:footnote>
  <w:footnote w:type="continuationSeparator" w:id="0">
    <w:p w14:paraId="6C343501" w14:textId="77777777" w:rsidR="008C135C" w:rsidRDefault="008C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1E414B1D"/>
    <w:multiLevelType w:val="hybridMultilevel"/>
    <w:tmpl w:val="71C632D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2868AB"/>
    <w:multiLevelType w:val="multilevel"/>
    <w:tmpl w:val="471A206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E2B6E"/>
    <w:multiLevelType w:val="multilevel"/>
    <w:tmpl w:val="CB52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9"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6B3B4D"/>
    <w:multiLevelType w:val="hybridMultilevel"/>
    <w:tmpl w:val="B0E4C990"/>
    <w:lvl w:ilvl="0" w:tplc="631824AE">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482758D"/>
    <w:multiLevelType w:val="multilevel"/>
    <w:tmpl w:val="471A206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2757867">
    <w:abstractNumId w:val="9"/>
  </w:num>
  <w:num w:numId="2" w16cid:durableId="472215149">
    <w:abstractNumId w:val="1"/>
  </w:num>
  <w:num w:numId="3" w16cid:durableId="891113675">
    <w:abstractNumId w:val="11"/>
  </w:num>
  <w:num w:numId="4" w16cid:durableId="1050223409">
    <w:abstractNumId w:val="10"/>
  </w:num>
  <w:num w:numId="5" w16cid:durableId="1863083248">
    <w:abstractNumId w:val="8"/>
  </w:num>
  <w:num w:numId="6" w16cid:durableId="343438598">
    <w:abstractNumId w:val="7"/>
  </w:num>
  <w:num w:numId="7" w16cid:durableId="1319112027">
    <w:abstractNumId w:val="3"/>
  </w:num>
  <w:num w:numId="8" w16cid:durableId="262613304">
    <w:abstractNumId w:val="15"/>
  </w:num>
  <w:num w:numId="9" w16cid:durableId="1859194953">
    <w:abstractNumId w:val="0"/>
  </w:num>
  <w:num w:numId="10" w16cid:durableId="1234579680">
    <w:abstractNumId w:val="12"/>
  </w:num>
  <w:num w:numId="11" w16cid:durableId="303507935">
    <w:abstractNumId w:val="13"/>
  </w:num>
  <w:num w:numId="12" w16cid:durableId="1203711412">
    <w:abstractNumId w:val="2"/>
  </w:num>
  <w:num w:numId="13" w16cid:durableId="871191110">
    <w:abstractNumId w:val="16"/>
  </w:num>
  <w:num w:numId="14" w16cid:durableId="1262487955">
    <w:abstractNumId w:val="5"/>
  </w:num>
  <w:num w:numId="15" w16cid:durableId="1937013888">
    <w:abstractNumId w:val="4"/>
  </w:num>
  <w:num w:numId="16" w16cid:durableId="1324622878">
    <w:abstractNumId w:val="6"/>
  </w:num>
  <w:num w:numId="17" w16cid:durableId="488406755">
    <w:abstractNumId w:val="14"/>
  </w:num>
  <w:num w:numId="18" w16cid:durableId="1835993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03A3"/>
    <w:rsid w:val="00053975"/>
    <w:rsid w:val="00057A2B"/>
    <w:rsid w:val="000606BE"/>
    <w:rsid w:val="000723FF"/>
    <w:rsid w:val="000736B8"/>
    <w:rsid w:val="0008190F"/>
    <w:rsid w:val="00081D9C"/>
    <w:rsid w:val="00082907"/>
    <w:rsid w:val="0008378D"/>
    <w:rsid w:val="000908A5"/>
    <w:rsid w:val="00092805"/>
    <w:rsid w:val="000C454C"/>
    <w:rsid w:val="000D06F9"/>
    <w:rsid w:val="000D5038"/>
    <w:rsid w:val="000E29D4"/>
    <w:rsid w:val="000E388D"/>
    <w:rsid w:val="000F3540"/>
    <w:rsid w:val="00100491"/>
    <w:rsid w:val="00104E2E"/>
    <w:rsid w:val="00107287"/>
    <w:rsid w:val="00117406"/>
    <w:rsid w:val="00121EF0"/>
    <w:rsid w:val="0012372F"/>
    <w:rsid w:val="00124A9E"/>
    <w:rsid w:val="00130703"/>
    <w:rsid w:val="0013153F"/>
    <w:rsid w:val="00135175"/>
    <w:rsid w:val="001408B8"/>
    <w:rsid w:val="001517E2"/>
    <w:rsid w:val="001521D9"/>
    <w:rsid w:val="001554E2"/>
    <w:rsid w:val="00164146"/>
    <w:rsid w:val="0017369C"/>
    <w:rsid w:val="00175D57"/>
    <w:rsid w:val="00180C39"/>
    <w:rsid w:val="00180D96"/>
    <w:rsid w:val="00184BD3"/>
    <w:rsid w:val="001921F3"/>
    <w:rsid w:val="001B3C5B"/>
    <w:rsid w:val="001C5586"/>
    <w:rsid w:val="001D3F7C"/>
    <w:rsid w:val="001D746F"/>
    <w:rsid w:val="001E4BBB"/>
    <w:rsid w:val="001E6304"/>
    <w:rsid w:val="00202EB5"/>
    <w:rsid w:val="0020381E"/>
    <w:rsid w:val="00213471"/>
    <w:rsid w:val="00215906"/>
    <w:rsid w:val="00241CD8"/>
    <w:rsid w:val="00244B09"/>
    <w:rsid w:val="00251116"/>
    <w:rsid w:val="002519CB"/>
    <w:rsid w:val="0025697F"/>
    <w:rsid w:val="00260258"/>
    <w:rsid w:val="0026588E"/>
    <w:rsid w:val="00272428"/>
    <w:rsid w:val="00272948"/>
    <w:rsid w:val="002850A2"/>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2F28C0"/>
    <w:rsid w:val="003061B7"/>
    <w:rsid w:val="00310545"/>
    <w:rsid w:val="003133DA"/>
    <w:rsid w:val="0031432E"/>
    <w:rsid w:val="00317B0E"/>
    <w:rsid w:val="003466E8"/>
    <w:rsid w:val="00347315"/>
    <w:rsid w:val="00347FAA"/>
    <w:rsid w:val="00351302"/>
    <w:rsid w:val="0035172D"/>
    <w:rsid w:val="0036187D"/>
    <w:rsid w:val="00367EDB"/>
    <w:rsid w:val="003715F1"/>
    <w:rsid w:val="00381024"/>
    <w:rsid w:val="00386307"/>
    <w:rsid w:val="003874DE"/>
    <w:rsid w:val="00393E9F"/>
    <w:rsid w:val="0039696E"/>
    <w:rsid w:val="003B211A"/>
    <w:rsid w:val="003B5F6E"/>
    <w:rsid w:val="003B7039"/>
    <w:rsid w:val="003C141F"/>
    <w:rsid w:val="003C6B0E"/>
    <w:rsid w:val="003C7257"/>
    <w:rsid w:val="003C7E35"/>
    <w:rsid w:val="003D1E99"/>
    <w:rsid w:val="003D6208"/>
    <w:rsid w:val="003D7315"/>
    <w:rsid w:val="004049CC"/>
    <w:rsid w:val="00404E8A"/>
    <w:rsid w:val="0040622F"/>
    <w:rsid w:val="00413F24"/>
    <w:rsid w:val="00422853"/>
    <w:rsid w:val="00423160"/>
    <w:rsid w:val="00450728"/>
    <w:rsid w:val="0045089C"/>
    <w:rsid w:val="00453862"/>
    <w:rsid w:val="0045469B"/>
    <w:rsid w:val="00461338"/>
    <w:rsid w:val="004677DB"/>
    <w:rsid w:val="00476256"/>
    <w:rsid w:val="00483703"/>
    <w:rsid w:val="0048630F"/>
    <w:rsid w:val="004947A1"/>
    <w:rsid w:val="0049482A"/>
    <w:rsid w:val="004979D3"/>
    <w:rsid w:val="004A00E7"/>
    <w:rsid w:val="004A3A61"/>
    <w:rsid w:val="004A6F2F"/>
    <w:rsid w:val="004B59BA"/>
    <w:rsid w:val="004B5A03"/>
    <w:rsid w:val="004C224C"/>
    <w:rsid w:val="004C263A"/>
    <w:rsid w:val="004D48A6"/>
    <w:rsid w:val="004D7B8F"/>
    <w:rsid w:val="004E6458"/>
    <w:rsid w:val="004E6E7D"/>
    <w:rsid w:val="004F1AAC"/>
    <w:rsid w:val="004F1AE2"/>
    <w:rsid w:val="004F34F0"/>
    <w:rsid w:val="004F3B2B"/>
    <w:rsid w:val="004F6050"/>
    <w:rsid w:val="005005EF"/>
    <w:rsid w:val="005123C2"/>
    <w:rsid w:val="005161ED"/>
    <w:rsid w:val="0052144B"/>
    <w:rsid w:val="00524066"/>
    <w:rsid w:val="00534E11"/>
    <w:rsid w:val="005378D8"/>
    <w:rsid w:val="005400D9"/>
    <w:rsid w:val="005476A4"/>
    <w:rsid w:val="0055019B"/>
    <w:rsid w:val="00553359"/>
    <w:rsid w:val="00556E63"/>
    <w:rsid w:val="005601A4"/>
    <w:rsid w:val="00566DBB"/>
    <w:rsid w:val="005767DB"/>
    <w:rsid w:val="005815E6"/>
    <w:rsid w:val="0058712F"/>
    <w:rsid w:val="00587B9A"/>
    <w:rsid w:val="005939B6"/>
    <w:rsid w:val="005976CE"/>
    <w:rsid w:val="005A23D4"/>
    <w:rsid w:val="005A2D1E"/>
    <w:rsid w:val="005A420C"/>
    <w:rsid w:val="005B3756"/>
    <w:rsid w:val="005B5E7A"/>
    <w:rsid w:val="005C4545"/>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72FDC"/>
    <w:rsid w:val="006834D3"/>
    <w:rsid w:val="00692625"/>
    <w:rsid w:val="00695CD3"/>
    <w:rsid w:val="006A38B6"/>
    <w:rsid w:val="006A533F"/>
    <w:rsid w:val="006B1987"/>
    <w:rsid w:val="006B5B71"/>
    <w:rsid w:val="006B6CB0"/>
    <w:rsid w:val="006C0296"/>
    <w:rsid w:val="006C2B64"/>
    <w:rsid w:val="006D4C85"/>
    <w:rsid w:val="006D66AC"/>
    <w:rsid w:val="006E33F6"/>
    <w:rsid w:val="006F1251"/>
    <w:rsid w:val="006F1C23"/>
    <w:rsid w:val="00702C18"/>
    <w:rsid w:val="00703166"/>
    <w:rsid w:val="007127F3"/>
    <w:rsid w:val="007301CF"/>
    <w:rsid w:val="007316FB"/>
    <w:rsid w:val="007374D0"/>
    <w:rsid w:val="00737E2D"/>
    <w:rsid w:val="007424D5"/>
    <w:rsid w:val="00747DC6"/>
    <w:rsid w:val="00750A88"/>
    <w:rsid w:val="007523DD"/>
    <w:rsid w:val="00757B7E"/>
    <w:rsid w:val="007656B2"/>
    <w:rsid w:val="0077016F"/>
    <w:rsid w:val="007713AD"/>
    <w:rsid w:val="00795DC5"/>
    <w:rsid w:val="00797153"/>
    <w:rsid w:val="007A21F7"/>
    <w:rsid w:val="007A2B68"/>
    <w:rsid w:val="007B0DDA"/>
    <w:rsid w:val="007D3347"/>
    <w:rsid w:val="007E037F"/>
    <w:rsid w:val="007E5466"/>
    <w:rsid w:val="007F1949"/>
    <w:rsid w:val="007F2592"/>
    <w:rsid w:val="00800A08"/>
    <w:rsid w:val="00814604"/>
    <w:rsid w:val="00817A84"/>
    <w:rsid w:val="008225A4"/>
    <w:rsid w:val="00824B92"/>
    <w:rsid w:val="00826D5E"/>
    <w:rsid w:val="00832013"/>
    <w:rsid w:val="00832DB7"/>
    <w:rsid w:val="00834732"/>
    <w:rsid w:val="00844A21"/>
    <w:rsid w:val="0085200C"/>
    <w:rsid w:val="0085384E"/>
    <w:rsid w:val="00857C52"/>
    <w:rsid w:val="00860D5F"/>
    <w:rsid w:val="00861400"/>
    <w:rsid w:val="008621E6"/>
    <w:rsid w:val="00880A44"/>
    <w:rsid w:val="0088345E"/>
    <w:rsid w:val="0088656F"/>
    <w:rsid w:val="00890BA8"/>
    <w:rsid w:val="00891EF6"/>
    <w:rsid w:val="008A0303"/>
    <w:rsid w:val="008A5FDD"/>
    <w:rsid w:val="008C135C"/>
    <w:rsid w:val="008C3947"/>
    <w:rsid w:val="008C3B30"/>
    <w:rsid w:val="008C48F0"/>
    <w:rsid w:val="008E473B"/>
    <w:rsid w:val="008E51A6"/>
    <w:rsid w:val="008E7329"/>
    <w:rsid w:val="008F2ED5"/>
    <w:rsid w:val="008F6BA9"/>
    <w:rsid w:val="00910ED7"/>
    <w:rsid w:val="0092297E"/>
    <w:rsid w:val="00923651"/>
    <w:rsid w:val="00927B56"/>
    <w:rsid w:val="009341BF"/>
    <w:rsid w:val="00937907"/>
    <w:rsid w:val="00941739"/>
    <w:rsid w:val="00951573"/>
    <w:rsid w:val="00952107"/>
    <w:rsid w:val="00963003"/>
    <w:rsid w:val="00966EEF"/>
    <w:rsid w:val="00971B28"/>
    <w:rsid w:val="00983471"/>
    <w:rsid w:val="009909AB"/>
    <w:rsid w:val="00996338"/>
    <w:rsid w:val="009B37DB"/>
    <w:rsid w:val="009C7324"/>
    <w:rsid w:val="009C7A8C"/>
    <w:rsid w:val="009D23F9"/>
    <w:rsid w:val="009D4FA8"/>
    <w:rsid w:val="009E44AE"/>
    <w:rsid w:val="009E6CD6"/>
    <w:rsid w:val="009F4D66"/>
    <w:rsid w:val="00A00C3C"/>
    <w:rsid w:val="00A01091"/>
    <w:rsid w:val="00A042B9"/>
    <w:rsid w:val="00A06DBB"/>
    <w:rsid w:val="00A1059E"/>
    <w:rsid w:val="00A22ADF"/>
    <w:rsid w:val="00A31E86"/>
    <w:rsid w:val="00A40564"/>
    <w:rsid w:val="00A42FFE"/>
    <w:rsid w:val="00A54D87"/>
    <w:rsid w:val="00A5553C"/>
    <w:rsid w:val="00A61928"/>
    <w:rsid w:val="00A65267"/>
    <w:rsid w:val="00A701C9"/>
    <w:rsid w:val="00A81785"/>
    <w:rsid w:val="00A84803"/>
    <w:rsid w:val="00A84C51"/>
    <w:rsid w:val="00A86F2B"/>
    <w:rsid w:val="00A91366"/>
    <w:rsid w:val="00A93AA6"/>
    <w:rsid w:val="00A97B51"/>
    <w:rsid w:val="00AA4E48"/>
    <w:rsid w:val="00AA6202"/>
    <w:rsid w:val="00AA7B57"/>
    <w:rsid w:val="00AC26FC"/>
    <w:rsid w:val="00AC4A99"/>
    <w:rsid w:val="00AC64D2"/>
    <w:rsid w:val="00AD02E7"/>
    <w:rsid w:val="00AE0FE8"/>
    <w:rsid w:val="00AE1322"/>
    <w:rsid w:val="00AF06B8"/>
    <w:rsid w:val="00AF60D5"/>
    <w:rsid w:val="00B00959"/>
    <w:rsid w:val="00B04415"/>
    <w:rsid w:val="00B06509"/>
    <w:rsid w:val="00B11D60"/>
    <w:rsid w:val="00B13279"/>
    <w:rsid w:val="00B13D65"/>
    <w:rsid w:val="00B21805"/>
    <w:rsid w:val="00B3072E"/>
    <w:rsid w:val="00B36E15"/>
    <w:rsid w:val="00B37245"/>
    <w:rsid w:val="00B4017A"/>
    <w:rsid w:val="00B4468D"/>
    <w:rsid w:val="00B4658F"/>
    <w:rsid w:val="00B50E3C"/>
    <w:rsid w:val="00B71C72"/>
    <w:rsid w:val="00B77902"/>
    <w:rsid w:val="00B81E92"/>
    <w:rsid w:val="00B84669"/>
    <w:rsid w:val="00B908D7"/>
    <w:rsid w:val="00B915AB"/>
    <w:rsid w:val="00B935E8"/>
    <w:rsid w:val="00B93B30"/>
    <w:rsid w:val="00B94CB5"/>
    <w:rsid w:val="00BA0DD9"/>
    <w:rsid w:val="00BA5DBC"/>
    <w:rsid w:val="00BA6429"/>
    <w:rsid w:val="00BA6A88"/>
    <w:rsid w:val="00BB3B54"/>
    <w:rsid w:val="00BB3BF2"/>
    <w:rsid w:val="00BB6312"/>
    <w:rsid w:val="00BC0B0A"/>
    <w:rsid w:val="00BC4D06"/>
    <w:rsid w:val="00BD585E"/>
    <w:rsid w:val="00BD6919"/>
    <w:rsid w:val="00BE1EA7"/>
    <w:rsid w:val="00BE3577"/>
    <w:rsid w:val="00BE7489"/>
    <w:rsid w:val="00BF0466"/>
    <w:rsid w:val="00BF2E0D"/>
    <w:rsid w:val="00BF3927"/>
    <w:rsid w:val="00BF3F8B"/>
    <w:rsid w:val="00BF76DA"/>
    <w:rsid w:val="00C0306A"/>
    <w:rsid w:val="00C07C7B"/>
    <w:rsid w:val="00C16245"/>
    <w:rsid w:val="00C22DC5"/>
    <w:rsid w:val="00C24479"/>
    <w:rsid w:val="00C273F2"/>
    <w:rsid w:val="00C308C3"/>
    <w:rsid w:val="00C31C5B"/>
    <w:rsid w:val="00C341FB"/>
    <w:rsid w:val="00C37B53"/>
    <w:rsid w:val="00C431B3"/>
    <w:rsid w:val="00C517D2"/>
    <w:rsid w:val="00C5772E"/>
    <w:rsid w:val="00C62B36"/>
    <w:rsid w:val="00C7012C"/>
    <w:rsid w:val="00C70688"/>
    <w:rsid w:val="00C712EA"/>
    <w:rsid w:val="00CA217D"/>
    <w:rsid w:val="00CC09D4"/>
    <w:rsid w:val="00CC668D"/>
    <w:rsid w:val="00CC7832"/>
    <w:rsid w:val="00CF0C1C"/>
    <w:rsid w:val="00CF27FD"/>
    <w:rsid w:val="00CF5F12"/>
    <w:rsid w:val="00D00D8F"/>
    <w:rsid w:val="00D21F3A"/>
    <w:rsid w:val="00D23808"/>
    <w:rsid w:val="00D3016A"/>
    <w:rsid w:val="00D349DB"/>
    <w:rsid w:val="00D417D2"/>
    <w:rsid w:val="00D42960"/>
    <w:rsid w:val="00D43BD7"/>
    <w:rsid w:val="00D4485B"/>
    <w:rsid w:val="00D4708D"/>
    <w:rsid w:val="00D4744C"/>
    <w:rsid w:val="00D521DE"/>
    <w:rsid w:val="00D5470B"/>
    <w:rsid w:val="00D63068"/>
    <w:rsid w:val="00D6498C"/>
    <w:rsid w:val="00D7696E"/>
    <w:rsid w:val="00D76A70"/>
    <w:rsid w:val="00D83182"/>
    <w:rsid w:val="00D8521E"/>
    <w:rsid w:val="00D9291C"/>
    <w:rsid w:val="00D93A97"/>
    <w:rsid w:val="00D949DB"/>
    <w:rsid w:val="00DA74CE"/>
    <w:rsid w:val="00DB1F64"/>
    <w:rsid w:val="00DB4828"/>
    <w:rsid w:val="00DB6819"/>
    <w:rsid w:val="00DC2D24"/>
    <w:rsid w:val="00DC2F53"/>
    <w:rsid w:val="00DC5BAC"/>
    <w:rsid w:val="00DC6816"/>
    <w:rsid w:val="00DC76C2"/>
    <w:rsid w:val="00DD1CF2"/>
    <w:rsid w:val="00DD4764"/>
    <w:rsid w:val="00DD6247"/>
    <w:rsid w:val="00DE4484"/>
    <w:rsid w:val="00DE44BD"/>
    <w:rsid w:val="00DF41B7"/>
    <w:rsid w:val="00DF4A4A"/>
    <w:rsid w:val="00DF583C"/>
    <w:rsid w:val="00E03C3F"/>
    <w:rsid w:val="00E06FD7"/>
    <w:rsid w:val="00E07417"/>
    <w:rsid w:val="00E24D45"/>
    <w:rsid w:val="00E33DB8"/>
    <w:rsid w:val="00E33EFF"/>
    <w:rsid w:val="00E34387"/>
    <w:rsid w:val="00E348BA"/>
    <w:rsid w:val="00E369FE"/>
    <w:rsid w:val="00E37C6F"/>
    <w:rsid w:val="00E4695B"/>
    <w:rsid w:val="00E475F8"/>
    <w:rsid w:val="00E5102E"/>
    <w:rsid w:val="00E5721C"/>
    <w:rsid w:val="00E619C6"/>
    <w:rsid w:val="00E745A1"/>
    <w:rsid w:val="00E81529"/>
    <w:rsid w:val="00E83A13"/>
    <w:rsid w:val="00E944DD"/>
    <w:rsid w:val="00EB23EA"/>
    <w:rsid w:val="00EB5383"/>
    <w:rsid w:val="00EB6FC5"/>
    <w:rsid w:val="00EC2356"/>
    <w:rsid w:val="00EC2582"/>
    <w:rsid w:val="00EC337C"/>
    <w:rsid w:val="00EC4BA0"/>
    <w:rsid w:val="00ED0CFF"/>
    <w:rsid w:val="00ED31D2"/>
    <w:rsid w:val="00EE0EAC"/>
    <w:rsid w:val="00EE3322"/>
    <w:rsid w:val="00EE33CB"/>
    <w:rsid w:val="00EE3681"/>
    <w:rsid w:val="00EF1509"/>
    <w:rsid w:val="00F0061A"/>
    <w:rsid w:val="00F02834"/>
    <w:rsid w:val="00F04EEB"/>
    <w:rsid w:val="00F05467"/>
    <w:rsid w:val="00F055D2"/>
    <w:rsid w:val="00F07CD7"/>
    <w:rsid w:val="00F127E9"/>
    <w:rsid w:val="00F14B5D"/>
    <w:rsid w:val="00F17798"/>
    <w:rsid w:val="00F259FC"/>
    <w:rsid w:val="00F36972"/>
    <w:rsid w:val="00F36B78"/>
    <w:rsid w:val="00F42426"/>
    <w:rsid w:val="00F456BC"/>
    <w:rsid w:val="00F46F97"/>
    <w:rsid w:val="00F50666"/>
    <w:rsid w:val="00F70C9E"/>
    <w:rsid w:val="00F74A74"/>
    <w:rsid w:val="00F7572C"/>
    <w:rsid w:val="00F8382C"/>
    <w:rsid w:val="00F855D7"/>
    <w:rsid w:val="00F92035"/>
    <w:rsid w:val="00F92748"/>
    <w:rsid w:val="00FA3ABA"/>
    <w:rsid w:val="00FA4169"/>
    <w:rsid w:val="00FB0D41"/>
    <w:rsid w:val="00FB2030"/>
    <w:rsid w:val="00FB7D17"/>
    <w:rsid w:val="00FC1408"/>
    <w:rsid w:val="00FD0E46"/>
    <w:rsid w:val="00FD1CF2"/>
    <w:rsid w:val="00FD3EDF"/>
    <w:rsid w:val="00FD793C"/>
    <w:rsid w:val="00FE0FD5"/>
    <w:rsid w:val="00FE20E6"/>
    <w:rsid w:val="00FE3E3B"/>
    <w:rsid w:val="00FF4032"/>
    <w:rsid w:val="00FF6469"/>
    <w:rsid w:val="00FF656F"/>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aliases w:val="Summary box,Dossier Table,Dossier table,Section 3- footnotes,Legemiddelverket 3,Summary Table,ASD Table,Key messages box,YHEC table,Tabellengitternetz 9pt,Table Grid nm,Lash Style Table"/>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1,Bullet 1,Bullet List,1. Bullet Blank,Bulleted - 2,Dairy Paragraphe,Bullets Points,Table Header Row,Bullet Paragraph,Bullet Point,Table Legend,List Paragraph CCT minutes,Section 5,FooterText,List Paragraph1,numbered,列出段落"/>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table" w:customStyle="1" w:styleId="Keymessagesbox1">
    <w:name w:val="Key messages box1"/>
    <w:basedOn w:val="TableNormal"/>
    <w:next w:val="TableGrid"/>
    <w:rsid w:val="00BA6A88"/>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1 Char,Bullet 1 Char,Bullet List Char,1. Bullet Blank Char,Bulleted - 2 Char,Dairy Paragraphe Char,Bullets Points Char,Table Header Row Char,Bullet Paragraph Char,Bullet Point Char,Table Legend Char,Section 5 Char,numbered Char"/>
    <w:link w:val="ListParagraph"/>
    <w:uiPriority w:val="34"/>
    <w:qFormat/>
    <w:locked/>
    <w:rsid w:val="00135175"/>
    <w:rPr>
      <w:sz w:val="24"/>
      <w:szCs w:val="24"/>
      <w:lang w:eastAsia="en-US"/>
    </w:rPr>
  </w:style>
  <w:style w:type="paragraph" w:styleId="NormalWeb">
    <w:name w:val="Normal (Web)"/>
    <w:basedOn w:val="Normal"/>
    <w:uiPriority w:val="99"/>
    <w:unhideWhenUsed/>
    <w:rsid w:val="00A1059E"/>
    <w:pPr>
      <w:spacing w:before="100" w:beforeAutospacing="1" w:after="100" w:afterAutospacing="1"/>
    </w:pPr>
    <w:rPr>
      <w:lang w:eastAsia="lt-LT"/>
    </w:rPr>
  </w:style>
  <w:style w:type="paragraph" w:customStyle="1" w:styleId="Tekstas">
    <w:name w:val="Tekstas"/>
    <w:basedOn w:val="Normal"/>
    <w:link w:val="TekstasChar"/>
    <w:qFormat/>
    <w:rsid w:val="00BF0466"/>
    <w:pPr>
      <w:spacing w:after="120"/>
      <w:jc w:val="both"/>
    </w:pPr>
    <w:rPr>
      <w:color w:val="000000" w:themeColor="text1"/>
    </w:rPr>
  </w:style>
  <w:style w:type="paragraph" w:customStyle="1" w:styleId="Tekstaspolentele">
    <w:name w:val="Tekstas po lentele"/>
    <w:basedOn w:val="Normal"/>
    <w:qFormat/>
    <w:locked/>
    <w:rsid w:val="00BF0466"/>
    <w:pPr>
      <w:spacing w:before="20"/>
      <w:jc w:val="both"/>
    </w:pPr>
    <w:rPr>
      <w:sz w:val="20"/>
    </w:rPr>
  </w:style>
  <w:style w:type="character" w:customStyle="1" w:styleId="TekstasChar">
    <w:name w:val="Tekstas Char"/>
    <w:link w:val="Tekstas"/>
    <w:rsid w:val="00BF0466"/>
    <w:rPr>
      <w:color w:val="000000" w:themeColor="text1"/>
      <w:sz w:val="24"/>
      <w:szCs w:val="24"/>
      <w:lang w:eastAsia="en-US"/>
    </w:rPr>
  </w:style>
  <w:style w:type="character" w:styleId="Emphasis">
    <w:name w:val="Emphasis"/>
    <w:basedOn w:val="DefaultParagraphFont"/>
    <w:uiPriority w:val="20"/>
    <w:qFormat/>
    <w:rsid w:val="00BF0466"/>
    <w:rPr>
      <w:i/>
      <w:iCs/>
    </w:rPr>
  </w:style>
  <w:style w:type="paragraph" w:customStyle="1" w:styleId="font-claude-response-body">
    <w:name w:val="font-claude-response-body"/>
    <w:basedOn w:val="Normal"/>
    <w:rsid w:val="00BF0466"/>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37181">
      <w:bodyDiv w:val="1"/>
      <w:marLeft w:val="0"/>
      <w:marRight w:val="0"/>
      <w:marTop w:val="0"/>
      <w:marBottom w:val="0"/>
      <w:divBdr>
        <w:top w:val="none" w:sz="0" w:space="0" w:color="auto"/>
        <w:left w:val="none" w:sz="0" w:space="0" w:color="auto"/>
        <w:bottom w:val="none" w:sz="0" w:space="0" w:color="auto"/>
        <w:right w:val="none" w:sz="0" w:space="0" w:color="auto"/>
      </w:divBdr>
    </w:div>
    <w:div w:id="383799586">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2C11DED1EF415B9EED2CD3A4ABA51E"/>
        <w:category>
          <w:name w:val="Bendrosios nuostatos"/>
          <w:gallery w:val="placeholder"/>
        </w:category>
        <w:types>
          <w:type w:val="bbPlcHdr"/>
        </w:types>
        <w:behaviors>
          <w:behavior w:val="content"/>
        </w:behaviors>
        <w:guid w:val="{29B21BA2-9CD2-4E65-8F87-596FCF44AC7F}"/>
      </w:docPartPr>
      <w:docPartBody>
        <w:p w:rsidR="00262F0A" w:rsidRDefault="002C6C0A" w:rsidP="002C6C0A">
          <w:pPr>
            <w:pStyle w:val="7E2C11DED1EF415B9EED2CD3A4ABA51E"/>
          </w:pPr>
          <w:r>
            <w:rPr>
              <w:rStyle w:val="PlaceholderText"/>
            </w:rPr>
            <w:t>Click here to enter a date.</w:t>
          </w:r>
        </w:p>
      </w:docPartBody>
    </w:docPart>
    <w:docPart>
      <w:docPartPr>
        <w:name w:val="620176386C9A4722A774C7083135183A"/>
        <w:category>
          <w:name w:val="Bendrosios nuostatos"/>
          <w:gallery w:val="placeholder"/>
        </w:category>
        <w:types>
          <w:type w:val="bbPlcHdr"/>
        </w:types>
        <w:behaviors>
          <w:behavior w:val="content"/>
        </w:behaviors>
        <w:guid w:val="{631E6F29-56F4-486A-B812-0762400C400A}"/>
      </w:docPartPr>
      <w:docPartBody>
        <w:p w:rsidR="00262F0A" w:rsidRDefault="002C6C0A" w:rsidP="002C6C0A">
          <w:pPr>
            <w:pStyle w:val="620176386C9A4722A774C7083135183A"/>
          </w:pPr>
          <w:r>
            <w:rPr>
              <w:rStyle w:val="PlaceholderText"/>
            </w:rPr>
            <w:t>Click here to enter a date.</w:t>
          </w:r>
        </w:p>
      </w:docPartBody>
    </w:docPart>
    <w:docPart>
      <w:docPartPr>
        <w:name w:val="E23AF5697265412497CAC9114AF8F995"/>
        <w:category>
          <w:name w:val="Bendrosios nuostatos"/>
          <w:gallery w:val="placeholder"/>
        </w:category>
        <w:types>
          <w:type w:val="bbPlcHdr"/>
        </w:types>
        <w:behaviors>
          <w:behavior w:val="content"/>
        </w:behaviors>
        <w:guid w:val="{4DDC59C1-F21E-4615-99C9-C1BBCC987358}"/>
      </w:docPartPr>
      <w:docPartBody>
        <w:p w:rsidR="00262F0A" w:rsidRDefault="002C6C0A" w:rsidP="002C6C0A">
          <w:pPr>
            <w:pStyle w:val="E23AF5697265412497CAC9114AF8F995"/>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IDFont+F2">
    <w:altName w:val="MS Gothic"/>
    <w:panose1 w:val="00000000000000000000"/>
    <w:charset w:val="80"/>
    <w:family w:val="auto"/>
    <w:notTrueType/>
    <w:pitch w:val="default"/>
    <w:sig w:usb0="00000005" w:usb1="08070000" w:usb2="00000010" w:usb3="00000000" w:csb0="00020002"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36FE9"/>
    <w:rsid w:val="000503A3"/>
    <w:rsid w:val="00061157"/>
    <w:rsid w:val="000937FE"/>
    <w:rsid w:val="000A559A"/>
    <w:rsid w:val="000D24D4"/>
    <w:rsid w:val="000E388D"/>
    <w:rsid w:val="0012372F"/>
    <w:rsid w:val="001C35A9"/>
    <w:rsid w:val="002204FA"/>
    <w:rsid w:val="00237556"/>
    <w:rsid w:val="00262F0A"/>
    <w:rsid w:val="002850A2"/>
    <w:rsid w:val="002C6C0A"/>
    <w:rsid w:val="00336BA1"/>
    <w:rsid w:val="0039303B"/>
    <w:rsid w:val="00393DCF"/>
    <w:rsid w:val="004144A3"/>
    <w:rsid w:val="004160E7"/>
    <w:rsid w:val="004416C6"/>
    <w:rsid w:val="00450728"/>
    <w:rsid w:val="004D33EE"/>
    <w:rsid w:val="004F5AB2"/>
    <w:rsid w:val="005074B9"/>
    <w:rsid w:val="0054648D"/>
    <w:rsid w:val="00553359"/>
    <w:rsid w:val="005627DC"/>
    <w:rsid w:val="00587B9A"/>
    <w:rsid w:val="005B5E7A"/>
    <w:rsid w:val="005E40DD"/>
    <w:rsid w:val="006D7CBC"/>
    <w:rsid w:val="006F1352"/>
    <w:rsid w:val="007219C1"/>
    <w:rsid w:val="00753462"/>
    <w:rsid w:val="00772325"/>
    <w:rsid w:val="007A2FE0"/>
    <w:rsid w:val="007C6D1D"/>
    <w:rsid w:val="0090074D"/>
    <w:rsid w:val="009B3BF0"/>
    <w:rsid w:val="009D5E5E"/>
    <w:rsid w:val="009F1BB4"/>
    <w:rsid w:val="00A65210"/>
    <w:rsid w:val="00A6763E"/>
    <w:rsid w:val="00AB6ED4"/>
    <w:rsid w:val="00AF06B8"/>
    <w:rsid w:val="00B14210"/>
    <w:rsid w:val="00B23DC0"/>
    <w:rsid w:val="00B33701"/>
    <w:rsid w:val="00B96656"/>
    <w:rsid w:val="00BB3BF2"/>
    <w:rsid w:val="00BC4B41"/>
    <w:rsid w:val="00BE29C1"/>
    <w:rsid w:val="00C2401D"/>
    <w:rsid w:val="00C332DD"/>
    <w:rsid w:val="00C341FB"/>
    <w:rsid w:val="00C53A68"/>
    <w:rsid w:val="00C95F7E"/>
    <w:rsid w:val="00CA5BB4"/>
    <w:rsid w:val="00CA7279"/>
    <w:rsid w:val="00CB4BD1"/>
    <w:rsid w:val="00CE2DA9"/>
    <w:rsid w:val="00CE44BE"/>
    <w:rsid w:val="00CF7D5F"/>
    <w:rsid w:val="00D4356B"/>
    <w:rsid w:val="00D7162F"/>
    <w:rsid w:val="00D7696E"/>
    <w:rsid w:val="00D85637"/>
    <w:rsid w:val="00D949DB"/>
    <w:rsid w:val="00DA74CE"/>
    <w:rsid w:val="00E44A86"/>
    <w:rsid w:val="00E522EB"/>
    <w:rsid w:val="00E60827"/>
    <w:rsid w:val="00E73FF6"/>
    <w:rsid w:val="00E944DD"/>
    <w:rsid w:val="00EA5334"/>
    <w:rsid w:val="00EF6E0C"/>
    <w:rsid w:val="00F36B78"/>
    <w:rsid w:val="00F55028"/>
    <w:rsid w:val="00F77BEF"/>
    <w:rsid w:val="00FA3ABA"/>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C6C0A"/>
    <w:rPr>
      <w:color w:val="808080"/>
    </w:rPr>
  </w:style>
  <w:style w:type="paragraph" w:customStyle="1" w:styleId="7E2C11DED1EF415B9EED2CD3A4ABA51E">
    <w:name w:val="7E2C11DED1EF415B9EED2CD3A4ABA51E"/>
    <w:rsid w:val="002C6C0A"/>
    <w:pPr>
      <w:spacing w:line="278" w:lineRule="auto"/>
    </w:pPr>
    <w:rPr>
      <w:kern w:val="2"/>
      <w:sz w:val="24"/>
      <w:szCs w:val="24"/>
      <w14:ligatures w14:val="standardContextual"/>
    </w:rPr>
  </w:style>
  <w:style w:type="paragraph" w:customStyle="1" w:styleId="620176386C9A4722A774C7083135183A">
    <w:name w:val="620176386C9A4722A774C7083135183A"/>
    <w:rsid w:val="002C6C0A"/>
    <w:pPr>
      <w:spacing w:line="278" w:lineRule="auto"/>
    </w:pPr>
    <w:rPr>
      <w:kern w:val="2"/>
      <w:sz w:val="24"/>
      <w:szCs w:val="24"/>
      <w14:ligatures w14:val="standardContextual"/>
    </w:rPr>
  </w:style>
  <w:style w:type="paragraph" w:customStyle="1" w:styleId="E23AF5697265412497CAC9114AF8F995">
    <w:name w:val="E23AF5697265412497CAC9114AF8F995"/>
    <w:rsid w:val="002C6C0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45B05-E45C-42C1-BD7F-3CC277F41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3398</Words>
  <Characters>19370</Characters>
  <Application>Microsoft Office Word</Application>
  <DocSecurity>0</DocSecurity>
  <Lines>161</Lines>
  <Paragraphs>45</Paragraphs>
  <ScaleCrop>false</ScaleCrop>
  <Company/>
  <LinksUpToDate>false</LinksUpToDate>
  <CharactersWithSpaces>22723</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2025-12-22T07:14:00Z</dcterms:created>
  <dcterms:modified xsi:type="dcterms:W3CDTF">2026-02-05T14:55:00Z</dcterms:modified>
</cp:coreProperties>
</file>