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E5EB3" w14:textId="1955ADE3" w:rsidR="005F7602" w:rsidRPr="000203E1" w:rsidRDefault="005F7602" w:rsidP="002946C7">
      <w:pPr>
        <w:ind w:left="5529"/>
      </w:pPr>
    </w:p>
    <w:p w14:paraId="12FA4B9E" w14:textId="39AA3336" w:rsidR="001B3C5B" w:rsidRPr="000203E1" w:rsidRDefault="00DC261A" w:rsidP="001B3C5B">
      <w:pPr>
        <w:ind w:left="6096"/>
      </w:pPr>
      <w:bookmarkStart w:id="0" w:name="_Hlk189565243"/>
      <w:r w:rsidRPr="00DC261A">
        <w:t>PATVIRTINTA</w:t>
      </w:r>
    </w:p>
    <w:p w14:paraId="7206970B" w14:textId="70E9BD2E" w:rsidR="004C263A" w:rsidRPr="000203E1" w:rsidRDefault="001B3C5B" w:rsidP="001B3C5B">
      <w:pPr>
        <w:ind w:left="6096"/>
      </w:pPr>
      <w:r w:rsidRPr="000203E1">
        <w:t>Valstybinės vaistų kontrolės tarnybos prie Lietuvos Respublikos sveikatos apsaugos ministerijos viršininko 2021 m</w:t>
      </w:r>
      <w:r w:rsidR="004C263A" w:rsidRPr="000203E1">
        <w:t xml:space="preserve">. lapkričio 12 </w:t>
      </w:r>
      <w:r w:rsidRPr="000203E1">
        <w:t>d. įsakymu Nr.</w:t>
      </w:r>
      <w:r w:rsidR="004C263A" w:rsidRPr="000203E1">
        <w:t xml:space="preserve"> (1.72E)1A-1418</w:t>
      </w:r>
    </w:p>
    <w:p w14:paraId="5B219AA6" w14:textId="3A5D6CB4" w:rsidR="001B3C5B" w:rsidRPr="000203E1" w:rsidRDefault="004C263A" w:rsidP="001B3C5B">
      <w:pPr>
        <w:ind w:left="6096"/>
      </w:pPr>
      <w:r w:rsidRPr="000203E1">
        <w:t>(Valstybinės vaistų kontrolės tarnybos prie Lietuvos Respublikos sveikatos apsaugos ministerijos viršininko 202</w:t>
      </w:r>
      <w:r w:rsidR="00A2310D">
        <w:t>5</w:t>
      </w:r>
      <w:r w:rsidRPr="000203E1">
        <w:t xml:space="preserve"> m.                         d. įsakymo Nr.                    redakcija)</w:t>
      </w:r>
    </w:p>
    <w:p w14:paraId="3336BD74" w14:textId="77777777" w:rsidR="001B3C5B" w:rsidRPr="000203E1" w:rsidRDefault="001B3C5B" w:rsidP="00FA4169"/>
    <w:bookmarkEnd w:id="0"/>
    <w:p w14:paraId="1F153551" w14:textId="77777777" w:rsidR="00715F80" w:rsidRDefault="00715F80" w:rsidP="003B211A">
      <w:pPr>
        <w:jc w:val="center"/>
        <w:rPr>
          <w:b/>
        </w:rPr>
      </w:pPr>
    </w:p>
    <w:p w14:paraId="77AFB67E" w14:textId="222275FD" w:rsidR="00613501" w:rsidRPr="000203E1" w:rsidRDefault="002F0E4F" w:rsidP="003B211A">
      <w:pPr>
        <w:jc w:val="center"/>
        <w:rPr>
          <w:b/>
          <w:bCs/>
          <w:caps/>
        </w:rPr>
      </w:pPr>
      <w:r w:rsidRPr="000203E1">
        <w:rPr>
          <w:b/>
        </w:rPr>
        <w:t xml:space="preserve">REKOMENDACIJA DĖL VAISTINIO PREPARATO </w:t>
      </w:r>
      <w:r w:rsidRPr="000203E1">
        <w:rPr>
          <w:b/>
          <w:bCs/>
          <w:caps/>
        </w:rPr>
        <w:t>Lietuvos Respublikos Sveikatos apsaugos ministerijos vaistinių preparatų ir medicinos pagalbos priemonių kompensavimo komisijai</w:t>
      </w:r>
    </w:p>
    <w:p w14:paraId="34E4395D" w14:textId="15FB10DF" w:rsidR="00B13D65" w:rsidRPr="000203E1" w:rsidRDefault="00B13D65" w:rsidP="003B211A">
      <w:pPr>
        <w:jc w:val="center"/>
        <w:rPr>
          <w:b/>
        </w:rPr>
      </w:pPr>
    </w:p>
    <w:p w14:paraId="772D0CAB" w14:textId="77777777" w:rsidR="009577EE" w:rsidRPr="0058193A" w:rsidRDefault="009577EE" w:rsidP="009577EE">
      <w:pPr>
        <w:spacing w:line="280" w:lineRule="atLeast"/>
        <w:jc w:val="center"/>
        <w:rPr>
          <w:b/>
        </w:rPr>
      </w:pPr>
      <w:proofErr w:type="spellStart"/>
      <w:r w:rsidRPr="0058193A">
        <w:rPr>
          <w:b/>
        </w:rPr>
        <w:t>Lutathera</w:t>
      </w:r>
      <w:proofErr w:type="spellEnd"/>
      <w:r w:rsidRPr="0058193A">
        <w:rPr>
          <w:b/>
        </w:rPr>
        <w:t xml:space="preserve"> 370 </w:t>
      </w:r>
      <w:proofErr w:type="spellStart"/>
      <w:r w:rsidRPr="0058193A">
        <w:rPr>
          <w:b/>
        </w:rPr>
        <w:t>MBq</w:t>
      </w:r>
      <w:proofErr w:type="spellEnd"/>
      <w:r w:rsidRPr="0058193A">
        <w:rPr>
          <w:b/>
        </w:rPr>
        <w:t>/ml 20,5 ml infuzinis tirpalas</w:t>
      </w:r>
    </w:p>
    <w:p w14:paraId="164BF85B" w14:textId="77777777" w:rsidR="009577EE" w:rsidRPr="0058193A" w:rsidRDefault="009577EE" w:rsidP="009577EE">
      <w:pPr>
        <w:spacing w:line="280" w:lineRule="atLeast"/>
        <w:jc w:val="center"/>
        <w:rPr>
          <w:b/>
        </w:rPr>
      </w:pPr>
    </w:p>
    <w:p w14:paraId="7B8374D3" w14:textId="77777777" w:rsidR="009577EE" w:rsidRPr="0058193A" w:rsidRDefault="009577EE" w:rsidP="009577EE">
      <w:pPr>
        <w:spacing w:line="280" w:lineRule="atLeast"/>
        <w:jc w:val="center"/>
        <w:rPr>
          <w:b/>
        </w:rPr>
      </w:pPr>
      <w:proofErr w:type="spellStart"/>
      <w:r w:rsidRPr="0058193A">
        <w:rPr>
          <w:b/>
        </w:rPr>
        <w:t>Lutecio</w:t>
      </w:r>
      <w:proofErr w:type="spellEnd"/>
      <w:r w:rsidRPr="0058193A">
        <w:rPr>
          <w:b/>
        </w:rPr>
        <w:t xml:space="preserve"> (177Lu) </w:t>
      </w:r>
      <w:proofErr w:type="spellStart"/>
      <w:r w:rsidRPr="0058193A">
        <w:rPr>
          <w:b/>
        </w:rPr>
        <w:t>oksodotreotidas</w:t>
      </w:r>
      <w:proofErr w:type="spellEnd"/>
    </w:p>
    <w:p w14:paraId="7D25C493" w14:textId="77777777" w:rsidR="009577EE" w:rsidRPr="0058193A" w:rsidRDefault="009577EE" w:rsidP="009577EE">
      <w:pPr>
        <w:spacing w:line="280" w:lineRule="atLeast"/>
        <w:jc w:val="center"/>
        <w:rPr>
          <w:b/>
        </w:rPr>
      </w:pPr>
    </w:p>
    <w:p w14:paraId="2CF33A68" w14:textId="77777777" w:rsidR="009577EE" w:rsidRDefault="009577EE" w:rsidP="009577EE">
      <w:pPr>
        <w:spacing w:line="280" w:lineRule="atLeast"/>
        <w:jc w:val="center"/>
        <w:rPr>
          <w:b/>
        </w:rPr>
      </w:pPr>
      <w:r w:rsidRPr="0058193A">
        <w:rPr>
          <w:b/>
        </w:rPr>
        <w:t>STV-</w:t>
      </w:r>
      <w:r>
        <w:rPr>
          <w:b/>
        </w:rPr>
        <w:t>250</w:t>
      </w:r>
    </w:p>
    <w:p w14:paraId="453197C8" w14:textId="77777777" w:rsidR="00D4708D" w:rsidRPr="000203E1" w:rsidRDefault="00D4708D" w:rsidP="003B211A">
      <w:pPr>
        <w:jc w:val="center"/>
        <w:rPr>
          <w:b/>
        </w:rPr>
      </w:pPr>
    </w:p>
    <w:p w14:paraId="78C89D1C" w14:textId="0DEFFAA5" w:rsidR="00D4485B" w:rsidRPr="000203E1" w:rsidRDefault="00B13D65" w:rsidP="00CC09D4">
      <w:pPr>
        <w:pStyle w:val="Sraopastraipa"/>
        <w:numPr>
          <w:ilvl w:val="0"/>
          <w:numId w:val="12"/>
        </w:numPr>
        <w:tabs>
          <w:tab w:val="left" w:pos="567"/>
        </w:tabs>
        <w:ind w:left="567" w:hanging="567"/>
        <w:rPr>
          <w:b/>
          <w:bCs/>
          <w:caps/>
        </w:rPr>
      </w:pPr>
      <w:r w:rsidRPr="000203E1">
        <w:rPr>
          <w:b/>
          <w:bCs/>
          <w:caps/>
        </w:rPr>
        <w:t>Bendroji dalis</w:t>
      </w:r>
    </w:p>
    <w:p w14:paraId="04A7C7A7" w14:textId="77777777" w:rsidR="00B13D65" w:rsidRPr="000203E1" w:rsidRDefault="00B13D65" w:rsidP="00E03C3F">
      <w:pPr>
        <w:pStyle w:val="Sraopastraipa"/>
        <w:tabs>
          <w:tab w:val="left" w:pos="284"/>
        </w:tabs>
        <w:ind w:left="0"/>
        <w:rPr>
          <w:b/>
          <w:bCs/>
          <w:caps/>
        </w:rPr>
      </w:pPr>
    </w:p>
    <w:tbl>
      <w:tblPr>
        <w:tblStyle w:val="Lentelstinklelis"/>
        <w:tblW w:w="9493" w:type="dxa"/>
        <w:tblLook w:val="04A0" w:firstRow="1" w:lastRow="0" w:firstColumn="1" w:lastColumn="0" w:noHBand="0" w:noVBand="1"/>
      </w:tblPr>
      <w:tblGrid>
        <w:gridCol w:w="632"/>
        <w:gridCol w:w="3899"/>
        <w:gridCol w:w="4962"/>
      </w:tblGrid>
      <w:tr w:rsidR="00091820" w:rsidRPr="00977D72" w14:paraId="16A7BC7B" w14:textId="77777777" w:rsidTr="003F3FFF">
        <w:trPr>
          <w:trHeight w:val="538"/>
        </w:trPr>
        <w:tc>
          <w:tcPr>
            <w:tcW w:w="632" w:type="dxa"/>
          </w:tcPr>
          <w:p w14:paraId="4572808D" w14:textId="77777777" w:rsidR="00091820" w:rsidRPr="00977D72" w:rsidRDefault="00091820" w:rsidP="00091820">
            <w:pPr>
              <w:rPr>
                <w:rFonts w:eastAsia="Arial"/>
                <w:b/>
                <w:bCs/>
              </w:rPr>
            </w:pPr>
            <w:r w:rsidRPr="00977D72">
              <w:rPr>
                <w:rFonts w:eastAsia="Arial"/>
                <w:b/>
                <w:bCs/>
              </w:rPr>
              <w:t>1.1</w:t>
            </w:r>
          </w:p>
        </w:tc>
        <w:tc>
          <w:tcPr>
            <w:tcW w:w="3899" w:type="dxa"/>
          </w:tcPr>
          <w:p w14:paraId="54BA6EB3" w14:textId="77777777" w:rsidR="00091820" w:rsidRPr="00977D72" w:rsidRDefault="00091820" w:rsidP="00091820">
            <w:pPr>
              <w:rPr>
                <w:rFonts w:eastAsia="Arial"/>
                <w:b/>
                <w:bCs/>
              </w:rPr>
            </w:pPr>
            <w:r w:rsidRPr="00977D72">
              <w:rPr>
                <w:rFonts w:eastAsia="Arial"/>
                <w:b/>
                <w:bCs/>
              </w:rPr>
              <w:t>Pareiškėjas</w:t>
            </w:r>
            <w:r>
              <w:rPr>
                <w:rFonts w:eastAsia="Arial"/>
                <w:b/>
                <w:bCs/>
              </w:rPr>
              <w:t>/ pareiškėjo atstovas</w:t>
            </w:r>
          </w:p>
        </w:tc>
        <w:tc>
          <w:tcPr>
            <w:tcW w:w="4962" w:type="dxa"/>
          </w:tcPr>
          <w:p w14:paraId="0F359BD4" w14:textId="1CFE3CA2" w:rsidR="00091820" w:rsidRPr="00977D72" w:rsidRDefault="00091820" w:rsidP="00091820">
            <w:pPr>
              <w:rPr>
                <w:rFonts w:eastAsia="Arial"/>
              </w:rPr>
            </w:pPr>
            <w:r>
              <w:t xml:space="preserve">SIA </w:t>
            </w:r>
            <w:proofErr w:type="spellStart"/>
            <w:r>
              <w:t>Novartis</w:t>
            </w:r>
            <w:proofErr w:type="spellEnd"/>
            <w:r>
              <w:t xml:space="preserve"> </w:t>
            </w:r>
            <w:proofErr w:type="spellStart"/>
            <w:r>
              <w:t>Baltics</w:t>
            </w:r>
            <w:proofErr w:type="spellEnd"/>
            <w:r>
              <w:t xml:space="preserve"> Lietuvos filialas</w:t>
            </w:r>
          </w:p>
        </w:tc>
      </w:tr>
      <w:tr w:rsidR="00091820" w:rsidRPr="00977D72" w14:paraId="101EA148" w14:textId="77777777" w:rsidTr="003F3FFF">
        <w:trPr>
          <w:trHeight w:val="538"/>
        </w:trPr>
        <w:tc>
          <w:tcPr>
            <w:tcW w:w="632" w:type="dxa"/>
          </w:tcPr>
          <w:p w14:paraId="3BF67175" w14:textId="77777777" w:rsidR="00091820" w:rsidRPr="00977D72" w:rsidRDefault="00091820" w:rsidP="00091820">
            <w:pPr>
              <w:rPr>
                <w:rFonts w:eastAsia="Arial"/>
                <w:b/>
                <w:bCs/>
              </w:rPr>
            </w:pPr>
            <w:r w:rsidRPr="00977D72">
              <w:rPr>
                <w:rFonts w:eastAsia="Arial"/>
                <w:b/>
                <w:bCs/>
              </w:rPr>
              <w:t>1.2</w:t>
            </w:r>
          </w:p>
        </w:tc>
        <w:tc>
          <w:tcPr>
            <w:tcW w:w="3899" w:type="dxa"/>
          </w:tcPr>
          <w:p w14:paraId="786B66DF" w14:textId="77777777" w:rsidR="00091820" w:rsidRPr="00977D72" w:rsidRDefault="00091820" w:rsidP="00091820">
            <w:pPr>
              <w:rPr>
                <w:b/>
                <w:bCs/>
                <w:lang w:eastAsia="lt-LT"/>
              </w:rPr>
            </w:pPr>
            <w:r w:rsidRPr="00977D72">
              <w:rPr>
                <w:b/>
                <w:bCs/>
                <w:lang w:eastAsia="lt-LT"/>
              </w:rPr>
              <w:t xml:space="preserve">Vaistinio preparato registracijos data </w:t>
            </w:r>
          </w:p>
          <w:p w14:paraId="4B568341" w14:textId="77777777" w:rsidR="00091820" w:rsidRPr="00977D72" w:rsidRDefault="00091820" w:rsidP="00091820">
            <w:pPr>
              <w:rPr>
                <w:b/>
                <w:bCs/>
                <w:lang w:eastAsia="lt-LT"/>
              </w:rPr>
            </w:pPr>
          </w:p>
        </w:tc>
        <w:tc>
          <w:tcPr>
            <w:tcW w:w="4962" w:type="dxa"/>
          </w:tcPr>
          <w:p w14:paraId="50F63366" w14:textId="2E48594B" w:rsidR="00091820" w:rsidRPr="00977D72" w:rsidRDefault="005366E3" w:rsidP="00091820">
            <w:pPr>
              <w:rPr>
                <w:rStyle w:val="Style2"/>
              </w:rPr>
            </w:pPr>
            <w:sdt>
              <w:sdtPr>
                <w:rPr>
                  <w:sz w:val="32"/>
                </w:rPr>
                <w:alias w:val="Nurodykite konkrečią dieną"/>
                <w:tag w:val="Nurodykite pradžios datą"/>
                <w:id w:val="1772196685"/>
                <w:placeholder>
                  <w:docPart w:val="F1BDFA5692BE4CAE9956BBF71DCA770A"/>
                </w:placeholder>
                <w15:color w:val="FFCC99"/>
                <w:date w:fullDate="2017-09-26T00:00:00Z">
                  <w:dateFormat w:val="yyyy 'm.' MMMM d 'd.'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="00091820" w:rsidRPr="003A26BF">
                  <w:t>2017 m. rugsėjo 26 d.</w:t>
                </w:r>
              </w:sdtContent>
            </w:sdt>
          </w:p>
        </w:tc>
      </w:tr>
      <w:tr w:rsidR="00E70CED" w:rsidRPr="00977D72" w14:paraId="3D70E0FA" w14:textId="77777777" w:rsidTr="001F115E">
        <w:trPr>
          <w:trHeight w:val="1643"/>
        </w:trPr>
        <w:tc>
          <w:tcPr>
            <w:tcW w:w="632" w:type="dxa"/>
          </w:tcPr>
          <w:p w14:paraId="021DF6BD" w14:textId="77777777" w:rsidR="00E70CED" w:rsidRPr="00977D72" w:rsidRDefault="00E70CED" w:rsidP="001F115E">
            <w:pPr>
              <w:rPr>
                <w:rFonts w:eastAsia="Arial"/>
                <w:b/>
                <w:bCs/>
              </w:rPr>
            </w:pPr>
            <w:r w:rsidRPr="00977D72">
              <w:rPr>
                <w:rFonts w:eastAsia="Arial"/>
                <w:b/>
                <w:bCs/>
              </w:rPr>
              <w:t>1.3</w:t>
            </w:r>
          </w:p>
        </w:tc>
        <w:tc>
          <w:tcPr>
            <w:tcW w:w="3899" w:type="dxa"/>
          </w:tcPr>
          <w:p w14:paraId="528F713F" w14:textId="77777777" w:rsidR="00E70CED" w:rsidRPr="00977D72" w:rsidRDefault="00E70CED" w:rsidP="001F115E">
            <w:pPr>
              <w:pStyle w:val="Betarp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977D72">
              <w:rPr>
                <w:rFonts w:ascii="Times New Roman" w:hAnsi="Times New Roman"/>
                <w:b/>
                <w:sz w:val="24"/>
                <w:szCs w:val="24"/>
              </w:rPr>
              <w:t xml:space="preserve">Vaistinio preparato </w:t>
            </w:r>
            <w:r w:rsidRPr="00977D7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registracijos teisinis pagrindas</w:t>
            </w:r>
          </w:p>
          <w:p w14:paraId="63F86DC1" w14:textId="77777777" w:rsidR="00E70CED" w:rsidRPr="00977D72" w:rsidRDefault="00E70CED" w:rsidP="001F115E">
            <w:pPr>
              <w:pStyle w:val="Betarp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977D7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(</w:t>
            </w:r>
            <w:r w:rsidRPr="00977D72">
              <w:rPr>
                <w:rFonts w:ascii="Times New Roman" w:hAnsi="Times New Roman"/>
                <w:b/>
                <w:sz w:val="24"/>
                <w:szCs w:val="24"/>
              </w:rPr>
              <w:t>Direktyvos 2001/83/EB str.)</w:t>
            </w:r>
          </w:p>
        </w:tc>
        <w:tc>
          <w:tcPr>
            <w:tcW w:w="4962" w:type="dxa"/>
          </w:tcPr>
          <w:p w14:paraId="4C977D39" w14:textId="02C4D1B6" w:rsidR="00E70CED" w:rsidRPr="001A0CAA" w:rsidRDefault="005366E3" w:rsidP="001F115E">
            <w:sdt>
              <w:sdtPr>
                <w:rPr>
                  <w:rStyle w:val="Style2"/>
                  <w:sz w:val="24"/>
                </w:rPr>
                <w:id w:val="526292078"/>
                <w15:color w:val="FFCC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9577EE">
                  <w:rPr>
                    <w:rStyle w:val="Style2"/>
                    <w:rFonts w:ascii="MS Gothic" w:eastAsia="MS Gothic" w:hAnsi="MS Gothic" w:hint="eastAsia"/>
                    <w:sz w:val="24"/>
                  </w:rPr>
                  <w:t>☒</w:t>
                </w:r>
              </w:sdtContent>
            </w:sdt>
            <w:r w:rsidR="00E70CED" w:rsidRPr="001A0CAA">
              <w:t>8.3 str. (pilna byla, pagrįsta savais tyrimais)</w:t>
            </w:r>
          </w:p>
          <w:p w14:paraId="6AABD410" w14:textId="77777777" w:rsidR="00E70CED" w:rsidRPr="001A0CAA" w:rsidRDefault="005366E3" w:rsidP="001F115E">
            <w:sdt>
              <w:sdtPr>
                <w:rPr>
                  <w:rStyle w:val="Style2"/>
                  <w:sz w:val="24"/>
                </w:rPr>
                <w:id w:val="-1497953736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E70CED" w:rsidRPr="001A0CAA">
                  <w:rPr>
                    <w:rStyle w:val="Style2"/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E70CED" w:rsidRPr="001A0CAA">
              <w:t>10 a str. (pripažintas medicininis vartojimas)</w:t>
            </w:r>
          </w:p>
          <w:p w14:paraId="5CF35A47" w14:textId="77777777" w:rsidR="00E70CED" w:rsidRPr="001A0CAA" w:rsidRDefault="005366E3" w:rsidP="001F115E">
            <w:sdt>
              <w:sdtPr>
                <w:rPr>
                  <w:rStyle w:val="Style2"/>
                  <w:sz w:val="24"/>
                </w:rPr>
                <w:id w:val="204142496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E70CED" w:rsidRPr="001A0CAA">
                  <w:rPr>
                    <w:rStyle w:val="Style2"/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E70CED" w:rsidRPr="001A0CAA">
              <w:t>10.1 str. (</w:t>
            </w:r>
            <w:proofErr w:type="spellStart"/>
            <w:r w:rsidR="00E70CED" w:rsidRPr="001A0CAA">
              <w:t>generinis</w:t>
            </w:r>
            <w:proofErr w:type="spellEnd"/>
            <w:r w:rsidR="00E70CED" w:rsidRPr="001A0CAA">
              <w:t>)</w:t>
            </w:r>
          </w:p>
          <w:p w14:paraId="0517A1B2" w14:textId="77777777" w:rsidR="00E70CED" w:rsidRPr="00656846" w:rsidRDefault="005366E3" w:rsidP="001F115E">
            <w:sdt>
              <w:sdtPr>
                <w:rPr>
                  <w:rStyle w:val="Style2"/>
                  <w:sz w:val="24"/>
                </w:rPr>
                <w:id w:val="820305101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E70CED" w:rsidRPr="001A0CAA">
                  <w:rPr>
                    <w:rStyle w:val="Style2"/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E70CED" w:rsidRPr="001A0CAA">
              <w:t>10.3 str. (hibridinis)</w:t>
            </w:r>
          </w:p>
          <w:p w14:paraId="0F37DDE0" w14:textId="78AF6516" w:rsidR="00063A50" w:rsidRPr="001A0CAA" w:rsidRDefault="005366E3" w:rsidP="00063A50">
            <w:sdt>
              <w:sdtPr>
                <w:rPr>
                  <w:rStyle w:val="Style2"/>
                  <w:sz w:val="24"/>
                </w:rPr>
                <w:id w:val="1800953328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063A50" w:rsidRPr="001A0CAA">
                  <w:rPr>
                    <w:rStyle w:val="Style2"/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063A50" w:rsidRPr="001A0CAA">
              <w:t>10.4 str. (panašus biologinis)</w:t>
            </w:r>
          </w:p>
          <w:p w14:paraId="7EDB4848" w14:textId="77777777" w:rsidR="00063A50" w:rsidRPr="001A0CAA" w:rsidRDefault="00063A50" w:rsidP="001F115E">
            <w:pPr>
              <w:rPr>
                <w:rStyle w:val="Style2"/>
                <w:sz w:val="24"/>
              </w:rPr>
            </w:pPr>
          </w:p>
        </w:tc>
      </w:tr>
      <w:tr w:rsidR="00DD78DF" w:rsidRPr="00977D72" w14:paraId="31641941" w14:textId="77777777" w:rsidTr="003F3FFF">
        <w:trPr>
          <w:trHeight w:val="1011"/>
        </w:trPr>
        <w:tc>
          <w:tcPr>
            <w:tcW w:w="632" w:type="dxa"/>
          </w:tcPr>
          <w:p w14:paraId="2E73A32C" w14:textId="77777777" w:rsidR="00DD78DF" w:rsidRPr="00977D72" w:rsidRDefault="00DD78DF" w:rsidP="00DD78DF">
            <w:pPr>
              <w:rPr>
                <w:rFonts w:eastAsia="Arial"/>
                <w:b/>
                <w:bCs/>
              </w:rPr>
            </w:pPr>
            <w:r w:rsidRPr="00977D72">
              <w:rPr>
                <w:rFonts w:eastAsia="Arial"/>
                <w:b/>
              </w:rPr>
              <w:t>1.4</w:t>
            </w:r>
          </w:p>
        </w:tc>
        <w:tc>
          <w:tcPr>
            <w:tcW w:w="3899" w:type="dxa"/>
          </w:tcPr>
          <w:p w14:paraId="2547AC59" w14:textId="77777777" w:rsidR="00DD78DF" w:rsidRPr="001A0CAA" w:rsidRDefault="00DD78DF" w:rsidP="00DD78DF">
            <w:pPr>
              <w:tabs>
                <w:tab w:val="left" w:pos="284"/>
              </w:tabs>
              <w:rPr>
                <w:b/>
                <w:bCs/>
                <w:lang w:eastAsia="lt-LT"/>
              </w:rPr>
            </w:pPr>
            <w:r w:rsidRPr="001A0CAA">
              <w:rPr>
                <w:b/>
                <w:bCs/>
                <w:lang w:eastAsia="lt-LT"/>
              </w:rPr>
              <w:t>Ar vaistinis preparatas įrašytas į Bendrijos retųjų vaistinių preparatų registrą?</w:t>
            </w:r>
          </w:p>
        </w:tc>
        <w:tc>
          <w:tcPr>
            <w:tcW w:w="4962" w:type="dxa"/>
          </w:tcPr>
          <w:p w14:paraId="150AED49" w14:textId="77777777" w:rsidR="00DD78DF" w:rsidRPr="009300B3" w:rsidRDefault="005366E3" w:rsidP="00DD78DF">
            <w:pPr>
              <w:jc w:val="both"/>
            </w:pPr>
            <w:sdt>
              <w:sdtPr>
                <w:rPr>
                  <w:rStyle w:val="Style2"/>
                </w:rPr>
                <w:id w:val="1190730465"/>
                <w15:color w:val="FFCC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DD78DF">
                  <w:rPr>
                    <w:rStyle w:val="Style2"/>
                    <w:rFonts w:ascii="MS Gothic" w:eastAsia="MS Gothic" w:hAnsi="MS Gothic" w:hint="eastAsia"/>
                  </w:rPr>
                  <w:t>☒</w:t>
                </w:r>
              </w:sdtContent>
            </w:sdt>
            <w:r w:rsidR="00DD78DF" w:rsidRPr="009300B3">
              <w:t xml:space="preserve"> Taip       </w:t>
            </w:r>
            <w:r w:rsidR="00DD78DF" w:rsidRPr="009300B3">
              <w:rPr>
                <w:rStyle w:val="Style2"/>
              </w:rPr>
              <w:t xml:space="preserve"> </w:t>
            </w:r>
            <w:sdt>
              <w:sdtPr>
                <w:rPr>
                  <w:rStyle w:val="Style2"/>
                </w:rPr>
                <w:id w:val="-1760283509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DD78DF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DD78DF" w:rsidRPr="009300B3">
              <w:t xml:space="preserve"> Ne</w:t>
            </w:r>
          </w:p>
          <w:p w14:paraId="5F3DD4BF" w14:textId="77777777" w:rsidR="00DD78DF" w:rsidRPr="009300B3" w:rsidRDefault="00DD78DF" w:rsidP="00DD78DF">
            <w:pPr>
              <w:jc w:val="both"/>
            </w:pPr>
            <w:r w:rsidRPr="009300B3">
              <w:t xml:space="preserve">Data: </w:t>
            </w:r>
            <w:sdt>
              <w:sdtPr>
                <w:alias w:val="Nurodykite konkrečią dieną"/>
                <w:tag w:val="Nurodykite pradžios datą"/>
                <w:id w:val="1784158105"/>
                <w:placeholder>
                  <w:docPart w:val="14FA3D9CC8F84CA585279369A0DFAE2C"/>
                </w:placeholder>
                <w15:color w:val="FFCC99"/>
                <w:date>
                  <w:dateFormat w:val="yyyy 'm.' MMMM d 'd.'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Pr="006A31C8">
                  <w:t>201</w:t>
                </w:r>
                <w:r>
                  <w:t xml:space="preserve">8 </w:t>
                </w:r>
                <w:r w:rsidRPr="006A31C8">
                  <w:t xml:space="preserve">m. </w:t>
                </w:r>
                <w:r>
                  <w:t>sausio</w:t>
                </w:r>
                <w:r w:rsidRPr="006A31C8">
                  <w:t xml:space="preserve"> </w:t>
                </w:r>
                <w:r>
                  <w:t>17</w:t>
                </w:r>
                <w:r w:rsidRPr="006A31C8">
                  <w:t xml:space="preserve"> d.</w:t>
                </w:r>
              </w:sdtContent>
            </w:sdt>
          </w:p>
          <w:p w14:paraId="56165267" w14:textId="62178B4F" w:rsidR="00DD78DF" w:rsidRPr="001A0CAA" w:rsidRDefault="00DD78DF" w:rsidP="00DD78DF">
            <w:pPr>
              <w:rPr>
                <w:rFonts w:eastAsia="Arial"/>
              </w:rPr>
            </w:pPr>
            <w:r w:rsidRPr="009300B3">
              <w:t>Nr.</w:t>
            </w:r>
            <w:r>
              <w:t xml:space="preserve"> </w:t>
            </w:r>
            <w:r w:rsidRPr="00197331">
              <w:t>EMA/552373/2017</w:t>
            </w:r>
          </w:p>
        </w:tc>
      </w:tr>
      <w:tr w:rsidR="00DD78DF" w:rsidRPr="00977D72" w14:paraId="5E0775EB" w14:textId="77777777" w:rsidTr="003F3FFF">
        <w:trPr>
          <w:trHeight w:val="1011"/>
        </w:trPr>
        <w:tc>
          <w:tcPr>
            <w:tcW w:w="632" w:type="dxa"/>
          </w:tcPr>
          <w:p w14:paraId="6829924D" w14:textId="77777777" w:rsidR="00DD78DF" w:rsidRPr="00977D72" w:rsidRDefault="00DD78DF" w:rsidP="00DD78DF">
            <w:pPr>
              <w:rPr>
                <w:rFonts w:eastAsia="Arial"/>
                <w:b/>
              </w:rPr>
            </w:pPr>
            <w:r w:rsidRPr="00977D72">
              <w:rPr>
                <w:rFonts w:eastAsia="Arial"/>
                <w:b/>
                <w:bCs/>
              </w:rPr>
              <w:t>1.5</w:t>
            </w:r>
          </w:p>
        </w:tc>
        <w:tc>
          <w:tcPr>
            <w:tcW w:w="3899" w:type="dxa"/>
          </w:tcPr>
          <w:p w14:paraId="1DDE7CF3" w14:textId="2FF7A402" w:rsidR="00DD78DF" w:rsidRPr="001A0CAA" w:rsidRDefault="00DD78DF" w:rsidP="00DD78DF">
            <w:pPr>
              <w:tabs>
                <w:tab w:val="left" w:pos="284"/>
              </w:tabs>
              <w:rPr>
                <w:b/>
                <w:bCs/>
                <w:lang w:eastAsia="lt-LT"/>
              </w:rPr>
            </w:pPr>
            <w:r w:rsidRPr="001A0CAA">
              <w:rPr>
                <w:b/>
                <w:bCs/>
                <w:lang w:eastAsia="lt-LT"/>
              </w:rPr>
              <w:t>Ar atliktas bendras klinikinis vertinimas</w:t>
            </w:r>
          </w:p>
          <w:p w14:paraId="0961228D" w14:textId="77777777" w:rsidR="00DD78DF" w:rsidRPr="001A0CAA" w:rsidRDefault="00DD78DF" w:rsidP="00DD78DF">
            <w:pPr>
              <w:tabs>
                <w:tab w:val="left" w:pos="284"/>
              </w:tabs>
              <w:rPr>
                <w:b/>
                <w:bCs/>
                <w:lang w:eastAsia="lt-LT"/>
              </w:rPr>
            </w:pPr>
            <w:r w:rsidRPr="001A0CAA">
              <w:rPr>
                <w:b/>
                <w:bCs/>
                <w:lang w:eastAsia="lt-LT"/>
              </w:rPr>
              <w:t>(Europos Parlamento ir Tarybos reglamentas (ES) 2021/2282)</w:t>
            </w:r>
          </w:p>
          <w:p w14:paraId="7B6C3C1B" w14:textId="77777777" w:rsidR="00DD78DF" w:rsidRPr="001A0CAA" w:rsidRDefault="00DD78DF" w:rsidP="00DD78DF">
            <w:pPr>
              <w:tabs>
                <w:tab w:val="left" w:pos="284"/>
              </w:tabs>
              <w:rPr>
                <w:b/>
                <w:bCs/>
                <w:lang w:eastAsia="lt-LT"/>
              </w:rPr>
            </w:pPr>
          </w:p>
        </w:tc>
        <w:tc>
          <w:tcPr>
            <w:tcW w:w="4962" w:type="dxa"/>
          </w:tcPr>
          <w:p w14:paraId="75F749D9" w14:textId="77777777" w:rsidR="00DD78DF" w:rsidRPr="009300B3" w:rsidRDefault="005366E3" w:rsidP="00DD78DF">
            <w:pPr>
              <w:jc w:val="both"/>
            </w:pPr>
            <w:sdt>
              <w:sdtPr>
                <w:rPr>
                  <w:rStyle w:val="Style2"/>
                </w:rPr>
                <w:id w:val="-1171564470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DD78DF" w:rsidRPr="009300B3">
                  <w:rPr>
                    <w:rStyle w:val="Style2"/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D78DF" w:rsidRPr="009300B3">
              <w:t xml:space="preserve"> Taip       </w:t>
            </w:r>
            <w:r w:rsidR="00DD78DF" w:rsidRPr="009300B3">
              <w:rPr>
                <w:rStyle w:val="Style2"/>
              </w:rPr>
              <w:t xml:space="preserve"> </w:t>
            </w:r>
            <w:sdt>
              <w:sdtPr>
                <w:rPr>
                  <w:rStyle w:val="Style2"/>
                </w:rPr>
                <w:id w:val="1448122567"/>
                <w15:color w:val="FFCC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DD78DF">
                  <w:rPr>
                    <w:rStyle w:val="Style2"/>
                    <w:rFonts w:ascii="MS Gothic" w:eastAsia="MS Gothic" w:hAnsi="MS Gothic" w:hint="eastAsia"/>
                  </w:rPr>
                  <w:t>☒</w:t>
                </w:r>
              </w:sdtContent>
            </w:sdt>
            <w:r w:rsidR="00DD78DF" w:rsidRPr="009300B3">
              <w:t xml:space="preserve"> Ne</w:t>
            </w:r>
          </w:p>
          <w:p w14:paraId="0DF729B3" w14:textId="2AD8F73B" w:rsidR="00DD78DF" w:rsidRPr="001A0CAA" w:rsidRDefault="00DD78DF" w:rsidP="00DD78DF">
            <w:pPr>
              <w:rPr>
                <w:rStyle w:val="Style2"/>
                <w:sz w:val="24"/>
              </w:rPr>
            </w:pPr>
            <w:r w:rsidRPr="009300B3">
              <w:t xml:space="preserve">Data: </w:t>
            </w:r>
            <w:sdt>
              <w:sdtPr>
                <w:alias w:val="Nurodykite konkrečią dieną"/>
                <w:tag w:val="Nurodykite pradžios datą"/>
                <w:id w:val="1516880001"/>
                <w:placeholder>
                  <w:docPart w:val="9DE5305B2C2C4817B46F4EB6F2AF78F2"/>
                </w:placeholder>
                <w:showingPlcHdr/>
                <w15:color w:val="FFCC99"/>
                <w:date w:fullDate="2022-05-18T00:00:00Z">
                  <w:dateFormat w:val="yyyy 'm.' MMMM d 'd.'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Pr="009300B3">
                  <w:rPr>
                    <w:rStyle w:val="Vietosrezervavimoenklotekstas"/>
                  </w:rPr>
                  <w:t>Click here to enter a date.</w:t>
                </w:r>
              </w:sdtContent>
            </w:sdt>
            <w:r w:rsidRPr="009300B3">
              <w:t xml:space="preserve"> </w:t>
            </w:r>
          </w:p>
        </w:tc>
      </w:tr>
      <w:tr w:rsidR="0081406C" w:rsidRPr="00977D72" w14:paraId="15E36E93" w14:textId="77777777" w:rsidTr="003F3FFF">
        <w:trPr>
          <w:trHeight w:val="1278"/>
        </w:trPr>
        <w:tc>
          <w:tcPr>
            <w:tcW w:w="632" w:type="dxa"/>
          </w:tcPr>
          <w:p w14:paraId="5F43AA8F" w14:textId="77777777" w:rsidR="0081406C" w:rsidRPr="00977D72" w:rsidRDefault="0081406C" w:rsidP="0081406C">
            <w:pPr>
              <w:rPr>
                <w:rFonts w:eastAsia="Arial"/>
                <w:b/>
                <w:bCs/>
              </w:rPr>
            </w:pPr>
            <w:r w:rsidRPr="00977D72">
              <w:rPr>
                <w:rFonts w:eastAsia="Arial"/>
                <w:b/>
                <w:bCs/>
              </w:rPr>
              <w:t>1.6</w:t>
            </w:r>
          </w:p>
        </w:tc>
        <w:tc>
          <w:tcPr>
            <w:tcW w:w="3899" w:type="dxa"/>
          </w:tcPr>
          <w:p w14:paraId="41F32942" w14:textId="77777777" w:rsidR="0081406C" w:rsidRPr="00977D72" w:rsidRDefault="0081406C" w:rsidP="0081406C">
            <w:pPr>
              <w:rPr>
                <w:b/>
                <w:bCs/>
                <w:lang w:eastAsia="lt-LT"/>
              </w:rPr>
            </w:pPr>
            <w:r w:rsidRPr="00977D72">
              <w:rPr>
                <w:b/>
                <w:bCs/>
                <w:lang w:eastAsia="lt-LT"/>
              </w:rPr>
              <w:t xml:space="preserve">Teikiama kompensuoti terapinė indikacija </w:t>
            </w:r>
          </w:p>
          <w:p w14:paraId="2882A5BD" w14:textId="77777777" w:rsidR="0081406C" w:rsidRPr="00977D72" w:rsidRDefault="0081406C" w:rsidP="0081406C">
            <w:pPr>
              <w:rPr>
                <w:b/>
                <w:bCs/>
                <w:lang w:eastAsia="lt-LT"/>
              </w:rPr>
            </w:pPr>
          </w:p>
          <w:p w14:paraId="371D188E" w14:textId="77777777" w:rsidR="0081406C" w:rsidRPr="00977D72" w:rsidRDefault="0081406C" w:rsidP="0081406C">
            <w:pPr>
              <w:rPr>
                <w:b/>
                <w:bCs/>
                <w:lang w:eastAsia="lt-LT"/>
              </w:rPr>
            </w:pPr>
            <w:r w:rsidRPr="00977D72">
              <w:rPr>
                <w:b/>
                <w:bCs/>
                <w:lang w:eastAsia="lt-LT"/>
              </w:rPr>
              <w:t>Kodas pagal TLK-10 AM</w:t>
            </w:r>
          </w:p>
        </w:tc>
        <w:tc>
          <w:tcPr>
            <w:tcW w:w="4962" w:type="dxa"/>
          </w:tcPr>
          <w:p w14:paraId="70F9A476" w14:textId="77777777" w:rsidR="0081406C" w:rsidRPr="0099617C" w:rsidRDefault="0081406C" w:rsidP="0081406C">
            <w:pPr>
              <w:jc w:val="both"/>
            </w:pPr>
            <w:proofErr w:type="spellStart"/>
            <w:r w:rsidRPr="0099617C">
              <w:t>Lutathera</w:t>
            </w:r>
            <w:proofErr w:type="spellEnd"/>
            <w:r w:rsidRPr="0099617C">
              <w:t xml:space="preserve"> yra skirtas gydyti </w:t>
            </w:r>
            <w:proofErr w:type="spellStart"/>
            <w:r w:rsidRPr="0099617C">
              <w:t>nerezekuotinus</w:t>
            </w:r>
            <w:proofErr w:type="spellEnd"/>
            <w:r w:rsidRPr="0099617C">
              <w:t xml:space="preserve"> arba </w:t>
            </w:r>
            <w:proofErr w:type="spellStart"/>
            <w:r w:rsidRPr="0099617C">
              <w:t>metastazavusius</w:t>
            </w:r>
            <w:proofErr w:type="spellEnd"/>
            <w:r w:rsidRPr="0099617C">
              <w:t xml:space="preserve">, progresuojančius, gerai diferencijuotus (G1 ir G2), </w:t>
            </w:r>
            <w:proofErr w:type="spellStart"/>
            <w:r w:rsidRPr="0099617C">
              <w:t>somatostatino</w:t>
            </w:r>
            <w:proofErr w:type="spellEnd"/>
            <w:r w:rsidRPr="0099617C">
              <w:t xml:space="preserve"> receptoriams teigiamus </w:t>
            </w:r>
            <w:proofErr w:type="spellStart"/>
            <w:r w:rsidRPr="0099617C">
              <w:t>gastroenteropankreatinius</w:t>
            </w:r>
            <w:proofErr w:type="spellEnd"/>
            <w:r w:rsidRPr="0099617C">
              <w:t xml:space="preserve"> </w:t>
            </w:r>
            <w:proofErr w:type="spellStart"/>
            <w:r w:rsidRPr="0099617C">
              <w:t>neuroendokrininius</w:t>
            </w:r>
            <w:proofErr w:type="spellEnd"/>
            <w:r w:rsidRPr="0099617C">
              <w:t xml:space="preserve"> navikus (GEP-NEN) suaugusiesiems.</w:t>
            </w:r>
          </w:p>
          <w:p w14:paraId="10833DB8" w14:textId="342731B0" w:rsidR="0081406C" w:rsidRPr="00977D72" w:rsidRDefault="0081406C" w:rsidP="0081406C">
            <w:r w:rsidRPr="0099617C">
              <w:lastRenderedPageBreak/>
              <w:t>TLK-10-AM kodai - C17.1-C17.9, C18.0-C18.5, C25.</w:t>
            </w:r>
          </w:p>
        </w:tc>
      </w:tr>
      <w:tr w:rsidR="005B78A8" w:rsidRPr="00977D72" w14:paraId="01C3C4F5" w14:textId="77777777" w:rsidTr="003F3FFF">
        <w:trPr>
          <w:trHeight w:val="378"/>
        </w:trPr>
        <w:tc>
          <w:tcPr>
            <w:tcW w:w="632" w:type="dxa"/>
          </w:tcPr>
          <w:p w14:paraId="5115AFC1" w14:textId="77777777" w:rsidR="005B78A8" w:rsidRPr="00977D72" w:rsidRDefault="005B78A8" w:rsidP="005B78A8">
            <w:pPr>
              <w:rPr>
                <w:rFonts w:eastAsia="Arial"/>
                <w:b/>
                <w:bCs/>
              </w:rPr>
            </w:pPr>
            <w:r w:rsidRPr="00977D72">
              <w:rPr>
                <w:rFonts w:eastAsia="Arial"/>
                <w:b/>
                <w:bCs/>
              </w:rPr>
              <w:lastRenderedPageBreak/>
              <w:t>1.7</w:t>
            </w:r>
          </w:p>
        </w:tc>
        <w:tc>
          <w:tcPr>
            <w:tcW w:w="3899" w:type="dxa"/>
          </w:tcPr>
          <w:p w14:paraId="48045B5A" w14:textId="77777777" w:rsidR="005B78A8" w:rsidRPr="00977D72" w:rsidRDefault="005B78A8" w:rsidP="005B78A8">
            <w:pPr>
              <w:rPr>
                <w:b/>
                <w:bCs/>
                <w:u w:val="single"/>
                <w:lang w:eastAsia="lt-LT"/>
              </w:rPr>
            </w:pPr>
            <w:r w:rsidRPr="00977D72">
              <w:rPr>
                <w:b/>
                <w:bCs/>
                <w:lang w:eastAsia="lt-LT"/>
              </w:rPr>
              <w:t xml:space="preserve">Teikiamos skyrimo sąlygos </w:t>
            </w:r>
          </w:p>
        </w:tc>
        <w:tc>
          <w:tcPr>
            <w:tcW w:w="4962" w:type="dxa"/>
          </w:tcPr>
          <w:p w14:paraId="0B144702" w14:textId="77777777" w:rsidR="005B78A8" w:rsidRPr="00866B0B" w:rsidRDefault="005B78A8" w:rsidP="005B78A8">
            <w:pPr>
              <w:jc w:val="both"/>
            </w:pPr>
            <w:r w:rsidRPr="00866B0B">
              <w:t>1.</w:t>
            </w:r>
            <w:r>
              <w:t xml:space="preserve"> </w:t>
            </w:r>
            <w:proofErr w:type="spellStart"/>
            <w:r w:rsidRPr="00866B0B">
              <w:t>Histologiškai</w:t>
            </w:r>
            <w:proofErr w:type="spellEnd"/>
            <w:r w:rsidRPr="00866B0B">
              <w:t xml:space="preserve"> patvirtintas vidurinės vamzdelio dalies (toliau GE-NEN) arba kasos (toliau P-NEN) </w:t>
            </w:r>
            <w:proofErr w:type="spellStart"/>
            <w:r w:rsidRPr="00866B0B">
              <w:t>neuroendokrininis</w:t>
            </w:r>
            <w:proofErr w:type="spellEnd"/>
            <w:r w:rsidRPr="00866B0B">
              <w:t xml:space="preserve"> navikas;</w:t>
            </w:r>
          </w:p>
          <w:p w14:paraId="23F4DA6A" w14:textId="77777777" w:rsidR="005B78A8" w:rsidRPr="00866B0B" w:rsidRDefault="005B78A8" w:rsidP="005B78A8">
            <w:pPr>
              <w:jc w:val="both"/>
            </w:pPr>
            <w:r w:rsidRPr="00866B0B">
              <w:t>2.</w:t>
            </w:r>
            <w:r>
              <w:t xml:space="preserve"> </w:t>
            </w:r>
            <w:r w:rsidRPr="00866B0B">
              <w:t>Gera pacientų funkcinė būklė (ECOG ≤ 2);</w:t>
            </w:r>
          </w:p>
          <w:p w14:paraId="036BE150" w14:textId="77777777" w:rsidR="005B78A8" w:rsidRPr="00866B0B" w:rsidRDefault="005B78A8" w:rsidP="005B78A8">
            <w:pPr>
              <w:jc w:val="both"/>
            </w:pPr>
            <w:r w:rsidRPr="00866B0B">
              <w:t>3.</w:t>
            </w:r>
            <w:r>
              <w:t xml:space="preserve"> </w:t>
            </w:r>
            <w:r w:rsidRPr="00866B0B">
              <w:t>Vaizdiniais tyrimais (</w:t>
            </w:r>
            <w:proofErr w:type="spellStart"/>
            <w:r w:rsidRPr="00866B0B">
              <w:t>scintigrafija</w:t>
            </w:r>
            <w:proofErr w:type="spellEnd"/>
            <w:r w:rsidRPr="00866B0B">
              <w:t xml:space="preserve">, pozitronų emisijos tomografija) patvirtinta didelė </w:t>
            </w:r>
            <w:proofErr w:type="spellStart"/>
            <w:r w:rsidRPr="00866B0B">
              <w:t>somatostatino</w:t>
            </w:r>
            <w:proofErr w:type="spellEnd"/>
            <w:r w:rsidRPr="00866B0B">
              <w:t xml:space="preserve"> receptorių raiška ir kaupimasis GEP-NEN audinyje („mažiausiai toks pat, kaip normalus kaupimasis kepenyse, kaupimosi navike balas ≥2“).</w:t>
            </w:r>
          </w:p>
          <w:p w14:paraId="5CAF7481" w14:textId="77777777" w:rsidR="005B78A8" w:rsidRPr="00866B0B" w:rsidRDefault="005B78A8" w:rsidP="005B78A8">
            <w:pPr>
              <w:jc w:val="both"/>
            </w:pPr>
            <w:r w:rsidRPr="00866B0B">
              <w:t>4.</w:t>
            </w:r>
            <w:r>
              <w:t xml:space="preserve"> </w:t>
            </w:r>
            <w:r w:rsidRPr="00866B0B">
              <w:t>GE-NEN (turi atitikti abu kriterijus):</w:t>
            </w:r>
          </w:p>
          <w:p w14:paraId="52156CC7" w14:textId="77777777" w:rsidR="005B78A8" w:rsidRPr="00866B0B" w:rsidRDefault="005B78A8" w:rsidP="005B78A8">
            <w:pPr>
              <w:jc w:val="both"/>
            </w:pPr>
            <w:r w:rsidRPr="00866B0B">
              <w:t>a)</w:t>
            </w:r>
            <w:r>
              <w:t xml:space="preserve"> </w:t>
            </w:r>
            <w:r w:rsidRPr="00866B0B">
              <w:t xml:space="preserve">Gerai (G1) arba vidutiniškai (G2 ir Ki67&lt;10%) diferencijuoti navikai: skiriant pirmos pakopos (didesnės </w:t>
            </w:r>
            <w:proofErr w:type="spellStart"/>
            <w:r w:rsidRPr="00866B0B">
              <w:t>somatostatino</w:t>
            </w:r>
            <w:proofErr w:type="spellEnd"/>
            <w:r w:rsidRPr="00866B0B">
              <w:t xml:space="preserve"> analogų dozės) gydymą, išlieka ligos progresavimas;</w:t>
            </w:r>
          </w:p>
          <w:p w14:paraId="1AFAE80F" w14:textId="77777777" w:rsidR="005B78A8" w:rsidRPr="00866B0B" w:rsidRDefault="005B78A8" w:rsidP="005B78A8">
            <w:pPr>
              <w:jc w:val="both"/>
            </w:pPr>
            <w:r w:rsidRPr="00866B0B">
              <w:t>b)</w:t>
            </w:r>
            <w:r>
              <w:t xml:space="preserve"> </w:t>
            </w:r>
            <w:r w:rsidRPr="00866B0B">
              <w:t xml:space="preserve">Naviko anatominė lokalizacija atitinka vidurinės vamzdelio dalies navikus, </w:t>
            </w:r>
            <w:proofErr w:type="spellStart"/>
            <w:r w:rsidRPr="00866B0B">
              <w:t>t.y</w:t>
            </w:r>
            <w:proofErr w:type="spellEnd"/>
            <w:r w:rsidRPr="00866B0B">
              <w:t>. plonosios žarnos, aklosios žarnos, dešiniosios storosios žarnos dalies iki blužnies linkio.</w:t>
            </w:r>
          </w:p>
          <w:p w14:paraId="26A55228" w14:textId="77777777" w:rsidR="005B78A8" w:rsidRPr="00866B0B" w:rsidRDefault="005B78A8" w:rsidP="005B78A8">
            <w:pPr>
              <w:jc w:val="both"/>
            </w:pPr>
            <w:r w:rsidRPr="00866B0B">
              <w:t>5.</w:t>
            </w:r>
            <w:r>
              <w:t xml:space="preserve"> </w:t>
            </w:r>
            <w:r w:rsidRPr="00866B0B">
              <w:t>P-NEN (turi atitikti bent vieną kriterijų):</w:t>
            </w:r>
          </w:p>
          <w:p w14:paraId="2F4D7FAE" w14:textId="77777777" w:rsidR="005B78A8" w:rsidRPr="00866B0B" w:rsidRDefault="005B78A8" w:rsidP="005B78A8">
            <w:pPr>
              <w:jc w:val="both"/>
            </w:pPr>
            <w:r w:rsidRPr="00866B0B">
              <w:t>a)</w:t>
            </w:r>
            <w:r>
              <w:t xml:space="preserve"> </w:t>
            </w:r>
            <w:r w:rsidRPr="00866B0B">
              <w:t>Gerai (G1) diferencijuoti navikai: skiriant pirmos (</w:t>
            </w:r>
            <w:proofErr w:type="spellStart"/>
            <w:r w:rsidRPr="00866B0B">
              <w:t>somatostatino</w:t>
            </w:r>
            <w:proofErr w:type="spellEnd"/>
            <w:r w:rsidRPr="00866B0B">
              <w:t xml:space="preserve"> analogus) ir antros pakopos (</w:t>
            </w:r>
            <w:proofErr w:type="spellStart"/>
            <w:r w:rsidRPr="00866B0B">
              <w:t>everolimuzą</w:t>
            </w:r>
            <w:proofErr w:type="spellEnd"/>
            <w:r w:rsidRPr="00866B0B">
              <w:t xml:space="preserve">, </w:t>
            </w:r>
            <w:proofErr w:type="spellStart"/>
            <w:r w:rsidRPr="00866B0B">
              <w:t>sunitinibą</w:t>
            </w:r>
            <w:proofErr w:type="spellEnd"/>
            <w:r w:rsidRPr="00866B0B">
              <w:t>) gydymą, išlieka ligos progresavimas;</w:t>
            </w:r>
          </w:p>
          <w:p w14:paraId="4B280410" w14:textId="77777777" w:rsidR="005B78A8" w:rsidRPr="00866B0B" w:rsidRDefault="005B78A8" w:rsidP="005B78A8">
            <w:pPr>
              <w:jc w:val="both"/>
            </w:pPr>
            <w:r w:rsidRPr="00866B0B">
              <w:t>b)</w:t>
            </w:r>
            <w:r>
              <w:t xml:space="preserve"> </w:t>
            </w:r>
            <w:r w:rsidRPr="00866B0B">
              <w:t>Vidutiniškai (G2) diferencijuoti navikai: skiriant pirmos eilės gydymą (</w:t>
            </w:r>
            <w:proofErr w:type="spellStart"/>
            <w:r w:rsidRPr="00866B0B">
              <w:t>everolimuzą</w:t>
            </w:r>
            <w:proofErr w:type="spellEnd"/>
            <w:r w:rsidRPr="00866B0B">
              <w:t xml:space="preserve">, </w:t>
            </w:r>
            <w:proofErr w:type="spellStart"/>
            <w:r w:rsidRPr="00866B0B">
              <w:t>sunitinibą</w:t>
            </w:r>
            <w:proofErr w:type="spellEnd"/>
            <w:r w:rsidRPr="00866B0B">
              <w:t>), išlieka ligos progresavimas.</w:t>
            </w:r>
          </w:p>
          <w:p w14:paraId="6A31562C" w14:textId="5930A916" w:rsidR="005B78A8" w:rsidRPr="00977D72" w:rsidRDefault="005B78A8" w:rsidP="005B78A8">
            <w:r w:rsidRPr="00866B0B">
              <w:t>6.</w:t>
            </w:r>
            <w:r>
              <w:t xml:space="preserve"> </w:t>
            </w:r>
            <w:r w:rsidRPr="00866B0B">
              <w:t xml:space="preserve">Gydymą skiria specializuotą onkologinę pagalbą teikiančioje asmens sveikatos priežiūros įstaigoje dirbantis gydytojas onkologas </w:t>
            </w:r>
            <w:proofErr w:type="spellStart"/>
            <w:r w:rsidRPr="00866B0B">
              <w:t>chemoterapeutas</w:t>
            </w:r>
            <w:proofErr w:type="spellEnd"/>
            <w:r w:rsidRPr="00866B0B">
              <w:t xml:space="preserve"> ar gydytojas onkologas </w:t>
            </w:r>
            <w:proofErr w:type="spellStart"/>
            <w:r w:rsidRPr="00866B0B">
              <w:t>radioterapeutas</w:t>
            </w:r>
            <w:proofErr w:type="spellEnd"/>
            <w:r w:rsidRPr="00866B0B">
              <w:t>.</w:t>
            </w:r>
          </w:p>
        </w:tc>
      </w:tr>
      <w:tr w:rsidR="005B78A8" w:rsidRPr="00977D72" w14:paraId="3C32C984" w14:textId="77777777" w:rsidTr="003F3FFF">
        <w:trPr>
          <w:trHeight w:val="378"/>
        </w:trPr>
        <w:tc>
          <w:tcPr>
            <w:tcW w:w="632" w:type="dxa"/>
          </w:tcPr>
          <w:p w14:paraId="4E679EDB" w14:textId="77777777" w:rsidR="005B78A8" w:rsidRPr="00977D72" w:rsidRDefault="005B78A8" w:rsidP="005B78A8">
            <w:pPr>
              <w:rPr>
                <w:rFonts w:eastAsia="Arial"/>
                <w:b/>
                <w:bCs/>
              </w:rPr>
            </w:pPr>
            <w:r>
              <w:rPr>
                <w:rFonts w:eastAsia="Arial"/>
                <w:b/>
                <w:bCs/>
              </w:rPr>
              <w:t>1.8</w:t>
            </w:r>
          </w:p>
        </w:tc>
        <w:tc>
          <w:tcPr>
            <w:tcW w:w="3899" w:type="dxa"/>
          </w:tcPr>
          <w:p w14:paraId="784605B5" w14:textId="3A924C79" w:rsidR="005B78A8" w:rsidRPr="00977D72" w:rsidRDefault="005B78A8" w:rsidP="005B78A8">
            <w:pPr>
              <w:rPr>
                <w:b/>
                <w:bCs/>
                <w:lang w:eastAsia="lt-LT"/>
              </w:rPr>
            </w:pPr>
            <w:r w:rsidRPr="00977D72">
              <w:rPr>
                <w:b/>
                <w:bCs/>
                <w:lang w:eastAsia="lt-LT"/>
              </w:rPr>
              <w:t>Ekonominė analizė</w:t>
            </w:r>
          </w:p>
        </w:tc>
        <w:tc>
          <w:tcPr>
            <w:tcW w:w="4962" w:type="dxa"/>
          </w:tcPr>
          <w:p w14:paraId="3155F2E8" w14:textId="17602B84" w:rsidR="005B78A8" w:rsidRPr="001A0CAA" w:rsidRDefault="005366E3" w:rsidP="005B78A8">
            <w:sdt>
              <w:sdtPr>
                <w:rPr>
                  <w:rStyle w:val="Style2"/>
                  <w:sz w:val="24"/>
                </w:rPr>
                <w:id w:val="356323367"/>
                <w15:color w:val="FFCC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5B78A8">
                  <w:rPr>
                    <w:rStyle w:val="Style2"/>
                    <w:rFonts w:ascii="MS Gothic" w:eastAsia="MS Gothic" w:hAnsi="MS Gothic" w:hint="eastAsia"/>
                    <w:sz w:val="24"/>
                  </w:rPr>
                  <w:t>☒</w:t>
                </w:r>
              </w:sdtContent>
            </w:sdt>
            <w:r w:rsidR="005B78A8" w:rsidRPr="001A0CAA">
              <w:t xml:space="preserve"> Kaštų naudingumo analizė</w:t>
            </w:r>
          </w:p>
          <w:p w14:paraId="49547563" w14:textId="77777777" w:rsidR="005B78A8" w:rsidRPr="001A0CAA" w:rsidRDefault="005366E3" w:rsidP="005B78A8">
            <w:sdt>
              <w:sdtPr>
                <w:rPr>
                  <w:rStyle w:val="Style2"/>
                  <w:sz w:val="24"/>
                </w:rPr>
                <w:id w:val="-250506580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5B78A8" w:rsidRPr="001A0CAA">
                  <w:rPr>
                    <w:rStyle w:val="Style2"/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5B78A8" w:rsidRPr="001A0CAA">
              <w:t xml:space="preserve"> Kaštų mažinimo analizė</w:t>
            </w:r>
          </w:p>
          <w:p w14:paraId="42039008" w14:textId="5726D9D8" w:rsidR="005B78A8" w:rsidRDefault="005366E3" w:rsidP="005B78A8">
            <w:sdt>
              <w:sdtPr>
                <w:rPr>
                  <w:rStyle w:val="Style2"/>
                  <w:sz w:val="24"/>
                </w:rPr>
                <w:id w:val="-1570647133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5B78A8" w:rsidRPr="001A0CAA">
                  <w:rPr>
                    <w:rStyle w:val="Style2"/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5B78A8" w:rsidRPr="001A0CAA">
              <w:t xml:space="preserve"> </w:t>
            </w:r>
            <w:r w:rsidR="005B78A8">
              <w:t>Neteikiama</w:t>
            </w:r>
          </w:p>
          <w:p w14:paraId="5DC5A0C1" w14:textId="77777777" w:rsidR="005B78A8" w:rsidRPr="001A0CAA" w:rsidRDefault="005B78A8" w:rsidP="005B78A8"/>
          <w:p w14:paraId="4B0FE78C" w14:textId="77777777" w:rsidR="005B78A8" w:rsidRPr="00977D72" w:rsidRDefault="005B78A8" w:rsidP="005B78A8"/>
        </w:tc>
      </w:tr>
    </w:tbl>
    <w:p w14:paraId="2EB7FD31" w14:textId="5615B363" w:rsidR="007A2B68" w:rsidRPr="000203E1" w:rsidRDefault="00DC261A" w:rsidP="00063A50">
      <w:pPr>
        <w:pStyle w:val="Sraopastraipa"/>
        <w:tabs>
          <w:tab w:val="left" w:pos="426"/>
        </w:tabs>
        <w:ind w:left="0"/>
        <w:jc w:val="center"/>
        <w:rPr>
          <w:b/>
          <w:bCs/>
          <w:caps/>
        </w:rPr>
      </w:pPr>
      <w:r w:rsidRPr="00DC261A">
        <w:rPr>
          <w:b/>
          <w:bCs/>
          <w:caps/>
        </w:rPr>
        <w:t>___________________</w:t>
      </w:r>
    </w:p>
    <w:p w14:paraId="73290081" w14:textId="77777777" w:rsidR="007A2B68" w:rsidRPr="000203E1" w:rsidRDefault="007A2B68">
      <w:pPr>
        <w:rPr>
          <w:b/>
          <w:bCs/>
          <w:caps/>
        </w:rPr>
      </w:pPr>
      <w:r w:rsidRPr="000203E1">
        <w:rPr>
          <w:b/>
          <w:bCs/>
          <w:caps/>
        </w:rPr>
        <w:br w:type="page"/>
      </w:r>
    </w:p>
    <w:p w14:paraId="5055E8A8" w14:textId="5F722D62" w:rsidR="002E6F80" w:rsidRPr="000203E1" w:rsidRDefault="00CC7832" w:rsidP="00CC09D4">
      <w:pPr>
        <w:pStyle w:val="Sraopastraipa"/>
        <w:numPr>
          <w:ilvl w:val="0"/>
          <w:numId w:val="12"/>
        </w:numPr>
        <w:tabs>
          <w:tab w:val="left" w:pos="567"/>
        </w:tabs>
        <w:ind w:hanging="720"/>
        <w:rPr>
          <w:b/>
          <w:bCs/>
          <w:caps/>
        </w:rPr>
      </w:pPr>
      <w:r w:rsidRPr="000203E1">
        <w:rPr>
          <w:b/>
          <w:bCs/>
          <w:caps/>
        </w:rPr>
        <w:lastRenderedPageBreak/>
        <w:t>Klinikinio vertinimo a</w:t>
      </w:r>
      <w:r w:rsidR="00D4485B" w:rsidRPr="000203E1">
        <w:rPr>
          <w:b/>
          <w:bCs/>
          <w:caps/>
        </w:rPr>
        <w:t>pibendrinimas</w:t>
      </w:r>
    </w:p>
    <w:p w14:paraId="25F89291" w14:textId="5C45C8FC" w:rsidR="00D4485B" w:rsidRDefault="00D4485B" w:rsidP="00A93AA6">
      <w:pPr>
        <w:pStyle w:val="Sraopastraipa"/>
        <w:tabs>
          <w:tab w:val="left" w:pos="426"/>
        </w:tabs>
        <w:ind w:left="0"/>
        <w:rPr>
          <w:b/>
          <w:bCs/>
          <w:caps/>
        </w:rPr>
      </w:pPr>
    </w:p>
    <w:p w14:paraId="2A184AF6" w14:textId="46D84E94" w:rsidR="004B4092" w:rsidRDefault="004B4092" w:rsidP="004B4092">
      <w:pPr>
        <w:tabs>
          <w:tab w:val="left" w:pos="284"/>
        </w:tabs>
        <w:spacing w:line="276" w:lineRule="auto"/>
        <w:jc w:val="both"/>
        <w:rPr>
          <w:iCs/>
        </w:rPr>
      </w:pPr>
      <w:r>
        <w:rPr>
          <w:iCs/>
        </w:rPr>
        <w:tab/>
      </w:r>
      <w:r>
        <w:rPr>
          <w:iCs/>
        </w:rPr>
        <w:tab/>
      </w:r>
      <w:r w:rsidRPr="009300B3">
        <w:rPr>
          <w:iCs/>
        </w:rPr>
        <w:t xml:space="preserve">Bendras klinikinis vertinimas pagal 2021 m. gruodžio 15 d. Europos Parlamento ir Tarybos reglamentu (ES) 2021/2282 dėl sveikatos technologijų vertinimo, kuriuo iš dalies keičiama direktyva 2011/24/ES, vaistiniam preparatui </w:t>
      </w:r>
      <w:proofErr w:type="spellStart"/>
      <w:r>
        <w:rPr>
          <w:iCs/>
        </w:rPr>
        <w:t>Lutathera</w:t>
      </w:r>
      <w:proofErr w:type="spellEnd"/>
      <w:r>
        <w:rPr>
          <w:iCs/>
        </w:rPr>
        <w:t xml:space="preserve"> </w:t>
      </w:r>
      <w:r w:rsidRPr="009300B3">
        <w:rPr>
          <w:iCs/>
        </w:rPr>
        <w:t>neatliktas.</w:t>
      </w:r>
    </w:p>
    <w:p w14:paraId="01008DAC" w14:textId="77777777" w:rsidR="004B4092" w:rsidRDefault="004B4092" w:rsidP="004B4092">
      <w:pPr>
        <w:tabs>
          <w:tab w:val="left" w:pos="284"/>
        </w:tabs>
        <w:spacing w:line="276" w:lineRule="auto"/>
        <w:jc w:val="both"/>
        <w:rPr>
          <w:iCs/>
        </w:rPr>
      </w:pPr>
      <w:r>
        <w:rPr>
          <w:iCs/>
        </w:rPr>
        <w:tab/>
      </w:r>
      <w:r>
        <w:rPr>
          <w:iCs/>
        </w:rPr>
        <w:tab/>
        <w:t xml:space="preserve">Pareiškėjas pateikė paraišką </w:t>
      </w:r>
      <w:proofErr w:type="spellStart"/>
      <w:r>
        <w:t>l</w:t>
      </w:r>
      <w:r w:rsidRPr="003D7AAB">
        <w:t>utecio</w:t>
      </w:r>
      <w:proofErr w:type="spellEnd"/>
      <w:r w:rsidRPr="003D7AAB">
        <w:t xml:space="preserve"> (</w:t>
      </w:r>
      <w:r w:rsidRPr="003D7AAB">
        <w:rPr>
          <w:vertAlign w:val="superscript"/>
        </w:rPr>
        <w:t>177</w:t>
      </w:r>
      <w:r w:rsidRPr="003D7AAB">
        <w:t xml:space="preserve">Lu) </w:t>
      </w:r>
      <w:proofErr w:type="spellStart"/>
      <w:r w:rsidRPr="003D7AAB">
        <w:t>oksodotreotid</w:t>
      </w:r>
      <w:r>
        <w:t>o</w:t>
      </w:r>
      <w:proofErr w:type="spellEnd"/>
      <w:r w:rsidRPr="003D7AAB">
        <w:t xml:space="preserve"> </w:t>
      </w:r>
      <w:r>
        <w:t xml:space="preserve">kompensavimui geros funkcinės būklės pacientams, kuriems nustatytas gerai diferencijuotas, </w:t>
      </w:r>
      <w:proofErr w:type="spellStart"/>
      <w:r>
        <w:t>somatostatino</w:t>
      </w:r>
      <w:proofErr w:type="spellEnd"/>
      <w:r>
        <w:t xml:space="preserve"> receptoriams teigiamas vidurinės vamzdelio dalies arba kasos </w:t>
      </w:r>
      <w:proofErr w:type="spellStart"/>
      <w:r>
        <w:t>neuroendokrininis</w:t>
      </w:r>
      <w:proofErr w:type="spellEnd"/>
      <w:r>
        <w:t xml:space="preserve"> navikas (toliau – NEN) ir skiriant </w:t>
      </w:r>
      <w:r w:rsidRPr="00D24E38">
        <w:t xml:space="preserve">gydymą </w:t>
      </w:r>
      <w:r>
        <w:t xml:space="preserve">pirmos ir/ar antros eilės gydymą išlieka ligos progresavimas. Šių vidurinės vamzdelio dalies navikų gydymas </w:t>
      </w:r>
      <w:proofErr w:type="spellStart"/>
      <w:r>
        <w:t>somatostatino</w:t>
      </w:r>
      <w:proofErr w:type="spellEnd"/>
      <w:r>
        <w:t xml:space="preserve"> analogais (toliau – SSA), kasos navikų – SSA (1 eilės gydymas), </w:t>
      </w:r>
      <w:proofErr w:type="spellStart"/>
      <w:r>
        <w:t>everolimuzu</w:t>
      </w:r>
      <w:proofErr w:type="spellEnd"/>
      <w:r>
        <w:t xml:space="preserve"> ir/ar </w:t>
      </w:r>
      <w:proofErr w:type="spellStart"/>
      <w:r>
        <w:t>sunitinibu</w:t>
      </w:r>
      <w:proofErr w:type="spellEnd"/>
      <w:r>
        <w:t xml:space="preserve"> (2 eilės gydymas) </w:t>
      </w:r>
      <w:r>
        <w:rPr>
          <w:iCs/>
        </w:rPr>
        <w:t>atitinka įprastą klinikinę praktiką Lietuvoje.</w:t>
      </w:r>
    </w:p>
    <w:p w14:paraId="0D47ABD8" w14:textId="77777777" w:rsidR="004B4092" w:rsidRPr="0032669A" w:rsidRDefault="004B4092" w:rsidP="004B4092">
      <w:pPr>
        <w:spacing w:line="276" w:lineRule="auto"/>
        <w:jc w:val="both"/>
        <w:rPr>
          <w:rFonts w:eastAsia="Arial"/>
        </w:rPr>
      </w:pPr>
      <w:r>
        <w:rPr>
          <w:iCs/>
        </w:rPr>
        <w:tab/>
      </w:r>
      <w:r>
        <w:rPr>
          <w:rFonts w:eastAsia="Arial"/>
        </w:rPr>
        <w:t xml:space="preserve">Pareiškėjas papildoma klinikinę naudą vidurinės vamzdelio dalies navikų populiacijoje grindė 1 tyrimu (NETTER-1), kasos – netiesioginio palyginimo analize ir 2 vienos šakos tyrimais (ERASMUS ir NETTER-R). NETTER-1 atitiko Lietuvos pacientų, kuriems nustatyti vidurinės vamzdelio dalies NEN, netiesioginio palyginimo analizėje ir NETTER-R – kasos NEN populiaciją. </w:t>
      </w:r>
    </w:p>
    <w:p w14:paraId="11984554" w14:textId="77777777" w:rsidR="004B4092" w:rsidRPr="003D7AAB" w:rsidRDefault="004B4092" w:rsidP="004B4092">
      <w:pPr>
        <w:widowControl w:val="0"/>
        <w:spacing w:line="276" w:lineRule="auto"/>
        <w:jc w:val="both"/>
        <w:rPr>
          <w:bCs/>
          <w:i/>
          <w:iCs/>
          <w:lang w:eastAsia="lt-LT"/>
        </w:rPr>
      </w:pPr>
    </w:p>
    <w:p w14:paraId="19A86DEA" w14:textId="77777777" w:rsidR="004B4092" w:rsidRPr="008C7A09" w:rsidRDefault="004B4092" w:rsidP="004B4092">
      <w:pPr>
        <w:widowControl w:val="0"/>
        <w:spacing w:line="276" w:lineRule="auto"/>
        <w:jc w:val="both"/>
        <w:rPr>
          <w:bCs/>
          <w:lang w:eastAsia="lt-LT"/>
        </w:rPr>
      </w:pPr>
      <w:r w:rsidRPr="008C7A09">
        <w:rPr>
          <w:bCs/>
          <w:i/>
          <w:iCs/>
          <w:lang w:eastAsia="lt-LT"/>
        </w:rPr>
        <w:t>Tiesioginis palyginimas</w:t>
      </w:r>
    </w:p>
    <w:p w14:paraId="6D8D634A" w14:textId="77777777" w:rsidR="004B4092" w:rsidRPr="008C7A09" w:rsidRDefault="004B4092" w:rsidP="004B4092">
      <w:pPr>
        <w:widowControl w:val="0"/>
        <w:spacing w:line="276" w:lineRule="auto"/>
        <w:jc w:val="both"/>
      </w:pPr>
      <w:r w:rsidRPr="008C7A09">
        <w:rPr>
          <w:bCs/>
          <w:lang w:eastAsia="lt-LT"/>
        </w:rPr>
        <w:tab/>
        <w:t xml:space="preserve">Klinikinis vertinimas buvo atliktas pagal paraiškoje pateiktą klinikinį tyrimą NETTER-1. NETTER-1 tyrime įrodyta, jog pacientams, kuriems </w:t>
      </w:r>
      <w:r w:rsidRPr="008C7A09">
        <w:rPr>
          <w:rFonts w:eastAsia="Arial"/>
          <w:bCs/>
        </w:rPr>
        <w:t xml:space="preserve">buvo nustatyti </w:t>
      </w:r>
      <w:proofErr w:type="spellStart"/>
      <w:r w:rsidRPr="008C7A09">
        <w:rPr>
          <w:rFonts w:eastAsia="Arial"/>
          <w:bCs/>
        </w:rPr>
        <w:t>histologiškai</w:t>
      </w:r>
      <w:proofErr w:type="spellEnd"/>
      <w:r w:rsidRPr="008C7A09">
        <w:rPr>
          <w:rFonts w:eastAsia="Arial"/>
          <w:bCs/>
        </w:rPr>
        <w:t xml:space="preserve"> verifikuoti, gerai diferencijuoti, </w:t>
      </w:r>
      <w:proofErr w:type="spellStart"/>
      <w:r w:rsidRPr="008C7A09">
        <w:t>somatostatino</w:t>
      </w:r>
      <w:proofErr w:type="spellEnd"/>
      <w:r w:rsidRPr="008C7A09">
        <w:t xml:space="preserve"> receptoriams teigiami, </w:t>
      </w:r>
      <w:proofErr w:type="spellStart"/>
      <w:r w:rsidRPr="008C7A09">
        <w:rPr>
          <w:rFonts w:eastAsia="Arial"/>
          <w:bCs/>
        </w:rPr>
        <w:t>nerezekuojami</w:t>
      </w:r>
      <w:proofErr w:type="spellEnd"/>
      <w:r w:rsidRPr="008C7A09">
        <w:rPr>
          <w:rFonts w:eastAsia="Arial"/>
          <w:bCs/>
        </w:rPr>
        <w:t xml:space="preserve"> ar </w:t>
      </w:r>
      <w:proofErr w:type="spellStart"/>
      <w:r w:rsidRPr="008C7A09">
        <w:rPr>
          <w:rFonts w:eastAsia="Arial"/>
          <w:bCs/>
        </w:rPr>
        <w:t>metastazavę</w:t>
      </w:r>
      <w:proofErr w:type="spellEnd"/>
      <w:r w:rsidRPr="008C7A09">
        <w:rPr>
          <w:rFonts w:eastAsia="Arial"/>
          <w:bCs/>
        </w:rPr>
        <w:t xml:space="preserve"> progresuojantys vidurinės (angl. </w:t>
      </w:r>
      <w:proofErr w:type="spellStart"/>
      <w:r w:rsidRPr="008C7A09">
        <w:rPr>
          <w:rFonts w:eastAsia="Arial"/>
          <w:bCs/>
          <w:i/>
          <w:iCs/>
        </w:rPr>
        <w:t>midgut</w:t>
      </w:r>
      <w:proofErr w:type="spellEnd"/>
      <w:r w:rsidRPr="008C7A09">
        <w:rPr>
          <w:rFonts w:eastAsia="Arial"/>
          <w:bCs/>
        </w:rPr>
        <w:t xml:space="preserve">) – plonosios žarnos, aklosios žarnos ir dešiniosios storosios žarnos dalies – vamzdelio dalies NEN, gydymą SSA papildžius </w:t>
      </w:r>
      <w:r w:rsidRPr="008C7A09">
        <w:rPr>
          <w:vertAlign w:val="superscript"/>
        </w:rPr>
        <w:t>177</w:t>
      </w:r>
      <w:r w:rsidRPr="008C7A09">
        <w:t xml:space="preserve">Lu </w:t>
      </w:r>
      <w:proofErr w:type="spellStart"/>
      <w:r w:rsidRPr="008C7A09">
        <w:t>oksodotreotidu</w:t>
      </w:r>
      <w:proofErr w:type="spellEnd"/>
      <w:r w:rsidRPr="008C7A09">
        <w:t xml:space="preserve"> (toliau – </w:t>
      </w:r>
      <w:r w:rsidRPr="008C7A09">
        <w:rPr>
          <w:vertAlign w:val="superscript"/>
        </w:rPr>
        <w:t>177</w:t>
      </w:r>
      <w:r w:rsidRPr="008C7A09">
        <w:t>Lu+SSA)</w:t>
      </w:r>
      <w:r w:rsidRPr="008C7A09">
        <w:rPr>
          <w:rFonts w:eastAsia="Arial"/>
          <w:bCs/>
        </w:rPr>
        <w:t xml:space="preserve">, lyginant su didesnėmis SSA dozėmis (toliau – SSA): </w:t>
      </w:r>
      <w:r w:rsidRPr="008C7A09">
        <w:rPr>
          <w:vertAlign w:val="superscript"/>
        </w:rPr>
        <w:t>177</w:t>
      </w:r>
      <w:r w:rsidRPr="008C7A09">
        <w:t>Lu+SSA grupėje mirties nuo bet kokios priežasties ir ligos progresavimo</w:t>
      </w:r>
      <w:r>
        <w:t xml:space="preserve"> </w:t>
      </w:r>
      <w:r w:rsidRPr="008C7A09">
        <w:t>rizika buvo 79% mažesnė (RS 0,21; 95% PI 0,13 – 0,33; p&lt;0,001), lyginant su SSA grupe.</w:t>
      </w:r>
    </w:p>
    <w:p w14:paraId="6426F5B2" w14:textId="77777777" w:rsidR="004B4092" w:rsidRPr="003A251E" w:rsidRDefault="004B4092" w:rsidP="004B4092">
      <w:pPr>
        <w:tabs>
          <w:tab w:val="left" w:pos="426"/>
        </w:tabs>
        <w:spacing w:line="276" w:lineRule="auto"/>
        <w:jc w:val="both"/>
        <w:rPr>
          <w:highlight w:val="yellow"/>
        </w:rPr>
      </w:pPr>
      <w:r w:rsidRPr="006324C6">
        <w:tab/>
      </w:r>
      <w:r w:rsidRPr="006324C6">
        <w:tab/>
        <w:t xml:space="preserve">Vertinant svarbiausias antrines vertinamąsias baigtis, pacientų mirties nuo bet kokios priežasties rizika tarpinės analizės metu </w:t>
      </w:r>
      <w:r w:rsidRPr="006324C6">
        <w:rPr>
          <w:vertAlign w:val="superscript"/>
        </w:rPr>
        <w:t>177</w:t>
      </w:r>
      <w:r w:rsidRPr="006324C6">
        <w:t xml:space="preserve">Lu+SSA grupėje buvo 51% mažesnė (RS 0,49; 95% PI 0,30–0,80; p=0,0033), lyginant su SSA grupe. </w:t>
      </w:r>
      <w:r w:rsidRPr="00FD59DC">
        <w:t xml:space="preserve">Galutinėje bendro išgyvenamumo (toliau – BI) analizėje pacientų mirties nuo bet kokios priežasties rizika galutinėje analizėje tarp grupių nesiskyrė (RS 0,73; 95% PI 0,40–1,34). BI mediana </w:t>
      </w:r>
      <w:r w:rsidRPr="00FD59DC">
        <w:rPr>
          <w:vertAlign w:val="superscript"/>
        </w:rPr>
        <w:t>177</w:t>
      </w:r>
      <w:r w:rsidRPr="00FD59DC">
        <w:t>Lu+SSA grupėje buvo 48,0 mėnesiai (95% PI 37,4 – 55,2), SSA – 36,3 mėnesiai (95% PI 25,9 – 51,7).</w:t>
      </w:r>
      <w:r w:rsidRPr="00FD59DC">
        <w:rPr>
          <w:iCs/>
        </w:rPr>
        <w:t xml:space="preserve"> Įvertinus ligos epidemiologinius (GEP-NEN priskiriami retoms ligoms, </w:t>
      </w:r>
      <w:r w:rsidRPr="00FD59DC">
        <w:t xml:space="preserve">išplitusių vidurinės vamzdelio dalies NEN atvejais išgyvenamumas priklausomai nuo anatominės lokalizacijos varijuoja nuo 1,2 iki 8,6 metų) ir klinikinius (nustatytas statistiškai reikšmingas išgyvenamumo be ligos progresavimo, toliau – IBLP, prailgėjimas, pirminėje ir antrinėje tarpinėse BI analizėse nustatyta statistiškai reikšmingai mažesnė mirties rizika, galutinėje BI analizėje – 11,7 mėnesių ilgesnė BI mediana nepaisant to, jog gydymas </w:t>
      </w:r>
      <w:r w:rsidRPr="00FD59DC">
        <w:rPr>
          <w:vertAlign w:val="superscript"/>
        </w:rPr>
        <w:t>177</w:t>
      </w:r>
      <w:r w:rsidRPr="00FD59DC">
        <w:t xml:space="preserve">Lu </w:t>
      </w:r>
      <w:proofErr w:type="spellStart"/>
      <w:r w:rsidRPr="00FD59DC">
        <w:t>oksodotreotidu</w:t>
      </w:r>
      <w:proofErr w:type="spellEnd"/>
      <w:r w:rsidRPr="00FD59DC">
        <w:t xml:space="preserve"> buvo skiriamas 4 kartus kas 8 savaites, dalis kontrolinės grupės pacientų tyrimo eigoje gavo gydymą </w:t>
      </w:r>
      <w:r w:rsidRPr="00FD59DC">
        <w:rPr>
          <w:vertAlign w:val="superscript"/>
        </w:rPr>
        <w:t>177</w:t>
      </w:r>
      <w:r w:rsidRPr="00FD59DC">
        <w:t xml:space="preserve">Lu </w:t>
      </w:r>
      <w:proofErr w:type="spellStart"/>
      <w:r w:rsidRPr="00FD59DC">
        <w:t>oksodotreotidu</w:t>
      </w:r>
      <w:proofErr w:type="spellEnd"/>
      <w:r w:rsidRPr="00FD59DC">
        <w:t>) duomenis, šis skirtumas traktuojamas kaip kliniškai reikšmingas.</w:t>
      </w:r>
    </w:p>
    <w:p w14:paraId="45AC8DCC" w14:textId="77777777" w:rsidR="004B4092" w:rsidRDefault="004B4092" w:rsidP="004B4092">
      <w:pPr>
        <w:tabs>
          <w:tab w:val="left" w:pos="426"/>
        </w:tabs>
        <w:spacing w:line="276" w:lineRule="auto"/>
        <w:jc w:val="both"/>
      </w:pPr>
      <w:r w:rsidRPr="00BA02FD">
        <w:tab/>
      </w:r>
      <w:r w:rsidRPr="00BA02FD">
        <w:tab/>
        <w:t xml:space="preserve">Vertinant naviko objektyvų atsaką į gydymą, </w:t>
      </w:r>
      <w:r w:rsidRPr="00BA02FD">
        <w:rPr>
          <w:vertAlign w:val="superscript"/>
        </w:rPr>
        <w:t>177</w:t>
      </w:r>
      <w:r w:rsidRPr="00BA02FD">
        <w:t xml:space="preserve">Lu+SSA grupėje dalinis ar pilnas atsakas nustatytas šešis kartus dažniau nei SSA </w:t>
      </w:r>
      <w:proofErr w:type="spellStart"/>
      <w:r w:rsidRPr="00BA02FD">
        <w:t>gru</w:t>
      </w:r>
      <w:proofErr w:type="spellEnd"/>
      <w:r w:rsidRPr="00BA02FD">
        <w:t xml:space="preserve"> (p&lt;0,001). Atsako trukmė taip pat buvo ilgesnė </w:t>
      </w:r>
      <w:r w:rsidRPr="00BA02FD">
        <w:rPr>
          <w:vertAlign w:val="superscript"/>
        </w:rPr>
        <w:t>177</w:t>
      </w:r>
      <w:r w:rsidRPr="00BA02FD">
        <w:t xml:space="preserve">Lu+SSA grupėje (atitinkamai 6,38±5,24 ir 1,65±1,16 mėnesiai). Pacientų gyvenimo kokybė tarp </w:t>
      </w:r>
      <w:r w:rsidRPr="00BA02FD">
        <w:rPr>
          <w:vertAlign w:val="superscript"/>
        </w:rPr>
        <w:t>177</w:t>
      </w:r>
      <w:r w:rsidRPr="00BA02FD">
        <w:t>Lu+SSA grupėje ir SSA grupių iš statistiškai reikšmingai nesiskyrė.</w:t>
      </w:r>
    </w:p>
    <w:p w14:paraId="37AEECFA" w14:textId="3A595B02" w:rsidR="004B4092" w:rsidRPr="00180DB3" w:rsidRDefault="004B4092" w:rsidP="00180DB3">
      <w:pPr>
        <w:spacing w:line="276" w:lineRule="auto"/>
        <w:ind w:firstLine="720"/>
        <w:jc w:val="both"/>
        <w:rPr>
          <w:rFonts w:eastAsia="Arial"/>
          <w:bCs/>
        </w:rPr>
      </w:pPr>
      <w:r>
        <w:rPr>
          <w:rFonts w:eastAsia="Arial"/>
          <w:bCs/>
          <w:iCs/>
        </w:rPr>
        <w:t xml:space="preserve">Vertinant saugumo profilį, </w:t>
      </w:r>
      <w:r w:rsidRPr="00BA02FD">
        <w:rPr>
          <w:vertAlign w:val="superscript"/>
        </w:rPr>
        <w:t>177</w:t>
      </w:r>
      <w:r w:rsidRPr="00BA02FD">
        <w:t xml:space="preserve">Lu+SSA </w:t>
      </w:r>
      <w:r>
        <w:rPr>
          <w:rFonts w:eastAsia="Arial"/>
          <w:bCs/>
          <w:iCs/>
        </w:rPr>
        <w:t xml:space="preserve">grupėje nustatyta daugiau su gydymu susijusių nepageidaujamų reiškinių, lyginant su SSA grupe. </w:t>
      </w:r>
      <w:r>
        <w:rPr>
          <w:rFonts w:eastAsia="Arial"/>
          <w:bCs/>
        </w:rPr>
        <w:t xml:space="preserve">Naujų, vaistinio preparato charakteristikų santraukoje nenurodytų nepageidaujamų reiškinių nenustatyta, tačiau daroma išvada, jog numatomas gydymo </w:t>
      </w:r>
      <w:r w:rsidRPr="00FD59DC">
        <w:rPr>
          <w:vertAlign w:val="superscript"/>
        </w:rPr>
        <w:t>177</w:t>
      </w:r>
      <w:r w:rsidRPr="00FD59DC">
        <w:t xml:space="preserve">Lu </w:t>
      </w:r>
      <w:proofErr w:type="spellStart"/>
      <w:r w:rsidRPr="00FD59DC">
        <w:t>oksodotreotid</w:t>
      </w:r>
      <w:r>
        <w:t>u</w:t>
      </w:r>
      <w:proofErr w:type="spellEnd"/>
      <w:r>
        <w:rPr>
          <w:rFonts w:eastAsia="Arial"/>
          <w:bCs/>
        </w:rPr>
        <w:t xml:space="preserve"> toksiškumas yra reikšmingai didesnis nei įprasta klinikinė praktika.</w:t>
      </w:r>
    </w:p>
    <w:p w14:paraId="4CC5FA27" w14:textId="77777777" w:rsidR="004B4092" w:rsidRPr="007425F5" w:rsidRDefault="004B4092" w:rsidP="004B4092">
      <w:pPr>
        <w:tabs>
          <w:tab w:val="left" w:pos="426"/>
        </w:tabs>
        <w:spacing w:line="276" w:lineRule="auto"/>
        <w:jc w:val="both"/>
        <w:rPr>
          <w:i/>
          <w:iCs/>
        </w:rPr>
      </w:pPr>
      <w:r w:rsidRPr="007425F5">
        <w:rPr>
          <w:i/>
          <w:iCs/>
        </w:rPr>
        <w:lastRenderedPageBreak/>
        <w:t>Netiesioginis palyginimas</w:t>
      </w:r>
    </w:p>
    <w:p w14:paraId="621A8102" w14:textId="77777777" w:rsidR="004B4092" w:rsidRDefault="004B4092" w:rsidP="004B4092">
      <w:pPr>
        <w:spacing w:line="276" w:lineRule="auto"/>
        <w:jc w:val="both"/>
      </w:pPr>
      <w:r w:rsidRPr="007425F5">
        <w:rPr>
          <w:i/>
          <w:iCs/>
        </w:rPr>
        <w:tab/>
      </w:r>
      <w:r w:rsidRPr="007425F5">
        <w:t xml:space="preserve">Pareiškėjas pateikė dvi netiesioginio palyginimo – </w:t>
      </w:r>
      <w:r>
        <w:t xml:space="preserve">vidurinės vamzdelio dalies žarnyno </w:t>
      </w:r>
      <w:r w:rsidRPr="007425F5">
        <w:t xml:space="preserve">NEN ir </w:t>
      </w:r>
      <w:r>
        <w:t xml:space="preserve">kasos </w:t>
      </w:r>
      <w:r w:rsidRPr="007425F5">
        <w:t xml:space="preserve">NEN atvejų – analizes. </w:t>
      </w:r>
      <w:r>
        <w:t xml:space="preserve">Vidurinės vamzdelio dalies žarnyno </w:t>
      </w:r>
      <w:r w:rsidRPr="008B6CEA">
        <w:t>NEN atveju pateikta</w:t>
      </w:r>
      <w:r>
        <w:t>s</w:t>
      </w:r>
      <w:r w:rsidRPr="008B6CEA">
        <w:t xml:space="preserve"> mišraus gydymo palyginimas (angl. </w:t>
      </w:r>
      <w:proofErr w:type="spellStart"/>
      <w:r w:rsidRPr="008B6CEA">
        <w:rPr>
          <w:i/>
          <w:iCs/>
        </w:rPr>
        <w:t>mixed</w:t>
      </w:r>
      <w:proofErr w:type="spellEnd"/>
      <w:r w:rsidRPr="008B6CEA">
        <w:rPr>
          <w:i/>
          <w:iCs/>
        </w:rPr>
        <w:t xml:space="preserve"> </w:t>
      </w:r>
      <w:proofErr w:type="spellStart"/>
      <w:r w:rsidRPr="008B6CEA">
        <w:rPr>
          <w:i/>
          <w:iCs/>
        </w:rPr>
        <w:t>treatment</w:t>
      </w:r>
      <w:proofErr w:type="spellEnd"/>
      <w:r w:rsidRPr="008B6CEA">
        <w:rPr>
          <w:i/>
          <w:iCs/>
        </w:rPr>
        <w:t xml:space="preserve"> </w:t>
      </w:r>
      <w:proofErr w:type="spellStart"/>
      <w:r w:rsidRPr="008B6CEA">
        <w:rPr>
          <w:i/>
          <w:iCs/>
        </w:rPr>
        <w:t>comparison</w:t>
      </w:r>
      <w:proofErr w:type="spellEnd"/>
      <w:r w:rsidRPr="008B6CEA">
        <w:t>) – įtraukti NETTER-1 (</w:t>
      </w:r>
      <w:r w:rsidRPr="00FD59DC">
        <w:rPr>
          <w:vertAlign w:val="superscript"/>
        </w:rPr>
        <w:t>177</w:t>
      </w:r>
      <w:r w:rsidRPr="00FD59DC">
        <w:t xml:space="preserve">Lu </w:t>
      </w:r>
      <w:proofErr w:type="spellStart"/>
      <w:r w:rsidRPr="00FD59DC">
        <w:t>oksodotreotid</w:t>
      </w:r>
      <w:r>
        <w:t>as</w:t>
      </w:r>
      <w:proofErr w:type="spellEnd"/>
      <w:r w:rsidRPr="008B6CEA">
        <w:t>) ir RADIANT-4 (</w:t>
      </w:r>
      <w:proofErr w:type="spellStart"/>
      <w:r w:rsidRPr="008B6CEA">
        <w:t>everolimuzo</w:t>
      </w:r>
      <w:proofErr w:type="spellEnd"/>
      <w:r w:rsidRPr="008B6CEA">
        <w:t>) tyrimai</w:t>
      </w:r>
      <w:r>
        <w:t xml:space="preserve">, kasos </w:t>
      </w:r>
      <w:r w:rsidRPr="008B6CEA">
        <w:t xml:space="preserve">NEN – netiesioginis koreguotas palyginimas (angl. </w:t>
      </w:r>
      <w:proofErr w:type="spellStart"/>
      <w:r w:rsidRPr="008B6CEA">
        <w:rPr>
          <w:i/>
          <w:iCs/>
        </w:rPr>
        <w:t>matching</w:t>
      </w:r>
      <w:proofErr w:type="spellEnd"/>
      <w:r w:rsidRPr="008B6CEA">
        <w:rPr>
          <w:i/>
          <w:iCs/>
        </w:rPr>
        <w:t xml:space="preserve"> </w:t>
      </w:r>
      <w:proofErr w:type="spellStart"/>
      <w:r w:rsidRPr="008B6CEA">
        <w:rPr>
          <w:i/>
          <w:iCs/>
        </w:rPr>
        <w:t>adjusted</w:t>
      </w:r>
      <w:proofErr w:type="spellEnd"/>
      <w:r w:rsidRPr="008B6CEA">
        <w:rPr>
          <w:i/>
          <w:iCs/>
        </w:rPr>
        <w:t xml:space="preserve"> </w:t>
      </w:r>
      <w:proofErr w:type="spellStart"/>
      <w:r w:rsidRPr="008B6CEA">
        <w:rPr>
          <w:i/>
          <w:iCs/>
        </w:rPr>
        <w:t>treatment</w:t>
      </w:r>
      <w:proofErr w:type="spellEnd"/>
      <w:r w:rsidRPr="008B6CEA">
        <w:rPr>
          <w:i/>
          <w:iCs/>
        </w:rPr>
        <w:t xml:space="preserve"> </w:t>
      </w:r>
      <w:proofErr w:type="spellStart"/>
      <w:r w:rsidRPr="008B6CEA">
        <w:rPr>
          <w:i/>
          <w:iCs/>
        </w:rPr>
        <w:t>comparison</w:t>
      </w:r>
      <w:proofErr w:type="spellEnd"/>
      <w:r w:rsidRPr="008B6CEA">
        <w:t>) – įtraukti ERASMUS (L</w:t>
      </w:r>
      <w:r w:rsidRPr="00FD59DC">
        <w:rPr>
          <w:vertAlign w:val="superscript"/>
        </w:rPr>
        <w:t>177</w:t>
      </w:r>
      <w:r w:rsidRPr="00FD59DC">
        <w:t xml:space="preserve">Lu </w:t>
      </w:r>
      <w:proofErr w:type="spellStart"/>
      <w:r w:rsidRPr="00FD59DC">
        <w:t>oksodotreotid</w:t>
      </w:r>
      <w:r>
        <w:t>as</w:t>
      </w:r>
      <w:proofErr w:type="spellEnd"/>
      <w:r w:rsidRPr="008B6CEA">
        <w:t>), RADIANT-3 (</w:t>
      </w:r>
      <w:proofErr w:type="spellStart"/>
      <w:r w:rsidRPr="008B6CEA">
        <w:t>everolimuzo</w:t>
      </w:r>
      <w:proofErr w:type="spellEnd"/>
      <w:r w:rsidRPr="008B6CEA">
        <w:t>) ir NCT00428597 (</w:t>
      </w:r>
      <w:proofErr w:type="spellStart"/>
      <w:r w:rsidRPr="008B6CEA">
        <w:t>sunitinibo</w:t>
      </w:r>
      <w:proofErr w:type="spellEnd"/>
      <w:r w:rsidRPr="008B6CEA">
        <w:t>) tyrimai.</w:t>
      </w:r>
      <w:r>
        <w:t xml:space="preserve"> Pirmojoje </w:t>
      </w:r>
      <w:r w:rsidRPr="0084506E">
        <w:t xml:space="preserve">populiacijoje įrodyti papildomą </w:t>
      </w:r>
      <w:r w:rsidRPr="00FD59DC">
        <w:rPr>
          <w:vertAlign w:val="superscript"/>
        </w:rPr>
        <w:t>177</w:t>
      </w:r>
      <w:r w:rsidRPr="00FD59DC">
        <w:t xml:space="preserve">Lu </w:t>
      </w:r>
      <w:proofErr w:type="spellStart"/>
      <w:r w:rsidRPr="00FD59DC">
        <w:t>oksodotreotid</w:t>
      </w:r>
      <w:r>
        <w:t>u</w:t>
      </w:r>
      <w:proofErr w:type="spellEnd"/>
      <w:r>
        <w:rPr>
          <w:rFonts w:eastAsia="Arial"/>
          <w:bCs/>
        </w:rPr>
        <w:t xml:space="preserve"> </w:t>
      </w:r>
      <w:r w:rsidRPr="0084506E">
        <w:t xml:space="preserve">naudą pakako tiesioginio palyginimo (NETTER-1 tyrimo) duomenų, </w:t>
      </w:r>
      <w:r>
        <w:t>todėl</w:t>
      </w:r>
      <w:r w:rsidRPr="0084506E">
        <w:t xml:space="preserve"> </w:t>
      </w:r>
      <w:r>
        <w:t xml:space="preserve">netiesioginio palyginimo analizės skiltyje atliktas detalus kasos </w:t>
      </w:r>
      <w:r w:rsidRPr="0084506E">
        <w:t xml:space="preserve">NEN populiacijos </w:t>
      </w:r>
      <w:r>
        <w:t>duomenų klinikinis vertinimas.</w:t>
      </w:r>
    </w:p>
    <w:p w14:paraId="2DD41793" w14:textId="119935C6" w:rsidR="004B4092" w:rsidRDefault="00824D3A" w:rsidP="004B4092">
      <w:pPr>
        <w:spacing w:line="276" w:lineRule="auto"/>
        <w:ind w:firstLine="720"/>
        <w:jc w:val="both"/>
      </w:pPr>
      <w:r w:rsidRPr="008758A7">
        <w:t>Į</w:t>
      </w:r>
      <w:r w:rsidR="004B4092" w:rsidRPr="008758A7">
        <w:t xml:space="preserve"> netiesioginio palyginimo analizę įtraukto ERASMUS tyrimo reikšmingi neapibrėžtumai (vienos grupės tyrimas, maža likutinė imtis po tyrimo korekcijos netiesioginio palyginimo analizei) išliko</w:t>
      </w:r>
      <w:r w:rsidR="004B4092" w:rsidRPr="00824D3A">
        <w:t>.</w:t>
      </w:r>
      <w:r w:rsidR="004B4092">
        <w:t xml:space="preserve"> Šioje analizėje nustatyta, jog mirties nuo bet kokios priežasties ir ligos progresavimo rizika gydant </w:t>
      </w:r>
      <w:r w:rsidR="004B4092" w:rsidRPr="00FD59DC">
        <w:rPr>
          <w:vertAlign w:val="superscript"/>
        </w:rPr>
        <w:t>177</w:t>
      </w:r>
      <w:r w:rsidR="004B4092" w:rsidRPr="00FD59DC">
        <w:t xml:space="preserve">Lu </w:t>
      </w:r>
      <w:proofErr w:type="spellStart"/>
      <w:r w:rsidR="004B4092" w:rsidRPr="00FD59DC">
        <w:t>oksodotreotid</w:t>
      </w:r>
      <w:r w:rsidR="004B4092">
        <w:t>u</w:t>
      </w:r>
      <w:proofErr w:type="spellEnd"/>
      <w:r w:rsidR="004B4092">
        <w:t xml:space="preserve"> buvo atitinkamai 53% (RS 0,47; 95% PI 0,25 – 0,88) ir 48% (RS 0,52; 95% PI 0,34 – 0,79) mažesnė, mirties nuo bet kokios priežasties rizika – 50% (RS 0,50; 95% PI 0,29 – 0,84) ir 39% (RS 0,61; 95% PI 0,39 – 0,98), lyginant su </w:t>
      </w:r>
      <w:proofErr w:type="spellStart"/>
      <w:r w:rsidR="004B4092">
        <w:t>sunitinibu</w:t>
      </w:r>
      <w:proofErr w:type="spellEnd"/>
      <w:r w:rsidR="004B4092">
        <w:t xml:space="preserve"> ir </w:t>
      </w:r>
      <w:proofErr w:type="spellStart"/>
      <w:r w:rsidR="004B4092">
        <w:t>everolimuzu</w:t>
      </w:r>
      <w:proofErr w:type="spellEnd"/>
      <w:r w:rsidR="004B4092">
        <w:t>.</w:t>
      </w:r>
    </w:p>
    <w:p w14:paraId="3C9920D1" w14:textId="77777777" w:rsidR="004B4092" w:rsidRDefault="004B4092" w:rsidP="004B4092">
      <w:pPr>
        <w:spacing w:line="276" w:lineRule="auto"/>
        <w:ind w:firstLine="720"/>
        <w:jc w:val="both"/>
      </w:pPr>
      <w:r>
        <w:t xml:space="preserve">Pareiškėjas taip pat pateikė NETTER-R tyrimo – tarptautinio, retrospektyvinio, realios klinikinės praktikos tyrime, kuriame nustatyta, kad gydant pacientus, kuriems nustatyti </w:t>
      </w:r>
      <w:proofErr w:type="spellStart"/>
      <w:r w:rsidRPr="004E409C">
        <w:t>nerezekuotin</w:t>
      </w:r>
      <w:r>
        <w:t>i</w:t>
      </w:r>
      <w:proofErr w:type="spellEnd"/>
      <w:r>
        <w:t xml:space="preserve"> </w:t>
      </w:r>
      <w:r w:rsidRPr="004E409C">
        <w:t xml:space="preserve">arba </w:t>
      </w:r>
      <w:proofErr w:type="spellStart"/>
      <w:r w:rsidRPr="004E409C">
        <w:t>metastazav</w:t>
      </w:r>
      <w:r>
        <w:t>ę</w:t>
      </w:r>
      <w:proofErr w:type="spellEnd"/>
      <w:r>
        <w:t xml:space="preserve">, </w:t>
      </w:r>
      <w:r w:rsidRPr="004E409C">
        <w:t xml:space="preserve">gerai diferencijuoti, </w:t>
      </w:r>
      <w:proofErr w:type="spellStart"/>
      <w:r w:rsidRPr="004E409C">
        <w:t>somatostatino</w:t>
      </w:r>
      <w:proofErr w:type="spellEnd"/>
      <w:r w:rsidRPr="004E409C">
        <w:t xml:space="preserve"> receptoriams teigiam</w:t>
      </w:r>
      <w:r>
        <w:t xml:space="preserve">i kasos NEN, jų IBLP buvo </w:t>
      </w:r>
      <w:r>
        <w:rPr>
          <w:rFonts w:eastAsia="Arial"/>
          <w:bCs/>
        </w:rPr>
        <w:t xml:space="preserve">24,8 mėn. (95% PI 17,5 – 34,5), BI (po 24,5 mėn. stebėsenos medianos) – 41,4 mėn. (95% 28,6 – 50,2). Vertinant aktualius pacientų pogrupius, nustatyta, pacientų IBLP ir BI yra ženkliai blogesnis, jei pacientams iki gydymo </w:t>
      </w:r>
      <w:r w:rsidRPr="003D7AAB">
        <w:rPr>
          <w:vertAlign w:val="superscript"/>
        </w:rPr>
        <w:t>177</w:t>
      </w:r>
      <w:r w:rsidRPr="003D7AAB">
        <w:t xml:space="preserve">Lu </w:t>
      </w:r>
      <w:proofErr w:type="spellStart"/>
      <w:r w:rsidRPr="003D7AAB">
        <w:t>oksodotreotidu</w:t>
      </w:r>
      <w:proofErr w:type="spellEnd"/>
      <w:r>
        <w:t xml:space="preserve"> buvo taikyta chemoterapija: mirties nuo bet kokios priežasties ar ligos progresavimo rizika buvo daugiau nei 3 kartus didesnė (IBLP: 14,9 ir 38,3 </w:t>
      </w:r>
      <w:proofErr w:type="spellStart"/>
      <w:r>
        <w:t>mėn</w:t>
      </w:r>
      <w:proofErr w:type="spellEnd"/>
      <w:r>
        <w:t>, RS 3,672, p=0,0009; BI: 24,8 ir 61,5 mėn., RS 3,360, p &lt; 0,0001).</w:t>
      </w:r>
    </w:p>
    <w:p w14:paraId="0B353B93" w14:textId="25B43927" w:rsidR="004B4092" w:rsidRPr="00071AC8" w:rsidDel="00824D3A" w:rsidRDefault="00824D3A" w:rsidP="00F45998">
      <w:pPr>
        <w:spacing w:line="276" w:lineRule="auto"/>
        <w:ind w:firstLine="720"/>
        <w:jc w:val="both"/>
      </w:pPr>
      <w:r w:rsidRPr="00F45998">
        <w:t xml:space="preserve">Atsižvelgiant į tai, kad </w:t>
      </w:r>
      <w:r w:rsidR="004501C3" w:rsidRPr="00F45998">
        <w:t xml:space="preserve">šioje paraiškoje pateikti klinikiniai duomenys buvo įvertinti 2021 m. kovo 19 d. pateiktoje vaistinio preparato </w:t>
      </w:r>
      <w:proofErr w:type="spellStart"/>
      <w:r w:rsidR="004501C3" w:rsidRPr="00F45998">
        <w:t>Lutathera</w:t>
      </w:r>
      <w:proofErr w:type="spellEnd"/>
      <w:r w:rsidR="004501C3" w:rsidRPr="00F45998">
        <w:t xml:space="preserve"> paraiškoje</w:t>
      </w:r>
      <w:r w:rsidR="00BC3D1B">
        <w:t xml:space="preserve"> (paraiškos numeris STV-47)</w:t>
      </w:r>
      <w:r w:rsidR="004501C3" w:rsidRPr="00F45998">
        <w:t>, kuri buvo teikiama toms pačioms terapinėms indikacijoms ir tai, kad pirmiau vertintoje paraiškoje esminiai prieštaravimai dėl klinikinės dalies laikyti išspręstais, klausimų dėl klinikinės dalies nekeliama</w:t>
      </w:r>
      <w:r w:rsidR="00BC3D1B" w:rsidRPr="00F45998">
        <w:t>.</w:t>
      </w:r>
      <w:r w:rsidR="004501C3" w:rsidRPr="00F45998">
        <w:t xml:space="preserve"> </w:t>
      </w:r>
      <w:r w:rsidR="00BC3D1B" w:rsidRPr="00F45998">
        <w:t>Remiantis paraiškoje pateiktais duomenimis daroma</w:t>
      </w:r>
      <w:bookmarkStart w:id="1" w:name="_Hlk218959431"/>
      <w:r w:rsidR="00F45998">
        <w:t xml:space="preserve"> </w:t>
      </w:r>
      <w:r w:rsidR="004B4092" w:rsidRPr="00F45998" w:rsidDel="00824D3A">
        <w:t>išvad</w:t>
      </w:r>
      <w:r w:rsidR="00BC3D1B" w:rsidRPr="00F45998">
        <w:t>a</w:t>
      </w:r>
      <w:r w:rsidR="004B4092" w:rsidRPr="00BC3D1B" w:rsidDel="00824D3A">
        <w:t>, jog</w:t>
      </w:r>
      <w:r w:rsidR="004B4092" w:rsidDel="00824D3A">
        <w:t xml:space="preserve"> gydymo </w:t>
      </w:r>
      <w:r w:rsidR="004B4092" w:rsidRPr="003D7AAB" w:rsidDel="00824D3A">
        <w:rPr>
          <w:vertAlign w:val="superscript"/>
        </w:rPr>
        <w:t>177</w:t>
      </w:r>
      <w:r w:rsidR="004B4092" w:rsidRPr="003D7AAB" w:rsidDel="00824D3A">
        <w:t xml:space="preserve">Lu </w:t>
      </w:r>
      <w:proofErr w:type="spellStart"/>
      <w:r w:rsidR="004B4092" w:rsidRPr="003D7AAB" w:rsidDel="00824D3A">
        <w:t>oksodotreotid</w:t>
      </w:r>
      <w:r w:rsidR="004B4092" w:rsidDel="00824D3A">
        <w:t>u</w:t>
      </w:r>
      <w:proofErr w:type="spellEnd"/>
      <w:r w:rsidR="004B4092" w:rsidDel="00824D3A">
        <w:t xml:space="preserve"> </w:t>
      </w:r>
      <w:r w:rsidR="004B4092" w:rsidDel="00824D3A">
        <w:rPr>
          <w:rFonts w:eastAsia="Arial"/>
          <w:bCs/>
        </w:rPr>
        <w:t xml:space="preserve">palyginamasis veiksmingumas </w:t>
      </w:r>
      <w:r w:rsidR="00BC3D1B">
        <w:rPr>
          <w:rFonts w:eastAsia="Arial"/>
          <w:bCs/>
        </w:rPr>
        <w:t xml:space="preserve">yra </w:t>
      </w:r>
      <w:r w:rsidR="004B4092" w:rsidDel="00824D3A">
        <w:rPr>
          <w:rFonts w:eastAsia="Arial"/>
          <w:bCs/>
        </w:rPr>
        <w:t>didesnis, lyginant su įprasta klinikine praktika</w:t>
      </w:r>
      <w:r w:rsidR="003D3618" w:rsidDel="00824D3A">
        <w:rPr>
          <w:rFonts w:eastAsia="Arial"/>
          <w:bCs/>
        </w:rPr>
        <w:t xml:space="preserve"> pacient</w:t>
      </w:r>
      <w:r w:rsidR="00BC3D1B">
        <w:rPr>
          <w:rFonts w:eastAsia="Arial"/>
          <w:bCs/>
        </w:rPr>
        <w:t>ams</w:t>
      </w:r>
      <w:r w:rsidR="003D3618" w:rsidDel="00824D3A">
        <w:rPr>
          <w:rFonts w:eastAsia="Arial"/>
          <w:bCs/>
        </w:rPr>
        <w:t xml:space="preserve">, kuriems nustatyti </w:t>
      </w:r>
      <w:proofErr w:type="spellStart"/>
      <w:r w:rsidR="003D3618" w:rsidRPr="00780EBA" w:rsidDel="00824D3A">
        <w:t>nerezekuotin</w:t>
      </w:r>
      <w:r w:rsidR="003D3618" w:rsidDel="00824D3A">
        <w:t>i</w:t>
      </w:r>
      <w:proofErr w:type="spellEnd"/>
      <w:r w:rsidR="003D3618" w:rsidRPr="00780EBA" w:rsidDel="00824D3A">
        <w:t xml:space="preserve"> arba </w:t>
      </w:r>
      <w:proofErr w:type="spellStart"/>
      <w:r w:rsidR="003D3618" w:rsidRPr="00780EBA" w:rsidDel="00824D3A">
        <w:t>metastazav</w:t>
      </w:r>
      <w:r w:rsidR="003D3618" w:rsidDel="00824D3A">
        <w:t>ę</w:t>
      </w:r>
      <w:proofErr w:type="spellEnd"/>
      <w:r w:rsidR="003D3618" w:rsidRPr="00780EBA" w:rsidDel="00824D3A">
        <w:t>, progresuojan</w:t>
      </w:r>
      <w:r w:rsidR="003D3618" w:rsidDel="00824D3A">
        <w:t>tys</w:t>
      </w:r>
      <w:r w:rsidR="003D3618" w:rsidRPr="00780EBA" w:rsidDel="00824D3A">
        <w:t>, gerai diferencijuot</w:t>
      </w:r>
      <w:r w:rsidR="003D3618" w:rsidDel="00824D3A">
        <w:t xml:space="preserve">i, </w:t>
      </w:r>
      <w:proofErr w:type="spellStart"/>
      <w:r w:rsidR="003D3618" w:rsidRPr="00780EBA" w:rsidDel="00824D3A">
        <w:t>somatostatino</w:t>
      </w:r>
      <w:proofErr w:type="spellEnd"/>
      <w:r w:rsidR="003D3618" w:rsidRPr="00780EBA" w:rsidDel="00824D3A">
        <w:t xml:space="preserve"> receptoriams teigiam</w:t>
      </w:r>
      <w:r w:rsidR="003D3618" w:rsidDel="00824D3A">
        <w:t>i</w:t>
      </w:r>
      <w:r w:rsidR="003D3618" w:rsidRPr="00780EBA" w:rsidDel="00824D3A">
        <w:t xml:space="preserve"> </w:t>
      </w:r>
      <w:proofErr w:type="spellStart"/>
      <w:r w:rsidR="003D3618" w:rsidRPr="00780EBA" w:rsidDel="00824D3A">
        <w:t>gastroenteropankreatini</w:t>
      </w:r>
      <w:r w:rsidR="003D3618" w:rsidDel="00824D3A">
        <w:t>ai</w:t>
      </w:r>
      <w:proofErr w:type="spellEnd"/>
      <w:r w:rsidR="003D3618" w:rsidRPr="00780EBA" w:rsidDel="00824D3A">
        <w:t xml:space="preserve"> </w:t>
      </w:r>
      <w:r w:rsidR="003D3618" w:rsidDel="00824D3A">
        <w:t>NEN</w:t>
      </w:r>
      <w:r w:rsidR="004B4092" w:rsidDel="00824D3A">
        <w:rPr>
          <w:rFonts w:eastAsia="Arial"/>
          <w:bCs/>
        </w:rPr>
        <w:t>.</w:t>
      </w:r>
    </w:p>
    <w:bookmarkEnd w:id="1"/>
    <w:p w14:paraId="5AFA1ABD" w14:textId="77777777" w:rsidR="004B4092" w:rsidRDefault="004B4092" w:rsidP="00A93AA6">
      <w:pPr>
        <w:pStyle w:val="Sraopastraipa"/>
        <w:tabs>
          <w:tab w:val="left" w:pos="426"/>
        </w:tabs>
        <w:ind w:left="0"/>
        <w:rPr>
          <w:b/>
          <w:bCs/>
          <w:caps/>
        </w:rPr>
      </w:pPr>
    </w:p>
    <w:p w14:paraId="39C1ADA8" w14:textId="77777777" w:rsidR="00AC5129" w:rsidRPr="000203E1" w:rsidRDefault="00AC5129" w:rsidP="00A93AA6">
      <w:pPr>
        <w:pStyle w:val="Sraopastraipa"/>
        <w:tabs>
          <w:tab w:val="left" w:pos="426"/>
        </w:tabs>
        <w:ind w:left="0"/>
        <w:rPr>
          <w:b/>
          <w:bCs/>
          <w:caps/>
        </w:rPr>
      </w:pPr>
    </w:p>
    <w:p w14:paraId="7DE09EB5" w14:textId="69E9DD74" w:rsidR="00E03C3F" w:rsidRDefault="00CC7832" w:rsidP="00CC09D4">
      <w:pPr>
        <w:pStyle w:val="Sraopastraipa"/>
        <w:numPr>
          <w:ilvl w:val="0"/>
          <w:numId w:val="12"/>
        </w:numPr>
        <w:tabs>
          <w:tab w:val="left" w:pos="567"/>
        </w:tabs>
        <w:ind w:hanging="720"/>
        <w:rPr>
          <w:b/>
          <w:bCs/>
          <w:caps/>
        </w:rPr>
      </w:pPr>
      <w:r w:rsidRPr="000203E1">
        <w:rPr>
          <w:b/>
          <w:bCs/>
          <w:caps/>
        </w:rPr>
        <w:t xml:space="preserve">ekonominio vertinimo </w:t>
      </w:r>
      <w:r w:rsidR="002F0E4F" w:rsidRPr="000203E1">
        <w:rPr>
          <w:b/>
          <w:bCs/>
          <w:caps/>
        </w:rPr>
        <w:t>apibendrinimas</w:t>
      </w:r>
    </w:p>
    <w:p w14:paraId="66D3C9A8" w14:textId="77777777" w:rsidR="00F45998" w:rsidRPr="000203E1" w:rsidRDefault="00F45998" w:rsidP="00F45998">
      <w:pPr>
        <w:pStyle w:val="Sraopastraipa"/>
        <w:tabs>
          <w:tab w:val="left" w:pos="567"/>
        </w:tabs>
        <w:rPr>
          <w:b/>
          <w:bCs/>
          <w:caps/>
        </w:rPr>
      </w:pPr>
    </w:p>
    <w:p w14:paraId="3D32C608" w14:textId="77777777" w:rsidR="007B7892" w:rsidRPr="003D7AAB" w:rsidRDefault="007B7892" w:rsidP="007B7892">
      <w:pPr>
        <w:autoSpaceDE w:val="0"/>
        <w:autoSpaceDN w:val="0"/>
        <w:adjustRightInd w:val="0"/>
        <w:spacing w:line="276" w:lineRule="auto"/>
        <w:ind w:firstLine="720"/>
        <w:jc w:val="both"/>
      </w:pPr>
      <w:r w:rsidRPr="003D7AAB">
        <w:rPr>
          <w:bCs/>
        </w:rPr>
        <w:t xml:space="preserve">Pareiškėjas siekia, kad vaistinis preparatas </w:t>
      </w:r>
      <w:proofErr w:type="spellStart"/>
      <w:r w:rsidRPr="003D7AAB">
        <w:rPr>
          <w:rFonts w:eastAsia="Arial"/>
        </w:rPr>
        <w:t>lutecio</w:t>
      </w:r>
      <w:proofErr w:type="spellEnd"/>
      <w:r w:rsidRPr="003D7AAB">
        <w:rPr>
          <w:rFonts w:eastAsia="Arial"/>
        </w:rPr>
        <w:t xml:space="preserve"> (</w:t>
      </w:r>
      <w:r w:rsidRPr="003D7AAB">
        <w:rPr>
          <w:rFonts w:eastAsia="Arial"/>
          <w:vertAlign w:val="superscript"/>
        </w:rPr>
        <w:t>177</w:t>
      </w:r>
      <w:r w:rsidRPr="003D7AAB">
        <w:rPr>
          <w:rFonts w:eastAsia="Arial"/>
        </w:rPr>
        <w:t xml:space="preserve">Lu) </w:t>
      </w:r>
      <w:proofErr w:type="spellStart"/>
      <w:r w:rsidRPr="003D7AAB">
        <w:rPr>
          <w:rFonts w:eastAsia="Arial"/>
        </w:rPr>
        <w:t>oksodotreotidas</w:t>
      </w:r>
      <w:proofErr w:type="spellEnd"/>
      <w:r w:rsidRPr="003D7AAB">
        <w:rPr>
          <w:rFonts w:eastAsia="Arial"/>
        </w:rPr>
        <w:t xml:space="preserve"> (</w:t>
      </w:r>
      <w:proofErr w:type="spellStart"/>
      <w:r w:rsidRPr="003D7AAB">
        <w:rPr>
          <w:rFonts w:eastAsia="Arial"/>
        </w:rPr>
        <w:t>Lutathera</w:t>
      </w:r>
      <w:proofErr w:type="spellEnd"/>
      <w:r w:rsidRPr="003D7AAB">
        <w:rPr>
          <w:rFonts w:eastAsia="Arial"/>
        </w:rPr>
        <w:t>)</w:t>
      </w:r>
      <w:r w:rsidRPr="003D7AAB">
        <w:rPr>
          <w:bCs/>
        </w:rPr>
        <w:t xml:space="preserve"> būtų kompensuojamas  indikacijai „Gydyti</w:t>
      </w:r>
      <w:r w:rsidRPr="003D7AAB">
        <w:rPr>
          <w:b/>
          <w:bCs/>
        </w:rPr>
        <w:t xml:space="preserve"> </w:t>
      </w:r>
      <w:proofErr w:type="spellStart"/>
      <w:r w:rsidRPr="003D7AAB">
        <w:rPr>
          <w:rFonts w:eastAsia="TimesNewRomanPSMT"/>
        </w:rPr>
        <w:t>nerezekuojamus</w:t>
      </w:r>
      <w:proofErr w:type="spellEnd"/>
      <w:r w:rsidRPr="003D7AAB">
        <w:rPr>
          <w:rFonts w:eastAsia="TimesNewRomanPSMT"/>
        </w:rPr>
        <w:t xml:space="preserve"> arba </w:t>
      </w:r>
      <w:proofErr w:type="spellStart"/>
      <w:r w:rsidRPr="003D7AAB">
        <w:rPr>
          <w:rFonts w:eastAsia="TimesNewRomanPSMT"/>
        </w:rPr>
        <w:t>metastazavusius</w:t>
      </w:r>
      <w:proofErr w:type="spellEnd"/>
      <w:r w:rsidRPr="003D7AAB">
        <w:rPr>
          <w:rFonts w:eastAsia="TimesNewRomanPSMT"/>
        </w:rPr>
        <w:t>, progresuojančius, gerai diferencijuotus</w:t>
      </w:r>
      <w:r w:rsidRPr="003D7AAB">
        <w:rPr>
          <w:b/>
          <w:bCs/>
        </w:rPr>
        <w:t xml:space="preserve"> </w:t>
      </w:r>
      <w:r w:rsidRPr="003D7AAB">
        <w:rPr>
          <w:rFonts w:eastAsia="TimesNewRomanPSMT"/>
        </w:rPr>
        <w:t xml:space="preserve">(G1 ir G2), </w:t>
      </w:r>
      <w:proofErr w:type="spellStart"/>
      <w:r w:rsidRPr="003D7AAB">
        <w:rPr>
          <w:rFonts w:eastAsia="TimesNewRomanPSMT"/>
        </w:rPr>
        <w:t>somatostatino</w:t>
      </w:r>
      <w:proofErr w:type="spellEnd"/>
      <w:r w:rsidRPr="003D7AAB">
        <w:rPr>
          <w:rFonts w:eastAsia="TimesNewRomanPSMT"/>
        </w:rPr>
        <w:t xml:space="preserve"> receptoriams teigiamus </w:t>
      </w:r>
      <w:proofErr w:type="spellStart"/>
      <w:r w:rsidRPr="003D7AAB">
        <w:rPr>
          <w:rFonts w:eastAsia="TimesNewRomanPSMT"/>
        </w:rPr>
        <w:t>gastroenteropankreatinius</w:t>
      </w:r>
      <w:proofErr w:type="spellEnd"/>
      <w:r w:rsidRPr="003D7AAB">
        <w:rPr>
          <w:rFonts w:eastAsia="TimesNewRomanPSMT"/>
        </w:rPr>
        <w:t xml:space="preserve"> </w:t>
      </w:r>
      <w:proofErr w:type="spellStart"/>
      <w:r w:rsidRPr="003D7AAB">
        <w:rPr>
          <w:rFonts w:eastAsia="TimesNewRomanPSMT"/>
        </w:rPr>
        <w:t>neuroendokrininius</w:t>
      </w:r>
      <w:proofErr w:type="spellEnd"/>
      <w:r w:rsidRPr="003D7AAB">
        <w:rPr>
          <w:rFonts w:eastAsia="TimesNewRomanPSMT"/>
        </w:rPr>
        <w:t xml:space="preserve"> navikus</w:t>
      </w:r>
      <w:r w:rsidRPr="003D7AAB">
        <w:rPr>
          <w:b/>
          <w:bCs/>
        </w:rPr>
        <w:t xml:space="preserve"> </w:t>
      </w:r>
      <w:r w:rsidRPr="003D7AAB">
        <w:rPr>
          <w:rFonts w:eastAsia="TimesNewRomanPSMT"/>
        </w:rPr>
        <w:t xml:space="preserve">(GEP-NEN) suaugusiesiems“. Ekonominėje analizėje įtraukti ir išskirti trys pogrupiai pacientų, kuriems nustatyti: 1) </w:t>
      </w:r>
      <w:r w:rsidRPr="003D7AAB">
        <w:t xml:space="preserve">vidurinės virškinamojo trakto dalies NEN (angl. </w:t>
      </w:r>
      <w:proofErr w:type="spellStart"/>
      <w:r w:rsidRPr="003D7AAB">
        <w:rPr>
          <w:b/>
          <w:i/>
        </w:rPr>
        <w:t>midgut</w:t>
      </w:r>
      <w:proofErr w:type="spellEnd"/>
      <w:r w:rsidRPr="003D7AAB">
        <w:rPr>
          <w:b/>
        </w:rPr>
        <w:t xml:space="preserve"> GE-NEN</w:t>
      </w:r>
      <w:r w:rsidRPr="003D7AAB">
        <w:t>); 2) virškinimo trakto (</w:t>
      </w:r>
      <w:r w:rsidRPr="003D7AAB">
        <w:rPr>
          <w:b/>
        </w:rPr>
        <w:t>GE-NEN</w:t>
      </w:r>
      <w:r w:rsidRPr="003D7AAB">
        <w:t xml:space="preserve">) ir 3) </w:t>
      </w:r>
      <w:r w:rsidRPr="003D7AAB">
        <w:rPr>
          <w:bCs/>
        </w:rPr>
        <w:t>kasos (</w:t>
      </w:r>
      <w:r w:rsidRPr="003D7AAB">
        <w:rPr>
          <w:b/>
          <w:bCs/>
        </w:rPr>
        <w:t>P-NEN</w:t>
      </w:r>
      <w:r w:rsidRPr="003D7AAB">
        <w:rPr>
          <w:bCs/>
        </w:rPr>
        <w:t xml:space="preserve">) </w:t>
      </w:r>
      <w:proofErr w:type="spellStart"/>
      <w:r w:rsidRPr="003D7AAB">
        <w:t>neuroendokrininiai</w:t>
      </w:r>
      <w:proofErr w:type="spellEnd"/>
      <w:r w:rsidRPr="003D7AAB">
        <w:t xml:space="preserve"> navikai.</w:t>
      </w:r>
    </w:p>
    <w:p w14:paraId="48B83BD1" w14:textId="77777777" w:rsidR="007B7892" w:rsidRDefault="007B7892" w:rsidP="007B7892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="Arial"/>
        </w:rPr>
      </w:pPr>
      <w:r w:rsidRPr="003D7AAB">
        <w:t xml:space="preserve">Pažymėtina, kad </w:t>
      </w:r>
      <w:r w:rsidRPr="003D7AAB">
        <w:rPr>
          <w:lang w:eastAsia="lt-LT"/>
        </w:rPr>
        <w:t xml:space="preserve">GE-NEN ir P-NEN pogrupių analizei pateikti duomenys </w:t>
      </w:r>
      <w:proofErr w:type="spellStart"/>
      <w:r w:rsidRPr="003D7AAB">
        <w:t>heterogeniški</w:t>
      </w:r>
      <w:proofErr w:type="spellEnd"/>
      <w:r w:rsidRPr="003D7AAB">
        <w:t xml:space="preserve"> ir pasižymi dideliais neapibrėžtumais: klinikinių tyrimų duomenys be kontrolinės grupės (nėra aiškus KNA taikomas tikrasis efekto dydis), taikyti netiesioginiai palyginimai, </w:t>
      </w:r>
      <w:proofErr w:type="spellStart"/>
      <w:r w:rsidRPr="003D7AAB">
        <w:t>heterogeniškos</w:t>
      </w:r>
      <w:proofErr w:type="spellEnd"/>
      <w:r w:rsidRPr="003D7AAB">
        <w:t xml:space="preserve"> populiacijos ir kt. Pareiškėjui pateikus atsakymus susijusius su klinikinių duomenų pagrindimu </w:t>
      </w:r>
      <w:r w:rsidRPr="003D7AAB">
        <w:rPr>
          <w:bCs/>
        </w:rPr>
        <w:t xml:space="preserve">P-NEN pacientų </w:t>
      </w:r>
      <w:r w:rsidRPr="003D7AAB">
        <w:rPr>
          <w:bCs/>
        </w:rPr>
        <w:lastRenderedPageBreak/>
        <w:t>pogrupio analizei</w:t>
      </w:r>
      <w:r w:rsidRPr="003D7AAB">
        <w:t xml:space="preserve"> remiantis ERASMUS klinikinio tyrimo duomenimis bei atnaujinus </w:t>
      </w:r>
      <w:r w:rsidRPr="003D7AAB">
        <w:rPr>
          <w:rFonts w:eastAsia="Arial"/>
        </w:rPr>
        <w:t xml:space="preserve">KNA įtraukiant pacientų lygmens </w:t>
      </w:r>
      <w:proofErr w:type="spellStart"/>
      <w:r w:rsidRPr="003D7AAB">
        <w:rPr>
          <w:bCs/>
        </w:rPr>
        <w:t>L</w:t>
      </w:r>
      <w:r w:rsidRPr="003D7AAB">
        <w:rPr>
          <w:rFonts w:eastAsia="Arial"/>
        </w:rPr>
        <w:t>utecio</w:t>
      </w:r>
      <w:proofErr w:type="spellEnd"/>
      <w:r w:rsidRPr="003D7AAB">
        <w:rPr>
          <w:rFonts w:eastAsia="Arial"/>
        </w:rPr>
        <w:t xml:space="preserve"> (</w:t>
      </w:r>
      <w:r w:rsidRPr="003D7AAB">
        <w:rPr>
          <w:rFonts w:eastAsia="Arial"/>
          <w:vertAlign w:val="superscript"/>
        </w:rPr>
        <w:t>177</w:t>
      </w:r>
      <w:r w:rsidRPr="003D7AAB">
        <w:rPr>
          <w:rFonts w:eastAsia="Arial"/>
        </w:rPr>
        <w:t xml:space="preserve">Lu) </w:t>
      </w:r>
      <w:proofErr w:type="spellStart"/>
      <w:r w:rsidRPr="003D7AAB">
        <w:rPr>
          <w:rFonts w:eastAsia="Arial"/>
        </w:rPr>
        <w:t>oksodotreotido</w:t>
      </w:r>
      <w:proofErr w:type="spellEnd"/>
      <w:r w:rsidRPr="003D7AAB">
        <w:rPr>
          <w:rFonts w:eastAsia="Arial"/>
        </w:rPr>
        <w:t xml:space="preserve"> duomenis iš </w:t>
      </w:r>
      <w:proofErr w:type="spellStart"/>
      <w:r w:rsidRPr="003D7AAB">
        <w:rPr>
          <w:rFonts w:eastAsia="Arial"/>
        </w:rPr>
        <w:t>Netter</w:t>
      </w:r>
      <w:proofErr w:type="spellEnd"/>
      <w:r w:rsidRPr="003D7AAB">
        <w:rPr>
          <w:rFonts w:eastAsia="Arial"/>
        </w:rPr>
        <w:t xml:space="preserve">-R klinikinio tyrimo, laikoma, kad P-NEN klinikiniai duomenys pasižymi neapibrėžtumais, tačiau </w:t>
      </w:r>
      <w:r w:rsidRPr="003D7AAB">
        <w:rPr>
          <w:bCs/>
        </w:rPr>
        <w:t xml:space="preserve">yra pakankami P-NEN pacientų pogrupio analizei. Atitinkamai, </w:t>
      </w:r>
      <w:r w:rsidRPr="003D7AAB">
        <w:rPr>
          <w:rFonts w:eastAsia="Arial"/>
        </w:rPr>
        <w:t xml:space="preserve">KNA atlikta vidurinės vamzdelio dalies GE-NEN ir P-NEN pogrupiams. </w:t>
      </w:r>
      <w:r>
        <w:rPr>
          <w:rFonts w:eastAsia="Arial"/>
        </w:rPr>
        <w:t xml:space="preserve">Atsižvelgiant, kad </w:t>
      </w:r>
      <w:r w:rsidRPr="003D7AAB">
        <w:rPr>
          <w:rFonts w:eastAsia="Arial"/>
        </w:rPr>
        <w:t>vidurinės vamzdelio dalies GE-NEN</w:t>
      </w:r>
      <w:r>
        <w:rPr>
          <w:rFonts w:eastAsia="Arial"/>
        </w:rPr>
        <w:t xml:space="preserve"> duomenys laikomi patikimiausiais, KNA atliekama pagal šio pogrupio duomenis. </w:t>
      </w:r>
      <w:r w:rsidRPr="003D7AAB">
        <w:t>Klinikinių tyrimų rezultatai plačiau aprašomi protokolo klinikinėje dalyje.</w:t>
      </w:r>
      <w:r w:rsidRPr="003D7AAB">
        <w:rPr>
          <w:rFonts w:eastAsia="Arial"/>
        </w:rPr>
        <w:t xml:space="preserve"> </w:t>
      </w:r>
    </w:p>
    <w:p w14:paraId="5EDB99B7" w14:textId="54772860" w:rsidR="007B7892" w:rsidRDefault="007B7892" w:rsidP="007B7892">
      <w:pPr>
        <w:spacing w:line="276" w:lineRule="auto"/>
        <w:ind w:firstLine="720"/>
        <w:jc w:val="both"/>
      </w:pPr>
      <w:proofErr w:type="spellStart"/>
      <w:r w:rsidRPr="003D7AAB">
        <w:t>Lutathera</w:t>
      </w:r>
      <w:proofErr w:type="spellEnd"/>
      <w:r w:rsidRPr="003D7AAB">
        <w:t xml:space="preserve"> skiriant pacientams, </w:t>
      </w:r>
      <w:r w:rsidRPr="003D7AAB">
        <w:rPr>
          <w:bCs/>
        </w:rPr>
        <w:t>kuriems nustatyti</w:t>
      </w:r>
      <w:r w:rsidRPr="003D7AAB">
        <w:rPr>
          <w:b/>
          <w:bCs/>
        </w:rPr>
        <w:t xml:space="preserve"> </w:t>
      </w:r>
      <w:proofErr w:type="spellStart"/>
      <w:r w:rsidRPr="003D7AAB">
        <w:rPr>
          <w:bCs/>
        </w:rPr>
        <w:t>n</w:t>
      </w:r>
      <w:r w:rsidRPr="003D7AAB">
        <w:t>erezekuojami</w:t>
      </w:r>
      <w:proofErr w:type="spellEnd"/>
      <w:r w:rsidRPr="003D7AAB">
        <w:t xml:space="preserve"> ar </w:t>
      </w:r>
      <w:proofErr w:type="spellStart"/>
      <w:r w:rsidRPr="003D7AAB">
        <w:t>metastazavę</w:t>
      </w:r>
      <w:proofErr w:type="spellEnd"/>
      <w:r w:rsidRPr="003D7AAB">
        <w:t xml:space="preserve">, progresuojantys, gerai diferencijuoti (G1 ir G2), </w:t>
      </w:r>
      <w:proofErr w:type="spellStart"/>
      <w:r w:rsidRPr="003D7AAB">
        <w:t>somatostatino</w:t>
      </w:r>
      <w:proofErr w:type="spellEnd"/>
      <w:r w:rsidRPr="003D7AAB">
        <w:t xml:space="preserve"> receptoriams teigiami </w:t>
      </w:r>
      <w:r w:rsidRPr="003D7AAB">
        <w:rPr>
          <w:b/>
        </w:rPr>
        <w:t>vidurinės</w:t>
      </w:r>
      <w:r w:rsidRPr="003D7AAB">
        <w:t xml:space="preserve"> – plonosios žarnos, aklosios žarnos ir dešiniosios storosios žarnos – </w:t>
      </w:r>
      <w:r w:rsidRPr="003D7AAB">
        <w:rPr>
          <w:b/>
        </w:rPr>
        <w:t>vamzdelio dalies</w:t>
      </w:r>
      <w:r w:rsidRPr="003D7AAB">
        <w:t xml:space="preserve"> </w:t>
      </w:r>
      <w:proofErr w:type="spellStart"/>
      <w:r w:rsidRPr="003D7AAB">
        <w:rPr>
          <w:b/>
        </w:rPr>
        <w:t>neuroendokrininiai</w:t>
      </w:r>
      <w:proofErr w:type="spellEnd"/>
      <w:r w:rsidRPr="003D7AAB">
        <w:rPr>
          <w:b/>
        </w:rPr>
        <w:t xml:space="preserve"> navikai</w:t>
      </w:r>
      <w:r w:rsidRPr="003D7AAB">
        <w:t xml:space="preserve">, kai gydant padidintomis SSA dozėmis nustatomas ligos progresavimas, viso gyvenimo laiko perspektyvoje (20 m.) yra papildomai laimima </w:t>
      </w:r>
      <w:r w:rsidR="00F952B9" w:rsidRPr="003D7AAB">
        <w:t>(</w:t>
      </w:r>
      <w:r w:rsidR="00F952B9">
        <w:rPr>
          <w:lang w:eastAsia="lt-LT"/>
        </w:rPr>
        <w:t>*****</w:t>
      </w:r>
      <w:r w:rsidR="00F952B9">
        <w:t xml:space="preserve"> </w:t>
      </w:r>
      <w:r w:rsidRPr="003D7AAB">
        <w:t xml:space="preserve">QALY, o gydymo </w:t>
      </w:r>
      <w:proofErr w:type="spellStart"/>
      <w:r w:rsidRPr="003D7AAB">
        <w:t>Lutathera</w:t>
      </w:r>
      <w:proofErr w:type="spellEnd"/>
      <w:r w:rsidRPr="003D7AAB">
        <w:t xml:space="preserve"> kaštai yra </w:t>
      </w:r>
      <w:r w:rsidR="00F952B9" w:rsidRPr="003D7AAB">
        <w:t>(</w:t>
      </w:r>
      <w:r w:rsidR="00F952B9">
        <w:rPr>
          <w:lang w:eastAsia="lt-LT"/>
        </w:rPr>
        <w:t>*****</w:t>
      </w:r>
      <w:r w:rsidR="00F952B9">
        <w:t xml:space="preserve"> </w:t>
      </w:r>
      <w:r w:rsidRPr="003D7AAB">
        <w:t xml:space="preserve">Eur. didesni nei gydant </w:t>
      </w:r>
      <w:proofErr w:type="spellStart"/>
      <w:r w:rsidRPr="003D7AAB">
        <w:t>oktreotidu</w:t>
      </w:r>
      <w:proofErr w:type="spellEnd"/>
      <w:r w:rsidRPr="003D7AAB">
        <w:t>. Įprastinėje atvejo analizėje apskaičiuojamas ICER koeficientas (</w:t>
      </w:r>
      <w:r w:rsidR="00F952B9">
        <w:rPr>
          <w:lang w:eastAsia="lt-LT"/>
        </w:rPr>
        <w:t>*****</w:t>
      </w:r>
      <w:r>
        <w:t xml:space="preserve"> Eur./QALY) atitinka </w:t>
      </w:r>
      <w:r w:rsidRPr="003D7AAB">
        <w:t xml:space="preserve">sunkiai ligos naštai taikomą </w:t>
      </w:r>
      <w:r>
        <w:t>referencinę kaštų naudingumo vertę</w:t>
      </w:r>
      <w:r w:rsidRPr="003D7AAB">
        <w:t xml:space="preserve"> </w:t>
      </w:r>
      <w:r>
        <w:t>(&lt;</w:t>
      </w:r>
      <w:r w:rsidR="00F952B9" w:rsidRPr="003D7AAB">
        <w:t>(</w:t>
      </w:r>
      <w:r w:rsidR="00F952B9">
        <w:rPr>
          <w:lang w:eastAsia="lt-LT"/>
        </w:rPr>
        <w:t>*****</w:t>
      </w:r>
      <w:r w:rsidR="00F952B9">
        <w:t xml:space="preserve"> </w:t>
      </w:r>
      <w:r>
        <w:t>Eur., lentelė 3.1)</w:t>
      </w:r>
      <w:r w:rsidRPr="003D7AAB">
        <w:t>.</w:t>
      </w:r>
      <w:r>
        <w:t xml:space="preserve"> </w:t>
      </w:r>
    </w:p>
    <w:p w14:paraId="29A4E4B0" w14:textId="77777777" w:rsidR="007B7892" w:rsidRPr="00F832F8" w:rsidRDefault="007B7892" w:rsidP="007B7892">
      <w:pPr>
        <w:tabs>
          <w:tab w:val="left" w:pos="426"/>
        </w:tabs>
        <w:spacing w:line="276" w:lineRule="auto"/>
        <w:jc w:val="both"/>
      </w:pPr>
    </w:p>
    <w:p w14:paraId="35E5FA4C" w14:textId="77777777" w:rsidR="007B7892" w:rsidRPr="00F832F8" w:rsidRDefault="007B7892" w:rsidP="007B7892">
      <w:pPr>
        <w:spacing w:line="276" w:lineRule="auto"/>
        <w:ind w:firstLine="720"/>
        <w:jc w:val="both"/>
      </w:pPr>
      <w:r w:rsidRPr="00F832F8">
        <w:rPr>
          <w:rFonts w:eastAsia="Arial"/>
        </w:rPr>
        <w:t>Lentelė 3.1. Kaštų analizės rezultatai pagal pogrupius</w:t>
      </w:r>
    </w:p>
    <w:tbl>
      <w:tblPr>
        <w:tblStyle w:val="Lentelstinklelis"/>
        <w:tblW w:w="9794" w:type="dxa"/>
        <w:tblLayout w:type="fixed"/>
        <w:tblLook w:val="04A0" w:firstRow="1" w:lastRow="0" w:firstColumn="1" w:lastColumn="0" w:noHBand="0" w:noVBand="1"/>
      </w:tblPr>
      <w:tblGrid>
        <w:gridCol w:w="2689"/>
        <w:gridCol w:w="1750"/>
        <w:gridCol w:w="1268"/>
        <w:gridCol w:w="1081"/>
        <w:gridCol w:w="904"/>
        <w:gridCol w:w="1092"/>
        <w:gridCol w:w="1010"/>
      </w:tblGrid>
      <w:tr w:rsidR="007B7892" w:rsidRPr="00F832F8" w14:paraId="2A96BD8D" w14:textId="77777777" w:rsidTr="00171466">
        <w:trPr>
          <w:trHeight w:val="358"/>
        </w:trPr>
        <w:tc>
          <w:tcPr>
            <w:tcW w:w="9794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2BFFE97" w14:textId="77777777" w:rsidR="007B7892" w:rsidRPr="00F832F8" w:rsidRDefault="007B7892" w:rsidP="00171466">
            <w:pPr>
              <w:spacing w:line="280" w:lineRule="atLeast"/>
              <w:rPr>
                <w:rFonts w:eastAsia="Arial"/>
                <w:b/>
                <w:bCs/>
                <w:sz w:val="22"/>
                <w:szCs w:val="22"/>
              </w:rPr>
            </w:pPr>
            <w:r w:rsidRPr="00F832F8">
              <w:rPr>
                <w:rFonts w:eastAsia="Arial"/>
                <w:b/>
                <w:i/>
                <w:iCs/>
                <w:sz w:val="22"/>
                <w:szCs w:val="22"/>
              </w:rPr>
              <w:t>Vidurinės vamzdelio dalies GE-NEN</w:t>
            </w:r>
            <w:r w:rsidRPr="00F832F8">
              <w:rPr>
                <w:rFonts w:eastAsia="Arial"/>
                <w:b/>
                <w:i/>
                <w:sz w:val="22"/>
                <w:szCs w:val="22"/>
              </w:rPr>
              <w:t xml:space="preserve"> pogrupis</w:t>
            </w:r>
          </w:p>
        </w:tc>
      </w:tr>
      <w:tr w:rsidR="007B7892" w:rsidRPr="00F832F8" w14:paraId="15CEC865" w14:textId="77777777" w:rsidTr="00171466">
        <w:trPr>
          <w:trHeight w:val="661"/>
        </w:trPr>
        <w:tc>
          <w:tcPr>
            <w:tcW w:w="2689" w:type="dxa"/>
            <w:tcBorders>
              <w:left w:val="single" w:sz="12" w:space="0" w:color="auto"/>
            </w:tcBorders>
          </w:tcPr>
          <w:p w14:paraId="73F283C4" w14:textId="77777777" w:rsidR="007B7892" w:rsidRPr="00F832F8" w:rsidRDefault="007B7892" w:rsidP="00171466">
            <w:pPr>
              <w:spacing w:line="280" w:lineRule="atLeast"/>
              <w:rPr>
                <w:rFonts w:eastAsia="Arial"/>
                <w:i/>
                <w:iCs/>
                <w:sz w:val="22"/>
                <w:szCs w:val="22"/>
              </w:rPr>
            </w:pPr>
            <w:r w:rsidRPr="00F832F8">
              <w:rPr>
                <w:rFonts w:eastAsia="Arial"/>
                <w:i/>
                <w:sz w:val="22"/>
                <w:szCs w:val="22"/>
              </w:rPr>
              <w:t>Pacientų lygmens duomenų analizė</w:t>
            </w:r>
            <w:r w:rsidRPr="00F832F8">
              <w:rPr>
                <w:rFonts w:eastAsia="Arial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750" w:type="dxa"/>
          </w:tcPr>
          <w:p w14:paraId="39B5E339" w14:textId="77777777" w:rsidR="007B7892" w:rsidRPr="00F832F8" w:rsidRDefault="007B7892" w:rsidP="00171466">
            <w:pPr>
              <w:spacing w:line="280" w:lineRule="atLeast"/>
              <w:rPr>
                <w:rFonts w:eastAsia="Arial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F832F8">
              <w:rPr>
                <w:rFonts w:eastAsia="Arial"/>
                <w:b/>
                <w:bCs/>
                <w:i/>
                <w:iCs/>
                <w:sz w:val="22"/>
                <w:szCs w:val="22"/>
              </w:rPr>
              <w:t>Lutecio</w:t>
            </w:r>
            <w:proofErr w:type="spellEnd"/>
            <w:r w:rsidRPr="00F832F8">
              <w:rPr>
                <w:rFonts w:eastAsia="Arial"/>
                <w:b/>
                <w:bCs/>
                <w:i/>
                <w:iCs/>
                <w:sz w:val="22"/>
                <w:szCs w:val="22"/>
              </w:rPr>
              <w:t xml:space="preserve"> (</w:t>
            </w:r>
            <w:r w:rsidRPr="00F832F8">
              <w:rPr>
                <w:rFonts w:eastAsia="Arial"/>
                <w:b/>
                <w:bCs/>
                <w:i/>
                <w:iCs/>
                <w:sz w:val="22"/>
                <w:szCs w:val="22"/>
                <w:vertAlign w:val="superscript"/>
              </w:rPr>
              <w:t>177</w:t>
            </w:r>
            <w:r w:rsidRPr="00F832F8">
              <w:rPr>
                <w:rFonts w:eastAsia="Arial"/>
                <w:b/>
                <w:bCs/>
                <w:i/>
                <w:iCs/>
                <w:sz w:val="22"/>
                <w:szCs w:val="22"/>
              </w:rPr>
              <w:t xml:space="preserve">Lu) </w:t>
            </w:r>
            <w:proofErr w:type="spellStart"/>
            <w:r w:rsidRPr="00F832F8">
              <w:rPr>
                <w:rFonts w:eastAsia="Arial"/>
                <w:b/>
                <w:bCs/>
                <w:i/>
                <w:iCs/>
                <w:sz w:val="22"/>
                <w:szCs w:val="22"/>
              </w:rPr>
              <w:t>oksodotreotidas</w:t>
            </w:r>
            <w:proofErr w:type="spellEnd"/>
          </w:p>
        </w:tc>
        <w:tc>
          <w:tcPr>
            <w:tcW w:w="5355" w:type="dxa"/>
            <w:gridSpan w:val="5"/>
            <w:tcBorders>
              <w:right w:val="single" w:sz="12" w:space="0" w:color="auto"/>
            </w:tcBorders>
          </w:tcPr>
          <w:p w14:paraId="11DAE6A3" w14:textId="77777777" w:rsidR="007B7892" w:rsidRPr="00F832F8" w:rsidRDefault="007B7892" w:rsidP="00171466">
            <w:pPr>
              <w:spacing w:line="280" w:lineRule="atLeast"/>
              <w:rPr>
                <w:rFonts w:eastAsia="Arial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F832F8">
              <w:rPr>
                <w:rFonts w:eastAsia="Arial"/>
                <w:b/>
                <w:bCs/>
                <w:i/>
                <w:iCs/>
                <w:sz w:val="22"/>
                <w:szCs w:val="22"/>
              </w:rPr>
              <w:t>Oktreotidas</w:t>
            </w:r>
            <w:proofErr w:type="spellEnd"/>
            <w:r w:rsidRPr="00F832F8">
              <w:rPr>
                <w:rFonts w:eastAsia="Arial"/>
                <w:b/>
                <w:bCs/>
                <w:i/>
                <w:iCs/>
                <w:sz w:val="22"/>
                <w:szCs w:val="22"/>
              </w:rPr>
              <w:t xml:space="preserve"> LAR</w:t>
            </w:r>
          </w:p>
        </w:tc>
      </w:tr>
      <w:tr w:rsidR="007B7892" w:rsidRPr="00F832F8" w14:paraId="6ED3629B" w14:textId="77777777" w:rsidTr="00171466">
        <w:trPr>
          <w:trHeight w:val="315"/>
        </w:trPr>
        <w:tc>
          <w:tcPr>
            <w:tcW w:w="4439" w:type="dxa"/>
            <w:gridSpan w:val="2"/>
            <w:tcBorders>
              <w:left w:val="single" w:sz="12" w:space="0" w:color="auto"/>
            </w:tcBorders>
            <w:hideMark/>
          </w:tcPr>
          <w:p w14:paraId="38EA819D" w14:textId="77777777" w:rsidR="007B7892" w:rsidRPr="00F832F8" w:rsidRDefault="007B7892" w:rsidP="00171466">
            <w:pPr>
              <w:spacing w:line="280" w:lineRule="atLeast"/>
              <w:rPr>
                <w:rFonts w:eastAsia="Arial"/>
                <w:b/>
                <w:bCs/>
                <w:sz w:val="22"/>
                <w:szCs w:val="22"/>
              </w:rPr>
            </w:pPr>
            <w:r w:rsidRPr="00F832F8">
              <w:rPr>
                <w:rFonts w:eastAsia="Arial"/>
                <w:b/>
                <w:bCs/>
                <w:iCs/>
                <w:sz w:val="22"/>
                <w:szCs w:val="22"/>
              </w:rPr>
              <w:t>Kaštų skirtumas:</w:t>
            </w:r>
          </w:p>
        </w:tc>
        <w:tc>
          <w:tcPr>
            <w:tcW w:w="5355" w:type="dxa"/>
            <w:gridSpan w:val="5"/>
            <w:tcBorders>
              <w:right w:val="single" w:sz="12" w:space="0" w:color="auto"/>
            </w:tcBorders>
          </w:tcPr>
          <w:p w14:paraId="177B4359" w14:textId="0B34D0C3" w:rsidR="007B7892" w:rsidRPr="00CA0783" w:rsidRDefault="00F952B9" w:rsidP="00171466">
            <w:pPr>
              <w:spacing w:line="280" w:lineRule="atLeast"/>
              <w:rPr>
                <w:rFonts w:eastAsia="Arial"/>
                <w:b/>
                <w:bCs/>
                <w:sz w:val="22"/>
                <w:szCs w:val="22"/>
              </w:rPr>
            </w:pPr>
            <w:r>
              <w:rPr>
                <w:lang w:eastAsia="lt-LT"/>
              </w:rPr>
              <w:t>*****</w:t>
            </w:r>
          </w:p>
        </w:tc>
      </w:tr>
      <w:tr w:rsidR="007B7892" w:rsidRPr="00F832F8" w14:paraId="71BA1C40" w14:textId="77777777" w:rsidTr="00171466">
        <w:trPr>
          <w:trHeight w:val="300"/>
        </w:trPr>
        <w:tc>
          <w:tcPr>
            <w:tcW w:w="4439" w:type="dxa"/>
            <w:gridSpan w:val="2"/>
            <w:tcBorders>
              <w:left w:val="single" w:sz="12" w:space="0" w:color="auto"/>
            </w:tcBorders>
            <w:hideMark/>
          </w:tcPr>
          <w:p w14:paraId="3E7AB3C5" w14:textId="77777777" w:rsidR="007B7892" w:rsidRPr="00F832F8" w:rsidRDefault="007B7892" w:rsidP="00171466">
            <w:pPr>
              <w:spacing w:line="280" w:lineRule="atLeast"/>
              <w:rPr>
                <w:rFonts w:eastAsia="Arial"/>
                <w:b/>
                <w:sz w:val="22"/>
                <w:szCs w:val="22"/>
              </w:rPr>
            </w:pPr>
            <w:proofErr w:type="spellStart"/>
            <w:r w:rsidRPr="00F832F8">
              <w:rPr>
                <w:rFonts w:eastAsia="Arial"/>
                <w:b/>
                <w:sz w:val="22"/>
                <w:szCs w:val="22"/>
              </w:rPr>
              <w:t>QALYs</w:t>
            </w:r>
            <w:proofErr w:type="spellEnd"/>
            <w:r w:rsidRPr="00F832F8">
              <w:rPr>
                <w:rFonts w:eastAsia="Arial"/>
                <w:b/>
                <w:sz w:val="22"/>
                <w:szCs w:val="22"/>
              </w:rPr>
              <w:t xml:space="preserve"> skirtumas:</w:t>
            </w:r>
          </w:p>
        </w:tc>
        <w:tc>
          <w:tcPr>
            <w:tcW w:w="5355" w:type="dxa"/>
            <w:gridSpan w:val="5"/>
            <w:tcBorders>
              <w:right w:val="single" w:sz="12" w:space="0" w:color="auto"/>
            </w:tcBorders>
          </w:tcPr>
          <w:p w14:paraId="044F4FEE" w14:textId="04398BE8" w:rsidR="007B7892" w:rsidRPr="00F832F8" w:rsidRDefault="00F952B9" w:rsidP="00171466">
            <w:pPr>
              <w:spacing w:line="280" w:lineRule="atLeast"/>
              <w:rPr>
                <w:rFonts w:eastAsia="Arial"/>
                <w:b/>
                <w:sz w:val="22"/>
                <w:szCs w:val="22"/>
              </w:rPr>
            </w:pPr>
            <w:r>
              <w:rPr>
                <w:lang w:eastAsia="lt-LT"/>
              </w:rPr>
              <w:t>*****</w:t>
            </w:r>
          </w:p>
        </w:tc>
      </w:tr>
      <w:tr w:rsidR="007B7892" w:rsidRPr="00F832F8" w14:paraId="5E057EE0" w14:textId="77777777" w:rsidTr="00171466">
        <w:trPr>
          <w:trHeight w:val="300"/>
        </w:trPr>
        <w:tc>
          <w:tcPr>
            <w:tcW w:w="9794" w:type="dxa"/>
            <w:gridSpan w:val="7"/>
            <w:tcBorders>
              <w:left w:val="single" w:sz="12" w:space="0" w:color="auto"/>
              <w:right w:val="single" w:sz="12" w:space="0" w:color="auto"/>
            </w:tcBorders>
            <w:hideMark/>
          </w:tcPr>
          <w:p w14:paraId="0BDAA556" w14:textId="77777777" w:rsidR="007B7892" w:rsidRPr="00F832F8" w:rsidRDefault="007B7892" w:rsidP="00171466">
            <w:pPr>
              <w:spacing w:line="280" w:lineRule="atLeast"/>
              <w:rPr>
                <w:rFonts w:eastAsia="Arial"/>
                <w:b/>
                <w:bCs/>
                <w:sz w:val="22"/>
                <w:szCs w:val="22"/>
              </w:rPr>
            </w:pPr>
            <w:r w:rsidRPr="00F832F8">
              <w:rPr>
                <w:rFonts w:eastAsia="Arial"/>
                <w:b/>
                <w:bCs/>
                <w:sz w:val="22"/>
                <w:szCs w:val="22"/>
              </w:rPr>
              <w:t>Rezultatai</w:t>
            </w:r>
          </w:p>
        </w:tc>
      </w:tr>
      <w:tr w:rsidR="007B7892" w:rsidRPr="00F832F8" w14:paraId="75CBAA44" w14:textId="77777777" w:rsidTr="00171466">
        <w:trPr>
          <w:trHeight w:val="300"/>
        </w:trPr>
        <w:tc>
          <w:tcPr>
            <w:tcW w:w="4439" w:type="dxa"/>
            <w:gridSpan w:val="2"/>
            <w:tcBorders>
              <w:left w:val="single" w:sz="12" w:space="0" w:color="auto"/>
            </w:tcBorders>
          </w:tcPr>
          <w:p w14:paraId="13E13EC7" w14:textId="77777777" w:rsidR="007B7892" w:rsidRPr="00F832F8" w:rsidRDefault="007B7892" w:rsidP="00171466">
            <w:pPr>
              <w:spacing w:line="280" w:lineRule="atLeast"/>
              <w:rPr>
                <w:rFonts w:eastAsia="Arial"/>
                <w:sz w:val="22"/>
                <w:szCs w:val="22"/>
              </w:rPr>
            </w:pPr>
            <w:r w:rsidRPr="00F832F8">
              <w:rPr>
                <w:iCs/>
                <w:sz w:val="22"/>
                <w:szCs w:val="22"/>
                <w:lang w:eastAsia="lt-LT"/>
              </w:rPr>
              <w:t>ICER už LY</w:t>
            </w:r>
          </w:p>
        </w:tc>
        <w:tc>
          <w:tcPr>
            <w:tcW w:w="5355" w:type="dxa"/>
            <w:gridSpan w:val="5"/>
            <w:tcBorders>
              <w:right w:val="single" w:sz="12" w:space="0" w:color="auto"/>
            </w:tcBorders>
          </w:tcPr>
          <w:p w14:paraId="4332253F" w14:textId="2EB8E633" w:rsidR="007B7892" w:rsidRPr="00F832F8" w:rsidRDefault="00F952B9" w:rsidP="00171466">
            <w:pPr>
              <w:spacing w:line="280" w:lineRule="atLeast"/>
              <w:rPr>
                <w:rFonts w:eastAsia="Arial"/>
                <w:sz w:val="22"/>
                <w:szCs w:val="22"/>
              </w:rPr>
            </w:pPr>
            <w:r>
              <w:rPr>
                <w:lang w:eastAsia="lt-LT"/>
              </w:rPr>
              <w:t>*****</w:t>
            </w:r>
          </w:p>
        </w:tc>
      </w:tr>
      <w:tr w:rsidR="007B7892" w:rsidRPr="00F832F8" w14:paraId="3FAD16DC" w14:textId="77777777" w:rsidTr="00171466">
        <w:trPr>
          <w:trHeight w:val="300"/>
        </w:trPr>
        <w:tc>
          <w:tcPr>
            <w:tcW w:w="4439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214FDE61" w14:textId="77777777" w:rsidR="007B7892" w:rsidRPr="00F832F8" w:rsidRDefault="007B7892" w:rsidP="00171466">
            <w:pPr>
              <w:spacing w:line="280" w:lineRule="atLeast"/>
              <w:rPr>
                <w:rFonts w:eastAsia="Arial"/>
                <w:b/>
                <w:bCs/>
                <w:sz w:val="22"/>
                <w:szCs w:val="22"/>
              </w:rPr>
            </w:pPr>
            <w:r w:rsidRPr="00F832F8">
              <w:rPr>
                <w:b/>
                <w:iCs/>
                <w:sz w:val="22"/>
                <w:szCs w:val="22"/>
                <w:lang w:eastAsia="lt-LT"/>
              </w:rPr>
              <w:t>ICER už QALY</w:t>
            </w:r>
          </w:p>
        </w:tc>
        <w:tc>
          <w:tcPr>
            <w:tcW w:w="5355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1012E377" w14:textId="0663FEBC" w:rsidR="007B7892" w:rsidRPr="00F832F8" w:rsidRDefault="00F952B9" w:rsidP="00171466">
            <w:pPr>
              <w:spacing w:line="280" w:lineRule="atLeast"/>
              <w:rPr>
                <w:rFonts w:eastAsia="Arial"/>
                <w:b/>
                <w:bCs/>
                <w:sz w:val="22"/>
                <w:szCs w:val="22"/>
              </w:rPr>
            </w:pPr>
            <w:r>
              <w:rPr>
                <w:lang w:eastAsia="lt-LT"/>
              </w:rPr>
              <w:t>*****</w:t>
            </w:r>
          </w:p>
        </w:tc>
      </w:tr>
      <w:tr w:rsidR="007B7892" w:rsidRPr="00F832F8" w14:paraId="797AC333" w14:textId="77777777" w:rsidTr="00171466">
        <w:trPr>
          <w:trHeight w:val="300"/>
        </w:trPr>
        <w:tc>
          <w:tcPr>
            <w:tcW w:w="9794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E52CC76" w14:textId="77777777" w:rsidR="007B7892" w:rsidRPr="00F832F8" w:rsidRDefault="007B7892" w:rsidP="00171466">
            <w:pPr>
              <w:spacing w:line="280" w:lineRule="atLeast"/>
              <w:rPr>
                <w:b/>
                <w:color w:val="000000"/>
                <w:sz w:val="22"/>
                <w:szCs w:val="22"/>
                <w:lang w:eastAsia="lt-LT"/>
              </w:rPr>
            </w:pPr>
            <w:r w:rsidRPr="00F832F8">
              <w:rPr>
                <w:rFonts w:eastAsia="Arial"/>
                <w:b/>
                <w:i/>
                <w:iCs/>
                <w:sz w:val="22"/>
                <w:szCs w:val="22"/>
              </w:rPr>
              <w:t>Kasos (P-NEN)</w:t>
            </w:r>
            <w:r w:rsidRPr="00F832F8">
              <w:rPr>
                <w:rFonts w:eastAsia="Arial"/>
                <w:b/>
                <w:i/>
                <w:sz w:val="22"/>
                <w:szCs w:val="22"/>
              </w:rPr>
              <w:t xml:space="preserve"> pogrupis</w:t>
            </w:r>
          </w:p>
        </w:tc>
      </w:tr>
      <w:tr w:rsidR="007B7892" w:rsidRPr="00F832F8" w14:paraId="47182662" w14:textId="77777777" w:rsidTr="00171466">
        <w:trPr>
          <w:trHeight w:val="377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12" w:space="0" w:color="auto"/>
            </w:tcBorders>
            <w:hideMark/>
          </w:tcPr>
          <w:p w14:paraId="759F70F0" w14:textId="77777777" w:rsidR="007B7892" w:rsidRPr="00F832F8" w:rsidRDefault="007B7892" w:rsidP="00171466">
            <w:pPr>
              <w:spacing w:line="280" w:lineRule="atLeast"/>
              <w:rPr>
                <w:rFonts w:eastAsia="Arial"/>
                <w:b/>
                <w:i/>
                <w:iCs/>
                <w:sz w:val="22"/>
                <w:szCs w:val="22"/>
              </w:rPr>
            </w:pPr>
            <w:r w:rsidRPr="00F832F8">
              <w:rPr>
                <w:rFonts w:eastAsia="Arial"/>
                <w:b/>
                <w:i/>
                <w:iCs/>
                <w:sz w:val="22"/>
                <w:szCs w:val="22"/>
              </w:rPr>
              <w:t>Kaštai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</w:tcBorders>
            <w:hideMark/>
          </w:tcPr>
          <w:p w14:paraId="00BC994F" w14:textId="77777777" w:rsidR="007B7892" w:rsidRPr="00F832F8" w:rsidRDefault="007B7892" w:rsidP="00171466">
            <w:pPr>
              <w:spacing w:line="280" w:lineRule="atLeast"/>
              <w:rPr>
                <w:rFonts w:eastAsia="Arial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F832F8">
              <w:rPr>
                <w:rFonts w:eastAsia="Arial"/>
                <w:b/>
                <w:bCs/>
                <w:i/>
                <w:iCs/>
                <w:sz w:val="22"/>
                <w:szCs w:val="22"/>
              </w:rPr>
              <w:t>Lutecio</w:t>
            </w:r>
            <w:proofErr w:type="spellEnd"/>
            <w:r w:rsidRPr="00F832F8">
              <w:rPr>
                <w:rFonts w:eastAsia="Arial"/>
                <w:b/>
                <w:bCs/>
                <w:i/>
                <w:iCs/>
                <w:sz w:val="22"/>
                <w:szCs w:val="22"/>
              </w:rPr>
              <w:t xml:space="preserve"> (</w:t>
            </w:r>
            <w:r w:rsidRPr="00F832F8">
              <w:rPr>
                <w:rFonts w:eastAsia="Arial"/>
                <w:b/>
                <w:bCs/>
                <w:i/>
                <w:iCs/>
                <w:sz w:val="22"/>
                <w:szCs w:val="22"/>
                <w:vertAlign w:val="superscript"/>
              </w:rPr>
              <w:t>177</w:t>
            </w:r>
            <w:r w:rsidRPr="00F832F8">
              <w:rPr>
                <w:rFonts w:eastAsia="Arial"/>
                <w:b/>
                <w:bCs/>
                <w:i/>
                <w:iCs/>
                <w:sz w:val="22"/>
                <w:szCs w:val="22"/>
              </w:rPr>
              <w:t xml:space="preserve">Lu) </w:t>
            </w:r>
            <w:proofErr w:type="spellStart"/>
            <w:r w:rsidRPr="00F832F8">
              <w:rPr>
                <w:rFonts w:eastAsia="Arial"/>
                <w:b/>
                <w:bCs/>
                <w:i/>
                <w:iCs/>
                <w:sz w:val="22"/>
                <w:szCs w:val="22"/>
              </w:rPr>
              <w:t>oksodotreotidas</w:t>
            </w:r>
            <w:proofErr w:type="spellEnd"/>
          </w:p>
        </w:tc>
        <w:tc>
          <w:tcPr>
            <w:tcW w:w="1268" w:type="dxa"/>
            <w:tcBorders>
              <w:top w:val="single" w:sz="4" w:space="0" w:color="auto"/>
            </w:tcBorders>
            <w:hideMark/>
          </w:tcPr>
          <w:p w14:paraId="5E521163" w14:textId="77777777" w:rsidR="007B7892" w:rsidRPr="00F832F8" w:rsidRDefault="007B7892" w:rsidP="00171466">
            <w:pPr>
              <w:spacing w:line="280" w:lineRule="atLeast"/>
              <w:rPr>
                <w:rFonts w:eastAsia="Arial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F832F8">
              <w:rPr>
                <w:rFonts w:eastAsia="Arial"/>
                <w:b/>
                <w:bCs/>
                <w:i/>
                <w:iCs/>
                <w:sz w:val="22"/>
                <w:szCs w:val="22"/>
              </w:rPr>
              <w:t>Oktreotidas</w:t>
            </w:r>
            <w:proofErr w:type="spellEnd"/>
            <w:r w:rsidRPr="00F832F8">
              <w:rPr>
                <w:rFonts w:eastAsia="Arial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hideMark/>
          </w:tcPr>
          <w:p w14:paraId="0D71EAD2" w14:textId="77777777" w:rsidR="007B7892" w:rsidRPr="00F832F8" w:rsidRDefault="007B7892" w:rsidP="00171466">
            <w:pPr>
              <w:spacing w:line="280" w:lineRule="atLeast"/>
              <w:rPr>
                <w:rFonts w:eastAsia="Arial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F832F8">
              <w:rPr>
                <w:rFonts w:eastAsia="Arial"/>
                <w:b/>
                <w:bCs/>
                <w:i/>
                <w:iCs/>
                <w:sz w:val="22"/>
                <w:szCs w:val="22"/>
              </w:rPr>
              <w:t>Everolimuzas</w:t>
            </w:r>
            <w:proofErr w:type="spellEnd"/>
          </w:p>
        </w:tc>
        <w:tc>
          <w:tcPr>
            <w:tcW w:w="2102" w:type="dxa"/>
            <w:gridSpan w:val="2"/>
            <w:tcBorders>
              <w:top w:val="single" w:sz="4" w:space="0" w:color="auto"/>
              <w:right w:val="single" w:sz="12" w:space="0" w:color="auto"/>
            </w:tcBorders>
            <w:hideMark/>
          </w:tcPr>
          <w:p w14:paraId="664A2FC9" w14:textId="77777777" w:rsidR="007B7892" w:rsidRPr="00F832F8" w:rsidRDefault="007B7892" w:rsidP="00171466">
            <w:pPr>
              <w:spacing w:line="280" w:lineRule="atLeast"/>
              <w:rPr>
                <w:rFonts w:eastAsia="Arial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F832F8">
              <w:rPr>
                <w:rFonts w:eastAsia="Arial"/>
                <w:b/>
                <w:bCs/>
                <w:i/>
                <w:iCs/>
                <w:sz w:val="22"/>
                <w:szCs w:val="22"/>
              </w:rPr>
              <w:t>Sunitinibas</w:t>
            </w:r>
            <w:proofErr w:type="spellEnd"/>
          </w:p>
        </w:tc>
      </w:tr>
      <w:tr w:rsidR="007B7892" w:rsidRPr="00F832F8" w14:paraId="621D9E37" w14:textId="77777777" w:rsidTr="00171466">
        <w:trPr>
          <w:trHeight w:val="269"/>
        </w:trPr>
        <w:tc>
          <w:tcPr>
            <w:tcW w:w="2689" w:type="dxa"/>
            <w:vMerge/>
            <w:tcBorders>
              <w:left w:val="single" w:sz="12" w:space="0" w:color="auto"/>
            </w:tcBorders>
            <w:hideMark/>
          </w:tcPr>
          <w:p w14:paraId="04855AD1" w14:textId="77777777" w:rsidR="007B7892" w:rsidRPr="00F832F8" w:rsidRDefault="007B7892" w:rsidP="00171466">
            <w:pPr>
              <w:spacing w:line="280" w:lineRule="atLeast"/>
              <w:rPr>
                <w:rFonts w:eastAsia="Arial"/>
                <w:i/>
                <w:iCs/>
                <w:sz w:val="22"/>
                <w:szCs w:val="22"/>
              </w:rPr>
            </w:pPr>
          </w:p>
        </w:tc>
        <w:tc>
          <w:tcPr>
            <w:tcW w:w="1750" w:type="dxa"/>
            <w:vMerge/>
            <w:hideMark/>
          </w:tcPr>
          <w:p w14:paraId="0AF9B5E8" w14:textId="77777777" w:rsidR="007B7892" w:rsidRPr="00F832F8" w:rsidRDefault="007B7892" w:rsidP="00171466">
            <w:pPr>
              <w:spacing w:line="280" w:lineRule="atLeast"/>
              <w:rPr>
                <w:rFonts w:eastAsia="Arial"/>
                <w:i/>
                <w:iCs/>
                <w:sz w:val="22"/>
                <w:szCs w:val="22"/>
              </w:rPr>
            </w:pPr>
          </w:p>
        </w:tc>
        <w:tc>
          <w:tcPr>
            <w:tcW w:w="1268" w:type="dxa"/>
            <w:hideMark/>
          </w:tcPr>
          <w:p w14:paraId="28C43EAE" w14:textId="77777777" w:rsidR="007B7892" w:rsidRPr="00F832F8" w:rsidRDefault="007B7892" w:rsidP="00171466">
            <w:pPr>
              <w:spacing w:line="280" w:lineRule="atLeast"/>
              <w:rPr>
                <w:rFonts w:eastAsia="Arial"/>
                <w:i/>
                <w:iCs/>
                <w:sz w:val="22"/>
                <w:szCs w:val="22"/>
              </w:rPr>
            </w:pPr>
            <w:r w:rsidRPr="00F832F8">
              <w:rPr>
                <w:rFonts w:eastAsia="Arial"/>
                <w:i/>
                <w:iCs/>
                <w:sz w:val="22"/>
                <w:szCs w:val="22"/>
              </w:rPr>
              <w:t>MTC</w:t>
            </w:r>
          </w:p>
        </w:tc>
        <w:tc>
          <w:tcPr>
            <w:tcW w:w="1081" w:type="dxa"/>
            <w:hideMark/>
          </w:tcPr>
          <w:p w14:paraId="0BA551EF" w14:textId="77777777" w:rsidR="007B7892" w:rsidRPr="00F832F8" w:rsidRDefault="007B7892" w:rsidP="00171466">
            <w:pPr>
              <w:spacing w:line="280" w:lineRule="atLeast"/>
              <w:rPr>
                <w:rFonts w:eastAsia="Arial"/>
                <w:i/>
                <w:iCs/>
                <w:sz w:val="22"/>
                <w:szCs w:val="22"/>
              </w:rPr>
            </w:pPr>
            <w:r w:rsidRPr="00F832F8">
              <w:rPr>
                <w:rFonts w:eastAsia="Arial"/>
                <w:i/>
                <w:iCs/>
                <w:sz w:val="22"/>
                <w:szCs w:val="22"/>
              </w:rPr>
              <w:t>MTC</w:t>
            </w:r>
          </w:p>
        </w:tc>
        <w:tc>
          <w:tcPr>
            <w:tcW w:w="904" w:type="dxa"/>
            <w:hideMark/>
          </w:tcPr>
          <w:p w14:paraId="6045048E" w14:textId="77777777" w:rsidR="007B7892" w:rsidRPr="00F832F8" w:rsidRDefault="007B7892" w:rsidP="00171466">
            <w:pPr>
              <w:spacing w:line="280" w:lineRule="atLeast"/>
              <w:rPr>
                <w:rFonts w:eastAsia="Arial"/>
                <w:i/>
                <w:iCs/>
                <w:sz w:val="22"/>
                <w:szCs w:val="22"/>
              </w:rPr>
            </w:pPr>
            <w:r w:rsidRPr="00F832F8">
              <w:rPr>
                <w:rFonts w:eastAsia="Arial"/>
                <w:i/>
                <w:iCs/>
                <w:sz w:val="22"/>
                <w:szCs w:val="22"/>
              </w:rPr>
              <w:t>MAIC</w:t>
            </w:r>
          </w:p>
        </w:tc>
        <w:tc>
          <w:tcPr>
            <w:tcW w:w="1092" w:type="dxa"/>
            <w:hideMark/>
          </w:tcPr>
          <w:p w14:paraId="52CCA768" w14:textId="77777777" w:rsidR="007B7892" w:rsidRPr="00F832F8" w:rsidRDefault="007B7892" w:rsidP="00171466">
            <w:pPr>
              <w:spacing w:line="280" w:lineRule="atLeast"/>
              <w:rPr>
                <w:rFonts w:eastAsia="Arial"/>
                <w:i/>
                <w:iCs/>
                <w:sz w:val="22"/>
                <w:szCs w:val="22"/>
              </w:rPr>
            </w:pPr>
            <w:r w:rsidRPr="00F832F8">
              <w:rPr>
                <w:rFonts w:eastAsia="Arial"/>
                <w:i/>
                <w:iCs/>
                <w:sz w:val="22"/>
                <w:szCs w:val="22"/>
              </w:rPr>
              <w:t>MTC</w:t>
            </w:r>
          </w:p>
        </w:tc>
        <w:tc>
          <w:tcPr>
            <w:tcW w:w="1010" w:type="dxa"/>
            <w:tcBorders>
              <w:right w:val="single" w:sz="12" w:space="0" w:color="auto"/>
            </w:tcBorders>
            <w:hideMark/>
          </w:tcPr>
          <w:p w14:paraId="103F293C" w14:textId="77777777" w:rsidR="007B7892" w:rsidRPr="00F832F8" w:rsidRDefault="007B7892" w:rsidP="00171466">
            <w:pPr>
              <w:spacing w:line="280" w:lineRule="atLeast"/>
              <w:rPr>
                <w:rFonts w:eastAsia="Arial"/>
                <w:i/>
                <w:iCs/>
                <w:sz w:val="22"/>
                <w:szCs w:val="22"/>
              </w:rPr>
            </w:pPr>
            <w:r w:rsidRPr="00F832F8">
              <w:rPr>
                <w:rFonts w:eastAsia="Arial"/>
                <w:i/>
                <w:iCs/>
                <w:sz w:val="22"/>
                <w:szCs w:val="22"/>
              </w:rPr>
              <w:t>MAIC</w:t>
            </w:r>
          </w:p>
        </w:tc>
      </w:tr>
      <w:tr w:rsidR="007B7892" w:rsidRPr="00F832F8" w14:paraId="683E7D04" w14:textId="77777777" w:rsidTr="00171466">
        <w:trPr>
          <w:trHeight w:val="350"/>
        </w:trPr>
        <w:tc>
          <w:tcPr>
            <w:tcW w:w="2689" w:type="dxa"/>
            <w:tcBorders>
              <w:left w:val="single" w:sz="12" w:space="0" w:color="auto"/>
            </w:tcBorders>
          </w:tcPr>
          <w:p w14:paraId="254B7F65" w14:textId="77777777" w:rsidR="007B7892" w:rsidRPr="00F832F8" w:rsidRDefault="007B7892" w:rsidP="00171466">
            <w:pPr>
              <w:spacing w:line="280" w:lineRule="atLeast"/>
              <w:rPr>
                <w:rFonts w:eastAsia="Arial"/>
                <w:i/>
                <w:sz w:val="22"/>
                <w:szCs w:val="22"/>
              </w:rPr>
            </w:pPr>
            <w:r w:rsidRPr="00F832F8">
              <w:rPr>
                <w:rFonts w:eastAsia="Arial"/>
                <w:b/>
                <w:bCs/>
                <w:iCs/>
                <w:sz w:val="22"/>
                <w:szCs w:val="22"/>
              </w:rPr>
              <w:t>Kaštų skirtumas:</w:t>
            </w:r>
          </w:p>
        </w:tc>
        <w:tc>
          <w:tcPr>
            <w:tcW w:w="1750" w:type="dxa"/>
          </w:tcPr>
          <w:p w14:paraId="5C63103E" w14:textId="77777777" w:rsidR="007B7892" w:rsidRPr="00F832F8" w:rsidRDefault="007B7892" w:rsidP="00171466">
            <w:pPr>
              <w:spacing w:line="280" w:lineRule="atLeast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268" w:type="dxa"/>
            <w:vAlign w:val="bottom"/>
          </w:tcPr>
          <w:p w14:paraId="5F731075" w14:textId="16E285D4" w:rsidR="007B7892" w:rsidRPr="00F832F8" w:rsidRDefault="00F952B9" w:rsidP="00171466">
            <w:pPr>
              <w:spacing w:line="280" w:lineRule="atLeast"/>
              <w:rPr>
                <w:rFonts w:eastAsia="Arial"/>
                <w:sz w:val="22"/>
                <w:szCs w:val="22"/>
              </w:rPr>
            </w:pPr>
            <w:r>
              <w:rPr>
                <w:lang w:eastAsia="lt-LT"/>
              </w:rPr>
              <w:t>*****</w:t>
            </w:r>
          </w:p>
        </w:tc>
        <w:tc>
          <w:tcPr>
            <w:tcW w:w="1081" w:type="dxa"/>
            <w:noWrap/>
            <w:vAlign w:val="bottom"/>
          </w:tcPr>
          <w:p w14:paraId="5C4B54F5" w14:textId="6D631C48" w:rsidR="007B7892" w:rsidRPr="00F832F8" w:rsidRDefault="00F952B9" w:rsidP="00171466">
            <w:pPr>
              <w:spacing w:line="280" w:lineRule="atLeast"/>
              <w:rPr>
                <w:rFonts w:eastAsia="Arial"/>
                <w:sz w:val="22"/>
                <w:szCs w:val="22"/>
              </w:rPr>
            </w:pPr>
            <w:r>
              <w:rPr>
                <w:lang w:eastAsia="lt-LT"/>
              </w:rPr>
              <w:t>*****</w:t>
            </w:r>
          </w:p>
        </w:tc>
        <w:tc>
          <w:tcPr>
            <w:tcW w:w="904" w:type="dxa"/>
            <w:noWrap/>
            <w:vAlign w:val="bottom"/>
          </w:tcPr>
          <w:p w14:paraId="51072FE4" w14:textId="69BA0150" w:rsidR="007B7892" w:rsidRPr="00F832F8" w:rsidRDefault="00F952B9" w:rsidP="00171466">
            <w:pPr>
              <w:spacing w:line="280" w:lineRule="atLeast"/>
              <w:rPr>
                <w:rFonts w:eastAsia="Arial"/>
                <w:sz w:val="22"/>
                <w:szCs w:val="22"/>
              </w:rPr>
            </w:pPr>
            <w:r>
              <w:rPr>
                <w:lang w:eastAsia="lt-LT"/>
              </w:rPr>
              <w:t>*****</w:t>
            </w:r>
          </w:p>
        </w:tc>
        <w:tc>
          <w:tcPr>
            <w:tcW w:w="1092" w:type="dxa"/>
            <w:noWrap/>
            <w:vAlign w:val="bottom"/>
          </w:tcPr>
          <w:p w14:paraId="1BC52575" w14:textId="3A087C56" w:rsidR="007B7892" w:rsidRPr="00F832F8" w:rsidRDefault="00F952B9" w:rsidP="00171466">
            <w:pPr>
              <w:spacing w:line="280" w:lineRule="atLeast"/>
              <w:rPr>
                <w:rFonts w:eastAsia="Arial"/>
                <w:sz w:val="22"/>
                <w:szCs w:val="22"/>
              </w:rPr>
            </w:pPr>
            <w:r>
              <w:rPr>
                <w:lang w:eastAsia="lt-LT"/>
              </w:rPr>
              <w:t>*****</w:t>
            </w:r>
          </w:p>
        </w:tc>
        <w:tc>
          <w:tcPr>
            <w:tcW w:w="1010" w:type="dxa"/>
            <w:tcBorders>
              <w:right w:val="single" w:sz="12" w:space="0" w:color="auto"/>
            </w:tcBorders>
            <w:noWrap/>
            <w:vAlign w:val="bottom"/>
          </w:tcPr>
          <w:p w14:paraId="753AB4FE" w14:textId="1EB85047" w:rsidR="007B7892" w:rsidRPr="00F832F8" w:rsidRDefault="00F952B9" w:rsidP="00171466">
            <w:pPr>
              <w:spacing w:line="280" w:lineRule="atLeast"/>
              <w:rPr>
                <w:rFonts w:eastAsia="Arial"/>
                <w:sz w:val="22"/>
                <w:szCs w:val="22"/>
              </w:rPr>
            </w:pPr>
            <w:r>
              <w:rPr>
                <w:lang w:eastAsia="lt-LT"/>
              </w:rPr>
              <w:t>*****</w:t>
            </w:r>
          </w:p>
        </w:tc>
      </w:tr>
      <w:tr w:rsidR="007B7892" w:rsidRPr="00F832F8" w14:paraId="1870F71B" w14:textId="77777777" w:rsidTr="00171466">
        <w:trPr>
          <w:trHeight w:val="358"/>
        </w:trPr>
        <w:tc>
          <w:tcPr>
            <w:tcW w:w="2689" w:type="dxa"/>
            <w:tcBorders>
              <w:left w:val="single" w:sz="12" w:space="0" w:color="auto"/>
            </w:tcBorders>
          </w:tcPr>
          <w:p w14:paraId="404EEF53" w14:textId="77777777" w:rsidR="007B7892" w:rsidRPr="00F832F8" w:rsidRDefault="007B7892" w:rsidP="00171466">
            <w:pPr>
              <w:spacing w:line="280" w:lineRule="atLeast"/>
              <w:rPr>
                <w:rFonts w:eastAsia="Arial"/>
                <w:i/>
                <w:sz w:val="22"/>
                <w:szCs w:val="22"/>
              </w:rPr>
            </w:pPr>
            <w:r w:rsidRPr="00F832F8">
              <w:rPr>
                <w:rFonts w:eastAsia="Arial"/>
                <w:i/>
                <w:sz w:val="22"/>
                <w:szCs w:val="22"/>
              </w:rPr>
              <w:t>QALY skirtumas</w:t>
            </w:r>
          </w:p>
        </w:tc>
        <w:tc>
          <w:tcPr>
            <w:tcW w:w="1750" w:type="dxa"/>
          </w:tcPr>
          <w:p w14:paraId="2F401A12" w14:textId="77777777" w:rsidR="007B7892" w:rsidRPr="00F832F8" w:rsidRDefault="007B7892" w:rsidP="00171466">
            <w:pPr>
              <w:spacing w:line="280" w:lineRule="atLeast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268" w:type="dxa"/>
          </w:tcPr>
          <w:p w14:paraId="4934F2FD" w14:textId="2132047A" w:rsidR="007B7892" w:rsidRPr="00F832F8" w:rsidRDefault="00F952B9" w:rsidP="00171466">
            <w:pPr>
              <w:spacing w:line="280" w:lineRule="atLeast"/>
              <w:rPr>
                <w:rFonts w:eastAsia="Arial"/>
                <w:sz w:val="22"/>
                <w:szCs w:val="22"/>
              </w:rPr>
            </w:pPr>
            <w:r>
              <w:rPr>
                <w:lang w:eastAsia="lt-LT"/>
              </w:rPr>
              <w:t>*****</w:t>
            </w:r>
          </w:p>
        </w:tc>
        <w:tc>
          <w:tcPr>
            <w:tcW w:w="1081" w:type="dxa"/>
            <w:noWrap/>
          </w:tcPr>
          <w:p w14:paraId="0F5AB492" w14:textId="4B4293BD" w:rsidR="007B7892" w:rsidRPr="00F832F8" w:rsidRDefault="00F952B9" w:rsidP="00171466">
            <w:pPr>
              <w:spacing w:line="280" w:lineRule="atLeast"/>
              <w:rPr>
                <w:rFonts w:eastAsia="Arial"/>
                <w:sz w:val="22"/>
                <w:szCs w:val="22"/>
              </w:rPr>
            </w:pPr>
            <w:r>
              <w:rPr>
                <w:lang w:eastAsia="lt-LT"/>
              </w:rPr>
              <w:t>*****</w:t>
            </w:r>
          </w:p>
        </w:tc>
        <w:tc>
          <w:tcPr>
            <w:tcW w:w="904" w:type="dxa"/>
            <w:noWrap/>
          </w:tcPr>
          <w:p w14:paraId="25CE04A8" w14:textId="005827F4" w:rsidR="007B7892" w:rsidRPr="00F832F8" w:rsidRDefault="00F952B9" w:rsidP="00171466">
            <w:pPr>
              <w:spacing w:line="280" w:lineRule="atLeast"/>
              <w:rPr>
                <w:rFonts w:eastAsia="Arial"/>
                <w:sz w:val="22"/>
                <w:szCs w:val="22"/>
              </w:rPr>
            </w:pPr>
            <w:r>
              <w:rPr>
                <w:lang w:eastAsia="lt-LT"/>
              </w:rPr>
              <w:t>*****</w:t>
            </w:r>
          </w:p>
        </w:tc>
        <w:tc>
          <w:tcPr>
            <w:tcW w:w="1092" w:type="dxa"/>
            <w:noWrap/>
          </w:tcPr>
          <w:p w14:paraId="6B955CAC" w14:textId="3CF43BE3" w:rsidR="007B7892" w:rsidRPr="00F832F8" w:rsidRDefault="00F952B9" w:rsidP="00171466">
            <w:pPr>
              <w:spacing w:line="280" w:lineRule="atLeast"/>
              <w:rPr>
                <w:rFonts w:eastAsia="Arial"/>
                <w:sz w:val="22"/>
                <w:szCs w:val="22"/>
              </w:rPr>
            </w:pPr>
            <w:r>
              <w:rPr>
                <w:lang w:eastAsia="lt-LT"/>
              </w:rPr>
              <w:t>*****</w:t>
            </w:r>
          </w:p>
        </w:tc>
        <w:tc>
          <w:tcPr>
            <w:tcW w:w="1010" w:type="dxa"/>
            <w:tcBorders>
              <w:right w:val="single" w:sz="12" w:space="0" w:color="auto"/>
            </w:tcBorders>
            <w:noWrap/>
          </w:tcPr>
          <w:p w14:paraId="5C1122CD" w14:textId="1DDAD83D" w:rsidR="007B7892" w:rsidRPr="00F832F8" w:rsidRDefault="00F952B9" w:rsidP="00171466">
            <w:pPr>
              <w:spacing w:line="280" w:lineRule="atLeast"/>
              <w:rPr>
                <w:rFonts w:eastAsia="Arial"/>
                <w:sz w:val="22"/>
                <w:szCs w:val="22"/>
              </w:rPr>
            </w:pPr>
            <w:r>
              <w:rPr>
                <w:lang w:eastAsia="lt-LT"/>
              </w:rPr>
              <w:t>*****</w:t>
            </w:r>
          </w:p>
        </w:tc>
      </w:tr>
      <w:tr w:rsidR="007B7892" w:rsidRPr="00F832F8" w14:paraId="4C40B7F1" w14:textId="77777777" w:rsidTr="00171466">
        <w:trPr>
          <w:trHeight w:val="358"/>
        </w:trPr>
        <w:tc>
          <w:tcPr>
            <w:tcW w:w="9794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40C4781D" w14:textId="77777777" w:rsidR="007B7892" w:rsidRPr="00F832F8" w:rsidRDefault="007B7892" w:rsidP="00171466">
            <w:pPr>
              <w:spacing w:line="280" w:lineRule="atLeast"/>
              <w:rPr>
                <w:rFonts w:eastAsia="Arial"/>
                <w:b/>
                <w:bCs/>
                <w:sz w:val="22"/>
                <w:szCs w:val="22"/>
              </w:rPr>
            </w:pPr>
            <w:r w:rsidRPr="00F832F8">
              <w:rPr>
                <w:rFonts w:eastAsia="Arial"/>
                <w:b/>
                <w:bCs/>
                <w:sz w:val="22"/>
                <w:szCs w:val="22"/>
              </w:rPr>
              <w:t>Rezultatai</w:t>
            </w:r>
          </w:p>
        </w:tc>
      </w:tr>
      <w:tr w:rsidR="007B7892" w:rsidRPr="00F832F8" w14:paraId="0F3CDC9B" w14:textId="77777777" w:rsidTr="00171466">
        <w:trPr>
          <w:trHeight w:val="358"/>
        </w:trPr>
        <w:tc>
          <w:tcPr>
            <w:tcW w:w="4439" w:type="dxa"/>
            <w:gridSpan w:val="2"/>
            <w:tcBorders>
              <w:left w:val="single" w:sz="12" w:space="0" w:color="auto"/>
            </w:tcBorders>
          </w:tcPr>
          <w:p w14:paraId="69DD765C" w14:textId="77777777" w:rsidR="007B7892" w:rsidRPr="00F832F8" w:rsidRDefault="007B7892" w:rsidP="00171466">
            <w:pPr>
              <w:spacing w:line="280" w:lineRule="atLeast"/>
              <w:rPr>
                <w:rFonts w:eastAsia="Arial"/>
                <w:sz w:val="22"/>
                <w:szCs w:val="22"/>
              </w:rPr>
            </w:pPr>
            <w:r w:rsidRPr="00F832F8">
              <w:rPr>
                <w:rFonts w:eastAsia="Arial"/>
                <w:iCs/>
                <w:sz w:val="22"/>
                <w:szCs w:val="22"/>
              </w:rPr>
              <w:t>ICER už LY</w:t>
            </w:r>
          </w:p>
        </w:tc>
        <w:tc>
          <w:tcPr>
            <w:tcW w:w="1268" w:type="dxa"/>
            <w:vAlign w:val="bottom"/>
          </w:tcPr>
          <w:p w14:paraId="70129125" w14:textId="5BD0EBCC" w:rsidR="007B7892" w:rsidRPr="00F832F8" w:rsidRDefault="00F952B9" w:rsidP="00171466">
            <w:pPr>
              <w:spacing w:line="280" w:lineRule="atLeast"/>
              <w:rPr>
                <w:rFonts w:eastAsia="Arial"/>
                <w:b/>
                <w:bCs/>
                <w:sz w:val="22"/>
                <w:szCs w:val="22"/>
              </w:rPr>
            </w:pPr>
            <w:r>
              <w:rPr>
                <w:lang w:eastAsia="lt-LT"/>
              </w:rPr>
              <w:t>*****</w:t>
            </w:r>
          </w:p>
        </w:tc>
        <w:tc>
          <w:tcPr>
            <w:tcW w:w="1081" w:type="dxa"/>
            <w:noWrap/>
            <w:vAlign w:val="bottom"/>
          </w:tcPr>
          <w:p w14:paraId="13571D99" w14:textId="19C1AB84" w:rsidR="007B7892" w:rsidRPr="00F832F8" w:rsidRDefault="00F952B9" w:rsidP="00171466">
            <w:pPr>
              <w:spacing w:line="280" w:lineRule="atLeast"/>
              <w:rPr>
                <w:rFonts w:eastAsia="Arial"/>
                <w:b/>
                <w:bCs/>
                <w:sz w:val="22"/>
                <w:szCs w:val="22"/>
              </w:rPr>
            </w:pPr>
            <w:r>
              <w:rPr>
                <w:lang w:eastAsia="lt-LT"/>
              </w:rPr>
              <w:t>*****</w:t>
            </w:r>
          </w:p>
        </w:tc>
        <w:tc>
          <w:tcPr>
            <w:tcW w:w="904" w:type="dxa"/>
            <w:noWrap/>
            <w:vAlign w:val="bottom"/>
          </w:tcPr>
          <w:p w14:paraId="10173274" w14:textId="1204396E" w:rsidR="007B7892" w:rsidRPr="00F832F8" w:rsidRDefault="00F952B9" w:rsidP="00171466">
            <w:pPr>
              <w:spacing w:line="280" w:lineRule="atLeast"/>
              <w:rPr>
                <w:rFonts w:eastAsia="Arial"/>
                <w:b/>
                <w:bCs/>
                <w:sz w:val="22"/>
                <w:szCs w:val="22"/>
              </w:rPr>
            </w:pPr>
            <w:r>
              <w:rPr>
                <w:lang w:eastAsia="lt-LT"/>
              </w:rPr>
              <w:t>*****</w:t>
            </w:r>
          </w:p>
        </w:tc>
        <w:tc>
          <w:tcPr>
            <w:tcW w:w="1092" w:type="dxa"/>
            <w:noWrap/>
            <w:vAlign w:val="bottom"/>
          </w:tcPr>
          <w:p w14:paraId="64F744A2" w14:textId="1320397C" w:rsidR="007B7892" w:rsidRPr="00F832F8" w:rsidRDefault="00F952B9" w:rsidP="00171466">
            <w:pPr>
              <w:spacing w:line="280" w:lineRule="atLeast"/>
              <w:rPr>
                <w:rFonts w:eastAsia="Arial"/>
                <w:b/>
                <w:bCs/>
                <w:sz w:val="22"/>
                <w:szCs w:val="22"/>
              </w:rPr>
            </w:pPr>
            <w:r>
              <w:rPr>
                <w:lang w:eastAsia="lt-LT"/>
              </w:rPr>
              <w:t>*****</w:t>
            </w:r>
          </w:p>
        </w:tc>
        <w:tc>
          <w:tcPr>
            <w:tcW w:w="1010" w:type="dxa"/>
            <w:tcBorders>
              <w:right w:val="single" w:sz="12" w:space="0" w:color="auto"/>
            </w:tcBorders>
            <w:noWrap/>
            <w:vAlign w:val="bottom"/>
          </w:tcPr>
          <w:p w14:paraId="7D10F967" w14:textId="70DD4059" w:rsidR="007B7892" w:rsidRPr="00F832F8" w:rsidRDefault="00F952B9" w:rsidP="00171466">
            <w:pPr>
              <w:spacing w:line="280" w:lineRule="atLeast"/>
              <w:rPr>
                <w:rFonts w:eastAsia="Arial"/>
                <w:b/>
                <w:bCs/>
                <w:sz w:val="22"/>
                <w:szCs w:val="22"/>
              </w:rPr>
            </w:pPr>
            <w:r>
              <w:rPr>
                <w:lang w:eastAsia="lt-LT"/>
              </w:rPr>
              <w:t>*****</w:t>
            </w:r>
          </w:p>
        </w:tc>
      </w:tr>
      <w:tr w:rsidR="007B7892" w:rsidRPr="00F832F8" w14:paraId="71AFA80D" w14:textId="77777777" w:rsidTr="00171466">
        <w:trPr>
          <w:trHeight w:val="358"/>
        </w:trPr>
        <w:tc>
          <w:tcPr>
            <w:tcW w:w="4439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2CE7E746" w14:textId="77777777" w:rsidR="007B7892" w:rsidRPr="00F832F8" w:rsidRDefault="007B7892" w:rsidP="00171466">
            <w:pPr>
              <w:spacing w:line="280" w:lineRule="atLeast"/>
              <w:rPr>
                <w:rFonts w:eastAsia="Arial"/>
                <w:b/>
                <w:bCs/>
                <w:i/>
                <w:iCs/>
                <w:sz w:val="22"/>
                <w:szCs w:val="22"/>
              </w:rPr>
            </w:pPr>
            <w:r w:rsidRPr="00F832F8">
              <w:rPr>
                <w:rFonts w:eastAsia="Arial"/>
                <w:b/>
                <w:bCs/>
                <w:iCs/>
                <w:sz w:val="22"/>
                <w:szCs w:val="22"/>
              </w:rPr>
              <w:t>ICER už QALY</w:t>
            </w:r>
          </w:p>
        </w:tc>
        <w:tc>
          <w:tcPr>
            <w:tcW w:w="1268" w:type="dxa"/>
            <w:tcBorders>
              <w:bottom w:val="single" w:sz="12" w:space="0" w:color="auto"/>
            </w:tcBorders>
            <w:vAlign w:val="bottom"/>
          </w:tcPr>
          <w:p w14:paraId="57A02E69" w14:textId="705D17D3" w:rsidR="007B7892" w:rsidRPr="00F832F8" w:rsidRDefault="00F952B9" w:rsidP="00171466">
            <w:pPr>
              <w:spacing w:line="280" w:lineRule="atLeast"/>
              <w:rPr>
                <w:rFonts w:eastAsia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lang w:eastAsia="lt-LT"/>
              </w:rPr>
              <w:t>*****</w:t>
            </w:r>
          </w:p>
        </w:tc>
        <w:tc>
          <w:tcPr>
            <w:tcW w:w="1081" w:type="dxa"/>
            <w:tcBorders>
              <w:bottom w:val="single" w:sz="12" w:space="0" w:color="auto"/>
            </w:tcBorders>
            <w:noWrap/>
            <w:vAlign w:val="bottom"/>
          </w:tcPr>
          <w:p w14:paraId="37216503" w14:textId="365093A7" w:rsidR="007B7892" w:rsidRPr="00F832F8" w:rsidRDefault="00F952B9" w:rsidP="00171466">
            <w:pPr>
              <w:spacing w:line="280" w:lineRule="atLeast"/>
              <w:rPr>
                <w:rFonts w:eastAsia="Arial"/>
                <w:b/>
                <w:bCs/>
                <w:sz w:val="22"/>
                <w:szCs w:val="22"/>
              </w:rPr>
            </w:pPr>
            <w:r>
              <w:rPr>
                <w:lang w:eastAsia="lt-LT"/>
              </w:rPr>
              <w:t>*****</w:t>
            </w:r>
          </w:p>
        </w:tc>
        <w:tc>
          <w:tcPr>
            <w:tcW w:w="904" w:type="dxa"/>
            <w:tcBorders>
              <w:bottom w:val="single" w:sz="12" w:space="0" w:color="auto"/>
            </w:tcBorders>
            <w:noWrap/>
            <w:vAlign w:val="bottom"/>
          </w:tcPr>
          <w:p w14:paraId="172CE907" w14:textId="61EAE611" w:rsidR="007B7892" w:rsidRPr="00F832F8" w:rsidRDefault="00F952B9" w:rsidP="00171466">
            <w:pPr>
              <w:spacing w:line="280" w:lineRule="atLeast"/>
              <w:rPr>
                <w:rFonts w:eastAsia="Arial"/>
                <w:b/>
                <w:bCs/>
                <w:sz w:val="22"/>
                <w:szCs w:val="22"/>
              </w:rPr>
            </w:pPr>
            <w:r>
              <w:rPr>
                <w:lang w:eastAsia="lt-LT"/>
              </w:rPr>
              <w:t>*****</w:t>
            </w:r>
          </w:p>
        </w:tc>
        <w:tc>
          <w:tcPr>
            <w:tcW w:w="1092" w:type="dxa"/>
            <w:tcBorders>
              <w:bottom w:val="single" w:sz="12" w:space="0" w:color="auto"/>
            </w:tcBorders>
            <w:noWrap/>
            <w:vAlign w:val="bottom"/>
          </w:tcPr>
          <w:p w14:paraId="30F46937" w14:textId="480960A9" w:rsidR="007B7892" w:rsidRPr="00495710" w:rsidRDefault="00F952B9" w:rsidP="00171466">
            <w:pPr>
              <w:spacing w:line="280" w:lineRule="atLeast"/>
              <w:rPr>
                <w:b/>
                <w:color w:val="000000"/>
                <w:sz w:val="22"/>
                <w:szCs w:val="22"/>
              </w:rPr>
            </w:pPr>
            <w:r>
              <w:rPr>
                <w:lang w:eastAsia="lt-LT"/>
              </w:rPr>
              <w:t>*****</w:t>
            </w:r>
          </w:p>
          <w:p w14:paraId="2B753B3F" w14:textId="0FEB9E2B" w:rsidR="007B7892" w:rsidRPr="00F832F8" w:rsidRDefault="007B7892" w:rsidP="00171466">
            <w:pPr>
              <w:spacing w:line="280" w:lineRule="atLeast"/>
              <w:rPr>
                <w:rFonts w:eastAsia="Arial"/>
                <w:b/>
                <w:bCs/>
                <w:sz w:val="22"/>
                <w:szCs w:val="22"/>
              </w:rPr>
            </w:pPr>
            <w:r w:rsidRPr="00495710">
              <w:rPr>
                <w:b/>
                <w:color w:val="000000"/>
                <w:sz w:val="22"/>
                <w:szCs w:val="22"/>
              </w:rPr>
              <w:t>(</w:t>
            </w:r>
            <w:r w:rsidR="005D15AF">
              <w:rPr>
                <w:lang w:eastAsia="lt-LT"/>
              </w:rPr>
              <w:t>*****</w:t>
            </w:r>
            <w:r w:rsidRPr="00495710">
              <w:rPr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1010" w:type="dxa"/>
            <w:tcBorders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4B6EB8AD" w14:textId="27F026D9" w:rsidR="007B7892" w:rsidRPr="00F832F8" w:rsidRDefault="00F952B9" w:rsidP="00171466">
            <w:pPr>
              <w:spacing w:line="280" w:lineRule="atLeast"/>
              <w:rPr>
                <w:rFonts w:eastAsia="Arial"/>
                <w:b/>
                <w:bCs/>
                <w:sz w:val="22"/>
                <w:szCs w:val="22"/>
              </w:rPr>
            </w:pPr>
            <w:r>
              <w:rPr>
                <w:lang w:eastAsia="lt-LT"/>
              </w:rPr>
              <w:t>*****</w:t>
            </w:r>
          </w:p>
        </w:tc>
      </w:tr>
      <w:tr w:rsidR="007B7892" w:rsidRPr="00F832F8" w14:paraId="69EADE54" w14:textId="77777777" w:rsidTr="00171466">
        <w:trPr>
          <w:trHeight w:val="358"/>
        </w:trPr>
        <w:tc>
          <w:tcPr>
            <w:tcW w:w="44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ACEE771" w14:textId="77777777" w:rsidR="007B7892" w:rsidRPr="00F832F8" w:rsidRDefault="007B7892" w:rsidP="00171466">
            <w:pPr>
              <w:spacing w:line="280" w:lineRule="atLeast"/>
              <w:rPr>
                <w:rFonts w:eastAsia="Arial"/>
                <w:b/>
                <w:bCs/>
                <w:i/>
                <w:iCs/>
                <w:sz w:val="22"/>
                <w:szCs w:val="22"/>
              </w:rPr>
            </w:pPr>
            <w:r w:rsidRPr="00F832F8">
              <w:rPr>
                <w:b/>
                <w:i/>
                <w:iCs/>
                <w:lang w:eastAsia="lt-LT"/>
              </w:rPr>
              <w:t>Referencinė kaštų naudingumo vertė</w:t>
            </w:r>
          </w:p>
        </w:tc>
        <w:tc>
          <w:tcPr>
            <w:tcW w:w="5355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91C977" w14:textId="6F11606E" w:rsidR="007B7892" w:rsidRPr="00F832F8" w:rsidRDefault="00F952B9" w:rsidP="00171466">
            <w:pPr>
              <w:spacing w:line="280" w:lineRule="atLeast"/>
              <w:rPr>
                <w:rFonts w:eastAsia="Arial"/>
                <w:b/>
                <w:bCs/>
                <w:sz w:val="22"/>
                <w:szCs w:val="22"/>
              </w:rPr>
            </w:pPr>
            <w:r>
              <w:rPr>
                <w:lang w:eastAsia="lt-LT"/>
              </w:rPr>
              <w:t>*****</w:t>
            </w:r>
            <w:r w:rsidR="007B7892" w:rsidRPr="002454D7">
              <w:rPr>
                <w:i/>
                <w:iCs/>
                <w:lang w:eastAsia="lt-LT"/>
              </w:rPr>
              <w:t>Eur.</w:t>
            </w:r>
            <w:r w:rsidR="007B7892" w:rsidRPr="003D7AAB">
              <w:t xml:space="preserve"> (</w:t>
            </w:r>
            <w:r>
              <w:rPr>
                <w:lang w:eastAsia="lt-LT"/>
              </w:rPr>
              <w:t>*****</w:t>
            </w:r>
            <w:r w:rsidR="007B7892">
              <w:t xml:space="preserve"> </w:t>
            </w:r>
            <w:r w:rsidR="007B7892" w:rsidRPr="003D7AAB">
              <w:t>Eur.</w:t>
            </w:r>
            <w:r w:rsidR="007B7892" w:rsidRPr="003D7AAB">
              <w:rPr>
                <w:lang w:val="en-US"/>
              </w:rPr>
              <w:t>*</w:t>
            </w:r>
            <w:r>
              <w:rPr>
                <w:lang w:val="en-US"/>
              </w:rPr>
              <w:t>*</w:t>
            </w:r>
            <w:r w:rsidR="007B7892" w:rsidRPr="003D7AAB">
              <w:rPr>
                <w:lang w:val="en-US"/>
              </w:rPr>
              <w:t>)</w:t>
            </w:r>
          </w:p>
        </w:tc>
      </w:tr>
    </w:tbl>
    <w:p w14:paraId="72601F58" w14:textId="77777777" w:rsidR="007B7892" w:rsidRDefault="007B7892" w:rsidP="007B7892">
      <w:pPr>
        <w:tabs>
          <w:tab w:val="left" w:pos="426"/>
        </w:tabs>
        <w:rPr>
          <w:b/>
          <w:bCs/>
          <w:caps/>
        </w:rPr>
      </w:pPr>
    </w:p>
    <w:p w14:paraId="6C9F6335" w14:textId="21F6FF9D" w:rsidR="007B7892" w:rsidRPr="00CA0783" w:rsidRDefault="007B7892" w:rsidP="007B7892">
      <w:pPr>
        <w:spacing w:line="276" w:lineRule="auto"/>
        <w:ind w:firstLine="720"/>
        <w:jc w:val="both"/>
        <w:rPr>
          <w:iCs/>
          <w:lang w:eastAsia="lt-LT"/>
        </w:rPr>
      </w:pPr>
      <w:r>
        <w:t>Vertinant P-NEN duomenis, į</w:t>
      </w:r>
      <w:r w:rsidRPr="003D7AAB">
        <w:t xml:space="preserve">prastinėje atvejo analizėje apskaičiuojamas ICER koeficientas lyginant su </w:t>
      </w:r>
      <w:proofErr w:type="spellStart"/>
      <w:r w:rsidRPr="003D7AAB">
        <w:t>oktreotidu</w:t>
      </w:r>
      <w:proofErr w:type="spellEnd"/>
      <w:r w:rsidRPr="003D7AAB">
        <w:t xml:space="preserve"> (</w:t>
      </w:r>
      <w:r w:rsidR="005D15AF">
        <w:rPr>
          <w:lang w:eastAsia="lt-LT"/>
        </w:rPr>
        <w:t>*****</w:t>
      </w:r>
      <w:r w:rsidR="00D00910">
        <w:rPr>
          <w:lang w:eastAsia="lt-LT"/>
        </w:rPr>
        <w:t xml:space="preserve"> </w:t>
      </w:r>
      <w:r w:rsidRPr="003D7AAB">
        <w:t xml:space="preserve">Eur./QALY)  ir </w:t>
      </w:r>
      <w:proofErr w:type="spellStart"/>
      <w:r>
        <w:t>sunitinibu</w:t>
      </w:r>
      <w:proofErr w:type="spellEnd"/>
      <w:r w:rsidRPr="003D7AAB">
        <w:t xml:space="preserve"> (</w:t>
      </w:r>
      <w:r>
        <w:t xml:space="preserve">MAIC, </w:t>
      </w:r>
      <w:r w:rsidR="005D15AF">
        <w:rPr>
          <w:lang w:eastAsia="lt-LT"/>
        </w:rPr>
        <w:t>*****</w:t>
      </w:r>
      <w:r w:rsidR="00D00910">
        <w:rPr>
          <w:lang w:eastAsia="lt-LT"/>
        </w:rPr>
        <w:t xml:space="preserve"> </w:t>
      </w:r>
      <w:r w:rsidRPr="00D35E1D">
        <w:rPr>
          <w:rFonts w:eastAsia="Arial"/>
          <w:bCs/>
        </w:rPr>
        <w:t>Eur./QALY</w:t>
      </w:r>
      <w:r w:rsidRPr="003D7AAB">
        <w:rPr>
          <w:rFonts w:eastAsia="Arial"/>
          <w:b/>
          <w:bCs/>
          <w:sz w:val="22"/>
          <w:szCs w:val="22"/>
        </w:rPr>
        <w:t>)</w:t>
      </w:r>
      <w:r w:rsidRPr="003D7AAB">
        <w:t xml:space="preserve"> neatitinka referencinės kaštų naudingumo vertės ir viršija sunkiai ligos naštai taikomą referencinės kaš</w:t>
      </w:r>
      <w:r>
        <w:t>tų naudingumo vertės slenkstį (&lt;</w:t>
      </w:r>
      <w:r w:rsidR="005D15AF">
        <w:rPr>
          <w:lang w:eastAsia="lt-LT"/>
        </w:rPr>
        <w:t>*****</w:t>
      </w:r>
      <w:r w:rsidR="00D00910">
        <w:rPr>
          <w:lang w:eastAsia="lt-LT"/>
        </w:rPr>
        <w:t xml:space="preserve"> </w:t>
      </w:r>
      <w:r w:rsidRPr="003D7AAB">
        <w:t xml:space="preserve">Eur.), o lyginant su </w:t>
      </w:r>
      <w:proofErr w:type="spellStart"/>
      <w:r w:rsidRPr="003D7AAB">
        <w:t>sunitinibu</w:t>
      </w:r>
      <w:proofErr w:type="spellEnd"/>
      <w:r w:rsidRPr="003D7AAB">
        <w:t xml:space="preserve"> ICER dominuojantis (</w:t>
      </w:r>
      <w:proofErr w:type="spellStart"/>
      <w:r w:rsidRPr="003D7AAB">
        <w:t>sunitinibo</w:t>
      </w:r>
      <w:proofErr w:type="spellEnd"/>
      <w:r w:rsidRPr="003D7AAB">
        <w:t xml:space="preserve"> sukuriama nauda didesnė ir kaštai mažesni) (</w:t>
      </w:r>
      <w:r>
        <w:t xml:space="preserve">pagal MTC analizės rezultatus). Šiuo atveju atsižvelgiama, kad </w:t>
      </w:r>
      <w:r w:rsidRPr="00C74F8D">
        <w:t>v</w:t>
      </w:r>
      <w:r w:rsidRPr="00C74F8D">
        <w:rPr>
          <w:iCs/>
          <w:lang w:eastAsia="lt-LT"/>
        </w:rPr>
        <w:t xml:space="preserve">idurinės vamzdelio dalies GE-NEN pogrupio lyginant su </w:t>
      </w:r>
      <w:proofErr w:type="spellStart"/>
      <w:r w:rsidRPr="00C74F8D">
        <w:rPr>
          <w:iCs/>
          <w:lang w:eastAsia="lt-LT"/>
        </w:rPr>
        <w:t>oktreotidu</w:t>
      </w:r>
      <w:proofErr w:type="spellEnd"/>
      <w:r w:rsidRPr="00C74F8D">
        <w:rPr>
          <w:iCs/>
          <w:lang w:eastAsia="lt-LT"/>
        </w:rPr>
        <w:t xml:space="preserve"> analizė </w:t>
      </w:r>
      <w:r>
        <w:rPr>
          <w:iCs/>
          <w:lang w:eastAsia="lt-LT"/>
        </w:rPr>
        <w:t xml:space="preserve">yra </w:t>
      </w:r>
      <w:r w:rsidRPr="00C74F8D">
        <w:rPr>
          <w:iCs/>
          <w:lang w:eastAsia="lt-LT"/>
        </w:rPr>
        <w:t>laikoma pagrindine</w:t>
      </w:r>
      <w:r>
        <w:rPr>
          <w:iCs/>
          <w:lang w:eastAsia="lt-LT"/>
        </w:rPr>
        <w:t xml:space="preserve"> Tarnyba papildomai atlieka šio pogrupio jautrumo bei scenarijų analizes. Gautais </w:t>
      </w:r>
      <w:r>
        <w:rPr>
          <w:lang w:eastAsia="lt-LT"/>
        </w:rPr>
        <w:t>JA rezultatais</w:t>
      </w:r>
      <w:r w:rsidRPr="008F6216">
        <w:rPr>
          <w:lang w:eastAsia="lt-LT"/>
        </w:rPr>
        <w:t xml:space="preserve"> (</w:t>
      </w:r>
      <w:proofErr w:type="spellStart"/>
      <w:r w:rsidRPr="008F6216">
        <w:rPr>
          <w:lang w:eastAsia="lt-LT"/>
        </w:rPr>
        <w:t>Tornado</w:t>
      </w:r>
      <w:proofErr w:type="spellEnd"/>
      <w:r w:rsidRPr="008F6216">
        <w:rPr>
          <w:lang w:eastAsia="lt-LT"/>
        </w:rPr>
        <w:t xml:space="preserve"> grafiko) matyti, kad pagrindinis didžiausią įtaką turintis veiksnys yra gyvenimo kokybės įverčiai (viršijamas sunkios ligos </w:t>
      </w:r>
      <w:r>
        <w:rPr>
          <w:lang w:eastAsia="lt-LT"/>
        </w:rPr>
        <w:t>naštos slenkstis).</w:t>
      </w:r>
      <w:r w:rsidRPr="008F6216">
        <w:rPr>
          <w:lang w:eastAsia="lt-LT"/>
        </w:rPr>
        <w:t xml:space="preserve"> Tarnyba</w:t>
      </w:r>
      <w:r>
        <w:rPr>
          <w:lang w:eastAsia="lt-LT"/>
        </w:rPr>
        <w:t>i</w:t>
      </w:r>
      <w:r w:rsidRPr="008F6216">
        <w:rPr>
          <w:lang w:eastAsia="lt-LT"/>
        </w:rPr>
        <w:t xml:space="preserve"> </w:t>
      </w:r>
      <w:r>
        <w:rPr>
          <w:lang w:eastAsia="lt-LT"/>
        </w:rPr>
        <w:t xml:space="preserve">atlikus </w:t>
      </w:r>
      <w:r w:rsidRPr="008F6216">
        <w:rPr>
          <w:lang w:eastAsia="lt-LT"/>
        </w:rPr>
        <w:t xml:space="preserve">scenarijų </w:t>
      </w:r>
      <w:r w:rsidRPr="008F6216">
        <w:rPr>
          <w:lang w:eastAsia="lt-LT"/>
        </w:rPr>
        <w:lastRenderedPageBreak/>
        <w:t>analizę įtraukiant ski</w:t>
      </w:r>
      <w:r>
        <w:rPr>
          <w:lang w:eastAsia="lt-LT"/>
        </w:rPr>
        <w:t>rtingus gyvenimo kokybės įverčius pagal</w:t>
      </w:r>
      <w:r w:rsidRPr="008F6216">
        <w:rPr>
          <w:lang w:eastAsia="lt-LT"/>
        </w:rPr>
        <w:t xml:space="preserve"> </w:t>
      </w:r>
      <w:r>
        <w:rPr>
          <w:lang w:eastAsia="lt-LT"/>
        </w:rPr>
        <w:t>Pareiškėjo teikiamus</w:t>
      </w:r>
      <w:r w:rsidRPr="008F6216">
        <w:rPr>
          <w:lang w:eastAsia="lt-LT"/>
        </w:rPr>
        <w:t xml:space="preserve"> </w:t>
      </w:r>
      <w:r>
        <w:rPr>
          <w:lang w:eastAsia="lt-LT"/>
        </w:rPr>
        <w:t>gyvenimo kokybės įverčių šaltinius, matyti, kad</w:t>
      </w:r>
      <w:r w:rsidRPr="008F6216">
        <w:rPr>
          <w:lang w:eastAsia="lt-LT"/>
        </w:rPr>
        <w:t xml:space="preserve"> nė vienu atveju apskaičiuoti ICER nevi</w:t>
      </w:r>
      <w:r>
        <w:rPr>
          <w:lang w:eastAsia="lt-LT"/>
        </w:rPr>
        <w:t>r</w:t>
      </w:r>
      <w:r w:rsidRPr="008F6216">
        <w:rPr>
          <w:lang w:eastAsia="lt-LT"/>
        </w:rPr>
        <w:t xml:space="preserve">šija sunkiai ligos naštai taikomos referencinės kaštų naudingumo vertės </w:t>
      </w:r>
      <w:r w:rsidRPr="008F6216">
        <w:t>(&lt;</w:t>
      </w:r>
      <w:r w:rsidR="005D15AF">
        <w:rPr>
          <w:lang w:eastAsia="lt-LT"/>
        </w:rPr>
        <w:t>*****</w:t>
      </w:r>
      <w:r w:rsidR="005D15AF">
        <w:rPr>
          <w:lang w:eastAsia="lt-LT"/>
        </w:rPr>
        <w:t xml:space="preserve"> </w:t>
      </w:r>
      <w:r w:rsidRPr="008F6216">
        <w:t>Eur.). Laikoma, kad JA tinkama ir scenarijų analizės rezultatai pagrindžia įprastinės atvejo analizės išvadas.</w:t>
      </w:r>
    </w:p>
    <w:p w14:paraId="39ADEC5A" w14:textId="77777777" w:rsidR="007B7892" w:rsidRDefault="007B7892" w:rsidP="007B7892">
      <w:pPr>
        <w:spacing w:line="276" w:lineRule="auto"/>
        <w:ind w:firstLine="720"/>
        <w:jc w:val="both"/>
        <w:rPr>
          <w:rFonts w:eastAsia="Arial"/>
        </w:rPr>
      </w:pPr>
      <w:r w:rsidRPr="003D7AAB">
        <w:t>Apibendrinant, kad P-NEN pacientų pogrupio klinikiniai duomenys pasižymi dideliais neapibrėžtumais, Tarnybos vertinimu vidurinės vamzdelio dalies NEN pacientų pogrupio kaštų anal</w:t>
      </w:r>
      <w:r>
        <w:t xml:space="preserve">izės duomenys yra patikimiausi ir </w:t>
      </w:r>
      <w:r w:rsidRPr="00C74F8D">
        <w:t>v</w:t>
      </w:r>
      <w:r w:rsidRPr="00C74F8D">
        <w:rPr>
          <w:iCs/>
          <w:lang w:eastAsia="lt-LT"/>
        </w:rPr>
        <w:t xml:space="preserve">idurinės vamzdelio dalies GE-NEN pogrupio lyginant su </w:t>
      </w:r>
      <w:proofErr w:type="spellStart"/>
      <w:r w:rsidRPr="00C74F8D">
        <w:rPr>
          <w:iCs/>
          <w:lang w:eastAsia="lt-LT"/>
        </w:rPr>
        <w:t>oktreotidu</w:t>
      </w:r>
      <w:proofErr w:type="spellEnd"/>
      <w:r w:rsidRPr="00C74F8D">
        <w:rPr>
          <w:iCs/>
          <w:lang w:eastAsia="lt-LT"/>
        </w:rPr>
        <w:t xml:space="preserve"> </w:t>
      </w:r>
      <w:r>
        <w:rPr>
          <w:iCs/>
          <w:lang w:eastAsia="lt-LT"/>
        </w:rPr>
        <w:t xml:space="preserve">kaštų </w:t>
      </w:r>
      <w:r w:rsidRPr="00C74F8D">
        <w:rPr>
          <w:iCs/>
          <w:lang w:eastAsia="lt-LT"/>
        </w:rPr>
        <w:t>analizė laikoma pagrindine</w:t>
      </w:r>
      <w:r>
        <w:rPr>
          <w:iCs/>
          <w:lang w:eastAsia="lt-LT"/>
        </w:rPr>
        <w:t xml:space="preserve">. </w:t>
      </w:r>
      <w:r w:rsidRPr="003D7AAB">
        <w:t xml:space="preserve"> </w:t>
      </w:r>
      <w:r>
        <w:t>Apskaičiuotas</w:t>
      </w:r>
      <w:r w:rsidRPr="003D7AAB">
        <w:t xml:space="preserve"> </w:t>
      </w:r>
      <w:r>
        <w:t>ICER atitinka referencinę kaštų naudingumo vertę</w:t>
      </w:r>
      <w:r w:rsidRPr="003D7AAB">
        <w:t xml:space="preserve"> ir yra laikoma, kad gydymas </w:t>
      </w:r>
      <w:proofErr w:type="spellStart"/>
      <w:r w:rsidRPr="003D7AAB">
        <w:rPr>
          <w:bCs/>
        </w:rPr>
        <w:t>L</w:t>
      </w:r>
      <w:r w:rsidRPr="003D7AAB">
        <w:rPr>
          <w:rFonts w:eastAsia="Arial"/>
        </w:rPr>
        <w:t>utecio</w:t>
      </w:r>
      <w:proofErr w:type="spellEnd"/>
      <w:r w:rsidRPr="003D7AAB">
        <w:rPr>
          <w:rFonts w:eastAsia="Arial"/>
        </w:rPr>
        <w:t xml:space="preserve"> (</w:t>
      </w:r>
      <w:r w:rsidRPr="003D7AAB">
        <w:rPr>
          <w:rFonts w:eastAsia="Arial"/>
          <w:vertAlign w:val="superscript"/>
        </w:rPr>
        <w:t>177</w:t>
      </w:r>
      <w:r w:rsidRPr="003D7AAB">
        <w:rPr>
          <w:rFonts w:eastAsia="Arial"/>
        </w:rPr>
        <w:t xml:space="preserve">Lu) </w:t>
      </w:r>
      <w:proofErr w:type="spellStart"/>
      <w:r w:rsidRPr="003D7AAB">
        <w:rPr>
          <w:rFonts w:eastAsia="Arial"/>
        </w:rPr>
        <w:t>oksodotreotidu</w:t>
      </w:r>
      <w:proofErr w:type="spellEnd"/>
      <w:r w:rsidRPr="003D7AAB">
        <w:rPr>
          <w:rFonts w:eastAsia="Arial"/>
        </w:rPr>
        <w:t xml:space="preserve"> Lietuvoje lyginant su </w:t>
      </w:r>
      <w:r>
        <w:rPr>
          <w:rFonts w:eastAsia="Arial"/>
        </w:rPr>
        <w:t>standartiniu gydymu (</w:t>
      </w:r>
      <w:proofErr w:type="spellStart"/>
      <w:r>
        <w:rPr>
          <w:rFonts w:eastAsia="Arial"/>
        </w:rPr>
        <w:t>oktreotidu</w:t>
      </w:r>
      <w:proofErr w:type="spellEnd"/>
      <w:r>
        <w:rPr>
          <w:rFonts w:eastAsia="Arial"/>
        </w:rPr>
        <w:t>) k</w:t>
      </w:r>
      <w:r w:rsidRPr="003D7AAB">
        <w:rPr>
          <w:rFonts w:eastAsia="Arial"/>
        </w:rPr>
        <w:t xml:space="preserve">aštų prasme </w:t>
      </w:r>
      <w:r>
        <w:rPr>
          <w:rFonts w:eastAsia="Arial"/>
        </w:rPr>
        <w:t>yra</w:t>
      </w:r>
      <w:r w:rsidRPr="003D7AAB">
        <w:rPr>
          <w:rFonts w:eastAsia="Arial"/>
        </w:rPr>
        <w:t xml:space="preserve"> efektyvus.</w:t>
      </w:r>
    </w:p>
    <w:p w14:paraId="4608CE33" w14:textId="775C7714" w:rsidR="007B7892" w:rsidRPr="000203E1" w:rsidRDefault="007B7892" w:rsidP="00A93AA6">
      <w:pPr>
        <w:tabs>
          <w:tab w:val="left" w:pos="426"/>
        </w:tabs>
        <w:rPr>
          <w:b/>
          <w:bCs/>
          <w:caps/>
        </w:rPr>
      </w:pPr>
    </w:p>
    <w:p w14:paraId="4FC424F9" w14:textId="4E767245" w:rsidR="00C62B36" w:rsidRDefault="00C62B36" w:rsidP="00CC09D4">
      <w:pPr>
        <w:pStyle w:val="Sraopastraipa"/>
        <w:numPr>
          <w:ilvl w:val="0"/>
          <w:numId w:val="12"/>
        </w:numPr>
        <w:tabs>
          <w:tab w:val="left" w:pos="567"/>
        </w:tabs>
        <w:ind w:hanging="720"/>
        <w:rPr>
          <w:b/>
          <w:bCs/>
          <w:caps/>
        </w:rPr>
      </w:pPr>
      <w:r w:rsidRPr="000203E1">
        <w:rPr>
          <w:b/>
          <w:bCs/>
          <w:caps/>
        </w:rPr>
        <w:t xml:space="preserve">Pacientų organizacijų pateikti duomenys </w:t>
      </w:r>
    </w:p>
    <w:p w14:paraId="54351841" w14:textId="77777777" w:rsidR="00C9728E" w:rsidRPr="000203E1" w:rsidRDefault="00C9728E" w:rsidP="00C9728E">
      <w:pPr>
        <w:pStyle w:val="Sraopastraipa"/>
        <w:tabs>
          <w:tab w:val="left" w:pos="567"/>
        </w:tabs>
        <w:rPr>
          <w:b/>
          <w:bCs/>
          <w:caps/>
        </w:rPr>
      </w:pPr>
    </w:p>
    <w:p w14:paraId="62992180" w14:textId="55DA78DE" w:rsidR="00937907" w:rsidRPr="000203E1" w:rsidRDefault="00937907" w:rsidP="00937907">
      <w:pPr>
        <w:spacing w:after="120"/>
        <w:jc w:val="both"/>
      </w:pPr>
      <w:r w:rsidRPr="000203E1">
        <w:t xml:space="preserve">Pacientų organizacijos pozicija </w:t>
      </w:r>
      <w:r w:rsidR="00880A44" w:rsidRPr="000203E1">
        <w:t>ne</w:t>
      </w:r>
      <w:r w:rsidR="007142C7">
        <w:t>pateikta.</w:t>
      </w:r>
    </w:p>
    <w:p w14:paraId="03E73D82" w14:textId="77777777" w:rsidR="00D417D2" w:rsidRPr="000203E1" w:rsidRDefault="00D417D2" w:rsidP="00937907">
      <w:pPr>
        <w:spacing w:after="120"/>
        <w:jc w:val="both"/>
      </w:pPr>
    </w:p>
    <w:p w14:paraId="3D3277FA" w14:textId="7242FA7D" w:rsidR="00C62B36" w:rsidRDefault="00D67BAF" w:rsidP="00CC09D4">
      <w:pPr>
        <w:pStyle w:val="Sraopastraipa"/>
        <w:numPr>
          <w:ilvl w:val="0"/>
          <w:numId w:val="12"/>
        </w:numPr>
        <w:tabs>
          <w:tab w:val="left" w:pos="567"/>
        </w:tabs>
        <w:ind w:hanging="720"/>
        <w:rPr>
          <w:b/>
          <w:bCs/>
          <w:caps/>
        </w:rPr>
      </w:pPr>
      <w:r w:rsidRPr="00D67BAF">
        <w:rPr>
          <w:b/>
          <w:bCs/>
          <w:caps/>
        </w:rPr>
        <w:t xml:space="preserve">SVEIKATOS PRIEŽIŪROS SPECIALISTŲ </w:t>
      </w:r>
      <w:r w:rsidR="007142C7">
        <w:rPr>
          <w:b/>
          <w:bCs/>
          <w:caps/>
        </w:rPr>
        <w:t xml:space="preserve"> organizacijų pateikti </w:t>
      </w:r>
      <w:r w:rsidR="00C62B36" w:rsidRPr="000203E1">
        <w:rPr>
          <w:b/>
          <w:bCs/>
          <w:caps/>
        </w:rPr>
        <w:t>duomenys</w:t>
      </w:r>
    </w:p>
    <w:p w14:paraId="547E1070" w14:textId="77777777" w:rsidR="007142C7" w:rsidRDefault="007142C7" w:rsidP="00662983">
      <w:pPr>
        <w:spacing w:after="120"/>
        <w:jc w:val="both"/>
      </w:pPr>
    </w:p>
    <w:p w14:paraId="5D8CC48C" w14:textId="34BCACFA" w:rsidR="00662983" w:rsidRPr="000203E1" w:rsidRDefault="00D67BAF" w:rsidP="00662983">
      <w:pPr>
        <w:spacing w:after="120"/>
        <w:jc w:val="both"/>
      </w:pPr>
      <w:r>
        <w:t>S</w:t>
      </w:r>
      <w:r w:rsidRPr="00E16035">
        <w:rPr>
          <w:bCs/>
        </w:rPr>
        <w:t>veikatos priežiūros specialistų</w:t>
      </w:r>
      <w:r w:rsidR="00937907" w:rsidRPr="000203E1">
        <w:t xml:space="preserve"> organizacijos pozicija </w:t>
      </w:r>
      <w:r w:rsidR="00880A44" w:rsidRPr="000203E1">
        <w:t>ne</w:t>
      </w:r>
      <w:r w:rsidR="00937907" w:rsidRPr="000203E1">
        <w:t>pateikta.</w:t>
      </w:r>
    </w:p>
    <w:p w14:paraId="3701D46A" w14:textId="77777777" w:rsidR="00A042B9" w:rsidRPr="000203E1" w:rsidRDefault="00A042B9" w:rsidP="00662983">
      <w:pPr>
        <w:spacing w:after="120"/>
        <w:jc w:val="both"/>
      </w:pPr>
    </w:p>
    <w:p w14:paraId="78F23ECB" w14:textId="3ED5BFD5" w:rsidR="002F0E4F" w:rsidRPr="000203E1" w:rsidRDefault="002F0E4F" w:rsidP="00CC09D4">
      <w:pPr>
        <w:pStyle w:val="Sraopastraipa"/>
        <w:numPr>
          <w:ilvl w:val="0"/>
          <w:numId w:val="12"/>
        </w:numPr>
        <w:tabs>
          <w:tab w:val="left" w:pos="567"/>
        </w:tabs>
        <w:ind w:hanging="720"/>
        <w:rPr>
          <w:b/>
          <w:bCs/>
          <w:caps/>
        </w:rPr>
      </w:pPr>
      <w:r w:rsidRPr="000203E1">
        <w:rPr>
          <w:b/>
          <w:bCs/>
          <w:caps/>
        </w:rPr>
        <w:t>Išvad</w:t>
      </w:r>
      <w:r w:rsidR="00B811A4">
        <w:rPr>
          <w:b/>
          <w:bCs/>
          <w:caps/>
        </w:rPr>
        <w:t>OS</w:t>
      </w:r>
      <w:r w:rsidRPr="000203E1">
        <w:rPr>
          <w:b/>
          <w:bCs/>
          <w:caps/>
        </w:rPr>
        <w:t xml:space="preserve"> </w:t>
      </w:r>
    </w:p>
    <w:p w14:paraId="30069D85" w14:textId="77777777" w:rsidR="0061611B" w:rsidRPr="000203E1" w:rsidRDefault="0061611B" w:rsidP="0061611B">
      <w:pPr>
        <w:ind w:left="360"/>
        <w:rPr>
          <w:i/>
          <w:szCs w:val="22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4820"/>
        <w:gridCol w:w="4814"/>
      </w:tblGrid>
      <w:tr w:rsidR="00B811A4" w:rsidRPr="00B811A4" w14:paraId="4D5EFB83" w14:textId="77777777" w:rsidTr="007111C4">
        <w:trPr>
          <w:trHeight w:val="510"/>
        </w:trPr>
        <w:tc>
          <w:tcPr>
            <w:tcW w:w="9634" w:type="dxa"/>
            <w:gridSpan w:val="2"/>
            <w:vAlign w:val="center"/>
          </w:tcPr>
          <w:p w14:paraId="294EC16B" w14:textId="77777777" w:rsidR="00B811A4" w:rsidRPr="00B811A4" w:rsidRDefault="00B811A4" w:rsidP="007439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Style2"/>
                <w:rFonts w:eastAsia="MS Gothic"/>
                <w:b/>
                <w:bCs/>
                <w:sz w:val="23"/>
                <w:szCs w:val="23"/>
              </w:rPr>
            </w:pPr>
            <w:bookmarkStart w:id="2" w:name="_Hlk185430554"/>
            <w:r w:rsidRPr="00B811A4">
              <w:rPr>
                <w:rStyle w:val="Style2"/>
                <w:rFonts w:eastAsia="MS Gothic"/>
                <w:b/>
                <w:bCs/>
                <w:sz w:val="23"/>
                <w:szCs w:val="23"/>
              </w:rPr>
              <w:t>Palyginamasis veiksmingumas</w:t>
            </w:r>
          </w:p>
        </w:tc>
      </w:tr>
      <w:tr w:rsidR="00B811A4" w:rsidRPr="00B811A4" w14:paraId="30B67515" w14:textId="77777777" w:rsidTr="007111C4">
        <w:tc>
          <w:tcPr>
            <w:tcW w:w="4820" w:type="dxa"/>
          </w:tcPr>
          <w:p w14:paraId="4FE3C208" w14:textId="7FC6ECE7" w:rsidR="00B811A4" w:rsidRPr="00B811A4" w:rsidRDefault="005366E3" w:rsidP="007439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</w:rPr>
            </w:pPr>
            <w:sdt>
              <w:sdtPr>
                <w:rPr>
                  <w:rStyle w:val="Style2"/>
                  <w:sz w:val="23"/>
                  <w:szCs w:val="23"/>
                </w:rPr>
                <w:id w:val="1397324644"/>
                <w15:color w:val="FFCC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3B1D91">
                  <w:rPr>
                    <w:rStyle w:val="Style2"/>
                    <w:rFonts w:ascii="MS Gothic" w:eastAsia="MS Gothic" w:hAnsi="MS Gothic" w:hint="eastAsia"/>
                    <w:sz w:val="23"/>
                    <w:szCs w:val="23"/>
                  </w:rPr>
                  <w:t>☒</w:t>
                </w:r>
              </w:sdtContent>
            </w:sdt>
            <w:r w:rsidR="00B811A4" w:rsidRPr="00B811A4">
              <w:rPr>
                <w:rStyle w:val="Style2"/>
                <w:sz w:val="23"/>
                <w:szCs w:val="23"/>
              </w:rPr>
              <w:t xml:space="preserve"> 29</w:t>
            </w:r>
            <w:r w:rsidR="00B811A4" w:rsidRPr="00B811A4">
              <w:rPr>
                <w:sz w:val="23"/>
                <w:szCs w:val="23"/>
              </w:rPr>
              <w:t>.1.1 yra didesnis, lyginant su įprasta klinikine praktika</w:t>
            </w:r>
          </w:p>
          <w:p w14:paraId="6F9786E4" w14:textId="77777777" w:rsidR="00B811A4" w:rsidRPr="00B811A4" w:rsidRDefault="00B811A4" w:rsidP="007439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</w:rPr>
            </w:pPr>
          </w:p>
          <w:p w14:paraId="231EDECD" w14:textId="77777777" w:rsidR="00B811A4" w:rsidRPr="00B811A4" w:rsidRDefault="005366E3" w:rsidP="007439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Style2"/>
                <w:sz w:val="23"/>
                <w:szCs w:val="23"/>
              </w:rPr>
            </w:pPr>
            <w:sdt>
              <w:sdtPr>
                <w:rPr>
                  <w:rStyle w:val="Style2"/>
                  <w:sz w:val="23"/>
                  <w:szCs w:val="23"/>
                </w:rPr>
                <w:id w:val="418297090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B811A4" w:rsidRPr="00B811A4">
                  <w:rPr>
                    <w:rStyle w:val="Style2"/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B811A4" w:rsidRPr="00B811A4">
              <w:rPr>
                <w:sz w:val="23"/>
                <w:szCs w:val="23"/>
              </w:rPr>
              <w:t xml:space="preserve"> </w:t>
            </w:r>
            <w:r w:rsidR="00B811A4" w:rsidRPr="00B811A4">
              <w:rPr>
                <w:rStyle w:val="Style2"/>
                <w:sz w:val="23"/>
                <w:szCs w:val="23"/>
              </w:rPr>
              <w:t>29</w:t>
            </w:r>
            <w:r w:rsidR="00B811A4" w:rsidRPr="00B811A4">
              <w:rPr>
                <w:sz w:val="23"/>
                <w:szCs w:val="23"/>
              </w:rPr>
              <w:t>.1.2 iš esmės nesiskiria, lyginant su įprasta klinikine praktika</w:t>
            </w:r>
          </w:p>
        </w:tc>
        <w:tc>
          <w:tcPr>
            <w:tcW w:w="4814" w:type="dxa"/>
          </w:tcPr>
          <w:p w14:paraId="72562F9E" w14:textId="77777777" w:rsidR="00B811A4" w:rsidRPr="00B811A4" w:rsidRDefault="005366E3" w:rsidP="007439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</w:rPr>
            </w:pPr>
            <w:sdt>
              <w:sdtPr>
                <w:rPr>
                  <w:rStyle w:val="Style2"/>
                  <w:sz w:val="23"/>
                  <w:szCs w:val="23"/>
                </w:rPr>
                <w:id w:val="-724755596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B811A4" w:rsidRPr="00B811A4">
                  <w:rPr>
                    <w:rStyle w:val="Style2"/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B811A4" w:rsidRPr="00B811A4">
              <w:rPr>
                <w:sz w:val="23"/>
                <w:szCs w:val="23"/>
              </w:rPr>
              <w:t xml:space="preserve"> </w:t>
            </w:r>
            <w:r w:rsidR="00B811A4" w:rsidRPr="00B811A4">
              <w:rPr>
                <w:rStyle w:val="Style2"/>
                <w:sz w:val="23"/>
                <w:szCs w:val="23"/>
              </w:rPr>
              <w:t>29</w:t>
            </w:r>
            <w:r w:rsidR="00B811A4" w:rsidRPr="00B811A4">
              <w:rPr>
                <w:sz w:val="23"/>
                <w:szCs w:val="23"/>
              </w:rPr>
              <w:t xml:space="preserve">.1.3 yra neįrodytas kaip didesnis  ar iš esmės nesiskiriantis, lyginant su įprasta klinikine praktika  </w:t>
            </w:r>
          </w:p>
          <w:p w14:paraId="6F6DB5BC" w14:textId="77777777" w:rsidR="00B811A4" w:rsidRPr="00B811A4" w:rsidRDefault="00B811A4" w:rsidP="007439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</w:rPr>
            </w:pPr>
          </w:p>
          <w:p w14:paraId="5EE1D885" w14:textId="77777777" w:rsidR="00B811A4" w:rsidRPr="00B811A4" w:rsidRDefault="005366E3" w:rsidP="007439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</w:rPr>
            </w:pPr>
            <w:sdt>
              <w:sdtPr>
                <w:rPr>
                  <w:rStyle w:val="Style2"/>
                  <w:sz w:val="23"/>
                  <w:szCs w:val="23"/>
                </w:rPr>
                <w:id w:val="1862168479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B811A4" w:rsidRPr="00B811A4">
                  <w:rPr>
                    <w:rStyle w:val="Style2"/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B811A4" w:rsidRPr="00B811A4">
              <w:rPr>
                <w:sz w:val="23"/>
                <w:szCs w:val="23"/>
              </w:rPr>
              <w:t xml:space="preserve"> </w:t>
            </w:r>
            <w:r w:rsidR="00B811A4" w:rsidRPr="00B811A4">
              <w:rPr>
                <w:rStyle w:val="Style2"/>
                <w:sz w:val="23"/>
                <w:szCs w:val="23"/>
              </w:rPr>
              <w:t>29</w:t>
            </w:r>
            <w:r w:rsidR="00B811A4" w:rsidRPr="00B811A4">
              <w:rPr>
                <w:sz w:val="23"/>
                <w:szCs w:val="23"/>
              </w:rPr>
              <w:t>.1.4 yra mažesnis, lyginant su įprasta klinikine praktika</w:t>
            </w:r>
          </w:p>
          <w:p w14:paraId="193C3D76" w14:textId="77777777" w:rsidR="00B811A4" w:rsidRPr="00B811A4" w:rsidRDefault="00B811A4" w:rsidP="007439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</w:rPr>
            </w:pPr>
          </w:p>
          <w:p w14:paraId="370E94DC" w14:textId="4EC80DB9" w:rsidR="00B811A4" w:rsidRPr="00B811A4" w:rsidRDefault="005366E3" w:rsidP="007439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</w:rPr>
            </w:pPr>
            <w:sdt>
              <w:sdtPr>
                <w:rPr>
                  <w:rStyle w:val="Style2"/>
                  <w:sz w:val="23"/>
                  <w:szCs w:val="23"/>
                </w:rPr>
                <w:id w:val="-1857960180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B811A4" w:rsidRPr="00B811A4">
                  <w:rPr>
                    <w:rStyle w:val="Style2"/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B811A4" w:rsidRPr="00B811A4">
              <w:rPr>
                <w:sz w:val="23"/>
                <w:szCs w:val="23"/>
              </w:rPr>
              <w:t xml:space="preserve"> </w:t>
            </w:r>
            <w:r w:rsidR="00B811A4" w:rsidRPr="00B811A4">
              <w:rPr>
                <w:rStyle w:val="Style2"/>
                <w:sz w:val="23"/>
                <w:szCs w:val="23"/>
              </w:rPr>
              <w:t>29</w:t>
            </w:r>
            <w:r w:rsidR="00B811A4" w:rsidRPr="00B811A4">
              <w:rPr>
                <w:sz w:val="23"/>
                <w:szCs w:val="23"/>
              </w:rPr>
              <w:t>.1.5 pateikti duomenys apie palyginamąjį veiksmingumą yra netinkami vertinti</w:t>
            </w:r>
          </w:p>
          <w:p w14:paraId="45719037" w14:textId="77777777" w:rsidR="00B811A4" w:rsidRPr="00B811A4" w:rsidRDefault="00B811A4" w:rsidP="007439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Style2"/>
                <w:rFonts w:eastAsia="MS Gothic"/>
                <w:sz w:val="23"/>
                <w:szCs w:val="23"/>
              </w:rPr>
            </w:pPr>
          </w:p>
        </w:tc>
      </w:tr>
      <w:bookmarkEnd w:id="2"/>
      <w:tr w:rsidR="00B811A4" w:rsidRPr="00B811A4" w14:paraId="0E0F5168" w14:textId="77777777" w:rsidTr="00743956">
        <w:trPr>
          <w:trHeight w:val="510"/>
        </w:trPr>
        <w:tc>
          <w:tcPr>
            <w:tcW w:w="9634" w:type="dxa"/>
            <w:gridSpan w:val="2"/>
            <w:vAlign w:val="center"/>
          </w:tcPr>
          <w:p w14:paraId="62B67E12" w14:textId="77777777" w:rsidR="00B811A4" w:rsidRPr="00B811A4" w:rsidRDefault="00B811A4" w:rsidP="007439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Style2"/>
                <w:rFonts w:eastAsia="MS Gothic"/>
                <w:b/>
                <w:bCs/>
                <w:sz w:val="23"/>
                <w:szCs w:val="23"/>
              </w:rPr>
            </w:pPr>
            <w:r w:rsidRPr="00B811A4">
              <w:rPr>
                <w:rStyle w:val="Style2"/>
                <w:rFonts w:eastAsia="MS Gothic"/>
                <w:b/>
                <w:bCs/>
                <w:sz w:val="23"/>
                <w:szCs w:val="23"/>
              </w:rPr>
              <w:t>Kaštų naudingumas</w:t>
            </w:r>
          </w:p>
        </w:tc>
      </w:tr>
      <w:tr w:rsidR="00B811A4" w:rsidRPr="00B811A4" w14:paraId="6A2F62B2" w14:textId="77777777" w:rsidTr="00743956">
        <w:tc>
          <w:tcPr>
            <w:tcW w:w="4820" w:type="dxa"/>
          </w:tcPr>
          <w:p w14:paraId="7CB2C697" w14:textId="0A8F1C5A" w:rsidR="00B811A4" w:rsidRPr="00B811A4" w:rsidRDefault="005366E3" w:rsidP="007439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</w:rPr>
            </w:pPr>
            <w:sdt>
              <w:sdtPr>
                <w:rPr>
                  <w:rStyle w:val="Style2"/>
                  <w:sz w:val="23"/>
                  <w:szCs w:val="23"/>
                </w:rPr>
                <w:id w:val="301657889"/>
                <w15:color w:val="FFCC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7142C7">
                  <w:rPr>
                    <w:rStyle w:val="Style2"/>
                    <w:rFonts w:ascii="MS Gothic" w:eastAsia="MS Gothic" w:hAnsi="MS Gothic" w:hint="eastAsia"/>
                    <w:sz w:val="23"/>
                    <w:szCs w:val="23"/>
                  </w:rPr>
                  <w:t>☒</w:t>
                </w:r>
              </w:sdtContent>
            </w:sdt>
            <w:r w:rsidR="00B811A4" w:rsidRPr="00B811A4">
              <w:rPr>
                <w:sz w:val="23"/>
                <w:szCs w:val="23"/>
              </w:rPr>
              <w:t xml:space="preserve"> 29.2.1 atitinka referencinę naudingumo vertę taikant arba netaikant</w:t>
            </w:r>
            <w:r w:rsidR="00437623">
              <w:rPr>
                <w:b/>
                <w:bCs/>
                <w:sz w:val="23"/>
                <w:szCs w:val="23"/>
              </w:rPr>
              <w:t xml:space="preserve"> </w:t>
            </w:r>
            <w:r w:rsidR="00B811A4" w:rsidRPr="00B811A4">
              <w:rPr>
                <w:sz w:val="23"/>
                <w:szCs w:val="23"/>
              </w:rPr>
              <w:t>PGS</w:t>
            </w:r>
          </w:p>
          <w:p w14:paraId="71797774" w14:textId="77777777" w:rsidR="00B811A4" w:rsidRPr="00B811A4" w:rsidRDefault="00B811A4" w:rsidP="007439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</w:rPr>
            </w:pPr>
          </w:p>
          <w:p w14:paraId="5BE88CDB" w14:textId="60C4FFA7" w:rsidR="00B811A4" w:rsidRPr="00B811A4" w:rsidRDefault="00B811A4" w:rsidP="007439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Style2"/>
                <w:rFonts w:eastAsia="MS Gothic"/>
                <w:sz w:val="23"/>
                <w:szCs w:val="23"/>
              </w:rPr>
            </w:pPr>
          </w:p>
        </w:tc>
        <w:tc>
          <w:tcPr>
            <w:tcW w:w="4814" w:type="dxa"/>
          </w:tcPr>
          <w:p w14:paraId="0370A72C" w14:textId="77777777" w:rsidR="00B811A4" w:rsidRPr="00B811A4" w:rsidRDefault="005366E3" w:rsidP="007439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</w:rPr>
            </w:pPr>
            <w:sdt>
              <w:sdtPr>
                <w:rPr>
                  <w:rStyle w:val="Style2"/>
                  <w:sz w:val="23"/>
                  <w:szCs w:val="23"/>
                </w:rPr>
                <w:id w:val="791860283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B811A4" w:rsidRPr="00B811A4">
                  <w:rPr>
                    <w:rStyle w:val="Style2"/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B811A4" w:rsidRPr="00B811A4">
              <w:rPr>
                <w:sz w:val="23"/>
                <w:szCs w:val="23"/>
              </w:rPr>
              <w:t xml:space="preserve"> 29.2.3 neatitinka referencinės naudingumo vertės taikant arba netaikant PGS</w:t>
            </w:r>
          </w:p>
          <w:p w14:paraId="13C9EEE5" w14:textId="77777777" w:rsidR="00B811A4" w:rsidRPr="00B811A4" w:rsidRDefault="00B811A4" w:rsidP="007439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</w:rPr>
            </w:pPr>
          </w:p>
          <w:p w14:paraId="289E6691" w14:textId="77777777" w:rsidR="00B811A4" w:rsidRPr="00B811A4" w:rsidRDefault="00B811A4" w:rsidP="007439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</w:rPr>
            </w:pPr>
          </w:p>
          <w:p w14:paraId="5FD1976C" w14:textId="77777777" w:rsidR="00B811A4" w:rsidRPr="00B811A4" w:rsidRDefault="005366E3" w:rsidP="007439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3"/>
                <w:szCs w:val="23"/>
              </w:rPr>
            </w:pPr>
            <w:sdt>
              <w:sdtPr>
                <w:rPr>
                  <w:rStyle w:val="Style2"/>
                  <w:sz w:val="23"/>
                  <w:szCs w:val="23"/>
                </w:rPr>
                <w:id w:val="-943849855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B811A4" w:rsidRPr="00B811A4">
                  <w:rPr>
                    <w:rStyle w:val="Style2"/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B811A4" w:rsidRPr="00B811A4">
              <w:rPr>
                <w:sz w:val="23"/>
                <w:szCs w:val="23"/>
              </w:rPr>
              <w:t xml:space="preserve"> 29.2.5 pateikti duomenys apie kaštų naudingumą yra netinkami vertinti</w:t>
            </w:r>
          </w:p>
          <w:p w14:paraId="06AB06C5" w14:textId="77777777" w:rsidR="00B811A4" w:rsidRPr="00B811A4" w:rsidRDefault="00B811A4" w:rsidP="007439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Style2"/>
                <w:rFonts w:eastAsia="MS Gothic"/>
                <w:sz w:val="23"/>
                <w:szCs w:val="23"/>
              </w:rPr>
            </w:pPr>
          </w:p>
        </w:tc>
      </w:tr>
      <w:tr w:rsidR="007111C4" w:rsidRPr="00B811A4" w14:paraId="632C9193" w14:textId="77777777" w:rsidTr="00027464">
        <w:tc>
          <w:tcPr>
            <w:tcW w:w="9634" w:type="dxa"/>
            <w:gridSpan w:val="2"/>
          </w:tcPr>
          <w:p w14:paraId="15C289C9" w14:textId="47C5A3CE" w:rsidR="007111C4" w:rsidRDefault="005366E3" w:rsidP="007439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Style2"/>
                <w:sz w:val="23"/>
                <w:szCs w:val="23"/>
              </w:rPr>
            </w:pPr>
            <w:sdt>
              <w:sdtPr>
                <w:rPr>
                  <w:rStyle w:val="Style2"/>
                  <w:sz w:val="23"/>
                  <w:szCs w:val="23"/>
                </w:rPr>
                <w:id w:val="1266579562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7111C4" w:rsidRPr="009300B3">
                  <w:rPr>
                    <w:rStyle w:val="Style2"/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7111C4">
              <w:rPr>
                <w:sz w:val="23"/>
                <w:szCs w:val="23"/>
              </w:rPr>
              <w:t xml:space="preserve"> </w:t>
            </w:r>
            <w:r w:rsidR="007111C4" w:rsidRPr="007111C4">
              <w:rPr>
                <w:color w:val="000000"/>
                <w:sz w:val="23"/>
                <w:szCs w:val="23"/>
              </w:rPr>
              <w:t>Vykdant Aprašo &lt;17</w:t>
            </w:r>
            <w:r w:rsidR="007111C4" w:rsidRPr="007111C4">
              <w:rPr>
                <w:color w:val="000000"/>
                <w:sz w:val="23"/>
                <w:szCs w:val="23"/>
                <w:vertAlign w:val="superscript"/>
              </w:rPr>
              <w:t>3</w:t>
            </w:r>
            <w:r w:rsidR="007111C4" w:rsidRPr="007111C4">
              <w:rPr>
                <w:color w:val="000000"/>
                <w:sz w:val="23"/>
                <w:szCs w:val="23"/>
              </w:rPr>
              <w:t>.1&gt;&lt;17</w:t>
            </w:r>
            <w:r w:rsidR="007111C4" w:rsidRPr="007111C4">
              <w:rPr>
                <w:color w:val="000000"/>
                <w:sz w:val="23"/>
                <w:szCs w:val="23"/>
                <w:vertAlign w:val="superscript"/>
              </w:rPr>
              <w:t>3</w:t>
            </w:r>
            <w:r w:rsidR="007111C4" w:rsidRPr="007111C4">
              <w:rPr>
                <w:color w:val="000000"/>
                <w:sz w:val="23"/>
                <w:szCs w:val="23"/>
              </w:rPr>
              <w:t>.2&gt;&lt;17</w:t>
            </w:r>
            <w:r w:rsidR="007111C4" w:rsidRPr="007111C4">
              <w:rPr>
                <w:color w:val="000000"/>
                <w:sz w:val="23"/>
                <w:szCs w:val="23"/>
                <w:vertAlign w:val="superscript"/>
              </w:rPr>
              <w:t>3</w:t>
            </w:r>
            <w:r w:rsidR="007111C4" w:rsidRPr="007111C4">
              <w:rPr>
                <w:color w:val="000000"/>
                <w:sz w:val="23"/>
                <w:szCs w:val="23"/>
              </w:rPr>
              <w:t>.3&gt; punktą vaistinio (-ų) preparato (-ų) ekonominis vertinimas neatliekamas, išvados dėl kaštų naudingumo neteikiamos</w:t>
            </w:r>
          </w:p>
        </w:tc>
      </w:tr>
    </w:tbl>
    <w:p w14:paraId="08D5B3B6" w14:textId="292D1124" w:rsidR="0061611B" w:rsidRPr="000203E1" w:rsidRDefault="0061611B" w:rsidP="0061611B">
      <w:pPr>
        <w:rPr>
          <w:i/>
          <w:szCs w:val="22"/>
        </w:rPr>
      </w:pPr>
    </w:p>
    <w:p w14:paraId="1B85C083" w14:textId="77777777" w:rsidR="009E44AE" w:rsidRPr="000203E1" w:rsidRDefault="009E44AE" w:rsidP="00381024"/>
    <w:p w14:paraId="3B2D1F25" w14:textId="3A80E19F" w:rsidR="000001B0" w:rsidRPr="000203E1" w:rsidRDefault="000001B0" w:rsidP="00CC09D4">
      <w:pPr>
        <w:pStyle w:val="Sraopastraipa"/>
        <w:numPr>
          <w:ilvl w:val="0"/>
          <w:numId w:val="12"/>
        </w:numPr>
        <w:ind w:left="567" w:hanging="567"/>
      </w:pPr>
      <w:r w:rsidRPr="000203E1">
        <w:rPr>
          <w:b/>
        </w:rPr>
        <w:t>REKOME</w:t>
      </w:r>
      <w:r w:rsidR="00D83182" w:rsidRPr="000203E1">
        <w:rPr>
          <w:b/>
        </w:rPr>
        <w:t>N</w:t>
      </w:r>
      <w:r w:rsidRPr="000203E1">
        <w:rPr>
          <w:b/>
        </w:rPr>
        <w:t>DACIJA</w:t>
      </w:r>
    </w:p>
    <w:p w14:paraId="35E33D78" w14:textId="59232BB3" w:rsidR="00B811A4" w:rsidRPr="00D05364" w:rsidRDefault="00B811A4" w:rsidP="00B811A4">
      <w:pPr>
        <w:pStyle w:val="Sraopastraipa"/>
        <w:ind w:left="567"/>
        <w:rPr>
          <w:b/>
        </w:rPr>
      </w:pPr>
    </w:p>
    <w:p w14:paraId="16872BD2" w14:textId="77777777" w:rsidR="007142C7" w:rsidRPr="00DB6819" w:rsidRDefault="007142C7" w:rsidP="007142C7">
      <w:pPr>
        <w:spacing w:line="276" w:lineRule="auto"/>
        <w:jc w:val="both"/>
        <w:rPr>
          <w:color w:val="000000"/>
          <w:lang w:eastAsia="lt-LT"/>
        </w:rPr>
      </w:pPr>
      <w:r w:rsidRPr="002A024D">
        <w:lastRenderedPageBreak/>
        <w:t>Vadovaujantis Vaistinių preparatų ir medicinos pagalbos priemonių įrašymo į kompensavimo sąrašus ir jų keitimo tvarkos aprašo, patvirtinto Lietuvos Respublikos sveikatos apsaugos ministro 2002 m. balandžio 5 d. įsakymu Nr. V-159 „Dėl vaistinių preparatų ir medicinos pagalbos priemonių įrašymo į kompensavimo sąrašus ir jų keitimo tvarkos aprašo patvirtinimo“, punktu</w:t>
      </w:r>
      <w:r>
        <w:t xml:space="preserve"> </w:t>
      </w:r>
      <w:r w:rsidRPr="00DB6819">
        <w:rPr>
          <w:color w:val="000000"/>
        </w:rPr>
        <w:t>30</w:t>
      </w:r>
      <w:r w:rsidRPr="00DB6819">
        <w:rPr>
          <w:color w:val="000000"/>
          <w:vertAlign w:val="superscript"/>
        </w:rPr>
        <w:t>1</w:t>
      </w:r>
      <w:r w:rsidRPr="00DB6819">
        <w:rPr>
          <w:color w:val="000000"/>
        </w:rPr>
        <w:t xml:space="preserve">.1. kai vertinimo išvados atitinka Aprašo 29.1.1 ir 29.2.1 papunkčiuose numatytas sąlygas arba Aprašo 29.1.2 ir 29.2.2 papunkčiuose numatytas sąlygas, teikiama rekomendacija </w:t>
      </w:r>
      <w:r w:rsidRPr="00DB6819">
        <w:rPr>
          <w:i/>
          <w:color w:val="000000"/>
        </w:rPr>
        <w:t>kompensuoti</w:t>
      </w:r>
      <w:r w:rsidRPr="00DB6819">
        <w:rPr>
          <w:color w:val="000000"/>
        </w:rPr>
        <w:t xml:space="preserve"> vaistinį preparatą pagal paraiškoje nurodytą indikaciją (arba jos dalį) su arba be skyrimo sąlygų, taikant ar netaikant PGS</w:t>
      </w:r>
      <w:r w:rsidRPr="00DB6819">
        <w:rPr>
          <w:color w:val="000000"/>
          <w:lang w:eastAsia="lt-LT"/>
        </w:rPr>
        <w:t>.</w:t>
      </w:r>
    </w:p>
    <w:p w14:paraId="3D60BB06" w14:textId="77777777" w:rsidR="00B811A4" w:rsidRPr="0089345A" w:rsidRDefault="00B811A4" w:rsidP="00B811A4">
      <w:pPr>
        <w:widowControl w:val="0"/>
        <w:tabs>
          <w:tab w:val="left" w:pos="1418"/>
        </w:tabs>
        <w:suppressAutoHyphens/>
        <w:spacing w:line="360" w:lineRule="atLeast"/>
        <w:jc w:val="center"/>
        <w:textAlignment w:val="center"/>
        <w:rPr>
          <w:color w:val="000000"/>
          <w:lang w:eastAsia="lt-LT"/>
        </w:rPr>
      </w:pPr>
    </w:p>
    <w:p w14:paraId="42F3A222" w14:textId="415AA539" w:rsidR="00B811A4" w:rsidRPr="0073329D" w:rsidRDefault="007142C7" w:rsidP="00B811A4">
      <w:pPr>
        <w:tabs>
          <w:tab w:val="left" w:pos="426"/>
        </w:tabs>
        <w:jc w:val="both"/>
        <w:rPr>
          <w:b/>
          <w:lang w:eastAsia="lt-LT"/>
        </w:rPr>
      </w:pPr>
      <w:r>
        <w:rPr>
          <w:b/>
          <w:lang w:eastAsia="lt-LT"/>
        </w:rPr>
        <w:t>8.</w:t>
      </w:r>
      <w:r w:rsidR="00B811A4" w:rsidRPr="0089345A">
        <w:rPr>
          <w:b/>
          <w:lang w:eastAsia="lt-LT"/>
        </w:rPr>
        <w:t xml:space="preserve"> Siūloma (-</w:t>
      </w:r>
      <w:proofErr w:type="spellStart"/>
      <w:r w:rsidR="00B811A4" w:rsidRPr="0089345A">
        <w:rPr>
          <w:b/>
          <w:lang w:eastAsia="lt-LT"/>
        </w:rPr>
        <w:t>os</w:t>
      </w:r>
      <w:proofErr w:type="spellEnd"/>
      <w:r w:rsidR="00B811A4" w:rsidRPr="0089345A">
        <w:rPr>
          <w:b/>
          <w:lang w:eastAsia="lt-LT"/>
        </w:rPr>
        <w:t>) kompensuoti terapinės indikacijos ir skyrimo sąlygos</w:t>
      </w:r>
      <w:r w:rsidR="00B811A4" w:rsidRPr="0073329D">
        <w:rPr>
          <w:b/>
          <w:lang w:eastAsia="lt-LT"/>
        </w:rPr>
        <w:t xml:space="preserve"> </w:t>
      </w:r>
    </w:p>
    <w:p w14:paraId="179FBABC" w14:textId="77777777" w:rsidR="00B811A4" w:rsidRPr="0073329D" w:rsidRDefault="00B811A4" w:rsidP="00B811A4">
      <w:pPr>
        <w:tabs>
          <w:tab w:val="left" w:pos="426"/>
        </w:tabs>
        <w:jc w:val="both"/>
        <w:rPr>
          <w:b/>
          <w:lang w:eastAsia="lt-LT"/>
        </w:rPr>
      </w:pPr>
    </w:p>
    <w:p w14:paraId="65CB839B" w14:textId="77777777" w:rsidR="00B811A4" w:rsidRDefault="00B811A4" w:rsidP="00B811A4">
      <w:pPr>
        <w:pStyle w:val="Betarp"/>
        <w:rPr>
          <w:rFonts w:ascii="Times New Roman" w:hAnsi="Times New Roman"/>
          <w:b/>
          <w:sz w:val="24"/>
          <w:szCs w:val="24"/>
          <w:lang w:eastAsia="lt-LT"/>
        </w:rPr>
      </w:pPr>
      <w:r w:rsidRPr="0073329D">
        <w:rPr>
          <w:rFonts w:ascii="Times New Roman" w:hAnsi="Times New Roman"/>
          <w:b/>
          <w:sz w:val="24"/>
          <w:szCs w:val="24"/>
          <w:lang w:eastAsia="lt-LT"/>
        </w:rPr>
        <w:t>Terapinės indikacijos</w:t>
      </w:r>
    </w:p>
    <w:p w14:paraId="32EEA2ED" w14:textId="77777777" w:rsidR="00594A2D" w:rsidRDefault="00594A2D" w:rsidP="00B811A4">
      <w:pPr>
        <w:pStyle w:val="Betarp"/>
        <w:rPr>
          <w:rFonts w:ascii="Times New Roman" w:hAnsi="Times New Roman"/>
          <w:bCs/>
          <w:i/>
          <w:iCs/>
          <w:color w:val="00B050"/>
          <w:sz w:val="24"/>
          <w:szCs w:val="24"/>
          <w:lang w:eastAsia="lt-LT"/>
        </w:rPr>
      </w:pPr>
    </w:p>
    <w:p w14:paraId="5EDC785B" w14:textId="77777777" w:rsidR="00594A2D" w:rsidRDefault="00594A2D" w:rsidP="00594A2D">
      <w:pPr>
        <w:pStyle w:val="Betarp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80EBA">
        <w:rPr>
          <w:rFonts w:ascii="Times New Roman" w:hAnsi="Times New Roman"/>
          <w:sz w:val="24"/>
          <w:szCs w:val="24"/>
        </w:rPr>
        <w:t>Lutathera</w:t>
      </w:r>
      <w:proofErr w:type="spellEnd"/>
      <w:r w:rsidRPr="00780EBA">
        <w:rPr>
          <w:rFonts w:ascii="Times New Roman" w:hAnsi="Times New Roman"/>
          <w:sz w:val="24"/>
          <w:szCs w:val="24"/>
        </w:rPr>
        <w:t xml:space="preserve"> yra skirtas gydyti </w:t>
      </w:r>
      <w:proofErr w:type="spellStart"/>
      <w:r w:rsidRPr="00780EBA">
        <w:rPr>
          <w:rFonts w:ascii="Times New Roman" w:hAnsi="Times New Roman"/>
          <w:sz w:val="24"/>
          <w:szCs w:val="24"/>
        </w:rPr>
        <w:t>nerezekuotinus</w:t>
      </w:r>
      <w:proofErr w:type="spellEnd"/>
      <w:r w:rsidRPr="00780EBA">
        <w:rPr>
          <w:rFonts w:ascii="Times New Roman" w:hAnsi="Times New Roman"/>
          <w:sz w:val="24"/>
          <w:szCs w:val="24"/>
        </w:rPr>
        <w:t xml:space="preserve"> arba </w:t>
      </w:r>
      <w:proofErr w:type="spellStart"/>
      <w:r w:rsidRPr="00780EBA">
        <w:rPr>
          <w:rFonts w:ascii="Times New Roman" w:hAnsi="Times New Roman"/>
          <w:sz w:val="24"/>
          <w:szCs w:val="24"/>
        </w:rPr>
        <w:t>metastazavusius</w:t>
      </w:r>
      <w:proofErr w:type="spellEnd"/>
      <w:r w:rsidRPr="00780EBA">
        <w:rPr>
          <w:rFonts w:ascii="Times New Roman" w:hAnsi="Times New Roman"/>
          <w:sz w:val="24"/>
          <w:szCs w:val="24"/>
        </w:rPr>
        <w:t xml:space="preserve">, progresuojančius, gerai diferencijuotus (G1 ir G2), </w:t>
      </w:r>
      <w:proofErr w:type="spellStart"/>
      <w:r w:rsidRPr="00780EBA">
        <w:rPr>
          <w:rFonts w:ascii="Times New Roman" w:hAnsi="Times New Roman"/>
          <w:sz w:val="24"/>
          <w:szCs w:val="24"/>
        </w:rPr>
        <w:t>somatostatino</w:t>
      </w:r>
      <w:proofErr w:type="spellEnd"/>
      <w:r w:rsidRPr="00780EBA">
        <w:rPr>
          <w:rFonts w:ascii="Times New Roman" w:hAnsi="Times New Roman"/>
          <w:sz w:val="24"/>
          <w:szCs w:val="24"/>
        </w:rPr>
        <w:t xml:space="preserve"> receptoriams teigiamus </w:t>
      </w:r>
      <w:proofErr w:type="spellStart"/>
      <w:r w:rsidRPr="00780EBA">
        <w:rPr>
          <w:rFonts w:ascii="Times New Roman" w:hAnsi="Times New Roman"/>
          <w:sz w:val="24"/>
          <w:szCs w:val="24"/>
        </w:rPr>
        <w:t>gastroenteropankreatinius</w:t>
      </w:r>
      <w:proofErr w:type="spellEnd"/>
      <w:r w:rsidRPr="00780E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0EBA">
        <w:rPr>
          <w:rFonts w:ascii="Times New Roman" w:hAnsi="Times New Roman"/>
          <w:sz w:val="24"/>
          <w:szCs w:val="24"/>
        </w:rPr>
        <w:t>neuroendokrininius</w:t>
      </w:r>
      <w:proofErr w:type="spellEnd"/>
      <w:r w:rsidRPr="00780EBA">
        <w:rPr>
          <w:rFonts w:ascii="Times New Roman" w:hAnsi="Times New Roman"/>
          <w:sz w:val="24"/>
          <w:szCs w:val="24"/>
        </w:rPr>
        <w:t xml:space="preserve"> navikus (GEP-NEN) suaugusiesiems.</w:t>
      </w:r>
    </w:p>
    <w:p w14:paraId="4B022395" w14:textId="77777777" w:rsidR="00594A2D" w:rsidRPr="00780EBA" w:rsidRDefault="00594A2D" w:rsidP="00594A2D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14:paraId="32FABEB0" w14:textId="31890925" w:rsidR="00594A2D" w:rsidRPr="00594A2D" w:rsidRDefault="00594A2D" w:rsidP="00594A2D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780EBA">
        <w:rPr>
          <w:rFonts w:ascii="Times New Roman" w:hAnsi="Times New Roman"/>
          <w:sz w:val="24"/>
          <w:szCs w:val="24"/>
        </w:rPr>
        <w:t>TLK-10-AM kodai - C17.1-C17.9, C18.0-C18.5, C25.</w:t>
      </w:r>
    </w:p>
    <w:p w14:paraId="303F5B66" w14:textId="77777777" w:rsidR="00594A2D" w:rsidRPr="00594A2D" w:rsidRDefault="00594A2D" w:rsidP="00B811A4">
      <w:pPr>
        <w:pStyle w:val="Betarp"/>
        <w:rPr>
          <w:rFonts w:ascii="Times New Roman" w:hAnsi="Times New Roman"/>
          <w:sz w:val="24"/>
          <w:szCs w:val="24"/>
        </w:rPr>
      </w:pPr>
    </w:p>
    <w:p w14:paraId="632DB4B9" w14:textId="5FB2E2C1" w:rsidR="00B811A4" w:rsidRDefault="0082016F" w:rsidP="00B811A4">
      <w:pPr>
        <w:pStyle w:val="Betarp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Skyrimo sąlygo</w:t>
      </w:r>
      <w:r w:rsidR="003D3618">
        <w:rPr>
          <w:rFonts w:ascii="Times New Roman" w:hAnsi="Times New Roman"/>
          <w:b/>
          <w:sz w:val="24"/>
          <w:szCs w:val="24"/>
        </w:rPr>
        <w:t>s</w:t>
      </w:r>
    </w:p>
    <w:p w14:paraId="1391EEDD" w14:textId="77777777" w:rsidR="00594A2D" w:rsidRPr="006228AE" w:rsidRDefault="00594A2D" w:rsidP="00594A2D">
      <w:pPr>
        <w:pStyle w:val="Sraopastraipa"/>
        <w:widowControl w:val="0"/>
        <w:numPr>
          <w:ilvl w:val="0"/>
          <w:numId w:val="15"/>
        </w:numPr>
        <w:tabs>
          <w:tab w:val="left" w:pos="1418"/>
        </w:tabs>
        <w:suppressAutoHyphens/>
        <w:spacing w:line="360" w:lineRule="atLeast"/>
        <w:jc w:val="both"/>
        <w:textAlignment w:val="center"/>
        <w:rPr>
          <w:color w:val="000000"/>
          <w:lang w:eastAsia="lt-LT"/>
        </w:rPr>
      </w:pPr>
      <w:proofErr w:type="spellStart"/>
      <w:r w:rsidRPr="006228AE">
        <w:rPr>
          <w:color w:val="000000"/>
          <w:lang w:eastAsia="lt-LT"/>
        </w:rPr>
        <w:t>Histologiškai</w:t>
      </w:r>
      <w:proofErr w:type="spellEnd"/>
      <w:r w:rsidRPr="006228AE">
        <w:rPr>
          <w:color w:val="000000"/>
          <w:lang w:eastAsia="lt-LT"/>
        </w:rPr>
        <w:t xml:space="preserve"> patvirtintas vidurinės vamzdelio dalies (toliau GE-NEN) arba kasos (toliau P-NEN) </w:t>
      </w:r>
      <w:proofErr w:type="spellStart"/>
      <w:r w:rsidRPr="006228AE">
        <w:rPr>
          <w:color w:val="000000"/>
          <w:lang w:eastAsia="lt-LT"/>
        </w:rPr>
        <w:t>neuroendokrininis</w:t>
      </w:r>
      <w:proofErr w:type="spellEnd"/>
      <w:r w:rsidRPr="006228AE">
        <w:rPr>
          <w:color w:val="000000"/>
          <w:lang w:eastAsia="lt-LT"/>
        </w:rPr>
        <w:t xml:space="preserve"> navikas;</w:t>
      </w:r>
    </w:p>
    <w:p w14:paraId="60854729" w14:textId="77777777" w:rsidR="00594A2D" w:rsidRPr="006228AE" w:rsidRDefault="00594A2D" w:rsidP="00594A2D">
      <w:pPr>
        <w:pStyle w:val="Sraopastraipa"/>
        <w:widowControl w:val="0"/>
        <w:numPr>
          <w:ilvl w:val="0"/>
          <w:numId w:val="15"/>
        </w:numPr>
        <w:tabs>
          <w:tab w:val="left" w:pos="1418"/>
        </w:tabs>
        <w:suppressAutoHyphens/>
        <w:spacing w:line="360" w:lineRule="atLeast"/>
        <w:jc w:val="both"/>
        <w:textAlignment w:val="center"/>
        <w:rPr>
          <w:color w:val="000000"/>
          <w:lang w:eastAsia="lt-LT"/>
        </w:rPr>
      </w:pPr>
      <w:r w:rsidRPr="006228AE">
        <w:rPr>
          <w:color w:val="000000"/>
          <w:lang w:eastAsia="lt-LT"/>
        </w:rPr>
        <w:t>Gera pacientų funkcinė būklė (ECOG ≤ 2);</w:t>
      </w:r>
    </w:p>
    <w:p w14:paraId="7407D68B" w14:textId="77777777" w:rsidR="00594A2D" w:rsidRPr="006228AE" w:rsidRDefault="00594A2D" w:rsidP="00594A2D">
      <w:pPr>
        <w:pStyle w:val="Sraopastraipa"/>
        <w:widowControl w:val="0"/>
        <w:numPr>
          <w:ilvl w:val="0"/>
          <w:numId w:val="15"/>
        </w:numPr>
        <w:tabs>
          <w:tab w:val="left" w:pos="1418"/>
        </w:tabs>
        <w:suppressAutoHyphens/>
        <w:spacing w:line="360" w:lineRule="atLeast"/>
        <w:jc w:val="both"/>
        <w:textAlignment w:val="center"/>
        <w:rPr>
          <w:color w:val="000000"/>
          <w:lang w:eastAsia="lt-LT"/>
        </w:rPr>
      </w:pPr>
      <w:r w:rsidRPr="006228AE">
        <w:rPr>
          <w:color w:val="000000"/>
          <w:lang w:eastAsia="lt-LT"/>
        </w:rPr>
        <w:t>Vaizdiniais tyrimais (</w:t>
      </w:r>
      <w:proofErr w:type="spellStart"/>
      <w:r w:rsidRPr="006228AE">
        <w:rPr>
          <w:color w:val="000000"/>
          <w:lang w:eastAsia="lt-LT"/>
        </w:rPr>
        <w:t>scintigrafija</w:t>
      </w:r>
      <w:proofErr w:type="spellEnd"/>
      <w:r w:rsidRPr="006228AE">
        <w:rPr>
          <w:color w:val="000000"/>
          <w:lang w:eastAsia="lt-LT"/>
        </w:rPr>
        <w:t xml:space="preserve">, pozitronų emisijos tomografija) patvirtinta didelė </w:t>
      </w:r>
      <w:proofErr w:type="spellStart"/>
      <w:r w:rsidRPr="006228AE">
        <w:rPr>
          <w:color w:val="000000"/>
          <w:lang w:eastAsia="lt-LT"/>
        </w:rPr>
        <w:t>somatostatino</w:t>
      </w:r>
      <w:proofErr w:type="spellEnd"/>
      <w:r w:rsidRPr="006228AE">
        <w:rPr>
          <w:color w:val="000000"/>
          <w:lang w:eastAsia="lt-LT"/>
        </w:rPr>
        <w:t xml:space="preserve"> receptorių raiška ir kaupimasis GEP-NEN audinyje („mažiausiai toks pat, kaip normalus kaupimasis kepenyse, kaupimosi navike balas ≥2“).</w:t>
      </w:r>
    </w:p>
    <w:p w14:paraId="6BBE8CDA" w14:textId="77777777" w:rsidR="00594A2D" w:rsidRPr="006228AE" w:rsidRDefault="00594A2D" w:rsidP="00594A2D">
      <w:pPr>
        <w:pStyle w:val="Sraopastraipa"/>
        <w:widowControl w:val="0"/>
        <w:numPr>
          <w:ilvl w:val="0"/>
          <w:numId w:val="15"/>
        </w:numPr>
        <w:tabs>
          <w:tab w:val="left" w:pos="1418"/>
        </w:tabs>
        <w:suppressAutoHyphens/>
        <w:spacing w:line="360" w:lineRule="atLeast"/>
        <w:jc w:val="both"/>
        <w:textAlignment w:val="center"/>
        <w:rPr>
          <w:color w:val="000000"/>
          <w:lang w:eastAsia="lt-LT"/>
        </w:rPr>
      </w:pPr>
      <w:r w:rsidRPr="006228AE">
        <w:rPr>
          <w:color w:val="000000"/>
          <w:lang w:eastAsia="lt-LT"/>
        </w:rPr>
        <w:t>GE-NEN (turi atitikti abu kriterijus):</w:t>
      </w:r>
    </w:p>
    <w:p w14:paraId="082E78DE" w14:textId="77777777" w:rsidR="00594A2D" w:rsidRPr="006228AE" w:rsidRDefault="00594A2D" w:rsidP="00594A2D">
      <w:pPr>
        <w:pStyle w:val="Sraopastraipa"/>
        <w:widowControl w:val="0"/>
        <w:numPr>
          <w:ilvl w:val="1"/>
          <w:numId w:val="15"/>
        </w:numPr>
        <w:tabs>
          <w:tab w:val="left" w:pos="1418"/>
        </w:tabs>
        <w:suppressAutoHyphens/>
        <w:spacing w:line="360" w:lineRule="atLeast"/>
        <w:jc w:val="both"/>
        <w:textAlignment w:val="center"/>
        <w:rPr>
          <w:color w:val="000000"/>
          <w:lang w:eastAsia="lt-LT"/>
        </w:rPr>
      </w:pPr>
      <w:r w:rsidRPr="006228AE">
        <w:rPr>
          <w:color w:val="000000"/>
          <w:lang w:eastAsia="lt-LT"/>
        </w:rPr>
        <w:t xml:space="preserve">Gerai (G1) arba vidutiniškai (G2 ir Ki67&lt;10%) diferencijuoti navikai: skiriant pirmos pakopos (didesnės </w:t>
      </w:r>
      <w:proofErr w:type="spellStart"/>
      <w:r w:rsidRPr="006228AE">
        <w:rPr>
          <w:color w:val="000000"/>
          <w:lang w:eastAsia="lt-LT"/>
        </w:rPr>
        <w:t>somatostatino</w:t>
      </w:r>
      <w:proofErr w:type="spellEnd"/>
      <w:r w:rsidRPr="006228AE">
        <w:rPr>
          <w:color w:val="000000"/>
          <w:lang w:eastAsia="lt-LT"/>
        </w:rPr>
        <w:t xml:space="preserve"> analogų dozės) gydymą, išlieka ligos progresavimas;</w:t>
      </w:r>
    </w:p>
    <w:p w14:paraId="79DF7EE3" w14:textId="77777777" w:rsidR="00594A2D" w:rsidRPr="006228AE" w:rsidRDefault="00594A2D" w:rsidP="00594A2D">
      <w:pPr>
        <w:pStyle w:val="Sraopastraipa"/>
        <w:widowControl w:val="0"/>
        <w:numPr>
          <w:ilvl w:val="1"/>
          <w:numId w:val="15"/>
        </w:numPr>
        <w:tabs>
          <w:tab w:val="left" w:pos="1418"/>
        </w:tabs>
        <w:suppressAutoHyphens/>
        <w:spacing w:line="360" w:lineRule="atLeast"/>
        <w:jc w:val="both"/>
        <w:textAlignment w:val="center"/>
        <w:rPr>
          <w:color w:val="000000"/>
          <w:lang w:eastAsia="lt-LT"/>
        </w:rPr>
      </w:pPr>
      <w:r w:rsidRPr="006228AE">
        <w:rPr>
          <w:color w:val="000000"/>
          <w:lang w:eastAsia="lt-LT"/>
        </w:rPr>
        <w:t xml:space="preserve">Naviko anatominė lokalizacija atitinka vidurinės vamzdelio dalies navikus, </w:t>
      </w:r>
      <w:proofErr w:type="spellStart"/>
      <w:r w:rsidRPr="006228AE">
        <w:rPr>
          <w:color w:val="000000"/>
          <w:lang w:eastAsia="lt-LT"/>
        </w:rPr>
        <w:t>t.y</w:t>
      </w:r>
      <w:proofErr w:type="spellEnd"/>
      <w:r w:rsidRPr="006228AE">
        <w:rPr>
          <w:color w:val="000000"/>
          <w:lang w:eastAsia="lt-LT"/>
        </w:rPr>
        <w:t>. plonosios žarnos, aklosios žarnos, dešiniosios storosios žarnos dalies iki blužnies linkio.</w:t>
      </w:r>
    </w:p>
    <w:p w14:paraId="0E13CB0C" w14:textId="77777777" w:rsidR="00594A2D" w:rsidRPr="006228AE" w:rsidRDefault="00594A2D" w:rsidP="00594A2D">
      <w:pPr>
        <w:pStyle w:val="Sraopastraipa"/>
        <w:widowControl w:val="0"/>
        <w:numPr>
          <w:ilvl w:val="0"/>
          <w:numId w:val="15"/>
        </w:numPr>
        <w:tabs>
          <w:tab w:val="left" w:pos="1418"/>
        </w:tabs>
        <w:suppressAutoHyphens/>
        <w:spacing w:line="360" w:lineRule="atLeast"/>
        <w:jc w:val="both"/>
        <w:textAlignment w:val="center"/>
        <w:rPr>
          <w:color w:val="000000"/>
          <w:lang w:eastAsia="lt-LT"/>
        </w:rPr>
      </w:pPr>
      <w:r w:rsidRPr="006228AE">
        <w:rPr>
          <w:color w:val="000000"/>
          <w:lang w:eastAsia="lt-LT"/>
        </w:rPr>
        <w:t>P-NEN (turi atitikti bent vieną kriterijų):</w:t>
      </w:r>
    </w:p>
    <w:p w14:paraId="28613326" w14:textId="77777777" w:rsidR="00594A2D" w:rsidRPr="006228AE" w:rsidRDefault="00594A2D" w:rsidP="00594A2D">
      <w:pPr>
        <w:pStyle w:val="Sraopastraipa"/>
        <w:widowControl w:val="0"/>
        <w:numPr>
          <w:ilvl w:val="1"/>
          <w:numId w:val="15"/>
        </w:numPr>
        <w:tabs>
          <w:tab w:val="left" w:pos="1418"/>
        </w:tabs>
        <w:suppressAutoHyphens/>
        <w:spacing w:line="360" w:lineRule="atLeast"/>
        <w:jc w:val="both"/>
        <w:textAlignment w:val="center"/>
        <w:rPr>
          <w:color w:val="000000"/>
          <w:lang w:eastAsia="lt-LT"/>
        </w:rPr>
      </w:pPr>
      <w:r w:rsidRPr="006228AE">
        <w:rPr>
          <w:color w:val="000000"/>
          <w:lang w:eastAsia="lt-LT"/>
        </w:rPr>
        <w:t>Gerai (G1) diferencijuoti navikai: skiriant pirmos (</w:t>
      </w:r>
      <w:proofErr w:type="spellStart"/>
      <w:r w:rsidRPr="006228AE">
        <w:rPr>
          <w:color w:val="000000"/>
          <w:lang w:eastAsia="lt-LT"/>
        </w:rPr>
        <w:t>somatostatino</w:t>
      </w:r>
      <w:proofErr w:type="spellEnd"/>
      <w:r w:rsidRPr="006228AE">
        <w:rPr>
          <w:color w:val="000000"/>
          <w:lang w:eastAsia="lt-LT"/>
        </w:rPr>
        <w:t xml:space="preserve"> analogus) ir antros pakopos (</w:t>
      </w:r>
      <w:proofErr w:type="spellStart"/>
      <w:r w:rsidRPr="006228AE">
        <w:rPr>
          <w:color w:val="000000"/>
          <w:lang w:eastAsia="lt-LT"/>
        </w:rPr>
        <w:t>everolimuzą</w:t>
      </w:r>
      <w:proofErr w:type="spellEnd"/>
      <w:r w:rsidRPr="006228AE">
        <w:rPr>
          <w:color w:val="000000"/>
          <w:lang w:eastAsia="lt-LT"/>
        </w:rPr>
        <w:t xml:space="preserve">, </w:t>
      </w:r>
      <w:proofErr w:type="spellStart"/>
      <w:r w:rsidRPr="006228AE">
        <w:rPr>
          <w:color w:val="000000"/>
          <w:lang w:eastAsia="lt-LT"/>
        </w:rPr>
        <w:t>sunitinibą</w:t>
      </w:r>
      <w:proofErr w:type="spellEnd"/>
      <w:r w:rsidRPr="006228AE">
        <w:rPr>
          <w:color w:val="000000"/>
          <w:lang w:eastAsia="lt-LT"/>
        </w:rPr>
        <w:t>) gydymą, išlieka ligos progresavimas;</w:t>
      </w:r>
    </w:p>
    <w:p w14:paraId="33F3FD97" w14:textId="77777777" w:rsidR="00594A2D" w:rsidRPr="006228AE" w:rsidRDefault="00594A2D" w:rsidP="00594A2D">
      <w:pPr>
        <w:pStyle w:val="Sraopastraipa"/>
        <w:widowControl w:val="0"/>
        <w:numPr>
          <w:ilvl w:val="1"/>
          <w:numId w:val="15"/>
        </w:numPr>
        <w:tabs>
          <w:tab w:val="left" w:pos="1418"/>
        </w:tabs>
        <w:suppressAutoHyphens/>
        <w:spacing w:line="360" w:lineRule="atLeast"/>
        <w:jc w:val="both"/>
        <w:textAlignment w:val="center"/>
        <w:rPr>
          <w:color w:val="000000"/>
          <w:lang w:eastAsia="lt-LT"/>
        </w:rPr>
      </w:pPr>
      <w:r w:rsidRPr="006228AE">
        <w:rPr>
          <w:color w:val="000000"/>
          <w:lang w:eastAsia="lt-LT"/>
        </w:rPr>
        <w:t>Vidutiniškai (G2) diferencijuoti navikai: skiriant pirmos eilės gydymą (</w:t>
      </w:r>
      <w:proofErr w:type="spellStart"/>
      <w:r w:rsidRPr="006228AE">
        <w:rPr>
          <w:color w:val="000000"/>
          <w:lang w:eastAsia="lt-LT"/>
        </w:rPr>
        <w:t>everolimuzą</w:t>
      </w:r>
      <w:proofErr w:type="spellEnd"/>
      <w:r w:rsidRPr="006228AE">
        <w:rPr>
          <w:color w:val="000000"/>
          <w:lang w:eastAsia="lt-LT"/>
        </w:rPr>
        <w:t xml:space="preserve">, </w:t>
      </w:r>
      <w:proofErr w:type="spellStart"/>
      <w:r w:rsidRPr="006228AE">
        <w:rPr>
          <w:color w:val="000000"/>
          <w:lang w:eastAsia="lt-LT"/>
        </w:rPr>
        <w:t>sunitinibą</w:t>
      </w:r>
      <w:proofErr w:type="spellEnd"/>
      <w:r w:rsidRPr="006228AE">
        <w:rPr>
          <w:color w:val="000000"/>
          <w:lang w:eastAsia="lt-LT"/>
        </w:rPr>
        <w:t>), išlieka ligos progresavimas.</w:t>
      </w:r>
    </w:p>
    <w:p w14:paraId="325459F4" w14:textId="77777777" w:rsidR="00594A2D" w:rsidRDefault="00594A2D" w:rsidP="00594A2D">
      <w:pPr>
        <w:pStyle w:val="Sraopastraipa"/>
        <w:widowControl w:val="0"/>
        <w:numPr>
          <w:ilvl w:val="0"/>
          <w:numId w:val="15"/>
        </w:numPr>
        <w:tabs>
          <w:tab w:val="left" w:pos="1418"/>
        </w:tabs>
        <w:suppressAutoHyphens/>
        <w:spacing w:line="360" w:lineRule="atLeast"/>
        <w:jc w:val="both"/>
        <w:textAlignment w:val="center"/>
        <w:rPr>
          <w:color w:val="000000"/>
          <w:lang w:eastAsia="lt-LT"/>
        </w:rPr>
      </w:pPr>
      <w:r w:rsidRPr="006228AE">
        <w:rPr>
          <w:color w:val="000000"/>
          <w:lang w:eastAsia="lt-LT"/>
        </w:rPr>
        <w:t xml:space="preserve">Gydymą skiria specializuotą onkologinę pagalbą teikiančioje asmens sveikatos priežiūros įstaigoje dirbantis gydytojas onkologas </w:t>
      </w:r>
      <w:proofErr w:type="spellStart"/>
      <w:r w:rsidRPr="006228AE">
        <w:rPr>
          <w:color w:val="000000"/>
          <w:lang w:eastAsia="lt-LT"/>
        </w:rPr>
        <w:t>chemoterapeutas</w:t>
      </w:r>
      <w:proofErr w:type="spellEnd"/>
      <w:r w:rsidRPr="006228AE">
        <w:rPr>
          <w:color w:val="000000"/>
          <w:lang w:eastAsia="lt-LT"/>
        </w:rPr>
        <w:t xml:space="preserve"> ar gydytojas onkologas </w:t>
      </w:r>
      <w:proofErr w:type="spellStart"/>
      <w:r w:rsidRPr="006228AE">
        <w:rPr>
          <w:color w:val="000000"/>
          <w:lang w:eastAsia="lt-LT"/>
        </w:rPr>
        <w:t>radioterapeutas</w:t>
      </w:r>
      <w:proofErr w:type="spellEnd"/>
      <w:r w:rsidRPr="006228AE">
        <w:rPr>
          <w:color w:val="000000"/>
          <w:lang w:eastAsia="lt-LT"/>
        </w:rPr>
        <w:t>.</w:t>
      </w:r>
    </w:p>
    <w:p w14:paraId="33B8DE04" w14:textId="77777777" w:rsidR="00283E59" w:rsidRDefault="00283E59" w:rsidP="00283E59">
      <w:pPr>
        <w:widowControl w:val="0"/>
        <w:tabs>
          <w:tab w:val="left" w:pos="1418"/>
        </w:tabs>
        <w:suppressAutoHyphens/>
        <w:spacing w:line="360" w:lineRule="atLeast"/>
        <w:jc w:val="center"/>
        <w:textAlignment w:val="center"/>
      </w:pPr>
      <w:r>
        <w:rPr>
          <w:color w:val="000000"/>
          <w:lang w:eastAsia="lt-LT"/>
        </w:rPr>
        <w:t>____________________________</w:t>
      </w:r>
    </w:p>
    <w:p w14:paraId="562A1372" w14:textId="77777777" w:rsidR="00283E59" w:rsidRDefault="00283E59" w:rsidP="00283E59">
      <w:pPr>
        <w:jc w:val="both"/>
        <w:rPr>
          <w:b/>
          <w:sz w:val="20"/>
        </w:rPr>
      </w:pPr>
    </w:p>
    <w:p w14:paraId="7CDFF220" w14:textId="58191D98" w:rsidR="000723FF" w:rsidRPr="000203E1" w:rsidRDefault="000723FF" w:rsidP="00824B92">
      <w:pPr>
        <w:rPr>
          <w:b/>
        </w:rPr>
      </w:pPr>
    </w:p>
    <w:sectPr w:rsidR="000723FF" w:rsidRPr="000203E1" w:rsidSect="00063A50">
      <w:headerReference w:type="first" r:id="rId8"/>
      <w:footerReference w:type="first" r:id="rId9"/>
      <w:pgSz w:w="11907" w:h="16840" w:code="9"/>
      <w:pgMar w:top="1134" w:right="567" w:bottom="1134" w:left="1701" w:header="646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3A943" w14:textId="77777777" w:rsidR="005366E3" w:rsidRDefault="005366E3">
      <w:r>
        <w:separator/>
      </w:r>
    </w:p>
  </w:endnote>
  <w:endnote w:type="continuationSeparator" w:id="0">
    <w:p w14:paraId="6D052EF7" w14:textId="77777777" w:rsidR="005366E3" w:rsidRDefault="00536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D3368" w14:textId="77777777" w:rsidR="00347FAA" w:rsidRDefault="00347FAA">
    <w:pPr>
      <w:pStyle w:val="Porat"/>
      <w:jc w:val="right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2AA28" w14:textId="77777777" w:rsidR="005366E3" w:rsidRDefault="005366E3">
      <w:r>
        <w:separator/>
      </w:r>
    </w:p>
  </w:footnote>
  <w:footnote w:type="continuationSeparator" w:id="0">
    <w:p w14:paraId="182961B9" w14:textId="77777777" w:rsidR="005366E3" w:rsidRDefault="00536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E1C8F" w14:textId="77777777" w:rsidR="00347FAA" w:rsidRDefault="00347FAA" w:rsidP="00FD793C">
    <w:pPr>
      <w:pStyle w:val="Antrats"/>
      <w:ind w:left="612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D8E"/>
    <w:multiLevelType w:val="hybridMultilevel"/>
    <w:tmpl w:val="10FAC1CC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276250"/>
    <w:multiLevelType w:val="hybridMultilevel"/>
    <w:tmpl w:val="3B6C29F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0081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28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AD2E58"/>
    <w:multiLevelType w:val="hybridMultilevel"/>
    <w:tmpl w:val="F6943F7A"/>
    <w:lvl w:ilvl="0" w:tplc="AB64BC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01C59"/>
    <w:multiLevelType w:val="hybridMultilevel"/>
    <w:tmpl w:val="64544F3A"/>
    <w:lvl w:ilvl="0" w:tplc="042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A816B09"/>
    <w:multiLevelType w:val="hybridMultilevel"/>
    <w:tmpl w:val="8FBEE17A"/>
    <w:lvl w:ilvl="0" w:tplc="0427000F">
      <w:start w:val="16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81" w:hanging="360"/>
      </w:pPr>
    </w:lvl>
    <w:lvl w:ilvl="2" w:tplc="0427001B" w:tentative="1">
      <w:start w:val="1"/>
      <w:numFmt w:val="lowerRoman"/>
      <w:lvlText w:val="%3."/>
      <w:lvlJc w:val="right"/>
      <w:pPr>
        <w:ind w:left="2301" w:hanging="180"/>
      </w:pPr>
    </w:lvl>
    <w:lvl w:ilvl="3" w:tplc="0427000F" w:tentative="1">
      <w:start w:val="1"/>
      <w:numFmt w:val="decimal"/>
      <w:lvlText w:val="%4."/>
      <w:lvlJc w:val="left"/>
      <w:pPr>
        <w:ind w:left="3021" w:hanging="360"/>
      </w:pPr>
    </w:lvl>
    <w:lvl w:ilvl="4" w:tplc="04270019" w:tentative="1">
      <w:start w:val="1"/>
      <w:numFmt w:val="lowerLetter"/>
      <w:lvlText w:val="%5."/>
      <w:lvlJc w:val="left"/>
      <w:pPr>
        <w:ind w:left="3741" w:hanging="360"/>
      </w:pPr>
    </w:lvl>
    <w:lvl w:ilvl="5" w:tplc="0427001B" w:tentative="1">
      <w:start w:val="1"/>
      <w:numFmt w:val="lowerRoman"/>
      <w:lvlText w:val="%6."/>
      <w:lvlJc w:val="right"/>
      <w:pPr>
        <w:ind w:left="4461" w:hanging="180"/>
      </w:pPr>
    </w:lvl>
    <w:lvl w:ilvl="6" w:tplc="0427000F" w:tentative="1">
      <w:start w:val="1"/>
      <w:numFmt w:val="decimal"/>
      <w:lvlText w:val="%7."/>
      <w:lvlJc w:val="left"/>
      <w:pPr>
        <w:ind w:left="5181" w:hanging="360"/>
      </w:pPr>
    </w:lvl>
    <w:lvl w:ilvl="7" w:tplc="04270019" w:tentative="1">
      <w:start w:val="1"/>
      <w:numFmt w:val="lowerLetter"/>
      <w:lvlText w:val="%8."/>
      <w:lvlJc w:val="left"/>
      <w:pPr>
        <w:ind w:left="5901" w:hanging="360"/>
      </w:pPr>
    </w:lvl>
    <w:lvl w:ilvl="8" w:tplc="0427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6" w15:restartNumberingAfterBreak="0">
    <w:nsid w:val="1D22515C"/>
    <w:multiLevelType w:val="hybridMultilevel"/>
    <w:tmpl w:val="F9D0623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5004F"/>
    <w:multiLevelType w:val="hybridMultilevel"/>
    <w:tmpl w:val="13E4607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BCC4222"/>
    <w:multiLevelType w:val="multilevel"/>
    <w:tmpl w:val="C9C6278E"/>
    <w:lvl w:ilvl="0">
      <w:start w:val="2"/>
      <w:numFmt w:val="decimal"/>
      <w:lvlText w:val="%1."/>
      <w:lvlJc w:val="left"/>
      <w:pPr>
        <w:ind w:left="360" w:hanging="360"/>
      </w:pPr>
      <w:rPr>
        <w:rFonts w:eastAsia="Arial Unicode MS"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eastAsia="Arial Unicode MS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Arial Unicode MS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Arial Unicode MS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Arial Unicode MS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Arial Unicode MS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Arial Unicode MS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Arial Unicode MS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Arial Unicode MS" w:hint="default"/>
      </w:rPr>
    </w:lvl>
  </w:abstractNum>
  <w:abstractNum w:abstractNumId="9" w15:restartNumberingAfterBreak="0">
    <w:nsid w:val="41953EAB"/>
    <w:multiLevelType w:val="hybridMultilevel"/>
    <w:tmpl w:val="D0F01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B019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9B83C1B"/>
    <w:multiLevelType w:val="multilevel"/>
    <w:tmpl w:val="5F3843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2" w15:restartNumberingAfterBreak="0">
    <w:nsid w:val="5A0D73F3"/>
    <w:multiLevelType w:val="hybridMultilevel"/>
    <w:tmpl w:val="CA9A2AC8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B27E1E"/>
    <w:multiLevelType w:val="hybridMultilevel"/>
    <w:tmpl w:val="3D568A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266018"/>
    <w:multiLevelType w:val="hybridMultilevel"/>
    <w:tmpl w:val="AA9C98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487649">
    <w:abstractNumId w:val="9"/>
  </w:num>
  <w:num w:numId="2" w16cid:durableId="365637622">
    <w:abstractNumId w:val="2"/>
  </w:num>
  <w:num w:numId="3" w16cid:durableId="1551306667">
    <w:abstractNumId w:val="11"/>
  </w:num>
  <w:num w:numId="4" w16cid:durableId="507790238">
    <w:abstractNumId w:val="10"/>
  </w:num>
  <w:num w:numId="5" w16cid:durableId="63334387">
    <w:abstractNumId w:val="8"/>
  </w:num>
  <w:num w:numId="6" w16cid:durableId="958150247">
    <w:abstractNumId w:val="7"/>
  </w:num>
  <w:num w:numId="7" w16cid:durableId="6099226">
    <w:abstractNumId w:val="4"/>
  </w:num>
  <w:num w:numId="8" w16cid:durableId="1228759001">
    <w:abstractNumId w:val="14"/>
  </w:num>
  <w:num w:numId="9" w16cid:durableId="205338020">
    <w:abstractNumId w:val="0"/>
  </w:num>
  <w:num w:numId="10" w16cid:durableId="1904170135">
    <w:abstractNumId w:val="12"/>
  </w:num>
  <w:num w:numId="11" w16cid:durableId="2075544024">
    <w:abstractNumId w:val="13"/>
  </w:num>
  <w:num w:numId="12" w16cid:durableId="1553954796">
    <w:abstractNumId w:val="3"/>
  </w:num>
  <w:num w:numId="13" w16cid:durableId="22093285">
    <w:abstractNumId w:val="5"/>
  </w:num>
  <w:num w:numId="14" w16cid:durableId="218398482">
    <w:abstractNumId w:val="1"/>
  </w:num>
  <w:num w:numId="15" w16cid:durableId="17116131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0E7"/>
    <w:rsid w:val="000001B0"/>
    <w:rsid w:val="00003F5B"/>
    <w:rsid w:val="000114DD"/>
    <w:rsid w:val="000136F7"/>
    <w:rsid w:val="000203E1"/>
    <w:rsid w:val="0002686C"/>
    <w:rsid w:val="00031D0E"/>
    <w:rsid w:val="000337E6"/>
    <w:rsid w:val="0003402E"/>
    <w:rsid w:val="00034EAE"/>
    <w:rsid w:val="00042924"/>
    <w:rsid w:val="000448C6"/>
    <w:rsid w:val="000503F6"/>
    <w:rsid w:val="00052BD8"/>
    <w:rsid w:val="00053975"/>
    <w:rsid w:val="00057A2B"/>
    <w:rsid w:val="00057F7C"/>
    <w:rsid w:val="000606BE"/>
    <w:rsid w:val="000624FF"/>
    <w:rsid w:val="00063A50"/>
    <w:rsid w:val="000723FF"/>
    <w:rsid w:val="000736B8"/>
    <w:rsid w:val="0008190F"/>
    <w:rsid w:val="00081D9C"/>
    <w:rsid w:val="00082907"/>
    <w:rsid w:val="0008378D"/>
    <w:rsid w:val="000908A5"/>
    <w:rsid w:val="00091820"/>
    <w:rsid w:val="00092805"/>
    <w:rsid w:val="000A50C9"/>
    <w:rsid w:val="000B2B2C"/>
    <w:rsid w:val="000C454C"/>
    <w:rsid w:val="000D5038"/>
    <w:rsid w:val="000E29D4"/>
    <w:rsid w:val="000F3540"/>
    <w:rsid w:val="00100491"/>
    <w:rsid w:val="00104E2E"/>
    <w:rsid w:val="00107287"/>
    <w:rsid w:val="00117194"/>
    <w:rsid w:val="00117406"/>
    <w:rsid w:val="00121EF0"/>
    <w:rsid w:val="00124A9E"/>
    <w:rsid w:val="00130703"/>
    <w:rsid w:val="0013153F"/>
    <w:rsid w:val="001408B8"/>
    <w:rsid w:val="001466FE"/>
    <w:rsid w:val="001517E2"/>
    <w:rsid w:val="001521D9"/>
    <w:rsid w:val="001554E2"/>
    <w:rsid w:val="00164146"/>
    <w:rsid w:val="00164D64"/>
    <w:rsid w:val="00166FBB"/>
    <w:rsid w:val="0017369C"/>
    <w:rsid w:val="00175D57"/>
    <w:rsid w:val="00180C39"/>
    <w:rsid w:val="00180D96"/>
    <w:rsid w:val="00180DB3"/>
    <w:rsid w:val="00184BD3"/>
    <w:rsid w:val="001921F3"/>
    <w:rsid w:val="001A0CAA"/>
    <w:rsid w:val="001B3C5B"/>
    <w:rsid w:val="001C2FC8"/>
    <w:rsid w:val="001C6353"/>
    <w:rsid w:val="001D5B91"/>
    <w:rsid w:val="001D746F"/>
    <w:rsid w:val="001E0B2D"/>
    <w:rsid w:val="001E4BBB"/>
    <w:rsid w:val="001E4CBC"/>
    <w:rsid w:val="001E6304"/>
    <w:rsid w:val="001F115E"/>
    <w:rsid w:val="0020381E"/>
    <w:rsid w:val="00213471"/>
    <w:rsid w:val="00215906"/>
    <w:rsid w:val="00241CD8"/>
    <w:rsid w:val="00244B09"/>
    <w:rsid w:val="002519CB"/>
    <w:rsid w:val="0025697F"/>
    <w:rsid w:val="00260258"/>
    <w:rsid w:val="0026588E"/>
    <w:rsid w:val="00272428"/>
    <w:rsid w:val="00272948"/>
    <w:rsid w:val="00283E59"/>
    <w:rsid w:val="00292392"/>
    <w:rsid w:val="002946C7"/>
    <w:rsid w:val="002B3CC1"/>
    <w:rsid w:val="002C0686"/>
    <w:rsid w:val="002C09E0"/>
    <w:rsid w:val="002C100E"/>
    <w:rsid w:val="002C1BB1"/>
    <w:rsid w:val="002C2786"/>
    <w:rsid w:val="002C3A10"/>
    <w:rsid w:val="002C4A90"/>
    <w:rsid w:val="002C4ED5"/>
    <w:rsid w:val="002D02EF"/>
    <w:rsid w:val="002E0702"/>
    <w:rsid w:val="002E1A83"/>
    <w:rsid w:val="002E3107"/>
    <w:rsid w:val="002E57AD"/>
    <w:rsid w:val="002E6F80"/>
    <w:rsid w:val="002F0E4F"/>
    <w:rsid w:val="002F1053"/>
    <w:rsid w:val="00314816"/>
    <w:rsid w:val="00317B0E"/>
    <w:rsid w:val="00336238"/>
    <w:rsid w:val="00347FAA"/>
    <w:rsid w:val="0035172D"/>
    <w:rsid w:val="0036187D"/>
    <w:rsid w:val="00367EDB"/>
    <w:rsid w:val="003705F0"/>
    <w:rsid w:val="00381024"/>
    <w:rsid w:val="00386307"/>
    <w:rsid w:val="003874DE"/>
    <w:rsid w:val="00393E9F"/>
    <w:rsid w:val="0039696E"/>
    <w:rsid w:val="003B1D91"/>
    <w:rsid w:val="003B211A"/>
    <w:rsid w:val="003B2CA3"/>
    <w:rsid w:val="003C141F"/>
    <w:rsid w:val="003C6B0E"/>
    <w:rsid w:val="003C6E94"/>
    <w:rsid w:val="003C7257"/>
    <w:rsid w:val="003C7E35"/>
    <w:rsid w:val="003D1E99"/>
    <w:rsid w:val="003D3618"/>
    <w:rsid w:val="003D6208"/>
    <w:rsid w:val="00404E8A"/>
    <w:rsid w:val="0040622F"/>
    <w:rsid w:val="00413F24"/>
    <w:rsid w:val="00422853"/>
    <w:rsid w:val="00423160"/>
    <w:rsid w:val="00437623"/>
    <w:rsid w:val="00444A2B"/>
    <w:rsid w:val="004501C3"/>
    <w:rsid w:val="00453862"/>
    <w:rsid w:val="0045469B"/>
    <w:rsid w:val="0045524E"/>
    <w:rsid w:val="00461338"/>
    <w:rsid w:val="004677DB"/>
    <w:rsid w:val="00476256"/>
    <w:rsid w:val="0048630F"/>
    <w:rsid w:val="004947A1"/>
    <w:rsid w:val="0049482A"/>
    <w:rsid w:val="004979D3"/>
    <w:rsid w:val="004A00E7"/>
    <w:rsid w:val="004A3A61"/>
    <w:rsid w:val="004B4092"/>
    <w:rsid w:val="004B59BA"/>
    <w:rsid w:val="004B5A03"/>
    <w:rsid w:val="004C2459"/>
    <w:rsid w:val="004C263A"/>
    <w:rsid w:val="004C6221"/>
    <w:rsid w:val="004D48A6"/>
    <w:rsid w:val="004D70B6"/>
    <w:rsid w:val="004D7B8F"/>
    <w:rsid w:val="004E241F"/>
    <w:rsid w:val="004E6458"/>
    <w:rsid w:val="004E6E7D"/>
    <w:rsid w:val="004F1AAC"/>
    <w:rsid w:val="004F1AE2"/>
    <w:rsid w:val="004F34F0"/>
    <w:rsid w:val="004F3B2B"/>
    <w:rsid w:val="004F6050"/>
    <w:rsid w:val="005005EF"/>
    <w:rsid w:val="005123C2"/>
    <w:rsid w:val="0052144B"/>
    <w:rsid w:val="00524066"/>
    <w:rsid w:val="00526A0F"/>
    <w:rsid w:val="00534E11"/>
    <w:rsid w:val="005366E3"/>
    <w:rsid w:val="005378D8"/>
    <w:rsid w:val="005400D9"/>
    <w:rsid w:val="005476A4"/>
    <w:rsid w:val="0055019B"/>
    <w:rsid w:val="00556E63"/>
    <w:rsid w:val="005601A4"/>
    <w:rsid w:val="00566DBB"/>
    <w:rsid w:val="00567B14"/>
    <w:rsid w:val="005767DB"/>
    <w:rsid w:val="005815E6"/>
    <w:rsid w:val="00583E51"/>
    <w:rsid w:val="0058712F"/>
    <w:rsid w:val="00594A2D"/>
    <w:rsid w:val="005976CE"/>
    <w:rsid w:val="005A23D4"/>
    <w:rsid w:val="005A2D1E"/>
    <w:rsid w:val="005A4698"/>
    <w:rsid w:val="005B3756"/>
    <w:rsid w:val="005B78A8"/>
    <w:rsid w:val="005C493F"/>
    <w:rsid w:val="005C6BF7"/>
    <w:rsid w:val="005C71BF"/>
    <w:rsid w:val="005D002C"/>
    <w:rsid w:val="005D15AF"/>
    <w:rsid w:val="005D30E1"/>
    <w:rsid w:val="005D6555"/>
    <w:rsid w:val="005D7BDF"/>
    <w:rsid w:val="005E4870"/>
    <w:rsid w:val="005F71D9"/>
    <w:rsid w:val="005F7602"/>
    <w:rsid w:val="006062BE"/>
    <w:rsid w:val="00613143"/>
    <w:rsid w:val="00613501"/>
    <w:rsid w:val="0061611B"/>
    <w:rsid w:val="006166A8"/>
    <w:rsid w:val="006174A1"/>
    <w:rsid w:val="00621D6C"/>
    <w:rsid w:val="00633B49"/>
    <w:rsid w:val="0064297F"/>
    <w:rsid w:val="00645102"/>
    <w:rsid w:val="00646CF3"/>
    <w:rsid w:val="00653D11"/>
    <w:rsid w:val="00662983"/>
    <w:rsid w:val="006834D3"/>
    <w:rsid w:val="00692625"/>
    <w:rsid w:val="00695CD3"/>
    <w:rsid w:val="006A38B6"/>
    <w:rsid w:val="006B1987"/>
    <w:rsid w:val="006B5B71"/>
    <w:rsid w:val="006B5D3E"/>
    <w:rsid w:val="006B6CB0"/>
    <w:rsid w:val="006C2B64"/>
    <w:rsid w:val="006D1BF3"/>
    <w:rsid w:val="006D4C85"/>
    <w:rsid w:val="006D66AC"/>
    <w:rsid w:val="006E33F6"/>
    <w:rsid w:val="006F1251"/>
    <w:rsid w:val="006F1C23"/>
    <w:rsid w:val="00702C18"/>
    <w:rsid w:val="00703166"/>
    <w:rsid w:val="007111C4"/>
    <w:rsid w:val="007127F3"/>
    <w:rsid w:val="007142C7"/>
    <w:rsid w:val="00715F80"/>
    <w:rsid w:val="007301CF"/>
    <w:rsid w:val="007316FB"/>
    <w:rsid w:val="00737E2D"/>
    <w:rsid w:val="007424D5"/>
    <w:rsid w:val="00745C63"/>
    <w:rsid w:val="00750A88"/>
    <w:rsid w:val="007523DD"/>
    <w:rsid w:val="00757B7E"/>
    <w:rsid w:val="007656B2"/>
    <w:rsid w:val="0077016F"/>
    <w:rsid w:val="007713AD"/>
    <w:rsid w:val="00795DC5"/>
    <w:rsid w:val="00797153"/>
    <w:rsid w:val="007A21F7"/>
    <w:rsid w:val="007A2B68"/>
    <w:rsid w:val="007B0DDA"/>
    <w:rsid w:val="007B7892"/>
    <w:rsid w:val="007C3D41"/>
    <w:rsid w:val="007D3347"/>
    <w:rsid w:val="007D654E"/>
    <w:rsid w:val="007E5466"/>
    <w:rsid w:val="007F1949"/>
    <w:rsid w:val="007F2592"/>
    <w:rsid w:val="00800A08"/>
    <w:rsid w:val="0081406C"/>
    <w:rsid w:val="00817A84"/>
    <w:rsid w:val="0082016F"/>
    <w:rsid w:val="008225A4"/>
    <w:rsid w:val="00824B92"/>
    <w:rsid w:val="00824D3A"/>
    <w:rsid w:val="00826D5E"/>
    <w:rsid w:val="00832013"/>
    <w:rsid w:val="00832DB7"/>
    <w:rsid w:val="00834732"/>
    <w:rsid w:val="0085200C"/>
    <w:rsid w:val="00857C52"/>
    <w:rsid w:val="00860D5F"/>
    <w:rsid w:val="008758A7"/>
    <w:rsid w:val="00880A44"/>
    <w:rsid w:val="00883083"/>
    <w:rsid w:val="0088345E"/>
    <w:rsid w:val="0088656F"/>
    <w:rsid w:val="008875BC"/>
    <w:rsid w:val="00891EF6"/>
    <w:rsid w:val="00892FF4"/>
    <w:rsid w:val="0089345A"/>
    <w:rsid w:val="008A0303"/>
    <w:rsid w:val="008A5FDD"/>
    <w:rsid w:val="008C3947"/>
    <w:rsid w:val="008E473B"/>
    <w:rsid w:val="008E51A6"/>
    <w:rsid w:val="008E7329"/>
    <w:rsid w:val="008F2ED5"/>
    <w:rsid w:val="0092297E"/>
    <w:rsid w:val="00923292"/>
    <w:rsid w:val="00923651"/>
    <w:rsid w:val="00924DF7"/>
    <w:rsid w:val="00927B56"/>
    <w:rsid w:val="009341BF"/>
    <w:rsid w:val="00937907"/>
    <w:rsid w:val="00941739"/>
    <w:rsid w:val="00951573"/>
    <w:rsid w:val="009577EE"/>
    <w:rsid w:val="00963003"/>
    <w:rsid w:val="00965919"/>
    <w:rsid w:val="00966EEF"/>
    <w:rsid w:val="00971B28"/>
    <w:rsid w:val="00983471"/>
    <w:rsid w:val="009909AB"/>
    <w:rsid w:val="009B37DB"/>
    <w:rsid w:val="009C7A8C"/>
    <w:rsid w:val="009D23F9"/>
    <w:rsid w:val="009D4FA8"/>
    <w:rsid w:val="009E44AE"/>
    <w:rsid w:val="009E6CD6"/>
    <w:rsid w:val="009F4D66"/>
    <w:rsid w:val="00A00C3C"/>
    <w:rsid w:val="00A01091"/>
    <w:rsid w:val="00A042B9"/>
    <w:rsid w:val="00A06DBB"/>
    <w:rsid w:val="00A22ADF"/>
    <w:rsid w:val="00A2310D"/>
    <w:rsid w:val="00A254A2"/>
    <w:rsid w:val="00A31E86"/>
    <w:rsid w:val="00A54D87"/>
    <w:rsid w:val="00A5553C"/>
    <w:rsid w:val="00A701C9"/>
    <w:rsid w:val="00A81785"/>
    <w:rsid w:val="00A84803"/>
    <w:rsid w:val="00A84C51"/>
    <w:rsid w:val="00A86F2B"/>
    <w:rsid w:val="00A91366"/>
    <w:rsid w:val="00A92F91"/>
    <w:rsid w:val="00A93AA6"/>
    <w:rsid w:val="00AA4E48"/>
    <w:rsid w:val="00AA6202"/>
    <w:rsid w:val="00AA7B57"/>
    <w:rsid w:val="00AB2806"/>
    <w:rsid w:val="00AB2D54"/>
    <w:rsid w:val="00AC26FC"/>
    <w:rsid w:val="00AC4A99"/>
    <w:rsid w:val="00AC5129"/>
    <w:rsid w:val="00AC64D2"/>
    <w:rsid w:val="00AD02E7"/>
    <w:rsid w:val="00AE0FE8"/>
    <w:rsid w:val="00AF60D5"/>
    <w:rsid w:val="00B00959"/>
    <w:rsid w:val="00B04415"/>
    <w:rsid w:val="00B06509"/>
    <w:rsid w:val="00B11D60"/>
    <w:rsid w:val="00B13D65"/>
    <w:rsid w:val="00B21805"/>
    <w:rsid w:val="00B22300"/>
    <w:rsid w:val="00B3072E"/>
    <w:rsid w:val="00B36E15"/>
    <w:rsid w:val="00B37245"/>
    <w:rsid w:val="00B4017A"/>
    <w:rsid w:val="00B4468D"/>
    <w:rsid w:val="00B71C72"/>
    <w:rsid w:val="00B71F04"/>
    <w:rsid w:val="00B74A62"/>
    <w:rsid w:val="00B811A4"/>
    <w:rsid w:val="00B81E92"/>
    <w:rsid w:val="00B908D7"/>
    <w:rsid w:val="00B935E8"/>
    <w:rsid w:val="00B93B30"/>
    <w:rsid w:val="00B94CB5"/>
    <w:rsid w:val="00BA0DD9"/>
    <w:rsid w:val="00BA5DBC"/>
    <w:rsid w:val="00BA6584"/>
    <w:rsid w:val="00BB4F2C"/>
    <w:rsid w:val="00BB6312"/>
    <w:rsid w:val="00BC39C2"/>
    <w:rsid w:val="00BC3D1B"/>
    <w:rsid w:val="00BC4D06"/>
    <w:rsid w:val="00BD05E1"/>
    <w:rsid w:val="00BD585E"/>
    <w:rsid w:val="00BD6919"/>
    <w:rsid w:val="00BE1EA7"/>
    <w:rsid w:val="00BE7489"/>
    <w:rsid w:val="00BF2E0D"/>
    <w:rsid w:val="00BF3927"/>
    <w:rsid w:val="00BF3F8B"/>
    <w:rsid w:val="00BF76DA"/>
    <w:rsid w:val="00C00CDB"/>
    <w:rsid w:val="00C07C7B"/>
    <w:rsid w:val="00C16245"/>
    <w:rsid w:val="00C22DC5"/>
    <w:rsid w:val="00C24479"/>
    <w:rsid w:val="00C273F2"/>
    <w:rsid w:val="00C327CB"/>
    <w:rsid w:val="00C37B53"/>
    <w:rsid w:val="00C434EB"/>
    <w:rsid w:val="00C44672"/>
    <w:rsid w:val="00C517D2"/>
    <w:rsid w:val="00C5772E"/>
    <w:rsid w:val="00C62B36"/>
    <w:rsid w:val="00C7012C"/>
    <w:rsid w:val="00C712EA"/>
    <w:rsid w:val="00C9728E"/>
    <w:rsid w:val="00CA217D"/>
    <w:rsid w:val="00CA3131"/>
    <w:rsid w:val="00CC09D4"/>
    <w:rsid w:val="00CC4F5F"/>
    <w:rsid w:val="00CC668D"/>
    <w:rsid w:val="00CC7832"/>
    <w:rsid w:val="00CD488E"/>
    <w:rsid w:val="00CE4B0B"/>
    <w:rsid w:val="00CF0C1C"/>
    <w:rsid w:val="00CF27FD"/>
    <w:rsid w:val="00CF5F12"/>
    <w:rsid w:val="00CF6DD9"/>
    <w:rsid w:val="00D00910"/>
    <w:rsid w:val="00D00D8F"/>
    <w:rsid w:val="00D12869"/>
    <w:rsid w:val="00D14512"/>
    <w:rsid w:val="00D15ED6"/>
    <w:rsid w:val="00D21F3A"/>
    <w:rsid w:val="00D23808"/>
    <w:rsid w:val="00D3016A"/>
    <w:rsid w:val="00D417D2"/>
    <w:rsid w:val="00D42960"/>
    <w:rsid w:val="00D43BD7"/>
    <w:rsid w:val="00D4485B"/>
    <w:rsid w:val="00D46CCD"/>
    <w:rsid w:val="00D4708D"/>
    <w:rsid w:val="00D4744C"/>
    <w:rsid w:val="00D51046"/>
    <w:rsid w:val="00D521DE"/>
    <w:rsid w:val="00D5470B"/>
    <w:rsid w:val="00D63068"/>
    <w:rsid w:val="00D6498C"/>
    <w:rsid w:val="00D67BAF"/>
    <w:rsid w:val="00D71999"/>
    <w:rsid w:val="00D76A70"/>
    <w:rsid w:val="00D83182"/>
    <w:rsid w:val="00D8521E"/>
    <w:rsid w:val="00D9291C"/>
    <w:rsid w:val="00D93A97"/>
    <w:rsid w:val="00DA5602"/>
    <w:rsid w:val="00DB1F64"/>
    <w:rsid w:val="00DC261A"/>
    <w:rsid w:val="00DC2F53"/>
    <w:rsid w:val="00DC5BAC"/>
    <w:rsid w:val="00DC6816"/>
    <w:rsid w:val="00DC76C2"/>
    <w:rsid w:val="00DD1CF2"/>
    <w:rsid w:val="00DD78DF"/>
    <w:rsid w:val="00DE4484"/>
    <w:rsid w:val="00DF41B7"/>
    <w:rsid w:val="00DF4A4A"/>
    <w:rsid w:val="00DF583C"/>
    <w:rsid w:val="00E03C3F"/>
    <w:rsid w:val="00E06FD7"/>
    <w:rsid w:val="00E07417"/>
    <w:rsid w:val="00E24D45"/>
    <w:rsid w:val="00E33DB8"/>
    <w:rsid w:val="00E33EFF"/>
    <w:rsid w:val="00E34387"/>
    <w:rsid w:val="00E348BA"/>
    <w:rsid w:val="00E369FE"/>
    <w:rsid w:val="00E37C6F"/>
    <w:rsid w:val="00E475F8"/>
    <w:rsid w:val="00E5102E"/>
    <w:rsid w:val="00E5721C"/>
    <w:rsid w:val="00E619C6"/>
    <w:rsid w:val="00E70CED"/>
    <w:rsid w:val="00E745A1"/>
    <w:rsid w:val="00E81529"/>
    <w:rsid w:val="00E83A13"/>
    <w:rsid w:val="00EB1151"/>
    <w:rsid w:val="00EB6FC5"/>
    <w:rsid w:val="00EC2356"/>
    <w:rsid w:val="00EC2582"/>
    <w:rsid w:val="00EC337C"/>
    <w:rsid w:val="00ED0CFF"/>
    <w:rsid w:val="00ED31D2"/>
    <w:rsid w:val="00EE0EAC"/>
    <w:rsid w:val="00EE3322"/>
    <w:rsid w:val="00EE33CB"/>
    <w:rsid w:val="00F0061A"/>
    <w:rsid w:val="00F02834"/>
    <w:rsid w:val="00F04EEB"/>
    <w:rsid w:val="00F05467"/>
    <w:rsid w:val="00F055D2"/>
    <w:rsid w:val="00F07CD7"/>
    <w:rsid w:val="00F127E9"/>
    <w:rsid w:val="00F14477"/>
    <w:rsid w:val="00F14B5D"/>
    <w:rsid w:val="00F259FC"/>
    <w:rsid w:val="00F313F4"/>
    <w:rsid w:val="00F36972"/>
    <w:rsid w:val="00F42426"/>
    <w:rsid w:val="00F44F01"/>
    <w:rsid w:val="00F456BC"/>
    <w:rsid w:val="00F45998"/>
    <w:rsid w:val="00F50666"/>
    <w:rsid w:val="00F70731"/>
    <w:rsid w:val="00F70C9E"/>
    <w:rsid w:val="00F74A74"/>
    <w:rsid w:val="00F7572C"/>
    <w:rsid w:val="00F8382C"/>
    <w:rsid w:val="00F855D7"/>
    <w:rsid w:val="00F92035"/>
    <w:rsid w:val="00F92748"/>
    <w:rsid w:val="00F952B9"/>
    <w:rsid w:val="00FA4169"/>
    <w:rsid w:val="00FB0D41"/>
    <w:rsid w:val="00FB2030"/>
    <w:rsid w:val="00FB319B"/>
    <w:rsid w:val="00FD0E46"/>
    <w:rsid w:val="00FD1060"/>
    <w:rsid w:val="00FD1CF2"/>
    <w:rsid w:val="00FD3EDF"/>
    <w:rsid w:val="00FD793C"/>
    <w:rsid w:val="00FE0FD5"/>
    <w:rsid w:val="00FE20E6"/>
    <w:rsid w:val="00FE3E3B"/>
    <w:rsid w:val="00FE5878"/>
    <w:rsid w:val="00FF4032"/>
    <w:rsid w:val="00FF4A2E"/>
    <w:rsid w:val="00FF6469"/>
    <w:rsid w:val="00FF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FE6E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81529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A84C51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A84C51"/>
    <w:pPr>
      <w:keepNext/>
      <w:jc w:val="center"/>
      <w:outlineLvl w:val="1"/>
    </w:pPr>
    <w:rPr>
      <w:b/>
      <w:bCs/>
      <w:caps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A84C51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link w:val="PoratDiagrama"/>
    <w:rsid w:val="00A84C51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A84C51"/>
  </w:style>
  <w:style w:type="character" w:styleId="Hipersaitas">
    <w:name w:val="Hyperlink"/>
    <w:basedOn w:val="Numatytasispastraiposriftas"/>
    <w:rsid w:val="00A84C51"/>
    <w:rPr>
      <w:color w:val="0000FF"/>
      <w:u w:val="single"/>
    </w:rPr>
  </w:style>
  <w:style w:type="paragraph" w:styleId="Debesliotekstas">
    <w:name w:val="Balloon Text"/>
    <w:basedOn w:val="prastasis"/>
    <w:semiHidden/>
    <w:rsid w:val="00EC2356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basedOn w:val="Numatytasispastraiposriftas"/>
    <w:link w:val="Porat"/>
    <w:rsid w:val="00737E2D"/>
    <w:rPr>
      <w:sz w:val="24"/>
      <w:szCs w:val="24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31E86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semiHidden/>
    <w:unhideWhenUsed/>
    <w:rsid w:val="00A31E86"/>
    <w:rPr>
      <w:color w:val="800080" w:themeColor="followedHyperlink"/>
      <w:u w:val="single"/>
    </w:rPr>
  </w:style>
  <w:style w:type="table" w:styleId="Lentelstinklelis">
    <w:name w:val="Table Grid"/>
    <w:aliases w:val="Summary box,Dossier Table,Dossier table,Section 3- footnotes,Legemiddelverket 3,Summary Table,ASD Table,Key messages box,YHEC table,Tabellengitternetz 9pt,Table Grid nm,Lash Style Table"/>
    <w:basedOn w:val="prastojilentel"/>
    <w:rsid w:val="00D42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semiHidden/>
    <w:unhideWhenUsed/>
    <w:rsid w:val="00C7012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C7012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7012C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C7012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C7012C"/>
    <w:rPr>
      <w:b/>
      <w:bCs/>
      <w:lang w:eastAsia="en-US"/>
    </w:rPr>
  </w:style>
  <w:style w:type="paragraph" w:styleId="Sraopastraipa">
    <w:name w:val="List Paragraph"/>
    <w:aliases w:val="Bullets Points,Table Header Row,Bullet Paragraph,Bullet Point,Dairy Paragraphe,Table Legend,Bullet List,Bullet1,Bullet 1,1. Bullet Blank,Bulleted - 2,List Paragraph CCT minutes,Section 5,FooterText,List Paragraph1,numbered,列出段落"/>
    <w:basedOn w:val="prastasis"/>
    <w:link w:val="SraopastraipaDiagrama"/>
    <w:uiPriority w:val="34"/>
    <w:qFormat/>
    <w:rsid w:val="00104E2E"/>
    <w:pPr>
      <w:ind w:left="720"/>
      <w:contextualSpacing/>
    </w:pPr>
  </w:style>
  <w:style w:type="character" w:customStyle="1" w:styleId="Style2">
    <w:name w:val="Style2"/>
    <w:basedOn w:val="Numatytasispastraiposriftas"/>
    <w:uiPriority w:val="1"/>
    <w:rsid w:val="00D6498C"/>
    <w:rPr>
      <w:sz w:val="32"/>
    </w:rPr>
  </w:style>
  <w:style w:type="character" w:styleId="Vietosrezervavimoenklotekstas">
    <w:name w:val="Placeholder Text"/>
    <w:basedOn w:val="Numatytasispastraiposriftas"/>
    <w:uiPriority w:val="99"/>
    <w:rsid w:val="00B13D65"/>
    <w:rPr>
      <w:color w:val="808080"/>
    </w:rPr>
  </w:style>
  <w:style w:type="paragraph" w:styleId="Betarp">
    <w:name w:val="No Spacing"/>
    <w:uiPriority w:val="1"/>
    <w:qFormat/>
    <w:rsid w:val="00B13D65"/>
    <w:rPr>
      <w:rFonts w:ascii="Calibri" w:eastAsia="Calibri" w:hAnsi="Calibri"/>
      <w:sz w:val="22"/>
      <w:szCs w:val="22"/>
      <w:lang w:eastAsia="en-US"/>
    </w:rPr>
  </w:style>
  <w:style w:type="table" w:customStyle="1" w:styleId="Lentelstinklelis1">
    <w:name w:val="Lentelės tinklelis1"/>
    <w:basedOn w:val="prastojilentel"/>
    <w:next w:val="Lentelstinklelis"/>
    <w:rsid w:val="009E44AE"/>
    <w:rPr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476256"/>
    <w:rPr>
      <w:sz w:val="24"/>
      <w:szCs w:val="24"/>
      <w:lang w:eastAsia="en-US"/>
    </w:rPr>
  </w:style>
  <w:style w:type="character" w:customStyle="1" w:styleId="SraopastraipaDiagrama">
    <w:name w:val="Sąrašo pastraipa Diagrama"/>
    <w:aliases w:val="Bullets Points Diagrama,Table Header Row Diagrama,Bullet Paragraph Diagrama,Bullet Point Diagrama,Dairy Paragraphe Diagrama,Table Legend Diagrama,Bullet List Diagrama,Bullet1 Diagrama,Bullet 1 Diagrama,1. Bullet Blank Diagrama"/>
    <w:link w:val="Sraopastraipa"/>
    <w:uiPriority w:val="34"/>
    <w:locked/>
    <w:rsid w:val="00594A2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8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BDFA5692BE4CAE9956BBF71DCA770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651165A-64DA-46ED-81F4-7089AA783938}"/>
      </w:docPartPr>
      <w:docPartBody>
        <w:p w:rsidR="00E70FF5" w:rsidRDefault="00E70FF5" w:rsidP="00E70FF5">
          <w:pPr>
            <w:pStyle w:val="F1BDFA5692BE4CAE9956BBF71DCA770A"/>
          </w:pPr>
          <w:r>
            <w:rPr>
              <w:rStyle w:val="Vietosrezervavimoenklotekstas"/>
            </w:rPr>
            <w:t>Click here to enter a date.</w:t>
          </w:r>
        </w:p>
      </w:docPartBody>
    </w:docPart>
    <w:docPart>
      <w:docPartPr>
        <w:name w:val="14FA3D9CC8F84CA585279369A0DFAE2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3CB0915-4E13-4258-8683-D1FCC1EEE543}"/>
      </w:docPartPr>
      <w:docPartBody>
        <w:p w:rsidR="00E70FF5" w:rsidRDefault="00E70FF5" w:rsidP="00E70FF5">
          <w:pPr>
            <w:pStyle w:val="14FA3D9CC8F84CA585279369A0DFAE2C"/>
          </w:pPr>
          <w:r>
            <w:rPr>
              <w:rStyle w:val="Vietosrezervavimoenklotekstas"/>
            </w:rPr>
            <w:t>Click here to enter a date.</w:t>
          </w:r>
        </w:p>
      </w:docPartBody>
    </w:docPart>
    <w:docPart>
      <w:docPartPr>
        <w:name w:val="9DE5305B2C2C4817B46F4EB6F2AF78F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953E4C9-65C2-4422-B48B-638A8457EF8B}"/>
      </w:docPartPr>
      <w:docPartBody>
        <w:p w:rsidR="00E70FF5" w:rsidRDefault="00E70FF5" w:rsidP="00E70FF5">
          <w:pPr>
            <w:pStyle w:val="9DE5305B2C2C4817B46F4EB6F2AF78F2"/>
          </w:pPr>
          <w:r>
            <w:rPr>
              <w:rStyle w:val="Vietosrezervavimoenklotekstas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0DD"/>
    <w:rsid w:val="0001247F"/>
    <w:rsid w:val="00047C19"/>
    <w:rsid w:val="000503F6"/>
    <w:rsid w:val="00061157"/>
    <w:rsid w:val="000624FF"/>
    <w:rsid w:val="000937FE"/>
    <w:rsid w:val="000A50C9"/>
    <w:rsid w:val="000A559A"/>
    <w:rsid w:val="000D24D4"/>
    <w:rsid w:val="000D6217"/>
    <w:rsid w:val="0014006D"/>
    <w:rsid w:val="001C35A9"/>
    <w:rsid w:val="00237556"/>
    <w:rsid w:val="002B59E5"/>
    <w:rsid w:val="002C0686"/>
    <w:rsid w:val="002E6EBA"/>
    <w:rsid w:val="0039303B"/>
    <w:rsid w:val="003B2CA3"/>
    <w:rsid w:val="003C6E94"/>
    <w:rsid w:val="004144A3"/>
    <w:rsid w:val="004160E7"/>
    <w:rsid w:val="004416C6"/>
    <w:rsid w:val="00456E96"/>
    <w:rsid w:val="004C6221"/>
    <w:rsid w:val="004D038D"/>
    <w:rsid w:val="004F4E20"/>
    <w:rsid w:val="004F5AB2"/>
    <w:rsid w:val="005074B9"/>
    <w:rsid w:val="00563A5F"/>
    <w:rsid w:val="00583E51"/>
    <w:rsid w:val="005C62E5"/>
    <w:rsid w:val="005E40DD"/>
    <w:rsid w:val="00601F4E"/>
    <w:rsid w:val="006E6A2C"/>
    <w:rsid w:val="007219C1"/>
    <w:rsid w:val="00745C63"/>
    <w:rsid w:val="00753462"/>
    <w:rsid w:val="00772325"/>
    <w:rsid w:val="007A2FE0"/>
    <w:rsid w:val="007C6D1D"/>
    <w:rsid w:val="007D654E"/>
    <w:rsid w:val="00830705"/>
    <w:rsid w:val="00883083"/>
    <w:rsid w:val="00892FF4"/>
    <w:rsid w:val="008C0DC0"/>
    <w:rsid w:val="0090074D"/>
    <w:rsid w:val="00901A35"/>
    <w:rsid w:val="009B3BF0"/>
    <w:rsid w:val="009D5E5E"/>
    <w:rsid w:val="009F1BB4"/>
    <w:rsid w:val="00A20D39"/>
    <w:rsid w:val="00A254A2"/>
    <w:rsid w:val="00AB2D54"/>
    <w:rsid w:val="00AB6ED4"/>
    <w:rsid w:val="00B14210"/>
    <w:rsid w:val="00B22ED6"/>
    <w:rsid w:val="00B23DC0"/>
    <w:rsid w:val="00B71F04"/>
    <w:rsid w:val="00B96656"/>
    <w:rsid w:val="00BA0A8E"/>
    <w:rsid w:val="00BB4F2C"/>
    <w:rsid w:val="00BE3364"/>
    <w:rsid w:val="00C2401D"/>
    <w:rsid w:val="00C250D7"/>
    <w:rsid w:val="00C327CB"/>
    <w:rsid w:val="00C53A68"/>
    <w:rsid w:val="00C66578"/>
    <w:rsid w:val="00CA5BB4"/>
    <w:rsid w:val="00CB4BD1"/>
    <w:rsid w:val="00CD139C"/>
    <w:rsid w:val="00CE2DA9"/>
    <w:rsid w:val="00CE44BE"/>
    <w:rsid w:val="00D008F3"/>
    <w:rsid w:val="00D0142D"/>
    <w:rsid w:val="00D04DFF"/>
    <w:rsid w:val="00D15ED6"/>
    <w:rsid w:val="00D20347"/>
    <w:rsid w:val="00D4356B"/>
    <w:rsid w:val="00D6042B"/>
    <w:rsid w:val="00D7162F"/>
    <w:rsid w:val="00D71999"/>
    <w:rsid w:val="00DA599C"/>
    <w:rsid w:val="00DB4DB5"/>
    <w:rsid w:val="00DE4D10"/>
    <w:rsid w:val="00E44A86"/>
    <w:rsid w:val="00E522EB"/>
    <w:rsid w:val="00E60827"/>
    <w:rsid w:val="00E70FF5"/>
    <w:rsid w:val="00EF6E0C"/>
    <w:rsid w:val="00F14477"/>
    <w:rsid w:val="00F370E5"/>
    <w:rsid w:val="00F55028"/>
    <w:rsid w:val="00F677F0"/>
    <w:rsid w:val="00F77BEF"/>
    <w:rsid w:val="00FC755C"/>
    <w:rsid w:val="00FE0D46"/>
    <w:rsid w:val="00FF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rsid w:val="00E70FF5"/>
    <w:rPr>
      <w:color w:val="808080"/>
    </w:rPr>
  </w:style>
  <w:style w:type="paragraph" w:customStyle="1" w:styleId="F1BDFA5692BE4CAE9956BBF71DCA770A">
    <w:name w:val="F1BDFA5692BE4CAE9956BBF71DCA770A"/>
    <w:rsid w:val="00E70F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FA3D9CC8F84CA585279369A0DFAE2C">
    <w:name w:val="14FA3D9CC8F84CA585279369A0DFAE2C"/>
    <w:rsid w:val="00E70F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E5305B2C2C4817B46F4EB6F2AF78F2">
    <w:name w:val="9DE5305B2C2C4817B46F4EB6F2AF78F2"/>
    <w:rsid w:val="00E70FF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F41B7-3CBC-4D90-8FB2-0DF8549AA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11531</Words>
  <Characters>6573</Characters>
  <Application>Microsoft Office Word</Application>
  <DocSecurity>0</DocSecurity>
  <Lines>54</Lines>
  <Paragraphs>36</Paragraphs>
  <ScaleCrop>false</ScaleCrop>
  <Company/>
  <LinksUpToDate>false</LinksUpToDate>
  <CharactersWithSpaces>18068</CharactersWithSpaces>
  <SharedDoc>false</SharedDoc>
  <HLinks>
    <vt:vector size="6" baseType="variant">
      <vt:variant>
        <vt:i4>5308539</vt:i4>
      </vt:variant>
      <vt:variant>
        <vt:i4>6</vt:i4>
      </vt:variant>
      <vt:variant>
        <vt:i4>0</vt:i4>
      </vt:variant>
      <vt:variant>
        <vt:i4>5</vt:i4>
      </vt:variant>
      <vt:variant>
        <vt:lpwstr>mailto:vvkt@vvkt.lt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2026-01-30T08:14:00Z</dcterms:created>
  <dcterms:modified xsi:type="dcterms:W3CDTF">2026-02-06T08:42:00Z</dcterms:modified>
</cp:coreProperties>
</file>