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E5EB3" w14:textId="1955ADE3" w:rsidR="005F7602" w:rsidRPr="00334F18" w:rsidRDefault="005F7602" w:rsidP="002946C7">
      <w:pPr>
        <w:ind w:left="5529"/>
      </w:pPr>
    </w:p>
    <w:p w14:paraId="12FA4B9E" w14:textId="39AA3336" w:rsidR="001B3C5B" w:rsidRPr="00334F18" w:rsidRDefault="00DC261A" w:rsidP="001B3C5B">
      <w:pPr>
        <w:ind w:left="6096"/>
      </w:pPr>
      <w:bookmarkStart w:id="0" w:name="_Hlk189565243"/>
      <w:r w:rsidRPr="00334F18">
        <w:t>PATVIRTINTA</w:t>
      </w:r>
    </w:p>
    <w:p w14:paraId="7206970B" w14:textId="70E9BD2E" w:rsidR="004C263A" w:rsidRPr="00334F18" w:rsidRDefault="001B3C5B" w:rsidP="001B3C5B">
      <w:pPr>
        <w:ind w:left="6096"/>
      </w:pPr>
      <w:r w:rsidRPr="00334F18">
        <w:t>Valstybinės vaistų kontrolės tarnybos prie Lietuvos Respublikos sveikatos apsaugos ministerijos viršininko 2021 m</w:t>
      </w:r>
      <w:r w:rsidR="004C263A" w:rsidRPr="00334F18">
        <w:t xml:space="preserve">. lapkričio 12 </w:t>
      </w:r>
      <w:r w:rsidRPr="00334F18">
        <w:t>d. įsakymu Nr.</w:t>
      </w:r>
      <w:r w:rsidR="004C263A" w:rsidRPr="00334F18">
        <w:t xml:space="preserve"> (1.72E)1A-1418</w:t>
      </w:r>
    </w:p>
    <w:p w14:paraId="5B219AA6" w14:textId="3A5D6CB4" w:rsidR="001B3C5B" w:rsidRPr="00334F18" w:rsidRDefault="004C263A" w:rsidP="001B3C5B">
      <w:pPr>
        <w:ind w:left="6096"/>
      </w:pPr>
      <w:r w:rsidRPr="00334F18">
        <w:t>(Valstybinės vaistų kontrolės tarnybos prie Lietuvos Respublikos sveikatos apsaugos ministerijos viršininko 202</w:t>
      </w:r>
      <w:r w:rsidR="00A2310D" w:rsidRPr="00334F18">
        <w:t>5</w:t>
      </w:r>
      <w:r w:rsidRPr="00334F18">
        <w:t xml:space="preserve"> m.                         d. įsakymo Nr.                    redakcija)</w:t>
      </w:r>
    </w:p>
    <w:p w14:paraId="3336BD74" w14:textId="77777777" w:rsidR="001B3C5B" w:rsidRPr="00334F18" w:rsidRDefault="001B3C5B" w:rsidP="00FA4169"/>
    <w:bookmarkEnd w:id="0"/>
    <w:p w14:paraId="56604434" w14:textId="77777777" w:rsidR="00DC261A" w:rsidRPr="00334F18" w:rsidRDefault="00DC261A" w:rsidP="003B211A">
      <w:pPr>
        <w:jc w:val="center"/>
        <w:rPr>
          <w:b/>
        </w:rPr>
      </w:pPr>
    </w:p>
    <w:p w14:paraId="77AFB67E" w14:textId="0FB133A2" w:rsidR="00613501" w:rsidRPr="00334F18" w:rsidRDefault="002F0E4F" w:rsidP="003B211A">
      <w:pPr>
        <w:jc w:val="center"/>
        <w:rPr>
          <w:b/>
          <w:bCs/>
          <w:caps/>
        </w:rPr>
      </w:pPr>
      <w:r w:rsidRPr="00334F18">
        <w:rPr>
          <w:b/>
        </w:rPr>
        <w:t xml:space="preserve">REKOMENDACIJA DĖL VAISTINIO PREPARATO </w:t>
      </w:r>
      <w:r w:rsidRPr="00334F18">
        <w:rPr>
          <w:b/>
          <w:bCs/>
          <w:caps/>
        </w:rPr>
        <w:t>Lietuvos Respublikos Sveikatos apsaugos ministerijos vaistinių preparatų ir medicinos pagalbos priemonių kompensavimo komisijai</w:t>
      </w:r>
    </w:p>
    <w:p w14:paraId="34E4395D" w14:textId="15FB10DF" w:rsidR="00B13D65" w:rsidRPr="00334F18" w:rsidRDefault="00B13D65" w:rsidP="003B211A">
      <w:pPr>
        <w:jc w:val="center"/>
        <w:rPr>
          <w:b/>
        </w:rPr>
      </w:pPr>
    </w:p>
    <w:p w14:paraId="1502ED49" w14:textId="77777777" w:rsidR="00EB2A08" w:rsidRPr="00953B2B" w:rsidRDefault="00EB2A08" w:rsidP="00EB2A08">
      <w:pPr>
        <w:jc w:val="center"/>
        <w:rPr>
          <w:b/>
          <w:bCs/>
        </w:rPr>
      </w:pPr>
      <w:r w:rsidRPr="00953B2B">
        <w:rPr>
          <w:b/>
          <w:bCs/>
        </w:rPr>
        <w:t>GIAPREZA 2,5 mg/ml koncentratas infuziniam tirpalui</w:t>
      </w:r>
    </w:p>
    <w:p w14:paraId="2C55C131" w14:textId="77777777" w:rsidR="00EB2A08" w:rsidRPr="00953B2B" w:rsidRDefault="00EB2A08" w:rsidP="00EB2A08">
      <w:pPr>
        <w:jc w:val="center"/>
        <w:rPr>
          <w:b/>
          <w:bCs/>
        </w:rPr>
      </w:pPr>
    </w:p>
    <w:p w14:paraId="70E14D10" w14:textId="77777777" w:rsidR="00EB2A08" w:rsidRPr="00953B2B" w:rsidRDefault="00EB2A08" w:rsidP="00EB2A08">
      <w:pPr>
        <w:jc w:val="center"/>
        <w:rPr>
          <w:b/>
          <w:bCs/>
        </w:rPr>
      </w:pPr>
      <w:proofErr w:type="spellStart"/>
      <w:r w:rsidRPr="00953B2B">
        <w:rPr>
          <w:b/>
          <w:bCs/>
        </w:rPr>
        <w:t>Angiotenzinas</w:t>
      </w:r>
      <w:proofErr w:type="spellEnd"/>
      <w:r w:rsidRPr="00953B2B">
        <w:rPr>
          <w:b/>
          <w:bCs/>
        </w:rPr>
        <w:t xml:space="preserve"> II</w:t>
      </w:r>
    </w:p>
    <w:p w14:paraId="0E565DF8" w14:textId="77777777" w:rsidR="00EB2A08" w:rsidRPr="00953B2B" w:rsidRDefault="00EB2A08" w:rsidP="00EB2A08">
      <w:pPr>
        <w:jc w:val="center"/>
      </w:pPr>
    </w:p>
    <w:p w14:paraId="225FB003" w14:textId="77777777" w:rsidR="00EB2A08" w:rsidRPr="005A39B4" w:rsidRDefault="00EB2A08" w:rsidP="00EB2A08">
      <w:pPr>
        <w:jc w:val="center"/>
        <w:rPr>
          <w:b/>
          <w:bCs/>
        </w:rPr>
      </w:pPr>
      <w:r w:rsidRPr="005A39B4">
        <w:rPr>
          <w:b/>
          <w:bCs/>
        </w:rPr>
        <w:t>STV-24</w:t>
      </w:r>
      <w:r>
        <w:rPr>
          <w:b/>
          <w:bCs/>
        </w:rPr>
        <w:t>2</w:t>
      </w:r>
    </w:p>
    <w:p w14:paraId="4BF0306A" w14:textId="77777777" w:rsidR="00EB2A08" w:rsidRPr="00603B3A" w:rsidRDefault="00EB2A08" w:rsidP="00EB2A08">
      <w:pPr>
        <w:spacing w:line="280" w:lineRule="atLeast"/>
        <w:jc w:val="center"/>
        <w:rPr>
          <w:rFonts w:eastAsia="Arial"/>
        </w:rPr>
      </w:pPr>
    </w:p>
    <w:p w14:paraId="587E3DBB" w14:textId="77777777" w:rsidR="00EB2A08" w:rsidRPr="00603B3A" w:rsidRDefault="00EB2A08" w:rsidP="00EB2A08">
      <w:pPr>
        <w:pStyle w:val="Sraopastraipa"/>
        <w:numPr>
          <w:ilvl w:val="0"/>
          <w:numId w:val="15"/>
        </w:numPr>
        <w:tabs>
          <w:tab w:val="left" w:pos="284"/>
        </w:tabs>
        <w:spacing w:line="280" w:lineRule="atLeast"/>
        <w:jc w:val="center"/>
        <w:rPr>
          <w:rFonts w:eastAsia="Arial"/>
          <w:b/>
        </w:rPr>
      </w:pPr>
      <w:r w:rsidRPr="00603B3A">
        <w:rPr>
          <w:rFonts w:eastAsia="Arial"/>
          <w:b/>
        </w:rPr>
        <w:t>BENDROJI DALIS</w:t>
      </w:r>
    </w:p>
    <w:p w14:paraId="7E1305FF" w14:textId="77777777" w:rsidR="00EB2A08" w:rsidRPr="00603B3A" w:rsidRDefault="00EB2A08" w:rsidP="00EB2A08">
      <w:pPr>
        <w:pStyle w:val="Sraopastraipa"/>
        <w:tabs>
          <w:tab w:val="left" w:pos="284"/>
        </w:tabs>
        <w:spacing w:line="280" w:lineRule="atLeast"/>
        <w:ind w:left="1080"/>
        <w:jc w:val="both"/>
        <w:rPr>
          <w:rFonts w:eastAsia="Arial"/>
          <w:b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632"/>
        <w:gridCol w:w="3899"/>
        <w:gridCol w:w="4962"/>
      </w:tblGrid>
      <w:tr w:rsidR="00EB2A08" w:rsidRPr="00603B3A" w14:paraId="3B2D6B96" w14:textId="77777777" w:rsidTr="002F4705">
        <w:trPr>
          <w:trHeight w:val="538"/>
        </w:trPr>
        <w:tc>
          <w:tcPr>
            <w:tcW w:w="632" w:type="dxa"/>
          </w:tcPr>
          <w:p w14:paraId="3ADA0A63" w14:textId="77777777" w:rsidR="00EB2A08" w:rsidRPr="00603B3A" w:rsidRDefault="00EB2A08" w:rsidP="002F4705">
            <w:pPr>
              <w:jc w:val="both"/>
              <w:rPr>
                <w:rFonts w:eastAsia="Arial"/>
                <w:b/>
                <w:bCs/>
              </w:rPr>
            </w:pPr>
            <w:bookmarkStart w:id="1" w:name="_Hlk187088187"/>
            <w:r w:rsidRPr="00603B3A">
              <w:rPr>
                <w:rFonts w:eastAsia="Arial"/>
                <w:b/>
                <w:bCs/>
              </w:rPr>
              <w:t>1.1</w:t>
            </w:r>
          </w:p>
        </w:tc>
        <w:tc>
          <w:tcPr>
            <w:tcW w:w="3899" w:type="dxa"/>
          </w:tcPr>
          <w:p w14:paraId="59CD5074" w14:textId="77777777" w:rsidR="00EB2A08" w:rsidRPr="00603B3A" w:rsidRDefault="00EB2A08" w:rsidP="002F4705">
            <w:pPr>
              <w:jc w:val="both"/>
              <w:rPr>
                <w:rFonts w:eastAsia="Arial"/>
                <w:b/>
                <w:bCs/>
              </w:rPr>
            </w:pPr>
            <w:r w:rsidRPr="00603B3A">
              <w:rPr>
                <w:rFonts w:eastAsia="Arial"/>
                <w:b/>
                <w:bCs/>
              </w:rPr>
              <w:t>Pareiškėjas/ pareiškėjo atstovas</w:t>
            </w:r>
          </w:p>
        </w:tc>
        <w:tc>
          <w:tcPr>
            <w:tcW w:w="4962" w:type="dxa"/>
          </w:tcPr>
          <w:p w14:paraId="34945FD6" w14:textId="77777777" w:rsidR="00EB2A08" w:rsidRPr="00603B3A" w:rsidRDefault="00EB2A08" w:rsidP="002F4705">
            <w:pPr>
              <w:jc w:val="both"/>
              <w:rPr>
                <w:rFonts w:eastAsia="Arial"/>
              </w:rPr>
            </w:pPr>
            <w:r w:rsidRPr="00B503A5">
              <w:t>Medis Pharma Lithuania UAB</w:t>
            </w:r>
          </w:p>
        </w:tc>
      </w:tr>
      <w:tr w:rsidR="00EB2A08" w:rsidRPr="00603B3A" w14:paraId="31EC4CB1" w14:textId="77777777" w:rsidTr="002F4705">
        <w:trPr>
          <w:trHeight w:val="538"/>
        </w:trPr>
        <w:tc>
          <w:tcPr>
            <w:tcW w:w="632" w:type="dxa"/>
          </w:tcPr>
          <w:p w14:paraId="588520F9" w14:textId="77777777" w:rsidR="00EB2A08" w:rsidRPr="00603B3A" w:rsidRDefault="00EB2A08" w:rsidP="002F4705">
            <w:pPr>
              <w:jc w:val="both"/>
              <w:rPr>
                <w:rFonts w:eastAsia="Arial"/>
                <w:b/>
                <w:bCs/>
              </w:rPr>
            </w:pPr>
            <w:r w:rsidRPr="00603B3A">
              <w:rPr>
                <w:rFonts w:eastAsia="Arial"/>
                <w:b/>
                <w:bCs/>
              </w:rPr>
              <w:t>1.2</w:t>
            </w:r>
          </w:p>
        </w:tc>
        <w:tc>
          <w:tcPr>
            <w:tcW w:w="3899" w:type="dxa"/>
          </w:tcPr>
          <w:p w14:paraId="064ED53D" w14:textId="77777777" w:rsidR="00EB2A08" w:rsidRPr="00603B3A" w:rsidRDefault="00EB2A08" w:rsidP="002F4705">
            <w:pPr>
              <w:jc w:val="both"/>
              <w:rPr>
                <w:b/>
                <w:bCs/>
                <w:lang w:eastAsia="lt-LT"/>
              </w:rPr>
            </w:pPr>
            <w:r w:rsidRPr="00603B3A">
              <w:rPr>
                <w:b/>
                <w:bCs/>
                <w:lang w:eastAsia="lt-LT"/>
              </w:rPr>
              <w:t xml:space="preserve">Vaistinio preparato registracijos data </w:t>
            </w:r>
          </w:p>
          <w:p w14:paraId="19574467" w14:textId="77777777" w:rsidR="00EB2A08" w:rsidRPr="00603B3A" w:rsidRDefault="00EB2A08" w:rsidP="002F4705">
            <w:pPr>
              <w:jc w:val="both"/>
              <w:rPr>
                <w:b/>
                <w:bCs/>
                <w:lang w:eastAsia="lt-LT"/>
              </w:rPr>
            </w:pPr>
          </w:p>
        </w:tc>
        <w:tc>
          <w:tcPr>
            <w:tcW w:w="4962" w:type="dxa"/>
          </w:tcPr>
          <w:p w14:paraId="43E7E295" w14:textId="77777777" w:rsidR="00EB2A08" w:rsidRPr="00603B3A" w:rsidRDefault="00EB2A08" w:rsidP="002F4705">
            <w:pPr>
              <w:jc w:val="both"/>
              <w:rPr>
                <w:rStyle w:val="Style2"/>
                <w:sz w:val="24"/>
              </w:rPr>
            </w:pPr>
            <w:r w:rsidRPr="005A39B4">
              <w:t>201</w:t>
            </w:r>
            <w:r>
              <w:t>9</w:t>
            </w:r>
            <w:r w:rsidRPr="005A39B4">
              <w:t xml:space="preserve"> m. </w:t>
            </w:r>
            <w:r>
              <w:t>rugpjūčio</w:t>
            </w:r>
            <w:r w:rsidRPr="005A39B4">
              <w:t xml:space="preserve"> 2</w:t>
            </w:r>
            <w:r>
              <w:t>3</w:t>
            </w:r>
            <w:r w:rsidRPr="005A39B4">
              <w:t xml:space="preserve"> d.</w:t>
            </w:r>
          </w:p>
        </w:tc>
      </w:tr>
      <w:tr w:rsidR="00EB2A08" w:rsidRPr="00603B3A" w14:paraId="306FE52F" w14:textId="77777777" w:rsidTr="002F4705">
        <w:trPr>
          <w:trHeight w:val="1396"/>
        </w:trPr>
        <w:tc>
          <w:tcPr>
            <w:tcW w:w="632" w:type="dxa"/>
          </w:tcPr>
          <w:p w14:paraId="5146DE9E" w14:textId="77777777" w:rsidR="00EB2A08" w:rsidRPr="00603B3A" w:rsidRDefault="00EB2A08" w:rsidP="002F4705">
            <w:pPr>
              <w:jc w:val="both"/>
              <w:rPr>
                <w:rFonts w:eastAsia="Arial"/>
                <w:b/>
                <w:bCs/>
              </w:rPr>
            </w:pPr>
            <w:r w:rsidRPr="00603B3A">
              <w:rPr>
                <w:rFonts w:eastAsia="Arial"/>
                <w:b/>
                <w:bCs/>
              </w:rPr>
              <w:t>1.3</w:t>
            </w:r>
          </w:p>
        </w:tc>
        <w:tc>
          <w:tcPr>
            <w:tcW w:w="3899" w:type="dxa"/>
          </w:tcPr>
          <w:p w14:paraId="26D735B5" w14:textId="77777777" w:rsidR="00EB2A08" w:rsidRPr="00603B3A" w:rsidRDefault="00EB2A08" w:rsidP="002F4705">
            <w:pPr>
              <w:pStyle w:val="Betarp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603B3A">
              <w:rPr>
                <w:rFonts w:ascii="Times New Roman" w:hAnsi="Times New Roman"/>
                <w:b/>
                <w:sz w:val="24"/>
                <w:szCs w:val="24"/>
              </w:rPr>
              <w:t xml:space="preserve">Vaistinio preparato </w:t>
            </w:r>
            <w:r w:rsidRPr="00603B3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registracijos teisinis pagrindas</w:t>
            </w:r>
          </w:p>
          <w:p w14:paraId="29342038" w14:textId="77777777" w:rsidR="00EB2A08" w:rsidRPr="00603B3A" w:rsidRDefault="00EB2A08" w:rsidP="002F4705">
            <w:pPr>
              <w:pStyle w:val="Betarp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603B3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(</w:t>
            </w:r>
            <w:r w:rsidRPr="00603B3A">
              <w:rPr>
                <w:rFonts w:ascii="Times New Roman" w:hAnsi="Times New Roman"/>
                <w:b/>
                <w:sz w:val="24"/>
                <w:szCs w:val="24"/>
              </w:rPr>
              <w:t>Direktyvos 2001/83/EB str.)</w:t>
            </w:r>
          </w:p>
        </w:tc>
        <w:tc>
          <w:tcPr>
            <w:tcW w:w="4962" w:type="dxa"/>
          </w:tcPr>
          <w:p w14:paraId="4FC4D86A" w14:textId="77777777" w:rsidR="00EB2A08" w:rsidRPr="00603B3A" w:rsidRDefault="003B2B16" w:rsidP="002F4705">
            <w:pPr>
              <w:jc w:val="both"/>
            </w:pPr>
            <w:sdt>
              <w:sdtPr>
                <w:rPr>
                  <w:rStyle w:val="Style2"/>
                  <w:sz w:val="24"/>
                </w:rPr>
                <w:id w:val="526292078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EB2A08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☒</w:t>
                </w:r>
              </w:sdtContent>
            </w:sdt>
            <w:r w:rsidR="00EB2A08" w:rsidRPr="00603B3A">
              <w:t>8.3 str. (pilna byla, pagrįsta savais tyrimais)</w:t>
            </w:r>
          </w:p>
          <w:p w14:paraId="4DAF2CB4" w14:textId="77777777" w:rsidR="00EB2A08" w:rsidRPr="00603B3A" w:rsidRDefault="003B2B16" w:rsidP="002F4705">
            <w:pPr>
              <w:jc w:val="both"/>
            </w:pPr>
            <w:sdt>
              <w:sdtPr>
                <w:rPr>
                  <w:rStyle w:val="Style2"/>
                  <w:sz w:val="24"/>
                </w:rPr>
                <w:id w:val="-149795373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EB2A08" w:rsidRPr="00603B3A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EB2A08" w:rsidRPr="00603B3A">
              <w:t>10 a str. (pripažintas medicininis vartojimas)</w:t>
            </w:r>
          </w:p>
          <w:p w14:paraId="5452D932" w14:textId="77777777" w:rsidR="00EB2A08" w:rsidRPr="00603B3A" w:rsidRDefault="003B2B16" w:rsidP="002F4705">
            <w:pPr>
              <w:jc w:val="both"/>
            </w:pPr>
            <w:sdt>
              <w:sdtPr>
                <w:rPr>
                  <w:rStyle w:val="Style2"/>
                  <w:sz w:val="24"/>
                </w:rPr>
                <w:id w:val="20414249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EB2A08" w:rsidRPr="00603B3A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EB2A08" w:rsidRPr="00603B3A">
              <w:t>10.1 str. (</w:t>
            </w:r>
            <w:proofErr w:type="spellStart"/>
            <w:r w:rsidR="00EB2A08" w:rsidRPr="00603B3A">
              <w:t>generinis</w:t>
            </w:r>
            <w:proofErr w:type="spellEnd"/>
            <w:r w:rsidR="00EB2A08" w:rsidRPr="00603B3A">
              <w:t>)</w:t>
            </w:r>
          </w:p>
          <w:p w14:paraId="09632AE9" w14:textId="77777777" w:rsidR="00EB2A08" w:rsidRPr="00603B3A" w:rsidRDefault="003B2B16" w:rsidP="002F4705">
            <w:pPr>
              <w:jc w:val="both"/>
            </w:pPr>
            <w:sdt>
              <w:sdtPr>
                <w:rPr>
                  <w:rStyle w:val="Style2"/>
                  <w:sz w:val="24"/>
                </w:rPr>
                <w:id w:val="820305101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EB2A08" w:rsidRPr="00603B3A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EB2A08" w:rsidRPr="00603B3A">
              <w:t>10.3 str. (hibridinis)</w:t>
            </w:r>
          </w:p>
          <w:p w14:paraId="3C71D4A8" w14:textId="77777777" w:rsidR="00EB2A08" w:rsidRPr="00603B3A" w:rsidRDefault="003B2B16" w:rsidP="002F4705">
            <w:sdt>
              <w:sdtPr>
                <w:rPr>
                  <w:rStyle w:val="Style2"/>
                  <w:sz w:val="24"/>
                </w:rPr>
                <w:id w:val="-450176040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EB2A08" w:rsidRPr="00603B3A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EB2A08" w:rsidRPr="00603B3A">
              <w:t>10.4 str. (panašus biologinis)</w:t>
            </w:r>
          </w:p>
          <w:p w14:paraId="75F80AB8" w14:textId="77777777" w:rsidR="00EB2A08" w:rsidRPr="00603B3A" w:rsidRDefault="00EB2A08" w:rsidP="002F4705">
            <w:pPr>
              <w:jc w:val="both"/>
            </w:pPr>
          </w:p>
          <w:p w14:paraId="47C01EF1" w14:textId="77777777" w:rsidR="00EB2A08" w:rsidRPr="00603B3A" w:rsidRDefault="00EB2A08" w:rsidP="002F4705">
            <w:pPr>
              <w:jc w:val="both"/>
              <w:rPr>
                <w:rStyle w:val="Style2"/>
                <w:sz w:val="24"/>
              </w:rPr>
            </w:pPr>
          </w:p>
        </w:tc>
      </w:tr>
      <w:tr w:rsidR="00EB2A08" w:rsidRPr="00603B3A" w14:paraId="230488DB" w14:textId="77777777" w:rsidTr="002F4705">
        <w:trPr>
          <w:trHeight w:val="1011"/>
        </w:trPr>
        <w:tc>
          <w:tcPr>
            <w:tcW w:w="632" w:type="dxa"/>
          </w:tcPr>
          <w:p w14:paraId="4FB8098D" w14:textId="77777777" w:rsidR="00EB2A08" w:rsidRPr="00603B3A" w:rsidRDefault="00EB2A08" w:rsidP="002F4705">
            <w:pPr>
              <w:jc w:val="both"/>
              <w:rPr>
                <w:rFonts w:eastAsia="Arial"/>
                <w:b/>
                <w:bCs/>
              </w:rPr>
            </w:pPr>
            <w:r w:rsidRPr="00603B3A">
              <w:rPr>
                <w:rFonts w:eastAsia="Arial"/>
                <w:b/>
              </w:rPr>
              <w:t>1.4</w:t>
            </w:r>
          </w:p>
        </w:tc>
        <w:tc>
          <w:tcPr>
            <w:tcW w:w="3899" w:type="dxa"/>
          </w:tcPr>
          <w:p w14:paraId="62533904" w14:textId="77777777" w:rsidR="00EB2A08" w:rsidRPr="00603B3A" w:rsidRDefault="00EB2A08" w:rsidP="002F4705">
            <w:pPr>
              <w:tabs>
                <w:tab w:val="left" w:pos="284"/>
              </w:tabs>
              <w:spacing w:line="280" w:lineRule="atLeast"/>
              <w:jc w:val="both"/>
              <w:rPr>
                <w:b/>
                <w:bCs/>
                <w:lang w:eastAsia="lt-LT"/>
              </w:rPr>
            </w:pPr>
            <w:r w:rsidRPr="00603B3A">
              <w:rPr>
                <w:b/>
                <w:bCs/>
                <w:lang w:eastAsia="lt-LT"/>
              </w:rPr>
              <w:t>Ar vaistinis preparatas įrašytas į Bendrijos retųjų vaistinių preparatų registrą?</w:t>
            </w:r>
          </w:p>
        </w:tc>
        <w:tc>
          <w:tcPr>
            <w:tcW w:w="4962" w:type="dxa"/>
          </w:tcPr>
          <w:p w14:paraId="2DBF43A4" w14:textId="77777777" w:rsidR="00EB2A08" w:rsidRPr="00603B3A" w:rsidRDefault="003B2B16" w:rsidP="002F4705">
            <w:pPr>
              <w:jc w:val="both"/>
              <w:rPr>
                <w:rFonts w:eastAsia="Arial"/>
              </w:rPr>
            </w:pPr>
            <w:sdt>
              <w:sdtPr>
                <w:rPr>
                  <w:rStyle w:val="Style2"/>
                  <w:sz w:val="24"/>
                </w:rPr>
                <w:id w:val="1190730465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EB2A08" w:rsidRPr="00603B3A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EB2A08" w:rsidRPr="00603B3A">
              <w:t xml:space="preserve"> Taip       </w:t>
            </w:r>
            <w:r w:rsidR="00EB2A08" w:rsidRPr="00603B3A">
              <w:rPr>
                <w:rStyle w:val="Style2"/>
                <w:sz w:val="24"/>
              </w:rPr>
              <w:t xml:space="preserve"> </w:t>
            </w:r>
            <w:sdt>
              <w:sdtPr>
                <w:rPr>
                  <w:rStyle w:val="Style2"/>
                  <w:sz w:val="24"/>
                </w:rPr>
                <w:id w:val="-1760283509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EB2A08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☒</w:t>
                </w:r>
              </w:sdtContent>
            </w:sdt>
            <w:r w:rsidR="00EB2A08" w:rsidRPr="00603B3A">
              <w:t xml:space="preserve"> Ne</w:t>
            </w:r>
          </w:p>
          <w:p w14:paraId="1D92C7B7" w14:textId="77777777" w:rsidR="00EB2A08" w:rsidRPr="00603B3A" w:rsidRDefault="00EB2A08" w:rsidP="002F4705">
            <w:pPr>
              <w:jc w:val="both"/>
              <w:rPr>
                <w:rFonts w:eastAsia="Arial"/>
              </w:rPr>
            </w:pPr>
          </w:p>
        </w:tc>
      </w:tr>
      <w:tr w:rsidR="00EB2A08" w:rsidRPr="00603B3A" w14:paraId="47F9E19B" w14:textId="77777777" w:rsidTr="002F4705">
        <w:trPr>
          <w:trHeight w:val="1011"/>
        </w:trPr>
        <w:tc>
          <w:tcPr>
            <w:tcW w:w="632" w:type="dxa"/>
          </w:tcPr>
          <w:p w14:paraId="0002F714" w14:textId="77777777" w:rsidR="00EB2A08" w:rsidRPr="00603B3A" w:rsidRDefault="00EB2A08" w:rsidP="002F4705">
            <w:pPr>
              <w:jc w:val="both"/>
              <w:rPr>
                <w:rFonts w:eastAsia="Arial"/>
                <w:b/>
              </w:rPr>
            </w:pPr>
            <w:r w:rsidRPr="00603B3A">
              <w:rPr>
                <w:rFonts w:eastAsia="Arial"/>
                <w:b/>
                <w:bCs/>
              </w:rPr>
              <w:t>1.5</w:t>
            </w:r>
          </w:p>
        </w:tc>
        <w:tc>
          <w:tcPr>
            <w:tcW w:w="3899" w:type="dxa"/>
          </w:tcPr>
          <w:p w14:paraId="0CCD729D" w14:textId="77777777" w:rsidR="00EB2A08" w:rsidRPr="00603B3A" w:rsidRDefault="00EB2A08" w:rsidP="002F4705">
            <w:pPr>
              <w:tabs>
                <w:tab w:val="left" w:pos="284"/>
              </w:tabs>
              <w:spacing w:line="280" w:lineRule="atLeast"/>
              <w:jc w:val="both"/>
              <w:rPr>
                <w:b/>
                <w:bCs/>
                <w:lang w:eastAsia="lt-LT"/>
              </w:rPr>
            </w:pPr>
            <w:r w:rsidRPr="00603B3A">
              <w:rPr>
                <w:b/>
                <w:bCs/>
                <w:lang w:eastAsia="lt-LT"/>
              </w:rPr>
              <w:t>Ar atliktas bendras klinikinis vertinimas</w:t>
            </w:r>
          </w:p>
          <w:p w14:paraId="40B2BB4A" w14:textId="77777777" w:rsidR="00EB2A08" w:rsidRPr="00603B3A" w:rsidRDefault="00EB2A08" w:rsidP="002F4705">
            <w:pPr>
              <w:tabs>
                <w:tab w:val="left" w:pos="284"/>
              </w:tabs>
              <w:spacing w:line="280" w:lineRule="atLeast"/>
              <w:jc w:val="both"/>
              <w:rPr>
                <w:b/>
                <w:bCs/>
                <w:lang w:eastAsia="lt-LT"/>
              </w:rPr>
            </w:pPr>
            <w:r w:rsidRPr="00603B3A">
              <w:rPr>
                <w:b/>
                <w:bCs/>
                <w:lang w:eastAsia="lt-LT"/>
              </w:rPr>
              <w:t>(Europos Parlamento ir Tarybos reglamentas (ES) 2021/2282)</w:t>
            </w:r>
          </w:p>
        </w:tc>
        <w:tc>
          <w:tcPr>
            <w:tcW w:w="4962" w:type="dxa"/>
          </w:tcPr>
          <w:p w14:paraId="23C7EDC8" w14:textId="77777777" w:rsidR="00EB2A08" w:rsidRPr="00603B3A" w:rsidRDefault="003B2B16" w:rsidP="002F4705">
            <w:pPr>
              <w:jc w:val="both"/>
              <w:rPr>
                <w:rStyle w:val="Style2"/>
                <w:sz w:val="24"/>
              </w:rPr>
            </w:pPr>
            <w:sdt>
              <w:sdtPr>
                <w:rPr>
                  <w:rStyle w:val="Style2"/>
                  <w:sz w:val="24"/>
                </w:rPr>
                <w:id w:val="-1171564470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EB2A08" w:rsidRPr="00603B3A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EB2A08" w:rsidRPr="00603B3A">
              <w:t xml:space="preserve"> Taip       </w:t>
            </w:r>
            <w:r w:rsidR="00EB2A08" w:rsidRPr="00603B3A">
              <w:rPr>
                <w:rStyle w:val="Style2"/>
                <w:sz w:val="24"/>
              </w:rPr>
              <w:t xml:space="preserve"> </w:t>
            </w:r>
            <w:sdt>
              <w:sdtPr>
                <w:rPr>
                  <w:rStyle w:val="Style2"/>
                  <w:sz w:val="24"/>
                </w:rPr>
                <w:id w:val="1448122567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EB2A08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☒</w:t>
                </w:r>
              </w:sdtContent>
            </w:sdt>
            <w:r w:rsidR="00EB2A08" w:rsidRPr="00603B3A">
              <w:t xml:space="preserve"> Ne </w:t>
            </w:r>
          </w:p>
        </w:tc>
      </w:tr>
      <w:tr w:rsidR="00EB2A08" w:rsidRPr="00603B3A" w14:paraId="412BA0FC" w14:textId="77777777" w:rsidTr="002F4705">
        <w:trPr>
          <w:trHeight w:val="1278"/>
        </w:trPr>
        <w:tc>
          <w:tcPr>
            <w:tcW w:w="632" w:type="dxa"/>
          </w:tcPr>
          <w:p w14:paraId="5850C9E1" w14:textId="77777777" w:rsidR="00EB2A08" w:rsidRPr="00603B3A" w:rsidRDefault="00EB2A08" w:rsidP="002F4705">
            <w:pPr>
              <w:jc w:val="both"/>
              <w:rPr>
                <w:rFonts w:eastAsia="Arial"/>
                <w:b/>
                <w:bCs/>
              </w:rPr>
            </w:pPr>
            <w:r w:rsidRPr="00603B3A">
              <w:rPr>
                <w:rFonts w:eastAsia="Arial"/>
                <w:b/>
                <w:bCs/>
              </w:rPr>
              <w:t>1.6</w:t>
            </w:r>
          </w:p>
        </w:tc>
        <w:tc>
          <w:tcPr>
            <w:tcW w:w="3899" w:type="dxa"/>
          </w:tcPr>
          <w:p w14:paraId="2E5D9D06" w14:textId="77777777" w:rsidR="00EB2A08" w:rsidRPr="00603B3A" w:rsidRDefault="00EB2A08" w:rsidP="002F4705">
            <w:pPr>
              <w:jc w:val="both"/>
              <w:rPr>
                <w:b/>
                <w:bCs/>
                <w:lang w:eastAsia="lt-LT"/>
              </w:rPr>
            </w:pPr>
            <w:r w:rsidRPr="00603B3A">
              <w:rPr>
                <w:b/>
                <w:bCs/>
                <w:lang w:eastAsia="lt-LT"/>
              </w:rPr>
              <w:t xml:space="preserve">Teikiama kompensuoti terapinė indikacija </w:t>
            </w:r>
          </w:p>
          <w:p w14:paraId="585DB250" w14:textId="77777777" w:rsidR="00EB2A08" w:rsidRPr="00603B3A" w:rsidRDefault="00EB2A08" w:rsidP="002F4705">
            <w:pPr>
              <w:jc w:val="both"/>
              <w:rPr>
                <w:b/>
                <w:bCs/>
                <w:lang w:eastAsia="lt-LT"/>
              </w:rPr>
            </w:pPr>
          </w:p>
          <w:p w14:paraId="1D8E9DAD" w14:textId="77777777" w:rsidR="00EB2A08" w:rsidRPr="00603B3A" w:rsidRDefault="00EB2A08" w:rsidP="002F4705">
            <w:pPr>
              <w:jc w:val="both"/>
              <w:rPr>
                <w:b/>
                <w:bCs/>
                <w:lang w:eastAsia="lt-LT"/>
              </w:rPr>
            </w:pPr>
            <w:r w:rsidRPr="00603B3A">
              <w:rPr>
                <w:b/>
                <w:bCs/>
                <w:lang w:eastAsia="lt-LT"/>
              </w:rPr>
              <w:t>Kodas pagal TLK-10 AM</w:t>
            </w:r>
          </w:p>
        </w:tc>
        <w:tc>
          <w:tcPr>
            <w:tcW w:w="4962" w:type="dxa"/>
          </w:tcPr>
          <w:p w14:paraId="0343BDEF" w14:textId="77777777" w:rsidR="00EB2A08" w:rsidRDefault="00EB2A08" w:rsidP="002F4705">
            <w:pPr>
              <w:jc w:val="both"/>
            </w:pPr>
            <w:bookmarkStart w:id="2" w:name="_Hlk199687281"/>
            <w:proofErr w:type="spellStart"/>
            <w:r>
              <w:t>R</w:t>
            </w:r>
            <w:r w:rsidRPr="00B503A5">
              <w:t>efrakterin</w:t>
            </w:r>
            <w:r>
              <w:t>ė</w:t>
            </w:r>
            <w:proofErr w:type="spellEnd"/>
            <w:r w:rsidRPr="00B503A5">
              <w:t xml:space="preserve"> </w:t>
            </w:r>
            <w:proofErr w:type="spellStart"/>
            <w:r w:rsidRPr="00B503A5">
              <w:t>hipotenzij</w:t>
            </w:r>
            <w:r>
              <w:t>a</w:t>
            </w:r>
            <w:proofErr w:type="spellEnd"/>
            <w:r w:rsidRPr="00B503A5">
              <w:t xml:space="preserve"> išsivysčius </w:t>
            </w:r>
            <w:proofErr w:type="spellStart"/>
            <w:r w:rsidRPr="00B503A5">
              <w:t>sepsiniam</w:t>
            </w:r>
            <w:proofErr w:type="spellEnd"/>
            <w:r w:rsidRPr="00B503A5">
              <w:t xml:space="preserve"> arba kitos formos distribuciniam (</w:t>
            </w:r>
            <w:proofErr w:type="spellStart"/>
            <w:r w:rsidRPr="00B503A5">
              <w:t>vazogeniniam</w:t>
            </w:r>
            <w:proofErr w:type="spellEnd"/>
            <w:r w:rsidRPr="00B503A5">
              <w:t>) šokui</w:t>
            </w:r>
            <w:r>
              <w:t>.</w:t>
            </w:r>
          </w:p>
          <w:p w14:paraId="58DA2342" w14:textId="77777777" w:rsidR="00EB2A08" w:rsidRDefault="00EB2A08" w:rsidP="002F4705">
            <w:pPr>
              <w:jc w:val="both"/>
            </w:pPr>
          </w:p>
          <w:p w14:paraId="438785FA" w14:textId="77777777" w:rsidR="00EB2A08" w:rsidRPr="00603B3A" w:rsidRDefault="00EB2A08" w:rsidP="002F4705">
            <w:pPr>
              <w:jc w:val="both"/>
            </w:pPr>
            <w:r>
              <w:t>TLK kodai: A41.9, R57</w:t>
            </w:r>
            <w:bookmarkStart w:id="3" w:name="_Hlk199966789"/>
            <w:r w:rsidRPr="005A39B4">
              <w:t>.</w:t>
            </w:r>
            <w:bookmarkEnd w:id="2"/>
            <w:bookmarkEnd w:id="3"/>
          </w:p>
        </w:tc>
      </w:tr>
      <w:tr w:rsidR="00EB2A08" w:rsidRPr="00603B3A" w14:paraId="08F6B65A" w14:textId="77777777" w:rsidTr="002F4705">
        <w:trPr>
          <w:trHeight w:val="378"/>
        </w:trPr>
        <w:tc>
          <w:tcPr>
            <w:tcW w:w="632" w:type="dxa"/>
          </w:tcPr>
          <w:p w14:paraId="41CBC33B" w14:textId="77777777" w:rsidR="00EB2A08" w:rsidRPr="00603B3A" w:rsidRDefault="00EB2A08" w:rsidP="002F4705">
            <w:pPr>
              <w:jc w:val="both"/>
              <w:rPr>
                <w:rFonts w:eastAsia="Arial"/>
                <w:b/>
                <w:bCs/>
              </w:rPr>
            </w:pPr>
            <w:r w:rsidRPr="00603B3A">
              <w:rPr>
                <w:rFonts w:eastAsia="Arial"/>
                <w:b/>
                <w:bCs/>
              </w:rPr>
              <w:lastRenderedPageBreak/>
              <w:t>1.7</w:t>
            </w:r>
          </w:p>
        </w:tc>
        <w:tc>
          <w:tcPr>
            <w:tcW w:w="3899" w:type="dxa"/>
          </w:tcPr>
          <w:p w14:paraId="410D868D" w14:textId="77777777" w:rsidR="00EB2A08" w:rsidRPr="00603B3A" w:rsidRDefault="00EB2A08" w:rsidP="002F4705">
            <w:pPr>
              <w:jc w:val="both"/>
              <w:rPr>
                <w:b/>
                <w:bCs/>
                <w:u w:val="single"/>
                <w:lang w:eastAsia="lt-LT"/>
              </w:rPr>
            </w:pPr>
            <w:r w:rsidRPr="00603B3A">
              <w:rPr>
                <w:b/>
                <w:bCs/>
                <w:lang w:eastAsia="lt-LT"/>
              </w:rPr>
              <w:t xml:space="preserve">Teikiamos skyrimo sąlygos </w:t>
            </w:r>
          </w:p>
        </w:tc>
        <w:tc>
          <w:tcPr>
            <w:tcW w:w="4962" w:type="dxa"/>
          </w:tcPr>
          <w:p w14:paraId="3EEF9A14" w14:textId="77777777" w:rsidR="00EB2A08" w:rsidRPr="00603B3A" w:rsidRDefault="00EB2A08" w:rsidP="002F4705">
            <w:pPr>
              <w:jc w:val="both"/>
            </w:pPr>
            <w:r>
              <w:t>Pagal registruotas indikacijas</w:t>
            </w:r>
            <w:r w:rsidRPr="005A39B4">
              <w:rPr>
                <w:lang w:eastAsia="lt-LT"/>
              </w:rPr>
              <w:t>.</w:t>
            </w:r>
          </w:p>
        </w:tc>
      </w:tr>
      <w:tr w:rsidR="00EB2A08" w:rsidRPr="00603B3A" w14:paraId="43F2E3DA" w14:textId="77777777" w:rsidTr="002F4705">
        <w:trPr>
          <w:trHeight w:val="378"/>
        </w:trPr>
        <w:tc>
          <w:tcPr>
            <w:tcW w:w="632" w:type="dxa"/>
          </w:tcPr>
          <w:p w14:paraId="7BBE604D" w14:textId="77777777" w:rsidR="00EB2A08" w:rsidRPr="00603B3A" w:rsidRDefault="00EB2A08" w:rsidP="002F4705">
            <w:pPr>
              <w:jc w:val="both"/>
              <w:rPr>
                <w:rFonts w:eastAsia="Arial"/>
                <w:b/>
                <w:bCs/>
              </w:rPr>
            </w:pPr>
            <w:r w:rsidRPr="00603B3A">
              <w:rPr>
                <w:rFonts w:eastAsia="Arial"/>
                <w:b/>
                <w:bCs/>
              </w:rPr>
              <w:t>1.8</w:t>
            </w:r>
          </w:p>
        </w:tc>
        <w:tc>
          <w:tcPr>
            <w:tcW w:w="3899" w:type="dxa"/>
          </w:tcPr>
          <w:p w14:paraId="5181605C" w14:textId="77777777" w:rsidR="00EB2A08" w:rsidRPr="00603B3A" w:rsidRDefault="00EB2A08" w:rsidP="002F4705">
            <w:pPr>
              <w:jc w:val="both"/>
              <w:rPr>
                <w:b/>
                <w:bCs/>
                <w:lang w:eastAsia="lt-LT"/>
              </w:rPr>
            </w:pPr>
            <w:r w:rsidRPr="00603B3A">
              <w:rPr>
                <w:b/>
                <w:bCs/>
                <w:lang w:eastAsia="lt-LT"/>
              </w:rPr>
              <w:t>Ekonominė analizė</w:t>
            </w:r>
          </w:p>
        </w:tc>
        <w:tc>
          <w:tcPr>
            <w:tcW w:w="4962" w:type="dxa"/>
          </w:tcPr>
          <w:p w14:paraId="6B5A82F5" w14:textId="77777777" w:rsidR="00EB2A08" w:rsidRPr="00603B3A" w:rsidRDefault="003B2B16" w:rsidP="002F4705">
            <w:pPr>
              <w:jc w:val="both"/>
            </w:pPr>
            <w:sdt>
              <w:sdtPr>
                <w:rPr>
                  <w:rStyle w:val="Style2"/>
                  <w:sz w:val="24"/>
                </w:rPr>
                <w:id w:val="356323367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EB2A08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☒</w:t>
                </w:r>
              </w:sdtContent>
            </w:sdt>
            <w:r w:rsidR="00EB2A08" w:rsidRPr="00603B3A">
              <w:t xml:space="preserve"> Kaštų naudingumo analizė</w:t>
            </w:r>
          </w:p>
          <w:p w14:paraId="0A5EF388" w14:textId="77777777" w:rsidR="00EB2A08" w:rsidRPr="00603B3A" w:rsidRDefault="003B2B16" w:rsidP="002F4705">
            <w:pPr>
              <w:jc w:val="both"/>
            </w:pPr>
            <w:sdt>
              <w:sdtPr>
                <w:rPr>
                  <w:rStyle w:val="Style2"/>
                  <w:sz w:val="24"/>
                </w:rPr>
                <w:id w:val="-250506580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EB2A08" w:rsidRPr="00603B3A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EB2A08" w:rsidRPr="00603B3A">
              <w:t xml:space="preserve"> Kaštų mažinimo analizė</w:t>
            </w:r>
          </w:p>
          <w:p w14:paraId="77B16C10" w14:textId="77777777" w:rsidR="00EB2A08" w:rsidRPr="00603B3A" w:rsidRDefault="003B2B16" w:rsidP="002F4705">
            <w:pPr>
              <w:jc w:val="both"/>
            </w:pPr>
            <w:sdt>
              <w:sdtPr>
                <w:rPr>
                  <w:rStyle w:val="Style2"/>
                  <w:sz w:val="24"/>
                </w:rPr>
                <w:id w:val="-1517455044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EB2A08" w:rsidRPr="00603B3A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EB2A08" w:rsidRPr="00603B3A">
              <w:t xml:space="preserve"> Neteikiama</w:t>
            </w:r>
          </w:p>
          <w:p w14:paraId="6C8BA2D6" w14:textId="77777777" w:rsidR="00EB2A08" w:rsidRPr="00603B3A" w:rsidRDefault="00EB2A08" w:rsidP="002F4705">
            <w:pPr>
              <w:jc w:val="both"/>
            </w:pPr>
          </w:p>
        </w:tc>
      </w:tr>
      <w:bookmarkEnd w:id="1"/>
    </w:tbl>
    <w:p w14:paraId="581C02A0" w14:textId="77777777" w:rsidR="00EB2A08" w:rsidRPr="00603B3A" w:rsidRDefault="00EB2A08" w:rsidP="00EB2A08">
      <w:pPr>
        <w:tabs>
          <w:tab w:val="left" w:pos="426"/>
        </w:tabs>
        <w:jc w:val="both"/>
        <w:rPr>
          <w:rFonts w:eastAsia="Arial"/>
          <w:b/>
          <w:bCs/>
        </w:rPr>
      </w:pPr>
    </w:p>
    <w:p w14:paraId="73290081" w14:textId="77777777" w:rsidR="007A2B68" w:rsidRPr="00334F18" w:rsidRDefault="007A2B68">
      <w:pPr>
        <w:rPr>
          <w:b/>
          <w:bCs/>
          <w:caps/>
        </w:rPr>
      </w:pPr>
      <w:r w:rsidRPr="00334F18">
        <w:rPr>
          <w:b/>
          <w:bCs/>
          <w:caps/>
        </w:rPr>
        <w:br w:type="page"/>
      </w:r>
    </w:p>
    <w:p w14:paraId="5055E8A8" w14:textId="1DA8FB12" w:rsidR="002E6F80" w:rsidRPr="00334F18" w:rsidRDefault="00CC7832" w:rsidP="00CC09D4">
      <w:pPr>
        <w:pStyle w:val="Sraopastraipa"/>
        <w:numPr>
          <w:ilvl w:val="0"/>
          <w:numId w:val="12"/>
        </w:numPr>
        <w:tabs>
          <w:tab w:val="left" w:pos="567"/>
        </w:tabs>
        <w:ind w:hanging="720"/>
        <w:rPr>
          <w:b/>
          <w:bCs/>
          <w:caps/>
        </w:rPr>
      </w:pPr>
      <w:r w:rsidRPr="00334F18">
        <w:rPr>
          <w:b/>
          <w:bCs/>
          <w:caps/>
        </w:rPr>
        <w:lastRenderedPageBreak/>
        <w:t>Klinikinio vertinimo a</w:t>
      </w:r>
      <w:r w:rsidR="00D4485B" w:rsidRPr="00334F18">
        <w:rPr>
          <w:b/>
          <w:bCs/>
          <w:caps/>
        </w:rPr>
        <w:t>pibendrinimas</w:t>
      </w:r>
    </w:p>
    <w:p w14:paraId="25F89291" w14:textId="5C45C8FC" w:rsidR="00D4485B" w:rsidRDefault="00D4485B" w:rsidP="00A93AA6">
      <w:pPr>
        <w:pStyle w:val="Sraopastraipa"/>
        <w:tabs>
          <w:tab w:val="left" w:pos="426"/>
        </w:tabs>
        <w:ind w:left="0"/>
        <w:rPr>
          <w:b/>
          <w:bCs/>
          <w:caps/>
        </w:rPr>
      </w:pPr>
    </w:p>
    <w:p w14:paraId="4A324355" w14:textId="77777777" w:rsidR="004A2C55" w:rsidRPr="000D521F" w:rsidRDefault="004A2C55" w:rsidP="00B127BC">
      <w:pPr>
        <w:spacing w:line="276" w:lineRule="auto"/>
        <w:ind w:firstLine="720"/>
        <w:jc w:val="both"/>
        <w:rPr>
          <w:bCs/>
          <w:lang w:eastAsia="lt-LT"/>
        </w:rPr>
      </w:pPr>
      <w:r w:rsidRPr="000D521F">
        <w:rPr>
          <w:bCs/>
          <w:lang w:eastAsia="lt-LT"/>
        </w:rPr>
        <w:t>Distribucinis (</w:t>
      </w:r>
      <w:proofErr w:type="spellStart"/>
      <w:r w:rsidRPr="000D521F">
        <w:rPr>
          <w:bCs/>
          <w:lang w:eastAsia="lt-LT"/>
        </w:rPr>
        <w:t>vazogeninis</w:t>
      </w:r>
      <w:proofErr w:type="spellEnd"/>
      <w:r w:rsidRPr="000D521F">
        <w:rPr>
          <w:bCs/>
          <w:lang w:eastAsia="lt-LT"/>
        </w:rPr>
        <w:t xml:space="preserve">) šokas, dažniausiai pasireiškiantis </w:t>
      </w:r>
      <w:proofErr w:type="spellStart"/>
      <w:r w:rsidRPr="000D521F">
        <w:rPr>
          <w:bCs/>
          <w:lang w:eastAsia="lt-LT"/>
        </w:rPr>
        <w:t>sepsinio</w:t>
      </w:r>
      <w:proofErr w:type="spellEnd"/>
      <w:r w:rsidRPr="000D521F">
        <w:rPr>
          <w:bCs/>
          <w:lang w:eastAsia="lt-LT"/>
        </w:rPr>
        <w:t xml:space="preserve"> šoko forma, yra gyvybei pavojinga būklė, susijusi su sunkiu organų </w:t>
      </w:r>
      <w:proofErr w:type="spellStart"/>
      <w:r w:rsidRPr="000D521F">
        <w:rPr>
          <w:bCs/>
          <w:lang w:eastAsia="lt-LT"/>
        </w:rPr>
        <w:t>hipoperfuzijos</w:t>
      </w:r>
      <w:proofErr w:type="spellEnd"/>
      <w:r w:rsidRPr="000D521F">
        <w:rPr>
          <w:bCs/>
          <w:lang w:eastAsia="lt-LT"/>
        </w:rPr>
        <w:t xml:space="preserve"> sindromu ir didele mirtingumo rizika. Klinikinėje praktikoje pagrindiniai gydymo tikslai yra kuo skubiau nustatyti ir gydyti priežastį, atstatyti </w:t>
      </w:r>
      <w:proofErr w:type="spellStart"/>
      <w:r w:rsidRPr="000D521F">
        <w:rPr>
          <w:bCs/>
          <w:lang w:eastAsia="lt-LT"/>
        </w:rPr>
        <w:t>intravaskulinį</w:t>
      </w:r>
      <w:proofErr w:type="spellEnd"/>
      <w:r w:rsidRPr="000D521F">
        <w:rPr>
          <w:bCs/>
          <w:lang w:eastAsia="lt-LT"/>
        </w:rPr>
        <w:t xml:space="preserve"> tūrį ir palaikyti adekvatų vidurinį arterinį spaudimą (VAS), užtikrinant organų </w:t>
      </w:r>
      <w:proofErr w:type="spellStart"/>
      <w:r w:rsidRPr="000D521F">
        <w:rPr>
          <w:bCs/>
          <w:lang w:eastAsia="lt-LT"/>
        </w:rPr>
        <w:t>perfuziją</w:t>
      </w:r>
      <w:proofErr w:type="spellEnd"/>
      <w:r w:rsidRPr="000D521F">
        <w:rPr>
          <w:bCs/>
          <w:lang w:eastAsia="lt-LT"/>
        </w:rPr>
        <w:t xml:space="preserve">. Lietuvoje </w:t>
      </w:r>
      <w:proofErr w:type="spellStart"/>
      <w:r w:rsidRPr="000D521F">
        <w:rPr>
          <w:bCs/>
          <w:lang w:eastAsia="lt-LT"/>
        </w:rPr>
        <w:t>refrakterinė</w:t>
      </w:r>
      <w:proofErr w:type="spellEnd"/>
      <w:r w:rsidRPr="000D521F">
        <w:rPr>
          <w:bCs/>
          <w:lang w:eastAsia="lt-LT"/>
        </w:rPr>
        <w:t xml:space="preserve"> </w:t>
      </w:r>
      <w:proofErr w:type="spellStart"/>
      <w:r w:rsidRPr="000D521F">
        <w:rPr>
          <w:bCs/>
          <w:lang w:eastAsia="lt-LT"/>
        </w:rPr>
        <w:t>hipotenzija</w:t>
      </w:r>
      <w:proofErr w:type="spellEnd"/>
      <w:r w:rsidRPr="000D521F">
        <w:rPr>
          <w:bCs/>
          <w:lang w:eastAsia="lt-LT"/>
        </w:rPr>
        <w:t xml:space="preserve"> </w:t>
      </w:r>
      <w:proofErr w:type="spellStart"/>
      <w:r w:rsidRPr="000D521F">
        <w:rPr>
          <w:bCs/>
          <w:lang w:eastAsia="lt-LT"/>
        </w:rPr>
        <w:t>vazogeninio</w:t>
      </w:r>
      <w:proofErr w:type="spellEnd"/>
      <w:r w:rsidRPr="000D521F">
        <w:rPr>
          <w:bCs/>
          <w:lang w:eastAsia="lt-LT"/>
        </w:rPr>
        <w:t xml:space="preserve"> šoko metu gydoma skysčių </w:t>
      </w:r>
      <w:proofErr w:type="spellStart"/>
      <w:r w:rsidRPr="000D521F">
        <w:rPr>
          <w:bCs/>
          <w:lang w:eastAsia="lt-LT"/>
        </w:rPr>
        <w:t>resuscitacija</w:t>
      </w:r>
      <w:proofErr w:type="spellEnd"/>
      <w:r w:rsidRPr="000D521F">
        <w:rPr>
          <w:bCs/>
          <w:lang w:eastAsia="lt-LT"/>
        </w:rPr>
        <w:t xml:space="preserve"> ir </w:t>
      </w:r>
      <w:proofErr w:type="spellStart"/>
      <w:r w:rsidRPr="000D521F">
        <w:rPr>
          <w:bCs/>
          <w:lang w:eastAsia="lt-LT"/>
        </w:rPr>
        <w:t>vazopresoriais</w:t>
      </w:r>
      <w:proofErr w:type="spellEnd"/>
      <w:r w:rsidRPr="000D521F">
        <w:rPr>
          <w:bCs/>
          <w:lang w:eastAsia="lt-LT"/>
        </w:rPr>
        <w:t xml:space="preserve">: pirmos eilės pasirinkimas yra </w:t>
      </w:r>
      <w:proofErr w:type="spellStart"/>
      <w:r w:rsidRPr="000D521F">
        <w:rPr>
          <w:bCs/>
          <w:lang w:eastAsia="lt-LT"/>
        </w:rPr>
        <w:t>norepinefrinas</w:t>
      </w:r>
      <w:proofErr w:type="spellEnd"/>
      <w:r w:rsidRPr="000D521F">
        <w:rPr>
          <w:bCs/>
          <w:lang w:eastAsia="lt-LT"/>
        </w:rPr>
        <w:t xml:space="preserve">, antros eilės – </w:t>
      </w:r>
      <w:proofErr w:type="spellStart"/>
      <w:r w:rsidRPr="000D521F">
        <w:rPr>
          <w:bCs/>
          <w:lang w:eastAsia="lt-LT"/>
        </w:rPr>
        <w:t>vazopresinas</w:t>
      </w:r>
      <w:proofErr w:type="spellEnd"/>
      <w:r w:rsidRPr="000D521F">
        <w:rPr>
          <w:bCs/>
          <w:lang w:eastAsia="lt-LT"/>
        </w:rPr>
        <w:t xml:space="preserve">, o esant nepakankamam atsakui taikomi kelių </w:t>
      </w:r>
      <w:proofErr w:type="spellStart"/>
      <w:r w:rsidRPr="000D521F">
        <w:rPr>
          <w:bCs/>
          <w:lang w:eastAsia="lt-LT"/>
        </w:rPr>
        <w:t>vazopresorių</w:t>
      </w:r>
      <w:proofErr w:type="spellEnd"/>
      <w:r w:rsidRPr="000D521F">
        <w:rPr>
          <w:bCs/>
          <w:lang w:eastAsia="lt-LT"/>
        </w:rPr>
        <w:t xml:space="preserve"> deriniai (pvz., pridedant </w:t>
      </w:r>
      <w:proofErr w:type="spellStart"/>
      <w:r w:rsidRPr="000D521F">
        <w:rPr>
          <w:bCs/>
          <w:lang w:eastAsia="lt-LT"/>
        </w:rPr>
        <w:t>epinefriną</w:t>
      </w:r>
      <w:proofErr w:type="spellEnd"/>
      <w:r w:rsidRPr="000D521F">
        <w:rPr>
          <w:bCs/>
          <w:lang w:eastAsia="lt-LT"/>
        </w:rPr>
        <w:t xml:space="preserve"> ar dopaminą), atitinkantys įprastą klinikinę praktiką intensyviosios terapijos skyriuose.</w:t>
      </w:r>
    </w:p>
    <w:p w14:paraId="054DF12B" w14:textId="0CC9E4E3" w:rsidR="004A2C55" w:rsidRPr="000D521F" w:rsidRDefault="004A2C55" w:rsidP="00B127BC">
      <w:pPr>
        <w:spacing w:line="276" w:lineRule="auto"/>
        <w:ind w:firstLine="720"/>
        <w:jc w:val="both"/>
        <w:rPr>
          <w:bCs/>
          <w:lang w:eastAsia="lt-LT"/>
        </w:rPr>
      </w:pPr>
      <w:r w:rsidRPr="000D521F">
        <w:rPr>
          <w:bCs/>
          <w:lang w:eastAsia="lt-LT"/>
        </w:rPr>
        <w:t xml:space="preserve">Siūlomas kompensuoti vaistinis preparatas </w:t>
      </w:r>
      <w:proofErr w:type="spellStart"/>
      <w:r w:rsidRPr="000D521F">
        <w:rPr>
          <w:bCs/>
          <w:lang w:eastAsia="lt-LT"/>
        </w:rPr>
        <w:t>Giapreza</w:t>
      </w:r>
      <w:proofErr w:type="spellEnd"/>
      <w:r w:rsidRPr="000D521F">
        <w:rPr>
          <w:bCs/>
          <w:lang w:eastAsia="lt-LT"/>
        </w:rPr>
        <w:t xml:space="preserve"> (</w:t>
      </w:r>
      <w:proofErr w:type="spellStart"/>
      <w:r w:rsidRPr="000D521F">
        <w:rPr>
          <w:bCs/>
          <w:lang w:eastAsia="lt-LT"/>
        </w:rPr>
        <w:t>angiotenzinas</w:t>
      </w:r>
      <w:proofErr w:type="spellEnd"/>
      <w:r w:rsidRPr="000D521F">
        <w:rPr>
          <w:bCs/>
          <w:lang w:eastAsia="lt-LT"/>
        </w:rPr>
        <w:t xml:space="preserve"> II) yra registruotas gydyti suaugusiųjų </w:t>
      </w:r>
      <w:proofErr w:type="spellStart"/>
      <w:r w:rsidRPr="000D521F">
        <w:rPr>
          <w:bCs/>
          <w:lang w:eastAsia="lt-LT"/>
        </w:rPr>
        <w:t>refrakterinę</w:t>
      </w:r>
      <w:proofErr w:type="spellEnd"/>
      <w:r w:rsidRPr="000D521F">
        <w:rPr>
          <w:bCs/>
          <w:lang w:eastAsia="lt-LT"/>
        </w:rPr>
        <w:t xml:space="preserve"> </w:t>
      </w:r>
      <w:proofErr w:type="spellStart"/>
      <w:r w:rsidRPr="000D521F">
        <w:rPr>
          <w:bCs/>
          <w:lang w:eastAsia="lt-LT"/>
        </w:rPr>
        <w:t>hipotenziją</w:t>
      </w:r>
      <w:proofErr w:type="spellEnd"/>
      <w:r w:rsidRPr="000D521F">
        <w:rPr>
          <w:bCs/>
          <w:lang w:eastAsia="lt-LT"/>
        </w:rPr>
        <w:t xml:space="preserve"> </w:t>
      </w:r>
      <w:proofErr w:type="spellStart"/>
      <w:r w:rsidRPr="000D521F">
        <w:rPr>
          <w:bCs/>
          <w:lang w:eastAsia="lt-LT"/>
        </w:rPr>
        <w:t>sepsinio</w:t>
      </w:r>
      <w:proofErr w:type="spellEnd"/>
      <w:r w:rsidRPr="000D521F">
        <w:rPr>
          <w:bCs/>
          <w:lang w:eastAsia="lt-LT"/>
        </w:rPr>
        <w:t xml:space="preserve"> ar kitos formos distribucinio šoko metu, kai </w:t>
      </w:r>
      <w:proofErr w:type="spellStart"/>
      <w:r w:rsidRPr="000D521F">
        <w:rPr>
          <w:bCs/>
          <w:lang w:eastAsia="lt-LT"/>
        </w:rPr>
        <w:t>hipotenzija</w:t>
      </w:r>
      <w:proofErr w:type="spellEnd"/>
      <w:r w:rsidRPr="000D521F">
        <w:rPr>
          <w:bCs/>
          <w:lang w:eastAsia="lt-LT"/>
        </w:rPr>
        <w:t xml:space="preserve"> išlieka nepaisant pakankamo kraujo tūrio atstatymo ir taikomos </w:t>
      </w:r>
      <w:proofErr w:type="spellStart"/>
      <w:r w:rsidRPr="000D521F">
        <w:rPr>
          <w:bCs/>
          <w:lang w:eastAsia="lt-LT"/>
        </w:rPr>
        <w:t>katecholaminų</w:t>
      </w:r>
      <w:proofErr w:type="spellEnd"/>
      <w:r w:rsidRPr="000D521F">
        <w:rPr>
          <w:bCs/>
          <w:lang w:eastAsia="lt-LT"/>
        </w:rPr>
        <w:t xml:space="preserve"> bei kitos prieinamos </w:t>
      </w:r>
      <w:proofErr w:type="spellStart"/>
      <w:r w:rsidRPr="000D521F">
        <w:rPr>
          <w:bCs/>
          <w:lang w:eastAsia="lt-LT"/>
        </w:rPr>
        <w:t>vazopresorių</w:t>
      </w:r>
      <w:proofErr w:type="spellEnd"/>
      <w:r w:rsidRPr="000D521F">
        <w:rPr>
          <w:bCs/>
          <w:lang w:eastAsia="lt-LT"/>
        </w:rPr>
        <w:t xml:space="preserve"> terapijos. </w:t>
      </w:r>
      <w:r w:rsidR="00444C11" w:rsidRPr="000D521F">
        <w:rPr>
          <w:bCs/>
          <w:lang w:eastAsia="lt-LT"/>
        </w:rPr>
        <w:t xml:space="preserve">Palyginamasis veiksmingumas grindžiamas </w:t>
      </w:r>
      <w:r w:rsidRPr="000D521F">
        <w:rPr>
          <w:bCs/>
          <w:lang w:eastAsia="lt-LT"/>
        </w:rPr>
        <w:t>klinikini</w:t>
      </w:r>
      <w:r w:rsidR="00444C11" w:rsidRPr="000D521F">
        <w:rPr>
          <w:bCs/>
          <w:lang w:eastAsia="lt-LT"/>
        </w:rPr>
        <w:t>o tyrimo</w:t>
      </w:r>
      <w:r w:rsidRPr="000D521F">
        <w:rPr>
          <w:bCs/>
          <w:lang w:eastAsia="lt-LT"/>
        </w:rPr>
        <w:t xml:space="preserve"> ATHOS-3 </w:t>
      </w:r>
      <w:r w:rsidR="00444C11" w:rsidRPr="000D521F">
        <w:rPr>
          <w:bCs/>
          <w:lang w:eastAsia="lt-LT"/>
        </w:rPr>
        <w:t xml:space="preserve"> duomenimis. ATHOS-3 tyrimas </w:t>
      </w:r>
      <w:r w:rsidRPr="000D521F">
        <w:rPr>
          <w:bCs/>
          <w:lang w:eastAsia="lt-LT"/>
        </w:rPr>
        <w:t>III fazės atsitiktinių imčių, dvigubai koduot</w:t>
      </w:r>
      <w:r w:rsidR="00444C11" w:rsidRPr="000D521F">
        <w:rPr>
          <w:bCs/>
          <w:lang w:eastAsia="lt-LT"/>
        </w:rPr>
        <w:t>as</w:t>
      </w:r>
      <w:r w:rsidRPr="000D521F">
        <w:rPr>
          <w:bCs/>
          <w:lang w:eastAsia="lt-LT"/>
        </w:rPr>
        <w:t>, placebu kontroliuojam</w:t>
      </w:r>
      <w:r w:rsidR="00444C11" w:rsidRPr="000D521F">
        <w:rPr>
          <w:bCs/>
          <w:lang w:eastAsia="lt-LT"/>
        </w:rPr>
        <w:t>as</w:t>
      </w:r>
      <w:r w:rsidRPr="000D521F">
        <w:rPr>
          <w:bCs/>
          <w:lang w:eastAsia="lt-LT"/>
        </w:rPr>
        <w:t xml:space="preserve"> tyrim</w:t>
      </w:r>
      <w:r w:rsidR="00444C11" w:rsidRPr="000D521F">
        <w:rPr>
          <w:bCs/>
          <w:lang w:eastAsia="lt-LT"/>
        </w:rPr>
        <w:t>as</w:t>
      </w:r>
      <w:r w:rsidRPr="000D521F">
        <w:rPr>
          <w:bCs/>
          <w:lang w:eastAsia="lt-LT"/>
        </w:rPr>
        <w:t xml:space="preserve">, kuriame </w:t>
      </w:r>
      <w:proofErr w:type="spellStart"/>
      <w:r w:rsidRPr="000D521F">
        <w:rPr>
          <w:bCs/>
          <w:lang w:eastAsia="lt-LT"/>
        </w:rPr>
        <w:t>angiotenzinas</w:t>
      </w:r>
      <w:proofErr w:type="spellEnd"/>
      <w:r w:rsidRPr="000D521F">
        <w:rPr>
          <w:bCs/>
          <w:lang w:eastAsia="lt-LT"/>
        </w:rPr>
        <w:t xml:space="preserve"> II buvo vertinamas kaip papildomas </w:t>
      </w:r>
      <w:proofErr w:type="spellStart"/>
      <w:r w:rsidRPr="000D521F">
        <w:rPr>
          <w:bCs/>
          <w:lang w:eastAsia="lt-LT"/>
        </w:rPr>
        <w:t>vazopresorius</w:t>
      </w:r>
      <w:proofErr w:type="spellEnd"/>
      <w:r w:rsidRPr="000D521F">
        <w:rPr>
          <w:bCs/>
          <w:lang w:eastAsia="lt-LT"/>
        </w:rPr>
        <w:t xml:space="preserve"> pacientams, sergantiems </w:t>
      </w:r>
      <w:proofErr w:type="spellStart"/>
      <w:r w:rsidRPr="000D521F">
        <w:rPr>
          <w:bCs/>
          <w:lang w:eastAsia="lt-LT"/>
        </w:rPr>
        <w:t>vazodilataciniu</w:t>
      </w:r>
      <w:proofErr w:type="spellEnd"/>
      <w:r w:rsidRPr="000D521F">
        <w:rPr>
          <w:bCs/>
          <w:lang w:eastAsia="lt-LT"/>
        </w:rPr>
        <w:t xml:space="preserve"> šoku, jau gydomiems kitais </w:t>
      </w:r>
      <w:proofErr w:type="spellStart"/>
      <w:r w:rsidRPr="000D521F">
        <w:rPr>
          <w:bCs/>
          <w:lang w:eastAsia="lt-LT"/>
        </w:rPr>
        <w:t>vazopresoriais</w:t>
      </w:r>
      <w:proofErr w:type="spellEnd"/>
      <w:r w:rsidRPr="000D521F">
        <w:rPr>
          <w:bCs/>
          <w:lang w:eastAsia="lt-LT"/>
        </w:rPr>
        <w:t>.</w:t>
      </w:r>
    </w:p>
    <w:p w14:paraId="0C45F1BD" w14:textId="37D1AE15" w:rsidR="0046133D" w:rsidRPr="000D521F" w:rsidRDefault="0014193A" w:rsidP="00B127BC">
      <w:pPr>
        <w:spacing w:line="276" w:lineRule="auto"/>
        <w:ind w:firstLine="720"/>
        <w:jc w:val="both"/>
        <w:rPr>
          <w:bCs/>
          <w:lang w:eastAsia="lt-LT"/>
        </w:rPr>
      </w:pPr>
      <w:r w:rsidRPr="000D521F">
        <w:rPr>
          <w:bCs/>
          <w:lang w:eastAsia="lt-LT"/>
        </w:rPr>
        <w:t>K</w:t>
      </w:r>
      <w:r w:rsidR="004A2C55" w:rsidRPr="000D521F">
        <w:rPr>
          <w:bCs/>
          <w:lang w:eastAsia="lt-LT"/>
        </w:rPr>
        <w:t>linikinio vertinimo metu nustatyta esminė pateiktų palyginamojo veiksmingumo įrodymų metodologinė problema: ATHOS-3 tyrime palyginamoji grupė buvo placeb</w:t>
      </w:r>
      <w:r w:rsidRPr="000D521F">
        <w:rPr>
          <w:bCs/>
          <w:lang w:eastAsia="lt-LT"/>
        </w:rPr>
        <w:t>as</w:t>
      </w:r>
      <w:r w:rsidR="004A2C55" w:rsidRPr="000D521F">
        <w:rPr>
          <w:bCs/>
          <w:lang w:eastAsia="lt-LT"/>
        </w:rPr>
        <w:t xml:space="preserve">, todėl tyrimas nepateikia tiesioginio palyginimo su Lietuvos klinikinę praktiką atitinkančiais aktyviais </w:t>
      </w:r>
      <w:proofErr w:type="spellStart"/>
      <w:r w:rsidR="004A2C55" w:rsidRPr="000D521F">
        <w:rPr>
          <w:bCs/>
          <w:lang w:eastAsia="lt-LT"/>
        </w:rPr>
        <w:t>vazopresorių</w:t>
      </w:r>
      <w:proofErr w:type="spellEnd"/>
      <w:r w:rsidR="004A2C55" w:rsidRPr="000D521F">
        <w:rPr>
          <w:bCs/>
          <w:lang w:eastAsia="lt-LT"/>
        </w:rPr>
        <w:t xml:space="preserve"> deriniais (pvz., </w:t>
      </w:r>
      <w:proofErr w:type="spellStart"/>
      <w:r w:rsidR="004A2C55" w:rsidRPr="000D521F">
        <w:rPr>
          <w:bCs/>
          <w:lang w:eastAsia="lt-LT"/>
        </w:rPr>
        <w:t>norepinefrino</w:t>
      </w:r>
      <w:proofErr w:type="spellEnd"/>
      <w:r w:rsidR="004A2C55" w:rsidRPr="000D521F">
        <w:rPr>
          <w:bCs/>
          <w:lang w:eastAsia="lt-LT"/>
        </w:rPr>
        <w:t xml:space="preserve"> ir </w:t>
      </w:r>
      <w:proofErr w:type="spellStart"/>
      <w:r w:rsidR="004A2C55" w:rsidRPr="000D521F">
        <w:rPr>
          <w:bCs/>
          <w:lang w:eastAsia="lt-LT"/>
        </w:rPr>
        <w:t>epinefrino</w:t>
      </w:r>
      <w:proofErr w:type="spellEnd"/>
      <w:r w:rsidR="004A2C55" w:rsidRPr="000D521F">
        <w:rPr>
          <w:bCs/>
          <w:lang w:eastAsia="lt-LT"/>
        </w:rPr>
        <w:t xml:space="preserve"> deriniu arba </w:t>
      </w:r>
      <w:proofErr w:type="spellStart"/>
      <w:r w:rsidR="004A2C55" w:rsidRPr="000D521F">
        <w:rPr>
          <w:bCs/>
          <w:lang w:eastAsia="lt-LT"/>
        </w:rPr>
        <w:t>norepinefrino</w:t>
      </w:r>
      <w:proofErr w:type="spellEnd"/>
      <w:r w:rsidR="004A2C55" w:rsidRPr="000D521F">
        <w:rPr>
          <w:bCs/>
          <w:lang w:eastAsia="lt-LT"/>
        </w:rPr>
        <w:t xml:space="preserve">, </w:t>
      </w:r>
      <w:proofErr w:type="spellStart"/>
      <w:r w:rsidR="004A2C55" w:rsidRPr="000D521F">
        <w:rPr>
          <w:bCs/>
          <w:lang w:eastAsia="lt-LT"/>
        </w:rPr>
        <w:t>vazopresino</w:t>
      </w:r>
      <w:proofErr w:type="spellEnd"/>
      <w:r w:rsidR="004A2C55" w:rsidRPr="000D521F">
        <w:rPr>
          <w:bCs/>
          <w:lang w:eastAsia="lt-LT"/>
        </w:rPr>
        <w:t xml:space="preserve"> ir </w:t>
      </w:r>
      <w:proofErr w:type="spellStart"/>
      <w:r w:rsidR="004A2C55" w:rsidRPr="000D521F">
        <w:rPr>
          <w:bCs/>
          <w:lang w:eastAsia="lt-LT"/>
        </w:rPr>
        <w:t>epinefrino</w:t>
      </w:r>
      <w:proofErr w:type="spellEnd"/>
      <w:r w:rsidR="004A2C55" w:rsidRPr="000D521F">
        <w:rPr>
          <w:bCs/>
          <w:lang w:eastAsia="lt-LT"/>
        </w:rPr>
        <w:t xml:space="preserve">/dopamino deriniu). Nors ATHOS-3 tyrime abiejose grupėse buvo taikomas foninis </w:t>
      </w:r>
      <w:proofErr w:type="spellStart"/>
      <w:r w:rsidR="004A2C55" w:rsidRPr="000D521F">
        <w:rPr>
          <w:bCs/>
          <w:lang w:eastAsia="lt-LT"/>
        </w:rPr>
        <w:t>vazopresorių</w:t>
      </w:r>
      <w:proofErr w:type="spellEnd"/>
      <w:r w:rsidR="004A2C55" w:rsidRPr="000D521F">
        <w:rPr>
          <w:bCs/>
          <w:lang w:eastAsia="lt-LT"/>
        </w:rPr>
        <w:t xml:space="preserve"> gydymas, placebo kontrolė negali būti laikoma tinkamu </w:t>
      </w:r>
      <w:r w:rsidRPr="000D521F">
        <w:rPr>
          <w:bCs/>
          <w:lang w:eastAsia="lt-LT"/>
        </w:rPr>
        <w:t>palyginamuoju gydymu  vertinant</w:t>
      </w:r>
      <w:r w:rsidR="004A2C55" w:rsidRPr="000D521F">
        <w:rPr>
          <w:bCs/>
          <w:lang w:eastAsia="lt-LT"/>
        </w:rPr>
        <w:t xml:space="preserve"> klinikinį pranašumą ar ekvivalentiškumą </w:t>
      </w:r>
      <w:r w:rsidRPr="000D521F">
        <w:rPr>
          <w:bCs/>
          <w:lang w:eastAsia="lt-LT"/>
        </w:rPr>
        <w:t>palyginus</w:t>
      </w:r>
      <w:r w:rsidR="004A2C55" w:rsidRPr="000D521F">
        <w:rPr>
          <w:bCs/>
          <w:lang w:eastAsia="lt-LT"/>
        </w:rPr>
        <w:t xml:space="preserve"> su realioje </w:t>
      </w:r>
      <w:r w:rsidRPr="000D521F">
        <w:rPr>
          <w:bCs/>
          <w:lang w:eastAsia="lt-LT"/>
        </w:rPr>
        <w:t xml:space="preserve">klinikinėje </w:t>
      </w:r>
      <w:r w:rsidR="004A2C55" w:rsidRPr="000D521F">
        <w:rPr>
          <w:bCs/>
          <w:lang w:eastAsia="lt-LT"/>
        </w:rPr>
        <w:t xml:space="preserve">praktikoje taikomomis aktyvios </w:t>
      </w:r>
      <w:proofErr w:type="spellStart"/>
      <w:r w:rsidR="004A2C55" w:rsidRPr="000D521F">
        <w:rPr>
          <w:bCs/>
          <w:lang w:eastAsia="lt-LT"/>
        </w:rPr>
        <w:t>eskalacijos</w:t>
      </w:r>
      <w:proofErr w:type="spellEnd"/>
      <w:r w:rsidR="004A2C55" w:rsidRPr="000D521F">
        <w:rPr>
          <w:bCs/>
          <w:lang w:eastAsia="lt-LT"/>
        </w:rPr>
        <w:t xml:space="preserve"> schemomis. </w:t>
      </w:r>
    </w:p>
    <w:p w14:paraId="1A29B792" w14:textId="5769D521" w:rsidR="004A2C55" w:rsidRPr="000D521F" w:rsidRDefault="0046133D" w:rsidP="00B127BC">
      <w:pPr>
        <w:spacing w:line="276" w:lineRule="auto"/>
        <w:ind w:firstLine="720"/>
        <w:jc w:val="both"/>
        <w:rPr>
          <w:bCs/>
          <w:lang w:eastAsia="lt-LT"/>
        </w:rPr>
      </w:pPr>
      <w:r w:rsidRPr="000D521F">
        <w:rPr>
          <w:bCs/>
          <w:lang w:eastAsia="lt-LT"/>
        </w:rPr>
        <w:t xml:space="preserve">Atkreiptinas dėmesys, kad pirminė vertinamoji baigtis (pacientų, kuriems buvo stebimas vidutinio arterinio spaudymo padidėjimas, dalis), yra laikoma surogatiniu </w:t>
      </w:r>
      <w:proofErr w:type="spellStart"/>
      <w:r w:rsidRPr="000D521F">
        <w:rPr>
          <w:bCs/>
          <w:lang w:eastAsia="lt-LT"/>
        </w:rPr>
        <w:t>farmakodinaminės</w:t>
      </w:r>
      <w:proofErr w:type="spellEnd"/>
      <w:r w:rsidRPr="000D521F">
        <w:rPr>
          <w:bCs/>
          <w:lang w:eastAsia="lt-LT"/>
        </w:rPr>
        <w:t xml:space="preserve"> kilmės vertinamuoju rodikliu, kuris tiesiogiai neatspindi</w:t>
      </w:r>
      <w:r w:rsidR="00B127BC" w:rsidRPr="000D521F">
        <w:rPr>
          <w:bCs/>
          <w:lang w:eastAsia="lt-LT"/>
        </w:rPr>
        <w:t>,</w:t>
      </w:r>
      <w:r w:rsidRPr="000D521F">
        <w:rPr>
          <w:bCs/>
          <w:lang w:eastAsia="lt-LT"/>
        </w:rPr>
        <w:t xml:space="preserve"> kiek sumažėjo organų pažeidimo progresavimo dažnis ir/arba bendras mirtingumas, pridedant </w:t>
      </w:r>
      <w:proofErr w:type="spellStart"/>
      <w:r w:rsidRPr="000D521F">
        <w:rPr>
          <w:bCs/>
          <w:lang w:eastAsia="lt-LT"/>
        </w:rPr>
        <w:t>angiotenziną</w:t>
      </w:r>
      <w:proofErr w:type="spellEnd"/>
      <w:r w:rsidRPr="000D521F">
        <w:rPr>
          <w:bCs/>
          <w:lang w:eastAsia="lt-LT"/>
        </w:rPr>
        <w:t xml:space="preserve"> II ir lyginant su tyrimo palyginamuoju gydymu. </w:t>
      </w:r>
      <w:r w:rsidR="004A2C55" w:rsidRPr="000D521F">
        <w:rPr>
          <w:bCs/>
          <w:lang w:eastAsia="lt-LT"/>
        </w:rPr>
        <w:t xml:space="preserve">Be to, </w:t>
      </w:r>
      <w:proofErr w:type="spellStart"/>
      <w:r w:rsidR="004A2C55" w:rsidRPr="000D521F">
        <w:rPr>
          <w:bCs/>
          <w:lang w:eastAsia="lt-LT"/>
        </w:rPr>
        <w:t>angiotenzino</w:t>
      </w:r>
      <w:proofErr w:type="spellEnd"/>
      <w:r w:rsidR="004A2C55" w:rsidRPr="000D521F">
        <w:rPr>
          <w:bCs/>
          <w:lang w:eastAsia="lt-LT"/>
        </w:rPr>
        <w:t xml:space="preserve"> II poveikis klinikinėms baigtims (sergamumui ir mirtingumui) nėra įrodytas – 28 dienų mirtingum</w:t>
      </w:r>
      <w:r w:rsidR="00E62CF8" w:rsidRPr="000D521F">
        <w:rPr>
          <w:bCs/>
          <w:lang w:eastAsia="lt-LT"/>
        </w:rPr>
        <w:t>as</w:t>
      </w:r>
      <w:r w:rsidR="004A2C55" w:rsidRPr="000D521F">
        <w:rPr>
          <w:bCs/>
          <w:lang w:eastAsia="lt-LT"/>
        </w:rPr>
        <w:t xml:space="preserve"> tarp grupių </w:t>
      </w:r>
      <w:r w:rsidR="0014193A" w:rsidRPr="000D521F">
        <w:rPr>
          <w:bCs/>
          <w:lang w:eastAsia="lt-LT"/>
        </w:rPr>
        <w:t>bu</w:t>
      </w:r>
      <w:r w:rsidR="00E62CF8" w:rsidRPr="000D521F">
        <w:rPr>
          <w:bCs/>
          <w:lang w:eastAsia="lt-LT"/>
        </w:rPr>
        <w:t>vo</w:t>
      </w:r>
      <w:r w:rsidR="0014193A" w:rsidRPr="000D521F">
        <w:rPr>
          <w:bCs/>
          <w:lang w:eastAsia="lt-LT"/>
        </w:rPr>
        <w:t xml:space="preserve"> </w:t>
      </w:r>
      <w:r w:rsidR="004A2C55" w:rsidRPr="000D521F">
        <w:rPr>
          <w:bCs/>
          <w:lang w:eastAsia="lt-LT"/>
        </w:rPr>
        <w:t xml:space="preserve">statistiškai </w:t>
      </w:r>
      <w:r w:rsidR="0014193A" w:rsidRPr="000D521F">
        <w:rPr>
          <w:bCs/>
          <w:lang w:eastAsia="lt-LT"/>
        </w:rPr>
        <w:t>ne</w:t>
      </w:r>
      <w:r w:rsidR="004A2C55" w:rsidRPr="000D521F">
        <w:rPr>
          <w:bCs/>
          <w:lang w:eastAsia="lt-LT"/>
        </w:rPr>
        <w:t>reikšmingas.</w:t>
      </w:r>
    </w:p>
    <w:p w14:paraId="4D741150" w14:textId="2F65C07A" w:rsidR="004A2C55" w:rsidRPr="000D521F" w:rsidRDefault="004A2C55" w:rsidP="00B127BC">
      <w:pPr>
        <w:spacing w:line="276" w:lineRule="auto"/>
        <w:ind w:firstLine="720"/>
        <w:jc w:val="both"/>
        <w:rPr>
          <w:bCs/>
          <w:lang w:eastAsia="lt-LT"/>
        </w:rPr>
      </w:pPr>
      <w:r w:rsidRPr="000D521F">
        <w:rPr>
          <w:bCs/>
          <w:lang w:eastAsia="lt-LT"/>
        </w:rPr>
        <w:t xml:space="preserve">Netiesioginių palyginamųjų tyrimų, tęstinių tyrimų ar kitų klinikinių įrodymų, leidžiančių palyginti </w:t>
      </w:r>
      <w:proofErr w:type="spellStart"/>
      <w:r w:rsidRPr="000D521F">
        <w:rPr>
          <w:bCs/>
          <w:lang w:eastAsia="lt-LT"/>
        </w:rPr>
        <w:t>angiotenziną</w:t>
      </w:r>
      <w:proofErr w:type="spellEnd"/>
      <w:r w:rsidRPr="000D521F">
        <w:rPr>
          <w:bCs/>
          <w:lang w:eastAsia="lt-LT"/>
        </w:rPr>
        <w:t xml:space="preserve"> II su įprastine Lietuvos klinikine praktika ir patikimai įvertinti palyginamąjį veiksmingumą, paraiškoje nepateikta. Dėl šių priežasčių pateikti palyginamojo veiksmingumo duomenys laikomi netinkamais vertinti </w:t>
      </w:r>
      <w:r w:rsidR="00E62CF8" w:rsidRPr="000D521F">
        <w:rPr>
          <w:bCs/>
          <w:lang w:eastAsia="lt-LT"/>
        </w:rPr>
        <w:t>(</w:t>
      </w:r>
      <w:r w:rsidRPr="000D521F">
        <w:rPr>
          <w:bCs/>
          <w:lang w:eastAsia="lt-LT"/>
        </w:rPr>
        <w:t xml:space="preserve"> atitinka </w:t>
      </w:r>
      <w:r w:rsidR="00E62CF8" w:rsidRPr="000D521F">
        <w:t xml:space="preserve">Lietuvos Respublikos sveikatos apsaugos ministro 2002 m. balandžio 5 d. įsakymu Nr. V-159 „Dėl vaistinių preparatų ir medicinos pagalbos priemonių įrašymo į kompensavimo sąrašus ir jų keitimo tvarkos aprašo patvirtinimo“ (toliau – Aprašas) </w:t>
      </w:r>
      <w:r w:rsidRPr="000D521F">
        <w:rPr>
          <w:bCs/>
          <w:lang w:eastAsia="lt-LT"/>
        </w:rPr>
        <w:t xml:space="preserve"> 29.1.5 papunkt</w:t>
      </w:r>
      <w:r w:rsidR="00E62CF8" w:rsidRPr="000D521F">
        <w:rPr>
          <w:bCs/>
          <w:lang w:eastAsia="lt-LT"/>
        </w:rPr>
        <w:t>į)</w:t>
      </w:r>
    </w:p>
    <w:p w14:paraId="5DBB90E4" w14:textId="26B781CE" w:rsidR="00E51E58" w:rsidRPr="000D521F" w:rsidRDefault="004A2C55" w:rsidP="00B127BC">
      <w:pPr>
        <w:spacing w:line="276" w:lineRule="auto"/>
        <w:ind w:firstLine="720"/>
        <w:jc w:val="both"/>
        <w:rPr>
          <w:bCs/>
          <w:lang w:eastAsia="lt-LT"/>
        </w:rPr>
      </w:pPr>
      <w:r w:rsidRPr="000D521F">
        <w:rPr>
          <w:bCs/>
          <w:lang w:eastAsia="lt-LT"/>
        </w:rPr>
        <w:t>Pareiškėjo pateikta</w:t>
      </w:r>
      <w:r w:rsidR="00E62CF8" w:rsidRPr="000D521F">
        <w:rPr>
          <w:bCs/>
          <w:lang w:eastAsia="lt-LT"/>
        </w:rPr>
        <w:t>me</w:t>
      </w:r>
      <w:r w:rsidRPr="000D521F">
        <w:rPr>
          <w:bCs/>
          <w:lang w:eastAsia="lt-LT"/>
        </w:rPr>
        <w:t xml:space="preserve"> atsakym</w:t>
      </w:r>
      <w:r w:rsidR="00E62CF8" w:rsidRPr="000D521F">
        <w:rPr>
          <w:bCs/>
          <w:lang w:eastAsia="lt-LT"/>
        </w:rPr>
        <w:t>e</w:t>
      </w:r>
      <w:r w:rsidRPr="000D521F">
        <w:rPr>
          <w:bCs/>
          <w:lang w:eastAsia="lt-LT"/>
        </w:rPr>
        <w:t xml:space="preserve"> į </w:t>
      </w:r>
      <w:r w:rsidR="00E62CF8" w:rsidRPr="000D521F">
        <w:rPr>
          <w:bCs/>
          <w:lang w:eastAsia="lt-LT"/>
        </w:rPr>
        <w:t>esminius prieštaravimus dėl klinikinės dalies</w:t>
      </w:r>
      <w:r w:rsidRPr="000D521F">
        <w:rPr>
          <w:bCs/>
          <w:lang w:eastAsia="lt-LT"/>
        </w:rPr>
        <w:t xml:space="preserve"> </w:t>
      </w:r>
      <w:r w:rsidR="00E62CF8" w:rsidRPr="000D521F">
        <w:rPr>
          <w:bCs/>
          <w:lang w:eastAsia="lt-LT"/>
        </w:rPr>
        <w:t xml:space="preserve">remiamasi fiziologiniais argumentais ir gairių citatomis, tačiau papildomi palyginamojo veiksmingumo įrodymai nepateikti. Atsakymo dalys apie VAS svarbą, RAAS fiziologiją, sinergiją ir </w:t>
      </w:r>
      <w:proofErr w:type="spellStart"/>
      <w:r w:rsidR="00E62CF8" w:rsidRPr="000D521F">
        <w:rPr>
          <w:bCs/>
          <w:lang w:eastAsia="lt-LT"/>
        </w:rPr>
        <w:t>hipotenzijos</w:t>
      </w:r>
      <w:proofErr w:type="spellEnd"/>
      <w:r w:rsidR="00E62CF8" w:rsidRPr="000D521F">
        <w:rPr>
          <w:bCs/>
          <w:lang w:eastAsia="lt-LT"/>
        </w:rPr>
        <w:t xml:space="preserve"> žalą yra bendro pobūdžio ir nepakeičia klinikinių įrodymų, reikalingų vertinant palyginamąjį veiksmingumą. Be to, cituojamose gairėse nurodyta, kad pačios pripažįsta žemą įrodymų kokybę, nors ir nurodo </w:t>
      </w:r>
      <w:proofErr w:type="spellStart"/>
      <w:r w:rsidR="00E62CF8" w:rsidRPr="000D521F">
        <w:rPr>
          <w:bCs/>
          <w:lang w:eastAsia="lt-LT"/>
        </w:rPr>
        <w:t>angiotenzino</w:t>
      </w:r>
      <w:proofErr w:type="spellEnd"/>
      <w:r w:rsidR="00E62CF8" w:rsidRPr="000D521F">
        <w:rPr>
          <w:bCs/>
          <w:lang w:eastAsia="lt-LT"/>
        </w:rPr>
        <w:t xml:space="preserve"> II vietą kaip papildomo </w:t>
      </w:r>
      <w:proofErr w:type="spellStart"/>
      <w:r w:rsidR="00E62CF8" w:rsidRPr="000D521F">
        <w:rPr>
          <w:bCs/>
          <w:lang w:eastAsia="lt-LT"/>
        </w:rPr>
        <w:t>vazopresoriaus</w:t>
      </w:r>
      <w:proofErr w:type="spellEnd"/>
      <w:r w:rsidR="00E62CF8" w:rsidRPr="000D521F">
        <w:rPr>
          <w:bCs/>
          <w:lang w:eastAsia="lt-LT"/>
        </w:rPr>
        <w:t>.</w:t>
      </w:r>
      <w:r w:rsidR="002925F8" w:rsidRPr="000D521F">
        <w:rPr>
          <w:bCs/>
          <w:lang w:eastAsia="lt-LT"/>
        </w:rPr>
        <w:t xml:space="preserve"> </w:t>
      </w:r>
      <w:r w:rsidR="00E51E58" w:rsidRPr="000D521F">
        <w:rPr>
          <w:bCs/>
          <w:lang w:eastAsia="lt-LT"/>
        </w:rPr>
        <w:t xml:space="preserve">Papildomų tiesioginio ar netiesioginio palyginimo su Lietuvos klinikinę praktiką atitinkančiais palyginamojo gydymo </w:t>
      </w:r>
      <w:r w:rsidR="00E51E58" w:rsidRPr="000D521F">
        <w:rPr>
          <w:bCs/>
          <w:lang w:eastAsia="lt-LT"/>
        </w:rPr>
        <w:lastRenderedPageBreak/>
        <w:t xml:space="preserve">deriniais (pvz., </w:t>
      </w:r>
      <w:proofErr w:type="spellStart"/>
      <w:r w:rsidR="00E51E58" w:rsidRPr="000D521F">
        <w:rPr>
          <w:bCs/>
          <w:lang w:eastAsia="lt-LT"/>
        </w:rPr>
        <w:t>norepinefrinas</w:t>
      </w:r>
      <w:proofErr w:type="spellEnd"/>
      <w:r w:rsidR="00E51E58" w:rsidRPr="000D521F">
        <w:rPr>
          <w:bCs/>
          <w:lang w:eastAsia="lt-LT"/>
        </w:rPr>
        <w:t xml:space="preserve"> + </w:t>
      </w:r>
      <w:proofErr w:type="spellStart"/>
      <w:r w:rsidR="00E51E58" w:rsidRPr="000D521F">
        <w:rPr>
          <w:bCs/>
          <w:lang w:eastAsia="lt-LT"/>
        </w:rPr>
        <w:t>epinefrinas</w:t>
      </w:r>
      <w:proofErr w:type="spellEnd"/>
      <w:r w:rsidR="00E51E58" w:rsidRPr="000D521F">
        <w:rPr>
          <w:bCs/>
          <w:lang w:eastAsia="lt-LT"/>
        </w:rPr>
        <w:t xml:space="preserve"> arba </w:t>
      </w:r>
      <w:proofErr w:type="spellStart"/>
      <w:r w:rsidR="00E51E58" w:rsidRPr="000D521F">
        <w:rPr>
          <w:bCs/>
          <w:lang w:eastAsia="lt-LT"/>
        </w:rPr>
        <w:t>norepinefrinas</w:t>
      </w:r>
      <w:proofErr w:type="spellEnd"/>
      <w:r w:rsidR="00E51E58" w:rsidRPr="000D521F">
        <w:rPr>
          <w:bCs/>
          <w:lang w:eastAsia="lt-LT"/>
        </w:rPr>
        <w:t xml:space="preserve"> + </w:t>
      </w:r>
      <w:proofErr w:type="spellStart"/>
      <w:r w:rsidR="00E51E58" w:rsidRPr="000D521F">
        <w:rPr>
          <w:bCs/>
          <w:lang w:eastAsia="lt-LT"/>
        </w:rPr>
        <w:t>vazopresinas</w:t>
      </w:r>
      <w:proofErr w:type="spellEnd"/>
      <w:r w:rsidR="00E51E58" w:rsidRPr="000D521F">
        <w:rPr>
          <w:bCs/>
          <w:lang w:eastAsia="lt-LT"/>
        </w:rPr>
        <w:t xml:space="preserve"> + </w:t>
      </w:r>
      <w:proofErr w:type="spellStart"/>
      <w:r w:rsidR="00E51E58" w:rsidRPr="000D521F">
        <w:rPr>
          <w:bCs/>
          <w:lang w:eastAsia="lt-LT"/>
        </w:rPr>
        <w:t>epinefrinas</w:t>
      </w:r>
      <w:proofErr w:type="spellEnd"/>
      <w:r w:rsidR="00E51E58" w:rsidRPr="000D521F">
        <w:rPr>
          <w:bCs/>
          <w:lang w:eastAsia="lt-LT"/>
        </w:rPr>
        <w:t xml:space="preserve">/dopaminas) Pareiškėjo atsakymuose nebuvo pateikta. </w:t>
      </w:r>
    </w:p>
    <w:p w14:paraId="78A0226B" w14:textId="02D45AAE" w:rsidR="00B127BC" w:rsidRPr="000D521F" w:rsidRDefault="00E51E58" w:rsidP="00B127BC">
      <w:pPr>
        <w:spacing w:line="276" w:lineRule="auto"/>
        <w:ind w:firstLine="720"/>
        <w:jc w:val="both"/>
        <w:rPr>
          <w:bCs/>
          <w:lang w:eastAsia="lt-LT"/>
        </w:rPr>
      </w:pPr>
      <w:r w:rsidRPr="000D521F">
        <w:rPr>
          <w:bCs/>
          <w:lang w:eastAsia="lt-LT"/>
        </w:rPr>
        <w:t>Pareiškėjo argumentavimas, kad „placebas + foninis gydymas“ prilygsta aktyviam palyginamajam gydymui nepriimtinas, nes remiantis klinikinio tyrimo ATHOS-3 duomenimis neįmanoma parinkti Lietuvos klinikinę praktiką ati</w:t>
      </w:r>
      <w:r w:rsidR="0046133D" w:rsidRPr="000D521F">
        <w:rPr>
          <w:bCs/>
          <w:lang w:eastAsia="lt-LT"/>
        </w:rPr>
        <w:t>t</w:t>
      </w:r>
      <w:r w:rsidRPr="000D521F">
        <w:rPr>
          <w:bCs/>
          <w:lang w:eastAsia="lt-LT"/>
        </w:rPr>
        <w:t xml:space="preserve">inkančių palyginamųjų vaistinių preparatų derinių. </w:t>
      </w:r>
      <w:r w:rsidR="0046133D" w:rsidRPr="000D521F">
        <w:rPr>
          <w:bCs/>
          <w:lang w:eastAsia="lt-LT"/>
        </w:rPr>
        <w:t>Taip pat p</w:t>
      </w:r>
      <w:r w:rsidRPr="000D521F">
        <w:rPr>
          <w:bCs/>
          <w:lang w:eastAsia="lt-LT"/>
        </w:rPr>
        <w:t xml:space="preserve">ažymėtina, kad </w:t>
      </w:r>
      <w:r w:rsidR="00B127BC" w:rsidRPr="000D521F">
        <w:rPr>
          <w:bCs/>
          <w:lang w:eastAsia="lt-LT"/>
        </w:rPr>
        <w:t xml:space="preserve">ATHOS-3 tyrime </w:t>
      </w:r>
      <w:r w:rsidRPr="000D521F">
        <w:rPr>
          <w:bCs/>
          <w:lang w:eastAsia="lt-LT"/>
        </w:rPr>
        <w:t xml:space="preserve">tik apie 6 proc. pacientų pradžioje gavo didelę </w:t>
      </w:r>
      <w:proofErr w:type="spellStart"/>
      <w:r w:rsidRPr="000D521F">
        <w:rPr>
          <w:bCs/>
          <w:lang w:eastAsia="lt-LT"/>
        </w:rPr>
        <w:t>vazopresoriaus</w:t>
      </w:r>
      <w:proofErr w:type="spellEnd"/>
      <w:r w:rsidRPr="000D521F">
        <w:rPr>
          <w:bCs/>
          <w:lang w:eastAsia="lt-LT"/>
        </w:rPr>
        <w:t xml:space="preserve"> dozę (NED &gt; 1 </w:t>
      </w:r>
      <w:proofErr w:type="spellStart"/>
      <w:r w:rsidRPr="000D521F">
        <w:rPr>
          <w:bCs/>
          <w:lang w:eastAsia="lt-LT"/>
        </w:rPr>
        <w:t>mkg</w:t>
      </w:r>
      <w:proofErr w:type="spellEnd"/>
      <w:r w:rsidRPr="000D521F">
        <w:rPr>
          <w:bCs/>
          <w:lang w:eastAsia="lt-LT"/>
        </w:rPr>
        <w:t>/kg/min.)</w:t>
      </w:r>
      <w:r w:rsidR="0046133D" w:rsidRPr="000D521F">
        <w:rPr>
          <w:bCs/>
          <w:lang w:eastAsia="lt-LT"/>
        </w:rPr>
        <w:t>.</w:t>
      </w:r>
      <w:r w:rsidR="00487B16">
        <w:rPr>
          <w:bCs/>
          <w:lang w:eastAsia="lt-LT"/>
        </w:rPr>
        <w:t xml:space="preserve"> </w:t>
      </w:r>
      <w:r w:rsidR="0046133D" w:rsidRPr="000D521F">
        <w:rPr>
          <w:bCs/>
          <w:lang w:eastAsia="lt-LT"/>
        </w:rPr>
        <w:t>T</w:t>
      </w:r>
      <w:r w:rsidRPr="000D521F">
        <w:rPr>
          <w:bCs/>
          <w:lang w:eastAsia="lt-LT"/>
        </w:rPr>
        <w:t>oks nedidelis pacientų skaičius neatspindi Europinės praktikos, įskaitant Lietuvos klinikinę praktiką. Atsakymuose taip pat nepateikta aišk</w:t>
      </w:r>
      <w:r w:rsidR="00B127BC" w:rsidRPr="000D521F">
        <w:rPr>
          <w:bCs/>
          <w:lang w:eastAsia="lt-LT"/>
        </w:rPr>
        <w:t>ių</w:t>
      </w:r>
      <w:r w:rsidRPr="000D521F">
        <w:rPr>
          <w:bCs/>
          <w:lang w:eastAsia="lt-LT"/>
        </w:rPr>
        <w:t>, dokumentais pagrįst</w:t>
      </w:r>
      <w:r w:rsidR="00B127BC" w:rsidRPr="000D521F">
        <w:rPr>
          <w:bCs/>
          <w:lang w:eastAsia="lt-LT"/>
        </w:rPr>
        <w:t>ų</w:t>
      </w:r>
      <w:r w:rsidRPr="000D521F">
        <w:rPr>
          <w:bCs/>
          <w:lang w:eastAsia="lt-LT"/>
        </w:rPr>
        <w:t xml:space="preserve"> argument</w:t>
      </w:r>
      <w:r w:rsidR="00B127BC" w:rsidRPr="000D521F">
        <w:rPr>
          <w:bCs/>
          <w:lang w:eastAsia="lt-LT"/>
        </w:rPr>
        <w:t>ų</w:t>
      </w:r>
      <w:r w:rsidRPr="000D521F">
        <w:rPr>
          <w:bCs/>
          <w:lang w:eastAsia="lt-LT"/>
        </w:rPr>
        <w:t xml:space="preserve"> (Lietuvos algoritmas vs. ATHOS-3 algoritmas), ar sekančios eilės </w:t>
      </w:r>
      <w:proofErr w:type="spellStart"/>
      <w:r w:rsidRPr="000D521F">
        <w:rPr>
          <w:bCs/>
          <w:lang w:eastAsia="lt-LT"/>
        </w:rPr>
        <w:t>refrakterinė</w:t>
      </w:r>
      <w:r w:rsidR="00AB731D" w:rsidRPr="000D521F">
        <w:rPr>
          <w:bCs/>
          <w:lang w:eastAsia="lt-LT"/>
        </w:rPr>
        <w:t>s</w:t>
      </w:r>
      <w:proofErr w:type="spellEnd"/>
      <w:r w:rsidRPr="000D521F">
        <w:rPr>
          <w:bCs/>
          <w:lang w:eastAsia="lt-LT"/>
        </w:rPr>
        <w:t xml:space="preserve"> </w:t>
      </w:r>
      <w:proofErr w:type="spellStart"/>
      <w:r w:rsidRPr="000D521F">
        <w:rPr>
          <w:bCs/>
          <w:lang w:eastAsia="lt-LT"/>
        </w:rPr>
        <w:t>hipotenzij</w:t>
      </w:r>
      <w:r w:rsidR="00AB731D" w:rsidRPr="000D521F">
        <w:rPr>
          <w:bCs/>
          <w:lang w:eastAsia="lt-LT"/>
        </w:rPr>
        <w:t>os</w:t>
      </w:r>
      <w:proofErr w:type="spellEnd"/>
      <w:r w:rsidR="00AB731D" w:rsidRPr="000D521F">
        <w:rPr>
          <w:bCs/>
          <w:lang w:eastAsia="lt-LT"/>
        </w:rPr>
        <w:t xml:space="preserve"> gydymas</w:t>
      </w:r>
      <w:r w:rsidRPr="000D521F">
        <w:rPr>
          <w:bCs/>
          <w:lang w:eastAsia="lt-LT"/>
        </w:rPr>
        <w:t>, tyrime sutampa su Lietuvos įprast</w:t>
      </w:r>
      <w:r w:rsidR="0046133D" w:rsidRPr="000D521F">
        <w:rPr>
          <w:bCs/>
          <w:lang w:eastAsia="lt-LT"/>
        </w:rPr>
        <w:t>a</w:t>
      </w:r>
      <w:r w:rsidRPr="000D521F">
        <w:rPr>
          <w:bCs/>
          <w:lang w:eastAsia="lt-LT"/>
        </w:rPr>
        <w:t xml:space="preserve"> klinikin</w:t>
      </w:r>
      <w:r w:rsidR="0046133D" w:rsidRPr="000D521F">
        <w:rPr>
          <w:bCs/>
          <w:lang w:eastAsia="lt-LT"/>
        </w:rPr>
        <w:t>e</w:t>
      </w:r>
      <w:r w:rsidRPr="000D521F">
        <w:rPr>
          <w:bCs/>
          <w:lang w:eastAsia="lt-LT"/>
        </w:rPr>
        <w:t xml:space="preserve"> praktik</w:t>
      </w:r>
      <w:r w:rsidR="0046133D" w:rsidRPr="000D521F">
        <w:rPr>
          <w:bCs/>
          <w:lang w:eastAsia="lt-LT"/>
        </w:rPr>
        <w:t>a</w:t>
      </w:r>
      <w:r w:rsidRPr="000D521F">
        <w:rPr>
          <w:bCs/>
          <w:lang w:eastAsia="lt-LT"/>
        </w:rPr>
        <w:t xml:space="preserve">. </w:t>
      </w:r>
    </w:p>
    <w:p w14:paraId="47029C48" w14:textId="6991F178" w:rsidR="004A2C55" w:rsidRDefault="00E51E58" w:rsidP="00B127BC">
      <w:pPr>
        <w:spacing w:line="276" w:lineRule="auto"/>
        <w:ind w:firstLine="720"/>
        <w:jc w:val="both"/>
        <w:rPr>
          <w:b/>
          <w:bCs/>
          <w:caps/>
        </w:rPr>
      </w:pPr>
      <w:r w:rsidRPr="000D521F">
        <w:rPr>
          <w:bCs/>
          <w:lang w:eastAsia="lt-LT"/>
        </w:rPr>
        <w:t>Apibendrinant, esminis prieštaravimas</w:t>
      </w:r>
      <w:r w:rsidR="0046133D" w:rsidRPr="000D521F">
        <w:rPr>
          <w:bCs/>
          <w:lang w:eastAsia="lt-LT"/>
        </w:rPr>
        <w:t>, susijęs su netinkamu palyginamuoju gydymu</w:t>
      </w:r>
      <w:r w:rsidR="006E6E03">
        <w:rPr>
          <w:bCs/>
          <w:lang w:eastAsia="lt-LT"/>
        </w:rPr>
        <w:t>,</w:t>
      </w:r>
      <w:r w:rsidRPr="000D521F">
        <w:rPr>
          <w:bCs/>
          <w:lang w:eastAsia="lt-LT"/>
        </w:rPr>
        <w:t xml:space="preserve"> lieka neįspręstas.</w:t>
      </w:r>
      <w:r w:rsidR="00B127BC" w:rsidRPr="000D521F">
        <w:rPr>
          <w:bCs/>
          <w:lang w:eastAsia="lt-LT"/>
        </w:rPr>
        <w:t xml:space="preserve"> P</w:t>
      </w:r>
      <w:r w:rsidR="0073505E" w:rsidRPr="000D521F">
        <w:rPr>
          <w:bCs/>
          <w:lang w:eastAsia="lt-LT"/>
        </w:rPr>
        <w:t>alyginamojo veiksmingumo duomenys ir toliau laikytini netinkamais vertinti (</w:t>
      </w:r>
      <w:r w:rsidR="006E6E03">
        <w:rPr>
          <w:bCs/>
          <w:lang w:eastAsia="lt-LT"/>
        </w:rPr>
        <w:t>atitinka A</w:t>
      </w:r>
      <w:r w:rsidR="0073505E" w:rsidRPr="000D521F">
        <w:rPr>
          <w:bCs/>
          <w:lang w:eastAsia="lt-LT"/>
        </w:rPr>
        <w:t>prašo 29.1.5 p</w:t>
      </w:r>
      <w:r w:rsidR="006E6E03">
        <w:rPr>
          <w:bCs/>
          <w:lang w:eastAsia="lt-LT"/>
        </w:rPr>
        <w:t>apunktį</w:t>
      </w:r>
      <w:r w:rsidR="0073505E" w:rsidRPr="000D521F">
        <w:rPr>
          <w:bCs/>
          <w:lang w:eastAsia="lt-LT"/>
        </w:rPr>
        <w:t>).</w:t>
      </w:r>
    </w:p>
    <w:p w14:paraId="39C1ADA8" w14:textId="77777777" w:rsidR="00AC5129" w:rsidRPr="00334F18" w:rsidRDefault="00AC5129" w:rsidP="00A93AA6">
      <w:pPr>
        <w:pStyle w:val="Sraopastraipa"/>
        <w:tabs>
          <w:tab w:val="left" w:pos="426"/>
        </w:tabs>
        <w:ind w:left="0"/>
        <w:rPr>
          <w:b/>
          <w:bCs/>
          <w:caps/>
        </w:rPr>
      </w:pPr>
    </w:p>
    <w:p w14:paraId="7DE09EB5" w14:textId="69E9DD74" w:rsidR="00E03C3F" w:rsidRPr="005444DC" w:rsidRDefault="00CC7832" w:rsidP="00CC09D4">
      <w:pPr>
        <w:pStyle w:val="Sraopastraipa"/>
        <w:numPr>
          <w:ilvl w:val="0"/>
          <w:numId w:val="12"/>
        </w:numPr>
        <w:tabs>
          <w:tab w:val="left" w:pos="567"/>
        </w:tabs>
        <w:ind w:hanging="720"/>
        <w:rPr>
          <w:b/>
          <w:bCs/>
          <w:caps/>
        </w:rPr>
      </w:pPr>
      <w:r w:rsidRPr="005444DC">
        <w:rPr>
          <w:b/>
          <w:bCs/>
          <w:caps/>
        </w:rPr>
        <w:t xml:space="preserve">ekonominio vertinimo </w:t>
      </w:r>
      <w:r w:rsidR="002F0E4F" w:rsidRPr="005444DC">
        <w:rPr>
          <w:b/>
          <w:bCs/>
          <w:caps/>
        </w:rPr>
        <w:t>apibendrinimas</w:t>
      </w:r>
    </w:p>
    <w:p w14:paraId="1A900598" w14:textId="4826E5DF" w:rsidR="00C62B36" w:rsidRPr="004A2C55" w:rsidRDefault="00C62B36" w:rsidP="00A93AA6">
      <w:pPr>
        <w:tabs>
          <w:tab w:val="left" w:pos="426"/>
        </w:tabs>
        <w:rPr>
          <w:b/>
          <w:bCs/>
          <w:caps/>
          <w:highlight w:val="yellow"/>
        </w:rPr>
      </w:pPr>
    </w:p>
    <w:p w14:paraId="5271686E" w14:textId="7B71DC0A" w:rsidR="005444DC" w:rsidRPr="009300B3" w:rsidRDefault="005444DC" w:rsidP="005444DC">
      <w:pPr>
        <w:spacing w:line="276" w:lineRule="auto"/>
        <w:jc w:val="both"/>
      </w:pPr>
      <w:r w:rsidRPr="009300B3">
        <w:rPr>
          <w:rFonts w:eastAsia="Arial"/>
        </w:rPr>
        <w:t>V</w:t>
      </w:r>
      <w:r>
        <w:rPr>
          <w:rFonts w:eastAsia="Arial"/>
        </w:rPr>
        <w:t>ykdant</w:t>
      </w:r>
      <w:r w:rsidRPr="009300B3">
        <w:rPr>
          <w:rFonts w:eastAsia="Arial"/>
        </w:rPr>
        <w:t xml:space="preserve"> </w:t>
      </w:r>
      <w:r w:rsidR="00E62CF8">
        <w:t xml:space="preserve">Aprašo </w:t>
      </w:r>
      <w:r w:rsidRPr="009300B3">
        <w:t>17</w:t>
      </w:r>
      <w:r>
        <w:rPr>
          <w:vertAlign w:val="superscript"/>
        </w:rPr>
        <w:t>2</w:t>
      </w:r>
      <w:r w:rsidRPr="009300B3">
        <w:t xml:space="preserve"> punkt</w:t>
      </w:r>
      <w:r>
        <w:t>ą</w:t>
      </w:r>
      <w:r w:rsidRPr="009300B3">
        <w:t>, ekonomin</w:t>
      </w:r>
      <w:r>
        <w:t>is vertinimas</w:t>
      </w:r>
      <w:r w:rsidRPr="009300B3">
        <w:t xml:space="preserve"> neatliekama</w:t>
      </w:r>
      <w:r>
        <w:t xml:space="preserve">s </w:t>
      </w:r>
      <w:r>
        <w:rPr>
          <w:rFonts w:eastAsia="Arial"/>
        </w:rPr>
        <w:t>k</w:t>
      </w:r>
      <w:r w:rsidRPr="009300B3">
        <w:rPr>
          <w:rFonts w:eastAsia="Arial"/>
        </w:rPr>
        <w:t>linikinio vertinimo metu nustačius</w:t>
      </w:r>
      <w:r>
        <w:rPr>
          <w:rFonts w:eastAsia="Arial"/>
        </w:rPr>
        <w:t xml:space="preserve">, jog klinikinės dalies vertinimo išvada atitinka bent vieną iš </w:t>
      </w:r>
      <w:r w:rsidRPr="009300B3">
        <w:t>tvarkos aprašo</w:t>
      </w:r>
      <w:r>
        <w:t xml:space="preserve"> </w:t>
      </w:r>
      <w:r>
        <w:rPr>
          <w:rFonts w:eastAsia="Arial"/>
        </w:rPr>
        <w:t>29.1.3 - 29.1.5 papunkčiuose nurodytų sąlygų (šiuo atveju 29.1.</w:t>
      </w:r>
      <w:r w:rsidR="00E62CF8">
        <w:rPr>
          <w:rFonts w:eastAsia="Arial"/>
        </w:rPr>
        <w:t>5</w:t>
      </w:r>
      <w:r>
        <w:rPr>
          <w:rFonts w:eastAsia="Arial"/>
        </w:rPr>
        <w:t xml:space="preserve">), tai laikoma esminiu Paraiškos trūkumu ir ekonominis vertinimas neatliekamas. </w:t>
      </w:r>
      <w:r w:rsidRPr="009300B3">
        <w:rPr>
          <w:rFonts w:eastAsia="Arial"/>
        </w:rPr>
        <w:t xml:space="preserve"> </w:t>
      </w:r>
    </w:p>
    <w:p w14:paraId="33875138" w14:textId="77777777" w:rsidR="0035172D" w:rsidRPr="00334F18" w:rsidRDefault="0035172D" w:rsidP="00A93AA6">
      <w:pPr>
        <w:tabs>
          <w:tab w:val="left" w:pos="426"/>
        </w:tabs>
        <w:rPr>
          <w:b/>
          <w:bCs/>
          <w:caps/>
        </w:rPr>
      </w:pPr>
    </w:p>
    <w:p w14:paraId="4FC424F9" w14:textId="4E767245" w:rsidR="00C62B36" w:rsidRPr="00334F18" w:rsidRDefault="00C62B36" w:rsidP="00CC09D4">
      <w:pPr>
        <w:pStyle w:val="Sraopastraipa"/>
        <w:numPr>
          <w:ilvl w:val="0"/>
          <w:numId w:val="12"/>
        </w:numPr>
        <w:tabs>
          <w:tab w:val="left" w:pos="567"/>
        </w:tabs>
        <w:ind w:hanging="720"/>
        <w:rPr>
          <w:b/>
          <w:bCs/>
          <w:caps/>
        </w:rPr>
      </w:pPr>
      <w:r w:rsidRPr="00334F18">
        <w:rPr>
          <w:b/>
          <w:bCs/>
          <w:caps/>
        </w:rPr>
        <w:t xml:space="preserve">Pacientų organizacijų pateikti duomenys </w:t>
      </w:r>
    </w:p>
    <w:p w14:paraId="54351841" w14:textId="77777777" w:rsidR="00C9728E" w:rsidRPr="00334F18" w:rsidRDefault="00C9728E" w:rsidP="00C9728E">
      <w:pPr>
        <w:pStyle w:val="Sraopastraipa"/>
        <w:tabs>
          <w:tab w:val="left" w:pos="567"/>
        </w:tabs>
        <w:rPr>
          <w:b/>
          <w:bCs/>
          <w:caps/>
        </w:rPr>
      </w:pPr>
    </w:p>
    <w:p w14:paraId="62992180" w14:textId="58DD0155" w:rsidR="00937907" w:rsidRPr="00334F18" w:rsidRDefault="00937907" w:rsidP="00937907">
      <w:pPr>
        <w:spacing w:after="120"/>
        <w:jc w:val="both"/>
      </w:pPr>
      <w:r w:rsidRPr="00334F18">
        <w:t xml:space="preserve">Pacientų organizacijos pozicija </w:t>
      </w:r>
      <w:r w:rsidR="00880A44" w:rsidRPr="00334F18">
        <w:t>ne</w:t>
      </w:r>
      <w:r w:rsidRPr="00334F18">
        <w:t>pateikta.</w:t>
      </w:r>
    </w:p>
    <w:p w14:paraId="03E73D82" w14:textId="77777777" w:rsidR="00D417D2" w:rsidRPr="00334F18" w:rsidRDefault="00D417D2" w:rsidP="00937907">
      <w:pPr>
        <w:spacing w:after="120"/>
        <w:jc w:val="both"/>
      </w:pPr>
    </w:p>
    <w:p w14:paraId="3D3277FA" w14:textId="09414FFF" w:rsidR="00C62B36" w:rsidRPr="00334F18" w:rsidRDefault="00D67BAF" w:rsidP="00CC09D4">
      <w:pPr>
        <w:pStyle w:val="Sraopastraipa"/>
        <w:numPr>
          <w:ilvl w:val="0"/>
          <w:numId w:val="12"/>
        </w:numPr>
        <w:tabs>
          <w:tab w:val="left" w:pos="567"/>
        </w:tabs>
        <w:ind w:hanging="720"/>
        <w:rPr>
          <w:b/>
          <w:bCs/>
          <w:caps/>
        </w:rPr>
      </w:pPr>
      <w:r w:rsidRPr="00334F18">
        <w:rPr>
          <w:b/>
          <w:bCs/>
          <w:caps/>
        </w:rPr>
        <w:t xml:space="preserve">SVEIKATOS PRIEŽIŪROS SPECIALISTŲ </w:t>
      </w:r>
      <w:r w:rsidR="00C62B36" w:rsidRPr="00334F18">
        <w:rPr>
          <w:b/>
          <w:bCs/>
          <w:caps/>
        </w:rPr>
        <w:t xml:space="preserve"> organizacijų pateikti duomenys</w:t>
      </w:r>
    </w:p>
    <w:p w14:paraId="044D5084" w14:textId="77777777" w:rsidR="00C9728E" w:rsidRPr="00334F18" w:rsidRDefault="00C9728E" w:rsidP="00C9728E">
      <w:pPr>
        <w:pStyle w:val="Sraopastraipa"/>
        <w:tabs>
          <w:tab w:val="left" w:pos="567"/>
        </w:tabs>
        <w:rPr>
          <w:b/>
          <w:bCs/>
          <w:caps/>
        </w:rPr>
      </w:pPr>
    </w:p>
    <w:p w14:paraId="5D8CC48C" w14:textId="3188FFA2" w:rsidR="00662983" w:rsidRPr="00334F18" w:rsidRDefault="00D67BAF" w:rsidP="00662983">
      <w:pPr>
        <w:spacing w:after="120"/>
        <w:jc w:val="both"/>
      </w:pPr>
      <w:r w:rsidRPr="00334F18">
        <w:t>S</w:t>
      </w:r>
      <w:r w:rsidRPr="00334F18">
        <w:rPr>
          <w:bCs/>
        </w:rPr>
        <w:t>veikatos priežiūros specialistų</w:t>
      </w:r>
      <w:r w:rsidR="00937907" w:rsidRPr="00334F18">
        <w:t xml:space="preserve"> organizacijos pozicija </w:t>
      </w:r>
      <w:r w:rsidR="00880A44" w:rsidRPr="00334F18">
        <w:t>ne</w:t>
      </w:r>
      <w:r w:rsidR="00937907" w:rsidRPr="00334F18">
        <w:t>pateikta.</w:t>
      </w:r>
    </w:p>
    <w:p w14:paraId="3701D46A" w14:textId="77777777" w:rsidR="00A042B9" w:rsidRPr="00334F18" w:rsidRDefault="00A042B9" w:rsidP="00662983">
      <w:pPr>
        <w:spacing w:after="120"/>
        <w:jc w:val="both"/>
      </w:pPr>
    </w:p>
    <w:p w14:paraId="78F23ECB" w14:textId="3ED5BFD5" w:rsidR="002F0E4F" w:rsidRPr="00334F18" w:rsidRDefault="002F0E4F" w:rsidP="00CC09D4">
      <w:pPr>
        <w:pStyle w:val="Sraopastraipa"/>
        <w:numPr>
          <w:ilvl w:val="0"/>
          <w:numId w:val="12"/>
        </w:numPr>
        <w:tabs>
          <w:tab w:val="left" w:pos="567"/>
        </w:tabs>
        <w:ind w:hanging="720"/>
        <w:rPr>
          <w:b/>
          <w:bCs/>
          <w:caps/>
        </w:rPr>
      </w:pPr>
      <w:r w:rsidRPr="00334F18">
        <w:rPr>
          <w:b/>
          <w:bCs/>
          <w:caps/>
        </w:rPr>
        <w:t>Išvad</w:t>
      </w:r>
      <w:r w:rsidR="00B811A4" w:rsidRPr="00334F18">
        <w:rPr>
          <w:b/>
          <w:bCs/>
          <w:caps/>
        </w:rPr>
        <w:t>OS</w:t>
      </w:r>
      <w:r w:rsidRPr="00334F18">
        <w:rPr>
          <w:b/>
          <w:bCs/>
          <w:caps/>
        </w:rPr>
        <w:t xml:space="preserve"> </w:t>
      </w:r>
    </w:p>
    <w:p w14:paraId="30069D85" w14:textId="77777777" w:rsidR="0061611B" w:rsidRPr="00334F18" w:rsidRDefault="0061611B" w:rsidP="0061611B">
      <w:pPr>
        <w:ind w:left="360"/>
        <w:rPr>
          <w:i/>
          <w:szCs w:val="22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4814"/>
      </w:tblGrid>
      <w:tr w:rsidR="00334F18" w:rsidRPr="00334F18" w14:paraId="4D5EFB83" w14:textId="77777777" w:rsidTr="007111C4">
        <w:trPr>
          <w:trHeight w:val="510"/>
        </w:trPr>
        <w:tc>
          <w:tcPr>
            <w:tcW w:w="9634" w:type="dxa"/>
            <w:gridSpan w:val="2"/>
            <w:vAlign w:val="center"/>
          </w:tcPr>
          <w:p w14:paraId="294EC16B" w14:textId="77777777" w:rsidR="00B811A4" w:rsidRPr="00334F18" w:rsidRDefault="00B811A4" w:rsidP="00743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Style2"/>
                <w:rFonts w:eastAsia="MS Gothic"/>
                <w:b/>
                <w:bCs/>
                <w:sz w:val="23"/>
                <w:szCs w:val="23"/>
              </w:rPr>
            </w:pPr>
            <w:bookmarkStart w:id="4" w:name="_Hlk185430554"/>
            <w:r w:rsidRPr="00334F18">
              <w:rPr>
                <w:rStyle w:val="Style2"/>
                <w:rFonts w:eastAsia="MS Gothic"/>
                <w:b/>
                <w:bCs/>
                <w:sz w:val="23"/>
                <w:szCs w:val="23"/>
              </w:rPr>
              <w:t>Palyginamasis veiksmingumas</w:t>
            </w:r>
          </w:p>
        </w:tc>
      </w:tr>
      <w:tr w:rsidR="00334F18" w:rsidRPr="00334F18" w14:paraId="30B67515" w14:textId="77777777" w:rsidTr="007111C4">
        <w:tc>
          <w:tcPr>
            <w:tcW w:w="4820" w:type="dxa"/>
          </w:tcPr>
          <w:p w14:paraId="4FE3C208" w14:textId="77777777" w:rsidR="00B811A4" w:rsidRPr="00334F18" w:rsidRDefault="003B2B16" w:rsidP="00743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sdt>
              <w:sdtPr>
                <w:rPr>
                  <w:rStyle w:val="Style2"/>
                  <w:sz w:val="23"/>
                  <w:szCs w:val="23"/>
                </w:rPr>
                <w:id w:val="1397324644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B811A4" w:rsidRPr="00334F18">
                  <w:rPr>
                    <w:rStyle w:val="Style2"/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B811A4" w:rsidRPr="00334F18">
              <w:rPr>
                <w:rStyle w:val="Style2"/>
                <w:sz w:val="23"/>
                <w:szCs w:val="23"/>
              </w:rPr>
              <w:t xml:space="preserve"> 29</w:t>
            </w:r>
            <w:r w:rsidR="00B811A4" w:rsidRPr="00334F18">
              <w:rPr>
                <w:sz w:val="23"/>
                <w:szCs w:val="23"/>
              </w:rPr>
              <w:t>.1.1 yra didesnis, lyginant su įprasta klinikine praktika</w:t>
            </w:r>
          </w:p>
          <w:p w14:paraId="6F9786E4" w14:textId="77777777" w:rsidR="00B811A4" w:rsidRPr="00334F18" w:rsidRDefault="00B811A4" w:rsidP="00743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</w:p>
          <w:p w14:paraId="231EDECD" w14:textId="77777777" w:rsidR="00B811A4" w:rsidRPr="00334F18" w:rsidRDefault="003B2B16" w:rsidP="00743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sz w:val="23"/>
                <w:szCs w:val="23"/>
              </w:rPr>
            </w:pPr>
            <w:sdt>
              <w:sdtPr>
                <w:rPr>
                  <w:rStyle w:val="Style2"/>
                  <w:sz w:val="23"/>
                  <w:szCs w:val="23"/>
                </w:rPr>
                <w:id w:val="418297090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B811A4" w:rsidRPr="00334F18">
                  <w:rPr>
                    <w:rStyle w:val="Style2"/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B811A4" w:rsidRPr="00334F18">
              <w:rPr>
                <w:sz w:val="23"/>
                <w:szCs w:val="23"/>
              </w:rPr>
              <w:t xml:space="preserve"> </w:t>
            </w:r>
            <w:r w:rsidR="00B811A4" w:rsidRPr="00334F18">
              <w:rPr>
                <w:rStyle w:val="Style2"/>
                <w:sz w:val="23"/>
                <w:szCs w:val="23"/>
              </w:rPr>
              <w:t>29</w:t>
            </w:r>
            <w:r w:rsidR="00B811A4" w:rsidRPr="00334F18">
              <w:rPr>
                <w:sz w:val="23"/>
                <w:szCs w:val="23"/>
              </w:rPr>
              <w:t>.1.2 iš esmės nesiskiria, lyginant su įprasta klinikine praktika</w:t>
            </w:r>
          </w:p>
        </w:tc>
        <w:tc>
          <w:tcPr>
            <w:tcW w:w="4814" w:type="dxa"/>
          </w:tcPr>
          <w:p w14:paraId="72562F9E" w14:textId="77777777" w:rsidR="00B811A4" w:rsidRPr="00334F18" w:rsidRDefault="003B2B16" w:rsidP="00743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sdt>
              <w:sdtPr>
                <w:rPr>
                  <w:rStyle w:val="Style2"/>
                  <w:sz w:val="23"/>
                  <w:szCs w:val="23"/>
                </w:rPr>
                <w:id w:val="-72475559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B811A4" w:rsidRPr="00334F18">
                  <w:rPr>
                    <w:rStyle w:val="Style2"/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B811A4" w:rsidRPr="00334F18">
              <w:rPr>
                <w:sz w:val="23"/>
                <w:szCs w:val="23"/>
              </w:rPr>
              <w:t xml:space="preserve"> </w:t>
            </w:r>
            <w:r w:rsidR="00B811A4" w:rsidRPr="00334F18">
              <w:rPr>
                <w:rStyle w:val="Style2"/>
                <w:sz w:val="23"/>
                <w:szCs w:val="23"/>
              </w:rPr>
              <w:t>29</w:t>
            </w:r>
            <w:r w:rsidR="00B811A4" w:rsidRPr="00334F18">
              <w:rPr>
                <w:sz w:val="23"/>
                <w:szCs w:val="23"/>
              </w:rPr>
              <w:t xml:space="preserve">.1.3 yra neįrodytas kaip didesnis  ar iš esmės nesiskiriantis, lyginant su įprasta klinikine praktika  </w:t>
            </w:r>
          </w:p>
          <w:p w14:paraId="6F6DB5BC" w14:textId="77777777" w:rsidR="00B811A4" w:rsidRPr="00334F18" w:rsidRDefault="00B811A4" w:rsidP="00743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</w:p>
          <w:p w14:paraId="5EE1D885" w14:textId="77777777" w:rsidR="00B811A4" w:rsidRPr="00334F18" w:rsidRDefault="003B2B16" w:rsidP="00743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sdt>
              <w:sdtPr>
                <w:rPr>
                  <w:rStyle w:val="Style2"/>
                  <w:sz w:val="23"/>
                  <w:szCs w:val="23"/>
                </w:rPr>
                <w:id w:val="1862168479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B811A4" w:rsidRPr="00334F18">
                  <w:rPr>
                    <w:rStyle w:val="Style2"/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B811A4" w:rsidRPr="00334F18">
              <w:rPr>
                <w:sz w:val="23"/>
                <w:szCs w:val="23"/>
              </w:rPr>
              <w:t xml:space="preserve"> </w:t>
            </w:r>
            <w:r w:rsidR="00B811A4" w:rsidRPr="00334F18">
              <w:rPr>
                <w:rStyle w:val="Style2"/>
                <w:sz w:val="23"/>
                <w:szCs w:val="23"/>
              </w:rPr>
              <w:t>29</w:t>
            </w:r>
            <w:r w:rsidR="00B811A4" w:rsidRPr="00334F18">
              <w:rPr>
                <w:sz w:val="23"/>
                <w:szCs w:val="23"/>
              </w:rPr>
              <w:t>.1.4 yra mažesnis, lyginant su įprasta klinikine praktika</w:t>
            </w:r>
          </w:p>
          <w:p w14:paraId="193C3D76" w14:textId="77777777" w:rsidR="00B811A4" w:rsidRPr="00334F18" w:rsidRDefault="00B811A4" w:rsidP="00743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</w:p>
          <w:p w14:paraId="370E94DC" w14:textId="424E84F5" w:rsidR="00B811A4" w:rsidRPr="00334F18" w:rsidRDefault="003B2B16" w:rsidP="00743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sdt>
              <w:sdtPr>
                <w:rPr>
                  <w:rStyle w:val="Style2"/>
                  <w:sz w:val="23"/>
                  <w:szCs w:val="23"/>
                </w:rPr>
                <w:id w:val="-1857960180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4A2C55">
                  <w:rPr>
                    <w:rStyle w:val="Style2"/>
                    <w:rFonts w:ascii="MS Gothic" w:eastAsia="MS Gothic" w:hAnsi="MS Gothic" w:hint="eastAsia"/>
                    <w:sz w:val="23"/>
                    <w:szCs w:val="23"/>
                  </w:rPr>
                  <w:t>☒</w:t>
                </w:r>
              </w:sdtContent>
            </w:sdt>
            <w:r w:rsidR="00B811A4" w:rsidRPr="00334F18">
              <w:rPr>
                <w:sz w:val="23"/>
                <w:szCs w:val="23"/>
              </w:rPr>
              <w:t xml:space="preserve"> </w:t>
            </w:r>
            <w:r w:rsidR="00B811A4" w:rsidRPr="00334F18">
              <w:rPr>
                <w:rStyle w:val="Style2"/>
                <w:sz w:val="23"/>
                <w:szCs w:val="23"/>
              </w:rPr>
              <w:t>29</w:t>
            </w:r>
            <w:r w:rsidR="00B811A4" w:rsidRPr="00334F18">
              <w:rPr>
                <w:sz w:val="23"/>
                <w:szCs w:val="23"/>
              </w:rPr>
              <w:t>.1.5 pateikti duomenys apie palyginamąjį veiksmingumą yra netinkami vertinti</w:t>
            </w:r>
          </w:p>
          <w:p w14:paraId="45719037" w14:textId="77777777" w:rsidR="00B811A4" w:rsidRPr="00334F18" w:rsidRDefault="00B811A4" w:rsidP="00743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rFonts w:eastAsia="MS Gothic"/>
                <w:sz w:val="23"/>
                <w:szCs w:val="23"/>
              </w:rPr>
            </w:pPr>
          </w:p>
        </w:tc>
      </w:tr>
      <w:bookmarkEnd w:id="4"/>
    </w:tbl>
    <w:p w14:paraId="08D5B3B6" w14:textId="292D1124" w:rsidR="0061611B" w:rsidRPr="00334F18" w:rsidRDefault="0061611B" w:rsidP="0061611B">
      <w:pPr>
        <w:rPr>
          <w:i/>
          <w:szCs w:val="22"/>
        </w:rPr>
      </w:pPr>
    </w:p>
    <w:p w14:paraId="1B85C083" w14:textId="77777777" w:rsidR="009E44AE" w:rsidRDefault="009E44AE" w:rsidP="00381024"/>
    <w:p w14:paraId="4ED68303" w14:textId="77777777" w:rsidR="00CB519A" w:rsidRDefault="00CB519A" w:rsidP="00381024"/>
    <w:p w14:paraId="6E22A895" w14:textId="77777777" w:rsidR="00CB519A" w:rsidRPr="00334F18" w:rsidRDefault="00CB519A" w:rsidP="00381024"/>
    <w:p w14:paraId="3B2D1F25" w14:textId="3A80E19F" w:rsidR="000001B0" w:rsidRPr="00334F18" w:rsidRDefault="000001B0" w:rsidP="00CC09D4">
      <w:pPr>
        <w:pStyle w:val="Sraopastraipa"/>
        <w:numPr>
          <w:ilvl w:val="0"/>
          <w:numId w:val="12"/>
        </w:numPr>
        <w:ind w:left="567" w:hanging="567"/>
      </w:pPr>
      <w:r w:rsidRPr="00334F18">
        <w:rPr>
          <w:b/>
        </w:rPr>
        <w:lastRenderedPageBreak/>
        <w:t>REKOME</w:t>
      </w:r>
      <w:r w:rsidR="00D83182" w:rsidRPr="00334F18">
        <w:rPr>
          <w:b/>
        </w:rPr>
        <w:t>N</w:t>
      </w:r>
      <w:r w:rsidRPr="00334F18">
        <w:rPr>
          <w:b/>
        </w:rPr>
        <w:t>DACIJA</w:t>
      </w:r>
    </w:p>
    <w:p w14:paraId="35E33D78" w14:textId="59232BB3" w:rsidR="00B811A4" w:rsidRPr="00334F18" w:rsidRDefault="00B811A4" w:rsidP="00B811A4">
      <w:pPr>
        <w:pStyle w:val="Sraopastraipa"/>
        <w:ind w:left="567"/>
        <w:rPr>
          <w:b/>
        </w:rPr>
      </w:pPr>
    </w:p>
    <w:p w14:paraId="7CDFF220" w14:textId="564249F8" w:rsidR="000723FF" w:rsidRPr="00451B94" w:rsidRDefault="00B811A4" w:rsidP="003D2191">
      <w:pPr>
        <w:spacing w:line="276" w:lineRule="auto"/>
        <w:jc w:val="both"/>
      </w:pPr>
      <w:r w:rsidRPr="00334F18">
        <w:t>Vadovaujantis Vaistinių preparatų ir medicinos pagalbos priemonių įrašymo į kompensavimo sąrašus ir jų keitimo tvarkos aprašo, patvirtinto Lietuvos Respublikos sveikatos apsaugos ministro 2002 m. balandžio 5 d. įsakymu Nr. V-159 „Dėl vaistinių preparatų ir medicinos pagalbos priemonių įrašymo į kompensavimo sąrašus ir jų keitimo tvarkos aprašo patvirtinimo“, punk</w:t>
      </w:r>
      <w:bookmarkStart w:id="5" w:name="part_2e1d9dd50ec54141ab7a1b19970b9847"/>
      <w:bookmarkEnd w:id="5"/>
      <w:r w:rsidR="005444DC">
        <w:t xml:space="preserve">tu </w:t>
      </w:r>
      <w:r w:rsidR="00AC5129" w:rsidRPr="00334F18">
        <w:rPr>
          <w:lang w:eastAsia="lt-LT"/>
        </w:rPr>
        <w:t>30</w:t>
      </w:r>
      <w:r w:rsidR="00AC5129" w:rsidRPr="00334F18">
        <w:rPr>
          <w:vertAlign w:val="superscript"/>
          <w:lang w:eastAsia="lt-LT"/>
        </w:rPr>
        <w:t>1</w:t>
      </w:r>
      <w:r w:rsidR="00AC5129" w:rsidRPr="00334F18">
        <w:rPr>
          <w:lang w:eastAsia="lt-LT"/>
        </w:rPr>
        <w:t>.3</w:t>
      </w:r>
      <w:r w:rsidR="005444DC">
        <w:rPr>
          <w:lang w:eastAsia="lt-LT"/>
        </w:rPr>
        <w:t xml:space="preserve">, </w:t>
      </w:r>
      <w:r w:rsidR="00AC5129" w:rsidRPr="00334F18">
        <w:rPr>
          <w:lang w:eastAsia="lt-LT"/>
        </w:rPr>
        <w:t xml:space="preserve">rekomenduojama </w:t>
      </w:r>
      <w:r w:rsidR="00AC5129" w:rsidRPr="006E6E03">
        <w:rPr>
          <w:b/>
          <w:bCs/>
          <w:lang w:eastAsia="lt-LT"/>
        </w:rPr>
        <w:t xml:space="preserve">nekompensuoti </w:t>
      </w:r>
      <w:r w:rsidR="00AC5129" w:rsidRPr="00334F18">
        <w:rPr>
          <w:lang w:eastAsia="lt-LT"/>
        </w:rPr>
        <w:t>vaistinio preparato pagal paraiškoje nurodytą indikaciją (arba jos dalį) su arba be skyrimo sąlygų, taikant arba netaikant PGS, kai vertinimo išvados atitinka Aprašo 29.1.5 papunktyje numatytą sąlygą</w:t>
      </w:r>
      <w:bookmarkStart w:id="6" w:name="part_e5da10a7dd3c4954a51a4cfadcc5dca9"/>
      <w:bookmarkStart w:id="7" w:name="part_cfcc6837026a4f778099b76920d1102e"/>
      <w:bookmarkEnd w:id="6"/>
      <w:bookmarkEnd w:id="7"/>
      <w:r w:rsidR="005444DC">
        <w:rPr>
          <w:lang w:eastAsia="lt-LT"/>
        </w:rPr>
        <w:t>.</w:t>
      </w:r>
    </w:p>
    <w:sectPr w:rsidR="000723FF" w:rsidRPr="00451B94" w:rsidSect="00063A50">
      <w:headerReference w:type="first" r:id="rId7"/>
      <w:footerReference w:type="first" r:id="rId8"/>
      <w:pgSz w:w="11907" w:h="16840" w:code="9"/>
      <w:pgMar w:top="1134" w:right="567" w:bottom="1134" w:left="1701" w:header="646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DD440" w14:textId="77777777" w:rsidR="003B2B16" w:rsidRDefault="003B2B16">
      <w:r>
        <w:separator/>
      </w:r>
    </w:p>
  </w:endnote>
  <w:endnote w:type="continuationSeparator" w:id="0">
    <w:p w14:paraId="6CE911C1" w14:textId="77777777" w:rsidR="003B2B16" w:rsidRDefault="003B2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D3368" w14:textId="77777777" w:rsidR="00347FAA" w:rsidRDefault="00347FAA">
    <w:pPr>
      <w:pStyle w:val="Porat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456F4" w14:textId="77777777" w:rsidR="003B2B16" w:rsidRDefault="003B2B16">
      <w:r>
        <w:separator/>
      </w:r>
    </w:p>
  </w:footnote>
  <w:footnote w:type="continuationSeparator" w:id="0">
    <w:p w14:paraId="2AB738C8" w14:textId="77777777" w:rsidR="003B2B16" w:rsidRDefault="003B2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E1C8F" w14:textId="77777777" w:rsidR="00347FAA" w:rsidRDefault="00347FAA" w:rsidP="00FD793C">
    <w:pPr>
      <w:pStyle w:val="Antrats"/>
      <w:ind w:left="612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D8E"/>
    <w:multiLevelType w:val="hybridMultilevel"/>
    <w:tmpl w:val="10FAC1C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276250"/>
    <w:multiLevelType w:val="hybridMultilevel"/>
    <w:tmpl w:val="3B6C29F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0081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28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B56BED"/>
    <w:multiLevelType w:val="hybridMultilevel"/>
    <w:tmpl w:val="03368D8C"/>
    <w:lvl w:ilvl="0" w:tplc="02445F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D2E58"/>
    <w:multiLevelType w:val="hybridMultilevel"/>
    <w:tmpl w:val="F6943F7A"/>
    <w:lvl w:ilvl="0" w:tplc="AB64BC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01C59"/>
    <w:multiLevelType w:val="hybridMultilevel"/>
    <w:tmpl w:val="64544F3A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A816B09"/>
    <w:multiLevelType w:val="hybridMultilevel"/>
    <w:tmpl w:val="8FBEE17A"/>
    <w:lvl w:ilvl="0" w:tplc="0427000F">
      <w:start w:val="16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81" w:hanging="360"/>
      </w:pPr>
    </w:lvl>
    <w:lvl w:ilvl="2" w:tplc="0427001B" w:tentative="1">
      <w:start w:val="1"/>
      <w:numFmt w:val="lowerRoman"/>
      <w:lvlText w:val="%3."/>
      <w:lvlJc w:val="right"/>
      <w:pPr>
        <w:ind w:left="2301" w:hanging="180"/>
      </w:pPr>
    </w:lvl>
    <w:lvl w:ilvl="3" w:tplc="0427000F" w:tentative="1">
      <w:start w:val="1"/>
      <w:numFmt w:val="decimal"/>
      <w:lvlText w:val="%4."/>
      <w:lvlJc w:val="left"/>
      <w:pPr>
        <w:ind w:left="3021" w:hanging="360"/>
      </w:pPr>
    </w:lvl>
    <w:lvl w:ilvl="4" w:tplc="04270019" w:tentative="1">
      <w:start w:val="1"/>
      <w:numFmt w:val="lowerLetter"/>
      <w:lvlText w:val="%5."/>
      <w:lvlJc w:val="left"/>
      <w:pPr>
        <w:ind w:left="3741" w:hanging="360"/>
      </w:pPr>
    </w:lvl>
    <w:lvl w:ilvl="5" w:tplc="0427001B" w:tentative="1">
      <w:start w:val="1"/>
      <w:numFmt w:val="lowerRoman"/>
      <w:lvlText w:val="%6."/>
      <w:lvlJc w:val="right"/>
      <w:pPr>
        <w:ind w:left="4461" w:hanging="180"/>
      </w:pPr>
    </w:lvl>
    <w:lvl w:ilvl="6" w:tplc="0427000F" w:tentative="1">
      <w:start w:val="1"/>
      <w:numFmt w:val="decimal"/>
      <w:lvlText w:val="%7."/>
      <w:lvlJc w:val="left"/>
      <w:pPr>
        <w:ind w:left="5181" w:hanging="360"/>
      </w:pPr>
    </w:lvl>
    <w:lvl w:ilvl="7" w:tplc="04270019" w:tentative="1">
      <w:start w:val="1"/>
      <w:numFmt w:val="lowerLetter"/>
      <w:lvlText w:val="%8."/>
      <w:lvlJc w:val="left"/>
      <w:pPr>
        <w:ind w:left="5901" w:hanging="360"/>
      </w:pPr>
    </w:lvl>
    <w:lvl w:ilvl="8" w:tplc="0427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3975004F"/>
    <w:multiLevelType w:val="hybridMultilevel"/>
    <w:tmpl w:val="13E4607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CC4222"/>
    <w:multiLevelType w:val="multilevel"/>
    <w:tmpl w:val="C9C6278E"/>
    <w:lvl w:ilvl="0">
      <w:start w:val="2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Arial Unicode MS" w:hint="default"/>
      </w:rPr>
    </w:lvl>
  </w:abstractNum>
  <w:abstractNum w:abstractNumId="9" w15:restartNumberingAfterBreak="0">
    <w:nsid w:val="41953EAB"/>
    <w:multiLevelType w:val="hybridMultilevel"/>
    <w:tmpl w:val="D0F01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B019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9B83C1B"/>
    <w:multiLevelType w:val="multilevel"/>
    <w:tmpl w:val="5F3843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2" w15:restartNumberingAfterBreak="0">
    <w:nsid w:val="5A0D73F3"/>
    <w:multiLevelType w:val="hybridMultilevel"/>
    <w:tmpl w:val="CA9A2AC8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B27E1E"/>
    <w:multiLevelType w:val="hybridMultilevel"/>
    <w:tmpl w:val="3D568A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266018"/>
    <w:multiLevelType w:val="hybridMultilevel"/>
    <w:tmpl w:val="AA9C98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035017">
    <w:abstractNumId w:val="9"/>
  </w:num>
  <w:num w:numId="2" w16cid:durableId="985162166">
    <w:abstractNumId w:val="2"/>
  </w:num>
  <w:num w:numId="3" w16cid:durableId="480578891">
    <w:abstractNumId w:val="11"/>
  </w:num>
  <w:num w:numId="4" w16cid:durableId="442387534">
    <w:abstractNumId w:val="10"/>
  </w:num>
  <w:num w:numId="5" w16cid:durableId="823667834">
    <w:abstractNumId w:val="8"/>
  </w:num>
  <w:num w:numId="6" w16cid:durableId="417020125">
    <w:abstractNumId w:val="7"/>
  </w:num>
  <w:num w:numId="7" w16cid:durableId="1843550031">
    <w:abstractNumId w:val="5"/>
  </w:num>
  <w:num w:numId="8" w16cid:durableId="580068462">
    <w:abstractNumId w:val="14"/>
  </w:num>
  <w:num w:numId="9" w16cid:durableId="257183606">
    <w:abstractNumId w:val="0"/>
  </w:num>
  <w:num w:numId="10" w16cid:durableId="131410136">
    <w:abstractNumId w:val="12"/>
  </w:num>
  <w:num w:numId="11" w16cid:durableId="1133251921">
    <w:abstractNumId w:val="13"/>
  </w:num>
  <w:num w:numId="12" w16cid:durableId="700133012">
    <w:abstractNumId w:val="4"/>
  </w:num>
  <w:num w:numId="13" w16cid:durableId="373774129">
    <w:abstractNumId w:val="6"/>
  </w:num>
  <w:num w:numId="14" w16cid:durableId="1004668447">
    <w:abstractNumId w:val="1"/>
  </w:num>
  <w:num w:numId="15" w16cid:durableId="102849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0E7"/>
    <w:rsid w:val="000001B0"/>
    <w:rsid w:val="00003F5B"/>
    <w:rsid w:val="000114DD"/>
    <w:rsid w:val="000136F7"/>
    <w:rsid w:val="000203E1"/>
    <w:rsid w:val="0002686C"/>
    <w:rsid w:val="00031D0E"/>
    <w:rsid w:val="000337E6"/>
    <w:rsid w:val="0003402E"/>
    <w:rsid w:val="00034EAE"/>
    <w:rsid w:val="00042924"/>
    <w:rsid w:val="000448C6"/>
    <w:rsid w:val="00052BD8"/>
    <w:rsid w:val="00053975"/>
    <w:rsid w:val="00057A2B"/>
    <w:rsid w:val="000606BE"/>
    <w:rsid w:val="000624FF"/>
    <w:rsid w:val="00063A50"/>
    <w:rsid w:val="000723FF"/>
    <w:rsid w:val="000736B8"/>
    <w:rsid w:val="0008190F"/>
    <w:rsid w:val="00081D9C"/>
    <w:rsid w:val="00082907"/>
    <w:rsid w:val="0008378D"/>
    <w:rsid w:val="000908A5"/>
    <w:rsid w:val="00092805"/>
    <w:rsid w:val="000A50C9"/>
    <w:rsid w:val="000B2B2C"/>
    <w:rsid w:val="000B76AD"/>
    <w:rsid w:val="000C454C"/>
    <w:rsid w:val="000D5038"/>
    <w:rsid w:val="000D521F"/>
    <w:rsid w:val="000E29D4"/>
    <w:rsid w:val="000F3540"/>
    <w:rsid w:val="00100491"/>
    <w:rsid w:val="0010414C"/>
    <w:rsid w:val="00104E2E"/>
    <w:rsid w:val="00107287"/>
    <w:rsid w:val="00117194"/>
    <w:rsid w:val="00117406"/>
    <w:rsid w:val="00121EF0"/>
    <w:rsid w:val="00124A9E"/>
    <w:rsid w:val="0012525D"/>
    <w:rsid w:val="00130703"/>
    <w:rsid w:val="0013153F"/>
    <w:rsid w:val="001408B8"/>
    <w:rsid w:val="0014193A"/>
    <w:rsid w:val="001466FE"/>
    <w:rsid w:val="001517E2"/>
    <w:rsid w:val="001521D9"/>
    <w:rsid w:val="001554E2"/>
    <w:rsid w:val="00164146"/>
    <w:rsid w:val="00164D64"/>
    <w:rsid w:val="0017369C"/>
    <w:rsid w:val="00175D57"/>
    <w:rsid w:val="00180C39"/>
    <w:rsid w:val="00180D96"/>
    <w:rsid w:val="00180E3A"/>
    <w:rsid w:val="00184BD3"/>
    <w:rsid w:val="001921F3"/>
    <w:rsid w:val="001A0CAA"/>
    <w:rsid w:val="001B3C5B"/>
    <w:rsid w:val="001C2FC8"/>
    <w:rsid w:val="001C6353"/>
    <w:rsid w:val="001D5B91"/>
    <w:rsid w:val="001D746F"/>
    <w:rsid w:val="001E0B2D"/>
    <w:rsid w:val="001E4BBB"/>
    <w:rsid w:val="001E6304"/>
    <w:rsid w:val="001F115E"/>
    <w:rsid w:val="0020381E"/>
    <w:rsid w:val="00213471"/>
    <w:rsid w:val="00215906"/>
    <w:rsid w:val="00241CD8"/>
    <w:rsid w:val="00244B09"/>
    <w:rsid w:val="002519CB"/>
    <w:rsid w:val="0025697F"/>
    <w:rsid w:val="00260258"/>
    <w:rsid w:val="0026588E"/>
    <w:rsid w:val="00272428"/>
    <w:rsid w:val="00272948"/>
    <w:rsid w:val="00283E59"/>
    <w:rsid w:val="00292392"/>
    <w:rsid w:val="002925F8"/>
    <w:rsid w:val="002946C7"/>
    <w:rsid w:val="002B3CC1"/>
    <w:rsid w:val="002C0686"/>
    <w:rsid w:val="002C09E0"/>
    <w:rsid w:val="002C100E"/>
    <w:rsid w:val="002C1BB1"/>
    <w:rsid w:val="002C2786"/>
    <w:rsid w:val="002C3A10"/>
    <w:rsid w:val="002C4A90"/>
    <w:rsid w:val="002C4ED5"/>
    <w:rsid w:val="002D02EF"/>
    <w:rsid w:val="002E0702"/>
    <w:rsid w:val="002E1A83"/>
    <w:rsid w:val="002E57AD"/>
    <w:rsid w:val="002E6F80"/>
    <w:rsid w:val="002F0E4F"/>
    <w:rsid w:val="002F1053"/>
    <w:rsid w:val="00314816"/>
    <w:rsid w:val="00317B0E"/>
    <w:rsid w:val="00334F18"/>
    <w:rsid w:val="00336238"/>
    <w:rsid w:val="00347FAA"/>
    <w:rsid w:val="0035172D"/>
    <w:rsid w:val="0036187D"/>
    <w:rsid w:val="00367EDB"/>
    <w:rsid w:val="003705F0"/>
    <w:rsid w:val="00381024"/>
    <w:rsid w:val="00386307"/>
    <w:rsid w:val="003874DE"/>
    <w:rsid w:val="00393E9F"/>
    <w:rsid w:val="0039696E"/>
    <w:rsid w:val="003B211A"/>
    <w:rsid w:val="003B2B16"/>
    <w:rsid w:val="003C141F"/>
    <w:rsid w:val="003C6B0E"/>
    <w:rsid w:val="003C7257"/>
    <w:rsid w:val="003C7E35"/>
    <w:rsid w:val="003D1E99"/>
    <w:rsid w:val="003D2191"/>
    <w:rsid w:val="003D6208"/>
    <w:rsid w:val="003E27C2"/>
    <w:rsid w:val="00404E8A"/>
    <w:rsid w:val="0040622F"/>
    <w:rsid w:val="00413F24"/>
    <w:rsid w:val="00422853"/>
    <w:rsid w:val="00423160"/>
    <w:rsid w:val="00437623"/>
    <w:rsid w:val="00444A2B"/>
    <w:rsid w:val="00444C11"/>
    <w:rsid w:val="00451B94"/>
    <w:rsid w:val="00453862"/>
    <w:rsid w:val="0045469B"/>
    <w:rsid w:val="00461338"/>
    <w:rsid w:val="0046133D"/>
    <w:rsid w:val="004677DB"/>
    <w:rsid w:val="00476256"/>
    <w:rsid w:val="0048630F"/>
    <w:rsid w:val="00487B16"/>
    <w:rsid w:val="004947A1"/>
    <w:rsid w:val="0049482A"/>
    <w:rsid w:val="004979D3"/>
    <w:rsid w:val="004A00E7"/>
    <w:rsid w:val="004A2C55"/>
    <w:rsid w:val="004A3A61"/>
    <w:rsid w:val="004B59BA"/>
    <w:rsid w:val="004B5A03"/>
    <w:rsid w:val="004C263A"/>
    <w:rsid w:val="004C6221"/>
    <w:rsid w:val="004D48A6"/>
    <w:rsid w:val="004D70B6"/>
    <w:rsid w:val="004D7B8F"/>
    <w:rsid w:val="004E241F"/>
    <w:rsid w:val="004E6458"/>
    <w:rsid w:val="004E6E7D"/>
    <w:rsid w:val="004E7F1A"/>
    <w:rsid w:val="004F1AAC"/>
    <w:rsid w:val="004F1AE2"/>
    <w:rsid w:val="004F34F0"/>
    <w:rsid w:val="004F3B2B"/>
    <w:rsid w:val="004F6050"/>
    <w:rsid w:val="005005EF"/>
    <w:rsid w:val="005123C2"/>
    <w:rsid w:val="0052144B"/>
    <w:rsid w:val="00524066"/>
    <w:rsid w:val="00526A0F"/>
    <w:rsid w:val="00534E11"/>
    <w:rsid w:val="005378D8"/>
    <w:rsid w:val="005400D9"/>
    <w:rsid w:val="005444DC"/>
    <w:rsid w:val="005476A4"/>
    <w:rsid w:val="0055019B"/>
    <w:rsid w:val="00556E63"/>
    <w:rsid w:val="005601A4"/>
    <w:rsid w:val="00566DBB"/>
    <w:rsid w:val="00567B14"/>
    <w:rsid w:val="005767DB"/>
    <w:rsid w:val="005815E6"/>
    <w:rsid w:val="0058712F"/>
    <w:rsid w:val="005976CE"/>
    <w:rsid w:val="005A23D4"/>
    <w:rsid w:val="005A2D1E"/>
    <w:rsid w:val="005A4698"/>
    <w:rsid w:val="005B3756"/>
    <w:rsid w:val="005C493F"/>
    <w:rsid w:val="005C6BF7"/>
    <w:rsid w:val="005C71BF"/>
    <w:rsid w:val="005D002C"/>
    <w:rsid w:val="005D30E1"/>
    <w:rsid w:val="005D6555"/>
    <w:rsid w:val="005D7BDF"/>
    <w:rsid w:val="005E4870"/>
    <w:rsid w:val="005F71D9"/>
    <w:rsid w:val="005F7602"/>
    <w:rsid w:val="006062BE"/>
    <w:rsid w:val="00613143"/>
    <w:rsid w:val="00613501"/>
    <w:rsid w:val="0061611B"/>
    <w:rsid w:val="006166A8"/>
    <w:rsid w:val="006174A1"/>
    <w:rsid w:val="00621D6C"/>
    <w:rsid w:val="00633B49"/>
    <w:rsid w:val="0064297F"/>
    <w:rsid w:val="00645102"/>
    <w:rsid w:val="00646CF3"/>
    <w:rsid w:val="00653D11"/>
    <w:rsid w:val="00662983"/>
    <w:rsid w:val="006834D3"/>
    <w:rsid w:val="00692625"/>
    <w:rsid w:val="00695CD3"/>
    <w:rsid w:val="006A38B6"/>
    <w:rsid w:val="006B1987"/>
    <w:rsid w:val="006B5B71"/>
    <w:rsid w:val="006B5D3E"/>
    <w:rsid w:val="006B6CB0"/>
    <w:rsid w:val="006C2B64"/>
    <w:rsid w:val="006D1BF3"/>
    <w:rsid w:val="006D4C85"/>
    <w:rsid w:val="006D66AC"/>
    <w:rsid w:val="006E33F6"/>
    <w:rsid w:val="006E6E03"/>
    <w:rsid w:val="006F1251"/>
    <w:rsid w:val="006F1C23"/>
    <w:rsid w:val="00702C18"/>
    <w:rsid w:val="00703166"/>
    <w:rsid w:val="007111C4"/>
    <w:rsid w:val="007127F3"/>
    <w:rsid w:val="007301CF"/>
    <w:rsid w:val="007316FB"/>
    <w:rsid w:val="0073505E"/>
    <w:rsid w:val="00737E2D"/>
    <w:rsid w:val="007424D5"/>
    <w:rsid w:val="00745C63"/>
    <w:rsid w:val="00750A88"/>
    <w:rsid w:val="007523DD"/>
    <w:rsid w:val="00757B7E"/>
    <w:rsid w:val="007656B2"/>
    <w:rsid w:val="0077016F"/>
    <w:rsid w:val="007713AD"/>
    <w:rsid w:val="00782825"/>
    <w:rsid w:val="00795DC5"/>
    <w:rsid w:val="00797153"/>
    <w:rsid w:val="007A21F7"/>
    <w:rsid w:val="007A2B68"/>
    <w:rsid w:val="007B0DDA"/>
    <w:rsid w:val="007B6AFC"/>
    <w:rsid w:val="007D3347"/>
    <w:rsid w:val="007D654E"/>
    <w:rsid w:val="007E5466"/>
    <w:rsid w:val="007F1949"/>
    <w:rsid w:val="007F2592"/>
    <w:rsid w:val="00800A08"/>
    <w:rsid w:val="00817A84"/>
    <w:rsid w:val="008225A4"/>
    <w:rsid w:val="00823EE1"/>
    <w:rsid w:val="00824B92"/>
    <w:rsid w:val="00826D5E"/>
    <w:rsid w:val="00832013"/>
    <w:rsid w:val="00832DB7"/>
    <w:rsid w:val="00834732"/>
    <w:rsid w:val="00836DB5"/>
    <w:rsid w:val="0085200C"/>
    <w:rsid w:val="00853487"/>
    <w:rsid w:val="00857C52"/>
    <w:rsid w:val="00860D5F"/>
    <w:rsid w:val="00880A44"/>
    <w:rsid w:val="0088345E"/>
    <w:rsid w:val="0088656F"/>
    <w:rsid w:val="008875BC"/>
    <w:rsid w:val="00891EF6"/>
    <w:rsid w:val="00892FF4"/>
    <w:rsid w:val="0089345A"/>
    <w:rsid w:val="008A0303"/>
    <w:rsid w:val="008A5FDD"/>
    <w:rsid w:val="008C3947"/>
    <w:rsid w:val="008E473B"/>
    <w:rsid w:val="008E51A6"/>
    <w:rsid w:val="008E7329"/>
    <w:rsid w:val="008F2ED5"/>
    <w:rsid w:val="0092297E"/>
    <w:rsid w:val="00923292"/>
    <w:rsid w:val="00923651"/>
    <w:rsid w:val="00924DF7"/>
    <w:rsid w:val="00927B56"/>
    <w:rsid w:val="009341BF"/>
    <w:rsid w:val="00937907"/>
    <w:rsid w:val="00941739"/>
    <w:rsid w:val="00951573"/>
    <w:rsid w:val="00963003"/>
    <w:rsid w:val="00965919"/>
    <w:rsid w:val="00966EEF"/>
    <w:rsid w:val="00971B28"/>
    <w:rsid w:val="00983471"/>
    <w:rsid w:val="009909AB"/>
    <w:rsid w:val="009B37DB"/>
    <w:rsid w:val="009C7A8C"/>
    <w:rsid w:val="009D23F9"/>
    <w:rsid w:val="009D4FA8"/>
    <w:rsid w:val="009E44AE"/>
    <w:rsid w:val="009E6CD6"/>
    <w:rsid w:val="009F4D66"/>
    <w:rsid w:val="00A00C3C"/>
    <w:rsid w:val="00A01091"/>
    <w:rsid w:val="00A042B9"/>
    <w:rsid w:val="00A06DBB"/>
    <w:rsid w:val="00A22ADF"/>
    <w:rsid w:val="00A2310D"/>
    <w:rsid w:val="00A254A2"/>
    <w:rsid w:val="00A31E86"/>
    <w:rsid w:val="00A54D87"/>
    <w:rsid w:val="00A5553C"/>
    <w:rsid w:val="00A701C9"/>
    <w:rsid w:val="00A81785"/>
    <w:rsid w:val="00A84803"/>
    <w:rsid w:val="00A84C51"/>
    <w:rsid w:val="00A86F2B"/>
    <w:rsid w:val="00A91366"/>
    <w:rsid w:val="00A92F91"/>
    <w:rsid w:val="00A93AA6"/>
    <w:rsid w:val="00AA4E48"/>
    <w:rsid w:val="00AA6202"/>
    <w:rsid w:val="00AA7B57"/>
    <w:rsid w:val="00AB2806"/>
    <w:rsid w:val="00AB2D54"/>
    <w:rsid w:val="00AB731D"/>
    <w:rsid w:val="00AC26FC"/>
    <w:rsid w:val="00AC4A99"/>
    <w:rsid w:val="00AC5129"/>
    <w:rsid w:val="00AC64D2"/>
    <w:rsid w:val="00AC7F31"/>
    <w:rsid w:val="00AD02E7"/>
    <w:rsid w:val="00AE0FE8"/>
    <w:rsid w:val="00AF60D5"/>
    <w:rsid w:val="00B00959"/>
    <w:rsid w:val="00B04415"/>
    <w:rsid w:val="00B06509"/>
    <w:rsid w:val="00B11D60"/>
    <w:rsid w:val="00B127BC"/>
    <w:rsid w:val="00B13D65"/>
    <w:rsid w:val="00B21805"/>
    <w:rsid w:val="00B3072E"/>
    <w:rsid w:val="00B36E15"/>
    <w:rsid w:val="00B37245"/>
    <w:rsid w:val="00B4017A"/>
    <w:rsid w:val="00B4468D"/>
    <w:rsid w:val="00B71C72"/>
    <w:rsid w:val="00B71F04"/>
    <w:rsid w:val="00B74A62"/>
    <w:rsid w:val="00B811A4"/>
    <w:rsid w:val="00B81E92"/>
    <w:rsid w:val="00B908D7"/>
    <w:rsid w:val="00B935E8"/>
    <w:rsid w:val="00B93B30"/>
    <w:rsid w:val="00B94CB5"/>
    <w:rsid w:val="00BA0DD9"/>
    <w:rsid w:val="00BA5DBC"/>
    <w:rsid w:val="00BA6584"/>
    <w:rsid w:val="00BB6312"/>
    <w:rsid w:val="00BC39C2"/>
    <w:rsid w:val="00BC4D06"/>
    <w:rsid w:val="00BD05E1"/>
    <w:rsid w:val="00BD585E"/>
    <w:rsid w:val="00BD6919"/>
    <w:rsid w:val="00BE1EA7"/>
    <w:rsid w:val="00BE7489"/>
    <w:rsid w:val="00BF2E0D"/>
    <w:rsid w:val="00BF3927"/>
    <w:rsid w:val="00BF3F8B"/>
    <w:rsid w:val="00BF76DA"/>
    <w:rsid w:val="00C00CDB"/>
    <w:rsid w:val="00C07C7B"/>
    <w:rsid w:val="00C16245"/>
    <w:rsid w:val="00C22DC5"/>
    <w:rsid w:val="00C24479"/>
    <w:rsid w:val="00C273F2"/>
    <w:rsid w:val="00C37B53"/>
    <w:rsid w:val="00C434EB"/>
    <w:rsid w:val="00C517D2"/>
    <w:rsid w:val="00C5772E"/>
    <w:rsid w:val="00C62B36"/>
    <w:rsid w:val="00C651BE"/>
    <w:rsid w:val="00C7012C"/>
    <w:rsid w:val="00C712EA"/>
    <w:rsid w:val="00C94277"/>
    <w:rsid w:val="00C9728E"/>
    <w:rsid w:val="00CA217D"/>
    <w:rsid w:val="00CA3131"/>
    <w:rsid w:val="00CB519A"/>
    <w:rsid w:val="00CC09D4"/>
    <w:rsid w:val="00CC4F5F"/>
    <w:rsid w:val="00CC668D"/>
    <w:rsid w:val="00CC7832"/>
    <w:rsid w:val="00CD488E"/>
    <w:rsid w:val="00CE4B0B"/>
    <w:rsid w:val="00CF0C1C"/>
    <w:rsid w:val="00CF27FD"/>
    <w:rsid w:val="00CF5F12"/>
    <w:rsid w:val="00D00D8F"/>
    <w:rsid w:val="00D12869"/>
    <w:rsid w:val="00D14512"/>
    <w:rsid w:val="00D15ED6"/>
    <w:rsid w:val="00D21F3A"/>
    <w:rsid w:val="00D23808"/>
    <w:rsid w:val="00D3016A"/>
    <w:rsid w:val="00D417D2"/>
    <w:rsid w:val="00D42960"/>
    <w:rsid w:val="00D43BD7"/>
    <w:rsid w:val="00D4485B"/>
    <w:rsid w:val="00D46CCD"/>
    <w:rsid w:val="00D4708D"/>
    <w:rsid w:val="00D4744C"/>
    <w:rsid w:val="00D47A8D"/>
    <w:rsid w:val="00D51046"/>
    <w:rsid w:val="00D521DE"/>
    <w:rsid w:val="00D5470B"/>
    <w:rsid w:val="00D63068"/>
    <w:rsid w:val="00D6498C"/>
    <w:rsid w:val="00D67BAF"/>
    <w:rsid w:val="00D76A70"/>
    <w:rsid w:val="00D83182"/>
    <w:rsid w:val="00D8521E"/>
    <w:rsid w:val="00D9291C"/>
    <w:rsid w:val="00D93A97"/>
    <w:rsid w:val="00DA5602"/>
    <w:rsid w:val="00DB1F64"/>
    <w:rsid w:val="00DC261A"/>
    <w:rsid w:val="00DC2F53"/>
    <w:rsid w:val="00DC5BAC"/>
    <w:rsid w:val="00DC6816"/>
    <w:rsid w:val="00DC76C2"/>
    <w:rsid w:val="00DD1CF2"/>
    <w:rsid w:val="00DE4484"/>
    <w:rsid w:val="00DF41B7"/>
    <w:rsid w:val="00DF4A4A"/>
    <w:rsid w:val="00DF583C"/>
    <w:rsid w:val="00E03C3F"/>
    <w:rsid w:val="00E06FD7"/>
    <w:rsid w:val="00E07417"/>
    <w:rsid w:val="00E24D45"/>
    <w:rsid w:val="00E33DB8"/>
    <w:rsid w:val="00E33EFF"/>
    <w:rsid w:val="00E34387"/>
    <w:rsid w:val="00E348BA"/>
    <w:rsid w:val="00E369FE"/>
    <w:rsid w:val="00E37C6F"/>
    <w:rsid w:val="00E475F8"/>
    <w:rsid w:val="00E5102E"/>
    <w:rsid w:val="00E51E58"/>
    <w:rsid w:val="00E5721C"/>
    <w:rsid w:val="00E619C6"/>
    <w:rsid w:val="00E62CF8"/>
    <w:rsid w:val="00E70CED"/>
    <w:rsid w:val="00E745A1"/>
    <w:rsid w:val="00E81529"/>
    <w:rsid w:val="00E83A13"/>
    <w:rsid w:val="00EB1151"/>
    <w:rsid w:val="00EB2A08"/>
    <w:rsid w:val="00EB6FC5"/>
    <w:rsid w:val="00EC2356"/>
    <w:rsid w:val="00EC2582"/>
    <w:rsid w:val="00EC337C"/>
    <w:rsid w:val="00ED0057"/>
    <w:rsid w:val="00ED0CFF"/>
    <w:rsid w:val="00ED31D2"/>
    <w:rsid w:val="00EE0EAC"/>
    <w:rsid w:val="00EE3322"/>
    <w:rsid w:val="00EE33CB"/>
    <w:rsid w:val="00F0061A"/>
    <w:rsid w:val="00F02834"/>
    <w:rsid w:val="00F04EEB"/>
    <w:rsid w:val="00F05467"/>
    <w:rsid w:val="00F055D2"/>
    <w:rsid w:val="00F07CD7"/>
    <w:rsid w:val="00F127E9"/>
    <w:rsid w:val="00F14477"/>
    <w:rsid w:val="00F14B5D"/>
    <w:rsid w:val="00F259FC"/>
    <w:rsid w:val="00F313F4"/>
    <w:rsid w:val="00F36972"/>
    <w:rsid w:val="00F42426"/>
    <w:rsid w:val="00F44F01"/>
    <w:rsid w:val="00F456BC"/>
    <w:rsid w:val="00F50666"/>
    <w:rsid w:val="00F70731"/>
    <w:rsid w:val="00F70C9E"/>
    <w:rsid w:val="00F74A74"/>
    <w:rsid w:val="00F7572C"/>
    <w:rsid w:val="00F8382C"/>
    <w:rsid w:val="00F855D7"/>
    <w:rsid w:val="00F92035"/>
    <w:rsid w:val="00F92748"/>
    <w:rsid w:val="00FA4169"/>
    <w:rsid w:val="00FB0D41"/>
    <w:rsid w:val="00FB2030"/>
    <w:rsid w:val="00FD0E46"/>
    <w:rsid w:val="00FD1060"/>
    <w:rsid w:val="00FD1CF2"/>
    <w:rsid w:val="00FD3EDF"/>
    <w:rsid w:val="00FD793C"/>
    <w:rsid w:val="00FE0FD5"/>
    <w:rsid w:val="00FE20E6"/>
    <w:rsid w:val="00FE3E3B"/>
    <w:rsid w:val="00FE5878"/>
    <w:rsid w:val="00FF4032"/>
    <w:rsid w:val="00FF4A2E"/>
    <w:rsid w:val="00FF6469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FE6E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81529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A84C51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A84C51"/>
    <w:pPr>
      <w:keepNext/>
      <w:jc w:val="center"/>
      <w:outlineLvl w:val="1"/>
    </w:pPr>
    <w:rPr>
      <w:b/>
      <w:bCs/>
      <w:cap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84C51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rsid w:val="00A84C51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A84C51"/>
  </w:style>
  <w:style w:type="character" w:styleId="Hipersaitas">
    <w:name w:val="Hyperlink"/>
    <w:basedOn w:val="Numatytasispastraiposriftas"/>
    <w:rsid w:val="00A84C51"/>
    <w:rPr>
      <w:color w:val="0000FF"/>
      <w:u w:val="single"/>
    </w:rPr>
  </w:style>
  <w:style w:type="paragraph" w:styleId="Debesliotekstas">
    <w:name w:val="Balloon Text"/>
    <w:basedOn w:val="prastasis"/>
    <w:semiHidden/>
    <w:rsid w:val="00EC235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rsid w:val="00737E2D"/>
    <w:rPr>
      <w:sz w:val="24"/>
      <w:szCs w:val="24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31E86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A31E86"/>
    <w:rPr>
      <w:color w:val="800080" w:themeColor="followedHyperlink"/>
      <w:u w:val="single"/>
    </w:rPr>
  </w:style>
  <w:style w:type="table" w:styleId="Lentelstinklelis">
    <w:name w:val="Table Grid"/>
    <w:aliases w:val="Table Grid nm,Dossier table,Section 3- footnotes,Summary box,Dossier Table,Legemiddelverket 3,Summary Table,ASD Table,Key messages box,YHEC table,Lash Style Table,Tabellengitternetz 9pt"/>
    <w:basedOn w:val="prastojilentel"/>
    <w:rsid w:val="00D42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rsid w:val="00C7012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7012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7012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7012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7012C"/>
    <w:rPr>
      <w:b/>
      <w:bCs/>
      <w:lang w:eastAsia="en-US"/>
    </w:rPr>
  </w:style>
  <w:style w:type="paragraph" w:styleId="Sraopastraipa">
    <w:name w:val="List Paragraph"/>
    <w:aliases w:val="Bullets Points,Table Header Row,Bullet Paragraph,Bullet Point,Dairy Paragraphe,Table Legend,Bullet List,Bullet1,Bullet 1,1. Bullet Blank,Bulleted - 2,List Paragraph CCT minutes,Section 5,Bullet List 2,Colorful List - Accent 11,FooterTex"/>
    <w:basedOn w:val="prastasis"/>
    <w:link w:val="SraopastraipaDiagrama"/>
    <w:uiPriority w:val="1"/>
    <w:qFormat/>
    <w:rsid w:val="00104E2E"/>
    <w:pPr>
      <w:ind w:left="720"/>
      <w:contextualSpacing/>
    </w:pPr>
  </w:style>
  <w:style w:type="character" w:customStyle="1" w:styleId="Style2">
    <w:name w:val="Style2"/>
    <w:basedOn w:val="Numatytasispastraiposriftas"/>
    <w:uiPriority w:val="1"/>
    <w:rsid w:val="00D6498C"/>
    <w:rPr>
      <w:sz w:val="32"/>
    </w:rPr>
  </w:style>
  <w:style w:type="character" w:styleId="Vietosrezervavimoenklotekstas">
    <w:name w:val="Placeholder Text"/>
    <w:basedOn w:val="Numatytasispastraiposriftas"/>
    <w:uiPriority w:val="99"/>
    <w:rsid w:val="00B13D65"/>
    <w:rPr>
      <w:color w:val="808080"/>
    </w:rPr>
  </w:style>
  <w:style w:type="paragraph" w:styleId="Betarp">
    <w:name w:val="No Spacing"/>
    <w:uiPriority w:val="1"/>
    <w:qFormat/>
    <w:rsid w:val="00B13D65"/>
    <w:rPr>
      <w:rFonts w:ascii="Calibri" w:eastAsia="Calibri" w:hAnsi="Calibri"/>
      <w:sz w:val="22"/>
      <w:szCs w:val="22"/>
      <w:lang w:eastAsia="en-US"/>
    </w:rPr>
  </w:style>
  <w:style w:type="table" w:customStyle="1" w:styleId="Lentelstinklelis1">
    <w:name w:val="Lentelės tinklelis1"/>
    <w:basedOn w:val="prastojilentel"/>
    <w:next w:val="Lentelstinklelis"/>
    <w:rsid w:val="009E44AE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476256"/>
    <w:rPr>
      <w:sz w:val="24"/>
      <w:szCs w:val="24"/>
      <w:lang w:eastAsia="en-US"/>
    </w:rPr>
  </w:style>
  <w:style w:type="character" w:customStyle="1" w:styleId="SraopastraipaDiagrama">
    <w:name w:val="Sąrašo pastraipa Diagrama"/>
    <w:aliases w:val="Bullets Points Diagrama,Table Header Row Diagrama,Bullet Paragraph Diagrama,Bullet Point Diagrama,Dairy Paragraphe Diagrama,Table Legend Diagrama,Bullet List Diagrama,Bullet1 Diagrama,Bullet 1 Diagrama,1. Bullet Blank Diagrama"/>
    <w:link w:val="Sraopastraipa"/>
    <w:uiPriority w:val="1"/>
    <w:qFormat/>
    <w:rsid w:val="00EB2A0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8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5279</Words>
  <Characters>3010</Characters>
  <Application>Microsoft Office Word</Application>
  <DocSecurity>0</DocSecurity>
  <Lines>25</Lines>
  <Paragraphs>16</Paragraphs>
  <ScaleCrop>false</ScaleCrop>
  <Company/>
  <LinksUpToDate>false</LinksUpToDate>
  <CharactersWithSpaces>8273</CharactersWithSpaces>
  <SharedDoc>false</SharedDoc>
  <HLinks>
    <vt:vector size="6" baseType="variant">
      <vt:variant>
        <vt:i4>5308539</vt:i4>
      </vt:variant>
      <vt:variant>
        <vt:i4>6</vt:i4>
      </vt:variant>
      <vt:variant>
        <vt:i4>0</vt:i4>
      </vt:variant>
      <vt:variant>
        <vt:i4>5</vt:i4>
      </vt:variant>
      <vt:variant>
        <vt:lpwstr>mailto:vvkt@vvkt.lt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2026-02-03T06:07:00Z</dcterms:created>
  <dcterms:modified xsi:type="dcterms:W3CDTF">2026-02-03T06:08:00Z</dcterms:modified>
</cp:coreProperties>
</file>