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3F4025" w:rsidRDefault="005F7602" w:rsidP="003F4025">
      <w:pPr>
        <w:spacing w:line="276" w:lineRule="auto"/>
        <w:ind w:left="5529"/>
      </w:pPr>
    </w:p>
    <w:p w14:paraId="12FA4B9E" w14:textId="39AA3336" w:rsidR="001B3C5B" w:rsidRPr="003F4025" w:rsidRDefault="00DC261A" w:rsidP="003F4025">
      <w:pPr>
        <w:spacing w:line="276" w:lineRule="auto"/>
        <w:ind w:left="6096"/>
      </w:pPr>
      <w:bookmarkStart w:id="0" w:name="_Hlk189565243"/>
      <w:r w:rsidRPr="003F4025">
        <w:t>PATVIRTINTA</w:t>
      </w:r>
    </w:p>
    <w:p w14:paraId="7206970B" w14:textId="70E9BD2E" w:rsidR="004C263A" w:rsidRPr="003F4025" w:rsidRDefault="001B3C5B" w:rsidP="003F4025">
      <w:pPr>
        <w:spacing w:line="276" w:lineRule="auto"/>
        <w:ind w:left="6096"/>
      </w:pPr>
      <w:r w:rsidRPr="003F4025">
        <w:t>Valstybinės vaistų kontrolės tarnybos prie Lietuvos Respublikos sveikatos apsaugos ministerijos viršininko 2021 m</w:t>
      </w:r>
      <w:r w:rsidR="004C263A" w:rsidRPr="003F4025">
        <w:t xml:space="preserve">. lapkričio 12 </w:t>
      </w:r>
      <w:r w:rsidRPr="003F4025">
        <w:t>d. įsakymu Nr.</w:t>
      </w:r>
      <w:r w:rsidR="004C263A" w:rsidRPr="003F4025">
        <w:t xml:space="preserve"> (1.72E)1A-1418</w:t>
      </w:r>
    </w:p>
    <w:p w14:paraId="5B219AA6" w14:textId="3A5D6CB4" w:rsidR="001B3C5B" w:rsidRPr="003F4025" w:rsidRDefault="004C263A" w:rsidP="003F4025">
      <w:pPr>
        <w:spacing w:line="276" w:lineRule="auto"/>
        <w:ind w:left="6096"/>
      </w:pPr>
      <w:r w:rsidRPr="003F4025">
        <w:t>(Valstybinės vaistų kontrolės tarnybos prie Lietuvos Respublikos sveikatos apsaugos ministerijos viršininko 202</w:t>
      </w:r>
      <w:r w:rsidR="00A2310D" w:rsidRPr="003F4025">
        <w:t>5</w:t>
      </w:r>
      <w:r w:rsidRPr="003F4025">
        <w:t xml:space="preserve"> m.                         d. įsakymo Nr.                    redakcija)</w:t>
      </w:r>
    </w:p>
    <w:p w14:paraId="3336BD74" w14:textId="77777777" w:rsidR="001B3C5B" w:rsidRPr="003F4025" w:rsidRDefault="001B3C5B" w:rsidP="003F4025">
      <w:pPr>
        <w:spacing w:line="276" w:lineRule="auto"/>
      </w:pPr>
    </w:p>
    <w:bookmarkEnd w:id="0"/>
    <w:p w14:paraId="56604434" w14:textId="77777777" w:rsidR="00DC261A" w:rsidRPr="003F4025" w:rsidRDefault="00DC261A" w:rsidP="003F4025">
      <w:pPr>
        <w:spacing w:line="276" w:lineRule="auto"/>
        <w:jc w:val="center"/>
        <w:rPr>
          <w:b/>
        </w:rPr>
      </w:pPr>
    </w:p>
    <w:p w14:paraId="77AFB67E" w14:textId="0FB133A2" w:rsidR="00613501" w:rsidRPr="003F4025" w:rsidRDefault="002F0E4F" w:rsidP="003F4025">
      <w:pPr>
        <w:spacing w:line="276" w:lineRule="auto"/>
        <w:jc w:val="center"/>
        <w:rPr>
          <w:b/>
          <w:bCs/>
          <w:caps/>
        </w:rPr>
      </w:pPr>
      <w:r w:rsidRPr="003F4025">
        <w:rPr>
          <w:b/>
        </w:rPr>
        <w:t xml:space="preserve">REKOMENDACIJA DĖL VAISTINIO PREPARATO </w:t>
      </w:r>
      <w:r w:rsidRPr="003F4025">
        <w:rPr>
          <w:b/>
          <w:bCs/>
          <w:caps/>
        </w:rPr>
        <w:t>Lietuvos Respublikos Sveikatos apsaugos ministerijos vaistinių preparatų ir medicinos pagalbos priemonių kompensavimo komisijai</w:t>
      </w:r>
    </w:p>
    <w:p w14:paraId="34E4395D" w14:textId="15FB10DF" w:rsidR="00B13D65" w:rsidRPr="003F4025" w:rsidRDefault="00B13D65" w:rsidP="003F4025">
      <w:pPr>
        <w:spacing w:line="276" w:lineRule="auto"/>
        <w:jc w:val="center"/>
        <w:rPr>
          <w:b/>
        </w:rPr>
      </w:pPr>
    </w:p>
    <w:p w14:paraId="5BF74478" w14:textId="77777777" w:rsidR="001B01C6" w:rsidRPr="003F4025" w:rsidRDefault="001B01C6" w:rsidP="003F4025">
      <w:pPr>
        <w:spacing w:line="276" w:lineRule="auto"/>
        <w:jc w:val="center"/>
        <w:rPr>
          <w:b/>
          <w:bCs/>
        </w:rPr>
      </w:pPr>
      <w:r w:rsidRPr="003F4025">
        <w:rPr>
          <w:b/>
          <w:bCs/>
        </w:rPr>
        <w:t>Imfinzi 50 mg/ml koncentratas infuziniam tirpalui</w:t>
      </w:r>
    </w:p>
    <w:p w14:paraId="46C2D966" w14:textId="77777777" w:rsidR="00937907" w:rsidRPr="003F4025" w:rsidRDefault="00937907" w:rsidP="003F4025">
      <w:pPr>
        <w:spacing w:line="276" w:lineRule="auto"/>
        <w:jc w:val="center"/>
      </w:pPr>
    </w:p>
    <w:p w14:paraId="3C1AFC17" w14:textId="78FC978F" w:rsidR="00937907" w:rsidRPr="003F4025" w:rsidRDefault="001B01C6" w:rsidP="003F4025">
      <w:pPr>
        <w:spacing w:line="276" w:lineRule="auto"/>
        <w:jc w:val="center"/>
      </w:pPr>
      <w:r w:rsidRPr="003F4025">
        <w:rPr>
          <w:b/>
        </w:rPr>
        <w:t>Durvalumabas</w:t>
      </w:r>
    </w:p>
    <w:p w14:paraId="7245D69E" w14:textId="77777777" w:rsidR="00937907" w:rsidRPr="003F4025" w:rsidRDefault="00937907" w:rsidP="003F4025">
      <w:pPr>
        <w:spacing w:line="276" w:lineRule="auto"/>
        <w:jc w:val="center"/>
      </w:pPr>
    </w:p>
    <w:p w14:paraId="5BC2EA5D" w14:textId="0C7EE2C3" w:rsidR="00937907" w:rsidRPr="003F4025" w:rsidRDefault="001B01C6" w:rsidP="003F4025">
      <w:pPr>
        <w:spacing w:line="276" w:lineRule="auto"/>
        <w:jc w:val="center"/>
        <w:rPr>
          <w:b/>
        </w:rPr>
      </w:pPr>
      <w:r w:rsidRPr="003F4025">
        <w:rPr>
          <w:b/>
        </w:rPr>
        <w:t>STV-245</w:t>
      </w:r>
    </w:p>
    <w:p w14:paraId="453197C8" w14:textId="77777777" w:rsidR="00D4708D" w:rsidRPr="003F4025" w:rsidRDefault="00D4708D" w:rsidP="003F4025">
      <w:pPr>
        <w:spacing w:line="276" w:lineRule="auto"/>
        <w:jc w:val="center"/>
        <w:rPr>
          <w:b/>
        </w:rPr>
      </w:pPr>
    </w:p>
    <w:p w14:paraId="78C89D1C" w14:textId="0DEFFAA5" w:rsidR="00D4485B" w:rsidRPr="003F4025" w:rsidRDefault="00B13D65" w:rsidP="003F4025">
      <w:pPr>
        <w:pStyle w:val="ListParagraph"/>
        <w:numPr>
          <w:ilvl w:val="0"/>
          <w:numId w:val="12"/>
        </w:numPr>
        <w:tabs>
          <w:tab w:val="left" w:pos="567"/>
        </w:tabs>
        <w:spacing w:line="276" w:lineRule="auto"/>
        <w:ind w:left="567" w:hanging="567"/>
        <w:rPr>
          <w:b/>
          <w:bCs/>
          <w:caps/>
        </w:rPr>
      </w:pPr>
      <w:r w:rsidRPr="003F4025">
        <w:rPr>
          <w:b/>
          <w:bCs/>
          <w:caps/>
        </w:rPr>
        <w:t>Bendroji dalis</w:t>
      </w:r>
    </w:p>
    <w:p w14:paraId="04A7C7A7" w14:textId="77777777" w:rsidR="00B13D65" w:rsidRPr="003F4025" w:rsidRDefault="00B13D65" w:rsidP="003F4025">
      <w:pPr>
        <w:pStyle w:val="ListParagraph"/>
        <w:tabs>
          <w:tab w:val="left" w:pos="284"/>
        </w:tabs>
        <w:spacing w:line="276" w:lineRule="auto"/>
        <w:ind w:left="0"/>
        <w:rPr>
          <w:b/>
          <w:bCs/>
          <w:caps/>
        </w:rPr>
      </w:pPr>
    </w:p>
    <w:tbl>
      <w:tblPr>
        <w:tblStyle w:val="TableGrid"/>
        <w:tblW w:w="9493" w:type="dxa"/>
        <w:tblLook w:val="04A0" w:firstRow="1" w:lastRow="0" w:firstColumn="1" w:lastColumn="0" w:noHBand="0" w:noVBand="1"/>
      </w:tblPr>
      <w:tblGrid>
        <w:gridCol w:w="632"/>
        <w:gridCol w:w="3899"/>
        <w:gridCol w:w="4962"/>
      </w:tblGrid>
      <w:tr w:rsidR="001B01C6" w:rsidRPr="003F4025" w14:paraId="16A7BC7B" w14:textId="77777777" w:rsidTr="003F3FFF">
        <w:trPr>
          <w:trHeight w:val="538"/>
        </w:trPr>
        <w:tc>
          <w:tcPr>
            <w:tcW w:w="632" w:type="dxa"/>
          </w:tcPr>
          <w:p w14:paraId="4572808D" w14:textId="77777777" w:rsidR="001B01C6" w:rsidRPr="003F4025" w:rsidRDefault="001B01C6" w:rsidP="003F4025">
            <w:pPr>
              <w:spacing w:line="276" w:lineRule="auto"/>
              <w:rPr>
                <w:rFonts w:eastAsia="Arial"/>
                <w:b/>
                <w:bCs/>
              </w:rPr>
            </w:pPr>
            <w:r w:rsidRPr="003F4025">
              <w:rPr>
                <w:rFonts w:eastAsia="Arial"/>
                <w:b/>
                <w:bCs/>
              </w:rPr>
              <w:t>1.1</w:t>
            </w:r>
          </w:p>
        </w:tc>
        <w:tc>
          <w:tcPr>
            <w:tcW w:w="3899" w:type="dxa"/>
          </w:tcPr>
          <w:p w14:paraId="54BA6EB3" w14:textId="77777777" w:rsidR="001B01C6" w:rsidRPr="003F4025" w:rsidRDefault="001B01C6" w:rsidP="003F4025">
            <w:pPr>
              <w:spacing w:line="276" w:lineRule="auto"/>
              <w:rPr>
                <w:rFonts w:eastAsia="Arial"/>
                <w:b/>
                <w:bCs/>
              </w:rPr>
            </w:pPr>
            <w:r w:rsidRPr="003F4025">
              <w:rPr>
                <w:rFonts w:eastAsia="Arial"/>
                <w:b/>
                <w:bCs/>
              </w:rPr>
              <w:t>Pareiškėjas/ pareiškėjo atstovas</w:t>
            </w:r>
          </w:p>
        </w:tc>
        <w:tc>
          <w:tcPr>
            <w:tcW w:w="4962" w:type="dxa"/>
          </w:tcPr>
          <w:p w14:paraId="0F359BD4" w14:textId="749A08F1" w:rsidR="001B01C6" w:rsidRPr="003F4025" w:rsidRDefault="001B01C6" w:rsidP="003F4025">
            <w:pPr>
              <w:spacing w:line="276" w:lineRule="auto"/>
              <w:rPr>
                <w:rFonts w:eastAsia="Arial"/>
              </w:rPr>
            </w:pPr>
            <w:r w:rsidRPr="003F4025">
              <w:t>UAB „AstraZeneca Lietuva“</w:t>
            </w:r>
          </w:p>
        </w:tc>
      </w:tr>
      <w:tr w:rsidR="001B01C6" w:rsidRPr="003F4025" w14:paraId="101EA148" w14:textId="77777777" w:rsidTr="003F3FFF">
        <w:trPr>
          <w:trHeight w:val="538"/>
        </w:trPr>
        <w:tc>
          <w:tcPr>
            <w:tcW w:w="632" w:type="dxa"/>
          </w:tcPr>
          <w:p w14:paraId="3BF67175" w14:textId="77777777" w:rsidR="001B01C6" w:rsidRPr="003F4025" w:rsidRDefault="001B01C6" w:rsidP="003F4025">
            <w:pPr>
              <w:spacing w:line="276" w:lineRule="auto"/>
              <w:rPr>
                <w:rFonts w:eastAsia="Arial"/>
                <w:b/>
                <w:bCs/>
              </w:rPr>
            </w:pPr>
            <w:r w:rsidRPr="003F4025">
              <w:rPr>
                <w:rFonts w:eastAsia="Arial"/>
                <w:b/>
                <w:bCs/>
              </w:rPr>
              <w:t>1.2</w:t>
            </w:r>
          </w:p>
        </w:tc>
        <w:tc>
          <w:tcPr>
            <w:tcW w:w="3899" w:type="dxa"/>
          </w:tcPr>
          <w:p w14:paraId="786B66DF" w14:textId="77777777" w:rsidR="001B01C6" w:rsidRPr="003F4025" w:rsidRDefault="001B01C6" w:rsidP="003F4025">
            <w:pPr>
              <w:spacing w:line="276" w:lineRule="auto"/>
              <w:rPr>
                <w:b/>
                <w:bCs/>
                <w:lang w:eastAsia="lt-LT"/>
              </w:rPr>
            </w:pPr>
            <w:r w:rsidRPr="003F4025">
              <w:rPr>
                <w:b/>
                <w:bCs/>
                <w:lang w:eastAsia="lt-LT"/>
              </w:rPr>
              <w:t xml:space="preserve">Vaistinio preparato registracijos data </w:t>
            </w:r>
          </w:p>
          <w:p w14:paraId="4B568341" w14:textId="77777777" w:rsidR="001B01C6" w:rsidRPr="003F4025" w:rsidRDefault="001B01C6" w:rsidP="003F4025">
            <w:pPr>
              <w:spacing w:line="276" w:lineRule="auto"/>
              <w:rPr>
                <w:b/>
                <w:bCs/>
                <w:lang w:eastAsia="lt-LT"/>
              </w:rPr>
            </w:pPr>
          </w:p>
        </w:tc>
        <w:tc>
          <w:tcPr>
            <w:tcW w:w="4962" w:type="dxa"/>
          </w:tcPr>
          <w:p w14:paraId="50F63366" w14:textId="36B80514" w:rsidR="001B01C6" w:rsidRPr="003F4025" w:rsidRDefault="00000000" w:rsidP="003F4025">
            <w:pPr>
              <w:spacing w:line="276" w:lineRule="auto"/>
              <w:rPr>
                <w:rStyle w:val="Style2"/>
              </w:rPr>
            </w:pPr>
            <w:sdt>
              <w:sdtPr>
                <w:rPr>
                  <w:sz w:val="32"/>
                </w:rPr>
                <w:alias w:val="Nurodykite konkrečią dieną"/>
                <w:tag w:val="Nurodykite pradžios datą"/>
                <w:id w:val="1772196685"/>
                <w:placeholder>
                  <w:docPart w:val="4F93916C59194D17AF59C1A4A1404532"/>
                </w:placeholder>
                <w15:color w:val="FFCC99"/>
                <w:date>
                  <w:dateFormat w:val="yyyy 'm.' MMMM d 'd.'"/>
                  <w:lid w:val="lt-LT"/>
                  <w:storeMappedDataAs w:val="dateTime"/>
                  <w:calendar w:val="gregorian"/>
                </w:date>
              </w:sdtPr>
              <w:sdtContent>
                <w:r w:rsidR="001B01C6" w:rsidRPr="003F4025">
                  <w:rPr>
                    <w:sz w:val="32"/>
                  </w:rPr>
                  <w:t>2018 m. rugsėjo 21 d.</w:t>
                </w:r>
              </w:sdtContent>
            </w:sdt>
          </w:p>
        </w:tc>
      </w:tr>
      <w:tr w:rsidR="001B01C6" w:rsidRPr="003F4025" w14:paraId="3D70E0FA" w14:textId="77777777" w:rsidTr="001F115E">
        <w:trPr>
          <w:trHeight w:val="1643"/>
        </w:trPr>
        <w:tc>
          <w:tcPr>
            <w:tcW w:w="632" w:type="dxa"/>
          </w:tcPr>
          <w:p w14:paraId="021DF6BD" w14:textId="77777777" w:rsidR="001B01C6" w:rsidRPr="003F4025" w:rsidRDefault="001B01C6" w:rsidP="003F4025">
            <w:pPr>
              <w:spacing w:line="276" w:lineRule="auto"/>
              <w:rPr>
                <w:rFonts w:eastAsia="Arial"/>
                <w:b/>
                <w:bCs/>
              </w:rPr>
            </w:pPr>
            <w:r w:rsidRPr="003F4025">
              <w:rPr>
                <w:rFonts w:eastAsia="Arial"/>
                <w:b/>
                <w:bCs/>
              </w:rPr>
              <w:t>1.3</w:t>
            </w:r>
          </w:p>
        </w:tc>
        <w:tc>
          <w:tcPr>
            <w:tcW w:w="3899" w:type="dxa"/>
          </w:tcPr>
          <w:p w14:paraId="528F713F" w14:textId="77777777" w:rsidR="001B01C6" w:rsidRPr="003F4025" w:rsidRDefault="001B01C6" w:rsidP="003F4025">
            <w:pPr>
              <w:pStyle w:val="NoSpacing"/>
              <w:spacing w:line="276" w:lineRule="auto"/>
              <w:rPr>
                <w:rFonts w:ascii="Times New Roman" w:hAnsi="Times New Roman"/>
                <w:b/>
                <w:sz w:val="24"/>
                <w:szCs w:val="24"/>
                <w:shd w:val="clear" w:color="auto" w:fill="FFFFFF"/>
              </w:rPr>
            </w:pPr>
            <w:r w:rsidRPr="003F4025">
              <w:rPr>
                <w:rFonts w:ascii="Times New Roman" w:hAnsi="Times New Roman"/>
                <w:b/>
                <w:sz w:val="24"/>
                <w:szCs w:val="24"/>
              </w:rPr>
              <w:t xml:space="preserve">Vaistinio preparato </w:t>
            </w:r>
            <w:r w:rsidRPr="003F4025">
              <w:rPr>
                <w:rFonts w:ascii="Times New Roman" w:hAnsi="Times New Roman"/>
                <w:b/>
                <w:sz w:val="24"/>
                <w:szCs w:val="24"/>
                <w:shd w:val="clear" w:color="auto" w:fill="FFFFFF"/>
              </w:rPr>
              <w:t>registracijos teisinis pagrindas</w:t>
            </w:r>
          </w:p>
          <w:p w14:paraId="63F86DC1" w14:textId="77777777" w:rsidR="001B01C6" w:rsidRPr="003F4025" w:rsidRDefault="001B01C6" w:rsidP="003F4025">
            <w:pPr>
              <w:pStyle w:val="NoSpacing"/>
              <w:spacing w:line="276" w:lineRule="auto"/>
              <w:rPr>
                <w:rFonts w:ascii="Times New Roman" w:hAnsi="Times New Roman"/>
                <w:b/>
                <w:bCs/>
                <w:sz w:val="24"/>
                <w:szCs w:val="24"/>
                <w:lang w:eastAsia="lt-LT"/>
              </w:rPr>
            </w:pPr>
            <w:r w:rsidRPr="003F4025">
              <w:rPr>
                <w:rFonts w:ascii="Times New Roman" w:hAnsi="Times New Roman"/>
                <w:b/>
                <w:sz w:val="24"/>
                <w:szCs w:val="24"/>
                <w:shd w:val="clear" w:color="auto" w:fill="FFFFFF"/>
              </w:rPr>
              <w:t>(</w:t>
            </w:r>
            <w:r w:rsidRPr="003F4025">
              <w:rPr>
                <w:rFonts w:ascii="Times New Roman" w:hAnsi="Times New Roman"/>
                <w:b/>
                <w:sz w:val="24"/>
                <w:szCs w:val="24"/>
              </w:rPr>
              <w:t>Direktyvos 2001/83/EB str.)</w:t>
            </w:r>
          </w:p>
        </w:tc>
        <w:tc>
          <w:tcPr>
            <w:tcW w:w="4962" w:type="dxa"/>
          </w:tcPr>
          <w:p w14:paraId="4C977D39" w14:textId="293CCEA8" w:rsidR="001B01C6" w:rsidRPr="003F4025" w:rsidRDefault="00000000" w:rsidP="003F4025">
            <w:pPr>
              <w:spacing w:line="276" w:lineRule="auto"/>
            </w:pPr>
            <w:sdt>
              <w:sdtPr>
                <w:rPr>
                  <w:rStyle w:val="Style2"/>
                  <w:sz w:val="24"/>
                </w:rPr>
                <w:id w:val="526292078"/>
                <w15:color w:val="FFCC00"/>
                <w14:checkbox>
                  <w14:checked w14:val="1"/>
                  <w14:checkedState w14:val="2612" w14:font="MS Gothic"/>
                  <w14:uncheckedState w14:val="2610" w14:font="MS Gothic"/>
                </w14:checkbox>
              </w:sdtPr>
              <w:sdtContent>
                <w:r w:rsidR="001B01C6" w:rsidRPr="003F4025">
                  <w:rPr>
                    <w:rStyle w:val="Style2"/>
                    <w:rFonts w:ascii="MS Gothic" w:eastAsia="MS Gothic" w:hAnsi="MS Gothic"/>
                    <w:sz w:val="24"/>
                  </w:rPr>
                  <w:t>☒</w:t>
                </w:r>
              </w:sdtContent>
            </w:sdt>
            <w:r w:rsidR="001B01C6" w:rsidRPr="003F4025">
              <w:t>8.3 str. (pilna byla, pagrįsta savais tyrimais)</w:t>
            </w:r>
          </w:p>
          <w:p w14:paraId="6AABD410" w14:textId="77777777" w:rsidR="001B01C6" w:rsidRPr="003F4025" w:rsidRDefault="00000000" w:rsidP="003F4025">
            <w:pPr>
              <w:spacing w:line="276" w:lineRule="auto"/>
            </w:pPr>
            <w:sdt>
              <w:sdtPr>
                <w:rPr>
                  <w:rStyle w:val="Style2"/>
                  <w:sz w:val="24"/>
                </w:rPr>
                <w:id w:val="-1497953736"/>
                <w15:color w:val="FFCC00"/>
                <w14:checkbox>
                  <w14:checked w14:val="0"/>
                  <w14:checkedState w14:val="2612" w14:font="MS Gothic"/>
                  <w14:uncheckedState w14:val="2610" w14:font="MS Gothic"/>
                </w14:checkbox>
              </w:sdtPr>
              <w:sdtContent>
                <w:r w:rsidR="001B01C6" w:rsidRPr="003F4025">
                  <w:rPr>
                    <w:rStyle w:val="Style2"/>
                    <w:rFonts w:ascii="Segoe UI Symbol" w:eastAsia="MS Gothic" w:hAnsi="Segoe UI Symbol" w:cs="Segoe UI Symbol"/>
                    <w:sz w:val="24"/>
                  </w:rPr>
                  <w:t>☐</w:t>
                </w:r>
              </w:sdtContent>
            </w:sdt>
            <w:r w:rsidR="001B01C6" w:rsidRPr="003F4025">
              <w:t>10 a str. (pripažintas medicininis vartojimas)</w:t>
            </w:r>
          </w:p>
          <w:p w14:paraId="5CF35A47" w14:textId="77777777" w:rsidR="001B01C6" w:rsidRPr="003F4025" w:rsidRDefault="00000000" w:rsidP="003F4025">
            <w:pPr>
              <w:spacing w:line="276" w:lineRule="auto"/>
            </w:pPr>
            <w:sdt>
              <w:sdtPr>
                <w:rPr>
                  <w:rStyle w:val="Style2"/>
                  <w:sz w:val="24"/>
                </w:rPr>
                <w:id w:val="204142496"/>
                <w15:color w:val="FFCC00"/>
                <w14:checkbox>
                  <w14:checked w14:val="0"/>
                  <w14:checkedState w14:val="2612" w14:font="MS Gothic"/>
                  <w14:uncheckedState w14:val="2610" w14:font="MS Gothic"/>
                </w14:checkbox>
              </w:sdtPr>
              <w:sdtContent>
                <w:r w:rsidR="001B01C6" w:rsidRPr="003F4025">
                  <w:rPr>
                    <w:rStyle w:val="Style2"/>
                    <w:rFonts w:ascii="Segoe UI Symbol" w:eastAsia="MS Gothic" w:hAnsi="Segoe UI Symbol" w:cs="Segoe UI Symbol"/>
                    <w:sz w:val="24"/>
                  </w:rPr>
                  <w:t>☐</w:t>
                </w:r>
              </w:sdtContent>
            </w:sdt>
            <w:r w:rsidR="001B01C6" w:rsidRPr="003F4025">
              <w:t>10.1 str. (generinis)</w:t>
            </w:r>
          </w:p>
          <w:p w14:paraId="0517A1B2" w14:textId="77777777" w:rsidR="001B01C6" w:rsidRPr="003F4025" w:rsidRDefault="00000000" w:rsidP="003F4025">
            <w:pPr>
              <w:spacing w:line="276" w:lineRule="auto"/>
            </w:pPr>
            <w:sdt>
              <w:sdtPr>
                <w:rPr>
                  <w:rStyle w:val="Style2"/>
                  <w:sz w:val="24"/>
                </w:rPr>
                <w:id w:val="820305101"/>
                <w15:color w:val="FFCC00"/>
                <w14:checkbox>
                  <w14:checked w14:val="0"/>
                  <w14:checkedState w14:val="2612" w14:font="MS Gothic"/>
                  <w14:uncheckedState w14:val="2610" w14:font="MS Gothic"/>
                </w14:checkbox>
              </w:sdtPr>
              <w:sdtContent>
                <w:r w:rsidR="001B01C6" w:rsidRPr="003F4025">
                  <w:rPr>
                    <w:rStyle w:val="Style2"/>
                    <w:rFonts w:ascii="Segoe UI Symbol" w:eastAsia="MS Gothic" w:hAnsi="Segoe UI Symbol" w:cs="Segoe UI Symbol"/>
                    <w:sz w:val="24"/>
                  </w:rPr>
                  <w:t>☐</w:t>
                </w:r>
              </w:sdtContent>
            </w:sdt>
            <w:r w:rsidR="001B01C6" w:rsidRPr="003F4025">
              <w:t>10.3 str. (hibridinis)</w:t>
            </w:r>
          </w:p>
          <w:p w14:paraId="0F37DDE0" w14:textId="78AF6516" w:rsidR="001B01C6" w:rsidRPr="003F4025" w:rsidRDefault="00000000" w:rsidP="003F4025">
            <w:pPr>
              <w:spacing w:line="276" w:lineRule="auto"/>
            </w:pPr>
            <w:sdt>
              <w:sdtPr>
                <w:rPr>
                  <w:rStyle w:val="Style2"/>
                  <w:sz w:val="24"/>
                </w:rPr>
                <w:id w:val="1800953328"/>
                <w15:color w:val="FFCC00"/>
                <w14:checkbox>
                  <w14:checked w14:val="0"/>
                  <w14:checkedState w14:val="2612" w14:font="MS Gothic"/>
                  <w14:uncheckedState w14:val="2610" w14:font="MS Gothic"/>
                </w14:checkbox>
              </w:sdtPr>
              <w:sdtContent>
                <w:r w:rsidR="001B01C6" w:rsidRPr="003F4025">
                  <w:rPr>
                    <w:rStyle w:val="Style2"/>
                    <w:rFonts w:ascii="Segoe UI Symbol" w:eastAsia="MS Gothic" w:hAnsi="Segoe UI Symbol" w:cs="Segoe UI Symbol"/>
                    <w:sz w:val="24"/>
                  </w:rPr>
                  <w:t>☐</w:t>
                </w:r>
              </w:sdtContent>
            </w:sdt>
            <w:r w:rsidR="001B01C6" w:rsidRPr="003F4025">
              <w:t>10.4 str. (panašus biologinis)</w:t>
            </w:r>
          </w:p>
          <w:p w14:paraId="7EDB4848" w14:textId="77777777" w:rsidR="001B01C6" w:rsidRPr="003F4025" w:rsidRDefault="001B01C6" w:rsidP="003F4025">
            <w:pPr>
              <w:spacing w:line="276" w:lineRule="auto"/>
              <w:rPr>
                <w:rStyle w:val="Style2"/>
                <w:sz w:val="24"/>
              </w:rPr>
            </w:pPr>
          </w:p>
        </w:tc>
      </w:tr>
      <w:tr w:rsidR="001B01C6" w:rsidRPr="003F4025" w14:paraId="31641941" w14:textId="77777777" w:rsidTr="003F3FFF">
        <w:trPr>
          <w:trHeight w:val="1011"/>
        </w:trPr>
        <w:tc>
          <w:tcPr>
            <w:tcW w:w="632" w:type="dxa"/>
          </w:tcPr>
          <w:p w14:paraId="2E73A32C" w14:textId="77777777" w:rsidR="001B01C6" w:rsidRPr="003F4025" w:rsidRDefault="001B01C6" w:rsidP="003F4025">
            <w:pPr>
              <w:spacing w:line="276" w:lineRule="auto"/>
              <w:rPr>
                <w:rFonts w:eastAsia="Arial"/>
                <w:b/>
                <w:bCs/>
              </w:rPr>
            </w:pPr>
            <w:r w:rsidRPr="003F4025">
              <w:rPr>
                <w:rFonts w:eastAsia="Arial"/>
                <w:b/>
              </w:rPr>
              <w:t>1.4</w:t>
            </w:r>
          </w:p>
        </w:tc>
        <w:tc>
          <w:tcPr>
            <w:tcW w:w="3899" w:type="dxa"/>
          </w:tcPr>
          <w:p w14:paraId="2547AC59" w14:textId="77777777" w:rsidR="001B01C6" w:rsidRPr="003F4025" w:rsidRDefault="001B01C6" w:rsidP="003F4025">
            <w:pPr>
              <w:tabs>
                <w:tab w:val="left" w:pos="284"/>
              </w:tabs>
              <w:spacing w:line="276" w:lineRule="auto"/>
              <w:rPr>
                <w:b/>
                <w:bCs/>
                <w:lang w:eastAsia="lt-LT"/>
              </w:rPr>
            </w:pPr>
            <w:r w:rsidRPr="003F4025">
              <w:rPr>
                <w:b/>
                <w:bCs/>
                <w:lang w:eastAsia="lt-LT"/>
              </w:rPr>
              <w:t>Ar vaistinis preparatas įrašytas į Bendrijos retųjų vaistinių preparatų registrą?</w:t>
            </w:r>
          </w:p>
        </w:tc>
        <w:tc>
          <w:tcPr>
            <w:tcW w:w="4962" w:type="dxa"/>
          </w:tcPr>
          <w:p w14:paraId="49AB923F" w14:textId="4070FFB3" w:rsidR="001B01C6" w:rsidRPr="003F4025" w:rsidRDefault="00000000" w:rsidP="003F4025">
            <w:pPr>
              <w:spacing w:line="276" w:lineRule="auto"/>
            </w:pPr>
            <w:sdt>
              <w:sdtPr>
                <w:rPr>
                  <w:rStyle w:val="Style2"/>
                  <w:sz w:val="24"/>
                </w:rPr>
                <w:id w:val="1190730465"/>
                <w15:color w:val="FFCC00"/>
                <w14:checkbox>
                  <w14:checked w14:val="0"/>
                  <w14:checkedState w14:val="2612" w14:font="MS Gothic"/>
                  <w14:uncheckedState w14:val="2610" w14:font="MS Gothic"/>
                </w14:checkbox>
              </w:sdtPr>
              <w:sdtContent>
                <w:r w:rsidR="001B01C6" w:rsidRPr="003F4025">
                  <w:rPr>
                    <w:rStyle w:val="Style2"/>
                    <w:rFonts w:ascii="Segoe UI Symbol" w:eastAsia="MS Gothic" w:hAnsi="Segoe UI Symbol" w:cs="Segoe UI Symbol"/>
                    <w:sz w:val="24"/>
                  </w:rPr>
                  <w:t>☐</w:t>
                </w:r>
              </w:sdtContent>
            </w:sdt>
            <w:r w:rsidR="001B01C6" w:rsidRPr="003F4025">
              <w:t xml:space="preserve"> Taip       </w:t>
            </w:r>
            <w:r w:rsidR="001B01C6" w:rsidRPr="003F4025">
              <w:rPr>
                <w:rStyle w:val="Style2"/>
                <w:sz w:val="24"/>
              </w:rPr>
              <w:t xml:space="preserve"> </w:t>
            </w:r>
            <w:sdt>
              <w:sdtPr>
                <w:rPr>
                  <w:rStyle w:val="Style2"/>
                  <w:sz w:val="24"/>
                </w:rPr>
                <w:id w:val="-1760283509"/>
                <w15:color w:val="FFCC00"/>
                <w14:checkbox>
                  <w14:checked w14:val="1"/>
                  <w14:checkedState w14:val="2612" w14:font="MS Gothic"/>
                  <w14:uncheckedState w14:val="2610" w14:font="MS Gothic"/>
                </w14:checkbox>
              </w:sdtPr>
              <w:sdtContent>
                <w:r w:rsidR="001B01C6" w:rsidRPr="003F4025">
                  <w:rPr>
                    <w:rStyle w:val="Style2"/>
                    <w:rFonts w:ascii="MS Gothic" w:eastAsia="MS Gothic" w:hAnsi="MS Gothic"/>
                    <w:sz w:val="24"/>
                  </w:rPr>
                  <w:t>☒</w:t>
                </w:r>
              </w:sdtContent>
            </w:sdt>
            <w:r w:rsidR="001B01C6" w:rsidRPr="003F4025">
              <w:t xml:space="preserve"> Ne</w:t>
            </w:r>
          </w:p>
          <w:p w14:paraId="56165267" w14:textId="77777777" w:rsidR="001B01C6" w:rsidRPr="003F4025" w:rsidRDefault="001B01C6" w:rsidP="003F4025">
            <w:pPr>
              <w:spacing w:line="276" w:lineRule="auto"/>
              <w:rPr>
                <w:rFonts w:eastAsia="Arial"/>
              </w:rPr>
            </w:pPr>
            <w:r w:rsidRPr="003F4025">
              <w:t xml:space="preserve">Data: </w:t>
            </w:r>
            <w:sdt>
              <w:sdtPr>
                <w:alias w:val="Nurodykite konkrečią dieną"/>
                <w:tag w:val="Nurodykite pradžios datą"/>
                <w:id w:val="1784158105"/>
                <w:placeholder>
                  <w:docPart w:val="B08ADF56EDD64721B0CD05CEE2F955C8"/>
                </w:placeholder>
                <w:showingPlcHdr/>
                <w15:color w:val="FFCC99"/>
                <w:date w:fullDate="2022-05-18T00:00:00Z">
                  <w:dateFormat w:val="yyyy 'm.' MMMM d 'd.'"/>
                  <w:lid w:val="lt-LT"/>
                  <w:storeMappedDataAs w:val="dateTime"/>
                  <w:calendar w:val="gregorian"/>
                </w:date>
              </w:sdtPr>
              <w:sdtContent>
                <w:r w:rsidRPr="003F4025">
                  <w:rPr>
                    <w:rStyle w:val="PlaceholderText"/>
                    <w:color w:val="auto"/>
                  </w:rPr>
                  <w:t>Click here to enter a date.</w:t>
                </w:r>
              </w:sdtContent>
            </w:sdt>
            <w:r w:rsidRPr="003F4025">
              <w:t xml:space="preserve"> Nr.</w:t>
            </w:r>
          </w:p>
        </w:tc>
      </w:tr>
      <w:tr w:rsidR="001B01C6" w:rsidRPr="003F4025" w14:paraId="5E0775EB" w14:textId="77777777" w:rsidTr="003F3FFF">
        <w:trPr>
          <w:trHeight w:val="1011"/>
        </w:trPr>
        <w:tc>
          <w:tcPr>
            <w:tcW w:w="632" w:type="dxa"/>
          </w:tcPr>
          <w:p w14:paraId="6829924D" w14:textId="77777777" w:rsidR="001B01C6" w:rsidRPr="003F4025" w:rsidRDefault="001B01C6" w:rsidP="003F4025">
            <w:pPr>
              <w:spacing w:line="276" w:lineRule="auto"/>
              <w:rPr>
                <w:rFonts w:eastAsia="Arial"/>
                <w:b/>
              </w:rPr>
            </w:pPr>
            <w:r w:rsidRPr="003F4025">
              <w:rPr>
                <w:rFonts w:eastAsia="Arial"/>
                <w:b/>
                <w:bCs/>
              </w:rPr>
              <w:t>1.5</w:t>
            </w:r>
          </w:p>
        </w:tc>
        <w:tc>
          <w:tcPr>
            <w:tcW w:w="3899" w:type="dxa"/>
          </w:tcPr>
          <w:p w14:paraId="1DDE7CF3" w14:textId="2FF7A402" w:rsidR="001B01C6" w:rsidRPr="003F4025" w:rsidRDefault="001B01C6" w:rsidP="003F4025">
            <w:pPr>
              <w:tabs>
                <w:tab w:val="left" w:pos="284"/>
              </w:tabs>
              <w:spacing w:line="276" w:lineRule="auto"/>
              <w:rPr>
                <w:b/>
                <w:bCs/>
                <w:lang w:eastAsia="lt-LT"/>
              </w:rPr>
            </w:pPr>
            <w:r w:rsidRPr="003F4025">
              <w:rPr>
                <w:b/>
                <w:bCs/>
                <w:lang w:eastAsia="lt-LT"/>
              </w:rPr>
              <w:t>Ar atliktas bendras klinikinis vertinimas</w:t>
            </w:r>
          </w:p>
          <w:p w14:paraId="0961228D" w14:textId="77777777" w:rsidR="001B01C6" w:rsidRPr="003F4025" w:rsidRDefault="001B01C6" w:rsidP="003F4025">
            <w:pPr>
              <w:tabs>
                <w:tab w:val="left" w:pos="284"/>
              </w:tabs>
              <w:spacing w:line="276" w:lineRule="auto"/>
              <w:rPr>
                <w:b/>
                <w:bCs/>
                <w:lang w:eastAsia="lt-LT"/>
              </w:rPr>
            </w:pPr>
            <w:r w:rsidRPr="003F4025">
              <w:rPr>
                <w:b/>
                <w:bCs/>
                <w:lang w:eastAsia="lt-LT"/>
              </w:rPr>
              <w:t>(Europos Parlamento ir Tarybos reglamentas (ES) 2021/2282)</w:t>
            </w:r>
          </w:p>
          <w:p w14:paraId="7B6C3C1B" w14:textId="77777777" w:rsidR="001B01C6" w:rsidRPr="003F4025" w:rsidRDefault="001B01C6" w:rsidP="003F4025">
            <w:pPr>
              <w:tabs>
                <w:tab w:val="left" w:pos="284"/>
              </w:tabs>
              <w:spacing w:line="276" w:lineRule="auto"/>
              <w:rPr>
                <w:b/>
                <w:bCs/>
                <w:lang w:eastAsia="lt-LT"/>
              </w:rPr>
            </w:pPr>
          </w:p>
        </w:tc>
        <w:tc>
          <w:tcPr>
            <w:tcW w:w="4962" w:type="dxa"/>
          </w:tcPr>
          <w:p w14:paraId="024AE31B" w14:textId="46215762" w:rsidR="001B01C6" w:rsidRPr="003F4025" w:rsidRDefault="00000000" w:rsidP="003F4025">
            <w:pPr>
              <w:spacing w:line="276" w:lineRule="auto"/>
            </w:pPr>
            <w:sdt>
              <w:sdtPr>
                <w:rPr>
                  <w:rStyle w:val="Style2"/>
                  <w:sz w:val="24"/>
                </w:rPr>
                <w:id w:val="-1171564470"/>
                <w15:color w:val="FFCC00"/>
                <w14:checkbox>
                  <w14:checked w14:val="0"/>
                  <w14:checkedState w14:val="2612" w14:font="MS Gothic"/>
                  <w14:uncheckedState w14:val="2610" w14:font="MS Gothic"/>
                </w14:checkbox>
              </w:sdtPr>
              <w:sdtContent>
                <w:r w:rsidR="001B01C6" w:rsidRPr="003F4025">
                  <w:rPr>
                    <w:rStyle w:val="Style2"/>
                    <w:rFonts w:ascii="Segoe UI Symbol" w:eastAsia="MS Gothic" w:hAnsi="Segoe UI Symbol" w:cs="Segoe UI Symbol"/>
                    <w:sz w:val="24"/>
                  </w:rPr>
                  <w:t>☐</w:t>
                </w:r>
              </w:sdtContent>
            </w:sdt>
            <w:r w:rsidR="001B01C6" w:rsidRPr="003F4025">
              <w:t xml:space="preserve"> Taip       </w:t>
            </w:r>
            <w:r w:rsidR="001B01C6" w:rsidRPr="003F4025">
              <w:rPr>
                <w:rStyle w:val="Style2"/>
                <w:sz w:val="24"/>
              </w:rPr>
              <w:t xml:space="preserve"> </w:t>
            </w:r>
            <w:sdt>
              <w:sdtPr>
                <w:rPr>
                  <w:rStyle w:val="Style2"/>
                  <w:sz w:val="24"/>
                </w:rPr>
                <w:id w:val="1448122567"/>
                <w15:color w:val="FFCC00"/>
                <w14:checkbox>
                  <w14:checked w14:val="1"/>
                  <w14:checkedState w14:val="2612" w14:font="MS Gothic"/>
                  <w14:uncheckedState w14:val="2610" w14:font="MS Gothic"/>
                </w14:checkbox>
              </w:sdtPr>
              <w:sdtContent>
                <w:r w:rsidR="001B01C6" w:rsidRPr="003F4025">
                  <w:rPr>
                    <w:rStyle w:val="Style2"/>
                    <w:rFonts w:ascii="MS Gothic" w:eastAsia="MS Gothic" w:hAnsi="MS Gothic"/>
                    <w:sz w:val="24"/>
                  </w:rPr>
                  <w:t>☒</w:t>
                </w:r>
              </w:sdtContent>
            </w:sdt>
            <w:r w:rsidR="001B01C6" w:rsidRPr="003F4025">
              <w:t xml:space="preserve"> Ne</w:t>
            </w:r>
          </w:p>
          <w:p w14:paraId="0DF729B3" w14:textId="4C6AED5D" w:rsidR="001B01C6" w:rsidRPr="003F4025" w:rsidRDefault="001B01C6" w:rsidP="003F4025">
            <w:pPr>
              <w:spacing w:line="276" w:lineRule="auto"/>
              <w:rPr>
                <w:rStyle w:val="Style2"/>
                <w:sz w:val="24"/>
              </w:rPr>
            </w:pPr>
            <w:r w:rsidRPr="003F4025">
              <w:t xml:space="preserve"> </w:t>
            </w:r>
          </w:p>
        </w:tc>
      </w:tr>
      <w:tr w:rsidR="001B01C6" w:rsidRPr="003F4025" w14:paraId="15E36E93" w14:textId="77777777" w:rsidTr="003F3FFF">
        <w:trPr>
          <w:trHeight w:val="1278"/>
        </w:trPr>
        <w:tc>
          <w:tcPr>
            <w:tcW w:w="632" w:type="dxa"/>
          </w:tcPr>
          <w:p w14:paraId="5F43AA8F" w14:textId="77777777" w:rsidR="001B01C6" w:rsidRPr="003F4025" w:rsidRDefault="001B01C6" w:rsidP="003F4025">
            <w:pPr>
              <w:spacing w:line="276" w:lineRule="auto"/>
              <w:rPr>
                <w:rFonts w:eastAsia="Arial"/>
                <w:b/>
                <w:bCs/>
              </w:rPr>
            </w:pPr>
            <w:r w:rsidRPr="003F4025">
              <w:rPr>
                <w:rFonts w:eastAsia="Arial"/>
                <w:b/>
                <w:bCs/>
              </w:rPr>
              <w:lastRenderedPageBreak/>
              <w:t>1.6</w:t>
            </w:r>
          </w:p>
        </w:tc>
        <w:tc>
          <w:tcPr>
            <w:tcW w:w="3899" w:type="dxa"/>
          </w:tcPr>
          <w:p w14:paraId="41F32942" w14:textId="77777777" w:rsidR="001B01C6" w:rsidRPr="003F4025" w:rsidRDefault="001B01C6" w:rsidP="003F4025">
            <w:pPr>
              <w:spacing w:line="276" w:lineRule="auto"/>
              <w:rPr>
                <w:b/>
                <w:bCs/>
                <w:lang w:eastAsia="lt-LT"/>
              </w:rPr>
            </w:pPr>
            <w:r w:rsidRPr="003F4025">
              <w:rPr>
                <w:b/>
                <w:bCs/>
                <w:lang w:eastAsia="lt-LT"/>
              </w:rPr>
              <w:t xml:space="preserve">Teikiama kompensuoti terapinė indikacija </w:t>
            </w:r>
          </w:p>
          <w:p w14:paraId="2882A5BD" w14:textId="77777777" w:rsidR="001B01C6" w:rsidRPr="003F4025" w:rsidRDefault="001B01C6" w:rsidP="003F4025">
            <w:pPr>
              <w:spacing w:line="276" w:lineRule="auto"/>
              <w:rPr>
                <w:b/>
                <w:bCs/>
                <w:lang w:eastAsia="lt-LT"/>
              </w:rPr>
            </w:pPr>
          </w:p>
          <w:p w14:paraId="0B151EA5" w14:textId="77777777" w:rsidR="001D7601" w:rsidRPr="003F4025" w:rsidRDefault="001D7601" w:rsidP="003F4025">
            <w:pPr>
              <w:spacing w:line="276" w:lineRule="auto"/>
              <w:rPr>
                <w:b/>
                <w:bCs/>
                <w:lang w:eastAsia="lt-LT"/>
              </w:rPr>
            </w:pPr>
          </w:p>
          <w:p w14:paraId="354FE281" w14:textId="77777777" w:rsidR="001D7601" w:rsidRPr="003F4025" w:rsidRDefault="001D7601" w:rsidP="003F4025">
            <w:pPr>
              <w:spacing w:line="276" w:lineRule="auto"/>
              <w:rPr>
                <w:b/>
                <w:bCs/>
                <w:lang w:eastAsia="lt-LT"/>
              </w:rPr>
            </w:pPr>
          </w:p>
          <w:p w14:paraId="316FA55B" w14:textId="77777777" w:rsidR="001D7601" w:rsidRPr="003F4025" w:rsidRDefault="001D7601" w:rsidP="003F4025">
            <w:pPr>
              <w:spacing w:line="276" w:lineRule="auto"/>
              <w:rPr>
                <w:b/>
                <w:bCs/>
                <w:lang w:eastAsia="lt-LT"/>
              </w:rPr>
            </w:pPr>
          </w:p>
          <w:p w14:paraId="38657C9C" w14:textId="77777777" w:rsidR="001D7601" w:rsidRPr="003F4025" w:rsidRDefault="001D7601" w:rsidP="003F4025">
            <w:pPr>
              <w:spacing w:line="276" w:lineRule="auto"/>
              <w:rPr>
                <w:b/>
                <w:bCs/>
                <w:lang w:eastAsia="lt-LT"/>
              </w:rPr>
            </w:pPr>
          </w:p>
          <w:p w14:paraId="0F9027BB" w14:textId="77777777" w:rsidR="001D7601" w:rsidRPr="003F4025" w:rsidRDefault="001D7601" w:rsidP="003F4025">
            <w:pPr>
              <w:spacing w:line="276" w:lineRule="auto"/>
              <w:rPr>
                <w:b/>
                <w:bCs/>
                <w:lang w:eastAsia="lt-LT"/>
              </w:rPr>
            </w:pPr>
          </w:p>
          <w:p w14:paraId="44684A05" w14:textId="77777777" w:rsidR="001D7601" w:rsidRPr="003F4025" w:rsidRDefault="001D7601" w:rsidP="003F4025">
            <w:pPr>
              <w:spacing w:line="276" w:lineRule="auto"/>
              <w:rPr>
                <w:b/>
                <w:bCs/>
                <w:lang w:eastAsia="lt-LT"/>
              </w:rPr>
            </w:pPr>
          </w:p>
          <w:p w14:paraId="5F985EF5" w14:textId="77777777" w:rsidR="001D7601" w:rsidRPr="003F4025" w:rsidRDefault="001D7601" w:rsidP="003F4025">
            <w:pPr>
              <w:spacing w:line="276" w:lineRule="auto"/>
              <w:rPr>
                <w:b/>
                <w:bCs/>
                <w:lang w:eastAsia="lt-LT"/>
              </w:rPr>
            </w:pPr>
          </w:p>
          <w:p w14:paraId="09DA9D00" w14:textId="77777777" w:rsidR="001D7601" w:rsidRPr="003F4025" w:rsidRDefault="001D7601" w:rsidP="003F4025">
            <w:pPr>
              <w:spacing w:line="276" w:lineRule="auto"/>
              <w:rPr>
                <w:b/>
                <w:bCs/>
                <w:lang w:eastAsia="lt-LT"/>
              </w:rPr>
            </w:pPr>
          </w:p>
          <w:p w14:paraId="17D95A9D" w14:textId="77777777" w:rsidR="001D7601" w:rsidRPr="003F4025" w:rsidRDefault="001D7601" w:rsidP="003F4025">
            <w:pPr>
              <w:spacing w:line="276" w:lineRule="auto"/>
              <w:rPr>
                <w:b/>
                <w:bCs/>
                <w:lang w:eastAsia="lt-LT"/>
              </w:rPr>
            </w:pPr>
          </w:p>
          <w:p w14:paraId="3212CBD4" w14:textId="77777777" w:rsidR="001D7601" w:rsidRPr="003F4025" w:rsidRDefault="001D7601" w:rsidP="003F4025">
            <w:pPr>
              <w:spacing w:line="276" w:lineRule="auto"/>
              <w:rPr>
                <w:b/>
                <w:bCs/>
                <w:lang w:eastAsia="lt-LT"/>
              </w:rPr>
            </w:pPr>
          </w:p>
          <w:p w14:paraId="3CE809B8" w14:textId="77777777" w:rsidR="001D7601" w:rsidRPr="003F4025" w:rsidRDefault="001D7601" w:rsidP="003F4025">
            <w:pPr>
              <w:spacing w:line="276" w:lineRule="auto"/>
              <w:rPr>
                <w:b/>
                <w:bCs/>
                <w:lang w:eastAsia="lt-LT"/>
              </w:rPr>
            </w:pPr>
          </w:p>
          <w:p w14:paraId="4DB5BAA5" w14:textId="77777777" w:rsidR="001D7601" w:rsidRPr="003F4025" w:rsidRDefault="001D7601" w:rsidP="003F4025">
            <w:pPr>
              <w:spacing w:line="276" w:lineRule="auto"/>
              <w:rPr>
                <w:b/>
                <w:bCs/>
                <w:lang w:eastAsia="lt-LT"/>
              </w:rPr>
            </w:pPr>
          </w:p>
          <w:p w14:paraId="371D188E" w14:textId="77777777" w:rsidR="001B01C6" w:rsidRPr="003F4025" w:rsidRDefault="001B01C6" w:rsidP="003F4025">
            <w:pPr>
              <w:spacing w:line="276" w:lineRule="auto"/>
              <w:rPr>
                <w:b/>
                <w:bCs/>
                <w:lang w:eastAsia="lt-LT"/>
              </w:rPr>
            </w:pPr>
            <w:r w:rsidRPr="003F4025">
              <w:rPr>
                <w:b/>
                <w:bCs/>
                <w:lang w:eastAsia="lt-LT"/>
              </w:rPr>
              <w:t>Kodas pagal TLK-10 AM</w:t>
            </w:r>
          </w:p>
        </w:tc>
        <w:tc>
          <w:tcPr>
            <w:tcW w:w="4962" w:type="dxa"/>
          </w:tcPr>
          <w:p w14:paraId="1FA209FB" w14:textId="77777777" w:rsidR="001B01C6" w:rsidRPr="003F4025" w:rsidRDefault="001B01C6" w:rsidP="003F4025">
            <w:pPr>
              <w:pStyle w:val="Tekstas"/>
              <w:spacing w:line="276" w:lineRule="auto"/>
              <w:rPr>
                <w:lang w:val="lt-LT"/>
              </w:rPr>
            </w:pPr>
            <w:bookmarkStart w:id="1" w:name="_Hlk199687281"/>
            <w:r w:rsidRPr="003F4025">
              <w:rPr>
                <w:lang w:val="lt-LT"/>
              </w:rPr>
              <w:t>IMFINZI kartu su karboplatina ir paklitakseliu skirtas suaugusioms pacientėms, kurioms yra diagnozuotas pirminis pažengęs ar atsinaujinęs endometriumo vėžys ir numatytas sisteminis gydymas, o po to – palaikomasis gydymas:</w:t>
            </w:r>
          </w:p>
          <w:p w14:paraId="2665ABD7" w14:textId="77777777" w:rsidR="001B01C6" w:rsidRPr="003F4025" w:rsidRDefault="001B01C6" w:rsidP="003F4025">
            <w:pPr>
              <w:pStyle w:val="Tekstas"/>
              <w:numPr>
                <w:ilvl w:val="0"/>
                <w:numId w:val="15"/>
              </w:numPr>
              <w:spacing w:line="276" w:lineRule="auto"/>
              <w:rPr>
                <w:lang w:val="lt-LT"/>
              </w:rPr>
            </w:pPr>
            <w:r w:rsidRPr="003F4025">
              <w:rPr>
                <w:lang w:val="lt-LT"/>
              </w:rPr>
              <w:t xml:space="preserve">IMFINZI monoterapija skirta gydyti endometriumo vėžį, kai yra neatitikimų taisymo trūkumas (angl. </w:t>
            </w:r>
            <w:r w:rsidRPr="003F4025">
              <w:rPr>
                <w:i/>
                <w:iCs/>
                <w:lang w:val="lt-LT"/>
              </w:rPr>
              <w:t>mismatch repair deficient</w:t>
            </w:r>
            <w:r w:rsidRPr="003F4025">
              <w:rPr>
                <w:lang w:val="lt-LT"/>
              </w:rPr>
              <w:t>, dMMR);</w:t>
            </w:r>
          </w:p>
          <w:p w14:paraId="2ED0E997" w14:textId="257E1FCA" w:rsidR="001B01C6" w:rsidRPr="003F4025" w:rsidRDefault="001B01C6" w:rsidP="003F4025">
            <w:pPr>
              <w:spacing w:line="276" w:lineRule="auto"/>
            </w:pPr>
            <w:r w:rsidRPr="003F4025">
              <w:t xml:space="preserve">IMFINZI derinys su olaparibu skirtas gydyti endometriumo vėžį, kai neatitikimų taisymas yra nepažeistas (angl. </w:t>
            </w:r>
            <w:r w:rsidRPr="003F4025">
              <w:rPr>
                <w:i/>
                <w:iCs/>
              </w:rPr>
              <w:t>mismatch repair proficient</w:t>
            </w:r>
            <w:r w:rsidRPr="003F4025">
              <w:t>, pMMR).</w:t>
            </w:r>
            <w:bookmarkEnd w:id="1"/>
          </w:p>
          <w:p w14:paraId="1F9E21CB" w14:textId="77777777" w:rsidR="001B01C6" w:rsidRPr="003F4025" w:rsidRDefault="001B01C6" w:rsidP="003F4025">
            <w:pPr>
              <w:spacing w:line="276" w:lineRule="auto"/>
            </w:pPr>
          </w:p>
          <w:p w14:paraId="4AAF2D56" w14:textId="3D6B109D" w:rsidR="001D7601" w:rsidRPr="003F4025" w:rsidRDefault="001D7601" w:rsidP="003F4025">
            <w:pPr>
              <w:spacing w:line="276" w:lineRule="auto"/>
            </w:pPr>
            <w:r w:rsidRPr="003F4025">
              <w:t>C54</w:t>
            </w:r>
          </w:p>
          <w:p w14:paraId="10833DB8" w14:textId="7678DD02" w:rsidR="001B01C6" w:rsidRPr="003F4025" w:rsidRDefault="001B01C6" w:rsidP="003F4025">
            <w:pPr>
              <w:spacing w:line="276" w:lineRule="auto"/>
            </w:pPr>
          </w:p>
        </w:tc>
      </w:tr>
      <w:tr w:rsidR="001B01C6" w:rsidRPr="003F4025" w14:paraId="01C3C4F5" w14:textId="77777777" w:rsidTr="003F3FFF">
        <w:trPr>
          <w:trHeight w:val="378"/>
        </w:trPr>
        <w:tc>
          <w:tcPr>
            <w:tcW w:w="632" w:type="dxa"/>
          </w:tcPr>
          <w:p w14:paraId="5115AFC1" w14:textId="77777777" w:rsidR="001B01C6" w:rsidRPr="003F4025" w:rsidRDefault="001B01C6" w:rsidP="003F4025">
            <w:pPr>
              <w:spacing w:line="276" w:lineRule="auto"/>
              <w:rPr>
                <w:rFonts w:eastAsia="Arial"/>
                <w:b/>
                <w:bCs/>
              </w:rPr>
            </w:pPr>
            <w:r w:rsidRPr="003F4025">
              <w:rPr>
                <w:rFonts w:eastAsia="Arial"/>
                <w:b/>
                <w:bCs/>
              </w:rPr>
              <w:t>1.7</w:t>
            </w:r>
          </w:p>
        </w:tc>
        <w:tc>
          <w:tcPr>
            <w:tcW w:w="3899" w:type="dxa"/>
          </w:tcPr>
          <w:p w14:paraId="48045B5A" w14:textId="77777777" w:rsidR="001B01C6" w:rsidRPr="003F4025" w:rsidRDefault="001B01C6" w:rsidP="003F4025">
            <w:pPr>
              <w:spacing w:line="276" w:lineRule="auto"/>
              <w:rPr>
                <w:b/>
                <w:bCs/>
                <w:u w:val="single"/>
                <w:lang w:eastAsia="lt-LT"/>
              </w:rPr>
            </w:pPr>
            <w:r w:rsidRPr="003F4025">
              <w:rPr>
                <w:b/>
                <w:bCs/>
                <w:lang w:eastAsia="lt-LT"/>
              </w:rPr>
              <w:t xml:space="preserve">Teikiamos skyrimo sąlygos </w:t>
            </w:r>
          </w:p>
        </w:tc>
        <w:tc>
          <w:tcPr>
            <w:tcW w:w="4962" w:type="dxa"/>
          </w:tcPr>
          <w:p w14:paraId="7BC32428" w14:textId="0656A484" w:rsidR="001B01C6" w:rsidRPr="003F4025" w:rsidRDefault="001B01C6" w:rsidP="003F4025">
            <w:pPr>
              <w:spacing w:line="276" w:lineRule="auto"/>
            </w:pPr>
            <w:r w:rsidRPr="003F4025">
              <w:t>Neteikiama</w:t>
            </w:r>
          </w:p>
          <w:p w14:paraId="6A31562C" w14:textId="77777777" w:rsidR="001B01C6" w:rsidRPr="003F4025" w:rsidRDefault="001B01C6" w:rsidP="003F4025">
            <w:pPr>
              <w:spacing w:line="276" w:lineRule="auto"/>
            </w:pPr>
          </w:p>
        </w:tc>
      </w:tr>
      <w:tr w:rsidR="001B01C6" w:rsidRPr="003F4025" w14:paraId="3C32C984" w14:textId="77777777" w:rsidTr="003F3FFF">
        <w:trPr>
          <w:trHeight w:val="378"/>
        </w:trPr>
        <w:tc>
          <w:tcPr>
            <w:tcW w:w="632" w:type="dxa"/>
          </w:tcPr>
          <w:p w14:paraId="4E679EDB" w14:textId="77777777" w:rsidR="001B01C6" w:rsidRPr="003F4025" w:rsidRDefault="001B01C6" w:rsidP="003F4025">
            <w:pPr>
              <w:spacing w:line="276" w:lineRule="auto"/>
              <w:rPr>
                <w:rFonts w:eastAsia="Arial"/>
                <w:b/>
                <w:bCs/>
              </w:rPr>
            </w:pPr>
            <w:r w:rsidRPr="003F4025">
              <w:rPr>
                <w:rFonts w:eastAsia="Arial"/>
                <w:b/>
                <w:bCs/>
              </w:rPr>
              <w:t>1.8</w:t>
            </w:r>
          </w:p>
        </w:tc>
        <w:tc>
          <w:tcPr>
            <w:tcW w:w="3899" w:type="dxa"/>
          </w:tcPr>
          <w:p w14:paraId="784605B5" w14:textId="3A924C79" w:rsidR="001B01C6" w:rsidRPr="003F4025" w:rsidRDefault="001B01C6" w:rsidP="003F4025">
            <w:pPr>
              <w:spacing w:line="276" w:lineRule="auto"/>
              <w:rPr>
                <w:b/>
                <w:bCs/>
                <w:lang w:eastAsia="lt-LT"/>
              </w:rPr>
            </w:pPr>
            <w:r w:rsidRPr="003F4025">
              <w:rPr>
                <w:b/>
                <w:bCs/>
                <w:lang w:eastAsia="lt-LT"/>
              </w:rPr>
              <w:t>Ekonominė analizė</w:t>
            </w:r>
          </w:p>
        </w:tc>
        <w:tc>
          <w:tcPr>
            <w:tcW w:w="4962" w:type="dxa"/>
          </w:tcPr>
          <w:p w14:paraId="3155F2E8" w14:textId="6B554CFC" w:rsidR="001B01C6" w:rsidRPr="003F4025" w:rsidRDefault="00000000" w:rsidP="003F4025">
            <w:pPr>
              <w:spacing w:line="276" w:lineRule="auto"/>
            </w:pPr>
            <w:sdt>
              <w:sdtPr>
                <w:rPr>
                  <w:rStyle w:val="Style2"/>
                  <w:sz w:val="24"/>
                </w:rPr>
                <w:id w:val="356323367"/>
                <w15:color w:val="FFCC00"/>
                <w14:checkbox>
                  <w14:checked w14:val="1"/>
                  <w14:checkedState w14:val="2612" w14:font="MS Gothic"/>
                  <w14:uncheckedState w14:val="2610" w14:font="MS Gothic"/>
                </w14:checkbox>
              </w:sdtPr>
              <w:sdtContent>
                <w:r w:rsidR="001B01C6" w:rsidRPr="003F4025">
                  <w:rPr>
                    <w:rStyle w:val="Style2"/>
                    <w:rFonts w:ascii="MS Gothic" w:eastAsia="MS Gothic" w:hAnsi="MS Gothic"/>
                    <w:sz w:val="24"/>
                  </w:rPr>
                  <w:t>☒</w:t>
                </w:r>
              </w:sdtContent>
            </w:sdt>
            <w:r w:rsidR="001B01C6" w:rsidRPr="003F4025">
              <w:t xml:space="preserve"> Kaštų naudingumo analizė</w:t>
            </w:r>
          </w:p>
          <w:p w14:paraId="49547563" w14:textId="77777777" w:rsidR="001B01C6" w:rsidRPr="003F4025" w:rsidRDefault="00000000" w:rsidP="003F4025">
            <w:pPr>
              <w:spacing w:line="276" w:lineRule="auto"/>
            </w:pPr>
            <w:sdt>
              <w:sdtPr>
                <w:rPr>
                  <w:rStyle w:val="Style2"/>
                  <w:sz w:val="24"/>
                </w:rPr>
                <w:id w:val="-250506580"/>
                <w15:color w:val="FFCC00"/>
                <w14:checkbox>
                  <w14:checked w14:val="0"/>
                  <w14:checkedState w14:val="2612" w14:font="MS Gothic"/>
                  <w14:uncheckedState w14:val="2610" w14:font="MS Gothic"/>
                </w14:checkbox>
              </w:sdtPr>
              <w:sdtContent>
                <w:r w:rsidR="001B01C6" w:rsidRPr="003F4025">
                  <w:rPr>
                    <w:rStyle w:val="Style2"/>
                    <w:rFonts w:ascii="Segoe UI Symbol" w:eastAsia="MS Gothic" w:hAnsi="Segoe UI Symbol" w:cs="Segoe UI Symbol"/>
                    <w:sz w:val="24"/>
                  </w:rPr>
                  <w:t>☐</w:t>
                </w:r>
              </w:sdtContent>
            </w:sdt>
            <w:r w:rsidR="001B01C6" w:rsidRPr="003F4025">
              <w:t xml:space="preserve"> Kaštų mažinimo analizė</w:t>
            </w:r>
          </w:p>
          <w:p w14:paraId="42039008" w14:textId="5726D9D8" w:rsidR="001B01C6" w:rsidRPr="003F4025" w:rsidRDefault="00000000" w:rsidP="003F4025">
            <w:pPr>
              <w:spacing w:line="276" w:lineRule="auto"/>
            </w:pPr>
            <w:sdt>
              <w:sdtPr>
                <w:rPr>
                  <w:rStyle w:val="Style2"/>
                  <w:sz w:val="24"/>
                </w:rPr>
                <w:id w:val="-1570647133"/>
                <w15:color w:val="FFCC00"/>
                <w14:checkbox>
                  <w14:checked w14:val="0"/>
                  <w14:checkedState w14:val="2612" w14:font="MS Gothic"/>
                  <w14:uncheckedState w14:val="2610" w14:font="MS Gothic"/>
                </w14:checkbox>
              </w:sdtPr>
              <w:sdtContent>
                <w:r w:rsidR="001B01C6" w:rsidRPr="003F4025">
                  <w:rPr>
                    <w:rStyle w:val="Style2"/>
                    <w:rFonts w:ascii="Segoe UI Symbol" w:eastAsia="MS Gothic" w:hAnsi="Segoe UI Symbol" w:cs="Segoe UI Symbol"/>
                    <w:sz w:val="24"/>
                  </w:rPr>
                  <w:t>☐</w:t>
                </w:r>
              </w:sdtContent>
            </w:sdt>
            <w:r w:rsidR="001B01C6" w:rsidRPr="003F4025">
              <w:t xml:space="preserve"> Neteikiama</w:t>
            </w:r>
          </w:p>
          <w:p w14:paraId="5DC5A0C1" w14:textId="77777777" w:rsidR="001B01C6" w:rsidRPr="003F4025" w:rsidRDefault="001B01C6" w:rsidP="003F4025">
            <w:pPr>
              <w:spacing w:line="276" w:lineRule="auto"/>
            </w:pPr>
          </w:p>
          <w:p w14:paraId="4B0FE78C" w14:textId="77777777" w:rsidR="001B01C6" w:rsidRPr="003F4025" w:rsidRDefault="001B01C6" w:rsidP="003F4025">
            <w:pPr>
              <w:spacing w:line="276" w:lineRule="auto"/>
            </w:pPr>
          </w:p>
        </w:tc>
      </w:tr>
    </w:tbl>
    <w:p w14:paraId="2EB7FD31" w14:textId="5615B363" w:rsidR="007A2B68" w:rsidRPr="003F4025" w:rsidRDefault="00DC261A" w:rsidP="003F4025">
      <w:pPr>
        <w:pStyle w:val="ListParagraph"/>
        <w:tabs>
          <w:tab w:val="left" w:pos="426"/>
        </w:tabs>
        <w:spacing w:line="276" w:lineRule="auto"/>
        <w:ind w:left="0"/>
        <w:jc w:val="center"/>
        <w:rPr>
          <w:b/>
          <w:bCs/>
          <w:caps/>
        </w:rPr>
      </w:pPr>
      <w:r w:rsidRPr="003F4025">
        <w:rPr>
          <w:b/>
          <w:bCs/>
          <w:caps/>
        </w:rPr>
        <w:t>___________________</w:t>
      </w:r>
    </w:p>
    <w:p w14:paraId="73290081" w14:textId="77777777" w:rsidR="007A2B68" w:rsidRPr="003F4025" w:rsidRDefault="007A2B68" w:rsidP="003F4025">
      <w:pPr>
        <w:spacing w:line="276" w:lineRule="auto"/>
        <w:rPr>
          <w:b/>
          <w:bCs/>
          <w:caps/>
        </w:rPr>
      </w:pPr>
      <w:r w:rsidRPr="003F4025">
        <w:rPr>
          <w:b/>
          <w:bCs/>
          <w:caps/>
        </w:rPr>
        <w:br w:type="page"/>
      </w:r>
    </w:p>
    <w:p w14:paraId="5055E8A8" w14:textId="3CCAFABA" w:rsidR="002E6F80" w:rsidRPr="003F4025" w:rsidRDefault="00CC7832" w:rsidP="003F4025">
      <w:pPr>
        <w:pStyle w:val="ListParagraph"/>
        <w:numPr>
          <w:ilvl w:val="0"/>
          <w:numId w:val="12"/>
        </w:numPr>
        <w:tabs>
          <w:tab w:val="left" w:pos="567"/>
        </w:tabs>
        <w:spacing w:line="276" w:lineRule="auto"/>
        <w:ind w:hanging="720"/>
        <w:rPr>
          <w:b/>
          <w:bCs/>
          <w:caps/>
        </w:rPr>
      </w:pPr>
      <w:r w:rsidRPr="003F4025">
        <w:rPr>
          <w:b/>
          <w:bCs/>
          <w:caps/>
        </w:rPr>
        <w:lastRenderedPageBreak/>
        <w:t>Klinikinio vertinimo a</w:t>
      </w:r>
      <w:r w:rsidR="00D4485B" w:rsidRPr="003F4025">
        <w:rPr>
          <w:b/>
          <w:bCs/>
          <w:caps/>
        </w:rPr>
        <w:t>pibendrinimas</w:t>
      </w:r>
    </w:p>
    <w:p w14:paraId="25F89291" w14:textId="5C45C8FC" w:rsidR="00D4485B" w:rsidRPr="003F4025" w:rsidRDefault="00D4485B" w:rsidP="003F4025">
      <w:pPr>
        <w:pStyle w:val="ListParagraph"/>
        <w:tabs>
          <w:tab w:val="left" w:pos="426"/>
        </w:tabs>
        <w:spacing w:line="276" w:lineRule="auto"/>
        <w:ind w:left="0"/>
        <w:rPr>
          <w:b/>
          <w:bCs/>
          <w:caps/>
        </w:rPr>
      </w:pPr>
    </w:p>
    <w:p w14:paraId="34EF87A0" w14:textId="77777777" w:rsidR="001B01C6" w:rsidRPr="003F4025" w:rsidRDefault="001B01C6" w:rsidP="003F4025">
      <w:pPr>
        <w:pStyle w:val="Tekstas"/>
        <w:spacing w:after="0" w:line="276" w:lineRule="auto"/>
        <w:ind w:firstLine="720"/>
        <w:rPr>
          <w:lang w:val="lt-LT"/>
        </w:rPr>
      </w:pPr>
      <w:r w:rsidRPr="003F4025">
        <w:rPr>
          <w:lang w:val="lt-LT"/>
        </w:rPr>
        <w:t>Endometriumo vėžys (EV) yra gimdos gleivinės piktybinis navikas. Tai yra 6-as dažniausiai pasitaikantis vėžys ir 13-a dažniausia su vėžiu susijusios moterų mirties priežastis visame pasaulyje, o 2020 m. remiantis GLOBOCAN duomenimis visame pasaulyje buvo registruoti 417 367 nauji ligos atvejai ir 97 370 mirčių. Sergamumas EV sparčiai didėja – apskaičiuota, kad 1990–2019 m. laikotarpiu sergamumas pasaulyje padidėjo 132%, o tai ateityje lems didesnį sergamumą ir mirtingumą, taip pat ir ekonominę naštą, susijusią su EV. Lietuvoje 2024 m. naujai susirgusių pacienčių skaičius buvo 1336, sergančių – 5135, mirusių – 182.</w:t>
      </w:r>
    </w:p>
    <w:p w14:paraId="6432C650" w14:textId="77777777" w:rsidR="001B01C6" w:rsidRPr="003F4025" w:rsidRDefault="001B01C6" w:rsidP="003F4025">
      <w:pPr>
        <w:pStyle w:val="Tekstas"/>
        <w:spacing w:after="0" w:line="276" w:lineRule="auto"/>
        <w:ind w:firstLine="720"/>
        <w:rPr>
          <w:lang w:val="lt-LT"/>
        </w:rPr>
      </w:pPr>
      <w:r w:rsidRPr="003F4025">
        <w:rPr>
          <w:lang w:val="lt-LT"/>
        </w:rPr>
        <w:t>Pagrindiniai rizikos veiksniai yra nutukimas, vyresnis amžius ir padidėjęs estrogenų poveikis (pvz., diabetas ir hormonų terapija po menopauzės)</w:t>
      </w:r>
      <w:r w:rsidRPr="003F4025">
        <w:rPr>
          <w:lang w:val="lt-LT"/>
        </w:rPr>
        <w:fldChar w:fldCharType="begin"/>
      </w:r>
      <w:r w:rsidRPr="003F4025">
        <w:rPr>
          <w:lang w:val="lt-LT"/>
        </w:rPr>
        <w:instrText xml:space="preserve"> ADDIN ZOTERO_ITEM CSL_CITATION {"citationID":"F3vSUcN2","properties":{"formattedCitation":"(8)","plainCitation":"(8)","noteIndex":0},"citationItems":[{"id":43328,"uris":["http://zotero.org/users/5814076/items/PJAL28S7"],"itemData":{"id":43328,"type":"article-journal","abstract":"Endometrial cancer is the most common gynaecological cancer in high income countries and its incidence is rising globally. Although an ageing population and fewer benign hysterectomies have contributed to this trend, the growing prevalence of obesity is the major underlying cause. Obesity poses challenges for diagnosis and treatment and more research is needed to offer primary prevention to high-risk women and to optimise endometrial cancer survivorship. Early presentation with postmenopausal bleeding ensures most endometrial cancers are cured by hysterectomy but those with advanced disease have a poor prognosis. Minimally invasive surgical staging and sentinel-lymph-node biopsy provides a low morbidity alternative to historical surgical management without compromising oncological outcomes. Adjuvant radiotherapy reduces loco-regional recurrence in intermediate-risk and high-risk cases. Advances in our understanding of the molecular biology of endometrial cancer have paved the way for targeted chemotherapeutic strategies, and clinical trials will establish their benefit in adjuvant, advanced, and recurrent disease settings in the coming years.","container-title":"Lancet (London, England)","DOI":"10.1016/S0140-6736(22)00323-3","ISSN":"1474-547X","issue":"10333","journalAbbreviation":"Lancet","language":"eng","note":"PMID: 35397864","page":"1412-1428","source":"PubMed","title":"Endometrial cancer","volume":"399","author":[{"family":"Crosbie","given":"Emma J."},{"family":"Kitson","given":"Sarah J."},{"family":"McAlpine","given":"Jessica N."},{"family":"Mukhopadhyay","given":"Asima"},{"family":"Powell","given":"Melanie E."},{"family":"Singh","given":"Naveena"}],"issued":{"date-parts":[["2022",4,9]]}}}],"schema":"https://github.com/citation-style-language/schema/raw/master/csl-citation.json"} </w:instrText>
      </w:r>
      <w:r w:rsidRPr="003F4025">
        <w:rPr>
          <w:lang w:val="lt-LT"/>
        </w:rPr>
        <w:fldChar w:fldCharType="separate"/>
      </w:r>
      <w:r w:rsidRPr="003F4025">
        <w:rPr>
          <w:lang w:val="lt-LT"/>
        </w:rPr>
        <w:fldChar w:fldCharType="end"/>
      </w:r>
      <w:r w:rsidRPr="003F4025">
        <w:rPr>
          <w:lang w:val="lt-LT"/>
        </w:rPr>
        <w:t>. Įvairūs genomo pokyčiai taip pat lemia padidėjusią EV riziką</w:t>
      </w:r>
      <w:r w:rsidRPr="003F4025">
        <w:rPr>
          <w:lang w:val="lt-LT"/>
        </w:rPr>
        <w:fldChar w:fldCharType="begin"/>
      </w:r>
      <w:r w:rsidRPr="003F4025">
        <w:rPr>
          <w:lang w:val="lt-LT"/>
        </w:rPr>
        <w:instrText xml:space="preserve"> ADDIN ZOTERO_ITEM CSL_CITATION {"citationID":"wYtQ9SyZ","properties":{"formattedCitation":"(9)","plainCitation":"(9)","noteIndex":0},"citationItems":[{"id":44452,"uris":["http://zotero.org/users/5814076/items/DAQT7HAS"],"itemData":{"id":44452,"type":"article-journal","abstract":"Although endometrial cancer management remains challenging, a deeper understanding of the genetic diversity as well as the drivers of the various pathogenic states of this disease has led to development of divergent management approaches in an effort to improve therapeutic precision in this complex malignancy. This comprehensive review provides an update on the epidemiology, pathophysiology, diagnosis and molecular classification, recent advancements in disease management, as well as important patient quality-of-life considerations and emerging developments in the rapidly evolving therapeutic landscape of endometrial cancers.","container-title":"Nature Reviews. Disease Primers","DOI":"10.1038/s41572-021-00324-8","ISSN":"2056-676X","issue":"1","journalAbbreviation":"Nat Rev Dis Primers","language":"eng","note":"PMID: 34887451\nPMCID: PMC9421940","page":"88","source":"PubMed","title":"Endometrial cancer","volume":"7","author":[{"family":"Makker","given":"Vicky"},{"family":"MacKay","given":"Helen"},{"family":"Ray-Coquard","given":"Isabelle"},{"family":"Levine","given":"Douglas A."},{"family":"Westin","given":"Shannon N."},{"family":"Aoki","given":"Daisuke"},{"family":"Oaknin","given":"Ana"}],"issued":{"date-parts":[["2021",12,9]]}}}],"schema":"https://github.com/citation-style-language/schema/raw/master/csl-citation.json"} </w:instrText>
      </w:r>
      <w:r w:rsidRPr="003F4025">
        <w:rPr>
          <w:lang w:val="lt-LT"/>
        </w:rPr>
        <w:fldChar w:fldCharType="separate"/>
      </w:r>
      <w:r w:rsidRPr="003F4025">
        <w:rPr>
          <w:lang w:val="lt-LT"/>
        </w:rPr>
        <w:fldChar w:fldCharType="end"/>
      </w:r>
      <w:r w:rsidRPr="003F4025">
        <w:rPr>
          <w:lang w:val="lt-LT"/>
        </w:rPr>
        <w:t xml:space="preserve">. Todėl šiuo metu EV molekulinė klasifikacija yra pagrindinis EV diagnozės ir klinikinių sprendimų priėmimo principas, įskaitant paciento neatitikimų taisymo (angl. </w:t>
      </w:r>
      <w:r w:rsidRPr="003F4025">
        <w:rPr>
          <w:i/>
          <w:iCs/>
          <w:lang w:val="lt-LT"/>
        </w:rPr>
        <w:t>mismatch repair</w:t>
      </w:r>
      <w:r w:rsidRPr="003F4025">
        <w:rPr>
          <w:lang w:val="lt-LT"/>
        </w:rPr>
        <w:t xml:space="preserve">, MMR) būklės nustatymą. MMR būklės nustatymas EV sergančius pacientus skirsto į </w:t>
      </w:r>
      <w:r w:rsidRPr="003F4025">
        <w:rPr>
          <w:rFonts w:eastAsia="Arial"/>
          <w:iCs/>
          <w:lang w:val="lt-LT"/>
        </w:rPr>
        <w:t xml:space="preserve">neatitikimų taisymo trūkumą (angl. </w:t>
      </w:r>
      <w:r w:rsidRPr="003F4025">
        <w:rPr>
          <w:rFonts w:eastAsia="Arial"/>
          <w:i/>
          <w:lang w:val="lt-LT"/>
        </w:rPr>
        <w:t>mismatch repair deficient</w:t>
      </w:r>
      <w:r w:rsidRPr="003F4025">
        <w:rPr>
          <w:rFonts w:eastAsia="Arial"/>
          <w:iCs/>
          <w:lang w:val="lt-LT"/>
        </w:rPr>
        <w:t xml:space="preserve">, dMMR) </w:t>
      </w:r>
      <w:r w:rsidRPr="003F4025">
        <w:rPr>
          <w:lang w:val="lt-LT"/>
        </w:rPr>
        <w:t xml:space="preserve">ir </w:t>
      </w:r>
      <w:r w:rsidRPr="003F4025">
        <w:rPr>
          <w:rFonts w:eastAsia="Arial"/>
          <w:iCs/>
          <w:lang w:val="lt-LT"/>
        </w:rPr>
        <w:t xml:space="preserve">nepažeistą neatitikimų taisymą (angl. </w:t>
      </w:r>
      <w:r w:rsidRPr="003F4025">
        <w:rPr>
          <w:rFonts w:eastAsia="Arial"/>
          <w:i/>
          <w:lang w:val="lt-LT"/>
        </w:rPr>
        <w:t>mismatch repair proficient</w:t>
      </w:r>
      <w:r w:rsidRPr="003F4025">
        <w:rPr>
          <w:rFonts w:eastAsia="Arial"/>
          <w:iCs/>
          <w:lang w:val="lt-LT"/>
        </w:rPr>
        <w:t>, pMMR). MMR būklė</w:t>
      </w:r>
      <w:r w:rsidRPr="003F4025">
        <w:rPr>
          <w:lang w:val="lt-LT"/>
        </w:rPr>
        <w:t xml:space="preserve"> šiuo metu laikoma svarbiu prognostiniu EV veiksniu</w:t>
      </w:r>
      <w:r w:rsidRPr="003F4025">
        <w:rPr>
          <w:lang w:val="lt-LT"/>
        </w:rPr>
        <w:fldChar w:fldCharType="begin"/>
      </w:r>
      <w:r w:rsidRPr="003F4025">
        <w:rPr>
          <w:lang w:val="lt-LT"/>
        </w:rPr>
        <w:instrText xml:space="preserve"> ADDIN ZOTERO_ITEM CSL_CITATION {"citationID":"7vbLW1Iy","properties":{"formattedCitation":"(9)","plainCitation":"(9)","noteIndex":0},"citationItems":[{"id":44452,"uris":["http://zotero.org/users/5814076/items/DAQT7HAS"],"itemData":{"id":44452,"type":"article-journal","abstract":"Although endometrial cancer management remains challenging, a deeper understanding of the genetic diversity as well as the drivers of the various pathogenic states of this disease has led to development of divergent management approaches in an effort to improve therapeutic precision in this complex malignancy. This comprehensive review provides an update on the epidemiology, pathophysiology, diagnosis and molecular classification, recent advancements in disease management, as well as important patient quality-of-life considerations and emerging developments in the rapidly evolving therapeutic landscape of endometrial cancers.","container-title":"Nature Reviews. Disease Primers","DOI":"10.1038/s41572-021-00324-8","ISSN":"2056-676X","issue":"1","journalAbbreviation":"Nat Rev Dis Primers","language":"eng","note":"PMID: 34887451\nPMCID: PMC9421940","page":"88","source":"PubMed","title":"Endometrial cancer","volume":"7","author":[{"family":"Makker","given":"Vicky"},{"family":"MacKay","given":"Helen"},{"family":"Ray-Coquard","given":"Isabelle"},{"family":"Levine","given":"Douglas A."},{"family":"Westin","given":"Shannon N."},{"family":"Aoki","given":"Daisuke"},{"family":"Oaknin","given":"Ana"}],"issued":{"date-parts":[["2021",12,9]]}}}],"schema":"https://github.com/citation-style-language/schema/raw/master/csl-citation.json"} </w:instrText>
      </w:r>
      <w:r w:rsidRPr="003F4025">
        <w:rPr>
          <w:lang w:val="lt-LT"/>
        </w:rPr>
        <w:fldChar w:fldCharType="separate"/>
      </w:r>
      <w:r w:rsidRPr="003F4025">
        <w:rPr>
          <w:lang w:val="lt-LT"/>
        </w:rPr>
        <w:fldChar w:fldCharType="end"/>
      </w:r>
      <w:r w:rsidRPr="003F4025">
        <w:rPr>
          <w:lang w:val="lt-LT"/>
        </w:rPr>
        <w:t>.</w:t>
      </w:r>
    </w:p>
    <w:p w14:paraId="0AEEC5F4" w14:textId="77777777" w:rsidR="001B01C6" w:rsidRPr="003F4025" w:rsidRDefault="001B01C6" w:rsidP="003F4025">
      <w:pPr>
        <w:pStyle w:val="Tekstas"/>
        <w:spacing w:after="0" w:line="276" w:lineRule="auto"/>
        <w:ind w:firstLine="720"/>
        <w:rPr>
          <w:lang w:val="lt-LT"/>
        </w:rPr>
      </w:pPr>
      <w:r w:rsidRPr="003F4025">
        <w:rPr>
          <w:lang w:val="lt-LT"/>
        </w:rPr>
        <w:t>Moterų, sergančių pažengusiu ar metastazavusiu endometriumo vėžiu, 5 metų išgyvenamumas yra nuo 20% iki 25%. Be to, EV yra viena iš nedaugelio vėžio rūšių (kartu su gimdos kaklelio vėžiu), kurių išgyvenamumas nuo 1975 m. nepagerėjo.</w:t>
      </w:r>
    </w:p>
    <w:p w14:paraId="052CE1C8" w14:textId="77777777" w:rsidR="001B01C6" w:rsidRPr="003F4025" w:rsidRDefault="001B01C6" w:rsidP="003F4025">
      <w:pPr>
        <w:pStyle w:val="Tekstas"/>
        <w:spacing w:after="0" w:line="276" w:lineRule="auto"/>
        <w:ind w:firstLine="720"/>
        <w:rPr>
          <w:lang w:val="lt-LT"/>
        </w:rPr>
      </w:pPr>
      <w:r w:rsidRPr="003F4025">
        <w:rPr>
          <w:lang w:val="lt-LT"/>
        </w:rPr>
        <w:t>Prašomai kompensuoti indikacijai gydymo rekomendacijų Lietuvoje nėra. Remiantis remiantis klinikinių ekspertų dirbančių su šia pacientų populiacija įžvalgomis, įprasta klinikinė praktika I eilės gydymui yra skirti platinos pagrindo chemoterapiją su paclitakseliu iki 8 gydymo kursų vėliau taikant stebėjimą. Nustačius ligos progresą yra skiriama II eilės gydymas pembrolizumabo ir lenvatinibo deriniu.</w:t>
      </w:r>
    </w:p>
    <w:p w14:paraId="25DE7BB7" w14:textId="77777777" w:rsidR="001B01C6" w:rsidRPr="003F4025" w:rsidRDefault="001B01C6" w:rsidP="003F4025">
      <w:pPr>
        <w:spacing w:line="276" w:lineRule="auto"/>
        <w:ind w:firstLine="645"/>
        <w:jc w:val="both"/>
        <w:rPr>
          <w:b/>
          <w:bCs/>
          <w:highlight w:val="yellow"/>
        </w:rPr>
      </w:pPr>
      <w:r w:rsidRPr="003F4025">
        <w:t>ESMO 2022 m. paskelbtose EV gydymo rekomendacijose nurodoma, kad pirmos eilės gydymas tiek pažengusiam, tiek atsinaujinusiam endometriumo vėžiui yra karboplatina ir paklitakselis. Šiose gairėse durvalumabas nėra minimas, tačiau reikia pabrėžti, kad gairės išleistos 2022 m. ir šiuo metu nėra naujesnės galiojančios redakcijos, todėl gaires laikome neatitinkančios naujausių klinikinių tyrimų.</w:t>
      </w:r>
    </w:p>
    <w:p w14:paraId="633CEEF3" w14:textId="77777777" w:rsidR="001B01C6" w:rsidRPr="003F4025" w:rsidRDefault="001B01C6" w:rsidP="003F4025">
      <w:pPr>
        <w:pStyle w:val="Tekstas"/>
        <w:spacing w:after="0" w:line="276" w:lineRule="auto"/>
        <w:ind w:firstLine="720"/>
        <w:rPr>
          <w:lang w:val="lt-LT"/>
        </w:rPr>
      </w:pPr>
      <w:r w:rsidRPr="003F4025">
        <w:rPr>
          <w:lang w:val="lt-LT"/>
        </w:rPr>
        <w:t xml:space="preserve">Remiantis Jungtinių Amerikos Valstijų Nacionalinėmis vispusiško vėžio tinklo 2026 m. (angl. </w:t>
      </w:r>
      <w:r w:rsidRPr="003F4025">
        <w:rPr>
          <w:i/>
          <w:iCs/>
          <w:lang w:val="lt-LT"/>
        </w:rPr>
        <w:t>National Comprehensive Cancer Network</w:t>
      </w:r>
      <w:r w:rsidRPr="003F4025">
        <w:rPr>
          <w:lang w:val="lt-LT"/>
        </w:rPr>
        <w:t>) EV diagnostikos ir gydymo gairėmis, prašomai kompensuoti indikacijos daliai - durvalumabas kartu su karboplatina ir paklitakseliu skirtas suaugusioms pacientėms, kurioms yra diagnozuotas pirminis pažengęs ar atsinaujinęs endometriumo vėžys ir numatytas sisteminis gydymas, o po to – palaikomasis gydymas durvalumabo monoterapija kai yra neatitikimų taisymo trūkumas (angl. mismatch repair deficient, dMMR) durvalumabas yra rekomenduojamas.</w:t>
      </w:r>
    </w:p>
    <w:p w14:paraId="33A7C774" w14:textId="77777777" w:rsidR="001B01C6" w:rsidRPr="003F4025" w:rsidRDefault="001B01C6" w:rsidP="003F4025">
      <w:pPr>
        <w:pStyle w:val="Tekstas"/>
        <w:spacing w:after="0" w:line="276" w:lineRule="auto"/>
        <w:ind w:firstLine="720"/>
        <w:rPr>
          <w:rFonts w:eastAsia="Arial"/>
          <w:lang w:val="lt-LT"/>
        </w:rPr>
      </w:pPr>
      <w:r w:rsidRPr="003F4025">
        <w:rPr>
          <w:rFonts w:eastAsia="Arial"/>
          <w:lang w:val="lt-LT"/>
        </w:rPr>
        <w:t xml:space="preserve">Durvalumabo farmakoterapinė grupė – antinavikiniai vaistai, monokloniniai antikūnai ir antikūnų pobūdžio konjugantai, PD-1 / PDL-1 programuojamojo ląstelių žūties baltymo Nr. 1 / žūties ligando Nr. 1 (angl. Programmed cell death protein 1/ death ligand 1) inhibitoriai, ATC kodas – L01FF03. Programuojamos ląstelių žūties ligando Nr. 1 (angl. programmed cell death ligand-1, PD-L1) baltymo raiška yra adaptacinis imuninis atsakas, kuris padeda navikui išvengti atpažinimo ir sunaikinimo veikiant imuninei sistemai. PD-L1 gali indukuoti uždegiminiai signalai (pvz., gama interferonas [IFN gama]), jis gali būti išreikštas ant navikinių ląstelių ir su naviku susijusių imuninių ląstelių naviko mikroaplinkoje. PD-L1, sąveikaudamas su PD-1 ir CD80 (B7.1), blokuoja T ląstelių funkciją ir aktyvinimą. Prisijungęs prie savo receptorių, PD-L1 sumažina citotoksinių T ląstelių </w:t>
      </w:r>
      <w:r w:rsidRPr="003F4025">
        <w:rPr>
          <w:rFonts w:eastAsia="Arial"/>
          <w:lang w:val="lt-LT"/>
        </w:rPr>
        <w:lastRenderedPageBreak/>
        <w:t>aktyvumą, proliferaciją ir citokinų gamybą. Durvalumabas yra pilnai žmogaus imunoglobulinų G1 kapa (IgG1κ) grupės monokloniniai antikūnai, kurie selektyviai blokuoja PD-L1 sąveiką su PD-1 ir CD80 (B7.1). Durvalumabas nesukelia nuo antikūnų priklausomo ląstelinio citotoksinio poveikio. Selektyviai užblokavus PD-L1 / PD-1 ir PD-L1 / CD80 sąveiką, sustiprėja priešnavikinis imuninis atsakas ir skatinamas T ląstelių aktyvinimas.</w:t>
      </w:r>
    </w:p>
    <w:p w14:paraId="469B8B8D" w14:textId="77777777" w:rsidR="001B01C6" w:rsidRPr="003F4025" w:rsidRDefault="001B01C6" w:rsidP="003F4025">
      <w:pPr>
        <w:tabs>
          <w:tab w:val="left" w:pos="426"/>
        </w:tabs>
        <w:spacing w:line="276" w:lineRule="auto"/>
        <w:jc w:val="both"/>
        <w:rPr>
          <w:rFonts w:eastAsia="Arial"/>
        </w:rPr>
      </w:pPr>
      <w:r w:rsidRPr="003F4025">
        <w:rPr>
          <w:rFonts w:eastAsia="Arial"/>
        </w:rPr>
        <w:tab/>
      </w:r>
      <w:r w:rsidRPr="003F4025">
        <w:rPr>
          <w:rFonts w:eastAsia="Arial"/>
        </w:rPr>
        <w:tab/>
        <w:t xml:space="preserve">Pagal Respublikos sveikatos apsaugos ministro 2000 m. sausio 28 d. įsakyme Nr. 49  „Dėl kompensuojamųjų vaistų sąrašų patvirtinimo“ pateiktą ligų ir kompensuojamųjų vaistų joms gydyti sąrašą palyginamasis gydymas atitinka Lietuvos Respublikos sveikatos apsaugos ministro 2002 m. balandžio 5 d. įsakymo Nr. V-159 „Dėl vaistinių preparatų ir medicinos pagalbos priemonių įrašymo į kompensavimo sąrašus ir jų keitimo tvarkos aprašo patvirtinimo“ 116.1 punkto, nes </w:t>
      </w:r>
      <w:r w:rsidRPr="003F4025">
        <w:t xml:space="preserve">suaugusioms pacientėms, kurioms yra diagnozuotas pirminis pažengęs ar atsinaujinęs endometriumo vėžys ir numatytas sisteminis gydymas, o po to – palaikomasis gydymas, platinos pagrindo chemoterapiją su paclitakseliu </w:t>
      </w:r>
      <w:r w:rsidRPr="003F4025">
        <w:rPr>
          <w:rFonts w:eastAsia="Arial"/>
        </w:rPr>
        <w:t>yra „</w:t>
      </w:r>
      <w:r w:rsidRPr="003F4025">
        <w:rPr>
          <w:rFonts w:eastAsia="Arial"/>
          <w:i/>
          <w:iCs/>
        </w:rPr>
        <w:t>paraiškos vertinimo metu atitinkantis įprastą klinikinę praktiką ir pagrįstai laikomas atitinkančiu pripažintas konkrečios ligos gydymo gaires</w:t>
      </w:r>
      <w:r w:rsidRPr="003F4025">
        <w:rPr>
          <w:rFonts w:eastAsia="Arial"/>
        </w:rPr>
        <w:t>“.</w:t>
      </w:r>
    </w:p>
    <w:p w14:paraId="584574F7" w14:textId="77777777" w:rsidR="001B01C6" w:rsidRPr="003F4025" w:rsidRDefault="001B01C6" w:rsidP="003F4025">
      <w:pPr>
        <w:spacing w:line="276" w:lineRule="auto"/>
        <w:jc w:val="both"/>
        <w:rPr>
          <w:rFonts w:eastAsia="Arial"/>
          <w:iCs/>
          <w:color w:val="000000" w:themeColor="text1"/>
        </w:rPr>
      </w:pPr>
    </w:p>
    <w:p w14:paraId="7BA51246" w14:textId="77777777" w:rsidR="001B01C6" w:rsidRPr="003F4025" w:rsidRDefault="001B01C6" w:rsidP="003F4025">
      <w:pPr>
        <w:spacing w:line="276" w:lineRule="auto"/>
        <w:jc w:val="both"/>
        <w:rPr>
          <w:rFonts w:eastAsia="Arial"/>
          <w:i/>
          <w:color w:val="000000" w:themeColor="text1"/>
        </w:rPr>
      </w:pPr>
      <w:r w:rsidRPr="003F4025">
        <w:rPr>
          <w:rFonts w:eastAsia="Arial"/>
          <w:i/>
          <w:color w:val="000000" w:themeColor="text1"/>
        </w:rPr>
        <w:t>Tiesioginis palyginimas</w:t>
      </w:r>
    </w:p>
    <w:p w14:paraId="06BB12E0" w14:textId="77777777" w:rsidR="001B01C6" w:rsidRPr="003F4025" w:rsidRDefault="001B01C6" w:rsidP="003F4025">
      <w:pPr>
        <w:tabs>
          <w:tab w:val="left" w:pos="492"/>
        </w:tabs>
        <w:spacing w:line="276" w:lineRule="auto"/>
        <w:jc w:val="both"/>
        <w:outlineLvl w:val="1"/>
      </w:pPr>
      <w:r w:rsidRPr="003F4025">
        <w:tab/>
      </w:r>
      <w:r w:rsidRPr="003F4025">
        <w:tab/>
        <w:t>DUO-E – tai daugiacentrinis atsitiktinių imčių dvigubai koduotas placebu kontroliuojamasis III fazės tyrimas, kurio metu pacientėms, kurioms yra diagnozuotas pažengęs arba atsinaujinęs endometriumo vėžys, buvo skirta pirmos eilės chemoterapija platinos pagrindu kartu su IMFINZI, o po to – IMFINZI kartu su olaparibu arba be olaparibo.</w:t>
      </w:r>
    </w:p>
    <w:p w14:paraId="51CFD033" w14:textId="77777777" w:rsidR="001B01C6" w:rsidRPr="003F4025" w:rsidRDefault="001B01C6" w:rsidP="003F4025">
      <w:pPr>
        <w:spacing w:line="276" w:lineRule="auto"/>
        <w:ind w:firstLine="720"/>
        <w:jc w:val="both"/>
        <w:rPr>
          <w:lang w:eastAsia="lt-LT"/>
        </w:rPr>
      </w:pPr>
      <w:r w:rsidRPr="003F4025">
        <w:rPr>
          <w:rFonts w:eastAsia="Arial"/>
        </w:rPr>
        <w:t xml:space="preserve">Tyrimo pacientų populiacija atitinka egzistuojančią Lietuvos pacientų populiaciją, kuriai gydymas gali būti skiriamas pagal numatomas </w:t>
      </w:r>
      <w:r w:rsidRPr="003F4025">
        <w:t xml:space="preserve">durvalumabo </w:t>
      </w:r>
      <w:r w:rsidRPr="003F4025">
        <w:rPr>
          <w:rFonts w:eastAsia="Arial"/>
        </w:rPr>
        <w:t xml:space="preserve">skyrimo indikaciją. </w:t>
      </w:r>
      <w:r w:rsidRPr="003F4025">
        <w:rPr>
          <w:lang w:eastAsia="lt-LT"/>
        </w:rPr>
        <w:t>Tyrimo dizainas atitinka III fazės klinikinių tyrimų reikalavimą, yra tinkamas išsikeltoms hipotezėms pagrįsti. Šioje paraiškoje yra vertinamas tik durvalumabo efektyvumas, todėl 3 grupė, kurioje po chemoterapijos buvo paskirtas gydymas durvalumabu ir olaparibu, vertinama nebus. Statistiniai metodai buvo taikomi tinkamai, tyrime vertintos pirminės ir antrinės baigtys atitinka klinikinėje praktikoje reikšmingus gydymo efektyvumo vertinimo kriterijus ir atspindi gydymo tikslus. Pagrindinė vertinamoji baigtis, IBLP, laikoma tinkama pirmine baigtimi įvertinus pacientų, kuriems yra numatyti skirti gydymą, populiaciją.</w:t>
      </w:r>
    </w:p>
    <w:p w14:paraId="2C73108A" w14:textId="77777777" w:rsidR="001B01C6" w:rsidRPr="003F4025" w:rsidRDefault="001B01C6" w:rsidP="003F4025">
      <w:pPr>
        <w:spacing w:line="276" w:lineRule="auto"/>
        <w:ind w:firstLine="720"/>
        <w:jc w:val="both"/>
        <w:rPr>
          <w:rFonts w:eastAsia="Arial"/>
        </w:rPr>
      </w:pPr>
      <w:r w:rsidRPr="003F4025">
        <w:rPr>
          <w:rFonts w:eastAsia="Arial"/>
        </w:rPr>
        <w:t>DUO-E klinikiniame tyrime aktualiame pogrupyje dalyvavo 95 pacientai. Pacientų bendrosios charakteristikos, demografiniai bei ligos rodikliai buvo pateikti visai pacientų imčiai, tai atspindi realią pacientų populiaciją, kuriai šis vaistai būtų skiriamas Lietuvoje.</w:t>
      </w:r>
    </w:p>
    <w:p w14:paraId="554E5A12" w14:textId="77777777" w:rsidR="001B01C6" w:rsidRPr="003F4025" w:rsidRDefault="001B01C6" w:rsidP="003F4025">
      <w:pPr>
        <w:spacing w:line="276" w:lineRule="auto"/>
        <w:ind w:firstLine="720"/>
        <w:jc w:val="both"/>
        <w:rPr>
          <w:rFonts w:eastAsia="Arial"/>
        </w:rPr>
      </w:pPr>
      <w:r w:rsidRPr="003F4025">
        <w:rPr>
          <w:rFonts w:eastAsia="Arial"/>
        </w:rPr>
        <w:t>Apibendrinant, abi gydymo grupės buvo gerai subalansuotos pagal pagrindinius demografinius ir klinikinius ligos parametrus, o dMMR pogrupis pasižymėjo dideliu endometrioidinės histologijos, metastazavimo ir pažengusių FIGO stadijų dažniu, būdingu šiame tyrime dalyvavusiai populiacijai.</w:t>
      </w:r>
    </w:p>
    <w:p w14:paraId="39E23982" w14:textId="77777777" w:rsidR="001B01C6" w:rsidRPr="003F4025" w:rsidRDefault="001B01C6" w:rsidP="003F4025">
      <w:pPr>
        <w:spacing w:line="276" w:lineRule="auto"/>
        <w:ind w:firstLine="720"/>
        <w:jc w:val="both"/>
        <w:rPr>
          <w:rFonts w:eastAsia="Arial"/>
        </w:rPr>
      </w:pPr>
    </w:p>
    <w:p w14:paraId="36C50951" w14:textId="77777777" w:rsidR="001B01C6" w:rsidRPr="003F4025" w:rsidRDefault="001B01C6" w:rsidP="003F4025">
      <w:pPr>
        <w:spacing w:line="276" w:lineRule="auto"/>
        <w:ind w:firstLine="720"/>
        <w:jc w:val="both"/>
      </w:pPr>
      <w:r w:rsidRPr="003F4025">
        <w:rPr>
          <w:rFonts w:eastAsia="Arial"/>
        </w:rPr>
        <w:t>PFS ir OS baigtys:</w:t>
      </w:r>
      <w:r w:rsidRPr="003F4025">
        <w:t xml:space="preserve"> </w:t>
      </w:r>
    </w:p>
    <w:p w14:paraId="40034124" w14:textId="77777777" w:rsidR="001B01C6" w:rsidRPr="003F4025" w:rsidRDefault="001B01C6" w:rsidP="003F4025">
      <w:pPr>
        <w:spacing w:line="276" w:lineRule="auto"/>
        <w:ind w:firstLine="720"/>
        <w:jc w:val="both"/>
        <w:rPr>
          <w:rFonts w:eastAsia="Arial"/>
        </w:rPr>
      </w:pPr>
      <w:r w:rsidRPr="003F4025">
        <w:rPr>
          <w:rFonts w:eastAsia="Arial"/>
        </w:rPr>
        <w:t xml:space="preserve">PFS analizėje buvo nustatytas ryškus ir kliniškai reikšmingas gydymo pranašumas: durvalumabo pridėjimas prie standartinės chemoterapijos lėmė 58 % mažesnę progresavimo ar mirties riziką (RS 0,42; 95 % PI 0,22–0,80), o PFS mediana SoC + D grupėje dar nebuvo pasiekta, palyginti su 7,0 mėnesio SoC grupėje. Šis skirtumas buvo nuoseklus viso stebėjimo metu – Kaplan–Meier kreivės išsiskyrė jau po 4 mėnesių ir išliko aiškiai atskirtos, o ilgalaikė PFS (12 ir 18 mėn.) buvo daugiau nei dvigubai didesnė durvalumabo grupėje. </w:t>
      </w:r>
    </w:p>
    <w:p w14:paraId="57E6DE50" w14:textId="77777777" w:rsidR="001B01C6" w:rsidRPr="003F4025" w:rsidRDefault="001B01C6" w:rsidP="003F4025">
      <w:pPr>
        <w:spacing w:line="276" w:lineRule="auto"/>
        <w:ind w:firstLine="720"/>
        <w:jc w:val="both"/>
        <w:rPr>
          <w:rFonts w:eastAsia="Arial"/>
        </w:rPr>
      </w:pPr>
      <w:r w:rsidRPr="003F4025">
        <w:rPr>
          <w:rFonts w:eastAsia="Arial"/>
        </w:rPr>
        <w:t xml:space="preserve">OS analizė papildo įrodymus. Nors duomenų subrendimas buvo nedidelis (21,7 %), nustatyta reikšminga 66 % mirties rizikos redukcija durvalumabo naudai (RS 0,34; 95 % PI 0,13–0,79). OS </w:t>
      </w:r>
      <w:r w:rsidRPr="003F4025">
        <w:rPr>
          <w:rFonts w:eastAsia="Arial"/>
        </w:rPr>
        <w:lastRenderedPageBreak/>
        <w:t>mediana  SoC grupėje siekė 23,7 mėnesio, o SoC + D grupėje nebuvo pasiekta. OS rodikliai po 12 ir 18 mėnesių taip pat buvo geresni gydymo durvalumabu grupėje (91,2 % ir 86,1 %), palyginti su SoC (74,4 % ir 65,8 %). Šie rezultatai rodo ne tik ankstyvą, bet ir ilgalaikį išgyvenamumo pranašumą.</w:t>
      </w:r>
    </w:p>
    <w:p w14:paraId="4EEB93E7" w14:textId="77777777" w:rsidR="001B01C6" w:rsidRPr="003F4025" w:rsidRDefault="001B01C6" w:rsidP="003F4025">
      <w:pPr>
        <w:spacing w:line="276" w:lineRule="auto"/>
        <w:ind w:firstLine="720"/>
        <w:jc w:val="both"/>
        <w:rPr>
          <w:rFonts w:eastAsia="Arial"/>
        </w:rPr>
      </w:pPr>
      <w:r w:rsidRPr="003F4025">
        <w:rPr>
          <w:rFonts w:eastAsia="Arial"/>
        </w:rPr>
        <w:t>Bendras PFS bei OS rezultatų nuoseklumas ir reikšmingumas leidžia teigti, kad durvalumabo pridėjimas prie standartinės pirmos eilės terapijos yra kliniškai pagrįstas ir reikšmingai pagerina šios aukštos rizikos, dMMR endometriumo vėžiu sergančios pacientų grupės prognozę.</w:t>
      </w:r>
    </w:p>
    <w:p w14:paraId="3E95F3E3" w14:textId="77777777" w:rsidR="001B01C6" w:rsidRPr="003F4025" w:rsidRDefault="001B01C6" w:rsidP="003F4025">
      <w:pPr>
        <w:spacing w:line="276" w:lineRule="auto"/>
        <w:ind w:firstLine="720"/>
        <w:jc w:val="both"/>
        <w:rPr>
          <w:rFonts w:eastAsia="Arial"/>
        </w:rPr>
      </w:pPr>
    </w:p>
    <w:p w14:paraId="19BA25AE" w14:textId="77777777" w:rsidR="001B01C6" w:rsidRPr="003F4025" w:rsidRDefault="001B01C6" w:rsidP="003F4025">
      <w:pPr>
        <w:spacing w:line="276" w:lineRule="auto"/>
        <w:ind w:firstLine="720"/>
        <w:jc w:val="both"/>
        <w:rPr>
          <w:rFonts w:eastAsia="Arial"/>
        </w:rPr>
      </w:pPr>
      <w:r w:rsidRPr="003F4025">
        <w:rPr>
          <w:rFonts w:eastAsia="Arial"/>
        </w:rPr>
        <w:t>Kitos antrinės baigtys:</w:t>
      </w:r>
    </w:p>
    <w:p w14:paraId="1544525D" w14:textId="77777777" w:rsidR="001B01C6" w:rsidRPr="003F4025" w:rsidRDefault="001B01C6" w:rsidP="003F4025">
      <w:pPr>
        <w:spacing w:line="276" w:lineRule="auto"/>
        <w:ind w:firstLine="720"/>
        <w:jc w:val="both"/>
        <w:rPr>
          <w:rFonts w:eastAsia="Arial"/>
        </w:rPr>
      </w:pPr>
      <w:r w:rsidRPr="003F4025">
        <w:rPr>
          <w:rFonts w:eastAsia="Arial"/>
        </w:rPr>
        <w:t>Antrinių baigčių analizė DUO-E tyrime pateikia nuoseklius įrodymus, papildančius pirminius veiksmingumo rezultatus ir sustiprinančius durvalumabo klinikinę vertę dMMR endometriumo vėžio populiacijoje.</w:t>
      </w:r>
    </w:p>
    <w:p w14:paraId="79187E91" w14:textId="77777777" w:rsidR="001B01C6" w:rsidRPr="003F4025" w:rsidRDefault="001B01C6" w:rsidP="003F4025">
      <w:pPr>
        <w:spacing w:line="276" w:lineRule="auto"/>
        <w:ind w:firstLine="720"/>
        <w:jc w:val="both"/>
        <w:rPr>
          <w:rFonts w:eastAsia="Arial"/>
        </w:rPr>
      </w:pPr>
      <w:r w:rsidRPr="003F4025">
        <w:rPr>
          <w:rFonts w:eastAsia="Arial"/>
        </w:rPr>
        <w:t>Pirma, objektyvaus atsako dažnio (ORR) rezultatai patvirtina ryškų gydymo pranašumą: atsakų dažnis SoC + D grupėje buvo beveik dvigubai didesnis nei SoC grupėje (71,4 % vs. 40,5 %), o visiško atsako dažnis taip pat reikšmingai didesnis. Šie duomenys rodo, kad durvalumabas ne tik pagerina išgyvenamumo rodiklius, bet ir padidina ankstyvo, kliniškai matomo gydymo efekto tikimybę.</w:t>
      </w:r>
    </w:p>
    <w:p w14:paraId="3BBC7723" w14:textId="77777777" w:rsidR="001B01C6" w:rsidRPr="003F4025" w:rsidRDefault="001B01C6" w:rsidP="003F4025">
      <w:pPr>
        <w:spacing w:line="276" w:lineRule="auto"/>
        <w:ind w:firstLine="720"/>
        <w:jc w:val="both"/>
        <w:rPr>
          <w:rFonts w:eastAsia="Arial"/>
        </w:rPr>
      </w:pPr>
      <w:r w:rsidRPr="003F4025">
        <w:rPr>
          <w:rFonts w:eastAsia="Arial"/>
        </w:rPr>
        <w:t xml:space="preserve">Antra, atsako trukmės (DoR) rezultatai rodo, kad didžioji dalis SoC + D grupės pacienčių išliko atsake ≥18 mėnesių (75,2 %), o SoC grupėje – mažiau nei pusė. Kaplan–Meier kreivė aiškiai rodo, kad ilgesni, patvarūs atsakai yra būdingi būtent durvalumabo grupei. </w:t>
      </w:r>
    </w:p>
    <w:p w14:paraId="48335A4C" w14:textId="77777777" w:rsidR="001B01C6" w:rsidRPr="003F4025" w:rsidRDefault="001B01C6" w:rsidP="003F4025">
      <w:pPr>
        <w:spacing w:line="276" w:lineRule="auto"/>
        <w:ind w:firstLine="720"/>
        <w:jc w:val="both"/>
        <w:rPr>
          <w:rFonts w:eastAsia="Arial"/>
        </w:rPr>
      </w:pPr>
      <w:r w:rsidRPr="003F4025">
        <w:rPr>
          <w:rFonts w:eastAsia="Arial"/>
        </w:rPr>
        <w:t>Trečia, pacientų praneštos baigtys (HRQoL), įvertintos trijų validuotų instrumentų – EORTC QLQ-C30, QLQ-EN24 ir EQ-5D-5L – pagalba, rodo, kad durvalumabo pridėjimas prie standartinės terapijos neblogina gyvenimo kokybės. Per 12 mėnesių nebuvo nustatyta nei funkcijos, nei simptomų skalėse kliniškai reikšmingo blogėjimo. Gyvenimo kokybės stabilumas imunoterapijos fone yra svarbus aspektas, patvirtinantis gerą gydymo toleravimą ir leidžiantis tvirtinti, kad veiksmingumo nauda nepasiekiama gyvenimo kokybės sąskaita.</w:t>
      </w:r>
    </w:p>
    <w:p w14:paraId="751BF49E" w14:textId="77777777" w:rsidR="001B01C6" w:rsidRPr="003F4025" w:rsidRDefault="001B01C6" w:rsidP="003F4025">
      <w:pPr>
        <w:spacing w:line="276" w:lineRule="auto"/>
        <w:ind w:firstLine="720"/>
        <w:jc w:val="both"/>
        <w:rPr>
          <w:rFonts w:eastAsia="Arial"/>
        </w:rPr>
      </w:pPr>
      <w:r w:rsidRPr="003F4025">
        <w:rPr>
          <w:rFonts w:eastAsia="Arial"/>
        </w:rPr>
        <w:t>Apibendrinant, antrinės baigtys DUO-E tyrime nuosekliai rodo durvalumabo pridėtinę naudą. ORR ir DoR rezultatai patvirtina gilesnį ir ilgesnį atsaką, o HRQoL duomenys – gerą toleravimą. Visos šios baigtys drauge sustiprina pirminius veiksmingumo rodiklius (PFS, OS) ir aiškiai pagrindžia durvalumabo vertę kaip klinikiniu požiūriu reikšmingą gydymo komponentą dMMR endometriumo vėžio populiacijoje.</w:t>
      </w:r>
    </w:p>
    <w:p w14:paraId="4C843786" w14:textId="77777777" w:rsidR="001B01C6" w:rsidRPr="003F4025" w:rsidRDefault="001B01C6" w:rsidP="003F4025">
      <w:pPr>
        <w:tabs>
          <w:tab w:val="left" w:pos="426"/>
        </w:tabs>
        <w:spacing w:line="276" w:lineRule="auto"/>
        <w:jc w:val="both"/>
        <w:rPr>
          <w:highlight w:val="yellow"/>
        </w:rPr>
      </w:pPr>
    </w:p>
    <w:p w14:paraId="0752FFB4" w14:textId="77777777" w:rsidR="001B01C6" w:rsidRPr="003F4025" w:rsidRDefault="001B01C6" w:rsidP="003F4025">
      <w:pPr>
        <w:spacing w:line="276" w:lineRule="auto"/>
        <w:ind w:firstLine="720"/>
        <w:jc w:val="both"/>
        <w:rPr>
          <w:iCs/>
        </w:rPr>
      </w:pPr>
      <w:r w:rsidRPr="003F4025">
        <w:rPr>
          <w:rFonts w:eastAsia="Arial"/>
          <w:iCs/>
          <w:color w:val="000000" w:themeColor="text1"/>
        </w:rPr>
        <w:t xml:space="preserve">Atsižvelgiant į veiksmingumo ir saugumo rezultatus, </w:t>
      </w:r>
      <w:r w:rsidRPr="003F4025">
        <w:rPr>
          <w:iCs/>
        </w:rPr>
        <w:t>D</w:t>
      </w:r>
      <w:r w:rsidRPr="003F4025">
        <w:rPr>
          <w:rFonts w:eastAsia="Arial"/>
          <w:iCs/>
          <w:color w:val="000000" w:themeColor="text1"/>
        </w:rPr>
        <w:t>urvalumabo</w:t>
      </w:r>
      <w:r w:rsidRPr="003F4025">
        <w:rPr>
          <w:rFonts w:eastAsia="Arial"/>
          <w:iCs/>
        </w:rPr>
        <w:t xml:space="preserve"> </w:t>
      </w:r>
      <w:r w:rsidRPr="003F4025">
        <w:rPr>
          <w:iCs/>
        </w:rPr>
        <w:t>kartu su karboplatina ir paklitakseliu</w:t>
      </w:r>
      <w:r w:rsidRPr="003F4025">
        <w:rPr>
          <w:rFonts w:eastAsia="Arial"/>
          <w:iCs/>
          <w:color w:val="000000" w:themeColor="text1"/>
        </w:rPr>
        <w:t xml:space="preserve">, o vėliau tęsiant durvalumabo monoterapija palyginamasis veiksmingumas yra didesnis, lyginant su įprasta klinikine praktika </w:t>
      </w:r>
      <w:r w:rsidRPr="003F4025">
        <w:rPr>
          <w:iCs/>
        </w:rPr>
        <w:t>suaugusioms pacientėms, kurioms yra diagnozuotas pirminis pažengęs ar atsinaujinęs endometriumo vėžys ir kai yra neatitikimų taisymo trūkumas (angl. mismatch repair deficient, dMMR) bei numatytas sisteminis gydymas, o po to – palaikomasis gydymas.</w:t>
      </w:r>
    </w:p>
    <w:p w14:paraId="2694C8FE" w14:textId="77777777" w:rsidR="001B01C6" w:rsidRPr="003F4025" w:rsidRDefault="001B01C6" w:rsidP="003F4025">
      <w:pPr>
        <w:pStyle w:val="ListParagraph"/>
        <w:tabs>
          <w:tab w:val="left" w:pos="426"/>
        </w:tabs>
        <w:spacing w:line="276" w:lineRule="auto"/>
        <w:ind w:left="0"/>
        <w:rPr>
          <w:b/>
          <w:bCs/>
          <w:caps/>
        </w:rPr>
      </w:pPr>
    </w:p>
    <w:p w14:paraId="39C1ADA8" w14:textId="77777777" w:rsidR="00AC5129" w:rsidRPr="003F4025" w:rsidRDefault="00AC5129" w:rsidP="003F4025">
      <w:pPr>
        <w:pStyle w:val="ListParagraph"/>
        <w:tabs>
          <w:tab w:val="left" w:pos="426"/>
        </w:tabs>
        <w:spacing w:line="276" w:lineRule="auto"/>
        <w:ind w:left="0"/>
        <w:rPr>
          <w:b/>
          <w:bCs/>
          <w:caps/>
        </w:rPr>
      </w:pPr>
    </w:p>
    <w:p w14:paraId="7DE09EB5" w14:textId="69E9DD74" w:rsidR="00E03C3F" w:rsidRPr="003F4025" w:rsidRDefault="00CC7832" w:rsidP="003F4025">
      <w:pPr>
        <w:pStyle w:val="ListParagraph"/>
        <w:numPr>
          <w:ilvl w:val="0"/>
          <w:numId w:val="12"/>
        </w:numPr>
        <w:tabs>
          <w:tab w:val="left" w:pos="567"/>
        </w:tabs>
        <w:spacing w:line="276" w:lineRule="auto"/>
        <w:ind w:hanging="720"/>
        <w:rPr>
          <w:b/>
          <w:bCs/>
          <w:caps/>
        </w:rPr>
      </w:pPr>
      <w:r w:rsidRPr="003F4025">
        <w:rPr>
          <w:b/>
          <w:bCs/>
          <w:caps/>
        </w:rPr>
        <w:t xml:space="preserve">ekonominio vertinimo </w:t>
      </w:r>
      <w:r w:rsidR="002F0E4F" w:rsidRPr="003F4025">
        <w:rPr>
          <w:b/>
          <w:bCs/>
          <w:caps/>
        </w:rPr>
        <w:t>apibendrinimas</w:t>
      </w:r>
    </w:p>
    <w:p w14:paraId="584A7D4D" w14:textId="77777777" w:rsidR="001B01C6" w:rsidRPr="003F4025" w:rsidRDefault="001B01C6" w:rsidP="003F4025">
      <w:pPr>
        <w:tabs>
          <w:tab w:val="left" w:pos="426"/>
        </w:tabs>
        <w:spacing w:line="276" w:lineRule="auto"/>
        <w:rPr>
          <w:iCs/>
        </w:rPr>
      </w:pPr>
    </w:p>
    <w:p w14:paraId="009B427A" w14:textId="75F4DCE7" w:rsidR="001B01C6" w:rsidRPr="003F4025" w:rsidRDefault="001B01C6" w:rsidP="003F4025">
      <w:pPr>
        <w:shd w:val="clear" w:color="auto" w:fill="FFFFFF"/>
        <w:spacing w:line="276" w:lineRule="auto"/>
        <w:jc w:val="both"/>
        <w:rPr>
          <w:rFonts w:eastAsia="Arial"/>
          <w:iCs/>
        </w:rPr>
      </w:pPr>
      <w:r w:rsidRPr="003F4025">
        <w:rPr>
          <w:rFonts w:eastAsia="Arial"/>
          <w:iCs/>
        </w:rPr>
        <w:t>Pateikta kašt</w:t>
      </w:r>
      <w:r w:rsidR="00965167" w:rsidRPr="003F4025">
        <w:rPr>
          <w:rFonts w:eastAsia="Arial"/>
          <w:iCs/>
        </w:rPr>
        <w:t>ų</w:t>
      </w:r>
      <w:r w:rsidRPr="003F4025">
        <w:rPr>
          <w:rFonts w:eastAsia="Arial"/>
          <w:iCs/>
        </w:rPr>
        <w:t xml:space="preserve"> naudingumo analizė, kurioje nagrinėjamas durvalumabo kaštų naudingumas. Nagrinėjamos pacientės, gaunančios pirmos eilės gydymą pirminiam pažengusiam ar atsinaujinusiam endometriumo vėžiui, kurios yra kandidatės sisteminei terapijai. Ši nagrinėjama pacienčių populiacija atitinka DUO-E klinikinio tyrimo populiaciją, kuriame išskiriami trys pacienčių pogrupiai – dMMR populiacija, pMMR populiacija, bei ITT populiacija. Šio vertinimo metu nagrinėjamas durvalumabo </w:t>
      </w:r>
      <w:r w:rsidRPr="003F4025">
        <w:rPr>
          <w:rFonts w:eastAsia="Arial"/>
          <w:iCs/>
        </w:rPr>
        <w:lastRenderedPageBreak/>
        <w:t xml:space="preserve">kaštų naudingumas pacientėmis kurioms nustatytas dMMR tipo endometriumo vėžys. Palyginamasis gydymas analizėje yra chemoterapija karboplatina ir paklitakseliu. Palyginamasis gydymas atitinka įprastą Lietuvos klinikinę praktiką, bei taikomų vaistų dozavimas atitinka preparatų charakteristikų santraukas. </w:t>
      </w:r>
    </w:p>
    <w:p w14:paraId="5F51F173" w14:textId="77777777" w:rsidR="001B01C6" w:rsidRPr="003F4025" w:rsidRDefault="001B01C6" w:rsidP="003F4025">
      <w:pPr>
        <w:shd w:val="clear" w:color="auto" w:fill="FFFFFF"/>
        <w:spacing w:line="276" w:lineRule="auto"/>
        <w:jc w:val="both"/>
        <w:rPr>
          <w:rFonts w:eastAsia="Arial"/>
          <w:iCs/>
        </w:rPr>
      </w:pPr>
    </w:p>
    <w:p w14:paraId="65A8AC48" w14:textId="6430620A" w:rsidR="001B01C6" w:rsidRPr="003F4025" w:rsidRDefault="001B01C6" w:rsidP="003F4025">
      <w:pPr>
        <w:shd w:val="clear" w:color="auto" w:fill="FFFFFF"/>
        <w:spacing w:line="276" w:lineRule="auto"/>
        <w:jc w:val="both"/>
        <w:rPr>
          <w:rFonts w:eastAsia="Arial"/>
          <w:iCs/>
        </w:rPr>
      </w:pPr>
      <w:r w:rsidRPr="003F4025">
        <w:rPr>
          <w:rFonts w:eastAsia="Arial"/>
          <w:iCs/>
        </w:rPr>
        <w:t xml:space="preserve">Analizėje taikoma </w:t>
      </w:r>
      <w:r w:rsidR="00E527E5">
        <w:rPr>
          <w:rFonts w:eastAsia="Arial"/>
          <w:iCs/>
        </w:rPr>
        <w:t>***</w:t>
      </w:r>
      <w:r w:rsidRPr="003F4025">
        <w:rPr>
          <w:rFonts w:eastAsia="Arial"/>
          <w:iCs/>
        </w:rPr>
        <w:t xml:space="preserve"> metų laiko perspektyva ir analizė atliekama iš PSDF biudžeto perspektyvos. Tarnybos nuomone ši laiko perspektyva yra per ilga, todėl baziniam atvejui analizuoti, tarnyba naudoja </w:t>
      </w:r>
      <w:r w:rsidR="00E527E5">
        <w:rPr>
          <w:rFonts w:eastAsia="Arial"/>
          <w:iCs/>
        </w:rPr>
        <w:t>**</w:t>
      </w:r>
      <w:r w:rsidR="001E176A">
        <w:rPr>
          <w:rFonts w:eastAsia="Arial"/>
          <w:iCs/>
        </w:rPr>
        <w:t>*</w:t>
      </w:r>
      <w:r w:rsidRPr="003F4025">
        <w:rPr>
          <w:rFonts w:eastAsia="Arial"/>
          <w:iCs/>
        </w:rPr>
        <w:t xml:space="preserve"> metų laiko perspektyvą. Taikomas padalintos kohortos išgyvenamumo modelis, ši modelio struktūra yra laikoma tinkama. Ekonominėje analizėje naudojami klinikiniai duomenys sutampa su klinikinėje vertinimo dalyje naudotais duomenimis, analizė yra grindžiama DUO-E klinikinio tyrimo duomenimis. Tarnyba pabrėžia, nors ir PSF ir OS duomenų rizikos santyki</w:t>
      </w:r>
      <w:r w:rsidR="00965167" w:rsidRPr="003F4025">
        <w:rPr>
          <w:rFonts w:eastAsia="Arial"/>
          <w:iCs/>
        </w:rPr>
        <w:t>o pasikliautinasis intervalas</w:t>
      </w:r>
      <w:r w:rsidRPr="003F4025">
        <w:rPr>
          <w:rFonts w:eastAsia="Arial"/>
          <w:iCs/>
        </w:rPr>
        <w:t xml:space="preserve"> ne</w:t>
      </w:r>
      <w:r w:rsidR="00965167" w:rsidRPr="003F4025">
        <w:rPr>
          <w:rFonts w:eastAsia="Arial"/>
          <w:iCs/>
        </w:rPr>
        <w:t>kerta</w:t>
      </w:r>
      <w:r w:rsidRPr="003F4025">
        <w:rPr>
          <w:rFonts w:eastAsia="Arial"/>
          <w:iCs/>
        </w:rPr>
        <w:t xml:space="preserve"> 1,  analizėje naudojamo DUO-E tyrimo PFS ir OS duomenys yra nebrandūs (PFS įvykių brandumas durvalumabo grupėje yra 32,6 proc., o OS įvykių brandumas durvalumabo grupėje yra 15,2 proc.). Vis dėl to, interpretuojant duomenis pastebima tendencija durvalumabo naudai, tačiau siekiant sumažinti neapibrėžtumą ir pateikti patikimą išvadą, reikalingi brandūs duomenys. Taip pat, tarnyba vertina jog pareiškėjo pasirinktos parametrinės bei spline funkcijos bazinio atvejo analizei yra optimistinės, bei grindžiamos neįvardinto eksperto nuomone, kuri nėra pagrįsta duomenimis pateiktais paraiškoje. Kadangi ekstrapoliuojami nebrandūs duomenys, Pareiškėjo pasirinktas optiminstinis PF</w:t>
      </w:r>
      <w:r w:rsidR="00965167" w:rsidRPr="003F4025">
        <w:rPr>
          <w:rFonts w:eastAsia="Arial"/>
          <w:iCs/>
        </w:rPr>
        <w:t>S</w:t>
      </w:r>
      <w:r w:rsidRPr="003F4025">
        <w:rPr>
          <w:rFonts w:eastAsia="Arial"/>
          <w:iCs/>
        </w:rPr>
        <w:t xml:space="preserve"> ir OS duomenų įvertinimo scenarijus Tarnybai nėra priimtinas, taigi, siekiant konservatyvesnio analizės rezultato, Tarnyba pagrindinio atvejo analizėje taiko PF</w:t>
      </w:r>
      <w:r w:rsidR="00965167" w:rsidRPr="003F4025">
        <w:rPr>
          <w:rFonts w:eastAsia="Arial"/>
          <w:iCs/>
        </w:rPr>
        <w:t>S</w:t>
      </w:r>
      <w:r w:rsidRPr="003F4025">
        <w:rPr>
          <w:rFonts w:eastAsia="Arial"/>
          <w:iCs/>
        </w:rPr>
        <w:t xml:space="preserve"> (durvalumabo grupėje - lognormal; standartinio gydymo grupėje – generalized gamma) ir OS (durvalumabo grupėje - exponential; standartinio gydymo grupėje - lognormal) funkcijas, kurios labiau atitinka Kaplano-Mėjerio kreivę atsižvelgiant į AIC įverčius, bei vizualinį atitikimą</w:t>
      </w:r>
      <w:r w:rsidR="00965167" w:rsidRPr="003F4025">
        <w:rPr>
          <w:rFonts w:eastAsia="Arial"/>
          <w:iCs/>
        </w:rPr>
        <w:t xml:space="preserve"> KM</w:t>
      </w:r>
      <w:r w:rsidRPr="003F4025">
        <w:rPr>
          <w:rFonts w:eastAsia="Arial"/>
          <w:iCs/>
        </w:rPr>
        <w:t xml:space="preserve"> kreivei. Tačiau atliekant scenarijų</w:t>
      </w:r>
      <w:r w:rsidR="00965167" w:rsidRPr="003F4025">
        <w:rPr>
          <w:rFonts w:eastAsia="Arial"/>
          <w:iCs/>
        </w:rPr>
        <w:t>,</w:t>
      </w:r>
      <w:r w:rsidRPr="003F4025">
        <w:rPr>
          <w:rFonts w:eastAsia="Arial"/>
          <w:iCs/>
        </w:rPr>
        <w:t xml:space="preserve"> jautrumo analizę yra stebima jog net ir keičiant naudojamas ekstrapoliacijas, ICER vertė drastiškai nekinta. </w:t>
      </w:r>
    </w:p>
    <w:p w14:paraId="12E633DB" w14:textId="77777777" w:rsidR="001B01C6" w:rsidRPr="003F4025" w:rsidRDefault="001B01C6" w:rsidP="003F4025">
      <w:pPr>
        <w:shd w:val="clear" w:color="auto" w:fill="FFFFFF"/>
        <w:spacing w:line="276" w:lineRule="auto"/>
        <w:jc w:val="both"/>
        <w:rPr>
          <w:rFonts w:eastAsia="Arial"/>
          <w:iCs/>
        </w:rPr>
      </w:pPr>
    </w:p>
    <w:p w14:paraId="2460090A" w14:textId="64B125BC" w:rsidR="001B01C6" w:rsidRPr="003F4025" w:rsidRDefault="001B01C6" w:rsidP="003F4025">
      <w:pPr>
        <w:shd w:val="clear" w:color="auto" w:fill="FFFFFF"/>
        <w:spacing w:line="276" w:lineRule="auto"/>
        <w:jc w:val="both"/>
        <w:rPr>
          <w:rFonts w:eastAsia="Arial"/>
          <w:iCs/>
        </w:rPr>
      </w:pPr>
      <w:r w:rsidRPr="003F4025">
        <w:rPr>
          <w:rFonts w:eastAsia="Arial"/>
          <w:iCs/>
        </w:rPr>
        <w:t xml:space="preserve">Analizėje sveikatos būklėms priskiriami gyvenimo kokybės įverčiai. Šie įverčiai yra grindžiami DUO-E klinikinio tyrimo duomenimis. Siekiant išgauti </w:t>
      </w:r>
      <w:r w:rsidR="00965167" w:rsidRPr="003F4025">
        <w:rPr>
          <w:rFonts w:eastAsia="Arial"/>
          <w:iCs/>
        </w:rPr>
        <w:t xml:space="preserve">gyvenimo </w:t>
      </w:r>
      <w:r w:rsidRPr="003F4025">
        <w:rPr>
          <w:rFonts w:eastAsia="Arial"/>
          <w:iCs/>
        </w:rPr>
        <w:t xml:space="preserve">kokybės įverčius, kurie bus taikomi modelyje, pareiškėjas atliko regresinę analizę naudojant MMRM analizę. Pareiškėjas atliko šią analizę naudojant skirtingas kovariacijas, </w:t>
      </w:r>
      <w:r w:rsidR="00965167" w:rsidRPr="003F4025">
        <w:rPr>
          <w:rFonts w:eastAsia="Arial"/>
          <w:iCs/>
        </w:rPr>
        <w:t>siekdamas</w:t>
      </w:r>
      <w:r w:rsidRPr="003F4025">
        <w:rPr>
          <w:rFonts w:eastAsia="Arial"/>
          <w:iCs/>
        </w:rPr>
        <w:t xml:space="preserve"> identifikuoti modelį</w:t>
      </w:r>
      <w:r w:rsidR="00965167" w:rsidRPr="003F4025">
        <w:rPr>
          <w:rFonts w:eastAsia="Arial"/>
          <w:iCs/>
        </w:rPr>
        <w:t>,</w:t>
      </w:r>
      <w:r w:rsidRPr="003F4025">
        <w:rPr>
          <w:rFonts w:eastAsia="Arial"/>
          <w:iCs/>
        </w:rPr>
        <w:t xml:space="preserve"> labiausiai tinkantį turimiems duomenims. Pareiškėjas </w:t>
      </w:r>
      <w:r w:rsidR="00965167" w:rsidRPr="003F4025">
        <w:rPr>
          <w:rFonts w:eastAsia="Arial"/>
          <w:iCs/>
        </w:rPr>
        <w:t>įvardino,</w:t>
      </w:r>
      <w:r w:rsidRPr="003F4025">
        <w:rPr>
          <w:rFonts w:eastAsia="Arial"/>
          <w:iCs/>
        </w:rPr>
        <w:t xml:space="preserve"> jog atliko keturis modelius, iš kurių jo teigimu, geriausiai atitiko antras modelis. Tačiau, pareiškėjas nepateikia šios regresinės analizės rezultatų, todėl Tarnyba negali </w:t>
      </w:r>
      <w:r w:rsidR="00965167" w:rsidRPr="003F4025">
        <w:rPr>
          <w:rFonts w:eastAsia="Arial"/>
          <w:iCs/>
        </w:rPr>
        <w:t xml:space="preserve">pilnai </w:t>
      </w:r>
      <w:r w:rsidRPr="003F4025">
        <w:rPr>
          <w:rFonts w:eastAsia="Arial"/>
          <w:iCs/>
        </w:rPr>
        <w:t>įvertinti</w:t>
      </w:r>
      <w:r w:rsidR="00965167" w:rsidRPr="003F4025">
        <w:rPr>
          <w:rFonts w:eastAsia="Arial"/>
          <w:iCs/>
        </w:rPr>
        <w:t xml:space="preserve"> gyvenimo</w:t>
      </w:r>
      <w:r w:rsidRPr="003F4025">
        <w:rPr>
          <w:rFonts w:eastAsia="Arial"/>
          <w:iCs/>
        </w:rPr>
        <w:t xml:space="preserve"> kokybės įverčių patikimumo. Pareiškėjas taip pat pritaikė su amžiumi susijusius kokybės įverčius modelyje, kurie buvo naudojami iš Alava et al. tyrimo. Modelyje galima buvo keisti </w:t>
      </w:r>
      <w:r w:rsidR="00965167" w:rsidRPr="003F4025">
        <w:rPr>
          <w:rFonts w:eastAsia="Arial"/>
          <w:iCs/>
        </w:rPr>
        <w:t>metodą,</w:t>
      </w:r>
      <w:r w:rsidRPr="003F4025">
        <w:rPr>
          <w:rFonts w:eastAsia="Arial"/>
          <w:iCs/>
        </w:rPr>
        <w:t xml:space="preserve"> kuriuo buvo grindžiami su amžiumi susiję kokybės įverčiai į Ara et al. tyrimą, tačiau šis pokytis analizės rezultato nelemia. </w:t>
      </w:r>
    </w:p>
    <w:p w14:paraId="13478C1E" w14:textId="77777777" w:rsidR="001B01C6" w:rsidRPr="003F4025" w:rsidRDefault="001B01C6" w:rsidP="003F4025">
      <w:pPr>
        <w:shd w:val="clear" w:color="auto" w:fill="FFFFFF"/>
        <w:spacing w:line="276" w:lineRule="auto"/>
        <w:jc w:val="both"/>
        <w:rPr>
          <w:rFonts w:eastAsia="Arial"/>
          <w:iCs/>
        </w:rPr>
      </w:pPr>
    </w:p>
    <w:p w14:paraId="3AD71950" w14:textId="09F12886" w:rsidR="001B01C6" w:rsidRPr="003F4025" w:rsidRDefault="001B01C6" w:rsidP="003F4025">
      <w:pPr>
        <w:shd w:val="clear" w:color="auto" w:fill="FFFFFF"/>
        <w:spacing w:line="276" w:lineRule="auto"/>
        <w:jc w:val="both"/>
        <w:rPr>
          <w:rFonts w:eastAsia="Arial"/>
          <w:iCs/>
        </w:rPr>
      </w:pPr>
      <w:r w:rsidRPr="003F4025">
        <w:rPr>
          <w:rFonts w:eastAsia="Arial"/>
          <w:iCs/>
        </w:rPr>
        <w:t>Siekiant pateikti konservatyvų analizės rezultatą, tarnyba taiko prielaidą, jog abiejose gydymo grupėse visi pacientai gauna visus 6, pagal gydymo rekomendacijas, chemoterapijos ciklus, bei Tarnyba taikoma 100 proc. RDI lyginamosioms terapijoms. Tarnyba atnaujino nepageidaujamų poveikių valdymo kaštų informaciją modelyje, kadangi pareiškėjo pateikti duomenys neatitiko naujausių kaštų. Tarnyba vertina, jog analizėje ligos valdymo kaštai nėra pilnai pritaikyti Lietuvos praktikai, tačiau atsižvelgiant į šių kaštų įtaką analizės rezultatui, Tarnyba vertina jog rezultatą galima interpretuoti. Galiausiai, pareiškėjo pateikti duomenys ir kaštai neatitinka Lietuvos klinikinės praktikos, taigi ši informacija ir kaštai buvo atnaujinti,</w:t>
      </w:r>
      <w:r w:rsidR="00965167" w:rsidRPr="003F4025">
        <w:rPr>
          <w:rFonts w:eastAsia="Arial"/>
          <w:iCs/>
        </w:rPr>
        <w:t xml:space="preserve"> atliekant analizės rezultato perskaičiavimą ir interpetuojant rezultatą</w:t>
      </w:r>
      <w:r w:rsidRPr="003F4025">
        <w:rPr>
          <w:rFonts w:eastAsia="Arial"/>
          <w:iCs/>
        </w:rPr>
        <w:t xml:space="preserve">. </w:t>
      </w:r>
    </w:p>
    <w:p w14:paraId="68F2F7AA" w14:textId="77777777" w:rsidR="001B01C6" w:rsidRPr="003F4025" w:rsidRDefault="001B01C6" w:rsidP="003F4025">
      <w:pPr>
        <w:shd w:val="clear" w:color="auto" w:fill="FFFFFF"/>
        <w:spacing w:line="276" w:lineRule="auto"/>
        <w:jc w:val="both"/>
        <w:rPr>
          <w:rFonts w:eastAsia="Arial"/>
          <w:iCs/>
        </w:rPr>
      </w:pPr>
    </w:p>
    <w:p w14:paraId="05E6778A" w14:textId="03B2C0A8" w:rsidR="001B01C6" w:rsidRPr="003F4025" w:rsidRDefault="001B01C6" w:rsidP="003F4025">
      <w:pPr>
        <w:shd w:val="clear" w:color="auto" w:fill="FFFFFF"/>
        <w:spacing w:line="276" w:lineRule="auto"/>
        <w:jc w:val="both"/>
        <w:rPr>
          <w:rFonts w:eastAsia="Arial"/>
          <w:iCs/>
        </w:rPr>
      </w:pPr>
      <w:r w:rsidRPr="003F4025">
        <w:rPr>
          <w:rFonts w:eastAsia="Arial"/>
          <w:iCs/>
        </w:rPr>
        <w:t>Analizėje ligos našta</w:t>
      </w:r>
      <w:r w:rsidR="00965167" w:rsidRPr="003F4025">
        <w:rPr>
          <w:rFonts w:eastAsia="Arial"/>
          <w:iCs/>
        </w:rPr>
        <w:t xml:space="preserve"> (santykinis kokybiškos gyvenimo trukmės praradimas)</w:t>
      </w:r>
      <w:r w:rsidRPr="003F4025">
        <w:rPr>
          <w:rFonts w:eastAsia="Arial"/>
          <w:iCs/>
        </w:rPr>
        <w:t xml:space="preserve"> nustatyta sunki, o referencinė kaštų naudingumo vertė – </w:t>
      </w:r>
      <w:r w:rsidR="00427446">
        <w:rPr>
          <w:rFonts w:eastAsia="Arial"/>
          <w:iCs/>
        </w:rPr>
        <w:t>***</w:t>
      </w:r>
      <w:r w:rsidRPr="003F4025">
        <w:rPr>
          <w:rFonts w:eastAsia="Arial"/>
          <w:iCs/>
        </w:rPr>
        <w:t xml:space="preserve"> BVP per capita. Atsižvelgiant į Tarnybos taikomas prielaidas, įvertinta, jog durvalumabas yra kaštams naudingas.  </w:t>
      </w:r>
    </w:p>
    <w:p w14:paraId="28FA3125" w14:textId="77777777" w:rsidR="001B01C6" w:rsidRPr="003F4025" w:rsidRDefault="001B01C6" w:rsidP="003F4025">
      <w:pPr>
        <w:tabs>
          <w:tab w:val="left" w:pos="426"/>
        </w:tabs>
        <w:spacing w:line="276" w:lineRule="auto"/>
        <w:rPr>
          <w:b/>
          <w:bCs/>
          <w:iCs/>
          <w:caps/>
        </w:rPr>
      </w:pPr>
    </w:p>
    <w:p w14:paraId="174D84D7" w14:textId="09C7BC2B" w:rsidR="0035172D" w:rsidRPr="003F4025" w:rsidRDefault="00164D64" w:rsidP="003F4025">
      <w:pPr>
        <w:tabs>
          <w:tab w:val="left" w:pos="426"/>
        </w:tabs>
        <w:spacing w:line="276" w:lineRule="auto"/>
        <w:rPr>
          <w:b/>
          <w:lang w:eastAsia="lt-LT"/>
        </w:rPr>
      </w:pPr>
      <w:r w:rsidRPr="003F4025">
        <w:rPr>
          <w:b/>
          <w:lang w:eastAsia="lt-LT"/>
        </w:rPr>
        <w:t xml:space="preserve">3.1 </w:t>
      </w:r>
      <w:r w:rsidR="0035172D" w:rsidRPr="003F4025">
        <w:rPr>
          <w:b/>
          <w:lang w:eastAsia="lt-LT"/>
        </w:rPr>
        <w:t>Ekonominės analizės rezultatas</w:t>
      </w:r>
    </w:p>
    <w:p w14:paraId="4801D227" w14:textId="77777777" w:rsidR="009E44AE" w:rsidRPr="003F4025" w:rsidRDefault="009E44AE" w:rsidP="003F4025">
      <w:pPr>
        <w:tabs>
          <w:tab w:val="left" w:pos="426"/>
        </w:tabs>
        <w:spacing w:line="276" w:lineRule="auto"/>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334F18" w:rsidRPr="003F4025"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3F4025" w:rsidRDefault="009E44AE" w:rsidP="003F4025">
            <w:pPr>
              <w:tabs>
                <w:tab w:val="left" w:pos="567"/>
              </w:tabs>
              <w:spacing w:line="276" w:lineRule="auto"/>
              <w:jc w:val="center"/>
              <w:rPr>
                <w:b/>
                <w:bCs/>
                <w:sz w:val="26"/>
                <w:szCs w:val="26"/>
                <w:lang w:eastAsia="lt-LT"/>
              </w:rPr>
            </w:pPr>
            <w:r w:rsidRPr="003F4025">
              <w:rPr>
                <w:b/>
                <w:bCs/>
                <w:sz w:val="26"/>
                <w:szCs w:val="26"/>
                <w:lang w:eastAsia="lt-LT"/>
              </w:rPr>
              <w:t>Rezultatai</w:t>
            </w:r>
          </w:p>
        </w:tc>
      </w:tr>
      <w:tr w:rsidR="009316CA" w:rsidRPr="003F4025" w14:paraId="319AF392" w14:textId="77777777" w:rsidTr="001B01C6">
        <w:trPr>
          <w:trHeight w:val="267"/>
          <w:jc w:val="center"/>
        </w:trPr>
        <w:tc>
          <w:tcPr>
            <w:tcW w:w="6200" w:type="dxa"/>
            <w:tcBorders>
              <w:left w:val="single" w:sz="4" w:space="0" w:color="auto"/>
            </w:tcBorders>
          </w:tcPr>
          <w:p w14:paraId="44CD8D27" w14:textId="27245A0B" w:rsidR="009316CA" w:rsidRPr="003F4025" w:rsidRDefault="009316CA" w:rsidP="009316CA">
            <w:pPr>
              <w:tabs>
                <w:tab w:val="left" w:pos="567"/>
              </w:tabs>
              <w:spacing w:line="276" w:lineRule="auto"/>
              <w:jc w:val="right"/>
              <w:rPr>
                <w:iCs/>
                <w:lang w:eastAsia="lt-LT"/>
              </w:rPr>
            </w:pPr>
            <w:r w:rsidRPr="003F4025">
              <w:rPr>
                <w:iCs/>
                <w:lang w:eastAsia="lt-LT"/>
              </w:rPr>
              <w:t>Kaštų skirtumas</w:t>
            </w:r>
          </w:p>
        </w:tc>
        <w:tc>
          <w:tcPr>
            <w:tcW w:w="3239" w:type="dxa"/>
            <w:tcBorders>
              <w:right w:val="single" w:sz="4" w:space="0" w:color="auto"/>
            </w:tcBorders>
          </w:tcPr>
          <w:p w14:paraId="1CACF0B4" w14:textId="0A95B9C6" w:rsidR="009316CA" w:rsidRPr="003F4025" w:rsidRDefault="004F2D38" w:rsidP="009316CA">
            <w:pPr>
              <w:tabs>
                <w:tab w:val="left" w:pos="567"/>
              </w:tabs>
              <w:spacing w:line="276" w:lineRule="auto"/>
              <w:jc w:val="both"/>
              <w:rPr>
                <w:i/>
                <w:iCs/>
                <w:lang w:eastAsia="lt-LT"/>
              </w:rPr>
            </w:pPr>
            <w:r>
              <w:rPr>
                <w:i/>
                <w:iCs/>
                <w:lang w:eastAsia="lt-LT"/>
              </w:rPr>
              <w:t>***</w:t>
            </w:r>
            <w:r w:rsidR="009316CA" w:rsidRPr="008077B1">
              <w:rPr>
                <w:i/>
                <w:iCs/>
                <w:lang w:eastAsia="lt-LT"/>
              </w:rPr>
              <w:t xml:space="preserve"> €</w:t>
            </w:r>
          </w:p>
        </w:tc>
      </w:tr>
      <w:tr w:rsidR="009316CA" w:rsidRPr="003F4025" w14:paraId="49F818A3" w14:textId="77777777" w:rsidTr="001B01C6">
        <w:trPr>
          <w:trHeight w:val="267"/>
          <w:jc w:val="center"/>
        </w:trPr>
        <w:tc>
          <w:tcPr>
            <w:tcW w:w="6200" w:type="dxa"/>
            <w:tcBorders>
              <w:left w:val="single" w:sz="4" w:space="0" w:color="auto"/>
            </w:tcBorders>
          </w:tcPr>
          <w:p w14:paraId="021DB925" w14:textId="389F1BF5" w:rsidR="009316CA" w:rsidRPr="003F4025" w:rsidRDefault="009316CA" w:rsidP="009316CA">
            <w:pPr>
              <w:tabs>
                <w:tab w:val="left" w:pos="567"/>
              </w:tabs>
              <w:spacing w:line="276" w:lineRule="auto"/>
              <w:jc w:val="right"/>
              <w:rPr>
                <w:iCs/>
                <w:lang w:eastAsia="lt-LT"/>
              </w:rPr>
            </w:pPr>
            <w:r w:rsidRPr="003F4025">
              <w:rPr>
                <w:iCs/>
                <w:lang w:eastAsia="lt-LT"/>
              </w:rPr>
              <w:t>Papildomi gyvenimo metai (LY)</w:t>
            </w:r>
          </w:p>
        </w:tc>
        <w:tc>
          <w:tcPr>
            <w:tcW w:w="3239" w:type="dxa"/>
            <w:tcBorders>
              <w:right w:val="single" w:sz="4" w:space="0" w:color="auto"/>
            </w:tcBorders>
          </w:tcPr>
          <w:p w14:paraId="4954817B" w14:textId="15536EB9" w:rsidR="009316CA" w:rsidRPr="003F4025" w:rsidRDefault="009316CA" w:rsidP="009316CA">
            <w:pPr>
              <w:tabs>
                <w:tab w:val="left" w:pos="567"/>
              </w:tabs>
              <w:spacing w:line="276" w:lineRule="auto"/>
              <w:jc w:val="both"/>
              <w:rPr>
                <w:i/>
                <w:iCs/>
                <w:lang w:eastAsia="lt-LT"/>
              </w:rPr>
            </w:pPr>
            <w:r w:rsidRPr="00EE7CCE">
              <w:rPr>
                <w:lang w:eastAsia="lt-LT"/>
              </w:rPr>
              <w:t>Skirtumas:</w:t>
            </w:r>
            <w:r>
              <w:rPr>
                <w:lang w:eastAsia="lt-LT"/>
              </w:rPr>
              <w:t xml:space="preserve"> </w:t>
            </w:r>
            <w:r w:rsidR="00237F25">
              <w:rPr>
                <w:lang w:eastAsia="lt-LT"/>
              </w:rPr>
              <w:t>***</w:t>
            </w:r>
          </w:p>
        </w:tc>
      </w:tr>
      <w:tr w:rsidR="009316CA" w:rsidRPr="003F4025" w14:paraId="20ADA742" w14:textId="77777777" w:rsidTr="001B01C6">
        <w:trPr>
          <w:trHeight w:val="267"/>
          <w:jc w:val="center"/>
        </w:trPr>
        <w:tc>
          <w:tcPr>
            <w:tcW w:w="6200" w:type="dxa"/>
            <w:tcBorders>
              <w:left w:val="single" w:sz="4" w:space="0" w:color="auto"/>
            </w:tcBorders>
          </w:tcPr>
          <w:p w14:paraId="0F567576" w14:textId="2606A2E9" w:rsidR="009316CA" w:rsidRPr="003F4025" w:rsidRDefault="009316CA" w:rsidP="009316CA">
            <w:pPr>
              <w:tabs>
                <w:tab w:val="left" w:pos="567"/>
              </w:tabs>
              <w:spacing w:line="276" w:lineRule="auto"/>
              <w:jc w:val="right"/>
              <w:rPr>
                <w:iCs/>
                <w:lang w:eastAsia="lt-LT"/>
              </w:rPr>
            </w:pPr>
            <w:r w:rsidRPr="003F4025">
              <w:rPr>
                <w:iCs/>
                <w:lang w:eastAsia="lt-LT"/>
              </w:rPr>
              <w:t>Papildomi kokybiški gyvenimo metai (QALY)</w:t>
            </w:r>
          </w:p>
        </w:tc>
        <w:tc>
          <w:tcPr>
            <w:tcW w:w="3239" w:type="dxa"/>
            <w:tcBorders>
              <w:right w:val="single" w:sz="4" w:space="0" w:color="auto"/>
            </w:tcBorders>
          </w:tcPr>
          <w:p w14:paraId="02E4DAE1" w14:textId="048DC98F" w:rsidR="009316CA" w:rsidRPr="003F4025" w:rsidRDefault="009316CA" w:rsidP="009316CA">
            <w:pPr>
              <w:tabs>
                <w:tab w:val="left" w:pos="567"/>
              </w:tabs>
              <w:spacing w:line="276" w:lineRule="auto"/>
              <w:jc w:val="both"/>
              <w:rPr>
                <w:i/>
                <w:iCs/>
                <w:lang w:eastAsia="lt-LT"/>
              </w:rPr>
            </w:pPr>
            <w:r w:rsidRPr="00EE7CCE">
              <w:rPr>
                <w:lang w:eastAsia="lt-LT"/>
              </w:rPr>
              <w:t xml:space="preserve">Skirtumas: </w:t>
            </w:r>
            <w:r w:rsidR="00237F25">
              <w:rPr>
                <w:lang w:eastAsia="lt-LT"/>
              </w:rPr>
              <w:t>***</w:t>
            </w:r>
          </w:p>
        </w:tc>
      </w:tr>
      <w:tr w:rsidR="009316CA" w:rsidRPr="003F4025" w14:paraId="1FADA2B3" w14:textId="77777777" w:rsidTr="001B01C6">
        <w:trPr>
          <w:trHeight w:val="267"/>
          <w:jc w:val="center"/>
        </w:trPr>
        <w:tc>
          <w:tcPr>
            <w:tcW w:w="6200" w:type="dxa"/>
            <w:tcBorders>
              <w:left w:val="single" w:sz="4" w:space="0" w:color="auto"/>
            </w:tcBorders>
          </w:tcPr>
          <w:p w14:paraId="13E089E8" w14:textId="0BCEB339" w:rsidR="009316CA" w:rsidRPr="003F4025" w:rsidRDefault="009316CA" w:rsidP="009316CA">
            <w:pPr>
              <w:tabs>
                <w:tab w:val="left" w:pos="567"/>
              </w:tabs>
              <w:spacing w:line="276" w:lineRule="auto"/>
              <w:jc w:val="right"/>
              <w:rPr>
                <w:iCs/>
                <w:lang w:eastAsia="lt-LT"/>
              </w:rPr>
            </w:pPr>
            <w:r w:rsidRPr="003F4025">
              <w:rPr>
                <w:iCs/>
                <w:lang w:eastAsia="lt-LT"/>
              </w:rPr>
              <w:t>ICER už LY</w:t>
            </w:r>
          </w:p>
        </w:tc>
        <w:tc>
          <w:tcPr>
            <w:tcW w:w="3239" w:type="dxa"/>
            <w:tcBorders>
              <w:right w:val="single" w:sz="4" w:space="0" w:color="auto"/>
            </w:tcBorders>
          </w:tcPr>
          <w:p w14:paraId="2817448D" w14:textId="014EE8FE" w:rsidR="009316CA" w:rsidRPr="003F4025" w:rsidRDefault="004F2D38" w:rsidP="009316CA">
            <w:pPr>
              <w:tabs>
                <w:tab w:val="left" w:pos="567"/>
              </w:tabs>
              <w:spacing w:line="276" w:lineRule="auto"/>
              <w:jc w:val="both"/>
              <w:rPr>
                <w:i/>
                <w:iCs/>
                <w:lang w:eastAsia="lt-LT"/>
              </w:rPr>
            </w:pPr>
            <w:r>
              <w:rPr>
                <w:i/>
                <w:iCs/>
                <w:lang w:eastAsia="lt-LT"/>
              </w:rPr>
              <w:t>***</w:t>
            </w:r>
            <w:r w:rsidR="009316CA" w:rsidRPr="008077B1">
              <w:rPr>
                <w:i/>
                <w:iCs/>
                <w:lang w:eastAsia="lt-LT"/>
              </w:rPr>
              <w:t xml:space="preserve">  €/LY</w:t>
            </w:r>
          </w:p>
        </w:tc>
      </w:tr>
      <w:tr w:rsidR="009316CA" w:rsidRPr="003F4025" w14:paraId="250DE960" w14:textId="77777777" w:rsidTr="001B01C6">
        <w:trPr>
          <w:trHeight w:val="267"/>
          <w:jc w:val="center"/>
        </w:trPr>
        <w:tc>
          <w:tcPr>
            <w:tcW w:w="6200" w:type="dxa"/>
            <w:tcBorders>
              <w:left w:val="single" w:sz="4" w:space="0" w:color="auto"/>
            </w:tcBorders>
          </w:tcPr>
          <w:p w14:paraId="207EFB23" w14:textId="77777777" w:rsidR="009316CA" w:rsidRPr="003F4025" w:rsidRDefault="009316CA" w:rsidP="009316CA">
            <w:pPr>
              <w:tabs>
                <w:tab w:val="left" w:pos="567"/>
              </w:tabs>
              <w:spacing w:line="276" w:lineRule="auto"/>
              <w:jc w:val="right"/>
              <w:rPr>
                <w:iCs/>
                <w:lang w:eastAsia="lt-LT"/>
              </w:rPr>
            </w:pPr>
            <w:r w:rsidRPr="003F4025">
              <w:rPr>
                <w:iCs/>
                <w:lang w:eastAsia="lt-LT"/>
              </w:rPr>
              <w:t>ICER už QALY</w:t>
            </w:r>
          </w:p>
        </w:tc>
        <w:tc>
          <w:tcPr>
            <w:tcW w:w="3239" w:type="dxa"/>
            <w:tcBorders>
              <w:right w:val="single" w:sz="4" w:space="0" w:color="auto"/>
            </w:tcBorders>
          </w:tcPr>
          <w:p w14:paraId="4275320D" w14:textId="5E8BA628" w:rsidR="009316CA" w:rsidRPr="003F4025" w:rsidRDefault="004F2D38" w:rsidP="009316CA">
            <w:pPr>
              <w:tabs>
                <w:tab w:val="left" w:pos="567"/>
              </w:tabs>
              <w:spacing w:line="276" w:lineRule="auto"/>
              <w:jc w:val="both"/>
              <w:rPr>
                <w:i/>
                <w:iCs/>
                <w:lang w:eastAsia="lt-LT"/>
              </w:rPr>
            </w:pPr>
            <w:r>
              <w:rPr>
                <w:i/>
                <w:iCs/>
                <w:lang w:eastAsia="lt-LT"/>
              </w:rPr>
              <w:t>***</w:t>
            </w:r>
            <w:r w:rsidR="009316CA" w:rsidRPr="008077B1">
              <w:rPr>
                <w:i/>
                <w:iCs/>
                <w:lang w:eastAsia="lt-LT"/>
              </w:rPr>
              <w:t xml:space="preserve"> €/QALY</w:t>
            </w:r>
          </w:p>
        </w:tc>
      </w:tr>
      <w:tr w:rsidR="009316CA" w:rsidRPr="003F4025" w14:paraId="2C4C68BA" w14:textId="77777777" w:rsidTr="001B01C6">
        <w:trPr>
          <w:trHeight w:val="267"/>
          <w:jc w:val="center"/>
        </w:trPr>
        <w:tc>
          <w:tcPr>
            <w:tcW w:w="6200" w:type="dxa"/>
            <w:tcBorders>
              <w:left w:val="single" w:sz="4" w:space="0" w:color="auto"/>
              <w:bottom w:val="single" w:sz="4" w:space="0" w:color="auto"/>
              <w:right w:val="single" w:sz="4" w:space="0" w:color="auto"/>
            </w:tcBorders>
          </w:tcPr>
          <w:p w14:paraId="21BEDABF" w14:textId="3471AFB3" w:rsidR="009316CA" w:rsidRPr="003F4025" w:rsidRDefault="009316CA" w:rsidP="009316CA">
            <w:pPr>
              <w:tabs>
                <w:tab w:val="left" w:pos="567"/>
              </w:tabs>
              <w:spacing w:line="276" w:lineRule="auto"/>
              <w:jc w:val="right"/>
              <w:rPr>
                <w:iCs/>
                <w:lang w:eastAsia="lt-LT"/>
              </w:rPr>
            </w:pPr>
            <w:r w:rsidRPr="003F4025">
              <w:rPr>
                <w:iCs/>
                <w:lang w:eastAsia="lt-LT"/>
              </w:rPr>
              <w:t>Referencinė kaštų naudingumo vertė</w:t>
            </w:r>
          </w:p>
        </w:tc>
        <w:tc>
          <w:tcPr>
            <w:tcW w:w="3239" w:type="dxa"/>
            <w:tcBorders>
              <w:left w:val="single" w:sz="4" w:space="0" w:color="auto"/>
              <w:bottom w:val="single" w:sz="4" w:space="0" w:color="auto"/>
              <w:right w:val="single" w:sz="4" w:space="0" w:color="auto"/>
            </w:tcBorders>
          </w:tcPr>
          <w:p w14:paraId="31DAA72E" w14:textId="4AAE11A6" w:rsidR="009316CA" w:rsidRPr="003F4025" w:rsidRDefault="00237F25" w:rsidP="009316CA">
            <w:pPr>
              <w:tabs>
                <w:tab w:val="left" w:pos="567"/>
              </w:tabs>
              <w:spacing w:line="276" w:lineRule="auto"/>
              <w:jc w:val="both"/>
              <w:rPr>
                <w:i/>
                <w:iCs/>
                <w:lang w:eastAsia="lt-LT"/>
              </w:rPr>
            </w:pPr>
            <w:r>
              <w:rPr>
                <w:i/>
                <w:iCs/>
                <w:lang w:eastAsia="lt-LT"/>
              </w:rPr>
              <w:t>*****</w:t>
            </w:r>
            <w:r w:rsidR="009316CA">
              <w:rPr>
                <w:i/>
                <w:iCs/>
                <w:lang w:eastAsia="lt-LT"/>
              </w:rPr>
              <w:t xml:space="preserve"> </w:t>
            </w:r>
            <w:r w:rsidR="009316CA" w:rsidRPr="00967B1C">
              <w:rPr>
                <w:i/>
                <w:iCs/>
                <w:lang w:eastAsia="lt-LT"/>
              </w:rPr>
              <w:t>€</w:t>
            </w:r>
            <w:r w:rsidR="009316CA">
              <w:rPr>
                <w:i/>
                <w:iCs/>
                <w:lang w:eastAsia="lt-LT"/>
              </w:rPr>
              <w:t>/QALY</w:t>
            </w:r>
          </w:p>
        </w:tc>
      </w:tr>
    </w:tbl>
    <w:p w14:paraId="5FC8C737" w14:textId="4136B7F4" w:rsidR="0035172D" w:rsidRPr="003F4025" w:rsidRDefault="00E5102E" w:rsidP="003F4025">
      <w:pPr>
        <w:tabs>
          <w:tab w:val="left" w:pos="567"/>
        </w:tabs>
        <w:spacing w:line="276" w:lineRule="auto"/>
        <w:jc w:val="both"/>
        <w:rPr>
          <w:iCs/>
          <w:sz w:val="20"/>
          <w:lang w:eastAsia="lt-LT"/>
        </w:rPr>
      </w:pPr>
      <w:r w:rsidRPr="003F4025">
        <w:rPr>
          <w:iCs/>
          <w:sz w:val="20"/>
          <w:lang w:eastAsia="lt-LT"/>
        </w:rPr>
        <w:t xml:space="preserve">ICER </w:t>
      </w:r>
      <w:r w:rsidR="00453862" w:rsidRPr="003F4025">
        <w:rPr>
          <w:iCs/>
          <w:sz w:val="20"/>
          <w:lang w:eastAsia="lt-LT"/>
        </w:rPr>
        <w:t>– (</w:t>
      </w:r>
      <w:r w:rsidR="00453862" w:rsidRPr="003F4025">
        <w:rPr>
          <w:i/>
          <w:sz w:val="20"/>
          <w:lang w:eastAsia="lt-LT"/>
        </w:rPr>
        <w:t>angl. incremental cost-effectiveness ratio</w:t>
      </w:r>
      <w:r w:rsidR="00453862" w:rsidRPr="003F4025">
        <w:rPr>
          <w:iCs/>
          <w:sz w:val="20"/>
          <w:lang w:eastAsia="lt-LT"/>
        </w:rPr>
        <w:t>) inkrementinis kaštų naudingumo koeficientas</w:t>
      </w:r>
      <w:r w:rsidRPr="003F4025">
        <w:rPr>
          <w:iCs/>
          <w:sz w:val="20"/>
          <w:lang w:eastAsia="lt-LT"/>
        </w:rPr>
        <w:t>; LY –</w:t>
      </w:r>
      <w:r w:rsidR="00453862" w:rsidRPr="003F4025">
        <w:rPr>
          <w:iCs/>
          <w:sz w:val="20"/>
          <w:lang w:eastAsia="lt-LT"/>
        </w:rPr>
        <w:t xml:space="preserve"> (</w:t>
      </w:r>
      <w:r w:rsidR="00453862" w:rsidRPr="003F4025">
        <w:rPr>
          <w:i/>
          <w:sz w:val="20"/>
          <w:lang w:eastAsia="lt-LT"/>
        </w:rPr>
        <w:t>angl. life years</w:t>
      </w:r>
      <w:r w:rsidR="00453862" w:rsidRPr="003F4025">
        <w:rPr>
          <w:iCs/>
          <w:sz w:val="20"/>
          <w:lang w:eastAsia="lt-LT"/>
        </w:rPr>
        <w:t>) gyvenimo metai</w:t>
      </w:r>
      <w:r w:rsidRPr="003F4025">
        <w:rPr>
          <w:iCs/>
          <w:sz w:val="20"/>
          <w:lang w:eastAsia="lt-LT"/>
        </w:rPr>
        <w:t xml:space="preserve">; QALY- </w:t>
      </w:r>
      <w:r w:rsidR="00453862" w:rsidRPr="003F4025">
        <w:rPr>
          <w:iCs/>
          <w:sz w:val="20"/>
          <w:lang w:eastAsia="lt-LT"/>
        </w:rPr>
        <w:t>(</w:t>
      </w:r>
      <w:r w:rsidR="00453862" w:rsidRPr="003F4025">
        <w:rPr>
          <w:i/>
          <w:sz w:val="20"/>
          <w:lang w:eastAsia="lt-LT"/>
        </w:rPr>
        <w:t xml:space="preserve">angl. quality adjusted life years) </w:t>
      </w:r>
      <w:r w:rsidR="00453862" w:rsidRPr="003F4025">
        <w:rPr>
          <w:iCs/>
          <w:sz w:val="20"/>
          <w:lang w:eastAsia="lt-LT"/>
        </w:rPr>
        <w:t>kokybiški gyvenimo metai.</w:t>
      </w:r>
    </w:p>
    <w:p w14:paraId="33875138" w14:textId="77777777" w:rsidR="0035172D" w:rsidRPr="003F4025" w:rsidRDefault="0035172D" w:rsidP="003F4025">
      <w:pPr>
        <w:tabs>
          <w:tab w:val="left" w:pos="426"/>
        </w:tabs>
        <w:spacing w:line="276" w:lineRule="auto"/>
        <w:rPr>
          <w:b/>
          <w:bCs/>
          <w:caps/>
        </w:rPr>
      </w:pPr>
    </w:p>
    <w:p w14:paraId="4FC424F9" w14:textId="4E767245" w:rsidR="00C62B36" w:rsidRPr="003F4025" w:rsidRDefault="00C62B36" w:rsidP="003F4025">
      <w:pPr>
        <w:pStyle w:val="ListParagraph"/>
        <w:numPr>
          <w:ilvl w:val="0"/>
          <w:numId w:val="12"/>
        </w:numPr>
        <w:tabs>
          <w:tab w:val="left" w:pos="567"/>
        </w:tabs>
        <w:spacing w:line="276" w:lineRule="auto"/>
        <w:ind w:hanging="720"/>
        <w:rPr>
          <w:b/>
          <w:bCs/>
          <w:caps/>
        </w:rPr>
      </w:pPr>
      <w:r w:rsidRPr="003F4025">
        <w:rPr>
          <w:b/>
          <w:bCs/>
          <w:caps/>
        </w:rPr>
        <w:t xml:space="preserve">Pacientų organizacijų pateikti duomenys </w:t>
      </w:r>
    </w:p>
    <w:p w14:paraId="54351841" w14:textId="77777777" w:rsidR="00C9728E" w:rsidRPr="003F4025" w:rsidRDefault="00C9728E" w:rsidP="003F4025">
      <w:pPr>
        <w:pStyle w:val="ListParagraph"/>
        <w:tabs>
          <w:tab w:val="left" w:pos="567"/>
        </w:tabs>
        <w:spacing w:line="276" w:lineRule="auto"/>
        <w:rPr>
          <w:b/>
          <w:bCs/>
          <w:caps/>
        </w:rPr>
      </w:pPr>
    </w:p>
    <w:p w14:paraId="62992180" w14:textId="1267D5A0" w:rsidR="00937907" w:rsidRPr="003F4025" w:rsidRDefault="00937907" w:rsidP="003F4025">
      <w:pPr>
        <w:spacing w:after="120" w:line="276" w:lineRule="auto"/>
        <w:jc w:val="both"/>
      </w:pPr>
      <w:r w:rsidRPr="003F4025">
        <w:t xml:space="preserve">Pacientų organizacijos pozicija </w:t>
      </w:r>
      <w:r w:rsidR="00880A44" w:rsidRPr="003F4025">
        <w:t>ne</w:t>
      </w:r>
      <w:r w:rsidRPr="003F4025">
        <w:t>pateikta.</w:t>
      </w:r>
    </w:p>
    <w:p w14:paraId="03E73D82" w14:textId="77777777" w:rsidR="00D417D2" w:rsidRPr="003F4025" w:rsidRDefault="00D417D2" w:rsidP="003F4025">
      <w:pPr>
        <w:spacing w:after="120" w:line="276" w:lineRule="auto"/>
        <w:jc w:val="both"/>
      </w:pPr>
    </w:p>
    <w:p w14:paraId="3D3277FA" w14:textId="09414FFF" w:rsidR="00C62B36" w:rsidRPr="003F4025" w:rsidRDefault="00D67BAF" w:rsidP="003F4025">
      <w:pPr>
        <w:pStyle w:val="ListParagraph"/>
        <w:numPr>
          <w:ilvl w:val="0"/>
          <w:numId w:val="12"/>
        </w:numPr>
        <w:tabs>
          <w:tab w:val="left" w:pos="567"/>
        </w:tabs>
        <w:spacing w:line="276" w:lineRule="auto"/>
        <w:ind w:hanging="720"/>
        <w:rPr>
          <w:b/>
          <w:bCs/>
          <w:caps/>
        </w:rPr>
      </w:pPr>
      <w:r w:rsidRPr="003F4025">
        <w:rPr>
          <w:b/>
          <w:bCs/>
          <w:caps/>
        </w:rPr>
        <w:t xml:space="preserve">SVEIKATOS PRIEŽIŪROS SPECIALISTŲ </w:t>
      </w:r>
      <w:r w:rsidR="00C62B36" w:rsidRPr="003F4025">
        <w:rPr>
          <w:b/>
          <w:bCs/>
          <w:caps/>
        </w:rPr>
        <w:t xml:space="preserve"> organizacijų pateikti duomenys</w:t>
      </w:r>
    </w:p>
    <w:p w14:paraId="044D5084" w14:textId="77777777" w:rsidR="00C9728E" w:rsidRPr="003F4025" w:rsidRDefault="00C9728E" w:rsidP="003F4025">
      <w:pPr>
        <w:pStyle w:val="ListParagraph"/>
        <w:tabs>
          <w:tab w:val="left" w:pos="567"/>
        </w:tabs>
        <w:spacing w:line="276" w:lineRule="auto"/>
        <w:rPr>
          <w:b/>
          <w:bCs/>
          <w:caps/>
        </w:rPr>
      </w:pPr>
    </w:p>
    <w:p w14:paraId="5D8CC48C" w14:textId="7047F77A" w:rsidR="00662983" w:rsidRPr="003F4025" w:rsidRDefault="00D67BAF" w:rsidP="003F4025">
      <w:pPr>
        <w:spacing w:after="120" w:line="276" w:lineRule="auto"/>
        <w:jc w:val="both"/>
      </w:pPr>
      <w:r w:rsidRPr="003F4025">
        <w:t>S</w:t>
      </w:r>
      <w:r w:rsidRPr="003F4025">
        <w:rPr>
          <w:bCs/>
        </w:rPr>
        <w:t>veikatos priežiūros specialistų</w:t>
      </w:r>
      <w:r w:rsidR="00937907" w:rsidRPr="003F4025">
        <w:t xml:space="preserve"> organizacijos pozicija </w:t>
      </w:r>
      <w:r w:rsidR="00880A44" w:rsidRPr="003F4025">
        <w:t>ne</w:t>
      </w:r>
      <w:r w:rsidR="00937907" w:rsidRPr="003F4025">
        <w:t>pateikta.</w:t>
      </w:r>
    </w:p>
    <w:p w14:paraId="3701D46A" w14:textId="77777777" w:rsidR="00A042B9" w:rsidRPr="003F4025" w:rsidRDefault="00A042B9" w:rsidP="003F4025">
      <w:pPr>
        <w:spacing w:after="120" w:line="276" w:lineRule="auto"/>
        <w:jc w:val="both"/>
      </w:pPr>
    </w:p>
    <w:p w14:paraId="78F23ECB" w14:textId="3ED5BFD5" w:rsidR="002F0E4F" w:rsidRPr="003F4025" w:rsidRDefault="002F0E4F" w:rsidP="003F4025">
      <w:pPr>
        <w:pStyle w:val="ListParagraph"/>
        <w:numPr>
          <w:ilvl w:val="0"/>
          <w:numId w:val="12"/>
        </w:numPr>
        <w:tabs>
          <w:tab w:val="left" w:pos="567"/>
        </w:tabs>
        <w:spacing w:line="276" w:lineRule="auto"/>
        <w:ind w:hanging="720"/>
        <w:rPr>
          <w:b/>
          <w:bCs/>
          <w:caps/>
        </w:rPr>
      </w:pPr>
      <w:r w:rsidRPr="003F4025">
        <w:rPr>
          <w:b/>
          <w:bCs/>
          <w:caps/>
        </w:rPr>
        <w:t>Išvad</w:t>
      </w:r>
      <w:r w:rsidR="00B811A4" w:rsidRPr="003F4025">
        <w:rPr>
          <w:b/>
          <w:bCs/>
          <w:caps/>
        </w:rPr>
        <w:t>OS</w:t>
      </w:r>
      <w:r w:rsidRPr="003F4025">
        <w:rPr>
          <w:b/>
          <w:bCs/>
          <w:caps/>
        </w:rPr>
        <w:t xml:space="preserve"> </w:t>
      </w:r>
    </w:p>
    <w:p w14:paraId="30069D85" w14:textId="77777777" w:rsidR="0061611B" w:rsidRPr="003F4025" w:rsidRDefault="0061611B" w:rsidP="003F4025">
      <w:pPr>
        <w:spacing w:line="276" w:lineRule="auto"/>
        <w:ind w:left="360"/>
        <w:rPr>
          <w:i/>
          <w:szCs w:val="22"/>
        </w:rPr>
      </w:pPr>
    </w:p>
    <w:tbl>
      <w:tblPr>
        <w:tblStyle w:val="TableGrid"/>
        <w:tblW w:w="0" w:type="auto"/>
        <w:tblInd w:w="-5" w:type="dxa"/>
        <w:tblLook w:val="04A0" w:firstRow="1" w:lastRow="0" w:firstColumn="1" w:lastColumn="0" w:noHBand="0" w:noVBand="1"/>
      </w:tblPr>
      <w:tblGrid>
        <w:gridCol w:w="4820"/>
        <w:gridCol w:w="4814"/>
      </w:tblGrid>
      <w:tr w:rsidR="00334F18" w:rsidRPr="003F4025" w14:paraId="4D5EFB83" w14:textId="77777777" w:rsidTr="007111C4">
        <w:trPr>
          <w:trHeight w:val="510"/>
        </w:trPr>
        <w:tc>
          <w:tcPr>
            <w:tcW w:w="9634" w:type="dxa"/>
            <w:gridSpan w:val="2"/>
            <w:vAlign w:val="center"/>
          </w:tcPr>
          <w:p w14:paraId="294EC16B" w14:textId="77777777" w:rsidR="00B811A4" w:rsidRPr="003F4025" w:rsidRDefault="00B811A4"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3"/>
                <w:szCs w:val="23"/>
              </w:rPr>
            </w:pPr>
            <w:bookmarkStart w:id="2" w:name="_Hlk185430554"/>
            <w:r w:rsidRPr="003F4025">
              <w:rPr>
                <w:rStyle w:val="Style2"/>
                <w:rFonts w:eastAsia="MS Gothic"/>
                <w:b/>
                <w:bCs/>
                <w:sz w:val="23"/>
                <w:szCs w:val="23"/>
              </w:rPr>
              <w:t>Palyginamasis veiksmingumas</w:t>
            </w:r>
          </w:p>
        </w:tc>
      </w:tr>
      <w:tr w:rsidR="00334F18" w:rsidRPr="003F4025" w14:paraId="30B67515" w14:textId="77777777" w:rsidTr="007111C4">
        <w:tc>
          <w:tcPr>
            <w:tcW w:w="4820" w:type="dxa"/>
          </w:tcPr>
          <w:p w14:paraId="4FE3C208" w14:textId="37836456" w:rsidR="00B811A4" w:rsidRPr="003F4025" w:rsidRDefault="00000000"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Content>
                <w:r w:rsidR="00860EB0" w:rsidRPr="003F4025">
                  <w:rPr>
                    <w:rStyle w:val="Style2"/>
                    <w:rFonts w:ascii="MS Gothic" w:eastAsia="MS Gothic" w:hAnsi="MS Gothic"/>
                    <w:sz w:val="23"/>
                    <w:szCs w:val="23"/>
                  </w:rPr>
                  <w:t>☒</w:t>
                </w:r>
              </w:sdtContent>
            </w:sdt>
            <w:r w:rsidR="00B811A4" w:rsidRPr="003F4025">
              <w:rPr>
                <w:rStyle w:val="Style2"/>
                <w:sz w:val="23"/>
                <w:szCs w:val="23"/>
              </w:rPr>
              <w:t xml:space="preserve"> 29</w:t>
            </w:r>
            <w:r w:rsidR="00B811A4" w:rsidRPr="003F4025">
              <w:rPr>
                <w:sz w:val="23"/>
                <w:szCs w:val="23"/>
              </w:rPr>
              <w:t>.1.1 yra didesnis, lyginant su įprasta klinikine praktika</w:t>
            </w:r>
          </w:p>
          <w:p w14:paraId="6F9786E4" w14:textId="77777777" w:rsidR="00B811A4" w:rsidRPr="003F4025" w:rsidRDefault="00B811A4"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p>
          <w:p w14:paraId="231EDECD" w14:textId="77777777" w:rsidR="00B811A4" w:rsidRPr="003F4025" w:rsidRDefault="00000000"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Content>
                <w:r w:rsidR="00B811A4" w:rsidRPr="003F4025">
                  <w:rPr>
                    <w:rStyle w:val="Style2"/>
                    <w:rFonts w:ascii="Segoe UI Symbol" w:eastAsia="MS Gothic" w:hAnsi="Segoe UI Symbol" w:cs="Segoe UI Symbol"/>
                    <w:sz w:val="23"/>
                    <w:szCs w:val="23"/>
                  </w:rPr>
                  <w:t>☐</w:t>
                </w:r>
              </w:sdtContent>
            </w:sdt>
            <w:r w:rsidR="00B811A4" w:rsidRPr="003F4025">
              <w:rPr>
                <w:sz w:val="23"/>
                <w:szCs w:val="23"/>
              </w:rPr>
              <w:t xml:space="preserve"> </w:t>
            </w:r>
            <w:r w:rsidR="00B811A4" w:rsidRPr="003F4025">
              <w:rPr>
                <w:rStyle w:val="Style2"/>
                <w:sz w:val="23"/>
                <w:szCs w:val="23"/>
              </w:rPr>
              <w:t>29</w:t>
            </w:r>
            <w:r w:rsidR="00B811A4" w:rsidRPr="003F4025">
              <w:rPr>
                <w:sz w:val="23"/>
                <w:szCs w:val="23"/>
              </w:rPr>
              <w:t>.1.2 iš esmės nesiskiria, lyginant su įprasta klinikine praktika</w:t>
            </w:r>
          </w:p>
        </w:tc>
        <w:tc>
          <w:tcPr>
            <w:tcW w:w="4814" w:type="dxa"/>
          </w:tcPr>
          <w:p w14:paraId="72562F9E" w14:textId="77777777" w:rsidR="00B811A4" w:rsidRPr="003F4025" w:rsidRDefault="00000000"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Content>
                <w:r w:rsidR="00B811A4" w:rsidRPr="003F4025">
                  <w:rPr>
                    <w:rStyle w:val="Style2"/>
                    <w:rFonts w:ascii="Segoe UI Symbol" w:eastAsia="MS Gothic" w:hAnsi="Segoe UI Symbol" w:cs="Segoe UI Symbol"/>
                    <w:sz w:val="23"/>
                    <w:szCs w:val="23"/>
                  </w:rPr>
                  <w:t>☐</w:t>
                </w:r>
              </w:sdtContent>
            </w:sdt>
            <w:r w:rsidR="00B811A4" w:rsidRPr="003F4025">
              <w:rPr>
                <w:sz w:val="23"/>
                <w:szCs w:val="23"/>
              </w:rPr>
              <w:t xml:space="preserve"> </w:t>
            </w:r>
            <w:r w:rsidR="00B811A4" w:rsidRPr="003F4025">
              <w:rPr>
                <w:rStyle w:val="Style2"/>
                <w:sz w:val="23"/>
                <w:szCs w:val="23"/>
              </w:rPr>
              <w:t>29</w:t>
            </w:r>
            <w:r w:rsidR="00B811A4" w:rsidRPr="003F4025">
              <w:rPr>
                <w:sz w:val="23"/>
                <w:szCs w:val="23"/>
              </w:rPr>
              <w:t xml:space="preserve">.1.3 yra neįrodytas kaip didesnis  ar iš esmės nesiskiriantis, lyginant su įprasta klinikine praktika  </w:t>
            </w:r>
          </w:p>
          <w:p w14:paraId="6F6DB5BC" w14:textId="77777777" w:rsidR="00B811A4" w:rsidRPr="003F4025" w:rsidRDefault="00B811A4"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p>
          <w:p w14:paraId="5EE1D885" w14:textId="77777777" w:rsidR="00B811A4" w:rsidRPr="003F4025" w:rsidRDefault="00000000"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Content>
                <w:r w:rsidR="00B811A4" w:rsidRPr="003F4025">
                  <w:rPr>
                    <w:rStyle w:val="Style2"/>
                    <w:rFonts w:ascii="Segoe UI Symbol" w:eastAsia="MS Gothic" w:hAnsi="Segoe UI Symbol" w:cs="Segoe UI Symbol"/>
                    <w:sz w:val="23"/>
                    <w:szCs w:val="23"/>
                  </w:rPr>
                  <w:t>☐</w:t>
                </w:r>
              </w:sdtContent>
            </w:sdt>
            <w:r w:rsidR="00B811A4" w:rsidRPr="003F4025">
              <w:rPr>
                <w:sz w:val="23"/>
                <w:szCs w:val="23"/>
              </w:rPr>
              <w:t xml:space="preserve"> </w:t>
            </w:r>
            <w:r w:rsidR="00B811A4" w:rsidRPr="003F4025">
              <w:rPr>
                <w:rStyle w:val="Style2"/>
                <w:sz w:val="23"/>
                <w:szCs w:val="23"/>
              </w:rPr>
              <w:t>29</w:t>
            </w:r>
            <w:r w:rsidR="00B811A4" w:rsidRPr="003F4025">
              <w:rPr>
                <w:sz w:val="23"/>
                <w:szCs w:val="23"/>
              </w:rPr>
              <w:t>.1.4 yra mažesnis, lyginant su įprasta klinikine praktika</w:t>
            </w:r>
          </w:p>
          <w:p w14:paraId="193C3D76" w14:textId="77777777" w:rsidR="00B811A4" w:rsidRPr="003F4025" w:rsidRDefault="00B811A4"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p>
          <w:p w14:paraId="370E94DC" w14:textId="4EC80DB9" w:rsidR="00B811A4" w:rsidRPr="003F4025" w:rsidRDefault="00000000"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Content>
                <w:r w:rsidR="00B811A4" w:rsidRPr="003F4025">
                  <w:rPr>
                    <w:rStyle w:val="Style2"/>
                    <w:rFonts w:ascii="Segoe UI Symbol" w:eastAsia="MS Gothic" w:hAnsi="Segoe UI Symbol" w:cs="Segoe UI Symbol"/>
                    <w:sz w:val="23"/>
                    <w:szCs w:val="23"/>
                  </w:rPr>
                  <w:t>☐</w:t>
                </w:r>
              </w:sdtContent>
            </w:sdt>
            <w:r w:rsidR="00B811A4" w:rsidRPr="003F4025">
              <w:rPr>
                <w:sz w:val="23"/>
                <w:szCs w:val="23"/>
              </w:rPr>
              <w:t xml:space="preserve"> </w:t>
            </w:r>
            <w:r w:rsidR="00B811A4" w:rsidRPr="003F4025">
              <w:rPr>
                <w:rStyle w:val="Style2"/>
                <w:sz w:val="23"/>
                <w:szCs w:val="23"/>
              </w:rPr>
              <w:t>29</w:t>
            </w:r>
            <w:r w:rsidR="00B811A4" w:rsidRPr="003F4025">
              <w:rPr>
                <w:sz w:val="23"/>
                <w:szCs w:val="23"/>
              </w:rPr>
              <w:t>.1.5 pateikti duomenys apie palyginamąjį veiksmingumą yra netinkami vertinti</w:t>
            </w:r>
          </w:p>
          <w:p w14:paraId="45719037" w14:textId="77777777" w:rsidR="00B811A4" w:rsidRPr="003F4025" w:rsidRDefault="00B811A4"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3"/>
                <w:szCs w:val="23"/>
              </w:rPr>
            </w:pPr>
          </w:p>
        </w:tc>
      </w:tr>
      <w:bookmarkEnd w:id="2"/>
      <w:tr w:rsidR="00334F18" w:rsidRPr="003F4025" w14:paraId="0E0F5168" w14:textId="77777777" w:rsidTr="00743956">
        <w:trPr>
          <w:trHeight w:val="510"/>
        </w:trPr>
        <w:tc>
          <w:tcPr>
            <w:tcW w:w="9634" w:type="dxa"/>
            <w:gridSpan w:val="2"/>
            <w:vAlign w:val="center"/>
          </w:tcPr>
          <w:p w14:paraId="62B67E12" w14:textId="77777777" w:rsidR="00B811A4" w:rsidRPr="003F4025" w:rsidRDefault="00B811A4"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3"/>
                <w:szCs w:val="23"/>
              </w:rPr>
            </w:pPr>
            <w:r w:rsidRPr="003F4025">
              <w:rPr>
                <w:rStyle w:val="Style2"/>
                <w:rFonts w:eastAsia="MS Gothic"/>
                <w:b/>
                <w:bCs/>
                <w:sz w:val="23"/>
                <w:szCs w:val="23"/>
              </w:rPr>
              <w:t>Kaštų naudingumas</w:t>
            </w:r>
          </w:p>
        </w:tc>
      </w:tr>
      <w:tr w:rsidR="00334F18" w:rsidRPr="003F4025" w14:paraId="6A2F62B2" w14:textId="77777777" w:rsidTr="00743956">
        <w:tc>
          <w:tcPr>
            <w:tcW w:w="4820" w:type="dxa"/>
          </w:tcPr>
          <w:p w14:paraId="7CB2C697" w14:textId="2D759C3C" w:rsidR="00B811A4" w:rsidRPr="003F4025" w:rsidRDefault="00000000"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sdt>
              <w:sdtPr>
                <w:rPr>
                  <w:rStyle w:val="Style2"/>
                  <w:sz w:val="23"/>
                  <w:szCs w:val="23"/>
                </w:rPr>
                <w:id w:val="301657889"/>
                <w15:color w:val="FFCC00"/>
                <w14:checkbox>
                  <w14:checked w14:val="1"/>
                  <w14:checkedState w14:val="2612" w14:font="MS Gothic"/>
                  <w14:uncheckedState w14:val="2610" w14:font="MS Gothic"/>
                </w14:checkbox>
              </w:sdtPr>
              <w:sdtContent>
                <w:r w:rsidR="00860EB0" w:rsidRPr="003F4025">
                  <w:rPr>
                    <w:rStyle w:val="Style2"/>
                    <w:rFonts w:ascii="MS Gothic" w:eastAsia="MS Gothic" w:hAnsi="MS Gothic"/>
                    <w:sz w:val="23"/>
                    <w:szCs w:val="23"/>
                  </w:rPr>
                  <w:t>☒</w:t>
                </w:r>
              </w:sdtContent>
            </w:sdt>
            <w:r w:rsidR="00B811A4" w:rsidRPr="003F4025">
              <w:rPr>
                <w:sz w:val="23"/>
                <w:szCs w:val="23"/>
              </w:rPr>
              <w:t xml:space="preserve"> 29.2.1 atitinka referencinę naudingumo vertę taikant arba netaikant</w:t>
            </w:r>
            <w:r w:rsidR="00437623" w:rsidRPr="003F4025">
              <w:rPr>
                <w:b/>
                <w:bCs/>
                <w:sz w:val="23"/>
                <w:szCs w:val="23"/>
              </w:rPr>
              <w:t xml:space="preserve"> </w:t>
            </w:r>
            <w:r w:rsidR="00B811A4" w:rsidRPr="003F4025">
              <w:rPr>
                <w:sz w:val="23"/>
                <w:szCs w:val="23"/>
              </w:rPr>
              <w:t>PGS</w:t>
            </w:r>
          </w:p>
          <w:p w14:paraId="71797774" w14:textId="77777777" w:rsidR="00B811A4" w:rsidRPr="003F4025" w:rsidRDefault="00B811A4"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p>
          <w:p w14:paraId="5BE88CDB" w14:textId="60C4FFA7" w:rsidR="00B811A4" w:rsidRPr="003F4025" w:rsidRDefault="00B811A4"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3"/>
                <w:szCs w:val="23"/>
              </w:rPr>
            </w:pPr>
          </w:p>
        </w:tc>
        <w:tc>
          <w:tcPr>
            <w:tcW w:w="4814" w:type="dxa"/>
          </w:tcPr>
          <w:p w14:paraId="0370A72C" w14:textId="77777777" w:rsidR="00B811A4" w:rsidRPr="003F4025" w:rsidRDefault="00000000"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Content>
                <w:r w:rsidR="00B811A4" w:rsidRPr="003F4025">
                  <w:rPr>
                    <w:rStyle w:val="Style2"/>
                    <w:rFonts w:ascii="Segoe UI Symbol" w:eastAsia="MS Gothic" w:hAnsi="Segoe UI Symbol" w:cs="Segoe UI Symbol"/>
                    <w:sz w:val="23"/>
                    <w:szCs w:val="23"/>
                  </w:rPr>
                  <w:t>☐</w:t>
                </w:r>
              </w:sdtContent>
            </w:sdt>
            <w:r w:rsidR="00B811A4" w:rsidRPr="003F4025">
              <w:rPr>
                <w:sz w:val="23"/>
                <w:szCs w:val="23"/>
              </w:rPr>
              <w:t xml:space="preserve"> 29.2.3 neatitinka referencinės naudingumo vertės taikant arba netaikant PGS</w:t>
            </w:r>
          </w:p>
          <w:p w14:paraId="13C9EEE5" w14:textId="77777777" w:rsidR="00B811A4" w:rsidRPr="003F4025" w:rsidRDefault="00B811A4"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p>
          <w:p w14:paraId="289E6691" w14:textId="77777777" w:rsidR="00B811A4" w:rsidRPr="003F4025" w:rsidRDefault="00B811A4"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p>
          <w:p w14:paraId="5FD1976C" w14:textId="77777777" w:rsidR="00B811A4" w:rsidRPr="003F4025" w:rsidRDefault="00000000"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Content>
                <w:r w:rsidR="00B811A4" w:rsidRPr="003F4025">
                  <w:rPr>
                    <w:rStyle w:val="Style2"/>
                    <w:rFonts w:ascii="Segoe UI Symbol" w:eastAsia="MS Gothic" w:hAnsi="Segoe UI Symbol" w:cs="Segoe UI Symbol"/>
                    <w:sz w:val="23"/>
                    <w:szCs w:val="23"/>
                  </w:rPr>
                  <w:t>☐</w:t>
                </w:r>
              </w:sdtContent>
            </w:sdt>
            <w:r w:rsidR="00B811A4" w:rsidRPr="003F4025">
              <w:rPr>
                <w:sz w:val="23"/>
                <w:szCs w:val="23"/>
              </w:rPr>
              <w:t xml:space="preserve"> 29.2.5 pateikti duomenys apie kaštų naudingumą yra netinkami vertinti</w:t>
            </w:r>
          </w:p>
          <w:p w14:paraId="06AB06C5" w14:textId="77777777" w:rsidR="00B811A4" w:rsidRPr="003F4025" w:rsidRDefault="00B811A4"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3"/>
                <w:szCs w:val="23"/>
              </w:rPr>
            </w:pPr>
          </w:p>
        </w:tc>
      </w:tr>
      <w:tr w:rsidR="00334F18" w:rsidRPr="003F4025" w14:paraId="632C9193" w14:textId="77777777" w:rsidTr="00027464">
        <w:tc>
          <w:tcPr>
            <w:tcW w:w="9634" w:type="dxa"/>
            <w:gridSpan w:val="2"/>
          </w:tcPr>
          <w:p w14:paraId="15C289C9" w14:textId="47C5A3CE" w:rsidR="007111C4" w:rsidRPr="003F4025" w:rsidRDefault="00000000" w:rsidP="003F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Content>
                <w:r w:rsidR="007111C4" w:rsidRPr="003F4025">
                  <w:rPr>
                    <w:rStyle w:val="Style2"/>
                    <w:rFonts w:ascii="Segoe UI Symbol" w:eastAsia="MS Gothic" w:hAnsi="Segoe UI Symbol" w:cs="Segoe UI Symbol"/>
                    <w:sz w:val="23"/>
                    <w:szCs w:val="23"/>
                  </w:rPr>
                  <w:t>☐</w:t>
                </w:r>
              </w:sdtContent>
            </w:sdt>
            <w:r w:rsidR="007111C4" w:rsidRPr="003F4025">
              <w:rPr>
                <w:sz w:val="23"/>
                <w:szCs w:val="23"/>
              </w:rPr>
              <w:t xml:space="preserve"> Vykdant Aprašo &lt;17</w:t>
            </w:r>
            <w:r w:rsidR="007111C4" w:rsidRPr="003F4025">
              <w:rPr>
                <w:sz w:val="23"/>
                <w:szCs w:val="23"/>
                <w:vertAlign w:val="superscript"/>
              </w:rPr>
              <w:t>3</w:t>
            </w:r>
            <w:r w:rsidR="007111C4" w:rsidRPr="003F4025">
              <w:rPr>
                <w:sz w:val="23"/>
                <w:szCs w:val="23"/>
              </w:rPr>
              <w:t>.1&gt;&lt;17</w:t>
            </w:r>
            <w:r w:rsidR="007111C4" w:rsidRPr="003F4025">
              <w:rPr>
                <w:sz w:val="23"/>
                <w:szCs w:val="23"/>
                <w:vertAlign w:val="superscript"/>
              </w:rPr>
              <w:t>3</w:t>
            </w:r>
            <w:r w:rsidR="007111C4" w:rsidRPr="003F4025">
              <w:rPr>
                <w:sz w:val="23"/>
                <w:szCs w:val="23"/>
              </w:rPr>
              <w:t>.2&gt;&lt;17</w:t>
            </w:r>
            <w:r w:rsidR="007111C4" w:rsidRPr="003F4025">
              <w:rPr>
                <w:sz w:val="23"/>
                <w:szCs w:val="23"/>
                <w:vertAlign w:val="superscript"/>
              </w:rPr>
              <w:t>3</w:t>
            </w:r>
            <w:r w:rsidR="007111C4" w:rsidRPr="003F4025">
              <w:rPr>
                <w:sz w:val="23"/>
                <w:szCs w:val="23"/>
              </w:rPr>
              <w:t>.3&gt; punktą vaistinio (-ų) preparato (-ų) ekonominis vertinimas neatliekamas, išvados dėl kaštų naudingumo neteikiamos</w:t>
            </w:r>
          </w:p>
        </w:tc>
      </w:tr>
    </w:tbl>
    <w:p w14:paraId="08D5B3B6" w14:textId="292D1124" w:rsidR="0061611B" w:rsidRPr="003F4025" w:rsidRDefault="0061611B" w:rsidP="003F4025">
      <w:pPr>
        <w:spacing w:line="276" w:lineRule="auto"/>
        <w:rPr>
          <w:i/>
          <w:szCs w:val="22"/>
        </w:rPr>
      </w:pPr>
    </w:p>
    <w:p w14:paraId="1B85C083" w14:textId="77777777" w:rsidR="009E44AE" w:rsidRPr="003F4025" w:rsidRDefault="009E44AE" w:rsidP="003F4025">
      <w:pPr>
        <w:spacing w:line="276" w:lineRule="auto"/>
      </w:pPr>
    </w:p>
    <w:p w14:paraId="3B2D1F25" w14:textId="3A80E19F" w:rsidR="000001B0" w:rsidRPr="003F4025" w:rsidRDefault="000001B0" w:rsidP="003F4025">
      <w:pPr>
        <w:pStyle w:val="ListParagraph"/>
        <w:numPr>
          <w:ilvl w:val="0"/>
          <w:numId w:val="12"/>
        </w:numPr>
        <w:spacing w:line="276" w:lineRule="auto"/>
        <w:ind w:left="567" w:hanging="567"/>
      </w:pPr>
      <w:r w:rsidRPr="003F4025">
        <w:rPr>
          <w:b/>
        </w:rPr>
        <w:t>REKOME</w:t>
      </w:r>
      <w:r w:rsidR="00D83182" w:rsidRPr="003F4025">
        <w:rPr>
          <w:b/>
        </w:rPr>
        <w:t>N</w:t>
      </w:r>
      <w:r w:rsidRPr="003F4025">
        <w:rPr>
          <w:b/>
        </w:rPr>
        <w:t>DACIJA</w:t>
      </w:r>
    </w:p>
    <w:p w14:paraId="35E33D78" w14:textId="59232BB3" w:rsidR="00B811A4" w:rsidRPr="003F4025" w:rsidRDefault="00B811A4" w:rsidP="003F4025">
      <w:pPr>
        <w:pStyle w:val="ListParagraph"/>
        <w:spacing w:line="276" w:lineRule="auto"/>
        <w:ind w:left="567"/>
        <w:rPr>
          <w:b/>
        </w:rPr>
      </w:pPr>
    </w:p>
    <w:p w14:paraId="55CD86F2" w14:textId="576FE891" w:rsidR="00B811A4" w:rsidRPr="003F4025" w:rsidRDefault="00B811A4" w:rsidP="003F4025">
      <w:pPr>
        <w:spacing w:line="276" w:lineRule="auto"/>
        <w:jc w:val="both"/>
      </w:pPr>
      <w:r w:rsidRPr="003F4025">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rsidR="008077B1" w:rsidRPr="003F4025">
        <w:t xml:space="preserve"> </w:t>
      </w:r>
      <w:r w:rsidRPr="003F4025">
        <w:rPr>
          <w:lang w:eastAsia="lt-LT"/>
        </w:rPr>
        <w:t>30</w:t>
      </w:r>
      <w:r w:rsidRPr="003F4025">
        <w:rPr>
          <w:vertAlign w:val="superscript"/>
          <w:lang w:eastAsia="lt-LT"/>
        </w:rPr>
        <w:t>1</w:t>
      </w:r>
      <w:r w:rsidRPr="003F4025">
        <w:rPr>
          <w:lang w:eastAsia="lt-LT"/>
        </w:rPr>
        <w:t>.1. rekomenduojama kompensuoti vaistinį preparatą pagal paraiškoje nurodytą indikaciją (arba jos dalį) su arba be skyrimo sąlygų, taikant ar netaikant PGS, kai vertinimo išvados atitinka Aprašo 29.1.1 ir 29.2.1 papunkčiuose numatytas sąlygas</w:t>
      </w:r>
      <w:r w:rsidR="008077B1" w:rsidRPr="003F4025">
        <w:rPr>
          <w:lang w:eastAsia="lt-LT"/>
        </w:rPr>
        <w:t>.</w:t>
      </w:r>
    </w:p>
    <w:p w14:paraId="48BEE35B" w14:textId="77777777" w:rsidR="00B811A4" w:rsidRPr="003F4025" w:rsidRDefault="00B811A4" w:rsidP="003F4025">
      <w:pPr>
        <w:spacing w:line="276" w:lineRule="auto"/>
        <w:jc w:val="both"/>
        <w:rPr>
          <w:lang w:eastAsia="lt-LT"/>
        </w:rPr>
      </w:pPr>
    </w:p>
    <w:p w14:paraId="3D60BB06" w14:textId="77777777" w:rsidR="00B811A4" w:rsidRPr="003F4025" w:rsidRDefault="00B811A4" w:rsidP="003F4025">
      <w:pPr>
        <w:widowControl w:val="0"/>
        <w:tabs>
          <w:tab w:val="left" w:pos="1418"/>
        </w:tabs>
        <w:suppressAutoHyphens/>
        <w:spacing w:line="276" w:lineRule="auto"/>
        <w:jc w:val="center"/>
        <w:textAlignment w:val="center"/>
        <w:rPr>
          <w:lang w:eastAsia="lt-LT"/>
        </w:rPr>
      </w:pPr>
    </w:p>
    <w:p w14:paraId="42F3A222" w14:textId="77777777" w:rsidR="00B811A4" w:rsidRPr="003F4025" w:rsidRDefault="00B811A4" w:rsidP="003F4025">
      <w:pPr>
        <w:tabs>
          <w:tab w:val="left" w:pos="426"/>
        </w:tabs>
        <w:spacing w:line="276" w:lineRule="auto"/>
        <w:jc w:val="both"/>
        <w:rPr>
          <w:b/>
          <w:lang w:eastAsia="lt-LT"/>
        </w:rPr>
      </w:pPr>
      <w:r w:rsidRPr="003F4025">
        <w:rPr>
          <w:b/>
          <w:lang w:eastAsia="lt-LT"/>
        </w:rPr>
        <w:t xml:space="preserve">4.3 Siūloma (-os) kompensuoti terapinės indikacijos ir skyrimo sąlygos </w:t>
      </w:r>
    </w:p>
    <w:p w14:paraId="179FBABC" w14:textId="77777777" w:rsidR="00B811A4" w:rsidRPr="003F4025" w:rsidRDefault="00B811A4" w:rsidP="003F4025">
      <w:pPr>
        <w:tabs>
          <w:tab w:val="left" w:pos="426"/>
        </w:tabs>
        <w:spacing w:line="276" w:lineRule="auto"/>
        <w:jc w:val="both"/>
        <w:rPr>
          <w:b/>
          <w:lang w:eastAsia="lt-LT"/>
        </w:rPr>
      </w:pPr>
    </w:p>
    <w:p w14:paraId="01B7E726" w14:textId="77777777" w:rsidR="00860EB0" w:rsidRPr="003F4025" w:rsidRDefault="00860EB0" w:rsidP="003F4025">
      <w:pPr>
        <w:pStyle w:val="NoSpacing"/>
        <w:spacing w:line="276" w:lineRule="auto"/>
        <w:rPr>
          <w:rFonts w:ascii="Times New Roman" w:hAnsi="Times New Roman"/>
          <w:b/>
          <w:sz w:val="24"/>
          <w:szCs w:val="24"/>
          <w:lang w:eastAsia="lt-LT"/>
        </w:rPr>
      </w:pPr>
      <w:r w:rsidRPr="003F4025">
        <w:rPr>
          <w:rFonts w:ascii="Times New Roman" w:hAnsi="Times New Roman"/>
          <w:b/>
          <w:sz w:val="24"/>
          <w:szCs w:val="24"/>
          <w:lang w:eastAsia="lt-LT"/>
        </w:rPr>
        <w:t>Terapinės indikacijos</w:t>
      </w:r>
    </w:p>
    <w:p w14:paraId="072B5993" w14:textId="77777777" w:rsidR="00860EB0" w:rsidRPr="003F4025" w:rsidRDefault="00000000" w:rsidP="003F4025">
      <w:pPr>
        <w:pStyle w:val="NoSpacing"/>
        <w:spacing w:line="276" w:lineRule="auto"/>
        <w:rPr>
          <w:rFonts w:ascii="Times New Roman" w:hAnsi="Times New Roman"/>
          <w:sz w:val="24"/>
          <w:szCs w:val="24"/>
        </w:rPr>
      </w:pPr>
      <w:sdt>
        <w:sdtPr>
          <w:rPr>
            <w:rStyle w:val="Style2"/>
            <w:rFonts w:ascii="Times New Roman" w:hAnsi="Times New Roman"/>
            <w:sz w:val="24"/>
            <w:szCs w:val="24"/>
          </w:rPr>
          <w:id w:val="1799496492"/>
          <w15:color w:val="FFCC00"/>
          <w14:checkbox>
            <w14:checked w14:val="1"/>
            <w14:checkedState w14:val="2612" w14:font="MS Gothic"/>
            <w14:uncheckedState w14:val="2610" w14:font="MS Gothic"/>
          </w14:checkbox>
        </w:sdtPr>
        <w:sdtContent>
          <w:r w:rsidR="00860EB0" w:rsidRPr="003F4025">
            <w:rPr>
              <w:rStyle w:val="Style2"/>
              <w:rFonts w:ascii="MS Gothic" w:eastAsia="MS Gothic" w:hAnsi="MS Gothic"/>
              <w:sz w:val="24"/>
              <w:szCs w:val="24"/>
            </w:rPr>
            <w:t>☒</w:t>
          </w:r>
        </w:sdtContent>
      </w:sdt>
      <w:r w:rsidR="00860EB0" w:rsidRPr="003F4025">
        <w:rPr>
          <w:rFonts w:ascii="Times New Roman" w:hAnsi="Times New Roman"/>
          <w:sz w:val="24"/>
          <w:szCs w:val="24"/>
        </w:rPr>
        <w:t xml:space="preserve"> Siūloma kompensuoti Pareiškėjo teikiamą indikaciją be pakeitimų.</w:t>
      </w:r>
    </w:p>
    <w:p w14:paraId="337B2758" w14:textId="77777777" w:rsidR="00C71E79" w:rsidRPr="003F4025" w:rsidRDefault="00C71E79" w:rsidP="003F4025">
      <w:pPr>
        <w:pStyle w:val="Tekstas"/>
        <w:spacing w:line="276" w:lineRule="auto"/>
        <w:rPr>
          <w:lang w:val="lt-LT"/>
        </w:rPr>
      </w:pPr>
      <w:bookmarkStart w:id="3" w:name="_Hlk217068762"/>
      <w:r w:rsidRPr="003F4025">
        <w:rPr>
          <w:lang w:val="lt-LT"/>
        </w:rPr>
        <w:t>IMFINZI kartu su karboplatina ir paklitakseliu skirtas suaugusioms pacientėms, kurioms yra diagnozuotas pirminis pažengęs ar atsinaujinęs endometriumo vėžys ir numatytas sisteminis gydymas, o po to – palaikomasis gydymas:</w:t>
      </w:r>
    </w:p>
    <w:p w14:paraId="16A1333D" w14:textId="77777777" w:rsidR="00C71E79" w:rsidRPr="003F4025" w:rsidRDefault="00C71E79" w:rsidP="003F4025">
      <w:pPr>
        <w:pStyle w:val="Tekstas"/>
        <w:numPr>
          <w:ilvl w:val="0"/>
          <w:numId w:val="15"/>
        </w:numPr>
        <w:spacing w:line="276" w:lineRule="auto"/>
        <w:rPr>
          <w:lang w:val="lt-LT"/>
        </w:rPr>
      </w:pPr>
      <w:r w:rsidRPr="003F4025">
        <w:rPr>
          <w:lang w:val="lt-LT"/>
        </w:rPr>
        <w:t xml:space="preserve">IMFINZI monoterapija skirta gydyti endometriumo vėžį, kai yra </w:t>
      </w:r>
      <w:bookmarkStart w:id="4" w:name="_Hlk217068735"/>
      <w:r w:rsidRPr="003F4025">
        <w:rPr>
          <w:lang w:val="lt-LT"/>
        </w:rPr>
        <w:t xml:space="preserve">neatitikimų taisymo trūkumas (angl. </w:t>
      </w:r>
      <w:r w:rsidRPr="003F4025">
        <w:rPr>
          <w:i/>
          <w:iCs/>
          <w:lang w:val="lt-LT"/>
        </w:rPr>
        <w:t>mismatch repair deficient</w:t>
      </w:r>
      <w:r w:rsidRPr="003F4025">
        <w:rPr>
          <w:lang w:val="lt-LT"/>
        </w:rPr>
        <w:t>, dMMR);</w:t>
      </w:r>
    </w:p>
    <w:bookmarkEnd w:id="4"/>
    <w:p w14:paraId="41375D96" w14:textId="77777777" w:rsidR="00C71E79" w:rsidRPr="003F4025" w:rsidRDefault="00C71E79" w:rsidP="003F4025">
      <w:pPr>
        <w:pStyle w:val="Tekstas"/>
        <w:numPr>
          <w:ilvl w:val="0"/>
          <w:numId w:val="15"/>
        </w:numPr>
        <w:spacing w:line="276" w:lineRule="auto"/>
        <w:rPr>
          <w:lang w:val="lt-LT"/>
        </w:rPr>
      </w:pPr>
      <w:r w:rsidRPr="003F4025">
        <w:rPr>
          <w:lang w:val="lt-LT"/>
        </w:rPr>
        <w:t xml:space="preserve">IMFINZI derinys su olaparibu skirtas gydyti endometriumo vėžį, kai neatitikimų taisymas yra nepažeistas (angl. </w:t>
      </w:r>
      <w:r w:rsidRPr="003F4025">
        <w:rPr>
          <w:i/>
          <w:iCs/>
          <w:lang w:val="lt-LT"/>
        </w:rPr>
        <w:t>mismatch repair proficient</w:t>
      </w:r>
      <w:r w:rsidRPr="003F4025">
        <w:rPr>
          <w:lang w:val="lt-LT"/>
        </w:rPr>
        <w:t>, pMMR).</w:t>
      </w:r>
    </w:p>
    <w:p w14:paraId="28EF1ED8" w14:textId="55F8B8DE" w:rsidR="00860EB0" w:rsidRPr="003F4025" w:rsidRDefault="001D7601" w:rsidP="003F4025">
      <w:pPr>
        <w:pStyle w:val="NoSpacing"/>
        <w:spacing w:line="276" w:lineRule="auto"/>
        <w:rPr>
          <w:rFonts w:ascii="Times New Roman" w:hAnsi="Times New Roman"/>
          <w:sz w:val="24"/>
          <w:szCs w:val="24"/>
        </w:rPr>
      </w:pPr>
      <w:bookmarkStart w:id="5" w:name="_Hlk217069030"/>
      <w:bookmarkEnd w:id="3"/>
      <w:r w:rsidRPr="003F4025">
        <w:rPr>
          <w:rFonts w:ascii="Times New Roman" w:hAnsi="Times New Roman"/>
          <w:b/>
          <w:bCs/>
          <w:lang w:eastAsia="lt-LT"/>
        </w:rPr>
        <w:t xml:space="preserve">TLK-10 AM: </w:t>
      </w:r>
      <w:r w:rsidRPr="003F4025">
        <w:rPr>
          <w:rFonts w:ascii="Times New Roman" w:hAnsi="Times New Roman"/>
          <w:lang w:eastAsia="lt-LT"/>
        </w:rPr>
        <w:t>C54.</w:t>
      </w:r>
    </w:p>
    <w:bookmarkEnd w:id="5"/>
    <w:p w14:paraId="1BDAE0F6" w14:textId="77777777" w:rsidR="00764DCB" w:rsidRDefault="00764DCB" w:rsidP="003F4025">
      <w:pPr>
        <w:pStyle w:val="NoSpacing"/>
        <w:spacing w:line="276" w:lineRule="auto"/>
        <w:rPr>
          <w:rFonts w:ascii="Times New Roman" w:hAnsi="Times New Roman"/>
          <w:b/>
          <w:sz w:val="24"/>
          <w:szCs w:val="24"/>
        </w:rPr>
      </w:pPr>
    </w:p>
    <w:p w14:paraId="787F0278" w14:textId="0BB0E200" w:rsidR="00860EB0" w:rsidRPr="003F4025" w:rsidRDefault="00860EB0" w:rsidP="003F4025">
      <w:pPr>
        <w:pStyle w:val="NoSpacing"/>
        <w:spacing w:line="276" w:lineRule="auto"/>
        <w:rPr>
          <w:rFonts w:ascii="Times New Roman" w:hAnsi="Times New Roman"/>
          <w:b/>
          <w:sz w:val="24"/>
          <w:szCs w:val="24"/>
        </w:rPr>
      </w:pPr>
      <w:r w:rsidRPr="003F4025">
        <w:rPr>
          <w:rFonts w:ascii="Times New Roman" w:hAnsi="Times New Roman"/>
          <w:b/>
          <w:sz w:val="24"/>
          <w:szCs w:val="24"/>
        </w:rPr>
        <w:t>Skyrimo sąlygos</w:t>
      </w:r>
    </w:p>
    <w:p w14:paraId="6BC601A1" w14:textId="77777777" w:rsidR="00860EB0" w:rsidRPr="003F4025" w:rsidRDefault="00000000" w:rsidP="003F4025">
      <w:pPr>
        <w:pStyle w:val="NoSpacing"/>
        <w:spacing w:line="276" w:lineRule="auto"/>
        <w:rPr>
          <w:rFonts w:ascii="Times New Roman" w:hAnsi="Times New Roman"/>
          <w:sz w:val="24"/>
          <w:szCs w:val="24"/>
        </w:rPr>
      </w:pPr>
      <w:sdt>
        <w:sdtPr>
          <w:rPr>
            <w:rStyle w:val="Style2"/>
            <w:rFonts w:ascii="Times New Roman" w:hAnsi="Times New Roman"/>
            <w:sz w:val="24"/>
            <w:szCs w:val="24"/>
          </w:rPr>
          <w:id w:val="932866808"/>
          <w15:color w:val="FFCC00"/>
          <w14:checkbox>
            <w14:checked w14:val="1"/>
            <w14:checkedState w14:val="2612" w14:font="MS Gothic"/>
            <w14:uncheckedState w14:val="2610" w14:font="MS Gothic"/>
          </w14:checkbox>
        </w:sdtPr>
        <w:sdtContent>
          <w:r w:rsidR="00860EB0" w:rsidRPr="003F4025">
            <w:rPr>
              <w:rStyle w:val="Style2"/>
              <w:rFonts w:ascii="MS Gothic" w:eastAsia="MS Gothic" w:hAnsi="MS Gothic"/>
              <w:sz w:val="24"/>
              <w:szCs w:val="24"/>
            </w:rPr>
            <w:t>☒</w:t>
          </w:r>
        </w:sdtContent>
      </w:sdt>
      <w:r w:rsidR="00860EB0" w:rsidRPr="003F4025">
        <w:rPr>
          <w:rFonts w:ascii="Times New Roman" w:hAnsi="Times New Roman"/>
          <w:sz w:val="24"/>
          <w:szCs w:val="24"/>
        </w:rPr>
        <w:t xml:space="preserve"> Pareiškėjo siūlomos skyrimo sąlygos nepriimtinos. </w:t>
      </w:r>
    </w:p>
    <w:p w14:paraId="05AEEB9A" w14:textId="77777777" w:rsidR="00860EB0" w:rsidRPr="003F4025" w:rsidRDefault="00860EB0" w:rsidP="003F4025">
      <w:pPr>
        <w:pStyle w:val="NoSpacing"/>
        <w:spacing w:line="276" w:lineRule="auto"/>
        <w:rPr>
          <w:rFonts w:ascii="Times New Roman" w:hAnsi="Times New Roman"/>
          <w:sz w:val="24"/>
          <w:szCs w:val="24"/>
        </w:rPr>
      </w:pPr>
      <w:r w:rsidRPr="003F4025">
        <w:rPr>
          <w:rFonts w:ascii="Times New Roman" w:hAnsi="Times New Roman"/>
          <w:sz w:val="24"/>
          <w:szCs w:val="24"/>
        </w:rPr>
        <w:t>Nustatytos skyrimo sąlygos:</w:t>
      </w:r>
    </w:p>
    <w:p w14:paraId="4A2A96C2" w14:textId="23E7F49E" w:rsidR="001D7601" w:rsidRDefault="00C71E79" w:rsidP="003F4025">
      <w:pPr>
        <w:pStyle w:val="Tekstas"/>
        <w:spacing w:line="276" w:lineRule="auto"/>
        <w:rPr>
          <w:lang w:val="lt-LT"/>
        </w:rPr>
      </w:pPr>
      <w:bookmarkStart w:id="6" w:name="_Hlk217068745"/>
      <w:r w:rsidRPr="003F4025">
        <w:rPr>
          <w:lang w:val="lt-LT"/>
        </w:rPr>
        <w:t>Skiriamas derinyje</w:t>
      </w:r>
      <w:r w:rsidR="00860EB0" w:rsidRPr="003F4025">
        <w:rPr>
          <w:lang w:val="lt-LT"/>
        </w:rPr>
        <w:t xml:space="preserve"> su karboplatina ir paklitakseliu suaugusioms pacientėms pirmini</w:t>
      </w:r>
      <w:r w:rsidR="001D7601" w:rsidRPr="003F4025">
        <w:rPr>
          <w:lang w:val="lt-LT"/>
        </w:rPr>
        <w:t>am</w:t>
      </w:r>
      <w:r w:rsidR="00860EB0" w:rsidRPr="003F4025">
        <w:rPr>
          <w:lang w:val="lt-LT"/>
        </w:rPr>
        <w:t xml:space="preserve"> paženg</w:t>
      </w:r>
      <w:r w:rsidRPr="003F4025">
        <w:rPr>
          <w:lang w:val="lt-LT"/>
        </w:rPr>
        <w:t>usi</w:t>
      </w:r>
      <w:r w:rsidR="001D7601" w:rsidRPr="003F4025">
        <w:rPr>
          <w:lang w:val="lt-LT"/>
        </w:rPr>
        <w:t>am</w:t>
      </w:r>
      <w:r w:rsidR="00860EB0" w:rsidRPr="003F4025">
        <w:rPr>
          <w:lang w:val="lt-LT"/>
        </w:rPr>
        <w:t xml:space="preserve"> ar atsinaujin</w:t>
      </w:r>
      <w:r w:rsidRPr="003F4025">
        <w:rPr>
          <w:lang w:val="lt-LT"/>
        </w:rPr>
        <w:t>usi</w:t>
      </w:r>
      <w:r w:rsidR="001D7601" w:rsidRPr="003F4025">
        <w:rPr>
          <w:lang w:val="lt-LT"/>
        </w:rPr>
        <w:t>am</w:t>
      </w:r>
      <w:r w:rsidR="00860EB0" w:rsidRPr="003F4025">
        <w:rPr>
          <w:lang w:val="lt-LT"/>
        </w:rPr>
        <w:t xml:space="preserve"> endometriumo vėž</w:t>
      </w:r>
      <w:r w:rsidRPr="003F4025">
        <w:rPr>
          <w:lang w:val="lt-LT"/>
        </w:rPr>
        <w:t>i</w:t>
      </w:r>
      <w:r w:rsidR="001D7601" w:rsidRPr="003F4025">
        <w:rPr>
          <w:lang w:val="lt-LT"/>
        </w:rPr>
        <w:t xml:space="preserve">u, su nustatytu neatitikimų taisymo trūkumu (angl. </w:t>
      </w:r>
      <w:r w:rsidR="001D7601" w:rsidRPr="003F4025">
        <w:rPr>
          <w:i/>
          <w:iCs/>
          <w:lang w:val="lt-LT"/>
        </w:rPr>
        <w:t>mismatch repair deficient</w:t>
      </w:r>
      <w:r w:rsidR="001D7601" w:rsidRPr="003F4025">
        <w:rPr>
          <w:lang w:val="lt-LT"/>
        </w:rPr>
        <w:t>, dMMR) gydyti, kai numatytas sisteminis gydymas, o po to – palaikomasis gydymas</w:t>
      </w:r>
      <w:r w:rsidR="00CB6DF4">
        <w:rPr>
          <w:lang w:val="lt-LT"/>
        </w:rPr>
        <w:t xml:space="preserve"> monoterapija</w:t>
      </w:r>
      <w:r w:rsidR="001D7601" w:rsidRPr="003F4025">
        <w:rPr>
          <w:lang w:val="lt-LT"/>
        </w:rPr>
        <w:t>.</w:t>
      </w:r>
      <w:r w:rsidR="00CB6DF4">
        <w:rPr>
          <w:lang w:val="lt-LT"/>
        </w:rPr>
        <w:t>*</w:t>
      </w:r>
    </w:p>
    <w:p w14:paraId="5BEA5FE5" w14:textId="77777777" w:rsidR="00CB6DF4" w:rsidRDefault="00CB6DF4" w:rsidP="003F4025">
      <w:pPr>
        <w:pStyle w:val="Tekstas"/>
        <w:spacing w:line="276" w:lineRule="auto"/>
        <w:rPr>
          <w:lang w:val="lt-LT"/>
        </w:rPr>
      </w:pPr>
    </w:p>
    <w:p w14:paraId="48B77507" w14:textId="52B5C1EA" w:rsidR="001D7601" w:rsidRPr="003F4025" w:rsidRDefault="00CB6DF4" w:rsidP="003D523E">
      <w:pPr>
        <w:pStyle w:val="Tekstas"/>
        <w:spacing w:line="276" w:lineRule="auto"/>
      </w:pPr>
      <w:r>
        <w:rPr>
          <w:lang w:val="lt-LT"/>
        </w:rPr>
        <w:t>*</w:t>
      </w:r>
      <w:r w:rsidR="00313159" w:rsidRPr="00313159">
        <w:rPr>
          <w:sz w:val="20"/>
          <w:szCs w:val="20"/>
        </w:rPr>
        <w:t xml:space="preserve"> </w:t>
      </w:r>
      <w:proofErr w:type="spellStart"/>
      <w:r w:rsidR="00313159">
        <w:rPr>
          <w:sz w:val="20"/>
          <w:szCs w:val="20"/>
        </w:rPr>
        <w:t>S</w:t>
      </w:r>
      <w:r w:rsidR="00313159" w:rsidRPr="00DB4828">
        <w:rPr>
          <w:sz w:val="20"/>
          <w:szCs w:val="20"/>
        </w:rPr>
        <w:t>kyrimo</w:t>
      </w:r>
      <w:proofErr w:type="spellEnd"/>
      <w:r w:rsidR="00313159" w:rsidRPr="00DB4828">
        <w:rPr>
          <w:sz w:val="20"/>
          <w:szCs w:val="20"/>
        </w:rPr>
        <w:t xml:space="preserve"> </w:t>
      </w:r>
      <w:proofErr w:type="spellStart"/>
      <w:r w:rsidR="00313159" w:rsidRPr="00DB4828">
        <w:rPr>
          <w:sz w:val="20"/>
          <w:szCs w:val="20"/>
        </w:rPr>
        <w:t>sąlygos</w:t>
      </w:r>
      <w:proofErr w:type="spellEnd"/>
      <w:r w:rsidR="00313159" w:rsidRPr="00DB4828">
        <w:rPr>
          <w:sz w:val="20"/>
          <w:szCs w:val="20"/>
        </w:rPr>
        <w:t xml:space="preserve"> </w:t>
      </w:r>
      <w:proofErr w:type="spellStart"/>
      <w:r w:rsidR="00313159" w:rsidRPr="00DB4828">
        <w:rPr>
          <w:sz w:val="20"/>
          <w:szCs w:val="20"/>
        </w:rPr>
        <w:t>pakoreguotos</w:t>
      </w:r>
      <w:proofErr w:type="spellEnd"/>
      <w:r w:rsidR="00313159" w:rsidRPr="00DB4828">
        <w:rPr>
          <w:sz w:val="20"/>
          <w:szCs w:val="20"/>
        </w:rPr>
        <w:t xml:space="preserve"> </w:t>
      </w:r>
      <w:proofErr w:type="spellStart"/>
      <w:r w:rsidR="00313159" w:rsidRPr="00DB4828">
        <w:rPr>
          <w:sz w:val="20"/>
          <w:szCs w:val="20"/>
        </w:rPr>
        <w:t>remiantis</w:t>
      </w:r>
      <w:proofErr w:type="spellEnd"/>
      <w:r w:rsidR="00313159" w:rsidRPr="00DB4828">
        <w:rPr>
          <w:sz w:val="20"/>
          <w:szCs w:val="20"/>
        </w:rPr>
        <w:t xml:space="preserve"> Vaistinių preparatų ir medicinos pagalbos priemonių kompensavimo </w:t>
      </w:r>
      <w:proofErr w:type="spellStart"/>
      <w:r w:rsidR="00313159" w:rsidRPr="00DB4828">
        <w:rPr>
          <w:sz w:val="20"/>
          <w:szCs w:val="20"/>
        </w:rPr>
        <w:t>komisijos</w:t>
      </w:r>
      <w:proofErr w:type="spellEnd"/>
      <w:r w:rsidR="00313159" w:rsidRPr="00DB4828">
        <w:rPr>
          <w:sz w:val="20"/>
          <w:szCs w:val="20"/>
        </w:rPr>
        <w:t xml:space="preserve"> 2026 m. </w:t>
      </w:r>
      <w:bookmarkEnd w:id="6"/>
      <w:proofErr w:type="spellStart"/>
      <w:r w:rsidR="003D523E" w:rsidRPr="003D523E">
        <w:rPr>
          <w:sz w:val="20"/>
          <w:szCs w:val="20"/>
        </w:rPr>
        <w:t>vasario</w:t>
      </w:r>
      <w:proofErr w:type="spellEnd"/>
      <w:r w:rsidR="003D523E" w:rsidRPr="003D523E">
        <w:rPr>
          <w:sz w:val="20"/>
          <w:szCs w:val="20"/>
        </w:rPr>
        <w:t xml:space="preserve"> 12 d. Nr. LKV-3/26</w:t>
      </w:r>
      <w:r w:rsidR="003D523E">
        <w:rPr>
          <w:sz w:val="20"/>
          <w:szCs w:val="20"/>
        </w:rPr>
        <w:t>.</w:t>
      </w:r>
    </w:p>
    <w:p w14:paraId="7D5C6700" w14:textId="77777777" w:rsidR="00D5470B" w:rsidRPr="003F4025" w:rsidRDefault="00D5470B" w:rsidP="003F4025">
      <w:pPr>
        <w:pStyle w:val="ListParagraph"/>
        <w:spacing w:line="276" w:lineRule="auto"/>
        <w:ind w:left="426"/>
      </w:pPr>
    </w:p>
    <w:p w14:paraId="33B8DE04" w14:textId="77777777" w:rsidR="00283E59" w:rsidRPr="003F4025" w:rsidRDefault="00283E59" w:rsidP="003F4025">
      <w:pPr>
        <w:widowControl w:val="0"/>
        <w:tabs>
          <w:tab w:val="left" w:pos="1418"/>
        </w:tabs>
        <w:suppressAutoHyphens/>
        <w:spacing w:line="276" w:lineRule="auto"/>
        <w:jc w:val="center"/>
        <w:textAlignment w:val="center"/>
      </w:pPr>
      <w:r w:rsidRPr="003F4025">
        <w:rPr>
          <w:lang w:eastAsia="lt-LT"/>
        </w:rPr>
        <w:t>____________________________</w:t>
      </w:r>
    </w:p>
    <w:p w14:paraId="562A1372" w14:textId="77777777" w:rsidR="00283E59" w:rsidRPr="003F4025" w:rsidRDefault="00283E59" w:rsidP="003F4025">
      <w:pPr>
        <w:spacing w:line="276" w:lineRule="auto"/>
        <w:jc w:val="both"/>
        <w:rPr>
          <w:b/>
          <w:sz w:val="20"/>
        </w:rPr>
      </w:pPr>
    </w:p>
    <w:p w14:paraId="7CDFF220" w14:textId="58191D98" w:rsidR="000723FF" w:rsidRPr="003F4025" w:rsidRDefault="000723FF" w:rsidP="003F4025">
      <w:pPr>
        <w:spacing w:line="276" w:lineRule="auto"/>
        <w:rPr>
          <w:b/>
        </w:rPr>
      </w:pPr>
    </w:p>
    <w:sectPr w:rsidR="000723FF" w:rsidRPr="003F4025" w:rsidSect="00063A50">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E8AF" w14:textId="77777777" w:rsidR="00A361D9" w:rsidRDefault="00A361D9">
      <w:r>
        <w:separator/>
      </w:r>
    </w:p>
  </w:endnote>
  <w:endnote w:type="continuationSeparator" w:id="0">
    <w:p w14:paraId="3753CD87" w14:textId="77777777" w:rsidR="00A361D9" w:rsidRDefault="00A3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6363" w14:textId="77777777" w:rsidR="00A361D9" w:rsidRDefault="00A361D9">
      <w:r>
        <w:separator/>
      </w:r>
    </w:p>
  </w:footnote>
  <w:footnote w:type="continuationSeparator" w:id="0">
    <w:p w14:paraId="43F5AA7B" w14:textId="77777777" w:rsidR="00A361D9" w:rsidRDefault="00A36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FF81BF7"/>
    <w:multiLevelType w:val="hybridMultilevel"/>
    <w:tmpl w:val="AD066E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9035017">
    <w:abstractNumId w:val="8"/>
  </w:num>
  <w:num w:numId="2" w16cid:durableId="985162166">
    <w:abstractNumId w:val="2"/>
  </w:num>
  <w:num w:numId="3" w16cid:durableId="480578891">
    <w:abstractNumId w:val="10"/>
  </w:num>
  <w:num w:numId="4" w16cid:durableId="442387534">
    <w:abstractNumId w:val="9"/>
  </w:num>
  <w:num w:numId="5" w16cid:durableId="823667834">
    <w:abstractNumId w:val="7"/>
  </w:num>
  <w:num w:numId="6" w16cid:durableId="417020125">
    <w:abstractNumId w:val="6"/>
  </w:num>
  <w:num w:numId="7" w16cid:durableId="1843550031">
    <w:abstractNumId w:val="4"/>
  </w:num>
  <w:num w:numId="8" w16cid:durableId="580068462">
    <w:abstractNumId w:val="13"/>
  </w:num>
  <w:num w:numId="9" w16cid:durableId="257183606">
    <w:abstractNumId w:val="0"/>
  </w:num>
  <w:num w:numId="10" w16cid:durableId="131410136">
    <w:abstractNumId w:val="11"/>
  </w:num>
  <w:num w:numId="11" w16cid:durableId="1133251921">
    <w:abstractNumId w:val="12"/>
  </w:num>
  <w:num w:numId="12" w16cid:durableId="700133012">
    <w:abstractNumId w:val="3"/>
  </w:num>
  <w:num w:numId="13" w16cid:durableId="373774129">
    <w:abstractNumId w:val="5"/>
  </w:num>
  <w:num w:numId="14" w16cid:durableId="1004668447">
    <w:abstractNumId w:val="1"/>
  </w:num>
  <w:num w:numId="15" w16cid:durableId="3701507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723FF"/>
    <w:rsid w:val="000736B8"/>
    <w:rsid w:val="0008190F"/>
    <w:rsid w:val="00081D9C"/>
    <w:rsid w:val="00082907"/>
    <w:rsid w:val="0008378D"/>
    <w:rsid w:val="000908A5"/>
    <w:rsid w:val="00092805"/>
    <w:rsid w:val="000A50C9"/>
    <w:rsid w:val="000B2B2C"/>
    <w:rsid w:val="000B76AD"/>
    <w:rsid w:val="000C454C"/>
    <w:rsid w:val="000D5038"/>
    <w:rsid w:val="000E29D4"/>
    <w:rsid w:val="000F3540"/>
    <w:rsid w:val="00100491"/>
    <w:rsid w:val="00104E2E"/>
    <w:rsid w:val="00107287"/>
    <w:rsid w:val="00117194"/>
    <w:rsid w:val="00117406"/>
    <w:rsid w:val="00121EF0"/>
    <w:rsid w:val="00124A9E"/>
    <w:rsid w:val="00130703"/>
    <w:rsid w:val="0013153F"/>
    <w:rsid w:val="001408B8"/>
    <w:rsid w:val="001466FE"/>
    <w:rsid w:val="001517E2"/>
    <w:rsid w:val="001521D9"/>
    <w:rsid w:val="001554E2"/>
    <w:rsid w:val="00164146"/>
    <w:rsid w:val="00164D64"/>
    <w:rsid w:val="0017369C"/>
    <w:rsid w:val="00175D57"/>
    <w:rsid w:val="00177397"/>
    <w:rsid w:val="00180C39"/>
    <w:rsid w:val="00180D96"/>
    <w:rsid w:val="00184BD3"/>
    <w:rsid w:val="001921F3"/>
    <w:rsid w:val="001A0CAA"/>
    <w:rsid w:val="001B01C6"/>
    <w:rsid w:val="001B3C5B"/>
    <w:rsid w:val="001C2FC8"/>
    <w:rsid w:val="001C6353"/>
    <w:rsid w:val="001D5B91"/>
    <w:rsid w:val="001D746F"/>
    <w:rsid w:val="001D7601"/>
    <w:rsid w:val="001E0B2D"/>
    <w:rsid w:val="001E176A"/>
    <w:rsid w:val="001E4BBB"/>
    <w:rsid w:val="001E6304"/>
    <w:rsid w:val="001F115E"/>
    <w:rsid w:val="0020381E"/>
    <w:rsid w:val="00213471"/>
    <w:rsid w:val="00215906"/>
    <w:rsid w:val="00237F25"/>
    <w:rsid w:val="00241CD8"/>
    <w:rsid w:val="00244B09"/>
    <w:rsid w:val="002519CB"/>
    <w:rsid w:val="0025697F"/>
    <w:rsid w:val="00260258"/>
    <w:rsid w:val="0026588E"/>
    <w:rsid w:val="00272428"/>
    <w:rsid w:val="00272948"/>
    <w:rsid w:val="00283E59"/>
    <w:rsid w:val="00292392"/>
    <w:rsid w:val="002946C7"/>
    <w:rsid w:val="002B3CC1"/>
    <w:rsid w:val="002C0686"/>
    <w:rsid w:val="002C09E0"/>
    <w:rsid w:val="002C100E"/>
    <w:rsid w:val="002C1BB1"/>
    <w:rsid w:val="002C2786"/>
    <w:rsid w:val="002C3A10"/>
    <w:rsid w:val="002C4A90"/>
    <w:rsid w:val="002C4ED5"/>
    <w:rsid w:val="002D02EF"/>
    <w:rsid w:val="002E0702"/>
    <w:rsid w:val="002E1A83"/>
    <w:rsid w:val="002E57AD"/>
    <w:rsid w:val="002E6F80"/>
    <w:rsid w:val="002E752C"/>
    <w:rsid w:val="002F0E4F"/>
    <w:rsid w:val="002F1053"/>
    <w:rsid w:val="00313159"/>
    <w:rsid w:val="00314816"/>
    <w:rsid w:val="00317B0E"/>
    <w:rsid w:val="00334F18"/>
    <w:rsid w:val="00336238"/>
    <w:rsid w:val="00347FAA"/>
    <w:rsid w:val="0035172D"/>
    <w:rsid w:val="0036187D"/>
    <w:rsid w:val="00367EDB"/>
    <w:rsid w:val="003705F0"/>
    <w:rsid w:val="00381024"/>
    <w:rsid w:val="00386307"/>
    <w:rsid w:val="003874DE"/>
    <w:rsid w:val="00393E9F"/>
    <w:rsid w:val="0039696E"/>
    <w:rsid w:val="003A2866"/>
    <w:rsid w:val="003B211A"/>
    <w:rsid w:val="003C141F"/>
    <w:rsid w:val="003C6B0E"/>
    <w:rsid w:val="003C7257"/>
    <w:rsid w:val="003C7E35"/>
    <w:rsid w:val="003D1E99"/>
    <w:rsid w:val="003D523E"/>
    <w:rsid w:val="003D6208"/>
    <w:rsid w:val="003F4025"/>
    <w:rsid w:val="00404E8A"/>
    <w:rsid w:val="0040622F"/>
    <w:rsid w:val="00413F24"/>
    <w:rsid w:val="00422853"/>
    <w:rsid w:val="00423160"/>
    <w:rsid w:val="00427446"/>
    <w:rsid w:val="00437623"/>
    <w:rsid w:val="00444A2B"/>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C6221"/>
    <w:rsid w:val="004D48A6"/>
    <w:rsid w:val="004D70B6"/>
    <w:rsid w:val="004D7B8F"/>
    <w:rsid w:val="004D7F8E"/>
    <w:rsid w:val="004E241F"/>
    <w:rsid w:val="004E6458"/>
    <w:rsid w:val="004E6E7D"/>
    <w:rsid w:val="004F1AAC"/>
    <w:rsid w:val="004F1AE2"/>
    <w:rsid w:val="004F2D38"/>
    <w:rsid w:val="004F34F0"/>
    <w:rsid w:val="004F3B2B"/>
    <w:rsid w:val="004F6050"/>
    <w:rsid w:val="005005EF"/>
    <w:rsid w:val="005123C2"/>
    <w:rsid w:val="0052144B"/>
    <w:rsid w:val="00524066"/>
    <w:rsid w:val="00526A0F"/>
    <w:rsid w:val="00534E11"/>
    <w:rsid w:val="005378D8"/>
    <w:rsid w:val="005400D9"/>
    <w:rsid w:val="005476A4"/>
    <w:rsid w:val="0055019B"/>
    <w:rsid w:val="00550D16"/>
    <w:rsid w:val="00556E63"/>
    <w:rsid w:val="005601A4"/>
    <w:rsid w:val="00566DBB"/>
    <w:rsid w:val="00567B14"/>
    <w:rsid w:val="005767DB"/>
    <w:rsid w:val="005815E6"/>
    <w:rsid w:val="0058712F"/>
    <w:rsid w:val="00590D98"/>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4FEF"/>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111C4"/>
    <w:rsid w:val="007127F3"/>
    <w:rsid w:val="007301CF"/>
    <w:rsid w:val="007316FB"/>
    <w:rsid w:val="00737E2D"/>
    <w:rsid w:val="007424D5"/>
    <w:rsid w:val="00745C63"/>
    <w:rsid w:val="00750A88"/>
    <w:rsid w:val="007523DD"/>
    <w:rsid w:val="00757B7E"/>
    <w:rsid w:val="00764DCB"/>
    <w:rsid w:val="007656B2"/>
    <w:rsid w:val="0077016F"/>
    <w:rsid w:val="007713AD"/>
    <w:rsid w:val="00795DC5"/>
    <w:rsid w:val="00797153"/>
    <w:rsid w:val="007A21F7"/>
    <w:rsid w:val="007A2B68"/>
    <w:rsid w:val="007A6C46"/>
    <w:rsid w:val="007B0DDA"/>
    <w:rsid w:val="007D3347"/>
    <w:rsid w:val="007D478B"/>
    <w:rsid w:val="007D654E"/>
    <w:rsid w:val="007E5466"/>
    <w:rsid w:val="007F1949"/>
    <w:rsid w:val="007F2592"/>
    <w:rsid w:val="00800A08"/>
    <w:rsid w:val="008077B1"/>
    <w:rsid w:val="00817A84"/>
    <w:rsid w:val="008225A4"/>
    <w:rsid w:val="00824B92"/>
    <w:rsid w:val="00826D5E"/>
    <w:rsid w:val="00832013"/>
    <w:rsid w:val="00832DB7"/>
    <w:rsid w:val="00834732"/>
    <w:rsid w:val="0085200C"/>
    <w:rsid w:val="00853487"/>
    <w:rsid w:val="00855DB0"/>
    <w:rsid w:val="00857C52"/>
    <w:rsid w:val="00860D5F"/>
    <w:rsid w:val="00860EB0"/>
    <w:rsid w:val="00880A44"/>
    <w:rsid w:val="0088345E"/>
    <w:rsid w:val="008854C9"/>
    <w:rsid w:val="0088656F"/>
    <w:rsid w:val="008875BC"/>
    <w:rsid w:val="00891EF6"/>
    <w:rsid w:val="00892FF4"/>
    <w:rsid w:val="0089345A"/>
    <w:rsid w:val="008A0303"/>
    <w:rsid w:val="008A5FDD"/>
    <w:rsid w:val="008C3947"/>
    <w:rsid w:val="008E473B"/>
    <w:rsid w:val="008E51A6"/>
    <w:rsid w:val="008E7329"/>
    <w:rsid w:val="008F2ED5"/>
    <w:rsid w:val="0092297E"/>
    <w:rsid w:val="00923292"/>
    <w:rsid w:val="00923651"/>
    <w:rsid w:val="00924DF7"/>
    <w:rsid w:val="00927B56"/>
    <w:rsid w:val="009316CA"/>
    <w:rsid w:val="009341BF"/>
    <w:rsid w:val="00937907"/>
    <w:rsid w:val="00941739"/>
    <w:rsid w:val="00951573"/>
    <w:rsid w:val="00963003"/>
    <w:rsid w:val="00965167"/>
    <w:rsid w:val="00965919"/>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078AD"/>
    <w:rsid w:val="00A22ADF"/>
    <w:rsid w:val="00A2310D"/>
    <w:rsid w:val="00A254A2"/>
    <w:rsid w:val="00A31E86"/>
    <w:rsid w:val="00A361D9"/>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B2D54"/>
    <w:rsid w:val="00AC26FC"/>
    <w:rsid w:val="00AC4A99"/>
    <w:rsid w:val="00AC5129"/>
    <w:rsid w:val="00AC64D2"/>
    <w:rsid w:val="00AD02E7"/>
    <w:rsid w:val="00AE0FE8"/>
    <w:rsid w:val="00AF60D5"/>
    <w:rsid w:val="00B00959"/>
    <w:rsid w:val="00B04415"/>
    <w:rsid w:val="00B06509"/>
    <w:rsid w:val="00B11AA4"/>
    <w:rsid w:val="00B11D60"/>
    <w:rsid w:val="00B13D65"/>
    <w:rsid w:val="00B21805"/>
    <w:rsid w:val="00B2313F"/>
    <w:rsid w:val="00B3072E"/>
    <w:rsid w:val="00B36E15"/>
    <w:rsid w:val="00B37245"/>
    <w:rsid w:val="00B4017A"/>
    <w:rsid w:val="00B4468D"/>
    <w:rsid w:val="00B71C72"/>
    <w:rsid w:val="00B71F04"/>
    <w:rsid w:val="00B74A62"/>
    <w:rsid w:val="00B80CFE"/>
    <w:rsid w:val="00B811A4"/>
    <w:rsid w:val="00B81E92"/>
    <w:rsid w:val="00B908D7"/>
    <w:rsid w:val="00B935E8"/>
    <w:rsid w:val="00B93B30"/>
    <w:rsid w:val="00B94CB5"/>
    <w:rsid w:val="00BA0DD9"/>
    <w:rsid w:val="00BA5DBC"/>
    <w:rsid w:val="00BA6584"/>
    <w:rsid w:val="00BB6312"/>
    <w:rsid w:val="00BC39C2"/>
    <w:rsid w:val="00BC4D06"/>
    <w:rsid w:val="00BD05E1"/>
    <w:rsid w:val="00BD585E"/>
    <w:rsid w:val="00BD6919"/>
    <w:rsid w:val="00BE1EA7"/>
    <w:rsid w:val="00BE7489"/>
    <w:rsid w:val="00BF2E0D"/>
    <w:rsid w:val="00BF3927"/>
    <w:rsid w:val="00BF3F8B"/>
    <w:rsid w:val="00BF76DA"/>
    <w:rsid w:val="00C00CDB"/>
    <w:rsid w:val="00C07C7B"/>
    <w:rsid w:val="00C16245"/>
    <w:rsid w:val="00C22DC5"/>
    <w:rsid w:val="00C24479"/>
    <w:rsid w:val="00C273F2"/>
    <w:rsid w:val="00C37B53"/>
    <w:rsid w:val="00C434EB"/>
    <w:rsid w:val="00C517D2"/>
    <w:rsid w:val="00C5772E"/>
    <w:rsid w:val="00C62B36"/>
    <w:rsid w:val="00C7012C"/>
    <w:rsid w:val="00C712EA"/>
    <w:rsid w:val="00C71E79"/>
    <w:rsid w:val="00C9728E"/>
    <w:rsid w:val="00CA217D"/>
    <w:rsid w:val="00CA3131"/>
    <w:rsid w:val="00CB6DF4"/>
    <w:rsid w:val="00CC09D4"/>
    <w:rsid w:val="00CC4F5F"/>
    <w:rsid w:val="00CC668D"/>
    <w:rsid w:val="00CC7832"/>
    <w:rsid w:val="00CD488E"/>
    <w:rsid w:val="00CE4B0B"/>
    <w:rsid w:val="00CF0C1C"/>
    <w:rsid w:val="00CF27FD"/>
    <w:rsid w:val="00CF5F12"/>
    <w:rsid w:val="00D00D8F"/>
    <w:rsid w:val="00D12869"/>
    <w:rsid w:val="00D14512"/>
    <w:rsid w:val="00D15ED6"/>
    <w:rsid w:val="00D21F3A"/>
    <w:rsid w:val="00D23808"/>
    <w:rsid w:val="00D3016A"/>
    <w:rsid w:val="00D417D2"/>
    <w:rsid w:val="00D42960"/>
    <w:rsid w:val="00D43BD7"/>
    <w:rsid w:val="00D4485B"/>
    <w:rsid w:val="00D46CCD"/>
    <w:rsid w:val="00D4708D"/>
    <w:rsid w:val="00D4744C"/>
    <w:rsid w:val="00D51046"/>
    <w:rsid w:val="00D521DE"/>
    <w:rsid w:val="00D5470B"/>
    <w:rsid w:val="00D63068"/>
    <w:rsid w:val="00D6498C"/>
    <w:rsid w:val="00D67BAF"/>
    <w:rsid w:val="00D7696E"/>
    <w:rsid w:val="00D76A70"/>
    <w:rsid w:val="00D83182"/>
    <w:rsid w:val="00D8521E"/>
    <w:rsid w:val="00D9291C"/>
    <w:rsid w:val="00D93A97"/>
    <w:rsid w:val="00DA5602"/>
    <w:rsid w:val="00DB1F64"/>
    <w:rsid w:val="00DC261A"/>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27E5"/>
    <w:rsid w:val="00E5721C"/>
    <w:rsid w:val="00E619C6"/>
    <w:rsid w:val="00E70CED"/>
    <w:rsid w:val="00E745A1"/>
    <w:rsid w:val="00E81529"/>
    <w:rsid w:val="00E83A13"/>
    <w:rsid w:val="00EA2C3F"/>
    <w:rsid w:val="00EB1151"/>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477"/>
    <w:rsid w:val="00F14B5D"/>
    <w:rsid w:val="00F259FC"/>
    <w:rsid w:val="00F313F4"/>
    <w:rsid w:val="00F36972"/>
    <w:rsid w:val="00F42426"/>
    <w:rsid w:val="00F44F01"/>
    <w:rsid w:val="00F456BC"/>
    <w:rsid w:val="00F50666"/>
    <w:rsid w:val="00F70731"/>
    <w:rsid w:val="00F70C9E"/>
    <w:rsid w:val="00F74A74"/>
    <w:rsid w:val="00F7572C"/>
    <w:rsid w:val="00F8382C"/>
    <w:rsid w:val="00F855D7"/>
    <w:rsid w:val="00F92035"/>
    <w:rsid w:val="00F92748"/>
    <w:rsid w:val="00FA4169"/>
    <w:rsid w:val="00FB0D41"/>
    <w:rsid w:val="00FB2030"/>
    <w:rsid w:val="00FD0E46"/>
    <w:rsid w:val="00FD1060"/>
    <w:rsid w:val="00FD1CF2"/>
    <w:rsid w:val="00FD3EDF"/>
    <w:rsid w:val="00FD6A3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basedOn w:val="Normal"/>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paragraph" w:customStyle="1" w:styleId="Tekstas">
    <w:name w:val="Tekstas"/>
    <w:basedOn w:val="Normal"/>
    <w:link w:val="TekstasChar"/>
    <w:qFormat/>
    <w:rsid w:val="001B01C6"/>
    <w:pPr>
      <w:spacing w:after="120"/>
      <w:jc w:val="both"/>
    </w:pPr>
    <w:rPr>
      <w:color w:val="000000" w:themeColor="text1"/>
      <w:lang w:val="en-US"/>
    </w:rPr>
  </w:style>
  <w:style w:type="character" w:customStyle="1" w:styleId="TekstasChar">
    <w:name w:val="Tekstas Char"/>
    <w:link w:val="Tekstas"/>
    <w:rsid w:val="001B01C6"/>
    <w:rPr>
      <w:color w:val="000000" w:themeColor="tex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93916C59194D17AF59C1A4A1404532"/>
        <w:category>
          <w:name w:val="General"/>
          <w:gallery w:val="placeholder"/>
        </w:category>
        <w:types>
          <w:type w:val="bbPlcHdr"/>
        </w:types>
        <w:behaviors>
          <w:behavior w:val="content"/>
        </w:behaviors>
        <w:guid w:val="{6F7768D3-ABDC-4BA7-B4C5-4C01919EE4EF}"/>
      </w:docPartPr>
      <w:docPartBody>
        <w:p w:rsidR="00AD2472" w:rsidRDefault="00AD2472" w:rsidP="00AD2472">
          <w:pPr>
            <w:pStyle w:val="4F93916C59194D17AF59C1A4A1404532"/>
          </w:pPr>
          <w:r>
            <w:rPr>
              <w:rStyle w:val="PlaceholderText"/>
            </w:rPr>
            <w:t>Click here to enter a date.</w:t>
          </w:r>
        </w:p>
      </w:docPartBody>
    </w:docPart>
    <w:docPart>
      <w:docPartPr>
        <w:name w:val="B08ADF56EDD64721B0CD05CEE2F955C8"/>
        <w:category>
          <w:name w:val="General"/>
          <w:gallery w:val="placeholder"/>
        </w:category>
        <w:types>
          <w:type w:val="bbPlcHdr"/>
        </w:types>
        <w:behaviors>
          <w:behavior w:val="content"/>
        </w:behaviors>
        <w:guid w:val="{8A1C5EC5-934F-48CF-90ED-2C22394CF175}"/>
      </w:docPartPr>
      <w:docPartBody>
        <w:p w:rsidR="00AD2472" w:rsidRDefault="00AD2472" w:rsidP="00AD2472">
          <w:pPr>
            <w:pStyle w:val="B08ADF56EDD64721B0CD05CEE2F955C8"/>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A50C9"/>
    <w:rsid w:val="000A559A"/>
    <w:rsid w:val="000D24D4"/>
    <w:rsid w:val="000D6217"/>
    <w:rsid w:val="0014006D"/>
    <w:rsid w:val="00177397"/>
    <w:rsid w:val="001C35A9"/>
    <w:rsid w:val="002058D5"/>
    <w:rsid w:val="00237556"/>
    <w:rsid w:val="002C0686"/>
    <w:rsid w:val="0039303B"/>
    <w:rsid w:val="003A2866"/>
    <w:rsid w:val="004144A3"/>
    <w:rsid w:val="004160E7"/>
    <w:rsid w:val="004416C6"/>
    <w:rsid w:val="00456E96"/>
    <w:rsid w:val="004C6221"/>
    <w:rsid w:val="004D038D"/>
    <w:rsid w:val="004F4E20"/>
    <w:rsid w:val="004F5AB2"/>
    <w:rsid w:val="005074B9"/>
    <w:rsid w:val="00550D16"/>
    <w:rsid w:val="00563A5F"/>
    <w:rsid w:val="005C62E5"/>
    <w:rsid w:val="005E40DD"/>
    <w:rsid w:val="00601F4E"/>
    <w:rsid w:val="006E6A2C"/>
    <w:rsid w:val="007219C1"/>
    <w:rsid w:val="00745C63"/>
    <w:rsid w:val="00753462"/>
    <w:rsid w:val="00772325"/>
    <w:rsid w:val="00790CB5"/>
    <w:rsid w:val="007A2FE0"/>
    <w:rsid w:val="007A6C46"/>
    <w:rsid w:val="007C6D1D"/>
    <w:rsid w:val="007D478B"/>
    <w:rsid w:val="007D654E"/>
    <w:rsid w:val="008261A9"/>
    <w:rsid w:val="00853487"/>
    <w:rsid w:val="00892FF4"/>
    <w:rsid w:val="008C0DC0"/>
    <w:rsid w:val="0090074D"/>
    <w:rsid w:val="009019EA"/>
    <w:rsid w:val="00901A35"/>
    <w:rsid w:val="009B3BF0"/>
    <w:rsid w:val="009D5E5E"/>
    <w:rsid w:val="009F1BB4"/>
    <w:rsid w:val="00A20D39"/>
    <w:rsid w:val="00A254A2"/>
    <w:rsid w:val="00A83E69"/>
    <w:rsid w:val="00AB2D54"/>
    <w:rsid w:val="00AB6ED4"/>
    <w:rsid w:val="00AD2472"/>
    <w:rsid w:val="00B11AA4"/>
    <w:rsid w:val="00B14210"/>
    <w:rsid w:val="00B22ED6"/>
    <w:rsid w:val="00B2313F"/>
    <w:rsid w:val="00B23DC0"/>
    <w:rsid w:val="00B71F04"/>
    <w:rsid w:val="00B80CFE"/>
    <w:rsid w:val="00B96656"/>
    <w:rsid w:val="00BA0A8E"/>
    <w:rsid w:val="00BE3364"/>
    <w:rsid w:val="00C2401D"/>
    <w:rsid w:val="00C250D7"/>
    <w:rsid w:val="00C53A68"/>
    <w:rsid w:val="00C66578"/>
    <w:rsid w:val="00C84ECF"/>
    <w:rsid w:val="00CA5BB4"/>
    <w:rsid w:val="00CB4BD1"/>
    <w:rsid w:val="00CD139C"/>
    <w:rsid w:val="00CD5FB7"/>
    <w:rsid w:val="00CE2DA9"/>
    <w:rsid w:val="00CE44BE"/>
    <w:rsid w:val="00D008F3"/>
    <w:rsid w:val="00D0142D"/>
    <w:rsid w:val="00D04DFF"/>
    <w:rsid w:val="00D15ED6"/>
    <w:rsid w:val="00D20347"/>
    <w:rsid w:val="00D4356B"/>
    <w:rsid w:val="00D7162F"/>
    <w:rsid w:val="00D7696E"/>
    <w:rsid w:val="00DA599C"/>
    <w:rsid w:val="00DB4DB5"/>
    <w:rsid w:val="00DE4D10"/>
    <w:rsid w:val="00E44A86"/>
    <w:rsid w:val="00E522EB"/>
    <w:rsid w:val="00E60827"/>
    <w:rsid w:val="00E71F8C"/>
    <w:rsid w:val="00EF6E0C"/>
    <w:rsid w:val="00F14477"/>
    <w:rsid w:val="00F370E5"/>
    <w:rsid w:val="00F55028"/>
    <w:rsid w:val="00F677F0"/>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2472"/>
    <w:rPr>
      <w:color w:val="808080"/>
    </w:rPr>
  </w:style>
  <w:style w:type="paragraph" w:customStyle="1" w:styleId="4F93916C59194D17AF59C1A4A1404532">
    <w:name w:val="4F93916C59194D17AF59C1A4A1404532"/>
    <w:rsid w:val="00AD2472"/>
    <w:pPr>
      <w:spacing w:line="278" w:lineRule="auto"/>
    </w:pPr>
    <w:rPr>
      <w:kern w:val="2"/>
      <w:sz w:val="24"/>
      <w:szCs w:val="24"/>
      <w14:ligatures w14:val="standardContextual"/>
    </w:rPr>
  </w:style>
  <w:style w:type="paragraph" w:customStyle="1" w:styleId="B08ADF56EDD64721B0CD05CEE2F955C8">
    <w:name w:val="B08ADF56EDD64721B0CD05CEE2F955C8"/>
    <w:rsid w:val="00AD247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F0943-FC13-4F31-B4C5-BE0D5B23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3858</Words>
  <Characters>21996</Characters>
  <Application>Microsoft Office Word</Application>
  <DocSecurity>0</DocSecurity>
  <Lines>183</Lines>
  <Paragraphs>51</Paragraphs>
  <ScaleCrop>false</ScaleCrop>
  <Company/>
  <LinksUpToDate>false</LinksUpToDate>
  <CharactersWithSpaces>25803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2025-12-22T08:00:00Z</dcterms:created>
  <dcterms:modified xsi:type="dcterms:W3CDTF">2026-02-23T13:56:00Z</dcterms:modified>
</cp:coreProperties>
</file>