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334F18" w:rsidRDefault="005F7602" w:rsidP="002946C7">
      <w:pPr>
        <w:ind w:left="5529"/>
      </w:pPr>
    </w:p>
    <w:p w14:paraId="12FA4B9E" w14:textId="39AA3336" w:rsidR="001B3C5B" w:rsidRPr="005364A7" w:rsidRDefault="00DC261A" w:rsidP="001B3C5B">
      <w:pPr>
        <w:ind w:left="6096"/>
      </w:pPr>
      <w:bookmarkStart w:id="0" w:name="_Hlk189565243"/>
      <w:r w:rsidRPr="005364A7">
        <w:t>PATVIRTINTA</w:t>
      </w:r>
    </w:p>
    <w:p w14:paraId="7206970B" w14:textId="70E9BD2E" w:rsidR="004C263A" w:rsidRPr="005364A7" w:rsidRDefault="001B3C5B" w:rsidP="001B3C5B">
      <w:pPr>
        <w:ind w:left="6096"/>
      </w:pPr>
      <w:r w:rsidRPr="005364A7">
        <w:t>Valstybinės vaistų kontrolės tarnybos prie Lietuvos Respublikos sveikatos apsaugos ministerijos viršininko 2021 m</w:t>
      </w:r>
      <w:r w:rsidR="004C263A" w:rsidRPr="005364A7">
        <w:t xml:space="preserve">. lapkričio 12 </w:t>
      </w:r>
      <w:r w:rsidRPr="005364A7">
        <w:t>d. įsakymu Nr.</w:t>
      </w:r>
      <w:r w:rsidR="004C263A" w:rsidRPr="005364A7">
        <w:t xml:space="preserve"> (1.72E)1A-1418</w:t>
      </w:r>
    </w:p>
    <w:p w14:paraId="5B219AA6" w14:textId="3A5D6CB4" w:rsidR="001B3C5B" w:rsidRPr="005364A7" w:rsidRDefault="004C263A" w:rsidP="001B3C5B">
      <w:pPr>
        <w:ind w:left="6096"/>
      </w:pPr>
      <w:r w:rsidRPr="005364A7">
        <w:t>(Valstybinės vaistų kontrolės tarnybos prie Lietuvos Respublikos sveikatos apsaugos ministerijos viršininko 202</w:t>
      </w:r>
      <w:r w:rsidR="00A2310D" w:rsidRPr="005364A7">
        <w:t>5</w:t>
      </w:r>
      <w:r w:rsidRPr="005364A7">
        <w:t xml:space="preserve"> m.                         d. įsakymo Nr.                    redakcija)</w:t>
      </w:r>
    </w:p>
    <w:p w14:paraId="3336BD74" w14:textId="77777777" w:rsidR="001B3C5B" w:rsidRPr="005364A7" w:rsidRDefault="001B3C5B" w:rsidP="00FA4169"/>
    <w:bookmarkEnd w:id="0"/>
    <w:p w14:paraId="56604434" w14:textId="77777777" w:rsidR="00DC261A" w:rsidRPr="005364A7" w:rsidRDefault="00DC261A" w:rsidP="003B211A">
      <w:pPr>
        <w:jc w:val="center"/>
        <w:rPr>
          <w:b/>
        </w:rPr>
      </w:pPr>
    </w:p>
    <w:p w14:paraId="77AFB67E" w14:textId="0FB133A2" w:rsidR="00613501" w:rsidRPr="005364A7" w:rsidRDefault="002F0E4F" w:rsidP="003B211A">
      <w:pPr>
        <w:jc w:val="center"/>
        <w:rPr>
          <w:b/>
          <w:bCs/>
          <w:caps/>
        </w:rPr>
      </w:pPr>
      <w:r w:rsidRPr="005364A7">
        <w:rPr>
          <w:b/>
        </w:rPr>
        <w:t xml:space="preserve">REKOMENDACIJA DĖL VAISTINIO PREPARATO </w:t>
      </w:r>
      <w:r w:rsidRPr="005364A7">
        <w:rPr>
          <w:b/>
          <w:bCs/>
          <w:caps/>
        </w:rPr>
        <w:t>Lietuvos Respublikos Sveikatos apsaugos ministerijos vaistinių preparatų ir medicinos pagalbos priemonių kompensavimo komisijai</w:t>
      </w:r>
    </w:p>
    <w:p w14:paraId="34E4395D" w14:textId="15FB10DF" w:rsidR="00B13D65" w:rsidRPr="005364A7" w:rsidRDefault="00B13D65" w:rsidP="003B211A">
      <w:pPr>
        <w:jc w:val="center"/>
        <w:rPr>
          <w:b/>
        </w:rPr>
      </w:pPr>
    </w:p>
    <w:p w14:paraId="2B3DF908" w14:textId="77777777" w:rsidR="00E605A2" w:rsidRPr="005364A7" w:rsidRDefault="00E605A2" w:rsidP="00E605A2">
      <w:pPr>
        <w:jc w:val="center"/>
        <w:rPr>
          <w:b/>
        </w:rPr>
      </w:pPr>
      <w:bookmarkStart w:id="1" w:name="_Hlk175083986"/>
      <w:r w:rsidRPr="005364A7">
        <w:rPr>
          <w:b/>
        </w:rPr>
        <w:t>ELREXFIO 40 mg/ml injekcinis tirpalas</w:t>
      </w:r>
    </w:p>
    <w:p w14:paraId="03875FE2" w14:textId="77777777" w:rsidR="00E605A2" w:rsidRPr="005364A7" w:rsidRDefault="00E605A2" w:rsidP="00E605A2">
      <w:pPr>
        <w:jc w:val="center"/>
      </w:pPr>
    </w:p>
    <w:p w14:paraId="7B760883" w14:textId="77777777" w:rsidR="00E605A2" w:rsidRPr="005364A7" w:rsidRDefault="00E605A2" w:rsidP="00E605A2">
      <w:pPr>
        <w:jc w:val="center"/>
        <w:rPr>
          <w:b/>
        </w:rPr>
      </w:pPr>
      <w:bookmarkStart w:id="2" w:name="_Hlk197527498"/>
      <w:r w:rsidRPr="005364A7">
        <w:rPr>
          <w:b/>
        </w:rPr>
        <w:t>Elranatamabas</w:t>
      </w:r>
    </w:p>
    <w:bookmarkEnd w:id="2"/>
    <w:p w14:paraId="7A317841" w14:textId="77777777" w:rsidR="00E605A2" w:rsidRPr="005364A7" w:rsidRDefault="00E605A2" w:rsidP="00E605A2">
      <w:pPr>
        <w:jc w:val="center"/>
      </w:pPr>
    </w:p>
    <w:p w14:paraId="56DF60C1" w14:textId="77777777" w:rsidR="00E605A2" w:rsidRPr="005364A7" w:rsidRDefault="00E605A2" w:rsidP="00E605A2">
      <w:pPr>
        <w:jc w:val="center"/>
        <w:rPr>
          <w:b/>
        </w:rPr>
      </w:pPr>
      <w:r w:rsidRPr="005364A7">
        <w:rPr>
          <w:b/>
        </w:rPr>
        <w:t>STV-204A</w:t>
      </w:r>
    </w:p>
    <w:bookmarkEnd w:id="1"/>
    <w:p w14:paraId="528FB1CA" w14:textId="77777777" w:rsidR="00E605A2" w:rsidRPr="005364A7" w:rsidRDefault="00E605A2" w:rsidP="00E605A2">
      <w:pPr>
        <w:spacing w:line="280" w:lineRule="atLeast"/>
        <w:jc w:val="center"/>
        <w:rPr>
          <w:rFonts w:eastAsia="Arial"/>
        </w:rPr>
      </w:pPr>
    </w:p>
    <w:p w14:paraId="6DA47EE0" w14:textId="77777777" w:rsidR="00E605A2" w:rsidRPr="005364A7" w:rsidRDefault="00E605A2" w:rsidP="00E605A2">
      <w:pPr>
        <w:pStyle w:val="Sraopastraipa"/>
        <w:numPr>
          <w:ilvl w:val="0"/>
          <w:numId w:val="15"/>
        </w:numPr>
        <w:tabs>
          <w:tab w:val="left" w:pos="284"/>
        </w:tabs>
        <w:spacing w:line="280" w:lineRule="atLeast"/>
        <w:jc w:val="center"/>
        <w:rPr>
          <w:rFonts w:eastAsia="Arial"/>
          <w:b/>
        </w:rPr>
      </w:pPr>
      <w:r w:rsidRPr="005364A7">
        <w:rPr>
          <w:rFonts w:eastAsia="Arial"/>
          <w:b/>
        </w:rPr>
        <w:t>BENDROJI DALIS</w:t>
      </w:r>
    </w:p>
    <w:p w14:paraId="5AA4582D" w14:textId="77777777" w:rsidR="00E605A2" w:rsidRPr="005364A7" w:rsidRDefault="00E605A2" w:rsidP="00E605A2">
      <w:pPr>
        <w:pStyle w:val="Sraopastraipa"/>
        <w:tabs>
          <w:tab w:val="left" w:pos="284"/>
        </w:tabs>
        <w:spacing w:line="280" w:lineRule="atLeast"/>
        <w:ind w:left="1080"/>
        <w:jc w:val="both"/>
        <w:rPr>
          <w:rFonts w:eastAsia="Arial"/>
          <w:b/>
        </w:rPr>
      </w:pPr>
    </w:p>
    <w:tbl>
      <w:tblPr>
        <w:tblStyle w:val="Lentelstinklelis"/>
        <w:tblW w:w="9493" w:type="dxa"/>
        <w:tblLook w:val="04A0" w:firstRow="1" w:lastRow="0" w:firstColumn="1" w:lastColumn="0" w:noHBand="0" w:noVBand="1"/>
      </w:tblPr>
      <w:tblGrid>
        <w:gridCol w:w="632"/>
        <w:gridCol w:w="3899"/>
        <w:gridCol w:w="4962"/>
      </w:tblGrid>
      <w:tr w:rsidR="00E605A2" w:rsidRPr="005364A7" w14:paraId="1495256D" w14:textId="77777777" w:rsidTr="00A5391E">
        <w:trPr>
          <w:trHeight w:val="538"/>
        </w:trPr>
        <w:tc>
          <w:tcPr>
            <w:tcW w:w="632" w:type="dxa"/>
          </w:tcPr>
          <w:p w14:paraId="6DD7997A" w14:textId="77777777" w:rsidR="00E605A2" w:rsidRPr="005364A7" w:rsidRDefault="00E605A2" w:rsidP="00A5391E">
            <w:pPr>
              <w:jc w:val="both"/>
              <w:rPr>
                <w:rFonts w:eastAsia="Arial"/>
                <w:b/>
                <w:bCs/>
              </w:rPr>
            </w:pPr>
            <w:bookmarkStart w:id="3" w:name="_Hlk187088187"/>
            <w:r w:rsidRPr="005364A7">
              <w:rPr>
                <w:rFonts w:eastAsia="Arial"/>
                <w:b/>
                <w:bCs/>
              </w:rPr>
              <w:t>1.1</w:t>
            </w:r>
          </w:p>
        </w:tc>
        <w:tc>
          <w:tcPr>
            <w:tcW w:w="3899" w:type="dxa"/>
          </w:tcPr>
          <w:p w14:paraId="0327C314" w14:textId="77777777" w:rsidR="00E605A2" w:rsidRPr="005364A7" w:rsidRDefault="00E605A2" w:rsidP="00A5391E">
            <w:pPr>
              <w:jc w:val="both"/>
              <w:rPr>
                <w:rFonts w:eastAsia="Arial"/>
                <w:b/>
                <w:bCs/>
              </w:rPr>
            </w:pPr>
            <w:r w:rsidRPr="005364A7">
              <w:rPr>
                <w:rFonts w:eastAsia="Arial"/>
                <w:b/>
                <w:bCs/>
              </w:rPr>
              <w:t>Pareiškėjas/ pareiškėjo atstovas</w:t>
            </w:r>
          </w:p>
        </w:tc>
        <w:tc>
          <w:tcPr>
            <w:tcW w:w="4962" w:type="dxa"/>
          </w:tcPr>
          <w:p w14:paraId="27737D28" w14:textId="77777777" w:rsidR="00E605A2" w:rsidRPr="005364A7" w:rsidRDefault="00E605A2" w:rsidP="00A5391E">
            <w:pPr>
              <w:jc w:val="both"/>
              <w:rPr>
                <w:rFonts w:eastAsia="Arial"/>
              </w:rPr>
            </w:pPr>
            <w:r w:rsidRPr="005364A7">
              <w:t>Pfizer Liuksembourg SARL filialas</w:t>
            </w:r>
          </w:p>
        </w:tc>
      </w:tr>
      <w:tr w:rsidR="00E605A2" w:rsidRPr="005364A7" w14:paraId="0B000823" w14:textId="77777777" w:rsidTr="00A5391E">
        <w:trPr>
          <w:trHeight w:val="538"/>
        </w:trPr>
        <w:tc>
          <w:tcPr>
            <w:tcW w:w="632" w:type="dxa"/>
          </w:tcPr>
          <w:p w14:paraId="38C9926D" w14:textId="77777777" w:rsidR="00E605A2" w:rsidRPr="005364A7" w:rsidRDefault="00E605A2" w:rsidP="00A5391E">
            <w:pPr>
              <w:jc w:val="both"/>
              <w:rPr>
                <w:rFonts w:eastAsia="Arial"/>
                <w:b/>
                <w:bCs/>
              </w:rPr>
            </w:pPr>
            <w:r w:rsidRPr="005364A7">
              <w:rPr>
                <w:rFonts w:eastAsia="Arial"/>
                <w:b/>
                <w:bCs/>
              </w:rPr>
              <w:t>1.2</w:t>
            </w:r>
          </w:p>
        </w:tc>
        <w:tc>
          <w:tcPr>
            <w:tcW w:w="3899" w:type="dxa"/>
          </w:tcPr>
          <w:p w14:paraId="2803328C" w14:textId="77777777" w:rsidR="00E605A2" w:rsidRPr="005364A7" w:rsidRDefault="00E605A2" w:rsidP="00A5391E">
            <w:pPr>
              <w:jc w:val="both"/>
              <w:rPr>
                <w:b/>
                <w:bCs/>
                <w:lang w:eastAsia="lt-LT"/>
              </w:rPr>
            </w:pPr>
            <w:r w:rsidRPr="005364A7">
              <w:rPr>
                <w:b/>
                <w:bCs/>
                <w:lang w:eastAsia="lt-LT"/>
              </w:rPr>
              <w:t xml:space="preserve">Vaistinio preparato registracijos data </w:t>
            </w:r>
          </w:p>
          <w:p w14:paraId="1DB6DB42" w14:textId="77777777" w:rsidR="00E605A2" w:rsidRPr="005364A7" w:rsidRDefault="00E605A2" w:rsidP="00A5391E">
            <w:pPr>
              <w:jc w:val="both"/>
              <w:rPr>
                <w:b/>
                <w:bCs/>
                <w:lang w:eastAsia="lt-LT"/>
              </w:rPr>
            </w:pPr>
          </w:p>
        </w:tc>
        <w:tc>
          <w:tcPr>
            <w:tcW w:w="4962" w:type="dxa"/>
          </w:tcPr>
          <w:p w14:paraId="0B0647E0" w14:textId="77777777" w:rsidR="00E605A2" w:rsidRPr="005364A7" w:rsidRDefault="008405B2" w:rsidP="00A5391E">
            <w:pPr>
              <w:jc w:val="both"/>
              <w:rPr>
                <w:rStyle w:val="Style2"/>
                <w:sz w:val="24"/>
              </w:rPr>
            </w:pPr>
            <w:sdt>
              <w:sdtPr>
                <w:rPr>
                  <w:sz w:val="32"/>
                </w:rPr>
                <w:alias w:val="Nurodykite konkrečią dieną"/>
                <w:tag w:val="Nurodykite pradžios datą"/>
                <w:id w:val="423238108"/>
                <w:placeholder>
                  <w:docPart w:val="5482501D93664F1E82E854A7C36CF256"/>
                </w:placeholder>
                <w15:color w:val="FFCC99"/>
                <w:date>
                  <w:dateFormat w:val="yyyy 'm.' MMMM d 'd.'"/>
                  <w:lid w:val="lt-LT"/>
                  <w:storeMappedDataAs w:val="dateTime"/>
                  <w:calendar w:val="gregorian"/>
                </w:date>
              </w:sdtPr>
              <w:sdtEndPr/>
              <w:sdtContent>
                <w:r w:rsidR="00E605A2" w:rsidRPr="005364A7">
                  <w:t>2023 m. gruodžio 07 d.</w:t>
                </w:r>
              </w:sdtContent>
            </w:sdt>
          </w:p>
        </w:tc>
      </w:tr>
      <w:tr w:rsidR="00E605A2" w:rsidRPr="005364A7" w14:paraId="1B1B4B2F" w14:textId="77777777" w:rsidTr="00A5391E">
        <w:trPr>
          <w:trHeight w:val="1396"/>
        </w:trPr>
        <w:tc>
          <w:tcPr>
            <w:tcW w:w="632" w:type="dxa"/>
          </w:tcPr>
          <w:p w14:paraId="1B44DD31" w14:textId="77777777" w:rsidR="00E605A2" w:rsidRPr="005364A7" w:rsidRDefault="00E605A2" w:rsidP="00A5391E">
            <w:pPr>
              <w:jc w:val="both"/>
              <w:rPr>
                <w:rFonts w:eastAsia="Arial"/>
                <w:b/>
                <w:bCs/>
              </w:rPr>
            </w:pPr>
            <w:r w:rsidRPr="005364A7">
              <w:rPr>
                <w:rFonts w:eastAsia="Arial"/>
                <w:b/>
                <w:bCs/>
              </w:rPr>
              <w:t>1.3</w:t>
            </w:r>
          </w:p>
        </w:tc>
        <w:tc>
          <w:tcPr>
            <w:tcW w:w="3899" w:type="dxa"/>
          </w:tcPr>
          <w:p w14:paraId="3BE6564D" w14:textId="77777777" w:rsidR="00E605A2" w:rsidRPr="005364A7" w:rsidRDefault="00E605A2" w:rsidP="00A5391E">
            <w:pPr>
              <w:pStyle w:val="Betarp"/>
              <w:jc w:val="both"/>
              <w:rPr>
                <w:rFonts w:ascii="Times New Roman" w:hAnsi="Times New Roman"/>
                <w:b/>
                <w:sz w:val="24"/>
                <w:szCs w:val="24"/>
                <w:shd w:val="clear" w:color="auto" w:fill="FFFFFF"/>
              </w:rPr>
            </w:pPr>
            <w:r w:rsidRPr="005364A7">
              <w:rPr>
                <w:rFonts w:ascii="Times New Roman" w:hAnsi="Times New Roman"/>
                <w:b/>
                <w:sz w:val="24"/>
                <w:szCs w:val="24"/>
              </w:rPr>
              <w:t xml:space="preserve">Vaistinio preparato </w:t>
            </w:r>
            <w:r w:rsidRPr="005364A7">
              <w:rPr>
                <w:rFonts w:ascii="Times New Roman" w:hAnsi="Times New Roman"/>
                <w:b/>
                <w:sz w:val="24"/>
                <w:szCs w:val="24"/>
                <w:shd w:val="clear" w:color="auto" w:fill="FFFFFF"/>
              </w:rPr>
              <w:t>registracijos teisinis pagrindas</w:t>
            </w:r>
          </w:p>
          <w:p w14:paraId="0E8995FA" w14:textId="77777777" w:rsidR="00E605A2" w:rsidRPr="005364A7" w:rsidRDefault="00E605A2" w:rsidP="00A5391E">
            <w:pPr>
              <w:pStyle w:val="Betarp"/>
              <w:jc w:val="both"/>
              <w:rPr>
                <w:rFonts w:ascii="Times New Roman" w:hAnsi="Times New Roman"/>
                <w:b/>
                <w:bCs/>
                <w:sz w:val="24"/>
                <w:szCs w:val="24"/>
                <w:lang w:eastAsia="lt-LT"/>
              </w:rPr>
            </w:pPr>
            <w:r w:rsidRPr="005364A7">
              <w:rPr>
                <w:rFonts w:ascii="Times New Roman" w:hAnsi="Times New Roman"/>
                <w:b/>
                <w:sz w:val="24"/>
                <w:szCs w:val="24"/>
                <w:shd w:val="clear" w:color="auto" w:fill="FFFFFF"/>
              </w:rPr>
              <w:t>(</w:t>
            </w:r>
            <w:r w:rsidRPr="005364A7">
              <w:rPr>
                <w:rFonts w:ascii="Times New Roman" w:hAnsi="Times New Roman"/>
                <w:b/>
                <w:sz w:val="24"/>
                <w:szCs w:val="24"/>
              </w:rPr>
              <w:t>Direktyvos 2001/83/EB str.)</w:t>
            </w:r>
          </w:p>
        </w:tc>
        <w:tc>
          <w:tcPr>
            <w:tcW w:w="4962" w:type="dxa"/>
          </w:tcPr>
          <w:p w14:paraId="4F4B4EAB" w14:textId="77777777" w:rsidR="00E605A2" w:rsidRPr="005364A7" w:rsidRDefault="008405B2" w:rsidP="00A5391E">
            <w:pPr>
              <w:jc w:val="both"/>
            </w:pPr>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E605A2" w:rsidRPr="005364A7">
                  <w:rPr>
                    <w:rStyle w:val="Style2"/>
                    <w:rFonts w:ascii="MS Gothic" w:eastAsia="MS Gothic" w:hAnsi="MS Gothic" w:hint="eastAsia"/>
                    <w:sz w:val="24"/>
                  </w:rPr>
                  <w:t>☒</w:t>
                </w:r>
              </w:sdtContent>
            </w:sdt>
            <w:r w:rsidR="00E605A2" w:rsidRPr="005364A7">
              <w:t>8.3 str. (pilna byla, pagrįsta savais tyrimais)</w:t>
            </w:r>
          </w:p>
          <w:p w14:paraId="1715CE77" w14:textId="77777777" w:rsidR="00E605A2" w:rsidRPr="005364A7" w:rsidRDefault="008405B2" w:rsidP="00A5391E">
            <w:pPr>
              <w:jc w:val="both"/>
            </w:pPr>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E605A2" w:rsidRPr="005364A7">
                  <w:rPr>
                    <w:rStyle w:val="Style2"/>
                    <w:rFonts w:ascii="Segoe UI Symbol" w:eastAsia="MS Gothic" w:hAnsi="Segoe UI Symbol" w:cs="Segoe UI Symbol"/>
                    <w:sz w:val="24"/>
                  </w:rPr>
                  <w:t>☐</w:t>
                </w:r>
              </w:sdtContent>
            </w:sdt>
            <w:r w:rsidR="00E605A2" w:rsidRPr="005364A7">
              <w:t>10 a str. (pripažintas medicininis vartojimas)</w:t>
            </w:r>
          </w:p>
          <w:p w14:paraId="3A9E64A0" w14:textId="77777777" w:rsidR="00E605A2" w:rsidRPr="005364A7" w:rsidRDefault="008405B2" w:rsidP="00A5391E">
            <w:pPr>
              <w:jc w:val="both"/>
            </w:pPr>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E605A2" w:rsidRPr="005364A7">
                  <w:rPr>
                    <w:rStyle w:val="Style2"/>
                    <w:rFonts w:ascii="Segoe UI Symbol" w:eastAsia="MS Gothic" w:hAnsi="Segoe UI Symbol" w:cs="Segoe UI Symbol"/>
                    <w:sz w:val="24"/>
                  </w:rPr>
                  <w:t>☐</w:t>
                </w:r>
              </w:sdtContent>
            </w:sdt>
            <w:r w:rsidR="00E605A2" w:rsidRPr="005364A7">
              <w:t>10.1 str. (generinis)</w:t>
            </w:r>
          </w:p>
          <w:p w14:paraId="69872D35" w14:textId="77777777" w:rsidR="00E605A2" w:rsidRPr="005364A7" w:rsidRDefault="008405B2" w:rsidP="00A5391E">
            <w:pPr>
              <w:jc w:val="both"/>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E605A2" w:rsidRPr="005364A7">
                  <w:rPr>
                    <w:rStyle w:val="Style2"/>
                    <w:rFonts w:ascii="Segoe UI Symbol" w:eastAsia="MS Gothic" w:hAnsi="Segoe UI Symbol" w:cs="Segoe UI Symbol"/>
                    <w:sz w:val="24"/>
                  </w:rPr>
                  <w:t>☐</w:t>
                </w:r>
              </w:sdtContent>
            </w:sdt>
            <w:r w:rsidR="00E605A2" w:rsidRPr="005364A7">
              <w:t>10.3 str. (hibridinis)</w:t>
            </w:r>
          </w:p>
          <w:p w14:paraId="01DE375B" w14:textId="77777777" w:rsidR="00E605A2" w:rsidRPr="005364A7" w:rsidRDefault="008405B2" w:rsidP="00A5391E">
            <w:sdt>
              <w:sdtPr>
                <w:rPr>
                  <w:rStyle w:val="Style2"/>
                  <w:sz w:val="24"/>
                </w:rPr>
                <w:id w:val="-450176040"/>
                <w15:color w:val="FFCC00"/>
                <w14:checkbox>
                  <w14:checked w14:val="0"/>
                  <w14:checkedState w14:val="2612" w14:font="MS Gothic"/>
                  <w14:uncheckedState w14:val="2610" w14:font="MS Gothic"/>
                </w14:checkbox>
              </w:sdtPr>
              <w:sdtEndPr>
                <w:rPr>
                  <w:rStyle w:val="Style2"/>
                </w:rPr>
              </w:sdtEndPr>
              <w:sdtContent>
                <w:r w:rsidR="00E605A2" w:rsidRPr="005364A7">
                  <w:rPr>
                    <w:rStyle w:val="Style2"/>
                    <w:rFonts w:ascii="Segoe UI Symbol" w:eastAsia="MS Gothic" w:hAnsi="Segoe UI Symbol" w:cs="Segoe UI Symbol"/>
                    <w:sz w:val="24"/>
                  </w:rPr>
                  <w:t>☐</w:t>
                </w:r>
              </w:sdtContent>
            </w:sdt>
            <w:r w:rsidR="00E605A2" w:rsidRPr="005364A7">
              <w:t>10.4 str. (panašus biologinis)</w:t>
            </w:r>
          </w:p>
          <w:p w14:paraId="44FE3D27" w14:textId="77777777" w:rsidR="00E605A2" w:rsidRPr="005364A7" w:rsidRDefault="00E605A2" w:rsidP="00A5391E">
            <w:pPr>
              <w:jc w:val="both"/>
            </w:pPr>
          </w:p>
          <w:p w14:paraId="687CE99E" w14:textId="77777777" w:rsidR="00E605A2" w:rsidRPr="005364A7" w:rsidRDefault="00E605A2" w:rsidP="00A5391E">
            <w:pPr>
              <w:jc w:val="both"/>
              <w:rPr>
                <w:rStyle w:val="Style2"/>
                <w:sz w:val="24"/>
              </w:rPr>
            </w:pPr>
          </w:p>
        </w:tc>
      </w:tr>
      <w:tr w:rsidR="00E605A2" w:rsidRPr="005364A7" w14:paraId="4728720D" w14:textId="77777777" w:rsidTr="00A5391E">
        <w:trPr>
          <w:trHeight w:val="1011"/>
        </w:trPr>
        <w:tc>
          <w:tcPr>
            <w:tcW w:w="632" w:type="dxa"/>
          </w:tcPr>
          <w:p w14:paraId="01201C6D" w14:textId="77777777" w:rsidR="00E605A2" w:rsidRPr="005364A7" w:rsidRDefault="00E605A2" w:rsidP="00A5391E">
            <w:pPr>
              <w:jc w:val="both"/>
              <w:rPr>
                <w:rFonts w:eastAsia="Arial"/>
                <w:b/>
                <w:bCs/>
              </w:rPr>
            </w:pPr>
            <w:r w:rsidRPr="005364A7">
              <w:rPr>
                <w:rFonts w:eastAsia="Arial"/>
                <w:b/>
              </w:rPr>
              <w:t>1.4</w:t>
            </w:r>
          </w:p>
        </w:tc>
        <w:tc>
          <w:tcPr>
            <w:tcW w:w="3899" w:type="dxa"/>
          </w:tcPr>
          <w:p w14:paraId="47EF269D" w14:textId="77777777" w:rsidR="00E605A2" w:rsidRPr="005364A7" w:rsidRDefault="00E605A2" w:rsidP="00A5391E">
            <w:pPr>
              <w:tabs>
                <w:tab w:val="left" w:pos="284"/>
              </w:tabs>
              <w:spacing w:line="280" w:lineRule="atLeast"/>
              <w:jc w:val="both"/>
              <w:rPr>
                <w:b/>
                <w:bCs/>
                <w:lang w:eastAsia="lt-LT"/>
              </w:rPr>
            </w:pPr>
            <w:r w:rsidRPr="005364A7">
              <w:rPr>
                <w:b/>
                <w:bCs/>
                <w:lang w:eastAsia="lt-LT"/>
              </w:rPr>
              <w:t>Ar vaistinis preparatas įrašytas į Bendrijos retųjų vaistinių preparatų registrą?</w:t>
            </w:r>
          </w:p>
        </w:tc>
        <w:tc>
          <w:tcPr>
            <w:tcW w:w="4962" w:type="dxa"/>
          </w:tcPr>
          <w:p w14:paraId="3CA92489" w14:textId="77777777" w:rsidR="00E605A2" w:rsidRPr="005364A7" w:rsidRDefault="008405B2" w:rsidP="00A5391E">
            <w:pPr>
              <w:jc w:val="both"/>
            </w:pPr>
            <w:sdt>
              <w:sdtPr>
                <w:rPr>
                  <w:rStyle w:val="Style2"/>
                  <w:sz w:val="24"/>
                </w:rPr>
                <w:id w:val="1190730465"/>
                <w15:color w:val="FFCC00"/>
                <w14:checkbox>
                  <w14:checked w14:val="0"/>
                  <w14:checkedState w14:val="2612" w14:font="MS Gothic"/>
                  <w14:uncheckedState w14:val="2610" w14:font="MS Gothic"/>
                </w14:checkbox>
              </w:sdtPr>
              <w:sdtEndPr>
                <w:rPr>
                  <w:rStyle w:val="Style2"/>
                </w:rPr>
              </w:sdtEndPr>
              <w:sdtContent>
                <w:r w:rsidR="00E605A2" w:rsidRPr="005364A7">
                  <w:rPr>
                    <w:rStyle w:val="Style2"/>
                    <w:rFonts w:ascii="Segoe UI Symbol" w:eastAsia="MS Gothic" w:hAnsi="Segoe UI Symbol" w:cs="Segoe UI Symbol"/>
                    <w:sz w:val="24"/>
                  </w:rPr>
                  <w:t>☐</w:t>
                </w:r>
              </w:sdtContent>
            </w:sdt>
            <w:r w:rsidR="00E605A2" w:rsidRPr="005364A7">
              <w:t xml:space="preserve"> Taip       </w:t>
            </w:r>
            <w:r w:rsidR="00E605A2" w:rsidRPr="005364A7">
              <w:rPr>
                <w:rStyle w:val="Style2"/>
                <w:sz w:val="24"/>
              </w:rPr>
              <w:t xml:space="preserve"> </w:t>
            </w:r>
            <w:sdt>
              <w:sdtPr>
                <w:rPr>
                  <w:rStyle w:val="Style2"/>
                  <w:sz w:val="24"/>
                </w:rPr>
                <w:id w:val="-1760283509"/>
                <w15:color w:val="FFCC00"/>
                <w14:checkbox>
                  <w14:checked w14:val="1"/>
                  <w14:checkedState w14:val="2612" w14:font="MS Gothic"/>
                  <w14:uncheckedState w14:val="2610" w14:font="MS Gothic"/>
                </w14:checkbox>
              </w:sdtPr>
              <w:sdtEndPr>
                <w:rPr>
                  <w:rStyle w:val="Style2"/>
                </w:rPr>
              </w:sdtEndPr>
              <w:sdtContent>
                <w:r w:rsidR="00E605A2" w:rsidRPr="005364A7">
                  <w:rPr>
                    <w:rStyle w:val="Style2"/>
                    <w:rFonts w:ascii="MS Gothic" w:eastAsia="MS Gothic" w:hAnsi="MS Gothic" w:hint="eastAsia"/>
                    <w:sz w:val="24"/>
                  </w:rPr>
                  <w:t>☒</w:t>
                </w:r>
              </w:sdtContent>
            </w:sdt>
            <w:r w:rsidR="00E605A2" w:rsidRPr="005364A7">
              <w:t xml:space="preserve"> Ne</w:t>
            </w:r>
          </w:p>
          <w:p w14:paraId="3FEB765C" w14:textId="77777777" w:rsidR="00E605A2" w:rsidRPr="005364A7" w:rsidRDefault="00E605A2" w:rsidP="00A5391E">
            <w:pPr>
              <w:jc w:val="both"/>
              <w:rPr>
                <w:rFonts w:eastAsia="Arial"/>
              </w:rPr>
            </w:pPr>
          </w:p>
        </w:tc>
      </w:tr>
      <w:tr w:rsidR="00E605A2" w:rsidRPr="005364A7" w14:paraId="00C71896" w14:textId="77777777" w:rsidTr="00A5391E">
        <w:trPr>
          <w:trHeight w:val="1011"/>
        </w:trPr>
        <w:tc>
          <w:tcPr>
            <w:tcW w:w="632" w:type="dxa"/>
          </w:tcPr>
          <w:p w14:paraId="75AC3343" w14:textId="77777777" w:rsidR="00E605A2" w:rsidRPr="005364A7" w:rsidRDefault="00E605A2" w:rsidP="00A5391E">
            <w:pPr>
              <w:jc w:val="both"/>
              <w:rPr>
                <w:rFonts w:eastAsia="Arial"/>
                <w:b/>
              </w:rPr>
            </w:pPr>
            <w:r w:rsidRPr="005364A7">
              <w:rPr>
                <w:rFonts w:eastAsia="Arial"/>
                <w:b/>
                <w:bCs/>
              </w:rPr>
              <w:t>1.5</w:t>
            </w:r>
          </w:p>
        </w:tc>
        <w:tc>
          <w:tcPr>
            <w:tcW w:w="3899" w:type="dxa"/>
          </w:tcPr>
          <w:p w14:paraId="6A3789AC" w14:textId="77777777" w:rsidR="00E605A2" w:rsidRPr="005364A7" w:rsidRDefault="00E605A2" w:rsidP="00A5391E">
            <w:pPr>
              <w:tabs>
                <w:tab w:val="left" w:pos="284"/>
              </w:tabs>
              <w:spacing w:line="280" w:lineRule="atLeast"/>
              <w:jc w:val="both"/>
              <w:rPr>
                <w:b/>
                <w:bCs/>
                <w:lang w:eastAsia="lt-LT"/>
              </w:rPr>
            </w:pPr>
            <w:r w:rsidRPr="005364A7">
              <w:rPr>
                <w:b/>
                <w:bCs/>
                <w:lang w:eastAsia="lt-LT"/>
              </w:rPr>
              <w:t>Ar atliktas bendras klinikinis vertinimas</w:t>
            </w:r>
          </w:p>
          <w:p w14:paraId="6FA980E5" w14:textId="77777777" w:rsidR="00E605A2" w:rsidRPr="005364A7" w:rsidRDefault="00E605A2" w:rsidP="00A5391E">
            <w:pPr>
              <w:tabs>
                <w:tab w:val="left" w:pos="284"/>
              </w:tabs>
              <w:spacing w:line="280" w:lineRule="atLeast"/>
              <w:jc w:val="both"/>
              <w:rPr>
                <w:b/>
                <w:bCs/>
                <w:lang w:eastAsia="lt-LT"/>
              </w:rPr>
            </w:pPr>
            <w:r w:rsidRPr="005364A7">
              <w:rPr>
                <w:b/>
                <w:bCs/>
                <w:lang w:eastAsia="lt-LT"/>
              </w:rPr>
              <w:t>(Europos Parlamento ir Tarybos reglamentas (ES) 2021/2282)</w:t>
            </w:r>
          </w:p>
        </w:tc>
        <w:tc>
          <w:tcPr>
            <w:tcW w:w="4962" w:type="dxa"/>
          </w:tcPr>
          <w:p w14:paraId="54C2C33B" w14:textId="77777777" w:rsidR="00E605A2" w:rsidRPr="005364A7" w:rsidRDefault="008405B2" w:rsidP="00A5391E">
            <w:pPr>
              <w:jc w:val="both"/>
            </w:pPr>
            <w:sdt>
              <w:sdtPr>
                <w:rPr>
                  <w:rStyle w:val="Style2"/>
                  <w:sz w:val="24"/>
                </w:rPr>
                <w:id w:val="-1171564470"/>
                <w15:color w:val="FFCC00"/>
                <w14:checkbox>
                  <w14:checked w14:val="0"/>
                  <w14:checkedState w14:val="2612" w14:font="MS Gothic"/>
                  <w14:uncheckedState w14:val="2610" w14:font="MS Gothic"/>
                </w14:checkbox>
              </w:sdtPr>
              <w:sdtEndPr>
                <w:rPr>
                  <w:rStyle w:val="Style2"/>
                </w:rPr>
              </w:sdtEndPr>
              <w:sdtContent>
                <w:r w:rsidR="00E605A2" w:rsidRPr="005364A7">
                  <w:rPr>
                    <w:rStyle w:val="Style2"/>
                    <w:rFonts w:ascii="Segoe UI Symbol" w:eastAsia="MS Gothic" w:hAnsi="Segoe UI Symbol" w:cs="Segoe UI Symbol"/>
                    <w:sz w:val="24"/>
                  </w:rPr>
                  <w:t>☐</w:t>
                </w:r>
              </w:sdtContent>
            </w:sdt>
            <w:r w:rsidR="00E605A2" w:rsidRPr="005364A7">
              <w:t xml:space="preserve"> Taip       </w:t>
            </w:r>
            <w:r w:rsidR="00E605A2" w:rsidRPr="005364A7">
              <w:rPr>
                <w:rStyle w:val="Style2"/>
                <w:sz w:val="24"/>
              </w:rPr>
              <w:t xml:space="preserve"> </w:t>
            </w:r>
            <w:sdt>
              <w:sdtPr>
                <w:rPr>
                  <w:rStyle w:val="Style2"/>
                  <w:sz w:val="24"/>
                </w:rPr>
                <w:id w:val="1448122567"/>
                <w15:color w:val="FFCC00"/>
                <w14:checkbox>
                  <w14:checked w14:val="1"/>
                  <w14:checkedState w14:val="2612" w14:font="MS Gothic"/>
                  <w14:uncheckedState w14:val="2610" w14:font="MS Gothic"/>
                </w14:checkbox>
              </w:sdtPr>
              <w:sdtEndPr>
                <w:rPr>
                  <w:rStyle w:val="Style2"/>
                </w:rPr>
              </w:sdtEndPr>
              <w:sdtContent>
                <w:r w:rsidR="00E605A2" w:rsidRPr="005364A7">
                  <w:rPr>
                    <w:rStyle w:val="Style2"/>
                    <w:rFonts w:ascii="MS Gothic" w:eastAsia="MS Gothic" w:hAnsi="MS Gothic" w:hint="eastAsia"/>
                    <w:sz w:val="24"/>
                  </w:rPr>
                  <w:t>☒</w:t>
                </w:r>
              </w:sdtContent>
            </w:sdt>
            <w:r w:rsidR="00E605A2" w:rsidRPr="005364A7">
              <w:t xml:space="preserve"> Ne</w:t>
            </w:r>
          </w:p>
          <w:p w14:paraId="4EC899F5" w14:textId="77777777" w:rsidR="00E605A2" w:rsidRPr="005364A7" w:rsidRDefault="00E605A2" w:rsidP="00A5391E">
            <w:pPr>
              <w:jc w:val="both"/>
              <w:rPr>
                <w:rStyle w:val="Style2"/>
                <w:sz w:val="24"/>
              </w:rPr>
            </w:pPr>
          </w:p>
        </w:tc>
      </w:tr>
      <w:tr w:rsidR="00E605A2" w:rsidRPr="005364A7" w14:paraId="78992EA4" w14:textId="77777777" w:rsidTr="00A5391E">
        <w:trPr>
          <w:trHeight w:val="1278"/>
        </w:trPr>
        <w:tc>
          <w:tcPr>
            <w:tcW w:w="632" w:type="dxa"/>
          </w:tcPr>
          <w:p w14:paraId="7106D807" w14:textId="77777777" w:rsidR="00E605A2" w:rsidRPr="005364A7" w:rsidRDefault="00E605A2" w:rsidP="00A5391E">
            <w:pPr>
              <w:jc w:val="both"/>
              <w:rPr>
                <w:rFonts w:eastAsia="Arial"/>
                <w:b/>
                <w:bCs/>
              </w:rPr>
            </w:pPr>
            <w:r w:rsidRPr="005364A7">
              <w:rPr>
                <w:rFonts w:eastAsia="Arial"/>
                <w:b/>
                <w:bCs/>
              </w:rPr>
              <w:t>1.6</w:t>
            </w:r>
          </w:p>
        </w:tc>
        <w:tc>
          <w:tcPr>
            <w:tcW w:w="3899" w:type="dxa"/>
          </w:tcPr>
          <w:p w14:paraId="2E9A84D3" w14:textId="77777777" w:rsidR="00E605A2" w:rsidRPr="005364A7" w:rsidRDefault="00E605A2" w:rsidP="00A5391E">
            <w:pPr>
              <w:jc w:val="both"/>
              <w:rPr>
                <w:b/>
                <w:bCs/>
                <w:lang w:eastAsia="lt-LT"/>
              </w:rPr>
            </w:pPr>
            <w:r w:rsidRPr="005364A7">
              <w:rPr>
                <w:b/>
                <w:bCs/>
                <w:lang w:eastAsia="lt-LT"/>
              </w:rPr>
              <w:t xml:space="preserve">Teikiama kompensuoti terapinė indikacija </w:t>
            </w:r>
          </w:p>
          <w:p w14:paraId="78E65077" w14:textId="77777777" w:rsidR="00E605A2" w:rsidRPr="005364A7" w:rsidRDefault="00E605A2" w:rsidP="00A5391E">
            <w:pPr>
              <w:jc w:val="both"/>
              <w:rPr>
                <w:b/>
                <w:bCs/>
                <w:lang w:eastAsia="lt-LT"/>
              </w:rPr>
            </w:pPr>
          </w:p>
          <w:p w14:paraId="766D5171" w14:textId="77777777" w:rsidR="00F37FC4" w:rsidRPr="005364A7" w:rsidRDefault="00F37FC4" w:rsidP="00A5391E">
            <w:pPr>
              <w:jc w:val="both"/>
              <w:rPr>
                <w:b/>
                <w:bCs/>
                <w:lang w:eastAsia="lt-LT"/>
              </w:rPr>
            </w:pPr>
          </w:p>
          <w:p w14:paraId="39A2A91F" w14:textId="77777777" w:rsidR="00F37FC4" w:rsidRPr="005364A7" w:rsidRDefault="00F37FC4" w:rsidP="00A5391E">
            <w:pPr>
              <w:jc w:val="both"/>
              <w:rPr>
                <w:b/>
                <w:bCs/>
                <w:lang w:eastAsia="lt-LT"/>
              </w:rPr>
            </w:pPr>
          </w:p>
          <w:p w14:paraId="754647B2" w14:textId="77777777" w:rsidR="00F37FC4" w:rsidRPr="005364A7" w:rsidRDefault="00F37FC4" w:rsidP="00A5391E">
            <w:pPr>
              <w:jc w:val="both"/>
              <w:rPr>
                <w:b/>
                <w:bCs/>
                <w:lang w:eastAsia="lt-LT"/>
              </w:rPr>
            </w:pPr>
          </w:p>
          <w:p w14:paraId="4A28C34C" w14:textId="77777777" w:rsidR="00F37FC4" w:rsidRPr="005364A7" w:rsidRDefault="00F37FC4" w:rsidP="00A5391E">
            <w:pPr>
              <w:jc w:val="both"/>
              <w:rPr>
                <w:b/>
                <w:bCs/>
                <w:lang w:eastAsia="lt-LT"/>
              </w:rPr>
            </w:pPr>
          </w:p>
          <w:p w14:paraId="5A7C76C0" w14:textId="77777777" w:rsidR="00F37FC4" w:rsidRPr="005364A7" w:rsidRDefault="00F37FC4" w:rsidP="00A5391E">
            <w:pPr>
              <w:jc w:val="both"/>
              <w:rPr>
                <w:b/>
                <w:bCs/>
                <w:lang w:eastAsia="lt-LT"/>
              </w:rPr>
            </w:pPr>
          </w:p>
          <w:p w14:paraId="21F4A189" w14:textId="77777777" w:rsidR="00F37FC4" w:rsidRPr="005364A7" w:rsidRDefault="00F37FC4" w:rsidP="00A5391E">
            <w:pPr>
              <w:jc w:val="both"/>
              <w:rPr>
                <w:b/>
                <w:bCs/>
                <w:lang w:eastAsia="lt-LT"/>
              </w:rPr>
            </w:pPr>
          </w:p>
          <w:p w14:paraId="36A9DFD0" w14:textId="77777777" w:rsidR="00E605A2" w:rsidRPr="005364A7" w:rsidRDefault="00E605A2" w:rsidP="00A5391E">
            <w:pPr>
              <w:jc w:val="both"/>
              <w:rPr>
                <w:b/>
                <w:bCs/>
                <w:lang w:eastAsia="lt-LT"/>
              </w:rPr>
            </w:pPr>
            <w:r w:rsidRPr="005364A7">
              <w:rPr>
                <w:b/>
                <w:bCs/>
                <w:lang w:eastAsia="lt-LT"/>
              </w:rPr>
              <w:t>Kodas pagal TLK-10 AM</w:t>
            </w:r>
          </w:p>
        </w:tc>
        <w:tc>
          <w:tcPr>
            <w:tcW w:w="4962" w:type="dxa"/>
          </w:tcPr>
          <w:p w14:paraId="2DFC0EB2" w14:textId="77777777" w:rsidR="00E605A2" w:rsidRPr="005364A7" w:rsidRDefault="00E605A2" w:rsidP="00A5391E">
            <w:pPr>
              <w:jc w:val="both"/>
              <w:rPr>
                <w:lang w:eastAsia="lt-LT"/>
              </w:rPr>
            </w:pPr>
            <w:bookmarkStart w:id="4" w:name="_Hlk178269035"/>
            <w:r w:rsidRPr="005364A7">
              <w:rPr>
                <w:lang w:eastAsia="lt-LT"/>
              </w:rPr>
              <w:lastRenderedPageBreak/>
              <w:t xml:space="preserve">ELREXFIO </w:t>
            </w:r>
            <w:bookmarkStart w:id="5" w:name="_Hlk193019259"/>
            <w:r w:rsidRPr="005364A7">
              <w:rPr>
                <w:lang w:eastAsia="lt-LT"/>
              </w:rPr>
              <w:t xml:space="preserve">skiriamas kaip monoterapija suaugusiems pacientams, sergantiems recidyvuojančia ir refrakterine daugine mieloma, kuriems prieš tai buvo taikyti ne mažiau kaip trys gydymo būdai, įskaitant imunomoduliatorių, proteosomos inhibitorių ir antikūnus prieš CD38 </w:t>
            </w:r>
            <w:r w:rsidRPr="005364A7">
              <w:rPr>
                <w:lang w:eastAsia="lt-LT"/>
              </w:rPr>
              <w:lastRenderedPageBreak/>
              <w:t>antigeną, ir kurių liga progresavo po paskutinio gydymo.</w:t>
            </w:r>
          </w:p>
          <w:bookmarkEnd w:id="4"/>
          <w:bookmarkEnd w:id="5"/>
          <w:p w14:paraId="39CC9E3A" w14:textId="77777777" w:rsidR="00E605A2" w:rsidRPr="005364A7" w:rsidRDefault="00E605A2" w:rsidP="00A5391E">
            <w:pPr>
              <w:rPr>
                <w:lang w:eastAsia="lt-LT"/>
              </w:rPr>
            </w:pPr>
          </w:p>
          <w:p w14:paraId="79DEEF8F" w14:textId="29BABCA3" w:rsidR="00E605A2" w:rsidRPr="005364A7" w:rsidRDefault="00E605A2" w:rsidP="00A5391E">
            <w:pPr>
              <w:jc w:val="both"/>
            </w:pPr>
            <w:r w:rsidRPr="005364A7">
              <w:rPr>
                <w:lang w:eastAsia="lt-LT"/>
              </w:rPr>
              <w:t>C90.0</w:t>
            </w:r>
          </w:p>
        </w:tc>
      </w:tr>
      <w:tr w:rsidR="00E605A2" w:rsidRPr="005364A7" w14:paraId="281FCE4A" w14:textId="77777777" w:rsidTr="00A5391E">
        <w:trPr>
          <w:trHeight w:val="378"/>
        </w:trPr>
        <w:tc>
          <w:tcPr>
            <w:tcW w:w="632" w:type="dxa"/>
          </w:tcPr>
          <w:p w14:paraId="279F46C9" w14:textId="77777777" w:rsidR="00E605A2" w:rsidRPr="005364A7" w:rsidRDefault="00E605A2" w:rsidP="00A5391E">
            <w:pPr>
              <w:jc w:val="both"/>
              <w:rPr>
                <w:rFonts w:eastAsia="Arial"/>
                <w:b/>
                <w:bCs/>
              </w:rPr>
            </w:pPr>
            <w:r w:rsidRPr="005364A7">
              <w:rPr>
                <w:rFonts w:eastAsia="Arial"/>
                <w:b/>
                <w:bCs/>
              </w:rPr>
              <w:lastRenderedPageBreak/>
              <w:t>1.7</w:t>
            </w:r>
          </w:p>
        </w:tc>
        <w:tc>
          <w:tcPr>
            <w:tcW w:w="3899" w:type="dxa"/>
          </w:tcPr>
          <w:p w14:paraId="246B5494" w14:textId="77777777" w:rsidR="00E605A2" w:rsidRPr="005364A7" w:rsidRDefault="00E605A2" w:rsidP="00A5391E">
            <w:pPr>
              <w:jc w:val="both"/>
              <w:rPr>
                <w:b/>
                <w:bCs/>
                <w:u w:val="single"/>
                <w:lang w:eastAsia="lt-LT"/>
              </w:rPr>
            </w:pPr>
            <w:r w:rsidRPr="005364A7">
              <w:rPr>
                <w:b/>
                <w:bCs/>
                <w:lang w:eastAsia="lt-LT"/>
              </w:rPr>
              <w:t xml:space="preserve">Teikiamos skyrimo sąlygos </w:t>
            </w:r>
          </w:p>
        </w:tc>
        <w:tc>
          <w:tcPr>
            <w:tcW w:w="4962" w:type="dxa"/>
          </w:tcPr>
          <w:p w14:paraId="44987726" w14:textId="77777777" w:rsidR="00E605A2" w:rsidRPr="005364A7" w:rsidRDefault="00E605A2" w:rsidP="00A5391E">
            <w:pPr>
              <w:jc w:val="both"/>
            </w:pPr>
            <w:r w:rsidRPr="005364A7">
              <w:rPr>
                <w:lang w:eastAsia="lt-LT"/>
              </w:rPr>
              <w:t>Pagal registruotą indikaciją</w:t>
            </w:r>
            <w:r w:rsidRPr="005364A7">
              <w:t>.</w:t>
            </w:r>
          </w:p>
        </w:tc>
      </w:tr>
      <w:tr w:rsidR="00E605A2" w:rsidRPr="005364A7" w14:paraId="1A974A1A" w14:textId="77777777" w:rsidTr="00A5391E">
        <w:trPr>
          <w:trHeight w:val="378"/>
        </w:trPr>
        <w:tc>
          <w:tcPr>
            <w:tcW w:w="632" w:type="dxa"/>
          </w:tcPr>
          <w:p w14:paraId="6739AC6C" w14:textId="77777777" w:rsidR="00E605A2" w:rsidRPr="005364A7" w:rsidRDefault="00E605A2" w:rsidP="00A5391E">
            <w:pPr>
              <w:jc w:val="both"/>
              <w:rPr>
                <w:rFonts w:eastAsia="Arial"/>
                <w:b/>
                <w:bCs/>
              </w:rPr>
            </w:pPr>
            <w:r w:rsidRPr="005364A7">
              <w:rPr>
                <w:rFonts w:eastAsia="Arial"/>
                <w:b/>
                <w:bCs/>
              </w:rPr>
              <w:t>1.8</w:t>
            </w:r>
          </w:p>
        </w:tc>
        <w:tc>
          <w:tcPr>
            <w:tcW w:w="3899" w:type="dxa"/>
          </w:tcPr>
          <w:p w14:paraId="2A988646" w14:textId="77777777" w:rsidR="00E605A2" w:rsidRPr="005364A7" w:rsidRDefault="00E605A2" w:rsidP="00A5391E">
            <w:pPr>
              <w:jc w:val="both"/>
              <w:rPr>
                <w:b/>
                <w:bCs/>
                <w:lang w:eastAsia="lt-LT"/>
              </w:rPr>
            </w:pPr>
            <w:r w:rsidRPr="005364A7">
              <w:rPr>
                <w:b/>
                <w:bCs/>
                <w:lang w:eastAsia="lt-LT"/>
              </w:rPr>
              <w:t>Ekonominė analizė</w:t>
            </w:r>
          </w:p>
        </w:tc>
        <w:tc>
          <w:tcPr>
            <w:tcW w:w="4962" w:type="dxa"/>
          </w:tcPr>
          <w:p w14:paraId="3863F981" w14:textId="77777777" w:rsidR="00E605A2" w:rsidRPr="005364A7" w:rsidRDefault="008405B2" w:rsidP="00A5391E">
            <w:pPr>
              <w:jc w:val="both"/>
            </w:pPr>
            <w:sdt>
              <w:sdtPr>
                <w:rPr>
                  <w:rStyle w:val="Style2"/>
                  <w:sz w:val="24"/>
                </w:rPr>
                <w:id w:val="356323367"/>
                <w15:color w:val="FFCC00"/>
                <w14:checkbox>
                  <w14:checked w14:val="1"/>
                  <w14:checkedState w14:val="2612" w14:font="MS Gothic"/>
                  <w14:uncheckedState w14:val="2610" w14:font="MS Gothic"/>
                </w14:checkbox>
              </w:sdtPr>
              <w:sdtEndPr>
                <w:rPr>
                  <w:rStyle w:val="Style2"/>
                </w:rPr>
              </w:sdtEndPr>
              <w:sdtContent>
                <w:r w:rsidR="00E605A2" w:rsidRPr="005364A7">
                  <w:rPr>
                    <w:rStyle w:val="Style2"/>
                    <w:rFonts w:ascii="MS Gothic" w:eastAsia="MS Gothic" w:hAnsi="MS Gothic" w:hint="eastAsia"/>
                    <w:sz w:val="24"/>
                  </w:rPr>
                  <w:t>☒</w:t>
                </w:r>
              </w:sdtContent>
            </w:sdt>
            <w:r w:rsidR="00E605A2" w:rsidRPr="005364A7">
              <w:t xml:space="preserve"> Kaštų naudingumo analizė</w:t>
            </w:r>
          </w:p>
          <w:p w14:paraId="6E67AE0A" w14:textId="77777777" w:rsidR="00E605A2" w:rsidRPr="005364A7" w:rsidRDefault="008405B2" w:rsidP="00A5391E">
            <w:pPr>
              <w:jc w:val="both"/>
            </w:pPr>
            <w:sdt>
              <w:sdtPr>
                <w:rPr>
                  <w:rStyle w:val="Style2"/>
                  <w:sz w:val="24"/>
                </w:rPr>
                <w:id w:val="-250506580"/>
                <w15:color w:val="FFCC00"/>
                <w14:checkbox>
                  <w14:checked w14:val="0"/>
                  <w14:checkedState w14:val="2612" w14:font="MS Gothic"/>
                  <w14:uncheckedState w14:val="2610" w14:font="MS Gothic"/>
                </w14:checkbox>
              </w:sdtPr>
              <w:sdtEndPr>
                <w:rPr>
                  <w:rStyle w:val="Style2"/>
                </w:rPr>
              </w:sdtEndPr>
              <w:sdtContent>
                <w:r w:rsidR="00E605A2" w:rsidRPr="005364A7">
                  <w:rPr>
                    <w:rStyle w:val="Style2"/>
                    <w:rFonts w:ascii="Segoe UI Symbol" w:eastAsia="MS Gothic" w:hAnsi="Segoe UI Symbol" w:cs="Segoe UI Symbol"/>
                    <w:sz w:val="24"/>
                  </w:rPr>
                  <w:t>☐</w:t>
                </w:r>
              </w:sdtContent>
            </w:sdt>
            <w:r w:rsidR="00E605A2" w:rsidRPr="005364A7">
              <w:t xml:space="preserve"> Kaštų mažinimo analizė</w:t>
            </w:r>
          </w:p>
          <w:p w14:paraId="1A8CB038" w14:textId="77777777" w:rsidR="00E605A2" w:rsidRPr="005364A7" w:rsidRDefault="008405B2" w:rsidP="00A5391E">
            <w:pPr>
              <w:jc w:val="both"/>
            </w:pPr>
            <w:sdt>
              <w:sdtPr>
                <w:rPr>
                  <w:rStyle w:val="Style2"/>
                  <w:sz w:val="24"/>
                </w:rPr>
                <w:id w:val="-1517455044"/>
                <w15:color w:val="FFCC00"/>
                <w14:checkbox>
                  <w14:checked w14:val="0"/>
                  <w14:checkedState w14:val="2612" w14:font="MS Gothic"/>
                  <w14:uncheckedState w14:val="2610" w14:font="MS Gothic"/>
                </w14:checkbox>
              </w:sdtPr>
              <w:sdtEndPr>
                <w:rPr>
                  <w:rStyle w:val="Style2"/>
                </w:rPr>
              </w:sdtEndPr>
              <w:sdtContent>
                <w:r w:rsidR="00E605A2" w:rsidRPr="005364A7">
                  <w:rPr>
                    <w:rStyle w:val="Style2"/>
                    <w:rFonts w:ascii="Segoe UI Symbol" w:eastAsia="MS Gothic" w:hAnsi="Segoe UI Symbol" w:cs="Segoe UI Symbol"/>
                    <w:sz w:val="24"/>
                  </w:rPr>
                  <w:t>☐</w:t>
                </w:r>
              </w:sdtContent>
            </w:sdt>
            <w:r w:rsidR="00E605A2" w:rsidRPr="005364A7">
              <w:t xml:space="preserve"> Neteikiama</w:t>
            </w:r>
          </w:p>
          <w:p w14:paraId="22510E1E" w14:textId="77777777" w:rsidR="00E605A2" w:rsidRPr="005364A7" w:rsidRDefault="00E605A2" w:rsidP="00A5391E">
            <w:pPr>
              <w:jc w:val="both"/>
            </w:pPr>
          </w:p>
        </w:tc>
      </w:tr>
      <w:bookmarkEnd w:id="3"/>
    </w:tbl>
    <w:p w14:paraId="39027993" w14:textId="77777777" w:rsidR="00E605A2" w:rsidRPr="005364A7" w:rsidRDefault="00E605A2" w:rsidP="00E605A2">
      <w:pPr>
        <w:tabs>
          <w:tab w:val="left" w:pos="426"/>
        </w:tabs>
        <w:jc w:val="both"/>
        <w:rPr>
          <w:rFonts w:eastAsia="Arial"/>
          <w:b/>
          <w:bCs/>
        </w:rPr>
      </w:pPr>
    </w:p>
    <w:p w14:paraId="73290081" w14:textId="79D7455E" w:rsidR="00E605A2" w:rsidRPr="005364A7" w:rsidRDefault="00E605A2">
      <w:pPr>
        <w:rPr>
          <w:b/>
          <w:bCs/>
          <w:caps/>
        </w:rPr>
      </w:pPr>
      <w:r w:rsidRPr="005364A7">
        <w:rPr>
          <w:b/>
          <w:bCs/>
          <w:caps/>
        </w:rPr>
        <w:br w:type="page"/>
      </w:r>
    </w:p>
    <w:p w14:paraId="528D2540" w14:textId="77777777" w:rsidR="007A2B68" w:rsidRPr="005364A7" w:rsidRDefault="007A2B68">
      <w:pPr>
        <w:rPr>
          <w:b/>
          <w:bCs/>
          <w:caps/>
        </w:rPr>
      </w:pPr>
    </w:p>
    <w:p w14:paraId="5055E8A8" w14:textId="028C0486" w:rsidR="002E6F80" w:rsidRPr="005364A7" w:rsidRDefault="001E0B2D" w:rsidP="00CC09D4">
      <w:pPr>
        <w:pStyle w:val="Sraopastraipa"/>
        <w:numPr>
          <w:ilvl w:val="0"/>
          <w:numId w:val="12"/>
        </w:numPr>
        <w:tabs>
          <w:tab w:val="left" w:pos="567"/>
        </w:tabs>
        <w:ind w:hanging="720"/>
        <w:rPr>
          <w:b/>
          <w:bCs/>
          <w:caps/>
        </w:rPr>
      </w:pPr>
      <w:r w:rsidRPr="005364A7">
        <w:rPr>
          <w:b/>
          <w:bCs/>
          <w:caps/>
        </w:rPr>
        <w:t xml:space="preserve"> </w:t>
      </w:r>
      <w:r w:rsidR="00CC7832" w:rsidRPr="005364A7">
        <w:rPr>
          <w:b/>
          <w:bCs/>
          <w:caps/>
        </w:rPr>
        <w:t>Klinikinio vertinimo a</w:t>
      </w:r>
      <w:r w:rsidR="00D4485B" w:rsidRPr="005364A7">
        <w:rPr>
          <w:b/>
          <w:bCs/>
          <w:caps/>
        </w:rPr>
        <w:t>pibendrinimas</w:t>
      </w:r>
    </w:p>
    <w:p w14:paraId="429969B4" w14:textId="77777777" w:rsidR="00EB3D2A" w:rsidRPr="005364A7" w:rsidRDefault="00EB3D2A" w:rsidP="00D12869">
      <w:pPr>
        <w:tabs>
          <w:tab w:val="left" w:pos="284"/>
        </w:tabs>
        <w:rPr>
          <w:i/>
        </w:rPr>
      </w:pPr>
    </w:p>
    <w:p w14:paraId="16804355" w14:textId="77777777" w:rsidR="00EB3D2A" w:rsidRPr="005364A7" w:rsidRDefault="00EB3D2A" w:rsidP="00EB3D2A">
      <w:pPr>
        <w:tabs>
          <w:tab w:val="left" w:pos="567"/>
        </w:tabs>
        <w:spacing w:line="360" w:lineRule="auto"/>
        <w:jc w:val="both"/>
        <w:rPr>
          <w:bCs/>
          <w:lang w:eastAsia="lt-LT"/>
        </w:rPr>
      </w:pPr>
      <w:r w:rsidRPr="005364A7">
        <w:rPr>
          <w:bCs/>
          <w:lang w:eastAsia="lt-LT"/>
        </w:rPr>
        <w:tab/>
        <w:t>Daugybinė mieloma yra reta, tačiau kliniškai agresyvi ir lėtinė hematologinė piktybinė liga, kuriai būdingas pasikartojantis ligos atkryčių pobūdis ir progresuojantis atsparumas gydymui. Nepaisant reikšmingos pažangos gydyme per pastaruosius du dešimtmečius, daugybinė mieloma išlieka nepagydoma liga, o kiekviena vėlesnė gydymo eilė pasižymi trumpesne atsako trukme ir prastesnėmis klinikinėmis baigtimis. Ypač nepalanki prognozė stebima pacientams, sergantiems recidyvuojančia ir refrakterine daugine mieloma, kurie yra atsparūs trims pagrindinėms vaistų klasėms (TCR), kurių bendrojo išgyvenamumo mediana literatūroje siekia vos 5–12 mėnesių.</w:t>
      </w:r>
    </w:p>
    <w:p w14:paraId="51A3C854" w14:textId="77777777" w:rsidR="00EB3D2A" w:rsidRPr="005364A7" w:rsidRDefault="00EB3D2A" w:rsidP="00EB3D2A">
      <w:pPr>
        <w:tabs>
          <w:tab w:val="left" w:pos="567"/>
        </w:tabs>
        <w:spacing w:line="360" w:lineRule="auto"/>
        <w:jc w:val="both"/>
        <w:rPr>
          <w:bCs/>
          <w:lang w:eastAsia="lt-LT"/>
        </w:rPr>
      </w:pPr>
      <w:r w:rsidRPr="005364A7">
        <w:rPr>
          <w:bCs/>
          <w:lang w:eastAsia="lt-LT"/>
        </w:rPr>
        <w:tab/>
        <w:t>Remiantis tarptautinėmis klinikinėmis gairėmis, pacientams, sergantiems recidyvuojančia ir refrakterine daugine mieloma, kuriems jau taikytas gydymas imunomoduliatoriumi, proteasomos inhibitoriumi ir anti-CD38 monokloniniu antikūnu, rekomenduojama skirti naujos veikimo mechanizmo terapijas. Pagal NCCN 2025 m. gaires, elranatamabas, kaip ir teklistamabas, yra rekomenduojamas kaip pirmo pasirinkimo gydymas šioje klinikinėje situacijoje, turintis aukščiausio lygio (Category 1 / preferred) rekomendaciją.</w:t>
      </w:r>
    </w:p>
    <w:p w14:paraId="13491E0D" w14:textId="77777777" w:rsidR="00EB3D2A" w:rsidRPr="005364A7" w:rsidRDefault="00EB3D2A" w:rsidP="00EB3D2A">
      <w:pPr>
        <w:tabs>
          <w:tab w:val="left" w:pos="567"/>
        </w:tabs>
        <w:spacing w:line="360" w:lineRule="auto"/>
        <w:jc w:val="both"/>
        <w:rPr>
          <w:bCs/>
          <w:lang w:eastAsia="lt-LT"/>
        </w:rPr>
      </w:pPr>
      <w:r w:rsidRPr="005364A7">
        <w:rPr>
          <w:bCs/>
          <w:lang w:eastAsia="lt-LT"/>
        </w:rPr>
        <w:tab/>
      </w:r>
      <w:r w:rsidRPr="005364A7">
        <w:rPr>
          <w:bCs/>
          <w:lang w:eastAsia="lt-LT"/>
        </w:rPr>
        <w:tab/>
        <w:t>Lietuvoje šiuo metu nėra patvirtinto dauginės mielomos gydymo tvarkos aprašo, todėl klinikinėje praktikoje vadovaujamasi tarptautinėmis gairėmis ir realiomis kompensuojamų vaistų prieinamumo galimybėmis. Remiantis Valstybinės ligonių kasos (VLK) duomenimis, ekspertų nuomone bei klinikine praktika trijuose Lietuvos hematologijos centruose (Vilniuje, Kaune ir Klaipėdoje), pacientams, sergantiems TCR recidyvuojančia ir refrakterine daugine mieloma, dažniausiai taikomas pomalidomido ir deksametazono (Pom/Dex) derinys, kuris faktiškai atlieka dominuojančio 4-os eilės gydymo vaidmenį, nepaisant riboto jo veiksmingumo šioje pacientų populiacijoje.</w:t>
      </w:r>
    </w:p>
    <w:p w14:paraId="7712A2E6" w14:textId="77777777" w:rsidR="00EB3D2A" w:rsidRPr="005364A7" w:rsidRDefault="00EB3D2A" w:rsidP="00EB3D2A">
      <w:pPr>
        <w:tabs>
          <w:tab w:val="left" w:pos="567"/>
          <w:tab w:val="num" w:pos="720"/>
        </w:tabs>
        <w:spacing w:line="360" w:lineRule="auto"/>
        <w:jc w:val="both"/>
        <w:rPr>
          <w:bCs/>
          <w:lang w:eastAsia="lt-LT"/>
        </w:rPr>
      </w:pPr>
      <w:r w:rsidRPr="005364A7">
        <w:rPr>
          <w:bCs/>
          <w:lang w:eastAsia="lt-LT"/>
        </w:rPr>
        <w:tab/>
      </w:r>
      <w:r w:rsidRPr="005364A7">
        <w:rPr>
          <w:bCs/>
          <w:lang w:eastAsia="lt-LT"/>
        </w:rPr>
        <w:tab/>
        <w:t>Įvertinus tai, kad: a. elranatamabo ir teklistamabo terapinės indikacijos yra identiškos; b. abu vaistiniai preparatai yra toje pačioje gydymo pozicijoje pagal NCCN gaires; c. Teklistamabo paraiškos (STV-198) vertinimo metu Patariamoji taryba pripažino Pom/Dex tinkamu palyginamuoju gydymu; d. Lietuvos klinikinėje praktikoje alternatyvių efektyvių gydymo galimybių TCR pacientams praktiškai nėra, laikoma, kad pomalidomido ir deksametazono (Pom/Dex) derinys yra tinkamas ir realią klinikinę praktiką atitinkantis palyginamasis gydymas elranatamabo vertinimui.</w:t>
      </w:r>
    </w:p>
    <w:p w14:paraId="390FFBD1" w14:textId="13E6F73B" w:rsidR="00AA68E4" w:rsidRPr="005364A7" w:rsidRDefault="00EB3D2A" w:rsidP="00AA68E4">
      <w:pPr>
        <w:tabs>
          <w:tab w:val="left" w:pos="567"/>
        </w:tabs>
        <w:spacing w:line="360" w:lineRule="auto"/>
        <w:jc w:val="both"/>
      </w:pPr>
      <w:r w:rsidRPr="005364A7">
        <w:rPr>
          <w:bCs/>
          <w:lang w:eastAsia="lt-LT"/>
        </w:rPr>
        <w:tab/>
      </w:r>
      <w:r w:rsidRPr="005364A7">
        <w:rPr>
          <w:bCs/>
          <w:lang w:eastAsia="lt-LT"/>
        </w:rPr>
        <w:tab/>
      </w:r>
      <w:r w:rsidR="00AA68E4" w:rsidRPr="005364A7">
        <w:t xml:space="preserve">Įvertinus paraiškoje pateiktus  klinikinius duomenis, siūlomą kompensuoti terapinę indikaciją bei įprastinę klinikinę praktiką Lietuvoje, šiuo metu indikacijose teikiamai populiacijai gydymas </w:t>
      </w:r>
      <w:r w:rsidR="00AA68E4" w:rsidRPr="005364A7">
        <w:rPr>
          <w:bCs/>
        </w:rPr>
        <w:t xml:space="preserve">elranatamabu </w:t>
      </w:r>
      <w:r w:rsidR="00AA68E4" w:rsidRPr="005364A7">
        <w:t>yra laikomas tinkamu palyginamuoju gydymu.</w:t>
      </w:r>
    </w:p>
    <w:p w14:paraId="353C6182" w14:textId="77777777" w:rsidR="00AA68E4" w:rsidRPr="005364A7" w:rsidRDefault="00AA68E4" w:rsidP="00AA68E4">
      <w:pPr>
        <w:tabs>
          <w:tab w:val="left" w:pos="567"/>
        </w:tabs>
        <w:spacing w:line="360" w:lineRule="auto"/>
        <w:jc w:val="both"/>
      </w:pPr>
      <w:r w:rsidRPr="005364A7">
        <w:tab/>
      </w:r>
      <w:r w:rsidRPr="005364A7">
        <w:tab/>
        <w:t xml:space="preserve">2025 rugsėjo 18 d. į kompensuojamų vaistų sąrašą buvo patvirtintas Tecvayli (teklistamabas) kaip monoterapija, skirtas gydyti suaugusiems pacientams, sergantiems atsinaujinusia ir atsparia daugine mieloma, kurie prieš tai yra gavę mažiausiai tris gydymo kursus, įskaitant gydymą </w:t>
      </w:r>
      <w:r w:rsidRPr="005364A7">
        <w:lastRenderedPageBreak/>
        <w:t>imunomoduliatoriumi, proteosomos inhibitoriumi ir antikūniu prieš CD38, ir kuriems pasireiškė ligos progresavimas paskutiniojo gydymo metu. Teklistamabas pagal tarptautinių organizacijų gydymo schemas atitinka tą pačią gydymo eilę ir indikaciją kaip ir šioje paraiškoje vertinamas e</w:t>
      </w:r>
      <w:r w:rsidRPr="005364A7">
        <w:rPr>
          <w:lang w:val="en-US"/>
        </w:rPr>
        <w:t>lranatamabas. Šių vaistų farmakoterpinė grupė yra vienoda, t.y. m</w:t>
      </w:r>
      <w:r w:rsidRPr="005364A7">
        <w:t>onokloniniai antikūnai ir antikūnų vaistinių preparatų konjugatai. Vertinant šią paraišką, teoriškai, kaip palyginamasis gydymas būti tinkamas Tecvayli (teklistamabas), tačiau, nuo STV-204A pateikimo datos nėra praėję daugiau kaip 6 mėnesiai po Tecvayli įtraukimo į sąrašą, taigi PomDex palyginamasis gydymas atitinką standartinę klinikinę praktiką Lietuvoje.</w:t>
      </w:r>
    </w:p>
    <w:p w14:paraId="6875973C" w14:textId="77777777" w:rsidR="00AA68E4" w:rsidRPr="005364A7" w:rsidRDefault="00AA68E4" w:rsidP="00AA68E4">
      <w:pPr>
        <w:tabs>
          <w:tab w:val="left" w:pos="567"/>
        </w:tabs>
        <w:spacing w:line="360" w:lineRule="auto"/>
        <w:jc w:val="both"/>
      </w:pPr>
    </w:p>
    <w:p w14:paraId="0237BEEE" w14:textId="77777777" w:rsidR="00AA68E4" w:rsidRPr="005364A7" w:rsidRDefault="00AA68E4" w:rsidP="00AA68E4">
      <w:pPr>
        <w:tabs>
          <w:tab w:val="left" w:pos="567"/>
        </w:tabs>
        <w:spacing w:line="360" w:lineRule="auto"/>
        <w:jc w:val="both"/>
        <w:rPr>
          <w:i/>
          <w:iCs/>
        </w:rPr>
      </w:pPr>
      <w:r w:rsidRPr="005364A7">
        <w:rPr>
          <w:i/>
          <w:iCs/>
        </w:rPr>
        <w:t>Tiesioginis palyginimas</w:t>
      </w:r>
    </w:p>
    <w:p w14:paraId="2A7CB514" w14:textId="77777777" w:rsidR="00EB3D2A" w:rsidRPr="005364A7" w:rsidRDefault="00EB3D2A" w:rsidP="00EB3D2A">
      <w:pPr>
        <w:tabs>
          <w:tab w:val="left" w:pos="426"/>
        </w:tabs>
        <w:spacing w:line="360" w:lineRule="auto"/>
        <w:jc w:val="both"/>
      </w:pPr>
      <w:r w:rsidRPr="005364A7">
        <w:tab/>
      </w:r>
      <w:r w:rsidRPr="005364A7">
        <w:tab/>
        <w:t>Elranatamabo (ELREXFIO) monoterapijos veiksmingumas pacientams, sergantiems recidyvuojančia arba refrakterine daugine mieloma, vertinamas remiantis paraiškoje pateikto MagnetisMM-3 klinikinio tyrimo duomenimis. MagnetisMM-3 – atviras, be atsitiktinių imčių, daugiacentris II fazės registracinis klinikinis tyrimas, kuriame elranatamabo monoterapija vertinta suaugusiems pacientams, sergantiems RRMM, kuriems prieš tai buvo taikyti ne mažiau kaip trys gydymo būdai, įskaitant proteasomos inhibitorius, imunomoduliatorius ir anti-CD38 monokloninį antikūną, ir kurių liga progresavo po paskutinio gydymo. Tyrimo pacientų populiacija atitinka Lietuvos pacientų populiaciją, kuriai ELREXFIO galėtų būti skiriamas pagal numatomas indikacijas.</w:t>
      </w:r>
    </w:p>
    <w:p w14:paraId="0D3B7AF0" w14:textId="77777777" w:rsidR="00EB3D2A" w:rsidRPr="005364A7" w:rsidRDefault="00EB3D2A" w:rsidP="00EB3D2A">
      <w:pPr>
        <w:tabs>
          <w:tab w:val="left" w:pos="426"/>
        </w:tabs>
        <w:spacing w:line="360" w:lineRule="auto"/>
        <w:jc w:val="both"/>
      </w:pPr>
      <w:r w:rsidRPr="005364A7">
        <w:tab/>
      </w:r>
      <w:r w:rsidRPr="005364A7">
        <w:tab/>
        <w:t>Pagrindinė vertinamoji baigtis buvo bendras atsako dažnis (ORR, angl. overall response rate), apibrėžiamas kaip dalinis atsakas (PR) ar geresnis atsakas pagal 2016 m. IMWG kriterijus, vertintas koduota nepriklausoma centrine peržiūra (BIRC). Svarbiausios antrinės baigtys apėmė visiško atsako dažnį (CRR), atsako trukmę (DoR), išgyvenamumą be ligos progresavimo (PFS), bendrąjį išgyvenamumą (OS), laiką iki atsako (TTR), minimalios likutinės ligos (MRD) neigiamumą bei pacientų praneštas baigtis.</w:t>
      </w:r>
    </w:p>
    <w:p w14:paraId="3DE80548" w14:textId="77777777" w:rsidR="00EB3D2A" w:rsidRPr="005364A7" w:rsidRDefault="00EB3D2A" w:rsidP="00EB3D2A">
      <w:pPr>
        <w:tabs>
          <w:tab w:val="left" w:pos="426"/>
        </w:tabs>
        <w:spacing w:line="360" w:lineRule="auto"/>
        <w:jc w:val="both"/>
      </w:pPr>
    </w:p>
    <w:p w14:paraId="091F6890" w14:textId="77777777" w:rsidR="00EB3D2A" w:rsidRPr="005364A7" w:rsidRDefault="00EB3D2A" w:rsidP="00EB3D2A">
      <w:pPr>
        <w:tabs>
          <w:tab w:val="left" w:pos="426"/>
        </w:tabs>
        <w:spacing w:line="360" w:lineRule="auto"/>
        <w:jc w:val="both"/>
        <w:rPr>
          <w:b/>
          <w:bCs/>
        </w:rPr>
      </w:pPr>
      <w:r w:rsidRPr="005364A7">
        <w:rPr>
          <w:b/>
          <w:bCs/>
        </w:rPr>
        <w:t>Bendras atsako dažnis (ORR)</w:t>
      </w:r>
    </w:p>
    <w:p w14:paraId="7C80023C" w14:textId="77777777" w:rsidR="00EB3D2A" w:rsidRPr="005364A7" w:rsidRDefault="00EB3D2A" w:rsidP="00EB3D2A">
      <w:pPr>
        <w:tabs>
          <w:tab w:val="left" w:pos="426"/>
        </w:tabs>
        <w:spacing w:line="360" w:lineRule="auto"/>
        <w:jc w:val="both"/>
      </w:pPr>
      <w:r w:rsidRPr="005364A7">
        <w:tab/>
      </w:r>
      <w:r w:rsidRPr="005364A7">
        <w:tab/>
        <w:t>Esant vidutinei stebėjimo trukmei 14,7 mėn., elranatamabas buvo susijęs su ORR 61,0 % (95 % PI: 51,8–69,6; p &lt; 0,0001) A kohortoje (n = 123), t. y. daugiau nei pusė pacientų pasiekė dalinį ar geresnį atsaką pagal BIRC vertinimą. Klinikinė šio rezultato reikšmė pagrįstina tuo, kad tiriama populiacija buvo labai išgydyta, dauguma pacientų buvo trigubai klasei atsparūs (TCR), o dalis – penta-klasėms atsparūs.</w:t>
      </w:r>
    </w:p>
    <w:p w14:paraId="55E2BAEC" w14:textId="77777777" w:rsidR="00EB3D2A" w:rsidRPr="005364A7" w:rsidRDefault="00EB3D2A" w:rsidP="00EB3D2A">
      <w:pPr>
        <w:tabs>
          <w:tab w:val="left" w:pos="426"/>
        </w:tabs>
        <w:spacing w:line="360" w:lineRule="auto"/>
        <w:jc w:val="both"/>
      </w:pPr>
      <w:r w:rsidRPr="005364A7">
        <w:tab/>
      </w:r>
      <w:r w:rsidRPr="005364A7">
        <w:tab/>
        <w:t>Pogrupių analizėse ORR buvo nuoseklus daugumoje iš anksto apibrėžtų pogrupių, tačiau klinikiniai rezultatai buvo prastesni pacientams, turėjusiems EMD tyrimo pradžioje: ORR be EMD – 71,4 %, o su EMD – 38,5 %, kas atitinka žinomą prastesnę EMD prognozę RRMM populiacijoje.</w:t>
      </w:r>
    </w:p>
    <w:p w14:paraId="7629C4C6" w14:textId="77777777" w:rsidR="00EB3D2A" w:rsidRPr="005364A7" w:rsidRDefault="00EB3D2A" w:rsidP="00EB3D2A">
      <w:pPr>
        <w:tabs>
          <w:tab w:val="left" w:pos="426"/>
        </w:tabs>
        <w:spacing w:line="360" w:lineRule="auto"/>
        <w:jc w:val="both"/>
      </w:pPr>
    </w:p>
    <w:p w14:paraId="3B6EE65A" w14:textId="77777777" w:rsidR="00EB3D2A" w:rsidRPr="005364A7" w:rsidRDefault="00EB3D2A" w:rsidP="00EB3D2A">
      <w:pPr>
        <w:tabs>
          <w:tab w:val="left" w:pos="426"/>
        </w:tabs>
        <w:spacing w:line="360" w:lineRule="auto"/>
        <w:jc w:val="both"/>
        <w:rPr>
          <w:b/>
          <w:bCs/>
        </w:rPr>
      </w:pPr>
      <w:r w:rsidRPr="005364A7">
        <w:rPr>
          <w:b/>
          <w:bCs/>
        </w:rPr>
        <w:lastRenderedPageBreak/>
        <w:t>Visiško atsako dažnis</w:t>
      </w:r>
    </w:p>
    <w:p w14:paraId="7F93B63B" w14:textId="77777777" w:rsidR="00EB3D2A" w:rsidRPr="005364A7" w:rsidRDefault="00EB3D2A" w:rsidP="00EB3D2A">
      <w:pPr>
        <w:tabs>
          <w:tab w:val="left" w:pos="426"/>
        </w:tabs>
        <w:spacing w:line="360" w:lineRule="auto"/>
        <w:jc w:val="both"/>
      </w:pPr>
      <w:r w:rsidRPr="005364A7">
        <w:tab/>
      </w:r>
      <w:r w:rsidRPr="005364A7">
        <w:tab/>
        <w:t>Visiško atsako dažnio (CRR; sCR + CR) analizė parodė, kad 37,4 % (95 % PI: 28,8–46,6) pacientų pasiekė visišką arba griežtą visišką atsaką. Didelė dalis atsakų buvo gilesni (≥VGPR), kas yra kliniškai svarbu RRMM kontekste, vertinant tikėtiną ilgesnę ligos kontrolę pacientams, kurių atsakas pasiekia aukštesnį lygį.</w:t>
      </w:r>
    </w:p>
    <w:p w14:paraId="60C300E0" w14:textId="77777777" w:rsidR="00EB3D2A" w:rsidRPr="005364A7" w:rsidRDefault="00EB3D2A" w:rsidP="00EB3D2A">
      <w:pPr>
        <w:tabs>
          <w:tab w:val="left" w:pos="426"/>
        </w:tabs>
        <w:spacing w:line="360" w:lineRule="auto"/>
        <w:jc w:val="both"/>
      </w:pPr>
    </w:p>
    <w:p w14:paraId="34056C90" w14:textId="77777777" w:rsidR="00EB3D2A" w:rsidRPr="005364A7" w:rsidRDefault="00EB3D2A" w:rsidP="00EB3D2A">
      <w:pPr>
        <w:tabs>
          <w:tab w:val="left" w:pos="426"/>
        </w:tabs>
        <w:spacing w:line="360" w:lineRule="auto"/>
        <w:jc w:val="both"/>
        <w:rPr>
          <w:b/>
          <w:bCs/>
        </w:rPr>
      </w:pPr>
      <w:r w:rsidRPr="005364A7">
        <w:rPr>
          <w:b/>
          <w:bCs/>
        </w:rPr>
        <w:t>Atsako trukmė (DoR) ir laikas iki atsako (TTR)</w:t>
      </w:r>
    </w:p>
    <w:p w14:paraId="0039C818" w14:textId="77777777" w:rsidR="00EB3D2A" w:rsidRPr="005364A7" w:rsidRDefault="00EB3D2A" w:rsidP="00EB3D2A">
      <w:pPr>
        <w:tabs>
          <w:tab w:val="left" w:pos="426"/>
        </w:tabs>
        <w:spacing w:line="360" w:lineRule="auto"/>
        <w:jc w:val="both"/>
      </w:pPr>
      <w:r w:rsidRPr="005364A7">
        <w:tab/>
      </w:r>
      <w:r w:rsidRPr="005364A7">
        <w:tab/>
        <w:t>Tarp pacientų, kuriems buvo patvirtintas atsakas, mediana DoR nebuvo pasiekta (15 mėn. duomenų surinkimo riboje), o Kaplan–Meier analizė parodė, kad tikimybė išlaikyti atsaką po 15 mėn. buvo 71,5 %. Atsakas pasireiškė greitai – tarp atsaką pasiekusių pacientų TTR mediana buvo 1,2 mėn. (intervalas 0,9–7,4 mėn.), t. y. dauguma atsakų pasireiškė per pirmuosius du gydymo mėnesius.</w:t>
      </w:r>
    </w:p>
    <w:p w14:paraId="43BDEF53" w14:textId="77777777" w:rsidR="00EB3D2A" w:rsidRPr="005364A7" w:rsidRDefault="00EB3D2A" w:rsidP="00EB3D2A">
      <w:pPr>
        <w:tabs>
          <w:tab w:val="left" w:pos="426"/>
        </w:tabs>
        <w:spacing w:line="360" w:lineRule="auto"/>
        <w:jc w:val="both"/>
      </w:pPr>
    </w:p>
    <w:p w14:paraId="68931C3E" w14:textId="77777777" w:rsidR="00EB3D2A" w:rsidRPr="005364A7" w:rsidRDefault="00EB3D2A" w:rsidP="00EB3D2A">
      <w:pPr>
        <w:tabs>
          <w:tab w:val="left" w:pos="426"/>
        </w:tabs>
        <w:spacing w:line="360" w:lineRule="auto"/>
        <w:jc w:val="both"/>
        <w:rPr>
          <w:b/>
          <w:bCs/>
        </w:rPr>
      </w:pPr>
      <w:r w:rsidRPr="005364A7">
        <w:rPr>
          <w:b/>
          <w:bCs/>
        </w:rPr>
        <w:t>Išgyvenamumas be ligos progresavimo (PFS) ir bendrasis išgyvenamumas (OS)</w:t>
      </w:r>
    </w:p>
    <w:p w14:paraId="58A79A91" w14:textId="77777777" w:rsidR="00EB3D2A" w:rsidRPr="005364A7" w:rsidRDefault="00EB3D2A" w:rsidP="00EB3D2A">
      <w:pPr>
        <w:tabs>
          <w:tab w:val="left" w:pos="426"/>
        </w:tabs>
        <w:spacing w:line="360" w:lineRule="auto"/>
        <w:jc w:val="both"/>
      </w:pPr>
      <w:r w:rsidRPr="005364A7">
        <w:tab/>
      </w:r>
      <w:r w:rsidRPr="005364A7">
        <w:tab/>
        <w:t>Pagal 15 mėn. duomenų surinkimo ribą PFS mediana nebuvo pasiekta (95 % PI: 9,9 mėn.–NE), o Kaplan–Meier analizė parodė, kad tikimybė išlikti be ligos progresavimo po 15 mėn. buvo 50,9 % visoje populiacijoje. OS mediana taip pat nebuvo pasiekta (95 % PI: 13,9 mėn.–NE), o išgyvenamumo tikimybė po 15 mėn. buvo 56,7 % (95 % PI: 47,4–65,1). Šie rezultatai vertintini atsižvelgiant į tai, kad tiriama populiacija buvo labai išgydyta ir pasižymėjo nepalankiais prognostiniais požymiais (TCR, penta-refrakteriškumas, didelės rizikos citogenetika, ekstramedulinė liga).</w:t>
      </w:r>
    </w:p>
    <w:p w14:paraId="30E1859E" w14:textId="77777777" w:rsidR="00EB3D2A" w:rsidRPr="005364A7" w:rsidRDefault="00EB3D2A" w:rsidP="00EB3D2A">
      <w:pPr>
        <w:tabs>
          <w:tab w:val="left" w:pos="426"/>
        </w:tabs>
        <w:spacing w:line="360" w:lineRule="auto"/>
        <w:jc w:val="both"/>
      </w:pPr>
    </w:p>
    <w:p w14:paraId="56CFC92D" w14:textId="77777777" w:rsidR="00EB3D2A" w:rsidRPr="005364A7" w:rsidRDefault="00EB3D2A" w:rsidP="00EB3D2A">
      <w:pPr>
        <w:tabs>
          <w:tab w:val="left" w:pos="426"/>
        </w:tabs>
        <w:spacing w:line="360" w:lineRule="auto"/>
        <w:jc w:val="both"/>
        <w:rPr>
          <w:b/>
          <w:bCs/>
        </w:rPr>
      </w:pPr>
      <w:r w:rsidRPr="005364A7">
        <w:rPr>
          <w:b/>
          <w:bCs/>
        </w:rPr>
        <w:t>Pacientų praneštos baigtys</w:t>
      </w:r>
    </w:p>
    <w:p w14:paraId="62E439BE" w14:textId="77777777" w:rsidR="00EB3D2A" w:rsidRPr="005364A7" w:rsidRDefault="00EB3D2A" w:rsidP="00EB3D2A">
      <w:pPr>
        <w:tabs>
          <w:tab w:val="left" w:pos="426"/>
        </w:tabs>
        <w:spacing w:line="360" w:lineRule="auto"/>
        <w:jc w:val="both"/>
      </w:pPr>
      <w:r w:rsidRPr="005364A7">
        <w:tab/>
      </w:r>
      <w:r w:rsidRPr="005364A7">
        <w:tab/>
        <w:t>Pacientų praneštos baigtys buvo vertintos EORTC QLQ-C30/QLQ-MY20, EQ-5D-5L ir PGI-S klausimynais. Tyrimo duomenys rodo kliniškai reikšmingus su mieloma susijusių simptomų pokyčius (pvz., skausmo mažėjimą nuo 4 ciklo), o bendra gyvenimo kokybė pagal EQ-5D išliko stabili, vėliau stebint nedidelį pagerėjimą.</w:t>
      </w:r>
    </w:p>
    <w:p w14:paraId="68882409" w14:textId="77777777" w:rsidR="00EB3D2A" w:rsidRPr="005364A7" w:rsidRDefault="00EB3D2A" w:rsidP="00EB3D2A">
      <w:pPr>
        <w:tabs>
          <w:tab w:val="left" w:pos="426"/>
        </w:tabs>
        <w:spacing w:line="276" w:lineRule="auto"/>
        <w:jc w:val="both"/>
      </w:pPr>
    </w:p>
    <w:p w14:paraId="49DB4A55" w14:textId="77777777" w:rsidR="00EB3D2A" w:rsidRPr="005364A7" w:rsidRDefault="00EB3D2A" w:rsidP="00EB3D2A">
      <w:pPr>
        <w:tabs>
          <w:tab w:val="left" w:pos="426"/>
        </w:tabs>
        <w:spacing w:line="360" w:lineRule="auto"/>
        <w:jc w:val="both"/>
        <w:rPr>
          <w:i/>
          <w:iCs/>
        </w:rPr>
      </w:pPr>
      <w:r w:rsidRPr="005364A7">
        <w:rPr>
          <w:i/>
          <w:iCs/>
        </w:rPr>
        <w:t>Netiesioginis palyginimas</w:t>
      </w:r>
    </w:p>
    <w:p w14:paraId="5636D728" w14:textId="77777777" w:rsidR="00EB3D2A" w:rsidRPr="005364A7" w:rsidRDefault="00EB3D2A" w:rsidP="00EB3D2A">
      <w:pPr>
        <w:spacing w:line="360" w:lineRule="auto"/>
        <w:ind w:firstLine="720"/>
        <w:jc w:val="both"/>
        <w:rPr>
          <w:rFonts w:eastAsia="Arial"/>
        </w:rPr>
      </w:pPr>
      <w:r w:rsidRPr="005364A7">
        <w:rPr>
          <w:rFonts w:eastAsia="Arial"/>
        </w:rPr>
        <w:t>Buvo atlikta sisteminė literatūros apžvalga, siekiant nustatyti įrodymus apie elranatamabo ir tinkamų palyginamųjų gydymo variantų santykinį veiksmingumą ir saugumą pacientams, sergantiems recidyvuojančia arba refrakterine daugine mieloma (RRMM). Galutinė SLR įrodymų atranka buvo apribota palyginamaisiais gydymo būdais pacientams, sergantiems RRMM, kurie buvo gavę mažiausiai tris ankstesnes gydymo linijas, įskaitant imunomoduliuojantį vaistą (IMiD), proteasomų inhibitorių (PI) ir anti-CD38 monokloninį antikūną (mAb), ir kuriems liga progresavo paskutinio gydymo metu.</w:t>
      </w:r>
    </w:p>
    <w:p w14:paraId="10E8F7DF" w14:textId="77777777" w:rsidR="00EB3D2A" w:rsidRPr="005364A7" w:rsidRDefault="00EB3D2A" w:rsidP="00EB3D2A">
      <w:pPr>
        <w:spacing w:line="360" w:lineRule="auto"/>
        <w:ind w:firstLine="720"/>
        <w:jc w:val="both"/>
        <w:rPr>
          <w:rFonts w:eastAsia="Arial"/>
        </w:rPr>
      </w:pPr>
      <w:r w:rsidRPr="005364A7">
        <w:rPr>
          <w:rFonts w:eastAsia="Arial"/>
        </w:rPr>
        <w:lastRenderedPageBreak/>
        <w:t>SLR metu buvo nustatyti šeši klinikiniai tyrimai, kuriuose buvo POM+DEX gydymo šaka. Iš jų MM-003 tyrimas buvo pasirinktas neinkaruotos MAIC (angl. matching-adjusted indirect comparison) analizės pagrindu, nes jo populiacija pagal pradinius pacientų požymius, įskaitant medianinį ankstesnių gydymo linijų skaičių, buvo labiausiai panaši į MagnetisMM-3 tyrimo populiaciją.</w:t>
      </w:r>
    </w:p>
    <w:p w14:paraId="5479CD6C" w14:textId="77777777" w:rsidR="00EB3D2A" w:rsidRPr="005364A7" w:rsidRDefault="00EB3D2A" w:rsidP="00EB3D2A">
      <w:pPr>
        <w:spacing w:line="360" w:lineRule="auto"/>
        <w:ind w:firstLine="720"/>
        <w:jc w:val="both"/>
        <w:rPr>
          <w:rFonts w:eastAsia="Arial"/>
        </w:rPr>
      </w:pPr>
      <w:r w:rsidRPr="005364A7">
        <w:rPr>
          <w:rFonts w:eastAsia="Arial"/>
        </w:rPr>
        <w:t>Tarp MagnetisMM-3 ir MM-003 tyrimų buvo nustatytas reikšmingas heterogeniškumas tiek pagal tyrimų dizainą, tiek pagal pacientų populiacijas, pavyzdžiui:</w:t>
      </w:r>
    </w:p>
    <w:p w14:paraId="5FCA96E7" w14:textId="77777777" w:rsidR="00EB3D2A" w:rsidRPr="005364A7" w:rsidRDefault="00EB3D2A" w:rsidP="00EB3D2A">
      <w:pPr>
        <w:numPr>
          <w:ilvl w:val="0"/>
          <w:numId w:val="16"/>
        </w:numPr>
        <w:spacing w:line="360" w:lineRule="auto"/>
        <w:jc w:val="both"/>
        <w:rPr>
          <w:rFonts w:eastAsia="Arial"/>
        </w:rPr>
      </w:pPr>
      <w:r w:rsidRPr="005364A7">
        <w:rPr>
          <w:rFonts w:eastAsia="Arial"/>
        </w:rPr>
        <w:t>MM-003 tyrime dalyvavę pacientai anksčiau nebuvo gydyti anti-CD38 terapijomis, tuo tarpu gydymas anti-CD38 monokloniniais antikūnais buvo įtraukimo kriterijus MagnetisMM-3 tyrime. Todėl MagnetisMM-3 pacientų prognozė yra prastesnė nei MM-003 populiacijos. Šių skirtumų neįmanoma pakoreguoti MAIC analizėje, ir jie gali lemti rezultatų šališkumą.</w:t>
      </w:r>
    </w:p>
    <w:p w14:paraId="7A0C009E" w14:textId="77777777" w:rsidR="00EB3D2A" w:rsidRPr="005364A7" w:rsidRDefault="00EB3D2A" w:rsidP="00EB3D2A">
      <w:pPr>
        <w:numPr>
          <w:ilvl w:val="0"/>
          <w:numId w:val="16"/>
        </w:numPr>
        <w:spacing w:line="360" w:lineRule="auto"/>
        <w:jc w:val="both"/>
        <w:rPr>
          <w:rFonts w:eastAsia="Arial"/>
        </w:rPr>
      </w:pPr>
      <w:r w:rsidRPr="005364A7">
        <w:rPr>
          <w:rFonts w:eastAsia="Arial"/>
        </w:rPr>
        <w:t>MM-003 tyrime nebuvo įtraukti pacientai, anksčiau gydyti pomalidomidu (POM), tuo tarpu MagnetisMM-3 tyrime 81 % pacientų buvo anksčiau gydyti POM. Šių skirtumų taip pat neįmanoma pakoreguoti MAIC analizėje, todėl jie gali lemti rezultatų šališkumą.</w:t>
      </w:r>
    </w:p>
    <w:p w14:paraId="3980B266" w14:textId="77777777" w:rsidR="00EB3D2A" w:rsidRPr="005364A7" w:rsidRDefault="00EB3D2A" w:rsidP="00EB3D2A">
      <w:pPr>
        <w:numPr>
          <w:ilvl w:val="0"/>
          <w:numId w:val="16"/>
        </w:numPr>
        <w:spacing w:line="360" w:lineRule="auto"/>
        <w:jc w:val="both"/>
        <w:rPr>
          <w:rFonts w:eastAsia="Arial"/>
        </w:rPr>
      </w:pPr>
      <w:r w:rsidRPr="005364A7">
        <w:rPr>
          <w:rFonts w:eastAsia="Arial"/>
        </w:rPr>
        <w:t>MM-003 tyrimo pacientai nebuvo trigubai gydymui atsparūs, todėl šio tyrimo veiksmingumo rezultatai turėtų būti laikomi viršutine galimų klinikinių rezultatų riba, atsižvelgiant į tai, kad tikrieji TCR pacientai pasižymi prastesnėmis klinikinėmis baigtimis.</w:t>
      </w:r>
    </w:p>
    <w:p w14:paraId="1948B66B" w14:textId="77777777" w:rsidR="00EB3D2A" w:rsidRPr="005364A7" w:rsidRDefault="00EB3D2A" w:rsidP="00EB3D2A">
      <w:pPr>
        <w:spacing w:line="360" w:lineRule="auto"/>
        <w:ind w:firstLine="720"/>
        <w:jc w:val="both"/>
        <w:rPr>
          <w:rFonts w:eastAsia="Arial"/>
        </w:rPr>
      </w:pPr>
    </w:p>
    <w:p w14:paraId="158AE5AA" w14:textId="77777777" w:rsidR="00EB3D2A" w:rsidRPr="005364A7" w:rsidRDefault="00EB3D2A" w:rsidP="00EB3D2A">
      <w:pPr>
        <w:spacing w:line="360" w:lineRule="auto"/>
        <w:ind w:firstLine="720"/>
        <w:jc w:val="both"/>
        <w:rPr>
          <w:rFonts w:eastAsia="Arial"/>
        </w:rPr>
      </w:pPr>
      <w:r w:rsidRPr="005364A7">
        <w:rPr>
          <w:rFonts w:eastAsia="Arial"/>
        </w:rPr>
        <w:t>Pateikiama PFS Kaplan–Meier kreivė, gauta atlikus nepakoreguotą palyginimą ir neinkaruotą MAIC analizę, vertinant MagnetisMM-3 ir MM-003 tyrimus. Elranatamabo gydymas visose analizėse lėmė reikšmingą PFS pagerėjimą, palyginti su POM+DEX. Ryškus kreivių išsiskyrimas ir aiškus atotrūkis Kaplan–Meier duomenyse rodo ilgesnį laiką be ligos progresavimo pacientams, gydytiems elranatamabu, palyginti su POM+DEX.</w:t>
      </w:r>
    </w:p>
    <w:p w14:paraId="0C99667B" w14:textId="77777777" w:rsidR="00EB3D2A" w:rsidRPr="005364A7" w:rsidRDefault="00EB3D2A" w:rsidP="00EB3D2A">
      <w:pPr>
        <w:spacing w:line="360" w:lineRule="auto"/>
        <w:ind w:firstLine="720"/>
        <w:jc w:val="both"/>
        <w:rPr>
          <w:rFonts w:eastAsia="Arial"/>
        </w:rPr>
      </w:pPr>
      <w:r w:rsidRPr="005364A7">
        <w:rPr>
          <w:rFonts w:eastAsia="Arial"/>
        </w:rPr>
        <w:t>Pateikiama Kaplan–Meier kreivė, gauta atlikus nepakoreguotą palyginimą ir neinkaruotą MAIC analizę, vertinant BI MagnetisMM-3 ir MM-003 tyrimuose (Paveikslas 16). Naivioje analizėje elranatamabo gydymas lėmė statistiškai reikšmingą OS pagerėjimą, palyginti su POM+DEX. Pakoreguotoje neinkaruotoje MAIC analizėje elranatamabas buvo susijęs su skaitmeniškai palankesniais BI rezultatais, tačiau statistinis reikšmingumas nebuvo pasiektas (p = 0,054). Palankesni BI rezultatai rodo ilgesnį išgyvenamumą pacientams, gydytiems elranatamabu, palyginti su POM+DEX. Šie rezultatai stebimi nepaisant to, kad MAIC analizė negalėjo visiškai pakoreguoti skirtumų tarp kohortų pagal ankstesnių gydymo linijų poveikį – šis šališkumas tikėtina lemia elranatamabo gydymo naudos neįvertinimą.</w:t>
      </w:r>
    </w:p>
    <w:p w14:paraId="73FD273D" w14:textId="77777777" w:rsidR="00EB3D2A" w:rsidRPr="005364A7" w:rsidRDefault="00EB3D2A" w:rsidP="00EB3D2A">
      <w:pPr>
        <w:spacing w:line="360" w:lineRule="auto"/>
        <w:ind w:firstLine="720"/>
        <w:jc w:val="both"/>
      </w:pPr>
      <w:r w:rsidRPr="005364A7">
        <w:t xml:space="preserve">Elranatamabo gydymas visose analizėse reikšmingai pagerino išgyvenamumą be ligos progresavimo (PFS), palyginti su POM+DEX. Vis dėlto p reikšmes reikėtų vertinti atsargiai, nes Kaplan–Meier kreivių išsiskyrimas rodo, kad proporcingų rizikų prielaida šiam testui nėra tenkinama. </w:t>
      </w:r>
      <w:r w:rsidRPr="005364A7">
        <w:lastRenderedPageBreak/>
        <w:t>Nepaisant to, pats ryškus kreivių atotrūkis ir skirtumas Kaplan–Meier duomenyse rodo ilgesnį laiką be ligos progresavimo pacientams, gydytiems elranatamabu.</w:t>
      </w:r>
    </w:p>
    <w:p w14:paraId="51D755F5" w14:textId="77777777" w:rsidR="00EB3D2A" w:rsidRPr="005364A7" w:rsidRDefault="00EB3D2A" w:rsidP="00EB3D2A">
      <w:pPr>
        <w:spacing w:line="360" w:lineRule="auto"/>
        <w:ind w:firstLine="720"/>
        <w:jc w:val="both"/>
      </w:pPr>
      <w:r w:rsidRPr="005364A7">
        <w:t>Bendrojo išgyvenamumo analizėje elranatamabas parodė statistiškai reikšmingą pranašumą prieš POM+DEX nepakoreguotoje analizėje. Pakoreguotoje neinkaruotoje MAIC analizėje elranatamabas buvo susijęs su skaitmeniškai palankesniais OS rezultatais, tačiau statistinis reikšmingumas nebuvo pasiektas (p = 0,054). Šie palankesni OS rezultatai rodo ilgesnį išgyvenamumą elranatamabu gydytiems pacientams, net ir atsižvelgiant į tai, kad MAIC analizė negalėjo visiškai pakoreguoti skirtumų tarp grupių pagal ankstesnių gydymo linijų poveikį – šis šališkumas greičiausiai lemia elranatamabo gydymo naudos neįvertinimą.</w:t>
      </w:r>
    </w:p>
    <w:p w14:paraId="4D096927" w14:textId="6282294B" w:rsidR="00EB3D2A" w:rsidRPr="005364A7" w:rsidRDefault="00EB3D2A" w:rsidP="00EB3D2A">
      <w:pPr>
        <w:spacing w:line="360" w:lineRule="auto"/>
        <w:ind w:firstLine="720"/>
        <w:jc w:val="both"/>
        <w:rPr>
          <w:rFonts w:eastAsia="Arial"/>
          <w:iCs/>
          <w:color w:val="000000" w:themeColor="text1"/>
        </w:rPr>
      </w:pPr>
      <w:r w:rsidRPr="005364A7">
        <w:rPr>
          <w:rFonts w:eastAsia="Arial"/>
          <w:iCs/>
          <w:color w:val="000000" w:themeColor="text1"/>
        </w:rPr>
        <w:t xml:space="preserve">Atsižvelgiant į veiksmingumo ir saugumo rezultatus, </w:t>
      </w:r>
      <w:r w:rsidRPr="005364A7">
        <w:t xml:space="preserve">elranatamabo </w:t>
      </w:r>
      <w:r w:rsidRPr="005364A7">
        <w:rPr>
          <w:rFonts w:eastAsia="Arial"/>
          <w:iCs/>
          <w:color w:val="000000" w:themeColor="text1"/>
        </w:rPr>
        <w:t xml:space="preserve">palyginamasis veiksmingumas yra didesnis, lyginant su įprasta klinikine praktika </w:t>
      </w:r>
      <w:r w:rsidRPr="005364A7">
        <w:rPr>
          <w:bCs/>
        </w:rPr>
        <w:t>suaugusiems pacientams, sergantiems atsinaujinusia ir atsparia daugine mieloma, kurie prieš tai yra gavę mažiausiai tris gydymo kursus, įskaitant gydymą imunomoduliatoriumi, prote</w:t>
      </w:r>
      <w:r w:rsidR="00F37FC4" w:rsidRPr="005364A7">
        <w:rPr>
          <w:bCs/>
        </w:rPr>
        <w:t>o</w:t>
      </w:r>
      <w:r w:rsidRPr="005364A7">
        <w:rPr>
          <w:bCs/>
        </w:rPr>
        <w:t>somos inhibitoriumi ir antikūnu prieš CD38, ir kuriems pasireiškė ligos progresavimas paskutiniojo gydymo metu</w:t>
      </w:r>
      <w:r w:rsidRPr="005364A7">
        <w:rPr>
          <w:rFonts w:eastAsia="Arial"/>
        </w:rPr>
        <w:t>.</w:t>
      </w:r>
    </w:p>
    <w:p w14:paraId="475EAF84" w14:textId="77777777" w:rsidR="00EB3D2A" w:rsidRPr="005364A7" w:rsidRDefault="00EB3D2A" w:rsidP="00D12869">
      <w:pPr>
        <w:tabs>
          <w:tab w:val="left" w:pos="284"/>
        </w:tabs>
        <w:rPr>
          <w:bCs/>
          <w:iCs/>
          <w:caps/>
        </w:rPr>
      </w:pPr>
    </w:p>
    <w:p w14:paraId="7DE09EB5" w14:textId="69E9DD74" w:rsidR="00E03C3F" w:rsidRPr="005364A7" w:rsidRDefault="00CC7832" w:rsidP="00CC09D4">
      <w:pPr>
        <w:pStyle w:val="Sraopastraipa"/>
        <w:numPr>
          <w:ilvl w:val="0"/>
          <w:numId w:val="12"/>
        </w:numPr>
        <w:tabs>
          <w:tab w:val="left" w:pos="567"/>
        </w:tabs>
        <w:ind w:hanging="720"/>
        <w:rPr>
          <w:b/>
          <w:bCs/>
          <w:caps/>
        </w:rPr>
      </w:pPr>
      <w:r w:rsidRPr="005364A7">
        <w:rPr>
          <w:b/>
          <w:bCs/>
          <w:caps/>
        </w:rPr>
        <w:t xml:space="preserve">ekonominio vertinimo </w:t>
      </w:r>
      <w:r w:rsidR="002F0E4F" w:rsidRPr="005364A7">
        <w:rPr>
          <w:b/>
          <w:bCs/>
          <w:caps/>
        </w:rPr>
        <w:t>apibendrinimas</w:t>
      </w:r>
    </w:p>
    <w:p w14:paraId="1A900598" w14:textId="4826E5DF" w:rsidR="00C62B36" w:rsidRPr="005364A7" w:rsidRDefault="00C62B36" w:rsidP="00A93AA6">
      <w:pPr>
        <w:tabs>
          <w:tab w:val="left" w:pos="426"/>
        </w:tabs>
        <w:rPr>
          <w:i/>
        </w:rPr>
      </w:pPr>
    </w:p>
    <w:p w14:paraId="29864A13" w14:textId="77777777" w:rsidR="00265954" w:rsidRPr="005364A7" w:rsidRDefault="00265954" w:rsidP="00F37FC4">
      <w:pPr>
        <w:shd w:val="clear" w:color="auto" w:fill="FFFFFF"/>
        <w:spacing w:line="360" w:lineRule="auto"/>
        <w:ind w:firstLine="720"/>
        <w:jc w:val="both"/>
        <w:rPr>
          <w:rFonts w:eastAsia="Arial"/>
          <w:iCs/>
        </w:rPr>
      </w:pPr>
      <w:r w:rsidRPr="005364A7">
        <w:rPr>
          <w:rFonts w:eastAsia="Arial"/>
          <w:iCs/>
        </w:rPr>
        <w:t xml:space="preserve">Pateikta kaštų naudingumo analizė, kurioje nagrinėjamas elranatamabo kaštų naudingumas. Nagrinėjami pacientai kuriems elranatamabas skiriamas kaip monoterapija, sergant recidyvuojančia ir refrakterine daugine mieloma, kuriems prieš tai buvo taikyti ne mažiau kaip trys gydymo būdai, įskaitant imunomoduliatorių, proteosomos inhibitorių ir antikūnus prieš CD38 antigeną, ir kurių liga progresavo po paskutinio gydymo. Palyginamajam gydymui naudojamas PomDex kombinacija atitinka įprastą Lietuvos klinikinę praktiką, bei taikomų vaistų dozavimas atitinka preparatų charakteristikų santraukas. </w:t>
      </w:r>
    </w:p>
    <w:p w14:paraId="35D4774E" w14:textId="77777777" w:rsidR="00265954" w:rsidRPr="005364A7" w:rsidRDefault="00265954" w:rsidP="00F37FC4">
      <w:pPr>
        <w:shd w:val="clear" w:color="auto" w:fill="FFFFFF"/>
        <w:spacing w:line="360" w:lineRule="auto"/>
        <w:ind w:firstLine="720"/>
        <w:jc w:val="both"/>
        <w:rPr>
          <w:rFonts w:eastAsia="Arial"/>
          <w:iCs/>
        </w:rPr>
      </w:pPr>
      <w:r w:rsidRPr="005364A7">
        <w:rPr>
          <w:rFonts w:eastAsia="Arial"/>
          <w:iCs/>
        </w:rPr>
        <w:t xml:space="preserve">Analizėje taikoma 25 metų laiko perspektyva ir analizė atliekama iš PSDF biudžeto perspektyvos. Tarnybos nuomone ši laiko perspektyva yra per ilga, todėl bazinio atvejo analizei, tarnyba naudoja 15 metų laiko perspektyvą. Taikomas padalintos kohortos išgyvenamumo modelis, su keturiomis sveikatos būklėmis, ši modelio struktūra yra laikoma tinkama analizei atlikti. Ekonominėje analizėje naudojami klinikiniai duomenys sutampa su klinikinėje vertinimo dalyje naudotais duomenimis, analizė yra grindžiama MagnetisM-3 tyrimo duomenimis, o palyginamasis gydymas grindžiamas MM-003 tyrimo duomenimis. Tarnyba vertina, jog pasirenkant parametrines funkcijas bazinio atvejo analizei Pareiškėjas kai kuriais atvejais renkasi optimistines kreives, kurios ne visuomet statistiškai geriausiai atitinka Kaplano-Mejerio kreivę. Taigi, pagrindinio atvejo analizėje Tarnyba taiko šias kreives – OS (elranatamabo grupėje generalized gamma, PomDex grupėje generalized gamma), PFS (elranatamabo grupėje generalized gamma, PomDex grupėje generalized gamma), TTD (elranatamabo grupėje gompertz, PomDex grupėje TTD lygi PFS). Šios </w:t>
      </w:r>
      <w:r w:rsidRPr="005364A7">
        <w:rPr>
          <w:rFonts w:eastAsia="Arial"/>
          <w:iCs/>
        </w:rPr>
        <w:lastRenderedPageBreak/>
        <w:t xml:space="preserve">funkcijos buvo pasirinktos kadangi jos labiau atitinka Kaplano-Mejerio kreivę atsižvelgiant į AIC įverčius, bei vizualinį atitikimą kreivei, bei lemia konservatyvesnį analizės rezultatą. Tačiau, atliekant scenarijų jautrumo analizę yra stebima jog net ir keičiant naudojamas ekstrapoliacijas, ICER vertė drastiškai nekinta, bei neviršija referencinės kaštų naudingumo vertės. </w:t>
      </w:r>
    </w:p>
    <w:p w14:paraId="7E8833A4" w14:textId="77777777" w:rsidR="00265954" w:rsidRPr="005364A7" w:rsidRDefault="00265954" w:rsidP="00F37FC4">
      <w:pPr>
        <w:shd w:val="clear" w:color="auto" w:fill="FFFFFF"/>
        <w:spacing w:line="360" w:lineRule="auto"/>
        <w:ind w:firstLine="720"/>
        <w:jc w:val="both"/>
        <w:rPr>
          <w:rFonts w:eastAsia="Arial"/>
          <w:iCs/>
        </w:rPr>
      </w:pPr>
      <w:r w:rsidRPr="005364A7">
        <w:rPr>
          <w:rFonts w:eastAsia="Arial"/>
          <w:iCs/>
        </w:rPr>
        <w:t xml:space="preserve">Analizėje naudojami gyvenimo kokybės įverčiai yra grindžiami MagnetisM-3 klinikinio tyrimo duomenimis, jiems išgauti Pareiškėjas atliko vienakryptę ir daugianarę regresines analizes. Nesant tiesioginių palyginamųjų duomenų PomDex gyvenimo kokybės įverčiams įvertinti, Pareiškėjas atliko sisteminę literatūros apžvalgą. Tai detaliau aprašyta šio protokolo 10.2 skirsnyje. Po literatūros apžvalgos, Pareiškėjas pasirinko taikyti vienodus gyvenimo kokybės įverčius abiem gydymo grupėms. Tarnybos manymu tai yra priimtina prielaida. Net ir atlikus scenarijų jautrumo analizę, kurios metu buvo keičiami gyvenimo kokybės įverčiai pagal įverčius, pateiktus literatūros apžvalgoje, ICER keitėsi neženkliai ir neperlipo referencinės kaštų naudingumo vertės ribos. </w:t>
      </w:r>
    </w:p>
    <w:p w14:paraId="7C1B205A" w14:textId="6ED23F00" w:rsidR="00265954" w:rsidRPr="005364A7" w:rsidRDefault="00265954" w:rsidP="00F37FC4">
      <w:pPr>
        <w:shd w:val="clear" w:color="auto" w:fill="FFFFFF"/>
        <w:spacing w:line="360" w:lineRule="auto"/>
        <w:ind w:firstLine="720"/>
        <w:jc w:val="both"/>
        <w:rPr>
          <w:rFonts w:eastAsia="Arial"/>
          <w:iCs/>
        </w:rPr>
      </w:pPr>
      <w:r w:rsidRPr="005364A7">
        <w:rPr>
          <w:rFonts w:eastAsia="Arial"/>
          <w:iCs/>
        </w:rPr>
        <w:t xml:space="preserve">Siekiant pateikti konservatyvų analizės rezultatą, tarnyba taiko prielaidą, jog abiejose gydymo grupėse yra taikoma </w:t>
      </w:r>
      <w:r w:rsidR="00075E99" w:rsidRPr="005364A7">
        <w:rPr>
          <w:rFonts w:eastAsia="Arial"/>
          <w:iCs/>
        </w:rPr>
        <w:t>**</w:t>
      </w:r>
      <w:r w:rsidRPr="005364A7">
        <w:rPr>
          <w:rFonts w:eastAsia="Arial"/>
          <w:iCs/>
        </w:rPr>
        <w:t xml:space="preserve"> proc. RDI. Taip pat, buvo atnaujinti visi kaštai pagal 2026 metų kainyno duomenis, bei buvo perskaičiuoti gyvenimo pabaigos kaštai, pagal paliatyvios slaugos kaštus. Galiausiai, nors vertinant sekančių eilių gydymo kaštus Pareiškėjas nepateikė visų galimų sekančių eilių gydymo tipų kurie šiuo metu yra naudojami Lietuvoje, atsižvelgiant į tai jog šių kaštų įtaka galutiniam analizės rezultatui yra minimali, Tarnyba laiko šias prielaidas priimtinomis. </w:t>
      </w:r>
    </w:p>
    <w:p w14:paraId="3A535307" w14:textId="108BBFEF" w:rsidR="00265954" w:rsidRPr="005364A7" w:rsidRDefault="00265954" w:rsidP="00F37FC4">
      <w:pPr>
        <w:shd w:val="clear" w:color="auto" w:fill="FFFFFF"/>
        <w:spacing w:line="360" w:lineRule="auto"/>
        <w:ind w:firstLine="720"/>
        <w:jc w:val="both"/>
        <w:rPr>
          <w:rFonts w:eastAsia="Arial"/>
          <w:iCs/>
        </w:rPr>
      </w:pPr>
      <w:r w:rsidRPr="005364A7">
        <w:rPr>
          <w:rFonts w:eastAsia="Arial"/>
          <w:iCs/>
        </w:rPr>
        <w:t xml:space="preserve">Analizėje ligos našta nustatyta sunki, o referencinė kaštų naudingumo vertė – </w:t>
      </w:r>
      <w:r w:rsidR="00075E99" w:rsidRPr="005364A7">
        <w:rPr>
          <w:rFonts w:eastAsia="Arial"/>
          <w:iCs/>
        </w:rPr>
        <w:t xml:space="preserve">* </w:t>
      </w:r>
      <w:r w:rsidRPr="005364A7">
        <w:rPr>
          <w:rFonts w:eastAsia="Arial"/>
          <w:iCs/>
        </w:rPr>
        <w:t>BVP p</w:t>
      </w:r>
      <w:r w:rsidRPr="005364A7">
        <w:rPr>
          <w:rFonts w:eastAsia="Arial"/>
          <w:i/>
        </w:rPr>
        <w:t>er capita.</w:t>
      </w:r>
      <w:r w:rsidRPr="005364A7">
        <w:rPr>
          <w:rFonts w:eastAsia="Arial"/>
          <w:iCs/>
        </w:rPr>
        <w:t xml:space="preserve"> Atsižvelgiant į Tarnybos taikomas prielaidas, įvertinta jog elranatamabas, taikant PGS, yra kaštams naudingas. </w:t>
      </w:r>
    </w:p>
    <w:p w14:paraId="6061098E" w14:textId="77777777" w:rsidR="00E52E2C" w:rsidRPr="005364A7" w:rsidRDefault="00E52E2C" w:rsidP="00A93AA6">
      <w:pPr>
        <w:tabs>
          <w:tab w:val="left" w:pos="426"/>
        </w:tabs>
        <w:rPr>
          <w:b/>
          <w:bCs/>
          <w:iCs/>
          <w:caps/>
        </w:rPr>
      </w:pPr>
    </w:p>
    <w:p w14:paraId="174D84D7" w14:textId="09C7BC2B" w:rsidR="0035172D" w:rsidRPr="005364A7" w:rsidRDefault="00164D64" w:rsidP="00A93AA6">
      <w:pPr>
        <w:tabs>
          <w:tab w:val="left" w:pos="426"/>
        </w:tabs>
        <w:rPr>
          <w:b/>
          <w:lang w:eastAsia="lt-LT"/>
        </w:rPr>
      </w:pPr>
      <w:r w:rsidRPr="005364A7">
        <w:rPr>
          <w:b/>
          <w:lang w:eastAsia="lt-LT"/>
        </w:rPr>
        <w:t xml:space="preserve">3.1 </w:t>
      </w:r>
      <w:r w:rsidR="0035172D" w:rsidRPr="005364A7">
        <w:rPr>
          <w:b/>
          <w:lang w:eastAsia="lt-LT"/>
        </w:rPr>
        <w:t>Ekonominės analizės rezultatas</w:t>
      </w:r>
    </w:p>
    <w:p w14:paraId="4801D227" w14:textId="77777777" w:rsidR="009E44AE" w:rsidRPr="005364A7"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334F18" w:rsidRPr="005364A7"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5364A7" w:rsidRDefault="009E44AE" w:rsidP="009E44AE">
            <w:pPr>
              <w:tabs>
                <w:tab w:val="left" w:pos="567"/>
              </w:tabs>
              <w:jc w:val="center"/>
              <w:rPr>
                <w:b/>
                <w:bCs/>
                <w:sz w:val="26"/>
                <w:szCs w:val="26"/>
                <w:lang w:eastAsia="lt-LT"/>
              </w:rPr>
            </w:pPr>
            <w:r w:rsidRPr="005364A7">
              <w:rPr>
                <w:b/>
                <w:bCs/>
                <w:sz w:val="26"/>
                <w:szCs w:val="26"/>
                <w:lang w:eastAsia="lt-LT"/>
              </w:rPr>
              <w:t>Rezultatai</w:t>
            </w:r>
          </w:p>
        </w:tc>
      </w:tr>
      <w:tr w:rsidR="00E52E2C" w:rsidRPr="005364A7" w14:paraId="319AF392" w14:textId="77777777" w:rsidTr="00E52E2C">
        <w:trPr>
          <w:trHeight w:val="267"/>
          <w:jc w:val="center"/>
        </w:trPr>
        <w:tc>
          <w:tcPr>
            <w:tcW w:w="6200" w:type="dxa"/>
            <w:tcBorders>
              <w:left w:val="single" w:sz="4" w:space="0" w:color="auto"/>
            </w:tcBorders>
          </w:tcPr>
          <w:p w14:paraId="44CD8D27" w14:textId="27245A0B" w:rsidR="00E52E2C" w:rsidRPr="005364A7" w:rsidRDefault="00E52E2C" w:rsidP="00E52E2C">
            <w:pPr>
              <w:tabs>
                <w:tab w:val="left" w:pos="567"/>
              </w:tabs>
              <w:jc w:val="right"/>
              <w:rPr>
                <w:iCs/>
                <w:lang w:eastAsia="lt-LT"/>
              </w:rPr>
            </w:pPr>
            <w:r w:rsidRPr="005364A7">
              <w:rPr>
                <w:iCs/>
                <w:lang w:eastAsia="lt-LT"/>
              </w:rPr>
              <w:t>Kaštų skirtumas</w:t>
            </w:r>
          </w:p>
        </w:tc>
        <w:tc>
          <w:tcPr>
            <w:tcW w:w="3239" w:type="dxa"/>
            <w:tcBorders>
              <w:right w:val="single" w:sz="4" w:space="0" w:color="auto"/>
            </w:tcBorders>
          </w:tcPr>
          <w:p w14:paraId="1CACF0B4" w14:textId="1B4FBC9D" w:rsidR="00E52E2C" w:rsidRPr="005364A7" w:rsidRDefault="00075E99" w:rsidP="00E52E2C">
            <w:pPr>
              <w:tabs>
                <w:tab w:val="left" w:pos="567"/>
              </w:tabs>
              <w:jc w:val="both"/>
              <w:rPr>
                <w:i/>
                <w:iCs/>
                <w:lang w:eastAsia="lt-LT"/>
              </w:rPr>
            </w:pPr>
            <w:r w:rsidRPr="005364A7">
              <w:rPr>
                <w:i/>
                <w:iCs/>
                <w:lang w:eastAsia="lt-LT"/>
              </w:rPr>
              <w:t>***</w:t>
            </w:r>
            <w:r w:rsidR="00E52E2C" w:rsidRPr="005364A7">
              <w:rPr>
                <w:i/>
                <w:iCs/>
                <w:lang w:eastAsia="lt-LT"/>
              </w:rPr>
              <w:t xml:space="preserve"> €</w:t>
            </w:r>
          </w:p>
        </w:tc>
      </w:tr>
      <w:tr w:rsidR="00E52E2C" w:rsidRPr="005364A7" w14:paraId="49F818A3" w14:textId="77777777" w:rsidTr="00E52E2C">
        <w:trPr>
          <w:trHeight w:val="267"/>
          <w:jc w:val="center"/>
        </w:trPr>
        <w:tc>
          <w:tcPr>
            <w:tcW w:w="6200" w:type="dxa"/>
            <w:tcBorders>
              <w:left w:val="single" w:sz="4" w:space="0" w:color="auto"/>
            </w:tcBorders>
          </w:tcPr>
          <w:p w14:paraId="021DB925" w14:textId="389F1BF5" w:rsidR="00E52E2C" w:rsidRPr="005364A7" w:rsidRDefault="00E52E2C" w:rsidP="00E52E2C">
            <w:pPr>
              <w:tabs>
                <w:tab w:val="left" w:pos="567"/>
              </w:tabs>
              <w:jc w:val="right"/>
              <w:rPr>
                <w:iCs/>
                <w:lang w:eastAsia="lt-LT"/>
              </w:rPr>
            </w:pPr>
            <w:r w:rsidRPr="005364A7">
              <w:rPr>
                <w:iCs/>
                <w:lang w:eastAsia="lt-LT"/>
              </w:rPr>
              <w:t>Papildomi gyvenimo metai (LY)</w:t>
            </w:r>
          </w:p>
        </w:tc>
        <w:tc>
          <w:tcPr>
            <w:tcW w:w="3239" w:type="dxa"/>
            <w:tcBorders>
              <w:right w:val="single" w:sz="4" w:space="0" w:color="auto"/>
            </w:tcBorders>
          </w:tcPr>
          <w:p w14:paraId="4954817B" w14:textId="13F0F6C9" w:rsidR="00E52E2C" w:rsidRPr="005364A7" w:rsidRDefault="00075E99" w:rsidP="00E52E2C">
            <w:pPr>
              <w:tabs>
                <w:tab w:val="left" w:pos="567"/>
              </w:tabs>
              <w:jc w:val="both"/>
              <w:rPr>
                <w:i/>
                <w:iCs/>
                <w:lang w:eastAsia="lt-LT"/>
              </w:rPr>
            </w:pPr>
            <w:r w:rsidRPr="005364A7">
              <w:rPr>
                <w:i/>
                <w:iCs/>
                <w:lang w:eastAsia="lt-LT"/>
              </w:rPr>
              <w:t>***</w:t>
            </w:r>
          </w:p>
        </w:tc>
      </w:tr>
      <w:tr w:rsidR="00E52E2C" w:rsidRPr="005364A7" w14:paraId="20ADA742" w14:textId="77777777" w:rsidTr="00E52E2C">
        <w:trPr>
          <w:trHeight w:val="267"/>
          <w:jc w:val="center"/>
        </w:trPr>
        <w:tc>
          <w:tcPr>
            <w:tcW w:w="6200" w:type="dxa"/>
            <w:tcBorders>
              <w:left w:val="single" w:sz="4" w:space="0" w:color="auto"/>
            </w:tcBorders>
          </w:tcPr>
          <w:p w14:paraId="0F567576" w14:textId="2606A2E9" w:rsidR="00E52E2C" w:rsidRPr="005364A7" w:rsidRDefault="00E52E2C" w:rsidP="00E52E2C">
            <w:pPr>
              <w:tabs>
                <w:tab w:val="left" w:pos="567"/>
              </w:tabs>
              <w:jc w:val="right"/>
              <w:rPr>
                <w:iCs/>
                <w:lang w:eastAsia="lt-LT"/>
              </w:rPr>
            </w:pPr>
            <w:r w:rsidRPr="005364A7">
              <w:rPr>
                <w:iCs/>
                <w:lang w:eastAsia="lt-LT"/>
              </w:rPr>
              <w:t>Papildomi kokybiški gyvenimo metai (QALY)</w:t>
            </w:r>
          </w:p>
        </w:tc>
        <w:tc>
          <w:tcPr>
            <w:tcW w:w="3239" w:type="dxa"/>
            <w:tcBorders>
              <w:right w:val="single" w:sz="4" w:space="0" w:color="auto"/>
            </w:tcBorders>
          </w:tcPr>
          <w:p w14:paraId="02E4DAE1" w14:textId="6B281B23" w:rsidR="00E52E2C" w:rsidRPr="005364A7" w:rsidRDefault="00075E99" w:rsidP="00E52E2C">
            <w:pPr>
              <w:tabs>
                <w:tab w:val="left" w:pos="567"/>
              </w:tabs>
              <w:jc w:val="both"/>
              <w:rPr>
                <w:i/>
                <w:iCs/>
                <w:lang w:eastAsia="lt-LT"/>
              </w:rPr>
            </w:pPr>
            <w:r w:rsidRPr="005364A7">
              <w:rPr>
                <w:i/>
                <w:iCs/>
                <w:lang w:eastAsia="lt-LT"/>
              </w:rPr>
              <w:t>***</w:t>
            </w:r>
          </w:p>
        </w:tc>
      </w:tr>
      <w:tr w:rsidR="00E52E2C" w:rsidRPr="005364A7" w14:paraId="1FADA2B3" w14:textId="77777777" w:rsidTr="00E52E2C">
        <w:trPr>
          <w:trHeight w:val="267"/>
          <w:jc w:val="center"/>
        </w:trPr>
        <w:tc>
          <w:tcPr>
            <w:tcW w:w="6200" w:type="dxa"/>
            <w:tcBorders>
              <w:left w:val="single" w:sz="4" w:space="0" w:color="auto"/>
            </w:tcBorders>
          </w:tcPr>
          <w:p w14:paraId="13E089E8" w14:textId="0BCEB339" w:rsidR="00E52E2C" w:rsidRPr="005364A7" w:rsidRDefault="00E52E2C" w:rsidP="00E52E2C">
            <w:pPr>
              <w:tabs>
                <w:tab w:val="left" w:pos="567"/>
              </w:tabs>
              <w:jc w:val="right"/>
              <w:rPr>
                <w:iCs/>
                <w:lang w:eastAsia="lt-LT"/>
              </w:rPr>
            </w:pPr>
            <w:r w:rsidRPr="005364A7">
              <w:rPr>
                <w:iCs/>
                <w:lang w:eastAsia="lt-LT"/>
              </w:rPr>
              <w:t>ICER už LY</w:t>
            </w:r>
          </w:p>
        </w:tc>
        <w:tc>
          <w:tcPr>
            <w:tcW w:w="3239" w:type="dxa"/>
            <w:tcBorders>
              <w:right w:val="single" w:sz="4" w:space="0" w:color="auto"/>
            </w:tcBorders>
          </w:tcPr>
          <w:p w14:paraId="2817448D" w14:textId="05E46AFD" w:rsidR="00E52E2C" w:rsidRPr="005364A7" w:rsidRDefault="00075E99" w:rsidP="00E52E2C">
            <w:pPr>
              <w:tabs>
                <w:tab w:val="left" w:pos="567"/>
              </w:tabs>
              <w:jc w:val="both"/>
              <w:rPr>
                <w:i/>
                <w:iCs/>
                <w:lang w:eastAsia="lt-LT"/>
              </w:rPr>
            </w:pPr>
            <w:r w:rsidRPr="005364A7">
              <w:rPr>
                <w:i/>
                <w:iCs/>
                <w:lang w:eastAsia="lt-LT"/>
              </w:rPr>
              <w:t xml:space="preserve">*** </w:t>
            </w:r>
            <w:r w:rsidR="00E52E2C" w:rsidRPr="005364A7">
              <w:rPr>
                <w:i/>
                <w:iCs/>
                <w:lang w:eastAsia="lt-LT"/>
              </w:rPr>
              <w:t>€/LY</w:t>
            </w:r>
          </w:p>
        </w:tc>
      </w:tr>
      <w:tr w:rsidR="00E52E2C" w:rsidRPr="005364A7" w14:paraId="250DE960" w14:textId="77777777" w:rsidTr="00E52E2C">
        <w:trPr>
          <w:trHeight w:val="267"/>
          <w:jc w:val="center"/>
        </w:trPr>
        <w:tc>
          <w:tcPr>
            <w:tcW w:w="6200" w:type="dxa"/>
            <w:tcBorders>
              <w:left w:val="single" w:sz="4" w:space="0" w:color="auto"/>
            </w:tcBorders>
          </w:tcPr>
          <w:p w14:paraId="207EFB23" w14:textId="77777777" w:rsidR="00E52E2C" w:rsidRPr="005364A7" w:rsidRDefault="00E52E2C" w:rsidP="00E52E2C">
            <w:pPr>
              <w:tabs>
                <w:tab w:val="left" w:pos="567"/>
              </w:tabs>
              <w:jc w:val="right"/>
              <w:rPr>
                <w:iCs/>
                <w:lang w:eastAsia="lt-LT"/>
              </w:rPr>
            </w:pPr>
            <w:r w:rsidRPr="005364A7">
              <w:rPr>
                <w:iCs/>
                <w:lang w:eastAsia="lt-LT"/>
              </w:rPr>
              <w:t>ICER už QALY</w:t>
            </w:r>
          </w:p>
        </w:tc>
        <w:tc>
          <w:tcPr>
            <w:tcW w:w="3239" w:type="dxa"/>
            <w:tcBorders>
              <w:right w:val="single" w:sz="4" w:space="0" w:color="auto"/>
            </w:tcBorders>
          </w:tcPr>
          <w:p w14:paraId="4275320D" w14:textId="067C660D" w:rsidR="00E52E2C" w:rsidRPr="005364A7" w:rsidRDefault="00075E99" w:rsidP="00E52E2C">
            <w:pPr>
              <w:tabs>
                <w:tab w:val="left" w:pos="567"/>
              </w:tabs>
              <w:jc w:val="both"/>
              <w:rPr>
                <w:i/>
                <w:iCs/>
                <w:lang w:eastAsia="lt-LT"/>
              </w:rPr>
            </w:pPr>
            <w:r w:rsidRPr="005364A7">
              <w:rPr>
                <w:i/>
                <w:iCs/>
                <w:lang w:eastAsia="lt-LT"/>
              </w:rPr>
              <w:t xml:space="preserve">*** </w:t>
            </w:r>
            <w:r w:rsidR="00E52E2C" w:rsidRPr="005364A7">
              <w:rPr>
                <w:i/>
                <w:iCs/>
                <w:lang w:eastAsia="lt-LT"/>
              </w:rPr>
              <w:t>€/QALY</w:t>
            </w:r>
          </w:p>
        </w:tc>
      </w:tr>
      <w:tr w:rsidR="00E52E2C" w:rsidRPr="005364A7" w14:paraId="2C4C68BA" w14:textId="77777777" w:rsidTr="00E52E2C">
        <w:trPr>
          <w:trHeight w:val="267"/>
          <w:jc w:val="center"/>
        </w:trPr>
        <w:tc>
          <w:tcPr>
            <w:tcW w:w="6200" w:type="dxa"/>
            <w:tcBorders>
              <w:left w:val="single" w:sz="4" w:space="0" w:color="auto"/>
              <w:bottom w:val="single" w:sz="4" w:space="0" w:color="auto"/>
              <w:right w:val="single" w:sz="4" w:space="0" w:color="auto"/>
            </w:tcBorders>
          </w:tcPr>
          <w:p w14:paraId="21BEDABF" w14:textId="3471AFB3" w:rsidR="00E52E2C" w:rsidRPr="005364A7" w:rsidRDefault="00E52E2C" w:rsidP="00E52E2C">
            <w:pPr>
              <w:tabs>
                <w:tab w:val="left" w:pos="567"/>
              </w:tabs>
              <w:jc w:val="right"/>
              <w:rPr>
                <w:iCs/>
                <w:lang w:eastAsia="lt-LT"/>
              </w:rPr>
            </w:pPr>
            <w:r w:rsidRPr="005364A7">
              <w:rPr>
                <w:iCs/>
                <w:lang w:eastAsia="lt-LT"/>
              </w:rPr>
              <w:t>Referencinė kaštų naudingumo vertė</w:t>
            </w:r>
          </w:p>
        </w:tc>
        <w:tc>
          <w:tcPr>
            <w:tcW w:w="3239" w:type="dxa"/>
            <w:tcBorders>
              <w:left w:val="single" w:sz="4" w:space="0" w:color="auto"/>
              <w:bottom w:val="single" w:sz="4" w:space="0" w:color="auto"/>
              <w:right w:val="single" w:sz="4" w:space="0" w:color="auto"/>
            </w:tcBorders>
          </w:tcPr>
          <w:p w14:paraId="31DAA72E" w14:textId="591262E0" w:rsidR="00E52E2C" w:rsidRPr="005364A7" w:rsidRDefault="00075E99" w:rsidP="00E52E2C">
            <w:pPr>
              <w:tabs>
                <w:tab w:val="left" w:pos="567"/>
              </w:tabs>
              <w:jc w:val="both"/>
              <w:rPr>
                <w:i/>
                <w:iCs/>
                <w:lang w:eastAsia="lt-LT"/>
              </w:rPr>
            </w:pPr>
            <w:r w:rsidRPr="005364A7">
              <w:rPr>
                <w:i/>
                <w:iCs/>
                <w:lang w:eastAsia="lt-LT"/>
              </w:rPr>
              <w:t xml:space="preserve">*** </w:t>
            </w:r>
            <w:r w:rsidR="00E52E2C" w:rsidRPr="005364A7">
              <w:rPr>
                <w:i/>
                <w:iCs/>
                <w:lang w:eastAsia="lt-LT"/>
              </w:rPr>
              <w:t>€/QALY</w:t>
            </w:r>
          </w:p>
        </w:tc>
      </w:tr>
    </w:tbl>
    <w:p w14:paraId="5FC8C737" w14:textId="4136B7F4" w:rsidR="0035172D" w:rsidRPr="005364A7" w:rsidRDefault="00E5102E" w:rsidP="0035172D">
      <w:pPr>
        <w:tabs>
          <w:tab w:val="left" w:pos="567"/>
        </w:tabs>
        <w:jc w:val="both"/>
        <w:rPr>
          <w:iCs/>
          <w:sz w:val="20"/>
          <w:lang w:eastAsia="lt-LT"/>
        </w:rPr>
      </w:pPr>
      <w:r w:rsidRPr="005364A7">
        <w:rPr>
          <w:iCs/>
          <w:sz w:val="20"/>
          <w:lang w:eastAsia="lt-LT"/>
        </w:rPr>
        <w:t xml:space="preserve">ICER </w:t>
      </w:r>
      <w:r w:rsidR="00453862" w:rsidRPr="005364A7">
        <w:rPr>
          <w:iCs/>
          <w:sz w:val="20"/>
          <w:lang w:eastAsia="lt-LT"/>
        </w:rPr>
        <w:t>– (</w:t>
      </w:r>
      <w:r w:rsidR="00453862" w:rsidRPr="005364A7">
        <w:rPr>
          <w:i/>
          <w:sz w:val="20"/>
          <w:lang w:eastAsia="lt-LT"/>
        </w:rPr>
        <w:t>angl. incremental cost-effectiveness ratio</w:t>
      </w:r>
      <w:r w:rsidR="00453862" w:rsidRPr="005364A7">
        <w:rPr>
          <w:iCs/>
          <w:sz w:val="20"/>
          <w:lang w:eastAsia="lt-LT"/>
        </w:rPr>
        <w:t>) inkrementinis kaštų naudingumo koeficientas</w:t>
      </w:r>
      <w:r w:rsidRPr="005364A7">
        <w:rPr>
          <w:iCs/>
          <w:sz w:val="20"/>
          <w:lang w:eastAsia="lt-LT"/>
        </w:rPr>
        <w:t>; LY –</w:t>
      </w:r>
      <w:r w:rsidR="00453862" w:rsidRPr="005364A7">
        <w:rPr>
          <w:iCs/>
          <w:sz w:val="20"/>
          <w:lang w:eastAsia="lt-LT"/>
        </w:rPr>
        <w:t xml:space="preserve"> (</w:t>
      </w:r>
      <w:r w:rsidR="00453862" w:rsidRPr="005364A7">
        <w:rPr>
          <w:i/>
          <w:sz w:val="20"/>
          <w:lang w:eastAsia="lt-LT"/>
        </w:rPr>
        <w:t>angl. life years</w:t>
      </w:r>
      <w:r w:rsidR="00453862" w:rsidRPr="005364A7">
        <w:rPr>
          <w:iCs/>
          <w:sz w:val="20"/>
          <w:lang w:eastAsia="lt-LT"/>
        </w:rPr>
        <w:t>) gyvenimo metai</w:t>
      </w:r>
      <w:r w:rsidRPr="005364A7">
        <w:rPr>
          <w:iCs/>
          <w:sz w:val="20"/>
          <w:lang w:eastAsia="lt-LT"/>
        </w:rPr>
        <w:t xml:space="preserve">; QALY- </w:t>
      </w:r>
      <w:r w:rsidR="00453862" w:rsidRPr="005364A7">
        <w:rPr>
          <w:iCs/>
          <w:sz w:val="20"/>
          <w:lang w:eastAsia="lt-LT"/>
        </w:rPr>
        <w:t>(</w:t>
      </w:r>
      <w:r w:rsidR="00453862" w:rsidRPr="005364A7">
        <w:rPr>
          <w:i/>
          <w:sz w:val="20"/>
          <w:lang w:eastAsia="lt-LT"/>
        </w:rPr>
        <w:t xml:space="preserve">angl. quality adjusted life years) </w:t>
      </w:r>
      <w:r w:rsidR="00453862" w:rsidRPr="005364A7">
        <w:rPr>
          <w:iCs/>
          <w:sz w:val="20"/>
          <w:lang w:eastAsia="lt-LT"/>
        </w:rPr>
        <w:t>kokybiški gyvenimo metai.</w:t>
      </w:r>
    </w:p>
    <w:p w14:paraId="33875138" w14:textId="77777777" w:rsidR="0035172D" w:rsidRPr="005364A7" w:rsidRDefault="0035172D" w:rsidP="00A93AA6">
      <w:pPr>
        <w:tabs>
          <w:tab w:val="left" w:pos="426"/>
        </w:tabs>
        <w:rPr>
          <w:b/>
          <w:bCs/>
          <w:caps/>
        </w:rPr>
      </w:pPr>
    </w:p>
    <w:p w14:paraId="4FC424F9" w14:textId="4E767245" w:rsidR="00C62B36" w:rsidRPr="005364A7" w:rsidRDefault="00C62B36" w:rsidP="00CC09D4">
      <w:pPr>
        <w:pStyle w:val="Sraopastraipa"/>
        <w:numPr>
          <w:ilvl w:val="0"/>
          <w:numId w:val="12"/>
        </w:numPr>
        <w:tabs>
          <w:tab w:val="left" w:pos="567"/>
        </w:tabs>
        <w:ind w:hanging="720"/>
        <w:rPr>
          <w:b/>
          <w:bCs/>
          <w:caps/>
        </w:rPr>
      </w:pPr>
      <w:r w:rsidRPr="005364A7">
        <w:rPr>
          <w:b/>
          <w:bCs/>
          <w:caps/>
        </w:rPr>
        <w:t xml:space="preserve">Pacientų organizacijų pateikti duomenys </w:t>
      </w:r>
    </w:p>
    <w:p w14:paraId="54351841" w14:textId="77777777" w:rsidR="00C9728E" w:rsidRPr="005364A7" w:rsidRDefault="00C9728E" w:rsidP="00C9728E">
      <w:pPr>
        <w:pStyle w:val="Sraopastraipa"/>
        <w:tabs>
          <w:tab w:val="left" w:pos="567"/>
        </w:tabs>
        <w:rPr>
          <w:b/>
          <w:bCs/>
          <w:caps/>
        </w:rPr>
      </w:pPr>
    </w:p>
    <w:p w14:paraId="62992180" w14:textId="3D6BAD94" w:rsidR="00937907" w:rsidRPr="005364A7" w:rsidRDefault="00937907" w:rsidP="00937907">
      <w:pPr>
        <w:spacing w:after="120"/>
        <w:jc w:val="both"/>
      </w:pPr>
      <w:r w:rsidRPr="005364A7">
        <w:t xml:space="preserve">Pacientų organizacijos pozicija </w:t>
      </w:r>
      <w:r w:rsidR="00880A44" w:rsidRPr="005364A7">
        <w:t>ne</w:t>
      </w:r>
      <w:r w:rsidRPr="005364A7">
        <w:t>pateikta.</w:t>
      </w:r>
    </w:p>
    <w:p w14:paraId="03E73D82" w14:textId="77777777" w:rsidR="00D417D2" w:rsidRPr="005364A7" w:rsidRDefault="00D417D2" w:rsidP="00937907">
      <w:pPr>
        <w:spacing w:after="120"/>
        <w:jc w:val="both"/>
      </w:pPr>
    </w:p>
    <w:p w14:paraId="3D3277FA" w14:textId="09414FFF" w:rsidR="00C62B36" w:rsidRPr="005364A7" w:rsidRDefault="00D67BAF" w:rsidP="00CC09D4">
      <w:pPr>
        <w:pStyle w:val="Sraopastraipa"/>
        <w:numPr>
          <w:ilvl w:val="0"/>
          <w:numId w:val="12"/>
        </w:numPr>
        <w:tabs>
          <w:tab w:val="left" w:pos="567"/>
        </w:tabs>
        <w:ind w:hanging="720"/>
        <w:rPr>
          <w:b/>
          <w:bCs/>
          <w:caps/>
        </w:rPr>
      </w:pPr>
      <w:r w:rsidRPr="005364A7">
        <w:rPr>
          <w:b/>
          <w:bCs/>
          <w:caps/>
        </w:rPr>
        <w:t xml:space="preserve">SVEIKATOS PRIEŽIŪROS SPECIALISTŲ </w:t>
      </w:r>
      <w:r w:rsidR="00C62B36" w:rsidRPr="005364A7">
        <w:rPr>
          <w:b/>
          <w:bCs/>
          <w:caps/>
        </w:rPr>
        <w:t xml:space="preserve"> organizacijų pateikti duomenys</w:t>
      </w:r>
    </w:p>
    <w:p w14:paraId="044D5084" w14:textId="77777777" w:rsidR="00C9728E" w:rsidRPr="005364A7" w:rsidRDefault="00C9728E" w:rsidP="00C9728E">
      <w:pPr>
        <w:pStyle w:val="Sraopastraipa"/>
        <w:tabs>
          <w:tab w:val="left" w:pos="567"/>
        </w:tabs>
        <w:rPr>
          <w:b/>
          <w:bCs/>
          <w:caps/>
        </w:rPr>
      </w:pPr>
    </w:p>
    <w:p w14:paraId="5D8CC48C" w14:textId="390AB437" w:rsidR="00662983" w:rsidRPr="005364A7" w:rsidRDefault="00D67BAF" w:rsidP="00662983">
      <w:pPr>
        <w:spacing w:after="120"/>
        <w:jc w:val="both"/>
      </w:pPr>
      <w:r w:rsidRPr="005364A7">
        <w:lastRenderedPageBreak/>
        <w:t>S</w:t>
      </w:r>
      <w:r w:rsidRPr="005364A7">
        <w:rPr>
          <w:bCs/>
        </w:rPr>
        <w:t>veikatos priežiūros specialistų</w:t>
      </w:r>
      <w:r w:rsidR="00937907" w:rsidRPr="005364A7">
        <w:t xml:space="preserve"> organizacijos pozicija </w:t>
      </w:r>
      <w:r w:rsidR="00880A44" w:rsidRPr="005364A7">
        <w:t>ne</w:t>
      </w:r>
      <w:r w:rsidR="00937907" w:rsidRPr="005364A7">
        <w:t>pateikta.</w:t>
      </w:r>
    </w:p>
    <w:p w14:paraId="3701D46A" w14:textId="77777777" w:rsidR="00A042B9" w:rsidRPr="005364A7" w:rsidRDefault="00A042B9" w:rsidP="00662983">
      <w:pPr>
        <w:spacing w:after="120"/>
        <w:jc w:val="both"/>
      </w:pPr>
    </w:p>
    <w:p w14:paraId="78F23ECB" w14:textId="3ED5BFD5" w:rsidR="002F0E4F" w:rsidRPr="005364A7" w:rsidRDefault="002F0E4F" w:rsidP="00CC09D4">
      <w:pPr>
        <w:pStyle w:val="Sraopastraipa"/>
        <w:numPr>
          <w:ilvl w:val="0"/>
          <w:numId w:val="12"/>
        </w:numPr>
        <w:tabs>
          <w:tab w:val="left" w:pos="567"/>
        </w:tabs>
        <w:ind w:hanging="720"/>
        <w:rPr>
          <w:b/>
          <w:bCs/>
          <w:caps/>
        </w:rPr>
      </w:pPr>
      <w:r w:rsidRPr="005364A7">
        <w:rPr>
          <w:b/>
          <w:bCs/>
          <w:caps/>
        </w:rPr>
        <w:t>Išvad</w:t>
      </w:r>
      <w:r w:rsidR="00B811A4" w:rsidRPr="005364A7">
        <w:rPr>
          <w:b/>
          <w:bCs/>
          <w:caps/>
        </w:rPr>
        <w:t>OS</w:t>
      </w:r>
      <w:r w:rsidRPr="005364A7">
        <w:rPr>
          <w:b/>
          <w:bCs/>
          <w:caps/>
        </w:rPr>
        <w:t xml:space="preserve"> </w:t>
      </w:r>
    </w:p>
    <w:p w14:paraId="30069D85" w14:textId="77777777" w:rsidR="0061611B" w:rsidRPr="005364A7"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334F18" w:rsidRPr="005364A7" w14:paraId="4D5EFB83" w14:textId="77777777" w:rsidTr="007111C4">
        <w:trPr>
          <w:trHeight w:val="510"/>
        </w:trPr>
        <w:tc>
          <w:tcPr>
            <w:tcW w:w="9634" w:type="dxa"/>
            <w:gridSpan w:val="2"/>
            <w:vAlign w:val="center"/>
          </w:tcPr>
          <w:p w14:paraId="294EC16B" w14:textId="77777777" w:rsidR="00B811A4" w:rsidRPr="005364A7"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6" w:name="_Hlk185430554"/>
            <w:r w:rsidRPr="005364A7">
              <w:rPr>
                <w:rStyle w:val="Style2"/>
                <w:rFonts w:eastAsia="MS Gothic"/>
                <w:b/>
                <w:bCs/>
                <w:sz w:val="23"/>
                <w:szCs w:val="23"/>
              </w:rPr>
              <w:t>Palyginamasis veiksmingumas</w:t>
            </w:r>
          </w:p>
        </w:tc>
      </w:tr>
      <w:tr w:rsidR="00334F18" w:rsidRPr="005364A7" w14:paraId="30B67515" w14:textId="77777777" w:rsidTr="007111C4">
        <w:tc>
          <w:tcPr>
            <w:tcW w:w="4820" w:type="dxa"/>
          </w:tcPr>
          <w:p w14:paraId="4FE3C208" w14:textId="337B8FAD" w:rsidR="00B811A4" w:rsidRPr="005364A7" w:rsidRDefault="008405B2"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8F53C4" w:rsidRPr="005364A7">
                  <w:rPr>
                    <w:rStyle w:val="Style2"/>
                    <w:rFonts w:ascii="MS Gothic" w:eastAsia="MS Gothic" w:hAnsi="MS Gothic" w:hint="eastAsia"/>
                    <w:sz w:val="23"/>
                    <w:szCs w:val="23"/>
                  </w:rPr>
                  <w:t>☒</w:t>
                </w:r>
              </w:sdtContent>
            </w:sdt>
            <w:r w:rsidR="00B811A4" w:rsidRPr="005364A7">
              <w:rPr>
                <w:rStyle w:val="Style2"/>
                <w:sz w:val="23"/>
                <w:szCs w:val="23"/>
              </w:rPr>
              <w:t xml:space="preserve"> 29</w:t>
            </w:r>
            <w:r w:rsidR="00B811A4" w:rsidRPr="005364A7">
              <w:rPr>
                <w:sz w:val="23"/>
                <w:szCs w:val="23"/>
              </w:rPr>
              <w:t>.1.1 yra didesnis, lyginant su įprasta klinikine praktika</w:t>
            </w:r>
          </w:p>
          <w:p w14:paraId="6F9786E4" w14:textId="77777777" w:rsidR="00B811A4" w:rsidRPr="005364A7"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77777777" w:rsidR="00B811A4" w:rsidRPr="005364A7" w:rsidRDefault="008405B2"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B811A4" w:rsidRPr="005364A7">
                  <w:rPr>
                    <w:rStyle w:val="Style2"/>
                    <w:rFonts w:ascii="Segoe UI Symbol" w:eastAsia="MS Gothic" w:hAnsi="Segoe UI Symbol" w:cs="Segoe UI Symbol"/>
                    <w:sz w:val="23"/>
                    <w:szCs w:val="23"/>
                  </w:rPr>
                  <w:t>☐</w:t>
                </w:r>
              </w:sdtContent>
            </w:sdt>
            <w:r w:rsidR="00B811A4" w:rsidRPr="005364A7">
              <w:rPr>
                <w:sz w:val="23"/>
                <w:szCs w:val="23"/>
              </w:rPr>
              <w:t xml:space="preserve"> </w:t>
            </w:r>
            <w:r w:rsidR="00B811A4" w:rsidRPr="005364A7">
              <w:rPr>
                <w:rStyle w:val="Style2"/>
                <w:sz w:val="23"/>
                <w:szCs w:val="23"/>
              </w:rPr>
              <w:t>29</w:t>
            </w:r>
            <w:r w:rsidR="00B811A4" w:rsidRPr="005364A7">
              <w:rPr>
                <w:sz w:val="23"/>
                <w:szCs w:val="23"/>
              </w:rPr>
              <w:t>.1.2 iš esmės nesiskiria, lyginant su įprasta klinikine praktika</w:t>
            </w:r>
          </w:p>
        </w:tc>
        <w:tc>
          <w:tcPr>
            <w:tcW w:w="4814" w:type="dxa"/>
          </w:tcPr>
          <w:p w14:paraId="72562F9E" w14:textId="77777777" w:rsidR="00B811A4" w:rsidRPr="005364A7" w:rsidRDefault="008405B2"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B811A4" w:rsidRPr="005364A7">
                  <w:rPr>
                    <w:rStyle w:val="Style2"/>
                    <w:rFonts w:ascii="Segoe UI Symbol" w:eastAsia="MS Gothic" w:hAnsi="Segoe UI Symbol" w:cs="Segoe UI Symbol"/>
                    <w:sz w:val="23"/>
                    <w:szCs w:val="23"/>
                  </w:rPr>
                  <w:t>☐</w:t>
                </w:r>
              </w:sdtContent>
            </w:sdt>
            <w:r w:rsidR="00B811A4" w:rsidRPr="005364A7">
              <w:rPr>
                <w:sz w:val="23"/>
                <w:szCs w:val="23"/>
              </w:rPr>
              <w:t xml:space="preserve"> </w:t>
            </w:r>
            <w:r w:rsidR="00B811A4" w:rsidRPr="005364A7">
              <w:rPr>
                <w:rStyle w:val="Style2"/>
                <w:sz w:val="23"/>
                <w:szCs w:val="23"/>
              </w:rPr>
              <w:t>29</w:t>
            </w:r>
            <w:r w:rsidR="00B811A4" w:rsidRPr="005364A7">
              <w:rPr>
                <w:sz w:val="23"/>
                <w:szCs w:val="23"/>
              </w:rPr>
              <w:t xml:space="preserve">.1.3 yra neįrodytas kaip didesnis  ar iš esmės nesiskiriantis, lyginant su įprasta klinikine praktika  </w:t>
            </w:r>
          </w:p>
          <w:p w14:paraId="6F6DB5BC" w14:textId="77777777" w:rsidR="00B811A4" w:rsidRPr="005364A7"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5364A7" w:rsidRDefault="008405B2"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B811A4" w:rsidRPr="005364A7">
                  <w:rPr>
                    <w:rStyle w:val="Style2"/>
                    <w:rFonts w:ascii="Segoe UI Symbol" w:eastAsia="MS Gothic" w:hAnsi="Segoe UI Symbol" w:cs="Segoe UI Symbol"/>
                    <w:sz w:val="23"/>
                    <w:szCs w:val="23"/>
                  </w:rPr>
                  <w:t>☐</w:t>
                </w:r>
              </w:sdtContent>
            </w:sdt>
            <w:r w:rsidR="00B811A4" w:rsidRPr="005364A7">
              <w:rPr>
                <w:sz w:val="23"/>
                <w:szCs w:val="23"/>
              </w:rPr>
              <w:t xml:space="preserve"> </w:t>
            </w:r>
            <w:r w:rsidR="00B811A4" w:rsidRPr="005364A7">
              <w:rPr>
                <w:rStyle w:val="Style2"/>
                <w:sz w:val="23"/>
                <w:szCs w:val="23"/>
              </w:rPr>
              <w:t>29</w:t>
            </w:r>
            <w:r w:rsidR="00B811A4" w:rsidRPr="005364A7">
              <w:rPr>
                <w:sz w:val="23"/>
                <w:szCs w:val="23"/>
              </w:rPr>
              <w:t>.1.4 yra mažesnis, lyginant su įprasta klinikine praktika</w:t>
            </w:r>
          </w:p>
          <w:p w14:paraId="193C3D76" w14:textId="77777777" w:rsidR="00B811A4" w:rsidRPr="005364A7"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5364A7" w:rsidRDefault="008405B2"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B811A4" w:rsidRPr="005364A7">
                  <w:rPr>
                    <w:rStyle w:val="Style2"/>
                    <w:rFonts w:ascii="Segoe UI Symbol" w:eastAsia="MS Gothic" w:hAnsi="Segoe UI Symbol" w:cs="Segoe UI Symbol"/>
                    <w:sz w:val="23"/>
                    <w:szCs w:val="23"/>
                  </w:rPr>
                  <w:t>☐</w:t>
                </w:r>
              </w:sdtContent>
            </w:sdt>
            <w:r w:rsidR="00B811A4" w:rsidRPr="005364A7">
              <w:rPr>
                <w:sz w:val="23"/>
                <w:szCs w:val="23"/>
              </w:rPr>
              <w:t xml:space="preserve"> </w:t>
            </w:r>
            <w:r w:rsidR="00B811A4" w:rsidRPr="005364A7">
              <w:rPr>
                <w:rStyle w:val="Style2"/>
                <w:sz w:val="23"/>
                <w:szCs w:val="23"/>
              </w:rPr>
              <w:t>29</w:t>
            </w:r>
            <w:r w:rsidR="00B811A4" w:rsidRPr="005364A7">
              <w:rPr>
                <w:sz w:val="23"/>
                <w:szCs w:val="23"/>
              </w:rPr>
              <w:t>.1.5 pateikti duomenys apie palyginamąjį veiksmingumą yra netinkami vertinti</w:t>
            </w:r>
          </w:p>
          <w:p w14:paraId="45719037" w14:textId="77777777" w:rsidR="00B811A4" w:rsidRPr="005364A7"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6"/>
      <w:tr w:rsidR="00334F18" w:rsidRPr="005364A7" w14:paraId="0E0F5168" w14:textId="77777777" w:rsidTr="00743956">
        <w:trPr>
          <w:trHeight w:val="510"/>
        </w:trPr>
        <w:tc>
          <w:tcPr>
            <w:tcW w:w="9634" w:type="dxa"/>
            <w:gridSpan w:val="2"/>
            <w:vAlign w:val="center"/>
          </w:tcPr>
          <w:p w14:paraId="62B67E12" w14:textId="77777777" w:rsidR="00B811A4" w:rsidRPr="005364A7"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5364A7">
              <w:rPr>
                <w:rStyle w:val="Style2"/>
                <w:rFonts w:eastAsia="MS Gothic"/>
                <w:b/>
                <w:bCs/>
                <w:sz w:val="23"/>
                <w:szCs w:val="23"/>
              </w:rPr>
              <w:t>Kaštų naudingumas</w:t>
            </w:r>
          </w:p>
        </w:tc>
      </w:tr>
      <w:tr w:rsidR="00334F18" w:rsidRPr="005364A7" w14:paraId="6A2F62B2" w14:textId="77777777" w:rsidTr="00743956">
        <w:tc>
          <w:tcPr>
            <w:tcW w:w="4820" w:type="dxa"/>
          </w:tcPr>
          <w:p w14:paraId="7CB2C697" w14:textId="09E44E50" w:rsidR="00B811A4" w:rsidRPr="005364A7" w:rsidRDefault="008405B2"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EndPr>
                <w:rPr>
                  <w:rStyle w:val="Style2"/>
                </w:rPr>
              </w:sdtEndPr>
              <w:sdtContent>
                <w:r w:rsidR="00E52E2C" w:rsidRPr="005364A7">
                  <w:rPr>
                    <w:rStyle w:val="Style2"/>
                    <w:rFonts w:ascii="MS Gothic" w:eastAsia="MS Gothic" w:hAnsi="MS Gothic" w:hint="eastAsia"/>
                    <w:sz w:val="23"/>
                    <w:szCs w:val="23"/>
                  </w:rPr>
                  <w:t>☒</w:t>
                </w:r>
              </w:sdtContent>
            </w:sdt>
            <w:r w:rsidR="00B811A4" w:rsidRPr="005364A7">
              <w:rPr>
                <w:sz w:val="23"/>
                <w:szCs w:val="23"/>
              </w:rPr>
              <w:t xml:space="preserve"> 29.2.1 atitinka referencinę naudingumo vertę taikant arba netaikant</w:t>
            </w:r>
            <w:r w:rsidR="00437623" w:rsidRPr="005364A7">
              <w:rPr>
                <w:b/>
                <w:bCs/>
                <w:sz w:val="23"/>
                <w:szCs w:val="23"/>
              </w:rPr>
              <w:t xml:space="preserve"> </w:t>
            </w:r>
            <w:r w:rsidR="00B811A4" w:rsidRPr="005364A7">
              <w:rPr>
                <w:sz w:val="23"/>
                <w:szCs w:val="23"/>
              </w:rPr>
              <w:t>PGS</w:t>
            </w:r>
          </w:p>
          <w:p w14:paraId="71797774" w14:textId="77777777" w:rsidR="00B811A4" w:rsidRPr="005364A7"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5364A7"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5364A7" w:rsidRDefault="008405B2"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B811A4" w:rsidRPr="005364A7">
                  <w:rPr>
                    <w:rStyle w:val="Style2"/>
                    <w:rFonts w:ascii="Segoe UI Symbol" w:eastAsia="MS Gothic" w:hAnsi="Segoe UI Symbol" w:cs="Segoe UI Symbol"/>
                    <w:sz w:val="23"/>
                    <w:szCs w:val="23"/>
                  </w:rPr>
                  <w:t>☐</w:t>
                </w:r>
              </w:sdtContent>
            </w:sdt>
            <w:r w:rsidR="00B811A4" w:rsidRPr="005364A7">
              <w:rPr>
                <w:sz w:val="23"/>
                <w:szCs w:val="23"/>
              </w:rPr>
              <w:t xml:space="preserve"> 29.2.3 neatitinka referencinės naudingumo vertės taikant arba netaikant PGS</w:t>
            </w:r>
          </w:p>
          <w:p w14:paraId="13C9EEE5" w14:textId="77777777" w:rsidR="00B811A4" w:rsidRPr="005364A7"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5364A7"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5364A7" w:rsidRDefault="008405B2"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B811A4" w:rsidRPr="005364A7">
                  <w:rPr>
                    <w:rStyle w:val="Style2"/>
                    <w:rFonts w:ascii="Segoe UI Symbol" w:eastAsia="MS Gothic" w:hAnsi="Segoe UI Symbol" w:cs="Segoe UI Symbol"/>
                    <w:sz w:val="23"/>
                    <w:szCs w:val="23"/>
                  </w:rPr>
                  <w:t>☐</w:t>
                </w:r>
              </w:sdtContent>
            </w:sdt>
            <w:r w:rsidR="00B811A4" w:rsidRPr="005364A7">
              <w:rPr>
                <w:sz w:val="23"/>
                <w:szCs w:val="23"/>
              </w:rPr>
              <w:t xml:space="preserve"> 29.2.5 pateikti duomenys apie kaštų naudingumą yra netinkami vertinti</w:t>
            </w:r>
          </w:p>
          <w:p w14:paraId="06AB06C5" w14:textId="77777777" w:rsidR="00B811A4" w:rsidRPr="005364A7"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334F18" w:rsidRPr="005364A7" w14:paraId="632C9193" w14:textId="77777777" w:rsidTr="00027464">
        <w:tc>
          <w:tcPr>
            <w:tcW w:w="9634" w:type="dxa"/>
            <w:gridSpan w:val="2"/>
          </w:tcPr>
          <w:p w14:paraId="15C289C9" w14:textId="47C5A3CE" w:rsidR="007111C4" w:rsidRPr="005364A7" w:rsidRDefault="008405B2"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EndPr>
                <w:rPr>
                  <w:rStyle w:val="Style2"/>
                </w:rPr>
              </w:sdtEndPr>
              <w:sdtContent>
                <w:r w:rsidR="007111C4" w:rsidRPr="005364A7">
                  <w:rPr>
                    <w:rStyle w:val="Style2"/>
                    <w:rFonts w:ascii="Segoe UI Symbol" w:eastAsia="MS Gothic" w:hAnsi="Segoe UI Symbol" w:cs="Segoe UI Symbol"/>
                    <w:sz w:val="23"/>
                    <w:szCs w:val="23"/>
                  </w:rPr>
                  <w:t>☐</w:t>
                </w:r>
              </w:sdtContent>
            </w:sdt>
            <w:r w:rsidR="007111C4" w:rsidRPr="005364A7">
              <w:rPr>
                <w:sz w:val="23"/>
                <w:szCs w:val="23"/>
              </w:rPr>
              <w:t xml:space="preserve"> Vykdant Aprašo &lt;17</w:t>
            </w:r>
            <w:r w:rsidR="007111C4" w:rsidRPr="005364A7">
              <w:rPr>
                <w:sz w:val="23"/>
                <w:szCs w:val="23"/>
                <w:vertAlign w:val="superscript"/>
              </w:rPr>
              <w:t>3</w:t>
            </w:r>
            <w:r w:rsidR="007111C4" w:rsidRPr="005364A7">
              <w:rPr>
                <w:sz w:val="23"/>
                <w:szCs w:val="23"/>
              </w:rPr>
              <w:t>.1&gt;&lt;17</w:t>
            </w:r>
            <w:r w:rsidR="007111C4" w:rsidRPr="005364A7">
              <w:rPr>
                <w:sz w:val="23"/>
                <w:szCs w:val="23"/>
                <w:vertAlign w:val="superscript"/>
              </w:rPr>
              <w:t>3</w:t>
            </w:r>
            <w:r w:rsidR="007111C4" w:rsidRPr="005364A7">
              <w:rPr>
                <w:sz w:val="23"/>
                <w:szCs w:val="23"/>
              </w:rPr>
              <w:t>.2&gt;&lt;17</w:t>
            </w:r>
            <w:r w:rsidR="007111C4" w:rsidRPr="005364A7">
              <w:rPr>
                <w:sz w:val="23"/>
                <w:szCs w:val="23"/>
                <w:vertAlign w:val="superscript"/>
              </w:rPr>
              <w:t>3</w:t>
            </w:r>
            <w:r w:rsidR="007111C4" w:rsidRPr="005364A7">
              <w:rPr>
                <w:sz w:val="23"/>
                <w:szCs w:val="23"/>
              </w:rPr>
              <w:t>.3&gt; punktą vaistinio (-ų) preparato (-ų) ekonominis vertinimas neatliekamas, išvados dėl kaštų naudingumo neteikiamos</w:t>
            </w:r>
          </w:p>
        </w:tc>
      </w:tr>
    </w:tbl>
    <w:p w14:paraId="08D5B3B6" w14:textId="292D1124" w:rsidR="0061611B" w:rsidRPr="005364A7" w:rsidRDefault="0061611B" w:rsidP="0061611B">
      <w:pPr>
        <w:rPr>
          <w:i/>
          <w:szCs w:val="22"/>
        </w:rPr>
      </w:pPr>
    </w:p>
    <w:p w14:paraId="1B85C083" w14:textId="77777777" w:rsidR="009E44AE" w:rsidRPr="005364A7" w:rsidRDefault="009E44AE" w:rsidP="00381024"/>
    <w:p w14:paraId="3B2D1F25" w14:textId="3A80E19F" w:rsidR="000001B0" w:rsidRPr="005364A7" w:rsidRDefault="000001B0" w:rsidP="00CC09D4">
      <w:pPr>
        <w:pStyle w:val="Sraopastraipa"/>
        <w:numPr>
          <w:ilvl w:val="0"/>
          <w:numId w:val="12"/>
        </w:numPr>
        <w:ind w:left="567" w:hanging="567"/>
      </w:pPr>
      <w:r w:rsidRPr="005364A7">
        <w:rPr>
          <w:b/>
        </w:rPr>
        <w:t>REKOME</w:t>
      </w:r>
      <w:r w:rsidR="00D83182" w:rsidRPr="005364A7">
        <w:rPr>
          <w:b/>
        </w:rPr>
        <w:t>N</w:t>
      </w:r>
      <w:r w:rsidRPr="005364A7">
        <w:rPr>
          <w:b/>
        </w:rPr>
        <w:t>DACIJA</w:t>
      </w:r>
    </w:p>
    <w:p w14:paraId="35E33D78" w14:textId="59232BB3" w:rsidR="00B811A4" w:rsidRPr="005364A7" w:rsidRDefault="00B811A4" w:rsidP="00B811A4">
      <w:pPr>
        <w:pStyle w:val="Sraopastraipa"/>
        <w:ind w:left="567"/>
        <w:rPr>
          <w:b/>
        </w:rPr>
      </w:pPr>
    </w:p>
    <w:p w14:paraId="28D22E66" w14:textId="77777777" w:rsidR="00E52E2C" w:rsidRPr="005364A7" w:rsidRDefault="00E52E2C" w:rsidP="00F37FC4">
      <w:pPr>
        <w:spacing w:line="360" w:lineRule="auto"/>
        <w:jc w:val="both"/>
        <w:rPr>
          <w:lang w:eastAsia="lt-LT"/>
        </w:rPr>
      </w:pPr>
      <w:r w:rsidRPr="005364A7">
        <w:t xml:space="preserve">Vadovaujantis Aprašo </w:t>
      </w:r>
      <w:r w:rsidRPr="005364A7">
        <w:rPr>
          <w:lang w:eastAsia="lt-LT"/>
        </w:rPr>
        <w:t>30</w:t>
      </w:r>
      <w:r w:rsidRPr="005364A7">
        <w:rPr>
          <w:vertAlign w:val="superscript"/>
          <w:lang w:eastAsia="lt-LT"/>
        </w:rPr>
        <w:t>1</w:t>
      </w:r>
      <w:r w:rsidRPr="005364A7">
        <w:rPr>
          <w:lang w:eastAsia="lt-LT"/>
        </w:rPr>
        <w:t>.1. papunkčiu rekomenduojama kompensuoti vaistinį preparatą pagal paraiškoje nurodytą indikaciją (arba jos dalį) su arba be skyrimo sąlygų, taikant PGS, kai vertinimo išvados atitinka Aprašo 29.1.1 ir 29.2.1 papunkčiuose numatytas sąlygas.</w:t>
      </w:r>
    </w:p>
    <w:p w14:paraId="224ADAB2" w14:textId="77777777" w:rsidR="00E52E2C" w:rsidRPr="005364A7" w:rsidRDefault="00E52E2C" w:rsidP="00F37FC4">
      <w:pPr>
        <w:widowControl w:val="0"/>
        <w:tabs>
          <w:tab w:val="left" w:pos="1418"/>
        </w:tabs>
        <w:suppressAutoHyphens/>
        <w:spacing w:line="360" w:lineRule="auto"/>
        <w:jc w:val="both"/>
        <w:textAlignment w:val="center"/>
        <w:rPr>
          <w:lang w:eastAsia="lt-LT"/>
        </w:rPr>
      </w:pPr>
      <w:bookmarkStart w:id="7" w:name="part_e5da10a7dd3c4954a51a4cfadcc5dca9"/>
      <w:bookmarkStart w:id="8" w:name="part_cfcc6837026a4f778099b76920d1102e"/>
      <w:bookmarkEnd w:id="7"/>
      <w:bookmarkEnd w:id="8"/>
    </w:p>
    <w:p w14:paraId="55C6ABDF" w14:textId="77777777" w:rsidR="00265954" w:rsidRPr="005364A7" w:rsidRDefault="00265954" w:rsidP="00F37FC4">
      <w:pPr>
        <w:widowControl w:val="0"/>
        <w:tabs>
          <w:tab w:val="left" w:pos="1418"/>
        </w:tabs>
        <w:suppressAutoHyphens/>
        <w:spacing w:line="360" w:lineRule="auto"/>
        <w:jc w:val="both"/>
        <w:textAlignment w:val="center"/>
        <w:rPr>
          <w:b/>
          <w:bCs/>
          <w:i/>
          <w:iCs/>
          <w:lang w:eastAsia="lt-LT"/>
        </w:rPr>
      </w:pPr>
      <w:r w:rsidRPr="005364A7">
        <w:rPr>
          <w:b/>
          <w:bCs/>
          <w:i/>
          <w:iCs/>
          <w:lang w:eastAsia="lt-LT"/>
        </w:rPr>
        <w:t>Papildomos pastabos ir pasiūlymai</w:t>
      </w:r>
    </w:p>
    <w:p w14:paraId="74D0A289" w14:textId="77777777" w:rsidR="00265954" w:rsidRPr="005364A7" w:rsidRDefault="00265954" w:rsidP="009C49ED">
      <w:pPr>
        <w:spacing w:line="360" w:lineRule="auto"/>
        <w:ind w:firstLine="720"/>
        <w:jc w:val="both"/>
        <w:rPr>
          <w:lang w:eastAsia="lt-LT"/>
        </w:rPr>
      </w:pPr>
      <w:r w:rsidRPr="005364A7">
        <w:rPr>
          <w:lang w:eastAsia="lt-LT"/>
        </w:rPr>
        <w:t>Tarnyba vadovaudamasi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teikia papildomą pastabą.</w:t>
      </w:r>
    </w:p>
    <w:p w14:paraId="67C224FE" w14:textId="256819E3" w:rsidR="00265954" w:rsidRPr="005364A7" w:rsidRDefault="00265954" w:rsidP="009C49ED">
      <w:pPr>
        <w:spacing w:line="360" w:lineRule="auto"/>
        <w:ind w:firstLine="720"/>
        <w:jc w:val="both"/>
        <w:rPr>
          <w:lang w:eastAsia="lt-LT"/>
        </w:rPr>
      </w:pPr>
      <w:r w:rsidRPr="005364A7">
        <w:rPr>
          <w:lang w:eastAsia="lt-LT"/>
        </w:rPr>
        <w:t xml:space="preserve">2025 metų rugsėjo 18 d. Vaistinių preparatų ir medicinos pagalbos priemonių kompensavimo komisijos posėdžio metu, į rezervinį kompensuojamų vaistų sąrašą buvo įtrauktas vaistinis preparatas </w:t>
      </w:r>
      <w:r w:rsidR="009C49ED" w:rsidRPr="005364A7">
        <w:t>TECVAYLI</w:t>
      </w:r>
      <w:r w:rsidRPr="005364A7">
        <w:rPr>
          <w:lang w:eastAsia="lt-LT"/>
        </w:rPr>
        <w:t xml:space="preserve">. Šio vaistinio preparato indikacija sutampa su </w:t>
      </w:r>
      <w:r w:rsidR="009C49ED" w:rsidRPr="005364A7">
        <w:rPr>
          <w:iCs/>
        </w:rPr>
        <w:t>ELREXFIO</w:t>
      </w:r>
      <w:r w:rsidRPr="005364A7">
        <w:rPr>
          <w:lang w:eastAsia="lt-LT"/>
        </w:rPr>
        <w:t xml:space="preserve"> kompensavimui teikiama indikacija: </w:t>
      </w:r>
      <w:r w:rsidRPr="005364A7">
        <w:t xml:space="preserve">TECVAYLI kaip monoterapija yra skirtas gydyti suaugusiems pacientams, sergantiems </w:t>
      </w:r>
      <w:r w:rsidRPr="005364A7">
        <w:lastRenderedPageBreak/>
        <w:t xml:space="preserve">atsinaujinusia ir atsparia daugine mieloma, kurie prieš tai yra gavę mažiausiai tris gydymo kursus, įskaitant gydymą imunomoduliatoriumi, proteosomos inhibitoriumi ir antikūnu prieš CD38, ir kuriems pasireiškė ligos progresavimas paskutiniojo gydymo metu. </w:t>
      </w:r>
      <w:r w:rsidR="009C49ED" w:rsidRPr="005364A7">
        <w:t xml:space="preserve">TECVAYLI </w:t>
      </w:r>
      <w:r w:rsidRPr="005364A7">
        <w:t xml:space="preserve">analizėje lyginamas su PomDex gydymo schema ir sukuria </w:t>
      </w:r>
      <w:r w:rsidR="000B3197" w:rsidRPr="005364A7">
        <w:t>***</w:t>
      </w:r>
      <w:r w:rsidRPr="005364A7">
        <w:t xml:space="preserve"> papildomus kokybiškus gyvenimo metus (QALYs), bei ICER </w:t>
      </w:r>
      <w:r w:rsidR="000B3197" w:rsidRPr="005364A7">
        <w:t>***</w:t>
      </w:r>
      <w:r w:rsidRPr="005364A7">
        <w:t xml:space="preserve"> </w:t>
      </w:r>
      <w:r w:rsidRPr="005364A7">
        <w:rPr>
          <w:lang w:eastAsia="lt-LT"/>
        </w:rPr>
        <w:t>€</w:t>
      </w:r>
      <w:r w:rsidRPr="005364A7">
        <w:rPr>
          <w:color w:val="000000"/>
        </w:rPr>
        <w:t xml:space="preserve">/QALY. Tuo metu, </w:t>
      </w:r>
      <w:r w:rsidR="009C49ED" w:rsidRPr="005364A7">
        <w:rPr>
          <w:iCs/>
        </w:rPr>
        <w:t>ELREXFIO</w:t>
      </w:r>
      <w:r w:rsidRPr="005364A7">
        <w:rPr>
          <w:i/>
          <w:iCs/>
          <w:color w:val="000000"/>
        </w:rPr>
        <w:t>,</w:t>
      </w:r>
      <w:r w:rsidRPr="005364A7">
        <w:rPr>
          <w:color w:val="000000"/>
        </w:rPr>
        <w:t xml:space="preserve"> kuris sukuria </w:t>
      </w:r>
      <w:r w:rsidR="00EA08E1">
        <w:rPr>
          <w:color w:val="000000"/>
        </w:rPr>
        <w:t>**</w:t>
      </w:r>
      <w:r w:rsidRPr="005364A7">
        <w:rPr>
          <w:color w:val="000000"/>
        </w:rPr>
        <w:t xml:space="preserve"> papildomus kokybiškus gyvenimo metus (palyginus su PomDex schema), bei kurio ICER yra </w:t>
      </w:r>
      <w:r w:rsidR="00BF2134" w:rsidRPr="005364A7">
        <w:rPr>
          <w:lang w:eastAsia="lt-LT"/>
        </w:rPr>
        <w:t>***</w:t>
      </w:r>
      <w:r w:rsidRPr="005364A7">
        <w:rPr>
          <w:lang w:eastAsia="lt-LT"/>
        </w:rPr>
        <w:t xml:space="preserve"> €/QALY. Tarnyba pateikia orientacinį analizės rezultatą: 23 lentelėje pateikiami kaštų naudingumo rezultatai netiesiogiai lyginant </w:t>
      </w:r>
      <w:r w:rsidR="009C49ED" w:rsidRPr="005364A7">
        <w:t>TECVAYLI</w:t>
      </w:r>
      <w:r w:rsidRPr="005364A7">
        <w:rPr>
          <w:lang w:eastAsia="lt-LT"/>
        </w:rPr>
        <w:t xml:space="preserve"> su </w:t>
      </w:r>
      <w:r w:rsidR="009C49ED" w:rsidRPr="005364A7">
        <w:rPr>
          <w:iCs/>
        </w:rPr>
        <w:t>ELREXFIO</w:t>
      </w:r>
      <w:r w:rsidRPr="005364A7">
        <w:rPr>
          <w:lang w:eastAsia="lt-LT"/>
        </w:rPr>
        <w:t xml:space="preserve">, pagal atitinkamose paraiškose pateikiamus duomenis (į palyginimą įtraukti kaštai susideda iš vaistinių preparatų įsigijimo kaštų bei skyrimo kaštų). </w:t>
      </w:r>
    </w:p>
    <w:p w14:paraId="1E12042D" w14:textId="6F49FA78" w:rsidR="00265954" w:rsidRPr="005364A7" w:rsidRDefault="00265954" w:rsidP="00F37FC4">
      <w:pPr>
        <w:spacing w:line="360" w:lineRule="auto"/>
        <w:jc w:val="both"/>
        <w:rPr>
          <w:lang w:eastAsia="lt-LT"/>
        </w:rPr>
      </w:pPr>
      <w:r w:rsidRPr="005364A7">
        <w:rPr>
          <w:lang w:eastAsia="lt-LT"/>
        </w:rPr>
        <w:t xml:space="preserve">Pabrėžiame, jog siekiant tiksliai atlikti sveikatos technologijų vertinimą ir nustatyti </w:t>
      </w:r>
      <w:r w:rsidR="009C49ED" w:rsidRPr="005364A7">
        <w:rPr>
          <w:iCs/>
        </w:rPr>
        <w:t>ELREXFIO</w:t>
      </w:r>
      <w:r w:rsidRPr="005364A7">
        <w:rPr>
          <w:lang w:eastAsia="lt-LT"/>
        </w:rPr>
        <w:t xml:space="preserve"> kaštų naudingumą, palyginus su </w:t>
      </w:r>
      <w:r w:rsidR="009C49ED" w:rsidRPr="005364A7">
        <w:t>TECVAYLI</w:t>
      </w:r>
      <w:r w:rsidRPr="005364A7">
        <w:rPr>
          <w:lang w:eastAsia="lt-LT"/>
        </w:rPr>
        <w:t xml:space="preserve">, turėtų būti atliekama pilna analizė, nagrinėjant klinikinius įrodymus bei papildomai įvertinant ir kitus kaštus, turinčius įtakos analizės rezultatui, tačiau atsižvelgiant į analizių panašumą bei tai, jog nagrinėjami vaistai priklauso tai pačiai farmakoterapinei grupei (analizėse nagrinėjama ta pati pacientų populiacija, sutampa kompensavimui siūlomos indikacijos, taikomas tas pats palyginamasis gydymas), Tarnyba papildomai pateikia orientacinį šių vaistinių preparatų palyginimą. Lyginant </w:t>
      </w:r>
      <w:r w:rsidR="009C49ED" w:rsidRPr="005364A7">
        <w:rPr>
          <w:iCs/>
        </w:rPr>
        <w:t>ELREXFIO</w:t>
      </w:r>
      <w:r w:rsidR="009C49ED" w:rsidRPr="005364A7">
        <w:rPr>
          <w:lang w:eastAsia="lt-LT"/>
        </w:rPr>
        <w:t xml:space="preserve"> </w:t>
      </w:r>
      <w:r w:rsidRPr="005364A7">
        <w:rPr>
          <w:lang w:eastAsia="lt-LT"/>
        </w:rPr>
        <w:t>ir</w:t>
      </w:r>
      <w:r w:rsidRPr="005364A7">
        <w:rPr>
          <w:i/>
          <w:iCs/>
          <w:lang w:eastAsia="lt-LT"/>
        </w:rPr>
        <w:t xml:space="preserve"> </w:t>
      </w:r>
      <w:r w:rsidR="009C49ED" w:rsidRPr="005364A7">
        <w:t>TECVAYLI</w:t>
      </w:r>
      <w:r w:rsidRPr="005364A7">
        <w:rPr>
          <w:lang w:eastAsia="lt-LT"/>
        </w:rPr>
        <w:t xml:space="preserve">, gaunamas ICER yra </w:t>
      </w:r>
      <w:r w:rsidR="000B3197" w:rsidRPr="005364A7">
        <w:rPr>
          <w:lang w:eastAsia="lt-LT"/>
        </w:rPr>
        <w:t>***</w:t>
      </w:r>
      <w:r w:rsidRPr="005364A7">
        <w:rPr>
          <w:lang w:eastAsia="lt-LT"/>
        </w:rPr>
        <w:t xml:space="preserve"> €</w:t>
      </w:r>
      <w:r w:rsidRPr="005364A7">
        <w:rPr>
          <w:color w:val="000000"/>
        </w:rPr>
        <w:t>/QALY.</w:t>
      </w:r>
      <w:r w:rsidRPr="005364A7">
        <w:rPr>
          <w:lang w:eastAsia="lt-LT"/>
        </w:rPr>
        <w:t xml:space="preserve"> Daroma išvada, jog </w:t>
      </w:r>
      <w:r w:rsidR="009C49ED" w:rsidRPr="005364A7">
        <w:t>TECVAYLI</w:t>
      </w:r>
      <w:r w:rsidR="009C49ED" w:rsidRPr="005364A7">
        <w:rPr>
          <w:lang w:eastAsia="lt-LT"/>
        </w:rPr>
        <w:t xml:space="preserve"> </w:t>
      </w:r>
      <w:r w:rsidRPr="005364A7">
        <w:rPr>
          <w:lang w:eastAsia="lt-LT"/>
        </w:rPr>
        <w:t>vaistinis preparatas sukuria panašią naudą pacientų sveikatai kaip ir</w:t>
      </w:r>
      <w:r w:rsidRPr="005364A7">
        <w:rPr>
          <w:i/>
          <w:iCs/>
          <w:lang w:eastAsia="lt-LT"/>
        </w:rPr>
        <w:t xml:space="preserve"> </w:t>
      </w:r>
      <w:r w:rsidR="009C49ED" w:rsidRPr="005364A7">
        <w:rPr>
          <w:iCs/>
        </w:rPr>
        <w:t>ELREXFIO</w:t>
      </w:r>
      <w:r w:rsidRPr="005364A7">
        <w:rPr>
          <w:lang w:eastAsia="lt-LT"/>
        </w:rPr>
        <w:t xml:space="preserve">, tačiau </w:t>
      </w:r>
      <w:r w:rsidR="009C49ED" w:rsidRPr="005364A7">
        <w:t>TECVAYLI</w:t>
      </w:r>
      <w:r w:rsidRPr="005364A7">
        <w:rPr>
          <w:lang w:eastAsia="lt-LT"/>
        </w:rPr>
        <w:t xml:space="preserve"> yra pigesnis gydymo pasirinkimas.</w:t>
      </w:r>
    </w:p>
    <w:p w14:paraId="3436E9B9" w14:textId="77777777" w:rsidR="00265954" w:rsidRPr="005364A7" w:rsidRDefault="00265954" w:rsidP="00F37FC4">
      <w:pPr>
        <w:spacing w:line="360" w:lineRule="auto"/>
        <w:jc w:val="both"/>
        <w:rPr>
          <w:lang w:eastAsia="lt-LT"/>
        </w:rPr>
      </w:pPr>
    </w:p>
    <w:p w14:paraId="39B11A9A" w14:textId="4D789597" w:rsidR="00265954" w:rsidRPr="005364A7" w:rsidRDefault="00265954" w:rsidP="00F37FC4">
      <w:pPr>
        <w:spacing w:line="360" w:lineRule="auto"/>
        <w:jc w:val="both"/>
        <w:rPr>
          <w:i/>
          <w:iCs/>
          <w:lang w:eastAsia="lt-LT"/>
        </w:rPr>
      </w:pPr>
      <w:r w:rsidRPr="005364A7">
        <w:rPr>
          <w:i/>
          <w:iCs/>
          <w:lang w:eastAsia="lt-LT"/>
        </w:rPr>
        <w:t xml:space="preserve">23 lentelė. Ekonominės analizės rezultatas lyginant </w:t>
      </w:r>
      <w:r w:rsidR="009C49ED" w:rsidRPr="005364A7">
        <w:rPr>
          <w:i/>
          <w:iCs/>
          <w:lang w:eastAsia="lt-LT"/>
        </w:rPr>
        <w:t>TECVAYLI</w:t>
      </w:r>
      <w:r w:rsidRPr="005364A7">
        <w:rPr>
          <w:i/>
          <w:iCs/>
          <w:lang w:eastAsia="lt-LT"/>
        </w:rPr>
        <w:t xml:space="preserve"> su </w:t>
      </w:r>
      <w:r w:rsidR="009C49ED" w:rsidRPr="005364A7">
        <w:rPr>
          <w:i/>
          <w:iCs/>
          <w:lang w:eastAsia="lt-LT"/>
        </w:rPr>
        <w:t>ELREXFIO</w:t>
      </w:r>
      <w:r w:rsidRPr="005364A7">
        <w:rPr>
          <w:i/>
          <w:iCs/>
          <w:lang w:eastAsia="lt-LT"/>
        </w:rPr>
        <w:t xml:space="preserve">. </w:t>
      </w:r>
    </w:p>
    <w:tbl>
      <w:tblPr>
        <w:tblW w:w="7152" w:type="dxa"/>
        <w:tblCellSpacing w:w="15" w:type="dxa"/>
        <w:tblCellMar>
          <w:top w:w="15" w:type="dxa"/>
          <w:left w:w="15" w:type="dxa"/>
          <w:bottom w:w="15" w:type="dxa"/>
          <w:right w:w="15" w:type="dxa"/>
        </w:tblCellMar>
        <w:tblLook w:val="04A0" w:firstRow="1" w:lastRow="0" w:firstColumn="1" w:lastColumn="0" w:noHBand="0" w:noVBand="1"/>
      </w:tblPr>
      <w:tblGrid>
        <w:gridCol w:w="5532"/>
        <w:gridCol w:w="1620"/>
      </w:tblGrid>
      <w:tr w:rsidR="00265954" w:rsidRPr="005364A7" w14:paraId="3B35DB44" w14:textId="77777777" w:rsidTr="009C49ED">
        <w:trPr>
          <w:trHeight w:val="436"/>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A5648DB" w14:textId="3D965878" w:rsidR="00265954" w:rsidRPr="005364A7" w:rsidRDefault="00265954" w:rsidP="00F37FC4">
            <w:pPr>
              <w:spacing w:line="360" w:lineRule="auto"/>
              <w:jc w:val="both"/>
            </w:pPr>
            <w:r w:rsidRPr="005364A7">
              <w:rPr>
                <w:b/>
                <w:bCs/>
              </w:rPr>
              <w:t>Rezultatai (</w:t>
            </w:r>
            <w:r w:rsidR="009C49ED" w:rsidRPr="005364A7">
              <w:rPr>
                <w:b/>
                <w:bCs/>
              </w:rPr>
              <w:t>TECVAYLI</w:t>
            </w:r>
            <w:r w:rsidRPr="005364A7">
              <w:rPr>
                <w:b/>
                <w:bCs/>
              </w:rPr>
              <w:t xml:space="preserve"> vs </w:t>
            </w:r>
            <w:r w:rsidR="009C49ED" w:rsidRPr="005364A7">
              <w:rPr>
                <w:b/>
                <w:bCs/>
              </w:rPr>
              <w:t>ELREXFIO</w:t>
            </w:r>
            <w:r w:rsidRPr="005364A7">
              <w:rPr>
                <w:b/>
                <w:bCs/>
              </w:rPr>
              <w:t>)</w:t>
            </w:r>
          </w:p>
        </w:tc>
      </w:tr>
      <w:tr w:rsidR="00265954" w:rsidRPr="005364A7" w14:paraId="6AC0F1E1" w14:textId="77777777" w:rsidTr="009C49ED">
        <w:trPr>
          <w:trHeight w:val="43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C299426" w14:textId="77777777" w:rsidR="00265954" w:rsidRPr="005364A7" w:rsidRDefault="00265954" w:rsidP="00F37FC4">
            <w:pPr>
              <w:spacing w:line="360" w:lineRule="auto"/>
              <w:jc w:val="both"/>
            </w:pPr>
            <w:r w:rsidRPr="005364A7">
              <w:t>Kaštų skirtumas</w:t>
            </w:r>
          </w:p>
        </w:tc>
        <w:tc>
          <w:tcPr>
            <w:tcW w:w="0" w:type="auto"/>
            <w:tcBorders>
              <w:top w:val="single" w:sz="4" w:space="0" w:color="auto"/>
              <w:left w:val="single" w:sz="4" w:space="0" w:color="auto"/>
              <w:bottom w:val="single" w:sz="4" w:space="0" w:color="auto"/>
              <w:right w:val="single" w:sz="4" w:space="0" w:color="auto"/>
            </w:tcBorders>
            <w:vAlign w:val="center"/>
            <w:hideMark/>
          </w:tcPr>
          <w:p w14:paraId="0225447C" w14:textId="46F2ED78" w:rsidR="00265954" w:rsidRPr="005364A7" w:rsidRDefault="000B3197" w:rsidP="00F37FC4">
            <w:pPr>
              <w:spacing w:line="360" w:lineRule="auto"/>
              <w:jc w:val="both"/>
            </w:pPr>
            <w:r w:rsidRPr="005364A7">
              <w:rPr>
                <w:i/>
                <w:iCs/>
              </w:rPr>
              <w:t>***</w:t>
            </w:r>
            <w:r w:rsidR="00265954" w:rsidRPr="005364A7">
              <w:rPr>
                <w:i/>
                <w:iCs/>
              </w:rPr>
              <w:t xml:space="preserve"> €</w:t>
            </w:r>
          </w:p>
        </w:tc>
      </w:tr>
      <w:tr w:rsidR="00265954" w:rsidRPr="005364A7" w14:paraId="4ACAD5B9" w14:textId="77777777" w:rsidTr="009C49ED">
        <w:trPr>
          <w:trHeight w:val="43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70C44B9" w14:textId="77777777" w:rsidR="00265954" w:rsidRPr="005364A7" w:rsidRDefault="00265954" w:rsidP="00F37FC4">
            <w:pPr>
              <w:spacing w:line="360" w:lineRule="auto"/>
              <w:jc w:val="both"/>
            </w:pPr>
            <w:r w:rsidRPr="005364A7">
              <w:t>Papildomi kokybiški gyvenimo metai (QALY)</w:t>
            </w:r>
          </w:p>
        </w:tc>
        <w:tc>
          <w:tcPr>
            <w:tcW w:w="0" w:type="auto"/>
            <w:tcBorders>
              <w:top w:val="single" w:sz="4" w:space="0" w:color="auto"/>
              <w:left w:val="single" w:sz="4" w:space="0" w:color="auto"/>
              <w:bottom w:val="single" w:sz="4" w:space="0" w:color="auto"/>
              <w:right w:val="single" w:sz="4" w:space="0" w:color="auto"/>
            </w:tcBorders>
            <w:vAlign w:val="center"/>
            <w:hideMark/>
          </w:tcPr>
          <w:p w14:paraId="7CB51A9C" w14:textId="7A634D76" w:rsidR="00265954" w:rsidRPr="005364A7" w:rsidRDefault="000B3197" w:rsidP="00F37FC4">
            <w:pPr>
              <w:spacing w:line="360" w:lineRule="auto"/>
              <w:jc w:val="both"/>
            </w:pPr>
            <w:r w:rsidRPr="005364A7">
              <w:rPr>
                <w:i/>
                <w:iCs/>
              </w:rPr>
              <w:t>***</w:t>
            </w:r>
          </w:p>
        </w:tc>
      </w:tr>
      <w:tr w:rsidR="00265954" w:rsidRPr="005364A7" w14:paraId="7B1CAB91" w14:textId="77777777" w:rsidTr="009C49ED">
        <w:trPr>
          <w:trHeight w:val="43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275E835" w14:textId="77777777" w:rsidR="00265954" w:rsidRPr="005364A7" w:rsidRDefault="00265954" w:rsidP="00F37FC4">
            <w:pPr>
              <w:spacing w:line="360" w:lineRule="auto"/>
              <w:jc w:val="both"/>
            </w:pPr>
            <w:r w:rsidRPr="005364A7">
              <w:t>ICER už QALY</w:t>
            </w:r>
          </w:p>
        </w:tc>
        <w:tc>
          <w:tcPr>
            <w:tcW w:w="0" w:type="auto"/>
            <w:tcBorders>
              <w:top w:val="single" w:sz="4" w:space="0" w:color="auto"/>
              <w:left w:val="single" w:sz="4" w:space="0" w:color="auto"/>
              <w:bottom w:val="single" w:sz="4" w:space="0" w:color="auto"/>
              <w:right w:val="single" w:sz="4" w:space="0" w:color="auto"/>
            </w:tcBorders>
            <w:vAlign w:val="center"/>
            <w:hideMark/>
          </w:tcPr>
          <w:p w14:paraId="605A1677" w14:textId="4F1684C5" w:rsidR="00265954" w:rsidRPr="005364A7" w:rsidRDefault="000B3197" w:rsidP="00F37FC4">
            <w:pPr>
              <w:spacing w:line="360" w:lineRule="auto"/>
              <w:jc w:val="both"/>
            </w:pPr>
            <w:r w:rsidRPr="005364A7">
              <w:rPr>
                <w:i/>
                <w:iCs/>
              </w:rPr>
              <w:t xml:space="preserve">*** </w:t>
            </w:r>
            <w:r w:rsidR="00265954" w:rsidRPr="005364A7">
              <w:rPr>
                <w:i/>
                <w:iCs/>
              </w:rPr>
              <w:t xml:space="preserve"> €/QALY</w:t>
            </w:r>
          </w:p>
        </w:tc>
      </w:tr>
      <w:tr w:rsidR="00265954" w:rsidRPr="005364A7" w14:paraId="60D828A3" w14:textId="77777777" w:rsidTr="009C49ED">
        <w:trPr>
          <w:trHeight w:val="436"/>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15EEDFCD" w14:textId="77777777" w:rsidR="00265954" w:rsidRPr="005364A7" w:rsidRDefault="00265954" w:rsidP="00F37FC4">
            <w:pPr>
              <w:spacing w:line="360" w:lineRule="auto"/>
              <w:jc w:val="both"/>
            </w:pPr>
            <w:r w:rsidRPr="005364A7">
              <w:t>Referencinė kaštų naudingumo vertė</w:t>
            </w:r>
          </w:p>
        </w:tc>
        <w:tc>
          <w:tcPr>
            <w:tcW w:w="0" w:type="auto"/>
            <w:tcBorders>
              <w:top w:val="single" w:sz="4" w:space="0" w:color="auto"/>
              <w:left w:val="single" w:sz="4" w:space="0" w:color="auto"/>
              <w:bottom w:val="single" w:sz="4" w:space="0" w:color="auto"/>
              <w:right w:val="single" w:sz="4" w:space="0" w:color="auto"/>
            </w:tcBorders>
            <w:vAlign w:val="center"/>
            <w:hideMark/>
          </w:tcPr>
          <w:p w14:paraId="080C7459" w14:textId="33457611" w:rsidR="00265954" w:rsidRPr="005364A7" w:rsidRDefault="0080198E" w:rsidP="00F37FC4">
            <w:pPr>
              <w:spacing w:line="360" w:lineRule="auto"/>
              <w:jc w:val="both"/>
            </w:pPr>
            <w:r>
              <w:rPr>
                <w:i/>
                <w:iCs/>
              </w:rPr>
              <w:t>***</w:t>
            </w:r>
            <w:r w:rsidR="00265954" w:rsidRPr="005364A7">
              <w:rPr>
                <w:i/>
                <w:iCs/>
              </w:rPr>
              <w:t xml:space="preserve"> €/QALY</w:t>
            </w:r>
          </w:p>
        </w:tc>
      </w:tr>
    </w:tbl>
    <w:p w14:paraId="5F9BD8CB" w14:textId="77777777" w:rsidR="00265954" w:rsidRPr="005364A7" w:rsidRDefault="00265954" w:rsidP="00F37FC4">
      <w:pPr>
        <w:spacing w:line="360" w:lineRule="auto"/>
        <w:jc w:val="both"/>
      </w:pPr>
    </w:p>
    <w:p w14:paraId="70177CFD" w14:textId="4CBD5500" w:rsidR="008C5C31" w:rsidRPr="005364A7" w:rsidRDefault="008C5C31" w:rsidP="00F37FC4">
      <w:pPr>
        <w:widowControl w:val="0"/>
        <w:tabs>
          <w:tab w:val="left" w:pos="1418"/>
        </w:tabs>
        <w:suppressAutoHyphens/>
        <w:spacing w:line="360" w:lineRule="auto"/>
        <w:jc w:val="both"/>
        <w:textAlignment w:val="center"/>
      </w:pPr>
      <w:r w:rsidRPr="005364A7">
        <w:t xml:space="preserve">Siekiant, kad </w:t>
      </w:r>
      <w:r w:rsidR="00B42141" w:rsidRPr="005364A7">
        <w:t>ELREXFIO</w:t>
      </w:r>
      <w:r w:rsidR="00F8212F" w:rsidRPr="005364A7">
        <w:t xml:space="preserve"> </w:t>
      </w:r>
      <w:r w:rsidRPr="005364A7">
        <w:t xml:space="preserve">būtų kaštams naudingas lyginant su </w:t>
      </w:r>
      <w:r w:rsidR="00F8212F" w:rsidRPr="005364A7">
        <w:t>TECVAYLI,</w:t>
      </w:r>
      <w:r w:rsidRPr="005364A7">
        <w:t xml:space="preserve"> yra reikalinga </w:t>
      </w:r>
      <w:r w:rsidR="003359D5" w:rsidRPr="005364A7">
        <w:t xml:space="preserve">papildoma </w:t>
      </w:r>
      <w:r w:rsidR="00BF2134" w:rsidRPr="005364A7">
        <w:t>**</w:t>
      </w:r>
      <w:r w:rsidRPr="005364A7">
        <w:t xml:space="preserve"> proc. nuolaida. </w:t>
      </w:r>
    </w:p>
    <w:p w14:paraId="3D60BB06" w14:textId="77777777" w:rsidR="00B811A4" w:rsidRPr="005364A7" w:rsidRDefault="00B811A4" w:rsidP="00F37FC4">
      <w:pPr>
        <w:widowControl w:val="0"/>
        <w:tabs>
          <w:tab w:val="left" w:pos="1418"/>
        </w:tabs>
        <w:suppressAutoHyphens/>
        <w:spacing w:line="360" w:lineRule="auto"/>
        <w:jc w:val="center"/>
        <w:textAlignment w:val="center"/>
        <w:rPr>
          <w:lang w:eastAsia="lt-LT"/>
        </w:rPr>
      </w:pPr>
    </w:p>
    <w:p w14:paraId="42F3A222" w14:textId="77777777" w:rsidR="00B811A4" w:rsidRPr="005364A7" w:rsidRDefault="00B811A4" w:rsidP="00F37FC4">
      <w:pPr>
        <w:tabs>
          <w:tab w:val="left" w:pos="426"/>
        </w:tabs>
        <w:spacing w:line="360" w:lineRule="auto"/>
        <w:jc w:val="both"/>
        <w:rPr>
          <w:b/>
          <w:lang w:eastAsia="lt-LT"/>
        </w:rPr>
      </w:pPr>
      <w:r w:rsidRPr="005364A7">
        <w:rPr>
          <w:b/>
          <w:lang w:eastAsia="lt-LT"/>
        </w:rPr>
        <w:t xml:space="preserve">4.3 Siūloma (-os) kompensuoti terapinės indikacijos ir skyrimo sąlygos </w:t>
      </w:r>
    </w:p>
    <w:p w14:paraId="25C5B192" w14:textId="1D0C7E81" w:rsidR="00611315" w:rsidRPr="005364A7" w:rsidRDefault="00611315" w:rsidP="00F37FC4">
      <w:pPr>
        <w:pStyle w:val="Betarp"/>
        <w:spacing w:line="360" w:lineRule="auto"/>
        <w:jc w:val="both"/>
        <w:rPr>
          <w:rFonts w:ascii="Times New Roman" w:hAnsi="Times New Roman"/>
          <w:b/>
          <w:sz w:val="24"/>
          <w:szCs w:val="24"/>
          <w:lang w:eastAsia="lt-LT"/>
        </w:rPr>
      </w:pPr>
      <w:r w:rsidRPr="005364A7">
        <w:rPr>
          <w:rFonts w:ascii="Times New Roman" w:hAnsi="Times New Roman"/>
          <w:b/>
          <w:sz w:val="24"/>
          <w:szCs w:val="24"/>
          <w:lang w:eastAsia="lt-LT"/>
        </w:rPr>
        <w:t>Terapinės indikacijos</w:t>
      </w:r>
    </w:p>
    <w:p w14:paraId="47E5C493" w14:textId="77777777" w:rsidR="00611315" w:rsidRPr="005364A7" w:rsidRDefault="00611315" w:rsidP="00F37FC4">
      <w:pPr>
        <w:pStyle w:val="Betarp"/>
        <w:spacing w:line="360" w:lineRule="auto"/>
        <w:jc w:val="both"/>
        <w:rPr>
          <w:rFonts w:ascii="Times New Roman" w:hAnsi="Times New Roman"/>
          <w:sz w:val="24"/>
          <w:szCs w:val="28"/>
          <w:lang w:eastAsia="lt-LT"/>
        </w:rPr>
      </w:pPr>
      <w:r w:rsidRPr="005364A7">
        <w:rPr>
          <w:rFonts w:ascii="Times New Roman" w:hAnsi="Times New Roman"/>
          <w:sz w:val="24"/>
          <w:szCs w:val="28"/>
          <w:lang w:eastAsia="lt-LT"/>
        </w:rPr>
        <w:t xml:space="preserve">ELREXFIO skiriamas kaip monoterapija suaugusiems pacientams, sergantiems recidyvuojančia ir refrakterine daugine mieloma, kuriems prieš tai buvo taikyti ne mažiau kaip trys gydymo būdai, </w:t>
      </w:r>
      <w:r w:rsidRPr="005364A7">
        <w:rPr>
          <w:rFonts w:ascii="Times New Roman" w:hAnsi="Times New Roman"/>
          <w:sz w:val="24"/>
          <w:szCs w:val="28"/>
          <w:lang w:eastAsia="lt-LT"/>
        </w:rPr>
        <w:lastRenderedPageBreak/>
        <w:t>įskaitant imunomoduliatorių, proteosomos inhibitorių ir antikūnus prieš CD38 antigeną, ir kurių liga progresavo po paskutinio gydymo.</w:t>
      </w:r>
    </w:p>
    <w:p w14:paraId="54B32533" w14:textId="77777777" w:rsidR="00611315" w:rsidRPr="005364A7" w:rsidRDefault="00611315" w:rsidP="00F37FC4">
      <w:pPr>
        <w:pStyle w:val="Betarp"/>
        <w:spacing w:line="360" w:lineRule="auto"/>
        <w:jc w:val="both"/>
        <w:rPr>
          <w:rFonts w:ascii="Times New Roman" w:hAnsi="Times New Roman"/>
          <w:b/>
          <w:sz w:val="24"/>
          <w:szCs w:val="24"/>
        </w:rPr>
      </w:pPr>
    </w:p>
    <w:p w14:paraId="77A701A5" w14:textId="77777777" w:rsidR="00611315" w:rsidRPr="005364A7" w:rsidRDefault="00611315" w:rsidP="00F37FC4">
      <w:pPr>
        <w:pStyle w:val="Betarp"/>
        <w:spacing w:line="360" w:lineRule="auto"/>
        <w:jc w:val="both"/>
        <w:rPr>
          <w:rFonts w:ascii="Times New Roman" w:hAnsi="Times New Roman"/>
          <w:sz w:val="24"/>
          <w:szCs w:val="28"/>
          <w:lang w:eastAsia="lt-LT"/>
        </w:rPr>
      </w:pPr>
      <w:r w:rsidRPr="005364A7">
        <w:rPr>
          <w:rFonts w:ascii="Times New Roman" w:hAnsi="Times New Roman"/>
          <w:b/>
          <w:sz w:val="24"/>
          <w:szCs w:val="24"/>
        </w:rPr>
        <w:t>Skyrimo sąlygos</w:t>
      </w:r>
    </w:p>
    <w:p w14:paraId="0EDDD127" w14:textId="733B8B01" w:rsidR="00611315" w:rsidRPr="005364A7" w:rsidRDefault="00611315" w:rsidP="00F37FC4">
      <w:pPr>
        <w:pStyle w:val="Betarp"/>
        <w:spacing w:line="360" w:lineRule="auto"/>
        <w:jc w:val="both"/>
        <w:rPr>
          <w:rFonts w:ascii="Times New Roman" w:hAnsi="Times New Roman"/>
          <w:bCs/>
          <w:sz w:val="24"/>
          <w:szCs w:val="24"/>
        </w:rPr>
      </w:pPr>
      <w:r w:rsidRPr="005364A7">
        <w:rPr>
          <w:rFonts w:ascii="Times New Roman" w:hAnsi="Times New Roman"/>
          <w:bCs/>
          <w:sz w:val="24"/>
          <w:szCs w:val="24"/>
        </w:rPr>
        <w:t>Skiriamas monoterapijai suaugusiems pacientams, sergantiems atsinaujinusia ir atsparia daugine mieloma, kurie prieš tai yra gavę mažiausiai tris gydymo kursus, įskaitant gydymą imunomoduliatoriumi, prote</w:t>
      </w:r>
      <w:r w:rsidR="009C49ED" w:rsidRPr="005364A7">
        <w:rPr>
          <w:rFonts w:ascii="Times New Roman" w:hAnsi="Times New Roman"/>
          <w:bCs/>
          <w:sz w:val="24"/>
          <w:szCs w:val="24"/>
        </w:rPr>
        <w:t>o</w:t>
      </w:r>
      <w:r w:rsidRPr="005364A7">
        <w:rPr>
          <w:rFonts w:ascii="Times New Roman" w:hAnsi="Times New Roman"/>
          <w:bCs/>
          <w:sz w:val="24"/>
          <w:szCs w:val="24"/>
        </w:rPr>
        <w:t>somos inhibitoriumi ir antikūnu prieš CD38, ir kuriems pasireiškė ligos progresavimas paskutiniojo gydymo metu. Gydymas tęsiamas iki ligos progresavimo arba nepriimtino toksinio poveikio atsiradimo.</w:t>
      </w:r>
    </w:p>
    <w:p w14:paraId="7D5C6700" w14:textId="77777777" w:rsidR="00D5470B" w:rsidRPr="005364A7" w:rsidRDefault="00D5470B" w:rsidP="00F37FC4">
      <w:pPr>
        <w:pStyle w:val="Sraopastraipa"/>
        <w:spacing w:line="360" w:lineRule="auto"/>
        <w:ind w:left="426"/>
      </w:pPr>
    </w:p>
    <w:p w14:paraId="7CDFF220" w14:textId="0B3C8DD0" w:rsidR="000723FF" w:rsidRPr="00611315" w:rsidRDefault="00283E59" w:rsidP="00611315">
      <w:pPr>
        <w:widowControl w:val="0"/>
        <w:tabs>
          <w:tab w:val="left" w:pos="1418"/>
        </w:tabs>
        <w:suppressAutoHyphens/>
        <w:spacing w:line="360" w:lineRule="atLeast"/>
        <w:jc w:val="center"/>
        <w:textAlignment w:val="center"/>
      </w:pPr>
      <w:r w:rsidRPr="005364A7">
        <w:rPr>
          <w:lang w:eastAsia="lt-LT"/>
        </w:rPr>
        <w:t>____________________________</w:t>
      </w:r>
    </w:p>
    <w:sectPr w:rsidR="000723FF" w:rsidRPr="00611315" w:rsidSect="00063A50">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3109F" w14:textId="77777777" w:rsidR="008405B2" w:rsidRDefault="008405B2">
      <w:r>
        <w:separator/>
      </w:r>
    </w:p>
  </w:endnote>
  <w:endnote w:type="continuationSeparator" w:id="0">
    <w:p w14:paraId="4388D769" w14:textId="77777777" w:rsidR="008405B2" w:rsidRDefault="00840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0C3A" w14:textId="77777777" w:rsidR="008405B2" w:rsidRDefault="008405B2">
      <w:r>
        <w:separator/>
      </w:r>
    </w:p>
  </w:footnote>
  <w:footnote w:type="continuationSeparator" w:id="0">
    <w:p w14:paraId="289B6C76" w14:textId="77777777" w:rsidR="008405B2" w:rsidRDefault="008405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B56BED"/>
    <w:multiLevelType w:val="hybridMultilevel"/>
    <w:tmpl w:val="03368D8C"/>
    <w:lvl w:ilvl="0" w:tplc="02445F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7"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9"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943885"/>
    <w:multiLevelType w:val="multilevel"/>
    <w:tmpl w:val="F7D8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035017">
    <w:abstractNumId w:val="9"/>
  </w:num>
  <w:num w:numId="2" w16cid:durableId="985162166">
    <w:abstractNumId w:val="2"/>
  </w:num>
  <w:num w:numId="3" w16cid:durableId="480578891">
    <w:abstractNumId w:val="11"/>
  </w:num>
  <w:num w:numId="4" w16cid:durableId="442387534">
    <w:abstractNumId w:val="10"/>
  </w:num>
  <w:num w:numId="5" w16cid:durableId="823667834">
    <w:abstractNumId w:val="8"/>
  </w:num>
  <w:num w:numId="6" w16cid:durableId="417020125">
    <w:abstractNumId w:val="7"/>
  </w:num>
  <w:num w:numId="7" w16cid:durableId="1843550031">
    <w:abstractNumId w:val="5"/>
  </w:num>
  <w:num w:numId="8" w16cid:durableId="580068462">
    <w:abstractNumId w:val="14"/>
  </w:num>
  <w:num w:numId="9" w16cid:durableId="257183606">
    <w:abstractNumId w:val="0"/>
  </w:num>
  <w:num w:numId="10" w16cid:durableId="131410136">
    <w:abstractNumId w:val="12"/>
  </w:num>
  <w:num w:numId="11" w16cid:durableId="1133251921">
    <w:abstractNumId w:val="13"/>
  </w:num>
  <w:num w:numId="12" w16cid:durableId="700133012">
    <w:abstractNumId w:val="4"/>
  </w:num>
  <w:num w:numId="13" w16cid:durableId="373774129">
    <w:abstractNumId w:val="6"/>
  </w:num>
  <w:num w:numId="14" w16cid:durableId="1004668447">
    <w:abstractNumId w:val="1"/>
  </w:num>
  <w:num w:numId="15" w16cid:durableId="102849949">
    <w:abstractNumId w:val="3"/>
  </w:num>
  <w:num w:numId="16" w16cid:durableId="4343743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75E99"/>
    <w:rsid w:val="0008190F"/>
    <w:rsid w:val="00081D9C"/>
    <w:rsid w:val="00082907"/>
    <w:rsid w:val="0008378D"/>
    <w:rsid w:val="000908A5"/>
    <w:rsid w:val="00092805"/>
    <w:rsid w:val="00094068"/>
    <w:rsid w:val="000A50C9"/>
    <w:rsid w:val="000B2B2C"/>
    <w:rsid w:val="000B3197"/>
    <w:rsid w:val="000B76AD"/>
    <w:rsid w:val="000C454C"/>
    <w:rsid w:val="000D5038"/>
    <w:rsid w:val="000E29D4"/>
    <w:rsid w:val="000F0440"/>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7369C"/>
    <w:rsid w:val="00175D57"/>
    <w:rsid w:val="00180C39"/>
    <w:rsid w:val="00180D96"/>
    <w:rsid w:val="00184BD3"/>
    <w:rsid w:val="001921F3"/>
    <w:rsid w:val="001A0CAA"/>
    <w:rsid w:val="001B3C5B"/>
    <w:rsid w:val="001C2FC8"/>
    <w:rsid w:val="001C6353"/>
    <w:rsid w:val="001D5B91"/>
    <w:rsid w:val="001D746F"/>
    <w:rsid w:val="001E0B2D"/>
    <w:rsid w:val="001E4BBB"/>
    <w:rsid w:val="001E6304"/>
    <w:rsid w:val="001F115E"/>
    <w:rsid w:val="0020381E"/>
    <w:rsid w:val="00213471"/>
    <w:rsid w:val="00215906"/>
    <w:rsid w:val="00241CD8"/>
    <w:rsid w:val="00244B09"/>
    <w:rsid w:val="002519CB"/>
    <w:rsid w:val="0025697F"/>
    <w:rsid w:val="00260258"/>
    <w:rsid w:val="0026588E"/>
    <w:rsid w:val="00265954"/>
    <w:rsid w:val="00272428"/>
    <w:rsid w:val="00272948"/>
    <w:rsid w:val="00283E59"/>
    <w:rsid w:val="002869B7"/>
    <w:rsid w:val="00292392"/>
    <w:rsid w:val="002946C7"/>
    <w:rsid w:val="002B3CC1"/>
    <w:rsid w:val="002C0686"/>
    <w:rsid w:val="002C09E0"/>
    <w:rsid w:val="002C100E"/>
    <w:rsid w:val="002C1BB1"/>
    <w:rsid w:val="002C2786"/>
    <w:rsid w:val="002C2FCC"/>
    <w:rsid w:val="002C3A10"/>
    <w:rsid w:val="002C4A90"/>
    <w:rsid w:val="002C4ED5"/>
    <w:rsid w:val="002D02EF"/>
    <w:rsid w:val="002E0702"/>
    <w:rsid w:val="002E1A83"/>
    <w:rsid w:val="002E57AD"/>
    <w:rsid w:val="002E6F80"/>
    <w:rsid w:val="002F0E4F"/>
    <w:rsid w:val="002F1053"/>
    <w:rsid w:val="00314816"/>
    <w:rsid w:val="00317B0E"/>
    <w:rsid w:val="00334F18"/>
    <w:rsid w:val="003359D5"/>
    <w:rsid w:val="00336238"/>
    <w:rsid w:val="00347FAA"/>
    <w:rsid w:val="0035172D"/>
    <w:rsid w:val="0036187D"/>
    <w:rsid w:val="00367EDB"/>
    <w:rsid w:val="003705F0"/>
    <w:rsid w:val="00381024"/>
    <w:rsid w:val="00386307"/>
    <w:rsid w:val="003874DE"/>
    <w:rsid w:val="00393E9F"/>
    <w:rsid w:val="0039696E"/>
    <w:rsid w:val="003B211A"/>
    <w:rsid w:val="003C141F"/>
    <w:rsid w:val="003C6B0E"/>
    <w:rsid w:val="003C7257"/>
    <w:rsid w:val="003C7E35"/>
    <w:rsid w:val="003D1E99"/>
    <w:rsid w:val="003D6208"/>
    <w:rsid w:val="003D626C"/>
    <w:rsid w:val="003D69CB"/>
    <w:rsid w:val="00404E8A"/>
    <w:rsid w:val="0040622F"/>
    <w:rsid w:val="00413F24"/>
    <w:rsid w:val="00422853"/>
    <w:rsid w:val="00423160"/>
    <w:rsid w:val="00437623"/>
    <w:rsid w:val="00444A2B"/>
    <w:rsid w:val="00453862"/>
    <w:rsid w:val="0045469B"/>
    <w:rsid w:val="00461338"/>
    <w:rsid w:val="004677DB"/>
    <w:rsid w:val="00473B31"/>
    <w:rsid w:val="00476256"/>
    <w:rsid w:val="0048630F"/>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4E11"/>
    <w:rsid w:val="005364A7"/>
    <w:rsid w:val="005378D8"/>
    <w:rsid w:val="005400D9"/>
    <w:rsid w:val="005476A4"/>
    <w:rsid w:val="0055019B"/>
    <w:rsid w:val="00556E63"/>
    <w:rsid w:val="005601A4"/>
    <w:rsid w:val="00566DBB"/>
    <w:rsid w:val="00567B14"/>
    <w:rsid w:val="005767DB"/>
    <w:rsid w:val="005815E6"/>
    <w:rsid w:val="0058712F"/>
    <w:rsid w:val="005976CE"/>
    <w:rsid w:val="005A23D4"/>
    <w:rsid w:val="005A2D1E"/>
    <w:rsid w:val="005A4698"/>
    <w:rsid w:val="005A6BDE"/>
    <w:rsid w:val="005B3756"/>
    <w:rsid w:val="005C493F"/>
    <w:rsid w:val="005C6BF7"/>
    <w:rsid w:val="005C71BF"/>
    <w:rsid w:val="005D002C"/>
    <w:rsid w:val="005D30E1"/>
    <w:rsid w:val="005D6555"/>
    <w:rsid w:val="005D7BDF"/>
    <w:rsid w:val="005D7E7C"/>
    <w:rsid w:val="005E4870"/>
    <w:rsid w:val="005F71D9"/>
    <w:rsid w:val="005F7602"/>
    <w:rsid w:val="006062BE"/>
    <w:rsid w:val="00611315"/>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111C4"/>
    <w:rsid w:val="007127F3"/>
    <w:rsid w:val="007301CF"/>
    <w:rsid w:val="007316FB"/>
    <w:rsid w:val="00737E2D"/>
    <w:rsid w:val="007424D5"/>
    <w:rsid w:val="00745C63"/>
    <w:rsid w:val="00750A88"/>
    <w:rsid w:val="007523DD"/>
    <w:rsid w:val="00757B7E"/>
    <w:rsid w:val="007656B2"/>
    <w:rsid w:val="0077016F"/>
    <w:rsid w:val="007713AD"/>
    <w:rsid w:val="00795DC5"/>
    <w:rsid w:val="00797153"/>
    <w:rsid w:val="007A21F7"/>
    <w:rsid w:val="007A2B68"/>
    <w:rsid w:val="007A6C08"/>
    <w:rsid w:val="007B0DDA"/>
    <w:rsid w:val="007D3347"/>
    <w:rsid w:val="007D654E"/>
    <w:rsid w:val="007E5466"/>
    <w:rsid w:val="007F1949"/>
    <w:rsid w:val="007F2592"/>
    <w:rsid w:val="00800A08"/>
    <w:rsid w:val="0080198E"/>
    <w:rsid w:val="00817A84"/>
    <w:rsid w:val="008225A4"/>
    <w:rsid w:val="00824B92"/>
    <w:rsid w:val="00826D5E"/>
    <w:rsid w:val="00832013"/>
    <w:rsid w:val="00832DB7"/>
    <w:rsid w:val="00834732"/>
    <w:rsid w:val="008405B2"/>
    <w:rsid w:val="0085200C"/>
    <w:rsid w:val="00853487"/>
    <w:rsid w:val="00857C52"/>
    <w:rsid w:val="00860D5F"/>
    <w:rsid w:val="00880A44"/>
    <w:rsid w:val="0088345E"/>
    <w:rsid w:val="0088656F"/>
    <w:rsid w:val="008875BC"/>
    <w:rsid w:val="00891EF6"/>
    <w:rsid w:val="00892FF4"/>
    <w:rsid w:val="0089345A"/>
    <w:rsid w:val="008A0303"/>
    <w:rsid w:val="008A5FDD"/>
    <w:rsid w:val="008C3947"/>
    <w:rsid w:val="008C5C31"/>
    <w:rsid w:val="008E473B"/>
    <w:rsid w:val="008E51A6"/>
    <w:rsid w:val="008E7329"/>
    <w:rsid w:val="008E7ABA"/>
    <w:rsid w:val="008F2ED5"/>
    <w:rsid w:val="008F53C4"/>
    <w:rsid w:val="0092297E"/>
    <w:rsid w:val="00923292"/>
    <w:rsid w:val="00923651"/>
    <w:rsid w:val="00924DF7"/>
    <w:rsid w:val="00927B56"/>
    <w:rsid w:val="009341BF"/>
    <w:rsid w:val="00937907"/>
    <w:rsid w:val="00941739"/>
    <w:rsid w:val="009447FB"/>
    <w:rsid w:val="00951573"/>
    <w:rsid w:val="00963003"/>
    <w:rsid w:val="00965919"/>
    <w:rsid w:val="00966EEF"/>
    <w:rsid w:val="00971B28"/>
    <w:rsid w:val="00983471"/>
    <w:rsid w:val="009909AB"/>
    <w:rsid w:val="009B37DB"/>
    <w:rsid w:val="009C49ED"/>
    <w:rsid w:val="009C7A8C"/>
    <w:rsid w:val="009D23F9"/>
    <w:rsid w:val="009D4FA8"/>
    <w:rsid w:val="009E44AE"/>
    <w:rsid w:val="009E6CD6"/>
    <w:rsid w:val="009F1C5D"/>
    <w:rsid w:val="009F4D66"/>
    <w:rsid w:val="00A00C3C"/>
    <w:rsid w:val="00A01091"/>
    <w:rsid w:val="00A042B9"/>
    <w:rsid w:val="00A06DBB"/>
    <w:rsid w:val="00A22ADF"/>
    <w:rsid w:val="00A2310D"/>
    <w:rsid w:val="00A254A2"/>
    <w:rsid w:val="00A31E86"/>
    <w:rsid w:val="00A54D87"/>
    <w:rsid w:val="00A5553C"/>
    <w:rsid w:val="00A701C9"/>
    <w:rsid w:val="00A81785"/>
    <w:rsid w:val="00A84803"/>
    <w:rsid w:val="00A84C51"/>
    <w:rsid w:val="00A86F2B"/>
    <w:rsid w:val="00A91366"/>
    <w:rsid w:val="00A92F91"/>
    <w:rsid w:val="00A93AA6"/>
    <w:rsid w:val="00AA4E48"/>
    <w:rsid w:val="00AA6202"/>
    <w:rsid w:val="00AA68E4"/>
    <w:rsid w:val="00AA7B57"/>
    <w:rsid w:val="00AB1874"/>
    <w:rsid w:val="00AB2806"/>
    <w:rsid w:val="00AB2D54"/>
    <w:rsid w:val="00AC26FC"/>
    <w:rsid w:val="00AC4A99"/>
    <w:rsid w:val="00AC5129"/>
    <w:rsid w:val="00AC64D2"/>
    <w:rsid w:val="00AD02E7"/>
    <w:rsid w:val="00AE0FE8"/>
    <w:rsid w:val="00AF60D5"/>
    <w:rsid w:val="00AF7067"/>
    <w:rsid w:val="00B00959"/>
    <w:rsid w:val="00B04415"/>
    <w:rsid w:val="00B06509"/>
    <w:rsid w:val="00B11D60"/>
    <w:rsid w:val="00B13D65"/>
    <w:rsid w:val="00B21805"/>
    <w:rsid w:val="00B3072E"/>
    <w:rsid w:val="00B36E15"/>
    <w:rsid w:val="00B37245"/>
    <w:rsid w:val="00B4017A"/>
    <w:rsid w:val="00B42141"/>
    <w:rsid w:val="00B4468D"/>
    <w:rsid w:val="00B71C72"/>
    <w:rsid w:val="00B71F04"/>
    <w:rsid w:val="00B71F83"/>
    <w:rsid w:val="00B74A62"/>
    <w:rsid w:val="00B811A4"/>
    <w:rsid w:val="00B81E92"/>
    <w:rsid w:val="00B908D7"/>
    <w:rsid w:val="00B935E8"/>
    <w:rsid w:val="00B93B30"/>
    <w:rsid w:val="00B94CB5"/>
    <w:rsid w:val="00BA0DD9"/>
    <w:rsid w:val="00BA5DBC"/>
    <w:rsid w:val="00BA6584"/>
    <w:rsid w:val="00BB337C"/>
    <w:rsid w:val="00BB6312"/>
    <w:rsid w:val="00BB713C"/>
    <w:rsid w:val="00BC31FA"/>
    <w:rsid w:val="00BC39C2"/>
    <w:rsid w:val="00BC4D06"/>
    <w:rsid w:val="00BD05E1"/>
    <w:rsid w:val="00BD2515"/>
    <w:rsid w:val="00BD585E"/>
    <w:rsid w:val="00BD6919"/>
    <w:rsid w:val="00BE1EA7"/>
    <w:rsid w:val="00BE7489"/>
    <w:rsid w:val="00BF2134"/>
    <w:rsid w:val="00BF2E0D"/>
    <w:rsid w:val="00BF3927"/>
    <w:rsid w:val="00BF3F8B"/>
    <w:rsid w:val="00BF76DA"/>
    <w:rsid w:val="00C00CDB"/>
    <w:rsid w:val="00C01B6C"/>
    <w:rsid w:val="00C07C7B"/>
    <w:rsid w:val="00C16245"/>
    <w:rsid w:val="00C22DC5"/>
    <w:rsid w:val="00C24479"/>
    <w:rsid w:val="00C273F2"/>
    <w:rsid w:val="00C37B53"/>
    <w:rsid w:val="00C434EB"/>
    <w:rsid w:val="00C517D2"/>
    <w:rsid w:val="00C5772E"/>
    <w:rsid w:val="00C62B36"/>
    <w:rsid w:val="00C7012C"/>
    <w:rsid w:val="00C712EA"/>
    <w:rsid w:val="00C73BF9"/>
    <w:rsid w:val="00C84809"/>
    <w:rsid w:val="00C9728E"/>
    <w:rsid w:val="00CA217D"/>
    <w:rsid w:val="00CA3131"/>
    <w:rsid w:val="00CA577A"/>
    <w:rsid w:val="00CC09D4"/>
    <w:rsid w:val="00CC4F5F"/>
    <w:rsid w:val="00CC668D"/>
    <w:rsid w:val="00CC7832"/>
    <w:rsid w:val="00CD488E"/>
    <w:rsid w:val="00CE4B0B"/>
    <w:rsid w:val="00CE5D57"/>
    <w:rsid w:val="00CF0C1C"/>
    <w:rsid w:val="00CF27FD"/>
    <w:rsid w:val="00CF5F12"/>
    <w:rsid w:val="00D00D8F"/>
    <w:rsid w:val="00D12869"/>
    <w:rsid w:val="00D14512"/>
    <w:rsid w:val="00D15ED6"/>
    <w:rsid w:val="00D21F3A"/>
    <w:rsid w:val="00D23808"/>
    <w:rsid w:val="00D3016A"/>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0AC0"/>
    <w:rsid w:val="00D83182"/>
    <w:rsid w:val="00D8521E"/>
    <w:rsid w:val="00D9291C"/>
    <w:rsid w:val="00D93A97"/>
    <w:rsid w:val="00DA5602"/>
    <w:rsid w:val="00DB1F64"/>
    <w:rsid w:val="00DC261A"/>
    <w:rsid w:val="00DC2F53"/>
    <w:rsid w:val="00DC5BAC"/>
    <w:rsid w:val="00DC6816"/>
    <w:rsid w:val="00DC76C2"/>
    <w:rsid w:val="00DC79B0"/>
    <w:rsid w:val="00DD1CF2"/>
    <w:rsid w:val="00DE4484"/>
    <w:rsid w:val="00DF41B7"/>
    <w:rsid w:val="00DF4A4A"/>
    <w:rsid w:val="00DF583C"/>
    <w:rsid w:val="00E03C3F"/>
    <w:rsid w:val="00E06FD7"/>
    <w:rsid w:val="00E07417"/>
    <w:rsid w:val="00E11B9E"/>
    <w:rsid w:val="00E24D45"/>
    <w:rsid w:val="00E33DB8"/>
    <w:rsid w:val="00E33EFF"/>
    <w:rsid w:val="00E34387"/>
    <w:rsid w:val="00E348BA"/>
    <w:rsid w:val="00E369FE"/>
    <w:rsid w:val="00E37C6F"/>
    <w:rsid w:val="00E475F8"/>
    <w:rsid w:val="00E5102E"/>
    <w:rsid w:val="00E52E2C"/>
    <w:rsid w:val="00E5721C"/>
    <w:rsid w:val="00E605A2"/>
    <w:rsid w:val="00E619C6"/>
    <w:rsid w:val="00E70CED"/>
    <w:rsid w:val="00E745A1"/>
    <w:rsid w:val="00E81529"/>
    <w:rsid w:val="00E83A13"/>
    <w:rsid w:val="00EA08E1"/>
    <w:rsid w:val="00EB1151"/>
    <w:rsid w:val="00EB3D2A"/>
    <w:rsid w:val="00EB6FC5"/>
    <w:rsid w:val="00EC2356"/>
    <w:rsid w:val="00EC2582"/>
    <w:rsid w:val="00EC337C"/>
    <w:rsid w:val="00ED0CFF"/>
    <w:rsid w:val="00ED31D2"/>
    <w:rsid w:val="00EE0EAC"/>
    <w:rsid w:val="00EE3322"/>
    <w:rsid w:val="00EE33CB"/>
    <w:rsid w:val="00F0061A"/>
    <w:rsid w:val="00F01899"/>
    <w:rsid w:val="00F02834"/>
    <w:rsid w:val="00F04EEB"/>
    <w:rsid w:val="00F05467"/>
    <w:rsid w:val="00F055D2"/>
    <w:rsid w:val="00F07CD7"/>
    <w:rsid w:val="00F127E9"/>
    <w:rsid w:val="00F12F99"/>
    <w:rsid w:val="00F14477"/>
    <w:rsid w:val="00F14B5D"/>
    <w:rsid w:val="00F259FC"/>
    <w:rsid w:val="00F313F4"/>
    <w:rsid w:val="00F36972"/>
    <w:rsid w:val="00F37FC4"/>
    <w:rsid w:val="00F42426"/>
    <w:rsid w:val="00F44C43"/>
    <w:rsid w:val="00F44F01"/>
    <w:rsid w:val="00F456BC"/>
    <w:rsid w:val="00F50666"/>
    <w:rsid w:val="00F66DC4"/>
    <w:rsid w:val="00F70731"/>
    <w:rsid w:val="00F70C9E"/>
    <w:rsid w:val="00F74A74"/>
    <w:rsid w:val="00F7572C"/>
    <w:rsid w:val="00F8212F"/>
    <w:rsid w:val="00F8382C"/>
    <w:rsid w:val="00F855D7"/>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15:docId w15:val="{F27E848A-6366-4EBA-82B5-8CFF96007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Table Grid nm,Dossier table,Section 3- footnotes,Summary box,Dossier Table,Legemiddelverket 3,Summary Table,ASD Table,Key messages box,YHEC table,Lash Style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List Paragraph CCT minutes,Section 5,Bullet List 2,Colorful List - Accent 1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qFormat/>
    <w:rsid w:val="00E605A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82501D93664F1E82E854A7C36CF256"/>
        <w:category>
          <w:name w:val="Bendrosios nuostatos"/>
          <w:gallery w:val="placeholder"/>
        </w:category>
        <w:types>
          <w:type w:val="bbPlcHdr"/>
        </w:types>
        <w:behaviors>
          <w:behavior w:val="content"/>
        </w:behaviors>
        <w:guid w:val="{CFA2F2D8-75E6-42C1-8CF4-F89372EA123B}"/>
      </w:docPartPr>
      <w:docPartBody>
        <w:p w:rsidR="0068150C" w:rsidRDefault="000152E9" w:rsidP="000152E9">
          <w:pPr>
            <w:pStyle w:val="5482501D93664F1E82E854A7C36CF256"/>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152E9"/>
    <w:rsid w:val="00047C19"/>
    <w:rsid w:val="00061157"/>
    <w:rsid w:val="000624FF"/>
    <w:rsid w:val="000937FE"/>
    <w:rsid w:val="00094068"/>
    <w:rsid w:val="000A50C9"/>
    <w:rsid w:val="000A559A"/>
    <w:rsid w:val="000D24D4"/>
    <w:rsid w:val="000D6217"/>
    <w:rsid w:val="0014006D"/>
    <w:rsid w:val="001C35A9"/>
    <w:rsid w:val="00237556"/>
    <w:rsid w:val="00286DD5"/>
    <w:rsid w:val="002C0686"/>
    <w:rsid w:val="00372A21"/>
    <w:rsid w:val="00381D9F"/>
    <w:rsid w:val="0039303B"/>
    <w:rsid w:val="003D69CB"/>
    <w:rsid w:val="004144A3"/>
    <w:rsid w:val="004160E7"/>
    <w:rsid w:val="004416C6"/>
    <w:rsid w:val="00456E96"/>
    <w:rsid w:val="00473B31"/>
    <w:rsid w:val="004C6221"/>
    <w:rsid w:val="004D038D"/>
    <w:rsid w:val="004F4E20"/>
    <w:rsid w:val="004F5AB2"/>
    <w:rsid w:val="005074B9"/>
    <w:rsid w:val="00563A5F"/>
    <w:rsid w:val="005C62E5"/>
    <w:rsid w:val="005D7E7C"/>
    <w:rsid w:val="005E40DD"/>
    <w:rsid w:val="00601F4E"/>
    <w:rsid w:val="00631B2C"/>
    <w:rsid w:val="0068150C"/>
    <w:rsid w:val="006E6A2C"/>
    <w:rsid w:val="007219C1"/>
    <w:rsid w:val="00735652"/>
    <w:rsid w:val="00745C63"/>
    <w:rsid w:val="00753462"/>
    <w:rsid w:val="00772325"/>
    <w:rsid w:val="007A2FE0"/>
    <w:rsid w:val="007C6D1D"/>
    <w:rsid w:val="007D654E"/>
    <w:rsid w:val="00853487"/>
    <w:rsid w:val="00892FF4"/>
    <w:rsid w:val="008C0DC0"/>
    <w:rsid w:val="0090074D"/>
    <w:rsid w:val="009019EA"/>
    <w:rsid w:val="00901A35"/>
    <w:rsid w:val="009160DA"/>
    <w:rsid w:val="009B3BF0"/>
    <w:rsid w:val="009C689F"/>
    <w:rsid w:val="009D5E5E"/>
    <w:rsid w:val="009F1BB4"/>
    <w:rsid w:val="00A20D39"/>
    <w:rsid w:val="00A254A2"/>
    <w:rsid w:val="00A26E48"/>
    <w:rsid w:val="00A8484A"/>
    <w:rsid w:val="00AB1874"/>
    <w:rsid w:val="00AB2D54"/>
    <w:rsid w:val="00AB6ED4"/>
    <w:rsid w:val="00B14210"/>
    <w:rsid w:val="00B22ED6"/>
    <w:rsid w:val="00B23DC0"/>
    <w:rsid w:val="00B71F04"/>
    <w:rsid w:val="00B96656"/>
    <w:rsid w:val="00BA0A8E"/>
    <w:rsid w:val="00BD2515"/>
    <w:rsid w:val="00BE3364"/>
    <w:rsid w:val="00C01B6C"/>
    <w:rsid w:val="00C2401D"/>
    <w:rsid w:val="00C250D7"/>
    <w:rsid w:val="00C53A68"/>
    <w:rsid w:val="00C66578"/>
    <w:rsid w:val="00C73BF9"/>
    <w:rsid w:val="00C84809"/>
    <w:rsid w:val="00CA577A"/>
    <w:rsid w:val="00CA5BB4"/>
    <w:rsid w:val="00CB243F"/>
    <w:rsid w:val="00CB4BD1"/>
    <w:rsid w:val="00CD139C"/>
    <w:rsid w:val="00CE2DA9"/>
    <w:rsid w:val="00CE44BE"/>
    <w:rsid w:val="00CE5D57"/>
    <w:rsid w:val="00CF3779"/>
    <w:rsid w:val="00D008F3"/>
    <w:rsid w:val="00D0142D"/>
    <w:rsid w:val="00D04DFF"/>
    <w:rsid w:val="00D15ED6"/>
    <w:rsid w:val="00D20347"/>
    <w:rsid w:val="00D4356B"/>
    <w:rsid w:val="00D7162F"/>
    <w:rsid w:val="00DA599C"/>
    <w:rsid w:val="00DB4DB5"/>
    <w:rsid w:val="00DC79B0"/>
    <w:rsid w:val="00DE4D10"/>
    <w:rsid w:val="00E44A86"/>
    <w:rsid w:val="00E522EB"/>
    <w:rsid w:val="00E60827"/>
    <w:rsid w:val="00EF6E0C"/>
    <w:rsid w:val="00F14477"/>
    <w:rsid w:val="00F370E5"/>
    <w:rsid w:val="00F55028"/>
    <w:rsid w:val="00F6044E"/>
    <w:rsid w:val="00F66DC4"/>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0152E9"/>
    <w:rPr>
      <w:color w:val="808080"/>
    </w:rPr>
  </w:style>
  <w:style w:type="paragraph" w:customStyle="1" w:styleId="5482501D93664F1E82E854A7C36CF256">
    <w:name w:val="5482501D93664F1E82E854A7C36CF256"/>
    <w:rsid w:val="000152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14656</Words>
  <Characters>8354</Characters>
  <Application>Microsoft Office Word</Application>
  <DocSecurity>0</DocSecurity>
  <Lines>69</Lines>
  <Paragraphs>45</Paragraphs>
  <ScaleCrop>false</ScaleCrop>
  <Company/>
  <LinksUpToDate>false</LinksUpToDate>
  <CharactersWithSpaces>22965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Kamilė Reinikienė</cp:lastModifiedBy>
  <cp:revision>9</cp:revision>
  <dcterms:created xsi:type="dcterms:W3CDTF">2026-03-05T08:10:00Z</dcterms:created>
  <dcterms:modified xsi:type="dcterms:W3CDTF">2026-03-05T10:46:00Z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6f01b5-c24b-4fa8-8e8f-cee31f47fe31_Enabled">
    <vt:lpwstr>true</vt:lpwstr>
  </property>
  <property fmtid="{D5CDD505-2E9C-101B-9397-08002B2CF9AE}" pid="3" name="MSIP_Label_fa6f01b5-c24b-4fa8-8e8f-cee31f47fe31_SetDate">
    <vt:lpwstr>2026-03-05T08:10:00Z</vt:lpwstr>
  </property>
  <property fmtid="{D5CDD505-2E9C-101B-9397-08002B2CF9AE}" pid="4" name="MSIP_Label_fa6f01b5-c24b-4fa8-8e8f-cee31f47fe31_Method">
    <vt:lpwstr>Privileged</vt:lpwstr>
  </property>
  <property fmtid="{D5CDD505-2E9C-101B-9397-08002B2CF9AE}" pid="5" name="MSIP_Label_fa6f01b5-c24b-4fa8-8e8f-cee31f47fe31_Name">
    <vt:lpwstr>fa6f01b5-c24b-4fa8-8e8f-cee31f47fe31</vt:lpwstr>
  </property>
  <property fmtid="{D5CDD505-2E9C-101B-9397-08002B2CF9AE}" pid="6" name="MSIP_Label_fa6f01b5-c24b-4fa8-8e8f-cee31f47fe31_SiteId">
    <vt:lpwstr>7a916015-20ae-4ad1-9170-eefd915e9272</vt:lpwstr>
  </property>
  <property fmtid="{D5CDD505-2E9C-101B-9397-08002B2CF9AE}" pid="7" name="MSIP_Label_fa6f01b5-c24b-4fa8-8e8f-cee31f47fe31_ActionId">
    <vt:lpwstr>8cc3846e-368c-4059-9647-acfdaf4a3070</vt:lpwstr>
  </property>
  <property fmtid="{D5CDD505-2E9C-101B-9397-08002B2CF9AE}" pid="8" name="MSIP_Label_fa6f01b5-c24b-4fa8-8e8f-cee31f47fe31_ContentBits">
    <vt:lpwstr>0</vt:lpwstr>
  </property>
  <property fmtid="{D5CDD505-2E9C-101B-9397-08002B2CF9AE}" pid="9" name="MSIP_Label_fa6f01b5-c24b-4fa8-8e8f-cee31f47fe31_Tag">
    <vt:lpwstr>10, 0, 1, 1</vt:lpwstr>
  </property>
</Properties>
</file>