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bookmarkEnd w:id="0"/>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68F92CF6" w14:textId="77777777" w:rsidR="00FD5C91" w:rsidRPr="00603B3A" w:rsidRDefault="00FD5C91" w:rsidP="00FD5C91">
      <w:pPr>
        <w:jc w:val="center"/>
        <w:rPr>
          <w:b/>
        </w:rPr>
      </w:pPr>
      <w:r w:rsidRPr="00EA4C2A">
        <w:rPr>
          <w:b/>
        </w:rPr>
        <w:t xml:space="preserve">Darzalex </w:t>
      </w:r>
      <w:r>
        <w:rPr>
          <w:b/>
        </w:rPr>
        <w:t>1800 mg</w:t>
      </w:r>
      <w:r w:rsidRPr="00603B3A">
        <w:rPr>
          <w:b/>
        </w:rPr>
        <w:t xml:space="preserve"> </w:t>
      </w:r>
      <w:r>
        <w:rPr>
          <w:b/>
        </w:rPr>
        <w:t>i</w:t>
      </w:r>
      <w:r w:rsidRPr="006B12D7">
        <w:rPr>
          <w:b/>
        </w:rPr>
        <w:t>njekcinis tirpalas</w:t>
      </w:r>
    </w:p>
    <w:p w14:paraId="3A3ED812" w14:textId="77777777" w:rsidR="00FD5C91" w:rsidRPr="00603B3A" w:rsidRDefault="00FD5C91" w:rsidP="00FD5C91">
      <w:pPr>
        <w:jc w:val="center"/>
      </w:pPr>
    </w:p>
    <w:p w14:paraId="17F40A4D" w14:textId="77777777" w:rsidR="00FD5C91" w:rsidRDefault="00FD5C91" w:rsidP="00FD5C91">
      <w:pPr>
        <w:jc w:val="center"/>
        <w:rPr>
          <w:b/>
        </w:rPr>
      </w:pPr>
      <w:r w:rsidRPr="003877A3">
        <w:rPr>
          <w:b/>
        </w:rPr>
        <w:t>Daratumumabas</w:t>
      </w:r>
    </w:p>
    <w:p w14:paraId="083BE4B2" w14:textId="77777777" w:rsidR="00FD5C91" w:rsidRPr="00603B3A" w:rsidRDefault="00FD5C91" w:rsidP="00FD5C91">
      <w:pPr>
        <w:jc w:val="center"/>
      </w:pPr>
    </w:p>
    <w:p w14:paraId="7CC14765" w14:textId="77777777" w:rsidR="00FD5C91" w:rsidRPr="00603B3A" w:rsidRDefault="00FD5C91" w:rsidP="00FD5C91">
      <w:pPr>
        <w:jc w:val="center"/>
        <w:rPr>
          <w:b/>
        </w:rPr>
      </w:pPr>
      <w:r>
        <w:rPr>
          <w:b/>
        </w:rPr>
        <w:t>STV-253</w:t>
      </w: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1A6FDF" w:rsidRPr="00334F18" w14:paraId="16A7BC7B" w14:textId="77777777" w:rsidTr="003F3FFF">
        <w:trPr>
          <w:trHeight w:val="538"/>
        </w:trPr>
        <w:tc>
          <w:tcPr>
            <w:tcW w:w="632" w:type="dxa"/>
          </w:tcPr>
          <w:p w14:paraId="4572808D" w14:textId="77777777" w:rsidR="001A6FDF" w:rsidRPr="00334F18" w:rsidRDefault="001A6FDF" w:rsidP="001A6FDF">
            <w:pPr>
              <w:rPr>
                <w:rFonts w:eastAsia="Arial"/>
                <w:b/>
                <w:bCs/>
              </w:rPr>
            </w:pPr>
            <w:r w:rsidRPr="00334F18">
              <w:rPr>
                <w:rFonts w:eastAsia="Arial"/>
                <w:b/>
                <w:bCs/>
              </w:rPr>
              <w:t>1.1</w:t>
            </w:r>
          </w:p>
        </w:tc>
        <w:tc>
          <w:tcPr>
            <w:tcW w:w="3899" w:type="dxa"/>
          </w:tcPr>
          <w:p w14:paraId="54BA6EB3" w14:textId="78A2E964" w:rsidR="001A6FDF" w:rsidRPr="00334F18" w:rsidRDefault="001A6FDF" w:rsidP="001A6FDF">
            <w:pPr>
              <w:rPr>
                <w:rFonts w:eastAsia="Arial"/>
                <w:b/>
                <w:bCs/>
              </w:rPr>
            </w:pPr>
            <w:r w:rsidRPr="00DD639F">
              <w:rPr>
                <w:rFonts w:eastAsia="Arial"/>
                <w:b/>
                <w:bCs/>
              </w:rPr>
              <w:t>Pareiškėjas/ pareiškėjo atstovas</w:t>
            </w:r>
          </w:p>
        </w:tc>
        <w:tc>
          <w:tcPr>
            <w:tcW w:w="4962" w:type="dxa"/>
          </w:tcPr>
          <w:p w14:paraId="0F359BD4" w14:textId="6E1DCD1F" w:rsidR="001A6FDF" w:rsidRPr="00334F18" w:rsidRDefault="001A6FDF" w:rsidP="001A6FDF">
            <w:pPr>
              <w:rPr>
                <w:rFonts w:eastAsia="Arial"/>
              </w:rPr>
            </w:pPr>
            <w:r>
              <w:rPr>
                <w:rFonts w:eastAsia="Arial"/>
              </w:rPr>
              <w:t xml:space="preserve">UAB „Johnson </w:t>
            </w:r>
            <w:r>
              <w:rPr>
                <w:rFonts w:eastAsia="Arial"/>
                <w:lang w:val="en-US"/>
              </w:rPr>
              <w:t>&amp; Johnson</w:t>
            </w:r>
            <w:r>
              <w:rPr>
                <w:rFonts w:eastAsia="Arial"/>
              </w:rPr>
              <w:t>“</w:t>
            </w:r>
          </w:p>
        </w:tc>
      </w:tr>
      <w:tr w:rsidR="001A6FDF" w:rsidRPr="00334F18" w14:paraId="101EA148" w14:textId="77777777" w:rsidTr="003F3FFF">
        <w:trPr>
          <w:trHeight w:val="538"/>
        </w:trPr>
        <w:tc>
          <w:tcPr>
            <w:tcW w:w="632" w:type="dxa"/>
          </w:tcPr>
          <w:p w14:paraId="3BF67175" w14:textId="77777777" w:rsidR="001A6FDF" w:rsidRPr="00334F18" w:rsidRDefault="001A6FDF" w:rsidP="001A6FDF">
            <w:pPr>
              <w:rPr>
                <w:rFonts w:eastAsia="Arial"/>
                <w:b/>
                <w:bCs/>
              </w:rPr>
            </w:pPr>
            <w:r w:rsidRPr="00334F18">
              <w:rPr>
                <w:rFonts w:eastAsia="Arial"/>
                <w:b/>
                <w:bCs/>
              </w:rPr>
              <w:t>1.2</w:t>
            </w:r>
          </w:p>
        </w:tc>
        <w:tc>
          <w:tcPr>
            <w:tcW w:w="3899" w:type="dxa"/>
          </w:tcPr>
          <w:p w14:paraId="08530105" w14:textId="77777777" w:rsidR="001A6FDF" w:rsidRPr="00DD639F" w:rsidRDefault="001A6FDF" w:rsidP="001A6FDF">
            <w:pPr>
              <w:jc w:val="both"/>
              <w:rPr>
                <w:b/>
                <w:bCs/>
                <w:lang w:eastAsia="lt-LT"/>
              </w:rPr>
            </w:pPr>
            <w:r w:rsidRPr="00DD639F">
              <w:rPr>
                <w:b/>
                <w:bCs/>
                <w:lang w:eastAsia="lt-LT"/>
              </w:rPr>
              <w:t xml:space="preserve">Vaistinio preparato registracijos data </w:t>
            </w:r>
          </w:p>
          <w:p w14:paraId="4B568341" w14:textId="77777777" w:rsidR="001A6FDF" w:rsidRPr="00334F18" w:rsidRDefault="001A6FDF" w:rsidP="001A6FDF">
            <w:pPr>
              <w:rPr>
                <w:b/>
                <w:bCs/>
                <w:lang w:eastAsia="lt-LT"/>
              </w:rPr>
            </w:pPr>
          </w:p>
        </w:tc>
        <w:tc>
          <w:tcPr>
            <w:tcW w:w="4962" w:type="dxa"/>
          </w:tcPr>
          <w:p w14:paraId="50F63366" w14:textId="004B8406" w:rsidR="001A6FDF" w:rsidRPr="00334F18" w:rsidRDefault="00E76886" w:rsidP="001A6FDF">
            <w:pPr>
              <w:rPr>
                <w:rStyle w:val="Style2"/>
              </w:rPr>
            </w:pPr>
            <w:sdt>
              <w:sdtPr>
                <w:rPr>
                  <w:sz w:val="32"/>
                </w:rPr>
                <w:alias w:val="Nurodykite konkrečią dieną"/>
                <w:tag w:val="Nurodykite pradžios datą"/>
                <w:id w:val="1772196685"/>
                <w:placeholder>
                  <w:docPart w:val="176D08D6C61A45A68920D80BE5F3D93F"/>
                </w:placeholder>
                <w15:color w:val="FFCC99"/>
                <w:date w:fullDate="2016-05-20T00:00:00Z">
                  <w:dateFormat w:val="yyyy 'm.' MMMM d 'd.'"/>
                  <w:lid w:val="lt-LT"/>
                  <w:storeMappedDataAs w:val="dateTime"/>
                  <w:calendar w:val="gregorian"/>
                </w:date>
              </w:sdtPr>
              <w:sdtEndPr/>
              <w:sdtContent>
                <w:r w:rsidR="001A6FDF" w:rsidRPr="00DD639F">
                  <w:t>2016 m. gegužės 20 d.</w:t>
                </w:r>
              </w:sdtContent>
            </w:sdt>
          </w:p>
        </w:tc>
      </w:tr>
      <w:tr w:rsidR="001A6FDF" w:rsidRPr="00334F18" w14:paraId="3D70E0FA" w14:textId="77777777" w:rsidTr="001F115E">
        <w:trPr>
          <w:trHeight w:val="1643"/>
        </w:trPr>
        <w:tc>
          <w:tcPr>
            <w:tcW w:w="632" w:type="dxa"/>
          </w:tcPr>
          <w:p w14:paraId="021DF6BD" w14:textId="77777777" w:rsidR="001A6FDF" w:rsidRPr="00334F18" w:rsidRDefault="001A6FDF" w:rsidP="001A6FDF">
            <w:pPr>
              <w:rPr>
                <w:rFonts w:eastAsia="Arial"/>
                <w:b/>
                <w:bCs/>
              </w:rPr>
            </w:pPr>
            <w:r w:rsidRPr="00334F18">
              <w:rPr>
                <w:rFonts w:eastAsia="Arial"/>
                <w:b/>
                <w:bCs/>
              </w:rPr>
              <w:t>1.3</w:t>
            </w:r>
          </w:p>
        </w:tc>
        <w:tc>
          <w:tcPr>
            <w:tcW w:w="3899" w:type="dxa"/>
          </w:tcPr>
          <w:p w14:paraId="2A1B4F8F" w14:textId="77777777" w:rsidR="001A6FDF" w:rsidRPr="00AD5F23" w:rsidRDefault="001A6FDF" w:rsidP="001A6FDF">
            <w:pPr>
              <w:pStyle w:val="Betarp"/>
              <w:jc w:val="both"/>
              <w:rPr>
                <w:rFonts w:ascii="Times New Roman" w:hAnsi="Times New Roman"/>
                <w:b/>
                <w:sz w:val="24"/>
                <w:szCs w:val="24"/>
                <w:shd w:val="clear" w:color="auto" w:fill="FFFFFF"/>
              </w:rPr>
            </w:pPr>
            <w:r w:rsidRPr="00AD5F23">
              <w:rPr>
                <w:rFonts w:ascii="Times New Roman" w:hAnsi="Times New Roman"/>
                <w:b/>
                <w:sz w:val="24"/>
                <w:szCs w:val="24"/>
              </w:rPr>
              <w:t xml:space="preserve">Vaistinio preparato </w:t>
            </w:r>
            <w:r w:rsidRPr="00AD5F23">
              <w:rPr>
                <w:rFonts w:ascii="Times New Roman" w:hAnsi="Times New Roman"/>
                <w:b/>
                <w:sz w:val="24"/>
                <w:szCs w:val="24"/>
                <w:shd w:val="clear" w:color="auto" w:fill="FFFFFF"/>
              </w:rPr>
              <w:t>registracijos teisinis pagrindas</w:t>
            </w:r>
          </w:p>
          <w:p w14:paraId="63F86DC1" w14:textId="74C7F89D" w:rsidR="001A6FDF" w:rsidRPr="00334F18" w:rsidRDefault="001A6FDF" w:rsidP="001A6FDF">
            <w:pPr>
              <w:pStyle w:val="Betarp"/>
              <w:rPr>
                <w:rFonts w:ascii="Times New Roman" w:hAnsi="Times New Roman"/>
                <w:b/>
                <w:bCs/>
                <w:sz w:val="24"/>
                <w:szCs w:val="24"/>
                <w:lang w:eastAsia="lt-LT"/>
              </w:rPr>
            </w:pPr>
            <w:r w:rsidRPr="00AD5F23">
              <w:rPr>
                <w:rFonts w:ascii="Times New Roman" w:hAnsi="Times New Roman"/>
                <w:b/>
                <w:sz w:val="24"/>
                <w:szCs w:val="24"/>
                <w:shd w:val="clear" w:color="auto" w:fill="FFFFFF"/>
              </w:rPr>
              <w:t>(</w:t>
            </w:r>
            <w:r w:rsidRPr="00AD5F23">
              <w:rPr>
                <w:rFonts w:ascii="Times New Roman" w:hAnsi="Times New Roman"/>
                <w:b/>
                <w:sz w:val="24"/>
                <w:szCs w:val="24"/>
              </w:rPr>
              <w:t>Direktyvos 2001/83/EB str.)</w:t>
            </w:r>
          </w:p>
        </w:tc>
        <w:tc>
          <w:tcPr>
            <w:tcW w:w="4962" w:type="dxa"/>
          </w:tcPr>
          <w:p w14:paraId="36999B31" w14:textId="77777777" w:rsidR="001A6FDF" w:rsidRPr="00AD5F23" w:rsidRDefault="00E76886" w:rsidP="001A6FDF">
            <w:pPr>
              <w:jc w:val="both"/>
            </w:pPr>
            <w:sdt>
              <w:sdtPr>
                <w:rPr>
                  <w:rStyle w:val="Style2"/>
                </w:rPr>
                <w:id w:val="526292078"/>
                <w15:color w:val="FFCC00"/>
                <w14:checkbox>
                  <w14:checked w14:val="1"/>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8.3 str. (pilna byla, pagrįsta savais tyrimais)</w:t>
            </w:r>
          </w:p>
          <w:p w14:paraId="3DE37FE4" w14:textId="77777777" w:rsidR="001A6FDF" w:rsidRPr="00AD5F23" w:rsidRDefault="00E76886" w:rsidP="001A6FDF">
            <w:pPr>
              <w:jc w:val="both"/>
            </w:pPr>
            <w:sdt>
              <w:sdtPr>
                <w:rPr>
                  <w:rStyle w:val="Style2"/>
                </w:rPr>
                <w:id w:val="-1497953736"/>
                <w15:color w:val="FFCC00"/>
                <w14:checkbox>
                  <w14:checked w14:val="0"/>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10 a str. (pripažintas medicininis vartojimas)</w:t>
            </w:r>
          </w:p>
          <w:p w14:paraId="5BAE268B" w14:textId="77777777" w:rsidR="001A6FDF" w:rsidRPr="00AD5F23" w:rsidRDefault="00E76886" w:rsidP="001A6FDF">
            <w:pPr>
              <w:jc w:val="both"/>
            </w:pPr>
            <w:sdt>
              <w:sdtPr>
                <w:rPr>
                  <w:rStyle w:val="Style2"/>
                </w:rPr>
                <w:id w:val="204142496"/>
                <w15:color w:val="FFCC00"/>
                <w14:checkbox>
                  <w14:checked w14:val="0"/>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10.1 str. (</w:t>
            </w:r>
            <w:proofErr w:type="spellStart"/>
            <w:r w:rsidR="001A6FDF" w:rsidRPr="00AD5F23">
              <w:t>generinis</w:t>
            </w:r>
            <w:proofErr w:type="spellEnd"/>
            <w:r w:rsidR="001A6FDF" w:rsidRPr="00AD5F23">
              <w:t>)</w:t>
            </w:r>
          </w:p>
          <w:p w14:paraId="43097EBC" w14:textId="77777777" w:rsidR="001A6FDF" w:rsidRPr="00AD5F23" w:rsidRDefault="00E76886" w:rsidP="001A6FDF">
            <w:pPr>
              <w:jc w:val="both"/>
            </w:pPr>
            <w:sdt>
              <w:sdtPr>
                <w:rPr>
                  <w:rStyle w:val="Style2"/>
                </w:rPr>
                <w:id w:val="820305101"/>
                <w15:color w:val="FFCC00"/>
                <w14:checkbox>
                  <w14:checked w14:val="0"/>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10.3 str. (hibridinis)</w:t>
            </w:r>
          </w:p>
          <w:p w14:paraId="5E4FBCC6" w14:textId="77777777" w:rsidR="001A6FDF" w:rsidRPr="00AD5F23" w:rsidRDefault="00E76886" w:rsidP="001A6FDF">
            <w:sdt>
              <w:sdtPr>
                <w:rPr>
                  <w:rStyle w:val="Style2"/>
                </w:rPr>
                <w:id w:val="-450176040"/>
                <w15:color w:val="FFCC00"/>
                <w14:checkbox>
                  <w14:checked w14:val="0"/>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10.4 str. (panašus biologinis)</w:t>
            </w:r>
          </w:p>
          <w:p w14:paraId="3409E6E6" w14:textId="77777777" w:rsidR="001A6FDF" w:rsidRPr="00AD5F23" w:rsidRDefault="001A6FDF" w:rsidP="001A6FDF">
            <w:pPr>
              <w:jc w:val="both"/>
            </w:pPr>
          </w:p>
          <w:p w14:paraId="7EDB4848" w14:textId="77777777" w:rsidR="001A6FDF" w:rsidRPr="00334F18" w:rsidRDefault="001A6FDF" w:rsidP="001A6FDF">
            <w:pPr>
              <w:rPr>
                <w:rStyle w:val="Style2"/>
                <w:sz w:val="24"/>
              </w:rPr>
            </w:pPr>
          </w:p>
        </w:tc>
      </w:tr>
      <w:tr w:rsidR="001A6FDF" w:rsidRPr="00334F18" w14:paraId="31641941" w14:textId="77777777" w:rsidTr="003F3FFF">
        <w:trPr>
          <w:trHeight w:val="1011"/>
        </w:trPr>
        <w:tc>
          <w:tcPr>
            <w:tcW w:w="632" w:type="dxa"/>
          </w:tcPr>
          <w:p w14:paraId="2E73A32C" w14:textId="77777777" w:rsidR="001A6FDF" w:rsidRPr="00334F18" w:rsidRDefault="001A6FDF" w:rsidP="001A6FDF">
            <w:pPr>
              <w:rPr>
                <w:rFonts w:eastAsia="Arial"/>
                <w:b/>
                <w:bCs/>
              </w:rPr>
            </w:pPr>
            <w:r w:rsidRPr="00334F18">
              <w:rPr>
                <w:rFonts w:eastAsia="Arial"/>
                <w:b/>
              </w:rPr>
              <w:t>1.4</w:t>
            </w:r>
          </w:p>
        </w:tc>
        <w:tc>
          <w:tcPr>
            <w:tcW w:w="3899" w:type="dxa"/>
          </w:tcPr>
          <w:p w14:paraId="2547AC59" w14:textId="45F456B7" w:rsidR="001A6FDF" w:rsidRPr="00334F18" w:rsidRDefault="001A6FDF" w:rsidP="001A6FDF">
            <w:pPr>
              <w:tabs>
                <w:tab w:val="left" w:pos="284"/>
              </w:tabs>
              <w:rPr>
                <w:b/>
                <w:bCs/>
                <w:lang w:eastAsia="lt-LT"/>
              </w:rPr>
            </w:pPr>
            <w:r w:rsidRPr="00AD5F23">
              <w:rPr>
                <w:b/>
                <w:bCs/>
                <w:lang w:eastAsia="lt-LT"/>
              </w:rPr>
              <w:t>Ar vaistinis preparatas įrašytas į Bendrijos retųjų vaistinių preparatų registrą?</w:t>
            </w:r>
          </w:p>
        </w:tc>
        <w:tc>
          <w:tcPr>
            <w:tcW w:w="4962" w:type="dxa"/>
          </w:tcPr>
          <w:p w14:paraId="700EF174" w14:textId="77777777" w:rsidR="001A6FDF" w:rsidRPr="00AD5F23" w:rsidRDefault="00E76886" w:rsidP="001A6FDF">
            <w:pPr>
              <w:jc w:val="both"/>
            </w:pPr>
            <w:sdt>
              <w:sdtPr>
                <w:rPr>
                  <w:rStyle w:val="Style2"/>
                </w:rPr>
                <w:id w:val="1190730465"/>
                <w15:color w:val="FFCC00"/>
                <w14:checkbox>
                  <w14:checked w14:val="1"/>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 xml:space="preserve"> Taip       </w:t>
            </w:r>
            <w:r w:rsidR="001A6FDF" w:rsidRPr="00AD5F23">
              <w:rPr>
                <w:rStyle w:val="Style2"/>
              </w:rPr>
              <w:t xml:space="preserve"> </w:t>
            </w:r>
            <w:sdt>
              <w:sdtPr>
                <w:rPr>
                  <w:rStyle w:val="Style2"/>
                </w:rPr>
                <w:id w:val="-1760283509"/>
                <w15:color w:val="FFCC00"/>
                <w14:checkbox>
                  <w14:checked w14:val="0"/>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 xml:space="preserve"> Ne</w:t>
            </w:r>
          </w:p>
          <w:p w14:paraId="0851F1E5" w14:textId="77777777" w:rsidR="001A6FDF" w:rsidRPr="00AD5F23" w:rsidRDefault="001A6FDF" w:rsidP="001A6FDF">
            <w:pPr>
              <w:jc w:val="both"/>
            </w:pPr>
            <w:r w:rsidRPr="00AD5F23">
              <w:t xml:space="preserve">Data: </w:t>
            </w:r>
            <w:sdt>
              <w:sdtPr>
                <w:alias w:val="Nurodykite konkrečią dieną"/>
                <w:tag w:val="Nurodykite pradžios datą"/>
                <w:id w:val="1784158105"/>
                <w:placeholder>
                  <w:docPart w:val="DD9F2E2ED8EB4C28A8592C894A0C651B"/>
                </w:placeholder>
                <w15:color w:val="FFCC99"/>
                <w:date>
                  <w:dateFormat w:val="yyyy 'm.' MMMM d 'd.'"/>
                  <w:lid w:val="lt-LT"/>
                  <w:storeMappedDataAs w:val="dateTime"/>
                  <w:calendar w:val="gregorian"/>
                </w:date>
              </w:sdtPr>
              <w:sdtEndPr/>
              <w:sdtContent>
                <w:r w:rsidRPr="00AD5F23">
                  <w:t>2015 m. kovo 13 d.</w:t>
                </w:r>
              </w:sdtContent>
            </w:sdt>
          </w:p>
          <w:p w14:paraId="56165267" w14:textId="4AB99051" w:rsidR="001A6FDF" w:rsidRPr="00334F18" w:rsidRDefault="001A6FDF" w:rsidP="001A6FDF">
            <w:pPr>
              <w:rPr>
                <w:rFonts w:eastAsia="Arial"/>
              </w:rPr>
            </w:pPr>
            <w:r w:rsidRPr="00AD5F23">
              <w:t>Nr.</w:t>
            </w:r>
          </w:p>
        </w:tc>
      </w:tr>
      <w:tr w:rsidR="001A6FDF" w:rsidRPr="00334F18" w14:paraId="5E0775EB" w14:textId="77777777" w:rsidTr="003F3FFF">
        <w:trPr>
          <w:trHeight w:val="1011"/>
        </w:trPr>
        <w:tc>
          <w:tcPr>
            <w:tcW w:w="632" w:type="dxa"/>
          </w:tcPr>
          <w:p w14:paraId="6829924D" w14:textId="77777777" w:rsidR="001A6FDF" w:rsidRPr="00334F18" w:rsidRDefault="001A6FDF" w:rsidP="001A6FDF">
            <w:pPr>
              <w:rPr>
                <w:rFonts w:eastAsia="Arial"/>
                <w:b/>
              </w:rPr>
            </w:pPr>
            <w:r w:rsidRPr="00334F18">
              <w:rPr>
                <w:rFonts w:eastAsia="Arial"/>
                <w:b/>
                <w:bCs/>
              </w:rPr>
              <w:t>1.5</w:t>
            </w:r>
          </w:p>
        </w:tc>
        <w:tc>
          <w:tcPr>
            <w:tcW w:w="3899" w:type="dxa"/>
          </w:tcPr>
          <w:p w14:paraId="20F118DD" w14:textId="77777777" w:rsidR="001A6FDF" w:rsidRPr="00AD5F23" w:rsidRDefault="001A6FDF" w:rsidP="001A6FDF">
            <w:pPr>
              <w:tabs>
                <w:tab w:val="left" w:pos="284"/>
              </w:tabs>
              <w:spacing w:line="280" w:lineRule="atLeast"/>
              <w:jc w:val="both"/>
              <w:rPr>
                <w:b/>
                <w:bCs/>
                <w:lang w:eastAsia="lt-LT"/>
              </w:rPr>
            </w:pPr>
            <w:r w:rsidRPr="00AD5F23">
              <w:rPr>
                <w:b/>
                <w:bCs/>
                <w:lang w:eastAsia="lt-LT"/>
              </w:rPr>
              <w:t>Ar atliktas bendras klinikinis vertinimas</w:t>
            </w:r>
          </w:p>
          <w:p w14:paraId="7B6C3C1B" w14:textId="5C53AA5A" w:rsidR="001A6FDF" w:rsidRPr="00334F18" w:rsidRDefault="001A6FDF" w:rsidP="001A6FDF">
            <w:pPr>
              <w:tabs>
                <w:tab w:val="left" w:pos="284"/>
              </w:tabs>
              <w:rPr>
                <w:b/>
                <w:bCs/>
                <w:lang w:eastAsia="lt-LT"/>
              </w:rPr>
            </w:pPr>
            <w:r w:rsidRPr="00AD5F23">
              <w:rPr>
                <w:b/>
                <w:bCs/>
                <w:lang w:eastAsia="lt-LT"/>
              </w:rPr>
              <w:t>(Europos Parlamento ir Tarybos reglamentas (ES) 2021/2282)</w:t>
            </w:r>
          </w:p>
        </w:tc>
        <w:tc>
          <w:tcPr>
            <w:tcW w:w="4962" w:type="dxa"/>
          </w:tcPr>
          <w:p w14:paraId="79439C6A" w14:textId="77777777" w:rsidR="001A6FDF" w:rsidRPr="00AD5F23" w:rsidRDefault="00E76886" w:rsidP="001A6FDF">
            <w:pPr>
              <w:jc w:val="both"/>
            </w:pPr>
            <w:sdt>
              <w:sdtPr>
                <w:rPr>
                  <w:rStyle w:val="Style2"/>
                </w:rPr>
                <w:id w:val="-1171564470"/>
                <w15:color w:val="FFCC00"/>
                <w14:checkbox>
                  <w14:checked w14:val="0"/>
                  <w14:checkedState w14:val="2612" w14:font="MS Gothic"/>
                  <w14:uncheckedState w14:val="2610" w14:font="MS Gothic"/>
                </w14:checkbox>
              </w:sdtPr>
              <w:sdtEndPr>
                <w:rPr>
                  <w:rStyle w:val="Style2"/>
                </w:rPr>
              </w:sdtEndPr>
              <w:sdtContent>
                <w:r w:rsidR="001A6FDF" w:rsidRPr="00AD5F23">
                  <w:rPr>
                    <w:rStyle w:val="Style2"/>
                    <w:rFonts w:ascii="Segoe UI Symbol" w:eastAsia="MS Gothic" w:hAnsi="Segoe UI Symbol" w:cs="Segoe UI Symbol"/>
                  </w:rPr>
                  <w:t>☐</w:t>
                </w:r>
              </w:sdtContent>
            </w:sdt>
            <w:r w:rsidR="001A6FDF" w:rsidRPr="00AD5F23">
              <w:t xml:space="preserve"> Taip       </w:t>
            </w:r>
            <w:r w:rsidR="001A6FDF" w:rsidRPr="00AD5F23">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EndPr>
                <w:rPr>
                  <w:rStyle w:val="Style2"/>
                </w:rPr>
              </w:sdtEndPr>
              <w:sdtContent>
                <w:r w:rsidR="001A6FDF">
                  <w:rPr>
                    <w:rStyle w:val="Style2"/>
                    <w:rFonts w:ascii="MS Gothic" w:eastAsia="MS Gothic" w:hAnsi="MS Gothic" w:hint="eastAsia"/>
                  </w:rPr>
                  <w:t>☒</w:t>
                </w:r>
              </w:sdtContent>
            </w:sdt>
            <w:r w:rsidR="001A6FDF" w:rsidRPr="00AD5F23">
              <w:t xml:space="preserve"> Ne</w:t>
            </w:r>
          </w:p>
          <w:p w14:paraId="0DF729B3" w14:textId="31D48C9D" w:rsidR="001A6FDF" w:rsidRPr="00334F18" w:rsidRDefault="001A6FDF" w:rsidP="001A6FDF">
            <w:pPr>
              <w:rPr>
                <w:rStyle w:val="Style2"/>
                <w:sz w:val="24"/>
              </w:rPr>
            </w:pPr>
            <w:r w:rsidRPr="00AD5F23">
              <w:t xml:space="preserve">Data: </w:t>
            </w:r>
            <w:sdt>
              <w:sdtPr>
                <w:alias w:val="Nurodykite konkrečią dieną"/>
                <w:tag w:val="Nurodykite pradžios datą"/>
                <w:id w:val="1516880001"/>
                <w:placeholder>
                  <w:docPart w:val="8EA9F87EB8FE4DBBBBD93B6CFC37D275"/>
                </w:placeholder>
                <w:showingPlcHdr/>
                <w15:color w:val="FFCC99"/>
                <w:date w:fullDate="2022-05-18T00:00:00Z">
                  <w:dateFormat w:val="yyyy 'm.' MMMM d 'd.'"/>
                  <w:lid w:val="lt-LT"/>
                  <w:storeMappedDataAs w:val="dateTime"/>
                  <w:calendar w:val="gregorian"/>
                </w:date>
              </w:sdtPr>
              <w:sdtEndPr/>
              <w:sdtContent>
                <w:r w:rsidRPr="00AD5F23">
                  <w:rPr>
                    <w:rStyle w:val="Vietosrezervavimoenklotekstas"/>
                  </w:rPr>
                  <w:t>Click here to enter a date.</w:t>
                </w:r>
              </w:sdtContent>
            </w:sdt>
            <w:r w:rsidRPr="00AD5F23">
              <w:t xml:space="preserve"> </w:t>
            </w:r>
          </w:p>
        </w:tc>
      </w:tr>
      <w:tr w:rsidR="001A6FDF" w:rsidRPr="00334F18" w14:paraId="15E36E93" w14:textId="77777777" w:rsidTr="003F3FFF">
        <w:trPr>
          <w:trHeight w:val="1278"/>
        </w:trPr>
        <w:tc>
          <w:tcPr>
            <w:tcW w:w="632" w:type="dxa"/>
          </w:tcPr>
          <w:p w14:paraId="5F43AA8F" w14:textId="77777777" w:rsidR="001A6FDF" w:rsidRPr="00334F18" w:rsidRDefault="001A6FDF" w:rsidP="001A6FDF">
            <w:pPr>
              <w:rPr>
                <w:rFonts w:eastAsia="Arial"/>
                <w:b/>
                <w:bCs/>
              </w:rPr>
            </w:pPr>
            <w:r w:rsidRPr="00334F18">
              <w:rPr>
                <w:rFonts w:eastAsia="Arial"/>
                <w:b/>
                <w:bCs/>
              </w:rPr>
              <w:t>1.6</w:t>
            </w:r>
          </w:p>
        </w:tc>
        <w:tc>
          <w:tcPr>
            <w:tcW w:w="3899" w:type="dxa"/>
          </w:tcPr>
          <w:p w14:paraId="6E6309C7" w14:textId="77777777" w:rsidR="001A6FDF" w:rsidRPr="00AD5F23" w:rsidRDefault="001A6FDF" w:rsidP="001A6FDF">
            <w:pPr>
              <w:jc w:val="both"/>
              <w:rPr>
                <w:b/>
                <w:bCs/>
                <w:lang w:eastAsia="lt-LT"/>
              </w:rPr>
            </w:pPr>
            <w:r w:rsidRPr="00AD5F23">
              <w:rPr>
                <w:b/>
                <w:bCs/>
                <w:lang w:eastAsia="lt-LT"/>
              </w:rPr>
              <w:t xml:space="preserve">Teikiama kompensuoti terapinė indikacija </w:t>
            </w:r>
          </w:p>
          <w:p w14:paraId="687AF780" w14:textId="77777777" w:rsidR="001A6FDF" w:rsidRDefault="001A6FDF" w:rsidP="001A6FDF">
            <w:pPr>
              <w:jc w:val="both"/>
              <w:rPr>
                <w:b/>
                <w:bCs/>
                <w:lang w:eastAsia="lt-LT"/>
              </w:rPr>
            </w:pPr>
          </w:p>
          <w:p w14:paraId="5075CC08" w14:textId="77777777" w:rsidR="001A6FDF" w:rsidRDefault="001A6FDF" w:rsidP="001A6FDF">
            <w:pPr>
              <w:jc w:val="both"/>
              <w:rPr>
                <w:b/>
                <w:bCs/>
                <w:lang w:eastAsia="lt-LT"/>
              </w:rPr>
            </w:pPr>
          </w:p>
          <w:p w14:paraId="52212346" w14:textId="77777777" w:rsidR="001A6FDF" w:rsidRPr="00AD5F23" w:rsidRDefault="001A6FDF" w:rsidP="001A6FDF">
            <w:pPr>
              <w:jc w:val="both"/>
              <w:rPr>
                <w:b/>
                <w:bCs/>
                <w:lang w:eastAsia="lt-LT"/>
              </w:rPr>
            </w:pPr>
          </w:p>
          <w:p w14:paraId="371D188E" w14:textId="5C53227F" w:rsidR="001A6FDF" w:rsidRPr="00334F18" w:rsidRDefault="001A6FDF" w:rsidP="001A6FDF">
            <w:pPr>
              <w:rPr>
                <w:b/>
                <w:bCs/>
                <w:lang w:eastAsia="lt-LT"/>
              </w:rPr>
            </w:pPr>
            <w:r w:rsidRPr="00AD5F23">
              <w:rPr>
                <w:b/>
                <w:bCs/>
                <w:lang w:eastAsia="lt-LT"/>
              </w:rPr>
              <w:lastRenderedPageBreak/>
              <w:t>Kodas pagal TLK-10 AM</w:t>
            </w:r>
          </w:p>
        </w:tc>
        <w:tc>
          <w:tcPr>
            <w:tcW w:w="4962" w:type="dxa"/>
          </w:tcPr>
          <w:p w14:paraId="7C5F5BD1" w14:textId="77777777" w:rsidR="001A6FDF" w:rsidRDefault="001A6FDF" w:rsidP="001A6FDF">
            <w:proofErr w:type="spellStart"/>
            <w:r w:rsidRPr="00E33B9B">
              <w:lastRenderedPageBreak/>
              <w:t>Daratumumabas</w:t>
            </w:r>
            <w:proofErr w:type="spellEnd"/>
            <w:r w:rsidRPr="00E33B9B">
              <w:t xml:space="preserve"> derinant su </w:t>
            </w:r>
            <w:proofErr w:type="spellStart"/>
            <w:r w:rsidRPr="00E33B9B">
              <w:t>bortezomibu</w:t>
            </w:r>
            <w:proofErr w:type="spellEnd"/>
            <w:r w:rsidRPr="00E33B9B">
              <w:t xml:space="preserve">, </w:t>
            </w:r>
            <w:proofErr w:type="spellStart"/>
            <w:r w:rsidRPr="00E33B9B">
              <w:t>lenalidomidu</w:t>
            </w:r>
            <w:proofErr w:type="spellEnd"/>
            <w:r w:rsidRPr="00E33B9B">
              <w:t xml:space="preserve"> ir </w:t>
            </w:r>
            <w:proofErr w:type="spellStart"/>
            <w:r w:rsidRPr="00E33B9B">
              <w:t>deksametazonu</w:t>
            </w:r>
            <w:proofErr w:type="spellEnd"/>
            <w:r w:rsidRPr="00E33B9B">
              <w:t xml:space="preserve"> gydymui suaugusiems pacientams, kuriems naujai buvo diagnozuota dauginė mieloma.</w:t>
            </w:r>
          </w:p>
          <w:p w14:paraId="71526087" w14:textId="77777777" w:rsidR="001A6FDF" w:rsidRPr="00E33B9B" w:rsidRDefault="001A6FDF" w:rsidP="001A6FDF"/>
          <w:p w14:paraId="004E01C6" w14:textId="77777777" w:rsidR="001A6FDF" w:rsidRDefault="001A6FDF" w:rsidP="001A6FDF">
            <w:pPr>
              <w:jc w:val="both"/>
            </w:pPr>
            <w:r w:rsidRPr="00E33B9B">
              <w:lastRenderedPageBreak/>
              <w:t>TLK-10 AM kodas – C90.0.</w:t>
            </w:r>
          </w:p>
          <w:p w14:paraId="10833DB8" w14:textId="7678DD02" w:rsidR="001A6FDF" w:rsidRPr="00334F18" w:rsidRDefault="001A6FDF" w:rsidP="001A6FDF"/>
        </w:tc>
      </w:tr>
      <w:tr w:rsidR="001A6FDF" w:rsidRPr="00334F18" w14:paraId="01C3C4F5" w14:textId="77777777" w:rsidTr="003F3FFF">
        <w:trPr>
          <w:trHeight w:val="378"/>
        </w:trPr>
        <w:tc>
          <w:tcPr>
            <w:tcW w:w="632" w:type="dxa"/>
          </w:tcPr>
          <w:p w14:paraId="5115AFC1" w14:textId="77777777" w:rsidR="001A6FDF" w:rsidRPr="00334F18" w:rsidRDefault="001A6FDF" w:rsidP="001A6FDF">
            <w:pPr>
              <w:rPr>
                <w:rFonts w:eastAsia="Arial"/>
                <w:b/>
                <w:bCs/>
              </w:rPr>
            </w:pPr>
            <w:r w:rsidRPr="00334F18">
              <w:rPr>
                <w:rFonts w:eastAsia="Arial"/>
                <w:b/>
                <w:bCs/>
              </w:rPr>
              <w:lastRenderedPageBreak/>
              <w:t>1.7</w:t>
            </w:r>
          </w:p>
        </w:tc>
        <w:tc>
          <w:tcPr>
            <w:tcW w:w="3899" w:type="dxa"/>
          </w:tcPr>
          <w:p w14:paraId="48045B5A" w14:textId="56C4B162" w:rsidR="001A6FDF" w:rsidRPr="00334F18" w:rsidRDefault="001A6FDF" w:rsidP="001A6FDF">
            <w:pPr>
              <w:rPr>
                <w:b/>
                <w:bCs/>
                <w:u w:val="single"/>
                <w:lang w:eastAsia="lt-LT"/>
              </w:rPr>
            </w:pPr>
            <w:r w:rsidRPr="00AD5F23">
              <w:rPr>
                <w:b/>
                <w:bCs/>
                <w:lang w:eastAsia="lt-LT"/>
              </w:rPr>
              <w:t xml:space="preserve">Teikiamos skyrimo sąlygos </w:t>
            </w:r>
          </w:p>
        </w:tc>
        <w:tc>
          <w:tcPr>
            <w:tcW w:w="4962" w:type="dxa"/>
          </w:tcPr>
          <w:p w14:paraId="52D5EF2B" w14:textId="77777777" w:rsidR="001A6FDF" w:rsidRDefault="001A6FDF" w:rsidP="001A6FDF">
            <w:pPr>
              <w:jc w:val="both"/>
            </w:pPr>
            <w:proofErr w:type="spellStart"/>
            <w:r w:rsidRPr="00E33B9B">
              <w:t>Daratumumabas</w:t>
            </w:r>
            <w:proofErr w:type="spellEnd"/>
            <w:r w:rsidRPr="00E33B9B">
              <w:t xml:space="preserve"> derinant su </w:t>
            </w:r>
            <w:proofErr w:type="spellStart"/>
            <w:r w:rsidRPr="00E33B9B">
              <w:t>bortezomibu</w:t>
            </w:r>
            <w:proofErr w:type="spellEnd"/>
            <w:r w:rsidRPr="00E33B9B">
              <w:t xml:space="preserve">, </w:t>
            </w:r>
            <w:proofErr w:type="spellStart"/>
            <w:r w:rsidRPr="00E33B9B">
              <w:t>lenalidomidu</w:t>
            </w:r>
            <w:proofErr w:type="spellEnd"/>
            <w:r w:rsidRPr="00E33B9B">
              <w:t xml:space="preserve"> ir </w:t>
            </w:r>
            <w:proofErr w:type="spellStart"/>
            <w:r w:rsidRPr="00E33B9B">
              <w:t>deksametazonu</w:t>
            </w:r>
            <w:proofErr w:type="spellEnd"/>
            <w:r w:rsidRPr="00E33B9B">
              <w:t xml:space="preserve"> gydymui suaugusiems pacientams, kuriems naujai buvo diagnozuota dauginė mieloma, ir kuriems netinka autologinė kamieninių ląstelių transplantacija</w:t>
            </w:r>
            <w:r>
              <w:t>.</w:t>
            </w:r>
          </w:p>
          <w:p w14:paraId="6A31562C" w14:textId="77777777" w:rsidR="001A6FDF" w:rsidRPr="00334F18" w:rsidRDefault="001A6FDF" w:rsidP="001A6FDF"/>
        </w:tc>
      </w:tr>
      <w:tr w:rsidR="001A6FDF" w:rsidRPr="00334F18" w14:paraId="3C32C984" w14:textId="77777777" w:rsidTr="003F3FFF">
        <w:trPr>
          <w:trHeight w:val="378"/>
        </w:trPr>
        <w:tc>
          <w:tcPr>
            <w:tcW w:w="632" w:type="dxa"/>
          </w:tcPr>
          <w:p w14:paraId="4E679EDB" w14:textId="77777777" w:rsidR="001A6FDF" w:rsidRPr="00334F18" w:rsidRDefault="001A6FDF" w:rsidP="001A6FDF">
            <w:pPr>
              <w:rPr>
                <w:rFonts w:eastAsia="Arial"/>
                <w:b/>
                <w:bCs/>
              </w:rPr>
            </w:pPr>
            <w:r w:rsidRPr="00334F18">
              <w:rPr>
                <w:rFonts w:eastAsia="Arial"/>
                <w:b/>
                <w:bCs/>
              </w:rPr>
              <w:t>1.8</w:t>
            </w:r>
          </w:p>
        </w:tc>
        <w:tc>
          <w:tcPr>
            <w:tcW w:w="3899" w:type="dxa"/>
          </w:tcPr>
          <w:p w14:paraId="784605B5" w14:textId="191ED885" w:rsidR="001A6FDF" w:rsidRPr="00334F18" w:rsidRDefault="001A6FDF" w:rsidP="001A6FDF">
            <w:pPr>
              <w:rPr>
                <w:b/>
                <w:bCs/>
                <w:lang w:eastAsia="lt-LT"/>
              </w:rPr>
            </w:pPr>
            <w:r w:rsidRPr="00AD5F23">
              <w:rPr>
                <w:b/>
                <w:bCs/>
                <w:lang w:eastAsia="lt-LT"/>
              </w:rPr>
              <w:t>Ekonominė analizė</w:t>
            </w:r>
          </w:p>
        </w:tc>
        <w:tc>
          <w:tcPr>
            <w:tcW w:w="4962" w:type="dxa"/>
          </w:tcPr>
          <w:p w14:paraId="4F6516CB" w14:textId="77777777" w:rsidR="001A6FDF" w:rsidRPr="00AD5F23" w:rsidRDefault="00E76886" w:rsidP="001A6FDF">
            <w:pPr>
              <w:jc w:val="both"/>
            </w:pPr>
            <w:sdt>
              <w:sdtPr>
                <w:rPr>
                  <w:rStyle w:val="Style2"/>
                </w:rPr>
                <w:id w:val="356323367"/>
                <w15:color w:val="FFCC00"/>
                <w14:checkbox>
                  <w14:checked w14:val="0"/>
                  <w14:checkedState w14:val="2612" w14:font="MS Gothic"/>
                  <w14:uncheckedState w14:val="2610" w14:font="MS Gothic"/>
                </w14:checkbox>
              </w:sdtPr>
              <w:sdtEndPr>
                <w:rPr>
                  <w:rStyle w:val="Style2"/>
                </w:rPr>
              </w:sdtEndPr>
              <w:sdtContent>
                <w:r w:rsidR="001A6FDF">
                  <w:rPr>
                    <w:rStyle w:val="Style2"/>
                    <w:rFonts w:ascii="MS Gothic" w:eastAsia="MS Gothic" w:hAnsi="MS Gothic" w:hint="eastAsia"/>
                  </w:rPr>
                  <w:t>☐</w:t>
                </w:r>
              </w:sdtContent>
            </w:sdt>
            <w:r w:rsidR="001A6FDF" w:rsidRPr="00AD5F23">
              <w:t xml:space="preserve"> Kaštų naudingumo analizė</w:t>
            </w:r>
          </w:p>
          <w:p w14:paraId="74285797" w14:textId="77777777" w:rsidR="001A6FDF" w:rsidRPr="00AD5F23" w:rsidRDefault="00E76886" w:rsidP="001A6FDF">
            <w:pPr>
              <w:jc w:val="both"/>
            </w:pPr>
            <w:sdt>
              <w:sdtPr>
                <w:rPr>
                  <w:rStyle w:val="Style2"/>
                </w:rPr>
                <w:id w:val="-250506580"/>
                <w15:color w:val="FFCC00"/>
                <w14:checkbox>
                  <w14:checked w14:val="0"/>
                  <w14:checkedState w14:val="2612" w14:font="MS Gothic"/>
                  <w14:uncheckedState w14:val="2610" w14:font="MS Gothic"/>
                </w14:checkbox>
              </w:sdtPr>
              <w:sdtEndPr>
                <w:rPr>
                  <w:rStyle w:val="Style2"/>
                </w:rPr>
              </w:sdtEndPr>
              <w:sdtContent>
                <w:r w:rsidR="001A6FDF">
                  <w:rPr>
                    <w:rStyle w:val="Style2"/>
                    <w:rFonts w:ascii="MS Gothic" w:eastAsia="MS Gothic" w:hAnsi="MS Gothic" w:hint="eastAsia"/>
                  </w:rPr>
                  <w:t>☐</w:t>
                </w:r>
              </w:sdtContent>
            </w:sdt>
            <w:r w:rsidR="001A6FDF" w:rsidRPr="00AD5F23">
              <w:t xml:space="preserve"> Kaštų mažinimo analizė</w:t>
            </w:r>
          </w:p>
          <w:p w14:paraId="4B0FE78C" w14:textId="4AB520A2" w:rsidR="001A6FDF" w:rsidRPr="00334F18" w:rsidRDefault="00E76886" w:rsidP="001A6FDF">
            <w:sdt>
              <w:sdtPr>
                <w:rPr>
                  <w:rStyle w:val="Style2"/>
                </w:rPr>
                <w:id w:val="-1517455044"/>
                <w15:color w:val="FFCC00"/>
                <w14:checkbox>
                  <w14:checked w14:val="1"/>
                  <w14:checkedState w14:val="2612" w14:font="MS Gothic"/>
                  <w14:uncheckedState w14:val="2610" w14:font="MS Gothic"/>
                </w14:checkbox>
              </w:sdtPr>
              <w:sdtEndPr>
                <w:rPr>
                  <w:rStyle w:val="Style2"/>
                </w:rPr>
              </w:sdtEndPr>
              <w:sdtContent>
                <w:r w:rsidR="001A6FDF">
                  <w:rPr>
                    <w:rStyle w:val="Style2"/>
                    <w:rFonts w:ascii="MS Gothic" w:eastAsia="MS Gothic" w:hAnsi="MS Gothic" w:hint="eastAsia"/>
                  </w:rPr>
                  <w:t>☒</w:t>
                </w:r>
              </w:sdtContent>
            </w:sdt>
            <w:r w:rsidR="001A6FDF" w:rsidRPr="00AD5F23">
              <w:t xml:space="preserve"> Neteikiama</w:t>
            </w:r>
          </w:p>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4AFD279E"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5C45C8FC" w:rsidR="00D4485B" w:rsidRDefault="00D4485B" w:rsidP="00A93AA6">
      <w:pPr>
        <w:pStyle w:val="Sraopastraipa"/>
        <w:tabs>
          <w:tab w:val="left" w:pos="426"/>
        </w:tabs>
        <w:ind w:left="0"/>
        <w:rPr>
          <w:b/>
          <w:bCs/>
          <w:caps/>
        </w:rPr>
      </w:pPr>
    </w:p>
    <w:p w14:paraId="50E3443A" w14:textId="77777777" w:rsidR="00C30665" w:rsidRPr="00F74F9C" w:rsidRDefault="00C30665" w:rsidP="00C30665">
      <w:pPr>
        <w:tabs>
          <w:tab w:val="left" w:pos="567"/>
        </w:tabs>
        <w:jc w:val="both"/>
        <w:rPr>
          <w:iCs/>
        </w:rPr>
      </w:pPr>
      <w:r>
        <w:rPr>
          <w:iCs/>
        </w:rPr>
        <w:tab/>
        <w:t>P</w:t>
      </w:r>
      <w:r w:rsidRPr="00F74F9C">
        <w:rPr>
          <w:iCs/>
        </w:rPr>
        <w:t xml:space="preserve">araiškoje prašoma kompensuoti </w:t>
      </w:r>
      <w:proofErr w:type="spellStart"/>
      <w:r w:rsidRPr="00F74F9C">
        <w:rPr>
          <w:iCs/>
        </w:rPr>
        <w:t>daratumumabo</w:t>
      </w:r>
      <w:proofErr w:type="spellEnd"/>
      <w:r w:rsidRPr="00F74F9C">
        <w:rPr>
          <w:iCs/>
        </w:rPr>
        <w:t xml:space="preserve"> derinį su </w:t>
      </w:r>
      <w:proofErr w:type="spellStart"/>
      <w:r w:rsidRPr="00F74F9C">
        <w:rPr>
          <w:iCs/>
        </w:rPr>
        <w:t>bortezomibu</w:t>
      </w:r>
      <w:proofErr w:type="spellEnd"/>
      <w:r w:rsidRPr="00F74F9C">
        <w:rPr>
          <w:iCs/>
        </w:rPr>
        <w:t xml:space="preserve">, </w:t>
      </w:r>
      <w:proofErr w:type="spellStart"/>
      <w:r w:rsidRPr="00F74F9C">
        <w:rPr>
          <w:iCs/>
        </w:rPr>
        <w:t>lenalidomidu</w:t>
      </w:r>
      <w:proofErr w:type="spellEnd"/>
      <w:r w:rsidRPr="00F74F9C">
        <w:rPr>
          <w:iCs/>
        </w:rPr>
        <w:t xml:space="preserve"> ir </w:t>
      </w:r>
      <w:proofErr w:type="spellStart"/>
      <w:r w:rsidRPr="00F74F9C">
        <w:rPr>
          <w:iCs/>
        </w:rPr>
        <w:t>deksametazonu</w:t>
      </w:r>
      <w:proofErr w:type="spellEnd"/>
      <w:r w:rsidRPr="00F74F9C">
        <w:rPr>
          <w:iCs/>
        </w:rPr>
        <w:t xml:space="preserve"> (DVRd) suaugusiems pacientams, kuriems naujai diagnozuota dauginė mieloma (DM) ir netinka autologinė kamieninių ląstelių transplantacija (AUTOKLT). Ši pacientų grupė sudaro reikšmingą DM populiacijos dalį, kadangi dauguma pacientų diagnozės metu yra vyresnio amžiaus ir dėl to netinkami transplantacijai.</w:t>
      </w:r>
    </w:p>
    <w:p w14:paraId="39BD486D" w14:textId="77777777" w:rsidR="00C30665" w:rsidRPr="00F74F9C" w:rsidRDefault="00C30665" w:rsidP="00C30665">
      <w:pPr>
        <w:tabs>
          <w:tab w:val="left" w:pos="567"/>
        </w:tabs>
        <w:jc w:val="both"/>
        <w:rPr>
          <w:iCs/>
        </w:rPr>
      </w:pPr>
      <w:r>
        <w:rPr>
          <w:iCs/>
        </w:rPr>
        <w:tab/>
      </w:r>
      <w:r w:rsidRPr="00F74F9C">
        <w:rPr>
          <w:iCs/>
        </w:rPr>
        <w:t xml:space="preserve">Dauginė mieloma yra reta, nepagydoma </w:t>
      </w:r>
      <w:proofErr w:type="spellStart"/>
      <w:r w:rsidRPr="00F74F9C">
        <w:rPr>
          <w:iCs/>
        </w:rPr>
        <w:t>onkohematologinė</w:t>
      </w:r>
      <w:proofErr w:type="spellEnd"/>
      <w:r w:rsidRPr="00F74F9C">
        <w:rPr>
          <w:iCs/>
        </w:rPr>
        <w:t xml:space="preserve"> liga, pasižyminti atkryčio ir remisijos ciklais, didėjančia simptomų našta, blogėjančia gyvenimo kokybe ir didelėmis sveikatos priežiūros išlaidomis. Nors pastaraisiais metais išgyvenamumas pagerėjo, reikšminga dalis pacientų, ypač netinkamų AUTOKLT, nepasiekia optimalių ilgalaikių gydymo rezultatų. Be to, daugiau nei pusė šių pacientų Lietuvoje negauna antros eilės gydymo.</w:t>
      </w:r>
    </w:p>
    <w:p w14:paraId="2D9051E5" w14:textId="77777777" w:rsidR="00C30665" w:rsidRPr="00F74F9C" w:rsidRDefault="00C30665" w:rsidP="00C30665">
      <w:pPr>
        <w:tabs>
          <w:tab w:val="left" w:pos="567"/>
        </w:tabs>
        <w:jc w:val="both"/>
        <w:rPr>
          <w:iCs/>
        </w:rPr>
      </w:pPr>
      <w:r>
        <w:rPr>
          <w:iCs/>
        </w:rPr>
        <w:tab/>
      </w:r>
      <w:r w:rsidRPr="00F74F9C">
        <w:rPr>
          <w:iCs/>
        </w:rPr>
        <w:t>Numatoma, kad DVRd dėl reikšmingai geresnio klinikinio efektyvumo visiškai pakeis šiuo metu kompensuojamą DVMP derinį. Remiantis VLK duomenimis, prognozuojama, kad pirmaisiais kompensavimo metais DVRd bus gydoma apie 110 pacientų, o per penkerius metus – iki 490 pacientų, darant prielaidą, kad vidutinė gydymo trukmė sieks 42 mėnesius.</w:t>
      </w:r>
    </w:p>
    <w:p w14:paraId="14A27EEF" w14:textId="77777777" w:rsidR="00C30665" w:rsidRPr="00F74F9C" w:rsidRDefault="00C30665" w:rsidP="00C30665">
      <w:pPr>
        <w:tabs>
          <w:tab w:val="left" w:pos="567"/>
        </w:tabs>
        <w:jc w:val="both"/>
        <w:rPr>
          <w:iCs/>
        </w:rPr>
      </w:pPr>
      <w:r>
        <w:rPr>
          <w:iCs/>
        </w:rPr>
        <w:tab/>
      </w:r>
      <w:proofErr w:type="spellStart"/>
      <w:r w:rsidRPr="00F74F9C">
        <w:rPr>
          <w:iCs/>
        </w:rPr>
        <w:t>Daratumumabas</w:t>
      </w:r>
      <w:proofErr w:type="spellEnd"/>
      <w:r w:rsidRPr="00F74F9C">
        <w:rPr>
          <w:iCs/>
        </w:rPr>
        <w:t xml:space="preserve"> yra anti-CD38 </w:t>
      </w:r>
      <w:proofErr w:type="spellStart"/>
      <w:r w:rsidRPr="00F74F9C">
        <w:rPr>
          <w:iCs/>
        </w:rPr>
        <w:t>monokloninis</w:t>
      </w:r>
      <w:proofErr w:type="spellEnd"/>
      <w:r w:rsidRPr="00F74F9C">
        <w:rPr>
          <w:iCs/>
        </w:rPr>
        <w:t xml:space="preserve"> antikūnas, turintis tiesioginį </w:t>
      </w:r>
      <w:proofErr w:type="spellStart"/>
      <w:r w:rsidRPr="00F74F9C">
        <w:rPr>
          <w:iCs/>
        </w:rPr>
        <w:t>citotoksinį</w:t>
      </w:r>
      <w:proofErr w:type="spellEnd"/>
      <w:r w:rsidRPr="00F74F9C">
        <w:rPr>
          <w:iCs/>
        </w:rPr>
        <w:t xml:space="preserve"> ir </w:t>
      </w:r>
      <w:proofErr w:type="spellStart"/>
      <w:r w:rsidRPr="00F74F9C">
        <w:rPr>
          <w:iCs/>
        </w:rPr>
        <w:t>imunomoduliacinį</w:t>
      </w:r>
      <w:proofErr w:type="spellEnd"/>
      <w:r w:rsidRPr="00F74F9C">
        <w:rPr>
          <w:iCs/>
        </w:rPr>
        <w:t xml:space="preserve"> poveikį. Jis aktyvina kelis imuninės sistemos mechanizmus, lemiančius mielomos ląstelių </w:t>
      </w:r>
      <w:proofErr w:type="spellStart"/>
      <w:r w:rsidRPr="00F74F9C">
        <w:rPr>
          <w:iCs/>
        </w:rPr>
        <w:t>lizę</w:t>
      </w:r>
      <w:proofErr w:type="spellEnd"/>
      <w:r w:rsidRPr="00F74F9C">
        <w:rPr>
          <w:iCs/>
        </w:rPr>
        <w:t>, mažina imunosupresinių ląstelių populiacijas ir stiprina T limfocitų atsaką, kas siejama su gilesniu ir tvaresniu klinikiniu atsaku.</w:t>
      </w:r>
    </w:p>
    <w:p w14:paraId="38EC47E7" w14:textId="77777777" w:rsidR="00C30665" w:rsidRPr="00F74F9C" w:rsidRDefault="00C30665" w:rsidP="00C30665">
      <w:pPr>
        <w:tabs>
          <w:tab w:val="left" w:pos="567"/>
        </w:tabs>
        <w:jc w:val="both"/>
        <w:rPr>
          <w:iCs/>
        </w:rPr>
      </w:pPr>
      <w:r>
        <w:rPr>
          <w:iCs/>
        </w:rPr>
        <w:tab/>
      </w:r>
      <w:r w:rsidRPr="00F74F9C">
        <w:rPr>
          <w:iCs/>
        </w:rPr>
        <w:t>Lietuvoje šiai indikacijai šiuo metu kompensuojamas DVMP, kuris laikomas standartiniu gydymu. Tačiau naujausios 2025 m. EHA–EMN–ESMO klinikinės gairės DVRd nurodo kaip pirmo pasirinkimo gydymo derinį pacientams, netinkamiems AUTOKLT, o DVMP rekomenduojamas tik kaip alternatyva, jei DVRd nėra prieinamas.</w:t>
      </w:r>
    </w:p>
    <w:p w14:paraId="5B8F41C8" w14:textId="77777777" w:rsidR="00C30665" w:rsidRDefault="00C30665" w:rsidP="00C30665">
      <w:pPr>
        <w:tabs>
          <w:tab w:val="left" w:pos="567"/>
        </w:tabs>
        <w:jc w:val="both"/>
        <w:rPr>
          <w:iCs/>
        </w:rPr>
      </w:pPr>
      <w:r>
        <w:rPr>
          <w:iCs/>
        </w:rPr>
        <w:tab/>
      </w:r>
      <w:r w:rsidRPr="00F74F9C">
        <w:rPr>
          <w:iCs/>
        </w:rPr>
        <w:t xml:space="preserve">Pagal Respublikos sveikatos apsaugos ministro 2000 m. sausio 28 d. įsakyme Nr. 49  „Dėl kompensuojamųjų vaistų sąrašų patvirtinimo“ pateiktą ligų ir kompensuojamųjų vaistų joms gydyti sąrašą palyginamasis gydymas atitinka Lietuvos Respublikos sveikatos apsaugos ministro 2002 m. balandžio 5 d. įsakymo Nr. V-159 „Dėl vaistinių preparatų ir medicinos pagalbos priemonių įrašymo į kompensavimo sąrašus ir jų keitimo tvarkos aprašo patvirtinimo“ 116.1 punkto, nes suaugusiems pacientams, kuriems naujai buvo diagnozuota dauginė mieloma ir kuriems netinka autologinė kamieninių ląstelių transplantacija </w:t>
      </w:r>
      <w:proofErr w:type="spellStart"/>
      <w:r w:rsidRPr="00F74F9C">
        <w:rPr>
          <w:iCs/>
        </w:rPr>
        <w:t>daratumumabas</w:t>
      </w:r>
      <w:proofErr w:type="spellEnd"/>
      <w:r w:rsidRPr="00F74F9C">
        <w:rPr>
          <w:iCs/>
        </w:rPr>
        <w:t xml:space="preserve"> derinant su </w:t>
      </w:r>
      <w:proofErr w:type="spellStart"/>
      <w:r w:rsidRPr="00F74F9C">
        <w:rPr>
          <w:iCs/>
        </w:rPr>
        <w:t>bortezomibu</w:t>
      </w:r>
      <w:proofErr w:type="spellEnd"/>
      <w:r w:rsidRPr="00F74F9C">
        <w:rPr>
          <w:iCs/>
        </w:rPr>
        <w:t xml:space="preserve">, </w:t>
      </w:r>
      <w:proofErr w:type="spellStart"/>
      <w:r w:rsidRPr="00F74F9C">
        <w:rPr>
          <w:iCs/>
        </w:rPr>
        <w:t>melfalanu</w:t>
      </w:r>
      <w:proofErr w:type="spellEnd"/>
      <w:r w:rsidRPr="00F74F9C">
        <w:rPr>
          <w:iCs/>
        </w:rPr>
        <w:t xml:space="preserve"> ir prednizolonu (DVMP) yra „paraiškos vertinimo metu atitinkantis įprastą klinikinę praktiką ir pagrįstai laikomas atitinkančiu pripažintas konkrečios ligos gydymo gaires“.</w:t>
      </w:r>
    </w:p>
    <w:p w14:paraId="21DB7FD5" w14:textId="77777777" w:rsidR="00C30665" w:rsidRDefault="00C30665" w:rsidP="00C30665">
      <w:pPr>
        <w:tabs>
          <w:tab w:val="left" w:pos="567"/>
        </w:tabs>
        <w:jc w:val="both"/>
        <w:rPr>
          <w:iCs/>
        </w:rPr>
      </w:pPr>
    </w:p>
    <w:p w14:paraId="7CC3D09D" w14:textId="77777777" w:rsidR="00C30665" w:rsidRPr="00A247A4" w:rsidRDefault="00C30665" w:rsidP="00C30665">
      <w:pPr>
        <w:tabs>
          <w:tab w:val="left" w:pos="567"/>
        </w:tabs>
        <w:jc w:val="both"/>
        <w:rPr>
          <w:i/>
        </w:rPr>
      </w:pPr>
      <w:r w:rsidRPr="00A247A4">
        <w:rPr>
          <w:i/>
        </w:rPr>
        <w:t>Tiesioginis palyginamasis gydymas</w:t>
      </w:r>
    </w:p>
    <w:p w14:paraId="7F2706C0" w14:textId="77777777" w:rsidR="00C30665" w:rsidRDefault="00C30665" w:rsidP="00C30665">
      <w:pPr>
        <w:tabs>
          <w:tab w:val="left" w:pos="567"/>
        </w:tabs>
        <w:jc w:val="both"/>
        <w:rPr>
          <w:iCs/>
        </w:rPr>
      </w:pPr>
      <w:r>
        <w:rPr>
          <w:iCs/>
        </w:rPr>
        <w:tab/>
      </w:r>
      <w:r w:rsidRPr="00F74F9C">
        <w:rPr>
          <w:iCs/>
        </w:rPr>
        <w:t xml:space="preserve">Pateiktas palyginamasis gydymas – DVRd  vs. </w:t>
      </w:r>
      <w:proofErr w:type="spellStart"/>
      <w:r w:rsidRPr="00F74F9C">
        <w:rPr>
          <w:iCs/>
        </w:rPr>
        <w:t>VRd</w:t>
      </w:r>
      <w:proofErr w:type="spellEnd"/>
      <w:r w:rsidRPr="00F74F9C">
        <w:rPr>
          <w:iCs/>
        </w:rPr>
        <w:t xml:space="preserve"> gydymo schema – yra pagrįstas CEPHEUS klinikinio tyrimo duomenimis. Šis tyrimas yra registracinis vaisto tyrimas, o pateikti rezultatai įrodo DVRd  schemos pranašumą prieš </w:t>
      </w:r>
      <w:proofErr w:type="spellStart"/>
      <w:r w:rsidRPr="00F74F9C">
        <w:rPr>
          <w:iCs/>
        </w:rPr>
        <w:t>VRd</w:t>
      </w:r>
      <w:proofErr w:type="spellEnd"/>
      <w:r w:rsidRPr="00F74F9C">
        <w:rPr>
          <w:iCs/>
        </w:rPr>
        <w:t xml:space="preserve"> gydymo schemą. </w:t>
      </w:r>
      <w:proofErr w:type="spellStart"/>
      <w:r w:rsidRPr="00F74F9C">
        <w:rPr>
          <w:iCs/>
        </w:rPr>
        <w:t>VRd</w:t>
      </w:r>
      <w:proofErr w:type="spellEnd"/>
      <w:r w:rsidRPr="00F74F9C">
        <w:rPr>
          <w:iCs/>
        </w:rPr>
        <w:t xml:space="preserve"> gydymo schema negalima laikyti tinkamu palyginamuoju gydymu, todėl šie rezultatai vertinami kaip papildomi duomenys.</w:t>
      </w:r>
    </w:p>
    <w:p w14:paraId="173AED5D" w14:textId="77777777" w:rsidR="00C30665" w:rsidRPr="00A247A4" w:rsidRDefault="00C30665" w:rsidP="00C30665">
      <w:pPr>
        <w:tabs>
          <w:tab w:val="left" w:pos="567"/>
        </w:tabs>
        <w:jc w:val="both"/>
        <w:rPr>
          <w:i/>
        </w:rPr>
      </w:pPr>
    </w:p>
    <w:p w14:paraId="4AB0B4C5" w14:textId="77777777" w:rsidR="00C30665" w:rsidRPr="00A247A4" w:rsidRDefault="00C30665" w:rsidP="00C30665">
      <w:pPr>
        <w:tabs>
          <w:tab w:val="left" w:pos="567"/>
        </w:tabs>
        <w:jc w:val="both"/>
        <w:rPr>
          <w:i/>
        </w:rPr>
      </w:pPr>
      <w:r w:rsidRPr="00A247A4">
        <w:rPr>
          <w:i/>
        </w:rPr>
        <w:t>Netiesioginis palyginamasis gydymas</w:t>
      </w:r>
    </w:p>
    <w:p w14:paraId="7813B4F1" w14:textId="77777777" w:rsidR="00C30665" w:rsidRPr="00F923CD" w:rsidRDefault="00C30665" w:rsidP="00C30665">
      <w:pPr>
        <w:tabs>
          <w:tab w:val="left" w:pos="567"/>
        </w:tabs>
        <w:jc w:val="both"/>
        <w:rPr>
          <w:iCs/>
        </w:rPr>
      </w:pPr>
      <w:r w:rsidRPr="00F923CD">
        <w:rPr>
          <w:iCs/>
        </w:rPr>
        <w:tab/>
        <w:t>Netiesioginis palyginimas buvo atliktas naudojant Lietuvai aktualų palyginamąjį gydymą – DVMP, kuris atitinka įprastinę klinikinę praktiką Lietuvoje.</w:t>
      </w:r>
    </w:p>
    <w:p w14:paraId="2711776A" w14:textId="77777777" w:rsidR="00C30665" w:rsidRPr="00F923CD" w:rsidRDefault="00C30665" w:rsidP="00C30665">
      <w:pPr>
        <w:tabs>
          <w:tab w:val="left" w:pos="567"/>
        </w:tabs>
        <w:jc w:val="both"/>
        <w:rPr>
          <w:iCs/>
        </w:rPr>
      </w:pPr>
      <w:r w:rsidRPr="00F923CD">
        <w:rPr>
          <w:iCs/>
        </w:rPr>
        <w:tab/>
        <w:t>Netiesioginis palyginimas apėmė du III fazės atsitiktinių imčių tyrimus: CEPHEUS (</w:t>
      </w:r>
      <w:proofErr w:type="spellStart"/>
      <w:r w:rsidRPr="00F923CD">
        <w:rPr>
          <w:iCs/>
        </w:rPr>
        <w:t>DVRd</w:t>
      </w:r>
      <w:proofErr w:type="spellEnd"/>
      <w:r w:rsidRPr="00F923CD">
        <w:rPr>
          <w:iCs/>
        </w:rPr>
        <w:t xml:space="preserve"> </w:t>
      </w:r>
      <w:proofErr w:type="spellStart"/>
      <w:r w:rsidRPr="00F923CD">
        <w:rPr>
          <w:iCs/>
        </w:rPr>
        <w:t>vs</w:t>
      </w:r>
      <w:proofErr w:type="spellEnd"/>
      <w:r w:rsidRPr="00F923CD">
        <w:rPr>
          <w:iCs/>
        </w:rPr>
        <w:t xml:space="preserve"> </w:t>
      </w:r>
      <w:proofErr w:type="spellStart"/>
      <w:r w:rsidRPr="00F923CD">
        <w:rPr>
          <w:iCs/>
        </w:rPr>
        <w:t>VRd</w:t>
      </w:r>
      <w:proofErr w:type="spellEnd"/>
      <w:r w:rsidRPr="00F923CD">
        <w:rPr>
          <w:iCs/>
        </w:rPr>
        <w:t xml:space="preserve">) ir ALCYONE (DVMP </w:t>
      </w:r>
      <w:proofErr w:type="spellStart"/>
      <w:r w:rsidRPr="00F923CD">
        <w:rPr>
          <w:iCs/>
        </w:rPr>
        <w:t>vs</w:t>
      </w:r>
      <w:proofErr w:type="spellEnd"/>
      <w:r w:rsidRPr="00F923CD">
        <w:rPr>
          <w:iCs/>
        </w:rPr>
        <w:t xml:space="preserve"> VMP). Abu tyrimai buvo atviri, </w:t>
      </w:r>
      <w:proofErr w:type="spellStart"/>
      <w:r w:rsidRPr="00F923CD">
        <w:rPr>
          <w:iCs/>
        </w:rPr>
        <w:t>daugiacentriai</w:t>
      </w:r>
      <w:proofErr w:type="spellEnd"/>
      <w:r w:rsidRPr="00F923CD">
        <w:rPr>
          <w:iCs/>
        </w:rPr>
        <w:t>, „</w:t>
      </w:r>
      <w:proofErr w:type="spellStart"/>
      <w:r w:rsidRPr="00F923CD">
        <w:rPr>
          <w:iCs/>
        </w:rPr>
        <w:t>head</w:t>
      </w:r>
      <w:proofErr w:type="spellEnd"/>
      <w:r w:rsidRPr="00F923CD">
        <w:rPr>
          <w:iCs/>
        </w:rPr>
        <w:t>-to-</w:t>
      </w:r>
      <w:proofErr w:type="spellStart"/>
      <w:r w:rsidRPr="00F923CD">
        <w:rPr>
          <w:iCs/>
        </w:rPr>
        <w:t>head</w:t>
      </w:r>
      <w:proofErr w:type="spellEnd"/>
      <w:r w:rsidRPr="00F923CD">
        <w:rPr>
          <w:iCs/>
        </w:rPr>
        <w:t>“ dizaino, įtraukiant ≥18 m. pacientus, kuriems AUTOKLT nenumatyta / netinka, su išmatuojama liga ir ECOG 0–2. Pagrindiniai skirtumai: ALCYONE įtraukti transplantacijai netinkami pacientai (dažniausiai dėl amžiaus ≥65 m. ar gretutinių ligų), o CEPHEUS papildomai taikytas trapumo kriterijus (</w:t>
      </w:r>
      <w:proofErr w:type="spellStart"/>
      <w:r w:rsidRPr="00F923CD">
        <w:rPr>
          <w:iCs/>
        </w:rPr>
        <w:t>frailty</w:t>
      </w:r>
      <w:proofErr w:type="spellEnd"/>
      <w:r w:rsidRPr="00F923CD">
        <w:rPr>
          <w:iCs/>
        </w:rPr>
        <w:t xml:space="preserve"> </w:t>
      </w:r>
      <w:proofErr w:type="spellStart"/>
      <w:r w:rsidRPr="00F923CD">
        <w:rPr>
          <w:iCs/>
        </w:rPr>
        <w:t>score</w:t>
      </w:r>
      <w:proofErr w:type="spellEnd"/>
      <w:r w:rsidRPr="00F923CD">
        <w:rPr>
          <w:iCs/>
        </w:rPr>
        <w:t xml:space="preserve"> ≥2 pagal </w:t>
      </w:r>
      <w:proofErr w:type="spellStart"/>
      <w:r w:rsidRPr="00F923CD">
        <w:rPr>
          <w:iCs/>
        </w:rPr>
        <w:t>Myeloma</w:t>
      </w:r>
      <w:proofErr w:type="spellEnd"/>
      <w:r w:rsidRPr="00F923CD">
        <w:rPr>
          <w:iCs/>
        </w:rPr>
        <w:t xml:space="preserve"> </w:t>
      </w:r>
      <w:proofErr w:type="spellStart"/>
      <w:r w:rsidRPr="00F923CD">
        <w:rPr>
          <w:iCs/>
        </w:rPr>
        <w:t>Geriatric</w:t>
      </w:r>
      <w:proofErr w:type="spellEnd"/>
      <w:r w:rsidRPr="00F923CD">
        <w:rPr>
          <w:iCs/>
        </w:rPr>
        <w:t xml:space="preserve"> </w:t>
      </w:r>
      <w:proofErr w:type="spellStart"/>
      <w:r w:rsidRPr="00F923CD">
        <w:rPr>
          <w:iCs/>
        </w:rPr>
        <w:t>Assessment</w:t>
      </w:r>
      <w:proofErr w:type="spellEnd"/>
      <w:r w:rsidRPr="00F923CD">
        <w:rPr>
          <w:iCs/>
        </w:rPr>
        <w:t>), ribojantis labai senyvus pacientus. Stebėjimo trukmė: CEPHEUS mediana 58,7 mėn., ALCYONE – 40,1 mėn. (OS analizei – ilgesnė).</w:t>
      </w:r>
    </w:p>
    <w:p w14:paraId="641EECB5" w14:textId="77777777" w:rsidR="00C30665" w:rsidRPr="00F923CD" w:rsidRDefault="00C30665" w:rsidP="00C30665">
      <w:pPr>
        <w:tabs>
          <w:tab w:val="left" w:pos="567"/>
        </w:tabs>
        <w:jc w:val="both"/>
        <w:rPr>
          <w:iCs/>
        </w:rPr>
      </w:pPr>
      <w:r w:rsidRPr="00F923CD">
        <w:rPr>
          <w:iCs/>
        </w:rPr>
        <w:tab/>
        <w:t xml:space="preserve">Siekiant užtikrinti palyginamumą tarp tyrimų populiacijų, taikytas IPTW metodas, paremtas polinkio balais; dėl bendro kontrolinio palyginamojo gydymo nebuvimo analizė laikoma </w:t>
      </w:r>
      <w:proofErr w:type="spellStart"/>
      <w:r w:rsidRPr="00F923CD">
        <w:rPr>
          <w:iCs/>
        </w:rPr>
        <w:t>neinkaruota</w:t>
      </w:r>
      <w:proofErr w:type="spellEnd"/>
      <w:r w:rsidRPr="00F923CD">
        <w:rPr>
          <w:iCs/>
        </w:rPr>
        <w:t xml:space="preserve">. </w:t>
      </w:r>
      <w:r w:rsidRPr="00F923CD">
        <w:rPr>
          <w:iCs/>
        </w:rPr>
        <w:lastRenderedPageBreak/>
        <w:t xml:space="preserve">Jautrumo analizėse papildomai taikyti </w:t>
      </w:r>
      <w:proofErr w:type="spellStart"/>
      <w:r w:rsidRPr="00F923CD">
        <w:rPr>
          <w:iCs/>
        </w:rPr>
        <w:t>doubly</w:t>
      </w:r>
      <w:proofErr w:type="spellEnd"/>
      <w:r w:rsidRPr="00F923CD">
        <w:rPr>
          <w:iCs/>
        </w:rPr>
        <w:t xml:space="preserve"> </w:t>
      </w:r>
      <w:proofErr w:type="spellStart"/>
      <w:r w:rsidRPr="00F923CD">
        <w:rPr>
          <w:iCs/>
        </w:rPr>
        <w:t>robust</w:t>
      </w:r>
      <w:proofErr w:type="spellEnd"/>
      <w:r w:rsidRPr="00F923CD">
        <w:rPr>
          <w:iCs/>
        </w:rPr>
        <w:t xml:space="preserve"> ir daugiamatės regresijos metodai. Populiacijų suderinimui iš CEPHEUS pašalinti &lt;70 m. pacientai, atsisakę transplantacijos, kad atitiktų ALCYONE TIE populiaciją. Po svėrimo baziniai kintamieji buvo subalansuoti (SMD &lt;0,1).</w:t>
      </w:r>
    </w:p>
    <w:p w14:paraId="116BB55F" w14:textId="77777777" w:rsidR="00C30665" w:rsidRPr="00F923CD" w:rsidRDefault="00C30665" w:rsidP="00C30665">
      <w:pPr>
        <w:tabs>
          <w:tab w:val="left" w:pos="567"/>
        </w:tabs>
        <w:jc w:val="both"/>
        <w:rPr>
          <w:iCs/>
        </w:rPr>
      </w:pPr>
      <w:r w:rsidRPr="00F923CD">
        <w:rPr>
          <w:iCs/>
        </w:rPr>
        <w:tab/>
        <w:t>Bazinis korekcijos rinkinys apėmė pagrindinius prognostinius veiksnius ir gydymo efekto modifikatorius: ISS stadiją, citogenetinę riziką, amžių, ECOG, mielomos tipą (</w:t>
      </w:r>
      <w:proofErr w:type="spellStart"/>
      <w:r w:rsidRPr="00F923CD">
        <w:rPr>
          <w:iCs/>
        </w:rPr>
        <w:t>IgG</w:t>
      </w:r>
      <w:proofErr w:type="spellEnd"/>
      <w:r w:rsidRPr="00F923CD">
        <w:rPr>
          <w:iCs/>
        </w:rPr>
        <w:t xml:space="preserve"> </w:t>
      </w:r>
      <w:proofErr w:type="spellStart"/>
      <w:r w:rsidRPr="00F923CD">
        <w:rPr>
          <w:iCs/>
        </w:rPr>
        <w:t>vs</w:t>
      </w:r>
      <w:proofErr w:type="spellEnd"/>
      <w:r w:rsidRPr="00F923CD">
        <w:rPr>
          <w:iCs/>
        </w:rPr>
        <w:t xml:space="preserve"> kiti), EMD, trapumą, lytį, </w:t>
      </w:r>
      <w:proofErr w:type="spellStart"/>
      <w:r w:rsidRPr="00F923CD">
        <w:rPr>
          <w:iCs/>
        </w:rPr>
        <w:t>eGFR</w:t>
      </w:r>
      <w:proofErr w:type="spellEnd"/>
      <w:r w:rsidRPr="00F923CD">
        <w:rPr>
          <w:iCs/>
        </w:rPr>
        <w:t xml:space="preserve">, anemiją ir LDH. Jautrumo analizėse papildomai koreguota dėl </w:t>
      </w:r>
      <w:proofErr w:type="spellStart"/>
      <w:r w:rsidRPr="00F923CD">
        <w:rPr>
          <w:iCs/>
        </w:rPr>
        <w:t>hiperkalcemijos</w:t>
      </w:r>
      <w:proofErr w:type="spellEnd"/>
      <w:r w:rsidRPr="00F923CD">
        <w:rPr>
          <w:iCs/>
        </w:rPr>
        <w:t>, rasės ir laiko nuo diagnozės.</w:t>
      </w:r>
    </w:p>
    <w:p w14:paraId="6C19BA47" w14:textId="074C1B11" w:rsidR="00C30665" w:rsidRPr="00F923CD" w:rsidRDefault="00C30665" w:rsidP="00C30665">
      <w:pPr>
        <w:tabs>
          <w:tab w:val="left" w:pos="567"/>
        </w:tabs>
        <w:jc w:val="both"/>
        <w:rPr>
          <w:iCs/>
        </w:rPr>
      </w:pPr>
      <w:r>
        <w:rPr>
          <w:iCs/>
        </w:rPr>
        <w:tab/>
      </w:r>
      <w:r w:rsidRPr="00F923CD">
        <w:rPr>
          <w:iCs/>
        </w:rPr>
        <w:t>CEPHEUS ir ALCYONE populiacijos iš esmės panašios, tačiau nustatyti skirtumai (ISS stadijos pasiskirstymas, ECOG, LDH ir kai kurie gretutiniai rizikos veiksniai), todėl reikalinga statistinė korekcija, kuri buvo atlikta IPTW metodu.</w:t>
      </w:r>
    </w:p>
    <w:p w14:paraId="320C1B8C" w14:textId="77777777" w:rsidR="00C30665" w:rsidRPr="00F923CD" w:rsidRDefault="00C30665" w:rsidP="00C30665">
      <w:pPr>
        <w:tabs>
          <w:tab w:val="left" w:pos="567"/>
        </w:tabs>
        <w:jc w:val="both"/>
        <w:rPr>
          <w:iCs/>
        </w:rPr>
      </w:pPr>
      <w:r>
        <w:rPr>
          <w:iCs/>
        </w:rPr>
        <w:tab/>
        <w:t>Rezultatai:</w:t>
      </w:r>
    </w:p>
    <w:p w14:paraId="1589971D" w14:textId="1DDBF689" w:rsidR="00C30665" w:rsidRPr="002F62E0" w:rsidRDefault="00C30665" w:rsidP="00C30665">
      <w:pPr>
        <w:pStyle w:val="Sraopastraipa"/>
        <w:numPr>
          <w:ilvl w:val="0"/>
          <w:numId w:val="15"/>
        </w:numPr>
        <w:tabs>
          <w:tab w:val="left" w:pos="567"/>
        </w:tabs>
        <w:jc w:val="both"/>
        <w:rPr>
          <w:iCs/>
        </w:rPr>
      </w:pPr>
      <w:r w:rsidRPr="002F62E0">
        <w:rPr>
          <w:b/>
          <w:bCs/>
          <w:iCs/>
        </w:rPr>
        <w:t>PFS.</w:t>
      </w:r>
      <w:r w:rsidRPr="002F62E0">
        <w:rPr>
          <w:iCs/>
        </w:rPr>
        <w:t xml:space="preserve"> Visuose scenarijuose DVRd buvo statistiškai reikšmingai pranašesnis už DVMP. Baziniame modelyje: </w:t>
      </w:r>
      <w:r w:rsidRPr="002F62E0">
        <w:rPr>
          <w:b/>
          <w:bCs/>
          <w:iCs/>
        </w:rPr>
        <w:t>HR 0,48 (95 % PI: 0,31–0,72)</w:t>
      </w:r>
      <w:r w:rsidRPr="002F62E0">
        <w:rPr>
          <w:iCs/>
        </w:rPr>
        <w:t>; jautrumo analizėje rezultatas išliko panašus</w:t>
      </w:r>
      <w:r w:rsidR="002F62E0" w:rsidRPr="002F62E0">
        <w:rPr>
          <w:iCs/>
        </w:rPr>
        <w:t>.</w:t>
      </w:r>
    </w:p>
    <w:p w14:paraId="5A76F16D" w14:textId="06B9B831" w:rsidR="00C30665" w:rsidRPr="002F62E0" w:rsidRDefault="00C30665" w:rsidP="00C30665">
      <w:pPr>
        <w:pStyle w:val="Sraopastraipa"/>
        <w:numPr>
          <w:ilvl w:val="0"/>
          <w:numId w:val="15"/>
        </w:numPr>
        <w:tabs>
          <w:tab w:val="left" w:pos="567"/>
        </w:tabs>
        <w:jc w:val="both"/>
        <w:rPr>
          <w:iCs/>
        </w:rPr>
      </w:pPr>
      <w:r w:rsidRPr="002F62E0">
        <w:rPr>
          <w:b/>
          <w:bCs/>
          <w:iCs/>
        </w:rPr>
        <w:t>OS.</w:t>
      </w:r>
      <w:r w:rsidRPr="002F62E0">
        <w:rPr>
          <w:iCs/>
        </w:rPr>
        <w:t xml:space="preserve"> Nekoreguotoje analizėje nustatytas reikšmingas DVRd pranašumas: </w:t>
      </w:r>
      <w:r w:rsidRPr="002F62E0">
        <w:rPr>
          <w:b/>
          <w:bCs/>
          <w:iCs/>
        </w:rPr>
        <w:t>HR 0,62 (95 % PI: 0,42–0,91)</w:t>
      </w:r>
      <w:r w:rsidRPr="002F62E0">
        <w:rPr>
          <w:iCs/>
        </w:rPr>
        <w:t xml:space="preserve">. Bazinėje ir jautrumo analizėse išliko </w:t>
      </w:r>
      <w:r w:rsidRPr="002F62E0">
        <w:rPr>
          <w:b/>
          <w:bCs/>
          <w:iCs/>
        </w:rPr>
        <w:t>skaitinis pranašumas</w:t>
      </w:r>
      <w:r w:rsidRPr="002F62E0">
        <w:rPr>
          <w:iCs/>
        </w:rPr>
        <w:t>, bet be statistinio reikšmingumo; taip pat fiksuotas proporcingų rizikų prielaidos pažeidimas</w:t>
      </w:r>
      <w:r w:rsidR="002F62E0" w:rsidRPr="002F62E0">
        <w:rPr>
          <w:iCs/>
        </w:rPr>
        <w:t>.</w:t>
      </w:r>
    </w:p>
    <w:p w14:paraId="2018BDCA" w14:textId="559315D7" w:rsidR="00C30665" w:rsidRPr="002F62E0" w:rsidRDefault="00C30665" w:rsidP="00C30665">
      <w:pPr>
        <w:pStyle w:val="Sraopastraipa"/>
        <w:numPr>
          <w:ilvl w:val="0"/>
          <w:numId w:val="15"/>
        </w:numPr>
        <w:tabs>
          <w:tab w:val="left" w:pos="567"/>
        </w:tabs>
        <w:jc w:val="both"/>
        <w:rPr>
          <w:iCs/>
        </w:rPr>
      </w:pPr>
      <w:r w:rsidRPr="002F62E0">
        <w:rPr>
          <w:b/>
          <w:bCs/>
          <w:iCs/>
        </w:rPr>
        <w:t>ORR.</w:t>
      </w:r>
      <w:r w:rsidRPr="002F62E0">
        <w:rPr>
          <w:iCs/>
        </w:rPr>
        <w:t xml:space="preserve"> Visuose scenarijuose DVRd parodė statistiškai reikšmingai geresnį atsaką (OR reikšmingai &gt;1</w:t>
      </w:r>
      <w:r w:rsidR="002F62E0" w:rsidRPr="002F62E0">
        <w:rPr>
          <w:iCs/>
        </w:rPr>
        <w:t>.</w:t>
      </w:r>
    </w:p>
    <w:p w14:paraId="54E2A2D8" w14:textId="77777777" w:rsidR="00C30665" w:rsidRPr="00EE7CF3" w:rsidRDefault="00C30665" w:rsidP="00C30665">
      <w:pPr>
        <w:pStyle w:val="Betarp"/>
        <w:jc w:val="both"/>
        <w:rPr>
          <w:rFonts w:ascii="Times New Roman" w:hAnsi="Times New Roman"/>
          <w:b/>
          <w:sz w:val="24"/>
          <w:szCs w:val="24"/>
        </w:rPr>
      </w:pPr>
      <w:r w:rsidRPr="002F62E0">
        <w:rPr>
          <w:rFonts w:ascii="Times New Roman" w:hAnsi="Times New Roman"/>
          <w:iCs/>
          <w:sz w:val="24"/>
          <w:szCs w:val="24"/>
        </w:rPr>
        <w:tab/>
        <w:t xml:space="preserve">Atsižvelgiant į veiksmingumo ir saugumo rezultatus, DVRd palyginamasis veiksmingumas yra didesnis, lyginant su įprasta klinikine praktika </w:t>
      </w:r>
      <w:r w:rsidRPr="002F62E0">
        <w:rPr>
          <w:rFonts w:ascii="Times New Roman" w:hAnsi="Times New Roman"/>
          <w:sz w:val="24"/>
          <w:szCs w:val="24"/>
        </w:rPr>
        <w:t>suaugusiems pacientams, kuriems naujai buvo diagnozuota dauginė mieloma, ir kuriems netinka autologinė kamieninių ląstelių</w:t>
      </w:r>
      <w:r w:rsidRPr="00EE7CF3">
        <w:rPr>
          <w:rFonts w:ascii="Times New Roman" w:hAnsi="Times New Roman"/>
          <w:sz w:val="24"/>
          <w:szCs w:val="24"/>
        </w:rPr>
        <w:t xml:space="preserve"> transplantacija.</w:t>
      </w:r>
      <w:r w:rsidRPr="00EE7CF3">
        <w:rPr>
          <w:rFonts w:ascii="Times New Roman" w:hAnsi="Times New Roman"/>
          <w:b/>
          <w:sz w:val="24"/>
          <w:szCs w:val="24"/>
        </w:rPr>
        <w:t xml:space="preserve"> </w:t>
      </w:r>
    </w:p>
    <w:p w14:paraId="39C1ADA8" w14:textId="77777777" w:rsidR="00AC5129" w:rsidRPr="00334F18" w:rsidRDefault="00AC5129" w:rsidP="00A93AA6">
      <w:pPr>
        <w:pStyle w:val="Sraopastraipa"/>
        <w:tabs>
          <w:tab w:val="left" w:pos="426"/>
        </w:tabs>
        <w:ind w:left="0"/>
        <w:rPr>
          <w:b/>
          <w:bCs/>
          <w:caps/>
        </w:rPr>
      </w:pPr>
    </w:p>
    <w:p w14:paraId="7DE09EB5" w14:textId="69E9DD74" w:rsidR="00E03C3F" w:rsidRPr="00254C32" w:rsidRDefault="00CC7832" w:rsidP="00CC09D4">
      <w:pPr>
        <w:pStyle w:val="Sraopastraipa"/>
        <w:numPr>
          <w:ilvl w:val="0"/>
          <w:numId w:val="12"/>
        </w:numPr>
        <w:tabs>
          <w:tab w:val="left" w:pos="567"/>
        </w:tabs>
        <w:ind w:hanging="720"/>
        <w:rPr>
          <w:b/>
          <w:bCs/>
          <w:caps/>
        </w:rPr>
      </w:pPr>
      <w:r w:rsidRPr="00254C32">
        <w:rPr>
          <w:b/>
          <w:bCs/>
          <w:caps/>
        </w:rPr>
        <w:t xml:space="preserve">ekonominio vertinimo </w:t>
      </w:r>
      <w:r w:rsidR="002F0E4F" w:rsidRPr="00254C32">
        <w:rPr>
          <w:b/>
          <w:bCs/>
          <w:caps/>
        </w:rPr>
        <w:t>apibendrinimas</w:t>
      </w:r>
    </w:p>
    <w:p w14:paraId="1A900598" w14:textId="4826E5DF" w:rsidR="00C62B36" w:rsidRDefault="00C62B36" w:rsidP="00A93AA6">
      <w:pPr>
        <w:tabs>
          <w:tab w:val="left" w:pos="426"/>
        </w:tabs>
        <w:rPr>
          <w:i/>
          <w:highlight w:val="yellow"/>
        </w:rPr>
      </w:pPr>
    </w:p>
    <w:p w14:paraId="5594C786" w14:textId="6E4DF1BC" w:rsidR="00254C32" w:rsidRPr="00EF4B7A" w:rsidRDefault="00254C32" w:rsidP="00254C32">
      <w:pPr>
        <w:spacing w:line="276" w:lineRule="auto"/>
        <w:jc w:val="both"/>
      </w:pPr>
      <w:r w:rsidRPr="00EF4B7A">
        <w:rPr>
          <w:rFonts w:eastAsia="Arial"/>
        </w:rPr>
        <w:t xml:space="preserve">Vykdant </w:t>
      </w:r>
      <w:r w:rsidRPr="00EF4B7A">
        <w:t>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(toliau – Aprašas) 17</w:t>
      </w:r>
      <w:r w:rsidRPr="00EF4B7A">
        <w:rPr>
          <w:vertAlign w:val="superscript"/>
        </w:rPr>
        <w:t>3</w:t>
      </w:r>
      <w:r w:rsidRPr="00EF4B7A">
        <w:t xml:space="preserve">.2 punktą, </w:t>
      </w:r>
      <w:r w:rsidRPr="00EF4B7A">
        <w:rPr>
          <w:b/>
          <w:bCs/>
        </w:rPr>
        <w:t>ekonominis vertinimas neatliekamas</w:t>
      </w:r>
      <w:r w:rsidRPr="00EF4B7A">
        <w:t xml:space="preserve"> </w:t>
      </w:r>
      <w:r w:rsidRPr="00EF4B7A">
        <w:rPr>
          <w:rFonts w:eastAsia="Arial"/>
        </w:rPr>
        <w:t xml:space="preserve">klinikinio vertinimo metu nustačius </w:t>
      </w:r>
      <w:r w:rsidRPr="00EF4B7A">
        <w:rPr>
          <w:bCs/>
          <w:i/>
          <w:iCs/>
          <w:lang w:eastAsia="lt-LT"/>
        </w:rPr>
        <w:t>didesnį</w:t>
      </w:r>
      <w:r w:rsidRPr="00EF4B7A">
        <w:rPr>
          <w:rFonts w:eastAsia="Arial"/>
        </w:rPr>
        <w:t xml:space="preserve"> palyginamąjį veiksmingumą lyginant su įprasta klinikine praktika (atitinka </w:t>
      </w:r>
      <w:r w:rsidRPr="00EF4B7A">
        <w:t xml:space="preserve">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29.1.1 papunktį) ir kuriuos įrašius į A ar centralizuotai apmokamų vaistinių preparatų ir medicinos pagalbos priemonių sąrašus, prognozuojamas kompensavimo iš PSDF biudžeto išlaidų didėjimas antraisiais vaistinio preparato kompensavimo metais būtų </w:t>
      </w:r>
      <w:r w:rsidRPr="00EF4B7A">
        <w:rPr>
          <w:b/>
          <w:bCs/>
        </w:rPr>
        <w:t xml:space="preserve">lygus </w:t>
      </w:r>
      <w:r w:rsidR="002F62E0">
        <w:rPr>
          <w:b/>
          <w:bCs/>
        </w:rPr>
        <w:t>0,003</w:t>
      </w:r>
      <w:r w:rsidRPr="00EF4B7A">
        <w:rPr>
          <w:b/>
          <w:bCs/>
        </w:rPr>
        <w:t xml:space="preserve"> proc.</w:t>
      </w:r>
      <w:r w:rsidRPr="00EF4B7A">
        <w:t xml:space="preserve"> visų praėjusių metų PSDF išlaidų vaistiniams preparatams kompensuoti arba mažesnis.</w:t>
      </w:r>
    </w:p>
    <w:p w14:paraId="06ADD36E" w14:textId="77777777" w:rsidR="00254C32" w:rsidRPr="00C30665" w:rsidRDefault="00254C32" w:rsidP="00A93AA6">
      <w:pPr>
        <w:tabs>
          <w:tab w:val="left" w:pos="426"/>
        </w:tabs>
        <w:rPr>
          <w:b/>
          <w:bCs/>
          <w:caps/>
          <w:highlight w:val="yellow"/>
        </w:rPr>
      </w:pPr>
    </w:p>
    <w:p w14:paraId="33875138" w14:textId="77777777" w:rsidR="0035172D" w:rsidRPr="00334F18" w:rsidRDefault="0035172D"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3261925B"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09414FFF" w:rsidR="00C62B36" w:rsidRPr="00334F18" w:rsidRDefault="00D67BAF" w:rsidP="00CC09D4">
      <w:pPr>
        <w:pStyle w:val="Sraopastraipa"/>
        <w:numPr>
          <w:ilvl w:val="0"/>
          <w:numId w:val="12"/>
        </w:numPr>
        <w:tabs>
          <w:tab w:val="left" w:pos="567"/>
        </w:tabs>
        <w:ind w:hanging="720"/>
        <w:rPr>
          <w:b/>
          <w:bCs/>
          <w:caps/>
        </w:rPr>
      </w:pPr>
      <w:r w:rsidRPr="00334F18">
        <w:rPr>
          <w:b/>
          <w:bCs/>
          <w:caps/>
        </w:rPr>
        <w:t xml:space="preserve">SVEIKATOS PRIEŽIŪROS SPECIALISTŲ </w:t>
      </w:r>
      <w:r w:rsidR="00C62B36" w:rsidRPr="00334F18">
        <w:rPr>
          <w:b/>
          <w:bCs/>
          <w:caps/>
        </w:rPr>
        <w:t xml:space="preserve"> organizacijų pateikti duomenys</w:t>
      </w:r>
    </w:p>
    <w:p w14:paraId="044D5084" w14:textId="77777777" w:rsidR="00C9728E" w:rsidRPr="00334F18" w:rsidRDefault="00C9728E" w:rsidP="00C9728E">
      <w:pPr>
        <w:pStyle w:val="Sraopastraipa"/>
        <w:tabs>
          <w:tab w:val="left" w:pos="567"/>
        </w:tabs>
        <w:rPr>
          <w:b/>
          <w:bCs/>
          <w:caps/>
        </w:rPr>
      </w:pPr>
    </w:p>
    <w:p w14:paraId="5D8CC48C" w14:textId="1CA109FC" w:rsidR="00662983"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w:t>
      </w:r>
      <w:r w:rsidR="00880A44" w:rsidRPr="00334F18">
        <w:t>ne</w:t>
      </w:r>
      <w:r w:rsidR="00937907" w:rsidRPr="00334F18">
        <w:t>pateikta.</w:t>
      </w:r>
    </w:p>
    <w:p w14:paraId="3701D46A" w14:textId="77777777" w:rsidR="00A042B9" w:rsidRPr="00334F18" w:rsidRDefault="00A042B9" w:rsidP="00662983">
      <w:pPr>
        <w:spacing w:after="120"/>
        <w:jc w:val="both"/>
      </w:pP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lastRenderedPageBreak/>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1" w:name="_Hlk185430554"/>
            <w:r w:rsidRPr="00334F18">
              <w:rPr>
                <w:rStyle w:val="Style2"/>
                <w:rFonts w:eastAsia="MS Gothic"/>
                <w:b/>
                <w:bCs/>
                <w:sz w:val="23"/>
                <w:szCs w:val="23"/>
              </w:rPr>
              <w:t>Palyginamasis veiksmingumas</w:t>
            </w:r>
          </w:p>
        </w:tc>
      </w:tr>
      <w:tr w:rsidR="00334F18" w:rsidRPr="00254C32" w14:paraId="30B67515" w14:textId="77777777" w:rsidTr="007111C4">
        <w:tc>
          <w:tcPr>
            <w:tcW w:w="4820" w:type="dxa"/>
          </w:tcPr>
          <w:p w14:paraId="4FE3C208" w14:textId="106C94FB" w:rsidR="00B811A4" w:rsidRPr="00254C32" w:rsidRDefault="00E7688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C30665" w:rsidRPr="00254C32">
                  <w:rPr>
                    <w:rStyle w:val="Style2"/>
                    <w:rFonts w:ascii="MS Gothic" w:eastAsia="MS Gothic" w:hAnsi="MS Gothic" w:hint="eastAsia"/>
                    <w:sz w:val="23"/>
                    <w:szCs w:val="23"/>
                  </w:rPr>
                  <w:t>☒</w:t>
                </w:r>
              </w:sdtContent>
            </w:sdt>
            <w:r w:rsidR="00B811A4" w:rsidRPr="00254C32">
              <w:rPr>
                <w:rStyle w:val="Style2"/>
                <w:sz w:val="23"/>
                <w:szCs w:val="23"/>
              </w:rPr>
              <w:t xml:space="preserve"> 29</w:t>
            </w:r>
            <w:r w:rsidR="00B811A4" w:rsidRPr="00254C32">
              <w:rPr>
                <w:sz w:val="23"/>
                <w:szCs w:val="23"/>
              </w:rPr>
              <w:t>.1.1 yra didesnis, lyginant su įprasta klinikine praktika</w:t>
            </w:r>
          </w:p>
          <w:p w14:paraId="6F9786E4" w14:textId="77777777" w:rsidR="00B811A4" w:rsidRPr="00254C32"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254C32" w:rsidRDefault="00E7688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254C32">
                  <w:rPr>
                    <w:rStyle w:val="Style2"/>
                    <w:rFonts w:ascii="Segoe UI Symbol" w:eastAsia="MS Gothic" w:hAnsi="Segoe UI Symbol" w:cs="Segoe UI Symbol"/>
                    <w:sz w:val="23"/>
                    <w:szCs w:val="23"/>
                  </w:rPr>
                  <w:t>☐</w:t>
                </w:r>
              </w:sdtContent>
            </w:sdt>
            <w:r w:rsidR="00B811A4" w:rsidRPr="00254C32">
              <w:rPr>
                <w:sz w:val="23"/>
                <w:szCs w:val="23"/>
              </w:rPr>
              <w:t xml:space="preserve"> </w:t>
            </w:r>
            <w:r w:rsidR="00B811A4" w:rsidRPr="00254C32">
              <w:rPr>
                <w:rStyle w:val="Style2"/>
                <w:sz w:val="23"/>
                <w:szCs w:val="23"/>
              </w:rPr>
              <w:t>29</w:t>
            </w:r>
            <w:r w:rsidR="00B811A4" w:rsidRPr="00254C32">
              <w:rPr>
                <w:sz w:val="23"/>
                <w:szCs w:val="23"/>
              </w:rPr>
              <w:t>.1.2 iš esmės nesiskiria, lyginant su įprasta klinikine praktika</w:t>
            </w:r>
          </w:p>
        </w:tc>
        <w:tc>
          <w:tcPr>
            <w:tcW w:w="4814" w:type="dxa"/>
          </w:tcPr>
          <w:p w14:paraId="72562F9E" w14:textId="77777777" w:rsidR="00B811A4" w:rsidRPr="00254C32" w:rsidRDefault="00E7688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254C32">
                  <w:rPr>
                    <w:rStyle w:val="Style2"/>
                    <w:rFonts w:ascii="Segoe UI Symbol" w:eastAsia="MS Gothic" w:hAnsi="Segoe UI Symbol" w:cs="Segoe UI Symbol"/>
                    <w:sz w:val="23"/>
                    <w:szCs w:val="23"/>
                  </w:rPr>
                  <w:t>☐</w:t>
                </w:r>
              </w:sdtContent>
            </w:sdt>
            <w:r w:rsidR="00B811A4" w:rsidRPr="00254C32">
              <w:rPr>
                <w:sz w:val="23"/>
                <w:szCs w:val="23"/>
              </w:rPr>
              <w:t xml:space="preserve"> </w:t>
            </w:r>
            <w:r w:rsidR="00B811A4" w:rsidRPr="00254C32">
              <w:rPr>
                <w:rStyle w:val="Style2"/>
                <w:sz w:val="23"/>
                <w:szCs w:val="23"/>
              </w:rPr>
              <w:t>29</w:t>
            </w:r>
            <w:r w:rsidR="00B811A4" w:rsidRPr="00254C32">
              <w:rPr>
                <w:sz w:val="23"/>
                <w:szCs w:val="23"/>
              </w:rPr>
              <w:t xml:space="preserve">.1.3 yra neįrodytas kaip didesnis  ar iš esmės nesiskiriantis, lyginant su įprasta klinikine praktika  </w:t>
            </w:r>
          </w:p>
          <w:p w14:paraId="6F6DB5BC" w14:textId="77777777" w:rsidR="00B811A4" w:rsidRPr="00254C32"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254C32" w:rsidRDefault="00E7688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254C32">
                  <w:rPr>
                    <w:rStyle w:val="Style2"/>
                    <w:rFonts w:ascii="Segoe UI Symbol" w:eastAsia="MS Gothic" w:hAnsi="Segoe UI Symbol" w:cs="Segoe UI Symbol"/>
                    <w:sz w:val="23"/>
                    <w:szCs w:val="23"/>
                  </w:rPr>
                  <w:t>☐</w:t>
                </w:r>
              </w:sdtContent>
            </w:sdt>
            <w:r w:rsidR="00B811A4" w:rsidRPr="00254C32">
              <w:rPr>
                <w:sz w:val="23"/>
                <w:szCs w:val="23"/>
              </w:rPr>
              <w:t xml:space="preserve"> </w:t>
            </w:r>
            <w:r w:rsidR="00B811A4" w:rsidRPr="00254C32">
              <w:rPr>
                <w:rStyle w:val="Style2"/>
                <w:sz w:val="23"/>
                <w:szCs w:val="23"/>
              </w:rPr>
              <w:t>29</w:t>
            </w:r>
            <w:r w:rsidR="00B811A4" w:rsidRPr="00254C32">
              <w:rPr>
                <w:sz w:val="23"/>
                <w:szCs w:val="23"/>
              </w:rPr>
              <w:t>.1.4 yra mažesnis, lyginant su įprasta klinikine praktika</w:t>
            </w:r>
          </w:p>
          <w:p w14:paraId="193C3D76" w14:textId="77777777" w:rsidR="00B811A4" w:rsidRPr="00254C32"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254C32" w:rsidRDefault="00E7688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254C32">
                  <w:rPr>
                    <w:rStyle w:val="Style2"/>
                    <w:rFonts w:ascii="Segoe UI Symbol" w:eastAsia="MS Gothic" w:hAnsi="Segoe UI Symbol" w:cs="Segoe UI Symbol"/>
                    <w:sz w:val="23"/>
                    <w:szCs w:val="23"/>
                  </w:rPr>
                  <w:t>☐</w:t>
                </w:r>
              </w:sdtContent>
            </w:sdt>
            <w:r w:rsidR="00B811A4" w:rsidRPr="00254C32">
              <w:rPr>
                <w:sz w:val="23"/>
                <w:szCs w:val="23"/>
              </w:rPr>
              <w:t xml:space="preserve"> </w:t>
            </w:r>
            <w:r w:rsidR="00B811A4" w:rsidRPr="00254C32">
              <w:rPr>
                <w:rStyle w:val="Style2"/>
                <w:sz w:val="23"/>
                <w:szCs w:val="23"/>
              </w:rPr>
              <w:t>29</w:t>
            </w:r>
            <w:r w:rsidR="00B811A4" w:rsidRPr="00254C32">
              <w:rPr>
                <w:sz w:val="23"/>
                <w:szCs w:val="23"/>
              </w:rPr>
              <w:t>.1.5 pateikti duomenys apie palyginamąjį veiksmingumą yra netinkami vertinti</w:t>
            </w:r>
          </w:p>
          <w:p w14:paraId="45719037" w14:textId="77777777" w:rsidR="00B811A4" w:rsidRPr="00254C32"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1"/>
      <w:tr w:rsidR="00334F18" w:rsidRPr="00254C32" w14:paraId="632C9193" w14:textId="77777777" w:rsidTr="00027464">
        <w:tc>
          <w:tcPr>
            <w:tcW w:w="9634" w:type="dxa"/>
            <w:gridSpan w:val="2"/>
          </w:tcPr>
          <w:p w14:paraId="15C289C9" w14:textId="23D7FAA6" w:rsidR="007111C4" w:rsidRPr="00254C32" w:rsidRDefault="00E76886"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EndPr>
                <w:rPr>
                  <w:rStyle w:val="Style2"/>
                </w:rPr>
              </w:sdtEndPr>
              <w:sdtContent>
                <w:r w:rsidR="00C30665" w:rsidRPr="00254C32">
                  <w:rPr>
                    <w:rStyle w:val="Style2"/>
                    <w:rFonts w:ascii="MS Gothic" w:eastAsia="MS Gothic" w:hAnsi="MS Gothic" w:hint="eastAsia"/>
                    <w:sz w:val="23"/>
                    <w:szCs w:val="23"/>
                  </w:rPr>
                  <w:t>☒</w:t>
                </w:r>
              </w:sdtContent>
            </w:sdt>
            <w:r w:rsidR="007111C4" w:rsidRPr="00254C32">
              <w:rPr>
                <w:sz w:val="23"/>
                <w:szCs w:val="23"/>
              </w:rPr>
              <w:t xml:space="preserve"> Vykdant Aprašo 17</w:t>
            </w:r>
            <w:r w:rsidR="007111C4" w:rsidRPr="00254C32">
              <w:rPr>
                <w:sz w:val="23"/>
                <w:szCs w:val="23"/>
                <w:vertAlign w:val="superscript"/>
              </w:rPr>
              <w:t>3</w:t>
            </w:r>
            <w:r w:rsidR="007111C4" w:rsidRPr="00254C32">
              <w:rPr>
                <w:sz w:val="23"/>
                <w:szCs w:val="23"/>
              </w:rPr>
              <w:t>.2 punktą vaistinio (-ų) preparato (-ų) ekonominis vertinimas neatliekamas, išvados dėl kaštų naudingumo neteikiamos</w:t>
            </w:r>
          </w:p>
        </w:tc>
      </w:tr>
    </w:tbl>
    <w:p w14:paraId="08D5B3B6" w14:textId="292D1124" w:rsidR="0061611B" w:rsidRPr="00254C32" w:rsidRDefault="0061611B" w:rsidP="0061611B">
      <w:pPr>
        <w:rPr>
          <w:i/>
          <w:szCs w:val="22"/>
        </w:rPr>
      </w:pPr>
    </w:p>
    <w:p w14:paraId="1B85C083" w14:textId="77777777" w:rsidR="009E44AE" w:rsidRPr="00254C32" w:rsidRDefault="009E44AE" w:rsidP="00381024"/>
    <w:p w14:paraId="3B2D1F25" w14:textId="3A80E19F" w:rsidR="000001B0" w:rsidRPr="00254C32" w:rsidRDefault="000001B0" w:rsidP="00CC09D4">
      <w:pPr>
        <w:pStyle w:val="Sraopastraipa"/>
        <w:numPr>
          <w:ilvl w:val="0"/>
          <w:numId w:val="12"/>
        </w:numPr>
        <w:ind w:left="567" w:hanging="567"/>
      </w:pPr>
      <w:r w:rsidRPr="00254C32">
        <w:rPr>
          <w:b/>
        </w:rPr>
        <w:t>REKOME</w:t>
      </w:r>
      <w:r w:rsidR="00D83182" w:rsidRPr="00254C32">
        <w:rPr>
          <w:b/>
        </w:rPr>
        <w:t>N</w:t>
      </w:r>
      <w:r w:rsidRPr="00254C32">
        <w:rPr>
          <w:b/>
        </w:rPr>
        <w:t>DACIJA</w:t>
      </w:r>
    </w:p>
    <w:p w14:paraId="35E33D78" w14:textId="59232BB3" w:rsidR="00B811A4" w:rsidRPr="00254C32" w:rsidRDefault="00B811A4" w:rsidP="00B811A4">
      <w:pPr>
        <w:pStyle w:val="Sraopastraipa"/>
        <w:ind w:left="567"/>
        <w:rPr>
          <w:b/>
        </w:rPr>
      </w:pPr>
    </w:p>
    <w:p w14:paraId="177063B5" w14:textId="3B95E72D" w:rsidR="00AC5129" w:rsidRPr="00334F18" w:rsidRDefault="00B811A4" w:rsidP="00254C32">
      <w:pPr>
        <w:jc w:val="both"/>
        <w:rPr>
          <w:lang w:eastAsia="lt-LT"/>
        </w:rPr>
      </w:pPr>
      <w:r w:rsidRPr="00254C32">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w:t>
      </w:r>
      <w:r w:rsidR="00254C32" w:rsidRPr="00254C32">
        <w:rPr>
          <w:lang w:eastAsia="lt-LT"/>
        </w:rPr>
        <w:t>30</w:t>
      </w:r>
      <w:r w:rsidR="00254C32" w:rsidRPr="00254C32">
        <w:rPr>
          <w:vertAlign w:val="superscript"/>
          <w:lang w:eastAsia="lt-LT"/>
        </w:rPr>
        <w:t>1</w:t>
      </w:r>
      <w:r w:rsidR="00254C32" w:rsidRPr="00254C32">
        <w:rPr>
          <w:lang w:eastAsia="lt-LT"/>
        </w:rPr>
        <w:t>.5. papunkčiu rekomenduojama kompensuoti vaistinį preparatą pagal paraiškoje nurodytą indikaciją (arba jos dalį) su arba be skyrimo sąlygų</w:t>
      </w:r>
      <w:r w:rsidR="00254C32">
        <w:rPr>
          <w:lang w:eastAsia="lt-LT"/>
        </w:rPr>
        <w:t>.</w:t>
      </w:r>
    </w:p>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4.3 Siūloma (-</w:t>
      </w:r>
      <w:proofErr w:type="spellStart"/>
      <w:r w:rsidRPr="00334F18">
        <w:rPr>
          <w:b/>
          <w:lang w:eastAsia="lt-LT"/>
        </w:rPr>
        <w:t>os</w:t>
      </w:r>
      <w:proofErr w:type="spellEnd"/>
      <w:r w:rsidRPr="00334F18">
        <w:rPr>
          <w:b/>
          <w:lang w:eastAsia="lt-LT"/>
        </w:rPr>
        <w:t xml:space="preserve">) kompensuoti terapinės indikacijos ir skyrimo sąlygos </w:t>
      </w:r>
    </w:p>
    <w:p w14:paraId="179FBABC" w14:textId="77777777" w:rsidR="00B811A4" w:rsidRPr="00334F18" w:rsidRDefault="00B811A4" w:rsidP="00B811A4">
      <w:pPr>
        <w:tabs>
          <w:tab w:val="left" w:pos="426"/>
        </w:tabs>
        <w:jc w:val="both"/>
        <w:rPr>
          <w:b/>
          <w:lang w:eastAsia="lt-LT"/>
        </w:rPr>
      </w:pPr>
    </w:p>
    <w:p w14:paraId="4BB7F398" w14:textId="77777777" w:rsidR="009D0F0E" w:rsidRPr="00603B3A" w:rsidRDefault="009D0F0E" w:rsidP="009D0F0E">
      <w:pPr>
        <w:pStyle w:val="Betarp"/>
        <w:jc w:val="both"/>
        <w:rPr>
          <w:rFonts w:ascii="Times New Roman" w:hAnsi="Times New Roman"/>
          <w:b/>
          <w:sz w:val="24"/>
          <w:szCs w:val="24"/>
          <w:lang w:eastAsia="lt-LT"/>
        </w:rPr>
      </w:pPr>
      <w:r w:rsidRPr="00603B3A">
        <w:rPr>
          <w:rFonts w:ascii="Times New Roman" w:hAnsi="Times New Roman"/>
          <w:b/>
          <w:sz w:val="24"/>
          <w:szCs w:val="24"/>
          <w:lang w:eastAsia="lt-LT"/>
        </w:rPr>
        <w:t>Terapinės indikacijos</w:t>
      </w:r>
    </w:p>
    <w:p w14:paraId="6B08FBD6" w14:textId="77777777" w:rsidR="009D0F0E" w:rsidRPr="00F82180" w:rsidRDefault="009D0F0E" w:rsidP="009D0F0E">
      <w:pPr>
        <w:pStyle w:val="Betarp"/>
        <w:jc w:val="both"/>
        <w:rPr>
          <w:rFonts w:ascii="Times New Roman" w:hAnsi="Times New Roman"/>
          <w:sz w:val="24"/>
          <w:szCs w:val="24"/>
        </w:rPr>
      </w:pPr>
      <w:proofErr w:type="spellStart"/>
      <w:r w:rsidRPr="00F82180">
        <w:rPr>
          <w:rFonts w:ascii="Times New Roman" w:hAnsi="Times New Roman"/>
          <w:sz w:val="24"/>
          <w:szCs w:val="24"/>
        </w:rPr>
        <w:t>Daratumumabas</w:t>
      </w:r>
      <w:proofErr w:type="spellEnd"/>
      <w:r w:rsidRPr="00F82180">
        <w:rPr>
          <w:rFonts w:ascii="Times New Roman" w:hAnsi="Times New Roman"/>
          <w:sz w:val="24"/>
          <w:szCs w:val="24"/>
        </w:rPr>
        <w:t xml:space="preserve"> derinant su </w:t>
      </w:r>
      <w:proofErr w:type="spellStart"/>
      <w:r w:rsidRPr="00F82180">
        <w:rPr>
          <w:rFonts w:ascii="Times New Roman" w:hAnsi="Times New Roman"/>
          <w:sz w:val="24"/>
          <w:szCs w:val="24"/>
        </w:rPr>
        <w:t>bortezomibu</w:t>
      </w:r>
      <w:proofErr w:type="spellEnd"/>
      <w:r w:rsidRPr="00F82180">
        <w:rPr>
          <w:rFonts w:ascii="Times New Roman" w:hAnsi="Times New Roman"/>
          <w:sz w:val="24"/>
          <w:szCs w:val="24"/>
        </w:rPr>
        <w:t xml:space="preserve">, </w:t>
      </w:r>
      <w:proofErr w:type="spellStart"/>
      <w:r w:rsidRPr="00F82180">
        <w:rPr>
          <w:rFonts w:ascii="Times New Roman" w:hAnsi="Times New Roman"/>
          <w:sz w:val="24"/>
          <w:szCs w:val="24"/>
        </w:rPr>
        <w:t>lenalidomidu</w:t>
      </w:r>
      <w:proofErr w:type="spellEnd"/>
      <w:r w:rsidRPr="00F82180">
        <w:rPr>
          <w:rFonts w:ascii="Times New Roman" w:hAnsi="Times New Roman"/>
          <w:sz w:val="24"/>
          <w:szCs w:val="24"/>
        </w:rPr>
        <w:t xml:space="preserve"> ir </w:t>
      </w:r>
      <w:proofErr w:type="spellStart"/>
      <w:r w:rsidRPr="00F82180">
        <w:rPr>
          <w:rFonts w:ascii="Times New Roman" w:hAnsi="Times New Roman"/>
          <w:sz w:val="24"/>
          <w:szCs w:val="24"/>
        </w:rPr>
        <w:t>deksametazonu</w:t>
      </w:r>
      <w:proofErr w:type="spellEnd"/>
      <w:r w:rsidRPr="00F82180">
        <w:rPr>
          <w:rFonts w:ascii="Times New Roman" w:hAnsi="Times New Roman"/>
          <w:sz w:val="24"/>
          <w:szCs w:val="24"/>
        </w:rPr>
        <w:t xml:space="preserve"> gydymui suaugusiems pacientams, kuriems naujai buvo diagnozuota dauginė mieloma.</w:t>
      </w:r>
    </w:p>
    <w:p w14:paraId="52B236FA" w14:textId="77777777" w:rsidR="009D0F0E" w:rsidRPr="001E3358" w:rsidRDefault="009D0F0E" w:rsidP="009D0F0E">
      <w:pPr>
        <w:pStyle w:val="Betarp"/>
        <w:jc w:val="both"/>
        <w:rPr>
          <w:rFonts w:ascii="Times New Roman" w:hAnsi="Times New Roman"/>
          <w:sz w:val="24"/>
          <w:szCs w:val="24"/>
        </w:rPr>
      </w:pPr>
    </w:p>
    <w:p w14:paraId="19F406F0" w14:textId="77777777" w:rsidR="009D0F0E" w:rsidRPr="001E3358" w:rsidRDefault="009D0F0E" w:rsidP="009D0F0E">
      <w:pPr>
        <w:pStyle w:val="Betarp"/>
        <w:jc w:val="both"/>
        <w:rPr>
          <w:rFonts w:ascii="Times New Roman" w:hAnsi="Times New Roman"/>
          <w:b/>
          <w:sz w:val="24"/>
          <w:szCs w:val="24"/>
        </w:rPr>
      </w:pPr>
      <w:r w:rsidRPr="001E3358">
        <w:rPr>
          <w:rFonts w:ascii="Times New Roman" w:hAnsi="Times New Roman"/>
          <w:b/>
          <w:sz w:val="24"/>
          <w:szCs w:val="24"/>
        </w:rPr>
        <w:t>Skyrimo sąlygos</w:t>
      </w:r>
    </w:p>
    <w:p w14:paraId="41BAF12A" w14:textId="563AEBD4" w:rsidR="009D0F0E" w:rsidRPr="00F82180" w:rsidRDefault="00B20A08" w:rsidP="009D0F0E">
      <w:pPr>
        <w:pStyle w:val="Betarp"/>
        <w:jc w:val="both"/>
        <w:rPr>
          <w:rFonts w:ascii="Times New Roman" w:hAnsi="Times New Roman"/>
          <w:b/>
          <w:sz w:val="24"/>
          <w:szCs w:val="24"/>
        </w:rPr>
      </w:pPr>
      <w:r>
        <w:rPr>
          <w:rFonts w:ascii="Times New Roman" w:hAnsi="Times New Roman"/>
          <w:sz w:val="24"/>
          <w:szCs w:val="24"/>
        </w:rPr>
        <w:t xml:space="preserve">Skiriamas </w:t>
      </w:r>
      <w:r w:rsidR="009D0F0E" w:rsidRPr="00F82180">
        <w:rPr>
          <w:rFonts w:ascii="Times New Roman" w:hAnsi="Times New Roman"/>
          <w:sz w:val="24"/>
          <w:szCs w:val="24"/>
        </w:rPr>
        <w:t xml:space="preserve">derinant su </w:t>
      </w:r>
      <w:proofErr w:type="spellStart"/>
      <w:r w:rsidR="009D0F0E" w:rsidRPr="00F82180">
        <w:rPr>
          <w:rFonts w:ascii="Times New Roman" w:hAnsi="Times New Roman"/>
          <w:sz w:val="24"/>
          <w:szCs w:val="24"/>
        </w:rPr>
        <w:t>bortezomibu</w:t>
      </w:r>
      <w:proofErr w:type="spellEnd"/>
      <w:r w:rsidR="009D0F0E" w:rsidRPr="00F82180">
        <w:rPr>
          <w:rFonts w:ascii="Times New Roman" w:hAnsi="Times New Roman"/>
          <w:sz w:val="24"/>
          <w:szCs w:val="24"/>
        </w:rPr>
        <w:t xml:space="preserve">, </w:t>
      </w:r>
      <w:proofErr w:type="spellStart"/>
      <w:r w:rsidR="009D0F0E" w:rsidRPr="00F82180">
        <w:rPr>
          <w:rFonts w:ascii="Times New Roman" w:hAnsi="Times New Roman"/>
          <w:sz w:val="24"/>
          <w:szCs w:val="24"/>
        </w:rPr>
        <w:t>lenalidomidu</w:t>
      </w:r>
      <w:proofErr w:type="spellEnd"/>
      <w:r w:rsidR="009D0F0E" w:rsidRPr="00F82180">
        <w:rPr>
          <w:rFonts w:ascii="Times New Roman" w:hAnsi="Times New Roman"/>
          <w:sz w:val="24"/>
          <w:szCs w:val="24"/>
        </w:rPr>
        <w:t xml:space="preserve"> ir </w:t>
      </w:r>
      <w:proofErr w:type="spellStart"/>
      <w:r w:rsidR="009D0F0E" w:rsidRPr="00F82180">
        <w:rPr>
          <w:rFonts w:ascii="Times New Roman" w:hAnsi="Times New Roman"/>
          <w:sz w:val="24"/>
          <w:szCs w:val="24"/>
        </w:rPr>
        <w:t>deksametazonu</w:t>
      </w:r>
      <w:proofErr w:type="spellEnd"/>
      <w:r w:rsidR="009D0F0E" w:rsidRPr="00F82180">
        <w:rPr>
          <w:rFonts w:ascii="Times New Roman" w:hAnsi="Times New Roman"/>
          <w:sz w:val="24"/>
          <w:szCs w:val="24"/>
        </w:rPr>
        <w:t xml:space="preserve"> suaugusiems pacientams, kuriems naujai buvo diagnozuota dauginė mieloma, ir kuriems netinka autologinė kamieninių ląstelių transplantacija.</w:t>
      </w:r>
      <w:r w:rsidR="009D0F0E" w:rsidRPr="00F82180">
        <w:rPr>
          <w:rFonts w:ascii="Times New Roman" w:hAnsi="Times New Roman"/>
          <w:b/>
          <w:sz w:val="24"/>
          <w:szCs w:val="24"/>
        </w:rPr>
        <w:t xml:space="preserve"> </w:t>
      </w:r>
    </w:p>
    <w:p w14:paraId="7D5C6700" w14:textId="77777777" w:rsidR="00D5470B" w:rsidRPr="00334F18" w:rsidRDefault="00D5470B" w:rsidP="00C712EA">
      <w:pPr>
        <w:pStyle w:val="Sraopastraipa"/>
        <w:ind w:left="426"/>
      </w:pPr>
    </w:p>
    <w:p w14:paraId="7CDFF220" w14:textId="7F691A4A" w:rsidR="000723FF" w:rsidRPr="009D0F0E" w:rsidRDefault="00283E59" w:rsidP="009D0F0E">
      <w:pPr>
        <w:widowControl w:val="0"/>
        <w:tabs>
          <w:tab w:val="left" w:pos="1418"/>
        </w:tabs>
        <w:suppressAutoHyphens/>
        <w:spacing w:line="360" w:lineRule="atLeast"/>
        <w:jc w:val="center"/>
        <w:textAlignment w:val="center"/>
      </w:pPr>
      <w:r w:rsidRPr="00334F18">
        <w:rPr>
          <w:lang w:eastAsia="lt-LT"/>
        </w:rPr>
        <w:t>___________________________</w:t>
      </w:r>
    </w:p>
    <w:sectPr w:rsidR="000723FF" w:rsidRPr="009D0F0E"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AC09" w14:textId="77777777" w:rsidR="00E76886" w:rsidRDefault="00E76886">
      <w:r>
        <w:separator/>
      </w:r>
    </w:p>
  </w:endnote>
  <w:endnote w:type="continuationSeparator" w:id="0">
    <w:p w14:paraId="409B0194" w14:textId="77777777" w:rsidR="00E76886" w:rsidRDefault="00E7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BCA3" w14:textId="77777777" w:rsidR="00E76886" w:rsidRDefault="00E76886">
      <w:r>
        <w:separator/>
      </w:r>
    </w:p>
  </w:footnote>
  <w:footnote w:type="continuationSeparator" w:id="0">
    <w:p w14:paraId="2A094FA2" w14:textId="77777777" w:rsidR="00E76886" w:rsidRDefault="00E7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46558E"/>
    <w:multiLevelType w:val="hybridMultilevel"/>
    <w:tmpl w:val="CF2430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29035017">
    <w:abstractNumId w:val="8"/>
  </w:num>
  <w:num w:numId="2" w16cid:durableId="985162166">
    <w:abstractNumId w:val="2"/>
  </w:num>
  <w:num w:numId="3" w16cid:durableId="480578891">
    <w:abstractNumId w:val="10"/>
  </w:num>
  <w:num w:numId="4" w16cid:durableId="442387534">
    <w:abstractNumId w:val="9"/>
  </w:num>
  <w:num w:numId="5" w16cid:durableId="823667834">
    <w:abstractNumId w:val="7"/>
  </w:num>
  <w:num w:numId="6" w16cid:durableId="417020125">
    <w:abstractNumId w:val="6"/>
  </w:num>
  <w:num w:numId="7" w16cid:durableId="1843550031">
    <w:abstractNumId w:val="4"/>
  </w:num>
  <w:num w:numId="8" w16cid:durableId="580068462">
    <w:abstractNumId w:val="13"/>
  </w:num>
  <w:num w:numId="9" w16cid:durableId="257183606">
    <w:abstractNumId w:val="0"/>
  </w:num>
  <w:num w:numId="10" w16cid:durableId="131410136">
    <w:abstractNumId w:val="11"/>
  </w:num>
  <w:num w:numId="11" w16cid:durableId="1133251921">
    <w:abstractNumId w:val="12"/>
  </w:num>
  <w:num w:numId="12" w16cid:durableId="700133012">
    <w:abstractNumId w:val="3"/>
  </w:num>
  <w:num w:numId="13" w16cid:durableId="373774129">
    <w:abstractNumId w:val="5"/>
  </w:num>
  <w:num w:numId="14" w16cid:durableId="1004668447">
    <w:abstractNumId w:val="1"/>
  </w:num>
  <w:num w:numId="15" w16cid:durableId="1741096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B76AD"/>
    <w:rsid w:val="000C454C"/>
    <w:rsid w:val="000D5038"/>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01C8"/>
    <w:rsid w:val="0017369C"/>
    <w:rsid w:val="00175D57"/>
    <w:rsid w:val="00180C39"/>
    <w:rsid w:val="00180D96"/>
    <w:rsid w:val="00184BD3"/>
    <w:rsid w:val="001921F3"/>
    <w:rsid w:val="001A0CAA"/>
    <w:rsid w:val="001A6AED"/>
    <w:rsid w:val="001A6FDF"/>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4C32"/>
    <w:rsid w:val="0025697F"/>
    <w:rsid w:val="00260258"/>
    <w:rsid w:val="0026588E"/>
    <w:rsid w:val="00272428"/>
    <w:rsid w:val="00272948"/>
    <w:rsid w:val="00273AB2"/>
    <w:rsid w:val="00277A2C"/>
    <w:rsid w:val="00283E59"/>
    <w:rsid w:val="00292392"/>
    <w:rsid w:val="002946C7"/>
    <w:rsid w:val="002B3CC1"/>
    <w:rsid w:val="002C0686"/>
    <w:rsid w:val="002C09E0"/>
    <w:rsid w:val="002C100E"/>
    <w:rsid w:val="002C1BB1"/>
    <w:rsid w:val="002C2786"/>
    <w:rsid w:val="002C3A10"/>
    <w:rsid w:val="002C4A90"/>
    <w:rsid w:val="002C4ED5"/>
    <w:rsid w:val="002D02EF"/>
    <w:rsid w:val="002E0702"/>
    <w:rsid w:val="002E1A83"/>
    <w:rsid w:val="002E57AD"/>
    <w:rsid w:val="002E6F80"/>
    <w:rsid w:val="002F0E4F"/>
    <w:rsid w:val="002F1053"/>
    <w:rsid w:val="002F62E0"/>
    <w:rsid w:val="00314816"/>
    <w:rsid w:val="00317B0E"/>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3F743E"/>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601A4"/>
    <w:rsid w:val="00566DBB"/>
    <w:rsid w:val="00567B14"/>
    <w:rsid w:val="005767DB"/>
    <w:rsid w:val="00580CC2"/>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5067"/>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014C"/>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1EF6"/>
    <w:rsid w:val="00892FF4"/>
    <w:rsid w:val="0089345A"/>
    <w:rsid w:val="008A0303"/>
    <w:rsid w:val="008A5FDD"/>
    <w:rsid w:val="008C01F9"/>
    <w:rsid w:val="008C0797"/>
    <w:rsid w:val="008C3947"/>
    <w:rsid w:val="008E473B"/>
    <w:rsid w:val="008E51A6"/>
    <w:rsid w:val="008E7329"/>
    <w:rsid w:val="008F2ED5"/>
    <w:rsid w:val="008F3CFD"/>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2DE9"/>
    <w:rsid w:val="009C7A8C"/>
    <w:rsid w:val="009D0F0E"/>
    <w:rsid w:val="009D23F9"/>
    <w:rsid w:val="009D4FA8"/>
    <w:rsid w:val="009E44AE"/>
    <w:rsid w:val="009E6CD6"/>
    <w:rsid w:val="009F4D66"/>
    <w:rsid w:val="00A00C3C"/>
    <w:rsid w:val="00A01091"/>
    <w:rsid w:val="00A042B9"/>
    <w:rsid w:val="00A06DBB"/>
    <w:rsid w:val="00A22ADF"/>
    <w:rsid w:val="00A2310D"/>
    <w:rsid w:val="00A247A4"/>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F60D5"/>
    <w:rsid w:val="00B00959"/>
    <w:rsid w:val="00B04415"/>
    <w:rsid w:val="00B06509"/>
    <w:rsid w:val="00B11D60"/>
    <w:rsid w:val="00B13D65"/>
    <w:rsid w:val="00B20A08"/>
    <w:rsid w:val="00B21805"/>
    <w:rsid w:val="00B3072E"/>
    <w:rsid w:val="00B36E15"/>
    <w:rsid w:val="00B37245"/>
    <w:rsid w:val="00B4017A"/>
    <w:rsid w:val="00B4468D"/>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6245"/>
    <w:rsid w:val="00C22DC5"/>
    <w:rsid w:val="00C24479"/>
    <w:rsid w:val="00C273F2"/>
    <w:rsid w:val="00C30665"/>
    <w:rsid w:val="00C37B53"/>
    <w:rsid w:val="00C434EB"/>
    <w:rsid w:val="00C517D2"/>
    <w:rsid w:val="00C5772E"/>
    <w:rsid w:val="00C62B36"/>
    <w:rsid w:val="00C7012C"/>
    <w:rsid w:val="00C712EA"/>
    <w:rsid w:val="00C9728E"/>
    <w:rsid w:val="00CA217D"/>
    <w:rsid w:val="00CA3131"/>
    <w:rsid w:val="00CB5DE7"/>
    <w:rsid w:val="00CC09D4"/>
    <w:rsid w:val="00CC4F5F"/>
    <w:rsid w:val="00CC668D"/>
    <w:rsid w:val="00CC7832"/>
    <w:rsid w:val="00CD488E"/>
    <w:rsid w:val="00CD4AB3"/>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29B"/>
    <w:rsid w:val="00D4485B"/>
    <w:rsid w:val="00D46CCD"/>
    <w:rsid w:val="00D4708D"/>
    <w:rsid w:val="00D4744C"/>
    <w:rsid w:val="00D51046"/>
    <w:rsid w:val="00D521DE"/>
    <w:rsid w:val="00D5470B"/>
    <w:rsid w:val="00D63068"/>
    <w:rsid w:val="00D6498C"/>
    <w:rsid w:val="00D67BAF"/>
    <w:rsid w:val="00D74130"/>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76886"/>
    <w:rsid w:val="00E81529"/>
    <w:rsid w:val="00E83A13"/>
    <w:rsid w:val="00EB1151"/>
    <w:rsid w:val="00EB48AC"/>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66DC4"/>
    <w:rsid w:val="00F70731"/>
    <w:rsid w:val="00F70C9E"/>
    <w:rsid w:val="00F74A74"/>
    <w:rsid w:val="00F7572C"/>
    <w:rsid w:val="00F82180"/>
    <w:rsid w:val="00F8382C"/>
    <w:rsid w:val="00F855D7"/>
    <w:rsid w:val="00F92035"/>
    <w:rsid w:val="00F92748"/>
    <w:rsid w:val="00FA2E2E"/>
    <w:rsid w:val="00FA4169"/>
    <w:rsid w:val="00FB0D41"/>
    <w:rsid w:val="00FB2030"/>
    <w:rsid w:val="00FD0E46"/>
    <w:rsid w:val="00FD1060"/>
    <w:rsid w:val="00FD1CF2"/>
    <w:rsid w:val="00FD3EDF"/>
    <w:rsid w:val="00FD5C91"/>
    <w:rsid w:val="00FD793C"/>
    <w:rsid w:val="00FE0FD5"/>
    <w:rsid w:val="00FE20E6"/>
    <w:rsid w:val="00FE3E3B"/>
    <w:rsid w:val="00FE5878"/>
    <w:rsid w:val="00FF4032"/>
    <w:rsid w:val="00FF4A2E"/>
    <w:rsid w:val="00FF4AB9"/>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link w:val="Antrat1Diagrama"/>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basedOn w:val="prastasis"/>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Antrat1Diagrama">
    <w:name w:val="Antraštė 1 Diagrama"/>
    <w:basedOn w:val="Numatytasispastraiposriftas"/>
    <w:link w:val="Antrat1"/>
    <w:rsid w:val="001A6FDF"/>
    <w:rPr>
      <w:b/>
      <w:bCs/>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D08D6C61A45A68920D80BE5F3D93F"/>
        <w:category>
          <w:name w:val="Bendrosios nuostatos"/>
          <w:gallery w:val="placeholder"/>
        </w:category>
        <w:types>
          <w:type w:val="bbPlcHdr"/>
        </w:types>
        <w:behaviors>
          <w:behavior w:val="content"/>
        </w:behaviors>
        <w:guid w:val="{84C72BEB-E463-4586-8044-A59699EAFD89}"/>
      </w:docPartPr>
      <w:docPartBody>
        <w:p w:rsidR="005A4E3B" w:rsidRDefault="009A26A1" w:rsidP="009A26A1">
          <w:pPr>
            <w:pStyle w:val="176D08D6C61A45A68920D80BE5F3D93F"/>
          </w:pPr>
          <w:r>
            <w:rPr>
              <w:rStyle w:val="Vietosrezervavimoenklotekstas"/>
            </w:rPr>
            <w:t>Click here to enter a date.</w:t>
          </w:r>
        </w:p>
      </w:docPartBody>
    </w:docPart>
    <w:docPart>
      <w:docPartPr>
        <w:name w:val="DD9F2E2ED8EB4C28A8592C894A0C651B"/>
        <w:category>
          <w:name w:val="Bendrosios nuostatos"/>
          <w:gallery w:val="placeholder"/>
        </w:category>
        <w:types>
          <w:type w:val="bbPlcHdr"/>
        </w:types>
        <w:behaviors>
          <w:behavior w:val="content"/>
        </w:behaviors>
        <w:guid w:val="{9A644DDC-3739-4E7E-8B54-71FBB523A6FC}"/>
      </w:docPartPr>
      <w:docPartBody>
        <w:p w:rsidR="005A4E3B" w:rsidRDefault="009A26A1" w:rsidP="009A26A1">
          <w:pPr>
            <w:pStyle w:val="DD9F2E2ED8EB4C28A8592C894A0C651B"/>
          </w:pPr>
          <w:r>
            <w:rPr>
              <w:rStyle w:val="Vietosrezervavimoenklotekstas"/>
            </w:rPr>
            <w:t>Click here to enter a date.</w:t>
          </w:r>
        </w:p>
      </w:docPartBody>
    </w:docPart>
    <w:docPart>
      <w:docPartPr>
        <w:name w:val="8EA9F87EB8FE4DBBBBD93B6CFC37D275"/>
        <w:category>
          <w:name w:val="Bendrosios nuostatos"/>
          <w:gallery w:val="placeholder"/>
        </w:category>
        <w:types>
          <w:type w:val="bbPlcHdr"/>
        </w:types>
        <w:behaviors>
          <w:behavior w:val="content"/>
        </w:behaviors>
        <w:guid w:val="{BCB6AFD9-FBF1-46FE-969E-8373D8420F39}"/>
      </w:docPartPr>
      <w:docPartBody>
        <w:p w:rsidR="005A4E3B" w:rsidRDefault="009A26A1" w:rsidP="009A26A1">
          <w:pPr>
            <w:pStyle w:val="8EA9F87EB8FE4DBBBBD93B6CFC37D275"/>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14006D"/>
    <w:rsid w:val="001701C8"/>
    <w:rsid w:val="001C35A9"/>
    <w:rsid w:val="00237556"/>
    <w:rsid w:val="00277A2C"/>
    <w:rsid w:val="002C0686"/>
    <w:rsid w:val="00371771"/>
    <w:rsid w:val="0039303B"/>
    <w:rsid w:val="004144A3"/>
    <w:rsid w:val="004160E7"/>
    <w:rsid w:val="004416C6"/>
    <w:rsid w:val="00456E96"/>
    <w:rsid w:val="004C6221"/>
    <w:rsid w:val="004D038D"/>
    <w:rsid w:val="004F4E20"/>
    <w:rsid w:val="004F5AB2"/>
    <w:rsid w:val="005074B9"/>
    <w:rsid w:val="00563A5F"/>
    <w:rsid w:val="005A4E3B"/>
    <w:rsid w:val="005C62E5"/>
    <w:rsid w:val="005E40DD"/>
    <w:rsid w:val="00601F4E"/>
    <w:rsid w:val="00620F0B"/>
    <w:rsid w:val="006E6A2C"/>
    <w:rsid w:val="00715158"/>
    <w:rsid w:val="007219C1"/>
    <w:rsid w:val="00745C63"/>
    <w:rsid w:val="00753462"/>
    <w:rsid w:val="00772325"/>
    <w:rsid w:val="007A2FE0"/>
    <w:rsid w:val="007C6D1D"/>
    <w:rsid w:val="007D654E"/>
    <w:rsid w:val="00853487"/>
    <w:rsid w:val="008560F3"/>
    <w:rsid w:val="00892FF4"/>
    <w:rsid w:val="008C0797"/>
    <w:rsid w:val="008C0DC0"/>
    <w:rsid w:val="0090074D"/>
    <w:rsid w:val="009019EA"/>
    <w:rsid w:val="00901A35"/>
    <w:rsid w:val="009A26A1"/>
    <w:rsid w:val="009B3BF0"/>
    <w:rsid w:val="009C2DE9"/>
    <w:rsid w:val="009D5E5E"/>
    <w:rsid w:val="009F1BB4"/>
    <w:rsid w:val="00A20D39"/>
    <w:rsid w:val="00A254A2"/>
    <w:rsid w:val="00AB2D54"/>
    <w:rsid w:val="00AB6ED4"/>
    <w:rsid w:val="00B14210"/>
    <w:rsid w:val="00B22ED6"/>
    <w:rsid w:val="00B23DC0"/>
    <w:rsid w:val="00B71F04"/>
    <w:rsid w:val="00B96656"/>
    <w:rsid w:val="00BA0A8E"/>
    <w:rsid w:val="00BE3364"/>
    <w:rsid w:val="00C2401D"/>
    <w:rsid w:val="00C250D7"/>
    <w:rsid w:val="00C53A68"/>
    <w:rsid w:val="00C66578"/>
    <w:rsid w:val="00CA5BB4"/>
    <w:rsid w:val="00CB4BD1"/>
    <w:rsid w:val="00CB5DE7"/>
    <w:rsid w:val="00CD139C"/>
    <w:rsid w:val="00CE2DA9"/>
    <w:rsid w:val="00CE44BE"/>
    <w:rsid w:val="00D008F3"/>
    <w:rsid w:val="00D0142D"/>
    <w:rsid w:val="00D04DFF"/>
    <w:rsid w:val="00D15ED6"/>
    <w:rsid w:val="00D166EC"/>
    <w:rsid w:val="00D20347"/>
    <w:rsid w:val="00D4356B"/>
    <w:rsid w:val="00D7162F"/>
    <w:rsid w:val="00DA599C"/>
    <w:rsid w:val="00DB4DB5"/>
    <w:rsid w:val="00DE4D10"/>
    <w:rsid w:val="00E44A86"/>
    <w:rsid w:val="00E522EB"/>
    <w:rsid w:val="00E60827"/>
    <w:rsid w:val="00E86453"/>
    <w:rsid w:val="00EF6E0C"/>
    <w:rsid w:val="00F14477"/>
    <w:rsid w:val="00F2159E"/>
    <w:rsid w:val="00F370E5"/>
    <w:rsid w:val="00F55028"/>
    <w:rsid w:val="00F66DC4"/>
    <w:rsid w:val="00F677F0"/>
    <w:rsid w:val="00F77BEF"/>
    <w:rsid w:val="00FA2E2E"/>
    <w:rsid w:val="00FC755C"/>
    <w:rsid w:val="00FE0D46"/>
    <w:rsid w:val="00FF4A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A26A1"/>
    <w:rPr>
      <w:color w:val="808080"/>
    </w:rPr>
  </w:style>
  <w:style w:type="paragraph" w:customStyle="1" w:styleId="176D08D6C61A45A68920D80BE5F3D93F">
    <w:name w:val="176D08D6C61A45A68920D80BE5F3D93F"/>
    <w:rsid w:val="009A26A1"/>
    <w:pPr>
      <w:spacing w:line="278" w:lineRule="auto"/>
    </w:pPr>
    <w:rPr>
      <w:kern w:val="2"/>
      <w:sz w:val="24"/>
      <w:szCs w:val="24"/>
      <w14:ligatures w14:val="standardContextual"/>
    </w:rPr>
  </w:style>
  <w:style w:type="paragraph" w:customStyle="1" w:styleId="DD9F2E2ED8EB4C28A8592C894A0C651B">
    <w:name w:val="DD9F2E2ED8EB4C28A8592C894A0C651B"/>
    <w:rsid w:val="009A26A1"/>
    <w:pPr>
      <w:spacing w:line="278" w:lineRule="auto"/>
    </w:pPr>
    <w:rPr>
      <w:kern w:val="2"/>
      <w:sz w:val="24"/>
      <w:szCs w:val="24"/>
      <w14:ligatures w14:val="standardContextual"/>
    </w:rPr>
  </w:style>
  <w:style w:type="paragraph" w:customStyle="1" w:styleId="8EA9F87EB8FE4DBBBBD93B6CFC37D275">
    <w:name w:val="8EA9F87EB8FE4DBBBBD93B6CFC37D275"/>
    <w:rsid w:val="009A26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6854</Words>
  <Characters>3907</Characters>
  <Application>Microsoft Office Word</Application>
  <DocSecurity>0</DocSecurity>
  <Lines>32</Lines>
  <Paragraphs>21</Paragraphs>
  <ScaleCrop>false</ScaleCrop>
  <Company/>
  <LinksUpToDate>false</LinksUpToDate>
  <CharactersWithSpaces>10740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2026-03-05T13:18:00Z</dcterms:created>
  <dcterms:modified xsi:type="dcterms:W3CDTF">2026-03-05T13:18:00Z</dcterms:modified>
</cp:coreProperties>
</file>