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39AA3336" w:rsidR="001B3C5B" w:rsidRPr="000203E1" w:rsidRDefault="00DC261A" w:rsidP="001B3C5B">
      <w:pPr>
        <w:ind w:left="6096"/>
      </w:pPr>
      <w:bookmarkStart w:id="0" w:name="_Hlk189565243"/>
      <w:r w:rsidRPr="00DC261A">
        <w:t>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3A5D6CB4" w:rsidR="001B3C5B" w:rsidRPr="000203E1" w:rsidRDefault="004C263A" w:rsidP="001B3C5B">
      <w:pPr>
        <w:ind w:left="6096"/>
      </w:pPr>
      <w:r w:rsidRPr="000203E1">
        <w:t>(Valstybinės vaistų kontrolės tarnybos prie Lietuvos Respublikos sveikatos apsaugos ministerijos viršininko 202</w:t>
      </w:r>
      <w:r w:rsidR="00A2310D">
        <w:t>5</w:t>
      </w:r>
      <w:r w:rsidRPr="000203E1">
        <w:t xml:space="preserve"> m.                         d. įsakymo Nr.                    redakcija)</w:t>
      </w:r>
    </w:p>
    <w:p w14:paraId="3336BD74" w14:textId="77777777" w:rsidR="001B3C5B" w:rsidRPr="000203E1" w:rsidRDefault="001B3C5B" w:rsidP="00FA4169"/>
    <w:bookmarkEnd w:id="0"/>
    <w:p w14:paraId="56604434" w14:textId="77777777" w:rsidR="00DC261A" w:rsidRDefault="00DC261A" w:rsidP="003B211A">
      <w:pPr>
        <w:jc w:val="center"/>
        <w:rPr>
          <w:b/>
        </w:rPr>
      </w:pPr>
    </w:p>
    <w:p w14:paraId="77AFB67E" w14:textId="0FB133A2"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6566966B" w14:textId="14266396" w:rsidR="007E4139" w:rsidRPr="001C3329" w:rsidRDefault="007E4139" w:rsidP="007E4139">
      <w:pPr>
        <w:tabs>
          <w:tab w:val="left" w:pos="1505"/>
          <w:tab w:val="center" w:pos="4986"/>
        </w:tabs>
        <w:jc w:val="center"/>
        <w:rPr>
          <w:b/>
        </w:rPr>
      </w:pPr>
      <w:r w:rsidRPr="001C3329">
        <w:rPr>
          <w:b/>
        </w:rPr>
        <w:t>Opdivo 40 mg koncentratas infuziniam tirpalui</w:t>
      </w:r>
    </w:p>
    <w:p w14:paraId="2BA57086" w14:textId="77777777" w:rsidR="007E4139" w:rsidRDefault="007E4139" w:rsidP="007E4139">
      <w:pPr>
        <w:jc w:val="center"/>
        <w:rPr>
          <w:b/>
        </w:rPr>
      </w:pPr>
      <w:r w:rsidRPr="001C3329">
        <w:rPr>
          <w:b/>
        </w:rPr>
        <w:tab/>
        <w:t>Opdivo 100 mg koncentratas infuziniam tirpalui</w:t>
      </w:r>
    </w:p>
    <w:p w14:paraId="04DA7C81" w14:textId="77777777" w:rsidR="007E4139" w:rsidRDefault="007E4139" w:rsidP="007E4139">
      <w:pPr>
        <w:jc w:val="center"/>
        <w:rPr>
          <w:b/>
        </w:rPr>
      </w:pPr>
      <w:r w:rsidRPr="001C3329">
        <w:rPr>
          <w:b/>
        </w:rPr>
        <w:tab/>
        <w:t>Opdivo 240 mg koncentratas infuziniam tirpalui</w:t>
      </w:r>
    </w:p>
    <w:p w14:paraId="33EBFD68" w14:textId="77777777" w:rsidR="00284A47" w:rsidRPr="001C3329" w:rsidRDefault="00284A47" w:rsidP="00284A47">
      <w:pPr>
        <w:jc w:val="center"/>
        <w:rPr>
          <w:b/>
        </w:rPr>
      </w:pPr>
      <w:r w:rsidRPr="001C3329">
        <w:rPr>
          <w:b/>
        </w:rPr>
        <w:t xml:space="preserve">Nivolumabas </w:t>
      </w:r>
    </w:p>
    <w:p w14:paraId="34A2FE1F" w14:textId="77777777" w:rsidR="007E4139" w:rsidRDefault="007E4139" w:rsidP="007E4139">
      <w:pPr>
        <w:tabs>
          <w:tab w:val="left" w:pos="1505"/>
          <w:tab w:val="center" w:pos="4986"/>
        </w:tabs>
        <w:jc w:val="center"/>
        <w:rPr>
          <w:b/>
        </w:rPr>
      </w:pPr>
    </w:p>
    <w:p w14:paraId="5183B6EA" w14:textId="1FC71CA7" w:rsidR="00284A47" w:rsidRPr="001C3329" w:rsidRDefault="00284A47" w:rsidP="007E4139">
      <w:pPr>
        <w:tabs>
          <w:tab w:val="left" w:pos="1505"/>
          <w:tab w:val="center" w:pos="4986"/>
        </w:tabs>
        <w:jc w:val="center"/>
        <w:rPr>
          <w:b/>
        </w:rPr>
      </w:pPr>
      <w:r w:rsidRPr="001C3329">
        <w:rPr>
          <w:b/>
        </w:rPr>
        <w:t>Yervoy 200 mg koncentratas infuziniam tirpalui</w:t>
      </w:r>
    </w:p>
    <w:p w14:paraId="450D1429" w14:textId="77777777" w:rsidR="00284A47" w:rsidRPr="001C3329" w:rsidRDefault="00284A47" w:rsidP="00284A47">
      <w:pPr>
        <w:jc w:val="center"/>
        <w:rPr>
          <w:b/>
        </w:rPr>
      </w:pPr>
      <w:r w:rsidRPr="001C3329">
        <w:rPr>
          <w:b/>
        </w:rPr>
        <w:t>Ipilimumabas</w:t>
      </w:r>
    </w:p>
    <w:p w14:paraId="21CB4AFA" w14:textId="77777777" w:rsidR="00284A47" w:rsidRPr="001C3329" w:rsidRDefault="00284A47" w:rsidP="00284A47">
      <w:pPr>
        <w:jc w:val="center"/>
        <w:rPr>
          <w:b/>
        </w:rPr>
      </w:pPr>
    </w:p>
    <w:p w14:paraId="0F0829BF" w14:textId="3B39AEB1" w:rsidR="00284A47" w:rsidRPr="001C3329" w:rsidRDefault="00284A47" w:rsidP="00284A47">
      <w:pPr>
        <w:jc w:val="center"/>
        <w:rPr>
          <w:b/>
        </w:rPr>
      </w:pPr>
      <w:r w:rsidRPr="001C3329">
        <w:rPr>
          <w:b/>
        </w:rPr>
        <w:t xml:space="preserve">Paraiškos numeris </w:t>
      </w:r>
      <w:r w:rsidR="007E4139">
        <w:rPr>
          <w:b/>
        </w:rPr>
        <w:t>STV-</w:t>
      </w:r>
      <w:r w:rsidRPr="001C3329">
        <w:rPr>
          <w:b/>
        </w:rPr>
        <w:t xml:space="preserve">252 </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3DFBB154" w14:textId="77777777" w:rsidR="0012653C" w:rsidRPr="001C3329" w:rsidRDefault="0012653C" w:rsidP="0012653C">
      <w:pPr>
        <w:pStyle w:val="Sraopastraipa"/>
        <w:numPr>
          <w:ilvl w:val="0"/>
          <w:numId w:val="12"/>
        </w:numPr>
        <w:tabs>
          <w:tab w:val="left" w:pos="284"/>
        </w:tabs>
        <w:spacing w:line="280" w:lineRule="atLeast"/>
        <w:jc w:val="both"/>
        <w:rPr>
          <w:rFonts w:eastAsia="Arial"/>
          <w:b/>
        </w:rPr>
      </w:pPr>
    </w:p>
    <w:tbl>
      <w:tblPr>
        <w:tblStyle w:val="Lentelstinklelis"/>
        <w:tblW w:w="9493" w:type="dxa"/>
        <w:tblLook w:val="04A0" w:firstRow="1" w:lastRow="0" w:firstColumn="1" w:lastColumn="0" w:noHBand="0" w:noVBand="1"/>
      </w:tblPr>
      <w:tblGrid>
        <w:gridCol w:w="632"/>
        <w:gridCol w:w="3899"/>
        <w:gridCol w:w="4962"/>
      </w:tblGrid>
      <w:tr w:rsidR="0012653C" w:rsidRPr="001C3329" w14:paraId="02FE7DAE" w14:textId="77777777" w:rsidTr="001642DA">
        <w:trPr>
          <w:trHeight w:val="538"/>
        </w:trPr>
        <w:tc>
          <w:tcPr>
            <w:tcW w:w="632" w:type="dxa"/>
          </w:tcPr>
          <w:p w14:paraId="7BCEA872" w14:textId="77777777" w:rsidR="0012653C" w:rsidRPr="001C3329" w:rsidRDefault="0012653C" w:rsidP="001642DA">
            <w:pPr>
              <w:jc w:val="both"/>
              <w:rPr>
                <w:rFonts w:eastAsia="Arial"/>
                <w:b/>
                <w:bCs/>
              </w:rPr>
            </w:pPr>
            <w:bookmarkStart w:id="1" w:name="_Hlk187088187"/>
            <w:r w:rsidRPr="001C3329">
              <w:rPr>
                <w:rFonts w:eastAsia="Arial"/>
                <w:b/>
                <w:bCs/>
              </w:rPr>
              <w:t>1.1</w:t>
            </w:r>
          </w:p>
        </w:tc>
        <w:tc>
          <w:tcPr>
            <w:tcW w:w="3899" w:type="dxa"/>
          </w:tcPr>
          <w:p w14:paraId="422121D0" w14:textId="77777777" w:rsidR="0012653C" w:rsidRPr="001C3329" w:rsidRDefault="0012653C" w:rsidP="001642DA">
            <w:pPr>
              <w:jc w:val="both"/>
              <w:rPr>
                <w:rFonts w:eastAsia="Arial"/>
                <w:b/>
                <w:bCs/>
              </w:rPr>
            </w:pPr>
            <w:r w:rsidRPr="001C3329">
              <w:rPr>
                <w:rFonts w:eastAsia="Arial"/>
                <w:b/>
                <w:bCs/>
              </w:rPr>
              <w:t>Pareiškėjas/ pareiškėjo atstovas</w:t>
            </w:r>
          </w:p>
        </w:tc>
        <w:tc>
          <w:tcPr>
            <w:tcW w:w="4962" w:type="dxa"/>
          </w:tcPr>
          <w:p w14:paraId="0C1B00E8" w14:textId="77777777" w:rsidR="0012653C" w:rsidRPr="001C3329" w:rsidRDefault="0012653C" w:rsidP="001642DA">
            <w:pPr>
              <w:jc w:val="both"/>
              <w:rPr>
                <w:rFonts w:eastAsia="Arial"/>
              </w:rPr>
            </w:pPr>
            <w:r w:rsidRPr="001C3329">
              <w:rPr>
                <w:sz w:val="22"/>
                <w:lang w:eastAsia="lt-LT"/>
              </w:rPr>
              <w:t>Swixx Biopharma, UAB</w:t>
            </w:r>
          </w:p>
        </w:tc>
      </w:tr>
      <w:tr w:rsidR="0012653C" w:rsidRPr="001C3329" w14:paraId="2F05578A" w14:textId="77777777" w:rsidTr="001642DA">
        <w:trPr>
          <w:trHeight w:val="538"/>
        </w:trPr>
        <w:tc>
          <w:tcPr>
            <w:tcW w:w="632" w:type="dxa"/>
          </w:tcPr>
          <w:p w14:paraId="782834EE" w14:textId="77777777" w:rsidR="0012653C" w:rsidRPr="001C3329" w:rsidRDefault="0012653C" w:rsidP="001642DA">
            <w:pPr>
              <w:jc w:val="both"/>
              <w:rPr>
                <w:rFonts w:eastAsia="Arial"/>
                <w:b/>
                <w:bCs/>
              </w:rPr>
            </w:pPr>
            <w:r w:rsidRPr="001C3329">
              <w:rPr>
                <w:rFonts w:eastAsia="Arial"/>
                <w:b/>
                <w:bCs/>
              </w:rPr>
              <w:t>1.2</w:t>
            </w:r>
          </w:p>
        </w:tc>
        <w:tc>
          <w:tcPr>
            <w:tcW w:w="3899" w:type="dxa"/>
          </w:tcPr>
          <w:p w14:paraId="39837B8F" w14:textId="77777777" w:rsidR="0012653C" w:rsidRPr="001C3329" w:rsidRDefault="0012653C" w:rsidP="001642DA">
            <w:pPr>
              <w:jc w:val="both"/>
              <w:rPr>
                <w:b/>
                <w:bCs/>
                <w:lang w:eastAsia="lt-LT"/>
              </w:rPr>
            </w:pPr>
            <w:r w:rsidRPr="001C3329">
              <w:rPr>
                <w:b/>
                <w:bCs/>
                <w:lang w:eastAsia="lt-LT"/>
              </w:rPr>
              <w:t xml:space="preserve">Vaistinio preparato registracijos data </w:t>
            </w:r>
          </w:p>
          <w:p w14:paraId="0427F97D" w14:textId="77777777" w:rsidR="0012653C" w:rsidRPr="001C3329" w:rsidRDefault="0012653C" w:rsidP="001642DA">
            <w:pPr>
              <w:jc w:val="both"/>
              <w:rPr>
                <w:b/>
                <w:bCs/>
                <w:lang w:eastAsia="lt-LT"/>
              </w:rPr>
            </w:pPr>
          </w:p>
        </w:tc>
        <w:tc>
          <w:tcPr>
            <w:tcW w:w="4962" w:type="dxa"/>
          </w:tcPr>
          <w:p w14:paraId="0C9AF067" w14:textId="77777777" w:rsidR="0012653C" w:rsidRPr="001C3329" w:rsidRDefault="003C5B7C" w:rsidP="001642DA">
            <w:pPr>
              <w:jc w:val="both"/>
              <w:rPr>
                <w:rStyle w:val="Style2"/>
              </w:rPr>
            </w:pPr>
            <w:sdt>
              <w:sdtPr>
                <w:rPr>
                  <w:color w:val="808080" w:themeColor="background1" w:themeShade="80"/>
                  <w:kern w:val="2"/>
                  <w:sz w:val="32"/>
                  <w14:ligatures w14:val="standardContextual"/>
                </w:rPr>
                <w:alias w:val="Nurodykite konkrečią dieną"/>
                <w:tag w:val="Nurodykite pradžios datą"/>
                <w:id w:val="1772196685"/>
                <w:placeholder>
                  <w:docPart w:val="65F4D56B2EF9465085144986D474F378"/>
                </w:placeholder>
                <w15:color w:val="FFCC99"/>
                <w:date w:fullDate="2015-06-19T00:00:00Z">
                  <w:dateFormat w:val="yyyy 'm.' MMMM d 'd.'"/>
                  <w:lid w:val="lt-LT"/>
                  <w:storeMappedDataAs w:val="dateTime"/>
                  <w:calendar w:val="gregorian"/>
                </w:date>
              </w:sdtPr>
              <w:sdtEndPr/>
              <w:sdtContent>
                <w:r w:rsidR="0012653C" w:rsidRPr="001C3329">
                  <w:rPr>
                    <w:color w:val="808080" w:themeColor="background1" w:themeShade="80"/>
                    <w:kern w:val="2"/>
                    <w14:ligatures w14:val="standardContextual"/>
                  </w:rPr>
                  <w:t>2015 m. birželio 19 d.</w:t>
                </w:r>
              </w:sdtContent>
            </w:sdt>
          </w:p>
        </w:tc>
      </w:tr>
      <w:tr w:rsidR="0012653C" w:rsidRPr="001C3329" w14:paraId="2FD9EBFE" w14:textId="77777777" w:rsidTr="001642DA">
        <w:trPr>
          <w:trHeight w:val="1396"/>
        </w:trPr>
        <w:tc>
          <w:tcPr>
            <w:tcW w:w="632" w:type="dxa"/>
          </w:tcPr>
          <w:p w14:paraId="7AFC24D7" w14:textId="77777777" w:rsidR="0012653C" w:rsidRPr="001C3329" w:rsidRDefault="0012653C" w:rsidP="001642DA">
            <w:pPr>
              <w:jc w:val="both"/>
              <w:rPr>
                <w:rFonts w:eastAsia="Arial"/>
                <w:b/>
                <w:bCs/>
              </w:rPr>
            </w:pPr>
            <w:r w:rsidRPr="001C3329">
              <w:rPr>
                <w:rFonts w:eastAsia="Arial"/>
                <w:b/>
                <w:bCs/>
              </w:rPr>
              <w:t>1.3</w:t>
            </w:r>
          </w:p>
        </w:tc>
        <w:tc>
          <w:tcPr>
            <w:tcW w:w="3899" w:type="dxa"/>
          </w:tcPr>
          <w:p w14:paraId="361E58E6" w14:textId="77777777" w:rsidR="0012653C" w:rsidRPr="001C3329" w:rsidRDefault="0012653C" w:rsidP="001642DA">
            <w:pPr>
              <w:pStyle w:val="Betarp"/>
              <w:jc w:val="both"/>
              <w:rPr>
                <w:rFonts w:ascii="Times New Roman" w:hAnsi="Times New Roman"/>
                <w:b/>
                <w:sz w:val="24"/>
                <w:szCs w:val="24"/>
                <w:shd w:val="clear" w:color="auto" w:fill="FFFFFF"/>
              </w:rPr>
            </w:pPr>
            <w:r w:rsidRPr="001C3329">
              <w:rPr>
                <w:rFonts w:ascii="Times New Roman" w:hAnsi="Times New Roman"/>
                <w:b/>
                <w:sz w:val="24"/>
                <w:szCs w:val="24"/>
              </w:rPr>
              <w:t xml:space="preserve">Vaistinio preparato </w:t>
            </w:r>
            <w:r w:rsidRPr="001C3329">
              <w:rPr>
                <w:rFonts w:ascii="Times New Roman" w:hAnsi="Times New Roman"/>
                <w:b/>
                <w:sz w:val="24"/>
                <w:szCs w:val="24"/>
                <w:shd w:val="clear" w:color="auto" w:fill="FFFFFF"/>
              </w:rPr>
              <w:t>registracijos teisinis pagrindas</w:t>
            </w:r>
          </w:p>
          <w:p w14:paraId="45452EB8" w14:textId="77777777" w:rsidR="0012653C" w:rsidRPr="001C3329" w:rsidRDefault="0012653C" w:rsidP="001642DA">
            <w:pPr>
              <w:pStyle w:val="Betarp"/>
              <w:jc w:val="both"/>
              <w:rPr>
                <w:rFonts w:ascii="Times New Roman" w:hAnsi="Times New Roman"/>
                <w:b/>
                <w:bCs/>
                <w:sz w:val="24"/>
                <w:szCs w:val="24"/>
                <w:lang w:eastAsia="lt-LT"/>
              </w:rPr>
            </w:pPr>
            <w:r w:rsidRPr="001C3329">
              <w:rPr>
                <w:rFonts w:ascii="Times New Roman" w:hAnsi="Times New Roman"/>
                <w:b/>
                <w:sz w:val="24"/>
                <w:szCs w:val="24"/>
                <w:shd w:val="clear" w:color="auto" w:fill="FFFFFF"/>
              </w:rPr>
              <w:t>(</w:t>
            </w:r>
            <w:r w:rsidRPr="001C3329">
              <w:rPr>
                <w:rFonts w:ascii="Times New Roman" w:hAnsi="Times New Roman"/>
                <w:b/>
                <w:sz w:val="24"/>
                <w:szCs w:val="24"/>
              </w:rPr>
              <w:t>Direktyvos 2001/83/EB str.)</w:t>
            </w:r>
          </w:p>
        </w:tc>
        <w:tc>
          <w:tcPr>
            <w:tcW w:w="4962" w:type="dxa"/>
          </w:tcPr>
          <w:p w14:paraId="0A1E2768" w14:textId="77777777" w:rsidR="0012653C" w:rsidRPr="001C3329" w:rsidRDefault="003C5B7C" w:rsidP="001642DA">
            <w:pPr>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8.3 str. (pilna byla, pagrįsta savais tyrimais)</w:t>
            </w:r>
          </w:p>
          <w:p w14:paraId="41DA7D19" w14:textId="77777777" w:rsidR="0012653C" w:rsidRPr="001C3329" w:rsidRDefault="003C5B7C" w:rsidP="001642DA">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 a str. (pripažintas medicininis vartojimas)</w:t>
            </w:r>
          </w:p>
          <w:p w14:paraId="75FE0A63" w14:textId="77777777" w:rsidR="0012653C" w:rsidRPr="001C3329" w:rsidRDefault="003C5B7C" w:rsidP="001642DA">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10.1 str. (generinis)</w:t>
            </w:r>
          </w:p>
          <w:p w14:paraId="2DE15DCB" w14:textId="77777777" w:rsidR="0012653C" w:rsidRPr="001C3329" w:rsidRDefault="003C5B7C" w:rsidP="001642DA">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10.3 str. (hibridinis)</w:t>
            </w:r>
          </w:p>
          <w:p w14:paraId="39D808E4" w14:textId="77777777" w:rsidR="0012653C" w:rsidRPr="001C3329" w:rsidRDefault="003C5B7C" w:rsidP="001642DA">
            <w:pPr>
              <w:rPr>
                <w:rStyle w:val="Style2"/>
              </w:rPr>
            </w:pPr>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10.4 str. (panašus biologinis)</w:t>
            </w:r>
          </w:p>
        </w:tc>
      </w:tr>
      <w:tr w:rsidR="0012653C" w:rsidRPr="001C3329" w14:paraId="4D88134C" w14:textId="77777777" w:rsidTr="001642DA">
        <w:trPr>
          <w:trHeight w:val="1011"/>
        </w:trPr>
        <w:tc>
          <w:tcPr>
            <w:tcW w:w="632" w:type="dxa"/>
          </w:tcPr>
          <w:p w14:paraId="563F4EF5" w14:textId="77777777" w:rsidR="0012653C" w:rsidRPr="001C3329" w:rsidRDefault="0012653C" w:rsidP="001642DA">
            <w:pPr>
              <w:jc w:val="both"/>
              <w:rPr>
                <w:rFonts w:eastAsia="Arial"/>
                <w:b/>
                <w:bCs/>
              </w:rPr>
            </w:pPr>
            <w:r w:rsidRPr="001C3329">
              <w:rPr>
                <w:rFonts w:eastAsia="Arial"/>
                <w:b/>
              </w:rPr>
              <w:t>1.4</w:t>
            </w:r>
          </w:p>
        </w:tc>
        <w:tc>
          <w:tcPr>
            <w:tcW w:w="3899" w:type="dxa"/>
          </w:tcPr>
          <w:p w14:paraId="55C4E51E" w14:textId="77777777" w:rsidR="0012653C" w:rsidRPr="001C3329" w:rsidRDefault="0012653C" w:rsidP="001642DA">
            <w:pPr>
              <w:tabs>
                <w:tab w:val="left" w:pos="284"/>
              </w:tabs>
              <w:spacing w:line="280" w:lineRule="atLeast"/>
              <w:jc w:val="both"/>
              <w:rPr>
                <w:b/>
                <w:bCs/>
                <w:lang w:eastAsia="lt-LT"/>
              </w:rPr>
            </w:pPr>
            <w:r w:rsidRPr="001C3329">
              <w:rPr>
                <w:b/>
                <w:bCs/>
                <w:lang w:eastAsia="lt-LT"/>
              </w:rPr>
              <w:t>Ar vaistinis preparatas įrašytas į Bendrijos retųjų vaistinių preparatų registrą?</w:t>
            </w:r>
          </w:p>
        </w:tc>
        <w:tc>
          <w:tcPr>
            <w:tcW w:w="4962" w:type="dxa"/>
          </w:tcPr>
          <w:p w14:paraId="7D96A11D" w14:textId="77777777" w:rsidR="0012653C" w:rsidRPr="001C3329" w:rsidRDefault="003C5B7C" w:rsidP="001642DA">
            <w:pPr>
              <w:jc w:val="both"/>
            </w:pPr>
            <w:sdt>
              <w:sdtPr>
                <w:rPr>
                  <w:rStyle w:val="Style2"/>
                </w:rPr>
                <w:id w:val="1190730465"/>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Taip       </w:t>
            </w:r>
            <w:r w:rsidR="0012653C" w:rsidRPr="001C3329">
              <w:rPr>
                <w:rStyle w:val="Style2"/>
              </w:rPr>
              <w:t xml:space="preserve"> </w:t>
            </w:r>
            <w:sdt>
              <w:sdtPr>
                <w:rPr>
                  <w:rStyle w:val="Style2"/>
                </w:rPr>
                <w:id w:val="-1760283509"/>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Ne</w:t>
            </w:r>
          </w:p>
          <w:p w14:paraId="16AFC0FC" w14:textId="77777777" w:rsidR="0012653C" w:rsidRPr="001C3329" w:rsidRDefault="0012653C" w:rsidP="001642DA">
            <w:pPr>
              <w:jc w:val="both"/>
            </w:pPr>
            <w:r w:rsidRPr="001C3329">
              <w:t xml:space="preserve">Data: </w:t>
            </w:r>
            <w:sdt>
              <w:sdtPr>
                <w:alias w:val="Nurodykite konkrečią dieną"/>
                <w:tag w:val="Nurodykite pradžios datą"/>
                <w:id w:val="1784158105"/>
                <w:placeholder>
                  <w:docPart w:val="C9F9030180744FE0B3D679E71F835902"/>
                </w:placeholder>
                <w:showingPlcHdr/>
                <w15:color w:val="FFCC99"/>
                <w:date w:fullDate="2022-05-18T00:00:00Z">
                  <w:dateFormat w:val="yyyy 'm.' MMMM d 'd.'"/>
                  <w:lid w:val="lt-LT"/>
                  <w:storeMappedDataAs w:val="dateTime"/>
                  <w:calendar w:val="gregorian"/>
                </w:date>
              </w:sdtPr>
              <w:sdtEndPr/>
              <w:sdtContent>
                <w:r w:rsidRPr="001C3329">
                  <w:rPr>
                    <w:rStyle w:val="Vietosrezervavimoenklotekstas"/>
                  </w:rPr>
                  <w:t>Click here to enter a date.</w:t>
                </w:r>
              </w:sdtContent>
            </w:sdt>
          </w:p>
          <w:p w14:paraId="6F8B494D" w14:textId="77777777" w:rsidR="0012653C" w:rsidRPr="001C3329" w:rsidRDefault="0012653C" w:rsidP="001642DA">
            <w:pPr>
              <w:jc w:val="both"/>
              <w:rPr>
                <w:rFonts w:eastAsia="Arial"/>
              </w:rPr>
            </w:pPr>
            <w:r w:rsidRPr="001C3329">
              <w:t>Nr.</w:t>
            </w:r>
          </w:p>
        </w:tc>
      </w:tr>
      <w:tr w:rsidR="0012653C" w:rsidRPr="001C3329" w14:paraId="11AC825B" w14:textId="77777777" w:rsidTr="001642DA">
        <w:trPr>
          <w:trHeight w:val="1011"/>
        </w:trPr>
        <w:tc>
          <w:tcPr>
            <w:tcW w:w="632" w:type="dxa"/>
          </w:tcPr>
          <w:p w14:paraId="78591C0E" w14:textId="77777777" w:rsidR="0012653C" w:rsidRPr="001C3329" w:rsidRDefault="0012653C" w:rsidP="001642DA">
            <w:pPr>
              <w:jc w:val="both"/>
              <w:rPr>
                <w:rFonts w:eastAsia="Arial"/>
                <w:b/>
              </w:rPr>
            </w:pPr>
            <w:r w:rsidRPr="001C3329">
              <w:rPr>
                <w:rFonts w:eastAsia="Arial"/>
                <w:b/>
                <w:bCs/>
              </w:rPr>
              <w:t>1.5</w:t>
            </w:r>
          </w:p>
        </w:tc>
        <w:tc>
          <w:tcPr>
            <w:tcW w:w="3899" w:type="dxa"/>
          </w:tcPr>
          <w:p w14:paraId="0D962FF0" w14:textId="77777777" w:rsidR="0012653C" w:rsidRPr="001C3329" w:rsidRDefault="0012653C" w:rsidP="001642DA">
            <w:pPr>
              <w:tabs>
                <w:tab w:val="left" w:pos="284"/>
              </w:tabs>
              <w:spacing w:line="280" w:lineRule="atLeast"/>
              <w:jc w:val="both"/>
              <w:rPr>
                <w:b/>
                <w:bCs/>
                <w:lang w:eastAsia="lt-LT"/>
              </w:rPr>
            </w:pPr>
            <w:r w:rsidRPr="001C3329">
              <w:rPr>
                <w:b/>
                <w:bCs/>
                <w:lang w:eastAsia="lt-LT"/>
              </w:rPr>
              <w:t>Ar atliktas bendras klinikinis vertinimas</w:t>
            </w:r>
          </w:p>
          <w:p w14:paraId="55B9BE90" w14:textId="77777777" w:rsidR="0012653C" w:rsidRPr="001C3329" w:rsidRDefault="0012653C" w:rsidP="001642DA">
            <w:pPr>
              <w:tabs>
                <w:tab w:val="left" w:pos="284"/>
              </w:tabs>
              <w:spacing w:line="280" w:lineRule="atLeast"/>
              <w:jc w:val="both"/>
              <w:rPr>
                <w:b/>
                <w:bCs/>
                <w:lang w:eastAsia="lt-LT"/>
              </w:rPr>
            </w:pPr>
            <w:r w:rsidRPr="001C3329">
              <w:rPr>
                <w:b/>
                <w:bCs/>
                <w:lang w:eastAsia="lt-LT"/>
              </w:rPr>
              <w:t>(Europos Parlamento ir Tarybos reglamentas (ES) 2021/2282)</w:t>
            </w:r>
          </w:p>
        </w:tc>
        <w:tc>
          <w:tcPr>
            <w:tcW w:w="4962" w:type="dxa"/>
          </w:tcPr>
          <w:p w14:paraId="51D072E1" w14:textId="77777777" w:rsidR="0012653C" w:rsidRPr="001C3329" w:rsidRDefault="003C5B7C" w:rsidP="001642DA">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Taip       </w:t>
            </w:r>
            <w:r w:rsidR="0012653C" w:rsidRPr="001C3329">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Ne</w:t>
            </w:r>
          </w:p>
          <w:p w14:paraId="44D3F00A" w14:textId="77777777" w:rsidR="0012653C" w:rsidRPr="001C3329" w:rsidRDefault="0012653C" w:rsidP="001642DA">
            <w:pPr>
              <w:jc w:val="both"/>
              <w:rPr>
                <w:rStyle w:val="Style2"/>
              </w:rPr>
            </w:pPr>
            <w:r w:rsidRPr="001C3329">
              <w:t xml:space="preserve">Data: </w:t>
            </w:r>
            <w:sdt>
              <w:sdtPr>
                <w:alias w:val="Nurodykite konkrečią dieną"/>
                <w:tag w:val="Nurodykite pradžios datą"/>
                <w:id w:val="1516880001"/>
                <w:placeholder>
                  <w:docPart w:val="6C9752C6CBD84186BBCEF4F37C82054C"/>
                </w:placeholder>
                <w:showingPlcHdr/>
                <w15:color w:val="FFCC99"/>
                <w:date w:fullDate="2022-05-18T00:00:00Z">
                  <w:dateFormat w:val="yyyy 'm.' MMMM d 'd.'"/>
                  <w:lid w:val="lt-LT"/>
                  <w:storeMappedDataAs w:val="dateTime"/>
                  <w:calendar w:val="gregorian"/>
                </w:date>
              </w:sdtPr>
              <w:sdtEndPr/>
              <w:sdtContent>
                <w:r w:rsidRPr="001C3329">
                  <w:rPr>
                    <w:rStyle w:val="Vietosrezervavimoenklotekstas"/>
                  </w:rPr>
                  <w:t>Click here to enter a date.</w:t>
                </w:r>
              </w:sdtContent>
            </w:sdt>
            <w:r w:rsidRPr="001C3329">
              <w:t xml:space="preserve"> </w:t>
            </w:r>
          </w:p>
        </w:tc>
      </w:tr>
      <w:tr w:rsidR="0012653C" w:rsidRPr="001C3329" w14:paraId="75AF80E1" w14:textId="77777777" w:rsidTr="001642DA">
        <w:trPr>
          <w:trHeight w:val="1278"/>
        </w:trPr>
        <w:tc>
          <w:tcPr>
            <w:tcW w:w="632" w:type="dxa"/>
          </w:tcPr>
          <w:p w14:paraId="2211A4EB" w14:textId="77777777" w:rsidR="0012653C" w:rsidRPr="001C3329" w:rsidRDefault="0012653C" w:rsidP="001642DA">
            <w:pPr>
              <w:jc w:val="both"/>
              <w:rPr>
                <w:rFonts w:eastAsia="Arial"/>
                <w:b/>
                <w:bCs/>
              </w:rPr>
            </w:pPr>
            <w:r w:rsidRPr="001C3329">
              <w:rPr>
                <w:rFonts w:eastAsia="Arial"/>
                <w:b/>
                <w:bCs/>
              </w:rPr>
              <w:lastRenderedPageBreak/>
              <w:t>1.6</w:t>
            </w:r>
          </w:p>
        </w:tc>
        <w:tc>
          <w:tcPr>
            <w:tcW w:w="3899" w:type="dxa"/>
          </w:tcPr>
          <w:p w14:paraId="19F08644" w14:textId="77777777" w:rsidR="0012653C" w:rsidRPr="001C3329" w:rsidRDefault="0012653C" w:rsidP="001642DA">
            <w:pPr>
              <w:jc w:val="both"/>
              <w:rPr>
                <w:b/>
                <w:bCs/>
                <w:lang w:eastAsia="lt-LT"/>
              </w:rPr>
            </w:pPr>
            <w:r w:rsidRPr="001C3329">
              <w:rPr>
                <w:b/>
                <w:bCs/>
                <w:lang w:eastAsia="lt-LT"/>
              </w:rPr>
              <w:t xml:space="preserve">Teikiama kompensuoti terapinė indikacija </w:t>
            </w:r>
          </w:p>
          <w:p w14:paraId="3B5BAFB4" w14:textId="77777777" w:rsidR="0012653C" w:rsidRPr="001C3329" w:rsidRDefault="0012653C" w:rsidP="001642DA">
            <w:pPr>
              <w:jc w:val="both"/>
              <w:rPr>
                <w:b/>
                <w:bCs/>
                <w:lang w:eastAsia="lt-LT"/>
              </w:rPr>
            </w:pPr>
          </w:p>
          <w:p w14:paraId="47704D6E" w14:textId="77777777" w:rsidR="0012653C" w:rsidRPr="001C3329" w:rsidRDefault="0012653C" w:rsidP="001642DA">
            <w:pPr>
              <w:jc w:val="both"/>
              <w:rPr>
                <w:b/>
                <w:bCs/>
                <w:lang w:eastAsia="lt-LT"/>
              </w:rPr>
            </w:pPr>
            <w:r w:rsidRPr="001C3329">
              <w:rPr>
                <w:b/>
                <w:bCs/>
                <w:lang w:eastAsia="lt-LT"/>
              </w:rPr>
              <w:t>Kodas pagal TLK-10 AM</w:t>
            </w:r>
          </w:p>
        </w:tc>
        <w:tc>
          <w:tcPr>
            <w:tcW w:w="4962" w:type="dxa"/>
          </w:tcPr>
          <w:p w14:paraId="3A5741EA" w14:textId="77777777" w:rsidR="0012653C" w:rsidRPr="001C3329" w:rsidRDefault="0012653C" w:rsidP="001642DA">
            <w:pPr>
              <w:jc w:val="both"/>
            </w:pPr>
            <w:r w:rsidRPr="001C3329">
              <w:t>OPDIVO yra skirtas suaugusiųjų ir 12 metų bei vyresnių paauglių pažengusios (nerezekuotinos ar metastazavusios) melanomos pirmos eilės gydymui derinant su ipilimumabu.</w:t>
            </w:r>
          </w:p>
          <w:p w14:paraId="40887664" w14:textId="77777777" w:rsidR="0012653C" w:rsidRPr="001C3329" w:rsidRDefault="0012653C" w:rsidP="001642DA">
            <w:pPr>
              <w:jc w:val="both"/>
            </w:pPr>
            <w:r w:rsidRPr="001C3329">
              <w:t>Ilgesnis išgyvenamumas be ligos progresavimo (angl. progression-free survival, PFS) ir bendras išgyvenamumas (angl. overall survival, OS) vartojant nivolumabo ir ipilimumabo derinį, palyginus su nivolumabo monoterapija, nustatytas tik esant mažai naviko PD-L1 raiškai.</w:t>
            </w:r>
          </w:p>
          <w:p w14:paraId="4E329FA3" w14:textId="77777777" w:rsidR="0012653C" w:rsidRPr="001C3329" w:rsidRDefault="0012653C" w:rsidP="001642DA">
            <w:pPr>
              <w:jc w:val="both"/>
            </w:pPr>
          </w:p>
          <w:p w14:paraId="07230ABB" w14:textId="77777777" w:rsidR="0012653C" w:rsidRPr="001C3329" w:rsidRDefault="0012653C" w:rsidP="001642DA">
            <w:pPr>
              <w:jc w:val="both"/>
            </w:pPr>
            <w:r w:rsidRPr="001C3329">
              <w:t>TLK – 10 kodas: C43</w:t>
            </w:r>
          </w:p>
          <w:p w14:paraId="665F6B98" w14:textId="77777777" w:rsidR="0012653C" w:rsidRPr="001C3329" w:rsidRDefault="0012653C" w:rsidP="001642DA">
            <w:pPr>
              <w:jc w:val="both"/>
            </w:pPr>
          </w:p>
        </w:tc>
      </w:tr>
      <w:tr w:rsidR="0012653C" w:rsidRPr="001C3329" w14:paraId="0E52D2EF" w14:textId="77777777" w:rsidTr="001642DA">
        <w:trPr>
          <w:trHeight w:val="378"/>
        </w:trPr>
        <w:tc>
          <w:tcPr>
            <w:tcW w:w="632" w:type="dxa"/>
          </w:tcPr>
          <w:p w14:paraId="68F02FB2" w14:textId="77777777" w:rsidR="0012653C" w:rsidRPr="001C3329" w:rsidRDefault="0012653C" w:rsidP="001642DA">
            <w:pPr>
              <w:jc w:val="both"/>
              <w:rPr>
                <w:rFonts w:eastAsia="Arial"/>
                <w:b/>
                <w:bCs/>
              </w:rPr>
            </w:pPr>
            <w:r w:rsidRPr="001C3329">
              <w:rPr>
                <w:rFonts w:eastAsia="Arial"/>
                <w:b/>
                <w:bCs/>
              </w:rPr>
              <w:t>1.7</w:t>
            </w:r>
          </w:p>
        </w:tc>
        <w:tc>
          <w:tcPr>
            <w:tcW w:w="3899" w:type="dxa"/>
          </w:tcPr>
          <w:p w14:paraId="6162B886" w14:textId="77777777" w:rsidR="0012653C" w:rsidRPr="001C3329" w:rsidRDefault="0012653C" w:rsidP="001642DA">
            <w:pPr>
              <w:jc w:val="both"/>
              <w:rPr>
                <w:b/>
                <w:bCs/>
                <w:u w:val="single"/>
                <w:lang w:eastAsia="lt-LT"/>
              </w:rPr>
            </w:pPr>
            <w:r w:rsidRPr="001C3329">
              <w:rPr>
                <w:b/>
                <w:bCs/>
                <w:lang w:eastAsia="lt-LT"/>
              </w:rPr>
              <w:t xml:space="preserve">Teikiamos skyrimo sąlygos </w:t>
            </w:r>
          </w:p>
        </w:tc>
        <w:tc>
          <w:tcPr>
            <w:tcW w:w="4962" w:type="dxa"/>
          </w:tcPr>
          <w:p w14:paraId="234DC5FF" w14:textId="77777777" w:rsidR="0012653C" w:rsidRPr="001C3329" w:rsidRDefault="0012653C" w:rsidP="001642DA">
            <w:pPr>
              <w:spacing w:before="240"/>
              <w:jc w:val="both"/>
              <w:rPr>
                <w:rFonts w:eastAsia="Calibri"/>
                <w:bCs/>
                <w:color w:val="000000"/>
              </w:rPr>
            </w:pPr>
            <w:r w:rsidRPr="001C3329">
              <w:rPr>
                <w:rFonts w:eastAsia="Calibri"/>
                <w:bCs/>
                <w:color w:val="000000"/>
              </w:rPr>
              <w:t xml:space="preserve">Nenustatyta BRAF V600 mutacija </w:t>
            </w:r>
          </w:p>
          <w:p w14:paraId="79B18EE4" w14:textId="77777777" w:rsidR="0012653C" w:rsidRPr="001C3329" w:rsidRDefault="0012653C" w:rsidP="001642DA">
            <w:pPr>
              <w:spacing w:before="240"/>
              <w:jc w:val="both"/>
              <w:rPr>
                <w:rFonts w:eastAsia="Calibri"/>
                <w:bCs/>
                <w:color w:val="000000"/>
              </w:rPr>
            </w:pPr>
            <w:r w:rsidRPr="001C3329">
              <w:rPr>
                <w:rFonts w:eastAsia="Calibri"/>
                <w:bCs/>
                <w:color w:val="000000"/>
              </w:rPr>
              <w:t xml:space="preserve">arba </w:t>
            </w:r>
          </w:p>
          <w:p w14:paraId="2BC3B711" w14:textId="77777777" w:rsidR="0012653C" w:rsidRPr="001C3329" w:rsidRDefault="0012653C" w:rsidP="001642DA">
            <w:pPr>
              <w:spacing w:before="240"/>
              <w:jc w:val="both"/>
              <w:rPr>
                <w:rFonts w:eastAsia="Calibri"/>
                <w:bCs/>
                <w:color w:val="000000"/>
              </w:rPr>
            </w:pPr>
            <w:r w:rsidRPr="001C3329">
              <w:rPr>
                <w:rFonts w:eastAsia="Calibri"/>
                <w:bCs/>
                <w:color w:val="000000"/>
              </w:rPr>
              <w:t>nustatyta BRAF V600 mutacija.</w:t>
            </w:r>
          </w:p>
        </w:tc>
      </w:tr>
      <w:tr w:rsidR="0012653C" w:rsidRPr="001C3329" w14:paraId="20A9E131" w14:textId="77777777" w:rsidTr="001642DA">
        <w:trPr>
          <w:trHeight w:val="378"/>
        </w:trPr>
        <w:tc>
          <w:tcPr>
            <w:tcW w:w="632" w:type="dxa"/>
          </w:tcPr>
          <w:p w14:paraId="1A72C071" w14:textId="77777777" w:rsidR="0012653C" w:rsidRPr="001C3329" w:rsidRDefault="0012653C" w:rsidP="001642DA">
            <w:pPr>
              <w:jc w:val="both"/>
              <w:rPr>
                <w:rFonts w:eastAsia="Arial"/>
                <w:b/>
                <w:bCs/>
              </w:rPr>
            </w:pPr>
            <w:r w:rsidRPr="001C3329">
              <w:rPr>
                <w:rFonts w:eastAsia="Arial"/>
                <w:b/>
                <w:bCs/>
              </w:rPr>
              <w:t>1.8</w:t>
            </w:r>
          </w:p>
        </w:tc>
        <w:tc>
          <w:tcPr>
            <w:tcW w:w="3899" w:type="dxa"/>
          </w:tcPr>
          <w:p w14:paraId="3F4D6992" w14:textId="77777777" w:rsidR="0012653C" w:rsidRPr="001C3329" w:rsidRDefault="0012653C" w:rsidP="001642DA">
            <w:pPr>
              <w:jc w:val="both"/>
              <w:rPr>
                <w:b/>
                <w:bCs/>
                <w:lang w:eastAsia="lt-LT"/>
              </w:rPr>
            </w:pPr>
            <w:r w:rsidRPr="001C3329">
              <w:rPr>
                <w:b/>
                <w:bCs/>
                <w:lang w:eastAsia="lt-LT"/>
              </w:rPr>
              <w:t>Ekonominė analizė</w:t>
            </w:r>
          </w:p>
        </w:tc>
        <w:tc>
          <w:tcPr>
            <w:tcW w:w="4962" w:type="dxa"/>
          </w:tcPr>
          <w:p w14:paraId="17D7DA90" w14:textId="77777777" w:rsidR="0012653C" w:rsidRPr="001C3329" w:rsidRDefault="003C5B7C" w:rsidP="001642DA">
            <w:pPr>
              <w:jc w:val="both"/>
            </w:pPr>
            <w:sdt>
              <w:sdtPr>
                <w:rPr>
                  <w:rStyle w:val="Style2"/>
                </w:rPr>
                <w:id w:val="356323367"/>
                <w15:color w:val="FFCC00"/>
                <w14:checkbox>
                  <w14:checked w14:val="1"/>
                  <w14:checkedState w14:val="2612" w14:font="MS Gothic"/>
                  <w14:uncheckedState w14:val="2610" w14:font="MS Gothic"/>
                </w14:checkbox>
              </w:sdtPr>
              <w:sdtEndPr>
                <w:rPr>
                  <w:rStyle w:val="Style2"/>
                </w:rPr>
              </w:sdtEndPr>
              <w:sdtContent>
                <w:r w:rsidR="0012653C" w:rsidRPr="001C3329">
                  <w:rPr>
                    <w:rStyle w:val="Style2"/>
                    <w:rFonts w:ascii="MS Gothic" w:eastAsia="MS Gothic" w:hAnsi="MS Gothic"/>
                  </w:rPr>
                  <w:t>☒</w:t>
                </w:r>
              </w:sdtContent>
            </w:sdt>
            <w:r w:rsidR="0012653C" w:rsidRPr="001C3329">
              <w:t xml:space="preserve"> Kaštų naudingumo analizė</w:t>
            </w:r>
          </w:p>
          <w:p w14:paraId="4EE87597" w14:textId="77777777" w:rsidR="0012653C" w:rsidRPr="001C3329" w:rsidRDefault="003C5B7C" w:rsidP="001642DA">
            <w:pPr>
              <w:jc w:val="both"/>
            </w:pPr>
            <w:sdt>
              <w:sdtPr>
                <w:rPr>
                  <w:rStyle w:val="Style2"/>
                </w:rPr>
                <w:id w:val="-250506580"/>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Kaštų mažinimo analizė</w:t>
            </w:r>
          </w:p>
          <w:p w14:paraId="46F4134C" w14:textId="77777777" w:rsidR="0012653C" w:rsidRPr="001C3329" w:rsidRDefault="003C5B7C" w:rsidP="001642DA">
            <w:pPr>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12653C" w:rsidRPr="001C3329">
                  <w:rPr>
                    <w:rStyle w:val="Style2"/>
                    <w:rFonts w:ascii="Segoe UI Symbol" w:eastAsia="MS Gothic" w:hAnsi="Segoe UI Symbol" w:cs="Segoe UI Symbol"/>
                  </w:rPr>
                  <w:t>☐</w:t>
                </w:r>
              </w:sdtContent>
            </w:sdt>
            <w:r w:rsidR="0012653C" w:rsidRPr="001C3329">
              <w:t xml:space="preserve"> Neteikiama</w:t>
            </w:r>
          </w:p>
          <w:p w14:paraId="1C95249A" w14:textId="77777777" w:rsidR="0012653C" w:rsidRPr="001C3329" w:rsidRDefault="0012653C" w:rsidP="001642DA">
            <w:pPr>
              <w:jc w:val="both"/>
            </w:pPr>
          </w:p>
        </w:tc>
      </w:tr>
    </w:tbl>
    <w:bookmarkEnd w:id="1"/>
    <w:p w14:paraId="2EB7FD31" w14:textId="5615B363" w:rsidR="007A2B68" w:rsidRPr="000203E1" w:rsidRDefault="00DC261A" w:rsidP="00063A50">
      <w:pPr>
        <w:pStyle w:val="Sraopastraipa"/>
        <w:tabs>
          <w:tab w:val="left" w:pos="426"/>
        </w:tabs>
        <w:ind w:left="0"/>
        <w:jc w:val="center"/>
        <w:rPr>
          <w:b/>
          <w:bCs/>
          <w:caps/>
        </w:rPr>
      </w:pPr>
      <w:r w:rsidRPr="00DC261A">
        <w:rPr>
          <w:b/>
          <w:bCs/>
          <w:caps/>
        </w:rPr>
        <w:t>___________________</w:t>
      </w:r>
    </w:p>
    <w:p w14:paraId="73290081" w14:textId="77777777" w:rsidR="007A2B68" w:rsidRPr="000203E1" w:rsidRDefault="007A2B68">
      <w:pPr>
        <w:rPr>
          <w:b/>
          <w:bCs/>
          <w:caps/>
        </w:rPr>
      </w:pPr>
      <w:r w:rsidRPr="000203E1">
        <w:rPr>
          <w:b/>
          <w:bCs/>
          <w:caps/>
        </w:rPr>
        <w:br w:type="page"/>
      </w:r>
    </w:p>
    <w:p w14:paraId="5055E8A8" w14:textId="4301BB1C" w:rsidR="002E6F80" w:rsidRPr="000203E1" w:rsidRDefault="001E0B2D" w:rsidP="00CC09D4">
      <w:pPr>
        <w:pStyle w:val="Sraopastraipa"/>
        <w:numPr>
          <w:ilvl w:val="0"/>
          <w:numId w:val="12"/>
        </w:numPr>
        <w:tabs>
          <w:tab w:val="left" w:pos="567"/>
        </w:tabs>
        <w:ind w:hanging="720"/>
        <w:rPr>
          <w:b/>
          <w:bCs/>
          <w:caps/>
        </w:rPr>
      </w:pPr>
      <w:r>
        <w:rPr>
          <w:b/>
          <w:bCs/>
          <w:caps/>
        </w:rPr>
        <w:lastRenderedPageBreak/>
        <w:t xml:space="preserve">BENDRO&gt; </w:t>
      </w:r>
      <w:r w:rsidR="00CC7832" w:rsidRPr="000203E1">
        <w:rPr>
          <w:b/>
          <w:bCs/>
          <w:caps/>
        </w:rPr>
        <w:t>Klinikinio vertinimo a</w:t>
      </w:r>
      <w:r w:rsidR="00D4485B" w:rsidRPr="000203E1">
        <w:rPr>
          <w:b/>
          <w:bCs/>
          <w:caps/>
        </w:rPr>
        <w:t>pibendrinimas</w:t>
      </w:r>
    </w:p>
    <w:p w14:paraId="72C78556" w14:textId="77777777" w:rsidR="0012653C" w:rsidRPr="007E4139" w:rsidRDefault="0012653C" w:rsidP="00D12869">
      <w:pPr>
        <w:tabs>
          <w:tab w:val="left" w:pos="284"/>
        </w:tabs>
        <w:rPr>
          <w:i/>
        </w:rPr>
      </w:pPr>
    </w:p>
    <w:p w14:paraId="2F083C87" w14:textId="77777777" w:rsidR="00D31B93" w:rsidRPr="00D31B93" w:rsidRDefault="00D31B93" w:rsidP="007E4139">
      <w:pPr>
        <w:spacing w:line="320" w:lineRule="exact"/>
        <w:ind w:firstLine="720"/>
        <w:jc w:val="both"/>
        <w:rPr>
          <w:szCs w:val="20"/>
        </w:rPr>
      </w:pPr>
      <w:r w:rsidRPr="00D31B93">
        <w:rPr>
          <w:bCs/>
          <w:szCs w:val="20"/>
        </w:rPr>
        <w:t>Odos melanoma</w:t>
      </w:r>
      <w:r w:rsidRPr="00D31B93">
        <w:rPr>
          <w:szCs w:val="20"/>
        </w:rPr>
        <w:t xml:space="preserve"> – piktybinis odos navikas, susiformuojantis iš melanocitinių ląstelių, kurios pradeda nekontroliuojamai daugintis. Dažniausiai pažeidžiama oda, taip pat navikas gali formuotis gleivinėse, junginėje, tinklainėje, stiklakūnyje bei smegenų dangaluose.</w:t>
      </w:r>
      <w:r w:rsidRPr="00D31B93">
        <w:rPr>
          <w:b/>
          <w:bCs/>
          <w:caps/>
          <w:szCs w:val="20"/>
        </w:rPr>
        <w:t xml:space="preserve"> </w:t>
      </w:r>
      <w:r w:rsidRPr="00D31B93">
        <w:rPr>
          <w:szCs w:val="20"/>
        </w:rPr>
        <w:t xml:space="preserve">Melanoma sudaro 3 – 5 proc. visų odos navikų, pasižymi greitu metastazavimu. </w:t>
      </w:r>
    </w:p>
    <w:p w14:paraId="6A06E214" w14:textId="2D5514E0" w:rsidR="00D31B93" w:rsidRPr="00D31B93" w:rsidRDefault="00D31B93" w:rsidP="00D31B93">
      <w:pPr>
        <w:spacing w:after="80" w:line="276" w:lineRule="auto"/>
        <w:ind w:firstLine="720"/>
        <w:jc w:val="both"/>
        <w:rPr>
          <w:szCs w:val="20"/>
        </w:rPr>
      </w:pPr>
      <w:r w:rsidRPr="00D31B93">
        <w:rPr>
          <w:bCs/>
          <w:szCs w:val="20"/>
        </w:rPr>
        <w:t>Sergamumas melanoma priklauso nuo regiono.</w:t>
      </w:r>
      <w:r w:rsidRPr="00D31B93">
        <w:rPr>
          <w:b/>
          <w:szCs w:val="20"/>
        </w:rPr>
        <w:t xml:space="preserve"> </w:t>
      </w:r>
      <w:r w:rsidRPr="00D31B93">
        <w:rPr>
          <w:szCs w:val="20"/>
        </w:rPr>
        <w:t>Europos Viduržemio jūros šalyse sergamumas yra 3-5 atv. / 100 000 gyventojų,  tačiau Europos šiauriniuose regionuose jis yra 4-7 kartus didesnis: 12-35 atv. /100 000 gyventojų. Jungtinėse Amerikos Valstijose - 20 – 30 atv. /100 000 gyventojų, o Australijoje/Naujoje Zelandijoje yra apie 50 – 60 atv. /100 000 gyventojų. Pažymėtina, kad 5 – 10 proc. melanomų diagnozuojama pacientams, kurių kraujo giminės sirgo melanoma. Metastazavusi melanoma yra vienas iš agresyviausių odos navikų pastaruoju metu diagnozuojamas vis dažniau. Melanoma gali plisti limfogeniniu bei hematogeniniu keliu. Maždaug du trečdaliai metastazių yra regioniniuose limfmazgiuose. Regioninės metastazės skir</w:t>
      </w:r>
      <w:r w:rsidR="00E057AD">
        <w:rPr>
          <w:szCs w:val="20"/>
        </w:rPr>
        <w:t>s</w:t>
      </w:r>
      <w:r w:rsidRPr="00D31B93">
        <w:rPr>
          <w:szCs w:val="20"/>
        </w:rPr>
        <w:t>tomos yra satelitines metastazes (nutolusias iki 2 cm nuo pirminio naviko) bei tarpinės (tranzitines) metastazes (2 cm tarp pirminio naviko ir pirmojo sritinio limfmazgio). Metastazės regioniniuose limfmazgiuose skir</w:t>
      </w:r>
      <w:r w:rsidR="00E057AD">
        <w:rPr>
          <w:szCs w:val="20"/>
        </w:rPr>
        <w:t>s</w:t>
      </w:r>
      <w:r w:rsidRPr="00D31B93">
        <w:rPr>
          <w:szCs w:val="20"/>
        </w:rPr>
        <w:t>tomos į mikrometastazės, kurios nustatomos tik atlikus sarginio limfmazgio biopsiją, nenustatomos nei palpacijos, nei jokiais instrumentiniais vaizdiniais tyrimais bei makrometastazės (kliniškai atpažįstamos metastazės regioniniuose limfmazgiuose). Dažniausiai melanoma metastazuoja į plaučius (70-87 proc.), kepenis (54-77 proc.), odą, poodį ir limfmazgius (50-75 proc.), virškinimo traktą (26-58 proc.), antinksčius (36-54 proc.), kaulus (23-49 proc.), inkstus (35-48 proc.), širdį (40-45 proc.), smegenis – 36-54 proc. atvejų. 40 proc. III C stadijos pacientų išgyvena 5 metus, 24 proc. – 10 metų. Esant IV stadijos melanomai, 5 metus išgyvena 15 – 20 proc. pacientų, 10 – 15 proc. išgyvena 10 metų.</w:t>
      </w:r>
    </w:p>
    <w:p w14:paraId="251C0DB5" w14:textId="77777777" w:rsidR="00D31B93" w:rsidRPr="00D31B93" w:rsidRDefault="00D31B93" w:rsidP="00D31B93">
      <w:pPr>
        <w:tabs>
          <w:tab w:val="left" w:pos="426"/>
        </w:tabs>
        <w:spacing w:line="276" w:lineRule="auto"/>
        <w:jc w:val="both"/>
        <w:rPr>
          <w:rFonts w:eastAsia="Arial"/>
          <w:iCs/>
        </w:rPr>
      </w:pPr>
      <w:r w:rsidRPr="00D31B93">
        <w:rPr>
          <w:rFonts w:eastAsia="Arial"/>
          <w:iCs/>
        </w:rPr>
        <w:t>Šiuo metu Lietuvoje sveikatos apsaugos ministro patvirtinto odos melanomos gydymo kompensuojamaisiais vaistais tvarkos aprašo nėra. Lietuvoje 2025 m. galiojantis ligų ir kompensuojamų vaistų sąrašas (A sarašas, V-49) išplitusios (neoperuotinos arba metastazavusios) melanomos pirmaeiliam gydymui galimi šie pasirinkimai:</w:t>
      </w:r>
    </w:p>
    <w:p w14:paraId="40469692" w14:textId="77777777" w:rsidR="00D31B93" w:rsidRPr="00D31B93" w:rsidRDefault="00D31B93" w:rsidP="00D31B93">
      <w:pPr>
        <w:numPr>
          <w:ilvl w:val="0"/>
          <w:numId w:val="15"/>
        </w:numPr>
        <w:tabs>
          <w:tab w:val="left" w:pos="426"/>
        </w:tabs>
        <w:spacing w:line="276" w:lineRule="auto"/>
        <w:contextualSpacing/>
        <w:jc w:val="both"/>
        <w:rPr>
          <w:rFonts w:eastAsia="Arial"/>
          <w:iCs/>
        </w:rPr>
      </w:pPr>
      <w:r w:rsidRPr="00D31B93">
        <w:rPr>
          <w:rFonts w:eastAsia="Arial"/>
          <w:iCs/>
        </w:rPr>
        <w:t>Nustačius BRAF V600 mutacija skiriamas vemurafenibo ir kobimetinibo derinys arba dabrafenibo ir trametinibo derinys. Abu deriniai lygiaverčiai.</w:t>
      </w:r>
    </w:p>
    <w:p w14:paraId="6F0B3342" w14:textId="77777777" w:rsidR="00D31B93" w:rsidRPr="00D31B93" w:rsidRDefault="00D31B93" w:rsidP="00D31B93">
      <w:pPr>
        <w:numPr>
          <w:ilvl w:val="0"/>
          <w:numId w:val="15"/>
        </w:numPr>
        <w:tabs>
          <w:tab w:val="left" w:pos="426"/>
        </w:tabs>
        <w:spacing w:line="276" w:lineRule="auto"/>
        <w:contextualSpacing/>
        <w:jc w:val="both"/>
        <w:rPr>
          <w:rFonts w:eastAsia="Arial"/>
          <w:iCs/>
        </w:rPr>
      </w:pPr>
      <w:r w:rsidRPr="00D31B93">
        <w:rPr>
          <w:rFonts w:eastAsia="Arial"/>
          <w:iCs/>
        </w:rPr>
        <w:t xml:space="preserve">Nenustačius BRAF mutacijos skiriama monoterapija  pembrolizumabas arba nivolumabu. </w:t>
      </w:r>
    </w:p>
    <w:p w14:paraId="1BBA4B1D" w14:textId="77777777" w:rsidR="00D31B93" w:rsidRPr="00D31B93" w:rsidRDefault="00D31B93" w:rsidP="00D31B93">
      <w:pPr>
        <w:tabs>
          <w:tab w:val="left" w:pos="426"/>
        </w:tabs>
        <w:spacing w:line="276" w:lineRule="auto"/>
        <w:jc w:val="both"/>
      </w:pPr>
      <w:r w:rsidRPr="00D31B93">
        <w:rPr>
          <w:rFonts w:eastAsia="Arial"/>
          <w:iCs/>
        </w:rPr>
        <w:t xml:space="preserve">Pareiškėjas teiki siūlymą kompensuoti nivolumbą derinyje su ipilimumabu </w:t>
      </w:r>
      <w:r w:rsidRPr="00D31B93">
        <w:t>suaugusiųjų ir 12 metų bei vyresnių paauglių pažengusios (nerezekuotinos ar metastazavusios) melanomos pirmos eilės gydymui.</w:t>
      </w:r>
    </w:p>
    <w:p w14:paraId="54E04CCF" w14:textId="11BF1403" w:rsidR="00D31B93" w:rsidRPr="00D31B93" w:rsidRDefault="007E4139" w:rsidP="00D31B93">
      <w:pPr>
        <w:tabs>
          <w:tab w:val="left" w:pos="426"/>
        </w:tabs>
        <w:spacing w:line="276" w:lineRule="auto"/>
        <w:jc w:val="both"/>
        <w:rPr>
          <w:bCs/>
          <w:iCs/>
          <w:color w:val="000000"/>
          <w:lang w:eastAsia="lt-LT"/>
        </w:rPr>
      </w:pPr>
      <w:r>
        <w:rPr>
          <w:rFonts w:eastAsia="Arial"/>
          <w:iCs/>
        </w:rPr>
        <w:tab/>
      </w:r>
      <w:r w:rsidR="00D31B93" w:rsidRPr="00D31B93">
        <w:rPr>
          <w:rFonts w:eastAsia="Arial"/>
          <w:iCs/>
        </w:rPr>
        <w:t>Įvertinus klinikinio tyrimo CheckMate 067 populiaciją, kurios  didžioji dalis buvo  pacientų neturėjo teigimo BRAF mutacijos statuso (68 proc.), o naviko PD-L1 raiška buvo mažiau nei  5 proc. nustatyta 67 proc. pacientų visoje tyrimo populiacijoje, laikoma, kad monoterapija nivolumabu tink</w:t>
      </w:r>
      <w:r>
        <w:rPr>
          <w:rFonts w:eastAsia="Arial"/>
          <w:iCs/>
        </w:rPr>
        <w:t>a</w:t>
      </w:r>
      <w:r w:rsidR="00D31B93" w:rsidRPr="00D31B93">
        <w:rPr>
          <w:rFonts w:eastAsia="Arial"/>
          <w:iCs/>
        </w:rPr>
        <w:t xml:space="preserve">mas palyginamasis gydymas. </w:t>
      </w:r>
      <w:r w:rsidR="00D31B93" w:rsidRPr="00D31B93">
        <w:rPr>
          <w:rFonts w:eastAsia="Arial"/>
          <w:iCs/>
          <w:color w:val="000000"/>
        </w:rPr>
        <w:t xml:space="preserve">Remiantis </w:t>
      </w:r>
      <w:r w:rsidR="00D31B93" w:rsidRPr="00D31B93">
        <w:rPr>
          <w:bCs/>
          <w:iCs/>
          <w:color w:val="000000"/>
          <w:lang w:eastAsia="lt-LT"/>
        </w:rPr>
        <w:t>P</w:t>
      </w:r>
      <w:r w:rsidR="00D31B93" w:rsidRPr="00D31B93">
        <w:rPr>
          <w:bCs/>
          <w:iCs/>
          <w:color w:val="000000"/>
          <w:szCs w:val="20"/>
        </w:rPr>
        <w:t xml:space="preserve">araiškos įrašyti vaistinį preparatą į kompensavimo sąrašus rengimo taisyklių, patvirtintų </w:t>
      </w:r>
      <w:r w:rsidR="00D31B93" w:rsidRPr="00D31B93">
        <w:rPr>
          <w:bCs/>
          <w:iCs/>
          <w:color w:val="000000"/>
          <w:lang w:eastAsia="lt-LT"/>
        </w:rPr>
        <w:t>Lietuvos Respublikos sveikatos apsaugos ministro 2002 m. balandžio 5 d. įsakymu Nr. V-159 „Dė</w:t>
      </w:r>
      <w:r w:rsidR="00D31B93" w:rsidRPr="00D31B93">
        <w:rPr>
          <w:bCs/>
          <w:iCs/>
          <w:color w:val="000000"/>
          <w:szCs w:val="20"/>
        </w:rPr>
        <w:t xml:space="preserve">l vaistinių preparatų ir medicinos pagalbos priemonių įrašymo į kompensavimo sąrašus ir jų keitimo tvarkos aprašo patvirtinimo“ </w:t>
      </w:r>
      <w:r w:rsidR="00D31B93" w:rsidRPr="00D31B93">
        <w:rPr>
          <w:bCs/>
          <w:iCs/>
          <w:color w:val="000000"/>
          <w:lang w:eastAsia="lt-LT"/>
        </w:rPr>
        <w:t xml:space="preserve">116 - 119 punktais laikoma, kad </w:t>
      </w:r>
      <w:r w:rsidR="00D31B93" w:rsidRPr="00D31B93">
        <w:rPr>
          <w:iCs/>
          <w:color w:val="000000"/>
          <w:szCs w:val="20"/>
        </w:rPr>
        <w:t>monoterapija nivolumabu</w:t>
      </w:r>
      <w:r w:rsidR="00D31B93" w:rsidRPr="00D31B93">
        <w:rPr>
          <w:bCs/>
          <w:iCs/>
          <w:color w:val="000000"/>
          <w:lang w:eastAsia="lt-LT"/>
        </w:rPr>
        <w:t>.</w:t>
      </w:r>
    </w:p>
    <w:p w14:paraId="513AF89F" w14:textId="77777777" w:rsidR="007E4139" w:rsidRDefault="007E4139" w:rsidP="00D31B93">
      <w:pPr>
        <w:spacing w:after="80" w:line="276" w:lineRule="auto"/>
        <w:jc w:val="both"/>
        <w:rPr>
          <w:i/>
          <w:iCs/>
          <w:szCs w:val="20"/>
        </w:rPr>
      </w:pPr>
    </w:p>
    <w:p w14:paraId="3BEF80A9" w14:textId="6A6F7727" w:rsidR="00D31B93" w:rsidRPr="007E4139" w:rsidRDefault="00D31B93" w:rsidP="00D31B93">
      <w:pPr>
        <w:spacing w:after="80" w:line="276" w:lineRule="auto"/>
        <w:jc w:val="both"/>
        <w:rPr>
          <w:i/>
          <w:iCs/>
          <w:szCs w:val="20"/>
        </w:rPr>
      </w:pPr>
      <w:r w:rsidRPr="007E4139">
        <w:rPr>
          <w:i/>
          <w:iCs/>
          <w:szCs w:val="20"/>
        </w:rPr>
        <w:t>Tiesioginis palyginimas</w:t>
      </w:r>
    </w:p>
    <w:p w14:paraId="6E27969A" w14:textId="2D0BE349" w:rsidR="00D31B93" w:rsidRPr="00D31B93" w:rsidRDefault="00D31B93" w:rsidP="00D31B93">
      <w:pPr>
        <w:spacing w:after="80" w:line="276" w:lineRule="auto"/>
        <w:jc w:val="both"/>
        <w:rPr>
          <w:rFonts w:eastAsia="Arial"/>
          <w:bCs/>
        </w:rPr>
      </w:pPr>
      <w:r w:rsidRPr="00D31B93">
        <w:rPr>
          <w:rFonts w:eastAsia="Arial"/>
          <w:bCs/>
        </w:rPr>
        <w:lastRenderedPageBreak/>
        <w:t>Pareiškėjas pateikė tiesioginio palyginimo klinikinį tyrimą CheckMate 067, kuriame nivolumabo ir ipilimumabo derinio veiksmingumas ir saugumas lyginamas su monoterapija nivolumabu arba ipilimumabu.</w:t>
      </w:r>
      <w:r w:rsidRPr="00D31B93">
        <w:rPr>
          <w:szCs w:val="20"/>
        </w:rPr>
        <w:t xml:space="preserve"> </w:t>
      </w:r>
      <w:r w:rsidRPr="00D31B93">
        <w:rPr>
          <w:iCs/>
          <w:szCs w:val="20"/>
        </w:rPr>
        <w:t xml:space="preserve">Tyrimo populiacija – </w:t>
      </w:r>
      <w:r w:rsidRPr="00D31B93">
        <w:t>suaugusieji p</w:t>
      </w:r>
      <w:r w:rsidR="007E4139">
        <w:t>a</w:t>
      </w:r>
      <w:r w:rsidRPr="00D31B93">
        <w:t xml:space="preserve">cientai, sergantieji pažengusia (nerezekuotinos ar metastazavusia) melanoma - </w:t>
      </w:r>
      <w:r w:rsidRPr="00D31B93">
        <w:rPr>
          <w:iCs/>
          <w:szCs w:val="20"/>
        </w:rPr>
        <w:t xml:space="preserve"> atitinka Lietuvos pacientų sergančių pažengusia melanoma populiaciją. </w:t>
      </w:r>
      <w:r w:rsidRPr="00D31B93">
        <w:rPr>
          <w:rFonts w:eastAsia="Arial"/>
        </w:rPr>
        <w:t xml:space="preserve">Į CheckMate 067 tyrimą buvo įtraukti suaugę pacientai, kurie sirgo patvirtinta neoperuotina III ar IV stadijos melanoma. Pacientų funkcinė būklė pagal ECOG kriterijus buvo įvertinta 0 arba 1. Visi pacientai anksčiau nebuvo gydyti dėl neoperuojamos arba metastazavusios melanomos, iš viso 945 </w:t>
      </w:r>
      <w:r w:rsidRPr="00D31B93">
        <w:rPr>
          <w:iCs/>
          <w:szCs w:val="20"/>
        </w:rPr>
        <w:t>pacientai.</w:t>
      </w:r>
      <w:r w:rsidRPr="00D31B93">
        <w:rPr>
          <w:szCs w:val="20"/>
        </w:rPr>
        <w:t xml:space="preserve"> </w:t>
      </w:r>
      <w:r w:rsidRPr="00D31B93">
        <w:rPr>
          <w:rFonts w:eastAsia="Arial"/>
        </w:rPr>
        <w:t>Pacientai buvo randomizuotu būdu buvo suskirstyti vartoti nivolumabo derinį su ipilimumabu (n = 314), vien nivolumabą (n = 316) arba vien ipilimumabą (n = 315).</w:t>
      </w:r>
      <w:r w:rsidRPr="00D31B93">
        <w:rPr>
          <w:szCs w:val="20"/>
        </w:rPr>
        <w:t xml:space="preserve"> </w:t>
      </w:r>
      <w:r w:rsidRPr="00D31B93">
        <w:rPr>
          <w:rFonts w:eastAsia="Arial"/>
          <w:bCs/>
        </w:rPr>
        <w:t xml:space="preserve">IbLP ir BI buvo pagrindinės pirminės baigtys, kurios buvo vertinamos bendroje pacientų bei iš anksto numatytuose pogrupiuose: pagal naviko PD-L1 statusą, BRAF statusą ir M stadiją. </w:t>
      </w:r>
    </w:p>
    <w:p w14:paraId="7FC98F86" w14:textId="77777777" w:rsidR="00D31B93" w:rsidRPr="00D31B93" w:rsidRDefault="00D31B93" w:rsidP="00D31B93">
      <w:pPr>
        <w:spacing w:line="276" w:lineRule="auto"/>
        <w:jc w:val="both"/>
        <w:rPr>
          <w:rFonts w:eastAsia="Arial"/>
        </w:rPr>
      </w:pPr>
      <w:r w:rsidRPr="00D31B93">
        <w:rPr>
          <w:rFonts w:eastAsia="Arial"/>
          <w:u w:val="single"/>
        </w:rPr>
        <w:t>Išgyvenamumas be ligos progresavimo</w:t>
      </w:r>
      <w:r w:rsidRPr="00D31B93">
        <w:rPr>
          <w:rFonts w:eastAsia="Arial"/>
        </w:rPr>
        <w:t xml:space="preserve">. Po 5 minimalaus stebėjimo metų bendroje pacientų populiacijoje IbLP analizės rezultatai parodė, kad ligos progresija ir mirties atvejų rizika sumažėjo 21 proc. gydant pacientus NIVO+IPI deriniu palyginus su monoterapija NIVO. RS buvo 0,79 (95 proc. PI: 0,64-0,96). Vertinant pacientų, kurie buvo be ligos progresijos ir gyvi analizės metu, dalis, NVO+PI grupėje tokių buvo 36 proc., o NOVO grupėje – 29 proc.. </w:t>
      </w:r>
    </w:p>
    <w:p w14:paraId="7293F200" w14:textId="77777777" w:rsidR="00D31B93" w:rsidRPr="00D31B93" w:rsidRDefault="00D31B93" w:rsidP="00D31B93">
      <w:pPr>
        <w:spacing w:after="80" w:line="276" w:lineRule="auto"/>
        <w:jc w:val="both"/>
        <w:rPr>
          <w:rFonts w:eastAsia="Arial"/>
        </w:rPr>
      </w:pPr>
      <w:r w:rsidRPr="00D31B93">
        <w:rPr>
          <w:rFonts w:eastAsia="Arial"/>
        </w:rPr>
        <w:t>Iš anksto numatytų pogrupių analizė parodė, kad pacientai, kuriems buvo nustatyta minimali PD-L1 raiška (&lt;1 proc. ir &lt;5 proc.), turėjo 23 proc. - 34 proc. (atitinkamai) mažesnė IbLP įvykio tikimybė, jei buvo gydomi NOVO+IPI deriniu, nei tik NOVO. Gydant NOVO+IPI deriniu pacientai, kuriems buvo nustatyti BRAF mutacija, turėjo reikšmingai mažesnė IbLP įvykių tikimybė palyginus su gydymo tik NOVO. RS buvo 0,60 (95 proc. PI: 0,43-0,86).</w:t>
      </w:r>
    </w:p>
    <w:p w14:paraId="30B7E09D" w14:textId="7869CF85" w:rsidR="00D31B93" w:rsidRPr="00D31B93" w:rsidRDefault="00D31B93" w:rsidP="00D31B93">
      <w:pPr>
        <w:spacing w:after="80" w:line="276" w:lineRule="auto"/>
        <w:jc w:val="both"/>
        <w:rPr>
          <w:szCs w:val="20"/>
        </w:rPr>
      </w:pPr>
      <w:r w:rsidRPr="00D31B93">
        <w:rPr>
          <w:rFonts w:eastAsia="Arial"/>
          <w:u w:val="single"/>
        </w:rPr>
        <w:t>Bendras išgyvenamumas.</w:t>
      </w:r>
      <w:r w:rsidRPr="00D31B93">
        <w:rPr>
          <w:rFonts w:eastAsia="Arial"/>
        </w:rPr>
        <w:t xml:space="preserve"> Po 5 stebėjimo metų, vidutinė BI mediana nebuvo pasiekta (95 % PI: 38,2, nepasiekta]) nivolumabo ir ipilimumabo grupėje, o nivolumabo monoterapijos grupėje ji buvo 36,9 mėnesio (95 % PI: 28,2, 58,7). Po 5 metų gyvų pacientų nivolumabo ir ipilimumabo grupėje buvo 52 proc. nivolumabo ir ipilimumabo grupėje, o nivolumabo monoterapijos grupėje - 44 proc.. Nors NOVO+IPI grupėje išgyv</w:t>
      </w:r>
      <w:r w:rsidR="007E4139">
        <w:rPr>
          <w:rFonts w:eastAsia="Arial"/>
        </w:rPr>
        <w:t>enu</w:t>
      </w:r>
      <w:r w:rsidRPr="00D31B93">
        <w:rPr>
          <w:rFonts w:eastAsia="Arial"/>
        </w:rPr>
        <w:t>sių paci</w:t>
      </w:r>
      <w:r w:rsidR="007E4139">
        <w:rPr>
          <w:rFonts w:eastAsia="Arial"/>
        </w:rPr>
        <w:t>e</w:t>
      </w:r>
      <w:r w:rsidRPr="00D31B93">
        <w:rPr>
          <w:rFonts w:eastAsia="Arial"/>
        </w:rPr>
        <w:t>ntų buvo daugiau, nei NOVO grupėje, RS nebuvo statistiškai reikšmingas NOVO+IPI gydymo atžvelgiu: RS-0,83 (95 proc. PI: 0,66-1,03)</w:t>
      </w:r>
      <w:r w:rsidRPr="00D31B93">
        <w:rPr>
          <w:szCs w:val="20"/>
        </w:rPr>
        <w:t xml:space="preserve">. </w:t>
      </w:r>
      <w:r w:rsidRPr="00D31B93">
        <w:rPr>
          <w:rFonts w:eastAsia="Arial"/>
        </w:rPr>
        <w:t>Vertinant BI analizės rezultatus iš anksto numatytuose pogrupiuose, nustatyta, kad BI yra reikšmingi geresnis NOVO-IPI grupėje, jei pacientams buvo PD-L1 raiška nustatyta &lt; 1 proc.. IbLP geresni rezultatai pacientams su didesne PD-L1 raiška, pagal BRAF mutacijos statusą neatsispindėjo BI rezultatuose gydant pacientus NOVO+IPI. Vertinant RS skirtumų pagal BRAF mutacijos statusą arba esant didesnei PD-L1 raiškai nebuvo nustatyta (pav. 5). Esant PD-L1 raiškai &lt;1 proc., BI RS buvo 0,69 (95 proc. PI: 0,5-0,97).</w:t>
      </w:r>
    </w:p>
    <w:p w14:paraId="1930AF32" w14:textId="796E3D35" w:rsidR="00D31B93" w:rsidRPr="00D31B93" w:rsidRDefault="00D31B93" w:rsidP="00D31B93">
      <w:pPr>
        <w:spacing w:after="80" w:line="276" w:lineRule="auto"/>
        <w:jc w:val="both"/>
        <w:rPr>
          <w:szCs w:val="20"/>
        </w:rPr>
      </w:pPr>
      <w:r w:rsidRPr="00D31B93">
        <w:rPr>
          <w:szCs w:val="20"/>
        </w:rPr>
        <w:t>Apibendrinant penkerių metų stebėjimo nuo gydymo pradžios rezultatus, nustatyta, kad gydymas nivolumabu ir ipilimumaabu nėra veiksmingesnis lyginant su monoterapija nivolumabu bendroje populiacijoje. Tačiau tam tikriems pacientams gydymas nivolumbu derinyje su ipilimumabu gali būti naudingas lyginant su monoterapija nivolumabu, vertinant pagal išgyvenamumo be ligos progresavimo (t.y ligos progresija ir mirtis nuo bet kokios priežasties) ir bendro išgyvenamumo rezultatus. Nustačius PD-L1 raišką &lt; 1 proc. gydymas nivolumabu ir ipilimumabu mažina IbLP įvykių tikimybę 34 proc. palyginus su monoterapija nivolumabu. Vertinant mirties rizika nuo bet kokios priežasties, gydymas nivolumbu ir ipilimumabu mažina mirties įvykio tikimybę 31 proc. palyginus su monoterapija nivolumabu. BI rezultatai kituose iš anksto numatymuose pogrupiuose reikšmingų skirtumų neparodė tarp palyginamųjų grupių (t.y. NOVO+IPI vs. NOVO).</w:t>
      </w:r>
    </w:p>
    <w:p w14:paraId="7BBDC190" w14:textId="77777777" w:rsidR="00D31B93" w:rsidRPr="007E4139" w:rsidRDefault="00D31B93" w:rsidP="00D31B93">
      <w:pPr>
        <w:spacing w:after="80" w:line="276" w:lineRule="auto"/>
        <w:jc w:val="both"/>
        <w:rPr>
          <w:i/>
          <w:iCs/>
          <w:szCs w:val="20"/>
        </w:rPr>
      </w:pPr>
      <w:r w:rsidRPr="007E4139">
        <w:rPr>
          <w:i/>
          <w:iCs/>
          <w:szCs w:val="20"/>
        </w:rPr>
        <w:t>Papildomos analizės ir tyrimai</w:t>
      </w:r>
    </w:p>
    <w:p w14:paraId="39B7BE8E" w14:textId="77777777" w:rsidR="00D31B93" w:rsidRPr="00D31B93" w:rsidRDefault="00D31B93" w:rsidP="00D31B93">
      <w:pPr>
        <w:spacing w:line="276" w:lineRule="auto"/>
        <w:jc w:val="both"/>
        <w:rPr>
          <w:rFonts w:eastAsia="Arial"/>
        </w:rPr>
      </w:pPr>
      <w:r w:rsidRPr="00D31B93">
        <w:rPr>
          <w:rFonts w:eastAsia="Arial"/>
          <w:i/>
          <w:iCs/>
        </w:rPr>
        <w:lastRenderedPageBreak/>
        <w:t xml:space="preserve">Post hoc </w:t>
      </w:r>
      <w:r w:rsidRPr="00D31B93">
        <w:rPr>
          <w:rFonts w:eastAsia="Arial"/>
        </w:rPr>
        <w:t>analizės metu buvo papildomai įvertinta trukmė nuo paskutinės tyrimo vaisto dozės iki sekančios eilės sisteminio gydymo arba iki paskutinės žinomos datos, kai pacientas išgyvena. Vidutinis laikotarpis be gydymo, nivolumabo ir ipilimumabo grupėje be gydymo trukmė (18,1 mėn.) buvo daugiau nei 9 kartus ilgesnis nei nivolumabo monoterapijos (1,8 mėn.).</w:t>
      </w:r>
    </w:p>
    <w:p w14:paraId="59161032" w14:textId="77777777" w:rsidR="00D31B93" w:rsidRPr="00D31B93" w:rsidRDefault="00D31B93" w:rsidP="00D31B93">
      <w:pPr>
        <w:spacing w:after="80" w:line="276" w:lineRule="auto"/>
        <w:ind w:firstLine="720"/>
        <w:jc w:val="both"/>
        <w:rPr>
          <w:szCs w:val="20"/>
        </w:rPr>
      </w:pPr>
      <w:r w:rsidRPr="00D31B93">
        <w:rPr>
          <w:rFonts w:eastAsia="Arial"/>
        </w:rPr>
        <w:t>Po 10 metų stebėjimo, BI NIVO+IPI grupėje buvo ilgesnis nei NOVO grupėje, tačiau nepasiekė reikšmingo skirtumą, vertinant RS: 0,85 (95 PI: 0,65-1,05) ir atkartojo 5 metų stebėjimo rezultatus. Nors tendencija dėl ilgesnio išgyvenamumo bendroje populiacijoje buvo palanki NOVO+IPI, statistiškai reikšmingo skirtumo nepavyko pasiekti. Vertinant BI specifiškai dėl melanomos, rezultatai buvo panašūs, tačiau atspindėjo tik palankesne tendencija NOVO+IPI gydymo atžvelgiu. Pažymėtina, kad nepriklausomai nuo BRAF mutacijos statuso (+/-) BI mediana buvo ilgesnė gydant pacientus NOVO+IPI, nei tik NOVO monoterapija. Tačiau abejose pogrupiuose tai buvo nustatyta palanki tendencija, nes RS</w:t>
      </w:r>
      <w:r w:rsidRPr="00D31B93">
        <w:rPr>
          <w:rFonts w:eastAsia="Arial"/>
          <w:vertAlign w:val="subscript"/>
        </w:rPr>
        <w:t>BRAF</w:t>
      </w:r>
      <w:r w:rsidRPr="00D31B93">
        <w:rPr>
          <w:rFonts w:eastAsia="Arial"/>
        </w:rPr>
        <w:t>+ buvo 0,68 (95 proc. PI: 0,45-1,02) ir RS</w:t>
      </w:r>
      <w:r w:rsidRPr="00D31B93">
        <w:rPr>
          <w:rFonts w:eastAsia="Arial"/>
          <w:vertAlign w:val="subscript"/>
        </w:rPr>
        <w:t>BRAF</w:t>
      </w:r>
      <w:r w:rsidRPr="00D31B93">
        <w:rPr>
          <w:rFonts w:eastAsia="Arial"/>
        </w:rPr>
        <w:t>- buvo 0,88 (95 proc. PI: 0,67-1,15)</w:t>
      </w:r>
      <w:r w:rsidRPr="00D31B93">
        <w:rPr>
          <w:szCs w:val="20"/>
        </w:rPr>
        <w:t>.</w:t>
      </w:r>
    </w:p>
    <w:p w14:paraId="3E783A5C" w14:textId="77777777" w:rsidR="00D31B93" w:rsidRPr="00D31B93" w:rsidRDefault="00D31B93" w:rsidP="00D31B93">
      <w:pPr>
        <w:spacing w:after="80" w:line="276" w:lineRule="auto"/>
        <w:ind w:firstLine="720"/>
        <w:jc w:val="both"/>
        <w:rPr>
          <w:szCs w:val="20"/>
        </w:rPr>
      </w:pPr>
      <w:r w:rsidRPr="00D31B93">
        <w:rPr>
          <w:szCs w:val="20"/>
        </w:rPr>
        <w:t xml:space="preserve">Pareiškėjas pateikė du 2 fazės klinikinius tyrimus, kuriuose buvo tyrimas NOVO+IPI veiksmingumas esant melanomos metastazėms smegenyse. Kadangi CheckMate 204 tyrimas buvo vienos šakos, atviras klinikinis tyrimas, palyginamasis NOVO-IPI veiksmingumas negali būti nustatytas. ST vertinime  buvo atsižvelgta tik į ABC tyrimo rezultatus. Remiantis ABC tyrimo pirminės analizės rezultatais, matoma palanki tendencija NOVO-IPI derinio atžvelgiu dėl geresnio veiksmingumo, palyginus su NOVO monoterapija gydant pacientus su sergančių melanoma, metastazavusia į smegenis. </w:t>
      </w:r>
    </w:p>
    <w:p w14:paraId="2563C05A" w14:textId="77777777" w:rsidR="00D31B93" w:rsidRPr="00D31B93" w:rsidRDefault="00D31B93" w:rsidP="007E4139">
      <w:pPr>
        <w:spacing w:line="276" w:lineRule="auto"/>
        <w:ind w:firstLine="720"/>
        <w:jc w:val="both"/>
        <w:rPr>
          <w:rFonts w:eastAsia="Arial"/>
        </w:rPr>
      </w:pPr>
      <w:r w:rsidRPr="00D31B93">
        <w:rPr>
          <w:szCs w:val="20"/>
        </w:rPr>
        <w:t xml:space="preserve">Nivolumabo ir ipilimumabo derinio saugumas gerai žinomas, kadangi šis derinys turi skirtingos lokalizacijos vėžio registruotas terapinės indikacijas. </w:t>
      </w:r>
      <w:r w:rsidRPr="00D31B93">
        <w:rPr>
          <w:rFonts w:eastAsia="Arial"/>
        </w:rPr>
        <w:t>Atsižvelgiant į pateiktus pareiškėjo duomenis, gydymo, laiko po gydymo nutraukimo dėl bet kokios priežasties ir laikotarpio be gydymo metu gyveniimo kokybės pokyčiai nivolumabo ir ipilimumabo bei nivolumabo monoterapijos grupių pacientams rodo, kad reikšmingo ilgalaikio gyvenimo kokybės pablogėjimo nebuvo.</w:t>
      </w:r>
    </w:p>
    <w:p w14:paraId="7ED709DE" w14:textId="75FDC3C3" w:rsidR="00D31B93" w:rsidRPr="00D31B93" w:rsidRDefault="00D31B93" w:rsidP="00D31B93">
      <w:pPr>
        <w:spacing w:line="276" w:lineRule="auto"/>
        <w:ind w:firstLine="720"/>
        <w:jc w:val="both"/>
        <w:rPr>
          <w:rFonts w:eastAsia="Arial"/>
        </w:rPr>
      </w:pPr>
      <w:r w:rsidRPr="00D31B93">
        <w:rPr>
          <w:rFonts w:eastAsia="Arial"/>
        </w:rPr>
        <w:t xml:space="preserve">Apibendrinant, nivolumbo ir ipilimumabo klinikinis veiksmingumas </w:t>
      </w:r>
      <w:r w:rsidR="007E4139">
        <w:rPr>
          <w:rFonts w:eastAsia="Arial"/>
        </w:rPr>
        <w:t>yra</w:t>
      </w:r>
      <w:r w:rsidRPr="00D31B93">
        <w:rPr>
          <w:rFonts w:eastAsia="Arial"/>
        </w:rPr>
        <w:t xml:space="preserve"> didesnis, p</w:t>
      </w:r>
      <w:r w:rsidR="007E4139">
        <w:rPr>
          <w:rFonts w:eastAsia="Arial"/>
        </w:rPr>
        <w:t>a</w:t>
      </w:r>
      <w:r w:rsidRPr="00D31B93">
        <w:rPr>
          <w:rFonts w:eastAsia="Arial"/>
        </w:rPr>
        <w:t>lyginus su įprast</w:t>
      </w:r>
      <w:r w:rsidR="007E4139">
        <w:rPr>
          <w:rFonts w:eastAsia="Arial"/>
        </w:rPr>
        <w:t>a</w:t>
      </w:r>
      <w:r w:rsidRPr="00D31B93">
        <w:rPr>
          <w:rFonts w:eastAsia="Arial"/>
        </w:rPr>
        <w:t xml:space="preserve"> klinikine praktika Lietuvoje, jei skiriamas </w:t>
      </w:r>
      <w:r w:rsidRPr="00D31B93">
        <w:t>pacientams pažengusios (nerezekuotinos ar metastazavusios) melanomos pirmos eilės gydymui</w:t>
      </w:r>
      <w:r w:rsidRPr="00D31B93">
        <w:rPr>
          <w:rFonts w:eastAsia="Arial"/>
        </w:rPr>
        <w:t>. Nors p</w:t>
      </w:r>
      <w:r w:rsidR="007E4139">
        <w:rPr>
          <w:rFonts w:eastAsia="Arial"/>
        </w:rPr>
        <w:t>a</w:t>
      </w:r>
      <w:r w:rsidRPr="00D31B93">
        <w:rPr>
          <w:rFonts w:eastAsia="Arial"/>
        </w:rPr>
        <w:t>r</w:t>
      </w:r>
      <w:r w:rsidR="007E4139">
        <w:rPr>
          <w:rFonts w:eastAsia="Arial"/>
        </w:rPr>
        <w:t>e</w:t>
      </w:r>
      <w:r w:rsidRPr="00D31B93">
        <w:rPr>
          <w:rFonts w:eastAsia="Arial"/>
        </w:rPr>
        <w:t>iškėj</w:t>
      </w:r>
      <w:r w:rsidR="007E4139">
        <w:rPr>
          <w:rFonts w:eastAsia="Arial"/>
        </w:rPr>
        <w:t>a</w:t>
      </w:r>
      <w:r w:rsidRPr="00D31B93">
        <w:rPr>
          <w:rFonts w:eastAsia="Arial"/>
        </w:rPr>
        <w:t>s nepateikė</w:t>
      </w:r>
      <w:r w:rsidRPr="00D31B93">
        <w:rPr>
          <w:szCs w:val="20"/>
        </w:rPr>
        <w:t xml:space="preserve"> </w:t>
      </w:r>
      <w:r w:rsidRPr="00D31B93">
        <w:rPr>
          <w:rFonts w:eastAsia="Arial"/>
        </w:rPr>
        <w:t>atskirų klinikinių duomenų dėl NOVO-IPI veiksmingumo vaikams nuo 12 metų ir vyresniems paaugliams</w:t>
      </w:r>
      <w:r w:rsidR="007E4139">
        <w:rPr>
          <w:rFonts w:eastAsia="Arial"/>
        </w:rPr>
        <w:t>, t</w:t>
      </w:r>
      <w:r w:rsidRPr="00D31B93">
        <w:rPr>
          <w:rFonts w:eastAsia="Arial"/>
        </w:rPr>
        <w:t>ačiau atsižvelgiant į ligos retumą tarp vaikų ir paauglių bei Preparato charakteristikos santraukoje 5 skyriuje nurodyt</w:t>
      </w:r>
      <w:r w:rsidR="007E4139">
        <w:rPr>
          <w:rFonts w:eastAsia="Arial"/>
        </w:rPr>
        <w:t>ą</w:t>
      </w:r>
      <w:r w:rsidRPr="00D31B93">
        <w:rPr>
          <w:rFonts w:eastAsia="Arial"/>
        </w:rPr>
        <w:t xml:space="preserve"> informaciją apie gydymą nivolumabu derinyje su ipilimumabu vaikų populiacijoje, Tarnyba mano, kad šio derinio kompensavimo sąlygos turi būti taikomos ne tik suaugusiems, bet ir vaikams nuo 12 metų bei vyresniems paaugliams, kai nustatyta PD-L1 raiška &lt; 1 proc. nepriklausomai nuo BRAF mutacijų </w:t>
      </w:r>
      <w:r w:rsidR="007E4139">
        <w:rPr>
          <w:rFonts w:eastAsia="Arial"/>
        </w:rPr>
        <w:t>buvimo</w:t>
      </w:r>
      <w:r w:rsidRPr="00D31B93">
        <w:rPr>
          <w:rFonts w:eastAsia="Arial"/>
        </w:rPr>
        <w:t>.</w:t>
      </w:r>
    </w:p>
    <w:p w14:paraId="39C1ADA8" w14:textId="77777777" w:rsidR="00AC5129" w:rsidRPr="000203E1" w:rsidRDefault="00AC5129" w:rsidP="00A93AA6">
      <w:pPr>
        <w:pStyle w:val="Sraopastraipa"/>
        <w:tabs>
          <w:tab w:val="left" w:pos="426"/>
        </w:tabs>
        <w:ind w:left="0"/>
        <w:rPr>
          <w:b/>
          <w:bCs/>
          <w:caps/>
        </w:rPr>
      </w:pPr>
    </w:p>
    <w:p w14:paraId="7DE09EB5" w14:textId="69E9DD74" w:rsidR="00E03C3F" w:rsidRPr="000203E1" w:rsidRDefault="00CC7832" w:rsidP="00CC09D4">
      <w:pPr>
        <w:pStyle w:val="Sraopastraipa"/>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4826E5DF" w:rsidR="00C62B36" w:rsidRPr="007E4139" w:rsidRDefault="00C62B36" w:rsidP="00A93AA6">
      <w:pPr>
        <w:tabs>
          <w:tab w:val="left" w:pos="426"/>
        </w:tabs>
        <w:rPr>
          <w:i/>
        </w:rPr>
      </w:pPr>
    </w:p>
    <w:p w14:paraId="63BCFB4B" w14:textId="2D637C3A" w:rsidR="00FB51F9" w:rsidRDefault="00FB51F9" w:rsidP="007E4139">
      <w:pPr>
        <w:spacing w:line="276" w:lineRule="auto"/>
        <w:ind w:firstLine="720"/>
        <w:jc w:val="both"/>
        <w:rPr>
          <w:rFonts w:eastAsia="Arial"/>
          <w:bCs/>
          <w:iCs/>
          <w:szCs w:val="22"/>
        </w:rPr>
      </w:pPr>
      <w:r w:rsidRPr="007E4139">
        <w:rPr>
          <w:rFonts w:eastAsia="Arial"/>
        </w:rPr>
        <w:t xml:space="preserve">Klinikinio vertinimo metu nustačius </w:t>
      </w:r>
      <w:r w:rsidRPr="007E4139">
        <w:rPr>
          <w:rFonts w:eastAsia="Arial"/>
          <w:i/>
          <w:iCs/>
        </w:rPr>
        <w:t xml:space="preserve">didesnį </w:t>
      </w:r>
      <w:r w:rsidRPr="007E4139">
        <w:rPr>
          <w:rFonts w:eastAsia="Arial"/>
        </w:rPr>
        <w:t xml:space="preserve">palyginamąjį veiksmingumą lyginant su įprasta klinikine </w:t>
      </w:r>
      <w:r w:rsidRPr="001C3329">
        <w:rPr>
          <w:rFonts w:eastAsia="Arial"/>
        </w:rPr>
        <w:t>praktika,</w:t>
      </w:r>
      <w:r w:rsidRPr="001C3329">
        <w:t xml:space="preserve"> atliekamas </w:t>
      </w:r>
      <w:r w:rsidRPr="001C3329">
        <w:rPr>
          <w:rFonts w:eastAsia="Arial"/>
          <w:bCs/>
          <w:szCs w:val="22"/>
        </w:rPr>
        <w:t xml:space="preserve">kaštų </w:t>
      </w:r>
      <w:r w:rsidRPr="001C3329">
        <w:rPr>
          <w:rFonts w:eastAsia="Arial"/>
          <w:i/>
          <w:iCs/>
          <w:szCs w:val="22"/>
        </w:rPr>
        <w:t>naudingumo</w:t>
      </w:r>
      <w:r w:rsidRPr="001C3329">
        <w:rPr>
          <w:rFonts w:eastAsia="Arial"/>
          <w:bCs/>
          <w:szCs w:val="22"/>
        </w:rPr>
        <w:t xml:space="preserve"> analizės vertinimas</w:t>
      </w:r>
      <w:r w:rsidRPr="001C3329">
        <w:t>.</w:t>
      </w:r>
      <w:r>
        <w:t xml:space="preserve"> </w:t>
      </w:r>
      <w:r>
        <w:rPr>
          <w:lang w:eastAsia="lt-LT"/>
        </w:rPr>
        <w:t>Analizuojama pacientų, sergančių nerezek</w:t>
      </w:r>
      <w:r w:rsidR="007E4139">
        <w:rPr>
          <w:lang w:eastAsia="lt-LT"/>
        </w:rPr>
        <w:t>uotina</w:t>
      </w:r>
      <w:r>
        <w:rPr>
          <w:lang w:eastAsia="lt-LT"/>
        </w:rPr>
        <w:t xml:space="preserve"> ar metasta</w:t>
      </w:r>
      <w:r w:rsidR="007E4139">
        <w:rPr>
          <w:lang w:eastAsia="lt-LT"/>
        </w:rPr>
        <w:t>zavusia</w:t>
      </w:r>
      <w:r>
        <w:rPr>
          <w:lang w:eastAsia="lt-LT"/>
        </w:rPr>
        <w:t xml:space="preserve"> melanoma, populiacija. Taikomas pirmaeilis gydymas. Ši pacientų populiacija atitinka ITT populiacija klinikiniame tyrime CheckMate 067. </w:t>
      </w:r>
      <w:r w:rsidRPr="001C3329">
        <w:rPr>
          <w:rFonts w:eastAsia="Arial"/>
          <w:bCs/>
          <w:szCs w:val="22"/>
        </w:rPr>
        <w:t>Ekonominėje analizėje pateiktas palyginamasis gydymas atitinka įprastą Lietuvos Respublikos klinikinę praktiką</w:t>
      </w:r>
      <w:r>
        <w:rPr>
          <w:rFonts w:eastAsia="Arial"/>
          <w:bCs/>
          <w:szCs w:val="22"/>
        </w:rPr>
        <w:t xml:space="preserve"> - </w:t>
      </w:r>
      <w:r>
        <w:rPr>
          <w:rFonts w:eastAsia="Arial"/>
          <w:bCs/>
          <w:iCs/>
          <w:szCs w:val="22"/>
        </w:rPr>
        <w:t>t</w:t>
      </w:r>
      <w:r w:rsidRPr="00457BDA">
        <w:rPr>
          <w:rFonts w:eastAsia="Arial"/>
          <w:bCs/>
          <w:iCs/>
          <w:szCs w:val="22"/>
        </w:rPr>
        <w:t>iesioginio palyginimo dalyje aprašytas palyginimas su nivolumabo monoterapija.</w:t>
      </w:r>
      <w:r>
        <w:rPr>
          <w:rFonts w:eastAsia="Arial"/>
          <w:bCs/>
          <w:iCs/>
          <w:szCs w:val="22"/>
        </w:rPr>
        <w:t xml:space="preserve"> Analizėje taikoma viso gyvenimo laiko perspektyva – tokia pasirinkta laiko perspektyva laikoma tinkama.</w:t>
      </w:r>
    </w:p>
    <w:p w14:paraId="64014C74" w14:textId="77777777" w:rsidR="00FB51F9" w:rsidRDefault="00FB51F9" w:rsidP="007E4139">
      <w:pPr>
        <w:spacing w:line="276" w:lineRule="auto"/>
        <w:jc w:val="both"/>
        <w:rPr>
          <w:lang w:eastAsia="lt-LT"/>
        </w:rPr>
      </w:pPr>
      <w:r>
        <w:rPr>
          <w:lang w:eastAsia="lt-LT"/>
        </w:rPr>
        <w:lastRenderedPageBreak/>
        <w:t>Analizėje taikomas modeliavimas – padalintos kohortos išgyvenamumo modelis. Modelyje taikoma 1 savaitės ciklo trukmė, pirmas 28 savaites, po to taikoma 4 savaičių ciklo trukmė.</w:t>
      </w:r>
    </w:p>
    <w:p w14:paraId="20DEE0AC" w14:textId="622284AE" w:rsidR="00FB51F9" w:rsidRDefault="00FB51F9" w:rsidP="007E4139">
      <w:pPr>
        <w:spacing w:line="276" w:lineRule="auto"/>
        <w:jc w:val="both"/>
        <w:rPr>
          <w:lang w:eastAsia="lt-LT"/>
        </w:rPr>
      </w:pPr>
      <w:r>
        <w:rPr>
          <w:lang w:eastAsia="lt-LT"/>
        </w:rPr>
        <w:t xml:space="preserve">Analizė grindžiama tiesioginio palyginimo duomenimis iš CheckMate 067 (CM067) klinikinio tyrimo. Vertinamųjų baigčių ekstrapoliacijai pasirenkamos funkcijos pagal jų statistinį ir vizualinį tinkamumą. Toks ekstrapoliacijų pasirinkimas Tarnybai yra priimtinas, tačiau analizuojamam atvejui pasirinkus funkcijas, kurios pasižymi šiek tiek prastesniu statistiniu tinkamumu – ICER kyla reikšmingai (beveik </w:t>
      </w:r>
      <w:r w:rsidR="005107EF">
        <w:rPr>
          <w:lang w:eastAsia="lt-LT"/>
        </w:rPr>
        <w:t>*</w:t>
      </w:r>
      <w:r>
        <w:rPr>
          <w:lang w:eastAsia="lt-LT"/>
        </w:rPr>
        <w:t xml:space="preserve"> kartus didesnis ICER įvertis, keičiant BI ekstrapoliavimo funkcijas), vis dėlto, atsižvelgiant į tai, jog šios funkcijos pasižymi </w:t>
      </w:r>
      <w:r w:rsidR="00285BA3" w:rsidRPr="008C3FAC">
        <w:rPr>
          <w:lang w:eastAsia="lt-LT"/>
        </w:rPr>
        <w:t>***</w:t>
      </w:r>
      <w:r w:rsidRPr="008C3FAC">
        <w:rPr>
          <w:lang w:eastAsia="lt-LT"/>
        </w:rPr>
        <w:t xml:space="preserve"> </w:t>
      </w:r>
      <w:r>
        <w:rPr>
          <w:lang w:eastAsia="lt-LT"/>
        </w:rPr>
        <w:t>statistiniu ir vizualiniu atitikimu KM duomenims, Pareiškėjo pateiktas vertinamųjų baigčių ekstrapoliacijos metodas laikomas priimtinu.</w:t>
      </w:r>
    </w:p>
    <w:p w14:paraId="215DFADB" w14:textId="77777777" w:rsidR="00FB51F9" w:rsidRDefault="00FB51F9" w:rsidP="007E4139">
      <w:pPr>
        <w:spacing w:line="276" w:lineRule="auto"/>
        <w:jc w:val="both"/>
        <w:rPr>
          <w:lang w:eastAsia="lt-LT"/>
        </w:rPr>
      </w:pPr>
      <w:r>
        <w:rPr>
          <w:lang w:eastAsia="lt-LT"/>
        </w:rPr>
        <w:t>Gyvenimo kokybės įverčiai analizėje grindžiami klinikinio tyrimo CM067 duomenimis. Papildomai pateikti gyvenimo kokybės įverčiai iš NICE tarnybos atlikto vertinimo Melanomos indikacijai. Modelyje suteikta galimybė gyvenimo kokybės įverčius koreguoti pagal amžių – ši prielaida taikoma pagrindinio atvejo analizėje.</w:t>
      </w:r>
    </w:p>
    <w:p w14:paraId="2D6D6B44" w14:textId="77777777" w:rsidR="00FB51F9" w:rsidRDefault="00FB51F9" w:rsidP="007E4139">
      <w:pPr>
        <w:spacing w:line="276" w:lineRule="auto"/>
        <w:jc w:val="both"/>
        <w:rPr>
          <w:lang w:eastAsia="lt-LT"/>
        </w:rPr>
      </w:pPr>
      <w:r>
        <w:rPr>
          <w:lang w:eastAsia="lt-LT"/>
        </w:rPr>
        <w:t>Pareiškėjo teigimu, nėra viešų duomenų apie pacientų proporcijas skirtingose gydymo eilėse, todėl siekiant konservatyvumo, laikoma, jog sekančios eilės gydymas bus vienodas abiejose pacientų grupėse. Tokia prielaida yra priimtina. Analizėje ligos valdymo kaštai įvertinami pagal asmens sveikatos priežiūros paslaugų poreikį remiantis NICE TA ENCO+BINI vertinimu. Tarnyba vertina, jog nėra aišku ar šie įvertinti kaštai atitinka Lietuvos praktiką, tačiau atsižvelgiant į jų įtaką analizės rezultatui, laikoma, jog analizė rezultatas yra tinkamas sprendimo priėmimui.</w:t>
      </w:r>
    </w:p>
    <w:p w14:paraId="59B8E306" w14:textId="77777777" w:rsidR="00FB51F9" w:rsidRDefault="00FB51F9" w:rsidP="007E4139">
      <w:pPr>
        <w:spacing w:line="276" w:lineRule="auto"/>
        <w:jc w:val="both"/>
        <w:rPr>
          <w:lang w:eastAsia="lt-LT"/>
        </w:rPr>
      </w:pPr>
      <w:r>
        <w:rPr>
          <w:lang w:eastAsia="lt-LT"/>
        </w:rPr>
        <w:t>Įvertinus analizės rezultatą, nustatyta, jog nivolumabo ir ipilimumabo derinys yra kaštams naudingas, kai nustatyta vidutinio sunkumo ligos našta.</w:t>
      </w:r>
    </w:p>
    <w:p w14:paraId="462DBD1E" w14:textId="77777777" w:rsidR="00FB51F9" w:rsidRPr="00164D64" w:rsidRDefault="00FB51F9"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BE7489">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8" w:type="dxa"/>
            <w:tcBorders>
              <w:right w:val="single" w:sz="4" w:space="0" w:color="auto"/>
            </w:tcBorders>
          </w:tcPr>
          <w:p w14:paraId="1CACF0B4" w14:textId="47830A4A" w:rsidR="00BA5DBC" w:rsidRPr="000203E1" w:rsidRDefault="005107EF" w:rsidP="00BA5DBC">
            <w:pPr>
              <w:tabs>
                <w:tab w:val="left" w:pos="567"/>
              </w:tabs>
              <w:jc w:val="both"/>
              <w:rPr>
                <w:i/>
                <w:iCs/>
                <w:lang w:eastAsia="lt-LT"/>
              </w:rPr>
            </w:pPr>
            <w:r>
              <w:rPr>
                <w:i/>
                <w:iCs/>
                <w:lang w:eastAsia="lt-LT"/>
              </w:rPr>
              <w:t>***</w:t>
            </w:r>
            <w:r w:rsidR="00FB51F9">
              <w:rPr>
                <w:i/>
                <w:iCs/>
                <w:lang w:eastAsia="lt-LT"/>
              </w:rPr>
              <w:t xml:space="preserve"> eur</w:t>
            </w:r>
          </w:p>
        </w:tc>
      </w:tr>
      <w:tr w:rsidR="000203E1" w:rsidRPr="000203E1" w14:paraId="49F818A3" w14:textId="77777777" w:rsidTr="00BE7489">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8" w:type="dxa"/>
            <w:tcBorders>
              <w:right w:val="single" w:sz="4" w:space="0" w:color="auto"/>
            </w:tcBorders>
          </w:tcPr>
          <w:p w14:paraId="4954817B" w14:textId="474F1D4A" w:rsidR="00BA5DBC" w:rsidRPr="000203E1" w:rsidRDefault="005107EF" w:rsidP="00BA5DBC">
            <w:pPr>
              <w:tabs>
                <w:tab w:val="left" w:pos="567"/>
              </w:tabs>
              <w:jc w:val="both"/>
              <w:rPr>
                <w:i/>
                <w:iCs/>
                <w:lang w:eastAsia="lt-LT"/>
              </w:rPr>
            </w:pPr>
            <w:r>
              <w:rPr>
                <w:i/>
                <w:iCs/>
                <w:lang w:eastAsia="lt-LT"/>
              </w:rPr>
              <w:t>***</w:t>
            </w:r>
          </w:p>
        </w:tc>
      </w:tr>
      <w:tr w:rsidR="000203E1" w:rsidRPr="000203E1" w14:paraId="20ADA742" w14:textId="77777777" w:rsidTr="00BE7489">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8" w:type="dxa"/>
            <w:tcBorders>
              <w:right w:val="single" w:sz="4" w:space="0" w:color="auto"/>
            </w:tcBorders>
          </w:tcPr>
          <w:p w14:paraId="02E4DAE1" w14:textId="09FE7480" w:rsidR="00BA5DBC" w:rsidRPr="000203E1" w:rsidRDefault="005107EF" w:rsidP="00BA5DBC">
            <w:pPr>
              <w:tabs>
                <w:tab w:val="left" w:pos="567"/>
              </w:tabs>
              <w:jc w:val="both"/>
              <w:rPr>
                <w:i/>
                <w:iCs/>
                <w:lang w:eastAsia="lt-LT"/>
              </w:rPr>
            </w:pPr>
            <w:r>
              <w:rPr>
                <w:i/>
                <w:iCs/>
                <w:lang w:eastAsia="lt-LT"/>
              </w:rPr>
              <w:t>***</w:t>
            </w:r>
          </w:p>
        </w:tc>
      </w:tr>
      <w:tr w:rsidR="000203E1" w:rsidRPr="000203E1" w14:paraId="1FADA2B3" w14:textId="77777777" w:rsidTr="00BE7489">
        <w:trPr>
          <w:trHeight w:val="267"/>
          <w:jc w:val="center"/>
        </w:trPr>
        <w:tc>
          <w:tcPr>
            <w:tcW w:w="6200" w:type="dxa"/>
            <w:tcBorders>
              <w:left w:val="single" w:sz="4" w:space="0" w:color="auto"/>
            </w:tcBorders>
          </w:tcPr>
          <w:p w14:paraId="13E089E8" w14:textId="0BCEB339" w:rsidR="00BA5DBC" w:rsidRPr="000203E1" w:rsidRDefault="00BA5DBC" w:rsidP="009E44AE">
            <w:pPr>
              <w:tabs>
                <w:tab w:val="left" w:pos="567"/>
              </w:tabs>
              <w:jc w:val="right"/>
              <w:rPr>
                <w:iCs/>
                <w:lang w:eastAsia="lt-LT"/>
              </w:rPr>
            </w:pPr>
            <w:r w:rsidRPr="000203E1">
              <w:rPr>
                <w:iCs/>
                <w:lang w:eastAsia="lt-LT"/>
              </w:rPr>
              <w:t>ICER už LY</w:t>
            </w:r>
          </w:p>
        </w:tc>
        <w:tc>
          <w:tcPr>
            <w:tcW w:w="3238" w:type="dxa"/>
            <w:tcBorders>
              <w:right w:val="single" w:sz="4" w:space="0" w:color="auto"/>
            </w:tcBorders>
          </w:tcPr>
          <w:p w14:paraId="2817448D" w14:textId="507C980B" w:rsidR="00BA5DBC" w:rsidRPr="000203E1" w:rsidRDefault="005107EF" w:rsidP="009E44AE">
            <w:pPr>
              <w:tabs>
                <w:tab w:val="left" w:pos="567"/>
              </w:tabs>
              <w:jc w:val="both"/>
              <w:rPr>
                <w:i/>
                <w:iCs/>
                <w:lang w:eastAsia="lt-LT"/>
              </w:rPr>
            </w:pPr>
            <w:r>
              <w:rPr>
                <w:i/>
                <w:iCs/>
                <w:lang w:eastAsia="lt-LT"/>
              </w:rPr>
              <w:t xml:space="preserve">*** </w:t>
            </w:r>
            <w:r w:rsidR="00FB51F9">
              <w:rPr>
                <w:i/>
                <w:iCs/>
                <w:lang w:eastAsia="lt-LT"/>
              </w:rPr>
              <w:t>eur/LY</w:t>
            </w:r>
          </w:p>
        </w:tc>
      </w:tr>
      <w:tr w:rsidR="000203E1" w:rsidRPr="000203E1" w14:paraId="250DE960" w14:textId="77777777" w:rsidTr="00BE7489">
        <w:trPr>
          <w:trHeight w:val="267"/>
          <w:jc w:val="center"/>
        </w:trPr>
        <w:tc>
          <w:tcPr>
            <w:tcW w:w="6200" w:type="dxa"/>
            <w:tcBorders>
              <w:left w:val="single" w:sz="4" w:space="0" w:color="auto"/>
            </w:tcBorders>
          </w:tcPr>
          <w:p w14:paraId="207EFB23" w14:textId="77777777" w:rsidR="009E44AE" w:rsidRPr="000203E1" w:rsidRDefault="009E44AE" w:rsidP="009E44AE">
            <w:pPr>
              <w:tabs>
                <w:tab w:val="left" w:pos="567"/>
              </w:tabs>
              <w:jc w:val="right"/>
              <w:rPr>
                <w:iCs/>
                <w:lang w:eastAsia="lt-LT"/>
              </w:rPr>
            </w:pPr>
            <w:r w:rsidRPr="000203E1">
              <w:rPr>
                <w:iCs/>
                <w:lang w:eastAsia="lt-LT"/>
              </w:rPr>
              <w:t>ICER už QALY</w:t>
            </w:r>
          </w:p>
        </w:tc>
        <w:tc>
          <w:tcPr>
            <w:tcW w:w="3238" w:type="dxa"/>
            <w:tcBorders>
              <w:right w:val="single" w:sz="4" w:space="0" w:color="auto"/>
            </w:tcBorders>
          </w:tcPr>
          <w:p w14:paraId="4275320D" w14:textId="2DBDAE40" w:rsidR="009E44AE" w:rsidRPr="000203E1" w:rsidRDefault="005107EF" w:rsidP="009E44AE">
            <w:pPr>
              <w:tabs>
                <w:tab w:val="left" w:pos="567"/>
              </w:tabs>
              <w:jc w:val="both"/>
              <w:rPr>
                <w:i/>
                <w:iCs/>
                <w:lang w:eastAsia="lt-LT"/>
              </w:rPr>
            </w:pPr>
            <w:r>
              <w:rPr>
                <w:i/>
                <w:iCs/>
                <w:lang w:eastAsia="lt-LT"/>
              </w:rPr>
              <w:t xml:space="preserve">*** </w:t>
            </w:r>
            <w:r w:rsidR="00FB51F9">
              <w:rPr>
                <w:i/>
                <w:iCs/>
                <w:lang w:eastAsia="lt-LT"/>
              </w:rPr>
              <w:t>eur/QALY</w:t>
            </w:r>
          </w:p>
        </w:tc>
      </w:tr>
      <w:tr w:rsidR="000203E1" w:rsidRPr="000203E1"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3471AFB3" w:rsidR="009E44AE" w:rsidRPr="000203E1" w:rsidRDefault="00437623" w:rsidP="009E44AE">
            <w:pPr>
              <w:tabs>
                <w:tab w:val="left" w:pos="567"/>
              </w:tabs>
              <w:jc w:val="right"/>
              <w:rPr>
                <w:iCs/>
                <w:lang w:eastAsia="lt-LT"/>
              </w:rPr>
            </w:pPr>
            <w:r>
              <w:rPr>
                <w:iCs/>
                <w:lang w:eastAsia="lt-LT"/>
              </w:rPr>
              <w:t>Referenc</w:t>
            </w:r>
            <w:r w:rsidR="009E44AE" w:rsidRPr="000203E1">
              <w:rPr>
                <w:iCs/>
                <w:lang w:eastAsia="lt-LT"/>
              </w:rPr>
              <w:t>inė kaštų naudingumo vertė</w:t>
            </w:r>
          </w:p>
        </w:tc>
        <w:tc>
          <w:tcPr>
            <w:tcW w:w="3238" w:type="dxa"/>
            <w:tcBorders>
              <w:left w:val="single" w:sz="4" w:space="0" w:color="auto"/>
              <w:bottom w:val="single" w:sz="4" w:space="0" w:color="auto"/>
              <w:right w:val="single" w:sz="4" w:space="0" w:color="auto"/>
            </w:tcBorders>
          </w:tcPr>
          <w:p w14:paraId="31DAA72E" w14:textId="74ADB60E" w:rsidR="009E44AE" w:rsidRPr="000203E1" w:rsidRDefault="005107EF" w:rsidP="009E44AE">
            <w:pPr>
              <w:tabs>
                <w:tab w:val="left" w:pos="567"/>
              </w:tabs>
              <w:jc w:val="both"/>
              <w:rPr>
                <w:i/>
                <w:iCs/>
                <w:lang w:eastAsia="lt-LT"/>
              </w:rPr>
            </w:pPr>
            <w:r>
              <w:rPr>
                <w:i/>
                <w:iCs/>
                <w:lang w:eastAsia="lt-LT"/>
              </w:rPr>
              <w:t xml:space="preserve">*** </w:t>
            </w:r>
            <w:r w:rsidR="00FB51F9">
              <w:rPr>
                <w:i/>
                <w:iCs/>
                <w:lang w:eastAsia="lt-LT"/>
              </w:rPr>
              <w:t>eur/QALY</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77777777" w:rsidR="0035172D" w:rsidRPr="000203E1" w:rsidRDefault="0035172D" w:rsidP="00A93AA6">
      <w:pPr>
        <w:tabs>
          <w:tab w:val="left" w:pos="426"/>
        </w:tabs>
        <w:rPr>
          <w:b/>
          <w:bCs/>
          <w:caps/>
        </w:rPr>
      </w:pPr>
    </w:p>
    <w:p w14:paraId="4FC424F9" w14:textId="4E767245" w:rsidR="00C62B36"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54351841" w14:textId="77777777" w:rsidR="00C9728E" w:rsidRPr="000203E1" w:rsidRDefault="00C9728E" w:rsidP="00C9728E">
      <w:pPr>
        <w:pStyle w:val="Sraopastraipa"/>
        <w:tabs>
          <w:tab w:val="left" w:pos="567"/>
        </w:tabs>
        <w:rPr>
          <w:b/>
          <w:bCs/>
          <w:caps/>
        </w:rPr>
      </w:pPr>
    </w:p>
    <w:p w14:paraId="62992180" w14:textId="3B68417F" w:rsidR="00937907" w:rsidRPr="000203E1" w:rsidRDefault="00937907" w:rsidP="00937907">
      <w:pPr>
        <w:spacing w:after="120"/>
        <w:jc w:val="both"/>
      </w:pPr>
      <w:r w:rsidRPr="000203E1">
        <w:t xml:space="preserve">Pacientų organizacijos pozicija </w:t>
      </w:r>
      <w:r w:rsidR="00880A44" w:rsidRPr="000203E1">
        <w:t>ne</w:t>
      </w:r>
      <w:r w:rsidRPr="000203E1">
        <w:t>pateikta.</w:t>
      </w:r>
    </w:p>
    <w:p w14:paraId="03E73D82" w14:textId="77777777" w:rsidR="00D417D2" w:rsidRPr="000203E1" w:rsidRDefault="00D417D2" w:rsidP="00937907">
      <w:pPr>
        <w:spacing w:after="120"/>
        <w:jc w:val="both"/>
      </w:pPr>
    </w:p>
    <w:p w14:paraId="3D3277FA" w14:textId="09414FFF" w:rsidR="00C62B36" w:rsidRDefault="00D67BAF" w:rsidP="00CC09D4">
      <w:pPr>
        <w:pStyle w:val="Sraopastraipa"/>
        <w:numPr>
          <w:ilvl w:val="0"/>
          <w:numId w:val="12"/>
        </w:numPr>
        <w:tabs>
          <w:tab w:val="left" w:pos="567"/>
        </w:tabs>
        <w:ind w:hanging="720"/>
        <w:rPr>
          <w:b/>
          <w:bCs/>
          <w:caps/>
        </w:rPr>
      </w:pPr>
      <w:r w:rsidRPr="00D67BAF">
        <w:rPr>
          <w:b/>
          <w:bCs/>
          <w:caps/>
        </w:rPr>
        <w:t xml:space="preserve">SVEIKATOS PRIEŽIŪROS SPECIALISTŲ </w:t>
      </w:r>
      <w:r w:rsidR="00C62B36" w:rsidRPr="000203E1">
        <w:rPr>
          <w:b/>
          <w:bCs/>
          <w:caps/>
        </w:rPr>
        <w:t xml:space="preserve"> organizacijų pateikti duomenys</w:t>
      </w:r>
    </w:p>
    <w:p w14:paraId="044D5084" w14:textId="77777777" w:rsidR="00C9728E" w:rsidRPr="000203E1" w:rsidRDefault="00C9728E" w:rsidP="00C9728E">
      <w:pPr>
        <w:pStyle w:val="Sraopastraipa"/>
        <w:tabs>
          <w:tab w:val="left" w:pos="567"/>
        </w:tabs>
        <w:rPr>
          <w:b/>
          <w:bCs/>
          <w:caps/>
        </w:rPr>
      </w:pPr>
    </w:p>
    <w:p w14:paraId="5D8CC48C" w14:textId="3DE02544" w:rsidR="00662983" w:rsidRPr="000203E1" w:rsidRDefault="00D67BAF" w:rsidP="00662983">
      <w:pPr>
        <w:spacing w:after="120"/>
        <w:jc w:val="both"/>
      </w:pPr>
      <w:r>
        <w:t>S</w:t>
      </w:r>
      <w:r w:rsidRPr="00E16035">
        <w:rPr>
          <w:bCs/>
        </w:rPr>
        <w:t>veikatos priežiūros specialistų</w:t>
      </w:r>
      <w:r w:rsidR="00937907" w:rsidRPr="000203E1">
        <w:t xml:space="preserve"> organizacijos pozicija </w:t>
      </w:r>
      <w:r w:rsidR="00880A44" w:rsidRPr="000203E1">
        <w:t>ne</w:t>
      </w:r>
      <w:r w:rsidR="00937907" w:rsidRPr="000203E1">
        <w:t>pateikta</w:t>
      </w:r>
      <w:r w:rsidR="00371549">
        <w:t>.</w:t>
      </w:r>
    </w:p>
    <w:p w14:paraId="3701D46A" w14:textId="77777777" w:rsidR="00A042B9" w:rsidRPr="000203E1" w:rsidRDefault="00A042B9" w:rsidP="00662983">
      <w:pPr>
        <w:spacing w:after="120"/>
        <w:jc w:val="both"/>
      </w:pPr>
    </w:p>
    <w:p w14:paraId="78F23ECB" w14:textId="3ED5BFD5" w:rsidR="002F0E4F" w:rsidRPr="000203E1" w:rsidRDefault="002F0E4F" w:rsidP="00CC09D4">
      <w:pPr>
        <w:pStyle w:val="Sraopastraipa"/>
        <w:numPr>
          <w:ilvl w:val="0"/>
          <w:numId w:val="12"/>
        </w:numPr>
        <w:tabs>
          <w:tab w:val="left" w:pos="567"/>
        </w:tabs>
        <w:ind w:hanging="720"/>
        <w:rPr>
          <w:b/>
          <w:bCs/>
          <w:caps/>
        </w:rPr>
      </w:pPr>
      <w:r w:rsidRPr="000203E1">
        <w:rPr>
          <w:b/>
          <w:bCs/>
          <w:caps/>
        </w:rPr>
        <w:t>Išvad</w:t>
      </w:r>
      <w:r w:rsidR="00B811A4">
        <w:rPr>
          <w:b/>
          <w:bCs/>
          <w:caps/>
        </w:rPr>
        <w:t>OS</w:t>
      </w:r>
      <w:r w:rsidRPr="000203E1">
        <w:rPr>
          <w:b/>
          <w:bCs/>
          <w:caps/>
        </w:rPr>
        <w:t xml:space="preserve"> </w:t>
      </w:r>
    </w:p>
    <w:p w14:paraId="30069D85" w14:textId="77777777" w:rsidR="0061611B" w:rsidRPr="000203E1"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B811A4" w:rsidRPr="00B811A4" w14:paraId="4D5EFB83" w14:textId="77777777" w:rsidTr="007111C4">
        <w:trPr>
          <w:trHeight w:val="510"/>
        </w:trPr>
        <w:tc>
          <w:tcPr>
            <w:tcW w:w="9634" w:type="dxa"/>
            <w:gridSpan w:val="2"/>
            <w:vAlign w:val="center"/>
          </w:tcPr>
          <w:p w14:paraId="294EC16B"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B811A4">
              <w:rPr>
                <w:rStyle w:val="Style2"/>
                <w:rFonts w:eastAsia="MS Gothic"/>
                <w:b/>
                <w:bCs/>
                <w:sz w:val="23"/>
                <w:szCs w:val="23"/>
              </w:rPr>
              <w:t>Palyginamasis veiksmingumas</w:t>
            </w:r>
          </w:p>
        </w:tc>
      </w:tr>
      <w:tr w:rsidR="00B811A4" w:rsidRPr="00B811A4" w14:paraId="30B67515" w14:textId="77777777" w:rsidTr="007111C4">
        <w:tc>
          <w:tcPr>
            <w:tcW w:w="4820" w:type="dxa"/>
          </w:tcPr>
          <w:p w14:paraId="4FE3C208" w14:textId="0A588904" w:rsidR="00B811A4" w:rsidRPr="00B811A4" w:rsidRDefault="003C5B7C"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371549">
                  <w:rPr>
                    <w:rStyle w:val="Style2"/>
                    <w:rFonts w:ascii="MS Gothic" w:eastAsia="MS Gothic" w:hAnsi="MS Gothic" w:hint="eastAsia"/>
                    <w:sz w:val="23"/>
                    <w:szCs w:val="23"/>
                  </w:rPr>
                  <w:t>☒</w:t>
                </w:r>
              </w:sdtContent>
            </w:sdt>
            <w:r w:rsidR="00B811A4" w:rsidRPr="00B811A4">
              <w:rPr>
                <w:rStyle w:val="Style2"/>
                <w:sz w:val="23"/>
                <w:szCs w:val="23"/>
              </w:rPr>
              <w:t xml:space="preserve"> 29</w:t>
            </w:r>
            <w:r w:rsidR="00B811A4" w:rsidRPr="00B811A4">
              <w:rPr>
                <w:sz w:val="23"/>
                <w:szCs w:val="23"/>
              </w:rPr>
              <w:t>.1.1 yra didesnis, lyginant su įprasta klinikine praktika</w:t>
            </w:r>
          </w:p>
          <w:p w14:paraId="6F9786E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B811A4" w:rsidRDefault="003C5B7C"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.1.2 iš esmės nesiskiria, lyginant su įprasta klinikine praktika</w:t>
            </w:r>
          </w:p>
        </w:tc>
        <w:tc>
          <w:tcPr>
            <w:tcW w:w="4814" w:type="dxa"/>
          </w:tcPr>
          <w:p w14:paraId="72562F9E" w14:textId="77777777" w:rsidR="00B811A4" w:rsidRPr="00B811A4" w:rsidRDefault="003C5B7C"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 xml:space="preserve">.1.3 yra neįrodytas kaip didesnis  ar iš esmės nesiskiriantis, lyginant su įprasta klinikine praktika  </w:t>
            </w:r>
          </w:p>
          <w:p w14:paraId="6F6DB5BC"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B811A4" w:rsidRDefault="003C5B7C"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.1.4 yra mažesnis, lyginant su įprasta klinikine praktika</w:t>
            </w:r>
          </w:p>
          <w:p w14:paraId="193C3D76"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B811A4" w:rsidRDefault="003C5B7C"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.1.5 pateikti duomenys apie palyginamąjį veiksmingumą yra netinkami vertinti</w:t>
            </w:r>
          </w:p>
          <w:p w14:paraId="45719037"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B811A4" w:rsidRPr="00B811A4" w14:paraId="0E0F5168" w14:textId="77777777" w:rsidTr="00743956">
        <w:trPr>
          <w:trHeight w:val="510"/>
        </w:trPr>
        <w:tc>
          <w:tcPr>
            <w:tcW w:w="9634" w:type="dxa"/>
            <w:gridSpan w:val="2"/>
            <w:vAlign w:val="center"/>
          </w:tcPr>
          <w:p w14:paraId="62B67E12"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B811A4">
              <w:rPr>
                <w:rStyle w:val="Style2"/>
                <w:rFonts w:eastAsia="MS Gothic"/>
                <w:b/>
                <w:bCs/>
                <w:sz w:val="23"/>
                <w:szCs w:val="23"/>
              </w:rPr>
              <w:t>Kaštų naudingumas</w:t>
            </w:r>
          </w:p>
        </w:tc>
      </w:tr>
      <w:tr w:rsidR="00B811A4" w:rsidRPr="00B811A4" w14:paraId="6A2F62B2" w14:textId="77777777" w:rsidTr="00743956">
        <w:tc>
          <w:tcPr>
            <w:tcW w:w="4820" w:type="dxa"/>
          </w:tcPr>
          <w:p w14:paraId="7CB2C697" w14:textId="07CFAF80" w:rsidR="00B811A4" w:rsidRPr="00B811A4" w:rsidRDefault="003C5B7C"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EndPr>
                <w:rPr>
                  <w:rStyle w:val="Style2"/>
                </w:rPr>
              </w:sdtEndPr>
              <w:sdtContent>
                <w:r w:rsidR="00FB51F9">
                  <w:rPr>
                    <w:rStyle w:val="Style2"/>
                    <w:rFonts w:ascii="MS Gothic" w:eastAsia="MS Gothic" w:hAnsi="MS Gothic" w:hint="eastAsia"/>
                    <w:sz w:val="23"/>
                    <w:szCs w:val="23"/>
                  </w:rPr>
                  <w:t>☒</w:t>
                </w:r>
              </w:sdtContent>
            </w:sdt>
            <w:r w:rsidR="00B811A4" w:rsidRPr="00B811A4">
              <w:rPr>
                <w:sz w:val="23"/>
                <w:szCs w:val="23"/>
              </w:rPr>
              <w:t xml:space="preserve"> 29.2.1 atitinka referencinę naudingumo vertę taikant arba netaikant</w:t>
            </w:r>
            <w:r w:rsidR="00437623">
              <w:rPr>
                <w:b/>
                <w:bCs/>
                <w:sz w:val="23"/>
                <w:szCs w:val="23"/>
              </w:rPr>
              <w:t xml:space="preserve"> </w:t>
            </w:r>
            <w:r w:rsidR="00B811A4" w:rsidRPr="00B811A4">
              <w:rPr>
                <w:sz w:val="23"/>
                <w:szCs w:val="23"/>
              </w:rPr>
              <w:t>PGS</w:t>
            </w:r>
          </w:p>
          <w:p w14:paraId="7179777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B811A4" w:rsidRDefault="003C5B7C"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29.2.3 neatitinka referencinės naudingumo vertės taikant arba netaikant PGS</w:t>
            </w:r>
          </w:p>
          <w:p w14:paraId="13C9EEE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B811A4" w:rsidRDefault="003C5B7C"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29.2.5 pateikti duomenys apie kaštų naudingumą yra netinkami vertinti</w:t>
            </w:r>
          </w:p>
          <w:p w14:paraId="06AB06C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7111C4" w:rsidRPr="00B811A4" w14:paraId="632C9193" w14:textId="77777777" w:rsidTr="00027464">
        <w:tc>
          <w:tcPr>
            <w:tcW w:w="9634" w:type="dxa"/>
            <w:gridSpan w:val="2"/>
          </w:tcPr>
          <w:p w14:paraId="15C289C9" w14:textId="47C5A3CE" w:rsidR="007111C4" w:rsidRDefault="003C5B7C"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9300B3">
                  <w:rPr>
                    <w:rStyle w:val="Style2"/>
                    <w:rFonts w:ascii="Segoe UI Symbol" w:eastAsia="MS Gothic" w:hAnsi="Segoe UI Symbol" w:cs="Segoe UI Symbol"/>
                    <w:sz w:val="23"/>
                    <w:szCs w:val="23"/>
                  </w:rPr>
                  <w:t>☐</w:t>
                </w:r>
              </w:sdtContent>
            </w:sdt>
            <w:r w:rsidR="007111C4">
              <w:rPr>
                <w:sz w:val="23"/>
                <w:szCs w:val="23"/>
              </w:rPr>
              <w:t xml:space="preserve"> </w:t>
            </w:r>
            <w:r w:rsidR="007111C4" w:rsidRPr="007111C4">
              <w:rPr>
                <w:color w:val="000000"/>
                <w:sz w:val="23"/>
                <w:szCs w:val="23"/>
              </w:rPr>
              <w:t>Vykdant Aprašo &lt;17</w:t>
            </w:r>
            <w:r w:rsidR="007111C4" w:rsidRPr="007111C4">
              <w:rPr>
                <w:color w:val="000000"/>
                <w:sz w:val="23"/>
                <w:szCs w:val="23"/>
                <w:vertAlign w:val="superscript"/>
              </w:rPr>
              <w:t>3</w:t>
            </w:r>
            <w:r w:rsidR="007111C4" w:rsidRPr="007111C4">
              <w:rPr>
                <w:color w:val="000000"/>
                <w:sz w:val="23"/>
                <w:szCs w:val="23"/>
              </w:rPr>
              <w:t>.1&gt;&lt;17</w:t>
            </w:r>
            <w:r w:rsidR="007111C4" w:rsidRPr="007111C4">
              <w:rPr>
                <w:color w:val="000000"/>
                <w:sz w:val="23"/>
                <w:szCs w:val="23"/>
                <w:vertAlign w:val="superscript"/>
              </w:rPr>
              <w:t>3</w:t>
            </w:r>
            <w:r w:rsidR="007111C4" w:rsidRPr="007111C4">
              <w:rPr>
                <w:color w:val="000000"/>
                <w:sz w:val="23"/>
                <w:szCs w:val="23"/>
              </w:rPr>
              <w:t>.2&gt;&lt;17</w:t>
            </w:r>
            <w:r w:rsidR="007111C4" w:rsidRPr="007111C4">
              <w:rPr>
                <w:color w:val="000000"/>
                <w:sz w:val="23"/>
                <w:szCs w:val="23"/>
                <w:vertAlign w:val="superscript"/>
              </w:rPr>
              <w:t>3</w:t>
            </w:r>
            <w:r w:rsidR="007111C4" w:rsidRPr="007111C4">
              <w:rPr>
                <w:color w:val="000000"/>
                <w:sz w:val="23"/>
                <w:szCs w:val="23"/>
              </w:rPr>
              <w:t>.3&gt; punktą vaistinio (-ų) preparato (-ų) ekonominis vertinimas neatliekamas, išvados dėl kaštų naudingumo neteikiamos</w:t>
            </w:r>
          </w:p>
        </w:tc>
      </w:tr>
    </w:tbl>
    <w:p w14:paraId="08D5B3B6" w14:textId="292D1124" w:rsidR="0061611B" w:rsidRPr="000203E1" w:rsidRDefault="0061611B" w:rsidP="0061611B">
      <w:pPr>
        <w:rPr>
          <w:i/>
          <w:szCs w:val="22"/>
        </w:rPr>
      </w:pPr>
    </w:p>
    <w:p w14:paraId="1B85C083" w14:textId="77777777" w:rsidR="009E44AE" w:rsidRPr="000203E1" w:rsidRDefault="009E44AE"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35E33D78" w14:textId="59232BB3" w:rsidR="00B811A4" w:rsidRPr="00D05364" w:rsidRDefault="00B811A4" w:rsidP="00B811A4">
      <w:pPr>
        <w:pStyle w:val="Sraopastraipa"/>
        <w:ind w:left="567"/>
        <w:rPr>
          <w:b/>
        </w:rPr>
      </w:pPr>
    </w:p>
    <w:p w14:paraId="387BEBFA" w14:textId="77777777" w:rsidR="00FB51F9" w:rsidRPr="001C3329" w:rsidRDefault="00FB51F9" w:rsidP="007E4139">
      <w:pPr>
        <w:spacing w:line="276" w:lineRule="auto"/>
        <w:jc w:val="both"/>
        <w:rPr>
          <w:color w:val="000000"/>
          <w:lang w:eastAsia="lt-LT"/>
        </w:rPr>
      </w:pPr>
      <w:r w:rsidRPr="001C3329">
        <w:t>Vadovaujantis Apraš</w:t>
      </w:r>
      <w:r>
        <w:t xml:space="preserve">o </w:t>
      </w:r>
      <w:r w:rsidRPr="001C3329">
        <w:rPr>
          <w:color w:val="000000"/>
          <w:lang w:eastAsia="lt-LT"/>
        </w:rPr>
        <w:t>30</w:t>
      </w:r>
      <w:r w:rsidRPr="001C3329">
        <w:rPr>
          <w:color w:val="000000"/>
          <w:vertAlign w:val="superscript"/>
          <w:lang w:eastAsia="lt-LT"/>
        </w:rPr>
        <w:t>1</w:t>
      </w:r>
      <w:r w:rsidRPr="001C3329">
        <w:rPr>
          <w:color w:val="000000"/>
          <w:lang w:eastAsia="lt-LT"/>
        </w:rPr>
        <w:t xml:space="preserve">.1. papunkčiu rekomenduojama kompensuoti vaistinį preparatą pagal paraiškoje nurodytą indikaciją (arba jos dalį) su arba be skyrimo sąlygų, taikant ar netaikant PGS, kai vertinimo išvados atitinka </w:t>
      </w:r>
      <w:r>
        <w:rPr>
          <w:color w:val="000000"/>
          <w:lang w:eastAsia="lt-LT"/>
        </w:rPr>
        <w:t>a</w:t>
      </w:r>
      <w:r w:rsidRPr="001C3329">
        <w:rPr>
          <w:color w:val="000000"/>
          <w:lang w:eastAsia="lt-LT"/>
        </w:rPr>
        <w:t>prašo 29.1.1 ir 29.2.1 papunkčiuose numatytas sąlygas.</w:t>
      </w:r>
    </w:p>
    <w:p w14:paraId="3D60BB06" w14:textId="77777777" w:rsidR="00B811A4" w:rsidRPr="0089345A" w:rsidRDefault="00B811A4" w:rsidP="00B811A4">
      <w:pPr>
        <w:widowControl w:val="0"/>
        <w:tabs>
          <w:tab w:val="left" w:pos="1418"/>
        </w:tabs>
        <w:suppressAutoHyphens/>
        <w:spacing w:line="360" w:lineRule="atLeast"/>
        <w:jc w:val="center"/>
        <w:textAlignment w:val="center"/>
        <w:rPr>
          <w:color w:val="000000"/>
          <w:lang w:eastAsia="lt-LT"/>
        </w:rPr>
      </w:pPr>
    </w:p>
    <w:p w14:paraId="42F3A222" w14:textId="77777777" w:rsidR="00B811A4" w:rsidRPr="0073329D" w:rsidRDefault="00B811A4" w:rsidP="00B811A4">
      <w:pPr>
        <w:tabs>
          <w:tab w:val="left" w:pos="426"/>
        </w:tabs>
        <w:jc w:val="both"/>
        <w:rPr>
          <w:b/>
          <w:lang w:eastAsia="lt-LT"/>
        </w:rPr>
      </w:pPr>
      <w:r w:rsidRPr="0089345A">
        <w:rPr>
          <w:b/>
          <w:lang w:eastAsia="lt-LT"/>
        </w:rPr>
        <w:t>4.3 Siūloma (-os) kompensuoti terapinės indikacijos ir skyrimo sąlygos</w:t>
      </w:r>
      <w:r w:rsidRPr="0073329D">
        <w:rPr>
          <w:b/>
          <w:lang w:eastAsia="lt-LT"/>
        </w:rPr>
        <w:t xml:space="preserve"> </w:t>
      </w:r>
    </w:p>
    <w:p w14:paraId="179FBABC" w14:textId="77777777" w:rsidR="00B811A4" w:rsidRPr="0073329D" w:rsidRDefault="00B811A4" w:rsidP="00B811A4">
      <w:pPr>
        <w:tabs>
          <w:tab w:val="left" w:pos="426"/>
        </w:tabs>
        <w:jc w:val="both"/>
        <w:rPr>
          <w:b/>
          <w:lang w:eastAsia="lt-LT"/>
        </w:rPr>
      </w:pPr>
    </w:p>
    <w:p w14:paraId="65CB839B" w14:textId="77777777" w:rsidR="00B811A4" w:rsidRDefault="00B811A4" w:rsidP="00B811A4">
      <w:pPr>
        <w:pStyle w:val="Betarp"/>
        <w:rPr>
          <w:rFonts w:ascii="Times New Roman" w:hAnsi="Times New Roman"/>
          <w:b/>
          <w:sz w:val="24"/>
          <w:szCs w:val="24"/>
          <w:lang w:eastAsia="lt-LT"/>
        </w:rPr>
      </w:pPr>
      <w:r w:rsidRPr="0073329D">
        <w:rPr>
          <w:rFonts w:ascii="Times New Roman" w:hAnsi="Times New Roman"/>
          <w:b/>
          <w:sz w:val="24"/>
          <w:szCs w:val="24"/>
          <w:lang w:eastAsia="lt-LT"/>
        </w:rPr>
        <w:t>Terapinės indikacijos</w:t>
      </w:r>
    </w:p>
    <w:p w14:paraId="2A4BCB11" w14:textId="77777777" w:rsidR="009F2C53" w:rsidRDefault="009F2C53" w:rsidP="00B811A4">
      <w:pPr>
        <w:pStyle w:val="Betarp"/>
        <w:rPr>
          <w:rFonts w:ascii="Times New Roman" w:hAnsi="Times New Roman"/>
          <w:b/>
          <w:sz w:val="24"/>
          <w:szCs w:val="24"/>
          <w:lang w:eastAsia="lt-LT"/>
        </w:rPr>
      </w:pPr>
    </w:p>
    <w:p w14:paraId="2CAAF9A4" w14:textId="77777777" w:rsidR="009F2C53" w:rsidRPr="009F2C53" w:rsidRDefault="009F2C53" w:rsidP="009F2C53">
      <w:pPr>
        <w:spacing w:line="276" w:lineRule="auto"/>
        <w:jc w:val="both"/>
      </w:pPr>
      <w:r w:rsidRPr="009F2C53">
        <w:t>OPDIVO yra skirtas suaugusiųjų ir 12 metų bei vyresnių paauglių pažengusios (nerezekuotinos ar metastazavusios) melanomos pirmos eilės gydymui derinant su ipilimumabu.</w:t>
      </w:r>
    </w:p>
    <w:p w14:paraId="3637DF7F" w14:textId="77777777" w:rsidR="009F2C53" w:rsidRPr="009F2C53" w:rsidRDefault="009F2C53" w:rsidP="009F2C53">
      <w:pPr>
        <w:spacing w:line="276" w:lineRule="auto"/>
        <w:jc w:val="both"/>
      </w:pPr>
      <w:r w:rsidRPr="009F2C53">
        <w:t>Ilgesnis išgyvenamumas be ligos progresavimo (angl. progression-free survival, PFS) ir bendras išgyvenamumas (angl. overall survival, OS) vartojant nivolumabo ir ipilimumabo derinį, palyginus su nivolumabo monoterapija, nustatytas tik esant mažai naviko PD-L1 raiškai.</w:t>
      </w:r>
    </w:p>
    <w:p w14:paraId="6C2F20BB" w14:textId="77777777" w:rsidR="009F2C53" w:rsidRDefault="009F2C53" w:rsidP="009F2C53">
      <w:pPr>
        <w:pStyle w:val="Betarp"/>
        <w:spacing w:line="276" w:lineRule="auto"/>
        <w:rPr>
          <w:rFonts w:ascii="Times New Roman" w:hAnsi="Times New Roman"/>
          <w:b/>
          <w:sz w:val="24"/>
          <w:szCs w:val="24"/>
        </w:rPr>
      </w:pPr>
    </w:p>
    <w:p w14:paraId="632DB4B9" w14:textId="630C5BEB" w:rsidR="00B811A4" w:rsidRDefault="00B811A4" w:rsidP="00B811A4">
      <w:pPr>
        <w:pStyle w:val="Betarp"/>
        <w:rPr>
          <w:rFonts w:ascii="Times New Roman" w:hAnsi="Times New Roman"/>
          <w:b/>
          <w:sz w:val="24"/>
          <w:szCs w:val="24"/>
        </w:rPr>
      </w:pPr>
      <w:r w:rsidRPr="0073329D">
        <w:rPr>
          <w:rFonts w:ascii="Times New Roman" w:hAnsi="Times New Roman"/>
          <w:b/>
          <w:sz w:val="24"/>
          <w:szCs w:val="24"/>
        </w:rPr>
        <w:t>Skyrimo sąlygos</w:t>
      </w:r>
    </w:p>
    <w:p w14:paraId="2BD39A95" w14:textId="2B032585" w:rsidR="009F2C53" w:rsidRDefault="007E4139" w:rsidP="009F2C53">
      <w:pPr>
        <w:widowControl w:val="0"/>
        <w:tabs>
          <w:tab w:val="left" w:pos="1418"/>
        </w:tabs>
        <w:suppressAutoHyphens/>
        <w:spacing w:line="360" w:lineRule="atLeast"/>
        <w:jc w:val="both"/>
        <w:textAlignment w:val="center"/>
        <w:rPr>
          <w:color w:val="000000"/>
          <w:lang w:eastAsia="lt-LT"/>
        </w:rPr>
      </w:pPr>
      <w:r>
        <w:rPr>
          <w:color w:val="000000"/>
          <w:lang w:eastAsia="lt-LT"/>
        </w:rPr>
        <w:t xml:space="preserve">Skiriamas </w:t>
      </w:r>
      <w:r w:rsidR="009F2C53" w:rsidRPr="009F2C53">
        <w:rPr>
          <w:color w:val="000000"/>
          <w:lang w:eastAsia="lt-LT"/>
        </w:rPr>
        <w:t>derin</w:t>
      </w:r>
      <w:r>
        <w:rPr>
          <w:color w:val="000000"/>
          <w:lang w:eastAsia="lt-LT"/>
        </w:rPr>
        <w:t>ant</w:t>
      </w:r>
      <w:r w:rsidR="009F2C53" w:rsidRPr="009F2C53">
        <w:rPr>
          <w:color w:val="000000"/>
          <w:lang w:eastAsia="lt-LT"/>
        </w:rPr>
        <w:t xml:space="preserve"> su ipilimumabu pirmaeiliam suaugusių</w:t>
      </w:r>
      <w:r>
        <w:rPr>
          <w:color w:val="000000"/>
          <w:lang w:eastAsia="lt-LT"/>
        </w:rPr>
        <w:t xml:space="preserve">jų </w:t>
      </w:r>
      <w:r w:rsidR="009F2C53" w:rsidRPr="009F2C53">
        <w:rPr>
          <w:color w:val="000000"/>
          <w:lang w:eastAsia="lt-LT"/>
        </w:rPr>
        <w:t xml:space="preserve">ir 12 metų bei vyresnių paauglių pažengusios, neoperuotinos ar metastazavusios, melanomos gydymui, neatsižvelgiant į BRAF mutacijos </w:t>
      </w:r>
      <w:r>
        <w:rPr>
          <w:color w:val="000000"/>
          <w:lang w:eastAsia="lt-LT"/>
        </w:rPr>
        <w:t>buvimą</w:t>
      </w:r>
      <w:r w:rsidR="00C13D78">
        <w:rPr>
          <w:color w:val="000000"/>
          <w:lang w:eastAsia="lt-LT"/>
        </w:rPr>
        <w:t>,</w:t>
      </w:r>
      <w:r w:rsidR="009F2C53" w:rsidRPr="009F2C53">
        <w:rPr>
          <w:color w:val="000000"/>
          <w:lang w:eastAsia="lt-LT"/>
        </w:rPr>
        <w:t xml:space="preserve"> kai pacientams nustatyta PD-L1 raišk</w:t>
      </w:r>
      <w:r>
        <w:rPr>
          <w:color w:val="000000"/>
          <w:lang w:eastAsia="lt-LT"/>
        </w:rPr>
        <w:t>a</w:t>
      </w:r>
      <w:r w:rsidR="009F2C53" w:rsidRPr="009F2C53">
        <w:rPr>
          <w:color w:val="000000"/>
          <w:lang w:eastAsia="lt-LT"/>
        </w:rPr>
        <w:t xml:space="preserve"> &lt; 1 proc.</w:t>
      </w:r>
    </w:p>
    <w:p w14:paraId="372FA242" w14:textId="77777777" w:rsidR="009F2C53" w:rsidRDefault="009F2C53" w:rsidP="00283E59">
      <w:pPr>
        <w:widowControl w:val="0"/>
        <w:tabs>
          <w:tab w:val="left" w:pos="1418"/>
        </w:tabs>
        <w:suppressAutoHyphens/>
        <w:spacing w:line="360" w:lineRule="atLeast"/>
        <w:jc w:val="center"/>
        <w:textAlignment w:val="center"/>
        <w:rPr>
          <w:color w:val="000000"/>
          <w:lang w:eastAsia="lt-LT"/>
        </w:rPr>
      </w:pPr>
    </w:p>
    <w:p w14:paraId="33B8DE04" w14:textId="6FDE1DF1" w:rsidR="00283E59" w:rsidRDefault="00283E59" w:rsidP="00283E59">
      <w:pPr>
        <w:widowControl w:val="0"/>
        <w:tabs>
          <w:tab w:val="left" w:pos="1418"/>
        </w:tabs>
        <w:suppressAutoHyphens/>
        <w:spacing w:line="360" w:lineRule="atLeast"/>
        <w:jc w:val="center"/>
        <w:textAlignment w:val="center"/>
      </w:pPr>
      <w:r>
        <w:rPr>
          <w:color w:val="000000"/>
          <w:lang w:eastAsia="lt-LT"/>
        </w:rPr>
        <w:t>____________________________</w:t>
      </w: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063A50">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F76E" w14:textId="77777777" w:rsidR="003C5B7C" w:rsidRDefault="003C5B7C">
      <w:r>
        <w:separator/>
      </w:r>
    </w:p>
  </w:endnote>
  <w:endnote w:type="continuationSeparator" w:id="0">
    <w:p w14:paraId="16316EF4" w14:textId="77777777" w:rsidR="003C5B7C" w:rsidRDefault="003C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C621" w14:textId="77777777" w:rsidR="003C5B7C" w:rsidRDefault="003C5B7C">
      <w:r>
        <w:separator/>
      </w:r>
    </w:p>
  </w:footnote>
  <w:footnote w:type="continuationSeparator" w:id="0">
    <w:p w14:paraId="4C417BF7" w14:textId="77777777" w:rsidR="003C5B7C" w:rsidRDefault="003C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16FD088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05F0">
      <w:rPr>
        <w:rStyle w:val="Puslapionumeris"/>
        <w:noProof/>
      </w:rPr>
      <w:t>5</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6B6F37"/>
    <w:multiLevelType w:val="hybridMultilevel"/>
    <w:tmpl w:val="28C0B01C"/>
    <w:lvl w:ilvl="0" w:tplc="4D1ED000">
      <w:start w:val="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414286">
    <w:abstractNumId w:val="8"/>
  </w:num>
  <w:num w:numId="2" w16cid:durableId="974027046">
    <w:abstractNumId w:val="2"/>
  </w:num>
  <w:num w:numId="3" w16cid:durableId="1473519277">
    <w:abstractNumId w:val="10"/>
  </w:num>
  <w:num w:numId="4" w16cid:durableId="1218511638">
    <w:abstractNumId w:val="9"/>
  </w:num>
  <w:num w:numId="5" w16cid:durableId="2118865422">
    <w:abstractNumId w:val="7"/>
  </w:num>
  <w:num w:numId="6" w16cid:durableId="1017005859">
    <w:abstractNumId w:val="6"/>
  </w:num>
  <w:num w:numId="7" w16cid:durableId="1576932398">
    <w:abstractNumId w:val="4"/>
  </w:num>
  <w:num w:numId="8" w16cid:durableId="369696263">
    <w:abstractNumId w:val="14"/>
  </w:num>
  <w:num w:numId="9" w16cid:durableId="2062628832">
    <w:abstractNumId w:val="0"/>
  </w:num>
  <w:num w:numId="10" w16cid:durableId="1030688407">
    <w:abstractNumId w:val="11"/>
  </w:num>
  <w:num w:numId="11" w16cid:durableId="592932888">
    <w:abstractNumId w:val="12"/>
  </w:num>
  <w:num w:numId="12" w16cid:durableId="887575004">
    <w:abstractNumId w:val="3"/>
  </w:num>
  <w:num w:numId="13" w16cid:durableId="675310411">
    <w:abstractNumId w:val="5"/>
  </w:num>
  <w:num w:numId="14" w16cid:durableId="1590772021">
    <w:abstractNumId w:val="1"/>
  </w:num>
  <w:num w:numId="15" w16cid:durableId="183880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5093"/>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C454C"/>
    <w:rsid w:val="000D5038"/>
    <w:rsid w:val="000E29D4"/>
    <w:rsid w:val="000F3540"/>
    <w:rsid w:val="00100491"/>
    <w:rsid w:val="00104E2E"/>
    <w:rsid w:val="00107287"/>
    <w:rsid w:val="00117194"/>
    <w:rsid w:val="00117406"/>
    <w:rsid w:val="00121EF0"/>
    <w:rsid w:val="00124A9E"/>
    <w:rsid w:val="0012653C"/>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2FC8"/>
    <w:rsid w:val="001C6353"/>
    <w:rsid w:val="001D5B91"/>
    <w:rsid w:val="001D746F"/>
    <w:rsid w:val="001E0B2D"/>
    <w:rsid w:val="001E4BBB"/>
    <w:rsid w:val="001E6304"/>
    <w:rsid w:val="001F115E"/>
    <w:rsid w:val="0020381E"/>
    <w:rsid w:val="00213471"/>
    <w:rsid w:val="00215906"/>
    <w:rsid w:val="00241CD8"/>
    <w:rsid w:val="00243D3F"/>
    <w:rsid w:val="00244B09"/>
    <w:rsid w:val="002519CB"/>
    <w:rsid w:val="0025697F"/>
    <w:rsid w:val="00260258"/>
    <w:rsid w:val="0026588E"/>
    <w:rsid w:val="00272428"/>
    <w:rsid w:val="00272948"/>
    <w:rsid w:val="00283E59"/>
    <w:rsid w:val="00284A47"/>
    <w:rsid w:val="00285BA3"/>
    <w:rsid w:val="00292392"/>
    <w:rsid w:val="002946C7"/>
    <w:rsid w:val="002B3CC1"/>
    <w:rsid w:val="002C0686"/>
    <w:rsid w:val="002C09E0"/>
    <w:rsid w:val="002C100E"/>
    <w:rsid w:val="002C1BB1"/>
    <w:rsid w:val="002C2786"/>
    <w:rsid w:val="002C3A10"/>
    <w:rsid w:val="002C4A90"/>
    <w:rsid w:val="002C4ED5"/>
    <w:rsid w:val="002C7C18"/>
    <w:rsid w:val="002D02EF"/>
    <w:rsid w:val="002E0702"/>
    <w:rsid w:val="002E1A83"/>
    <w:rsid w:val="002E57AD"/>
    <w:rsid w:val="002E6F80"/>
    <w:rsid w:val="002F0E4F"/>
    <w:rsid w:val="002F1053"/>
    <w:rsid w:val="00314816"/>
    <w:rsid w:val="00317B0E"/>
    <w:rsid w:val="00336238"/>
    <w:rsid w:val="00347FAA"/>
    <w:rsid w:val="0035172D"/>
    <w:rsid w:val="0036187D"/>
    <w:rsid w:val="00367EDB"/>
    <w:rsid w:val="003705F0"/>
    <w:rsid w:val="00371549"/>
    <w:rsid w:val="00381024"/>
    <w:rsid w:val="00386307"/>
    <w:rsid w:val="003874DE"/>
    <w:rsid w:val="00393E9F"/>
    <w:rsid w:val="0039696E"/>
    <w:rsid w:val="003B211A"/>
    <w:rsid w:val="003C141F"/>
    <w:rsid w:val="003C5B7C"/>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07EF"/>
    <w:rsid w:val="005123C2"/>
    <w:rsid w:val="0052144B"/>
    <w:rsid w:val="00524066"/>
    <w:rsid w:val="00526A0F"/>
    <w:rsid w:val="00534E11"/>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C0D18"/>
    <w:rsid w:val="005C493F"/>
    <w:rsid w:val="005C5B28"/>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5DC5"/>
    <w:rsid w:val="00797153"/>
    <w:rsid w:val="007A21F7"/>
    <w:rsid w:val="007A2B68"/>
    <w:rsid w:val="007B0DDA"/>
    <w:rsid w:val="007D3347"/>
    <w:rsid w:val="007D654E"/>
    <w:rsid w:val="007E4139"/>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875BC"/>
    <w:rsid w:val="00891EF6"/>
    <w:rsid w:val="00892FF4"/>
    <w:rsid w:val="0089345A"/>
    <w:rsid w:val="00896D0F"/>
    <w:rsid w:val="008A0303"/>
    <w:rsid w:val="008A5FDD"/>
    <w:rsid w:val="008C3947"/>
    <w:rsid w:val="008C3FAC"/>
    <w:rsid w:val="008E473B"/>
    <w:rsid w:val="008E51A6"/>
    <w:rsid w:val="008E7329"/>
    <w:rsid w:val="008F2ED5"/>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959FD"/>
    <w:rsid w:val="009B37DB"/>
    <w:rsid w:val="009C7A8C"/>
    <w:rsid w:val="009D23F9"/>
    <w:rsid w:val="009D4FA8"/>
    <w:rsid w:val="009E44AE"/>
    <w:rsid w:val="009E6CD6"/>
    <w:rsid w:val="009F2C53"/>
    <w:rsid w:val="009F4D66"/>
    <w:rsid w:val="00A00C3C"/>
    <w:rsid w:val="00A01091"/>
    <w:rsid w:val="00A042B9"/>
    <w:rsid w:val="00A06DBB"/>
    <w:rsid w:val="00A22ADF"/>
    <w:rsid w:val="00A2310D"/>
    <w:rsid w:val="00A254A2"/>
    <w:rsid w:val="00A258FA"/>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B48"/>
    <w:rsid w:val="00AB2D54"/>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71F04"/>
    <w:rsid w:val="00B74A62"/>
    <w:rsid w:val="00B811A4"/>
    <w:rsid w:val="00B81E92"/>
    <w:rsid w:val="00B908D7"/>
    <w:rsid w:val="00B92112"/>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3D78"/>
    <w:rsid w:val="00C16245"/>
    <w:rsid w:val="00C22DC5"/>
    <w:rsid w:val="00C24479"/>
    <w:rsid w:val="00C273F2"/>
    <w:rsid w:val="00C37B53"/>
    <w:rsid w:val="00C434EB"/>
    <w:rsid w:val="00C517D2"/>
    <w:rsid w:val="00C5772E"/>
    <w:rsid w:val="00C62B36"/>
    <w:rsid w:val="00C7012C"/>
    <w:rsid w:val="00C712EA"/>
    <w:rsid w:val="00C81E5E"/>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31B93"/>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1463"/>
    <w:rsid w:val="00DA5602"/>
    <w:rsid w:val="00DB1F64"/>
    <w:rsid w:val="00DC261A"/>
    <w:rsid w:val="00DC2F53"/>
    <w:rsid w:val="00DC5BAC"/>
    <w:rsid w:val="00DC6816"/>
    <w:rsid w:val="00DC76C2"/>
    <w:rsid w:val="00DD1CF2"/>
    <w:rsid w:val="00DE4484"/>
    <w:rsid w:val="00DF41B7"/>
    <w:rsid w:val="00DF4A4A"/>
    <w:rsid w:val="00DF583C"/>
    <w:rsid w:val="00E03C3F"/>
    <w:rsid w:val="00E057AD"/>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B1151"/>
    <w:rsid w:val="00EB6FC5"/>
    <w:rsid w:val="00EC2356"/>
    <w:rsid w:val="00EC2582"/>
    <w:rsid w:val="00EC337C"/>
    <w:rsid w:val="00ED0CFF"/>
    <w:rsid w:val="00ED31D2"/>
    <w:rsid w:val="00EE0EAC"/>
    <w:rsid w:val="00EE3322"/>
    <w:rsid w:val="00EE33CB"/>
    <w:rsid w:val="00F0061A"/>
    <w:rsid w:val="00F00E71"/>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66DC4"/>
    <w:rsid w:val="00F70731"/>
    <w:rsid w:val="00F70C9E"/>
    <w:rsid w:val="00F74A74"/>
    <w:rsid w:val="00F7572C"/>
    <w:rsid w:val="00F8382C"/>
    <w:rsid w:val="00F855D7"/>
    <w:rsid w:val="00F92035"/>
    <w:rsid w:val="00F92748"/>
    <w:rsid w:val="00FA4169"/>
    <w:rsid w:val="00FB0D41"/>
    <w:rsid w:val="00FB2030"/>
    <w:rsid w:val="00FB51F9"/>
    <w:rsid w:val="00FD0E46"/>
    <w:rsid w:val="00FD1060"/>
    <w:rsid w:val="00FD1CF2"/>
    <w:rsid w:val="00FD3EDF"/>
    <w:rsid w:val="00FD793C"/>
    <w:rsid w:val="00FE0FD5"/>
    <w:rsid w:val="00FE20E6"/>
    <w:rsid w:val="00FE3E3B"/>
    <w:rsid w:val="00FE417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Dossier table,Section 3- footnotes,Summary box"/>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1,Bullet1,List Paragraph CCT minutes,Bullet List,Section 5,Bullets Points,1. Bullet Blank,Bulleted - 2,Dairy Paragraphe,Table Header Row,Bullet Paragraph,Bullet Point,Table Legend,Use Case List Paragraph,List Paragraph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1 Diagrama,Bullet1 Diagrama,List Paragraph CCT minutes Diagrama,Bullet List Diagrama,Section 5 Diagrama,Bullets Points Diagrama,1. Bullet Blank Diagrama,Bulleted - 2 Diagrama,Dairy Paragraphe Diagrama"/>
    <w:link w:val="Sraopastraipa"/>
    <w:uiPriority w:val="34"/>
    <w:locked/>
    <w:rsid w:val="0012653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4D56B2EF9465085144986D474F378"/>
        <w:category>
          <w:name w:val="General"/>
          <w:gallery w:val="placeholder"/>
        </w:category>
        <w:types>
          <w:type w:val="bbPlcHdr"/>
        </w:types>
        <w:behaviors>
          <w:behavior w:val="content"/>
        </w:behaviors>
        <w:guid w:val="{A823B20D-109D-4200-8580-16EDAD0F56A5}"/>
      </w:docPartPr>
      <w:docPartBody>
        <w:p w:rsidR="006D40A2" w:rsidRDefault="006D40A2" w:rsidP="006D40A2">
          <w:pPr>
            <w:pStyle w:val="65F4D56B2EF9465085144986D474F378"/>
          </w:pPr>
          <w:r>
            <w:rPr>
              <w:rStyle w:val="Vietosrezervavimoenklotekstas"/>
            </w:rPr>
            <w:t>Click here to enter a date.</w:t>
          </w:r>
        </w:p>
      </w:docPartBody>
    </w:docPart>
    <w:docPart>
      <w:docPartPr>
        <w:name w:val="C9F9030180744FE0B3D679E71F835902"/>
        <w:category>
          <w:name w:val="General"/>
          <w:gallery w:val="placeholder"/>
        </w:category>
        <w:types>
          <w:type w:val="bbPlcHdr"/>
        </w:types>
        <w:behaviors>
          <w:behavior w:val="content"/>
        </w:behaviors>
        <w:guid w:val="{C036638D-EEFE-4D06-9D0E-ACA2ABF63ED4}"/>
      </w:docPartPr>
      <w:docPartBody>
        <w:p w:rsidR="006D40A2" w:rsidRDefault="006D40A2" w:rsidP="006D40A2">
          <w:pPr>
            <w:pStyle w:val="C9F9030180744FE0B3D679E71F835902"/>
          </w:pPr>
          <w:r>
            <w:rPr>
              <w:rStyle w:val="Vietosrezervavimoenklotekstas"/>
            </w:rPr>
            <w:t>Click here to enter a date.</w:t>
          </w:r>
        </w:p>
      </w:docPartBody>
    </w:docPart>
    <w:docPart>
      <w:docPartPr>
        <w:name w:val="6C9752C6CBD84186BBCEF4F37C82054C"/>
        <w:category>
          <w:name w:val="General"/>
          <w:gallery w:val="placeholder"/>
        </w:category>
        <w:types>
          <w:type w:val="bbPlcHdr"/>
        </w:types>
        <w:behaviors>
          <w:behavior w:val="content"/>
        </w:behaviors>
        <w:guid w:val="{212B5DF8-B1CF-488D-BDFA-28A50FAC2E23}"/>
      </w:docPartPr>
      <w:docPartBody>
        <w:p w:rsidR="006D40A2" w:rsidRDefault="006D40A2" w:rsidP="006D40A2">
          <w:pPr>
            <w:pStyle w:val="6C9752C6CBD84186BBCEF4F37C82054C"/>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C35A9"/>
    <w:rsid w:val="00237556"/>
    <w:rsid w:val="002C0686"/>
    <w:rsid w:val="002C7C18"/>
    <w:rsid w:val="0038210B"/>
    <w:rsid w:val="00387A5A"/>
    <w:rsid w:val="0039303B"/>
    <w:rsid w:val="003B4C14"/>
    <w:rsid w:val="004144A3"/>
    <w:rsid w:val="004160E7"/>
    <w:rsid w:val="004416C6"/>
    <w:rsid w:val="00456E96"/>
    <w:rsid w:val="004C6221"/>
    <w:rsid w:val="004D038D"/>
    <w:rsid w:val="004F4E20"/>
    <w:rsid w:val="004F5AB2"/>
    <w:rsid w:val="005074B9"/>
    <w:rsid w:val="00563A5F"/>
    <w:rsid w:val="005C0D18"/>
    <w:rsid w:val="005C5B28"/>
    <w:rsid w:val="005C62E5"/>
    <w:rsid w:val="005E40DD"/>
    <w:rsid w:val="00601F4E"/>
    <w:rsid w:val="006D40A2"/>
    <w:rsid w:val="006E6A2C"/>
    <w:rsid w:val="007219C1"/>
    <w:rsid w:val="00745C63"/>
    <w:rsid w:val="00753462"/>
    <w:rsid w:val="00772325"/>
    <w:rsid w:val="007A2FE0"/>
    <w:rsid w:val="007C6D1D"/>
    <w:rsid w:val="007D654E"/>
    <w:rsid w:val="00892FF4"/>
    <w:rsid w:val="008C0DC0"/>
    <w:rsid w:val="0090074D"/>
    <w:rsid w:val="00901A35"/>
    <w:rsid w:val="009B3BF0"/>
    <w:rsid w:val="009D5E5E"/>
    <w:rsid w:val="009F1BB4"/>
    <w:rsid w:val="00A20D39"/>
    <w:rsid w:val="00A254A2"/>
    <w:rsid w:val="00AB2D54"/>
    <w:rsid w:val="00AB6ED4"/>
    <w:rsid w:val="00AE4044"/>
    <w:rsid w:val="00B14210"/>
    <w:rsid w:val="00B22ED6"/>
    <w:rsid w:val="00B23DC0"/>
    <w:rsid w:val="00B71F04"/>
    <w:rsid w:val="00B96656"/>
    <w:rsid w:val="00BA0A8E"/>
    <w:rsid w:val="00BE3364"/>
    <w:rsid w:val="00C2401D"/>
    <w:rsid w:val="00C250D7"/>
    <w:rsid w:val="00C53A68"/>
    <w:rsid w:val="00C66578"/>
    <w:rsid w:val="00CA5BB4"/>
    <w:rsid w:val="00CB4BD1"/>
    <w:rsid w:val="00CD139C"/>
    <w:rsid w:val="00CE2DA9"/>
    <w:rsid w:val="00CE44BE"/>
    <w:rsid w:val="00D008F3"/>
    <w:rsid w:val="00D0142D"/>
    <w:rsid w:val="00D03801"/>
    <w:rsid w:val="00D04DFF"/>
    <w:rsid w:val="00D15ED6"/>
    <w:rsid w:val="00D20347"/>
    <w:rsid w:val="00D4356B"/>
    <w:rsid w:val="00D7162F"/>
    <w:rsid w:val="00DA1463"/>
    <w:rsid w:val="00DA599C"/>
    <w:rsid w:val="00DB4DB5"/>
    <w:rsid w:val="00DE4D10"/>
    <w:rsid w:val="00E44A86"/>
    <w:rsid w:val="00E522EB"/>
    <w:rsid w:val="00E60827"/>
    <w:rsid w:val="00EF6E0C"/>
    <w:rsid w:val="00F00E71"/>
    <w:rsid w:val="00F14477"/>
    <w:rsid w:val="00F370E5"/>
    <w:rsid w:val="00F55028"/>
    <w:rsid w:val="00F66DC4"/>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D40A2"/>
    <w:rPr>
      <w:color w:val="808080"/>
    </w:rPr>
  </w:style>
  <w:style w:type="paragraph" w:customStyle="1" w:styleId="65F4D56B2EF9465085144986D474F378">
    <w:name w:val="65F4D56B2EF9465085144986D474F378"/>
    <w:rsid w:val="006D40A2"/>
    <w:pPr>
      <w:spacing w:line="278" w:lineRule="auto"/>
    </w:pPr>
    <w:rPr>
      <w:kern w:val="2"/>
      <w:sz w:val="24"/>
      <w:szCs w:val="24"/>
      <w14:ligatures w14:val="standardContextual"/>
    </w:rPr>
  </w:style>
  <w:style w:type="paragraph" w:customStyle="1" w:styleId="C9F9030180744FE0B3D679E71F835902">
    <w:name w:val="C9F9030180744FE0B3D679E71F835902"/>
    <w:rsid w:val="006D40A2"/>
    <w:pPr>
      <w:spacing w:line="278" w:lineRule="auto"/>
    </w:pPr>
    <w:rPr>
      <w:kern w:val="2"/>
      <w:sz w:val="24"/>
      <w:szCs w:val="24"/>
      <w14:ligatures w14:val="standardContextual"/>
    </w:rPr>
  </w:style>
  <w:style w:type="paragraph" w:customStyle="1" w:styleId="6C9752C6CBD84186BBCEF4F37C82054C">
    <w:name w:val="6C9752C6CBD84186BBCEF4F37C82054C"/>
    <w:rsid w:val="006D40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0943-FC13-4F31-B4C5-BE0D5B23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1</TotalTime>
  <Pages>7</Pages>
  <Words>11360</Words>
  <Characters>6476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17801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Kamilė Reinikienė</cp:lastModifiedBy>
  <cp:revision>12</cp:revision>
  <cp:lastPrinted>2015-11-17T07:39:00Z</cp:lastPrinted>
  <dcterms:created xsi:type="dcterms:W3CDTF">2026-02-11T08:52:00Z</dcterms:created>
  <dcterms:modified xsi:type="dcterms:W3CDTF">2026-03-12T07:40:00Z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2024-12-27T19:44:20Z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65ee2e94-c527-46c9-ad52-3911411e8134</vt:lpwstr>
  </property>
  <property fmtid="{D5CDD505-2E9C-101B-9397-08002B2CF9AE}" pid="8" name="MSIP_Label_0eea11ca-d417-4147-80ed-01a58412c458_ContentBits">
    <vt:lpwstr>2</vt:lpwstr>
  </property>
</Properties>
</file>