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E85D42">
      <w:pPr>
        <w:ind w:left="5529"/>
        <w:jc w:val="both"/>
      </w:pPr>
    </w:p>
    <w:p w14:paraId="12FA4B9E" w14:textId="39AA3336" w:rsidR="001B3C5B" w:rsidRPr="00334F18" w:rsidRDefault="00DC261A" w:rsidP="00E85D42">
      <w:pPr>
        <w:ind w:left="6096"/>
        <w:jc w:val="both"/>
      </w:pPr>
      <w:bookmarkStart w:id="0" w:name="_Hlk189565243"/>
      <w:r w:rsidRPr="00334F18">
        <w:t>PATVIRTINTA</w:t>
      </w:r>
    </w:p>
    <w:p w14:paraId="7206970B" w14:textId="70E9BD2E" w:rsidR="004C263A" w:rsidRPr="00334F18" w:rsidRDefault="001B3C5B" w:rsidP="00E85D42">
      <w:pPr>
        <w:ind w:left="6096"/>
        <w:jc w:val="both"/>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E85D42">
      <w:pPr>
        <w:ind w:left="6096"/>
        <w:jc w:val="both"/>
      </w:pPr>
      <w:r w:rsidRPr="00334F18">
        <w:t>(Valstybinės vaistų kontrolės tarnybos prie Lietuvos Respublikos sveikatos apsaugos ministerijos viršininko 202</w:t>
      </w:r>
      <w:r w:rsidR="00A2310D" w:rsidRPr="00334F18">
        <w:t>5</w:t>
      </w:r>
      <w:r w:rsidRPr="00334F18">
        <w:t xml:space="preserve"> m.                         d. įsakymo Nr.                    redakcija)</w:t>
      </w:r>
    </w:p>
    <w:bookmarkEnd w:id="0"/>
    <w:p w14:paraId="56604434" w14:textId="77777777" w:rsidR="00DC261A" w:rsidRPr="00334F18" w:rsidRDefault="00DC261A" w:rsidP="00E85D42">
      <w:pPr>
        <w:jc w:val="both"/>
        <w:rPr>
          <w:b/>
        </w:rPr>
      </w:pPr>
    </w:p>
    <w:p w14:paraId="77AFB67E" w14:textId="0FB133A2" w:rsidR="00613501" w:rsidRPr="00334F18" w:rsidRDefault="002F0E4F" w:rsidP="00E85D42">
      <w:pPr>
        <w:jc w:val="both"/>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E85D42">
      <w:pPr>
        <w:jc w:val="both"/>
        <w:rPr>
          <w:b/>
        </w:rPr>
      </w:pPr>
    </w:p>
    <w:p w14:paraId="5E05AE68" w14:textId="7E23BC12" w:rsidR="00E85D42" w:rsidRDefault="001A5807" w:rsidP="00E85D42">
      <w:pPr>
        <w:jc w:val="both"/>
        <w:rPr>
          <w:b/>
        </w:rPr>
      </w:pPr>
      <w:proofErr w:type="spellStart"/>
      <w:r w:rsidRPr="00674D9F">
        <w:rPr>
          <w:b/>
        </w:rPr>
        <w:t>Pergoveris</w:t>
      </w:r>
      <w:proofErr w:type="spellEnd"/>
      <w:r w:rsidRPr="00D05364">
        <w:rPr>
          <w:b/>
        </w:rPr>
        <w:t xml:space="preserve"> </w:t>
      </w:r>
      <w:r w:rsidRPr="00674D9F">
        <w:rPr>
          <w:b/>
        </w:rPr>
        <w:t>(450 TV + 225 TV)/0,72 ml</w:t>
      </w:r>
      <w:r w:rsidR="00E85D42">
        <w:rPr>
          <w:b/>
        </w:rPr>
        <w:t xml:space="preserve"> </w:t>
      </w:r>
      <w:r w:rsidR="00E85D42" w:rsidRPr="00674D9F">
        <w:rPr>
          <w:b/>
        </w:rPr>
        <w:t xml:space="preserve">injekcinis tirpalas užpildytame </w:t>
      </w:r>
      <w:proofErr w:type="spellStart"/>
      <w:r w:rsidR="00E85D42" w:rsidRPr="00674D9F">
        <w:rPr>
          <w:b/>
        </w:rPr>
        <w:t>švirkštiklyje</w:t>
      </w:r>
      <w:proofErr w:type="spellEnd"/>
    </w:p>
    <w:p w14:paraId="420A9B72" w14:textId="077C516A" w:rsidR="001A5807" w:rsidRDefault="00E85D42" w:rsidP="00E85D42">
      <w:pPr>
        <w:jc w:val="both"/>
        <w:rPr>
          <w:b/>
        </w:rPr>
      </w:pPr>
      <w:proofErr w:type="spellStart"/>
      <w:r w:rsidRPr="00674D9F">
        <w:rPr>
          <w:b/>
        </w:rPr>
        <w:t>Pergoveris</w:t>
      </w:r>
      <w:proofErr w:type="spellEnd"/>
      <w:r w:rsidRPr="00674D9F">
        <w:rPr>
          <w:b/>
        </w:rPr>
        <w:t xml:space="preserve"> </w:t>
      </w:r>
      <w:r w:rsidR="001A5807" w:rsidRPr="00674D9F">
        <w:rPr>
          <w:b/>
        </w:rPr>
        <w:t>(900 TV + 450 TV)/1,44 ml</w:t>
      </w:r>
      <w:r w:rsidR="001A5807">
        <w:rPr>
          <w:b/>
        </w:rPr>
        <w:t xml:space="preserve"> </w:t>
      </w:r>
      <w:r w:rsidR="001A5807" w:rsidRPr="00674D9F">
        <w:rPr>
          <w:b/>
        </w:rPr>
        <w:t xml:space="preserve">injekcinis tirpalas užpildytame </w:t>
      </w:r>
      <w:proofErr w:type="spellStart"/>
      <w:r w:rsidR="001A5807" w:rsidRPr="00674D9F">
        <w:rPr>
          <w:b/>
        </w:rPr>
        <w:t>švirkštiklyje</w:t>
      </w:r>
      <w:proofErr w:type="spellEnd"/>
    </w:p>
    <w:p w14:paraId="2BFA326A" w14:textId="77777777" w:rsidR="001A5807" w:rsidRPr="00D05364" w:rsidRDefault="001A5807" w:rsidP="00E85D42">
      <w:pPr>
        <w:jc w:val="both"/>
      </w:pPr>
    </w:p>
    <w:p w14:paraId="386CE9B8" w14:textId="70F8F53D" w:rsidR="001A5807" w:rsidRPr="00D05364" w:rsidRDefault="001A5807" w:rsidP="00E85D42">
      <w:pPr>
        <w:jc w:val="both"/>
      </w:pPr>
      <w:proofErr w:type="spellStart"/>
      <w:r>
        <w:rPr>
          <w:b/>
          <w:bCs/>
        </w:rPr>
        <w:t>Rekombinantinis</w:t>
      </w:r>
      <w:proofErr w:type="spellEnd"/>
      <w:r>
        <w:rPr>
          <w:b/>
          <w:bCs/>
        </w:rPr>
        <w:t xml:space="preserve"> žmogaus </w:t>
      </w:r>
      <w:proofErr w:type="spellStart"/>
      <w:r w:rsidRPr="00674D9F">
        <w:rPr>
          <w:b/>
        </w:rPr>
        <w:t>folitropin</w:t>
      </w:r>
      <w:r>
        <w:rPr>
          <w:b/>
        </w:rPr>
        <w:t>as</w:t>
      </w:r>
      <w:proofErr w:type="spellEnd"/>
      <w:r w:rsidRPr="00674D9F">
        <w:rPr>
          <w:b/>
        </w:rPr>
        <w:t xml:space="preserve"> alfa </w:t>
      </w:r>
      <w:r>
        <w:rPr>
          <w:b/>
        </w:rPr>
        <w:t xml:space="preserve">ir </w:t>
      </w:r>
      <w:proofErr w:type="spellStart"/>
      <w:r>
        <w:rPr>
          <w:b/>
          <w:bCs/>
        </w:rPr>
        <w:t>rekombinantinis</w:t>
      </w:r>
      <w:proofErr w:type="spellEnd"/>
      <w:r>
        <w:rPr>
          <w:b/>
          <w:bCs/>
        </w:rPr>
        <w:t xml:space="preserve"> žmogaus </w:t>
      </w:r>
      <w:proofErr w:type="spellStart"/>
      <w:r w:rsidRPr="00674D9F">
        <w:rPr>
          <w:b/>
        </w:rPr>
        <w:t>lutropin</w:t>
      </w:r>
      <w:r>
        <w:rPr>
          <w:b/>
        </w:rPr>
        <w:t>as</w:t>
      </w:r>
      <w:proofErr w:type="spellEnd"/>
      <w:r w:rsidRPr="00674D9F">
        <w:rPr>
          <w:b/>
        </w:rPr>
        <w:t xml:space="preserve"> alfa</w:t>
      </w:r>
    </w:p>
    <w:p w14:paraId="454F102F" w14:textId="77777777" w:rsidR="001A5807" w:rsidRPr="00D05364" w:rsidRDefault="001A5807" w:rsidP="00E85D42">
      <w:pPr>
        <w:jc w:val="both"/>
      </w:pPr>
    </w:p>
    <w:p w14:paraId="052CBAD6" w14:textId="1BCCDF57" w:rsidR="001A5807" w:rsidRPr="00674D9F" w:rsidRDefault="00E85D42" w:rsidP="00E85D42">
      <w:pPr>
        <w:jc w:val="both"/>
        <w:rPr>
          <w:b/>
          <w:lang w:val="en-US"/>
        </w:rPr>
      </w:pPr>
      <w:r>
        <w:rPr>
          <w:b/>
        </w:rPr>
        <w:t xml:space="preserve">Paraiškos numeris </w:t>
      </w:r>
      <w:r w:rsidR="001A5807">
        <w:rPr>
          <w:b/>
        </w:rPr>
        <w:t>STV</w:t>
      </w:r>
      <w:r>
        <w:rPr>
          <w:b/>
        </w:rPr>
        <w:t>-</w:t>
      </w:r>
      <w:r w:rsidR="001A5807">
        <w:rPr>
          <w:b/>
          <w:lang w:val="en-US"/>
        </w:rPr>
        <w:t>200A</w:t>
      </w:r>
    </w:p>
    <w:p w14:paraId="453197C8" w14:textId="77777777" w:rsidR="00D4708D" w:rsidRPr="00334F18" w:rsidRDefault="00D4708D" w:rsidP="00E85D42">
      <w:pPr>
        <w:jc w:val="both"/>
        <w:rPr>
          <w:b/>
        </w:rPr>
      </w:pPr>
    </w:p>
    <w:p w14:paraId="78C89D1C" w14:textId="0DEFFAA5" w:rsidR="00D4485B" w:rsidRPr="00334F18" w:rsidRDefault="00B13D65" w:rsidP="00E85D42">
      <w:pPr>
        <w:pStyle w:val="Sraopastraipa"/>
        <w:numPr>
          <w:ilvl w:val="0"/>
          <w:numId w:val="12"/>
        </w:numPr>
        <w:tabs>
          <w:tab w:val="left" w:pos="567"/>
        </w:tabs>
        <w:ind w:left="567" w:hanging="567"/>
        <w:jc w:val="both"/>
        <w:rPr>
          <w:b/>
          <w:bCs/>
          <w:caps/>
        </w:rPr>
      </w:pPr>
      <w:r w:rsidRPr="00334F18">
        <w:rPr>
          <w:b/>
          <w:bCs/>
          <w:caps/>
        </w:rPr>
        <w:t>Bendroji dalis</w:t>
      </w:r>
    </w:p>
    <w:p w14:paraId="04A7C7A7" w14:textId="77777777" w:rsidR="00B13D65" w:rsidRPr="00334F18" w:rsidRDefault="00B13D65" w:rsidP="00E85D42">
      <w:pPr>
        <w:pStyle w:val="Sraopastraipa"/>
        <w:tabs>
          <w:tab w:val="left" w:pos="284"/>
        </w:tabs>
        <w:ind w:left="0"/>
        <w:jc w:val="both"/>
        <w:rPr>
          <w:b/>
          <w:bCs/>
          <w:caps/>
        </w:rPr>
      </w:pPr>
    </w:p>
    <w:tbl>
      <w:tblPr>
        <w:tblStyle w:val="Lentelstinklelis"/>
        <w:tblW w:w="9493" w:type="dxa"/>
        <w:tblLook w:val="04A0" w:firstRow="1" w:lastRow="0" w:firstColumn="1" w:lastColumn="0" w:noHBand="0" w:noVBand="1"/>
      </w:tblPr>
      <w:tblGrid>
        <w:gridCol w:w="632"/>
        <w:gridCol w:w="3899"/>
        <w:gridCol w:w="4962"/>
      </w:tblGrid>
      <w:tr w:rsidR="001A5807" w:rsidRPr="00334F18" w14:paraId="16A7BC7B" w14:textId="77777777" w:rsidTr="003F3FFF">
        <w:trPr>
          <w:trHeight w:val="538"/>
        </w:trPr>
        <w:tc>
          <w:tcPr>
            <w:tcW w:w="632" w:type="dxa"/>
          </w:tcPr>
          <w:p w14:paraId="4572808D" w14:textId="77777777" w:rsidR="001A5807" w:rsidRPr="00334F18" w:rsidRDefault="001A5807" w:rsidP="00E85D42">
            <w:pPr>
              <w:jc w:val="both"/>
              <w:rPr>
                <w:rFonts w:eastAsia="Arial"/>
                <w:b/>
                <w:bCs/>
              </w:rPr>
            </w:pPr>
            <w:r w:rsidRPr="00334F18">
              <w:rPr>
                <w:rFonts w:eastAsia="Arial"/>
                <w:b/>
                <w:bCs/>
              </w:rPr>
              <w:t>1.1</w:t>
            </w:r>
          </w:p>
        </w:tc>
        <w:tc>
          <w:tcPr>
            <w:tcW w:w="3899" w:type="dxa"/>
          </w:tcPr>
          <w:p w14:paraId="54BA6EB3" w14:textId="77777777" w:rsidR="001A5807" w:rsidRPr="00334F18" w:rsidRDefault="001A5807" w:rsidP="00E85D42">
            <w:pPr>
              <w:jc w:val="both"/>
              <w:rPr>
                <w:rFonts w:eastAsia="Arial"/>
                <w:b/>
                <w:bCs/>
              </w:rPr>
            </w:pPr>
            <w:r w:rsidRPr="00334F18">
              <w:rPr>
                <w:rFonts w:eastAsia="Arial"/>
                <w:b/>
                <w:bCs/>
              </w:rPr>
              <w:t>Pareiškėjas/ pareiškėjo atstovas</w:t>
            </w:r>
          </w:p>
        </w:tc>
        <w:tc>
          <w:tcPr>
            <w:tcW w:w="4962" w:type="dxa"/>
          </w:tcPr>
          <w:p w14:paraId="0F359BD4" w14:textId="096079FD" w:rsidR="001A5807" w:rsidRPr="00334F18" w:rsidRDefault="001A5807" w:rsidP="00E85D42">
            <w:pPr>
              <w:jc w:val="both"/>
              <w:rPr>
                <w:rFonts w:eastAsia="Arial"/>
              </w:rPr>
            </w:pPr>
            <w:r w:rsidRPr="00674D9F">
              <w:t xml:space="preserve">UAB </w:t>
            </w:r>
            <w:proofErr w:type="spellStart"/>
            <w:r w:rsidRPr="00674D9F">
              <w:t>Merck</w:t>
            </w:r>
            <w:proofErr w:type="spellEnd"/>
            <w:r w:rsidRPr="00674D9F">
              <w:t xml:space="preserve"> </w:t>
            </w:r>
            <w:proofErr w:type="spellStart"/>
            <w:r w:rsidRPr="00674D9F">
              <w:t>Serono</w:t>
            </w:r>
            <w:proofErr w:type="spellEnd"/>
          </w:p>
        </w:tc>
      </w:tr>
      <w:tr w:rsidR="001A5807" w:rsidRPr="00334F18" w14:paraId="101EA148" w14:textId="77777777" w:rsidTr="003F3FFF">
        <w:trPr>
          <w:trHeight w:val="538"/>
        </w:trPr>
        <w:tc>
          <w:tcPr>
            <w:tcW w:w="632" w:type="dxa"/>
          </w:tcPr>
          <w:p w14:paraId="3BF67175" w14:textId="77777777" w:rsidR="001A5807" w:rsidRPr="00334F18" w:rsidRDefault="001A5807" w:rsidP="00E85D42">
            <w:pPr>
              <w:jc w:val="both"/>
              <w:rPr>
                <w:rFonts w:eastAsia="Arial"/>
                <w:b/>
                <w:bCs/>
              </w:rPr>
            </w:pPr>
            <w:r w:rsidRPr="00334F18">
              <w:rPr>
                <w:rFonts w:eastAsia="Arial"/>
                <w:b/>
                <w:bCs/>
              </w:rPr>
              <w:t>1.2</w:t>
            </w:r>
          </w:p>
        </w:tc>
        <w:tc>
          <w:tcPr>
            <w:tcW w:w="3899" w:type="dxa"/>
          </w:tcPr>
          <w:p w14:paraId="786B66DF" w14:textId="77777777" w:rsidR="001A5807" w:rsidRPr="00334F18" w:rsidRDefault="001A5807" w:rsidP="00E85D42">
            <w:pPr>
              <w:jc w:val="both"/>
              <w:rPr>
                <w:b/>
                <w:bCs/>
                <w:lang w:eastAsia="lt-LT"/>
              </w:rPr>
            </w:pPr>
            <w:r w:rsidRPr="00334F18">
              <w:rPr>
                <w:b/>
                <w:bCs/>
                <w:lang w:eastAsia="lt-LT"/>
              </w:rPr>
              <w:t xml:space="preserve">Vaistinio preparato registracijos data </w:t>
            </w:r>
          </w:p>
          <w:p w14:paraId="4B568341" w14:textId="77777777" w:rsidR="001A5807" w:rsidRPr="00334F18" w:rsidRDefault="001A5807" w:rsidP="00E85D42">
            <w:pPr>
              <w:jc w:val="both"/>
              <w:rPr>
                <w:b/>
                <w:bCs/>
                <w:lang w:eastAsia="lt-LT"/>
              </w:rPr>
            </w:pPr>
          </w:p>
        </w:tc>
        <w:tc>
          <w:tcPr>
            <w:tcW w:w="4962" w:type="dxa"/>
          </w:tcPr>
          <w:p w14:paraId="50F63366" w14:textId="55348533" w:rsidR="001A5807" w:rsidRPr="00E85D42" w:rsidRDefault="001A5807" w:rsidP="00E85D42">
            <w:pPr>
              <w:jc w:val="both"/>
              <w:rPr>
                <w:rStyle w:val="Style2"/>
                <w:sz w:val="24"/>
              </w:rPr>
            </w:pPr>
            <w:r w:rsidRPr="00E85D42">
              <w:rPr>
                <w:rStyle w:val="Style2"/>
                <w:sz w:val="24"/>
              </w:rPr>
              <w:t>2007-06-25</w:t>
            </w:r>
          </w:p>
        </w:tc>
      </w:tr>
      <w:tr w:rsidR="00334F18" w:rsidRPr="00334F18" w14:paraId="3D70E0FA" w14:textId="77777777" w:rsidTr="001F115E">
        <w:trPr>
          <w:trHeight w:val="1643"/>
        </w:trPr>
        <w:tc>
          <w:tcPr>
            <w:tcW w:w="632" w:type="dxa"/>
          </w:tcPr>
          <w:p w14:paraId="021DF6BD" w14:textId="77777777" w:rsidR="00E70CED" w:rsidRPr="00334F18" w:rsidRDefault="00E70CED" w:rsidP="00E85D42">
            <w:pPr>
              <w:jc w:val="both"/>
              <w:rPr>
                <w:rFonts w:eastAsia="Arial"/>
                <w:b/>
                <w:bCs/>
              </w:rPr>
            </w:pPr>
            <w:r w:rsidRPr="00334F18">
              <w:rPr>
                <w:rFonts w:eastAsia="Arial"/>
                <w:b/>
                <w:bCs/>
              </w:rPr>
              <w:t>1.3</w:t>
            </w:r>
          </w:p>
        </w:tc>
        <w:tc>
          <w:tcPr>
            <w:tcW w:w="3899" w:type="dxa"/>
          </w:tcPr>
          <w:p w14:paraId="528F713F" w14:textId="77777777" w:rsidR="00E70CED" w:rsidRPr="00334F18" w:rsidRDefault="00E70CED" w:rsidP="00E85D42">
            <w:pPr>
              <w:pStyle w:val="Betarp"/>
              <w:jc w:val="both"/>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E85D42">
            <w:pPr>
              <w:pStyle w:val="Betarp"/>
              <w:jc w:val="both"/>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4D61F81E" w:rsidR="00E70CED" w:rsidRPr="00334F18" w:rsidRDefault="009B514C" w:rsidP="00E85D42">
            <w:pPr>
              <w:jc w:val="both"/>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1A5807">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9B514C" w:rsidP="00E85D42">
            <w:pPr>
              <w:jc w:val="both"/>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9B514C" w:rsidP="00E85D42">
            <w:pPr>
              <w:jc w:val="both"/>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10.1 str. (</w:t>
            </w:r>
            <w:proofErr w:type="spellStart"/>
            <w:r w:rsidR="00E70CED" w:rsidRPr="00334F18">
              <w:t>generinis</w:t>
            </w:r>
            <w:proofErr w:type="spellEnd"/>
            <w:r w:rsidR="00E70CED" w:rsidRPr="00334F18">
              <w:t>)</w:t>
            </w:r>
          </w:p>
          <w:p w14:paraId="0517A1B2" w14:textId="77777777" w:rsidR="00E70CED" w:rsidRPr="00334F18" w:rsidRDefault="009B514C" w:rsidP="00E85D42">
            <w:pPr>
              <w:jc w:val="both"/>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78AF6516" w:rsidR="00063A50" w:rsidRPr="00334F18" w:rsidRDefault="009B514C" w:rsidP="00E85D42">
            <w:pPr>
              <w:jc w:val="both"/>
            </w:pPr>
            <w:sdt>
              <w:sdtPr>
                <w:rPr>
                  <w:rStyle w:val="Style2"/>
                  <w:sz w:val="24"/>
                </w:rPr>
                <w:id w:val="1800953328"/>
                <w15:color w:val="FFCC00"/>
                <w14:checkbox>
                  <w14:checked w14:val="0"/>
                  <w14:checkedState w14:val="2612" w14:font="MS Gothic"/>
                  <w14:uncheckedState w14:val="2610" w14:font="MS Gothic"/>
                </w14:checkbox>
              </w:sdtPr>
              <w:sdtEndPr>
                <w:rPr>
                  <w:rStyle w:val="Style2"/>
                </w:rPr>
              </w:sdtEndPr>
              <w:sdtContent>
                <w:r w:rsidR="00063A50" w:rsidRPr="00334F18">
                  <w:rPr>
                    <w:rStyle w:val="Style2"/>
                    <w:rFonts w:ascii="Segoe UI Symbol" w:eastAsia="MS Gothic" w:hAnsi="Segoe UI Symbol" w:cs="Segoe UI Symbol"/>
                    <w:sz w:val="24"/>
                  </w:rPr>
                  <w:t>☐</w:t>
                </w:r>
              </w:sdtContent>
            </w:sdt>
            <w:r w:rsidR="00063A50" w:rsidRPr="00334F18">
              <w:t>10.4 str. (panašus biologinis)</w:t>
            </w:r>
          </w:p>
          <w:p w14:paraId="7EDB4848" w14:textId="77777777" w:rsidR="00063A50" w:rsidRPr="00334F18" w:rsidRDefault="00063A50" w:rsidP="00E85D42">
            <w:pPr>
              <w:jc w:val="both"/>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E85D42">
            <w:pPr>
              <w:jc w:val="both"/>
              <w:rPr>
                <w:rFonts w:eastAsia="Arial"/>
                <w:b/>
                <w:bCs/>
              </w:rPr>
            </w:pPr>
            <w:r w:rsidRPr="00334F18">
              <w:rPr>
                <w:rFonts w:eastAsia="Arial"/>
                <w:b/>
              </w:rPr>
              <w:t>1.4</w:t>
            </w:r>
          </w:p>
        </w:tc>
        <w:tc>
          <w:tcPr>
            <w:tcW w:w="3899" w:type="dxa"/>
          </w:tcPr>
          <w:p w14:paraId="2547AC59" w14:textId="77777777" w:rsidR="00E70CED" w:rsidRPr="00334F18" w:rsidRDefault="00E70CED" w:rsidP="00E85D42">
            <w:pPr>
              <w:tabs>
                <w:tab w:val="left" w:pos="284"/>
              </w:tabs>
              <w:jc w:val="both"/>
              <w:rPr>
                <w:b/>
                <w:bCs/>
                <w:lang w:eastAsia="lt-LT"/>
              </w:rPr>
            </w:pPr>
            <w:r w:rsidRPr="00334F18">
              <w:rPr>
                <w:b/>
                <w:bCs/>
                <w:lang w:eastAsia="lt-LT"/>
              </w:rPr>
              <w:t>Ar vaistinis preparatas įrašytas į Bendrijos retųjų vaistinių preparatų registrą?</w:t>
            </w:r>
          </w:p>
        </w:tc>
        <w:tc>
          <w:tcPr>
            <w:tcW w:w="4962" w:type="dxa"/>
          </w:tcPr>
          <w:p w14:paraId="49AB923F" w14:textId="242D55F1" w:rsidR="00E70CED" w:rsidRPr="00334F18" w:rsidRDefault="009B514C" w:rsidP="00E85D42">
            <w:pPr>
              <w:jc w:val="both"/>
            </w:pPr>
            <w:sdt>
              <w:sdtPr>
                <w:rPr>
                  <w:rStyle w:val="Style2"/>
                  <w:sz w:val="24"/>
                </w:rPr>
                <w:id w:val="1190730465"/>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EndPr>
                <w:rPr>
                  <w:rStyle w:val="Style2"/>
                </w:rPr>
              </w:sdtEndPr>
              <w:sdtContent>
                <w:r w:rsidR="001A5807">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E85D42">
            <w:pPr>
              <w:jc w:val="both"/>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E85D42">
            <w:pPr>
              <w:jc w:val="both"/>
              <w:rPr>
                <w:rFonts w:eastAsia="Arial"/>
                <w:b/>
              </w:rPr>
            </w:pPr>
            <w:r w:rsidRPr="00334F18">
              <w:rPr>
                <w:rFonts w:eastAsia="Arial"/>
                <w:b/>
                <w:bCs/>
              </w:rPr>
              <w:t>1.5</w:t>
            </w:r>
          </w:p>
        </w:tc>
        <w:tc>
          <w:tcPr>
            <w:tcW w:w="3899" w:type="dxa"/>
          </w:tcPr>
          <w:p w14:paraId="1DDE7CF3" w14:textId="2FF7A402" w:rsidR="00E70CED" w:rsidRPr="00334F18" w:rsidRDefault="00E70CED" w:rsidP="00E85D42">
            <w:pPr>
              <w:tabs>
                <w:tab w:val="left" w:pos="284"/>
              </w:tabs>
              <w:jc w:val="both"/>
              <w:rPr>
                <w:b/>
                <w:bCs/>
                <w:lang w:eastAsia="lt-LT"/>
              </w:rPr>
            </w:pPr>
            <w:r w:rsidRPr="00334F18">
              <w:rPr>
                <w:b/>
                <w:bCs/>
                <w:lang w:eastAsia="lt-LT"/>
              </w:rPr>
              <w:t>Ar atliktas bendras klinikinis vertinimas</w:t>
            </w:r>
          </w:p>
          <w:p w14:paraId="0961228D" w14:textId="77777777" w:rsidR="00E70CED" w:rsidRPr="00334F18" w:rsidRDefault="00E70CED" w:rsidP="00E85D42">
            <w:pPr>
              <w:tabs>
                <w:tab w:val="left" w:pos="284"/>
              </w:tabs>
              <w:jc w:val="both"/>
              <w:rPr>
                <w:b/>
                <w:bCs/>
                <w:lang w:eastAsia="lt-LT"/>
              </w:rPr>
            </w:pPr>
            <w:r w:rsidRPr="00334F18">
              <w:rPr>
                <w:b/>
                <w:bCs/>
                <w:lang w:eastAsia="lt-LT"/>
              </w:rPr>
              <w:t>(Europos Parlamento ir Tarybos reglamentas (ES) 2021/2282)</w:t>
            </w:r>
          </w:p>
          <w:p w14:paraId="7B6C3C1B" w14:textId="77777777" w:rsidR="00336238" w:rsidRPr="00334F18" w:rsidRDefault="00336238" w:rsidP="00E85D42">
            <w:pPr>
              <w:tabs>
                <w:tab w:val="left" w:pos="284"/>
              </w:tabs>
              <w:jc w:val="both"/>
              <w:rPr>
                <w:b/>
                <w:bCs/>
                <w:lang w:eastAsia="lt-LT"/>
              </w:rPr>
            </w:pPr>
          </w:p>
        </w:tc>
        <w:tc>
          <w:tcPr>
            <w:tcW w:w="4962" w:type="dxa"/>
          </w:tcPr>
          <w:p w14:paraId="024AE31B" w14:textId="096FB6F2" w:rsidR="00E70CED" w:rsidRPr="00334F18" w:rsidRDefault="009B514C" w:rsidP="00E85D42">
            <w:pPr>
              <w:jc w:val="both"/>
            </w:pPr>
            <w:sdt>
              <w:sdtPr>
                <w:rPr>
                  <w:rStyle w:val="Style2"/>
                  <w:sz w:val="24"/>
                </w:rPr>
                <w:id w:val="-117156447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EndPr>
                <w:rPr>
                  <w:rStyle w:val="Style2"/>
                </w:rPr>
              </w:sdtEndPr>
              <w:sdtContent>
                <w:r w:rsidR="001A5807">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E85D42">
            <w:pPr>
              <w:jc w:val="both"/>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w:t>
            </w:r>
          </w:p>
        </w:tc>
      </w:tr>
      <w:tr w:rsidR="00334F18" w:rsidRPr="00334F18" w14:paraId="15E36E93" w14:textId="77777777" w:rsidTr="003F3FFF">
        <w:trPr>
          <w:trHeight w:val="1278"/>
        </w:trPr>
        <w:tc>
          <w:tcPr>
            <w:tcW w:w="632" w:type="dxa"/>
          </w:tcPr>
          <w:p w14:paraId="5F43AA8F" w14:textId="77777777" w:rsidR="00E70CED" w:rsidRPr="00334F18" w:rsidRDefault="00E70CED" w:rsidP="00E85D42">
            <w:pPr>
              <w:jc w:val="both"/>
              <w:rPr>
                <w:rFonts w:eastAsia="Arial"/>
                <w:b/>
                <w:bCs/>
              </w:rPr>
            </w:pPr>
            <w:r w:rsidRPr="00334F18">
              <w:rPr>
                <w:rFonts w:eastAsia="Arial"/>
                <w:b/>
                <w:bCs/>
              </w:rPr>
              <w:t>1.6</w:t>
            </w:r>
          </w:p>
        </w:tc>
        <w:tc>
          <w:tcPr>
            <w:tcW w:w="3899" w:type="dxa"/>
          </w:tcPr>
          <w:p w14:paraId="41F32942" w14:textId="77777777" w:rsidR="00E70CED" w:rsidRPr="00334F18" w:rsidRDefault="00E70CED" w:rsidP="00E85D42">
            <w:pPr>
              <w:jc w:val="both"/>
              <w:rPr>
                <w:b/>
                <w:bCs/>
                <w:lang w:eastAsia="lt-LT"/>
              </w:rPr>
            </w:pPr>
            <w:r w:rsidRPr="00334F18">
              <w:rPr>
                <w:b/>
                <w:bCs/>
                <w:lang w:eastAsia="lt-LT"/>
              </w:rPr>
              <w:t xml:space="preserve">Teikiama kompensuoti terapinė indikacija </w:t>
            </w:r>
          </w:p>
          <w:p w14:paraId="2882A5BD" w14:textId="77777777" w:rsidR="00E70CED" w:rsidRPr="00334F18" w:rsidRDefault="00E70CED" w:rsidP="00E85D42">
            <w:pPr>
              <w:jc w:val="both"/>
              <w:rPr>
                <w:b/>
                <w:bCs/>
                <w:lang w:eastAsia="lt-LT"/>
              </w:rPr>
            </w:pPr>
          </w:p>
          <w:p w14:paraId="371D188E" w14:textId="77777777" w:rsidR="00E70CED" w:rsidRPr="00334F18" w:rsidRDefault="00E70CED" w:rsidP="00E85D42">
            <w:pPr>
              <w:jc w:val="both"/>
              <w:rPr>
                <w:b/>
                <w:bCs/>
                <w:lang w:eastAsia="lt-LT"/>
              </w:rPr>
            </w:pPr>
            <w:r w:rsidRPr="00334F18">
              <w:rPr>
                <w:b/>
                <w:bCs/>
                <w:lang w:eastAsia="lt-LT"/>
              </w:rPr>
              <w:t>Kodas pagal TLK-10 AM</w:t>
            </w:r>
          </w:p>
        </w:tc>
        <w:tc>
          <w:tcPr>
            <w:tcW w:w="4962" w:type="dxa"/>
          </w:tcPr>
          <w:p w14:paraId="1DB368E5" w14:textId="77777777" w:rsidR="001A5807" w:rsidRPr="00674D9F" w:rsidRDefault="001A5807" w:rsidP="00E85D42">
            <w:pPr>
              <w:spacing w:after="120"/>
              <w:jc w:val="both"/>
            </w:pPr>
            <w:proofErr w:type="spellStart"/>
            <w:r w:rsidRPr="00674D9F">
              <w:t>Pergoveris</w:t>
            </w:r>
            <w:proofErr w:type="spellEnd"/>
            <w:r w:rsidRPr="00674D9F">
              <w:t xml:space="preserve"> skirtas stimuliuoti folikulų vystymąsi suaugusioms moterims su ryškiu LH ir FSH nepakankamumu.</w:t>
            </w:r>
          </w:p>
          <w:p w14:paraId="2ED0E997" w14:textId="06CBCD1F" w:rsidR="00E70CED" w:rsidRPr="00334F18" w:rsidRDefault="001A5807" w:rsidP="00E85D42">
            <w:pPr>
              <w:jc w:val="both"/>
            </w:pPr>
            <w:r w:rsidRPr="00674D9F">
              <w:t>TLK-10-AM:</w:t>
            </w:r>
            <w:r>
              <w:t xml:space="preserve"> </w:t>
            </w:r>
            <w:r w:rsidRPr="00674D9F">
              <w:t>N97 Moters nevaisingumas</w:t>
            </w:r>
          </w:p>
          <w:p w14:paraId="10833DB8" w14:textId="7678DD02" w:rsidR="00E70CED" w:rsidRPr="00334F18" w:rsidRDefault="00E70CED" w:rsidP="00E85D42">
            <w:pPr>
              <w:jc w:val="both"/>
            </w:pPr>
          </w:p>
        </w:tc>
      </w:tr>
      <w:tr w:rsidR="00334F18" w:rsidRPr="00334F18" w14:paraId="01C3C4F5" w14:textId="77777777" w:rsidTr="003F3FFF">
        <w:trPr>
          <w:trHeight w:val="378"/>
        </w:trPr>
        <w:tc>
          <w:tcPr>
            <w:tcW w:w="632" w:type="dxa"/>
          </w:tcPr>
          <w:p w14:paraId="5115AFC1" w14:textId="77777777" w:rsidR="00E70CED" w:rsidRPr="00334F18" w:rsidRDefault="00E70CED" w:rsidP="00E85D42">
            <w:pPr>
              <w:jc w:val="both"/>
              <w:rPr>
                <w:rFonts w:eastAsia="Arial"/>
                <w:b/>
                <w:bCs/>
              </w:rPr>
            </w:pPr>
            <w:r w:rsidRPr="00334F18">
              <w:rPr>
                <w:rFonts w:eastAsia="Arial"/>
                <w:b/>
                <w:bCs/>
              </w:rPr>
              <w:lastRenderedPageBreak/>
              <w:t>1.7</w:t>
            </w:r>
          </w:p>
        </w:tc>
        <w:tc>
          <w:tcPr>
            <w:tcW w:w="3899" w:type="dxa"/>
          </w:tcPr>
          <w:p w14:paraId="48045B5A" w14:textId="77777777" w:rsidR="00E70CED" w:rsidRPr="00334F18" w:rsidRDefault="00E70CED" w:rsidP="00E85D42">
            <w:pPr>
              <w:jc w:val="both"/>
              <w:rPr>
                <w:b/>
                <w:bCs/>
                <w:u w:val="single"/>
                <w:lang w:eastAsia="lt-LT"/>
              </w:rPr>
            </w:pPr>
            <w:r w:rsidRPr="00334F18">
              <w:rPr>
                <w:b/>
                <w:bCs/>
                <w:lang w:eastAsia="lt-LT"/>
              </w:rPr>
              <w:t xml:space="preserve">Teikiamos skyrimo sąlygos </w:t>
            </w:r>
          </w:p>
        </w:tc>
        <w:tc>
          <w:tcPr>
            <w:tcW w:w="4962" w:type="dxa"/>
          </w:tcPr>
          <w:p w14:paraId="6A31562C" w14:textId="372E43E5" w:rsidR="00E70CED" w:rsidRPr="00334F18" w:rsidRDefault="001F115E" w:rsidP="00E85D42">
            <w:pPr>
              <w:jc w:val="both"/>
            </w:pPr>
            <w:r w:rsidRPr="00334F18">
              <w:t>Neteikiam</w:t>
            </w:r>
            <w:r w:rsidR="001A5807">
              <w:t>os</w:t>
            </w:r>
          </w:p>
        </w:tc>
      </w:tr>
      <w:tr w:rsidR="00334F18" w:rsidRPr="00334F18" w14:paraId="3C32C984" w14:textId="77777777" w:rsidTr="003F3FFF">
        <w:trPr>
          <w:trHeight w:val="378"/>
        </w:trPr>
        <w:tc>
          <w:tcPr>
            <w:tcW w:w="632" w:type="dxa"/>
          </w:tcPr>
          <w:p w14:paraId="4E679EDB" w14:textId="77777777" w:rsidR="00E70CED" w:rsidRPr="00334F18" w:rsidRDefault="00E70CED" w:rsidP="00E85D42">
            <w:pPr>
              <w:jc w:val="both"/>
              <w:rPr>
                <w:rFonts w:eastAsia="Arial"/>
                <w:b/>
                <w:bCs/>
              </w:rPr>
            </w:pPr>
            <w:r w:rsidRPr="00334F18">
              <w:rPr>
                <w:rFonts w:eastAsia="Arial"/>
                <w:b/>
                <w:bCs/>
              </w:rPr>
              <w:t>1.8</w:t>
            </w:r>
          </w:p>
        </w:tc>
        <w:tc>
          <w:tcPr>
            <w:tcW w:w="3899" w:type="dxa"/>
          </w:tcPr>
          <w:p w14:paraId="784605B5" w14:textId="3A924C79" w:rsidR="00E70CED" w:rsidRPr="00334F18" w:rsidRDefault="00E70CED" w:rsidP="00E85D42">
            <w:pPr>
              <w:jc w:val="both"/>
              <w:rPr>
                <w:b/>
                <w:bCs/>
                <w:lang w:eastAsia="lt-LT"/>
              </w:rPr>
            </w:pPr>
            <w:r w:rsidRPr="00334F18">
              <w:rPr>
                <w:b/>
                <w:bCs/>
                <w:lang w:eastAsia="lt-LT"/>
              </w:rPr>
              <w:t>Ekonominė analizė</w:t>
            </w:r>
          </w:p>
        </w:tc>
        <w:tc>
          <w:tcPr>
            <w:tcW w:w="4962" w:type="dxa"/>
          </w:tcPr>
          <w:p w14:paraId="3155F2E8" w14:textId="71D2704B" w:rsidR="00E70CED" w:rsidRPr="00334F18" w:rsidRDefault="009B514C" w:rsidP="00E85D42">
            <w:pPr>
              <w:jc w:val="both"/>
            </w:pPr>
            <w:sdt>
              <w:sdtPr>
                <w:rPr>
                  <w:rStyle w:val="Style2"/>
                  <w:sz w:val="24"/>
                </w:rPr>
                <w:id w:val="356323367"/>
                <w15:color w:val="FFCC00"/>
                <w14:checkbox>
                  <w14:checked w14:val="1"/>
                  <w14:checkedState w14:val="2612" w14:font="MS Gothic"/>
                  <w14:uncheckedState w14:val="2610" w14:font="MS Gothic"/>
                </w14:checkbox>
              </w:sdtPr>
              <w:sdtEndPr>
                <w:rPr>
                  <w:rStyle w:val="Style2"/>
                </w:rPr>
              </w:sdtEndPr>
              <w:sdtContent>
                <w:r w:rsidR="001A5807">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9B514C" w:rsidP="00E85D42">
            <w:pPr>
              <w:jc w:val="both"/>
            </w:pPr>
            <w:sdt>
              <w:sdtPr>
                <w:rPr>
                  <w:rStyle w:val="Style2"/>
                  <w:sz w:val="24"/>
                </w:rPr>
                <w:id w:val="-25050658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9B514C" w:rsidP="00E85D42">
            <w:pPr>
              <w:jc w:val="both"/>
            </w:pPr>
            <w:sdt>
              <w:sdtPr>
                <w:rPr>
                  <w:rStyle w:val="Style2"/>
                  <w:sz w:val="24"/>
                </w:rPr>
                <w:id w:val="-1570647133"/>
                <w15:color w:val="FFCC00"/>
                <w14:checkbox>
                  <w14:checked w14:val="0"/>
                  <w14:checkedState w14:val="2612" w14:font="MS Gothic"/>
                  <w14:uncheckedState w14:val="2610" w14:font="MS Gothic"/>
                </w14:checkbox>
              </w:sdtPr>
              <w:sdtEndPr>
                <w:rPr>
                  <w:rStyle w:val="Style2"/>
                </w:rPr>
              </w:sdtEnd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E85D42">
            <w:pPr>
              <w:jc w:val="both"/>
            </w:pPr>
          </w:p>
          <w:p w14:paraId="4B0FE78C" w14:textId="77777777" w:rsidR="00E70CED" w:rsidRPr="00334F18" w:rsidRDefault="00E70CED" w:rsidP="00E85D42">
            <w:pPr>
              <w:jc w:val="both"/>
            </w:pPr>
          </w:p>
        </w:tc>
      </w:tr>
    </w:tbl>
    <w:p w14:paraId="2EB7FD31" w14:textId="5615B363" w:rsidR="007A2B68" w:rsidRPr="00334F18" w:rsidRDefault="00DC261A" w:rsidP="00E85D42">
      <w:pPr>
        <w:pStyle w:val="Sraopastraipa"/>
        <w:tabs>
          <w:tab w:val="left" w:pos="426"/>
        </w:tabs>
        <w:ind w:left="0"/>
        <w:jc w:val="both"/>
        <w:rPr>
          <w:b/>
          <w:bCs/>
          <w:caps/>
        </w:rPr>
      </w:pPr>
      <w:r w:rsidRPr="00334F18">
        <w:rPr>
          <w:b/>
          <w:bCs/>
          <w:caps/>
        </w:rPr>
        <w:t>___________________</w:t>
      </w:r>
    </w:p>
    <w:p w14:paraId="73290081" w14:textId="77777777" w:rsidR="007A2B68" w:rsidRPr="00334F18" w:rsidRDefault="007A2B68" w:rsidP="00E85D42">
      <w:pPr>
        <w:jc w:val="both"/>
        <w:rPr>
          <w:b/>
          <w:bCs/>
          <w:caps/>
        </w:rPr>
      </w:pPr>
      <w:r w:rsidRPr="00334F18">
        <w:rPr>
          <w:b/>
          <w:bCs/>
          <w:caps/>
        </w:rPr>
        <w:br w:type="page"/>
      </w:r>
    </w:p>
    <w:p w14:paraId="5055E8A8" w14:textId="7E1B6DAC" w:rsidR="002E6F80" w:rsidRPr="00334F18" w:rsidRDefault="00CC7832" w:rsidP="00E85D42">
      <w:pPr>
        <w:pStyle w:val="Sraopastraipa"/>
        <w:numPr>
          <w:ilvl w:val="0"/>
          <w:numId w:val="12"/>
        </w:numPr>
        <w:tabs>
          <w:tab w:val="left" w:pos="567"/>
        </w:tabs>
        <w:ind w:hanging="720"/>
        <w:jc w:val="both"/>
        <w:rPr>
          <w:b/>
          <w:bCs/>
          <w:caps/>
        </w:rPr>
      </w:pPr>
      <w:r w:rsidRPr="00334F18">
        <w:rPr>
          <w:b/>
          <w:bCs/>
          <w:caps/>
        </w:rPr>
        <w:lastRenderedPageBreak/>
        <w:t>Klinikinio vertinimo a</w:t>
      </w:r>
      <w:r w:rsidR="00D4485B" w:rsidRPr="00334F18">
        <w:rPr>
          <w:b/>
          <w:bCs/>
          <w:caps/>
        </w:rPr>
        <w:t>pibendrinimas</w:t>
      </w:r>
    </w:p>
    <w:p w14:paraId="042B9D09" w14:textId="77777777" w:rsidR="001A5807" w:rsidRDefault="001A5807" w:rsidP="00E85D42">
      <w:pPr>
        <w:tabs>
          <w:tab w:val="left" w:pos="426"/>
        </w:tabs>
        <w:spacing w:line="276" w:lineRule="auto"/>
        <w:jc w:val="both"/>
        <w:rPr>
          <w:rFonts w:eastAsia="Arial"/>
          <w:bCs/>
        </w:rPr>
      </w:pPr>
    </w:p>
    <w:p w14:paraId="57D3A6A1" w14:textId="08E1999D" w:rsidR="001A5807" w:rsidRPr="00610D1C" w:rsidRDefault="00E85D42" w:rsidP="00E85D42">
      <w:pPr>
        <w:tabs>
          <w:tab w:val="left" w:pos="426"/>
        </w:tabs>
        <w:spacing w:line="23" w:lineRule="atLeast"/>
        <w:ind w:firstLine="567"/>
        <w:jc w:val="both"/>
        <w:rPr>
          <w:rFonts w:eastAsia="Arial"/>
          <w:bCs/>
        </w:rPr>
      </w:pPr>
      <w:r>
        <w:rPr>
          <w:rFonts w:eastAsia="Arial"/>
          <w:bCs/>
        </w:rPr>
        <w:tab/>
      </w:r>
      <w:r w:rsidR="001A5807">
        <w:rPr>
          <w:rFonts w:eastAsia="Arial"/>
          <w:bCs/>
        </w:rPr>
        <w:t>S</w:t>
      </w:r>
      <w:r w:rsidR="001A5807" w:rsidRPr="00610D1C">
        <w:rPr>
          <w:rFonts w:eastAsia="Arial"/>
          <w:bCs/>
        </w:rPr>
        <w:t>u nevaisingumo problema visame pasaulyje susiduria maždaug 48,5 milijono porų</w:t>
      </w:r>
      <w:r w:rsidR="001A5807">
        <w:rPr>
          <w:rFonts w:eastAsia="Arial"/>
          <w:bCs/>
        </w:rPr>
        <w:t xml:space="preserve">. </w:t>
      </w:r>
      <w:r w:rsidR="001A5807" w:rsidRPr="00610D1C">
        <w:rPr>
          <w:rFonts w:eastAsia="Arial"/>
          <w:bCs/>
        </w:rPr>
        <w:t>Lietuvoje nevaisingumas paliečia apie 10–15 proc. porų arba maždaug kas šeštą porą.</w:t>
      </w:r>
      <w:r w:rsidR="001A5807" w:rsidRPr="00674D9F">
        <w:rPr>
          <w:rFonts w:eastAsia="Arial"/>
          <w:bCs/>
        </w:rPr>
        <w:t xml:space="preserve"> </w:t>
      </w:r>
      <w:r w:rsidR="001A5807">
        <w:rPr>
          <w:rFonts w:eastAsia="Arial"/>
          <w:bCs/>
        </w:rPr>
        <w:t xml:space="preserve">Tikėtina, jog </w:t>
      </w:r>
      <w:r w:rsidR="001A5807" w:rsidRPr="00610D1C">
        <w:rPr>
          <w:rFonts w:eastAsia="Arial"/>
          <w:bCs/>
        </w:rPr>
        <w:t xml:space="preserve">nevaisingos yra maždaug 9 </w:t>
      </w:r>
      <w:r w:rsidR="001A5807">
        <w:rPr>
          <w:rFonts w:eastAsia="Arial"/>
          <w:bCs/>
        </w:rPr>
        <w:t xml:space="preserve">proc. </w:t>
      </w:r>
      <w:r w:rsidR="001A5807" w:rsidRPr="00610D1C">
        <w:rPr>
          <w:rFonts w:eastAsia="Arial"/>
          <w:bCs/>
        </w:rPr>
        <w:t>viso pasaulio reprodukcinio amžiaus moterų. Nuo 35 metų tikimybė pastoti po truputį mažėja, o nuo 40 metų – žymiai, taip pat su amžiumi daugėja savaiminių persileidimų. Nustatyta tiesioginė moters vaisingumo priklausomybė nuo amžiaus, ypač tarp negimdžiusių moterų.</w:t>
      </w:r>
      <w:r w:rsidR="001A5807">
        <w:rPr>
          <w:rFonts w:eastAsia="Arial"/>
          <w:bCs/>
        </w:rPr>
        <w:t xml:space="preserve"> </w:t>
      </w:r>
      <w:r w:rsidR="001A5807" w:rsidRPr="00610D1C">
        <w:rPr>
          <w:rFonts w:eastAsia="Arial"/>
          <w:bCs/>
        </w:rPr>
        <w:t xml:space="preserve">Pora laikoma nevaisinga ir pradedama tirti bei gydyti, jei, gyvendama reguliarų lytinį gyvenimą ir nevengdama pastojimo, negali pastoti per 12 mėn.  </w:t>
      </w:r>
    </w:p>
    <w:p w14:paraId="6DAC4554" w14:textId="77777777" w:rsidR="001A5807" w:rsidRPr="00106004" w:rsidRDefault="001A5807" w:rsidP="00E85D42">
      <w:pPr>
        <w:tabs>
          <w:tab w:val="left" w:pos="426"/>
        </w:tabs>
        <w:spacing w:line="23" w:lineRule="atLeast"/>
        <w:ind w:firstLine="567"/>
        <w:jc w:val="both"/>
        <w:rPr>
          <w:rFonts w:eastAsia="Arial"/>
          <w:color w:val="000000" w:themeColor="text1"/>
        </w:rPr>
      </w:pPr>
      <w:r w:rsidRPr="00610D1C">
        <w:rPr>
          <w:rFonts w:eastAsia="Arial"/>
          <w:bCs/>
        </w:rPr>
        <w:tab/>
      </w:r>
      <w:r w:rsidRPr="009019F4">
        <w:rPr>
          <w:rFonts w:eastAsia="Arial"/>
          <w:color w:val="000000" w:themeColor="text1"/>
        </w:rPr>
        <w:t>Tarp šeimų nevaisingumo priežasčių apie 25</w:t>
      </w:r>
      <w:r>
        <w:rPr>
          <w:rFonts w:eastAsia="Arial"/>
          <w:color w:val="000000" w:themeColor="text1"/>
        </w:rPr>
        <w:t xml:space="preserve"> proc.</w:t>
      </w:r>
      <w:r w:rsidRPr="009019F4">
        <w:rPr>
          <w:rFonts w:eastAsia="Arial"/>
          <w:color w:val="000000" w:themeColor="text1"/>
        </w:rPr>
        <w:t xml:space="preserve"> sudaro </w:t>
      </w:r>
      <w:r>
        <w:rPr>
          <w:rFonts w:eastAsia="Arial"/>
          <w:color w:val="000000" w:themeColor="text1"/>
        </w:rPr>
        <w:t xml:space="preserve">moters </w:t>
      </w:r>
      <w:r w:rsidRPr="009019F4">
        <w:rPr>
          <w:rFonts w:eastAsia="Arial"/>
          <w:color w:val="000000" w:themeColor="text1"/>
        </w:rPr>
        <w:t xml:space="preserve">ovuliacijos sutrikimai. </w:t>
      </w:r>
      <w:r>
        <w:rPr>
          <w:rFonts w:eastAsia="Arial"/>
          <w:color w:val="000000" w:themeColor="text1"/>
        </w:rPr>
        <w:t xml:space="preserve">Pagal Pasaulio sveikatos organizacijos ovuliacijos sutrikimų klasifikaciją, išskiriamos trys </w:t>
      </w:r>
      <w:proofErr w:type="spellStart"/>
      <w:r>
        <w:rPr>
          <w:rFonts w:eastAsia="Arial"/>
          <w:color w:val="000000" w:themeColor="text1"/>
        </w:rPr>
        <w:t>anovuliacijos</w:t>
      </w:r>
      <w:proofErr w:type="spellEnd"/>
      <w:r>
        <w:rPr>
          <w:rFonts w:eastAsia="Arial"/>
          <w:color w:val="000000" w:themeColor="text1"/>
        </w:rPr>
        <w:t xml:space="preserve"> priežasčių grupės. </w:t>
      </w:r>
      <w:r w:rsidRPr="00106004">
        <w:rPr>
          <w:rFonts w:eastAsia="Arial"/>
          <w:color w:val="000000" w:themeColor="text1"/>
        </w:rPr>
        <w:t xml:space="preserve">I grupė </w:t>
      </w:r>
      <w:proofErr w:type="spellStart"/>
      <w:r w:rsidRPr="00106004">
        <w:rPr>
          <w:rFonts w:eastAsia="Arial"/>
          <w:color w:val="000000" w:themeColor="text1"/>
        </w:rPr>
        <w:t>hipogonadotropinė</w:t>
      </w:r>
      <w:proofErr w:type="spellEnd"/>
      <w:r w:rsidRPr="00106004">
        <w:rPr>
          <w:rFonts w:eastAsia="Arial"/>
          <w:color w:val="000000" w:themeColor="text1"/>
        </w:rPr>
        <w:t xml:space="preserve"> </w:t>
      </w:r>
      <w:proofErr w:type="spellStart"/>
      <w:r w:rsidRPr="00106004">
        <w:rPr>
          <w:rFonts w:eastAsia="Arial"/>
          <w:color w:val="000000" w:themeColor="text1"/>
        </w:rPr>
        <w:t>anovuliacija</w:t>
      </w:r>
      <w:proofErr w:type="spellEnd"/>
      <w:r w:rsidRPr="00106004">
        <w:rPr>
          <w:rFonts w:eastAsia="Arial"/>
          <w:color w:val="000000" w:themeColor="text1"/>
        </w:rPr>
        <w:t xml:space="preserve"> - </w:t>
      </w:r>
      <w:proofErr w:type="spellStart"/>
      <w:r w:rsidRPr="00106004">
        <w:rPr>
          <w:rFonts w:eastAsia="Arial"/>
          <w:color w:val="000000" w:themeColor="text1"/>
        </w:rPr>
        <w:t>pagumburio</w:t>
      </w:r>
      <w:proofErr w:type="spellEnd"/>
      <w:r w:rsidRPr="00106004">
        <w:rPr>
          <w:rFonts w:eastAsia="Arial"/>
          <w:color w:val="000000" w:themeColor="text1"/>
        </w:rPr>
        <w:t xml:space="preserve"> – </w:t>
      </w:r>
      <w:proofErr w:type="spellStart"/>
      <w:r w:rsidRPr="00106004">
        <w:rPr>
          <w:rFonts w:eastAsia="Arial"/>
          <w:color w:val="000000" w:themeColor="text1"/>
        </w:rPr>
        <w:t>hipofizės</w:t>
      </w:r>
      <w:proofErr w:type="spellEnd"/>
      <w:r w:rsidRPr="00106004">
        <w:rPr>
          <w:rFonts w:eastAsia="Arial"/>
          <w:color w:val="000000" w:themeColor="text1"/>
        </w:rPr>
        <w:t xml:space="preserve"> srities nepakankamumas (</w:t>
      </w:r>
      <w:proofErr w:type="spellStart"/>
      <w:r w:rsidRPr="00106004">
        <w:rPr>
          <w:rFonts w:eastAsia="Arial"/>
          <w:color w:val="000000" w:themeColor="text1"/>
        </w:rPr>
        <w:t>hipotalaminė</w:t>
      </w:r>
      <w:proofErr w:type="spellEnd"/>
      <w:r w:rsidRPr="00106004">
        <w:rPr>
          <w:rFonts w:eastAsia="Arial"/>
          <w:color w:val="000000" w:themeColor="text1"/>
        </w:rPr>
        <w:t xml:space="preserve"> amenorėja ar </w:t>
      </w:r>
      <w:proofErr w:type="spellStart"/>
      <w:r w:rsidRPr="00106004">
        <w:rPr>
          <w:rFonts w:eastAsia="Arial"/>
          <w:color w:val="000000" w:themeColor="text1"/>
        </w:rPr>
        <w:t>hipogonadotropinis</w:t>
      </w:r>
      <w:proofErr w:type="spellEnd"/>
      <w:r w:rsidRPr="00106004">
        <w:rPr>
          <w:rFonts w:eastAsia="Arial"/>
          <w:color w:val="000000" w:themeColor="text1"/>
        </w:rPr>
        <w:t xml:space="preserve"> </w:t>
      </w:r>
      <w:proofErr w:type="spellStart"/>
      <w:r w:rsidRPr="00106004">
        <w:rPr>
          <w:rFonts w:eastAsia="Arial"/>
          <w:color w:val="000000" w:themeColor="text1"/>
        </w:rPr>
        <w:t>hipogonadizmas</w:t>
      </w:r>
      <w:proofErr w:type="spellEnd"/>
      <w:r w:rsidRPr="00106004">
        <w:rPr>
          <w:rFonts w:eastAsia="Arial"/>
          <w:color w:val="000000" w:themeColor="text1"/>
        </w:rPr>
        <w:t>), kai nustatoma FSH ir LH koncentracijos sumažėjimas.</w:t>
      </w:r>
      <w:r>
        <w:rPr>
          <w:rFonts w:eastAsia="Arial"/>
          <w:color w:val="000000" w:themeColor="text1"/>
        </w:rPr>
        <w:t xml:space="preserve"> </w:t>
      </w:r>
      <w:r w:rsidRPr="00106004">
        <w:rPr>
          <w:rFonts w:eastAsia="Arial"/>
          <w:color w:val="000000" w:themeColor="text1"/>
        </w:rPr>
        <w:t>I</w:t>
      </w:r>
      <w:r w:rsidRPr="00106004">
        <w:rPr>
          <w:rFonts w:eastAsia="Arial"/>
          <w:bCs/>
        </w:rPr>
        <w:t>I grupė (</w:t>
      </w:r>
      <w:proofErr w:type="spellStart"/>
      <w:r w:rsidRPr="00106004">
        <w:rPr>
          <w:rFonts w:eastAsia="Arial"/>
          <w:bCs/>
        </w:rPr>
        <w:t>normogonadotropinė</w:t>
      </w:r>
      <w:proofErr w:type="spellEnd"/>
      <w:r w:rsidRPr="00106004">
        <w:rPr>
          <w:rFonts w:eastAsia="Arial"/>
          <w:bCs/>
        </w:rPr>
        <w:t xml:space="preserve"> </w:t>
      </w:r>
      <w:proofErr w:type="spellStart"/>
      <w:r w:rsidRPr="00106004">
        <w:rPr>
          <w:rFonts w:eastAsia="Arial"/>
          <w:bCs/>
        </w:rPr>
        <w:t>anovuliacija</w:t>
      </w:r>
      <w:proofErr w:type="spellEnd"/>
      <w:r w:rsidRPr="00106004">
        <w:rPr>
          <w:rFonts w:eastAsia="Arial"/>
          <w:bCs/>
        </w:rPr>
        <w:t xml:space="preserve">) - </w:t>
      </w:r>
      <w:proofErr w:type="spellStart"/>
      <w:r w:rsidRPr="00106004">
        <w:rPr>
          <w:rFonts w:eastAsia="Arial"/>
          <w:bCs/>
        </w:rPr>
        <w:t>pagumburio</w:t>
      </w:r>
      <w:proofErr w:type="spellEnd"/>
      <w:r w:rsidRPr="00106004">
        <w:rPr>
          <w:rFonts w:eastAsia="Arial"/>
          <w:bCs/>
        </w:rPr>
        <w:t xml:space="preserve"> – </w:t>
      </w:r>
      <w:proofErr w:type="spellStart"/>
      <w:r w:rsidRPr="00106004">
        <w:rPr>
          <w:rFonts w:eastAsia="Arial"/>
          <w:bCs/>
        </w:rPr>
        <w:t>hipofizės</w:t>
      </w:r>
      <w:proofErr w:type="spellEnd"/>
      <w:r w:rsidRPr="00106004">
        <w:rPr>
          <w:rFonts w:eastAsia="Arial"/>
          <w:bCs/>
        </w:rPr>
        <w:t xml:space="preserve"> – kiaušidžių disfunkcija (dažniausiai pasireiškianti PKS), kai nustatomas LH koncentracijos padidėjimas, FSH koncentracija dažniausiai išlieka normali </w:t>
      </w:r>
      <w:r w:rsidRPr="00106004">
        <w:rPr>
          <w:rFonts w:eastAsia="Arial"/>
          <w:color w:val="000000" w:themeColor="text1"/>
        </w:rPr>
        <w:t xml:space="preserve">III grupė </w:t>
      </w:r>
      <w:r w:rsidRPr="00106004">
        <w:rPr>
          <w:rFonts w:eastAsia="Arial"/>
          <w:bCs/>
        </w:rPr>
        <w:t>III (</w:t>
      </w:r>
      <w:proofErr w:type="spellStart"/>
      <w:r w:rsidRPr="00106004">
        <w:rPr>
          <w:rFonts w:eastAsia="Arial"/>
          <w:bCs/>
        </w:rPr>
        <w:t>hipergonadotropinė</w:t>
      </w:r>
      <w:proofErr w:type="spellEnd"/>
      <w:r w:rsidRPr="00106004">
        <w:rPr>
          <w:rFonts w:eastAsia="Arial"/>
          <w:bCs/>
        </w:rPr>
        <w:t xml:space="preserve"> </w:t>
      </w:r>
      <w:proofErr w:type="spellStart"/>
      <w:r w:rsidRPr="00106004">
        <w:rPr>
          <w:rFonts w:eastAsia="Arial"/>
          <w:bCs/>
        </w:rPr>
        <w:t>anovuliacija</w:t>
      </w:r>
      <w:proofErr w:type="spellEnd"/>
      <w:r w:rsidRPr="00106004">
        <w:rPr>
          <w:rFonts w:eastAsia="Arial"/>
          <w:bCs/>
        </w:rPr>
        <w:t xml:space="preserve">) – kiaušidžių nepakankamumas, kai nustatomas LH ir FSH koncentracijos padidėjimas. </w:t>
      </w:r>
    </w:p>
    <w:p w14:paraId="04EC955D" w14:textId="77777777" w:rsidR="001A5807" w:rsidRDefault="001A5807" w:rsidP="00E85D42">
      <w:pPr>
        <w:spacing w:line="23" w:lineRule="atLeast"/>
        <w:ind w:firstLine="567"/>
        <w:jc w:val="both"/>
        <w:rPr>
          <w:rFonts w:eastAsia="Arial"/>
          <w:color w:val="000000" w:themeColor="text1"/>
        </w:rPr>
      </w:pPr>
      <w:r>
        <w:rPr>
          <w:rFonts w:eastAsia="Arial"/>
          <w:color w:val="000000" w:themeColor="text1"/>
        </w:rPr>
        <w:tab/>
        <w:t xml:space="preserve">I </w:t>
      </w:r>
      <w:proofErr w:type="spellStart"/>
      <w:r>
        <w:rPr>
          <w:rFonts w:eastAsia="Arial"/>
          <w:color w:val="000000" w:themeColor="text1"/>
        </w:rPr>
        <w:t>gr</w:t>
      </w:r>
      <w:proofErr w:type="spellEnd"/>
      <w:r>
        <w:rPr>
          <w:rFonts w:eastAsia="Arial"/>
          <w:color w:val="000000" w:themeColor="text1"/>
        </w:rPr>
        <w:t xml:space="preserve">. </w:t>
      </w:r>
      <w:proofErr w:type="spellStart"/>
      <w:r>
        <w:rPr>
          <w:rFonts w:eastAsia="Arial"/>
          <w:color w:val="000000" w:themeColor="text1"/>
        </w:rPr>
        <w:t>anovuliacijos</w:t>
      </w:r>
      <w:proofErr w:type="spellEnd"/>
      <w:r>
        <w:rPr>
          <w:rFonts w:eastAsia="Arial"/>
          <w:color w:val="000000" w:themeColor="text1"/>
        </w:rPr>
        <w:t xml:space="preserve"> sutrikimų paplitimas skiriasi – funkcinė </w:t>
      </w:r>
      <w:proofErr w:type="spellStart"/>
      <w:r>
        <w:rPr>
          <w:rFonts w:eastAsia="Arial"/>
          <w:color w:val="000000" w:themeColor="text1"/>
        </w:rPr>
        <w:t>hipotalaminė</w:t>
      </w:r>
      <w:proofErr w:type="spellEnd"/>
      <w:r>
        <w:rPr>
          <w:rFonts w:eastAsia="Arial"/>
          <w:color w:val="000000" w:themeColor="text1"/>
        </w:rPr>
        <w:t xml:space="preserve"> amenorėja gali būti </w:t>
      </w:r>
      <w:r w:rsidRPr="00155B8E">
        <w:rPr>
          <w:rFonts w:eastAsia="Arial"/>
          <w:color w:val="000000" w:themeColor="text1"/>
        </w:rPr>
        <w:t xml:space="preserve">gana dažna tarp moterų su antrine amenorėja ar </w:t>
      </w:r>
      <w:proofErr w:type="spellStart"/>
      <w:r w:rsidRPr="00155B8E">
        <w:rPr>
          <w:rFonts w:eastAsia="Arial"/>
          <w:color w:val="000000" w:themeColor="text1"/>
        </w:rPr>
        <w:t>anovuliacija</w:t>
      </w:r>
      <w:proofErr w:type="spellEnd"/>
      <w:r w:rsidRPr="00155B8E">
        <w:rPr>
          <w:rFonts w:eastAsia="Arial"/>
          <w:color w:val="000000" w:themeColor="text1"/>
        </w:rPr>
        <w:t>, ypač tam tikrose rizikos grupėse (didelis fizinis aktyvumas, stresas, mitybos sutrikimai)</w:t>
      </w:r>
      <w:r>
        <w:rPr>
          <w:rFonts w:eastAsia="Arial"/>
          <w:color w:val="000000" w:themeColor="text1"/>
        </w:rPr>
        <w:t xml:space="preserve"> ir sudaryti </w:t>
      </w:r>
      <w:r w:rsidRPr="008D3148">
        <w:rPr>
          <w:rFonts w:eastAsia="Arial"/>
          <w:color w:val="000000" w:themeColor="text1"/>
        </w:rPr>
        <w:t>10</w:t>
      </w:r>
      <w:r>
        <w:rPr>
          <w:rFonts w:eastAsia="Arial"/>
          <w:color w:val="000000" w:themeColor="text1"/>
        </w:rPr>
        <w:t xml:space="preserve">-15 proc. visų </w:t>
      </w:r>
      <w:proofErr w:type="spellStart"/>
      <w:r>
        <w:rPr>
          <w:rFonts w:eastAsia="Arial"/>
          <w:color w:val="000000" w:themeColor="text1"/>
        </w:rPr>
        <w:t>anovuliacijos</w:t>
      </w:r>
      <w:proofErr w:type="spellEnd"/>
      <w:r>
        <w:rPr>
          <w:rFonts w:eastAsia="Arial"/>
          <w:color w:val="000000" w:themeColor="text1"/>
        </w:rPr>
        <w:t xml:space="preserve"> atvejų tarp moterų besikreipiančių dėl </w:t>
      </w:r>
      <w:r w:rsidRPr="008D3148">
        <w:rPr>
          <w:rFonts w:eastAsia="Arial"/>
          <w:color w:val="000000" w:themeColor="text1"/>
        </w:rPr>
        <w:t xml:space="preserve">nevaisingumo dėl </w:t>
      </w:r>
      <w:proofErr w:type="spellStart"/>
      <w:r w:rsidRPr="008D3148">
        <w:rPr>
          <w:rFonts w:eastAsia="Arial"/>
          <w:color w:val="000000" w:themeColor="text1"/>
        </w:rPr>
        <w:t>anovuliacijos</w:t>
      </w:r>
      <w:proofErr w:type="spellEnd"/>
      <w:r w:rsidRPr="008D3148">
        <w:rPr>
          <w:rFonts w:eastAsia="Arial"/>
          <w:color w:val="000000" w:themeColor="text1"/>
        </w:rPr>
        <w:t xml:space="preserve"> (ovuliacijos nebuvimo)</w:t>
      </w:r>
      <w:r>
        <w:rPr>
          <w:rFonts w:eastAsia="Arial"/>
          <w:color w:val="000000" w:themeColor="text1"/>
        </w:rPr>
        <w:t xml:space="preserve">. Kitos priežastys, kaip </w:t>
      </w:r>
      <w:proofErr w:type="spellStart"/>
      <w:r>
        <w:rPr>
          <w:rFonts w:eastAsia="Arial"/>
          <w:color w:val="000000" w:themeColor="text1"/>
        </w:rPr>
        <w:t>Kallman</w:t>
      </w:r>
      <w:proofErr w:type="spellEnd"/>
      <w:r>
        <w:rPr>
          <w:rFonts w:eastAsia="Arial"/>
          <w:color w:val="000000" w:themeColor="text1"/>
        </w:rPr>
        <w:t xml:space="preserve"> sindromas ar idiopatinis </w:t>
      </w:r>
      <w:proofErr w:type="spellStart"/>
      <w:r>
        <w:rPr>
          <w:rFonts w:eastAsia="Arial"/>
          <w:color w:val="000000" w:themeColor="text1"/>
        </w:rPr>
        <w:t>hipogonadotropinis</w:t>
      </w:r>
      <w:proofErr w:type="spellEnd"/>
      <w:r>
        <w:rPr>
          <w:rFonts w:eastAsia="Arial"/>
          <w:color w:val="000000" w:themeColor="text1"/>
        </w:rPr>
        <w:t xml:space="preserve"> </w:t>
      </w:r>
      <w:proofErr w:type="spellStart"/>
      <w:r>
        <w:rPr>
          <w:rFonts w:eastAsia="Arial"/>
          <w:color w:val="000000" w:themeColor="text1"/>
        </w:rPr>
        <w:t>hipogonadizmas</w:t>
      </w:r>
      <w:proofErr w:type="spellEnd"/>
      <w:r>
        <w:rPr>
          <w:rFonts w:eastAsia="Arial"/>
          <w:color w:val="000000" w:themeColor="text1"/>
        </w:rPr>
        <w:t xml:space="preserve"> yra retos būklės (ORPHA kodai atitinkamai </w:t>
      </w:r>
      <w:r w:rsidRPr="008D3148">
        <w:rPr>
          <w:rFonts w:eastAsia="Arial"/>
          <w:color w:val="000000" w:themeColor="text1"/>
        </w:rPr>
        <w:t>ORPHA:478</w:t>
      </w:r>
      <w:r>
        <w:rPr>
          <w:rFonts w:eastAsia="Arial"/>
          <w:color w:val="000000" w:themeColor="text1"/>
        </w:rPr>
        <w:t xml:space="preserve">; </w:t>
      </w:r>
      <w:r w:rsidRPr="007F11C4">
        <w:rPr>
          <w:rFonts w:eastAsia="Arial"/>
          <w:color w:val="000000" w:themeColor="text1"/>
        </w:rPr>
        <w:t>ORPHA:238666</w:t>
      </w:r>
      <w:r>
        <w:rPr>
          <w:rFonts w:eastAsia="Arial"/>
          <w:color w:val="000000" w:themeColor="text1"/>
        </w:rPr>
        <w:t>).</w:t>
      </w:r>
    </w:p>
    <w:p w14:paraId="032ACF5B" w14:textId="77777777" w:rsidR="001A5807" w:rsidRDefault="001A5807" w:rsidP="00E85D42">
      <w:pPr>
        <w:spacing w:line="23" w:lineRule="atLeast"/>
        <w:ind w:firstLine="567"/>
        <w:jc w:val="both"/>
        <w:rPr>
          <w:rFonts w:eastAsia="Arial"/>
          <w:color w:val="000000" w:themeColor="text1"/>
        </w:rPr>
      </w:pPr>
      <w:r>
        <w:rPr>
          <w:rFonts w:eastAsia="Arial"/>
          <w:color w:val="000000" w:themeColor="text1"/>
        </w:rPr>
        <w:tab/>
      </w:r>
      <w:r w:rsidRPr="009019F4">
        <w:rPr>
          <w:rFonts w:eastAsia="Arial"/>
          <w:color w:val="000000" w:themeColor="text1"/>
        </w:rPr>
        <w:t xml:space="preserve">Moterims su I </w:t>
      </w:r>
      <w:proofErr w:type="spellStart"/>
      <w:r w:rsidRPr="009019F4">
        <w:rPr>
          <w:rFonts w:eastAsia="Arial"/>
          <w:color w:val="000000" w:themeColor="text1"/>
        </w:rPr>
        <w:t>gr</w:t>
      </w:r>
      <w:proofErr w:type="spellEnd"/>
      <w:r w:rsidRPr="009019F4">
        <w:rPr>
          <w:rFonts w:eastAsia="Arial"/>
          <w:color w:val="000000" w:themeColor="text1"/>
        </w:rPr>
        <w:t>. ovuliacijos sutrikimais</w:t>
      </w:r>
      <w:r>
        <w:rPr>
          <w:rFonts w:eastAsia="Arial"/>
          <w:color w:val="000000" w:themeColor="text1"/>
        </w:rPr>
        <w:t xml:space="preserve"> gydymas parenkamas atsižvelgiant į gydymo poreikius. </w:t>
      </w:r>
      <w:r w:rsidRPr="000F4B6C">
        <w:rPr>
          <w:rFonts w:eastAsia="Arial"/>
          <w:color w:val="000000" w:themeColor="text1"/>
        </w:rPr>
        <w:t xml:space="preserve">Siekiant atkurti vaisingumą moterims su I </w:t>
      </w:r>
      <w:proofErr w:type="spellStart"/>
      <w:r w:rsidRPr="000F4B6C">
        <w:rPr>
          <w:rFonts w:eastAsia="Arial"/>
          <w:color w:val="000000" w:themeColor="text1"/>
        </w:rPr>
        <w:t>gr</w:t>
      </w:r>
      <w:proofErr w:type="spellEnd"/>
      <w:r w:rsidRPr="000F4B6C">
        <w:rPr>
          <w:rFonts w:eastAsia="Arial"/>
          <w:color w:val="000000" w:themeColor="text1"/>
        </w:rPr>
        <w:t xml:space="preserve">. ovuliacijos sutrikimais optimaliausias ovuliacijos stimuliacijos būdas, įgalinantis pasiekti vieno folikulo subrendimą ir visavertę ovuliaciją bei </w:t>
      </w:r>
      <w:proofErr w:type="spellStart"/>
      <w:r w:rsidRPr="000F4B6C">
        <w:rPr>
          <w:rFonts w:eastAsia="Arial"/>
          <w:color w:val="000000" w:themeColor="text1"/>
        </w:rPr>
        <w:t>vienvaisį</w:t>
      </w:r>
      <w:proofErr w:type="spellEnd"/>
      <w:r w:rsidRPr="000F4B6C">
        <w:rPr>
          <w:rFonts w:eastAsia="Arial"/>
          <w:color w:val="000000" w:themeColor="text1"/>
        </w:rPr>
        <w:t xml:space="preserve"> pastojimą su mažiausia sunkių komplikacijų rizika - pulsinė kiaušidžių funkcijos stimuliacija </w:t>
      </w:r>
      <w:proofErr w:type="spellStart"/>
      <w:r w:rsidRPr="000F4B6C">
        <w:rPr>
          <w:rFonts w:eastAsia="Arial"/>
          <w:color w:val="000000" w:themeColor="text1"/>
        </w:rPr>
        <w:t>gonadotropinus</w:t>
      </w:r>
      <w:proofErr w:type="spellEnd"/>
      <w:r w:rsidRPr="000F4B6C">
        <w:rPr>
          <w:rFonts w:eastAsia="Arial"/>
          <w:color w:val="000000" w:themeColor="text1"/>
        </w:rPr>
        <w:t xml:space="preserve"> atpalaiduojančių hormonu (</w:t>
      </w:r>
      <w:proofErr w:type="spellStart"/>
      <w:r w:rsidRPr="000F4B6C">
        <w:rPr>
          <w:rFonts w:eastAsia="Arial"/>
          <w:color w:val="000000" w:themeColor="text1"/>
        </w:rPr>
        <w:t>GnRH</w:t>
      </w:r>
      <w:proofErr w:type="spellEnd"/>
      <w:r w:rsidRPr="000F4B6C">
        <w:rPr>
          <w:rFonts w:eastAsia="Arial"/>
          <w:color w:val="000000" w:themeColor="text1"/>
        </w:rPr>
        <w:t xml:space="preserve">) arba </w:t>
      </w:r>
      <w:proofErr w:type="spellStart"/>
      <w:r w:rsidRPr="000F4B6C">
        <w:rPr>
          <w:rFonts w:eastAsia="Arial"/>
          <w:color w:val="000000" w:themeColor="text1"/>
        </w:rPr>
        <w:t>gonadotropinais</w:t>
      </w:r>
      <w:proofErr w:type="spellEnd"/>
      <w:r w:rsidRPr="000F4B6C">
        <w:rPr>
          <w:rFonts w:eastAsia="Arial"/>
          <w:color w:val="000000" w:themeColor="text1"/>
        </w:rPr>
        <w:t xml:space="preserve"> (</w:t>
      </w:r>
      <w:r>
        <w:rPr>
          <w:rFonts w:eastAsia="Arial"/>
          <w:color w:val="000000" w:themeColor="text1"/>
        </w:rPr>
        <w:t>FSH ir LH deriniu).</w:t>
      </w:r>
    </w:p>
    <w:p w14:paraId="1C617CE0" w14:textId="77777777" w:rsidR="001A5807" w:rsidRDefault="001A5807" w:rsidP="00E85D42">
      <w:pPr>
        <w:spacing w:line="23" w:lineRule="atLeast"/>
        <w:ind w:firstLine="567"/>
        <w:jc w:val="both"/>
        <w:rPr>
          <w:rFonts w:eastAsia="Arial"/>
          <w:color w:val="000000" w:themeColor="text1"/>
        </w:rPr>
      </w:pPr>
      <w:r>
        <w:rPr>
          <w:rFonts w:eastAsia="Arial"/>
          <w:color w:val="000000" w:themeColor="text1"/>
        </w:rPr>
        <w:tab/>
        <w:t xml:space="preserve">Remiantis Lietuvos </w:t>
      </w:r>
      <w:r w:rsidRPr="00E65B0B">
        <w:t>Respublikos sveikatos apsaugos ministro 2000 m. sausio 28 d. įsakyme Nr. 49  „Dėl kompensuojamųjų vaistų sąrašų patvirtinimo“ pateiktą ligų ir kompensuojamųjų vaistų joms gydyti sąraš</w:t>
      </w:r>
      <w:r>
        <w:t>u, š</w:t>
      </w:r>
      <w:r w:rsidRPr="009019F4">
        <w:rPr>
          <w:rFonts w:eastAsia="Arial"/>
          <w:color w:val="000000" w:themeColor="text1"/>
        </w:rPr>
        <w:t xml:space="preserve">iuo metu </w:t>
      </w:r>
      <w:r>
        <w:rPr>
          <w:rFonts w:eastAsia="Arial"/>
          <w:color w:val="000000" w:themeColor="text1"/>
        </w:rPr>
        <w:t xml:space="preserve">ovuliacijos skatinimui </w:t>
      </w:r>
      <w:r w:rsidRPr="009019F4">
        <w:rPr>
          <w:rFonts w:eastAsia="Arial"/>
          <w:color w:val="000000" w:themeColor="text1"/>
        </w:rPr>
        <w:t xml:space="preserve">yra kompensuojami </w:t>
      </w:r>
      <w:r>
        <w:rPr>
          <w:rFonts w:eastAsia="Arial"/>
          <w:color w:val="000000" w:themeColor="text1"/>
        </w:rPr>
        <w:t>šie vaistiniai preparatai:</w:t>
      </w:r>
    </w:p>
    <w:p w14:paraId="6300544C" w14:textId="77777777" w:rsidR="001A5807" w:rsidRDefault="001A5807" w:rsidP="00E85D42">
      <w:pPr>
        <w:pStyle w:val="Sraopastraipa"/>
        <w:numPr>
          <w:ilvl w:val="0"/>
          <w:numId w:val="15"/>
        </w:numPr>
        <w:spacing w:line="23" w:lineRule="atLeast"/>
        <w:ind w:left="0" w:firstLine="567"/>
        <w:jc w:val="both"/>
        <w:rPr>
          <w:rFonts w:eastAsia="Arial"/>
          <w:color w:val="000000" w:themeColor="text1"/>
        </w:rPr>
      </w:pPr>
      <w:proofErr w:type="spellStart"/>
      <w:r w:rsidRPr="008D3148">
        <w:rPr>
          <w:rFonts w:eastAsia="Arial"/>
          <w:color w:val="000000" w:themeColor="text1"/>
        </w:rPr>
        <w:t>rekombinantinio</w:t>
      </w:r>
      <w:proofErr w:type="spellEnd"/>
      <w:r w:rsidRPr="008D3148">
        <w:rPr>
          <w:rFonts w:eastAsia="Arial"/>
          <w:color w:val="000000" w:themeColor="text1"/>
        </w:rPr>
        <w:t xml:space="preserve"> </w:t>
      </w:r>
      <w:proofErr w:type="spellStart"/>
      <w:r w:rsidRPr="008D3148">
        <w:rPr>
          <w:rFonts w:eastAsia="Arial"/>
          <w:b/>
          <w:bCs/>
          <w:color w:val="000000" w:themeColor="text1"/>
        </w:rPr>
        <w:t>folitropino</w:t>
      </w:r>
      <w:proofErr w:type="spellEnd"/>
      <w:r w:rsidRPr="008D3148">
        <w:rPr>
          <w:rFonts w:eastAsia="Arial"/>
          <w:b/>
          <w:bCs/>
          <w:color w:val="000000" w:themeColor="text1"/>
        </w:rPr>
        <w:t xml:space="preserve"> (</w:t>
      </w:r>
      <w:proofErr w:type="spellStart"/>
      <w:r w:rsidRPr="008D3148">
        <w:rPr>
          <w:rFonts w:eastAsia="Arial"/>
          <w:b/>
          <w:bCs/>
          <w:color w:val="000000" w:themeColor="text1"/>
        </w:rPr>
        <w:t>rFSH</w:t>
      </w:r>
      <w:proofErr w:type="spellEnd"/>
      <w:r w:rsidRPr="008D3148">
        <w:rPr>
          <w:rFonts w:eastAsia="Arial"/>
          <w:b/>
          <w:bCs/>
          <w:color w:val="000000" w:themeColor="text1"/>
        </w:rPr>
        <w:t>) alfa ir delta vaistiniai</w:t>
      </w:r>
      <w:r w:rsidRPr="008D3148">
        <w:rPr>
          <w:rFonts w:eastAsia="Arial"/>
          <w:color w:val="000000" w:themeColor="text1"/>
        </w:rPr>
        <w:t xml:space="preserve"> preparatai</w:t>
      </w:r>
      <w:r>
        <w:rPr>
          <w:rFonts w:eastAsia="Arial"/>
          <w:color w:val="000000" w:themeColor="text1"/>
        </w:rPr>
        <w:t>;</w:t>
      </w:r>
    </w:p>
    <w:p w14:paraId="1EAEDDEC" w14:textId="77777777" w:rsidR="001A5807" w:rsidRDefault="001A5807" w:rsidP="00E85D42">
      <w:pPr>
        <w:pStyle w:val="Sraopastraipa"/>
        <w:numPr>
          <w:ilvl w:val="0"/>
          <w:numId w:val="15"/>
        </w:numPr>
        <w:spacing w:line="23" w:lineRule="atLeast"/>
        <w:ind w:left="0" w:firstLine="567"/>
        <w:jc w:val="both"/>
        <w:rPr>
          <w:rFonts w:eastAsia="Arial"/>
          <w:color w:val="000000" w:themeColor="text1"/>
        </w:rPr>
      </w:pPr>
      <w:proofErr w:type="spellStart"/>
      <w:r w:rsidRPr="008D3148">
        <w:rPr>
          <w:rFonts w:eastAsia="Arial"/>
          <w:b/>
          <w:bCs/>
          <w:color w:val="000000" w:themeColor="text1"/>
        </w:rPr>
        <w:t>menotropinas</w:t>
      </w:r>
      <w:proofErr w:type="spellEnd"/>
      <w:r w:rsidRPr="008D3148">
        <w:rPr>
          <w:rFonts w:eastAsia="Arial"/>
          <w:color w:val="000000" w:themeColor="text1"/>
        </w:rPr>
        <w:t xml:space="preserve"> (žmogaus </w:t>
      </w:r>
      <w:proofErr w:type="spellStart"/>
      <w:r w:rsidRPr="008D3148">
        <w:rPr>
          <w:rFonts w:eastAsia="Arial"/>
          <w:color w:val="000000" w:themeColor="text1"/>
        </w:rPr>
        <w:t>menopauzinis</w:t>
      </w:r>
      <w:proofErr w:type="spellEnd"/>
      <w:r w:rsidRPr="008D3148">
        <w:rPr>
          <w:rFonts w:eastAsia="Arial"/>
          <w:color w:val="000000" w:themeColor="text1"/>
        </w:rPr>
        <w:t xml:space="preserve"> </w:t>
      </w:r>
      <w:proofErr w:type="spellStart"/>
      <w:r w:rsidRPr="008D3148">
        <w:rPr>
          <w:rFonts w:eastAsia="Arial"/>
          <w:color w:val="000000" w:themeColor="text1"/>
        </w:rPr>
        <w:t>gonadotropinas</w:t>
      </w:r>
      <w:proofErr w:type="spellEnd"/>
      <w:r w:rsidRPr="008D3148">
        <w:rPr>
          <w:rFonts w:eastAsia="Arial"/>
          <w:color w:val="000000" w:themeColor="text1"/>
        </w:rPr>
        <w:t xml:space="preserve">, </w:t>
      </w:r>
      <w:proofErr w:type="spellStart"/>
      <w:r w:rsidRPr="008D3148">
        <w:rPr>
          <w:rFonts w:eastAsia="Arial"/>
          <w:color w:val="000000" w:themeColor="text1"/>
        </w:rPr>
        <w:t>žMG</w:t>
      </w:r>
      <w:proofErr w:type="spellEnd"/>
      <w:r w:rsidRPr="008D3148">
        <w:rPr>
          <w:rFonts w:eastAsia="Arial"/>
          <w:color w:val="000000" w:themeColor="text1"/>
        </w:rPr>
        <w:t xml:space="preserve">, kurio aktyvumas atitinka 600 TV folikulus stimuliuojančio hormono FSH aktyvumo ir 600 TV </w:t>
      </w:r>
      <w:proofErr w:type="spellStart"/>
      <w:r w:rsidRPr="008D3148">
        <w:rPr>
          <w:rFonts w:eastAsia="Arial"/>
          <w:color w:val="000000" w:themeColor="text1"/>
        </w:rPr>
        <w:t>liuteinizuojančio</w:t>
      </w:r>
      <w:proofErr w:type="spellEnd"/>
      <w:r w:rsidRPr="008D3148">
        <w:rPr>
          <w:rFonts w:eastAsia="Arial"/>
          <w:color w:val="000000" w:themeColor="text1"/>
        </w:rPr>
        <w:t xml:space="preserve"> hormono LH)</w:t>
      </w:r>
      <w:r>
        <w:rPr>
          <w:rFonts w:eastAsia="Arial"/>
          <w:color w:val="000000" w:themeColor="text1"/>
        </w:rPr>
        <w:t xml:space="preserve">; </w:t>
      </w:r>
    </w:p>
    <w:p w14:paraId="3584794E" w14:textId="77777777" w:rsidR="001A5807" w:rsidRPr="008D3148" w:rsidRDefault="001A5807" w:rsidP="00E85D42">
      <w:pPr>
        <w:pStyle w:val="Sraopastraipa"/>
        <w:numPr>
          <w:ilvl w:val="0"/>
          <w:numId w:val="15"/>
        </w:numPr>
        <w:spacing w:line="23" w:lineRule="atLeast"/>
        <w:ind w:left="0" w:firstLine="567"/>
        <w:jc w:val="both"/>
        <w:rPr>
          <w:rFonts w:eastAsia="Arial"/>
          <w:color w:val="000000" w:themeColor="text1"/>
        </w:rPr>
      </w:pPr>
      <w:proofErr w:type="spellStart"/>
      <w:r>
        <w:rPr>
          <w:rFonts w:eastAsia="Arial"/>
          <w:color w:val="000000" w:themeColor="text1"/>
        </w:rPr>
        <w:t>l</w:t>
      </w:r>
      <w:r w:rsidRPr="008D3148">
        <w:rPr>
          <w:rFonts w:eastAsia="Arial"/>
          <w:color w:val="000000" w:themeColor="text1"/>
        </w:rPr>
        <w:t>iutenizuojančio</w:t>
      </w:r>
      <w:proofErr w:type="spellEnd"/>
      <w:r w:rsidRPr="008D3148">
        <w:rPr>
          <w:rFonts w:eastAsia="Arial"/>
          <w:color w:val="000000" w:themeColor="text1"/>
        </w:rPr>
        <w:t xml:space="preserve"> hormono vaistiniai preparatai Lietuvoje nėra kompensuojami</w:t>
      </w:r>
      <w:r>
        <w:rPr>
          <w:rFonts w:eastAsia="Arial"/>
          <w:color w:val="000000" w:themeColor="text1"/>
        </w:rPr>
        <w:t>;</w:t>
      </w:r>
    </w:p>
    <w:p w14:paraId="362E859F" w14:textId="77777777" w:rsidR="001A5807" w:rsidRPr="008D3148" w:rsidRDefault="001A5807" w:rsidP="00E85D42">
      <w:pPr>
        <w:pStyle w:val="Sraopastraipa"/>
        <w:numPr>
          <w:ilvl w:val="0"/>
          <w:numId w:val="15"/>
        </w:numPr>
        <w:spacing w:line="23" w:lineRule="atLeast"/>
        <w:ind w:left="0" w:firstLine="567"/>
        <w:jc w:val="both"/>
        <w:rPr>
          <w:rFonts w:eastAsia="Arial"/>
          <w:color w:val="000000" w:themeColor="text1"/>
        </w:rPr>
      </w:pPr>
      <w:r>
        <w:rPr>
          <w:rFonts w:eastAsia="Arial"/>
          <w:color w:val="000000" w:themeColor="text1"/>
        </w:rPr>
        <w:t xml:space="preserve">pulsinė </w:t>
      </w:r>
      <w:proofErr w:type="spellStart"/>
      <w:r w:rsidRPr="008D3148">
        <w:rPr>
          <w:rFonts w:eastAsia="Arial"/>
          <w:color w:val="000000" w:themeColor="text1"/>
        </w:rPr>
        <w:t>gonadotropino</w:t>
      </w:r>
      <w:proofErr w:type="spellEnd"/>
      <w:r w:rsidRPr="008D3148">
        <w:rPr>
          <w:rFonts w:eastAsia="Arial"/>
          <w:color w:val="000000" w:themeColor="text1"/>
        </w:rPr>
        <w:t xml:space="preserve"> išsiskyrimą skatinančio hormono</w:t>
      </w:r>
      <w:r>
        <w:rPr>
          <w:rFonts w:eastAsia="Arial"/>
          <w:color w:val="000000" w:themeColor="text1"/>
        </w:rPr>
        <w:t xml:space="preserve"> (</w:t>
      </w:r>
      <w:proofErr w:type="spellStart"/>
      <w:r>
        <w:rPr>
          <w:rFonts w:eastAsia="Arial"/>
          <w:color w:val="000000" w:themeColor="text1"/>
        </w:rPr>
        <w:t>GnRH</w:t>
      </w:r>
      <w:proofErr w:type="spellEnd"/>
      <w:r>
        <w:rPr>
          <w:rFonts w:eastAsia="Arial"/>
          <w:color w:val="000000" w:themeColor="text1"/>
        </w:rPr>
        <w:t xml:space="preserve">) terapija labai trumpai veikiančiu   </w:t>
      </w:r>
      <w:proofErr w:type="spellStart"/>
      <w:r>
        <w:rPr>
          <w:rFonts w:eastAsia="Arial"/>
          <w:color w:val="000000" w:themeColor="text1"/>
        </w:rPr>
        <w:t>GnRH</w:t>
      </w:r>
      <w:proofErr w:type="spellEnd"/>
      <w:r>
        <w:rPr>
          <w:rFonts w:eastAsia="Arial"/>
          <w:color w:val="000000" w:themeColor="text1"/>
        </w:rPr>
        <w:t xml:space="preserve"> </w:t>
      </w:r>
      <w:r w:rsidRPr="008D3148">
        <w:rPr>
          <w:rFonts w:eastAsia="Arial"/>
          <w:color w:val="000000" w:themeColor="text1"/>
        </w:rPr>
        <w:t>Lietuvoje nėra kompensuojam</w:t>
      </w:r>
      <w:r>
        <w:rPr>
          <w:rFonts w:eastAsia="Arial"/>
          <w:color w:val="000000" w:themeColor="text1"/>
        </w:rPr>
        <w:t>a;</w:t>
      </w:r>
    </w:p>
    <w:p w14:paraId="31C8E7E6" w14:textId="77777777" w:rsidR="001A5807" w:rsidRDefault="001A5807" w:rsidP="00E85D42">
      <w:pPr>
        <w:spacing w:line="23" w:lineRule="atLeast"/>
        <w:ind w:firstLine="567"/>
        <w:jc w:val="both"/>
        <w:rPr>
          <w:rFonts w:eastAsia="Arial"/>
          <w:color w:val="000000" w:themeColor="text1"/>
        </w:rPr>
      </w:pPr>
      <w:r>
        <w:rPr>
          <w:rFonts w:eastAsia="Arial"/>
          <w:color w:val="000000" w:themeColor="text1"/>
        </w:rPr>
        <w:t xml:space="preserve">Taip pat </w:t>
      </w:r>
      <w:proofErr w:type="spellStart"/>
      <w:r>
        <w:rPr>
          <w:rFonts w:eastAsia="Arial"/>
          <w:color w:val="000000" w:themeColor="text1"/>
        </w:rPr>
        <w:t>komensuojamas</w:t>
      </w:r>
      <w:proofErr w:type="spellEnd"/>
      <w:r>
        <w:rPr>
          <w:rFonts w:eastAsia="Arial"/>
          <w:color w:val="000000" w:themeColor="text1"/>
        </w:rPr>
        <w:t xml:space="preserve"> </w:t>
      </w:r>
      <w:proofErr w:type="spellStart"/>
      <w:r>
        <w:rPr>
          <w:rFonts w:eastAsia="Arial"/>
          <w:color w:val="000000" w:themeColor="text1"/>
        </w:rPr>
        <w:t>c</w:t>
      </w:r>
      <w:r w:rsidRPr="008D3148">
        <w:rPr>
          <w:rFonts w:eastAsia="Arial"/>
          <w:color w:val="000000" w:themeColor="text1"/>
        </w:rPr>
        <w:t>horiogonadotropinas</w:t>
      </w:r>
      <w:proofErr w:type="spellEnd"/>
      <w:r w:rsidRPr="008D3148">
        <w:rPr>
          <w:rFonts w:eastAsia="Arial"/>
          <w:color w:val="000000" w:themeColor="text1"/>
        </w:rPr>
        <w:t xml:space="preserve"> alfa (</w:t>
      </w:r>
      <w:proofErr w:type="spellStart"/>
      <w:r w:rsidRPr="008D3148">
        <w:rPr>
          <w:rFonts w:eastAsia="Arial"/>
          <w:color w:val="000000" w:themeColor="text1"/>
        </w:rPr>
        <w:t>hCG</w:t>
      </w:r>
      <w:proofErr w:type="spellEnd"/>
      <w:r w:rsidRPr="008D3148">
        <w:rPr>
          <w:rFonts w:eastAsia="Arial"/>
          <w:color w:val="000000" w:themeColor="text1"/>
        </w:rPr>
        <w:t xml:space="preserve">), kuris naudojamas </w:t>
      </w:r>
      <w:proofErr w:type="spellStart"/>
      <w:r w:rsidRPr="008D3148">
        <w:rPr>
          <w:rFonts w:eastAsia="Arial"/>
          <w:color w:val="000000" w:themeColor="text1"/>
        </w:rPr>
        <w:t>praėjus</w:t>
      </w:r>
      <w:proofErr w:type="spellEnd"/>
      <w:r w:rsidRPr="008D3148">
        <w:rPr>
          <w:rFonts w:eastAsia="Arial"/>
          <w:color w:val="000000" w:themeColor="text1"/>
        </w:rPr>
        <w:t xml:space="preserve"> 24-48 valandoms po paskutinio FSH arba </w:t>
      </w:r>
      <w:proofErr w:type="spellStart"/>
      <w:r w:rsidRPr="008D3148">
        <w:rPr>
          <w:rFonts w:eastAsia="Arial"/>
          <w:color w:val="000000" w:themeColor="text1"/>
        </w:rPr>
        <w:t>žMG</w:t>
      </w:r>
      <w:proofErr w:type="spellEnd"/>
      <w:r w:rsidRPr="008D3148">
        <w:rPr>
          <w:rFonts w:eastAsia="Arial"/>
          <w:color w:val="000000" w:themeColor="text1"/>
        </w:rPr>
        <w:t xml:space="preserve"> vartojimo, </w:t>
      </w:r>
      <w:proofErr w:type="spellStart"/>
      <w:r w:rsidRPr="008D3148">
        <w:rPr>
          <w:rFonts w:eastAsia="Arial"/>
          <w:color w:val="000000" w:themeColor="text1"/>
        </w:rPr>
        <w:t>t.y</w:t>
      </w:r>
      <w:proofErr w:type="spellEnd"/>
      <w:r w:rsidRPr="008D3148">
        <w:rPr>
          <w:rFonts w:eastAsia="Arial"/>
          <w:color w:val="000000" w:themeColor="text1"/>
        </w:rPr>
        <w:t>., kai pasiekiama optimali folikulų augimo stimuliacija.</w:t>
      </w:r>
      <w:r>
        <w:rPr>
          <w:rFonts w:eastAsia="Arial"/>
          <w:color w:val="000000" w:themeColor="text1"/>
        </w:rPr>
        <w:t xml:space="preserve"> </w:t>
      </w:r>
      <w:r w:rsidRPr="008D3148">
        <w:rPr>
          <w:rFonts w:eastAsia="Arial"/>
          <w:color w:val="000000" w:themeColor="text1"/>
        </w:rPr>
        <w:t xml:space="preserve">Taip pat kompensuojami </w:t>
      </w:r>
      <w:proofErr w:type="spellStart"/>
      <w:r>
        <w:rPr>
          <w:rFonts w:eastAsia="Arial"/>
          <w:color w:val="000000" w:themeColor="text1"/>
        </w:rPr>
        <w:t>GnRH</w:t>
      </w:r>
      <w:proofErr w:type="spellEnd"/>
      <w:r w:rsidRPr="008D3148">
        <w:rPr>
          <w:rFonts w:eastAsia="Arial"/>
          <w:color w:val="000000" w:themeColor="text1"/>
        </w:rPr>
        <w:t xml:space="preserve"> analogai bei antagonistai (</w:t>
      </w:r>
      <w:proofErr w:type="spellStart"/>
      <w:r w:rsidRPr="008D3148">
        <w:rPr>
          <w:rFonts w:eastAsia="Arial"/>
          <w:color w:val="000000" w:themeColor="text1"/>
        </w:rPr>
        <w:t>triptorelinas</w:t>
      </w:r>
      <w:proofErr w:type="spellEnd"/>
      <w:r w:rsidRPr="008D3148">
        <w:rPr>
          <w:rFonts w:eastAsia="Arial"/>
          <w:color w:val="000000" w:themeColor="text1"/>
        </w:rPr>
        <w:t xml:space="preserve">, </w:t>
      </w:r>
      <w:proofErr w:type="spellStart"/>
      <w:r w:rsidRPr="008D3148">
        <w:rPr>
          <w:iCs/>
        </w:rPr>
        <w:t>cetroreliksas</w:t>
      </w:r>
      <w:proofErr w:type="spellEnd"/>
      <w:r w:rsidRPr="008D3148">
        <w:rPr>
          <w:rFonts w:eastAsia="Arial"/>
          <w:color w:val="000000" w:themeColor="text1"/>
        </w:rPr>
        <w:t>) naudojami kontroliuotai kiaušidžių stimuliacijai</w:t>
      </w:r>
      <w:r>
        <w:rPr>
          <w:rFonts w:eastAsia="Arial"/>
          <w:color w:val="000000" w:themeColor="text1"/>
        </w:rPr>
        <w:t xml:space="preserve"> (ne pulsinės terapijos būdu).</w:t>
      </w:r>
    </w:p>
    <w:p w14:paraId="037532CF" w14:textId="77777777" w:rsidR="001A5807" w:rsidRDefault="001A5807" w:rsidP="00E85D42">
      <w:pPr>
        <w:spacing w:line="23" w:lineRule="atLeast"/>
        <w:ind w:firstLine="567"/>
        <w:jc w:val="both"/>
        <w:rPr>
          <w:rFonts w:eastAsia="Arial"/>
          <w:color w:val="000000" w:themeColor="text1"/>
        </w:rPr>
      </w:pPr>
      <w:r w:rsidRPr="00A466AB">
        <w:rPr>
          <w:rFonts w:eastAsia="Arial"/>
          <w:color w:val="000000" w:themeColor="text1"/>
        </w:rPr>
        <w:t xml:space="preserve">Pagalbinio apvaisinimo technologijos, tokios kaip </w:t>
      </w:r>
      <w:proofErr w:type="spellStart"/>
      <w:r w:rsidRPr="00A466AB">
        <w:rPr>
          <w:rFonts w:eastAsia="Arial"/>
          <w:i/>
          <w:iCs/>
          <w:color w:val="000000" w:themeColor="text1"/>
        </w:rPr>
        <w:t>in</w:t>
      </w:r>
      <w:proofErr w:type="spellEnd"/>
      <w:r w:rsidRPr="00A466AB">
        <w:rPr>
          <w:rFonts w:eastAsia="Arial"/>
          <w:i/>
          <w:iCs/>
          <w:color w:val="000000" w:themeColor="text1"/>
        </w:rPr>
        <w:t xml:space="preserve"> </w:t>
      </w:r>
      <w:proofErr w:type="spellStart"/>
      <w:r w:rsidRPr="00A466AB">
        <w:rPr>
          <w:rFonts w:eastAsia="Arial"/>
          <w:i/>
          <w:iCs/>
          <w:color w:val="000000" w:themeColor="text1"/>
        </w:rPr>
        <w:t>vitro</w:t>
      </w:r>
      <w:proofErr w:type="spellEnd"/>
      <w:r w:rsidRPr="00A466AB">
        <w:rPr>
          <w:rFonts w:eastAsia="Arial"/>
          <w:color w:val="000000" w:themeColor="text1"/>
        </w:rPr>
        <w:t xml:space="preserve"> apvaisinimas (IVF), ne visada yra būtinos moterims, sergančioms </w:t>
      </w:r>
      <w:proofErr w:type="spellStart"/>
      <w:r w:rsidRPr="00A466AB">
        <w:rPr>
          <w:rFonts w:eastAsia="Arial"/>
          <w:color w:val="000000" w:themeColor="text1"/>
        </w:rPr>
        <w:t>hipogonadotropiniu</w:t>
      </w:r>
      <w:proofErr w:type="spellEnd"/>
      <w:r w:rsidRPr="00A466AB">
        <w:rPr>
          <w:rFonts w:eastAsia="Arial"/>
          <w:color w:val="000000" w:themeColor="text1"/>
        </w:rPr>
        <w:t xml:space="preserve"> </w:t>
      </w:r>
      <w:proofErr w:type="spellStart"/>
      <w:r w:rsidRPr="00A466AB">
        <w:rPr>
          <w:rFonts w:eastAsia="Arial"/>
          <w:color w:val="000000" w:themeColor="text1"/>
        </w:rPr>
        <w:t>hipogonadizmu</w:t>
      </w:r>
      <w:proofErr w:type="spellEnd"/>
      <w:r w:rsidRPr="00A466AB">
        <w:rPr>
          <w:rFonts w:eastAsia="Arial"/>
          <w:color w:val="000000" w:themeColor="text1"/>
        </w:rPr>
        <w:t xml:space="preserve"> ir siekiančioms pastoti. Daugeliu atvejų, tinkamai taikant ovuliacijos indukciją naudojant folikulus stimuliuojančio hormono (FSH) ir </w:t>
      </w:r>
      <w:proofErr w:type="spellStart"/>
      <w:r w:rsidRPr="00A466AB">
        <w:rPr>
          <w:rFonts w:eastAsia="Arial"/>
          <w:color w:val="000000" w:themeColor="text1"/>
        </w:rPr>
        <w:t>liuteinizuojančio</w:t>
      </w:r>
      <w:proofErr w:type="spellEnd"/>
      <w:r w:rsidRPr="00A466AB">
        <w:rPr>
          <w:rFonts w:eastAsia="Arial"/>
          <w:color w:val="000000" w:themeColor="text1"/>
        </w:rPr>
        <w:t xml:space="preserve"> hormono (LH) preparatus, galima pasiekti natūralią ovuliaciją ir pastojimą per laiku suplanuotus lytinius santykius. </w:t>
      </w:r>
      <w:r>
        <w:rPr>
          <w:rFonts w:eastAsia="Arial"/>
          <w:color w:val="000000" w:themeColor="text1"/>
        </w:rPr>
        <w:t>Pagalbinio apvaisinimo</w:t>
      </w:r>
      <w:r w:rsidRPr="00A466AB">
        <w:rPr>
          <w:rFonts w:eastAsia="Arial"/>
          <w:color w:val="000000" w:themeColor="text1"/>
        </w:rPr>
        <w:t xml:space="preserve"> procedūros, tokios kaip IVF, dažniausiai taikomos tik tuo atveju, jei po sėkmingos ovuliacijos indukcijos nepavyksta pastoti per kelis mėnesinius ciklus arba jei yra papildomų vaisingumo sutrikimų, pavyzdžiui, vyro nevaisingumas, kiaušintakių pažeidimai arba moters amžiaus veiksniai.</w:t>
      </w:r>
      <w:r w:rsidRPr="009019F4">
        <w:rPr>
          <w:rFonts w:eastAsia="Arial"/>
          <w:color w:val="000000" w:themeColor="text1"/>
        </w:rPr>
        <w:t xml:space="preserve"> </w:t>
      </w:r>
    </w:p>
    <w:p w14:paraId="422AD0EB" w14:textId="77777777" w:rsidR="001A5807" w:rsidRDefault="001A5807" w:rsidP="00E85D42">
      <w:pPr>
        <w:tabs>
          <w:tab w:val="left" w:pos="426"/>
        </w:tabs>
        <w:spacing w:line="23" w:lineRule="atLeast"/>
        <w:ind w:firstLine="567"/>
        <w:jc w:val="both"/>
        <w:rPr>
          <w:rFonts w:eastAsia="Arial"/>
          <w:color w:val="000000" w:themeColor="text1"/>
        </w:rPr>
      </w:pPr>
    </w:p>
    <w:p w14:paraId="7F9D972B" w14:textId="77777777" w:rsidR="001A5807" w:rsidRPr="00E85D42" w:rsidRDefault="001A5807" w:rsidP="00E85D42">
      <w:pPr>
        <w:spacing w:line="23" w:lineRule="atLeast"/>
        <w:ind w:firstLine="567"/>
        <w:jc w:val="both"/>
        <w:rPr>
          <w:rFonts w:eastAsia="Arial"/>
          <w:i/>
          <w:iCs/>
          <w:color w:val="000000" w:themeColor="text1"/>
        </w:rPr>
      </w:pPr>
      <w:r w:rsidRPr="00E85D42">
        <w:rPr>
          <w:rFonts w:eastAsia="Arial"/>
          <w:i/>
          <w:iCs/>
          <w:color w:val="000000" w:themeColor="text1"/>
        </w:rPr>
        <w:tab/>
        <w:t xml:space="preserve">Palyginamasis gydymas </w:t>
      </w:r>
    </w:p>
    <w:p w14:paraId="050B90ED" w14:textId="77777777" w:rsidR="001A5807" w:rsidRDefault="001A5807" w:rsidP="00E85D42">
      <w:pPr>
        <w:spacing w:line="23" w:lineRule="atLeast"/>
        <w:ind w:firstLine="567"/>
        <w:jc w:val="both"/>
        <w:rPr>
          <w:rFonts w:eastAsia="Arial"/>
          <w:color w:val="000000" w:themeColor="text1"/>
        </w:rPr>
      </w:pPr>
      <w:r>
        <w:rPr>
          <w:rFonts w:eastAsia="Arial"/>
          <w:color w:val="000000" w:themeColor="text1"/>
        </w:rPr>
        <w:lastRenderedPageBreak/>
        <w:tab/>
      </w:r>
      <w:r w:rsidRPr="000F4B6C">
        <w:rPr>
          <w:rFonts w:eastAsia="Arial"/>
          <w:color w:val="000000" w:themeColor="text1"/>
        </w:rPr>
        <w:t>Siekiant stimuliuoti folikulų vystymąsi suaugusioms moterims su ryškiu LH ir FSH nepakankamumu (</w:t>
      </w:r>
      <w:proofErr w:type="spellStart"/>
      <w:r w:rsidRPr="000F4B6C">
        <w:rPr>
          <w:rFonts w:eastAsia="Arial"/>
          <w:color w:val="000000" w:themeColor="text1"/>
        </w:rPr>
        <w:t>hipogonadotropinė</w:t>
      </w:r>
      <w:proofErr w:type="spellEnd"/>
      <w:r w:rsidRPr="000F4B6C">
        <w:rPr>
          <w:rFonts w:eastAsia="Arial"/>
          <w:color w:val="000000" w:themeColor="text1"/>
        </w:rPr>
        <w:t xml:space="preserve"> </w:t>
      </w:r>
      <w:proofErr w:type="spellStart"/>
      <w:r w:rsidRPr="000F4B6C">
        <w:rPr>
          <w:rFonts w:eastAsia="Arial"/>
          <w:color w:val="000000" w:themeColor="text1"/>
        </w:rPr>
        <w:t>anovuliacija</w:t>
      </w:r>
      <w:proofErr w:type="spellEnd"/>
      <w:r w:rsidRPr="000F4B6C">
        <w:rPr>
          <w:rFonts w:eastAsia="Arial"/>
          <w:color w:val="000000" w:themeColor="text1"/>
        </w:rPr>
        <w:t xml:space="preserve">) galimas gydymas pulsine labai trumpai veikiančio </w:t>
      </w:r>
      <w:proofErr w:type="spellStart"/>
      <w:r w:rsidRPr="000F4B6C">
        <w:rPr>
          <w:rFonts w:eastAsia="Arial"/>
          <w:color w:val="000000" w:themeColor="text1"/>
        </w:rPr>
        <w:t>GnRH</w:t>
      </w:r>
      <w:proofErr w:type="spellEnd"/>
      <w:r w:rsidRPr="000F4B6C">
        <w:rPr>
          <w:rFonts w:eastAsia="Arial"/>
          <w:color w:val="000000" w:themeColor="text1"/>
        </w:rPr>
        <w:t xml:space="preserve"> terapija (Lietuvoje nekompensuojamas) arba </w:t>
      </w:r>
      <w:proofErr w:type="spellStart"/>
      <w:r w:rsidRPr="000F4B6C">
        <w:rPr>
          <w:rFonts w:eastAsia="Arial"/>
          <w:color w:val="000000" w:themeColor="text1"/>
        </w:rPr>
        <w:t>gonadotropinų</w:t>
      </w:r>
      <w:proofErr w:type="spellEnd"/>
      <w:r w:rsidRPr="000F4B6C">
        <w:rPr>
          <w:rFonts w:eastAsia="Arial"/>
          <w:color w:val="000000" w:themeColor="text1"/>
        </w:rPr>
        <w:t xml:space="preserve"> – FSH ir LH deriniu. Šiuo metu Lietuvoje kompensuojami </w:t>
      </w:r>
      <w:proofErr w:type="spellStart"/>
      <w:r w:rsidRPr="000F4B6C">
        <w:rPr>
          <w:rFonts w:eastAsia="Arial"/>
          <w:color w:val="000000" w:themeColor="text1"/>
        </w:rPr>
        <w:t>gonadotropinai</w:t>
      </w:r>
      <w:proofErr w:type="spellEnd"/>
      <w:r w:rsidRPr="000F4B6C">
        <w:rPr>
          <w:rFonts w:eastAsia="Arial"/>
          <w:color w:val="000000" w:themeColor="text1"/>
        </w:rPr>
        <w:t xml:space="preserve"> yra </w:t>
      </w:r>
      <w:proofErr w:type="spellStart"/>
      <w:r w:rsidRPr="000F4B6C">
        <w:rPr>
          <w:rFonts w:eastAsia="Arial"/>
          <w:color w:val="000000" w:themeColor="text1"/>
        </w:rPr>
        <w:t>folitropinas</w:t>
      </w:r>
      <w:proofErr w:type="spellEnd"/>
      <w:r w:rsidRPr="000F4B6C">
        <w:rPr>
          <w:rFonts w:eastAsia="Arial"/>
          <w:color w:val="000000" w:themeColor="text1"/>
        </w:rPr>
        <w:t xml:space="preserve"> alfa ir delta bei žmogaus </w:t>
      </w:r>
      <w:proofErr w:type="spellStart"/>
      <w:r w:rsidRPr="000F4B6C">
        <w:rPr>
          <w:rFonts w:eastAsia="Arial"/>
          <w:color w:val="000000" w:themeColor="text1"/>
        </w:rPr>
        <w:t>menopauzinis</w:t>
      </w:r>
      <w:proofErr w:type="spellEnd"/>
      <w:r w:rsidRPr="000F4B6C">
        <w:rPr>
          <w:rFonts w:eastAsia="Arial"/>
          <w:color w:val="000000" w:themeColor="text1"/>
        </w:rPr>
        <w:t xml:space="preserve"> </w:t>
      </w:r>
      <w:proofErr w:type="spellStart"/>
      <w:r w:rsidRPr="000F4B6C">
        <w:rPr>
          <w:rFonts w:eastAsia="Arial"/>
          <w:color w:val="000000" w:themeColor="text1"/>
        </w:rPr>
        <w:t>gonadotropinas</w:t>
      </w:r>
      <w:proofErr w:type="spellEnd"/>
      <w:r w:rsidRPr="000F4B6C">
        <w:rPr>
          <w:rFonts w:eastAsia="Arial"/>
          <w:color w:val="000000" w:themeColor="text1"/>
        </w:rPr>
        <w:t xml:space="preserve">, kurio aktyvumas atitinka FSH ir LH aktyvumą. LH </w:t>
      </w:r>
      <w:proofErr w:type="spellStart"/>
      <w:r w:rsidRPr="000F4B6C">
        <w:rPr>
          <w:rFonts w:eastAsia="Arial"/>
          <w:color w:val="000000" w:themeColor="text1"/>
        </w:rPr>
        <w:t>monoterapija</w:t>
      </w:r>
      <w:proofErr w:type="spellEnd"/>
      <w:r w:rsidRPr="000F4B6C">
        <w:rPr>
          <w:rFonts w:eastAsia="Arial"/>
          <w:color w:val="000000" w:themeColor="text1"/>
        </w:rPr>
        <w:t xml:space="preserve"> Lietuvoje nėra kompensuojama. </w:t>
      </w:r>
    </w:p>
    <w:p w14:paraId="27C3967C" w14:textId="77777777" w:rsidR="001A5807" w:rsidRDefault="001A5807" w:rsidP="00E85D42">
      <w:pPr>
        <w:spacing w:line="23" w:lineRule="atLeast"/>
        <w:ind w:firstLine="567"/>
        <w:jc w:val="both"/>
        <w:rPr>
          <w:rFonts w:eastAsia="Arial"/>
          <w:color w:val="000000" w:themeColor="text1"/>
        </w:rPr>
      </w:pPr>
      <w:r>
        <w:rPr>
          <w:rFonts w:eastAsia="Arial"/>
          <w:color w:val="000000" w:themeColor="text1"/>
        </w:rPr>
        <w:tab/>
      </w:r>
      <w:r w:rsidRPr="000F4B6C">
        <w:rPr>
          <w:rFonts w:eastAsia="Arial"/>
          <w:color w:val="000000" w:themeColor="text1"/>
        </w:rPr>
        <w:t xml:space="preserve">Atsižvelgiant į svarstomo vaistinio preparato sudėtinius komponentus </w:t>
      </w:r>
      <w:proofErr w:type="spellStart"/>
      <w:r w:rsidRPr="000F4B6C">
        <w:rPr>
          <w:rFonts w:eastAsia="Arial"/>
          <w:color w:val="000000" w:themeColor="text1"/>
        </w:rPr>
        <w:t>t.y</w:t>
      </w:r>
      <w:proofErr w:type="spellEnd"/>
      <w:r w:rsidRPr="000F4B6C">
        <w:rPr>
          <w:rFonts w:eastAsia="Arial"/>
          <w:color w:val="000000" w:themeColor="text1"/>
        </w:rPr>
        <w:t xml:space="preserve">. </w:t>
      </w:r>
      <w:proofErr w:type="spellStart"/>
      <w:r w:rsidRPr="000F4B6C">
        <w:rPr>
          <w:rFonts w:eastAsia="Arial"/>
          <w:color w:val="000000" w:themeColor="text1"/>
        </w:rPr>
        <w:t>rekombinantinis</w:t>
      </w:r>
      <w:proofErr w:type="spellEnd"/>
      <w:r w:rsidRPr="000F4B6C">
        <w:rPr>
          <w:rFonts w:eastAsia="Arial"/>
          <w:color w:val="000000" w:themeColor="text1"/>
        </w:rPr>
        <w:t xml:space="preserve"> žmogaus </w:t>
      </w:r>
      <w:proofErr w:type="spellStart"/>
      <w:r w:rsidRPr="000F4B6C">
        <w:rPr>
          <w:rFonts w:eastAsia="Arial"/>
          <w:color w:val="000000" w:themeColor="text1"/>
        </w:rPr>
        <w:t>folitropinas</w:t>
      </w:r>
      <w:proofErr w:type="spellEnd"/>
      <w:r w:rsidRPr="000F4B6C">
        <w:rPr>
          <w:rFonts w:eastAsia="Arial"/>
          <w:color w:val="000000" w:themeColor="text1"/>
        </w:rPr>
        <w:t xml:space="preserve"> alfa ir </w:t>
      </w:r>
      <w:proofErr w:type="spellStart"/>
      <w:r w:rsidRPr="000F4B6C">
        <w:rPr>
          <w:rFonts w:eastAsia="Arial"/>
          <w:color w:val="000000" w:themeColor="text1"/>
        </w:rPr>
        <w:t>rekombinantinis</w:t>
      </w:r>
      <w:proofErr w:type="spellEnd"/>
      <w:r w:rsidRPr="000F4B6C">
        <w:rPr>
          <w:rFonts w:eastAsia="Arial"/>
          <w:color w:val="000000" w:themeColor="text1"/>
        </w:rPr>
        <w:t xml:space="preserve"> žmogaus </w:t>
      </w:r>
      <w:proofErr w:type="spellStart"/>
      <w:r w:rsidRPr="000F4B6C">
        <w:rPr>
          <w:rFonts w:eastAsia="Arial"/>
          <w:color w:val="000000" w:themeColor="text1"/>
        </w:rPr>
        <w:t>lutropinas</w:t>
      </w:r>
      <w:proofErr w:type="spellEnd"/>
      <w:r w:rsidRPr="000F4B6C">
        <w:rPr>
          <w:rFonts w:eastAsia="Arial"/>
          <w:color w:val="000000" w:themeColor="text1"/>
        </w:rPr>
        <w:t xml:space="preserve"> alfa, ir šiuo metu Lietuvoje kompensuojamus vaistinius preparatus, tinkamiausiu palyginamuoju gydymu laikomas </w:t>
      </w:r>
      <w:proofErr w:type="spellStart"/>
      <w:r w:rsidRPr="000F4B6C">
        <w:rPr>
          <w:rFonts w:eastAsia="Arial"/>
          <w:color w:val="000000" w:themeColor="text1"/>
        </w:rPr>
        <w:t>menotropinas</w:t>
      </w:r>
      <w:proofErr w:type="spellEnd"/>
      <w:r w:rsidRPr="000F4B6C">
        <w:rPr>
          <w:rFonts w:eastAsia="Arial"/>
          <w:color w:val="000000" w:themeColor="text1"/>
        </w:rPr>
        <w:t>, kuris pasižymi tiek FSH, tiek LH aktyvumu.</w:t>
      </w:r>
      <w:r>
        <w:rPr>
          <w:rFonts w:eastAsia="Arial"/>
          <w:color w:val="000000" w:themeColor="text1"/>
        </w:rPr>
        <w:tab/>
      </w:r>
    </w:p>
    <w:p w14:paraId="1570EA57" w14:textId="77777777" w:rsidR="001A5807" w:rsidRDefault="001A5807" w:rsidP="00E85D42">
      <w:pPr>
        <w:spacing w:line="23" w:lineRule="atLeast"/>
        <w:ind w:firstLine="567"/>
        <w:jc w:val="both"/>
        <w:rPr>
          <w:rFonts w:eastAsia="Arial"/>
          <w:color w:val="000000" w:themeColor="text1"/>
        </w:rPr>
      </w:pPr>
    </w:p>
    <w:p w14:paraId="27DAD689" w14:textId="77777777" w:rsidR="001A5807" w:rsidRPr="009952EE" w:rsidRDefault="001A5807" w:rsidP="00E85D42">
      <w:pPr>
        <w:spacing w:line="23" w:lineRule="atLeast"/>
        <w:ind w:firstLine="567"/>
        <w:jc w:val="both"/>
        <w:rPr>
          <w:rFonts w:eastAsia="Arial"/>
          <w:color w:val="000000" w:themeColor="text1"/>
        </w:rPr>
      </w:pPr>
      <w:r w:rsidRPr="009952EE">
        <w:rPr>
          <w:rFonts w:eastAsia="Arial"/>
          <w:color w:val="000000" w:themeColor="text1"/>
        </w:rPr>
        <w:tab/>
      </w:r>
      <w:r w:rsidRPr="009952EE">
        <w:rPr>
          <w:rFonts w:eastAsia="Arial"/>
          <w:i/>
          <w:iCs/>
          <w:color w:val="000000" w:themeColor="text1"/>
        </w:rPr>
        <w:t>Tiesioginis palyginimas</w:t>
      </w:r>
      <w:r w:rsidRPr="009952EE">
        <w:rPr>
          <w:rFonts w:eastAsia="Arial"/>
          <w:color w:val="000000" w:themeColor="text1"/>
        </w:rPr>
        <w:t xml:space="preserve"> </w:t>
      </w:r>
    </w:p>
    <w:p w14:paraId="6D698D23" w14:textId="77777777" w:rsidR="001A5807" w:rsidRDefault="001A5807" w:rsidP="00E85D42">
      <w:pPr>
        <w:spacing w:line="23" w:lineRule="atLeast"/>
        <w:ind w:firstLine="567"/>
        <w:jc w:val="both"/>
      </w:pPr>
      <w:r w:rsidRPr="00BE1FF0">
        <w:rPr>
          <w:rFonts w:eastAsia="Arial"/>
          <w:bCs/>
        </w:rPr>
        <w:t xml:space="preserve">Tiesioginio palyginimo dalyje Pareiškėjas pateikė </w:t>
      </w:r>
      <w:r>
        <w:rPr>
          <w:rFonts w:eastAsia="Arial"/>
          <w:bCs/>
        </w:rPr>
        <w:t xml:space="preserve">du klinikinius tyrimus. Pirmasis – atviras, </w:t>
      </w:r>
      <w:proofErr w:type="spellStart"/>
      <w:r>
        <w:rPr>
          <w:rFonts w:eastAsia="Arial"/>
          <w:bCs/>
        </w:rPr>
        <w:t>randomizuotas</w:t>
      </w:r>
      <w:proofErr w:type="spellEnd"/>
      <w:r>
        <w:rPr>
          <w:rFonts w:eastAsia="Arial"/>
          <w:bCs/>
        </w:rPr>
        <w:t xml:space="preserve"> </w:t>
      </w:r>
      <w:proofErr w:type="spellStart"/>
      <w:r>
        <w:rPr>
          <w:rFonts w:eastAsia="Arial"/>
          <w:bCs/>
        </w:rPr>
        <w:t>Corone</w:t>
      </w:r>
      <w:proofErr w:type="spellEnd"/>
      <w:r>
        <w:rPr>
          <w:rFonts w:eastAsia="Arial"/>
          <w:bCs/>
        </w:rPr>
        <w:t xml:space="preserve"> et. al klinikinis tyrimas, kuriame lygintas </w:t>
      </w:r>
      <w:proofErr w:type="spellStart"/>
      <w:r w:rsidRPr="00BE1FF0">
        <w:rPr>
          <w:rFonts w:eastAsia="Arial"/>
          <w:bCs/>
        </w:rPr>
        <w:t>rekombinantinio</w:t>
      </w:r>
      <w:proofErr w:type="spellEnd"/>
      <w:r w:rsidRPr="00BE1FF0">
        <w:rPr>
          <w:rFonts w:eastAsia="Arial"/>
          <w:bCs/>
        </w:rPr>
        <w:t xml:space="preserve"> žmogaus </w:t>
      </w:r>
      <w:r>
        <w:rPr>
          <w:rFonts w:eastAsia="Arial"/>
          <w:bCs/>
        </w:rPr>
        <w:t>folikulus stimuliuojančio hormono (r-</w:t>
      </w:r>
      <w:proofErr w:type="spellStart"/>
      <w:r>
        <w:rPr>
          <w:rFonts w:eastAsia="Arial"/>
          <w:bCs/>
        </w:rPr>
        <w:t>hFSH</w:t>
      </w:r>
      <w:proofErr w:type="spellEnd"/>
      <w:r>
        <w:rPr>
          <w:rFonts w:eastAsia="Arial"/>
          <w:bCs/>
        </w:rPr>
        <w:t xml:space="preserve">) ir </w:t>
      </w:r>
      <w:proofErr w:type="spellStart"/>
      <w:r w:rsidRPr="00BE1FF0">
        <w:rPr>
          <w:rFonts w:eastAsia="Arial"/>
          <w:bCs/>
        </w:rPr>
        <w:t>rekombinantinio</w:t>
      </w:r>
      <w:proofErr w:type="spellEnd"/>
      <w:r w:rsidRPr="00BE1FF0">
        <w:rPr>
          <w:rFonts w:eastAsia="Arial"/>
          <w:bCs/>
        </w:rPr>
        <w:t xml:space="preserve"> žmogaus </w:t>
      </w:r>
      <w:proofErr w:type="spellStart"/>
      <w:r w:rsidRPr="00BE1FF0">
        <w:rPr>
          <w:rFonts w:eastAsia="Arial"/>
          <w:bCs/>
        </w:rPr>
        <w:t>liuteinizuojančio</w:t>
      </w:r>
      <w:proofErr w:type="spellEnd"/>
      <w:r w:rsidRPr="00BE1FF0">
        <w:rPr>
          <w:rFonts w:eastAsia="Arial"/>
          <w:bCs/>
        </w:rPr>
        <w:t xml:space="preserve"> hormono (r-</w:t>
      </w:r>
      <w:proofErr w:type="spellStart"/>
      <w:r>
        <w:rPr>
          <w:rFonts w:eastAsia="Arial"/>
          <w:bCs/>
        </w:rPr>
        <w:t>ž</w:t>
      </w:r>
      <w:r w:rsidRPr="00BE1FF0">
        <w:rPr>
          <w:rFonts w:eastAsia="Arial"/>
          <w:bCs/>
        </w:rPr>
        <w:t>LH</w:t>
      </w:r>
      <w:proofErr w:type="spellEnd"/>
      <w:r w:rsidRPr="00BE1FF0">
        <w:rPr>
          <w:rFonts w:eastAsia="Arial"/>
          <w:bCs/>
        </w:rPr>
        <w:t>)</w:t>
      </w:r>
      <w:r>
        <w:rPr>
          <w:rFonts w:eastAsia="Arial"/>
          <w:bCs/>
        </w:rPr>
        <w:t xml:space="preserve"> (santykiu 2:1) veiksmingumas su </w:t>
      </w:r>
      <w:r w:rsidRPr="00BE1FF0">
        <w:rPr>
          <w:rFonts w:eastAsia="Arial"/>
          <w:bCs/>
        </w:rPr>
        <w:t>žmogaus menopauzės</w:t>
      </w:r>
      <w:r>
        <w:rPr>
          <w:rFonts w:eastAsia="Arial"/>
          <w:bCs/>
        </w:rPr>
        <w:t xml:space="preserve"> iš šlapimo išskirtu</w:t>
      </w:r>
      <w:r w:rsidRPr="00BE1FF0">
        <w:rPr>
          <w:rFonts w:eastAsia="Arial"/>
          <w:bCs/>
        </w:rPr>
        <w:t xml:space="preserve"> </w:t>
      </w:r>
      <w:proofErr w:type="spellStart"/>
      <w:r w:rsidRPr="00BE1FF0">
        <w:rPr>
          <w:rFonts w:eastAsia="Arial"/>
          <w:bCs/>
        </w:rPr>
        <w:t>gonadotropino</w:t>
      </w:r>
      <w:proofErr w:type="spellEnd"/>
      <w:r w:rsidRPr="00BE1FF0">
        <w:rPr>
          <w:rFonts w:eastAsia="Arial"/>
          <w:bCs/>
        </w:rPr>
        <w:t xml:space="preserve"> (u-</w:t>
      </w:r>
      <w:proofErr w:type="spellStart"/>
      <w:r>
        <w:rPr>
          <w:rFonts w:eastAsia="Arial"/>
          <w:bCs/>
        </w:rPr>
        <w:t>ž</w:t>
      </w:r>
      <w:r w:rsidRPr="00BE1FF0">
        <w:rPr>
          <w:rFonts w:eastAsia="Arial"/>
          <w:bCs/>
        </w:rPr>
        <w:t>MG</w:t>
      </w:r>
      <w:proofErr w:type="spellEnd"/>
      <w:r w:rsidRPr="00BE1FF0">
        <w:rPr>
          <w:rFonts w:eastAsia="Arial"/>
          <w:bCs/>
        </w:rPr>
        <w:t xml:space="preserve">) </w:t>
      </w:r>
      <w:proofErr w:type="spellStart"/>
      <w:r>
        <w:rPr>
          <w:rFonts w:eastAsia="Arial"/>
          <w:bCs/>
        </w:rPr>
        <w:t>monoterapija</w:t>
      </w:r>
      <w:proofErr w:type="spellEnd"/>
      <w:r>
        <w:rPr>
          <w:rFonts w:eastAsia="Arial"/>
          <w:bCs/>
        </w:rPr>
        <w:t xml:space="preserve">, pacienčių su </w:t>
      </w:r>
      <w:proofErr w:type="spellStart"/>
      <w:r>
        <w:rPr>
          <w:rFonts w:eastAsia="Arial"/>
          <w:bCs/>
        </w:rPr>
        <w:t>hipogonadotropiniu</w:t>
      </w:r>
      <w:proofErr w:type="spellEnd"/>
      <w:r>
        <w:rPr>
          <w:rFonts w:eastAsia="Arial"/>
          <w:bCs/>
        </w:rPr>
        <w:t xml:space="preserve"> </w:t>
      </w:r>
      <w:proofErr w:type="spellStart"/>
      <w:r>
        <w:rPr>
          <w:rFonts w:eastAsia="Arial"/>
          <w:bCs/>
        </w:rPr>
        <w:t>hipogonadizmu</w:t>
      </w:r>
      <w:proofErr w:type="spellEnd"/>
      <w:r>
        <w:rPr>
          <w:rFonts w:eastAsia="Arial"/>
          <w:bCs/>
        </w:rPr>
        <w:t xml:space="preserve"> (toliau - HH) populiacijoje (</w:t>
      </w:r>
      <w:proofErr w:type="spellStart"/>
      <w:r>
        <w:rPr>
          <w:rFonts w:eastAsia="Arial"/>
          <w:bCs/>
        </w:rPr>
        <w:t>t.y</w:t>
      </w:r>
      <w:proofErr w:type="spellEnd"/>
      <w:r>
        <w:rPr>
          <w:rFonts w:eastAsia="Arial"/>
          <w:bCs/>
        </w:rPr>
        <w:t xml:space="preserve">. diagnozuotas </w:t>
      </w:r>
      <w:r w:rsidRPr="00674D9F">
        <w:t>LH ir FSH nepakankamum</w:t>
      </w:r>
      <w:r>
        <w:t>as</w:t>
      </w:r>
      <w:r w:rsidRPr="00674D9F">
        <w:t>.</w:t>
      </w:r>
    </w:p>
    <w:p w14:paraId="05586E7B" w14:textId="77777777" w:rsidR="001A5807" w:rsidRDefault="001A5807" w:rsidP="00E85D42">
      <w:pPr>
        <w:spacing w:line="23" w:lineRule="atLeast"/>
        <w:ind w:firstLine="567"/>
        <w:jc w:val="both"/>
        <w:rPr>
          <w:rFonts w:eastAsia="Arial"/>
          <w:bCs/>
        </w:rPr>
      </w:pPr>
      <w:r>
        <w:rPr>
          <w:rFonts w:eastAsia="Arial"/>
          <w:bCs/>
        </w:rPr>
        <w:t xml:space="preserve">Antrasis Pareiškėjų pateiktas klinikinis tyrimas buvo </w:t>
      </w:r>
      <w:r w:rsidRPr="00BE1FF0">
        <w:rPr>
          <w:rFonts w:eastAsia="Arial"/>
          <w:bCs/>
        </w:rPr>
        <w:t xml:space="preserve">atvejo-kontrolės </w:t>
      </w:r>
      <w:proofErr w:type="spellStart"/>
      <w:r w:rsidRPr="00BE1FF0">
        <w:rPr>
          <w:rFonts w:eastAsia="Arial"/>
          <w:bCs/>
        </w:rPr>
        <w:t>Buhler</w:t>
      </w:r>
      <w:proofErr w:type="spellEnd"/>
      <w:r w:rsidRPr="00BE1FF0">
        <w:rPr>
          <w:rFonts w:eastAsia="Arial"/>
          <w:bCs/>
        </w:rPr>
        <w:t xml:space="preserve"> ir Fischer tyrim</w:t>
      </w:r>
      <w:r>
        <w:rPr>
          <w:rFonts w:eastAsia="Arial"/>
          <w:bCs/>
        </w:rPr>
        <w:t xml:space="preserve">as, kuris atlikus detalų klinikinį vertinimą Tarnybos laikytas </w:t>
      </w:r>
      <w:r w:rsidRPr="000F4B6C">
        <w:rPr>
          <w:rFonts w:eastAsia="Arial"/>
          <w:bCs/>
        </w:rPr>
        <w:t>netinkamu klinikiniam veiksmingumui pagrįsti, nes šiame tyrime įtraukta pacientų populiacija platesnė nei svarstomo vaistinio preparato – įtrauktos pacientės nepriklausomai nuo to ar joms buvo nustatytas LH ir FSH nepakankamumas, tačiau nebuvo pateikti pogrupių rezultatai aktualioje populiacijoje (,,&lt;...&gt; moterims su ryškiu LH ir FSH nepakankamumu)</w:t>
      </w:r>
      <w:r>
        <w:rPr>
          <w:rFonts w:eastAsia="Arial"/>
          <w:bCs/>
        </w:rPr>
        <w:t xml:space="preserve">. Šio tyrimo </w:t>
      </w:r>
      <w:proofErr w:type="spellStart"/>
      <w:r>
        <w:rPr>
          <w:rFonts w:eastAsia="Arial"/>
          <w:bCs/>
        </w:rPr>
        <w:t>rezulatatai</w:t>
      </w:r>
      <w:proofErr w:type="spellEnd"/>
      <w:r>
        <w:rPr>
          <w:rFonts w:eastAsia="Arial"/>
          <w:bCs/>
        </w:rPr>
        <w:t xml:space="preserve"> apibendrinimo dalyje </w:t>
      </w:r>
      <w:proofErr w:type="spellStart"/>
      <w:r>
        <w:rPr>
          <w:rFonts w:eastAsia="Arial"/>
          <w:bCs/>
        </w:rPr>
        <w:t>nepateikami</w:t>
      </w:r>
      <w:proofErr w:type="spellEnd"/>
      <w:r>
        <w:rPr>
          <w:rFonts w:eastAsia="Arial"/>
          <w:bCs/>
        </w:rPr>
        <w:t xml:space="preserve">, nes išvada apie palyginamąjį veiksmingumą suformuota remiantis </w:t>
      </w:r>
      <w:proofErr w:type="spellStart"/>
      <w:r>
        <w:rPr>
          <w:rFonts w:eastAsia="Arial"/>
          <w:bCs/>
        </w:rPr>
        <w:t>Corone</w:t>
      </w:r>
      <w:proofErr w:type="spellEnd"/>
      <w:r>
        <w:rPr>
          <w:rFonts w:eastAsia="Arial"/>
          <w:bCs/>
        </w:rPr>
        <w:t xml:space="preserve"> et al. tyrimo </w:t>
      </w:r>
      <w:proofErr w:type="spellStart"/>
      <w:r>
        <w:rPr>
          <w:rFonts w:eastAsia="Arial"/>
          <w:bCs/>
        </w:rPr>
        <w:t>rezultatatais</w:t>
      </w:r>
      <w:proofErr w:type="spellEnd"/>
      <w:r>
        <w:rPr>
          <w:rFonts w:eastAsia="Arial"/>
          <w:bCs/>
        </w:rPr>
        <w:t>.</w:t>
      </w:r>
    </w:p>
    <w:p w14:paraId="2C93146A" w14:textId="77777777" w:rsidR="001A5807" w:rsidRDefault="001A5807" w:rsidP="00E85D42">
      <w:pPr>
        <w:spacing w:line="23" w:lineRule="atLeast"/>
        <w:ind w:firstLine="567"/>
        <w:jc w:val="both"/>
        <w:rPr>
          <w:rFonts w:eastAsia="Arial"/>
          <w:bCs/>
        </w:rPr>
      </w:pPr>
      <w:r>
        <w:rPr>
          <w:rFonts w:eastAsia="Arial"/>
          <w:bCs/>
        </w:rPr>
        <w:t xml:space="preserve">Į </w:t>
      </w:r>
      <w:proofErr w:type="spellStart"/>
      <w:r>
        <w:rPr>
          <w:rFonts w:eastAsia="Arial"/>
          <w:bCs/>
        </w:rPr>
        <w:t>Corone</w:t>
      </w:r>
      <w:proofErr w:type="spellEnd"/>
      <w:r>
        <w:rPr>
          <w:rFonts w:eastAsia="Arial"/>
          <w:bCs/>
        </w:rPr>
        <w:t xml:space="preserve"> et al. klinikinį tyrimą įtrauktos pacientės, atitikusios tinkamumo kriterijus – sergančios </w:t>
      </w:r>
      <w:r w:rsidRPr="009629C1">
        <w:rPr>
          <w:rFonts w:eastAsia="Arial"/>
          <w:bCs/>
        </w:rPr>
        <w:t xml:space="preserve">I tipo </w:t>
      </w:r>
      <w:proofErr w:type="spellStart"/>
      <w:r w:rsidRPr="009629C1">
        <w:rPr>
          <w:rFonts w:eastAsia="Arial"/>
          <w:bCs/>
        </w:rPr>
        <w:t>anovuliacija</w:t>
      </w:r>
      <w:proofErr w:type="spellEnd"/>
      <w:r w:rsidRPr="009629C1">
        <w:rPr>
          <w:rFonts w:eastAsia="Arial"/>
          <w:bCs/>
        </w:rPr>
        <w:t xml:space="preserve"> pagal Pasaulio sveikatos organizacijos (WHO) klasifikaciją (</w:t>
      </w:r>
      <w:proofErr w:type="spellStart"/>
      <w:r w:rsidRPr="009629C1">
        <w:rPr>
          <w:rFonts w:eastAsia="Arial"/>
          <w:bCs/>
        </w:rPr>
        <w:t>hipogonadotropinė</w:t>
      </w:r>
      <w:proofErr w:type="spellEnd"/>
      <w:r w:rsidRPr="009629C1">
        <w:rPr>
          <w:rFonts w:eastAsia="Arial"/>
          <w:bCs/>
        </w:rPr>
        <w:t xml:space="preserve"> </w:t>
      </w:r>
      <w:proofErr w:type="spellStart"/>
      <w:r w:rsidRPr="009629C1">
        <w:rPr>
          <w:rFonts w:eastAsia="Arial"/>
          <w:bCs/>
        </w:rPr>
        <w:t>anovuliacija</w:t>
      </w:r>
      <w:proofErr w:type="spellEnd"/>
      <w:r w:rsidRPr="009629C1">
        <w:rPr>
          <w:rFonts w:eastAsia="Arial"/>
          <w:bCs/>
        </w:rPr>
        <w:t>)</w:t>
      </w:r>
      <w:r>
        <w:rPr>
          <w:rFonts w:eastAsia="Arial"/>
          <w:bCs/>
        </w:rPr>
        <w:t>, kai s</w:t>
      </w:r>
      <w:r w:rsidRPr="009629C1">
        <w:rPr>
          <w:rFonts w:eastAsia="Arial"/>
          <w:bCs/>
        </w:rPr>
        <w:t>erumo LH koncentracija &lt;1,2 TV/l</w:t>
      </w:r>
      <w:r>
        <w:rPr>
          <w:rFonts w:eastAsia="Arial"/>
          <w:bCs/>
        </w:rPr>
        <w:t xml:space="preserve"> ir s</w:t>
      </w:r>
      <w:r w:rsidRPr="009629C1">
        <w:rPr>
          <w:rFonts w:eastAsia="Arial"/>
          <w:bCs/>
        </w:rPr>
        <w:t>erumo FSH koncentracija &lt;5 TV/l</w:t>
      </w:r>
      <w:r>
        <w:rPr>
          <w:rFonts w:eastAsia="Arial"/>
          <w:bCs/>
        </w:rPr>
        <w:t xml:space="preserve">. Įtrauktos pacientės </w:t>
      </w:r>
      <w:r w:rsidRPr="009629C1">
        <w:rPr>
          <w:rFonts w:eastAsia="Arial"/>
          <w:bCs/>
        </w:rPr>
        <w:t>25-36 met</w:t>
      </w:r>
      <w:r>
        <w:rPr>
          <w:rFonts w:eastAsia="Arial"/>
          <w:bCs/>
        </w:rPr>
        <w:t>ų amžiaus, kurioms n</w:t>
      </w:r>
      <w:r w:rsidRPr="009629C1">
        <w:rPr>
          <w:rFonts w:eastAsia="Arial"/>
          <w:bCs/>
        </w:rPr>
        <w:t>enustatyti kiaušidžių navika</w:t>
      </w:r>
      <w:r>
        <w:rPr>
          <w:rFonts w:eastAsia="Arial"/>
          <w:bCs/>
        </w:rPr>
        <w:t xml:space="preserve">i ar </w:t>
      </w:r>
      <w:r w:rsidRPr="009629C1">
        <w:rPr>
          <w:rFonts w:eastAsia="Arial"/>
          <w:bCs/>
        </w:rPr>
        <w:t>cistos</w:t>
      </w:r>
      <w:r>
        <w:rPr>
          <w:rFonts w:eastAsia="Arial"/>
          <w:bCs/>
        </w:rPr>
        <w:t xml:space="preserve">, </w:t>
      </w:r>
      <w:r w:rsidRPr="009629C1">
        <w:rPr>
          <w:rFonts w:eastAsia="Arial"/>
          <w:bCs/>
        </w:rPr>
        <w:t>≤ 13 mažų kiaušidžių folikulų (≤ 10mm)</w:t>
      </w:r>
      <w:r>
        <w:rPr>
          <w:rFonts w:eastAsia="Arial"/>
          <w:bCs/>
        </w:rPr>
        <w:t xml:space="preserve">, kurių </w:t>
      </w:r>
      <w:r w:rsidRPr="009629C1">
        <w:rPr>
          <w:rFonts w:eastAsia="Arial"/>
          <w:bCs/>
        </w:rPr>
        <w:t>KMI tarp 18 ir 32 kg/m</w:t>
      </w:r>
      <w:r w:rsidRPr="009629C1">
        <w:rPr>
          <w:rFonts w:eastAsia="Arial"/>
          <w:bCs/>
          <w:vertAlign w:val="superscript"/>
        </w:rPr>
        <w:t>2</w:t>
      </w:r>
      <w:r>
        <w:rPr>
          <w:rFonts w:eastAsia="Arial"/>
          <w:bCs/>
        </w:rPr>
        <w:t xml:space="preserve"> ir n</w:t>
      </w:r>
      <w:r w:rsidRPr="009629C1">
        <w:rPr>
          <w:rFonts w:eastAsia="Arial"/>
          <w:bCs/>
        </w:rPr>
        <w:t>enustatytos sisteminės ligos</w:t>
      </w:r>
      <w:r>
        <w:rPr>
          <w:rFonts w:eastAsia="Arial"/>
          <w:bCs/>
        </w:rPr>
        <w:t xml:space="preserve">. </w:t>
      </w:r>
      <w:proofErr w:type="spellStart"/>
      <w:r w:rsidRPr="009629C1">
        <w:rPr>
          <w:rFonts w:eastAsia="Arial"/>
          <w:bCs/>
        </w:rPr>
        <w:t>Corone</w:t>
      </w:r>
      <w:proofErr w:type="spellEnd"/>
      <w:r w:rsidRPr="009629C1">
        <w:rPr>
          <w:rFonts w:eastAsia="Arial"/>
          <w:bCs/>
        </w:rPr>
        <w:t xml:space="preserve"> et. al klinikiniame tyrime įtrauktos 25-36 metų amžiaus pacientės. Tai laikoma duomenų neapibrėžtumu, nes Pareiškėjas </w:t>
      </w:r>
      <w:proofErr w:type="spellStart"/>
      <w:r w:rsidRPr="009629C1">
        <w:rPr>
          <w:rFonts w:eastAsia="Arial"/>
          <w:bCs/>
        </w:rPr>
        <w:t>nepateiktė</w:t>
      </w:r>
      <w:proofErr w:type="spellEnd"/>
      <w:r w:rsidRPr="009629C1">
        <w:rPr>
          <w:rFonts w:eastAsia="Arial"/>
          <w:bCs/>
        </w:rPr>
        <w:t xml:space="preserve"> palyginamojo veiksmingumo duomenų apie vaistinio preparato </w:t>
      </w:r>
      <w:proofErr w:type="spellStart"/>
      <w:r w:rsidRPr="009629C1">
        <w:rPr>
          <w:rFonts w:eastAsia="Arial"/>
          <w:bCs/>
        </w:rPr>
        <w:t>klinkinį</w:t>
      </w:r>
      <w:proofErr w:type="spellEnd"/>
      <w:r w:rsidRPr="009629C1">
        <w:rPr>
          <w:rFonts w:eastAsia="Arial"/>
          <w:bCs/>
        </w:rPr>
        <w:t xml:space="preserve"> veiksmingumą vyresnių nei 36 m. pacienčių su ryškiu LH ir FSH nepakankamumu populiacijoje</w:t>
      </w:r>
      <w:r>
        <w:rPr>
          <w:rFonts w:eastAsia="Arial"/>
          <w:bCs/>
        </w:rPr>
        <w:t>.</w:t>
      </w:r>
    </w:p>
    <w:p w14:paraId="2182F509" w14:textId="77777777" w:rsidR="001A5807" w:rsidRPr="009629C1" w:rsidRDefault="001A5807" w:rsidP="00E85D42">
      <w:pPr>
        <w:tabs>
          <w:tab w:val="left" w:pos="492"/>
        </w:tabs>
        <w:spacing w:line="23" w:lineRule="atLeast"/>
        <w:ind w:firstLine="567"/>
        <w:jc w:val="both"/>
        <w:outlineLvl w:val="1"/>
        <w:rPr>
          <w:rFonts w:eastAsia="Arial"/>
          <w:bCs/>
        </w:rPr>
      </w:pPr>
      <w:r>
        <w:rPr>
          <w:rFonts w:eastAsia="Arial"/>
          <w:bCs/>
        </w:rPr>
        <w:tab/>
      </w:r>
      <w:r w:rsidRPr="009629C1">
        <w:rPr>
          <w:rFonts w:eastAsia="Arial"/>
          <w:bCs/>
        </w:rPr>
        <w:t xml:space="preserve">Atsižvelgiant į </w:t>
      </w:r>
      <w:proofErr w:type="spellStart"/>
      <w:r w:rsidRPr="009629C1">
        <w:rPr>
          <w:rFonts w:eastAsia="Arial"/>
          <w:bCs/>
        </w:rPr>
        <w:t>hipogonadotropinio</w:t>
      </w:r>
      <w:proofErr w:type="spellEnd"/>
      <w:r w:rsidRPr="009629C1">
        <w:rPr>
          <w:rFonts w:eastAsia="Arial"/>
          <w:bCs/>
        </w:rPr>
        <w:t xml:space="preserve"> </w:t>
      </w:r>
      <w:proofErr w:type="spellStart"/>
      <w:r w:rsidRPr="009629C1">
        <w:rPr>
          <w:rFonts w:eastAsia="Arial"/>
          <w:bCs/>
        </w:rPr>
        <w:t>hipogonadizmo</w:t>
      </w:r>
      <w:proofErr w:type="spellEnd"/>
      <w:r w:rsidRPr="009629C1">
        <w:rPr>
          <w:rFonts w:eastAsia="Arial"/>
          <w:bCs/>
        </w:rPr>
        <w:t xml:space="preserve"> retumą, klinikinio veiksmingumo įrodymai pagrįsti nedidelės imties </w:t>
      </w:r>
      <w:proofErr w:type="spellStart"/>
      <w:r w:rsidRPr="009629C1">
        <w:rPr>
          <w:rFonts w:eastAsia="Arial"/>
          <w:bCs/>
        </w:rPr>
        <w:t>Corone</w:t>
      </w:r>
      <w:proofErr w:type="spellEnd"/>
      <w:r w:rsidRPr="009629C1">
        <w:rPr>
          <w:rFonts w:eastAsia="Arial"/>
          <w:bCs/>
        </w:rPr>
        <w:t xml:space="preserve"> et. al tyrimu (n=35), kuriame nebuvo atlikti formalūs imties dydžio skaičiavimai. Nors taikyti statistiniai metodai (pvz., t-testas, </w:t>
      </w:r>
      <w:proofErr w:type="spellStart"/>
      <w:r w:rsidRPr="009629C1">
        <w:rPr>
          <w:rFonts w:eastAsia="Arial"/>
          <w:bCs/>
        </w:rPr>
        <w:t>Wilcoxono</w:t>
      </w:r>
      <w:proofErr w:type="spellEnd"/>
      <w:r w:rsidRPr="009629C1">
        <w:rPr>
          <w:rFonts w:eastAsia="Arial"/>
          <w:bCs/>
        </w:rPr>
        <w:t xml:space="preserve"> testas, </w:t>
      </w:r>
      <w:proofErr w:type="spellStart"/>
      <w:r w:rsidRPr="009629C1">
        <w:rPr>
          <w:rFonts w:eastAsia="Arial"/>
          <w:bCs/>
        </w:rPr>
        <w:t>Chi</w:t>
      </w:r>
      <w:proofErr w:type="spellEnd"/>
      <w:r w:rsidRPr="009629C1">
        <w:rPr>
          <w:rFonts w:eastAsia="Arial"/>
          <w:bCs/>
        </w:rPr>
        <w:t xml:space="preserve"> kvadrato testas) buvo tinkami turimiems duomenims, įrodymų patikimumą riboja mažas imties dydis ir tyrimo dizaino apribojimai, būdingi retų ligų tyrimams. Tai laik</w:t>
      </w:r>
      <w:r>
        <w:rPr>
          <w:rFonts w:eastAsia="Arial"/>
          <w:bCs/>
        </w:rPr>
        <w:t xml:space="preserve">yta </w:t>
      </w:r>
      <w:r w:rsidRPr="009629C1">
        <w:rPr>
          <w:rFonts w:eastAsia="Arial"/>
          <w:bCs/>
        </w:rPr>
        <w:t>duomenų neapibrėžtumu.</w:t>
      </w:r>
    </w:p>
    <w:p w14:paraId="37FF1B88" w14:textId="77777777" w:rsidR="001A5807" w:rsidRDefault="001A5807" w:rsidP="00E85D42">
      <w:pPr>
        <w:spacing w:line="23" w:lineRule="atLeast"/>
        <w:ind w:firstLine="567"/>
        <w:jc w:val="both"/>
        <w:outlineLvl w:val="1"/>
        <w:rPr>
          <w:rFonts w:eastAsia="Arial"/>
          <w:bCs/>
        </w:rPr>
      </w:pPr>
      <w:r>
        <w:rPr>
          <w:rFonts w:eastAsia="Arial"/>
          <w:bCs/>
        </w:rPr>
        <w:tab/>
        <w:t>P</w:t>
      </w:r>
      <w:r w:rsidRPr="00DB04EA">
        <w:rPr>
          <w:rFonts w:eastAsia="Arial"/>
          <w:bCs/>
        </w:rPr>
        <w:t xml:space="preserve">agal </w:t>
      </w:r>
      <w:r>
        <w:rPr>
          <w:rFonts w:eastAsia="Arial"/>
          <w:bCs/>
        </w:rPr>
        <w:t>tyrimo</w:t>
      </w:r>
      <w:r w:rsidRPr="00DB04EA">
        <w:rPr>
          <w:rFonts w:eastAsia="Arial"/>
          <w:bCs/>
        </w:rPr>
        <w:t xml:space="preserve"> protokolą pacientės iš pradžių buvo gydomos vieną ciklą (A serija), </w:t>
      </w:r>
      <w:r>
        <w:rPr>
          <w:rFonts w:eastAsia="Arial"/>
          <w:bCs/>
        </w:rPr>
        <w:t xml:space="preserve">o </w:t>
      </w:r>
      <w:r w:rsidRPr="00DB04EA">
        <w:rPr>
          <w:rFonts w:eastAsia="Arial"/>
          <w:bCs/>
        </w:rPr>
        <w:t>kurios nepastojo per pirmąjį ciklą</w:t>
      </w:r>
      <w:r>
        <w:rPr>
          <w:rFonts w:eastAsia="Arial"/>
          <w:bCs/>
        </w:rPr>
        <w:t xml:space="preserve"> galėjo būti gydomos</w:t>
      </w:r>
      <w:r w:rsidRPr="00DB04EA">
        <w:rPr>
          <w:rFonts w:eastAsia="Arial"/>
          <w:bCs/>
        </w:rPr>
        <w:t xml:space="preserve"> dar vieną (B serija) arba dvi (C serija) ciklų serijas, tęsiant tą patį gydymą,</w:t>
      </w:r>
      <w:r>
        <w:rPr>
          <w:rFonts w:eastAsia="Arial"/>
          <w:bCs/>
        </w:rPr>
        <w:t xml:space="preserve"> </w:t>
      </w:r>
      <w:r w:rsidRPr="00DB04EA">
        <w:rPr>
          <w:rFonts w:eastAsia="Arial"/>
          <w:bCs/>
        </w:rPr>
        <w:t>kaip ir ankstesnio ciklo metu.</w:t>
      </w:r>
    </w:p>
    <w:p w14:paraId="50D01243" w14:textId="77777777" w:rsidR="001A5807" w:rsidRDefault="001A5807" w:rsidP="00E85D42">
      <w:pPr>
        <w:spacing w:line="23" w:lineRule="atLeast"/>
        <w:ind w:firstLine="567"/>
        <w:jc w:val="both"/>
        <w:outlineLvl w:val="1"/>
        <w:rPr>
          <w:rFonts w:eastAsia="Arial"/>
          <w:bCs/>
        </w:rPr>
      </w:pPr>
      <w:r>
        <w:rPr>
          <w:rFonts w:eastAsia="Arial"/>
          <w:bCs/>
        </w:rPr>
        <w:tab/>
        <w:t xml:space="preserve">Pirmojo gydymo ciklo metu (A serija), </w:t>
      </w:r>
      <w:r w:rsidRPr="000D471F">
        <w:rPr>
          <w:rFonts w:eastAsia="Arial"/>
          <w:bCs/>
        </w:rPr>
        <w:t>17 pacient</w:t>
      </w:r>
      <w:r>
        <w:rPr>
          <w:rFonts w:eastAsia="Arial"/>
          <w:bCs/>
        </w:rPr>
        <w:t>ų skirtas r-</w:t>
      </w:r>
      <w:proofErr w:type="spellStart"/>
      <w:r>
        <w:rPr>
          <w:rFonts w:eastAsia="Arial"/>
          <w:bCs/>
        </w:rPr>
        <w:t>žFSH</w:t>
      </w:r>
      <w:proofErr w:type="spellEnd"/>
      <w:r>
        <w:rPr>
          <w:rFonts w:eastAsia="Arial"/>
          <w:bCs/>
        </w:rPr>
        <w:t>/r-</w:t>
      </w:r>
      <w:proofErr w:type="spellStart"/>
      <w:r>
        <w:rPr>
          <w:rFonts w:eastAsia="Arial"/>
          <w:bCs/>
        </w:rPr>
        <w:t>žLH</w:t>
      </w:r>
      <w:proofErr w:type="spellEnd"/>
      <w:r>
        <w:rPr>
          <w:rFonts w:eastAsia="Arial"/>
          <w:bCs/>
        </w:rPr>
        <w:t xml:space="preserve"> derinys, </w:t>
      </w:r>
      <w:r w:rsidRPr="000D471F">
        <w:rPr>
          <w:rFonts w:eastAsia="Arial"/>
          <w:bCs/>
        </w:rPr>
        <w:t xml:space="preserve">18 – </w:t>
      </w:r>
      <w:proofErr w:type="spellStart"/>
      <w:r>
        <w:rPr>
          <w:rFonts w:eastAsia="Arial"/>
          <w:bCs/>
        </w:rPr>
        <w:t>žMG</w:t>
      </w:r>
      <w:proofErr w:type="spellEnd"/>
      <w:r>
        <w:rPr>
          <w:rFonts w:eastAsia="Arial"/>
          <w:bCs/>
        </w:rPr>
        <w:t>. R-</w:t>
      </w:r>
      <w:proofErr w:type="spellStart"/>
      <w:r>
        <w:rPr>
          <w:rFonts w:eastAsia="Arial"/>
          <w:bCs/>
        </w:rPr>
        <w:t>žFSH</w:t>
      </w:r>
      <w:proofErr w:type="spellEnd"/>
      <w:r>
        <w:rPr>
          <w:rFonts w:eastAsia="Arial"/>
          <w:bCs/>
        </w:rPr>
        <w:t>/r-</w:t>
      </w:r>
      <w:proofErr w:type="spellStart"/>
      <w:r>
        <w:rPr>
          <w:rFonts w:eastAsia="Arial"/>
          <w:bCs/>
        </w:rPr>
        <w:t>žLH</w:t>
      </w:r>
      <w:proofErr w:type="spellEnd"/>
      <w:r>
        <w:rPr>
          <w:rFonts w:eastAsia="Arial"/>
          <w:bCs/>
        </w:rPr>
        <w:t xml:space="preserve"> deriniu gydytų pacienčių grupėje po pirmojo ciklo </w:t>
      </w:r>
      <w:r w:rsidRPr="000D471F">
        <w:rPr>
          <w:rFonts w:eastAsia="Arial"/>
          <w:bCs/>
        </w:rPr>
        <w:t>10</w:t>
      </w:r>
      <w:r>
        <w:rPr>
          <w:rFonts w:eastAsia="Arial"/>
          <w:bCs/>
        </w:rPr>
        <w:t xml:space="preserve"> pacienčių nustatytas nėštumas, likusios </w:t>
      </w:r>
      <w:r w:rsidRPr="000D471F">
        <w:rPr>
          <w:rFonts w:eastAsia="Arial"/>
          <w:bCs/>
        </w:rPr>
        <w:t>7</w:t>
      </w:r>
      <w:r>
        <w:rPr>
          <w:rFonts w:eastAsia="Arial"/>
          <w:bCs/>
        </w:rPr>
        <w:t xml:space="preserve"> sutiko dalyvauti tolimesniuose gydymo cikluose, ŽMG gydytų pacienčių grupėje - </w:t>
      </w:r>
      <w:r w:rsidRPr="000D471F">
        <w:rPr>
          <w:rFonts w:eastAsia="Arial"/>
          <w:bCs/>
        </w:rPr>
        <w:t>4</w:t>
      </w:r>
      <w:r>
        <w:rPr>
          <w:rFonts w:eastAsia="Arial"/>
          <w:bCs/>
        </w:rPr>
        <w:t xml:space="preserve"> pacientėms diagnozuotas nėštumas, likusios </w:t>
      </w:r>
      <w:r w:rsidRPr="000D471F">
        <w:rPr>
          <w:rFonts w:eastAsia="Arial"/>
          <w:bCs/>
        </w:rPr>
        <w:t xml:space="preserve">14 </w:t>
      </w:r>
      <w:r>
        <w:rPr>
          <w:rFonts w:eastAsia="Arial"/>
          <w:bCs/>
        </w:rPr>
        <w:t xml:space="preserve">sutiko dalyvauti tolimesniuose gydymo cikluose. Antrame gydymo cikle (serija B), iš </w:t>
      </w:r>
      <w:r w:rsidRPr="000D471F">
        <w:rPr>
          <w:rFonts w:eastAsia="Arial"/>
          <w:bCs/>
        </w:rPr>
        <w:t>7</w:t>
      </w:r>
      <w:r>
        <w:rPr>
          <w:rFonts w:eastAsia="Arial"/>
          <w:bCs/>
        </w:rPr>
        <w:t xml:space="preserve"> r-</w:t>
      </w:r>
      <w:proofErr w:type="spellStart"/>
      <w:r>
        <w:rPr>
          <w:rFonts w:eastAsia="Arial"/>
          <w:bCs/>
        </w:rPr>
        <w:t>žFSH</w:t>
      </w:r>
      <w:proofErr w:type="spellEnd"/>
      <w:r>
        <w:rPr>
          <w:rFonts w:eastAsia="Arial"/>
          <w:bCs/>
        </w:rPr>
        <w:t>/r-</w:t>
      </w:r>
      <w:proofErr w:type="spellStart"/>
      <w:r>
        <w:rPr>
          <w:rFonts w:eastAsia="Arial"/>
          <w:bCs/>
        </w:rPr>
        <w:t>žLH</w:t>
      </w:r>
      <w:proofErr w:type="spellEnd"/>
      <w:r>
        <w:rPr>
          <w:rFonts w:eastAsia="Arial"/>
          <w:bCs/>
        </w:rPr>
        <w:t xml:space="preserve"> deriniu gydytų pacienčių </w:t>
      </w:r>
      <w:r w:rsidRPr="000D471F">
        <w:rPr>
          <w:rFonts w:eastAsia="Arial"/>
          <w:bCs/>
        </w:rPr>
        <w:t>4</w:t>
      </w:r>
      <w:r>
        <w:rPr>
          <w:rFonts w:eastAsia="Arial"/>
          <w:bCs/>
        </w:rPr>
        <w:t xml:space="preserve"> nustatytas nėštumas, likusios 3 sutiko dalyvauti trečiame gydymo cikle, o iš </w:t>
      </w:r>
      <w:r w:rsidRPr="000D471F">
        <w:rPr>
          <w:rFonts w:eastAsia="Arial"/>
          <w:bCs/>
        </w:rPr>
        <w:t xml:space="preserve">14 </w:t>
      </w:r>
      <w:r>
        <w:rPr>
          <w:rFonts w:eastAsia="Arial"/>
          <w:bCs/>
        </w:rPr>
        <w:t xml:space="preserve">pacienčių gydytų </w:t>
      </w:r>
      <w:proofErr w:type="spellStart"/>
      <w:r>
        <w:rPr>
          <w:rFonts w:eastAsia="Arial"/>
          <w:bCs/>
        </w:rPr>
        <w:t>žMG</w:t>
      </w:r>
      <w:proofErr w:type="spellEnd"/>
      <w:r>
        <w:rPr>
          <w:rFonts w:eastAsia="Arial"/>
          <w:bCs/>
        </w:rPr>
        <w:t xml:space="preserve">, nėštumas nustatytas </w:t>
      </w:r>
      <w:r w:rsidRPr="000D471F">
        <w:rPr>
          <w:rFonts w:eastAsia="Arial"/>
          <w:bCs/>
        </w:rPr>
        <w:t>3</w:t>
      </w:r>
      <w:r>
        <w:rPr>
          <w:rFonts w:eastAsia="Arial"/>
          <w:bCs/>
        </w:rPr>
        <w:t xml:space="preserve"> pacientėms, o </w:t>
      </w:r>
      <w:r w:rsidRPr="000D471F">
        <w:rPr>
          <w:rFonts w:eastAsia="Arial"/>
          <w:bCs/>
        </w:rPr>
        <w:t>11</w:t>
      </w:r>
      <w:r>
        <w:rPr>
          <w:rFonts w:eastAsia="Arial"/>
          <w:bCs/>
        </w:rPr>
        <w:t xml:space="preserve"> likusių sutiko dalyvauti trečiame gydymo cikle. Bendroje analizėje analizuoti </w:t>
      </w:r>
      <w:r w:rsidRPr="000D471F">
        <w:rPr>
          <w:rFonts w:eastAsia="Arial"/>
          <w:bCs/>
        </w:rPr>
        <w:t>17</w:t>
      </w:r>
      <w:r>
        <w:rPr>
          <w:rFonts w:eastAsia="Arial"/>
          <w:bCs/>
        </w:rPr>
        <w:t xml:space="preserve"> r-</w:t>
      </w:r>
      <w:proofErr w:type="spellStart"/>
      <w:r>
        <w:rPr>
          <w:rFonts w:eastAsia="Arial"/>
          <w:bCs/>
        </w:rPr>
        <w:t>žFSH</w:t>
      </w:r>
      <w:proofErr w:type="spellEnd"/>
      <w:r>
        <w:rPr>
          <w:rFonts w:eastAsia="Arial"/>
          <w:bCs/>
        </w:rPr>
        <w:t>/r-</w:t>
      </w:r>
      <w:proofErr w:type="spellStart"/>
      <w:r>
        <w:rPr>
          <w:rFonts w:eastAsia="Arial"/>
          <w:bCs/>
        </w:rPr>
        <w:t>žLH</w:t>
      </w:r>
      <w:proofErr w:type="spellEnd"/>
      <w:r>
        <w:rPr>
          <w:rFonts w:eastAsia="Arial"/>
          <w:bCs/>
        </w:rPr>
        <w:t xml:space="preserve"> deriniu gydytų </w:t>
      </w:r>
      <w:r w:rsidRPr="000D471F">
        <w:rPr>
          <w:rFonts w:eastAsia="Arial"/>
          <w:bCs/>
        </w:rPr>
        <w:t>pacien</w:t>
      </w:r>
      <w:r>
        <w:rPr>
          <w:rFonts w:eastAsia="Arial"/>
          <w:bCs/>
        </w:rPr>
        <w:t xml:space="preserve">čių ir jų </w:t>
      </w:r>
      <w:r w:rsidRPr="000D471F">
        <w:rPr>
          <w:rFonts w:eastAsia="Arial"/>
          <w:bCs/>
        </w:rPr>
        <w:t>27 ciklų duomenys</w:t>
      </w:r>
      <w:r>
        <w:rPr>
          <w:rFonts w:eastAsia="Arial"/>
          <w:bCs/>
        </w:rPr>
        <w:t xml:space="preserve"> bei </w:t>
      </w:r>
      <w:r w:rsidRPr="0098626E">
        <w:rPr>
          <w:rFonts w:eastAsia="Arial"/>
          <w:bCs/>
        </w:rPr>
        <w:t xml:space="preserve">18 </w:t>
      </w:r>
      <w:proofErr w:type="spellStart"/>
      <w:r>
        <w:rPr>
          <w:rFonts w:eastAsia="Arial"/>
          <w:bCs/>
        </w:rPr>
        <w:t>žMG</w:t>
      </w:r>
      <w:proofErr w:type="spellEnd"/>
      <w:r>
        <w:rPr>
          <w:rFonts w:eastAsia="Arial"/>
          <w:bCs/>
        </w:rPr>
        <w:t xml:space="preserve"> gydytų pacienčių ir jų </w:t>
      </w:r>
      <w:r w:rsidRPr="0098626E">
        <w:rPr>
          <w:rFonts w:eastAsia="Arial"/>
          <w:bCs/>
        </w:rPr>
        <w:t>43</w:t>
      </w:r>
      <w:r>
        <w:rPr>
          <w:rFonts w:eastAsia="Arial"/>
          <w:bCs/>
        </w:rPr>
        <w:t xml:space="preserve"> ciklų duomenys. </w:t>
      </w:r>
      <w:r w:rsidRPr="000D471F">
        <w:rPr>
          <w:rFonts w:eastAsia="Arial"/>
          <w:bCs/>
        </w:rPr>
        <w:t xml:space="preserve"> </w:t>
      </w:r>
    </w:p>
    <w:p w14:paraId="595976B8" w14:textId="77777777" w:rsidR="001A5807" w:rsidRDefault="001A5807" w:rsidP="00E85D42">
      <w:pPr>
        <w:spacing w:line="23" w:lineRule="atLeast"/>
        <w:ind w:firstLine="567"/>
        <w:jc w:val="both"/>
        <w:outlineLvl w:val="1"/>
        <w:rPr>
          <w:rFonts w:eastAsia="Arial"/>
          <w:bCs/>
        </w:rPr>
      </w:pPr>
      <w:r>
        <w:rPr>
          <w:rFonts w:eastAsia="Arial"/>
          <w:bCs/>
        </w:rPr>
        <w:tab/>
      </w:r>
      <w:r w:rsidRPr="00247640">
        <w:rPr>
          <w:rFonts w:eastAsia="Arial"/>
          <w:bCs/>
        </w:rPr>
        <w:t xml:space="preserve">Visoms pacientėms HH diagnozuotas remiantis neigiamu P4 provokaciniu testu, serumo LH &lt; 1,2 TV/l ir FSH &lt; 5 TV/l. Daugumai pacienčių buvo nustatyta pirminė amenorėja (85,7 </w:t>
      </w:r>
      <w:r>
        <w:rPr>
          <w:rFonts w:eastAsia="Arial"/>
          <w:bCs/>
        </w:rPr>
        <w:t>proc.</w:t>
      </w:r>
      <w:r w:rsidRPr="00247640">
        <w:rPr>
          <w:rFonts w:eastAsia="Arial"/>
          <w:bCs/>
        </w:rPr>
        <w:t xml:space="preserve">), o 5 </w:t>
      </w:r>
      <w:r w:rsidRPr="00247640">
        <w:rPr>
          <w:rFonts w:eastAsia="Arial"/>
          <w:bCs/>
        </w:rPr>
        <w:lastRenderedPageBreak/>
        <w:t xml:space="preserve">pacientėms (14,3 </w:t>
      </w:r>
      <w:r>
        <w:rPr>
          <w:rFonts w:eastAsia="Arial"/>
          <w:bCs/>
        </w:rPr>
        <w:t>proc.</w:t>
      </w:r>
      <w:r w:rsidRPr="00247640">
        <w:rPr>
          <w:rFonts w:eastAsia="Arial"/>
          <w:bCs/>
        </w:rPr>
        <w:t>) – antrinė amenorėja</w:t>
      </w:r>
      <w:r>
        <w:rPr>
          <w:rFonts w:eastAsia="Arial"/>
          <w:bCs/>
        </w:rPr>
        <w:t xml:space="preserve">. </w:t>
      </w:r>
      <w:r w:rsidRPr="00247640">
        <w:rPr>
          <w:rFonts w:eastAsia="Arial"/>
          <w:bCs/>
        </w:rPr>
        <w:t xml:space="preserve">Nevaisingumas buvo pirminis 31 iš 35 pacienčių (85,7 </w:t>
      </w:r>
      <w:r>
        <w:rPr>
          <w:rFonts w:eastAsia="Arial"/>
          <w:bCs/>
        </w:rPr>
        <w:t>proc.</w:t>
      </w:r>
      <w:r w:rsidRPr="00247640">
        <w:rPr>
          <w:rFonts w:eastAsia="Arial"/>
          <w:bCs/>
        </w:rPr>
        <w:t xml:space="preserve">) norinčių pastoti ir antrinis 4 iš jų. Pirminio ir antrinio nevaisingumo pacienčių nevaisingumo trukmė atitinkamai svyravo nuo 2 iki 5 metų ir nuo 1 iki 3 metų. </w:t>
      </w:r>
      <w:r>
        <w:rPr>
          <w:rFonts w:eastAsia="Arial"/>
          <w:bCs/>
        </w:rPr>
        <w:t>Pagal pradines charakteristikas palyginamosios grupės panašios (p&gt;0,0</w:t>
      </w:r>
      <w:r w:rsidRPr="009629C1">
        <w:rPr>
          <w:rFonts w:eastAsia="Arial"/>
          <w:bCs/>
        </w:rPr>
        <w:t>5</w:t>
      </w:r>
      <w:r>
        <w:rPr>
          <w:rFonts w:eastAsia="Arial"/>
          <w:bCs/>
        </w:rPr>
        <w:t>).</w:t>
      </w:r>
    </w:p>
    <w:p w14:paraId="582C5DA3" w14:textId="77777777" w:rsidR="001A5807" w:rsidRDefault="001A5807" w:rsidP="00E85D42">
      <w:pPr>
        <w:spacing w:line="23" w:lineRule="atLeast"/>
        <w:ind w:firstLine="567"/>
        <w:jc w:val="both"/>
        <w:outlineLvl w:val="1"/>
        <w:rPr>
          <w:rFonts w:eastAsia="Arial"/>
          <w:bCs/>
        </w:rPr>
      </w:pPr>
      <w:r w:rsidRPr="009629C1">
        <w:rPr>
          <w:rFonts w:eastAsia="Arial"/>
          <w:bCs/>
        </w:rPr>
        <w:t xml:space="preserve">Pareiškėjas nepateikė informacijos apie </w:t>
      </w:r>
      <w:proofErr w:type="spellStart"/>
      <w:r w:rsidRPr="009629C1">
        <w:rPr>
          <w:rFonts w:eastAsia="Arial"/>
          <w:bCs/>
        </w:rPr>
        <w:t>Corone</w:t>
      </w:r>
      <w:proofErr w:type="spellEnd"/>
      <w:r w:rsidRPr="009629C1">
        <w:rPr>
          <w:rFonts w:eastAsia="Arial"/>
          <w:bCs/>
        </w:rPr>
        <w:t xml:space="preserve"> et. al tyrime taikytų pagalbinio apvaisinimo būdų pasiskirstymą ir/ar dalies pacienčių, kurios po ovuliacijos pastojo natūraliai. Tai laikoma duomenų neapibrėžtumu, galinčiu daryti įtaką klinikinio veiksmingumo rezultatams.</w:t>
      </w:r>
    </w:p>
    <w:p w14:paraId="39112C87" w14:textId="77777777" w:rsidR="001A5807" w:rsidRDefault="001A5807" w:rsidP="00E85D42">
      <w:pPr>
        <w:spacing w:line="23" w:lineRule="atLeast"/>
        <w:ind w:firstLine="567"/>
        <w:jc w:val="both"/>
        <w:outlineLvl w:val="1"/>
        <w:rPr>
          <w:rFonts w:eastAsia="Arial"/>
          <w:bCs/>
        </w:rPr>
      </w:pPr>
    </w:p>
    <w:p w14:paraId="62E6099D" w14:textId="77777777" w:rsidR="001A5807" w:rsidRPr="00071FE6" w:rsidRDefault="001A5807" w:rsidP="00E85D42">
      <w:pPr>
        <w:spacing w:line="23" w:lineRule="atLeast"/>
        <w:ind w:firstLine="567"/>
        <w:jc w:val="both"/>
        <w:outlineLvl w:val="1"/>
        <w:rPr>
          <w:rFonts w:eastAsia="Arial"/>
          <w:bCs/>
        </w:rPr>
      </w:pPr>
      <w:r>
        <w:rPr>
          <w:rFonts w:eastAsia="Arial"/>
          <w:b/>
          <w:i/>
          <w:iCs/>
        </w:rPr>
        <w:tab/>
      </w:r>
      <w:r w:rsidRPr="00071FE6">
        <w:rPr>
          <w:rFonts w:eastAsia="Arial"/>
          <w:bCs/>
          <w:i/>
          <w:iCs/>
        </w:rPr>
        <w:t>Palyginamojo veiksmingumo rezultatai</w:t>
      </w:r>
    </w:p>
    <w:p w14:paraId="10DE88EE" w14:textId="3F41ABF9" w:rsidR="001A5807" w:rsidRDefault="001A5807" w:rsidP="00E85D42">
      <w:pPr>
        <w:tabs>
          <w:tab w:val="left" w:pos="492"/>
        </w:tabs>
        <w:spacing w:line="23" w:lineRule="atLeast"/>
        <w:ind w:firstLine="567"/>
        <w:jc w:val="both"/>
        <w:outlineLvl w:val="1"/>
        <w:rPr>
          <w:rFonts w:eastAsia="Arial"/>
          <w:bCs/>
        </w:rPr>
      </w:pPr>
      <w:r>
        <w:rPr>
          <w:rFonts w:eastAsia="Arial"/>
          <w:bCs/>
        </w:rPr>
        <w:tab/>
      </w:r>
      <w:r>
        <w:rPr>
          <w:rFonts w:eastAsia="Arial"/>
          <w:bCs/>
        </w:rPr>
        <w:tab/>
        <w:t>Pirminę vertinamąją baigtį</w:t>
      </w:r>
      <w:r w:rsidRPr="000B4BAE">
        <w:rPr>
          <w:rFonts w:eastAsia="Arial"/>
          <w:bCs/>
        </w:rPr>
        <w:t xml:space="preserve"> </w:t>
      </w:r>
      <w:r>
        <w:rPr>
          <w:rFonts w:eastAsia="Arial"/>
          <w:bCs/>
        </w:rPr>
        <w:t xml:space="preserve">pirmojo ciklo metu </w:t>
      </w:r>
      <w:r w:rsidRPr="000B4BAE">
        <w:rPr>
          <w:rFonts w:eastAsia="Arial"/>
          <w:bCs/>
        </w:rPr>
        <w:t>(</w:t>
      </w:r>
      <w:proofErr w:type="spellStart"/>
      <w:r>
        <w:rPr>
          <w:rFonts w:eastAsia="Arial"/>
          <w:bCs/>
        </w:rPr>
        <w:t>t.y</w:t>
      </w:r>
      <w:proofErr w:type="spellEnd"/>
      <w:r>
        <w:rPr>
          <w:rFonts w:eastAsia="Arial"/>
          <w:bCs/>
        </w:rPr>
        <w:t xml:space="preserve">. </w:t>
      </w:r>
      <w:r w:rsidRPr="000B4BAE">
        <w:rPr>
          <w:rFonts w:eastAsia="Arial"/>
          <w:bCs/>
        </w:rPr>
        <w:t xml:space="preserve">≥1 folikulas ≥17 mm; E2 ≥400 </w:t>
      </w:r>
      <w:proofErr w:type="spellStart"/>
      <w:r w:rsidRPr="000B4BAE">
        <w:rPr>
          <w:rFonts w:eastAsia="Arial"/>
          <w:bCs/>
        </w:rPr>
        <w:t>pmol</w:t>
      </w:r>
      <w:proofErr w:type="spellEnd"/>
      <w:r w:rsidRPr="000B4BAE">
        <w:rPr>
          <w:rFonts w:eastAsia="Arial"/>
          <w:bCs/>
        </w:rPr>
        <w:t xml:space="preserve">/l; vidurinė </w:t>
      </w:r>
      <w:proofErr w:type="spellStart"/>
      <w:r w:rsidRPr="000B4BAE">
        <w:rPr>
          <w:rFonts w:eastAsia="Arial"/>
          <w:bCs/>
        </w:rPr>
        <w:t>liuteininė</w:t>
      </w:r>
      <w:proofErr w:type="spellEnd"/>
      <w:r w:rsidRPr="000B4BAE">
        <w:rPr>
          <w:rFonts w:eastAsia="Arial"/>
          <w:bCs/>
        </w:rPr>
        <w:t xml:space="preserve"> fazė</w:t>
      </w:r>
      <w:r>
        <w:rPr>
          <w:rFonts w:eastAsia="Arial"/>
          <w:bCs/>
        </w:rPr>
        <w:t xml:space="preserve"> </w:t>
      </w:r>
      <w:r w:rsidRPr="000B4BAE">
        <w:rPr>
          <w:rFonts w:eastAsia="Arial"/>
          <w:bCs/>
        </w:rPr>
        <w:t xml:space="preserve">P4 ≥25 </w:t>
      </w:r>
      <w:proofErr w:type="spellStart"/>
      <w:r w:rsidRPr="000B4BAE">
        <w:rPr>
          <w:rFonts w:eastAsia="Arial"/>
          <w:bCs/>
        </w:rPr>
        <w:t>nmol</w:t>
      </w:r>
      <w:proofErr w:type="spellEnd"/>
      <w:r w:rsidRPr="000B4BAE">
        <w:rPr>
          <w:rFonts w:eastAsia="Arial"/>
          <w:bCs/>
        </w:rPr>
        <w:t xml:space="preserve">/l) </w:t>
      </w:r>
      <w:r>
        <w:rPr>
          <w:rFonts w:eastAsia="Arial"/>
          <w:bCs/>
        </w:rPr>
        <w:t>pasiekė</w:t>
      </w:r>
      <w:r w:rsidRPr="000B4BAE">
        <w:rPr>
          <w:rFonts w:eastAsia="Arial"/>
          <w:bCs/>
        </w:rPr>
        <w:t xml:space="preserve"> 76 </w:t>
      </w:r>
      <w:r>
        <w:rPr>
          <w:rFonts w:eastAsia="Arial"/>
          <w:bCs/>
        </w:rPr>
        <w:t>proc.</w:t>
      </w:r>
      <w:r w:rsidRPr="000B4BAE">
        <w:rPr>
          <w:rFonts w:eastAsia="Arial"/>
          <w:bCs/>
        </w:rPr>
        <w:t xml:space="preserve"> (13</w:t>
      </w:r>
      <w:r>
        <w:rPr>
          <w:rFonts w:eastAsia="Arial"/>
          <w:bCs/>
        </w:rPr>
        <w:t xml:space="preserve"> iš </w:t>
      </w:r>
      <w:r w:rsidRPr="000B4BAE">
        <w:rPr>
          <w:rFonts w:eastAsia="Arial"/>
          <w:bCs/>
        </w:rPr>
        <w:t>18) r-</w:t>
      </w:r>
      <w:proofErr w:type="spellStart"/>
      <w:r>
        <w:rPr>
          <w:rFonts w:eastAsia="Arial"/>
          <w:bCs/>
        </w:rPr>
        <w:t>ž</w:t>
      </w:r>
      <w:r w:rsidRPr="000B4BAE">
        <w:rPr>
          <w:rFonts w:eastAsia="Arial"/>
          <w:bCs/>
        </w:rPr>
        <w:t>FSH</w:t>
      </w:r>
      <w:proofErr w:type="spellEnd"/>
      <w:r w:rsidRPr="000B4BAE">
        <w:rPr>
          <w:rFonts w:eastAsia="Arial"/>
          <w:bCs/>
        </w:rPr>
        <w:t>/r-</w:t>
      </w:r>
      <w:proofErr w:type="spellStart"/>
      <w:r>
        <w:rPr>
          <w:rFonts w:eastAsia="Arial"/>
          <w:bCs/>
        </w:rPr>
        <w:t>ž</w:t>
      </w:r>
      <w:r w:rsidRPr="000B4BAE">
        <w:rPr>
          <w:rFonts w:eastAsia="Arial"/>
          <w:bCs/>
        </w:rPr>
        <w:t>LH</w:t>
      </w:r>
      <w:proofErr w:type="spellEnd"/>
      <w:r>
        <w:rPr>
          <w:rFonts w:eastAsia="Arial"/>
          <w:bCs/>
        </w:rPr>
        <w:t xml:space="preserve"> derinių gydytų pacienčių ir </w:t>
      </w:r>
      <w:r w:rsidRPr="000B4BAE">
        <w:rPr>
          <w:rFonts w:eastAsia="Arial"/>
          <w:bCs/>
        </w:rPr>
        <w:t xml:space="preserve">72 </w:t>
      </w:r>
      <w:r>
        <w:rPr>
          <w:rFonts w:eastAsia="Arial"/>
          <w:bCs/>
        </w:rPr>
        <w:t xml:space="preserve">proc. </w:t>
      </w:r>
      <w:r w:rsidRPr="000B4BAE">
        <w:rPr>
          <w:rFonts w:eastAsia="Arial"/>
          <w:bCs/>
        </w:rPr>
        <w:t>(13</w:t>
      </w:r>
      <w:r>
        <w:rPr>
          <w:rFonts w:eastAsia="Arial"/>
          <w:bCs/>
        </w:rPr>
        <w:t xml:space="preserve"> iš </w:t>
      </w:r>
      <w:r w:rsidRPr="000B4BAE">
        <w:rPr>
          <w:rFonts w:eastAsia="Arial"/>
          <w:bCs/>
        </w:rPr>
        <w:t>17)</w:t>
      </w:r>
      <w:r>
        <w:rPr>
          <w:rFonts w:eastAsia="Arial"/>
          <w:bCs/>
        </w:rPr>
        <w:t xml:space="preserve"> </w:t>
      </w:r>
      <w:proofErr w:type="spellStart"/>
      <w:r>
        <w:rPr>
          <w:rFonts w:eastAsia="Arial"/>
          <w:bCs/>
        </w:rPr>
        <w:t>žMG</w:t>
      </w:r>
      <w:proofErr w:type="spellEnd"/>
      <w:r>
        <w:rPr>
          <w:rFonts w:eastAsia="Arial"/>
          <w:bCs/>
        </w:rPr>
        <w:t xml:space="preserve"> gydytų pacienčių </w:t>
      </w:r>
      <w:r w:rsidRPr="000B4BAE">
        <w:rPr>
          <w:rFonts w:eastAsia="Arial"/>
          <w:bCs/>
        </w:rPr>
        <w:t>(p = 0,77).</w:t>
      </w:r>
      <w:r>
        <w:rPr>
          <w:rFonts w:eastAsia="Arial"/>
          <w:bCs/>
        </w:rPr>
        <w:t xml:space="preserve"> </w:t>
      </w:r>
      <w:r w:rsidRPr="000B4BAE">
        <w:rPr>
          <w:rFonts w:eastAsia="Arial"/>
          <w:bCs/>
        </w:rPr>
        <w:t>Antroj</w:t>
      </w:r>
      <w:r>
        <w:rPr>
          <w:rFonts w:eastAsia="Arial"/>
          <w:bCs/>
        </w:rPr>
        <w:t>o</w:t>
      </w:r>
      <w:r w:rsidRPr="000B4BAE">
        <w:rPr>
          <w:rFonts w:eastAsia="Arial"/>
          <w:bCs/>
        </w:rPr>
        <w:t xml:space="preserve"> cikl</w:t>
      </w:r>
      <w:r>
        <w:rPr>
          <w:rFonts w:eastAsia="Arial"/>
          <w:bCs/>
        </w:rPr>
        <w:t>o metu</w:t>
      </w:r>
      <w:r w:rsidRPr="000B4BAE">
        <w:rPr>
          <w:rFonts w:eastAsia="Arial"/>
          <w:bCs/>
        </w:rPr>
        <w:t xml:space="preserve"> </w:t>
      </w:r>
      <w:r>
        <w:rPr>
          <w:rFonts w:eastAsia="Arial"/>
          <w:bCs/>
        </w:rPr>
        <w:t xml:space="preserve">visos </w:t>
      </w:r>
      <w:r w:rsidRPr="000B4BAE">
        <w:rPr>
          <w:rFonts w:eastAsia="Arial"/>
          <w:bCs/>
        </w:rPr>
        <w:t>14 pacie</w:t>
      </w:r>
      <w:r>
        <w:rPr>
          <w:rFonts w:eastAsia="Arial"/>
          <w:bCs/>
        </w:rPr>
        <w:t>nčių</w:t>
      </w:r>
      <w:r w:rsidRPr="000B4BAE">
        <w:rPr>
          <w:rFonts w:eastAsia="Arial"/>
          <w:bCs/>
        </w:rPr>
        <w:t xml:space="preserve"> atitiko pirmin</w:t>
      </w:r>
      <w:r>
        <w:rPr>
          <w:rFonts w:eastAsia="Arial"/>
          <w:bCs/>
        </w:rPr>
        <w:t>ę</w:t>
      </w:r>
      <w:r w:rsidRPr="000B4BAE">
        <w:rPr>
          <w:rFonts w:eastAsia="Arial"/>
          <w:bCs/>
        </w:rPr>
        <w:t xml:space="preserve"> vertinamąj</w:t>
      </w:r>
      <w:r>
        <w:rPr>
          <w:rFonts w:eastAsia="Arial"/>
          <w:bCs/>
        </w:rPr>
        <w:t>ą</w:t>
      </w:r>
      <w:r w:rsidRPr="000B4BAE">
        <w:rPr>
          <w:rFonts w:eastAsia="Arial"/>
          <w:bCs/>
        </w:rPr>
        <w:t xml:space="preserve"> baigtį, palyginti su 71 </w:t>
      </w:r>
      <w:r>
        <w:rPr>
          <w:rFonts w:eastAsia="Arial"/>
          <w:bCs/>
        </w:rPr>
        <w:t>proc.</w:t>
      </w:r>
      <w:r w:rsidRPr="000B4BAE">
        <w:rPr>
          <w:rFonts w:eastAsia="Arial"/>
          <w:bCs/>
        </w:rPr>
        <w:t xml:space="preserve"> r-</w:t>
      </w:r>
      <w:proofErr w:type="spellStart"/>
      <w:r>
        <w:rPr>
          <w:rFonts w:eastAsia="Arial"/>
          <w:bCs/>
        </w:rPr>
        <w:t>ž</w:t>
      </w:r>
      <w:r w:rsidRPr="000B4BAE">
        <w:rPr>
          <w:rFonts w:eastAsia="Arial"/>
          <w:bCs/>
        </w:rPr>
        <w:t>FSH</w:t>
      </w:r>
      <w:proofErr w:type="spellEnd"/>
      <w:r w:rsidRPr="000B4BAE">
        <w:rPr>
          <w:rFonts w:eastAsia="Arial"/>
          <w:bCs/>
        </w:rPr>
        <w:t>/r-</w:t>
      </w:r>
      <w:proofErr w:type="spellStart"/>
      <w:r>
        <w:rPr>
          <w:rFonts w:eastAsia="Arial"/>
          <w:bCs/>
        </w:rPr>
        <w:t>ž</w:t>
      </w:r>
      <w:r w:rsidRPr="000B4BAE">
        <w:rPr>
          <w:rFonts w:eastAsia="Arial"/>
          <w:bCs/>
        </w:rPr>
        <w:t>LH</w:t>
      </w:r>
      <w:proofErr w:type="spellEnd"/>
      <w:r w:rsidRPr="000B4BAE">
        <w:rPr>
          <w:rFonts w:eastAsia="Arial"/>
          <w:bCs/>
        </w:rPr>
        <w:t xml:space="preserve"> grupės pacientų</w:t>
      </w:r>
      <w:r>
        <w:rPr>
          <w:rFonts w:eastAsia="Arial"/>
          <w:bCs/>
        </w:rPr>
        <w:t xml:space="preserve"> </w:t>
      </w:r>
      <w:r w:rsidRPr="000B4BAE">
        <w:rPr>
          <w:rFonts w:eastAsia="Arial"/>
          <w:bCs/>
        </w:rPr>
        <w:t xml:space="preserve">(p = 0,188). </w:t>
      </w:r>
      <w:r>
        <w:rPr>
          <w:rFonts w:eastAsia="Arial"/>
          <w:bCs/>
        </w:rPr>
        <w:t>T</w:t>
      </w:r>
      <w:r w:rsidRPr="000B4BAE">
        <w:rPr>
          <w:rFonts w:eastAsia="Arial"/>
          <w:bCs/>
        </w:rPr>
        <w:t>reči</w:t>
      </w:r>
      <w:r>
        <w:rPr>
          <w:rFonts w:eastAsia="Arial"/>
          <w:bCs/>
        </w:rPr>
        <w:t>ame gydymo cikle</w:t>
      </w:r>
      <w:r w:rsidRPr="000B4BAE">
        <w:rPr>
          <w:rFonts w:eastAsia="Arial"/>
          <w:bCs/>
        </w:rPr>
        <w:t xml:space="preserve">, visi </w:t>
      </w:r>
      <w:proofErr w:type="spellStart"/>
      <w:r>
        <w:rPr>
          <w:rFonts w:eastAsia="Arial"/>
          <w:bCs/>
        </w:rPr>
        <w:t>ž</w:t>
      </w:r>
      <w:r w:rsidRPr="000B4BAE">
        <w:rPr>
          <w:rFonts w:eastAsia="Arial"/>
          <w:bCs/>
        </w:rPr>
        <w:t>MG</w:t>
      </w:r>
      <w:proofErr w:type="spellEnd"/>
      <w:r w:rsidRPr="000B4BAE">
        <w:rPr>
          <w:rFonts w:eastAsia="Arial"/>
          <w:bCs/>
        </w:rPr>
        <w:t xml:space="preserve"> gydyti pacientai</w:t>
      </w:r>
      <w:r>
        <w:rPr>
          <w:rFonts w:eastAsia="Arial"/>
          <w:bCs/>
        </w:rPr>
        <w:t xml:space="preserve"> (n=11)</w:t>
      </w:r>
      <w:r w:rsidRPr="000B4BAE">
        <w:rPr>
          <w:rFonts w:eastAsia="Arial"/>
          <w:bCs/>
        </w:rPr>
        <w:t xml:space="preserve"> ir </w:t>
      </w:r>
      <w:r w:rsidRPr="00EC5086">
        <w:rPr>
          <w:rFonts w:eastAsia="Arial"/>
          <w:bCs/>
        </w:rPr>
        <w:t>1</w:t>
      </w:r>
      <w:r>
        <w:rPr>
          <w:rFonts w:eastAsia="Arial"/>
          <w:bCs/>
        </w:rPr>
        <w:t xml:space="preserve"> </w:t>
      </w:r>
      <w:r w:rsidRPr="000B4BAE">
        <w:rPr>
          <w:rFonts w:eastAsia="Arial"/>
          <w:bCs/>
        </w:rPr>
        <w:t xml:space="preserve">pacientas iš 3 (33 </w:t>
      </w:r>
      <w:r>
        <w:rPr>
          <w:rFonts w:eastAsia="Arial"/>
          <w:bCs/>
        </w:rPr>
        <w:t>proc.</w:t>
      </w:r>
      <w:r w:rsidRPr="000B4BAE">
        <w:rPr>
          <w:rFonts w:eastAsia="Arial"/>
          <w:bCs/>
        </w:rPr>
        <w:t xml:space="preserve">) </w:t>
      </w:r>
      <w:r>
        <w:rPr>
          <w:rFonts w:eastAsia="Arial"/>
          <w:bCs/>
        </w:rPr>
        <w:t>r-</w:t>
      </w:r>
      <w:proofErr w:type="spellStart"/>
      <w:r>
        <w:rPr>
          <w:rFonts w:eastAsia="Arial"/>
          <w:bCs/>
        </w:rPr>
        <w:t>žFSH</w:t>
      </w:r>
      <w:proofErr w:type="spellEnd"/>
      <w:r>
        <w:rPr>
          <w:rFonts w:eastAsia="Arial"/>
          <w:bCs/>
        </w:rPr>
        <w:t>/r-</w:t>
      </w:r>
      <w:proofErr w:type="spellStart"/>
      <w:r>
        <w:rPr>
          <w:rFonts w:eastAsia="Arial"/>
          <w:bCs/>
        </w:rPr>
        <w:t>žLH</w:t>
      </w:r>
      <w:proofErr w:type="spellEnd"/>
      <w:r>
        <w:rPr>
          <w:rFonts w:eastAsia="Arial"/>
          <w:bCs/>
        </w:rPr>
        <w:t xml:space="preserve"> </w:t>
      </w:r>
      <w:r w:rsidRPr="000B4BAE">
        <w:rPr>
          <w:rFonts w:eastAsia="Arial"/>
          <w:bCs/>
        </w:rPr>
        <w:t>grupėje (p = 0,046) pasiekė pirminį vertinamą</w:t>
      </w:r>
      <w:r>
        <w:rPr>
          <w:rFonts w:eastAsia="Arial"/>
          <w:bCs/>
        </w:rPr>
        <w:t>ją baigtį</w:t>
      </w:r>
      <w:r w:rsidRPr="000B4BAE">
        <w:rPr>
          <w:rFonts w:eastAsia="Arial"/>
          <w:bCs/>
        </w:rPr>
        <w:t>.</w:t>
      </w:r>
      <w:r>
        <w:rPr>
          <w:rFonts w:eastAsia="Arial"/>
          <w:bCs/>
        </w:rPr>
        <w:t xml:space="preserve"> </w:t>
      </w:r>
      <w:r w:rsidRPr="000B4BAE">
        <w:rPr>
          <w:rFonts w:eastAsia="Arial"/>
          <w:bCs/>
        </w:rPr>
        <w:t xml:space="preserve">Atsižvelgiant į bendrą 70 ciklų skaičių, 70 </w:t>
      </w:r>
      <w:r>
        <w:rPr>
          <w:rFonts w:eastAsia="Arial"/>
          <w:bCs/>
        </w:rPr>
        <w:t>proc.</w:t>
      </w:r>
      <w:r w:rsidRPr="000B4BAE">
        <w:rPr>
          <w:rFonts w:eastAsia="Arial"/>
          <w:bCs/>
        </w:rPr>
        <w:t xml:space="preserve"> r</w:t>
      </w:r>
      <w:r>
        <w:rPr>
          <w:rFonts w:eastAsia="Arial"/>
          <w:bCs/>
        </w:rPr>
        <w:t>-</w:t>
      </w:r>
      <w:proofErr w:type="spellStart"/>
      <w:r>
        <w:rPr>
          <w:rFonts w:eastAsia="Arial"/>
          <w:bCs/>
        </w:rPr>
        <w:t>ž</w:t>
      </w:r>
      <w:r w:rsidRPr="000B4BAE">
        <w:rPr>
          <w:rFonts w:eastAsia="Arial"/>
          <w:bCs/>
        </w:rPr>
        <w:t>FSH</w:t>
      </w:r>
      <w:proofErr w:type="spellEnd"/>
      <w:r w:rsidRPr="000B4BAE">
        <w:rPr>
          <w:rFonts w:eastAsia="Arial"/>
          <w:bCs/>
        </w:rPr>
        <w:t>/r-</w:t>
      </w:r>
      <w:proofErr w:type="spellStart"/>
      <w:r>
        <w:rPr>
          <w:rFonts w:eastAsia="Arial"/>
          <w:bCs/>
        </w:rPr>
        <w:t>ž</w:t>
      </w:r>
      <w:r w:rsidRPr="000B4BAE">
        <w:rPr>
          <w:rFonts w:eastAsia="Arial"/>
          <w:bCs/>
        </w:rPr>
        <w:t>LH</w:t>
      </w:r>
      <w:proofErr w:type="spellEnd"/>
      <w:r w:rsidRPr="000B4BAE">
        <w:rPr>
          <w:rFonts w:eastAsia="Arial"/>
          <w:bCs/>
        </w:rPr>
        <w:t xml:space="preserve"> gydytų pacientų pasiekė pirminį vertinamąjį tašką,</w:t>
      </w:r>
      <w:r>
        <w:rPr>
          <w:rFonts w:eastAsia="Arial"/>
          <w:bCs/>
        </w:rPr>
        <w:t xml:space="preserve"> </w:t>
      </w:r>
      <w:r w:rsidRPr="000B4BAE">
        <w:rPr>
          <w:rFonts w:eastAsia="Arial"/>
          <w:bCs/>
        </w:rPr>
        <w:t xml:space="preserve">palyginti su 88 </w:t>
      </w:r>
      <w:r>
        <w:rPr>
          <w:rFonts w:eastAsia="Arial"/>
          <w:bCs/>
        </w:rPr>
        <w:t>proc.</w:t>
      </w:r>
      <w:r w:rsidRPr="000B4BAE">
        <w:rPr>
          <w:rFonts w:eastAsia="Arial"/>
          <w:bCs/>
        </w:rPr>
        <w:t xml:space="preserve"> </w:t>
      </w:r>
      <w:proofErr w:type="spellStart"/>
      <w:r>
        <w:rPr>
          <w:rFonts w:eastAsia="Arial"/>
          <w:bCs/>
        </w:rPr>
        <w:t>ž</w:t>
      </w:r>
      <w:r w:rsidRPr="000B4BAE">
        <w:rPr>
          <w:rFonts w:eastAsia="Arial"/>
          <w:bCs/>
        </w:rPr>
        <w:t>MG</w:t>
      </w:r>
      <w:proofErr w:type="spellEnd"/>
      <w:r w:rsidRPr="000B4BAE">
        <w:rPr>
          <w:rFonts w:eastAsia="Arial"/>
          <w:bCs/>
        </w:rPr>
        <w:t>-HP grupėje (p = 0,11)</w:t>
      </w:r>
      <w:r>
        <w:rPr>
          <w:rFonts w:eastAsia="Arial"/>
          <w:bCs/>
        </w:rPr>
        <w:t>.</w:t>
      </w:r>
    </w:p>
    <w:p w14:paraId="4437BC59" w14:textId="77777777" w:rsidR="001A5807" w:rsidRDefault="001A5807" w:rsidP="00E85D42">
      <w:pPr>
        <w:spacing w:line="23" w:lineRule="atLeast"/>
        <w:ind w:firstLine="567"/>
        <w:jc w:val="both"/>
        <w:outlineLvl w:val="1"/>
        <w:rPr>
          <w:rFonts w:eastAsia="Arial"/>
          <w:bCs/>
        </w:rPr>
      </w:pPr>
      <w:r>
        <w:rPr>
          <w:rFonts w:eastAsia="Arial"/>
          <w:bCs/>
        </w:rPr>
        <w:tab/>
        <w:t xml:space="preserve">Tarnybos vertinimu, svarbiausia </w:t>
      </w:r>
      <w:proofErr w:type="spellStart"/>
      <w:r>
        <w:rPr>
          <w:rFonts w:eastAsia="Arial"/>
          <w:bCs/>
        </w:rPr>
        <w:t>vertinamaja</w:t>
      </w:r>
      <w:proofErr w:type="spellEnd"/>
      <w:r>
        <w:rPr>
          <w:rFonts w:eastAsia="Arial"/>
          <w:bCs/>
        </w:rPr>
        <w:t xml:space="preserve"> baigtimi laikytas nėštumo dažnis (antrinė vertinamoji baigtis. Pirmojo gydymo ciklo metu </w:t>
      </w:r>
      <w:proofErr w:type="spellStart"/>
      <w:r>
        <w:rPr>
          <w:rFonts w:eastAsia="Arial"/>
          <w:bCs/>
        </w:rPr>
        <w:t>ž</w:t>
      </w:r>
      <w:r w:rsidRPr="00EC5086">
        <w:rPr>
          <w:rFonts w:eastAsia="Arial"/>
          <w:bCs/>
        </w:rPr>
        <w:t>M</w:t>
      </w:r>
      <w:r>
        <w:rPr>
          <w:rFonts w:eastAsia="Arial"/>
          <w:bCs/>
        </w:rPr>
        <w:t>G</w:t>
      </w:r>
      <w:proofErr w:type="spellEnd"/>
      <w:r w:rsidRPr="00EC5086">
        <w:rPr>
          <w:rFonts w:eastAsia="Arial"/>
          <w:bCs/>
        </w:rPr>
        <w:t xml:space="preserve"> grupėje</w:t>
      </w:r>
      <w:r>
        <w:rPr>
          <w:rFonts w:eastAsia="Arial"/>
          <w:bCs/>
        </w:rPr>
        <w:t xml:space="preserve"> iš </w:t>
      </w:r>
      <w:r w:rsidRPr="0012122D">
        <w:rPr>
          <w:rFonts w:eastAsia="Arial"/>
          <w:bCs/>
        </w:rPr>
        <w:t xml:space="preserve">18 </w:t>
      </w:r>
      <w:r>
        <w:rPr>
          <w:rFonts w:eastAsia="Arial"/>
          <w:bCs/>
        </w:rPr>
        <w:t>moterų nėštumas diagnozuotas</w:t>
      </w:r>
      <w:r w:rsidRPr="00EC5086">
        <w:rPr>
          <w:rFonts w:eastAsia="Arial"/>
          <w:bCs/>
        </w:rPr>
        <w:t xml:space="preserve"> 4 </w:t>
      </w:r>
      <w:r>
        <w:rPr>
          <w:rFonts w:eastAsia="Arial"/>
          <w:bCs/>
        </w:rPr>
        <w:t xml:space="preserve">moterims, </w:t>
      </w:r>
      <w:r w:rsidRPr="00EC5086">
        <w:rPr>
          <w:rFonts w:eastAsia="Arial"/>
          <w:bCs/>
        </w:rPr>
        <w:t>o r-</w:t>
      </w:r>
      <w:proofErr w:type="spellStart"/>
      <w:r>
        <w:rPr>
          <w:rFonts w:eastAsia="Arial"/>
          <w:bCs/>
        </w:rPr>
        <w:t>ž</w:t>
      </w:r>
      <w:r w:rsidRPr="00EC5086">
        <w:rPr>
          <w:rFonts w:eastAsia="Arial"/>
          <w:bCs/>
        </w:rPr>
        <w:t>FSH</w:t>
      </w:r>
      <w:proofErr w:type="spellEnd"/>
      <w:r w:rsidRPr="00EC5086">
        <w:rPr>
          <w:rFonts w:eastAsia="Arial"/>
          <w:bCs/>
        </w:rPr>
        <w:t>/r-</w:t>
      </w:r>
      <w:proofErr w:type="spellStart"/>
      <w:r>
        <w:rPr>
          <w:rFonts w:eastAsia="Arial"/>
          <w:bCs/>
        </w:rPr>
        <w:t>ž</w:t>
      </w:r>
      <w:r w:rsidRPr="00EC5086">
        <w:rPr>
          <w:rFonts w:eastAsia="Arial"/>
          <w:bCs/>
        </w:rPr>
        <w:t>LH</w:t>
      </w:r>
      <w:proofErr w:type="spellEnd"/>
      <w:r w:rsidRPr="00EC5086">
        <w:rPr>
          <w:rFonts w:eastAsia="Arial"/>
          <w:bCs/>
        </w:rPr>
        <w:t xml:space="preserve"> grupėje – 10 iš 17 (</w:t>
      </w:r>
      <w:proofErr w:type="spellStart"/>
      <w:r>
        <w:rPr>
          <w:rFonts w:eastAsia="Arial"/>
          <w:bCs/>
        </w:rPr>
        <w:t>ž</w:t>
      </w:r>
      <w:r w:rsidRPr="00EC5086">
        <w:rPr>
          <w:rFonts w:eastAsia="Arial"/>
          <w:bCs/>
        </w:rPr>
        <w:t>MG</w:t>
      </w:r>
      <w:proofErr w:type="spellEnd"/>
      <w:r w:rsidRPr="00EC5086">
        <w:rPr>
          <w:rFonts w:eastAsia="Arial"/>
          <w:bCs/>
        </w:rPr>
        <w:t xml:space="preserve"> 22 </w:t>
      </w:r>
      <w:r>
        <w:rPr>
          <w:rFonts w:eastAsia="Arial"/>
          <w:bCs/>
        </w:rPr>
        <w:t>proc.,</w:t>
      </w:r>
      <w:r w:rsidRPr="00EC5086">
        <w:rPr>
          <w:rFonts w:eastAsia="Arial"/>
          <w:bCs/>
        </w:rPr>
        <w:t xml:space="preserve"> </w:t>
      </w:r>
      <w:r>
        <w:rPr>
          <w:rFonts w:eastAsia="Arial"/>
          <w:bCs/>
        </w:rPr>
        <w:t>r-</w:t>
      </w:r>
      <w:proofErr w:type="spellStart"/>
      <w:r>
        <w:rPr>
          <w:rFonts w:eastAsia="Arial"/>
          <w:bCs/>
        </w:rPr>
        <w:t>žFSH</w:t>
      </w:r>
      <w:proofErr w:type="spellEnd"/>
      <w:r>
        <w:rPr>
          <w:rFonts w:eastAsia="Arial"/>
          <w:bCs/>
        </w:rPr>
        <w:t>/r-</w:t>
      </w:r>
      <w:proofErr w:type="spellStart"/>
      <w:r>
        <w:rPr>
          <w:rFonts w:eastAsia="Arial"/>
          <w:bCs/>
        </w:rPr>
        <w:t>žLH</w:t>
      </w:r>
      <w:proofErr w:type="spellEnd"/>
      <w:r>
        <w:rPr>
          <w:rFonts w:eastAsia="Arial"/>
          <w:bCs/>
        </w:rPr>
        <w:t xml:space="preserve"> </w:t>
      </w:r>
      <w:r w:rsidRPr="00EC5086">
        <w:rPr>
          <w:rFonts w:eastAsia="Arial"/>
          <w:bCs/>
        </w:rPr>
        <w:t>58 %</w:t>
      </w:r>
      <w:r>
        <w:rPr>
          <w:rFonts w:eastAsia="Arial"/>
          <w:bCs/>
        </w:rPr>
        <w:t>,</w:t>
      </w:r>
      <w:r w:rsidRPr="00EC5086">
        <w:rPr>
          <w:rFonts w:eastAsia="Arial"/>
          <w:bCs/>
        </w:rPr>
        <w:t xml:space="preserve"> p = 0,06)</w:t>
      </w:r>
      <w:r>
        <w:rPr>
          <w:rFonts w:eastAsia="Arial"/>
          <w:bCs/>
        </w:rPr>
        <w:t xml:space="preserve">, antrojo - </w:t>
      </w:r>
      <w:proofErr w:type="spellStart"/>
      <w:r>
        <w:rPr>
          <w:rFonts w:eastAsia="Arial"/>
          <w:bCs/>
        </w:rPr>
        <w:t>žMG</w:t>
      </w:r>
      <w:proofErr w:type="spellEnd"/>
      <w:r>
        <w:rPr>
          <w:rFonts w:eastAsia="Arial"/>
          <w:bCs/>
        </w:rPr>
        <w:t xml:space="preserve"> </w:t>
      </w:r>
      <w:r w:rsidRPr="00EC5086">
        <w:rPr>
          <w:rFonts w:eastAsia="Arial"/>
          <w:bCs/>
        </w:rPr>
        <w:t>grupė</w:t>
      </w:r>
      <w:r>
        <w:rPr>
          <w:rFonts w:eastAsia="Arial"/>
          <w:bCs/>
        </w:rPr>
        <w:t xml:space="preserve">je nėštumas diagnozuotas </w:t>
      </w:r>
      <w:r w:rsidRPr="005D069E">
        <w:rPr>
          <w:rFonts w:eastAsia="Arial"/>
          <w:bCs/>
        </w:rPr>
        <w:t>4 i</w:t>
      </w:r>
      <w:r>
        <w:rPr>
          <w:rFonts w:eastAsia="Arial"/>
          <w:bCs/>
        </w:rPr>
        <w:t xml:space="preserve">š </w:t>
      </w:r>
      <w:r w:rsidRPr="002B3F1A">
        <w:rPr>
          <w:rFonts w:eastAsia="Arial"/>
          <w:bCs/>
        </w:rPr>
        <w:t>1</w:t>
      </w:r>
      <w:r w:rsidRPr="00EC5086">
        <w:rPr>
          <w:rFonts w:eastAsia="Arial"/>
          <w:bCs/>
        </w:rPr>
        <w:t>4 pacien</w:t>
      </w:r>
      <w:r>
        <w:rPr>
          <w:rFonts w:eastAsia="Arial"/>
          <w:bCs/>
        </w:rPr>
        <w:t xml:space="preserve">čių, o </w:t>
      </w:r>
      <w:r w:rsidRPr="00EC5086">
        <w:rPr>
          <w:rFonts w:eastAsia="Arial"/>
          <w:bCs/>
        </w:rPr>
        <w:t>iš r-</w:t>
      </w:r>
      <w:proofErr w:type="spellStart"/>
      <w:r>
        <w:rPr>
          <w:rFonts w:eastAsia="Arial"/>
          <w:bCs/>
        </w:rPr>
        <w:t>ž</w:t>
      </w:r>
      <w:r w:rsidRPr="00EC5086">
        <w:rPr>
          <w:rFonts w:eastAsia="Arial"/>
          <w:bCs/>
        </w:rPr>
        <w:t>FSH</w:t>
      </w:r>
      <w:proofErr w:type="spellEnd"/>
      <w:r w:rsidRPr="00EC5086">
        <w:rPr>
          <w:rFonts w:eastAsia="Arial"/>
          <w:bCs/>
        </w:rPr>
        <w:t>/r</w:t>
      </w:r>
      <w:r>
        <w:rPr>
          <w:rFonts w:eastAsia="Arial"/>
          <w:bCs/>
        </w:rPr>
        <w:t>-</w:t>
      </w:r>
      <w:proofErr w:type="spellStart"/>
      <w:r>
        <w:rPr>
          <w:rFonts w:eastAsia="Arial"/>
          <w:bCs/>
        </w:rPr>
        <w:t>ž</w:t>
      </w:r>
      <w:r w:rsidRPr="00EC5086">
        <w:rPr>
          <w:rFonts w:eastAsia="Arial"/>
          <w:bCs/>
        </w:rPr>
        <w:t>LH</w:t>
      </w:r>
      <w:proofErr w:type="spellEnd"/>
      <w:r w:rsidRPr="00EC5086">
        <w:rPr>
          <w:rFonts w:eastAsia="Arial"/>
          <w:bCs/>
        </w:rPr>
        <w:t xml:space="preserve"> grupės</w:t>
      </w:r>
      <w:r>
        <w:rPr>
          <w:rFonts w:eastAsia="Arial"/>
          <w:bCs/>
        </w:rPr>
        <w:t xml:space="preserve"> – </w:t>
      </w:r>
      <w:r w:rsidRPr="005D069E">
        <w:rPr>
          <w:rFonts w:eastAsia="Arial"/>
          <w:bCs/>
        </w:rPr>
        <w:t xml:space="preserve">4 </w:t>
      </w:r>
      <w:r>
        <w:rPr>
          <w:rFonts w:eastAsia="Arial"/>
          <w:bCs/>
        </w:rPr>
        <w:t xml:space="preserve">iš </w:t>
      </w:r>
      <w:r w:rsidRPr="002B3F1A">
        <w:rPr>
          <w:rFonts w:eastAsia="Arial"/>
          <w:bCs/>
        </w:rPr>
        <w:t>7</w:t>
      </w:r>
      <w:r>
        <w:rPr>
          <w:rFonts w:eastAsia="Arial"/>
          <w:bCs/>
        </w:rPr>
        <w:t xml:space="preserve"> pacienčių </w:t>
      </w:r>
      <w:r w:rsidRPr="00EC5086">
        <w:rPr>
          <w:rFonts w:eastAsia="Arial"/>
          <w:bCs/>
        </w:rPr>
        <w:t>(</w:t>
      </w:r>
      <w:proofErr w:type="spellStart"/>
      <w:r>
        <w:rPr>
          <w:rFonts w:eastAsia="Arial"/>
          <w:bCs/>
        </w:rPr>
        <w:t>žMG</w:t>
      </w:r>
      <w:proofErr w:type="spellEnd"/>
      <w:r>
        <w:rPr>
          <w:rFonts w:eastAsia="Arial"/>
          <w:bCs/>
        </w:rPr>
        <w:t xml:space="preserve"> </w:t>
      </w:r>
      <w:r w:rsidRPr="00EC5086">
        <w:rPr>
          <w:rFonts w:eastAsia="Arial"/>
          <w:bCs/>
        </w:rPr>
        <w:t xml:space="preserve">28,6 </w:t>
      </w:r>
      <w:r>
        <w:rPr>
          <w:rFonts w:eastAsia="Arial"/>
          <w:bCs/>
        </w:rPr>
        <w:t>proc.,</w:t>
      </w:r>
      <w:r w:rsidRPr="00EC5086">
        <w:rPr>
          <w:rFonts w:eastAsia="Arial"/>
          <w:bCs/>
        </w:rPr>
        <w:t xml:space="preserve"> r-</w:t>
      </w:r>
      <w:proofErr w:type="spellStart"/>
      <w:r w:rsidRPr="00EC5086">
        <w:rPr>
          <w:rFonts w:eastAsia="Arial"/>
          <w:bCs/>
        </w:rPr>
        <w:t>hFSH</w:t>
      </w:r>
      <w:proofErr w:type="spellEnd"/>
      <w:r w:rsidRPr="00EC5086">
        <w:rPr>
          <w:rFonts w:eastAsia="Arial"/>
          <w:bCs/>
        </w:rPr>
        <w:t>/</w:t>
      </w:r>
      <w:proofErr w:type="spellStart"/>
      <w:r w:rsidRPr="00EC5086">
        <w:rPr>
          <w:rFonts w:eastAsia="Arial"/>
          <w:bCs/>
        </w:rPr>
        <w:t>rhLH</w:t>
      </w:r>
      <w:proofErr w:type="spellEnd"/>
      <w:r w:rsidRPr="00EC5086">
        <w:rPr>
          <w:rFonts w:eastAsia="Arial"/>
          <w:bCs/>
        </w:rPr>
        <w:t xml:space="preserve"> 57,1 </w:t>
      </w:r>
      <w:r>
        <w:rPr>
          <w:rFonts w:eastAsia="Arial"/>
          <w:bCs/>
        </w:rPr>
        <w:t>proc.,</w:t>
      </w:r>
      <w:r w:rsidRPr="00EC5086">
        <w:rPr>
          <w:rFonts w:eastAsia="Arial"/>
          <w:bCs/>
        </w:rPr>
        <w:t xml:space="preserve"> p = 0,42)</w:t>
      </w:r>
      <w:r>
        <w:rPr>
          <w:rFonts w:eastAsia="Arial"/>
          <w:bCs/>
        </w:rPr>
        <w:t xml:space="preserve">, trečiojo – </w:t>
      </w:r>
      <w:r w:rsidRPr="005D069E">
        <w:rPr>
          <w:rFonts w:eastAsia="Arial"/>
          <w:bCs/>
        </w:rPr>
        <w:t>2 i</w:t>
      </w:r>
      <w:r>
        <w:rPr>
          <w:rFonts w:eastAsia="Arial"/>
          <w:bCs/>
        </w:rPr>
        <w:t xml:space="preserve">š </w:t>
      </w:r>
      <w:r w:rsidRPr="005D069E">
        <w:rPr>
          <w:rFonts w:eastAsia="Arial"/>
          <w:bCs/>
        </w:rPr>
        <w:t>11</w:t>
      </w:r>
      <w:r>
        <w:rPr>
          <w:rFonts w:eastAsia="Arial"/>
          <w:bCs/>
        </w:rPr>
        <w:t xml:space="preserve"> gydytų </w:t>
      </w:r>
      <w:proofErr w:type="spellStart"/>
      <w:r>
        <w:rPr>
          <w:rFonts w:eastAsia="Arial"/>
          <w:bCs/>
        </w:rPr>
        <w:t>žMG</w:t>
      </w:r>
      <w:proofErr w:type="spellEnd"/>
      <w:r>
        <w:rPr>
          <w:rFonts w:eastAsia="Arial"/>
          <w:bCs/>
        </w:rPr>
        <w:t xml:space="preserve"> ir </w:t>
      </w:r>
      <w:r w:rsidRPr="005D069E">
        <w:rPr>
          <w:rFonts w:eastAsia="Arial"/>
          <w:bCs/>
        </w:rPr>
        <w:t>1</w:t>
      </w:r>
      <w:r>
        <w:rPr>
          <w:rFonts w:eastAsia="Arial"/>
          <w:bCs/>
        </w:rPr>
        <w:t xml:space="preserve"> iš </w:t>
      </w:r>
      <w:r w:rsidRPr="005D069E">
        <w:rPr>
          <w:rFonts w:eastAsia="Arial"/>
          <w:bCs/>
        </w:rPr>
        <w:t>3</w:t>
      </w:r>
      <w:r>
        <w:rPr>
          <w:rFonts w:eastAsia="Arial"/>
          <w:bCs/>
        </w:rPr>
        <w:t xml:space="preserve"> gydytų </w:t>
      </w:r>
      <w:r w:rsidRPr="00EC5086">
        <w:rPr>
          <w:rFonts w:eastAsia="Arial"/>
          <w:bCs/>
        </w:rPr>
        <w:t>r-</w:t>
      </w:r>
      <w:proofErr w:type="spellStart"/>
      <w:r w:rsidRPr="00EC5086">
        <w:rPr>
          <w:rFonts w:eastAsia="Arial"/>
          <w:bCs/>
        </w:rPr>
        <w:t>hFSH</w:t>
      </w:r>
      <w:proofErr w:type="spellEnd"/>
      <w:r w:rsidRPr="00EC5086">
        <w:rPr>
          <w:rFonts w:eastAsia="Arial"/>
          <w:bCs/>
        </w:rPr>
        <w:t>/r</w:t>
      </w:r>
      <w:r>
        <w:rPr>
          <w:rFonts w:eastAsia="Arial"/>
          <w:bCs/>
        </w:rPr>
        <w:t>-</w:t>
      </w:r>
      <w:proofErr w:type="spellStart"/>
      <w:r>
        <w:rPr>
          <w:rFonts w:eastAsia="Arial"/>
          <w:bCs/>
        </w:rPr>
        <w:t>ž</w:t>
      </w:r>
      <w:r w:rsidRPr="00EC5086">
        <w:rPr>
          <w:rFonts w:eastAsia="Arial"/>
          <w:bCs/>
        </w:rPr>
        <w:t>LH</w:t>
      </w:r>
      <w:proofErr w:type="spellEnd"/>
      <w:r>
        <w:rPr>
          <w:rFonts w:eastAsia="Arial"/>
          <w:bCs/>
        </w:rPr>
        <w:t xml:space="preserve">. </w:t>
      </w:r>
      <w:r w:rsidRPr="005D069E">
        <w:rPr>
          <w:rFonts w:eastAsia="Arial"/>
          <w:bCs/>
        </w:rPr>
        <w:t>Visų trijų ciklų nėštumo dažnis r-</w:t>
      </w:r>
      <w:proofErr w:type="spellStart"/>
      <w:r w:rsidRPr="005D069E">
        <w:rPr>
          <w:rFonts w:eastAsia="Arial"/>
          <w:bCs/>
        </w:rPr>
        <w:t>žFSH</w:t>
      </w:r>
      <w:proofErr w:type="spellEnd"/>
      <w:r w:rsidRPr="005D069E">
        <w:rPr>
          <w:rFonts w:eastAsia="Arial"/>
          <w:bCs/>
        </w:rPr>
        <w:t>/r-</w:t>
      </w:r>
      <w:proofErr w:type="spellStart"/>
      <w:r w:rsidRPr="005D069E">
        <w:rPr>
          <w:rFonts w:eastAsia="Arial"/>
          <w:bCs/>
        </w:rPr>
        <w:t>žLH</w:t>
      </w:r>
      <w:proofErr w:type="spellEnd"/>
      <w:r w:rsidRPr="005D069E">
        <w:rPr>
          <w:rFonts w:eastAsia="Arial"/>
          <w:bCs/>
        </w:rPr>
        <w:t xml:space="preserve"> grupėje buvo 55,6 proc. (15 nėštumų iš 27 ovuliacijos indukcijos ciklų), palyginti su 23,3 proc. (10 nėštumų iš 43 ovuliacijos indukcijos ciklų) </w:t>
      </w:r>
      <w:proofErr w:type="spellStart"/>
      <w:r w:rsidRPr="005D069E">
        <w:rPr>
          <w:rFonts w:eastAsia="Arial"/>
          <w:bCs/>
        </w:rPr>
        <w:t>žMG</w:t>
      </w:r>
      <w:proofErr w:type="spellEnd"/>
      <w:r w:rsidRPr="005D069E">
        <w:rPr>
          <w:rFonts w:eastAsia="Arial"/>
          <w:bCs/>
        </w:rPr>
        <w:t xml:space="preserve"> grupėje (p &lt; 0,05). R-</w:t>
      </w:r>
      <w:proofErr w:type="spellStart"/>
      <w:r w:rsidRPr="005D069E">
        <w:rPr>
          <w:rFonts w:eastAsia="Arial"/>
          <w:bCs/>
        </w:rPr>
        <w:t>žFSH</w:t>
      </w:r>
      <w:proofErr w:type="spellEnd"/>
      <w:r w:rsidRPr="005D069E">
        <w:rPr>
          <w:rFonts w:eastAsia="Arial"/>
          <w:bCs/>
        </w:rPr>
        <w:t>/r-</w:t>
      </w:r>
      <w:proofErr w:type="spellStart"/>
      <w:r w:rsidRPr="005D069E">
        <w:rPr>
          <w:rFonts w:eastAsia="Arial"/>
          <w:bCs/>
        </w:rPr>
        <w:t>žLH</w:t>
      </w:r>
      <w:proofErr w:type="spellEnd"/>
      <w:r w:rsidRPr="005D069E">
        <w:rPr>
          <w:rFonts w:eastAsia="Arial"/>
          <w:bCs/>
        </w:rPr>
        <w:t xml:space="preserve"> grupėje pastojo 15 iš 17 pacienčių (88 proc.), o </w:t>
      </w:r>
      <w:proofErr w:type="spellStart"/>
      <w:r w:rsidRPr="005D069E">
        <w:rPr>
          <w:rFonts w:eastAsia="Arial"/>
          <w:bCs/>
        </w:rPr>
        <w:t>žMG</w:t>
      </w:r>
      <w:proofErr w:type="spellEnd"/>
      <w:r w:rsidRPr="005D069E">
        <w:rPr>
          <w:rFonts w:eastAsia="Arial"/>
          <w:bCs/>
        </w:rPr>
        <w:t xml:space="preserve"> grupėje –10 iš 18 (55 proc.) (p = 0,07). </w:t>
      </w:r>
    </w:p>
    <w:p w14:paraId="29416A6A" w14:textId="77777777" w:rsidR="001A5807" w:rsidRPr="00D401FC" w:rsidRDefault="001A5807" w:rsidP="00E85D42">
      <w:pPr>
        <w:spacing w:line="23" w:lineRule="atLeast"/>
        <w:ind w:firstLine="567"/>
        <w:jc w:val="both"/>
        <w:outlineLvl w:val="1"/>
        <w:rPr>
          <w:rFonts w:eastAsia="Arial"/>
          <w:bCs/>
        </w:rPr>
      </w:pPr>
      <w:r>
        <w:rPr>
          <w:rFonts w:eastAsia="Arial"/>
          <w:bCs/>
        </w:rPr>
        <w:tab/>
      </w:r>
      <w:r w:rsidRPr="00D401FC">
        <w:rPr>
          <w:rFonts w:eastAsia="Arial"/>
          <w:bCs/>
        </w:rPr>
        <w:t xml:space="preserve">Apibendrinus </w:t>
      </w:r>
      <w:proofErr w:type="spellStart"/>
      <w:r w:rsidRPr="00D401FC">
        <w:rPr>
          <w:rFonts w:eastAsia="Arial"/>
          <w:bCs/>
        </w:rPr>
        <w:t>Corone</w:t>
      </w:r>
      <w:proofErr w:type="spellEnd"/>
      <w:r w:rsidRPr="00D401FC">
        <w:rPr>
          <w:rFonts w:eastAsia="Arial"/>
          <w:bCs/>
        </w:rPr>
        <w:t xml:space="preserve"> et. al tyrimo </w:t>
      </w:r>
      <w:proofErr w:type="spellStart"/>
      <w:r w:rsidRPr="00D401FC">
        <w:rPr>
          <w:rFonts w:eastAsia="Arial"/>
          <w:bCs/>
        </w:rPr>
        <w:t>rezulatatus</w:t>
      </w:r>
      <w:proofErr w:type="spellEnd"/>
      <w:r w:rsidRPr="00D401FC">
        <w:rPr>
          <w:rFonts w:eastAsia="Arial"/>
          <w:bCs/>
        </w:rPr>
        <w:t>, nustatyta, jog pirminės vertinamosios baigties (</w:t>
      </w:r>
      <w:proofErr w:type="spellStart"/>
      <w:r w:rsidRPr="00D401FC">
        <w:rPr>
          <w:rFonts w:eastAsia="Arial"/>
          <w:bCs/>
        </w:rPr>
        <w:t>t.y</w:t>
      </w:r>
      <w:proofErr w:type="spellEnd"/>
      <w:r w:rsidRPr="00D401FC">
        <w:rPr>
          <w:rFonts w:eastAsia="Arial"/>
          <w:bCs/>
        </w:rPr>
        <w:t xml:space="preserve">. ≥1 folikulas ≥17 mm; E2 ≥400 </w:t>
      </w:r>
      <w:proofErr w:type="spellStart"/>
      <w:r w:rsidRPr="00D401FC">
        <w:rPr>
          <w:rFonts w:eastAsia="Arial"/>
          <w:bCs/>
        </w:rPr>
        <w:t>pmol</w:t>
      </w:r>
      <w:proofErr w:type="spellEnd"/>
      <w:r w:rsidRPr="00D401FC">
        <w:rPr>
          <w:rFonts w:eastAsia="Arial"/>
          <w:bCs/>
        </w:rPr>
        <w:t xml:space="preserve">/l; vidurinė </w:t>
      </w:r>
      <w:proofErr w:type="spellStart"/>
      <w:r w:rsidRPr="00D401FC">
        <w:rPr>
          <w:rFonts w:eastAsia="Arial"/>
          <w:bCs/>
        </w:rPr>
        <w:t>liuteininė</w:t>
      </w:r>
      <w:proofErr w:type="spellEnd"/>
      <w:r w:rsidRPr="00D401FC">
        <w:rPr>
          <w:rFonts w:eastAsia="Arial"/>
          <w:bCs/>
        </w:rPr>
        <w:t xml:space="preserve"> fazė P4 ≥25 </w:t>
      </w:r>
      <w:proofErr w:type="spellStart"/>
      <w:r w:rsidRPr="00D401FC">
        <w:rPr>
          <w:rFonts w:eastAsia="Arial"/>
          <w:bCs/>
        </w:rPr>
        <w:t>nmol</w:t>
      </w:r>
      <w:proofErr w:type="spellEnd"/>
      <w:r w:rsidRPr="00D401FC">
        <w:rPr>
          <w:rFonts w:eastAsia="Arial"/>
          <w:bCs/>
        </w:rPr>
        <w:t>/l) rezultatas tarp grupių reikšmingai nesiskyrė, kas pagrindžia panašų r-</w:t>
      </w:r>
      <w:proofErr w:type="spellStart"/>
      <w:r w:rsidRPr="00D401FC">
        <w:rPr>
          <w:rFonts w:eastAsia="Arial"/>
          <w:bCs/>
        </w:rPr>
        <w:t>žFSH</w:t>
      </w:r>
      <w:proofErr w:type="spellEnd"/>
      <w:r w:rsidRPr="00D401FC">
        <w:rPr>
          <w:rFonts w:eastAsia="Arial"/>
          <w:bCs/>
        </w:rPr>
        <w:t>/r-</w:t>
      </w:r>
      <w:proofErr w:type="spellStart"/>
      <w:r w:rsidRPr="00D401FC">
        <w:rPr>
          <w:rFonts w:eastAsia="Arial"/>
          <w:bCs/>
        </w:rPr>
        <w:t>žLH</w:t>
      </w:r>
      <w:proofErr w:type="spellEnd"/>
      <w:r w:rsidRPr="00D401FC">
        <w:rPr>
          <w:rFonts w:eastAsia="Arial"/>
          <w:bCs/>
        </w:rPr>
        <w:t xml:space="preserve"> fiziologinį aktyvumą kaip </w:t>
      </w:r>
      <w:proofErr w:type="spellStart"/>
      <w:r w:rsidRPr="00D401FC">
        <w:rPr>
          <w:rFonts w:eastAsia="Arial"/>
          <w:bCs/>
        </w:rPr>
        <w:t>žMG</w:t>
      </w:r>
      <w:proofErr w:type="spellEnd"/>
      <w:r w:rsidRPr="00D401FC">
        <w:rPr>
          <w:rFonts w:eastAsia="Arial"/>
          <w:bCs/>
        </w:rPr>
        <w:t xml:space="preserve">.  </w:t>
      </w:r>
    </w:p>
    <w:p w14:paraId="4D9C344E" w14:textId="77777777" w:rsidR="001A5807" w:rsidRDefault="001A5807" w:rsidP="00E85D42">
      <w:pPr>
        <w:tabs>
          <w:tab w:val="left" w:pos="492"/>
        </w:tabs>
        <w:spacing w:line="23" w:lineRule="atLeast"/>
        <w:ind w:firstLine="567"/>
        <w:jc w:val="both"/>
        <w:outlineLvl w:val="1"/>
        <w:rPr>
          <w:rFonts w:eastAsia="Arial"/>
          <w:bCs/>
        </w:rPr>
      </w:pPr>
      <w:r w:rsidRPr="00D401FC">
        <w:rPr>
          <w:rFonts w:eastAsia="Arial"/>
          <w:bCs/>
        </w:rPr>
        <w:t>Svarbiausia vertinamąja baigtimi klinikiniam veiksmingumui įvertinti Tarnyba laiko diagnozuotų nėštumų dažnį. Atsižvelgiant į šią baigtį, nustatyta, jog visų trijų ciklų nėštumo dažnis r-</w:t>
      </w:r>
      <w:proofErr w:type="spellStart"/>
      <w:r w:rsidRPr="00D401FC">
        <w:rPr>
          <w:rFonts w:eastAsia="Arial"/>
          <w:bCs/>
        </w:rPr>
        <w:t>žFSH</w:t>
      </w:r>
      <w:proofErr w:type="spellEnd"/>
      <w:r w:rsidRPr="00D401FC">
        <w:rPr>
          <w:rFonts w:eastAsia="Arial"/>
          <w:bCs/>
        </w:rPr>
        <w:t>/r-</w:t>
      </w:r>
      <w:proofErr w:type="spellStart"/>
      <w:r w:rsidRPr="00D401FC">
        <w:rPr>
          <w:rFonts w:eastAsia="Arial"/>
          <w:bCs/>
        </w:rPr>
        <w:t>žLH</w:t>
      </w:r>
      <w:proofErr w:type="spellEnd"/>
      <w:r w:rsidRPr="00D401FC">
        <w:rPr>
          <w:rFonts w:eastAsia="Arial"/>
          <w:bCs/>
        </w:rPr>
        <w:t xml:space="preserve"> grupėje buvo 55,6 proc. (15 nėštumų iš 27 ovuliacijos indukcijos ciklų), palyginti su 23,3 proc. (10 nėštumų iš 43 ovuliacijos indukcijos ciklų) </w:t>
      </w:r>
      <w:proofErr w:type="spellStart"/>
      <w:r w:rsidRPr="00D401FC">
        <w:rPr>
          <w:rFonts w:eastAsia="Arial"/>
          <w:bCs/>
        </w:rPr>
        <w:t>žMG</w:t>
      </w:r>
      <w:proofErr w:type="spellEnd"/>
      <w:r w:rsidRPr="00D401FC">
        <w:rPr>
          <w:rFonts w:eastAsia="Arial"/>
          <w:bCs/>
        </w:rPr>
        <w:t xml:space="preserve"> grupėje (p &lt; 0,05). Tarnybos vertinimu, nors atskirais gydymo ciklais (1,2 ir 3) nebuvo pasiektas nėštumo dažnio skirtumo statistinis reikšmingumas tarp palyginamųjų grupių, tačiau atsižvelgiant į realią klinikinę praktiką (ovuliacijos indukcijai yra reikalingas ne vienas indukcijos ciklas), bendras trijų indukcijų ciklų nėštumo dažnio skirtumo rezultato reikšmingumas laikomas tinkamu didesniam palyginamajam veiksmingumui pagrįsti. </w:t>
      </w:r>
    </w:p>
    <w:p w14:paraId="7C8F7F55" w14:textId="77777777" w:rsidR="001A5807" w:rsidRDefault="001A5807" w:rsidP="00E85D42">
      <w:pPr>
        <w:spacing w:line="23" w:lineRule="atLeast"/>
        <w:ind w:firstLine="567"/>
        <w:jc w:val="both"/>
        <w:outlineLvl w:val="1"/>
        <w:rPr>
          <w:rFonts w:eastAsia="Arial"/>
          <w:bCs/>
        </w:rPr>
      </w:pPr>
      <w:r>
        <w:rPr>
          <w:rFonts w:eastAsia="Arial"/>
          <w:bCs/>
        </w:rPr>
        <w:tab/>
      </w:r>
      <w:r w:rsidRPr="00D401FC">
        <w:rPr>
          <w:rFonts w:eastAsia="Arial"/>
          <w:bCs/>
        </w:rPr>
        <w:t>Tyrime r-</w:t>
      </w:r>
      <w:proofErr w:type="spellStart"/>
      <w:r w:rsidRPr="00D401FC">
        <w:rPr>
          <w:rFonts w:eastAsia="Arial"/>
          <w:bCs/>
        </w:rPr>
        <w:t>žFSH</w:t>
      </w:r>
      <w:proofErr w:type="spellEnd"/>
      <w:r w:rsidRPr="00D401FC">
        <w:rPr>
          <w:rFonts w:eastAsia="Arial"/>
          <w:bCs/>
        </w:rPr>
        <w:t>/r-</w:t>
      </w:r>
      <w:proofErr w:type="spellStart"/>
      <w:r w:rsidRPr="00D401FC">
        <w:rPr>
          <w:rFonts w:eastAsia="Arial"/>
          <w:bCs/>
        </w:rPr>
        <w:t>žLH</w:t>
      </w:r>
      <w:proofErr w:type="spellEnd"/>
      <w:r w:rsidRPr="00D401FC">
        <w:rPr>
          <w:rFonts w:eastAsia="Arial"/>
          <w:bCs/>
        </w:rPr>
        <w:t xml:space="preserve"> grupėje pastojo 15 iš 17 pacienčių (88 proc.), o </w:t>
      </w:r>
      <w:proofErr w:type="spellStart"/>
      <w:r w:rsidRPr="00D401FC">
        <w:rPr>
          <w:rFonts w:eastAsia="Arial"/>
          <w:bCs/>
        </w:rPr>
        <w:t>žMG</w:t>
      </w:r>
      <w:proofErr w:type="spellEnd"/>
      <w:r w:rsidRPr="00D401FC">
        <w:rPr>
          <w:rFonts w:eastAsia="Arial"/>
          <w:bCs/>
        </w:rPr>
        <w:t xml:space="preserve"> grupėje –10 iš 18 (55 proc.) (p = 0,07). Šie tyrimo rezultatai rodo nėštumo dažnių pranašumą r-</w:t>
      </w:r>
      <w:proofErr w:type="spellStart"/>
      <w:r w:rsidRPr="00D401FC">
        <w:rPr>
          <w:rFonts w:eastAsia="Arial"/>
          <w:bCs/>
        </w:rPr>
        <w:t>žFSH</w:t>
      </w:r>
      <w:proofErr w:type="spellEnd"/>
      <w:r w:rsidRPr="00D401FC">
        <w:rPr>
          <w:rFonts w:eastAsia="Arial"/>
          <w:bCs/>
        </w:rPr>
        <w:t>/r-</w:t>
      </w:r>
      <w:proofErr w:type="spellStart"/>
      <w:r w:rsidRPr="00D401FC">
        <w:rPr>
          <w:rFonts w:eastAsia="Arial"/>
          <w:bCs/>
        </w:rPr>
        <w:t>žLH</w:t>
      </w:r>
      <w:proofErr w:type="spellEnd"/>
      <w:r w:rsidRPr="00D401FC">
        <w:rPr>
          <w:rFonts w:eastAsia="Arial"/>
          <w:bCs/>
        </w:rPr>
        <w:t xml:space="preserve"> pogrupyje, tačiau nepasiekia statistinio reikšmingumo. Šis rezultatų neapibrėžtumas gali būti susijęs su maža tyrimo imtimi.</w:t>
      </w:r>
    </w:p>
    <w:p w14:paraId="2814C868" w14:textId="77777777" w:rsidR="001A5807" w:rsidRDefault="001A5807" w:rsidP="00E85D42">
      <w:pPr>
        <w:spacing w:line="23" w:lineRule="atLeast"/>
        <w:ind w:firstLine="567"/>
        <w:jc w:val="both"/>
        <w:outlineLvl w:val="1"/>
        <w:rPr>
          <w:rFonts w:eastAsia="Arial"/>
          <w:bCs/>
        </w:rPr>
      </w:pPr>
      <w:r>
        <w:rPr>
          <w:rFonts w:eastAsia="Arial"/>
          <w:bCs/>
        </w:rPr>
        <w:tab/>
        <w:t xml:space="preserve">Pareiškėjas nepateikė pacientų praneštų baigčių </w:t>
      </w:r>
      <w:proofErr w:type="spellStart"/>
      <w:r>
        <w:rPr>
          <w:rFonts w:eastAsia="Arial"/>
          <w:bCs/>
        </w:rPr>
        <w:t>rezulatatų</w:t>
      </w:r>
      <w:proofErr w:type="spellEnd"/>
      <w:r>
        <w:rPr>
          <w:rFonts w:eastAsia="Arial"/>
          <w:bCs/>
        </w:rPr>
        <w:t xml:space="preserve">. </w:t>
      </w:r>
    </w:p>
    <w:p w14:paraId="4059003E" w14:textId="77777777" w:rsidR="001A5807" w:rsidRDefault="001A5807" w:rsidP="00E85D42">
      <w:pPr>
        <w:spacing w:line="23" w:lineRule="atLeast"/>
        <w:ind w:firstLine="567"/>
        <w:jc w:val="both"/>
        <w:outlineLvl w:val="1"/>
        <w:rPr>
          <w:rFonts w:eastAsia="Arial"/>
          <w:bCs/>
        </w:rPr>
      </w:pPr>
      <w:r>
        <w:rPr>
          <w:rFonts w:eastAsia="Arial"/>
          <w:bCs/>
        </w:rPr>
        <w:tab/>
      </w:r>
    </w:p>
    <w:p w14:paraId="316B28C9" w14:textId="77777777" w:rsidR="001A5807" w:rsidRDefault="001A5807" w:rsidP="00E85D42">
      <w:pPr>
        <w:spacing w:line="23" w:lineRule="atLeast"/>
        <w:ind w:firstLine="567"/>
        <w:jc w:val="both"/>
        <w:outlineLvl w:val="1"/>
        <w:rPr>
          <w:rFonts w:eastAsia="Arial"/>
          <w:bCs/>
          <w:i/>
          <w:iCs/>
        </w:rPr>
      </w:pPr>
      <w:r>
        <w:rPr>
          <w:rFonts w:eastAsia="Arial"/>
          <w:bCs/>
        </w:rPr>
        <w:tab/>
      </w:r>
      <w:r>
        <w:rPr>
          <w:rFonts w:eastAsia="Arial"/>
          <w:bCs/>
          <w:i/>
          <w:iCs/>
        </w:rPr>
        <w:t>Palyginamojo saugumo rezultatai</w:t>
      </w:r>
    </w:p>
    <w:p w14:paraId="196A2A72" w14:textId="77777777" w:rsidR="001A5807" w:rsidRDefault="001A5807" w:rsidP="00E85D42">
      <w:pPr>
        <w:spacing w:line="23" w:lineRule="atLeast"/>
        <w:ind w:firstLine="567"/>
        <w:jc w:val="both"/>
        <w:rPr>
          <w:rFonts w:eastAsia="Arial"/>
          <w:bCs/>
        </w:rPr>
      </w:pPr>
      <w:r w:rsidRPr="00E75BA1">
        <w:rPr>
          <w:rFonts w:eastAsia="Arial"/>
          <w:bCs/>
        </w:rPr>
        <w:t>Tiesioginio palyginimo dalyje pateikt</w:t>
      </w:r>
      <w:r>
        <w:rPr>
          <w:rFonts w:eastAsia="Arial"/>
          <w:bCs/>
        </w:rPr>
        <w:t xml:space="preserve">ame </w:t>
      </w:r>
      <w:proofErr w:type="spellStart"/>
      <w:r>
        <w:rPr>
          <w:rFonts w:eastAsia="Arial"/>
          <w:bCs/>
        </w:rPr>
        <w:t>Corone</w:t>
      </w:r>
      <w:proofErr w:type="spellEnd"/>
      <w:r>
        <w:rPr>
          <w:rFonts w:eastAsia="Arial"/>
          <w:bCs/>
        </w:rPr>
        <w:t xml:space="preserve"> et al. tyrime n</w:t>
      </w:r>
      <w:r w:rsidRPr="000C327B">
        <w:rPr>
          <w:rFonts w:eastAsia="Arial"/>
          <w:bCs/>
        </w:rPr>
        <w:t xml:space="preserve">ei viena pacientė nepatyrė nepageidaujamo poveikio, nepasireiškė lengvo ar vidutinio sunkumo </w:t>
      </w:r>
      <w:r>
        <w:rPr>
          <w:rFonts w:eastAsia="Arial"/>
          <w:bCs/>
        </w:rPr>
        <w:t>k</w:t>
      </w:r>
      <w:r w:rsidRPr="000C327B">
        <w:rPr>
          <w:rFonts w:eastAsia="Arial"/>
          <w:bCs/>
        </w:rPr>
        <w:t xml:space="preserve">iaušidžių </w:t>
      </w:r>
      <w:proofErr w:type="spellStart"/>
      <w:r w:rsidRPr="000C327B">
        <w:rPr>
          <w:rFonts w:eastAsia="Arial"/>
          <w:bCs/>
        </w:rPr>
        <w:t>hiperstimuliacijos</w:t>
      </w:r>
      <w:proofErr w:type="spellEnd"/>
      <w:r w:rsidRPr="000C327B">
        <w:rPr>
          <w:rFonts w:eastAsia="Arial"/>
          <w:bCs/>
        </w:rPr>
        <w:t xml:space="preserve"> sindromas (KHSS).</w:t>
      </w:r>
      <w:r>
        <w:rPr>
          <w:rFonts w:eastAsia="Arial"/>
          <w:bCs/>
        </w:rPr>
        <w:t xml:space="preserve"> Detalūs saugumo duomenys </w:t>
      </w:r>
      <w:proofErr w:type="spellStart"/>
      <w:r>
        <w:rPr>
          <w:rFonts w:eastAsia="Arial"/>
          <w:bCs/>
        </w:rPr>
        <w:t>Corone</w:t>
      </w:r>
      <w:proofErr w:type="spellEnd"/>
      <w:r>
        <w:rPr>
          <w:rFonts w:eastAsia="Arial"/>
          <w:bCs/>
        </w:rPr>
        <w:t xml:space="preserve"> et al. tyrime nepateikti.</w:t>
      </w:r>
      <w:r w:rsidRPr="00D401FC">
        <w:rPr>
          <w:rFonts w:eastAsia="Arial"/>
          <w:bCs/>
        </w:rPr>
        <w:t xml:space="preserve"> </w:t>
      </w:r>
      <w:r>
        <w:rPr>
          <w:rFonts w:eastAsia="Arial"/>
          <w:bCs/>
        </w:rPr>
        <w:t>Pareiškėjas pateikė s</w:t>
      </w:r>
      <w:r w:rsidRPr="00E75BA1">
        <w:rPr>
          <w:rFonts w:eastAsia="Arial"/>
          <w:bCs/>
        </w:rPr>
        <w:t>augumo duomen</w:t>
      </w:r>
      <w:r>
        <w:rPr>
          <w:rFonts w:eastAsia="Arial"/>
          <w:bCs/>
        </w:rPr>
        <w:t>is,</w:t>
      </w:r>
      <w:r w:rsidRPr="00E75BA1">
        <w:rPr>
          <w:rFonts w:eastAsia="Arial"/>
          <w:bCs/>
        </w:rPr>
        <w:t xml:space="preserve"> remiantis </w:t>
      </w:r>
      <w:proofErr w:type="spellStart"/>
      <w:r>
        <w:rPr>
          <w:rFonts w:eastAsia="Arial"/>
          <w:bCs/>
        </w:rPr>
        <w:t>Pergoveris</w:t>
      </w:r>
      <w:proofErr w:type="spellEnd"/>
      <w:r>
        <w:rPr>
          <w:rFonts w:eastAsia="Arial"/>
          <w:bCs/>
        </w:rPr>
        <w:t xml:space="preserve"> preparatų charakteristikų santraukoje pateiktais duomenimis </w:t>
      </w:r>
      <w:r w:rsidRPr="00E75BA1">
        <w:rPr>
          <w:rFonts w:eastAsia="Arial"/>
          <w:bCs/>
        </w:rPr>
        <w:t>ir saugumo apžvalgos (</w:t>
      </w:r>
      <w:proofErr w:type="spellStart"/>
      <w:r w:rsidRPr="00E75BA1">
        <w:rPr>
          <w:rFonts w:eastAsia="Arial"/>
          <w:bCs/>
        </w:rPr>
        <w:t>Abramova</w:t>
      </w:r>
      <w:proofErr w:type="spellEnd"/>
      <w:r w:rsidRPr="00E75BA1">
        <w:rPr>
          <w:rFonts w:eastAsia="Arial"/>
          <w:bCs/>
        </w:rPr>
        <w:t xml:space="preserve"> et al</w:t>
      </w:r>
      <w:r>
        <w:rPr>
          <w:rFonts w:eastAsia="Arial"/>
          <w:bCs/>
        </w:rPr>
        <w:t>.</w:t>
      </w:r>
      <w:r w:rsidRPr="00E75BA1">
        <w:rPr>
          <w:rFonts w:eastAsia="Arial"/>
          <w:bCs/>
        </w:rPr>
        <w:t>) duomenimis</w:t>
      </w:r>
      <w:r>
        <w:rPr>
          <w:rFonts w:eastAsia="Arial"/>
          <w:bCs/>
        </w:rPr>
        <w:t xml:space="preserve">. </w:t>
      </w:r>
    </w:p>
    <w:p w14:paraId="18EB1562" w14:textId="77777777" w:rsidR="001A5807" w:rsidRDefault="001A5807" w:rsidP="00E85D42">
      <w:pPr>
        <w:spacing w:line="23" w:lineRule="atLeast"/>
        <w:ind w:firstLine="567"/>
        <w:jc w:val="both"/>
        <w:rPr>
          <w:rFonts w:eastAsia="Arial"/>
          <w:bCs/>
        </w:rPr>
      </w:pPr>
      <w:r w:rsidRPr="00E75BA1">
        <w:rPr>
          <w:rFonts w:eastAsia="Arial"/>
          <w:bCs/>
        </w:rPr>
        <w:t xml:space="preserve">Preparato charakteristikų santraukoje nurodyta, kad dažniausiai nustatytos nepageidaujamos reakcijos buvo galvos skausmas, kiaušidžių cistos ir vietinės reakcijos injekcijos vietoje (pvz., </w:t>
      </w:r>
      <w:r w:rsidRPr="00E75BA1">
        <w:rPr>
          <w:rFonts w:eastAsia="Arial"/>
          <w:bCs/>
        </w:rPr>
        <w:lastRenderedPageBreak/>
        <w:t xml:space="preserve">skausmas, </w:t>
      </w:r>
      <w:proofErr w:type="spellStart"/>
      <w:r w:rsidRPr="00E75BA1">
        <w:rPr>
          <w:rFonts w:eastAsia="Arial"/>
          <w:bCs/>
        </w:rPr>
        <w:t>eritema</w:t>
      </w:r>
      <w:proofErr w:type="spellEnd"/>
      <w:r w:rsidRPr="00E75BA1">
        <w:rPr>
          <w:rFonts w:eastAsia="Arial"/>
          <w:bCs/>
        </w:rPr>
        <w:t xml:space="preserve">, hematoma, patinimas ir (arba) sudirginimas injekcijos vietoje). </w:t>
      </w:r>
      <w:r w:rsidRPr="00382279">
        <w:rPr>
          <w:rFonts w:eastAsia="Arial"/>
          <w:bCs/>
        </w:rPr>
        <w:t xml:space="preserve">Dažnai nustatytas lengvas ar vidutinio sunkumo kiaušidžių </w:t>
      </w:r>
      <w:proofErr w:type="spellStart"/>
      <w:r w:rsidRPr="00382279">
        <w:rPr>
          <w:rFonts w:eastAsia="Arial"/>
          <w:bCs/>
        </w:rPr>
        <w:t>hiperstimuliacijos</w:t>
      </w:r>
      <w:proofErr w:type="spellEnd"/>
      <w:r w:rsidRPr="00382279">
        <w:rPr>
          <w:rFonts w:eastAsia="Arial"/>
          <w:bCs/>
        </w:rPr>
        <w:t xml:space="preserve"> sindromas (KHSS), kuris turi būti laikomas būdinga stimuliavimo procedūros rizika. Sunkus KHSS pasireiškė nedažnai. Tromboembolija pasireiškė labai retai, paprastai ji buvo susijusi su sunkiu KHSS.</w:t>
      </w:r>
      <w:r>
        <w:rPr>
          <w:rFonts w:eastAsia="Arial"/>
          <w:bCs/>
        </w:rPr>
        <w:t xml:space="preserve"> </w:t>
      </w:r>
    </w:p>
    <w:p w14:paraId="0DA00C66" w14:textId="77777777" w:rsidR="001A5807" w:rsidRDefault="001A5807" w:rsidP="00E85D42">
      <w:pPr>
        <w:spacing w:line="23" w:lineRule="atLeast"/>
        <w:ind w:firstLine="567"/>
        <w:jc w:val="both"/>
        <w:rPr>
          <w:rFonts w:eastAsia="Arial"/>
          <w:bCs/>
        </w:rPr>
      </w:pPr>
      <w:r>
        <w:rPr>
          <w:rFonts w:eastAsia="Arial"/>
          <w:bCs/>
        </w:rPr>
        <w:t xml:space="preserve">Remiantis </w:t>
      </w:r>
      <w:proofErr w:type="spellStart"/>
      <w:r>
        <w:rPr>
          <w:rFonts w:eastAsia="Arial"/>
          <w:bCs/>
        </w:rPr>
        <w:t>Abramova</w:t>
      </w:r>
      <w:proofErr w:type="spellEnd"/>
      <w:r>
        <w:rPr>
          <w:rFonts w:eastAsia="Arial"/>
          <w:bCs/>
        </w:rPr>
        <w:t xml:space="preserve"> et al. tyrimo duomenimis, i</w:t>
      </w:r>
      <w:r w:rsidRPr="00382279">
        <w:rPr>
          <w:rFonts w:eastAsia="Arial"/>
          <w:bCs/>
        </w:rPr>
        <w:t xml:space="preserve">š viso buvo 46 KHSS iš kurių trys buvo užregistruoti </w:t>
      </w:r>
      <w:proofErr w:type="spellStart"/>
      <w:r w:rsidRPr="00D401FC">
        <w:rPr>
          <w:rFonts w:eastAsia="Arial"/>
          <w:bCs/>
          <w:i/>
          <w:iCs/>
        </w:rPr>
        <w:t>Merck</w:t>
      </w:r>
      <w:proofErr w:type="spellEnd"/>
      <w:r w:rsidRPr="00D401FC">
        <w:rPr>
          <w:rFonts w:eastAsia="Arial"/>
          <w:bCs/>
          <w:i/>
          <w:iCs/>
        </w:rPr>
        <w:t xml:space="preserve"> </w:t>
      </w:r>
      <w:proofErr w:type="spellStart"/>
      <w:r w:rsidRPr="00D401FC">
        <w:rPr>
          <w:rFonts w:eastAsia="Arial"/>
          <w:bCs/>
          <w:i/>
          <w:iCs/>
        </w:rPr>
        <w:t>KGaA</w:t>
      </w:r>
      <w:proofErr w:type="spellEnd"/>
      <w:r w:rsidRPr="00382279">
        <w:rPr>
          <w:rFonts w:eastAsia="Arial"/>
          <w:bCs/>
        </w:rPr>
        <w:t xml:space="preserve"> remiamuose klinikiniuose tyrimuose. Iš viso 32 atvejai buvo laikomi sunkiais, o 14 – nesunkiais. Visais atvejais buvo įtariama, kad KHSS buvo susijęs su r-</w:t>
      </w:r>
      <w:proofErr w:type="spellStart"/>
      <w:r>
        <w:rPr>
          <w:rFonts w:eastAsia="Arial"/>
          <w:bCs/>
        </w:rPr>
        <w:t>ž</w:t>
      </w:r>
      <w:r w:rsidRPr="00382279">
        <w:rPr>
          <w:rFonts w:eastAsia="Arial"/>
          <w:bCs/>
        </w:rPr>
        <w:t>FSH</w:t>
      </w:r>
      <w:proofErr w:type="spellEnd"/>
      <w:r w:rsidRPr="00382279">
        <w:rPr>
          <w:rFonts w:eastAsia="Arial"/>
          <w:bCs/>
        </w:rPr>
        <w:t>/r-</w:t>
      </w:r>
      <w:proofErr w:type="spellStart"/>
      <w:r>
        <w:rPr>
          <w:rFonts w:eastAsia="Arial"/>
          <w:bCs/>
        </w:rPr>
        <w:t>ž</w:t>
      </w:r>
      <w:r w:rsidRPr="00382279">
        <w:rPr>
          <w:rFonts w:eastAsia="Arial"/>
          <w:bCs/>
        </w:rPr>
        <w:t>LH</w:t>
      </w:r>
      <w:proofErr w:type="spellEnd"/>
      <w:r w:rsidRPr="00382279">
        <w:rPr>
          <w:rFonts w:eastAsia="Arial"/>
          <w:bCs/>
        </w:rPr>
        <w:t xml:space="preserve"> vartojimu. Apskaičiuotas bendras visų sunkumo laipsnių KHSS pranešimų dažnis su r-</w:t>
      </w:r>
      <w:proofErr w:type="spellStart"/>
      <w:r>
        <w:rPr>
          <w:rFonts w:eastAsia="Arial"/>
          <w:bCs/>
        </w:rPr>
        <w:t>ž</w:t>
      </w:r>
      <w:r w:rsidRPr="00382279">
        <w:rPr>
          <w:rFonts w:eastAsia="Arial"/>
          <w:bCs/>
        </w:rPr>
        <w:t>FSH</w:t>
      </w:r>
      <w:proofErr w:type="spellEnd"/>
      <w:r w:rsidRPr="00382279">
        <w:rPr>
          <w:rFonts w:eastAsia="Arial"/>
          <w:bCs/>
        </w:rPr>
        <w:t>/r-</w:t>
      </w:r>
      <w:proofErr w:type="spellStart"/>
      <w:r>
        <w:rPr>
          <w:rFonts w:eastAsia="Arial"/>
          <w:bCs/>
        </w:rPr>
        <w:t>ž</w:t>
      </w:r>
      <w:r w:rsidRPr="00382279">
        <w:rPr>
          <w:rFonts w:eastAsia="Arial"/>
          <w:bCs/>
        </w:rPr>
        <w:t>LH</w:t>
      </w:r>
      <w:proofErr w:type="spellEnd"/>
      <w:r w:rsidRPr="00382279">
        <w:rPr>
          <w:rFonts w:eastAsia="Arial"/>
          <w:bCs/>
        </w:rPr>
        <w:t xml:space="preserve"> buvo 10,8 atvejai per 100,000 gydymo ciklų (0,011%). Buvo pranešta apie vieną mirtiną atvejį, kuris įvyko dėl komplikacijų, susijusių su KHSS. Globalioje saugumo duomenų bazėje nebuvo individualių saugumo pranešimų dėl krūties, kiaušidžių ar gimdos vėžio (įskaitant </w:t>
      </w:r>
      <w:proofErr w:type="spellStart"/>
      <w:r w:rsidRPr="00382279">
        <w:rPr>
          <w:rFonts w:eastAsia="Arial"/>
          <w:bCs/>
        </w:rPr>
        <w:t>endometriumo</w:t>
      </w:r>
      <w:proofErr w:type="spellEnd"/>
      <w:r w:rsidRPr="00382279">
        <w:rPr>
          <w:rFonts w:eastAsia="Arial"/>
          <w:bCs/>
        </w:rPr>
        <w:t xml:space="preserve"> ir gimdos kaklelio), buvo pranešta apie vieną piktybinės melanomos atvejį (apskaičiuotas bendras pranešimų dažnis – 0,2 atvejų per 100,000 gydymo ciklų; 0,0002</w:t>
      </w:r>
      <w:r>
        <w:rPr>
          <w:rFonts w:eastAsia="Arial"/>
          <w:bCs/>
        </w:rPr>
        <w:t xml:space="preserve"> proc.</w:t>
      </w:r>
      <w:r w:rsidRPr="00382279">
        <w:rPr>
          <w:rFonts w:eastAsia="Arial"/>
          <w:bCs/>
        </w:rPr>
        <w:t>). Šis atvejis buvo laikomas sunkiu su mirtina baigtimi. Nuo šio atvejo, kuris buvo praneštas 2010 m., kitų piktybinės melanomos atvejų nebuvo užregistruota.</w:t>
      </w:r>
      <w:r>
        <w:rPr>
          <w:rFonts w:eastAsia="Arial"/>
          <w:bCs/>
        </w:rPr>
        <w:t xml:space="preserve"> </w:t>
      </w:r>
    </w:p>
    <w:p w14:paraId="50085695" w14:textId="77777777" w:rsidR="001A5807" w:rsidRPr="00071FE6" w:rsidRDefault="001A5807" w:rsidP="00E85D42">
      <w:pPr>
        <w:tabs>
          <w:tab w:val="left" w:pos="492"/>
        </w:tabs>
        <w:spacing w:line="23" w:lineRule="atLeast"/>
        <w:ind w:firstLine="567"/>
        <w:contextualSpacing/>
        <w:jc w:val="both"/>
        <w:outlineLvl w:val="1"/>
      </w:pPr>
      <w:r>
        <w:rPr>
          <w:rFonts w:eastAsia="Arial"/>
          <w:bCs/>
        </w:rPr>
        <w:tab/>
      </w:r>
      <w:r w:rsidRPr="00B14079">
        <w:t>Apibendrinant klinikinio veiksmingumo rezultatus</w:t>
      </w:r>
      <w:r>
        <w:t>,</w:t>
      </w:r>
      <w:r w:rsidRPr="00071FE6">
        <w:t xml:space="preserve"> </w:t>
      </w:r>
      <w:r>
        <w:t>siekianti</w:t>
      </w:r>
      <w:r w:rsidRPr="00071FE6">
        <w:t xml:space="preserve"> stimuliuoti folikulų vystymąsi suaugusioms moterims su ryškiu LH ir FSH nepakankamumu</w:t>
      </w:r>
      <w:r>
        <w:t xml:space="preserve">, </w:t>
      </w:r>
      <w:proofErr w:type="spellStart"/>
      <w:r>
        <w:t>r</w:t>
      </w:r>
      <w:r w:rsidRPr="00071FE6">
        <w:t>ekombinantini</w:t>
      </w:r>
      <w:r>
        <w:t>o</w:t>
      </w:r>
      <w:proofErr w:type="spellEnd"/>
      <w:r>
        <w:t xml:space="preserve"> </w:t>
      </w:r>
      <w:r w:rsidRPr="00071FE6">
        <w:t xml:space="preserve">žmogaus </w:t>
      </w:r>
      <w:proofErr w:type="spellStart"/>
      <w:r w:rsidRPr="00071FE6">
        <w:t>folitropin</w:t>
      </w:r>
      <w:r>
        <w:t>o</w:t>
      </w:r>
      <w:proofErr w:type="spellEnd"/>
      <w:r w:rsidRPr="00071FE6">
        <w:t xml:space="preserve"> alfa ir </w:t>
      </w:r>
      <w:proofErr w:type="spellStart"/>
      <w:r w:rsidRPr="00071FE6">
        <w:t>rekombinantini</w:t>
      </w:r>
      <w:r>
        <w:t>o</w:t>
      </w:r>
      <w:proofErr w:type="spellEnd"/>
      <w:r w:rsidRPr="00071FE6">
        <w:t xml:space="preserve"> žmogaus </w:t>
      </w:r>
      <w:proofErr w:type="spellStart"/>
      <w:r w:rsidRPr="00071FE6">
        <w:t>lutropin</w:t>
      </w:r>
      <w:r>
        <w:t>o</w:t>
      </w:r>
      <w:proofErr w:type="spellEnd"/>
      <w:r w:rsidRPr="00071FE6">
        <w:t xml:space="preserve"> alfa</w:t>
      </w:r>
      <w:r>
        <w:t xml:space="preserve"> skyrimas, yra didesnis lyginant su įprastine Lietuvos klinikine praktika (</w:t>
      </w:r>
      <w:proofErr w:type="spellStart"/>
      <w:r>
        <w:t>menotropinu</w:t>
      </w:r>
      <w:proofErr w:type="spellEnd"/>
      <w:r>
        <w:t xml:space="preserve">). </w:t>
      </w:r>
    </w:p>
    <w:p w14:paraId="25F89291" w14:textId="5C45C8FC" w:rsidR="00D4485B" w:rsidRPr="00334F18" w:rsidRDefault="00D4485B" w:rsidP="00E85D42">
      <w:pPr>
        <w:pStyle w:val="Sraopastraipa"/>
        <w:tabs>
          <w:tab w:val="left" w:pos="426"/>
        </w:tabs>
        <w:spacing w:line="23" w:lineRule="atLeast"/>
        <w:ind w:left="0" w:firstLine="567"/>
        <w:jc w:val="both"/>
        <w:rPr>
          <w:b/>
          <w:bCs/>
          <w:caps/>
        </w:rPr>
      </w:pPr>
    </w:p>
    <w:p w14:paraId="7DE09EB5" w14:textId="69E9DD74" w:rsidR="00E03C3F" w:rsidRPr="00334F18" w:rsidRDefault="00CC7832" w:rsidP="00E85D42">
      <w:pPr>
        <w:pStyle w:val="Sraopastraipa"/>
        <w:numPr>
          <w:ilvl w:val="0"/>
          <w:numId w:val="12"/>
        </w:numPr>
        <w:tabs>
          <w:tab w:val="left" w:pos="567"/>
        </w:tabs>
        <w:spacing w:line="23" w:lineRule="atLeast"/>
        <w:ind w:left="0" w:firstLine="0"/>
        <w:jc w:val="both"/>
        <w:rPr>
          <w:b/>
          <w:bCs/>
          <w:caps/>
        </w:rPr>
      </w:pPr>
      <w:r w:rsidRPr="00334F18">
        <w:rPr>
          <w:b/>
          <w:bCs/>
          <w:caps/>
        </w:rPr>
        <w:t xml:space="preserve">ekonominio vertinimo </w:t>
      </w:r>
      <w:r w:rsidR="002F0E4F" w:rsidRPr="00334F18">
        <w:rPr>
          <w:b/>
          <w:bCs/>
          <w:caps/>
        </w:rPr>
        <w:t>apibendrinimas</w:t>
      </w:r>
    </w:p>
    <w:p w14:paraId="1A900598" w14:textId="4826E5DF" w:rsidR="00C62B36" w:rsidRDefault="00C62B36" w:rsidP="00E85D42">
      <w:pPr>
        <w:tabs>
          <w:tab w:val="left" w:pos="426"/>
        </w:tabs>
        <w:spacing w:line="23" w:lineRule="atLeast"/>
        <w:ind w:firstLine="567"/>
        <w:jc w:val="both"/>
        <w:rPr>
          <w:i/>
        </w:rPr>
      </w:pPr>
    </w:p>
    <w:p w14:paraId="3F37F769" w14:textId="096EC9A5" w:rsidR="0099487F" w:rsidRDefault="001A5807" w:rsidP="00E85D42">
      <w:pPr>
        <w:tabs>
          <w:tab w:val="left" w:pos="567"/>
        </w:tabs>
        <w:spacing w:line="23" w:lineRule="atLeast"/>
        <w:ind w:firstLine="567"/>
        <w:jc w:val="both"/>
        <w:rPr>
          <w:bCs/>
        </w:rPr>
      </w:pPr>
      <w:r>
        <w:rPr>
          <w:color w:val="000000"/>
          <w:lang w:eastAsia="lt-LT"/>
        </w:rPr>
        <w:t xml:space="preserve">Pareiškėjas vertinimui pateikė </w:t>
      </w:r>
      <w:r w:rsidRPr="001377AA">
        <w:rPr>
          <w:i/>
          <w:iCs/>
          <w:color w:val="000000"/>
          <w:lang w:eastAsia="lt-LT"/>
        </w:rPr>
        <w:t>kaštų efektyvumo analizę</w:t>
      </w:r>
      <w:r>
        <w:rPr>
          <w:color w:val="000000"/>
          <w:lang w:eastAsia="lt-LT"/>
        </w:rPr>
        <w:t>, kurioje neapskaičiuo</w:t>
      </w:r>
      <w:r w:rsidR="00BC5E51">
        <w:rPr>
          <w:color w:val="000000"/>
          <w:lang w:eastAsia="lt-LT"/>
        </w:rPr>
        <w:t>ti</w:t>
      </w:r>
      <w:r>
        <w:rPr>
          <w:color w:val="000000"/>
          <w:lang w:eastAsia="lt-LT"/>
        </w:rPr>
        <w:t xml:space="preserve"> </w:t>
      </w:r>
      <w:r>
        <w:rPr>
          <w:bCs/>
        </w:rPr>
        <w:t xml:space="preserve">nėštumo nulemti kokybiški gyvenimo metai </w:t>
      </w:r>
      <w:r w:rsidRPr="00CE14B7">
        <w:rPr>
          <w:bCs/>
        </w:rPr>
        <w:t>(angl. </w:t>
      </w:r>
      <w:r w:rsidRPr="00CE14B7">
        <w:rPr>
          <w:bCs/>
          <w:i/>
          <w:iCs/>
        </w:rPr>
        <w:t xml:space="preserve"> </w:t>
      </w:r>
      <w:proofErr w:type="spellStart"/>
      <w:r w:rsidRPr="00CE14B7">
        <w:rPr>
          <w:bCs/>
          <w:i/>
          <w:iCs/>
        </w:rPr>
        <w:t>quality-adjusted</w:t>
      </w:r>
      <w:proofErr w:type="spellEnd"/>
      <w:r w:rsidRPr="00CE14B7">
        <w:rPr>
          <w:bCs/>
          <w:i/>
          <w:iCs/>
        </w:rPr>
        <w:t xml:space="preserve"> </w:t>
      </w:r>
      <w:proofErr w:type="spellStart"/>
      <w:r w:rsidRPr="00CE14B7">
        <w:rPr>
          <w:bCs/>
          <w:i/>
          <w:iCs/>
        </w:rPr>
        <w:t>life</w:t>
      </w:r>
      <w:proofErr w:type="spellEnd"/>
      <w:r w:rsidRPr="00CE14B7">
        <w:rPr>
          <w:bCs/>
          <w:i/>
          <w:iCs/>
        </w:rPr>
        <w:t xml:space="preserve"> </w:t>
      </w:r>
      <w:proofErr w:type="spellStart"/>
      <w:r w:rsidRPr="00CE14B7">
        <w:rPr>
          <w:bCs/>
          <w:i/>
          <w:iCs/>
        </w:rPr>
        <w:t>year</w:t>
      </w:r>
      <w:proofErr w:type="spellEnd"/>
      <w:r w:rsidR="00195550">
        <w:rPr>
          <w:bCs/>
          <w:i/>
          <w:iCs/>
        </w:rPr>
        <w:t xml:space="preserve">, </w:t>
      </w:r>
      <w:r w:rsidRPr="00CE14B7">
        <w:rPr>
          <w:bCs/>
          <w:i/>
          <w:iCs/>
        </w:rPr>
        <w:t>QALY</w:t>
      </w:r>
      <w:r w:rsidRPr="00BC5E51">
        <w:t xml:space="preserve">), </w:t>
      </w:r>
      <w:r w:rsidRPr="00212F0A">
        <w:t xml:space="preserve">todėl </w:t>
      </w:r>
      <w:r>
        <w:t>vaistinio preparato sukuriama nauda iš ekonominio vertinimo perspektyvos negali būti nustatyta</w:t>
      </w:r>
      <w:r w:rsidRPr="00212F0A">
        <w:t>.</w:t>
      </w:r>
      <w:r>
        <w:t xml:space="preserve"> </w:t>
      </w:r>
      <w:r w:rsidRPr="00212F0A">
        <w:rPr>
          <w:bCs/>
        </w:rPr>
        <w:t xml:space="preserve">Vaistinio </w:t>
      </w:r>
      <w:r>
        <w:rPr>
          <w:bCs/>
        </w:rPr>
        <w:t>preparato klinikinis veiksmingumas įvertintas pagal folikulų stimuliacijos vaistiniu preparatu sukeltą nėštumų dažnį, o ekonominėje analizėje, kaštų dalyje yra apskaičiuojami papildomo nėštumo kaštai.</w:t>
      </w:r>
    </w:p>
    <w:p w14:paraId="049ABB88" w14:textId="611B5627" w:rsidR="001A5807" w:rsidRDefault="001A5807" w:rsidP="00E85D42">
      <w:pPr>
        <w:tabs>
          <w:tab w:val="left" w:pos="567"/>
        </w:tabs>
        <w:spacing w:line="23" w:lineRule="atLeast"/>
        <w:ind w:firstLine="567"/>
        <w:jc w:val="both"/>
        <w:rPr>
          <w:bCs/>
        </w:rPr>
      </w:pPr>
      <w:r>
        <w:rPr>
          <w:bCs/>
        </w:rPr>
        <w:t>Paraiškoje pateiktas ekonominės analizės metodas nėra priimtinas dėl šių priežasčių:</w:t>
      </w:r>
    </w:p>
    <w:p w14:paraId="3F19127E" w14:textId="77777777" w:rsidR="001A5807" w:rsidRPr="0099487F" w:rsidRDefault="001A5807" w:rsidP="0099487F">
      <w:pPr>
        <w:pStyle w:val="Sraopastraipa"/>
        <w:numPr>
          <w:ilvl w:val="0"/>
          <w:numId w:val="16"/>
        </w:numPr>
        <w:tabs>
          <w:tab w:val="left" w:pos="567"/>
        </w:tabs>
        <w:spacing w:line="23" w:lineRule="atLeast"/>
        <w:jc w:val="both"/>
        <w:rPr>
          <w:rFonts w:eastAsia="Calibri"/>
        </w:rPr>
      </w:pPr>
      <w:r w:rsidRPr="00777394">
        <w:t>Lietuvos Respublikos sveikatos apsaugos ministro 2002 m. balandžio 5 d. Nr. V-159 įsakymu „Dėl vaistinių preparatų ir medicinos pagalbos priemonių įrašymo į kompensavimo sąrašus ir jų keitimo tvarkos aprašo patvirtinimo“</w:t>
      </w:r>
      <w:r>
        <w:t xml:space="preserve"> (toliau – Įsakymas)</w:t>
      </w:r>
      <w:r w:rsidRPr="00777394">
        <w:t>, patvirtint</w:t>
      </w:r>
      <w:r>
        <w:t>ų</w:t>
      </w:r>
      <w:r w:rsidRPr="00777394">
        <w:t xml:space="preserve"> ekonominės analizės metmen</w:t>
      </w:r>
      <w:r>
        <w:t>ų</w:t>
      </w:r>
      <w:r w:rsidRPr="00CE7591">
        <w:t xml:space="preserve"> </w:t>
      </w:r>
      <w:r w:rsidRPr="0099487F">
        <w:rPr>
          <w:bCs/>
          <w:iCs/>
          <w:lang w:eastAsia="lt-LT"/>
        </w:rPr>
        <w:t>130 punkte nurodyta: „</w:t>
      </w:r>
      <w:r w:rsidRPr="0099487F">
        <w:rPr>
          <w:rFonts w:eastAsia="Calibri"/>
        </w:rPr>
        <w:t>Nesant pagrįstos galimybės apskaičiuoti papildomai sukurtus kokybiškus gyvenimo metus, gali būti taikomi kiti kaštų efektyvumą įrodantys skaičiavimai, kartu būtinai pateikiant atitinkamą pagrindimą“. Pagrindimas, kodėl vertinimui nepateikta kaštų naudingumo analizė, analizėje neskaičiuojami kokybiški gyvenimo metai (</w:t>
      </w:r>
      <w:proofErr w:type="spellStart"/>
      <w:r w:rsidRPr="0099487F">
        <w:rPr>
          <w:rFonts w:eastAsia="Calibri"/>
        </w:rPr>
        <w:t>QALY‘s</w:t>
      </w:r>
      <w:proofErr w:type="spellEnd"/>
      <w:r w:rsidRPr="0099487F">
        <w:rPr>
          <w:rFonts w:eastAsia="Calibri"/>
        </w:rPr>
        <w:t xml:space="preserve">) ir </w:t>
      </w:r>
      <w:proofErr w:type="spellStart"/>
      <w:r w:rsidRPr="0099487F">
        <w:rPr>
          <w:rFonts w:eastAsia="Calibri"/>
        </w:rPr>
        <w:t>inkrementinis</w:t>
      </w:r>
      <w:proofErr w:type="spellEnd"/>
      <w:r w:rsidRPr="0099487F">
        <w:rPr>
          <w:rFonts w:eastAsia="Calibri"/>
        </w:rPr>
        <w:t xml:space="preserve"> kaštų naudingumo koeficientas (ICER) paraiškoje nepateiktas;</w:t>
      </w:r>
    </w:p>
    <w:p w14:paraId="3FE74D8E" w14:textId="0489B37D" w:rsidR="001A5807" w:rsidRPr="0099487F" w:rsidRDefault="001A5807" w:rsidP="0099487F">
      <w:pPr>
        <w:pStyle w:val="Sraopastraipa"/>
        <w:numPr>
          <w:ilvl w:val="0"/>
          <w:numId w:val="16"/>
        </w:numPr>
        <w:tabs>
          <w:tab w:val="left" w:pos="567"/>
        </w:tabs>
        <w:spacing w:line="23" w:lineRule="atLeast"/>
        <w:jc w:val="both"/>
        <w:rPr>
          <w:bCs/>
        </w:rPr>
      </w:pPr>
      <w:r w:rsidRPr="00ED0DEE">
        <w:t>Įsakymu patvirti</w:t>
      </w:r>
      <w:r>
        <w:t>nt</w:t>
      </w:r>
      <w:r w:rsidRPr="00ED0DEE">
        <w:t xml:space="preserve">ų Ekonominės analizės metmenų </w:t>
      </w:r>
      <w:r w:rsidRPr="0099487F">
        <w:rPr>
          <w:rFonts w:eastAsia="Calibri"/>
        </w:rPr>
        <w:t>102 punkte nurodyta, jog</w:t>
      </w:r>
      <w:r w:rsidR="0099487F">
        <w:rPr>
          <w:rFonts w:eastAsia="Calibri"/>
        </w:rPr>
        <w:t xml:space="preserve"> </w:t>
      </w:r>
      <w:r w:rsidRPr="0099487F">
        <w:rPr>
          <w:rFonts w:eastAsia="Calibri"/>
        </w:rPr>
        <w:t xml:space="preserve"> „Rengiant Analizę, kaštų naudingumo analizė yra tinkamiausias metodas siekiant įrodyti vaistinio preparato kaštų efektyvumą“. Dėl šios priežasties, Tarnybai, siekiant nustatyti ar vaistinis preparatas </w:t>
      </w:r>
      <w:proofErr w:type="spellStart"/>
      <w:r w:rsidRPr="0099487F">
        <w:rPr>
          <w:rFonts w:eastAsia="Calibri"/>
        </w:rPr>
        <w:t>Pergoveris</w:t>
      </w:r>
      <w:proofErr w:type="spellEnd"/>
      <w:r w:rsidRPr="0099487F">
        <w:rPr>
          <w:rFonts w:eastAsia="Calibri"/>
        </w:rPr>
        <w:t xml:space="preserve"> yra kaštams naudingas, reikalinga įvertinti vaistinio preparato </w:t>
      </w:r>
      <w:proofErr w:type="spellStart"/>
      <w:r w:rsidRPr="0099487F">
        <w:rPr>
          <w:rFonts w:eastAsia="Calibri"/>
        </w:rPr>
        <w:t>Pergoveris</w:t>
      </w:r>
      <w:proofErr w:type="spellEnd"/>
      <w:r w:rsidRPr="0099487F">
        <w:rPr>
          <w:rFonts w:eastAsia="Calibri"/>
        </w:rPr>
        <w:t xml:space="preserve"> kaštų naudingumo analizę;</w:t>
      </w:r>
    </w:p>
    <w:p w14:paraId="27971C00" w14:textId="77777777" w:rsidR="001A5807" w:rsidRPr="0099487F" w:rsidRDefault="001A5807" w:rsidP="0099487F">
      <w:pPr>
        <w:pStyle w:val="Sraopastraipa"/>
        <w:numPr>
          <w:ilvl w:val="0"/>
          <w:numId w:val="16"/>
        </w:numPr>
        <w:pBdr>
          <w:top w:val="nil"/>
          <w:left w:val="nil"/>
          <w:bottom w:val="nil"/>
          <w:right w:val="nil"/>
          <w:between w:val="nil"/>
        </w:pBdr>
        <w:tabs>
          <w:tab w:val="left" w:pos="720"/>
        </w:tabs>
        <w:spacing w:line="23" w:lineRule="atLeast"/>
        <w:jc w:val="both"/>
        <w:rPr>
          <w:rFonts w:eastAsia="Calibri"/>
        </w:rPr>
      </w:pPr>
      <w:r w:rsidRPr="0099487F">
        <w:rPr>
          <w:rFonts w:eastAsia="Calibri"/>
        </w:rPr>
        <w:t xml:space="preserve">Tarnybos manymu, šioje situacijoje </w:t>
      </w:r>
      <w:proofErr w:type="spellStart"/>
      <w:r w:rsidRPr="0099487F">
        <w:rPr>
          <w:rFonts w:eastAsia="Calibri"/>
        </w:rPr>
        <w:t>QALY‘s</w:t>
      </w:r>
      <w:proofErr w:type="spellEnd"/>
      <w:r w:rsidRPr="0099487F">
        <w:rPr>
          <w:rFonts w:eastAsia="Calibri"/>
        </w:rPr>
        <w:t xml:space="preserve"> gali ir turi būti apskaičiuojami, nes galima įvertinti analizuojamų pacienčių gyvenimo kokybę skirtingose būklėse (iki pastojimo (patiriant LH ir FSH trūkumą), IVF procedūra (atskira būklė arba gyvenimo kokybės įverčio sumažėjimas atliekant procedūrą), pastojimas po IVF procedūros, nepastojimas po IVF procedūros, persileidimas (arba gyvenimo kokybės įverčio sumažėjimas patiriant persileidimą)) bei laiko trukmę, praleistą atitinkamoje būklėje (remiantis klinikinių tyrimų arba mokslinės literatūros duomenimis). Atliekant analizę reikia atsižvelgti ir į tokius klinikinius parametrus kaip nėštumų skaičius, teigiamas arba neigiamas </w:t>
      </w:r>
      <w:proofErr w:type="spellStart"/>
      <w:r w:rsidRPr="0099487F">
        <w:rPr>
          <w:rFonts w:eastAsia="Calibri"/>
        </w:rPr>
        <w:t>hCG</w:t>
      </w:r>
      <w:proofErr w:type="spellEnd"/>
      <w:r w:rsidRPr="0099487F">
        <w:rPr>
          <w:rFonts w:eastAsia="Calibri"/>
        </w:rPr>
        <w:t xml:space="preserve"> testas, klinikinis nėštumas, persileidimas, ciklas su embrionų užšaldymu ir nėštumo nutraukimas.</w:t>
      </w:r>
    </w:p>
    <w:p w14:paraId="333F61D0" w14:textId="02E0AA50" w:rsidR="00E37108" w:rsidRDefault="00BC5E51" w:rsidP="00E37108">
      <w:pPr>
        <w:tabs>
          <w:tab w:val="left" w:pos="567"/>
        </w:tabs>
        <w:jc w:val="both"/>
        <w:rPr>
          <w:rFonts w:eastAsia="Calibri"/>
        </w:rPr>
      </w:pPr>
      <w:r>
        <w:rPr>
          <w:bCs/>
        </w:rPr>
        <w:lastRenderedPageBreak/>
        <w:tab/>
      </w:r>
      <w:r w:rsidR="003435C1">
        <w:rPr>
          <w:bCs/>
        </w:rPr>
        <w:t>Atsižvelgiant į išdėstytus analizės trūkumus, Tarnyba kreipėsi į Pareiškėją, pateikdama esminį prieštaravimą dėl ekonominio vertinimo dalies</w:t>
      </w:r>
      <w:r w:rsidR="00E37108">
        <w:rPr>
          <w:bCs/>
        </w:rPr>
        <w:t xml:space="preserve">, kuriame buvo prašoma pateikti kaštų naudingumo analizę su vaistinio preparato sukuriamais </w:t>
      </w:r>
      <w:r w:rsidR="00E37108">
        <w:rPr>
          <w:rFonts w:eastAsia="Calibri"/>
        </w:rPr>
        <w:t>kokybiškais gyvenimo metais</w:t>
      </w:r>
      <w:r w:rsidR="00D84C4E">
        <w:rPr>
          <w:rFonts w:eastAsia="Calibri"/>
        </w:rPr>
        <w:t xml:space="preserve">, </w:t>
      </w:r>
      <w:proofErr w:type="spellStart"/>
      <w:r w:rsidR="00D84C4E">
        <w:rPr>
          <w:rFonts w:eastAsia="Calibri"/>
        </w:rPr>
        <w:t>t.y</w:t>
      </w:r>
      <w:proofErr w:type="spellEnd"/>
      <w:r w:rsidR="00D84C4E">
        <w:rPr>
          <w:rFonts w:eastAsia="Calibri"/>
        </w:rPr>
        <w:t xml:space="preserve">. </w:t>
      </w:r>
      <w:r w:rsidR="00E37108">
        <w:rPr>
          <w:rFonts w:eastAsia="Calibri"/>
        </w:rPr>
        <w:t xml:space="preserve">QALY, kurie gali būti apskaičiuoti remiantis </w:t>
      </w:r>
      <w:r w:rsidR="00E37108" w:rsidRPr="00CE7591">
        <w:rPr>
          <w:rFonts w:eastAsia="Calibri"/>
        </w:rPr>
        <w:t>klinikinių tyrimų arba mokslinės literatūros duomenimis</w:t>
      </w:r>
      <w:r w:rsidR="00E37108">
        <w:rPr>
          <w:rFonts w:eastAsia="Calibri"/>
        </w:rPr>
        <w:t xml:space="preserve">. </w:t>
      </w:r>
    </w:p>
    <w:p w14:paraId="6F7B97EA" w14:textId="74CE3718" w:rsidR="003435C1" w:rsidRDefault="00E37108" w:rsidP="00137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B7776F">
        <w:rPr>
          <w:bCs/>
        </w:rPr>
        <w:t xml:space="preserve">Atsakydamas į esminius prieštaravimus, </w:t>
      </w:r>
      <w:r w:rsidR="003435C1" w:rsidRPr="00B7776F">
        <w:rPr>
          <w:bCs/>
        </w:rPr>
        <w:t xml:space="preserve">Pareiškėjas </w:t>
      </w:r>
      <w:r w:rsidRPr="00B7776F">
        <w:rPr>
          <w:bCs/>
        </w:rPr>
        <w:t>nepateikė</w:t>
      </w:r>
      <w:r w:rsidR="003435C1" w:rsidRPr="00B7776F">
        <w:rPr>
          <w:bCs/>
        </w:rPr>
        <w:t xml:space="preserve"> kaštų</w:t>
      </w:r>
      <w:r w:rsidRPr="00B7776F">
        <w:rPr>
          <w:bCs/>
        </w:rPr>
        <w:t xml:space="preserve"> </w:t>
      </w:r>
      <w:r w:rsidR="003435C1" w:rsidRPr="00B7776F">
        <w:rPr>
          <w:bCs/>
        </w:rPr>
        <w:t>naudingumo analiz</w:t>
      </w:r>
      <w:r w:rsidRPr="00B7776F">
        <w:rPr>
          <w:bCs/>
        </w:rPr>
        <w:t>ės</w:t>
      </w:r>
      <w:r w:rsidR="00195550" w:rsidRPr="00B7776F">
        <w:rPr>
          <w:bCs/>
        </w:rPr>
        <w:t xml:space="preserve"> su apskaičiuotais nėštumo nulemtais kokybiškais gyvenimo metais </w:t>
      </w:r>
      <w:r w:rsidR="00D84C4E" w:rsidRPr="00B7776F">
        <w:rPr>
          <w:bCs/>
        </w:rPr>
        <w:t>(</w:t>
      </w:r>
      <w:r w:rsidR="00195550" w:rsidRPr="00B7776F">
        <w:rPr>
          <w:bCs/>
        </w:rPr>
        <w:t>QALY</w:t>
      </w:r>
      <w:r w:rsidR="00195550" w:rsidRPr="00B7776F">
        <w:t>)</w:t>
      </w:r>
      <w:r w:rsidR="00621830" w:rsidRPr="00B7776F">
        <w:t xml:space="preserve">, o remiantis pateiktais </w:t>
      </w:r>
      <w:r w:rsidR="00621830" w:rsidRPr="00B7776F">
        <w:rPr>
          <w:i/>
          <w:iCs/>
        </w:rPr>
        <w:t>kaštų efektyvumo</w:t>
      </w:r>
      <w:r w:rsidR="00621830" w:rsidRPr="00B7776F">
        <w:t xml:space="preserve"> duomenimis, neįmanoma nustatyti </w:t>
      </w:r>
      <w:proofErr w:type="spellStart"/>
      <w:r w:rsidR="00BD57A8" w:rsidRPr="00B7776F">
        <w:rPr>
          <w:rFonts w:eastAsia="Calibri"/>
        </w:rPr>
        <w:t>inkrementinio</w:t>
      </w:r>
      <w:proofErr w:type="spellEnd"/>
      <w:r w:rsidR="00BD57A8" w:rsidRPr="00B7776F">
        <w:rPr>
          <w:rFonts w:eastAsia="Calibri"/>
        </w:rPr>
        <w:t xml:space="preserve"> kaštų naudingumo koeficiento (ICER) ir priimti sprendimo dėl vaistinio preparato atitikties </w:t>
      </w:r>
      <w:r w:rsidR="00BD57A8" w:rsidRPr="00B7776F">
        <w:rPr>
          <w:sz w:val="23"/>
          <w:szCs w:val="23"/>
        </w:rPr>
        <w:t>referencinei naudingumo vertei taikant arba netaikant</w:t>
      </w:r>
      <w:r w:rsidR="00BD57A8" w:rsidRPr="00B7776F">
        <w:rPr>
          <w:b/>
          <w:bCs/>
          <w:sz w:val="23"/>
          <w:szCs w:val="23"/>
        </w:rPr>
        <w:t xml:space="preserve"> </w:t>
      </w:r>
      <w:r w:rsidR="00BD57A8" w:rsidRPr="00B7776F">
        <w:rPr>
          <w:sz w:val="23"/>
          <w:szCs w:val="23"/>
        </w:rPr>
        <w:t>PGS.</w:t>
      </w:r>
      <w:r w:rsidR="00BD57A8" w:rsidRPr="00B7776F">
        <w:rPr>
          <w:rFonts w:eastAsia="Calibri"/>
        </w:rPr>
        <w:t xml:space="preserve"> </w:t>
      </w:r>
      <w:r w:rsidR="001377AA" w:rsidRPr="00B7776F">
        <w:rPr>
          <w:rFonts w:eastAsia="Calibri"/>
        </w:rPr>
        <w:t xml:space="preserve">Apibendrinant, </w:t>
      </w:r>
      <w:r w:rsidR="003435C1" w:rsidRPr="00B7776F">
        <w:rPr>
          <w:bCs/>
        </w:rPr>
        <w:t>esminis prieštaravimas laikomas neišspręstu ir vertinama, jog Pareiškėjo pateikti duomenys yra netinkami vertin</w:t>
      </w:r>
      <w:r w:rsidR="001377AA" w:rsidRPr="00B7776F">
        <w:rPr>
          <w:bCs/>
        </w:rPr>
        <w:t>ti.</w:t>
      </w:r>
    </w:p>
    <w:p w14:paraId="33875138" w14:textId="77777777" w:rsidR="0035172D" w:rsidRPr="00334F18" w:rsidRDefault="0035172D" w:rsidP="00E85D42">
      <w:pPr>
        <w:tabs>
          <w:tab w:val="left" w:pos="426"/>
        </w:tabs>
        <w:spacing w:line="23" w:lineRule="atLeast"/>
        <w:ind w:firstLine="567"/>
        <w:jc w:val="both"/>
        <w:rPr>
          <w:b/>
          <w:bCs/>
          <w:caps/>
        </w:rPr>
      </w:pPr>
    </w:p>
    <w:p w14:paraId="4FC424F9" w14:textId="4E767245" w:rsidR="00C62B36" w:rsidRPr="00334F18" w:rsidRDefault="00C62B36" w:rsidP="00E85D42">
      <w:pPr>
        <w:pStyle w:val="Sraopastraipa"/>
        <w:numPr>
          <w:ilvl w:val="0"/>
          <w:numId w:val="12"/>
        </w:numPr>
        <w:tabs>
          <w:tab w:val="left" w:pos="567"/>
        </w:tabs>
        <w:ind w:hanging="720"/>
        <w:jc w:val="both"/>
        <w:rPr>
          <w:b/>
          <w:bCs/>
          <w:caps/>
        </w:rPr>
      </w:pPr>
      <w:r w:rsidRPr="00334F18">
        <w:rPr>
          <w:b/>
          <w:bCs/>
          <w:caps/>
        </w:rPr>
        <w:t xml:space="preserve">Pacientų organizacijų pateikti duomenys </w:t>
      </w:r>
    </w:p>
    <w:p w14:paraId="5A7BAE1D" w14:textId="77777777" w:rsidR="001A5807" w:rsidRDefault="001A5807" w:rsidP="00E85D42">
      <w:pPr>
        <w:spacing w:after="120"/>
        <w:jc w:val="both"/>
      </w:pPr>
    </w:p>
    <w:p w14:paraId="62992180" w14:textId="55D36287" w:rsidR="00937907" w:rsidRPr="00334F18" w:rsidRDefault="00937907" w:rsidP="00E85D42">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E85D42">
      <w:pPr>
        <w:spacing w:after="120"/>
        <w:jc w:val="both"/>
      </w:pPr>
    </w:p>
    <w:p w14:paraId="389A346C" w14:textId="004B1A45" w:rsidR="00937907" w:rsidRDefault="00D67BAF" w:rsidP="00E37108">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5D8CC48C" w14:textId="5C5A9A47" w:rsidR="00662983" w:rsidRPr="00334F18" w:rsidRDefault="00D67BAF" w:rsidP="00E85D42">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E85D42">
      <w:pPr>
        <w:spacing w:after="120"/>
        <w:jc w:val="both"/>
      </w:pPr>
    </w:p>
    <w:p w14:paraId="78F23ECB" w14:textId="3ED5BFD5" w:rsidR="002F0E4F" w:rsidRPr="00334F18" w:rsidRDefault="002F0E4F" w:rsidP="00E85D42">
      <w:pPr>
        <w:pStyle w:val="Sraopastraipa"/>
        <w:numPr>
          <w:ilvl w:val="0"/>
          <w:numId w:val="12"/>
        </w:numPr>
        <w:tabs>
          <w:tab w:val="left" w:pos="567"/>
        </w:tabs>
        <w:ind w:hanging="720"/>
        <w:jc w:val="both"/>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E85D42">
      <w:pPr>
        <w:ind w:left="360"/>
        <w:jc w:val="both"/>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3"/>
                <w:szCs w:val="23"/>
              </w:rPr>
            </w:pPr>
            <w:bookmarkStart w:id="1"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5A2F8920"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1A5807">
                  <w:rPr>
                    <w:rStyle w:val="Style2"/>
                    <w:rFonts w:ascii="MS Gothic" w:eastAsia="MS Gothic" w:hAnsi="MS Gothic" w:hint="eastAsia"/>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31D2B6FC" w:rsidR="00B811A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943849855"/>
                <w15:color w:val="FFCC00"/>
                <w14:checkbox>
                  <w14:checked w14:val="1"/>
                  <w14:checkedState w14:val="2612" w14:font="MS Gothic"/>
                  <w14:uncheckedState w14:val="2610" w14:font="MS Gothic"/>
                </w14:checkbox>
              </w:sdtPr>
              <w:sdtEndPr>
                <w:rPr>
                  <w:rStyle w:val="Style2"/>
                </w:rPr>
              </w:sdtEndPr>
              <w:sdtContent>
                <w:r w:rsidR="001A5807">
                  <w:rPr>
                    <w:rStyle w:val="Style2"/>
                    <w:rFonts w:ascii="MS Gothic" w:eastAsia="MS Gothic" w:hAnsi="MS Gothic" w:hint="eastAsia"/>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7C5A3CE" w:rsidR="007111C4" w:rsidRPr="00334F18" w:rsidRDefault="009B514C" w:rsidP="00E8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334F18">
                  <w:rPr>
                    <w:rStyle w:val="Style2"/>
                    <w:rFonts w:ascii="Segoe UI Symbol" w:eastAsia="MS Gothic" w:hAnsi="Segoe UI Symbol" w:cs="Segoe UI Symbol"/>
                    <w:sz w:val="23"/>
                    <w:szCs w:val="23"/>
                  </w:rPr>
                  <w:t>☐</w:t>
                </w:r>
              </w:sdtContent>
            </w:sdt>
            <w:r w:rsidR="007111C4" w:rsidRPr="00334F18">
              <w:rPr>
                <w:sz w:val="23"/>
                <w:szCs w:val="23"/>
              </w:rPr>
              <w:t xml:space="preserve"> Vykdant Aprašo &lt;17</w:t>
            </w:r>
            <w:r w:rsidR="007111C4" w:rsidRPr="00334F18">
              <w:rPr>
                <w:sz w:val="23"/>
                <w:szCs w:val="23"/>
                <w:vertAlign w:val="superscript"/>
              </w:rPr>
              <w:t>3</w:t>
            </w:r>
            <w:r w:rsidR="007111C4" w:rsidRPr="00334F18">
              <w:rPr>
                <w:sz w:val="23"/>
                <w:szCs w:val="23"/>
              </w:rPr>
              <w:t>.1&gt;&lt;17</w:t>
            </w:r>
            <w:r w:rsidR="007111C4" w:rsidRPr="00334F18">
              <w:rPr>
                <w:sz w:val="23"/>
                <w:szCs w:val="23"/>
                <w:vertAlign w:val="superscript"/>
              </w:rPr>
              <w:t>3</w:t>
            </w:r>
            <w:r w:rsidR="007111C4" w:rsidRPr="00334F18">
              <w:rPr>
                <w:sz w:val="23"/>
                <w:szCs w:val="23"/>
              </w:rPr>
              <w:t>.2&gt;&lt;17</w:t>
            </w:r>
            <w:r w:rsidR="007111C4" w:rsidRPr="00334F18">
              <w:rPr>
                <w:sz w:val="23"/>
                <w:szCs w:val="23"/>
                <w:vertAlign w:val="superscript"/>
              </w:rPr>
              <w:t>3</w:t>
            </w:r>
            <w:r w:rsidR="007111C4" w:rsidRPr="00334F18">
              <w:rPr>
                <w:sz w:val="23"/>
                <w:szCs w:val="23"/>
              </w:rPr>
              <w:t>.3&gt; punktą vaistinio (-ų) preparato (-ų) ekonominis vertinimas neatliekamas, išvados dėl kaštų naudingumo neteikiamos</w:t>
            </w:r>
          </w:p>
        </w:tc>
      </w:tr>
    </w:tbl>
    <w:p w14:paraId="08D5B3B6" w14:textId="292D1124" w:rsidR="0061611B" w:rsidRPr="00334F18" w:rsidRDefault="0061611B" w:rsidP="00E85D42">
      <w:pPr>
        <w:jc w:val="both"/>
        <w:rPr>
          <w:i/>
          <w:szCs w:val="22"/>
        </w:rPr>
      </w:pPr>
    </w:p>
    <w:p w14:paraId="1B85C083" w14:textId="77777777" w:rsidR="009E44AE" w:rsidRPr="00334F18" w:rsidRDefault="009E44AE" w:rsidP="00E85D42">
      <w:pPr>
        <w:jc w:val="both"/>
      </w:pPr>
    </w:p>
    <w:p w14:paraId="3B2D1F25" w14:textId="3A80E19F" w:rsidR="000001B0" w:rsidRPr="00334F18" w:rsidRDefault="000001B0" w:rsidP="00E85D42">
      <w:pPr>
        <w:pStyle w:val="Sraopastraipa"/>
        <w:numPr>
          <w:ilvl w:val="0"/>
          <w:numId w:val="12"/>
        </w:numPr>
        <w:ind w:left="567" w:hanging="567"/>
        <w:jc w:val="both"/>
      </w:pPr>
      <w:r w:rsidRPr="00334F18">
        <w:rPr>
          <w:b/>
        </w:rPr>
        <w:t>REKOME</w:t>
      </w:r>
      <w:r w:rsidR="00D83182" w:rsidRPr="00334F18">
        <w:rPr>
          <w:b/>
        </w:rPr>
        <w:t>N</w:t>
      </w:r>
      <w:r w:rsidRPr="00334F18">
        <w:rPr>
          <w:b/>
        </w:rPr>
        <w:t>DACIJA</w:t>
      </w:r>
    </w:p>
    <w:p w14:paraId="35E33D78" w14:textId="59232BB3" w:rsidR="00B811A4" w:rsidRPr="00334F18" w:rsidRDefault="00B811A4" w:rsidP="00E85D42">
      <w:pPr>
        <w:pStyle w:val="Sraopastraipa"/>
        <w:ind w:left="567"/>
        <w:jc w:val="both"/>
        <w:rPr>
          <w:b/>
        </w:rPr>
      </w:pPr>
    </w:p>
    <w:p w14:paraId="64796CD0" w14:textId="77777777" w:rsidR="0099487F" w:rsidRDefault="001A5807" w:rsidP="00E85D42">
      <w:pPr>
        <w:jc w:val="both"/>
        <w:rPr>
          <w:lang w:eastAsia="lt-LT"/>
        </w:rPr>
      </w:pPr>
      <w:r w:rsidRPr="00603B3A">
        <w:t xml:space="preserve">Vadovaujantis Aprašo </w:t>
      </w:r>
      <w:r w:rsidRPr="00603B3A">
        <w:rPr>
          <w:lang w:eastAsia="lt-LT"/>
        </w:rPr>
        <w:t>30</w:t>
      </w:r>
      <w:r w:rsidRPr="00603B3A">
        <w:rPr>
          <w:vertAlign w:val="superscript"/>
          <w:lang w:eastAsia="lt-LT"/>
        </w:rPr>
        <w:t>1</w:t>
      </w:r>
      <w:r w:rsidRPr="00603B3A">
        <w:rPr>
          <w:lang w:eastAsia="lt-LT"/>
        </w:rPr>
        <w:t xml:space="preserve">.4. papunkčiu rekomenduojama </w:t>
      </w:r>
      <w:r w:rsidRPr="00E85D42">
        <w:rPr>
          <w:b/>
          <w:bCs/>
          <w:lang w:eastAsia="lt-LT"/>
        </w:rPr>
        <w:t>nekompensuoti</w:t>
      </w:r>
      <w:r w:rsidRPr="00603B3A">
        <w:rPr>
          <w:lang w:eastAsia="lt-LT"/>
        </w:rPr>
        <w:t xml:space="preserve"> vaistinio preparato pagal paraiškoje nurodytą indikaciją (arba jos dalį) su arba be skyrimo sąlygų, taikant arba netaikant PGS, kai vertinimo išvados atitinka Aprašo 29.2.5 papunktyje numatytą sąlygą.</w:t>
      </w:r>
    </w:p>
    <w:p w14:paraId="33B8DE04" w14:textId="21505988" w:rsidR="00283E59" w:rsidRPr="00334F18" w:rsidRDefault="00283E59" w:rsidP="0099487F">
      <w:pPr>
        <w:jc w:val="center"/>
      </w:pPr>
      <w:r w:rsidRPr="00334F18">
        <w:rPr>
          <w:lang w:eastAsia="lt-LT"/>
        </w:rPr>
        <w:lastRenderedPageBreak/>
        <w:t>____________________________</w:t>
      </w:r>
    </w:p>
    <w:p w14:paraId="7CDFF220" w14:textId="58191D98" w:rsidR="000723FF" w:rsidRPr="00334F18" w:rsidRDefault="000723FF" w:rsidP="00E85D42">
      <w:pPr>
        <w:jc w:val="both"/>
        <w:rPr>
          <w:b/>
        </w:rPr>
      </w:pPr>
    </w:p>
    <w:sectPr w:rsidR="000723FF" w:rsidRPr="00334F18"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66A1" w14:textId="77777777" w:rsidR="009B514C" w:rsidRDefault="009B514C">
      <w:r>
        <w:separator/>
      </w:r>
    </w:p>
  </w:endnote>
  <w:endnote w:type="continuationSeparator" w:id="0">
    <w:p w14:paraId="41E3E880" w14:textId="77777777" w:rsidR="009B514C" w:rsidRDefault="009B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5D95" w14:textId="77777777" w:rsidR="009B514C" w:rsidRDefault="009B514C">
      <w:r>
        <w:separator/>
      </w:r>
    </w:p>
  </w:footnote>
  <w:footnote w:type="continuationSeparator" w:id="0">
    <w:p w14:paraId="369A9BFB" w14:textId="77777777" w:rsidR="009B514C" w:rsidRDefault="009B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22DDD"/>
    <w:multiLevelType w:val="hybridMultilevel"/>
    <w:tmpl w:val="8AD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D3098D"/>
    <w:multiLevelType w:val="hybridMultilevel"/>
    <w:tmpl w:val="C00E68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1"/>
  </w:num>
  <w:num w:numId="4" w16cid:durableId="442387534">
    <w:abstractNumId w:val="10"/>
  </w:num>
  <w:num w:numId="5" w16cid:durableId="823667834">
    <w:abstractNumId w:val="7"/>
  </w:num>
  <w:num w:numId="6" w16cid:durableId="417020125">
    <w:abstractNumId w:val="6"/>
  </w:num>
  <w:num w:numId="7" w16cid:durableId="1843550031">
    <w:abstractNumId w:val="4"/>
  </w:num>
  <w:num w:numId="8" w16cid:durableId="580068462">
    <w:abstractNumId w:val="15"/>
  </w:num>
  <w:num w:numId="9" w16cid:durableId="257183606">
    <w:abstractNumId w:val="0"/>
  </w:num>
  <w:num w:numId="10" w16cid:durableId="131410136">
    <w:abstractNumId w:val="12"/>
  </w:num>
  <w:num w:numId="11" w16cid:durableId="1133251921">
    <w:abstractNumId w:val="13"/>
  </w:num>
  <w:num w:numId="12" w16cid:durableId="700133012">
    <w:abstractNumId w:val="3"/>
  </w:num>
  <w:num w:numId="13" w16cid:durableId="373774129">
    <w:abstractNumId w:val="5"/>
  </w:num>
  <w:num w:numId="14" w16cid:durableId="1004668447">
    <w:abstractNumId w:val="1"/>
  </w:num>
  <w:num w:numId="15" w16cid:durableId="943028436">
    <w:abstractNumId w:val="9"/>
  </w:num>
  <w:num w:numId="16" w16cid:durableId="2058698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100491"/>
    <w:rsid w:val="00104E2E"/>
    <w:rsid w:val="00107287"/>
    <w:rsid w:val="00117194"/>
    <w:rsid w:val="00117406"/>
    <w:rsid w:val="00121EF0"/>
    <w:rsid w:val="00124A9E"/>
    <w:rsid w:val="00130703"/>
    <w:rsid w:val="0013153F"/>
    <w:rsid w:val="001377AA"/>
    <w:rsid w:val="001408B8"/>
    <w:rsid w:val="001466FE"/>
    <w:rsid w:val="001517E2"/>
    <w:rsid w:val="001521D9"/>
    <w:rsid w:val="001554E2"/>
    <w:rsid w:val="00164146"/>
    <w:rsid w:val="00164D64"/>
    <w:rsid w:val="0017369C"/>
    <w:rsid w:val="00175D57"/>
    <w:rsid w:val="00180C39"/>
    <w:rsid w:val="00180D96"/>
    <w:rsid w:val="00184BD3"/>
    <w:rsid w:val="001921F3"/>
    <w:rsid w:val="00195550"/>
    <w:rsid w:val="001A0CAA"/>
    <w:rsid w:val="001A5807"/>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D604A"/>
    <w:rsid w:val="002E0702"/>
    <w:rsid w:val="002E1A83"/>
    <w:rsid w:val="002E57AD"/>
    <w:rsid w:val="002E6F80"/>
    <w:rsid w:val="002F0E4F"/>
    <w:rsid w:val="002F1053"/>
    <w:rsid w:val="00314816"/>
    <w:rsid w:val="00317B0E"/>
    <w:rsid w:val="00334F18"/>
    <w:rsid w:val="00336238"/>
    <w:rsid w:val="003435C1"/>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144D"/>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2266"/>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581D"/>
    <w:rsid w:val="005F71D9"/>
    <w:rsid w:val="005F7602"/>
    <w:rsid w:val="006062BE"/>
    <w:rsid w:val="00613143"/>
    <w:rsid w:val="00613501"/>
    <w:rsid w:val="0061611B"/>
    <w:rsid w:val="006166A8"/>
    <w:rsid w:val="006174A1"/>
    <w:rsid w:val="00621830"/>
    <w:rsid w:val="00621D6C"/>
    <w:rsid w:val="00633B49"/>
    <w:rsid w:val="0064297F"/>
    <w:rsid w:val="00645102"/>
    <w:rsid w:val="00646CF3"/>
    <w:rsid w:val="00653D11"/>
    <w:rsid w:val="00662983"/>
    <w:rsid w:val="006834D3"/>
    <w:rsid w:val="006867AE"/>
    <w:rsid w:val="00692625"/>
    <w:rsid w:val="00695CD3"/>
    <w:rsid w:val="006A38B6"/>
    <w:rsid w:val="006B1987"/>
    <w:rsid w:val="006B5B71"/>
    <w:rsid w:val="006B5D3E"/>
    <w:rsid w:val="006B6CB0"/>
    <w:rsid w:val="006C2B64"/>
    <w:rsid w:val="006D1BF3"/>
    <w:rsid w:val="006D4C85"/>
    <w:rsid w:val="006D66AC"/>
    <w:rsid w:val="006E33F6"/>
    <w:rsid w:val="006F1251"/>
    <w:rsid w:val="006F1342"/>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4696"/>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2ED5"/>
    <w:rsid w:val="00903E16"/>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9487F"/>
    <w:rsid w:val="009952EE"/>
    <w:rsid w:val="009B37DB"/>
    <w:rsid w:val="009B514C"/>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7776F"/>
    <w:rsid w:val="00B811A4"/>
    <w:rsid w:val="00B81E92"/>
    <w:rsid w:val="00B908D7"/>
    <w:rsid w:val="00B935E8"/>
    <w:rsid w:val="00B93B30"/>
    <w:rsid w:val="00B94CB5"/>
    <w:rsid w:val="00BA0DD9"/>
    <w:rsid w:val="00BA5DBC"/>
    <w:rsid w:val="00BA6584"/>
    <w:rsid w:val="00BB6312"/>
    <w:rsid w:val="00BC39C2"/>
    <w:rsid w:val="00BC4D06"/>
    <w:rsid w:val="00BC5E51"/>
    <w:rsid w:val="00BD05E1"/>
    <w:rsid w:val="00BD57A8"/>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73E2C"/>
    <w:rsid w:val="00C9728E"/>
    <w:rsid w:val="00CA217D"/>
    <w:rsid w:val="00CA3131"/>
    <w:rsid w:val="00CC09D4"/>
    <w:rsid w:val="00CC4F5F"/>
    <w:rsid w:val="00CC668D"/>
    <w:rsid w:val="00CC7832"/>
    <w:rsid w:val="00CD488E"/>
    <w:rsid w:val="00CE4B0B"/>
    <w:rsid w:val="00CE6DAB"/>
    <w:rsid w:val="00CF0C1C"/>
    <w:rsid w:val="00CF27FD"/>
    <w:rsid w:val="00CF5F12"/>
    <w:rsid w:val="00D00D8F"/>
    <w:rsid w:val="00D1255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4C4E"/>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108"/>
    <w:rsid w:val="00E37C6F"/>
    <w:rsid w:val="00E475F8"/>
    <w:rsid w:val="00E5102E"/>
    <w:rsid w:val="00E5721C"/>
    <w:rsid w:val="00E619C6"/>
    <w:rsid w:val="00E70CED"/>
    <w:rsid w:val="00E745A1"/>
    <w:rsid w:val="00E81529"/>
    <w:rsid w:val="00E83A13"/>
    <w:rsid w:val="00E85D42"/>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C35A9"/>
    <w:rsid w:val="00237556"/>
    <w:rsid w:val="00286443"/>
    <w:rsid w:val="002C0686"/>
    <w:rsid w:val="002D604A"/>
    <w:rsid w:val="0039303B"/>
    <w:rsid w:val="004144A3"/>
    <w:rsid w:val="004160E7"/>
    <w:rsid w:val="004416C6"/>
    <w:rsid w:val="00456E96"/>
    <w:rsid w:val="0049144D"/>
    <w:rsid w:val="004C6221"/>
    <w:rsid w:val="004D038D"/>
    <w:rsid w:val="004F4E20"/>
    <w:rsid w:val="004F5AB2"/>
    <w:rsid w:val="005074B9"/>
    <w:rsid w:val="00563A5F"/>
    <w:rsid w:val="005B76A2"/>
    <w:rsid w:val="005C62E5"/>
    <w:rsid w:val="005E40DD"/>
    <w:rsid w:val="00601F4E"/>
    <w:rsid w:val="006867AE"/>
    <w:rsid w:val="006E6A2C"/>
    <w:rsid w:val="007219C1"/>
    <w:rsid w:val="007404A2"/>
    <w:rsid w:val="00745C63"/>
    <w:rsid w:val="00753462"/>
    <w:rsid w:val="00772325"/>
    <w:rsid w:val="007A2FE0"/>
    <w:rsid w:val="007C6D1D"/>
    <w:rsid w:val="007D654E"/>
    <w:rsid w:val="00853487"/>
    <w:rsid w:val="00892FF4"/>
    <w:rsid w:val="008C0DC0"/>
    <w:rsid w:val="0090074D"/>
    <w:rsid w:val="009019EA"/>
    <w:rsid w:val="00901A35"/>
    <w:rsid w:val="00903E16"/>
    <w:rsid w:val="009B3BF0"/>
    <w:rsid w:val="009D5E5E"/>
    <w:rsid w:val="009F1BB4"/>
    <w:rsid w:val="00A20D39"/>
    <w:rsid w:val="00A254A2"/>
    <w:rsid w:val="00AB2D54"/>
    <w:rsid w:val="00AB6ED4"/>
    <w:rsid w:val="00B1235F"/>
    <w:rsid w:val="00B14210"/>
    <w:rsid w:val="00B22ED6"/>
    <w:rsid w:val="00B23DC0"/>
    <w:rsid w:val="00B71F04"/>
    <w:rsid w:val="00B926BE"/>
    <w:rsid w:val="00B96656"/>
    <w:rsid w:val="00BA0A8E"/>
    <w:rsid w:val="00BE3364"/>
    <w:rsid w:val="00C2401D"/>
    <w:rsid w:val="00C250D7"/>
    <w:rsid w:val="00C53A68"/>
    <w:rsid w:val="00C66578"/>
    <w:rsid w:val="00CA5BB4"/>
    <w:rsid w:val="00CB4BD1"/>
    <w:rsid w:val="00CD139C"/>
    <w:rsid w:val="00CE2DA9"/>
    <w:rsid w:val="00CE44BE"/>
    <w:rsid w:val="00CE6DAB"/>
    <w:rsid w:val="00D008F3"/>
    <w:rsid w:val="00D0142D"/>
    <w:rsid w:val="00D04DFF"/>
    <w:rsid w:val="00D15ED6"/>
    <w:rsid w:val="00D20347"/>
    <w:rsid w:val="00D4356B"/>
    <w:rsid w:val="00D7162F"/>
    <w:rsid w:val="00DA599C"/>
    <w:rsid w:val="00DB4DB5"/>
    <w:rsid w:val="00DE4D10"/>
    <w:rsid w:val="00E44A86"/>
    <w:rsid w:val="00E522EB"/>
    <w:rsid w:val="00E60827"/>
    <w:rsid w:val="00EE112C"/>
    <w:rsid w:val="00EF6E0C"/>
    <w:rsid w:val="00F14477"/>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E112C"/>
    <w:rPr>
      <w:color w:val="808080"/>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13607</Words>
  <Characters>7757</Characters>
  <Application>Microsoft Office Word</Application>
  <DocSecurity>0</DocSecurity>
  <Lines>64</Lines>
  <Paragraphs>42</Paragraphs>
  <ScaleCrop>false</ScaleCrop>
  <Company/>
  <LinksUpToDate>false</LinksUpToDate>
  <CharactersWithSpaces>21322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2026-03-02T12:18:00Z</dcterms:created>
  <dcterms:modified xsi:type="dcterms:W3CDTF">2026-03-02T12:18:00Z</dcterms:modified>
</cp:coreProperties>
</file>