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3F3D" w14:textId="77777777" w:rsidR="001B3FBE" w:rsidRPr="003456E1" w:rsidRDefault="001B3FBE" w:rsidP="00125697">
      <w:pPr>
        <w:spacing w:after="0"/>
        <w:rPr>
          <w:sz w:val="24"/>
          <w:szCs w:val="24"/>
          <w:lang w:val="lt-LT"/>
        </w:rPr>
      </w:pPr>
    </w:p>
    <w:p w14:paraId="01F3B28C" w14:textId="77777777" w:rsidR="001B3FBE" w:rsidRPr="003456E1" w:rsidRDefault="001B3FBE" w:rsidP="00125697">
      <w:pPr>
        <w:spacing w:after="0"/>
        <w:rPr>
          <w:sz w:val="24"/>
          <w:szCs w:val="24"/>
          <w:lang w:val="lt-LT"/>
        </w:rPr>
      </w:pPr>
    </w:p>
    <w:p w14:paraId="62A52BAB" w14:textId="77777777" w:rsidR="001B3FBE" w:rsidRPr="003456E1" w:rsidRDefault="001B3FBE" w:rsidP="00125697">
      <w:pPr>
        <w:spacing w:after="0"/>
        <w:rPr>
          <w:sz w:val="24"/>
          <w:szCs w:val="24"/>
          <w:lang w:val="lt-LT"/>
        </w:rPr>
      </w:pPr>
    </w:p>
    <w:p w14:paraId="75893488" w14:textId="77777777" w:rsidR="001B3FBE" w:rsidRPr="003456E1" w:rsidRDefault="001B3FBE" w:rsidP="00125697">
      <w:pPr>
        <w:spacing w:after="0"/>
        <w:rPr>
          <w:sz w:val="24"/>
          <w:szCs w:val="24"/>
          <w:lang w:val="lt-LT"/>
        </w:rPr>
      </w:pPr>
    </w:p>
    <w:p w14:paraId="674728E2" w14:textId="77777777" w:rsidR="00125697" w:rsidRPr="003456E1" w:rsidRDefault="00125697" w:rsidP="00125697">
      <w:pPr>
        <w:spacing w:after="0"/>
        <w:rPr>
          <w:sz w:val="24"/>
          <w:szCs w:val="24"/>
          <w:lang w:val="lt-LT"/>
        </w:rPr>
      </w:pPr>
    </w:p>
    <w:p w14:paraId="2172F785" w14:textId="77777777" w:rsidR="00377F81" w:rsidRPr="003456E1" w:rsidRDefault="00377F81" w:rsidP="00125697">
      <w:pPr>
        <w:spacing w:after="0"/>
        <w:rPr>
          <w:sz w:val="24"/>
          <w:szCs w:val="24"/>
          <w:lang w:val="lt-LT"/>
        </w:rPr>
      </w:pPr>
    </w:p>
    <w:p w14:paraId="179B9C12" w14:textId="77777777" w:rsidR="007E2A10" w:rsidRDefault="007E2A10" w:rsidP="00125697">
      <w:pPr>
        <w:spacing w:after="0"/>
        <w:rPr>
          <w:sz w:val="24"/>
          <w:szCs w:val="24"/>
          <w:lang w:val="lt-LT"/>
        </w:rPr>
      </w:pPr>
    </w:p>
    <w:p w14:paraId="57E1B112" w14:textId="77777777" w:rsidR="00A738FC" w:rsidRDefault="00A738FC" w:rsidP="00E40655">
      <w:pPr>
        <w:jc w:val="both"/>
        <w:rPr>
          <w:b/>
          <w:bCs/>
          <w:sz w:val="24"/>
          <w:szCs w:val="24"/>
          <w:lang w:val="lt-LT"/>
        </w:rPr>
      </w:pPr>
    </w:p>
    <w:p w14:paraId="64086C74" w14:textId="55DED287" w:rsidR="004C66D0" w:rsidRPr="009B49A9" w:rsidRDefault="00647822" w:rsidP="00647822">
      <w:pPr>
        <w:rPr>
          <w:b/>
          <w:caps/>
          <w:color w:val="000000" w:themeColor="text1"/>
          <w:sz w:val="24"/>
          <w:szCs w:val="24"/>
          <w:lang w:val="lt-LT"/>
        </w:rPr>
      </w:pPr>
      <w:r w:rsidRPr="009B49A9">
        <w:rPr>
          <w:b/>
          <w:caps/>
          <w:color w:val="000000" w:themeColor="text1"/>
          <w:sz w:val="24"/>
          <w:szCs w:val="24"/>
          <w:lang w:val="lt-LT"/>
        </w:rPr>
        <w:t>Pranešimų apie įtariamas nepageidaujamas reakcijas į vaistus metinė ataskaita</w:t>
      </w:r>
    </w:p>
    <w:p w14:paraId="6BFED196" w14:textId="77777777" w:rsidR="000A4F4E" w:rsidRPr="009B49A9" w:rsidRDefault="000A4F4E" w:rsidP="000A4F4E">
      <w:pPr>
        <w:jc w:val="both"/>
        <w:rPr>
          <w:b/>
          <w:caps/>
          <w:color w:val="000000" w:themeColor="text1"/>
          <w:sz w:val="24"/>
          <w:szCs w:val="24"/>
          <w:lang w:val="lt-LT"/>
        </w:rPr>
      </w:pPr>
    </w:p>
    <w:p w14:paraId="7F19685A" w14:textId="6AC5CC94" w:rsidR="00DF22F0" w:rsidRPr="00102C79" w:rsidRDefault="00DF22F0" w:rsidP="00DF22F0">
      <w:pPr>
        <w:pStyle w:val="Betarp"/>
        <w:rPr>
          <w:b/>
          <w:sz w:val="24"/>
          <w:szCs w:val="24"/>
          <w:lang w:val="lt-LT"/>
        </w:rPr>
      </w:pPr>
      <w:r w:rsidRPr="00102C79">
        <w:rPr>
          <w:b/>
          <w:sz w:val="24"/>
          <w:szCs w:val="24"/>
          <w:lang w:val="lt-LT"/>
        </w:rPr>
        <w:t>Laikotarpis 2025-01-01 – 2025-12-31</w:t>
      </w:r>
    </w:p>
    <w:p w14:paraId="0CC54FEA" w14:textId="77777777" w:rsidR="00DF22F0" w:rsidRPr="00102C79" w:rsidRDefault="00DF22F0" w:rsidP="00DF22F0">
      <w:pPr>
        <w:pStyle w:val="Betarp"/>
        <w:rPr>
          <w:sz w:val="24"/>
          <w:szCs w:val="24"/>
          <w:lang w:val="lt-LT"/>
        </w:rPr>
      </w:pPr>
    </w:p>
    <w:p w14:paraId="3F614564" w14:textId="33A7EB61" w:rsidR="001617E1" w:rsidRDefault="00DF22F0" w:rsidP="00780AE1">
      <w:pPr>
        <w:pStyle w:val="Betarp"/>
        <w:ind w:firstLine="708"/>
        <w:jc w:val="both"/>
        <w:rPr>
          <w:bCs/>
          <w:sz w:val="24"/>
          <w:szCs w:val="24"/>
          <w:lang w:val="lt-LT"/>
        </w:rPr>
      </w:pPr>
      <w:r w:rsidRPr="00102C79">
        <w:rPr>
          <w:sz w:val="24"/>
          <w:szCs w:val="24"/>
          <w:lang w:val="lt-LT"/>
        </w:rPr>
        <w:t xml:space="preserve">Valstybinė vaistų kontrolės tarnyba prie Lietuvos Respublikos sveikatos apsaugos ministerijos (toliau – VVKT) 2025 m. </w:t>
      </w:r>
      <w:r w:rsidR="00DF7847">
        <w:rPr>
          <w:sz w:val="24"/>
          <w:szCs w:val="24"/>
          <w:lang w:val="lt-LT"/>
        </w:rPr>
        <w:t xml:space="preserve">iš viso </w:t>
      </w:r>
      <w:r w:rsidRPr="00102C79">
        <w:rPr>
          <w:sz w:val="24"/>
          <w:szCs w:val="24"/>
          <w:lang w:val="lt-LT"/>
        </w:rPr>
        <w:t xml:space="preserve">gavo </w:t>
      </w:r>
      <w:r w:rsidR="00DF7847">
        <w:rPr>
          <w:sz w:val="24"/>
          <w:szCs w:val="24"/>
          <w:lang w:val="lt-LT"/>
        </w:rPr>
        <w:t>1 </w:t>
      </w:r>
      <w:r w:rsidR="00DF7847" w:rsidRPr="00DF7847">
        <w:rPr>
          <w:sz w:val="24"/>
          <w:szCs w:val="24"/>
          <w:lang w:val="lt-LT"/>
        </w:rPr>
        <w:t>499</w:t>
      </w:r>
      <w:r w:rsidR="00DF7847">
        <w:rPr>
          <w:sz w:val="24"/>
          <w:szCs w:val="24"/>
          <w:lang w:val="lt-LT"/>
        </w:rPr>
        <w:t xml:space="preserve"> </w:t>
      </w:r>
      <w:r w:rsidRPr="00102C79">
        <w:rPr>
          <w:sz w:val="24"/>
          <w:szCs w:val="24"/>
          <w:lang w:val="lt-LT"/>
        </w:rPr>
        <w:t>pranešim</w:t>
      </w:r>
      <w:r w:rsidR="000F580F">
        <w:rPr>
          <w:sz w:val="24"/>
          <w:szCs w:val="24"/>
          <w:lang w:val="lt-LT"/>
        </w:rPr>
        <w:t xml:space="preserve">us </w:t>
      </w:r>
      <w:r w:rsidRPr="00102C79">
        <w:rPr>
          <w:sz w:val="24"/>
          <w:szCs w:val="24"/>
          <w:lang w:val="lt-LT"/>
        </w:rPr>
        <w:t>apie įtariamas nepageidaujamas reakcijas į vaistus ir vakcinas (toliau – ĮNR)</w:t>
      </w:r>
      <w:r w:rsidR="00DF7847">
        <w:rPr>
          <w:sz w:val="24"/>
          <w:szCs w:val="24"/>
          <w:lang w:val="lt-LT"/>
        </w:rPr>
        <w:t xml:space="preserve">, iš jų -  </w:t>
      </w:r>
      <w:r w:rsidR="00DF7847" w:rsidRPr="00DF7847">
        <w:rPr>
          <w:sz w:val="24"/>
          <w:szCs w:val="24"/>
          <w:lang w:val="lt-LT"/>
        </w:rPr>
        <w:t xml:space="preserve">1049 </w:t>
      </w:r>
      <w:r w:rsidR="00DF7847">
        <w:rPr>
          <w:sz w:val="24"/>
          <w:szCs w:val="24"/>
          <w:lang w:val="lt-LT"/>
        </w:rPr>
        <w:t xml:space="preserve">ĮNR pranešimai buvo pirminiai. Gauta </w:t>
      </w:r>
      <w:r w:rsidR="00DF7847" w:rsidRPr="00DF7847">
        <w:rPr>
          <w:sz w:val="24"/>
          <w:szCs w:val="24"/>
          <w:lang w:val="lt-LT"/>
        </w:rPr>
        <w:t xml:space="preserve">450 </w:t>
      </w:r>
      <w:r w:rsidR="00DF7847">
        <w:rPr>
          <w:sz w:val="24"/>
          <w:szCs w:val="24"/>
          <w:lang w:val="lt-LT"/>
        </w:rPr>
        <w:t xml:space="preserve">ĮNR </w:t>
      </w:r>
      <w:r w:rsidR="00DF7847" w:rsidRPr="00DF7847">
        <w:rPr>
          <w:sz w:val="24"/>
          <w:szCs w:val="24"/>
          <w:lang w:val="lt-LT"/>
        </w:rPr>
        <w:t>pranešimų</w:t>
      </w:r>
      <w:r w:rsidR="00DF7847">
        <w:rPr>
          <w:sz w:val="24"/>
          <w:szCs w:val="24"/>
          <w:lang w:val="lt-LT"/>
        </w:rPr>
        <w:t xml:space="preserve">, kurie buvo kaip </w:t>
      </w:r>
      <w:r w:rsidR="00DF7847" w:rsidRPr="00DF7847">
        <w:rPr>
          <w:sz w:val="24"/>
          <w:szCs w:val="24"/>
          <w:lang w:val="lt-LT"/>
        </w:rPr>
        <w:t xml:space="preserve">papildymai, </w:t>
      </w:r>
      <w:r w:rsidR="00DF7847">
        <w:rPr>
          <w:sz w:val="24"/>
          <w:szCs w:val="24"/>
          <w:lang w:val="lt-LT"/>
        </w:rPr>
        <w:t>pranešimai apie tą patį atvejį ir kt.</w:t>
      </w:r>
      <w:r w:rsidR="00DF7847" w:rsidRPr="00DF7847">
        <w:rPr>
          <w:sz w:val="24"/>
          <w:szCs w:val="24"/>
          <w:lang w:val="lt-LT"/>
        </w:rPr>
        <w:t xml:space="preserve"> </w:t>
      </w:r>
      <w:r w:rsidR="00DF7847">
        <w:rPr>
          <w:sz w:val="24"/>
          <w:szCs w:val="24"/>
          <w:lang w:val="lt-LT"/>
        </w:rPr>
        <w:t xml:space="preserve">Šie pranešimai </w:t>
      </w:r>
      <w:r w:rsidR="00DF7847" w:rsidRPr="00DF7847">
        <w:rPr>
          <w:sz w:val="24"/>
          <w:szCs w:val="24"/>
          <w:lang w:val="lt-LT"/>
        </w:rPr>
        <w:t>į bendrą analizuojamų pranešimų skaičių neįtraukiami</w:t>
      </w:r>
      <w:r w:rsidR="00DF7847">
        <w:rPr>
          <w:sz w:val="24"/>
          <w:szCs w:val="24"/>
          <w:lang w:val="lt-LT"/>
        </w:rPr>
        <w:t>.</w:t>
      </w:r>
      <w:r w:rsidRPr="00102C79">
        <w:rPr>
          <w:sz w:val="24"/>
          <w:szCs w:val="24"/>
          <w:lang w:val="lt-LT"/>
        </w:rPr>
        <w:t xml:space="preserve"> </w:t>
      </w:r>
      <w:r w:rsidRPr="00102C79">
        <w:rPr>
          <w:bCs/>
          <w:sz w:val="24"/>
          <w:szCs w:val="24"/>
          <w:lang w:val="lt-LT"/>
        </w:rPr>
        <w:t xml:space="preserve">Ataskaitiniais metais, </w:t>
      </w:r>
      <w:r w:rsidR="00DF7847">
        <w:rPr>
          <w:bCs/>
          <w:sz w:val="24"/>
          <w:szCs w:val="24"/>
          <w:lang w:val="lt-LT"/>
        </w:rPr>
        <w:t xml:space="preserve">pirminių </w:t>
      </w:r>
      <w:r w:rsidRPr="00102C79">
        <w:rPr>
          <w:bCs/>
          <w:sz w:val="24"/>
          <w:szCs w:val="24"/>
          <w:lang w:val="lt-LT"/>
        </w:rPr>
        <w:t>pranešimų apie ĮNR skaičius, lyginant su  2024 metais padidėjo (gauta 11</w:t>
      </w:r>
      <w:r w:rsidR="00A9352F" w:rsidRPr="00102C79">
        <w:rPr>
          <w:bCs/>
          <w:sz w:val="24"/>
          <w:szCs w:val="24"/>
          <w:lang w:val="lt-LT"/>
        </w:rPr>
        <w:t>7</w:t>
      </w:r>
      <w:r w:rsidRPr="00102C79">
        <w:rPr>
          <w:bCs/>
          <w:sz w:val="24"/>
          <w:szCs w:val="24"/>
          <w:lang w:val="lt-LT"/>
        </w:rPr>
        <w:t xml:space="preserve"> pranešim</w:t>
      </w:r>
      <w:r w:rsidR="0094036B" w:rsidRPr="00102C79">
        <w:rPr>
          <w:bCs/>
          <w:sz w:val="24"/>
          <w:szCs w:val="24"/>
          <w:lang w:val="lt-LT"/>
        </w:rPr>
        <w:t>ų</w:t>
      </w:r>
      <w:r w:rsidRPr="00102C79">
        <w:rPr>
          <w:bCs/>
          <w:sz w:val="24"/>
          <w:szCs w:val="24"/>
          <w:lang w:val="lt-LT"/>
        </w:rPr>
        <w:t xml:space="preserve"> daugiau). </w:t>
      </w:r>
      <w:bookmarkStart w:id="0" w:name="_Hlk160713304"/>
      <w:r w:rsidR="00393D72">
        <w:rPr>
          <w:bCs/>
          <w:sz w:val="24"/>
          <w:szCs w:val="24"/>
          <w:lang w:val="lt-LT"/>
        </w:rPr>
        <w:t>97 pranešimai buvo registruoti apie vakcinas (19 pranešimų daugiau nei 2024 m.), kiti 952 (98 daugiau nei 2024 m.) pranešimai apie kitus vaistus.</w:t>
      </w:r>
    </w:p>
    <w:bookmarkEnd w:id="0"/>
    <w:p w14:paraId="68E3BFEB" w14:textId="10F1BCD2" w:rsidR="00DF22F0" w:rsidRPr="00102C79" w:rsidRDefault="00DF22F0" w:rsidP="00780AE1">
      <w:pPr>
        <w:pStyle w:val="Betarp"/>
        <w:ind w:firstLine="708"/>
        <w:jc w:val="both"/>
        <w:rPr>
          <w:sz w:val="24"/>
          <w:szCs w:val="24"/>
          <w:lang w:val="lt-LT"/>
        </w:rPr>
      </w:pPr>
      <w:r w:rsidRPr="00102C79">
        <w:rPr>
          <w:sz w:val="24"/>
          <w:szCs w:val="24"/>
          <w:lang w:val="lt-LT"/>
        </w:rPr>
        <w:t>ĮNR</w:t>
      </w:r>
      <w:r w:rsidR="008C455D">
        <w:rPr>
          <w:sz w:val="24"/>
          <w:szCs w:val="24"/>
          <w:lang w:val="lt-LT"/>
        </w:rPr>
        <w:t xml:space="preserve"> pirminių</w:t>
      </w:r>
      <w:r w:rsidRPr="00102C79">
        <w:rPr>
          <w:sz w:val="24"/>
          <w:szCs w:val="24"/>
          <w:lang w:val="lt-LT"/>
        </w:rPr>
        <w:t xml:space="preserve"> pranešimų skaičiaus dinamika 20</w:t>
      </w:r>
      <w:r w:rsidR="009B49A9" w:rsidRPr="00102C79">
        <w:rPr>
          <w:sz w:val="24"/>
          <w:szCs w:val="24"/>
          <w:lang w:val="lt-LT"/>
        </w:rPr>
        <w:t>21</w:t>
      </w:r>
      <w:r w:rsidRPr="00102C79">
        <w:rPr>
          <w:sz w:val="24"/>
          <w:szCs w:val="24"/>
          <w:lang w:val="lt-LT"/>
        </w:rPr>
        <w:t xml:space="preserve"> - 202</w:t>
      </w:r>
      <w:r w:rsidR="009B49A9" w:rsidRPr="00102C79">
        <w:rPr>
          <w:sz w:val="24"/>
          <w:szCs w:val="24"/>
          <w:lang w:val="lt-LT"/>
        </w:rPr>
        <w:t>5</w:t>
      </w:r>
      <w:r w:rsidRPr="00102C79">
        <w:rPr>
          <w:sz w:val="24"/>
          <w:szCs w:val="24"/>
          <w:lang w:val="lt-LT"/>
        </w:rPr>
        <w:t xml:space="preserve"> m. pavaizduota 1 lentelėje</w:t>
      </w:r>
      <w:r w:rsidR="003A5342" w:rsidRPr="00102C79">
        <w:rPr>
          <w:sz w:val="24"/>
          <w:szCs w:val="24"/>
          <w:lang w:val="lt-LT"/>
        </w:rPr>
        <w:t xml:space="preserve">. </w:t>
      </w:r>
    </w:p>
    <w:p w14:paraId="3E5D1A30" w14:textId="77777777" w:rsidR="00DF22F0" w:rsidRDefault="00DF22F0" w:rsidP="00DF22F0">
      <w:pPr>
        <w:pStyle w:val="Betarp"/>
        <w:rPr>
          <w:sz w:val="24"/>
          <w:szCs w:val="24"/>
          <w:lang w:val="lt-LT"/>
        </w:rPr>
      </w:pPr>
    </w:p>
    <w:p w14:paraId="6C7F40AF" w14:textId="77777777" w:rsidR="00377FD5" w:rsidRPr="00DF22F0" w:rsidRDefault="00377FD5" w:rsidP="00DF22F0">
      <w:pPr>
        <w:pStyle w:val="Betarp"/>
        <w:rPr>
          <w:sz w:val="24"/>
          <w:szCs w:val="24"/>
          <w:lang w:val="lt-LT"/>
        </w:rPr>
      </w:pPr>
    </w:p>
    <w:p w14:paraId="04467F3B" w14:textId="59C48ADC" w:rsidR="00DF22F0" w:rsidRPr="00023928" w:rsidRDefault="00DF22F0" w:rsidP="00DF22F0">
      <w:pPr>
        <w:pStyle w:val="Betarp"/>
        <w:rPr>
          <w:color w:val="EE0000"/>
          <w:sz w:val="24"/>
          <w:szCs w:val="24"/>
          <w:lang w:val="lt-LT"/>
        </w:rPr>
      </w:pPr>
      <w:r w:rsidRPr="00DF22F0">
        <w:rPr>
          <w:b/>
          <w:sz w:val="24"/>
          <w:szCs w:val="24"/>
          <w:lang w:val="lt-LT"/>
        </w:rPr>
        <w:t>1 lentelė.</w:t>
      </w:r>
      <w:r w:rsidRPr="00DF22F0">
        <w:rPr>
          <w:b/>
          <w:bCs/>
          <w:sz w:val="24"/>
          <w:szCs w:val="24"/>
          <w:lang w:val="lt-LT"/>
        </w:rPr>
        <w:t xml:space="preserve"> ĮNR</w:t>
      </w:r>
      <w:r w:rsidR="00B809E2">
        <w:rPr>
          <w:b/>
          <w:bCs/>
          <w:sz w:val="24"/>
          <w:szCs w:val="24"/>
          <w:lang w:val="lt-LT"/>
        </w:rPr>
        <w:t xml:space="preserve"> pirminių</w:t>
      </w:r>
      <w:r w:rsidRPr="00DF22F0">
        <w:rPr>
          <w:b/>
          <w:bCs/>
          <w:sz w:val="24"/>
          <w:szCs w:val="24"/>
          <w:lang w:val="lt-LT"/>
        </w:rPr>
        <w:t xml:space="preserve"> pranešimų skaičius 20</w:t>
      </w:r>
      <w:r w:rsidR="009B49A9">
        <w:rPr>
          <w:b/>
          <w:bCs/>
          <w:sz w:val="24"/>
          <w:szCs w:val="24"/>
          <w:lang w:val="lt-LT"/>
        </w:rPr>
        <w:t>21</w:t>
      </w:r>
      <w:r w:rsidRPr="00DF22F0">
        <w:rPr>
          <w:b/>
          <w:bCs/>
          <w:sz w:val="24"/>
          <w:szCs w:val="24"/>
          <w:lang w:val="lt-LT"/>
        </w:rPr>
        <w:t>-202</w:t>
      </w:r>
      <w:r w:rsidR="009B49A9">
        <w:rPr>
          <w:b/>
          <w:bCs/>
          <w:sz w:val="24"/>
          <w:szCs w:val="24"/>
          <w:lang w:val="lt-LT"/>
        </w:rPr>
        <w:t>5</w:t>
      </w:r>
      <w:r w:rsidRPr="00DF22F0">
        <w:rPr>
          <w:b/>
          <w:bCs/>
          <w:sz w:val="24"/>
          <w:szCs w:val="24"/>
          <w:lang w:val="lt-LT"/>
        </w:rPr>
        <w:t xml:space="preserve"> metais</w:t>
      </w:r>
      <w:r w:rsidR="00B17A20">
        <w:rPr>
          <w:b/>
          <w:bCs/>
          <w:sz w:val="24"/>
          <w:szCs w:val="24"/>
          <w:lang w:val="lt-LT"/>
        </w:rPr>
        <w:t xml:space="preserve"> </w:t>
      </w:r>
    </w:p>
    <w:p w14:paraId="5D419405" w14:textId="77777777" w:rsidR="002810FB" w:rsidRPr="00DF22F0" w:rsidRDefault="002810FB" w:rsidP="00DF22F0">
      <w:pPr>
        <w:pStyle w:val="Betarp"/>
        <w:rPr>
          <w:b/>
          <w:bCs/>
          <w:sz w:val="24"/>
          <w:szCs w:val="24"/>
          <w:lang w:val="lt-LT"/>
        </w:rPr>
      </w:pPr>
    </w:p>
    <w:tbl>
      <w:tblPr>
        <w:tblW w:w="9593" w:type="dxa"/>
        <w:tblLook w:val="04A0" w:firstRow="1" w:lastRow="0" w:firstColumn="1" w:lastColumn="0" w:noHBand="0" w:noVBand="1"/>
      </w:tblPr>
      <w:tblGrid>
        <w:gridCol w:w="895"/>
        <w:gridCol w:w="1398"/>
        <w:gridCol w:w="1504"/>
        <w:gridCol w:w="1398"/>
        <w:gridCol w:w="1398"/>
        <w:gridCol w:w="1376"/>
        <w:gridCol w:w="1624"/>
      </w:tblGrid>
      <w:tr w:rsidR="003F0F40" w:rsidRPr="003F0F40" w14:paraId="7578C4FF" w14:textId="77777777" w:rsidTr="00377FD5">
        <w:trPr>
          <w:trHeight w:val="1761"/>
        </w:trPr>
        <w:tc>
          <w:tcPr>
            <w:tcW w:w="895" w:type="dxa"/>
            <w:tcBorders>
              <w:top w:val="single" w:sz="4" w:space="0" w:color="auto"/>
              <w:left w:val="single" w:sz="4" w:space="0" w:color="auto"/>
              <w:bottom w:val="single" w:sz="4" w:space="0" w:color="auto"/>
              <w:right w:val="single" w:sz="4" w:space="0" w:color="auto"/>
            </w:tcBorders>
            <w:vAlign w:val="center"/>
            <w:hideMark/>
          </w:tcPr>
          <w:p w14:paraId="3D24637D"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Metai</w:t>
            </w:r>
          </w:p>
        </w:tc>
        <w:tc>
          <w:tcPr>
            <w:tcW w:w="1398" w:type="dxa"/>
            <w:tcBorders>
              <w:top w:val="single" w:sz="4" w:space="0" w:color="auto"/>
              <w:left w:val="nil"/>
              <w:bottom w:val="single" w:sz="4" w:space="0" w:color="auto"/>
              <w:right w:val="single" w:sz="4" w:space="0" w:color="auto"/>
            </w:tcBorders>
            <w:vAlign w:val="center"/>
            <w:hideMark/>
          </w:tcPr>
          <w:p w14:paraId="38099158" w14:textId="64891543"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Bendras</w:t>
            </w:r>
            <w:r w:rsidR="0084589A">
              <w:rPr>
                <w:rFonts w:eastAsia="Times New Roman" w:cs="Times New Roman"/>
                <w:color w:val="000000"/>
                <w:sz w:val="24"/>
                <w:szCs w:val="24"/>
                <w:lang w:val="lt-LT" w:eastAsia="lt-LT"/>
              </w:rPr>
              <w:t xml:space="preserve"> </w:t>
            </w:r>
            <w:r w:rsidR="0084589A" w:rsidRPr="00377FD5">
              <w:rPr>
                <w:rFonts w:eastAsia="Times New Roman" w:cs="Times New Roman"/>
                <w:color w:val="000000" w:themeColor="text1"/>
                <w:sz w:val="24"/>
                <w:szCs w:val="24"/>
                <w:lang w:val="lt-LT" w:eastAsia="lt-LT"/>
              </w:rPr>
              <w:t>pirminių</w:t>
            </w:r>
            <w:r w:rsidRPr="00377FD5">
              <w:rPr>
                <w:rFonts w:eastAsia="Times New Roman" w:cs="Times New Roman"/>
                <w:color w:val="000000" w:themeColor="text1"/>
                <w:sz w:val="24"/>
                <w:szCs w:val="24"/>
                <w:lang w:val="lt-LT" w:eastAsia="lt-LT"/>
              </w:rPr>
              <w:t xml:space="preserve"> </w:t>
            </w:r>
            <w:r w:rsidRPr="003F0F40">
              <w:rPr>
                <w:rFonts w:eastAsia="Times New Roman" w:cs="Times New Roman"/>
                <w:color w:val="000000"/>
                <w:sz w:val="24"/>
                <w:szCs w:val="24"/>
                <w:lang w:val="lt-LT" w:eastAsia="lt-LT"/>
              </w:rPr>
              <w:t>pranešimų skaičius</w:t>
            </w:r>
          </w:p>
        </w:tc>
        <w:tc>
          <w:tcPr>
            <w:tcW w:w="1504" w:type="dxa"/>
            <w:tcBorders>
              <w:top w:val="single" w:sz="4" w:space="0" w:color="auto"/>
              <w:left w:val="nil"/>
              <w:bottom w:val="single" w:sz="4" w:space="0" w:color="auto"/>
              <w:right w:val="single" w:sz="4" w:space="0" w:color="auto"/>
            </w:tcBorders>
            <w:vAlign w:val="center"/>
            <w:hideMark/>
          </w:tcPr>
          <w:p w14:paraId="6219BC20"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Spontaninių pranešimų skaičius</w:t>
            </w:r>
          </w:p>
        </w:tc>
        <w:tc>
          <w:tcPr>
            <w:tcW w:w="1398" w:type="dxa"/>
            <w:tcBorders>
              <w:top w:val="single" w:sz="4" w:space="0" w:color="auto"/>
              <w:left w:val="nil"/>
              <w:bottom w:val="single" w:sz="4" w:space="0" w:color="auto"/>
              <w:right w:val="single" w:sz="4" w:space="0" w:color="auto"/>
            </w:tcBorders>
            <w:vAlign w:val="center"/>
            <w:hideMark/>
          </w:tcPr>
          <w:p w14:paraId="10530BB1"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ĮNR pranešimų skaičius iš literatūros šaltinių</w:t>
            </w:r>
          </w:p>
        </w:tc>
        <w:tc>
          <w:tcPr>
            <w:tcW w:w="1398" w:type="dxa"/>
            <w:tcBorders>
              <w:top w:val="single" w:sz="4" w:space="0" w:color="auto"/>
              <w:left w:val="nil"/>
              <w:bottom w:val="single" w:sz="4" w:space="0" w:color="auto"/>
              <w:right w:val="nil"/>
            </w:tcBorders>
            <w:vAlign w:val="center"/>
            <w:hideMark/>
          </w:tcPr>
          <w:p w14:paraId="5CF446A3"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ĮNR pranešimų skaičius iš studijų</w:t>
            </w:r>
          </w:p>
        </w:tc>
        <w:tc>
          <w:tcPr>
            <w:tcW w:w="1376" w:type="dxa"/>
            <w:tcBorders>
              <w:top w:val="single" w:sz="4" w:space="0" w:color="auto"/>
              <w:left w:val="single" w:sz="4" w:space="0" w:color="auto"/>
              <w:bottom w:val="single" w:sz="4" w:space="0" w:color="auto"/>
              <w:right w:val="single" w:sz="4" w:space="0" w:color="auto"/>
            </w:tcBorders>
            <w:vAlign w:val="center"/>
            <w:hideMark/>
          </w:tcPr>
          <w:p w14:paraId="2246C40B"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Sunkių ĮNR pranešimų skaičius</w:t>
            </w:r>
          </w:p>
        </w:tc>
        <w:tc>
          <w:tcPr>
            <w:tcW w:w="1624" w:type="dxa"/>
            <w:tcBorders>
              <w:top w:val="single" w:sz="4" w:space="0" w:color="auto"/>
              <w:left w:val="nil"/>
              <w:bottom w:val="single" w:sz="4" w:space="0" w:color="auto"/>
              <w:right w:val="single" w:sz="4" w:space="0" w:color="auto"/>
            </w:tcBorders>
            <w:vAlign w:val="center"/>
            <w:hideMark/>
          </w:tcPr>
          <w:p w14:paraId="0FDB91E5"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Pranešimų apie vakcinų sukeltas ĮNR skaičius</w:t>
            </w:r>
          </w:p>
        </w:tc>
      </w:tr>
      <w:tr w:rsidR="003F0F40" w:rsidRPr="003F0F40" w14:paraId="2BED60CF" w14:textId="77777777" w:rsidTr="00377FD5">
        <w:trPr>
          <w:trHeight w:val="357"/>
        </w:trPr>
        <w:tc>
          <w:tcPr>
            <w:tcW w:w="895" w:type="dxa"/>
            <w:tcBorders>
              <w:top w:val="nil"/>
              <w:left w:val="single" w:sz="4" w:space="0" w:color="auto"/>
              <w:bottom w:val="single" w:sz="4" w:space="0" w:color="auto"/>
              <w:right w:val="single" w:sz="4" w:space="0" w:color="auto"/>
            </w:tcBorders>
            <w:vAlign w:val="center"/>
            <w:hideMark/>
          </w:tcPr>
          <w:p w14:paraId="352A5D6E"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2021</w:t>
            </w:r>
          </w:p>
        </w:tc>
        <w:tc>
          <w:tcPr>
            <w:tcW w:w="1398" w:type="dxa"/>
            <w:tcBorders>
              <w:top w:val="nil"/>
              <w:left w:val="nil"/>
              <w:bottom w:val="single" w:sz="4" w:space="0" w:color="auto"/>
              <w:right w:val="single" w:sz="4" w:space="0" w:color="auto"/>
            </w:tcBorders>
            <w:vAlign w:val="center"/>
            <w:hideMark/>
          </w:tcPr>
          <w:p w14:paraId="354F02ED"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7609</w:t>
            </w:r>
          </w:p>
        </w:tc>
        <w:tc>
          <w:tcPr>
            <w:tcW w:w="1504" w:type="dxa"/>
            <w:tcBorders>
              <w:top w:val="nil"/>
              <w:left w:val="nil"/>
              <w:bottom w:val="single" w:sz="4" w:space="0" w:color="auto"/>
              <w:right w:val="single" w:sz="4" w:space="0" w:color="auto"/>
            </w:tcBorders>
            <w:vAlign w:val="center"/>
            <w:hideMark/>
          </w:tcPr>
          <w:p w14:paraId="33302041"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7479</w:t>
            </w:r>
          </w:p>
        </w:tc>
        <w:tc>
          <w:tcPr>
            <w:tcW w:w="1398" w:type="dxa"/>
            <w:tcBorders>
              <w:top w:val="nil"/>
              <w:left w:val="nil"/>
              <w:bottom w:val="single" w:sz="4" w:space="0" w:color="auto"/>
              <w:right w:val="single" w:sz="4" w:space="0" w:color="auto"/>
            </w:tcBorders>
            <w:vAlign w:val="center"/>
            <w:hideMark/>
          </w:tcPr>
          <w:p w14:paraId="58523581"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81</w:t>
            </w:r>
          </w:p>
        </w:tc>
        <w:tc>
          <w:tcPr>
            <w:tcW w:w="1398" w:type="dxa"/>
            <w:tcBorders>
              <w:top w:val="nil"/>
              <w:left w:val="nil"/>
              <w:bottom w:val="single" w:sz="4" w:space="0" w:color="auto"/>
              <w:right w:val="nil"/>
            </w:tcBorders>
            <w:vAlign w:val="center"/>
            <w:hideMark/>
          </w:tcPr>
          <w:p w14:paraId="64DB722C"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49</w:t>
            </w:r>
          </w:p>
        </w:tc>
        <w:tc>
          <w:tcPr>
            <w:tcW w:w="1376" w:type="dxa"/>
            <w:tcBorders>
              <w:top w:val="nil"/>
              <w:left w:val="single" w:sz="4" w:space="0" w:color="auto"/>
              <w:bottom w:val="single" w:sz="4" w:space="0" w:color="auto"/>
              <w:right w:val="single" w:sz="4" w:space="0" w:color="auto"/>
            </w:tcBorders>
            <w:vAlign w:val="center"/>
            <w:hideMark/>
          </w:tcPr>
          <w:p w14:paraId="51B7F9CB"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713</w:t>
            </w:r>
          </w:p>
        </w:tc>
        <w:tc>
          <w:tcPr>
            <w:tcW w:w="1624" w:type="dxa"/>
            <w:tcBorders>
              <w:top w:val="nil"/>
              <w:left w:val="nil"/>
              <w:bottom w:val="single" w:sz="4" w:space="0" w:color="auto"/>
              <w:right w:val="single" w:sz="4" w:space="0" w:color="auto"/>
            </w:tcBorders>
            <w:vAlign w:val="center"/>
            <w:hideMark/>
          </w:tcPr>
          <w:p w14:paraId="19F6CB99"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6876</w:t>
            </w:r>
          </w:p>
        </w:tc>
      </w:tr>
      <w:tr w:rsidR="003F0F40" w:rsidRPr="003F0F40" w14:paraId="0138CFFD" w14:textId="77777777" w:rsidTr="00377FD5">
        <w:trPr>
          <w:trHeight w:val="357"/>
        </w:trPr>
        <w:tc>
          <w:tcPr>
            <w:tcW w:w="895" w:type="dxa"/>
            <w:tcBorders>
              <w:top w:val="nil"/>
              <w:left w:val="single" w:sz="4" w:space="0" w:color="auto"/>
              <w:bottom w:val="single" w:sz="4" w:space="0" w:color="auto"/>
              <w:right w:val="single" w:sz="4" w:space="0" w:color="auto"/>
            </w:tcBorders>
            <w:vAlign w:val="center"/>
            <w:hideMark/>
          </w:tcPr>
          <w:p w14:paraId="4CA7AFD4"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2022</w:t>
            </w:r>
          </w:p>
        </w:tc>
        <w:tc>
          <w:tcPr>
            <w:tcW w:w="1398" w:type="dxa"/>
            <w:tcBorders>
              <w:top w:val="nil"/>
              <w:left w:val="nil"/>
              <w:bottom w:val="single" w:sz="4" w:space="0" w:color="auto"/>
              <w:right w:val="single" w:sz="4" w:space="0" w:color="auto"/>
            </w:tcBorders>
            <w:vAlign w:val="center"/>
            <w:hideMark/>
          </w:tcPr>
          <w:p w14:paraId="58112E8F"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2003</w:t>
            </w:r>
          </w:p>
        </w:tc>
        <w:tc>
          <w:tcPr>
            <w:tcW w:w="1504" w:type="dxa"/>
            <w:tcBorders>
              <w:top w:val="nil"/>
              <w:left w:val="nil"/>
              <w:bottom w:val="single" w:sz="4" w:space="0" w:color="auto"/>
              <w:right w:val="single" w:sz="4" w:space="0" w:color="auto"/>
            </w:tcBorders>
            <w:vAlign w:val="center"/>
            <w:hideMark/>
          </w:tcPr>
          <w:p w14:paraId="2633F5EC"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1900</w:t>
            </w:r>
          </w:p>
        </w:tc>
        <w:tc>
          <w:tcPr>
            <w:tcW w:w="1398" w:type="dxa"/>
            <w:tcBorders>
              <w:top w:val="nil"/>
              <w:left w:val="nil"/>
              <w:bottom w:val="single" w:sz="4" w:space="0" w:color="auto"/>
              <w:right w:val="single" w:sz="4" w:space="0" w:color="auto"/>
            </w:tcBorders>
            <w:vAlign w:val="center"/>
            <w:hideMark/>
          </w:tcPr>
          <w:p w14:paraId="326E2DA3"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65</w:t>
            </w:r>
          </w:p>
        </w:tc>
        <w:tc>
          <w:tcPr>
            <w:tcW w:w="1398" w:type="dxa"/>
            <w:tcBorders>
              <w:top w:val="nil"/>
              <w:left w:val="nil"/>
              <w:bottom w:val="single" w:sz="4" w:space="0" w:color="auto"/>
              <w:right w:val="single" w:sz="4" w:space="0" w:color="auto"/>
            </w:tcBorders>
            <w:vAlign w:val="center"/>
            <w:hideMark/>
          </w:tcPr>
          <w:p w14:paraId="47D983F5"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38</w:t>
            </w:r>
          </w:p>
        </w:tc>
        <w:tc>
          <w:tcPr>
            <w:tcW w:w="1376" w:type="dxa"/>
            <w:tcBorders>
              <w:top w:val="nil"/>
              <w:left w:val="nil"/>
              <w:bottom w:val="single" w:sz="4" w:space="0" w:color="auto"/>
              <w:right w:val="single" w:sz="4" w:space="0" w:color="auto"/>
            </w:tcBorders>
            <w:vAlign w:val="center"/>
            <w:hideMark/>
          </w:tcPr>
          <w:p w14:paraId="7EA81B40"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358</w:t>
            </w:r>
          </w:p>
        </w:tc>
        <w:tc>
          <w:tcPr>
            <w:tcW w:w="1624" w:type="dxa"/>
            <w:tcBorders>
              <w:top w:val="nil"/>
              <w:left w:val="nil"/>
              <w:bottom w:val="single" w:sz="4" w:space="0" w:color="auto"/>
              <w:right w:val="single" w:sz="4" w:space="0" w:color="auto"/>
            </w:tcBorders>
            <w:vAlign w:val="center"/>
            <w:hideMark/>
          </w:tcPr>
          <w:p w14:paraId="122A70DF"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1264</w:t>
            </w:r>
          </w:p>
        </w:tc>
      </w:tr>
      <w:tr w:rsidR="003F0F40" w:rsidRPr="003F0F40" w14:paraId="4A9F8F91" w14:textId="77777777" w:rsidTr="00377FD5">
        <w:trPr>
          <w:trHeight w:val="357"/>
        </w:trPr>
        <w:tc>
          <w:tcPr>
            <w:tcW w:w="895" w:type="dxa"/>
            <w:tcBorders>
              <w:top w:val="nil"/>
              <w:left w:val="single" w:sz="4" w:space="0" w:color="auto"/>
              <w:bottom w:val="single" w:sz="4" w:space="0" w:color="auto"/>
              <w:right w:val="single" w:sz="4" w:space="0" w:color="auto"/>
            </w:tcBorders>
            <w:vAlign w:val="center"/>
            <w:hideMark/>
          </w:tcPr>
          <w:p w14:paraId="7B8FE07E"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2023</w:t>
            </w:r>
          </w:p>
        </w:tc>
        <w:tc>
          <w:tcPr>
            <w:tcW w:w="1398" w:type="dxa"/>
            <w:tcBorders>
              <w:top w:val="nil"/>
              <w:left w:val="nil"/>
              <w:bottom w:val="single" w:sz="4" w:space="0" w:color="auto"/>
              <w:right w:val="single" w:sz="4" w:space="0" w:color="auto"/>
            </w:tcBorders>
            <w:vAlign w:val="center"/>
            <w:hideMark/>
          </w:tcPr>
          <w:p w14:paraId="59A43BD5"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953</w:t>
            </w:r>
          </w:p>
        </w:tc>
        <w:tc>
          <w:tcPr>
            <w:tcW w:w="1504" w:type="dxa"/>
            <w:tcBorders>
              <w:top w:val="nil"/>
              <w:left w:val="nil"/>
              <w:bottom w:val="single" w:sz="4" w:space="0" w:color="auto"/>
              <w:right w:val="single" w:sz="4" w:space="0" w:color="auto"/>
            </w:tcBorders>
            <w:vAlign w:val="center"/>
            <w:hideMark/>
          </w:tcPr>
          <w:p w14:paraId="0C983BB7"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844</w:t>
            </w:r>
          </w:p>
        </w:tc>
        <w:tc>
          <w:tcPr>
            <w:tcW w:w="1398" w:type="dxa"/>
            <w:tcBorders>
              <w:top w:val="nil"/>
              <w:left w:val="nil"/>
              <w:bottom w:val="single" w:sz="4" w:space="0" w:color="auto"/>
              <w:right w:val="single" w:sz="4" w:space="0" w:color="auto"/>
            </w:tcBorders>
            <w:vAlign w:val="center"/>
            <w:hideMark/>
          </w:tcPr>
          <w:p w14:paraId="47378D15"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55</w:t>
            </w:r>
          </w:p>
        </w:tc>
        <w:tc>
          <w:tcPr>
            <w:tcW w:w="1398" w:type="dxa"/>
            <w:tcBorders>
              <w:top w:val="nil"/>
              <w:left w:val="nil"/>
              <w:bottom w:val="single" w:sz="4" w:space="0" w:color="auto"/>
              <w:right w:val="single" w:sz="4" w:space="0" w:color="auto"/>
            </w:tcBorders>
            <w:vAlign w:val="center"/>
            <w:hideMark/>
          </w:tcPr>
          <w:p w14:paraId="392C41E9"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54</w:t>
            </w:r>
          </w:p>
        </w:tc>
        <w:tc>
          <w:tcPr>
            <w:tcW w:w="1376" w:type="dxa"/>
            <w:tcBorders>
              <w:top w:val="nil"/>
              <w:left w:val="nil"/>
              <w:bottom w:val="single" w:sz="4" w:space="0" w:color="auto"/>
              <w:right w:val="single" w:sz="4" w:space="0" w:color="auto"/>
            </w:tcBorders>
            <w:vAlign w:val="center"/>
            <w:hideMark/>
          </w:tcPr>
          <w:p w14:paraId="71E954F8"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287</w:t>
            </w:r>
          </w:p>
        </w:tc>
        <w:tc>
          <w:tcPr>
            <w:tcW w:w="1624" w:type="dxa"/>
            <w:tcBorders>
              <w:top w:val="nil"/>
              <w:left w:val="nil"/>
              <w:bottom w:val="single" w:sz="4" w:space="0" w:color="auto"/>
              <w:right w:val="single" w:sz="4" w:space="0" w:color="auto"/>
            </w:tcBorders>
            <w:vAlign w:val="center"/>
            <w:hideMark/>
          </w:tcPr>
          <w:p w14:paraId="1F6D9952"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90</w:t>
            </w:r>
          </w:p>
        </w:tc>
      </w:tr>
      <w:tr w:rsidR="003F0F40" w:rsidRPr="003F0F40" w14:paraId="2862D078" w14:textId="77777777" w:rsidTr="00377FD5">
        <w:trPr>
          <w:trHeight w:val="357"/>
        </w:trPr>
        <w:tc>
          <w:tcPr>
            <w:tcW w:w="895" w:type="dxa"/>
            <w:tcBorders>
              <w:top w:val="nil"/>
              <w:left w:val="single" w:sz="4" w:space="0" w:color="auto"/>
              <w:bottom w:val="single" w:sz="4" w:space="0" w:color="auto"/>
              <w:right w:val="single" w:sz="4" w:space="0" w:color="auto"/>
            </w:tcBorders>
            <w:vAlign w:val="center"/>
            <w:hideMark/>
          </w:tcPr>
          <w:p w14:paraId="66539107"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2024</w:t>
            </w:r>
          </w:p>
        </w:tc>
        <w:tc>
          <w:tcPr>
            <w:tcW w:w="1398" w:type="dxa"/>
            <w:tcBorders>
              <w:top w:val="nil"/>
              <w:left w:val="nil"/>
              <w:bottom w:val="single" w:sz="4" w:space="0" w:color="auto"/>
              <w:right w:val="single" w:sz="4" w:space="0" w:color="auto"/>
            </w:tcBorders>
            <w:vAlign w:val="center"/>
            <w:hideMark/>
          </w:tcPr>
          <w:p w14:paraId="2EEFB434"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932</w:t>
            </w:r>
          </w:p>
        </w:tc>
        <w:tc>
          <w:tcPr>
            <w:tcW w:w="1504" w:type="dxa"/>
            <w:tcBorders>
              <w:top w:val="nil"/>
              <w:left w:val="nil"/>
              <w:bottom w:val="single" w:sz="4" w:space="0" w:color="auto"/>
              <w:right w:val="single" w:sz="4" w:space="0" w:color="auto"/>
            </w:tcBorders>
            <w:vAlign w:val="center"/>
            <w:hideMark/>
          </w:tcPr>
          <w:p w14:paraId="3CE0EFA1"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838</w:t>
            </w:r>
          </w:p>
        </w:tc>
        <w:tc>
          <w:tcPr>
            <w:tcW w:w="1398" w:type="dxa"/>
            <w:tcBorders>
              <w:top w:val="nil"/>
              <w:left w:val="nil"/>
              <w:bottom w:val="single" w:sz="4" w:space="0" w:color="auto"/>
              <w:right w:val="single" w:sz="4" w:space="0" w:color="auto"/>
            </w:tcBorders>
            <w:vAlign w:val="center"/>
            <w:hideMark/>
          </w:tcPr>
          <w:p w14:paraId="1C55CAEF"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63</w:t>
            </w:r>
          </w:p>
        </w:tc>
        <w:tc>
          <w:tcPr>
            <w:tcW w:w="1398" w:type="dxa"/>
            <w:tcBorders>
              <w:top w:val="nil"/>
              <w:left w:val="nil"/>
              <w:bottom w:val="single" w:sz="4" w:space="0" w:color="auto"/>
              <w:right w:val="single" w:sz="4" w:space="0" w:color="auto"/>
            </w:tcBorders>
            <w:vAlign w:val="center"/>
            <w:hideMark/>
          </w:tcPr>
          <w:p w14:paraId="2256E554"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31</w:t>
            </w:r>
          </w:p>
        </w:tc>
        <w:tc>
          <w:tcPr>
            <w:tcW w:w="1376" w:type="dxa"/>
            <w:tcBorders>
              <w:top w:val="nil"/>
              <w:left w:val="nil"/>
              <w:bottom w:val="single" w:sz="4" w:space="0" w:color="auto"/>
              <w:right w:val="single" w:sz="4" w:space="0" w:color="auto"/>
            </w:tcBorders>
            <w:vAlign w:val="center"/>
            <w:hideMark/>
          </w:tcPr>
          <w:p w14:paraId="7AA88B53"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243</w:t>
            </w:r>
          </w:p>
        </w:tc>
        <w:tc>
          <w:tcPr>
            <w:tcW w:w="1624" w:type="dxa"/>
            <w:tcBorders>
              <w:top w:val="nil"/>
              <w:left w:val="nil"/>
              <w:bottom w:val="single" w:sz="4" w:space="0" w:color="auto"/>
              <w:right w:val="single" w:sz="4" w:space="0" w:color="auto"/>
            </w:tcBorders>
            <w:vAlign w:val="center"/>
            <w:hideMark/>
          </w:tcPr>
          <w:p w14:paraId="2EF5D7C1"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78</w:t>
            </w:r>
          </w:p>
        </w:tc>
      </w:tr>
      <w:tr w:rsidR="003F0F40" w:rsidRPr="003F0F40" w14:paraId="5B72A501" w14:textId="77777777" w:rsidTr="00377FD5">
        <w:trPr>
          <w:trHeight w:val="357"/>
        </w:trPr>
        <w:tc>
          <w:tcPr>
            <w:tcW w:w="895" w:type="dxa"/>
            <w:tcBorders>
              <w:top w:val="nil"/>
              <w:left w:val="single" w:sz="4" w:space="0" w:color="auto"/>
              <w:bottom w:val="single" w:sz="4" w:space="0" w:color="auto"/>
              <w:right w:val="single" w:sz="4" w:space="0" w:color="auto"/>
            </w:tcBorders>
            <w:noWrap/>
            <w:vAlign w:val="center"/>
            <w:hideMark/>
          </w:tcPr>
          <w:p w14:paraId="71E45EC3"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2025</w:t>
            </w:r>
          </w:p>
        </w:tc>
        <w:tc>
          <w:tcPr>
            <w:tcW w:w="1398" w:type="dxa"/>
            <w:tcBorders>
              <w:top w:val="nil"/>
              <w:left w:val="nil"/>
              <w:bottom w:val="single" w:sz="4" w:space="0" w:color="auto"/>
              <w:right w:val="single" w:sz="4" w:space="0" w:color="auto"/>
            </w:tcBorders>
            <w:noWrap/>
            <w:vAlign w:val="center"/>
            <w:hideMark/>
          </w:tcPr>
          <w:p w14:paraId="61145081"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1049</w:t>
            </w:r>
          </w:p>
        </w:tc>
        <w:tc>
          <w:tcPr>
            <w:tcW w:w="1504" w:type="dxa"/>
            <w:tcBorders>
              <w:top w:val="nil"/>
              <w:left w:val="nil"/>
              <w:bottom w:val="single" w:sz="4" w:space="0" w:color="auto"/>
              <w:right w:val="single" w:sz="4" w:space="0" w:color="auto"/>
            </w:tcBorders>
            <w:noWrap/>
            <w:vAlign w:val="center"/>
            <w:hideMark/>
          </w:tcPr>
          <w:p w14:paraId="636153D5"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923</w:t>
            </w:r>
          </w:p>
        </w:tc>
        <w:tc>
          <w:tcPr>
            <w:tcW w:w="1398" w:type="dxa"/>
            <w:tcBorders>
              <w:top w:val="nil"/>
              <w:left w:val="nil"/>
              <w:bottom w:val="single" w:sz="4" w:space="0" w:color="auto"/>
              <w:right w:val="single" w:sz="4" w:space="0" w:color="auto"/>
            </w:tcBorders>
            <w:noWrap/>
            <w:vAlign w:val="center"/>
            <w:hideMark/>
          </w:tcPr>
          <w:p w14:paraId="27D9EC98"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80</w:t>
            </w:r>
          </w:p>
        </w:tc>
        <w:tc>
          <w:tcPr>
            <w:tcW w:w="1398" w:type="dxa"/>
            <w:tcBorders>
              <w:top w:val="nil"/>
              <w:left w:val="nil"/>
              <w:bottom w:val="single" w:sz="4" w:space="0" w:color="auto"/>
              <w:right w:val="single" w:sz="4" w:space="0" w:color="auto"/>
            </w:tcBorders>
            <w:noWrap/>
            <w:vAlign w:val="center"/>
            <w:hideMark/>
          </w:tcPr>
          <w:p w14:paraId="6E56515E"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46</w:t>
            </w:r>
          </w:p>
        </w:tc>
        <w:tc>
          <w:tcPr>
            <w:tcW w:w="1376" w:type="dxa"/>
            <w:tcBorders>
              <w:top w:val="nil"/>
              <w:left w:val="nil"/>
              <w:bottom w:val="single" w:sz="4" w:space="0" w:color="auto"/>
              <w:right w:val="single" w:sz="4" w:space="0" w:color="auto"/>
            </w:tcBorders>
            <w:noWrap/>
            <w:vAlign w:val="center"/>
            <w:hideMark/>
          </w:tcPr>
          <w:p w14:paraId="007C6E4D"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262</w:t>
            </w:r>
          </w:p>
        </w:tc>
        <w:tc>
          <w:tcPr>
            <w:tcW w:w="1624" w:type="dxa"/>
            <w:tcBorders>
              <w:top w:val="nil"/>
              <w:left w:val="nil"/>
              <w:bottom w:val="single" w:sz="4" w:space="0" w:color="auto"/>
              <w:right w:val="single" w:sz="4" w:space="0" w:color="auto"/>
            </w:tcBorders>
            <w:noWrap/>
            <w:vAlign w:val="center"/>
            <w:hideMark/>
          </w:tcPr>
          <w:p w14:paraId="40A029DC" w14:textId="77777777" w:rsidR="003F0F40" w:rsidRPr="003F0F40" w:rsidRDefault="003F0F40" w:rsidP="003F0F40">
            <w:pPr>
              <w:spacing w:after="0"/>
              <w:jc w:val="center"/>
              <w:rPr>
                <w:rFonts w:eastAsia="Times New Roman" w:cs="Times New Roman"/>
                <w:color w:val="000000"/>
                <w:sz w:val="24"/>
                <w:szCs w:val="24"/>
                <w:lang w:val="lt-LT" w:eastAsia="lt-LT"/>
              </w:rPr>
            </w:pPr>
            <w:r w:rsidRPr="003F0F40">
              <w:rPr>
                <w:rFonts w:eastAsia="Times New Roman" w:cs="Times New Roman"/>
                <w:color w:val="000000"/>
                <w:sz w:val="24"/>
                <w:szCs w:val="24"/>
                <w:lang w:val="lt-LT" w:eastAsia="lt-LT"/>
              </w:rPr>
              <w:t>97</w:t>
            </w:r>
          </w:p>
        </w:tc>
      </w:tr>
    </w:tbl>
    <w:p w14:paraId="441D6E2C" w14:textId="77777777" w:rsidR="00DF22F0" w:rsidRDefault="00DF22F0" w:rsidP="00DF22F0">
      <w:pPr>
        <w:pStyle w:val="Betarp"/>
        <w:rPr>
          <w:sz w:val="24"/>
          <w:szCs w:val="24"/>
          <w:lang w:val="lt-LT"/>
        </w:rPr>
      </w:pPr>
    </w:p>
    <w:p w14:paraId="7C889A1D" w14:textId="77777777" w:rsidR="00625381" w:rsidRDefault="00625381" w:rsidP="003A5342">
      <w:pPr>
        <w:pStyle w:val="Betarp"/>
        <w:ind w:firstLine="708"/>
        <w:rPr>
          <w:sz w:val="24"/>
          <w:szCs w:val="24"/>
          <w:lang w:val="lt-LT"/>
        </w:rPr>
      </w:pPr>
    </w:p>
    <w:p w14:paraId="51371D50" w14:textId="77777777" w:rsidR="00625381" w:rsidRDefault="00625381" w:rsidP="003A5342">
      <w:pPr>
        <w:pStyle w:val="Betarp"/>
        <w:ind w:firstLine="708"/>
        <w:rPr>
          <w:sz w:val="24"/>
          <w:szCs w:val="24"/>
          <w:lang w:val="lt-LT"/>
        </w:rPr>
      </w:pPr>
    </w:p>
    <w:p w14:paraId="31B09D19" w14:textId="051351D5" w:rsidR="003A5342" w:rsidRPr="00102C79" w:rsidRDefault="003A5342" w:rsidP="003A5342">
      <w:pPr>
        <w:pStyle w:val="Betarp"/>
        <w:ind w:firstLine="708"/>
        <w:rPr>
          <w:sz w:val="24"/>
          <w:szCs w:val="24"/>
          <w:lang w:val="lt-LT"/>
        </w:rPr>
      </w:pPr>
      <w:r w:rsidRPr="00102C79">
        <w:rPr>
          <w:sz w:val="24"/>
          <w:szCs w:val="24"/>
          <w:lang w:val="lt-LT"/>
        </w:rPr>
        <w:t xml:space="preserve">Nuo 2015 m. iki 2025 m. gautų ĮNR pranešimų skaičių pasiskirstymas pavaizduotas 1 pav. </w:t>
      </w:r>
    </w:p>
    <w:p w14:paraId="256F1620" w14:textId="77777777" w:rsidR="003A5342" w:rsidRPr="00102C79" w:rsidRDefault="003A5342" w:rsidP="00DF22F0">
      <w:pPr>
        <w:pStyle w:val="Betarp"/>
        <w:rPr>
          <w:sz w:val="24"/>
          <w:szCs w:val="24"/>
          <w:lang w:val="lt-LT"/>
        </w:rPr>
      </w:pPr>
    </w:p>
    <w:p w14:paraId="7EB73FDC" w14:textId="7485859D" w:rsidR="00842926" w:rsidRPr="00842926" w:rsidRDefault="00CD34F3" w:rsidP="00625381">
      <w:pPr>
        <w:rPr>
          <w:lang w:val="lt-LT"/>
        </w:rPr>
      </w:pPr>
      <w:r>
        <w:rPr>
          <w:noProof/>
          <w14:ligatures w14:val="standardContextual"/>
        </w:rPr>
        <w:lastRenderedPageBreak/>
        <w:drawing>
          <wp:anchor distT="0" distB="0" distL="114300" distR="114300" simplePos="0" relativeHeight="251658240" behindDoc="0" locked="0" layoutInCell="1" allowOverlap="1" wp14:anchorId="27845CDF" wp14:editId="4163D218">
            <wp:simplePos x="0" y="0"/>
            <wp:positionH relativeFrom="margin">
              <wp:posOffset>-635</wp:posOffset>
            </wp:positionH>
            <wp:positionV relativeFrom="paragraph">
              <wp:posOffset>304800</wp:posOffset>
            </wp:positionV>
            <wp:extent cx="6038850" cy="2674620"/>
            <wp:effectExtent l="0" t="0" r="0" b="11430"/>
            <wp:wrapSquare wrapText="bothSides"/>
            <wp:docPr id="912955504" name="Diagrama 1">
              <a:extLst xmlns:a="http://schemas.openxmlformats.org/drawingml/2006/main">
                <a:ext uri="{FF2B5EF4-FFF2-40B4-BE49-F238E27FC236}">
                  <a16:creationId xmlns:a16="http://schemas.microsoft.com/office/drawing/2014/main" id="{FA83A9D9-8101-1AEB-7764-4039DD864A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p>
    <w:p w14:paraId="19B8CDD2" w14:textId="77777777" w:rsidR="00DF22F0" w:rsidRPr="00DF22F0" w:rsidRDefault="00DF22F0" w:rsidP="00DF22F0">
      <w:pPr>
        <w:pStyle w:val="Betarp"/>
        <w:rPr>
          <w:bCs/>
          <w:i/>
          <w:iCs/>
          <w:sz w:val="24"/>
          <w:szCs w:val="24"/>
          <w:lang w:val="lt-LT"/>
        </w:rPr>
      </w:pPr>
      <w:r w:rsidRPr="00DF22F0">
        <w:rPr>
          <w:bCs/>
          <w:i/>
          <w:iCs/>
          <w:sz w:val="24"/>
          <w:szCs w:val="24"/>
          <w:lang w:val="lt-LT"/>
        </w:rPr>
        <w:t>(1 pav.)</w:t>
      </w:r>
    </w:p>
    <w:p w14:paraId="61BCB22D" w14:textId="77777777" w:rsidR="00DF22F0" w:rsidRPr="00DF22F0" w:rsidRDefault="00DF22F0" w:rsidP="00DF22F0">
      <w:pPr>
        <w:pStyle w:val="Betarp"/>
        <w:rPr>
          <w:bCs/>
          <w:i/>
          <w:iCs/>
          <w:sz w:val="24"/>
          <w:szCs w:val="24"/>
          <w:lang w:val="lt-LT"/>
        </w:rPr>
      </w:pPr>
    </w:p>
    <w:p w14:paraId="1F0C4DBA" w14:textId="52B96F39" w:rsidR="00DF22F0" w:rsidRPr="00102C79" w:rsidRDefault="00DF22F0" w:rsidP="00102C79">
      <w:pPr>
        <w:pStyle w:val="Betarp"/>
        <w:ind w:firstLine="708"/>
        <w:jc w:val="both"/>
        <w:rPr>
          <w:bCs/>
          <w:sz w:val="24"/>
          <w:szCs w:val="24"/>
          <w:lang w:val="lt-LT"/>
        </w:rPr>
      </w:pPr>
      <w:r w:rsidRPr="00102C79">
        <w:rPr>
          <w:sz w:val="24"/>
          <w:szCs w:val="24"/>
          <w:lang w:val="lt-LT"/>
        </w:rPr>
        <w:t>20</w:t>
      </w:r>
      <w:r w:rsidR="00EF6922" w:rsidRPr="00102C79">
        <w:rPr>
          <w:sz w:val="24"/>
          <w:szCs w:val="24"/>
          <w:lang w:val="lt-LT"/>
        </w:rPr>
        <w:t>21</w:t>
      </w:r>
      <w:r w:rsidRPr="00102C79">
        <w:rPr>
          <w:sz w:val="24"/>
          <w:szCs w:val="24"/>
          <w:lang w:val="lt-LT"/>
        </w:rPr>
        <w:t xml:space="preserve"> m. pranešimai apie sunkias ĮNR sudarė – 9,3 proc., 2022 m. – 18 proc.</w:t>
      </w:r>
      <w:r w:rsidR="00AC6A8B" w:rsidRPr="00102C79">
        <w:rPr>
          <w:sz w:val="24"/>
          <w:szCs w:val="24"/>
          <w:lang w:val="lt-LT"/>
        </w:rPr>
        <w:t xml:space="preserve">  Praėjus </w:t>
      </w:r>
      <w:r w:rsidR="00C63D18">
        <w:rPr>
          <w:sz w:val="24"/>
          <w:szCs w:val="24"/>
          <w:lang w:val="lt-LT"/>
        </w:rPr>
        <w:t xml:space="preserve">COVID -19 ligos </w:t>
      </w:r>
      <w:r w:rsidR="00AC6A8B" w:rsidRPr="00102C79">
        <w:rPr>
          <w:sz w:val="24"/>
          <w:szCs w:val="24"/>
          <w:lang w:val="lt-LT"/>
        </w:rPr>
        <w:t>pandemijai ir</w:t>
      </w:r>
      <w:r w:rsidRPr="00102C79">
        <w:rPr>
          <w:sz w:val="24"/>
          <w:szCs w:val="24"/>
          <w:lang w:val="lt-LT"/>
        </w:rPr>
        <w:t xml:space="preserve"> </w:t>
      </w:r>
      <w:r w:rsidR="00EF6922" w:rsidRPr="00102C79">
        <w:rPr>
          <w:sz w:val="24"/>
          <w:szCs w:val="24"/>
          <w:lang w:val="lt-LT"/>
        </w:rPr>
        <w:t xml:space="preserve">ženkliai sumažėjus bendram visų gaunamų pranešimų skaičiui, </w:t>
      </w:r>
      <w:r w:rsidR="00AC6A8B" w:rsidRPr="00102C79">
        <w:rPr>
          <w:sz w:val="24"/>
          <w:szCs w:val="24"/>
          <w:lang w:val="lt-LT"/>
        </w:rPr>
        <w:t xml:space="preserve">nuo 2023 m. </w:t>
      </w:r>
      <w:r w:rsidRPr="00102C79">
        <w:rPr>
          <w:sz w:val="24"/>
          <w:szCs w:val="24"/>
          <w:lang w:val="lt-LT"/>
        </w:rPr>
        <w:t xml:space="preserve">sunkių </w:t>
      </w:r>
      <w:r w:rsidR="00AC6A8B" w:rsidRPr="00102C79">
        <w:rPr>
          <w:sz w:val="24"/>
          <w:szCs w:val="24"/>
          <w:lang w:val="lt-LT"/>
        </w:rPr>
        <w:t>ĮNR</w:t>
      </w:r>
      <w:r w:rsidRPr="00102C79">
        <w:rPr>
          <w:sz w:val="24"/>
          <w:szCs w:val="24"/>
          <w:lang w:val="lt-LT"/>
        </w:rPr>
        <w:t xml:space="preserve"> buvo </w:t>
      </w:r>
      <w:r w:rsidR="00EF6922" w:rsidRPr="00102C79">
        <w:rPr>
          <w:sz w:val="24"/>
          <w:szCs w:val="24"/>
          <w:lang w:val="lt-LT"/>
        </w:rPr>
        <w:t xml:space="preserve">gauta </w:t>
      </w:r>
      <w:r w:rsidRPr="00102C79">
        <w:rPr>
          <w:sz w:val="24"/>
          <w:szCs w:val="24"/>
          <w:lang w:val="lt-LT"/>
        </w:rPr>
        <w:t>30 proc.,  2024 m</w:t>
      </w:r>
      <w:r w:rsidR="00EF6922" w:rsidRPr="00102C79">
        <w:rPr>
          <w:sz w:val="24"/>
          <w:szCs w:val="24"/>
          <w:lang w:val="lt-LT"/>
        </w:rPr>
        <w:t>. -</w:t>
      </w:r>
      <w:r w:rsidRPr="00102C79">
        <w:rPr>
          <w:sz w:val="24"/>
          <w:szCs w:val="24"/>
          <w:lang w:val="lt-LT"/>
        </w:rPr>
        <w:t xml:space="preserve"> 26,07 proc.</w:t>
      </w:r>
      <w:r w:rsidR="00EF6922" w:rsidRPr="00102C79">
        <w:rPr>
          <w:sz w:val="24"/>
          <w:szCs w:val="24"/>
          <w:lang w:val="lt-LT"/>
        </w:rPr>
        <w:t>, o 2025 m. - 2</w:t>
      </w:r>
      <w:r w:rsidR="00E80DDB" w:rsidRPr="00102C79">
        <w:rPr>
          <w:sz w:val="24"/>
          <w:szCs w:val="24"/>
          <w:lang w:val="lt-LT"/>
        </w:rPr>
        <w:t>4</w:t>
      </w:r>
      <w:r w:rsidR="00EF6922" w:rsidRPr="00102C79">
        <w:rPr>
          <w:sz w:val="24"/>
          <w:szCs w:val="24"/>
          <w:lang w:val="lt-LT"/>
        </w:rPr>
        <w:t>,</w:t>
      </w:r>
      <w:r w:rsidR="00E80DDB" w:rsidRPr="00102C79">
        <w:rPr>
          <w:sz w:val="24"/>
          <w:szCs w:val="24"/>
          <w:lang w:val="lt-LT"/>
        </w:rPr>
        <w:t>98</w:t>
      </w:r>
      <w:r w:rsidR="00EF6922" w:rsidRPr="00102C79">
        <w:rPr>
          <w:sz w:val="24"/>
          <w:szCs w:val="24"/>
          <w:lang w:val="lt-LT"/>
        </w:rPr>
        <w:t xml:space="preserve"> proc.</w:t>
      </w:r>
      <w:r w:rsidRPr="00102C79">
        <w:rPr>
          <w:sz w:val="24"/>
          <w:szCs w:val="24"/>
          <w:lang w:val="lt-LT"/>
        </w:rPr>
        <w:t xml:space="preserve"> nuo visų gautų atvejų (2 pav.). </w:t>
      </w:r>
    </w:p>
    <w:p w14:paraId="360EA932" w14:textId="77777777" w:rsidR="00DF22F0" w:rsidRPr="00DF22F0" w:rsidRDefault="00DF22F0" w:rsidP="00DF22F0">
      <w:pPr>
        <w:pStyle w:val="Betarp"/>
        <w:rPr>
          <w:sz w:val="24"/>
          <w:szCs w:val="24"/>
          <w:lang w:val="lt-LT"/>
        </w:rPr>
      </w:pPr>
    </w:p>
    <w:p w14:paraId="6B7DA7B9" w14:textId="5E8A950D" w:rsidR="00DF22F0" w:rsidRPr="00DF22F0" w:rsidRDefault="00130FE3" w:rsidP="00DF22F0">
      <w:pPr>
        <w:pStyle w:val="Betarp"/>
        <w:rPr>
          <w:sz w:val="24"/>
          <w:szCs w:val="24"/>
          <w:lang w:val="lt-LT"/>
        </w:rPr>
      </w:pPr>
      <w:r>
        <w:rPr>
          <w:noProof/>
          <w14:ligatures w14:val="standardContextual"/>
        </w:rPr>
        <w:drawing>
          <wp:inline distT="0" distB="0" distL="0" distR="0" wp14:anchorId="0585076A" wp14:editId="42BDB73F">
            <wp:extent cx="6120130" cy="3166745"/>
            <wp:effectExtent l="0" t="0" r="13970" b="14605"/>
            <wp:docPr id="1936341402" name="Diagrama 1">
              <a:extLst xmlns:a="http://schemas.openxmlformats.org/drawingml/2006/main">
                <a:ext uri="{FF2B5EF4-FFF2-40B4-BE49-F238E27FC236}">
                  <a16:creationId xmlns:a16="http://schemas.microsoft.com/office/drawing/2014/main" id="{2FCCDA76-8480-41B0-9DB7-311C2812AE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9845C3" w14:textId="77777777" w:rsidR="00DF22F0" w:rsidRPr="00DF22F0" w:rsidRDefault="00DF22F0" w:rsidP="00DF22F0">
      <w:pPr>
        <w:pStyle w:val="Betarp"/>
        <w:rPr>
          <w:i/>
          <w:iCs/>
          <w:sz w:val="24"/>
          <w:szCs w:val="24"/>
          <w:lang w:val="lt-LT"/>
        </w:rPr>
      </w:pPr>
      <w:r w:rsidRPr="00DF22F0">
        <w:rPr>
          <w:i/>
          <w:iCs/>
          <w:sz w:val="24"/>
          <w:szCs w:val="24"/>
          <w:lang w:val="lt-LT"/>
        </w:rPr>
        <w:t xml:space="preserve">(2 pav.) </w:t>
      </w:r>
    </w:p>
    <w:p w14:paraId="42B936DC" w14:textId="77777777" w:rsidR="00DF22F0" w:rsidRPr="00DF22F0" w:rsidRDefault="00DF22F0" w:rsidP="00DF22F0">
      <w:pPr>
        <w:pStyle w:val="Betarp"/>
        <w:rPr>
          <w:i/>
          <w:iCs/>
          <w:color w:val="70AD47" w:themeColor="accent6"/>
          <w:sz w:val="24"/>
          <w:szCs w:val="24"/>
          <w:lang w:val="lt-LT"/>
        </w:rPr>
      </w:pPr>
      <w:r w:rsidRPr="00DF22F0">
        <w:rPr>
          <w:i/>
          <w:iCs/>
          <w:color w:val="70AD47" w:themeColor="accent6"/>
          <w:sz w:val="24"/>
          <w:szCs w:val="24"/>
          <w:lang w:val="lt-LT"/>
        </w:rPr>
        <w:t xml:space="preserve">  </w:t>
      </w:r>
    </w:p>
    <w:p w14:paraId="567A7AC6" w14:textId="4E08A6CB" w:rsidR="00DF22F0" w:rsidRPr="00770F02" w:rsidRDefault="00DF22F0" w:rsidP="00770F02">
      <w:pPr>
        <w:pStyle w:val="Betarp"/>
        <w:ind w:firstLine="708"/>
        <w:jc w:val="both"/>
        <w:rPr>
          <w:sz w:val="24"/>
          <w:szCs w:val="24"/>
          <w:lang w:val="lt-LT"/>
        </w:rPr>
      </w:pPr>
      <w:r w:rsidRPr="00770F02">
        <w:rPr>
          <w:sz w:val="24"/>
          <w:szCs w:val="24"/>
          <w:lang w:val="lt-LT"/>
        </w:rPr>
        <w:t>202</w:t>
      </w:r>
      <w:r w:rsidR="00EF6922" w:rsidRPr="00770F02">
        <w:rPr>
          <w:sz w:val="24"/>
          <w:szCs w:val="24"/>
          <w:lang w:val="lt-LT"/>
        </w:rPr>
        <w:t>5</w:t>
      </w:r>
      <w:r w:rsidRPr="00770F02">
        <w:rPr>
          <w:sz w:val="24"/>
          <w:szCs w:val="24"/>
          <w:lang w:val="lt-LT"/>
        </w:rPr>
        <w:t xml:space="preserve"> m. buvo gauti 2</w:t>
      </w:r>
      <w:r w:rsidR="00EF6922" w:rsidRPr="00770F02">
        <w:rPr>
          <w:sz w:val="24"/>
          <w:szCs w:val="24"/>
          <w:lang w:val="lt-LT"/>
        </w:rPr>
        <w:t>6</w:t>
      </w:r>
      <w:r w:rsidR="0027473C" w:rsidRPr="00770F02">
        <w:rPr>
          <w:sz w:val="24"/>
          <w:szCs w:val="24"/>
          <w:lang w:val="lt-LT"/>
        </w:rPr>
        <w:t>2</w:t>
      </w:r>
      <w:r w:rsidRPr="00770F02">
        <w:rPr>
          <w:sz w:val="24"/>
          <w:szCs w:val="24"/>
          <w:lang w:val="lt-LT"/>
        </w:rPr>
        <w:t xml:space="preserve"> pranešimai apie sunkias ĮNR. ĮNR vertinamos kaip sunkios, jei atitinka bent vieną iš šių kriterijų: paciento mirtis, hospitalizavimas, prailginta stacionarinio gydymo trukmė, ilgalaik</w:t>
      </w:r>
      <w:r w:rsidR="00442BF0">
        <w:rPr>
          <w:sz w:val="24"/>
          <w:szCs w:val="24"/>
          <w:lang w:val="lt-LT"/>
        </w:rPr>
        <w:t>ė</w:t>
      </w:r>
      <w:r w:rsidRPr="00770F02">
        <w:rPr>
          <w:sz w:val="24"/>
          <w:szCs w:val="24"/>
          <w:lang w:val="lt-LT"/>
        </w:rPr>
        <w:t xml:space="preserve"> ar reikšminga </w:t>
      </w:r>
      <w:r w:rsidR="00442BF0">
        <w:rPr>
          <w:sz w:val="24"/>
          <w:szCs w:val="24"/>
          <w:lang w:val="lt-LT"/>
        </w:rPr>
        <w:t xml:space="preserve"> negalia,</w:t>
      </w:r>
      <w:r w:rsidRPr="00770F02">
        <w:rPr>
          <w:sz w:val="24"/>
          <w:szCs w:val="24"/>
          <w:lang w:val="lt-LT"/>
        </w:rPr>
        <w:t xml:space="preserve"> nedarbingumas, apsigimimas ar kita svarbi medicininė priežastis.</w:t>
      </w:r>
    </w:p>
    <w:p w14:paraId="33C4EA80" w14:textId="01242A05" w:rsidR="00DF22F0" w:rsidRPr="00770F02" w:rsidRDefault="00DF22F0" w:rsidP="00770F02">
      <w:pPr>
        <w:pStyle w:val="Betarp"/>
        <w:ind w:firstLine="708"/>
        <w:jc w:val="both"/>
        <w:rPr>
          <w:sz w:val="24"/>
          <w:szCs w:val="24"/>
          <w:lang w:val="lt-LT"/>
        </w:rPr>
      </w:pPr>
      <w:r w:rsidRPr="00770F02">
        <w:rPr>
          <w:sz w:val="24"/>
          <w:szCs w:val="24"/>
          <w:lang w:val="lt-LT"/>
        </w:rPr>
        <w:t>202</w:t>
      </w:r>
      <w:r w:rsidR="0027473C" w:rsidRPr="00770F02">
        <w:rPr>
          <w:sz w:val="24"/>
          <w:szCs w:val="24"/>
          <w:lang w:val="lt-LT"/>
        </w:rPr>
        <w:t>5</w:t>
      </w:r>
      <w:r w:rsidRPr="00770F02">
        <w:rPr>
          <w:sz w:val="24"/>
          <w:szCs w:val="24"/>
          <w:lang w:val="lt-LT"/>
        </w:rPr>
        <w:t xml:space="preserve"> m. buvo gauta 1</w:t>
      </w:r>
      <w:r w:rsidR="0027473C" w:rsidRPr="00770F02">
        <w:rPr>
          <w:sz w:val="24"/>
          <w:szCs w:val="24"/>
          <w:lang w:val="lt-LT"/>
        </w:rPr>
        <w:t>4</w:t>
      </w:r>
      <w:r w:rsidRPr="00770F02">
        <w:rPr>
          <w:sz w:val="24"/>
          <w:szCs w:val="24"/>
          <w:lang w:val="lt-LT"/>
        </w:rPr>
        <w:t xml:space="preserve"> pranešimų apie savižudybės tikslu vartotus vaistus. 202</w:t>
      </w:r>
      <w:r w:rsidR="0027473C" w:rsidRPr="00770F02">
        <w:rPr>
          <w:sz w:val="24"/>
          <w:szCs w:val="24"/>
          <w:lang w:val="lt-LT"/>
        </w:rPr>
        <w:t>4</w:t>
      </w:r>
      <w:r w:rsidRPr="00770F02">
        <w:rPr>
          <w:sz w:val="24"/>
          <w:szCs w:val="24"/>
          <w:lang w:val="lt-LT"/>
        </w:rPr>
        <w:t xml:space="preserve"> m. tokių pranešimų buvo 1</w:t>
      </w:r>
      <w:r w:rsidR="0027473C" w:rsidRPr="00770F02">
        <w:rPr>
          <w:sz w:val="24"/>
          <w:szCs w:val="24"/>
          <w:lang w:val="lt-LT"/>
        </w:rPr>
        <w:t>8</w:t>
      </w:r>
      <w:r w:rsidRPr="00770F02">
        <w:rPr>
          <w:sz w:val="24"/>
          <w:szCs w:val="24"/>
          <w:lang w:val="lt-LT"/>
        </w:rPr>
        <w:t xml:space="preserve"> (2021 m. -</w:t>
      </w:r>
      <w:r w:rsidR="00C63D18">
        <w:rPr>
          <w:sz w:val="24"/>
          <w:szCs w:val="24"/>
          <w:lang w:val="lt-LT"/>
        </w:rPr>
        <w:t xml:space="preserve"> </w:t>
      </w:r>
      <w:r w:rsidRPr="00770F02">
        <w:rPr>
          <w:sz w:val="24"/>
          <w:szCs w:val="24"/>
          <w:lang w:val="lt-LT"/>
        </w:rPr>
        <w:t>11, 2022 m. – 16</w:t>
      </w:r>
      <w:r w:rsidR="0027473C" w:rsidRPr="00770F02">
        <w:rPr>
          <w:sz w:val="24"/>
          <w:szCs w:val="24"/>
          <w:lang w:val="lt-LT"/>
        </w:rPr>
        <w:t>, 2023 m. – 19</w:t>
      </w:r>
      <w:r w:rsidRPr="00770F02">
        <w:rPr>
          <w:sz w:val="24"/>
          <w:szCs w:val="24"/>
          <w:lang w:val="lt-LT"/>
        </w:rPr>
        <w:t>). 202</w:t>
      </w:r>
      <w:r w:rsidR="00EC10B6" w:rsidRPr="00770F02">
        <w:rPr>
          <w:sz w:val="24"/>
          <w:szCs w:val="24"/>
          <w:lang w:val="lt-LT"/>
        </w:rPr>
        <w:t>1</w:t>
      </w:r>
      <w:r w:rsidRPr="00770F02">
        <w:rPr>
          <w:sz w:val="24"/>
          <w:szCs w:val="24"/>
          <w:lang w:val="lt-LT"/>
        </w:rPr>
        <w:t xml:space="preserve"> m.</w:t>
      </w:r>
      <w:r w:rsidR="00EC10B6" w:rsidRPr="00770F02">
        <w:rPr>
          <w:sz w:val="24"/>
          <w:szCs w:val="24"/>
          <w:lang w:val="lt-LT"/>
        </w:rPr>
        <w:t xml:space="preserve"> </w:t>
      </w:r>
      <w:r w:rsidRPr="00770F02">
        <w:rPr>
          <w:sz w:val="24"/>
          <w:szCs w:val="24"/>
          <w:lang w:val="lt-LT"/>
        </w:rPr>
        <w:t>nei vienas iš šių atvejų nebuvo mirtinas</w:t>
      </w:r>
      <w:r w:rsidR="00EC10B6" w:rsidRPr="00770F02">
        <w:rPr>
          <w:sz w:val="24"/>
          <w:szCs w:val="24"/>
          <w:lang w:val="lt-LT"/>
        </w:rPr>
        <w:t>, o</w:t>
      </w:r>
      <w:r w:rsidRPr="00770F02">
        <w:rPr>
          <w:sz w:val="24"/>
          <w:szCs w:val="24"/>
          <w:lang w:val="lt-LT"/>
        </w:rPr>
        <w:t xml:space="preserve"> 2022 m.</w:t>
      </w:r>
      <w:r w:rsidR="00EC10B6" w:rsidRPr="00770F02">
        <w:rPr>
          <w:sz w:val="24"/>
          <w:szCs w:val="24"/>
          <w:lang w:val="lt-LT"/>
        </w:rPr>
        <w:t>,</w:t>
      </w:r>
      <w:r w:rsidRPr="00770F02">
        <w:rPr>
          <w:sz w:val="24"/>
          <w:szCs w:val="24"/>
          <w:lang w:val="lt-LT"/>
        </w:rPr>
        <w:t xml:space="preserve"> 2023 m.</w:t>
      </w:r>
      <w:r w:rsidR="00745E34" w:rsidRPr="00770F02">
        <w:rPr>
          <w:sz w:val="24"/>
          <w:szCs w:val="24"/>
          <w:lang w:val="lt-LT"/>
        </w:rPr>
        <w:t xml:space="preserve">, 2024 m. </w:t>
      </w:r>
      <w:r w:rsidR="00EC10B6" w:rsidRPr="00770F02">
        <w:rPr>
          <w:sz w:val="24"/>
          <w:szCs w:val="24"/>
          <w:lang w:val="lt-LT"/>
        </w:rPr>
        <w:t>ir 2025 m.</w:t>
      </w:r>
      <w:r w:rsidRPr="00770F02">
        <w:rPr>
          <w:sz w:val="24"/>
          <w:szCs w:val="24"/>
          <w:lang w:val="lt-LT"/>
        </w:rPr>
        <w:t xml:space="preserve"> </w:t>
      </w:r>
      <w:r w:rsidR="005F5C6C" w:rsidRPr="00770F02">
        <w:rPr>
          <w:sz w:val="24"/>
          <w:szCs w:val="24"/>
          <w:lang w:val="lt-LT"/>
        </w:rPr>
        <w:t xml:space="preserve">iš gautų atvejų užregistruota </w:t>
      </w:r>
      <w:r w:rsidRPr="00770F02">
        <w:rPr>
          <w:sz w:val="24"/>
          <w:szCs w:val="24"/>
          <w:lang w:val="lt-LT"/>
        </w:rPr>
        <w:t xml:space="preserve">po vieną </w:t>
      </w:r>
      <w:r w:rsidR="00745E34" w:rsidRPr="00770F02">
        <w:rPr>
          <w:sz w:val="24"/>
          <w:szCs w:val="24"/>
          <w:lang w:val="lt-LT"/>
        </w:rPr>
        <w:t xml:space="preserve">savižudybės </w:t>
      </w:r>
      <w:r w:rsidRPr="00770F02">
        <w:rPr>
          <w:sz w:val="24"/>
          <w:szCs w:val="24"/>
          <w:lang w:val="lt-LT"/>
        </w:rPr>
        <w:t>atvejį pasibaigusį mirtimi.</w:t>
      </w:r>
    </w:p>
    <w:p w14:paraId="246511E9" w14:textId="0DB50330" w:rsidR="00DF22F0" w:rsidRPr="00DD5237" w:rsidRDefault="00DF22F0" w:rsidP="00DD5237">
      <w:pPr>
        <w:pStyle w:val="Betarp"/>
        <w:ind w:firstLine="708"/>
        <w:jc w:val="both"/>
        <w:rPr>
          <w:rFonts w:cs="Times New Roman"/>
          <w:sz w:val="24"/>
          <w:szCs w:val="24"/>
          <w:lang w:val="lt-LT"/>
        </w:rPr>
      </w:pPr>
      <w:r w:rsidRPr="00DD5237">
        <w:rPr>
          <w:rFonts w:cs="Times New Roman"/>
          <w:sz w:val="24"/>
          <w:szCs w:val="24"/>
          <w:lang w:val="lt-LT"/>
        </w:rPr>
        <w:lastRenderedPageBreak/>
        <w:t>202</w:t>
      </w:r>
      <w:r w:rsidR="00F324B8" w:rsidRPr="00DD5237">
        <w:rPr>
          <w:rFonts w:cs="Times New Roman"/>
          <w:sz w:val="24"/>
          <w:szCs w:val="24"/>
          <w:lang w:val="lt-LT"/>
        </w:rPr>
        <w:t>5</w:t>
      </w:r>
      <w:r w:rsidRPr="00DD5237">
        <w:rPr>
          <w:rFonts w:cs="Times New Roman"/>
          <w:sz w:val="24"/>
          <w:szCs w:val="24"/>
          <w:lang w:val="lt-LT"/>
        </w:rPr>
        <w:t xml:space="preserve"> m. buvo gauta 1</w:t>
      </w:r>
      <w:r w:rsidR="00F324B8" w:rsidRPr="00DD5237">
        <w:rPr>
          <w:rFonts w:cs="Times New Roman"/>
          <w:sz w:val="24"/>
          <w:szCs w:val="24"/>
          <w:lang w:val="lt-LT"/>
        </w:rPr>
        <w:t>5</w:t>
      </w:r>
      <w:r w:rsidRPr="00DD5237">
        <w:rPr>
          <w:rFonts w:cs="Times New Roman"/>
          <w:sz w:val="24"/>
          <w:szCs w:val="24"/>
          <w:lang w:val="lt-LT"/>
        </w:rPr>
        <w:t xml:space="preserve"> pranešimų apie mirties atvejus</w:t>
      </w:r>
      <w:r w:rsidR="00F324B8" w:rsidRPr="00DD5237">
        <w:rPr>
          <w:rFonts w:cs="Times New Roman"/>
          <w:sz w:val="24"/>
          <w:szCs w:val="24"/>
          <w:lang w:val="lt-LT"/>
        </w:rPr>
        <w:t xml:space="preserve">, </w:t>
      </w:r>
      <w:r w:rsidRPr="00DD5237">
        <w:rPr>
          <w:rFonts w:cs="Times New Roman"/>
          <w:sz w:val="24"/>
          <w:szCs w:val="24"/>
          <w:lang w:val="lt-LT"/>
        </w:rPr>
        <w:t>20</w:t>
      </w:r>
      <w:r w:rsidR="00F324B8" w:rsidRPr="00DD5237">
        <w:rPr>
          <w:rFonts w:cs="Times New Roman"/>
          <w:sz w:val="24"/>
          <w:szCs w:val="24"/>
          <w:lang w:val="lt-LT"/>
        </w:rPr>
        <w:t>24 m. tokių pranešimų buvo 19 (</w:t>
      </w:r>
      <w:r w:rsidRPr="00DD5237">
        <w:rPr>
          <w:rFonts w:cs="Times New Roman"/>
          <w:sz w:val="24"/>
          <w:szCs w:val="24"/>
          <w:lang w:val="lt-LT"/>
        </w:rPr>
        <w:t xml:space="preserve">2021 m. – 50, 2022 m. -14, 2022 m. – 14, 2023 m. </w:t>
      </w:r>
      <w:r w:rsidR="00F324B8" w:rsidRPr="00DD5237">
        <w:rPr>
          <w:rFonts w:cs="Times New Roman"/>
          <w:sz w:val="24"/>
          <w:szCs w:val="24"/>
          <w:lang w:val="lt-LT"/>
        </w:rPr>
        <w:t>–</w:t>
      </w:r>
      <w:r w:rsidRPr="00DD5237">
        <w:rPr>
          <w:rFonts w:cs="Times New Roman"/>
          <w:sz w:val="24"/>
          <w:szCs w:val="24"/>
          <w:lang w:val="lt-LT"/>
        </w:rPr>
        <w:t xml:space="preserve"> 27). </w:t>
      </w:r>
    </w:p>
    <w:p w14:paraId="546CD037" w14:textId="4A942F4B" w:rsidR="00DF22F0" w:rsidRPr="00DD5237" w:rsidRDefault="00DF22F0" w:rsidP="00DD5237">
      <w:pPr>
        <w:pStyle w:val="Betarp"/>
        <w:ind w:firstLine="708"/>
        <w:jc w:val="both"/>
        <w:rPr>
          <w:rFonts w:cs="Times New Roman"/>
          <w:sz w:val="24"/>
          <w:szCs w:val="24"/>
          <w:lang w:val="lt-LT"/>
        </w:rPr>
      </w:pPr>
      <w:r w:rsidRPr="00DD5237">
        <w:rPr>
          <w:rFonts w:cs="Times New Roman"/>
          <w:sz w:val="24"/>
          <w:szCs w:val="24"/>
          <w:lang w:val="lt-LT"/>
        </w:rPr>
        <w:t>202</w:t>
      </w:r>
      <w:r w:rsidR="00E05707" w:rsidRPr="00DD5237">
        <w:rPr>
          <w:rFonts w:cs="Times New Roman"/>
          <w:sz w:val="24"/>
          <w:szCs w:val="24"/>
          <w:lang w:val="lt-LT"/>
        </w:rPr>
        <w:t>5</w:t>
      </w:r>
      <w:r w:rsidRPr="00DD5237">
        <w:rPr>
          <w:rFonts w:cs="Times New Roman"/>
          <w:sz w:val="24"/>
          <w:szCs w:val="24"/>
          <w:lang w:val="lt-LT"/>
        </w:rPr>
        <w:t xml:space="preserve"> m. mirties atvejus vertinant pagal </w:t>
      </w:r>
      <w:r w:rsidR="00E05707" w:rsidRPr="00DD5237">
        <w:rPr>
          <w:rFonts w:cs="Times New Roman"/>
          <w:sz w:val="24"/>
          <w:szCs w:val="24"/>
          <w:lang w:val="lt-LT"/>
        </w:rPr>
        <w:t xml:space="preserve">vartotų </w:t>
      </w:r>
      <w:r w:rsidRPr="00DD5237">
        <w:rPr>
          <w:rFonts w:cs="Times New Roman"/>
          <w:sz w:val="24"/>
          <w:szCs w:val="24"/>
          <w:lang w:val="lt-LT"/>
        </w:rPr>
        <w:t xml:space="preserve">vaistų grupes, daugiausiai pranešimų gauta po vartotų </w:t>
      </w:r>
      <w:proofErr w:type="spellStart"/>
      <w:r w:rsidRPr="00DD5237">
        <w:rPr>
          <w:rFonts w:cs="Times New Roman"/>
          <w:sz w:val="24"/>
          <w:szCs w:val="24"/>
          <w:lang w:val="lt-LT"/>
        </w:rPr>
        <w:t>antinavikinių</w:t>
      </w:r>
      <w:proofErr w:type="spellEnd"/>
      <w:r w:rsidRPr="00DD5237">
        <w:rPr>
          <w:rFonts w:cs="Times New Roman"/>
          <w:sz w:val="24"/>
          <w:szCs w:val="24"/>
          <w:lang w:val="lt-LT"/>
        </w:rPr>
        <w:t xml:space="preserve"> ir </w:t>
      </w:r>
      <w:proofErr w:type="spellStart"/>
      <w:r w:rsidRPr="00DD5237">
        <w:rPr>
          <w:rFonts w:cs="Times New Roman"/>
          <w:sz w:val="24"/>
          <w:szCs w:val="24"/>
          <w:lang w:val="lt-LT"/>
        </w:rPr>
        <w:t>imunomoduliacinių</w:t>
      </w:r>
      <w:proofErr w:type="spellEnd"/>
      <w:r w:rsidRPr="00DD5237">
        <w:rPr>
          <w:rFonts w:cs="Times New Roman"/>
          <w:sz w:val="24"/>
          <w:szCs w:val="24"/>
          <w:lang w:val="lt-LT"/>
        </w:rPr>
        <w:t xml:space="preserve"> vaistų (</w:t>
      </w:r>
      <w:r w:rsidR="00E05707" w:rsidRPr="00DD5237">
        <w:rPr>
          <w:rFonts w:cs="Times New Roman"/>
          <w:sz w:val="24"/>
          <w:szCs w:val="24"/>
          <w:lang w:val="lt-LT"/>
        </w:rPr>
        <w:t>6</w:t>
      </w:r>
      <w:r w:rsidRPr="00DD5237">
        <w:rPr>
          <w:rFonts w:cs="Times New Roman"/>
          <w:sz w:val="24"/>
          <w:szCs w:val="24"/>
          <w:lang w:val="lt-LT"/>
        </w:rPr>
        <w:t xml:space="preserve"> atvej</w:t>
      </w:r>
      <w:r w:rsidR="00E05707" w:rsidRPr="00DD5237">
        <w:rPr>
          <w:rFonts w:cs="Times New Roman"/>
          <w:sz w:val="24"/>
          <w:szCs w:val="24"/>
          <w:lang w:val="lt-LT"/>
        </w:rPr>
        <w:t>ai</w:t>
      </w:r>
      <w:r w:rsidRPr="00DD5237">
        <w:rPr>
          <w:rFonts w:cs="Times New Roman"/>
          <w:sz w:val="24"/>
          <w:szCs w:val="24"/>
          <w:lang w:val="lt-LT"/>
        </w:rPr>
        <w:t xml:space="preserve">), antroje vietoje – </w:t>
      </w:r>
      <w:r w:rsidR="00E05707" w:rsidRPr="00DD5237">
        <w:rPr>
          <w:rFonts w:cs="Times New Roman"/>
          <w:sz w:val="24"/>
          <w:szCs w:val="24"/>
          <w:lang w:val="lt-LT"/>
        </w:rPr>
        <w:t xml:space="preserve">po nervų sistemą veikiančių vaistų (4 atvejai), trečioje vietoje – po kraują ir </w:t>
      </w:r>
      <w:proofErr w:type="spellStart"/>
      <w:r w:rsidR="00E05707" w:rsidRPr="00DD5237">
        <w:rPr>
          <w:rFonts w:cs="Times New Roman"/>
          <w:sz w:val="24"/>
          <w:szCs w:val="24"/>
          <w:lang w:val="lt-LT"/>
        </w:rPr>
        <w:t>kraujodarą</w:t>
      </w:r>
      <w:proofErr w:type="spellEnd"/>
      <w:r w:rsidR="00E05707" w:rsidRPr="00DD5237">
        <w:rPr>
          <w:rFonts w:cs="Times New Roman"/>
          <w:sz w:val="24"/>
          <w:szCs w:val="24"/>
          <w:lang w:val="lt-LT"/>
        </w:rPr>
        <w:t xml:space="preserve"> veikiančių vaistų ir sistemiškai veikiančių </w:t>
      </w:r>
      <w:proofErr w:type="spellStart"/>
      <w:r w:rsidR="00E05707" w:rsidRPr="00DD5237">
        <w:rPr>
          <w:rFonts w:cs="Times New Roman"/>
          <w:sz w:val="24"/>
          <w:szCs w:val="24"/>
          <w:lang w:val="lt-LT"/>
        </w:rPr>
        <w:t>priešinfekcinių</w:t>
      </w:r>
      <w:proofErr w:type="spellEnd"/>
      <w:r w:rsidR="00E05707" w:rsidRPr="00DD5237">
        <w:rPr>
          <w:rFonts w:cs="Times New Roman"/>
          <w:sz w:val="24"/>
          <w:szCs w:val="24"/>
          <w:lang w:val="lt-LT"/>
        </w:rPr>
        <w:t xml:space="preserve"> vaistų (po 2 atvejus)</w:t>
      </w:r>
      <w:r w:rsidR="00842926" w:rsidRPr="00DD5237">
        <w:rPr>
          <w:rFonts w:cs="Times New Roman"/>
          <w:sz w:val="24"/>
          <w:szCs w:val="24"/>
          <w:lang w:val="lt-LT"/>
        </w:rPr>
        <w:t>,</w:t>
      </w:r>
      <w:r w:rsidR="00E05707" w:rsidRPr="00DD5237">
        <w:rPr>
          <w:rFonts w:cs="Times New Roman"/>
          <w:sz w:val="24"/>
          <w:szCs w:val="24"/>
          <w:lang w:val="lt-LT"/>
        </w:rPr>
        <w:t xml:space="preserve"> 1 </w:t>
      </w:r>
      <w:r w:rsidR="00842926" w:rsidRPr="00DD5237">
        <w:rPr>
          <w:rFonts w:cs="Times New Roman"/>
          <w:sz w:val="24"/>
          <w:szCs w:val="24"/>
          <w:lang w:val="lt-LT"/>
        </w:rPr>
        <w:t xml:space="preserve">mirties </w:t>
      </w:r>
      <w:r w:rsidR="00E05707" w:rsidRPr="00DD5237">
        <w:rPr>
          <w:rFonts w:cs="Times New Roman"/>
          <w:sz w:val="24"/>
          <w:szCs w:val="24"/>
          <w:lang w:val="lt-LT"/>
        </w:rPr>
        <w:t>atvejis fiksuotas po virškinimo traktą ir metabolizmą veikiančių vaistų</w:t>
      </w:r>
      <w:r w:rsidR="00161B96" w:rsidRPr="00DD5237">
        <w:rPr>
          <w:rFonts w:cs="Times New Roman"/>
          <w:sz w:val="24"/>
          <w:szCs w:val="24"/>
          <w:lang w:val="lt-LT"/>
        </w:rPr>
        <w:t xml:space="preserve"> </w:t>
      </w:r>
      <w:r w:rsidRPr="00DD5237">
        <w:rPr>
          <w:rFonts w:cs="Times New Roman"/>
          <w:sz w:val="24"/>
          <w:szCs w:val="24"/>
          <w:lang w:val="lt-LT"/>
        </w:rPr>
        <w:t xml:space="preserve">(3 pav.). </w:t>
      </w:r>
    </w:p>
    <w:p w14:paraId="6D7CAD23" w14:textId="77777777" w:rsidR="00DF22F0" w:rsidRPr="00DD5237" w:rsidRDefault="00DF22F0" w:rsidP="00DD5237">
      <w:pPr>
        <w:pStyle w:val="Betarp"/>
        <w:jc w:val="both"/>
        <w:rPr>
          <w:sz w:val="24"/>
          <w:szCs w:val="24"/>
          <w:lang w:val="lt-LT"/>
        </w:rPr>
      </w:pPr>
    </w:p>
    <w:p w14:paraId="630B0BC7" w14:textId="77777777" w:rsidR="00DF22F0" w:rsidRPr="00DF22F0" w:rsidRDefault="00DF22F0" w:rsidP="00DF22F0">
      <w:pPr>
        <w:pStyle w:val="Betarp"/>
        <w:rPr>
          <w:sz w:val="24"/>
          <w:szCs w:val="24"/>
          <w:lang w:val="lt-LT"/>
        </w:rPr>
      </w:pPr>
    </w:p>
    <w:p w14:paraId="39CFB912" w14:textId="1B9278F9" w:rsidR="00DF22F0" w:rsidRPr="00DF22F0" w:rsidRDefault="00BB2AE0" w:rsidP="00DF22F0">
      <w:pPr>
        <w:pStyle w:val="Betarp"/>
        <w:rPr>
          <w:sz w:val="24"/>
          <w:szCs w:val="24"/>
          <w:lang w:val="lt-LT"/>
        </w:rPr>
      </w:pPr>
      <w:r>
        <w:rPr>
          <w:noProof/>
          <w14:ligatures w14:val="standardContextual"/>
        </w:rPr>
        <w:drawing>
          <wp:inline distT="0" distB="0" distL="0" distR="0" wp14:anchorId="5D37B82E" wp14:editId="5BBBA907">
            <wp:extent cx="6120130" cy="3303037"/>
            <wp:effectExtent l="0" t="0" r="13970" b="12065"/>
            <wp:docPr id="483139255" name="Diagrama 1">
              <a:extLst xmlns:a="http://schemas.openxmlformats.org/drawingml/2006/main">
                <a:ext uri="{FF2B5EF4-FFF2-40B4-BE49-F238E27FC236}">
                  <a16:creationId xmlns:a16="http://schemas.microsoft.com/office/drawing/2014/main" id="{8801494C-27A9-3240-425E-F68E0E906E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FBB0F7" w14:textId="77777777" w:rsidR="00DF22F0" w:rsidRDefault="00DF22F0" w:rsidP="00DF22F0">
      <w:pPr>
        <w:pStyle w:val="Betarp"/>
        <w:rPr>
          <w:i/>
          <w:iCs/>
          <w:sz w:val="24"/>
          <w:szCs w:val="24"/>
          <w:lang w:val="lt-LT"/>
        </w:rPr>
      </w:pPr>
      <w:r w:rsidRPr="00DF22F0">
        <w:rPr>
          <w:i/>
          <w:iCs/>
          <w:sz w:val="24"/>
          <w:szCs w:val="24"/>
          <w:lang w:val="lt-LT"/>
        </w:rPr>
        <w:t xml:space="preserve"> (3 pav.)</w:t>
      </w:r>
    </w:p>
    <w:p w14:paraId="34257E85" w14:textId="7AD37952" w:rsidR="00D85480" w:rsidRDefault="00842926" w:rsidP="00993220">
      <w:pPr>
        <w:pStyle w:val="Betarp"/>
        <w:tabs>
          <w:tab w:val="center" w:pos="4819"/>
          <w:tab w:val="left" w:pos="7807"/>
        </w:tabs>
        <w:jc w:val="both"/>
        <w:rPr>
          <w:b/>
          <w:bCs/>
          <w:color w:val="4472C4" w:themeColor="accent5"/>
          <w:sz w:val="24"/>
          <w:szCs w:val="24"/>
          <w:lang w:val="lt-LT"/>
        </w:rPr>
      </w:pPr>
      <w:r w:rsidRPr="006204E2">
        <w:rPr>
          <w:b/>
          <w:bCs/>
          <w:color w:val="4472C4" w:themeColor="accent5"/>
          <w:sz w:val="24"/>
          <w:szCs w:val="24"/>
          <w:lang w:val="lt-LT"/>
        </w:rPr>
        <w:tab/>
      </w:r>
    </w:p>
    <w:p w14:paraId="56D90DF6" w14:textId="23F5BEC2" w:rsidR="00DF22F0" w:rsidRPr="00993220" w:rsidRDefault="00DF22F0" w:rsidP="00D85480">
      <w:pPr>
        <w:pStyle w:val="Betarp"/>
        <w:tabs>
          <w:tab w:val="center" w:pos="4819"/>
          <w:tab w:val="left" w:pos="7807"/>
        </w:tabs>
        <w:jc w:val="center"/>
        <w:rPr>
          <w:b/>
          <w:bCs/>
          <w:sz w:val="24"/>
          <w:szCs w:val="24"/>
          <w:lang w:val="lt-LT"/>
        </w:rPr>
      </w:pPr>
      <w:r w:rsidRPr="00993220">
        <w:rPr>
          <w:b/>
          <w:bCs/>
          <w:sz w:val="24"/>
          <w:szCs w:val="24"/>
          <w:lang w:val="lt-LT"/>
        </w:rPr>
        <w:t>ĮNR pranešimų šaltiniai</w:t>
      </w:r>
    </w:p>
    <w:p w14:paraId="0F47A69A" w14:textId="77777777" w:rsidR="004B251F" w:rsidRPr="00993220" w:rsidRDefault="004B251F" w:rsidP="00993220">
      <w:pPr>
        <w:pStyle w:val="Betarp"/>
        <w:jc w:val="both"/>
        <w:rPr>
          <w:b/>
          <w:bCs/>
          <w:sz w:val="24"/>
          <w:szCs w:val="24"/>
          <w:lang w:val="lt-LT"/>
        </w:rPr>
      </w:pPr>
    </w:p>
    <w:p w14:paraId="0721EEA4" w14:textId="7E7E5F70" w:rsidR="004B251F" w:rsidRPr="00993220" w:rsidRDefault="004B251F" w:rsidP="00993220">
      <w:pPr>
        <w:pStyle w:val="Betarp"/>
        <w:jc w:val="both"/>
        <w:rPr>
          <w:sz w:val="24"/>
          <w:szCs w:val="24"/>
          <w:lang w:val="lt-LT"/>
        </w:rPr>
      </w:pPr>
      <w:r w:rsidRPr="00993220">
        <w:rPr>
          <w:sz w:val="24"/>
          <w:szCs w:val="24"/>
          <w:lang w:val="lt-LT"/>
        </w:rPr>
        <w:tab/>
        <w:t>2025 m. 163 pranešimai apie ĮNR buvo gauti iš sveikatos priežiūros specialistų, 15 pranešimų iš vaistininkų, 370 pranešimų iš pacientų ir 501 pranešimas iš vaistinių preparatų regis</w:t>
      </w:r>
      <w:r w:rsidR="006204E2" w:rsidRPr="00993220">
        <w:rPr>
          <w:sz w:val="24"/>
          <w:szCs w:val="24"/>
          <w:lang w:val="lt-LT"/>
        </w:rPr>
        <w:t>t</w:t>
      </w:r>
      <w:r w:rsidRPr="00993220">
        <w:rPr>
          <w:sz w:val="24"/>
          <w:szCs w:val="24"/>
          <w:lang w:val="lt-LT"/>
        </w:rPr>
        <w:t xml:space="preserve">ruotojų. </w:t>
      </w:r>
    </w:p>
    <w:p w14:paraId="5FF978F9" w14:textId="69823E23" w:rsidR="00DF22F0" w:rsidRPr="00993220" w:rsidRDefault="00DF22F0" w:rsidP="00993220">
      <w:pPr>
        <w:pStyle w:val="Betarp"/>
        <w:ind w:firstLine="708"/>
        <w:jc w:val="both"/>
        <w:rPr>
          <w:b/>
          <w:sz w:val="24"/>
          <w:szCs w:val="24"/>
          <w:lang w:val="lt-LT"/>
        </w:rPr>
      </w:pPr>
      <w:r w:rsidRPr="00993220">
        <w:rPr>
          <w:sz w:val="24"/>
          <w:szCs w:val="24"/>
          <w:lang w:val="lt-LT"/>
        </w:rPr>
        <w:t>Sveikatos priežiūros specialistų bei vaistininkų atsiųsti pranešimai sudaro 1</w:t>
      </w:r>
      <w:r w:rsidR="004B251F" w:rsidRPr="00993220">
        <w:rPr>
          <w:sz w:val="24"/>
          <w:szCs w:val="24"/>
          <w:lang w:val="lt-LT"/>
        </w:rPr>
        <w:t>6</w:t>
      </w:r>
      <w:r w:rsidRPr="00993220">
        <w:rPr>
          <w:sz w:val="24"/>
          <w:szCs w:val="24"/>
          <w:lang w:val="lt-LT"/>
        </w:rPr>
        <w:t>,</w:t>
      </w:r>
      <w:r w:rsidR="004B251F" w:rsidRPr="00993220">
        <w:rPr>
          <w:sz w:val="24"/>
          <w:szCs w:val="24"/>
          <w:lang w:val="lt-LT"/>
        </w:rPr>
        <w:t>97</w:t>
      </w:r>
      <w:r w:rsidRPr="00993220">
        <w:rPr>
          <w:sz w:val="24"/>
          <w:szCs w:val="24"/>
          <w:lang w:val="lt-LT"/>
        </w:rPr>
        <w:t xml:space="preserve"> proc. visų gautų pranešimų, 4</w:t>
      </w:r>
      <w:r w:rsidR="004B251F" w:rsidRPr="00993220">
        <w:rPr>
          <w:sz w:val="24"/>
          <w:szCs w:val="24"/>
          <w:lang w:val="lt-LT"/>
        </w:rPr>
        <w:t>7</w:t>
      </w:r>
      <w:r w:rsidRPr="00993220">
        <w:rPr>
          <w:sz w:val="24"/>
          <w:szCs w:val="24"/>
          <w:lang w:val="lt-LT"/>
        </w:rPr>
        <w:t>,</w:t>
      </w:r>
      <w:r w:rsidR="004B251F" w:rsidRPr="00993220">
        <w:rPr>
          <w:sz w:val="24"/>
          <w:szCs w:val="24"/>
          <w:lang w:val="lt-LT"/>
        </w:rPr>
        <w:t>76</w:t>
      </w:r>
      <w:r w:rsidRPr="00993220">
        <w:rPr>
          <w:sz w:val="24"/>
          <w:szCs w:val="24"/>
          <w:lang w:val="lt-LT"/>
        </w:rPr>
        <w:t xml:space="preserve"> proc. sudaro  vaistinių preparatų registruotojų pranešimai, o 3</w:t>
      </w:r>
      <w:r w:rsidR="004B251F" w:rsidRPr="00993220">
        <w:rPr>
          <w:sz w:val="24"/>
          <w:szCs w:val="24"/>
          <w:lang w:val="lt-LT"/>
        </w:rPr>
        <w:t>5</w:t>
      </w:r>
      <w:r w:rsidRPr="00993220">
        <w:rPr>
          <w:sz w:val="24"/>
          <w:szCs w:val="24"/>
          <w:lang w:val="lt-LT"/>
        </w:rPr>
        <w:t>,</w:t>
      </w:r>
      <w:r w:rsidR="004B251F" w:rsidRPr="00993220">
        <w:rPr>
          <w:sz w:val="24"/>
          <w:szCs w:val="24"/>
          <w:lang w:val="lt-LT"/>
        </w:rPr>
        <w:t>27</w:t>
      </w:r>
      <w:r w:rsidRPr="00993220">
        <w:rPr>
          <w:sz w:val="24"/>
          <w:szCs w:val="24"/>
          <w:lang w:val="lt-LT"/>
        </w:rPr>
        <w:t xml:space="preserve"> proc. –  pacientų pranešimai. Lyginant su 202</w:t>
      </w:r>
      <w:r w:rsidR="004B251F" w:rsidRPr="00993220">
        <w:rPr>
          <w:sz w:val="24"/>
          <w:szCs w:val="24"/>
          <w:lang w:val="lt-LT"/>
        </w:rPr>
        <w:t>4</w:t>
      </w:r>
      <w:r w:rsidRPr="00993220">
        <w:rPr>
          <w:sz w:val="24"/>
          <w:szCs w:val="24"/>
          <w:lang w:val="lt-LT"/>
        </w:rPr>
        <w:t xml:space="preserve"> metais, stebimas </w:t>
      </w:r>
      <w:r w:rsidR="004B251F" w:rsidRPr="00993220">
        <w:rPr>
          <w:sz w:val="24"/>
          <w:szCs w:val="24"/>
          <w:lang w:val="lt-LT"/>
        </w:rPr>
        <w:t>padidė</w:t>
      </w:r>
      <w:r w:rsidRPr="00993220">
        <w:rPr>
          <w:sz w:val="24"/>
          <w:szCs w:val="24"/>
          <w:lang w:val="lt-LT"/>
        </w:rPr>
        <w:t>jimas pranešimų gautų iš</w:t>
      </w:r>
      <w:r w:rsidR="004B251F" w:rsidRPr="00993220">
        <w:rPr>
          <w:sz w:val="24"/>
          <w:szCs w:val="24"/>
          <w:lang w:val="lt-LT"/>
        </w:rPr>
        <w:t xml:space="preserve"> vaistinių preparatų registruotojų (gauta 50 pranešimų daugiau nei 2024 m.),</w:t>
      </w:r>
      <w:r w:rsidRPr="00993220">
        <w:rPr>
          <w:sz w:val="24"/>
          <w:szCs w:val="24"/>
          <w:lang w:val="lt-LT"/>
        </w:rPr>
        <w:t xml:space="preserve"> sveikatos priežiūros specialistų (gauta </w:t>
      </w:r>
      <w:r w:rsidR="004B251F" w:rsidRPr="00993220">
        <w:rPr>
          <w:sz w:val="24"/>
          <w:szCs w:val="24"/>
          <w:lang w:val="lt-LT"/>
        </w:rPr>
        <w:t>48</w:t>
      </w:r>
      <w:r w:rsidRPr="00993220">
        <w:rPr>
          <w:sz w:val="24"/>
          <w:szCs w:val="24"/>
          <w:lang w:val="lt-LT"/>
        </w:rPr>
        <w:t xml:space="preserve"> pranešimais </w:t>
      </w:r>
      <w:r w:rsidR="004B251F" w:rsidRPr="00993220">
        <w:rPr>
          <w:sz w:val="24"/>
          <w:szCs w:val="24"/>
          <w:lang w:val="lt-LT"/>
        </w:rPr>
        <w:t>daugiau</w:t>
      </w:r>
      <w:r w:rsidRPr="00993220">
        <w:rPr>
          <w:sz w:val="24"/>
          <w:szCs w:val="24"/>
          <w:lang w:val="lt-LT"/>
        </w:rPr>
        <w:t xml:space="preserve"> nei 202</w:t>
      </w:r>
      <w:r w:rsidR="004B251F" w:rsidRPr="00993220">
        <w:rPr>
          <w:sz w:val="24"/>
          <w:szCs w:val="24"/>
          <w:lang w:val="lt-LT"/>
        </w:rPr>
        <w:t>4</w:t>
      </w:r>
      <w:r w:rsidRPr="00993220">
        <w:rPr>
          <w:sz w:val="24"/>
          <w:szCs w:val="24"/>
          <w:lang w:val="lt-LT"/>
        </w:rPr>
        <w:t xml:space="preserve"> m.)</w:t>
      </w:r>
      <w:r w:rsidR="004B251F" w:rsidRPr="00993220">
        <w:rPr>
          <w:sz w:val="24"/>
          <w:szCs w:val="24"/>
          <w:lang w:val="lt-LT"/>
        </w:rPr>
        <w:t>,</w:t>
      </w:r>
      <w:r w:rsidRPr="00993220">
        <w:rPr>
          <w:sz w:val="24"/>
          <w:szCs w:val="24"/>
          <w:lang w:val="lt-LT"/>
        </w:rPr>
        <w:t xml:space="preserve"> pacientų (gauta </w:t>
      </w:r>
      <w:r w:rsidR="004B251F" w:rsidRPr="00993220">
        <w:rPr>
          <w:sz w:val="24"/>
          <w:szCs w:val="24"/>
          <w:lang w:val="lt-LT"/>
        </w:rPr>
        <w:t>2</w:t>
      </w:r>
      <w:r w:rsidRPr="00993220">
        <w:rPr>
          <w:sz w:val="24"/>
          <w:szCs w:val="24"/>
          <w:lang w:val="lt-LT"/>
        </w:rPr>
        <w:t>0 pranešimų</w:t>
      </w:r>
      <w:r w:rsidR="004B251F" w:rsidRPr="00993220">
        <w:rPr>
          <w:sz w:val="24"/>
          <w:szCs w:val="24"/>
          <w:lang w:val="lt-LT"/>
        </w:rPr>
        <w:t xml:space="preserve"> daugiau</w:t>
      </w:r>
      <w:r w:rsidRPr="00993220">
        <w:rPr>
          <w:sz w:val="24"/>
          <w:szCs w:val="24"/>
          <w:lang w:val="lt-LT"/>
        </w:rPr>
        <w:t xml:space="preserve"> nei 202</w:t>
      </w:r>
      <w:r w:rsidR="004B251F" w:rsidRPr="00993220">
        <w:rPr>
          <w:sz w:val="24"/>
          <w:szCs w:val="24"/>
          <w:lang w:val="lt-LT"/>
        </w:rPr>
        <w:t>4</w:t>
      </w:r>
      <w:r w:rsidRPr="00993220">
        <w:rPr>
          <w:sz w:val="24"/>
          <w:szCs w:val="24"/>
          <w:lang w:val="lt-LT"/>
        </w:rPr>
        <w:t xml:space="preserve"> m). </w:t>
      </w:r>
      <w:r w:rsidR="004B251F" w:rsidRPr="00993220">
        <w:rPr>
          <w:sz w:val="24"/>
          <w:szCs w:val="24"/>
          <w:lang w:val="lt-LT"/>
        </w:rPr>
        <w:t>P</w:t>
      </w:r>
      <w:r w:rsidRPr="00993220">
        <w:rPr>
          <w:sz w:val="24"/>
          <w:szCs w:val="24"/>
          <w:lang w:val="lt-LT"/>
        </w:rPr>
        <w:t>ranešimų</w:t>
      </w:r>
      <w:r w:rsidR="00684DD7" w:rsidRPr="00993220">
        <w:rPr>
          <w:sz w:val="24"/>
          <w:szCs w:val="24"/>
          <w:lang w:val="lt-LT"/>
        </w:rPr>
        <w:t xml:space="preserve">, </w:t>
      </w:r>
      <w:r w:rsidRPr="00993220">
        <w:rPr>
          <w:sz w:val="24"/>
          <w:szCs w:val="24"/>
          <w:lang w:val="lt-LT"/>
        </w:rPr>
        <w:t>gautų iš vaistininkų</w:t>
      </w:r>
      <w:r w:rsidR="00684DD7" w:rsidRPr="00993220">
        <w:rPr>
          <w:sz w:val="24"/>
          <w:szCs w:val="24"/>
          <w:lang w:val="lt-LT"/>
        </w:rPr>
        <w:t>, skaičius</w:t>
      </w:r>
      <w:r w:rsidRPr="00993220">
        <w:rPr>
          <w:sz w:val="24"/>
          <w:szCs w:val="24"/>
          <w:lang w:val="lt-LT"/>
        </w:rPr>
        <w:t xml:space="preserve"> </w:t>
      </w:r>
      <w:r w:rsidR="00684DD7" w:rsidRPr="00993220">
        <w:rPr>
          <w:sz w:val="24"/>
          <w:szCs w:val="24"/>
          <w:lang w:val="lt-LT"/>
        </w:rPr>
        <w:t xml:space="preserve">išliko beveik nepakitęs </w:t>
      </w:r>
      <w:r w:rsidRPr="00993220">
        <w:rPr>
          <w:sz w:val="24"/>
          <w:szCs w:val="24"/>
          <w:lang w:val="lt-LT"/>
        </w:rPr>
        <w:t>(gauta 1 pranešim</w:t>
      </w:r>
      <w:r w:rsidR="00684DD7" w:rsidRPr="00993220">
        <w:rPr>
          <w:sz w:val="24"/>
          <w:szCs w:val="24"/>
          <w:lang w:val="lt-LT"/>
        </w:rPr>
        <w:t>u</w:t>
      </w:r>
      <w:r w:rsidRPr="00993220">
        <w:rPr>
          <w:sz w:val="24"/>
          <w:szCs w:val="24"/>
          <w:lang w:val="lt-LT"/>
        </w:rPr>
        <w:t xml:space="preserve"> </w:t>
      </w:r>
      <w:r w:rsidR="00684DD7" w:rsidRPr="00993220">
        <w:rPr>
          <w:sz w:val="24"/>
          <w:szCs w:val="24"/>
          <w:lang w:val="lt-LT"/>
        </w:rPr>
        <w:t>mažiau</w:t>
      </w:r>
      <w:r w:rsidRPr="00993220">
        <w:rPr>
          <w:sz w:val="24"/>
          <w:szCs w:val="24"/>
          <w:lang w:val="lt-LT"/>
        </w:rPr>
        <w:t xml:space="preserve"> nei 202</w:t>
      </w:r>
      <w:r w:rsidR="00684DD7" w:rsidRPr="00993220">
        <w:rPr>
          <w:sz w:val="24"/>
          <w:szCs w:val="24"/>
          <w:lang w:val="lt-LT"/>
        </w:rPr>
        <w:t>4</w:t>
      </w:r>
      <w:r w:rsidRPr="00993220">
        <w:rPr>
          <w:sz w:val="24"/>
          <w:szCs w:val="24"/>
          <w:lang w:val="lt-LT"/>
        </w:rPr>
        <w:t xml:space="preserve"> m.) (4 pav.). </w:t>
      </w:r>
    </w:p>
    <w:p w14:paraId="00A2C3CC" w14:textId="1CD511CC" w:rsidR="00DF22F0" w:rsidRPr="00993220" w:rsidRDefault="00DF22F0" w:rsidP="00993220">
      <w:pPr>
        <w:pStyle w:val="Betarp"/>
        <w:ind w:firstLine="708"/>
        <w:jc w:val="both"/>
        <w:rPr>
          <w:sz w:val="24"/>
          <w:szCs w:val="24"/>
          <w:lang w:val="lt-LT"/>
        </w:rPr>
      </w:pPr>
      <w:r w:rsidRPr="00993220">
        <w:rPr>
          <w:sz w:val="24"/>
          <w:szCs w:val="24"/>
          <w:lang w:val="lt-LT"/>
        </w:rPr>
        <w:t xml:space="preserve">2021 m. ir 2022 m. didelį gautų ĮNR pranešimų skaičių lėmė skiepijimo  vakcinomis nuo COVID-19 ligos apimtys. </w:t>
      </w:r>
      <w:r w:rsidR="00684DD7" w:rsidRPr="00993220">
        <w:rPr>
          <w:sz w:val="24"/>
          <w:szCs w:val="24"/>
          <w:lang w:val="lt-LT"/>
        </w:rPr>
        <w:t xml:space="preserve">Nuo </w:t>
      </w:r>
      <w:r w:rsidRPr="00993220">
        <w:rPr>
          <w:sz w:val="24"/>
          <w:szCs w:val="24"/>
          <w:lang w:val="lt-LT"/>
        </w:rPr>
        <w:t xml:space="preserve">2023 m. skiepijimas  vakcinomis nuo COVID-19 ligos ženkliai sumažėjo, todėl stebimas ir mažesnis gaunamų ĮNR pranešimų skaičius. </w:t>
      </w:r>
    </w:p>
    <w:p w14:paraId="744EAA61" w14:textId="77777777" w:rsidR="006204E2" w:rsidRPr="006204E2" w:rsidRDefault="006204E2" w:rsidP="00684DD7">
      <w:pPr>
        <w:pStyle w:val="Betarp"/>
        <w:ind w:firstLine="708"/>
        <w:rPr>
          <w:color w:val="4472C4" w:themeColor="accent5"/>
          <w:sz w:val="24"/>
          <w:szCs w:val="24"/>
          <w:lang w:val="lt-LT"/>
        </w:rPr>
      </w:pPr>
    </w:p>
    <w:p w14:paraId="7F3E2CB1" w14:textId="74A02BB3" w:rsidR="00DF22F0" w:rsidRPr="00DF22F0" w:rsidRDefault="00130FE3" w:rsidP="00DF22F0">
      <w:pPr>
        <w:pStyle w:val="Betarp"/>
        <w:rPr>
          <w:sz w:val="24"/>
          <w:szCs w:val="24"/>
          <w:lang w:val="lt-LT"/>
        </w:rPr>
      </w:pPr>
      <w:r>
        <w:rPr>
          <w:noProof/>
          <w14:ligatures w14:val="standardContextual"/>
        </w:rPr>
        <w:lastRenderedPageBreak/>
        <w:drawing>
          <wp:inline distT="0" distB="0" distL="0" distR="0" wp14:anchorId="3FB95502" wp14:editId="5AC0541E">
            <wp:extent cx="6120130" cy="3253105"/>
            <wp:effectExtent l="0" t="0" r="13970" b="4445"/>
            <wp:docPr id="584246964" name="Diagrama 1">
              <a:extLst xmlns:a="http://schemas.openxmlformats.org/drawingml/2006/main">
                <a:ext uri="{FF2B5EF4-FFF2-40B4-BE49-F238E27FC236}">
                  <a16:creationId xmlns:a16="http://schemas.microsoft.com/office/drawing/2014/main" id="{37CC6CE6-6927-E82F-9E7A-6013998945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457C5D" w14:textId="77777777" w:rsidR="00DF22F0" w:rsidRPr="00DF22F0" w:rsidRDefault="00DF22F0" w:rsidP="00DF22F0">
      <w:pPr>
        <w:pStyle w:val="Betarp"/>
        <w:rPr>
          <w:bCs/>
          <w:i/>
          <w:iCs/>
          <w:sz w:val="24"/>
          <w:szCs w:val="24"/>
          <w:lang w:val="lt-LT"/>
        </w:rPr>
      </w:pPr>
      <w:r w:rsidRPr="00DF22F0">
        <w:rPr>
          <w:bCs/>
          <w:i/>
          <w:iCs/>
          <w:sz w:val="24"/>
          <w:szCs w:val="24"/>
          <w:lang w:val="lt-LT"/>
        </w:rPr>
        <w:t>(4 pav.)</w:t>
      </w:r>
    </w:p>
    <w:p w14:paraId="01D6E3FD" w14:textId="77777777" w:rsidR="00297943" w:rsidRDefault="00297943" w:rsidP="00DF22F0">
      <w:pPr>
        <w:pStyle w:val="Betarp"/>
        <w:rPr>
          <w:bCs/>
          <w:i/>
          <w:iCs/>
          <w:sz w:val="24"/>
          <w:szCs w:val="24"/>
          <w:lang w:val="lt-LT"/>
        </w:rPr>
      </w:pPr>
    </w:p>
    <w:p w14:paraId="475A42D5" w14:textId="3C1F58F7" w:rsidR="00233331" w:rsidRPr="00ED1934" w:rsidRDefault="00297943" w:rsidP="00ED1934">
      <w:pPr>
        <w:pStyle w:val="Betarp"/>
        <w:jc w:val="center"/>
        <w:rPr>
          <w:b/>
          <w:bCs/>
          <w:sz w:val="24"/>
          <w:szCs w:val="24"/>
          <w:lang w:val="lt-LT"/>
        </w:rPr>
      </w:pPr>
      <w:r w:rsidRPr="00ED1934">
        <w:rPr>
          <w:b/>
          <w:bCs/>
          <w:sz w:val="24"/>
          <w:szCs w:val="24"/>
          <w:lang w:val="lt-LT"/>
        </w:rPr>
        <w:t>Pacientų, kuriems pasireiškė ĮNR, lytis ir amžius</w:t>
      </w:r>
    </w:p>
    <w:p w14:paraId="1EFD0FF1" w14:textId="35188D30" w:rsidR="00F41CD4" w:rsidRPr="0091041F" w:rsidRDefault="005F77C9" w:rsidP="0091041F">
      <w:pPr>
        <w:spacing w:before="100" w:beforeAutospacing="1" w:after="100" w:afterAutospacing="1"/>
        <w:ind w:firstLine="720"/>
        <w:jc w:val="both"/>
        <w:rPr>
          <w:bCs/>
          <w:i/>
          <w:iCs/>
          <w:color w:val="00B050"/>
          <w:sz w:val="24"/>
          <w:szCs w:val="24"/>
          <w:lang w:val="lt-LT"/>
        </w:rPr>
      </w:pPr>
      <w:r w:rsidRPr="00ED1934">
        <w:rPr>
          <w:sz w:val="24"/>
          <w:szCs w:val="24"/>
        </w:rPr>
        <w:t>202</w:t>
      </w:r>
      <w:r w:rsidRPr="00ED1934">
        <w:rPr>
          <w:sz w:val="24"/>
          <w:szCs w:val="24"/>
          <w:lang w:val="lt-LT"/>
        </w:rPr>
        <w:t>5</w:t>
      </w:r>
      <w:r w:rsidRPr="00ED1934">
        <w:rPr>
          <w:sz w:val="24"/>
          <w:szCs w:val="24"/>
        </w:rPr>
        <w:t xml:space="preserve"> m. </w:t>
      </w:r>
      <w:proofErr w:type="spellStart"/>
      <w:r w:rsidRPr="00ED1934">
        <w:rPr>
          <w:sz w:val="24"/>
          <w:szCs w:val="24"/>
        </w:rPr>
        <w:t>pacientų</w:t>
      </w:r>
      <w:proofErr w:type="spellEnd"/>
      <w:r w:rsidRPr="00ED1934">
        <w:rPr>
          <w:sz w:val="24"/>
          <w:szCs w:val="24"/>
        </w:rPr>
        <w:t xml:space="preserve"> </w:t>
      </w:r>
      <w:proofErr w:type="spellStart"/>
      <w:r w:rsidRPr="00ED1934">
        <w:rPr>
          <w:sz w:val="24"/>
          <w:szCs w:val="24"/>
        </w:rPr>
        <w:t>pasiskirstymas</w:t>
      </w:r>
      <w:proofErr w:type="spellEnd"/>
      <w:r w:rsidRPr="00ED1934">
        <w:rPr>
          <w:sz w:val="24"/>
          <w:szCs w:val="24"/>
        </w:rPr>
        <w:t xml:space="preserve"> </w:t>
      </w:r>
      <w:proofErr w:type="spellStart"/>
      <w:r w:rsidRPr="00ED1934">
        <w:rPr>
          <w:sz w:val="24"/>
          <w:szCs w:val="24"/>
        </w:rPr>
        <w:t>pagal</w:t>
      </w:r>
      <w:proofErr w:type="spellEnd"/>
      <w:r w:rsidRPr="00ED1934">
        <w:rPr>
          <w:sz w:val="24"/>
          <w:szCs w:val="24"/>
        </w:rPr>
        <w:t xml:space="preserve"> </w:t>
      </w:r>
      <w:proofErr w:type="spellStart"/>
      <w:r w:rsidRPr="00ED1934">
        <w:rPr>
          <w:sz w:val="24"/>
          <w:szCs w:val="24"/>
        </w:rPr>
        <w:t>lytį</w:t>
      </w:r>
      <w:proofErr w:type="spellEnd"/>
      <w:r w:rsidRPr="00ED1934">
        <w:rPr>
          <w:sz w:val="24"/>
          <w:szCs w:val="24"/>
        </w:rPr>
        <w:t xml:space="preserve"> </w:t>
      </w:r>
      <w:proofErr w:type="spellStart"/>
      <w:r w:rsidRPr="00ED1934">
        <w:rPr>
          <w:sz w:val="24"/>
          <w:szCs w:val="24"/>
        </w:rPr>
        <w:t>išlik</w:t>
      </w:r>
      <w:proofErr w:type="spellEnd"/>
      <w:r w:rsidR="006B55F8" w:rsidRPr="00ED1934">
        <w:rPr>
          <w:sz w:val="24"/>
          <w:szCs w:val="24"/>
          <w:lang w:val="lt-LT"/>
        </w:rPr>
        <w:t>o panašus</w:t>
      </w:r>
      <w:r w:rsidRPr="00ED1934">
        <w:rPr>
          <w:sz w:val="24"/>
          <w:szCs w:val="24"/>
        </w:rPr>
        <w:t xml:space="preserve">, </w:t>
      </w:r>
      <w:proofErr w:type="spellStart"/>
      <w:r w:rsidRPr="00ED1934">
        <w:rPr>
          <w:sz w:val="24"/>
          <w:szCs w:val="24"/>
        </w:rPr>
        <w:t>kaip</w:t>
      </w:r>
      <w:proofErr w:type="spellEnd"/>
      <w:r w:rsidRPr="00ED1934">
        <w:rPr>
          <w:sz w:val="24"/>
          <w:szCs w:val="24"/>
        </w:rPr>
        <w:t xml:space="preserve"> </w:t>
      </w:r>
      <w:proofErr w:type="spellStart"/>
      <w:r w:rsidRPr="00ED1934">
        <w:rPr>
          <w:sz w:val="24"/>
          <w:szCs w:val="24"/>
        </w:rPr>
        <w:t>ir</w:t>
      </w:r>
      <w:proofErr w:type="spellEnd"/>
      <w:r w:rsidRPr="00ED1934">
        <w:rPr>
          <w:sz w:val="24"/>
          <w:szCs w:val="24"/>
        </w:rPr>
        <w:t xml:space="preserve"> 202</w:t>
      </w:r>
      <w:r w:rsidRPr="00ED1934">
        <w:rPr>
          <w:sz w:val="24"/>
          <w:szCs w:val="24"/>
          <w:lang w:val="lt-LT"/>
        </w:rPr>
        <w:t>4</w:t>
      </w:r>
      <w:r w:rsidRPr="00ED1934">
        <w:rPr>
          <w:sz w:val="24"/>
          <w:szCs w:val="24"/>
        </w:rPr>
        <w:t xml:space="preserve"> m. </w:t>
      </w:r>
      <w:proofErr w:type="spellStart"/>
      <w:r w:rsidRPr="00ED1934">
        <w:rPr>
          <w:sz w:val="24"/>
          <w:szCs w:val="24"/>
        </w:rPr>
        <w:t>Keletą</w:t>
      </w:r>
      <w:proofErr w:type="spellEnd"/>
      <w:r w:rsidRPr="00ED1934">
        <w:rPr>
          <w:sz w:val="24"/>
          <w:szCs w:val="24"/>
        </w:rPr>
        <w:t xml:space="preserve"> </w:t>
      </w:r>
      <w:proofErr w:type="spellStart"/>
      <w:r w:rsidRPr="00ED1934">
        <w:rPr>
          <w:sz w:val="24"/>
          <w:szCs w:val="24"/>
        </w:rPr>
        <w:t>metų</w:t>
      </w:r>
      <w:proofErr w:type="spellEnd"/>
      <w:r w:rsidRPr="00ED1934">
        <w:rPr>
          <w:sz w:val="24"/>
          <w:szCs w:val="24"/>
        </w:rPr>
        <w:t xml:space="preserve"> </w:t>
      </w:r>
      <w:proofErr w:type="spellStart"/>
      <w:r w:rsidRPr="00ED1934">
        <w:rPr>
          <w:sz w:val="24"/>
          <w:szCs w:val="24"/>
        </w:rPr>
        <w:t>iš</w:t>
      </w:r>
      <w:proofErr w:type="spellEnd"/>
      <w:r w:rsidRPr="00ED1934">
        <w:rPr>
          <w:sz w:val="24"/>
          <w:szCs w:val="24"/>
        </w:rPr>
        <w:t xml:space="preserve"> </w:t>
      </w:r>
      <w:proofErr w:type="spellStart"/>
      <w:r w:rsidRPr="00ED1934">
        <w:rPr>
          <w:sz w:val="24"/>
          <w:szCs w:val="24"/>
        </w:rPr>
        <w:t>eilės</w:t>
      </w:r>
      <w:proofErr w:type="spellEnd"/>
      <w:r w:rsidRPr="00ED1934">
        <w:rPr>
          <w:sz w:val="24"/>
          <w:szCs w:val="24"/>
        </w:rPr>
        <w:t xml:space="preserve"> </w:t>
      </w:r>
      <w:proofErr w:type="spellStart"/>
      <w:r w:rsidRPr="00ED1934">
        <w:rPr>
          <w:sz w:val="24"/>
          <w:szCs w:val="24"/>
        </w:rPr>
        <w:t>daugiau</w:t>
      </w:r>
      <w:proofErr w:type="spellEnd"/>
      <w:r w:rsidRPr="00ED1934">
        <w:rPr>
          <w:sz w:val="24"/>
          <w:szCs w:val="24"/>
        </w:rPr>
        <w:t xml:space="preserve"> </w:t>
      </w:r>
      <w:proofErr w:type="spellStart"/>
      <w:r w:rsidRPr="00ED1934">
        <w:rPr>
          <w:sz w:val="24"/>
          <w:szCs w:val="24"/>
        </w:rPr>
        <w:t>nei</w:t>
      </w:r>
      <w:proofErr w:type="spellEnd"/>
      <w:r w:rsidRPr="00ED1934">
        <w:rPr>
          <w:sz w:val="24"/>
          <w:szCs w:val="24"/>
        </w:rPr>
        <w:t xml:space="preserve"> </w:t>
      </w:r>
      <w:proofErr w:type="spellStart"/>
      <w:r w:rsidRPr="00ED1934">
        <w:rPr>
          <w:sz w:val="24"/>
          <w:szCs w:val="24"/>
        </w:rPr>
        <w:t>pusė</w:t>
      </w:r>
      <w:proofErr w:type="spellEnd"/>
      <w:r w:rsidRPr="00ED1934">
        <w:rPr>
          <w:sz w:val="24"/>
          <w:szCs w:val="24"/>
        </w:rPr>
        <w:t xml:space="preserve"> </w:t>
      </w:r>
      <w:proofErr w:type="spellStart"/>
      <w:r w:rsidRPr="00ED1934">
        <w:rPr>
          <w:sz w:val="24"/>
          <w:szCs w:val="24"/>
        </w:rPr>
        <w:t>užregistruotų</w:t>
      </w:r>
      <w:proofErr w:type="spellEnd"/>
      <w:r w:rsidRPr="00ED1934">
        <w:rPr>
          <w:sz w:val="24"/>
          <w:szCs w:val="24"/>
        </w:rPr>
        <w:t xml:space="preserve"> </w:t>
      </w:r>
      <w:proofErr w:type="spellStart"/>
      <w:r w:rsidRPr="00ED1934">
        <w:rPr>
          <w:sz w:val="24"/>
          <w:szCs w:val="24"/>
        </w:rPr>
        <w:t>pranešimų</w:t>
      </w:r>
      <w:proofErr w:type="spellEnd"/>
      <w:r w:rsidRPr="00ED1934">
        <w:rPr>
          <w:sz w:val="24"/>
          <w:szCs w:val="24"/>
        </w:rPr>
        <w:t xml:space="preserve"> </w:t>
      </w:r>
      <w:proofErr w:type="spellStart"/>
      <w:r w:rsidRPr="00ED1934">
        <w:rPr>
          <w:sz w:val="24"/>
          <w:szCs w:val="24"/>
        </w:rPr>
        <w:t>yra</w:t>
      </w:r>
      <w:proofErr w:type="spellEnd"/>
      <w:r w:rsidRPr="00ED1934">
        <w:rPr>
          <w:sz w:val="24"/>
          <w:szCs w:val="24"/>
        </w:rPr>
        <w:t xml:space="preserve"> </w:t>
      </w:r>
      <w:proofErr w:type="spellStart"/>
      <w:r w:rsidRPr="00ED1934">
        <w:rPr>
          <w:sz w:val="24"/>
          <w:szCs w:val="24"/>
        </w:rPr>
        <w:t>apie</w:t>
      </w:r>
      <w:proofErr w:type="spellEnd"/>
      <w:r w:rsidRPr="00ED1934">
        <w:rPr>
          <w:sz w:val="24"/>
          <w:szCs w:val="24"/>
        </w:rPr>
        <w:t xml:space="preserve"> ĮNR, </w:t>
      </w:r>
      <w:proofErr w:type="spellStart"/>
      <w:r w:rsidRPr="00ED1934">
        <w:rPr>
          <w:sz w:val="24"/>
          <w:szCs w:val="24"/>
        </w:rPr>
        <w:t>kurios</w:t>
      </w:r>
      <w:proofErr w:type="spellEnd"/>
      <w:r w:rsidRPr="00ED1934">
        <w:rPr>
          <w:sz w:val="24"/>
          <w:szCs w:val="24"/>
        </w:rPr>
        <w:t xml:space="preserve"> </w:t>
      </w:r>
      <w:proofErr w:type="spellStart"/>
      <w:r w:rsidRPr="00ED1934">
        <w:rPr>
          <w:sz w:val="24"/>
          <w:szCs w:val="24"/>
        </w:rPr>
        <w:t>pasireiškė</w:t>
      </w:r>
      <w:proofErr w:type="spellEnd"/>
      <w:r w:rsidRPr="00ED1934">
        <w:rPr>
          <w:sz w:val="24"/>
          <w:szCs w:val="24"/>
        </w:rPr>
        <w:t xml:space="preserve"> </w:t>
      </w:r>
      <w:proofErr w:type="spellStart"/>
      <w:r w:rsidRPr="00ED1934">
        <w:rPr>
          <w:sz w:val="24"/>
          <w:szCs w:val="24"/>
        </w:rPr>
        <w:t>moterims</w:t>
      </w:r>
      <w:proofErr w:type="spellEnd"/>
      <w:r w:rsidRPr="00ED1934">
        <w:rPr>
          <w:sz w:val="24"/>
          <w:szCs w:val="24"/>
        </w:rPr>
        <w:t xml:space="preserve">. </w:t>
      </w:r>
      <w:proofErr w:type="spellStart"/>
      <w:r w:rsidRPr="00ED1934">
        <w:rPr>
          <w:sz w:val="24"/>
          <w:szCs w:val="24"/>
        </w:rPr>
        <w:t>Pasiskirstymas</w:t>
      </w:r>
      <w:proofErr w:type="spellEnd"/>
      <w:r w:rsidRPr="00ED1934">
        <w:rPr>
          <w:sz w:val="24"/>
          <w:szCs w:val="24"/>
        </w:rPr>
        <w:t xml:space="preserve"> </w:t>
      </w:r>
      <w:proofErr w:type="spellStart"/>
      <w:r w:rsidRPr="00ED1934">
        <w:rPr>
          <w:sz w:val="24"/>
          <w:szCs w:val="24"/>
        </w:rPr>
        <w:t>pagal</w:t>
      </w:r>
      <w:proofErr w:type="spellEnd"/>
      <w:r w:rsidRPr="00ED1934">
        <w:rPr>
          <w:sz w:val="24"/>
          <w:szCs w:val="24"/>
        </w:rPr>
        <w:t xml:space="preserve"> </w:t>
      </w:r>
      <w:proofErr w:type="spellStart"/>
      <w:r w:rsidRPr="00ED1934">
        <w:rPr>
          <w:sz w:val="24"/>
          <w:szCs w:val="24"/>
        </w:rPr>
        <w:t>pacientų</w:t>
      </w:r>
      <w:proofErr w:type="spellEnd"/>
      <w:r w:rsidRPr="00ED1934">
        <w:rPr>
          <w:sz w:val="24"/>
          <w:szCs w:val="24"/>
        </w:rPr>
        <w:t xml:space="preserve"> </w:t>
      </w:r>
      <w:proofErr w:type="spellStart"/>
      <w:r w:rsidRPr="00ED1934">
        <w:rPr>
          <w:sz w:val="24"/>
          <w:szCs w:val="24"/>
        </w:rPr>
        <w:t>lytį</w:t>
      </w:r>
      <w:proofErr w:type="spellEnd"/>
      <w:r w:rsidRPr="00ED1934">
        <w:rPr>
          <w:sz w:val="24"/>
          <w:szCs w:val="24"/>
        </w:rPr>
        <w:t xml:space="preserve"> </w:t>
      </w:r>
      <w:proofErr w:type="spellStart"/>
      <w:r w:rsidRPr="00ED1934">
        <w:rPr>
          <w:sz w:val="24"/>
          <w:szCs w:val="24"/>
        </w:rPr>
        <w:t>procentais</w:t>
      </w:r>
      <w:proofErr w:type="spellEnd"/>
      <w:r w:rsidRPr="00ED1934">
        <w:rPr>
          <w:sz w:val="24"/>
          <w:szCs w:val="24"/>
        </w:rPr>
        <w:t xml:space="preserve"> </w:t>
      </w:r>
      <w:proofErr w:type="spellStart"/>
      <w:r w:rsidRPr="00ED1934">
        <w:rPr>
          <w:sz w:val="24"/>
          <w:szCs w:val="24"/>
        </w:rPr>
        <w:t>pavaizduotas</w:t>
      </w:r>
      <w:proofErr w:type="spellEnd"/>
      <w:r w:rsidRPr="00ED1934">
        <w:rPr>
          <w:sz w:val="24"/>
          <w:szCs w:val="24"/>
        </w:rPr>
        <w:t xml:space="preserve"> 5 </w:t>
      </w:r>
      <w:proofErr w:type="spellStart"/>
      <w:r w:rsidRPr="00ED1934">
        <w:rPr>
          <w:sz w:val="24"/>
          <w:szCs w:val="24"/>
        </w:rPr>
        <w:t>pav</w:t>
      </w:r>
      <w:proofErr w:type="spellEnd"/>
      <w:r w:rsidRPr="00ED1934">
        <w:rPr>
          <w:sz w:val="24"/>
          <w:szCs w:val="24"/>
        </w:rPr>
        <w:t>.</w:t>
      </w:r>
    </w:p>
    <w:p w14:paraId="43E220C7" w14:textId="1E9717F8" w:rsidR="00297943" w:rsidRPr="00DF22F0" w:rsidRDefault="00130FE3" w:rsidP="00233331">
      <w:pPr>
        <w:pStyle w:val="Betarp"/>
        <w:jc w:val="center"/>
        <w:rPr>
          <w:bCs/>
          <w:i/>
          <w:iCs/>
          <w:sz w:val="24"/>
          <w:szCs w:val="24"/>
          <w:lang w:val="lt-LT"/>
        </w:rPr>
      </w:pPr>
      <w:r>
        <w:rPr>
          <w:noProof/>
          <w14:ligatures w14:val="standardContextual"/>
        </w:rPr>
        <w:drawing>
          <wp:inline distT="0" distB="0" distL="0" distR="0" wp14:anchorId="314F5F87" wp14:editId="1F5CA97D">
            <wp:extent cx="6078279" cy="3471532"/>
            <wp:effectExtent l="0" t="0" r="17780" b="15240"/>
            <wp:docPr id="962664734" name="Diagrama 1">
              <a:extLst xmlns:a="http://schemas.openxmlformats.org/drawingml/2006/main">
                <a:ext uri="{FF2B5EF4-FFF2-40B4-BE49-F238E27FC236}">
                  <a16:creationId xmlns:a16="http://schemas.microsoft.com/office/drawing/2014/main" id="{75BAF29F-6C00-A80B-4D70-55985A4464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103EF2" w14:textId="40B2EB08" w:rsidR="00297943" w:rsidRDefault="00297943" w:rsidP="00297943">
      <w:pPr>
        <w:pStyle w:val="Betarp"/>
        <w:rPr>
          <w:bCs/>
          <w:i/>
          <w:iCs/>
          <w:sz w:val="24"/>
          <w:szCs w:val="24"/>
          <w:lang w:val="lt-LT"/>
        </w:rPr>
      </w:pPr>
      <w:r w:rsidRPr="00DF22F0">
        <w:rPr>
          <w:bCs/>
          <w:i/>
          <w:iCs/>
          <w:sz w:val="24"/>
          <w:szCs w:val="24"/>
          <w:lang w:val="lt-LT"/>
        </w:rPr>
        <w:t xml:space="preserve"> (5 pav.)</w:t>
      </w:r>
    </w:p>
    <w:p w14:paraId="3E4820B4" w14:textId="77777777" w:rsidR="00B80B53" w:rsidRPr="00DF22F0" w:rsidRDefault="00B80B53" w:rsidP="00297943">
      <w:pPr>
        <w:pStyle w:val="Betarp"/>
        <w:rPr>
          <w:bCs/>
          <w:i/>
          <w:iCs/>
          <w:sz w:val="24"/>
          <w:szCs w:val="24"/>
          <w:lang w:val="lt-LT"/>
        </w:rPr>
      </w:pPr>
    </w:p>
    <w:p w14:paraId="6B4B9CC8" w14:textId="64C7ED5B" w:rsidR="00297943" w:rsidRPr="006910D7" w:rsidRDefault="00B61094" w:rsidP="006910D7">
      <w:pPr>
        <w:pStyle w:val="Betarp"/>
        <w:ind w:firstLine="708"/>
        <w:jc w:val="both"/>
        <w:rPr>
          <w:sz w:val="24"/>
          <w:szCs w:val="24"/>
          <w:lang w:val="lt-LT"/>
        </w:rPr>
      </w:pPr>
      <w:r w:rsidRPr="006910D7">
        <w:rPr>
          <w:sz w:val="24"/>
          <w:szCs w:val="24"/>
          <w:lang w:val="lt-LT"/>
        </w:rPr>
        <w:t xml:space="preserve">Paskutinius trejus metus gaunamų ĮNR atvejų pasiskirstymas pagal pacientų amžių išlieka labai panašus. </w:t>
      </w:r>
      <w:r w:rsidR="00297943" w:rsidRPr="006910D7">
        <w:rPr>
          <w:sz w:val="24"/>
          <w:szCs w:val="24"/>
          <w:lang w:val="lt-LT"/>
        </w:rPr>
        <w:t>Daugiausia ĮNR registruota suaugusiems žmonėms. Suskirsčius pacientus į grupes pagal amžių kas dvidešimt metų, nustatyta, kad 202</w:t>
      </w:r>
      <w:r w:rsidRPr="006910D7">
        <w:rPr>
          <w:sz w:val="24"/>
          <w:szCs w:val="24"/>
          <w:lang w:val="lt-LT"/>
        </w:rPr>
        <w:t>5</w:t>
      </w:r>
      <w:r w:rsidR="00297943" w:rsidRPr="006910D7">
        <w:rPr>
          <w:sz w:val="24"/>
          <w:szCs w:val="24"/>
          <w:lang w:val="lt-LT"/>
        </w:rPr>
        <w:t xml:space="preserve"> m. daugiausia ĮNR pasireiškė  60-79 metų </w:t>
      </w:r>
      <w:r w:rsidR="00297943" w:rsidRPr="006910D7">
        <w:rPr>
          <w:sz w:val="24"/>
          <w:szCs w:val="24"/>
          <w:lang w:val="lt-LT"/>
        </w:rPr>
        <w:lastRenderedPageBreak/>
        <w:t>amžiaus pacientams (2</w:t>
      </w:r>
      <w:r w:rsidRPr="006910D7">
        <w:rPr>
          <w:sz w:val="24"/>
          <w:szCs w:val="24"/>
          <w:lang w:val="lt-LT"/>
        </w:rPr>
        <w:t>5</w:t>
      </w:r>
      <w:r w:rsidR="00297943" w:rsidRPr="006910D7">
        <w:rPr>
          <w:sz w:val="24"/>
          <w:szCs w:val="24"/>
          <w:lang w:val="lt-LT"/>
        </w:rPr>
        <w:t>,</w:t>
      </w:r>
      <w:r w:rsidRPr="006910D7">
        <w:rPr>
          <w:sz w:val="24"/>
          <w:szCs w:val="24"/>
          <w:lang w:val="lt-LT"/>
        </w:rPr>
        <w:t>55</w:t>
      </w:r>
      <w:r w:rsidR="00297943" w:rsidRPr="006910D7">
        <w:rPr>
          <w:sz w:val="24"/>
          <w:szCs w:val="24"/>
          <w:lang w:val="lt-LT"/>
        </w:rPr>
        <w:t xml:space="preserve"> proc.), bet pakankamai didelis reakcijų skaičius stebimas 40 - 59 metų (22,</w:t>
      </w:r>
      <w:r w:rsidRPr="006910D7">
        <w:rPr>
          <w:sz w:val="24"/>
          <w:szCs w:val="24"/>
          <w:lang w:val="lt-LT"/>
        </w:rPr>
        <w:t>1</w:t>
      </w:r>
      <w:r w:rsidR="00297943" w:rsidRPr="006910D7">
        <w:rPr>
          <w:sz w:val="24"/>
          <w:szCs w:val="24"/>
          <w:lang w:val="lt-LT"/>
        </w:rPr>
        <w:t>2 proc.) ir 20 – 39 metų (</w:t>
      </w:r>
      <w:r w:rsidRPr="006910D7">
        <w:rPr>
          <w:sz w:val="24"/>
          <w:szCs w:val="24"/>
          <w:lang w:val="lt-LT"/>
        </w:rPr>
        <w:t>20</w:t>
      </w:r>
      <w:r w:rsidR="00297943" w:rsidRPr="006910D7">
        <w:rPr>
          <w:sz w:val="24"/>
          <w:szCs w:val="24"/>
          <w:lang w:val="lt-LT"/>
        </w:rPr>
        <w:t>,</w:t>
      </w:r>
      <w:r w:rsidRPr="006910D7">
        <w:rPr>
          <w:sz w:val="24"/>
          <w:szCs w:val="24"/>
          <w:lang w:val="lt-LT"/>
        </w:rPr>
        <w:t>5</w:t>
      </w:r>
      <w:r w:rsidR="00297943" w:rsidRPr="006910D7">
        <w:rPr>
          <w:sz w:val="24"/>
          <w:szCs w:val="24"/>
          <w:lang w:val="lt-LT"/>
        </w:rPr>
        <w:t xml:space="preserve"> proc.) amžiaus grupėse. Mažiausiai ĮNR pranešimų gauta iš pacientų, kurių amžius yra iki 1 metų (</w:t>
      </w:r>
      <w:r w:rsidRPr="006910D7">
        <w:rPr>
          <w:sz w:val="24"/>
          <w:szCs w:val="24"/>
          <w:lang w:val="lt-LT"/>
        </w:rPr>
        <w:t>2</w:t>
      </w:r>
      <w:r w:rsidR="00297943" w:rsidRPr="006910D7">
        <w:rPr>
          <w:sz w:val="24"/>
          <w:szCs w:val="24"/>
          <w:lang w:val="lt-LT"/>
        </w:rPr>
        <w:t xml:space="preserve"> proc.)</w:t>
      </w:r>
      <w:r w:rsidRPr="006910D7">
        <w:rPr>
          <w:sz w:val="24"/>
          <w:szCs w:val="24"/>
          <w:lang w:val="lt-LT"/>
        </w:rPr>
        <w:t>.</w:t>
      </w:r>
      <w:r w:rsidR="00297943" w:rsidRPr="006910D7">
        <w:rPr>
          <w:sz w:val="24"/>
          <w:szCs w:val="24"/>
          <w:lang w:val="lt-LT"/>
        </w:rPr>
        <w:t xml:space="preserve"> </w:t>
      </w:r>
      <w:r w:rsidRPr="006910D7">
        <w:rPr>
          <w:sz w:val="24"/>
          <w:szCs w:val="24"/>
          <w:lang w:val="lt-LT"/>
        </w:rPr>
        <w:t xml:space="preserve">Beveik po lygiai pranešimų gauta amžiaus grupėse </w:t>
      </w:r>
      <w:r w:rsidR="00297943" w:rsidRPr="006910D7">
        <w:rPr>
          <w:sz w:val="24"/>
          <w:szCs w:val="24"/>
          <w:lang w:val="lt-LT"/>
        </w:rPr>
        <w:t>nuo 1 iki 19 metų (</w:t>
      </w:r>
      <w:r w:rsidRPr="006910D7">
        <w:rPr>
          <w:sz w:val="24"/>
          <w:szCs w:val="24"/>
          <w:lang w:val="lt-LT"/>
        </w:rPr>
        <w:t>8</w:t>
      </w:r>
      <w:r w:rsidR="00297943" w:rsidRPr="006910D7">
        <w:rPr>
          <w:sz w:val="24"/>
          <w:szCs w:val="24"/>
          <w:lang w:val="lt-LT"/>
        </w:rPr>
        <w:t>,</w:t>
      </w:r>
      <w:r w:rsidRPr="006910D7">
        <w:rPr>
          <w:sz w:val="24"/>
          <w:szCs w:val="24"/>
          <w:lang w:val="lt-LT"/>
        </w:rPr>
        <w:t>58</w:t>
      </w:r>
      <w:r w:rsidR="00297943" w:rsidRPr="006910D7">
        <w:rPr>
          <w:sz w:val="24"/>
          <w:szCs w:val="24"/>
          <w:lang w:val="lt-LT"/>
        </w:rPr>
        <w:t xml:space="preserve"> proc.) ir daugiau kaip 80 metų (8 proc.). Nemažoje dalyje pranešimų (1</w:t>
      </w:r>
      <w:r w:rsidRPr="006910D7">
        <w:rPr>
          <w:sz w:val="24"/>
          <w:szCs w:val="24"/>
          <w:lang w:val="lt-LT"/>
        </w:rPr>
        <w:t>3</w:t>
      </w:r>
      <w:r w:rsidR="00297943" w:rsidRPr="006910D7">
        <w:rPr>
          <w:sz w:val="24"/>
          <w:szCs w:val="24"/>
          <w:lang w:val="lt-LT"/>
        </w:rPr>
        <w:t>,</w:t>
      </w:r>
      <w:r w:rsidRPr="006910D7">
        <w:rPr>
          <w:sz w:val="24"/>
          <w:szCs w:val="24"/>
          <w:lang w:val="lt-LT"/>
        </w:rPr>
        <w:t>25</w:t>
      </w:r>
      <w:r w:rsidR="00297943" w:rsidRPr="006910D7">
        <w:rPr>
          <w:sz w:val="24"/>
          <w:szCs w:val="24"/>
          <w:lang w:val="lt-LT"/>
        </w:rPr>
        <w:t xml:space="preserve"> proc.) pacientų amžius nebuvo nurodytas. Pacientų, kuriems pasireiškė ĮNR, pasiskirstymas pagal amžių procentais</w:t>
      </w:r>
      <w:r w:rsidR="00825C36">
        <w:rPr>
          <w:sz w:val="24"/>
          <w:szCs w:val="24"/>
          <w:lang w:val="lt-LT"/>
        </w:rPr>
        <w:t>,</w:t>
      </w:r>
      <w:r w:rsidR="00297943" w:rsidRPr="006910D7">
        <w:rPr>
          <w:sz w:val="24"/>
          <w:szCs w:val="24"/>
          <w:lang w:val="lt-LT"/>
        </w:rPr>
        <w:t xml:space="preserve"> pavaizduotas 6 pav.</w:t>
      </w:r>
    </w:p>
    <w:p w14:paraId="4ECAA0D0" w14:textId="77777777" w:rsidR="00297943" w:rsidRPr="00DF22F0" w:rsidRDefault="00297943" w:rsidP="00297943">
      <w:pPr>
        <w:pStyle w:val="Betarp"/>
        <w:rPr>
          <w:sz w:val="24"/>
          <w:szCs w:val="24"/>
          <w:lang w:val="lt-LT"/>
        </w:rPr>
      </w:pPr>
    </w:p>
    <w:p w14:paraId="4E8824A7" w14:textId="707B3412" w:rsidR="00297943" w:rsidRPr="00DF22F0" w:rsidRDefault="00A27120" w:rsidP="00297943">
      <w:pPr>
        <w:pStyle w:val="Betarp"/>
        <w:rPr>
          <w:sz w:val="24"/>
          <w:szCs w:val="24"/>
          <w:lang w:val="lt-LT"/>
        </w:rPr>
      </w:pPr>
      <w:r>
        <w:rPr>
          <w:noProof/>
          <w14:ligatures w14:val="standardContextual"/>
        </w:rPr>
        <w:drawing>
          <wp:inline distT="0" distB="0" distL="0" distR="0" wp14:anchorId="41899205" wp14:editId="60D9E413">
            <wp:extent cx="6120130" cy="3542030"/>
            <wp:effectExtent l="0" t="0" r="13970" b="1270"/>
            <wp:docPr id="1659163066" name="Diagrama 1">
              <a:extLst xmlns:a="http://schemas.openxmlformats.org/drawingml/2006/main">
                <a:ext uri="{FF2B5EF4-FFF2-40B4-BE49-F238E27FC236}">
                  <a16:creationId xmlns:a16="http://schemas.microsoft.com/office/drawing/2014/main" id="{B1984EE8-21D3-700F-F5DB-D0F21B6545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F2F362" w14:textId="77777777" w:rsidR="00297943" w:rsidRPr="00DF22F0" w:rsidRDefault="00297943" w:rsidP="00297943">
      <w:pPr>
        <w:pStyle w:val="Betarp"/>
        <w:rPr>
          <w:bCs/>
          <w:i/>
          <w:iCs/>
          <w:sz w:val="24"/>
          <w:szCs w:val="24"/>
          <w:lang w:val="lt-LT"/>
        </w:rPr>
      </w:pPr>
      <w:r w:rsidRPr="00DF22F0">
        <w:rPr>
          <w:bCs/>
          <w:i/>
          <w:iCs/>
          <w:sz w:val="24"/>
          <w:szCs w:val="24"/>
          <w:lang w:val="lt-LT"/>
        </w:rPr>
        <w:t xml:space="preserve">(6 pav.) </w:t>
      </w:r>
    </w:p>
    <w:p w14:paraId="4D39EE7A" w14:textId="0265D877" w:rsidR="00297943" w:rsidRDefault="00297943" w:rsidP="0091041F">
      <w:pPr>
        <w:pStyle w:val="Betarp"/>
        <w:tabs>
          <w:tab w:val="left" w:pos="1557"/>
        </w:tabs>
        <w:rPr>
          <w:bCs/>
          <w:i/>
          <w:iCs/>
          <w:sz w:val="24"/>
          <w:szCs w:val="24"/>
          <w:lang w:val="lt-LT"/>
        </w:rPr>
      </w:pPr>
    </w:p>
    <w:p w14:paraId="3E8125C6" w14:textId="5DE5ACD6" w:rsidR="00AE4612" w:rsidRPr="0026684F" w:rsidRDefault="00AE4612" w:rsidP="00AE4612">
      <w:pPr>
        <w:pStyle w:val="Betarp"/>
        <w:jc w:val="center"/>
        <w:rPr>
          <w:b/>
          <w:bCs/>
          <w:sz w:val="24"/>
          <w:szCs w:val="24"/>
          <w:lang w:val="lt-LT"/>
        </w:rPr>
      </w:pPr>
      <w:r w:rsidRPr="0026684F">
        <w:rPr>
          <w:b/>
          <w:bCs/>
          <w:sz w:val="24"/>
          <w:szCs w:val="24"/>
          <w:lang w:val="lt-LT"/>
        </w:rPr>
        <w:t>Pranešimai apie vaistinių preparatų, pažymėtų juoduoju trikampiu, sukeltas ĮNR</w:t>
      </w:r>
    </w:p>
    <w:p w14:paraId="7144F7F7" w14:textId="77777777" w:rsidR="00AE4612" w:rsidRPr="00AE4612" w:rsidRDefault="00AE4612" w:rsidP="00AE4612">
      <w:pPr>
        <w:pStyle w:val="Betarp"/>
        <w:rPr>
          <w:b/>
          <w:bCs/>
          <w:color w:val="4472C4" w:themeColor="accent5"/>
          <w:sz w:val="24"/>
          <w:szCs w:val="24"/>
          <w:lang w:val="lt-LT"/>
        </w:rPr>
      </w:pPr>
    </w:p>
    <w:p w14:paraId="51706576" w14:textId="1ABC3741" w:rsidR="00AE4612" w:rsidRPr="0026684F" w:rsidRDefault="00AE4612" w:rsidP="00E4412C">
      <w:pPr>
        <w:pStyle w:val="Betarp"/>
        <w:ind w:firstLine="708"/>
        <w:jc w:val="both"/>
        <w:rPr>
          <w:sz w:val="24"/>
          <w:szCs w:val="24"/>
          <w:lang w:val="lt-LT"/>
        </w:rPr>
      </w:pPr>
      <w:r w:rsidRPr="0026684F">
        <w:rPr>
          <w:sz w:val="24"/>
          <w:szCs w:val="24"/>
          <w:lang w:val="lt-LT"/>
        </w:rPr>
        <w:t>Naudojant juodojo trikampio simbolį yra siekiama aktyviau paraginti sveikatos priežiūros specialistus ir pacientus pranešti apie pastebėtas vaistinių preparatų sukeliamas įtariamas nepageidaujamas reakcijas, todėl atskirai vertinamos būtent šių vaistinių preparatų sukeltos ĮNR.2025 m. buvo gauti 135 ĮNR pranešimai juoduoju trikampiu pažymėtiems vaistams. Tai sudaro 13,5 proc. visų gautų ĮNR pranešimų. Atitinkamai, pranešimų apie vaistinius preparatus pažymėtus juodojo trikampio ženklu</w:t>
      </w:r>
      <w:r w:rsidR="00A51647">
        <w:rPr>
          <w:sz w:val="24"/>
          <w:szCs w:val="24"/>
          <w:lang w:val="lt-LT"/>
        </w:rPr>
        <w:t xml:space="preserve"> </w:t>
      </w:r>
      <w:r w:rsidR="00A51647" w:rsidRPr="0026684F">
        <w:rPr>
          <w:sz w:val="24"/>
          <w:szCs w:val="24"/>
          <w:lang w:val="lt-LT"/>
        </w:rPr>
        <w:t>2021 m.</w:t>
      </w:r>
      <w:r w:rsidR="00A51647">
        <w:rPr>
          <w:sz w:val="24"/>
          <w:szCs w:val="24"/>
          <w:lang w:val="lt-LT"/>
        </w:rPr>
        <w:t xml:space="preserve"> buvo gauta</w:t>
      </w:r>
      <w:r w:rsidR="00A51647" w:rsidRPr="0026684F">
        <w:rPr>
          <w:sz w:val="24"/>
          <w:szCs w:val="24"/>
          <w:lang w:val="lt-LT"/>
        </w:rPr>
        <w:t xml:space="preserve"> 7015 pranešimų (92,2 proc.)</w:t>
      </w:r>
      <w:r w:rsidR="00A51647">
        <w:rPr>
          <w:sz w:val="24"/>
          <w:szCs w:val="24"/>
          <w:lang w:val="lt-LT"/>
        </w:rPr>
        <w:t>,</w:t>
      </w:r>
      <w:r w:rsidR="00A51647" w:rsidRPr="0026684F">
        <w:rPr>
          <w:sz w:val="24"/>
          <w:szCs w:val="24"/>
          <w:lang w:val="lt-LT"/>
        </w:rPr>
        <w:t xml:space="preserve"> 2022 m. - 1357 pranešimai (67,7 proc.</w:t>
      </w:r>
      <w:r w:rsidR="000859B2">
        <w:rPr>
          <w:sz w:val="24"/>
          <w:szCs w:val="24"/>
          <w:lang w:val="lt-LT"/>
        </w:rPr>
        <w:t>)</w:t>
      </w:r>
      <w:r w:rsidR="00E62222">
        <w:rPr>
          <w:sz w:val="24"/>
          <w:szCs w:val="24"/>
          <w:lang w:val="lt-LT"/>
        </w:rPr>
        <w:t xml:space="preserve">, </w:t>
      </w:r>
      <w:r w:rsidR="00E62222" w:rsidRPr="0026684F">
        <w:rPr>
          <w:sz w:val="24"/>
          <w:szCs w:val="24"/>
          <w:lang w:val="lt-LT"/>
        </w:rPr>
        <w:t>2023 m. - 193 pranešimai (20,3 proc.),</w:t>
      </w:r>
      <w:r w:rsidR="00E62222">
        <w:rPr>
          <w:sz w:val="24"/>
          <w:szCs w:val="24"/>
          <w:lang w:val="lt-LT"/>
        </w:rPr>
        <w:t xml:space="preserve"> </w:t>
      </w:r>
      <w:r w:rsidR="00E62222" w:rsidRPr="0026684F">
        <w:rPr>
          <w:sz w:val="24"/>
          <w:szCs w:val="24"/>
          <w:lang w:val="lt-LT"/>
        </w:rPr>
        <w:t>2024 m.</w:t>
      </w:r>
      <w:r w:rsidR="00A519FD">
        <w:rPr>
          <w:sz w:val="24"/>
          <w:szCs w:val="24"/>
          <w:lang w:val="lt-LT"/>
        </w:rPr>
        <w:t xml:space="preserve"> - </w:t>
      </w:r>
      <w:r w:rsidR="00E62222" w:rsidRPr="0026684F">
        <w:rPr>
          <w:sz w:val="24"/>
          <w:szCs w:val="24"/>
          <w:lang w:val="lt-LT"/>
        </w:rPr>
        <w:t>178 pranešimai (19 proc.)</w:t>
      </w:r>
      <w:r w:rsidR="00E62222">
        <w:rPr>
          <w:sz w:val="24"/>
          <w:szCs w:val="24"/>
          <w:lang w:val="lt-LT"/>
        </w:rPr>
        <w:t>.</w:t>
      </w:r>
      <w:r w:rsidR="00A51647">
        <w:rPr>
          <w:sz w:val="24"/>
          <w:szCs w:val="24"/>
          <w:lang w:val="lt-LT"/>
        </w:rPr>
        <w:t xml:space="preserve">               </w:t>
      </w:r>
      <w:r w:rsidRPr="0026684F">
        <w:rPr>
          <w:sz w:val="24"/>
          <w:szCs w:val="24"/>
          <w:lang w:val="lt-LT"/>
        </w:rPr>
        <w:t xml:space="preserve"> </w:t>
      </w:r>
    </w:p>
    <w:p w14:paraId="5FF13535" w14:textId="77777777" w:rsidR="00AE4612" w:rsidRPr="0026684F" w:rsidRDefault="00AE4612" w:rsidP="0026684F">
      <w:pPr>
        <w:pStyle w:val="Betarp"/>
        <w:jc w:val="both"/>
        <w:rPr>
          <w:sz w:val="24"/>
          <w:szCs w:val="24"/>
          <w:lang w:val="lt-LT"/>
        </w:rPr>
      </w:pPr>
      <w:r w:rsidRPr="0026684F">
        <w:rPr>
          <w:sz w:val="24"/>
          <w:szCs w:val="24"/>
          <w:lang w:val="lt-LT"/>
        </w:rPr>
        <w:t>Mažėjantis pranešimų skaičius stebimas todėl, kad ženkliai sumažėjo pranešimų į registruotas ir Lietuvoje naudojamas vakcinas nuo Covid-19 ligos, kurioms suteiktas juodojo trikampio ženklas.</w:t>
      </w:r>
    </w:p>
    <w:p w14:paraId="519C0D85" w14:textId="77777777" w:rsidR="00297943" w:rsidRPr="00DF22F0" w:rsidRDefault="00297943" w:rsidP="00DF22F0">
      <w:pPr>
        <w:pStyle w:val="Betarp"/>
        <w:rPr>
          <w:bCs/>
          <w:i/>
          <w:iCs/>
          <w:sz w:val="24"/>
          <w:szCs w:val="24"/>
          <w:lang w:val="lt-LT"/>
        </w:rPr>
      </w:pPr>
    </w:p>
    <w:p w14:paraId="372FE214" w14:textId="4F24701F" w:rsidR="00DF22F0" w:rsidRPr="004074AD" w:rsidRDefault="00DF22F0" w:rsidP="00750410">
      <w:pPr>
        <w:pStyle w:val="Betarp"/>
        <w:jc w:val="center"/>
        <w:rPr>
          <w:b/>
          <w:bCs/>
          <w:sz w:val="24"/>
          <w:szCs w:val="24"/>
          <w:lang w:val="lt-LT"/>
        </w:rPr>
      </w:pPr>
      <w:r w:rsidRPr="004074AD">
        <w:rPr>
          <w:b/>
          <w:bCs/>
          <w:sz w:val="24"/>
          <w:szCs w:val="24"/>
          <w:lang w:val="lt-LT"/>
        </w:rPr>
        <w:t>ĮNR pranešimų pasiskirstymas pagal vaistų grupes</w:t>
      </w:r>
    </w:p>
    <w:p w14:paraId="695A2A3F" w14:textId="77777777" w:rsidR="00750410" w:rsidRPr="004074AD" w:rsidRDefault="00750410" w:rsidP="004074AD">
      <w:pPr>
        <w:pStyle w:val="Betarp"/>
        <w:jc w:val="both"/>
        <w:rPr>
          <w:b/>
          <w:bCs/>
          <w:sz w:val="24"/>
          <w:szCs w:val="24"/>
          <w:lang w:val="lt-LT"/>
        </w:rPr>
      </w:pPr>
    </w:p>
    <w:p w14:paraId="18B3D61D" w14:textId="630137B0" w:rsidR="00EF3735" w:rsidRPr="004074AD" w:rsidRDefault="00DF22F0" w:rsidP="004074AD">
      <w:pPr>
        <w:ind w:firstLine="708"/>
        <w:jc w:val="both"/>
        <w:rPr>
          <w:rFonts w:eastAsia="Times New Roman" w:cs="Times New Roman"/>
          <w:sz w:val="24"/>
          <w:szCs w:val="24"/>
          <w:lang w:val="lt-LT" w:eastAsia="lt-LT"/>
        </w:rPr>
      </w:pPr>
      <w:r w:rsidRPr="004074AD">
        <w:rPr>
          <w:sz w:val="24"/>
          <w:szCs w:val="24"/>
          <w:lang w:val="lt-LT"/>
        </w:rPr>
        <w:t>VVKT 202</w:t>
      </w:r>
      <w:r w:rsidR="00FE6D20" w:rsidRPr="004074AD">
        <w:rPr>
          <w:sz w:val="24"/>
          <w:szCs w:val="24"/>
          <w:lang w:val="lt-LT"/>
        </w:rPr>
        <w:t>5</w:t>
      </w:r>
      <w:r w:rsidRPr="004074AD">
        <w:rPr>
          <w:sz w:val="24"/>
          <w:szCs w:val="24"/>
          <w:lang w:val="lt-LT"/>
        </w:rPr>
        <w:t xml:space="preserve"> m. gavo </w:t>
      </w:r>
      <w:r w:rsidR="00FE6D20" w:rsidRPr="004074AD">
        <w:rPr>
          <w:sz w:val="24"/>
          <w:szCs w:val="24"/>
          <w:lang w:val="lt-LT"/>
        </w:rPr>
        <w:t>1049</w:t>
      </w:r>
      <w:r w:rsidRPr="004074AD">
        <w:rPr>
          <w:sz w:val="24"/>
          <w:szCs w:val="24"/>
          <w:lang w:val="lt-LT"/>
        </w:rPr>
        <w:t xml:space="preserve"> </w:t>
      </w:r>
      <w:r w:rsidR="00491C27">
        <w:rPr>
          <w:sz w:val="24"/>
          <w:szCs w:val="24"/>
          <w:lang w:val="lt-LT"/>
        </w:rPr>
        <w:t xml:space="preserve">pirminius </w:t>
      </w:r>
      <w:r w:rsidRPr="004074AD">
        <w:rPr>
          <w:sz w:val="24"/>
          <w:szCs w:val="24"/>
          <w:lang w:val="lt-LT"/>
        </w:rPr>
        <w:t>pranešimus apie vaistinių preparatų sukeltas nepageidaujamas reakcijas. Pagrindinės 3 vaistų grupės, dėl kurių gauta daugiausiai ĮNR pranešimų, išlieka tos pačios kaip ir 202</w:t>
      </w:r>
      <w:r w:rsidR="009605B0" w:rsidRPr="004074AD">
        <w:rPr>
          <w:sz w:val="24"/>
          <w:szCs w:val="24"/>
          <w:lang w:val="lt-LT"/>
        </w:rPr>
        <w:t>4</w:t>
      </w:r>
      <w:r w:rsidRPr="004074AD">
        <w:rPr>
          <w:sz w:val="24"/>
          <w:szCs w:val="24"/>
          <w:lang w:val="lt-LT"/>
        </w:rPr>
        <w:t xml:space="preserve"> m. 202</w:t>
      </w:r>
      <w:r w:rsidR="009605B0" w:rsidRPr="004074AD">
        <w:rPr>
          <w:sz w:val="24"/>
          <w:szCs w:val="24"/>
          <w:lang w:val="lt-LT"/>
        </w:rPr>
        <w:t>5</w:t>
      </w:r>
      <w:r w:rsidRPr="004074AD">
        <w:rPr>
          <w:sz w:val="24"/>
          <w:szCs w:val="24"/>
          <w:lang w:val="lt-LT"/>
        </w:rPr>
        <w:t xml:space="preserve"> m. daugiausiai įtariamų nepageidaujamų reakcijų (2</w:t>
      </w:r>
      <w:r w:rsidR="009605B0" w:rsidRPr="004074AD">
        <w:rPr>
          <w:sz w:val="24"/>
          <w:szCs w:val="24"/>
          <w:lang w:val="lt-LT"/>
        </w:rPr>
        <w:t>3</w:t>
      </w:r>
      <w:r w:rsidRPr="004074AD">
        <w:rPr>
          <w:sz w:val="24"/>
          <w:szCs w:val="24"/>
          <w:lang w:val="lt-LT"/>
        </w:rPr>
        <w:t>,</w:t>
      </w:r>
      <w:r w:rsidR="009605B0" w:rsidRPr="004074AD">
        <w:rPr>
          <w:sz w:val="24"/>
          <w:szCs w:val="24"/>
          <w:lang w:val="lt-LT"/>
        </w:rPr>
        <w:t>6</w:t>
      </w:r>
      <w:r w:rsidRPr="004074AD">
        <w:rPr>
          <w:sz w:val="24"/>
          <w:szCs w:val="24"/>
          <w:lang w:val="lt-LT"/>
        </w:rPr>
        <w:t xml:space="preserve"> proc.) sukėlė sistemiškai veikiantys </w:t>
      </w:r>
      <w:proofErr w:type="spellStart"/>
      <w:r w:rsidRPr="004074AD">
        <w:rPr>
          <w:sz w:val="24"/>
          <w:szCs w:val="24"/>
          <w:lang w:val="lt-LT"/>
        </w:rPr>
        <w:t>priešinfekciniai</w:t>
      </w:r>
      <w:proofErr w:type="spellEnd"/>
      <w:r w:rsidRPr="004074AD">
        <w:rPr>
          <w:sz w:val="24"/>
          <w:szCs w:val="24"/>
          <w:lang w:val="lt-LT"/>
        </w:rPr>
        <w:t xml:space="preserve"> vaistai, antroje vietoje – </w:t>
      </w:r>
      <w:proofErr w:type="spellStart"/>
      <w:r w:rsidRPr="004074AD">
        <w:rPr>
          <w:sz w:val="24"/>
          <w:szCs w:val="24"/>
          <w:lang w:val="lt-LT"/>
        </w:rPr>
        <w:t>antinavikiniai</w:t>
      </w:r>
      <w:proofErr w:type="spellEnd"/>
      <w:r w:rsidRPr="004074AD">
        <w:rPr>
          <w:sz w:val="24"/>
          <w:szCs w:val="24"/>
          <w:lang w:val="lt-LT"/>
        </w:rPr>
        <w:t xml:space="preserve"> vaistai ir </w:t>
      </w:r>
      <w:proofErr w:type="spellStart"/>
      <w:r w:rsidRPr="004074AD">
        <w:rPr>
          <w:sz w:val="24"/>
          <w:szCs w:val="24"/>
          <w:lang w:val="lt-LT"/>
        </w:rPr>
        <w:t>imunomoduliatoriai</w:t>
      </w:r>
      <w:proofErr w:type="spellEnd"/>
      <w:r w:rsidRPr="004074AD">
        <w:rPr>
          <w:sz w:val="24"/>
          <w:szCs w:val="24"/>
          <w:lang w:val="lt-LT"/>
        </w:rPr>
        <w:t xml:space="preserve"> (</w:t>
      </w:r>
      <w:r w:rsidR="009605B0" w:rsidRPr="004074AD">
        <w:rPr>
          <w:sz w:val="24"/>
          <w:szCs w:val="24"/>
          <w:lang w:val="lt-LT"/>
        </w:rPr>
        <w:t>20</w:t>
      </w:r>
      <w:r w:rsidRPr="004074AD">
        <w:rPr>
          <w:sz w:val="24"/>
          <w:szCs w:val="24"/>
          <w:lang w:val="lt-LT"/>
        </w:rPr>
        <w:t>,0 proc.), trečioje vietoje - nervų sistemą veikiantys vaistai (1</w:t>
      </w:r>
      <w:r w:rsidR="00EF3735" w:rsidRPr="004074AD">
        <w:rPr>
          <w:sz w:val="24"/>
          <w:szCs w:val="24"/>
          <w:lang w:val="lt-LT"/>
        </w:rPr>
        <w:t>1</w:t>
      </w:r>
      <w:r w:rsidRPr="004074AD">
        <w:rPr>
          <w:sz w:val="24"/>
          <w:szCs w:val="24"/>
          <w:lang w:val="lt-LT"/>
        </w:rPr>
        <w:t>,</w:t>
      </w:r>
      <w:r w:rsidR="00EF3735" w:rsidRPr="004074AD">
        <w:rPr>
          <w:sz w:val="24"/>
          <w:szCs w:val="24"/>
          <w:lang w:val="lt-LT"/>
        </w:rPr>
        <w:t>7</w:t>
      </w:r>
      <w:r w:rsidRPr="004074AD">
        <w:rPr>
          <w:sz w:val="24"/>
          <w:szCs w:val="24"/>
          <w:lang w:val="lt-LT"/>
        </w:rPr>
        <w:t xml:space="preserve"> proc.) (2 lentelė). 202</w:t>
      </w:r>
      <w:r w:rsidR="00EF3735" w:rsidRPr="004074AD">
        <w:rPr>
          <w:sz w:val="24"/>
          <w:szCs w:val="24"/>
          <w:lang w:val="lt-LT"/>
        </w:rPr>
        <w:t>5</w:t>
      </w:r>
      <w:r w:rsidRPr="004074AD">
        <w:rPr>
          <w:sz w:val="24"/>
          <w:szCs w:val="24"/>
          <w:lang w:val="lt-LT"/>
        </w:rPr>
        <w:t xml:space="preserve"> m. daugiau nei 202</w:t>
      </w:r>
      <w:r w:rsidR="00EF3735" w:rsidRPr="004074AD">
        <w:rPr>
          <w:sz w:val="24"/>
          <w:szCs w:val="24"/>
          <w:lang w:val="lt-LT"/>
        </w:rPr>
        <w:t>4</w:t>
      </w:r>
      <w:r w:rsidRPr="004074AD">
        <w:rPr>
          <w:sz w:val="24"/>
          <w:szCs w:val="24"/>
          <w:lang w:val="lt-LT"/>
        </w:rPr>
        <w:t xml:space="preserve"> m. </w:t>
      </w:r>
      <w:r w:rsidR="00EF3735" w:rsidRPr="004074AD">
        <w:rPr>
          <w:sz w:val="24"/>
          <w:szCs w:val="24"/>
          <w:lang w:val="lt-LT"/>
        </w:rPr>
        <w:t xml:space="preserve">gauta </w:t>
      </w:r>
      <w:r w:rsidRPr="004074AD">
        <w:rPr>
          <w:sz w:val="24"/>
          <w:szCs w:val="24"/>
          <w:lang w:val="lt-LT"/>
        </w:rPr>
        <w:t xml:space="preserve">pranešimų dėl </w:t>
      </w:r>
      <w:r w:rsidR="00EF3735" w:rsidRPr="004074AD">
        <w:rPr>
          <w:sz w:val="24"/>
          <w:szCs w:val="24"/>
          <w:lang w:val="lt-LT"/>
        </w:rPr>
        <w:t xml:space="preserve">virškinimo traktą ir metabolizmą veikiančių vaistų, kraują ir </w:t>
      </w:r>
      <w:proofErr w:type="spellStart"/>
      <w:r w:rsidR="00EF3735" w:rsidRPr="004074AD">
        <w:rPr>
          <w:sz w:val="24"/>
          <w:szCs w:val="24"/>
          <w:lang w:val="lt-LT"/>
        </w:rPr>
        <w:t>kraujodar</w:t>
      </w:r>
      <w:r w:rsidR="002E5760">
        <w:rPr>
          <w:sz w:val="24"/>
          <w:szCs w:val="24"/>
          <w:lang w:val="lt-LT"/>
        </w:rPr>
        <w:t>ą</w:t>
      </w:r>
      <w:proofErr w:type="spellEnd"/>
      <w:r w:rsidR="00EF3735" w:rsidRPr="004074AD">
        <w:rPr>
          <w:sz w:val="24"/>
          <w:szCs w:val="24"/>
          <w:lang w:val="lt-LT"/>
        </w:rPr>
        <w:t xml:space="preserve"> veikiančių </w:t>
      </w:r>
      <w:r w:rsidRPr="004074AD">
        <w:rPr>
          <w:sz w:val="24"/>
          <w:szCs w:val="24"/>
          <w:lang w:val="lt-LT"/>
        </w:rPr>
        <w:t>vaistų</w:t>
      </w:r>
      <w:r w:rsidR="00EF3735" w:rsidRPr="004074AD">
        <w:rPr>
          <w:sz w:val="24"/>
          <w:szCs w:val="24"/>
          <w:lang w:val="lt-LT"/>
        </w:rPr>
        <w:t xml:space="preserve">, raumenų ir skeleto sistemą veikiančių vaistų, sistemiškai veikiančių hormonų, </w:t>
      </w:r>
      <w:proofErr w:type="spellStart"/>
      <w:r w:rsidR="00EF3735" w:rsidRPr="004074AD">
        <w:rPr>
          <w:sz w:val="24"/>
          <w:szCs w:val="24"/>
          <w:lang w:val="lt-LT"/>
        </w:rPr>
        <w:t>antiparazitinių</w:t>
      </w:r>
      <w:proofErr w:type="spellEnd"/>
      <w:r w:rsidR="00EF3735" w:rsidRPr="004074AD">
        <w:rPr>
          <w:sz w:val="24"/>
          <w:szCs w:val="24"/>
          <w:lang w:val="lt-LT"/>
        </w:rPr>
        <w:t xml:space="preserve"> preparatų, bei vaistų, kuriems nesuteiktas ATC kodas.</w:t>
      </w:r>
      <w:r w:rsidRPr="004074AD">
        <w:rPr>
          <w:sz w:val="24"/>
          <w:szCs w:val="24"/>
          <w:lang w:val="lt-LT"/>
        </w:rPr>
        <w:t xml:space="preserve"> </w:t>
      </w:r>
      <w:r w:rsidRPr="004074AD">
        <w:rPr>
          <w:rFonts w:cs="Times New Roman"/>
          <w:sz w:val="24"/>
          <w:szCs w:val="24"/>
          <w:lang w:val="lt-LT"/>
        </w:rPr>
        <w:t>202</w:t>
      </w:r>
      <w:r w:rsidR="00EF3735" w:rsidRPr="004074AD">
        <w:rPr>
          <w:rFonts w:cs="Times New Roman"/>
          <w:sz w:val="24"/>
          <w:szCs w:val="24"/>
          <w:lang w:val="lt-LT"/>
        </w:rPr>
        <w:t>5</w:t>
      </w:r>
      <w:r w:rsidRPr="004074AD">
        <w:rPr>
          <w:rFonts w:cs="Times New Roman"/>
          <w:sz w:val="24"/>
          <w:szCs w:val="24"/>
          <w:lang w:val="lt-LT"/>
        </w:rPr>
        <w:t xml:space="preserve"> m. mažiau nei 202</w:t>
      </w:r>
      <w:r w:rsidR="00EF3735" w:rsidRPr="004074AD">
        <w:rPr>
          <w:rFonts w:cs="Times New Roman"/>
          <w:sz w:val="24"/>
          <w:szCs w:val="24"/>
          <w:lang w:val="lt-LT"/>
        </w:rPr>
        <w:t>4</w:t>
      </w:r>
      <w:r w:rsidRPr="004074AD">
        <w:rPr>
          <w:rFonts w:cs="Times New Roman"/>
          <w:sz w:val="24"/>
          <w:szCs w:val="24"/>
          <w:lang w:val="lt-LT"/>
        </w:rPr>
        <w:t xml:space="preserve"> m. pranešimų gauta dė</w:t>
      </w:r>
      <w:r w:rsidR="00EF3735" w:rsidRPr="004074AD">
        <w:rPr>
          <w:rFonts w:cs="Times New Roman"/>
          <w:sz w:val="24"/>
          <w:szCs w:val="24"/>
          <w:lang w:val="lt-LT"/>
        </w:rPr>
        <w:t xml:space="preserve">l širdies ir kraujagyslių sistemą veikiančių </w:t>
      </w:r>
      <w:r w:rsidR="00EF3735" w:rsidRPr="004074AD">
        <w:rPr>
          <w:rFonts w:cs="Times New Roman"/>
          <w:sz w:val="24"/>
          <w:szCs w:val="24"/>
          <w:lang w:val="lt-LT"/>
        </w:rPr>
        <w:lastRenderedPageBreak/>
        <w:t xml:space="preserve">vaistų, </w:t>
      </w:r>
      <w:proofErr w:type="spellStart"/>
      <w:r w:rsidR="00EF3735" w:rsidRPr="004074AD">
        <w:rPr>
          <w:rFonts w:eastAsia="Times New Roman" w:cs="Times New Roman"/>
          <w:sz w:val="24"/>
          <w:szCs w:val="24"/>
          <w:lang w:val="lt-LT" w:eastAsia="lt-LT"/>
        </w:rPr>
        <w:t>urogenitalinę</w:t>
      </w:r>
      <w:proofErr w:type="spellEnd"/>
      <w:r w:rsidR="00EF3735" w:rsidRPr="004074AD">
        <w:rPr>
          <w:rFonts w:eastAsia="Times New Roman" w:cs="Times New Roman"/>
          <w:sz w:val="24"/>
          <w:szCs w:val="24"/>
          <w:lang w:val="lt-LT" w:eastAsia="lt-LT"/>
        </w:rPr>
        <w:t xml:space="preserve"> sistemą veikiančių vaistų ir lytinių hormonų, kvėpavimo sistemą veikiančių vaistų, jutimo organus veikiančių vaistų, </w:t>
      </w:r>
      <w:proofErr w:type="spellStart"/>
      <w:r w:rsidR="00EF3735" w:rsidRPr="004074AD">
        <w:rPr>
          <w:rFonts w:eastAsia="Times New Roman" w:cs="Times New Roman"/>
          <w:sz w:val="24"/>
          <w:szCs w:val="24"/>
          <w:lang w:val="lt-LT" w:eastAsia="lt-LT"/>
        </w:rPr>
        <w:t>dermatologinių</w:t>
      </w:r>
      <w:proofErr w:type="spellEnd"/>
      <w:r w:rsidR="00EF3735" w:rsidRPr="004074AD">
        <w:rPr>
          <w:rFonts w:eastAsia="Times New Roman" w:cs="Times New Roman"/>
          <w:sz w:val="24"/>
          <w:szCs w:val="24"/>
          <w:lang w:val="lt-LT" w:eastAsia="lt-LT"/>
        </w:rPr>
        <w:t xml:space="preserve"> preparatų, bei kitų vaistų, nepriskirtų konkrečiai grupei.</w:t>
      </w:r>
    </w:p>
    <w:p w14:paraId="17EB13EE" w14:textId="598F77D7" w:rsidR="00DF22F0" w:rsidRPr="004074AD" w:rsidRDefault="00DF22F0" w:rsidP="00377FD5">
      <w:pPr>
        <w:pStyle w:val="Betarp"/>
        <w:ind w:firstLine="708"/>
        <w:jc w:val="both"/>
        <w:rPr>
          <w:sz w:val="24"/>
          <w:szCs w:val="24"/>
          <w:lang w:val="lt-LT"/>
        </w:rPr>
      </w:pPr>
      <w:r w:rsidRPr="004074AD">
        <w:rPr>
          <w:sz w:val="24"/>
          <w:szCs w:val="24"/>
          <w:lang w:val="lt-LT"/>
        </w:rPr>
        <w:t>Lyginant ĮNR pasiskirstymą pagal vaistų grupes</w:t>
      </w:r>
      <w:r w:rsidR="00166C1A" w:rsidRPr="004074AD">
        <w:rPr>
          <w:sz w:val="24"/>
          <w:szCs w:val="24"/>
          <w:lang w:val="lt-LT"/>
        </w:rPr>
        <w:t xml:space="preserve"> </w:t>
      </w:r>
      <w:r w:rsidRPr="004074AD">
        <w:rPr>
          <w:sz w:val="24"/>
          <w:szCs w:val="24"/>
          <w:lang w:val="lt-LT"/>
        </w:rPr>
        <w:t>2022</w:t>
      </w:r>
      <w:r w:rsidR="00FA3619">
        <w:rPr>
          <w:sz w:val="24"/>
          <w:szCs w:val="24"/>
          <w:lang w:val="lt-LT"/>
        </w:rPr>
        <w:t xml:space="preserve"> m.</w:t>
      </w:r>
      <w:r w:rsidR="00171D66">
        <w:rPr>
          <w:sz w:val="24"/>
          <w:szCs w:val="24"/>
          <w:lang w:val="lt-LT"/>
        </w:rPr>
        <w:t xml:space="preserve"> </w:t>
      </w:r>
      <w:r w:rsidR="002E5760">
        <w:rPr>
          <w:sz w:val="24"/>
          <w:szCs w:val="24"/>
          <w:lang w:val="lt-LT"/>
        </w:rPr>
        <w:t>-</w:t>
      </w:r>
      <w:r w:rsidR="00FA3619">
        <w:rPr>
          <w:sz w:val="24"/>
          <w:szCs w:val="24"/>
          <w:lang w:val="lt-LT"/>
        </w:rPr>
        <w:t xml:space="preserve"> </w:t>
      </w:r>
      <w:r w:rsidR="002E5760">
        <w:rPr>
          <w:sz w:val="24"/>
          <w:szCs w:val="24"/>
          <w:lang w:val="lt-LT"/>
        </w:rPr>
        <w:t>2025</w:t>
      </w:r>
      <w:r w:rsidRPr="004074AD">
        <w:rPr>
          <w:sz w:val="24"/>
          <w:szCs w:val="24"/>
          <w:lang w:val="lt-LT"/>
        </w:rPr>
        <w:t xml:space="preserve"> m</w:t>
      </w:r>
      <w:r w:rsidR="00182978">
        <w:rPr>
          <w:sz w:val="24"/>
          <w:szCs w:val="24"/>
          <w:lang w:val="lt-LT"/>
        </w:rPr>
        <w:t>.</w:t>
      </w:r>
      <w:r w:rsidR="002E5760">
        <w:rPr>
          <w:sz w:val="24"/>
          <w:szCs w:val="24"/>
          <w:lang w:val="lt-LT"/>
        </w:rPr>
        <w:t xml:space="preserve"> laikotarpiu, </w:t>
      </w:r>
      <w:r w:rsidRPr="004074AD">
        <w:rPr>
          <w:sz w:val="24"/>
          <w:szCs w:val="24"/>
          <w:lang w:val="lt-LT"/>
        </w:rPr>
        <w:t xml:space="preserve"> daugiausiai įtariamų nepageidaujamų reakcijų sukėlė sistemiškai veikiantys </w:t>
      </w:r>
      <w:proofErr w:type="spellStart"/>
      <w:r w:rsidRPr="004074AD">
        <w:rPr>
          <w:sz w:val="24"/>
          <w:szCs w:val="24"/>
          <w:lang w:val="lt-LT"/>
        </w:rPr>
        <w:t>priešinfekciniai</w:t>
      </w:r>
      <w:proofErr w:type="spellEnd"/>
      <w:r w:rsidRPr="004074AD">
        <w:rPr>
          <w:sz w:val="24"/>
          <w:szCs w:val="24"/>
          <w:lang w:val="lt-LT"/>
        </w:rPr>
        <w:t xml:space="preserve"> vaistai</w:t>
      </w:r>
      <w:r w:rsidR="002E5760">
        <w:rPr>
          <w:sz w:val="24"/>
          <w:szCs w:val="24"/>
          <w:lang w:val="lt-LT"/>
        </w:rPr>
        <w:t xml:space="preserve">, </w:t>
      </w:r>
      <w:r w:rsidRPr="004074AD">
        <w:rPr>
          <w:sz w:val="24"/>
          <w:szCs w:val="24"/>
          <w:lang w:val="lt-LT"/>
        </w:rPr>
        <w:t xml:space="preserve"> </w:t>
      </w:r>
      <w:proofErr w:type="spellStart"/>
      <w:r w:rsidRPr="004074AD">
        <w:rPr>
          <w:sz w:val="24"/>
          <w:szCs w:val="24"/>
          <w:lang w:val="lt-LT"/>
        </w:rPr>
        <w:t>antinavikini</w:t>
      </w:r>
      <w:r w:rsidR="002E5760">
        <w:rPr>
          <w:sz w:val="24"/>
          <w:szCs w:val="24"/>
          <w:lang w:val="lt-LT"/>
        </w:rPr>
        <w:t>ai</w:t>
      </w:r>
      <w:proofErr w:type="spellEnd"/>
      <w:r w:rsidRPr="004074AD">
        <w:rPr>
          <w:sz w:val="24"/>
          <w:szCs w:val="24"/>
          <w:lang w:val="lt-LT"/>
        </w:rPr>
        <w:t xml:space="preserve"> vaist</w:t>
      </w:r>
      <w:r w:rsidR="002E5760">
        <w:rPr>
          <w:sz w:val="24"/>
          <w:szCs w:val="24"/>
          <w:lang w:val="lt-LT"/>
        </w:rPr>
        <w:t>ai</w:t>
      </w:r>
      <w:r w:rsidRPr="004074AD">
        <w:rPr>
          <w:sz w:val="24"/>
          <w:szCs w:val="24"/>
          <w:lang w:val="lt-LT"/>
        </w:rPr>
        <w:t xml:space="preserve"> ir </w:t>
      </w:r>
      <w:proofErr w:type="spellStart"/>
      <w:r w:rsidRPr="004074AD">
        <w:rPr>
          <w:sz w:val="24"/>
          <w:szCs w:val="24"/>
          <w:lang w:val="lt-LT"/>
        </w:rPr>
        <w:t>imunomoduliatorių</w:t>
      </w:r>
      <w:proofErr w:type="spellEnd"/>
      <w:r w:rsidRPr="004074AD">
        <w:rPr>
          <w:sz w:val="24"/>
          <w:szCs w:val="24"/>
          <w:lang w:val="lt-LT"/>
        </w:rPr>
        <w:t xml:space="preserve"> grupei priskiriami vaistiniai preparatai.</w:t>
      </w:r>
    </w:p>
    <w:p w14:paraId="30684E14" w14:textId="77777777" w:rsidR="00DF22F0" w:rsidRPr="004074AD" w:rsidRDefault="00DF22F0" w:rsidP="00DF22F0">
      <w:pPr>
        <w:pStyle w:val="Betarp"/>
        <w:rPr>
          <w:sz w:val="24"/>
          <w:szCs w:val="24"/>
          <w:lang w:val="lt-LT"/>
        </w:rPr>
      </w:pPr>
    </w:p>
    <w:p w14:paraId="2C882D15" w14:textId="6B73E81A" w:rsidR="00DF22F0" w:rsidRPr="004074AD" w:rsidRDefault="00DF22F0" w:rsidP="00DF22F0">
      <w:pPr>
        <w:pStyle w:val="Betarp"/>
        <w:rPr>
          <w:b/>
          <w:bCs/>
          <w:sz w:val="24"/>
          <w:szCs w:val="24"/>
          <w:lang w:val="lt-LT"/>
        </w:rPr>
      </w:pPr>
      <w:r w:rsidRPr="004074AD">
        <w:rPr>
          <w:b/>
          <w:sz w:val="24"/>
          <w:szCs w:val="24"/>
          <w:lang w:val="lt-LT"/>
        </w:rPr>
        <w:t>2 lentelė.</w:t>
      </w:r>
      <w:r w:rsidRPr="004074AD">
        <w:rPr>
          <w:b/>
          <w:bCs/>
          <w:sz w:val="24"/>
          <w:szCs w:val="24"/>
          <w:lang w:val="lt-LT"/>
        </w:rPr>
        <w:t xml:space="preserve"> ĮNR pranešimų pasiskirstymas pagal vaistų grupes</w:t>
      </w:r>
    </w:p>
    <w:p w14:paraId="7F3653F8" w14:textId="77777777" w:rsidR="00DF22F0" w:rsidRPr="00166C1A" w:rsidRDefault="00DF22F0" w:rsidP="00DF22F0">
      <w:pPr>
        <w:pStyle w:val="Betarp"/>
        <w:rPr>
          <w:b/>
          <w:bCs/>
          <w:color w:val="4472C4" w:themeColor="accent5"/>
          <w:sz w:val="24"/>
          <w:szCs w:val="24"/>
          <w:lang w:val="lt-LT"/>
        </w:rPr>
      </w:pPr>
    </w:p>
    <w:tbl>
      <w:tblPr>
        <w:tblW w:w="9644" w:type="dxa"/>
        <w:tblLook w:val="04A0" w:firstRow="1" w:lastRow="0" w:firstColumn="1" w:lastColumn="0" w:noHBand="0" w:noVBand="1"/>
      </w:tblPr>
      <w:tblGrid>
        <w:gridCol w:w="5665"/>
        <w:gridCol w:w="993"/>
        <w:gridCol w:w="992"/>
        <w:gridCol w:w="992"/>
        <w:gridCol w:w="994"/>
        <w:gridCol w:w="8"/>
      </w:tblGrid>
      <w:tr w:rsidR="00166C1A" w:rsidRPr="002701E5" w14:paraId="49B6ECCA" w14:textId="77777777" w:rsidTr="00AF11B4">
        <w:trPr>
          <w:trHeight w:val="294"/>
        </w:trPr>
        <w:tc>
          <w:tcPr>
            <w:tcW w:w="5665" w:type="dxa"/>
            <w:vMerge w:val="restart"/>
            <w:tcBorders>
              <w:top w:val="single" w:sz="4" w:space="0" w:color="auto"/>
              <w:left w:val="single" w:sz="4" w:space="0" w:color="auto"/>
              <w:bottom w:val="single" w:sz="4" w:space="0" w:color="auto"/>
              <w:right w:val="single" w:sz="4" w:space="0" w:color="auto"/>
            </w:tcBorders>
            <w:noWrap/>
            <w:vAlign w:val="center"/>
            <w:hideMark/>
          </w:tcPr>
          <w:p w14:paraId="323D65AA" w14:textId="77777777" w:rsidR="002701E5" w:rsidRPr="002140F7" w:rsidRDefault="002701E5" w:rsidP="002701E5">
            <w:pPr>
              <w:spacing w:after="0"/>
              <w:jc w:val="center"/>
              <w:rPr>
                <w:rFonts w:eastAsia="Times New Roman" w:cs="Times New Roman"/>
                <w:b/>
                <w:bCs/>
                <w:sz w:val="22"/>
                <w:lang w:val="lt-LT" w:eastAsia="lt-LT"/>
              </w:rPr>
            </w:pPr>
            <w:r w:rsidRPr="002140F7">
              <w:rPr>
                <w:rFonts w:eastAsia="Times New Roman" w:cs="Times New Roman"/>
                <w:b/>
                <w:bCs/>
                <w:sz w:val="22"/>
                <w:lang w:val="lt-LT" w:eastAsia="lt-LT"/>
              </w:rPr>
              <w:t>Vaistų grupės, sukėlusios ĮNR</w:t>
            </w:r>
          </w:p>
        </w:tc>
        <w:tc>
          <w:tcPr>
            <w:tcW w:w="3979" w:type="dxa"/>
            <w:gridSpan w:val="5"/>
            <w:tcBorders>
              <w:top w:val="single" w:sz="4" w:space="0" w:color="auto"/>
              <w:left w:val="nil"/>
              <w:bottom w:val="single" w:sz="4" w:space="0" w:color="auto"/>
              <w:right w:val="single" w:sz="4" w:space="0" w:color="auto"/>
            </w:tcBorders>
            <w:noWrap/>
            <w:vAlign w:val="bottom"/>
            <w:hideMark/>
          </w:tcPr>
          <w:p w14:paraId="78720857" w14:textId="77777777" w:rsidR="002701E5" w:rsidRPr="002140F7" w:rsidRDefault="002701E5" w:rsidP="002701E5">
            <w:pPr>
              <w:spacing w:after="0"/>
              <w:jc w:val="center"/>
              <w:rPr>
                <w:rFonts w:eastAsia="Times New Roman" w:cs="Times New Roman"/>
                <w:b/>
                <w:bCs/>
                <w:sz w:val="22"/>
                <w:lang w:val="lt-LT" w:eastAsia="lt-LT"/>
              </w:rPr>
            </w:pPr>
            <w:r w:rsidRPr="002140F7">
              <w:rPr>
                <w:rFonts w:eastAsia="Times New Roman" w:cs="Times New Roman"/>
                <w:b/>
                <w:bCs/>
                <w:sz w:val="22"/>
                <w:lang w:val="lt-LT" w:eastAsia="lt-LT"/>
              </w:rPr>
              <w:t>ĮNR pranešimai (vienetai)</w:t>
            </w:r>
          </w:p>
        </w:tc>
      </w:tr>
      <w:tr w:rsidR="00166C1A" w:rsidRPr="00166C1A" w14:paraId="61458B1C" w14:textId="77777777" w:rsidTr="00AF11B4">
        <w:trPr>
          <w:gridAfter w:val="1"/>
          <w:wAfter w:w="8" w:type="dxa"/>
          <w:trHeight w:val="294"/>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09A6CC8A" w14:textId="77777777" w:rsidR="002701E5" w:rsidRPr="002140F7" w:rsidRDefault="002701E5" w:rsidP="002701E5">
            <w:pPr>
              <w:spacing w:after="0"/>
              <w:rPr>
                <w:rFonts w:eastAsia="Times New Roman" w:cs="Times New Roman"/>
                <w:b/>
                <w:bCs/>
                <w:sz w:val="22"/>
                <w:lang w:val="lt-LT" w:eastAsia="lt-LT"/>
              </w:rPr>
            </w:pPr>
          </w:p>
        </w:tc>
        <w:tc>
          <w:tcPr>
            <w:tcW w:w="993" w:type="dxa"/>
            <w:tcBorders>
              <w:top w:val="nil"/>
              <w:left w:val="nil"/>
              <w:bottom w:val="single" w:sz="4" w:space="0" w:color="auto"/>
              <w:right w:val="single" w:sz="4" w:space="0" w:color="auto"/>
            </w:tcBorders>
            <w:noWrap/>
            <w:vAlign w:val="bottom"/>
            <w:hideMark/>
          </w:tcPr>
          <w:p w14:paraId="5F0184BA" w14:textId="77777777" w:rsidR="002701E5" w:rsidRPr="002140F7" w:rsidRDefault="002701E5" w:rsidP="002701E5">
            <w:pPr>
              <w:spacing w:after="0"/>
              <w:jc w:val="center"/>
              <w:rPr>
                <w:rFonts w:eastAsia="Times New Roman" w:cs="Times New Roman"/>
                <w:b/>
                <w:bCs/>
                <w:sz w:val="22"/>
                <w:lang w:val="lt-LT" w:eastAsia="lt-LT"/>
              </w:rPr>
            </w:pPr>
            <w:r w:rsidRPr="002140F7">
              <w:rPr>
                <w:rFonts w:eastAsia="Times New Roman" w:cs="Times New Roman"/>
                <w:b/>
                <w:bCs/>
                <w:sz w:val="22"/>
                <w:lang w:val="lt-LT" w:eastAsia="lt-LT"/>
              </w:rPr>
              <w:t>2022 m.</w:t>
            </w:r>
          </w:p>
        </w:tc>
        <w:tc>
          <w:tcPr>
            <w:tcW w:w="992" w:type="dxa"/>
            <w:tcBorders>
              <w:top w:val="nil"/>
              <w:left w:val="nil"/>
              <w:bottom w:val="single" w:sz="4" w:space="0" w:color="auto"/>
              <w:right w:val="single" w:sz="4" w:space="0" w:color="auto"/>
            </w:tcBorders>
            <w:noWrap/>
            <w:vAlign w:val="bottom"/>
            <w:hideMark/>
          </w:tcPr>
          <w:p w14:paraId="584DAF0E" w14:textId="77777777" w:rsidR="002701E5" w:rsidRPr="002140F7" w:rsidRDefault="002701E5" w:rsidP="002701E5">
            <w:pPr>
              <w:spacing w:after="0"/>
              <w:jc w:val="center"/>
              <w:rPr>
                <w:rFonts w:eastAsia="Times New Roman" w:cs="Times New Roman"/>
                <w:b/>
                <w:bCs/>
                <w:sz w:val="22"/>
                <w:lang w:val="lt-LT" w:eastAsia="lt-LT"/>
              </w:rPr>
            </w:pPr>
            <w:r w:rsidRPr="002140F7">
              <w:rPr>
                <w:rFonts w:eastAsia="Times New Roman" w:cs="Times New Roman"/>
                <w:b/>
                <w:bCs/>
                <w:sz w:val="22"/>
                <w:lang w:val="lt-LT" w:eastAsia="lt-LT"/>
              </w:rPr>
              <w:t>2023 m.</w:t>
            </w:r>
          </w:p>
        </w:tc>
        <w:tc>
          <w:tcPr>
            <w:tcW w:w="992" w:type="dxa"/>
            <w:tcBorders>
              <w:top w:val="nil"/>
              <w:left w:val="nil"/>
              <w:bottom w:val="single" w:sz="4" w:space="0" w:color="auto"/>
              <w:right w:val="single" w:sz="4" w:space="0" w:color="auto"/>
            </w:tcBorders>
            <w:noWrap/>
            <w:vAlign w:val="bottom"/>
            <w:hideMark/>
          </w:tcPr>
          <w:p w14:paraId="3741A3F9" w14:textId="77777777" w:rsidR="002701E5" w:rsidRPr="002140F7" w:rsidRDefault="002701E5" w:rsidP="002701E5">
            <w:pPr>
              <w:spacing w:after="0"/>
              <w:jc w:val="center"/>
              <w:rPr>
                <w:rFonts w:eastAsia="Times New Roman" w:cs="Times New Roman"/>
                <w:b/>
                <w:bCs/>
                <w:sz w:val="22"/>
                <w:lang w:val="lt-LT" w:eastAsia="lt-LT"/>
              </w:rPr>
            </w:pPr>
            <w:r w:rsidRPr="002140F7">
              <w:rPr>
                <w:rFonts w:eastAsia="Times New Roman" w:cs="Times New Roman"/>
                <w:b/>
                <w:bCs/>
                <w:sz w:val="22"/>
                <w:lang w:val="lt-LT" w:eastAsia="lt-LT"/>
              </w:rPr>
              <w:t>2024 m.</w:t>
            </w:r>
          </w:p>
        </w:tc>
        <w:tc>
          <w:tcPr>
            <w:tcW w:w="994" w:type="dxa"/>
            <w:tcBorders>
              <w:top w:val="nil"/>
              <w:left w:val="nil"/>
              <w:bottom w:val="single" w:sz="4" w:space="0" w:color="auto"/>
              <w:right w:val="single" w:sz="4" w:space="0" w:color="auto"/>
            </w:tcBorders>
            <w:noWrap/>
            <w:vAlign w:val="bottom"/>
            <w:hideMark/>
          </w:tcPr>
          <w:p w14:paraId="6C3C52E8" w14:textId="663ABDA9" w:rsidR="002701E5" w:rsidRPr="002140F7" w:rsidRDefault="002701E5" w:rsidP="002701E5">
            <w:pPr>
              <w:spacing w:after="0"/>
              <w:jc w:val="center"/>
              <w:rPr>
                <w:rFonts w:eastAsia="Times New Roman" w:cs="Times New Roman"/>
                <w:b/>
                <w:bCs/>
                <w:sz w:val="22"/>
                <w:lang w:val="lt-LT" w:eastAsia="lt-LT"/>
              </w:rPr>
            </w:pPr>
            <w:r w:rsidRPr="002140F7">
              <w:rPr>
                <w:rFonts w:eastAsia="Times New Roman" w:cs="Times New Roman"/>
                <w:b/>
                <w:bCs/>
                <w:sz w:val="22"/>
                <w:lang w:val="lt-LT" w:eastAsia="lt-LT"/>
              </w:rPr>
              <w:t>2025</w:t>
            </w:r>
            <w:r w:rsidR="00AF11B4" w:rsidRPr="002140F7">
              <w:rPr>
                <w:rFonts w:eastAsia="Times New Roman" w:cs="Times New Roman"/>
                <w:b/>
                <w:bCs/>
                <w:sz w:val="22"/>
                <w:lang w:val="lt-LT" w:eastAsia="lt-LT"/>
              </w:rPr>
              <w:t xml:space="preserve"> </w:t>
            </w:r>
            <w:r w:rsidRPr="002140F7">
              <w:rPr>
                <w:rFonts w:eastAsia="Times New Roman" w:cs="Times New Roman"/>
                <w:b/>
                <w:bCs/>
                <w:sz w:val="22"/>
                <w:lang w:val="lt-LT" w:eastAsia="lt-LT"/>
              </w:rPr>
              <w:t>m.</w:t>
            </w:r>
          </w:p>
        </w:tc>
      </w:tr>
      <w:tr w:rsidR="00166C1A" w:rsidRPr="00166C1A" w14:paraId="73F57137" w14:textId="77777777" w:rsidTr="00166C1A">
        <w:trPr>
          <w:gridAfter w:val="1"/>
          <w:wAfter w:w="8" w:type="dxa"/>
          <w:trHeight w:val="294"/>
        </w:trPr>
        <w:tc>
          <w:tcPr>
            <w:tcW w:w="5665" w:type="dxa"/>
            <w:tcBorders>
              <w:top w:val="nil"/>
              <w:left w:val="single" w:sz="4" w:space="0" w:color="auto"/>
              <w:bottom w:val="single" w:sz="4" w:space="0" w:color="auto"/>
              <w:right w:val="single" w:sz="4" w:space="0" w:color="auto"/>
            </w:tcBorders>
            <w:vAlign w:val="center"/>
            <w:hideMark/>
          </w:tcPr>
          <w:p w14:paraId="43F6A2B0" w14:textId="77777777" w:rsidR="002701E5" w:rsidRPr="00CD34F3" w:rsidRDefault="002701E5" w:rsidP="002701E5">
            <w:pPr>
              <w:spacing w:after="0"/>
              <w:jc w:val="both"/>
              <w:rPr>
                <w:rFonts w:eastAsia="Times New Roman" w:cs="Times New Roman"/>
                <w:sz w:val="22"/>
                <w:lang w:val="lt-LT" w:eastAsia="lt-LT"/>
              </w:rPr>
            </w:pPr>
            <w:r w:rsidRPr="00CD34F3">
              <w:rPr>
                <w:rFonts w:eastAsia="Times New Roman" w:cs="Times New Roman"/>
                <w:sz w:val="22"/>
                <w:lang w:val="lt-LT" w:eastAsia="lt-LT"/>
              </w:rPr>
              <w:t xml:space="preserve">Sistemiškai veikiantys </w:t>
            </w:r>
            <w:proofErr w:type="spellStart"/>
            <w:r w:rsidRPr="00CD34F3">
              <w:rPr>
                <w:rFonts w:eastAsia="Times New Roman" w:cs="Times New Roman"/>
                <w:sz w:val="22"/>
                <w:lang w:val="lt-LT" w:eastAsia="lt-LT"/>
              </w:rPr>
              <w:t>priešinfekciniai</w:t>
            </w:r>
            <w:proofErr w:type="spellEnd"/>
            <w:r w:rsidRPr="00CD34F3">
              <w:rPr>
                <w:rFonts w:eastAsia="Times New Roman" w:cs="Times New Roman"/>
                <w:sz w:val="22"/>
                <w:lang w:val="lt-LT" w:eastAsia="lt-LT"/>
              </w:rPr>
              <w:t xml:space="preserve"> vaistai</w:t>
            </w:r>
          </w:p>
        </w:tc>
        <w:tc>
          <w:tcPr>
            <w:tcW w:w="993" w:type="dxa"/>
            <w:tcBorders>
              <w:top w:val="nil"/>
              <w:left w:val="nil"/>
              <w:bottom w:val="single" w:sz="4" w:space="0" w:color="auto"/>
              <w:right w:val="single" w:sz="4" w:space="0" w:color="auto"/>
            </w:tcBorders>
            <w:vAlign w:val="center"/>
            <w:hideMark/>
          </w:tcPr>
          <w:p w14:paraId="67CC1AE5"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1344</w:t>
            </w:r>
          </w:p>
        </w:tc>
        <w:tc>
          <w:tcPr>
            <w:tcW w:w="992" w:type="dxa"/>
            <w:tcBorders>
              <w:top w:val="nil"/>
              <w:left w:val="nil"/>
              <w:bottom w:val="single" w:sz="4" w:space="0" w:color="auto"/>
              <w:right w:val="single" w:sz="4" w:space="0" w:color="auto"/>
            </w:tcBorders>
            <w:vAlign w:val="center"/>
            <w:hideMark/>
          </w:tcPr>
          <w:p w14:paraId="1C309EAE"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196</w:t>
            </w:r>
          </w:p>
        </w:tc>
        <w:tc>
          <w:tcPr>
            <w:tcW w:w="992" w:type="dxa"/>
            <w:tcBorders>
              <w:top w:val="nil"/>
              <w:left w:val="nil"/>
              <w:bottom w:val="single" w:sz="4" w:space="0" w:color="auto"/>
              <w:right w:val="single" w:sz="4" w:space="0" w:color="auto"/>
            </w:tcBorders>
            <w:vAlign w:val="bottom"/>
            <w:hideMark/>
          </w:tcPr>
          <w:p w14:paraId="10444ABC"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230</w:t>
            </w:r>
          </w:p>
        </w:tc>
        <w:tc>
          <w:tcPr>
            <w:tcW w:w="994" w:type="dxa"/>
            <w:tcBorders>
              <w:top w:val="nil"/>
              <w:left w:val="nil"/>
              <w:bottom w:val="single" w:sz="4" w:space="0" w:color="auto"/>
              <w:right w:val="single" w:sz="4" w:space="0" w:color="auto"/>
            </w:tcBorders>
            <w:noWrap/>
            <w:vAlign w:val="bottom"/>
            <w:hideMark/>
          </w:tcPr>
          <w:p w14:paraId="26F3D9C0" w14:textId="77777777" w:rsidR="002701E5" w:rsidRPr="002140F7" w:rsidRDefault="002701E5" w:rsidP="002701E5">
            <w:pPr>
              <w:spacing w:after="0"/>
              <w:jc w:val="center"/>
              <w:rPr>
                <w:rFonts w:eastAsia="Times New Roman" w:cs="Times New Roman"/>
                <w:sz w:val="22"/>
                <w:lang w:val="lt-LT" w:eastAsia="lt-LT"/>
              </w:rPr>
            </w:pPr>
            <w:r w:rsidRPr="002140F7">
              <w:rPr>
                <w:rFonts w:eastAsia="Times New Roman" w:cs="Times New Roman"/>
                <w:sz w:val="22"/>
                <w:lang w:val="lt-LT" w:eastAsia="lt-LT"/>
              </w:rPr>
              <w:t>248</w:t>
            </w:r>
          </w:p>
        </w:tc>
      </w:tr>
      <w:tr w:rsidR="00166C1A" w:rsidRPr="00166C1A" w14:paraId="37F70B48" w14:textId="77777777" w:rsidTr="00166C1A">
        <w:trPr>
          <w:gridAfter w:val="1"/>
          <w:wAfter w:w="8" w:type="dxa"/>
          <w:trHeight w:val="294"/>
        </w:trPr>
        <w:tc>
          <w:tcPr>
            <w:tcW w:w="5665" w:type="dxa"/>
            <w:tcBorders>
              <w:top w:val="nil"/>
              <w:left w:val="single" w:sz="4" w:space="0" w:color="auto"/>
              <w:bottom w:val="single" w:sz="4" w:space="0" w:color="auto"/>
              <w:right w:val="single" w:sz="4" w:space="0" w:color="auto"/>
            </w:tcBorders>
            <w:vAlign w:val="center"/>
            <w:hideMark/>
          </w:tcPr>
          <w:p w14:paraId="2A053C59" w14:textId="77777777" w:rsidR="002701E5" w:rsidRPr="00CD34F3" w:rsidRDefault="002701E5" w:rsidP="002701E5">
            <w:pPr>
              <w:spacing w:after="0"/>
              <w:jc w:val="both"/>
              <w:rPr>
                <w:rFonts w:eastAsia="Times New Roman" w:cs="Times New Roman"/>
                <w:sz w:val="22"/>
                <w:lang w:val="lt-LT" w:eastAsia="lt-LT"/>
              </w:rPr>
            </w:pPr>
            <w:proofErr w:type="spellStart"/>
            <w:r w:rsidRPr="00CD34F3">
              <w:rPr>
                <w:rFonts w:eastAsia="Times New Roman" w:cs="Times New Roman"/>
                <w:sz w:val="22"/>
                <w:lang w:val="lt-LT" w:eastAsia="lt-LT"/>
              </w:rPr>
              <w:t>Antinavikiniai</w:t>
            </w:r>
            <w:proofErr w:type="spellEnd"/>
            <w:r w:rsidRPr="00CD34F3">
              <w:rPr>
                <w:rFonts w:eastAsia="Times New Roman" w:cs="Times New Roman"/>
                <w:sz w:val="22"/>
                <w:lang w:val="lt-LT" w:eastAsia="lt-LT"/>
              </w:rPr>
              <w:t xml:space="preserve"> vaistai ir </w:t>
            </w:r>
            <w:proofErr w:type="spellStart"/>
            <w:r w:rsidRPr="00CD34F3">
              <w:rPr>
                <w:rFonts w:eastAsia="Times New Roman" w:cs="Times New Roman"/>
                <w:sz w:val="22"/>
                <w:lang w:val="lt-LT" w:eastAsia="lt-LT"/>
              </w:rPr>
              <w:t>imunomoduliatoriai</w:t>
            </w:r>
            <w:proofErr w:type="spellEnd"/>
          </w:p>
        </w:tc>
        <w:tc>
          <w:tcPr>
            <w:tcW w:w="993" w:type="dxa"/>
            <w:tcBorders>
              <w:top w:val="nil"/>
              <w:left w:val="nil"/>
              <w:bottom w:val="single" w:sz="4" w:space="0" w:color="auto"/>
              <w:right w:val="single" w:sz="4" w:space="0" w:color="auto"/>
            </w:tcBorders>
            <w:vAlign w:val="center"/>
            <w:hideMark/>
          </w:tcPr>
          <w:p w14:paraId="25E8F56E"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154</w:t>
            </w:r>
          </w:p>
        </w:tc>
        <w:tc>
          <w:tcPr>
            <w:tcW w:w="992" w:type="dxa"/>
            <w:tcBorders>
              <w:top w:val="nil"/>
              <w:left w:val="nil"/>
              <w:bottom w:val="single" w:sz="4" w:space="0" w:color="auto"/>
              <w:right w:val="single" w:sz="4" w:space="0" w:color="auto"/>
            </w:tcBorders>
            <w:vAlign w:val="center"/>
            <w:hideMark/>
          </w:tcPr>
          <w:p w14:paraId="751C414B"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173</w:t>
            </w:r>
          </w:p>
        </w:tc>
        <w:tc>
          <w:tcPr>
            <w:tcW w:w="992" w:type="dxa"/>
            <w:tcBorders>
              <w:top w:val="nil"/>
              <w:left w:val="nil"/>
              <w:bottom w:val="single" w:sz="4" w:space="0" w:color="auto"/>
              <w:right w:val="single" w:sz="4" w:space="0" w:color="auto"/>
            </w:tcBorders>
            <w:vAlign w:val="bottom"/>
            <w:hideMark/>
          </w:tcPr>
          <w:p w14:paraId="5801CD43"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168</w:t>
            </w:r>
          </w:p>
        </w:tc>
        <w:tc>
          <w:tcPr>
            <w:tcW w:w="994" w:type="dxa"/>
            <w:tcBorders>
              <w:top w:val="nil"/>
              <w:left w:val="nil"/>
              <w:bottom w:val="single" w:sz="4" w:space="0" w:color="auto"/>
              <w:right w:val="single" w:sz="4" w:space="0" w:color="auto"/>
            </w:tcBorders>
            <w:noWrap/>
            <w:vAlign w:val="bottom"/>
            <w:hideMark/>
          </w:tcPr>
          <w:p w14:paraId="582C5649" w14:textId="77777777" w:rsidR="002701E5" w:rsidRPr="002140F7" w:rsidRDefault="002701E5" w:rsidP="002701E5">
            <w:pPr>
              <w:spacing w:after="0"/>
              <w:jc w:val="center"/>
              <w:rPr>
                <w:rFonts w:eastAsia="Times New Roman" w:cs="Times New Roman"/>
                <w:sz w:val="22"/>
                <w:lang w:val="lt-LT" w:eastAsia="lt-LT"/>
              </w:rPr>
            </w:pPr>
            <w:r w:rsidRPr="002140F7">
              <w:rPr>
                <w:rFonts w:eastAsia="Times New Roman" w:cs="Times New Roman"/>
                <w:sz w:val="22"/>
                <w:lang w:val="lt-LT" w:eastAsia="lt-LT"/>
              </w:rPr>
              <w:t>210</w:t>
            </w:r>
          </w:p>
        </w:tc>
      </w:tr>
      <w:tr w:rsidR="00166C1A" w:rsidRPr="00166C1A" w14:paraId="2FF94925" w14:textId="77777777" w:rsidTr="00166C1A">
        <w:trPr>
          <w:gridAfter w:val="1"/>
          <w:wAfter w:w="8" w:type="dxa"/>
          <w:trHeight w:val="294"/>
        </w:trPr>
        <w:tc>
          <w:tcPr>
            <w:tcW w:w="5665" w:type="dxa"/>
            <w:tcBorders>
              <w:top w:val="nil"/>
              <w:left w:val="single" w:sz="4" w:space="0" w:color="auto"/>
              <w:bottom w:val="single" w:sz="4" w:space="0" w:color="auto"/>
              <w:right w:val="single" w:sz="4" w:space="0" w:color="auto"/>
            </w:tcBorders>
            <w:vAlign w:val="center"/>
            <w:hideMark/>
          </w:tcPr>
          <w:p w14:paraId="1B789E0D" w14:textId="77777777" w:rsidR="002701E5" w:rsidRPr="00CD34F3" w:rsidRDefault="002701E5" w:rsidP="002701E5">
            <w:pPr>
              <w:spacing w:after="0"/>
              <w:jc w:val="both"/>
              <w:rPr>
                <w:rFonts w:eastAsia="Times New Roman" w:cs="Times New Roman"/>
                <w:sz w:val="22"/>
                <w:lang w:val="lt-LT" w:eastAsia="lt-LT"/>
              </w:rPr>
            </w:pPr>
            <w:r w:rsidRPr="00CD34F3">
              <w:rPr>
                <w:rFonts w:eastAsia="Times New Roman" w:cs="Times New Roman"/>
                <w:sz w:val="22"/>
                <w:lang w:val="lt-LT" w:eastAsia="lt-LT"/>
              </w:rPr>
              <w:t>Nervų sistemą veikiantys vaistai</w:t>
            </w:r>
          </w:p>
        </w:tc>
        <w:tc>
          <w:tcPr>
            <w:tcW w:w="993" w:type="dxa"/>
            <w:tcBorders>
              <w:top w:val="nil"/>
              <w:left w:val="nil"/>
              <w:bottom w:val="single" w:sz="4" w:space="0" w:color="auto"/>
              <w:right w:val="single" w:sz="4" w:space="0" w:color="auto"/>
            </w:tcBorders>
            <w:vAlign w:val="center"/>
            <w:hideMark/>
          </w:tcPr>
          <w:p w14:paraId="7D542AD7"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117</w:t>
            </w:r>
          </w:p>
        </w:tc>
        <w:tc>
          <w:tcPr>
            <w:tcW w:w="992" w:type="dxa"/>
            <w:tcBorders>
              <w:top w:val="nil"/>
              <w:left w:val="nil"/>
              <w:bottom w:val="single" w:sz="4" w:space="0" w:color="auto"/>
              <w:right w:val="single" w:sz="4" w:space="0" w:color="auto"/>
            </w:tcBorders>
            <w:vAlign w:val="center"/>
            <w:hideMark/>
          </w:tcPr>
          <w:p w14:paraId="20FC7D4F"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112</w:t>
            </w:r>
          </w:p>
        </w:tc>
        <w:tc>
          <w:tcPr>
            <w:tcW w:w="992" w:type="dxa"/>
            <w:tcBorders>
              <w:top w:val="nil"/>
              <w:left w:val="nil"/>
              <w:bottom w:val="single" w:sz="4" w:space="0" w:color="auto"/>
              <w:right w:val="single" w:sz="4" w:space="0" w:color="auto"/>
            </w:tcBorders>
            <w:vAlign w:val="bottom"/>
            <w:hideMark/>
          </w:tcPr>
          <w:p w14:paraId="115FF547"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126</w:t>
            </w:r>
          </w:p>
        </w:tc>
        <w:tc>
          <w:tcPr>
            <w:tcW w:w="994" w:type="dxa"/>
            <w:tcBorders>
              <w:top w:val="nil"/>
              <w:left w:val="nil"/>
              <w:bottom w:val="single" w:sz="4" w:space="0" w:color="auto"/>
              <w:right w:val="single" w:sz="4" w:space="0" w:color="auto"/>
            </w:tcBorders>
            <w:noWrap/>
            <w:vAlign w:val="bottom"/>
            <w:hideMark/>
          </w:tcPr>
          <w:p w14:paraId="29515366" w14:textId="77777777" w:rsidR="002701E5" w:rsidRPr="002140F7" w:rsidRDefault="002701E5" w:rsidP="002701E5">
            <w:pPr>
              <w:spacing w:after="0"/>
              <w:jc w:val="center"/>
              <w:rPr>
                <w:rFonts w:eastAsia="Times New Roman" w:cs="Times New Roman"/>
                <w:sz w:val="22"/>
                <w:lang w:val="lt-LT" w:eastAsia="lt-LT"/>
              </w:rPr>
            </w:pPr>
            <w:r w:rsidRPr="002140F7">
              <w:rPr>
                <w:rFonts w:eastAsia="Times New Roman" w:cs="Times New Roman"/>
                <w:sz w:val="22"/>
                <w:lang w:val="lt-LT" w:eastAsia="lt-LT"/>
              </w:rPr>
              <w:t>123</w:t>
            </w:r>
          </w:p>
        </w:tc>
      </w:tr>
      <w:tr w:rsidR="00166C1A" w:rsidRPr="00166C1A" w14:paraId="785ECE10" w14:textId="77777777" w:rsidTr="00166C1A">
        <w:trPr>
          <w:gridAfter w:val="1"/>
          <w:wAfter w:w="8" w:type="dxa"/>
          <w:trHeight w:val="306"/>
        </w:trPr>
        <w:tc>
          <w:tcPr>
            <w:tcW w:w="5665" w:type="dxa"/>
            <w:tcBorders>
              <w:top w:val="nil"/>
              <w:left w:val="single" w:sz="4" w:space="0" w:color="auto"/>
              <w:bottom w:val="single" w:sz="4" w:space="0" w:color="auto"/>
              <w:right w:val="single" w:sz="4" w:space="0" w:color="auto"/>
            </w:tcBorders>
            <w:vAlign w:val="center"/>
            <w:hideMark/>
          </w:tcPr>
          <w:p w14:paraId="0977E929" w14:textId="77777777" w:rsidR="002701E5" w:rsidRPr="00CD34F3" w:rsidRDefault="002701E5" w:rsidP="002701E5">
            <w:pPr>
              <w:spacing w:after="0"/>
              <w:jc w:val="both"/>
              <w:rPr>
                <w:rFonts w:eastAsia="Times New Roman" w:cs="Times New Roman"/>
                <w:sz w:val="22"/>
                <w:lang w:val="lt-LT" w:eastAsia="lt-LT"/>
              </w:rPr>
            </w:pPr>
            <w:r w:rsidRPr="00CD34F3">
              <w:rPr>
                <w:rFonts w:eastAsia="Times New Roman" w:cs="Times New Roman"/>
                <w:sz w:val="22"/>
                <w:lang w:val="lt-LT" w:eastAsia="lt-LT"/>
              </w:rPr>
              <w:t>Virškinimo traktą ir metabolizmą veikiantys vaistai</w:t>
            </w:r>
          </w:p>
        </w:tc>
        <w:tc>
          <w:tcPr>
            <w:tcW w:w="993" w:type="dxa"/>
            <w:tcBorders>
              <w:top w:val="nil"/>
              <w:left w:val="nil"/>
              <w:bottom w:val="single" w:sz="4" w:space="0" w:color="auto"/>
              <w:right w:val="single" w:sz="4" w:space="0" w:color="auto"/>
            </w:tcBorders>
            <w:vAlign w:val="center"/>
            <w:hideMark/>
          </w:tcPr>
          <w:p w14:paraId="58387FC4"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94</w:t>
            </w:r>
          </w:p>
        </w:tc>
        <w:tc>
          <w:tcPr>
            <w:tcW w:w="992" w:type="dxa"/>
            <w:tcBorders>
              <w:top w:val="nil"/>
              <w:left w:val="nil"/>
              <w:bottom w:val="single" w:sz="4" w:space="0" w:color="auto"/>
              <w:right w:val="single" w:sz="4" w:space="0" w:color="auto"/>
            </w:tcBorders>
            <w:vAlign w:val="center"/>
            <w:hideMark/>
          </w:tcPr>
          <w:p w14:paraId="0A8A730C"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112</w:t>
            </w:r>
          </w:p>
        </w:tc>
        <w:tc>
          <w:tcPr>
            <w:tcW w:w="992" w:type="dxa"/>
            <w:tcBorders>
              <w:top w:val="nil"/>
              <w:left w:val="nil"/>
              <w:bottom w:val="single" w:sz="4" w:space="0" w:color="auto"/>
              <w:right w:val="single" w:sz="4" w:space="0" w:color="auto"/>
            </w:tcBorders>
            <w:vAlign w:val="bottom"/>
            <w:hideMark/>
          </w:tcPr>
          <w:p w14:paraId="7C6C5BF6"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78</w:t>
            </w:r>
          </w:p>
        </w:tc>
        <w:tc>
          <w:tcPr>
            <w:tcW w:w="994" w:type="dxa"/>
            <w:tcBorders>
              <w:top w:val="nil"/>
              <w:left w:val="nil"/>
              <w:bottom w:val="single" w:sz="4" w:space="0" w:color="auto"/>
              <w:right w:val="single" w:sz="4" w:space="0" w:color="auto"/>
            </w:tcBorders>
            <w:noWrap/>
            <w:vAlign w:val="bottom"/>
            <w:hideMark/>
          </w:tcPr>
          <w:p w14:paraId="6410ECF1" w14:textId="77777777" w:rsidR="002701E5" w:rsidRPr="002140F7" w:rsidRDefault="002701E5" w:rsidP="002701E5">
            <w:pPr>
              <w:spacing w:after="0"/>
              <w:jc w:val="center"/>
              <w:rPr>
                <w:rFonts w:eastAsia="Times New Roman" w:cs="Times New Roman"/>
                <w:sz w:val="22"/>
                <w:lang w:val="lt-LT" w:eastAsia="lt-LT"/>
              </w:rPr>
            </w:pPr>
            <w:r w:rsidRPr="002140F7">
              <w:rPr>
                <w:rFonts w:eastAsia="Times New Roman" w:cs="Times New Roman"/>
                <w:sz w:val="22"/>
                <w:lang w:val="lt-LT" w:eastAsia="lt-LT"/>
              </w:rPr>
              <w:t>106</w:t>
            </w:r>
          </w:p>
        </w:tc>
      </w:tr>
      <w:tr w:rsidR="00166C1A" w:rsidRPr="00166C1A" w14:paraId="77E4B2BC" w14:textId="77777777" w:rsidTr="00166C1A">
        <w:trPr>
          <w:gridAfter w:val="1"/>
          <w:wAfter w:w="8" w:type="dxa"/>
          <w:trHeight w:val="294"/>
        </w:trPr>
        <w:tc>
          <w:tcPr>
            <w:tcW w:w="5665" w:type="dxa"/>
            <w:tcBorders>
              <w:top w:val="nil"/>
              <w:left w:val="single" w:sz="4" w:space="0" w:color="auto"/>
              <w:bottom w:val="single" w:sz="4" w:space="0" w:color="auto"/>
              <w:right w:val="single" w:sz="4" w:space="0" w:color="auto"/>
            </w:tcBorders>
            <w:vAlign w:val="center"/>
            <w:hideMark/>
          </w:tcPr>
          <w:p w14:paraId="681426F5" w14:textId="77777777" w:rsidR="002701E5" w:rsidRPr="00CD34F3" w:rsidRDefault="002701E5" w:rsidP="002701E5">
            <w:pPr>
              <w:spacing w:after="0"/>
              <w:jc w:val="both"/>
              <w:rPr>
                <w:rFonts w:eastAsia="Times New Roman" w:cs="Times New Roman"/>
                <w:sz w:val="22"/>
                <w:lang w:val="lt-LT" w:eastAsia="lt-LT"/>
              </w:rPr>
            </w:pPr>
            <w:r w:rsidRPr="00CD34F3">
              <w:rPr>
                <w:rFonts w:eastAsia="Times New Roman" w:cs="Times New Roman"/>
                <w:sz w:val="22"/>
                <w:lang w:val="lt-LT" w:eastAsia="lt-LT"/>
              </w:rPr>
              <w:t>Širdies ir kraujagyslių sistemą veikiantys vaistai</w:t>
            </w:r>
          </w:p>
        </w:tc>
        <w:tc>
          <w:tcPr>
            <w:tcW w:w="993" w:type="dxa"/>
            <w:tcBorders>
              <w:top w:val="nil"/>
              <w:left w:val="nil"/>
              <w:bottom w:val="single" w:sz="4" w:space="0" w:color="auto"/>
              <w:right w:val="single" w:sz="4" w:space="0" w:color="auto"/>
            </w:tcBorders>
            <w:vAlign w:val="center"/>
            <w:hideMark/>
          </w:tcPr>
          <w:p w14:paraId="68277B9D"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66</w:t>
            </w:r>
          </w:p>
        </w:tc>
        <w:tc>
          <w:tcPr>
            <w:tcW w:w="992" w:type="dxa"/>
            <w:tcBorders>
              <w:top w:val="nil"/>
              <w:left w:val="nil"/>
              <w:bottom w:val="single" w:sz="4" w:space="0" w:color="auto"/>
              <w:right w:val="single" w:sz="4" w:space="0" w:color="auto"/>
            </w:tcBorders>
            <w:vAlign w:val="center"/>
            <w:hideMark/>
          </w:tcPr>
          <w:p w14:paraId="4DBE247B"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86</w:t>
            </w:r>
          </w:p>
        </w:tc>
        <w:tc>
          <w:tcPr>
            <w:tcW w:w="992" w:type="dxa"/>
            <w:tcBorders>
              <w:top w:val="nil"/>
              <w:left w:val="nil"/>
              <w:bottom w:val="single" w:sz="4" w:space="0" w:color="auto"/>
              <w:right w:val="single" w:sz="4" w:space="0" w:color="auto"/>
            </w:tcBorders>
            <w:vAlign w:val="bottom"/>
            <w:hideMark/>
          </w:tcPr>
          <w:p w14:paraId="128A527C"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90</w:t>
            </w:r>
          </w:p>
        </w:tc>
        <w:tc>
          <w:tcPr>
            <w:tcW w:w="994" w:type="dxa"/>
            <w:tcBorders>
              <w:top w:val="nil"/>
              <w:left w:val="nil"/>
              <w:bottom w:val="single" w:sz="4" w:space="0" w:color="auto"/>
              <w:right w:val="single" w:sz="4" w:space="0" w:color="auto"/>
            </w:tcBorders>
            <w:noWrap/>
            <w:vAlign w:val="bottom"/>
            <w:hideMark/>
          </w:tcPr>
          <w:p w14:paraId="5F8B23AE" w14:textId="77777777" w:rsidR="002701E5" w:rsidRPr="002140F7" w:rsidRDefault="002701E5" w:rsidP="002701E5">
            <w:pPr>
              <w:spacing w:after="0"/>
              <w:jc w:val="center"/>
              <w:rPr>
                <w:rFonts w:eastAsia="Times New Roman" w:cs="Times New Roman"/>
                <w:sz w:val="22"/>
                <w:lang w:val="lt-LT" w:eastAsia="lt-LT"/>
              </w:rPr>
            </w:pPr>
            <w:r w:rsidRPr="002140F7">
              <w:rPr>
                <w:rFonts w:eastAsia="Times New Roman" w:cs="Times New Roman"/>
                <w:sz w:val="22"/>
                <w:lang w:val="lt-LT" w:eastAsia="lt-LT"/>
              </w:rPr>
              <w:t>83</w:t>
            </w:r>
          </w:p>
        </w:tc>
      </w:tr>
      <w:tr w:rsidR="00166C1A" w:rsidRPr="00166C1A" w14:paraId="06576A88" w14:textId="77777777" w:rsidTr="00166C1A">
        <w:trPr>
          <w:gridAfter w:val="1"/>
          <w:wAfter w:w="8" w:type="dxa"/>
          <w:trHeight w:val="294"/>
        </w:trPr>
        <w:tc>
          <w:tcPr>
            <w:tcW w:w="5665" w:type="dxa"/>
            <w:tcBorders>
              <w:top w:val="nil"/>
              <w:left w:val="single" w:sz="4" w:space="0" w:color="auto"/>
              <w:bottom w:val="single" w:sz="4" w:space="0" w:color="auto"/>
              <w:right w:val="single" w:sz="4" w:space="0" w:color="auto"/>
            </w:tcBorders>
            <w:vAlign w:val="center"/>
            <w:hideMark/>
          </w:tcPr>
          <w:p w14:paraId="1BA9BF0D" w14:textId="77777777" w:rsidR="002701E5" w:rsidRPr="00CD34F3" w:rsidRDefault="002701E5" w:rsidP="002701E5">
            <w:pPr>
              <w:spacing w:after="0"/>
              <w:jc w:val="both"/>
              <w:rPr>
                <w:rFonts w:eastAsia="Times New Roman" w:cs="Times New Roman"/>
                <w:sz w:val="22"/>
                <w:lang w:val="lt-LT" w:eastAsia="lt-LT"/>
              </w:rPr>
            </w:pPr>
            <w:r w:rsidRPr="00CD34F3">
              <w:rPr>
                <w:rFonts w:eastAsia="Times New Roman" w:cs="Times New Roman"/>
                <w:sz w:val="22"/>
                <w:lang w:val="lt-LT" w:eastAsia="lt-LT"/>
              </w:rPr>
              <w:t xml:space="preserve">Kraują ir </w:t>
            </w:r>
            <w:proofErr w:type="spellStart"/>
            <w:r w:rsidRPr="00CD34F3">
              <w:rPr>
                <w:rFonts w:eastAsia="Times New Roman" w:cs="Times New Roman"/>
                <w:sz w:val="22"/>
                <w:lang w:val="lt-LT" w:eastAsia="lt-LT"/>
              </w:rPr>
              <w:t>kraujodarą</w:t>
            </w:r>
            <w:proofErr w:type="spellEnd"/>
            <w:r w:rsidRPr="00CD34F3">
              <w:rPr>
                <w:rFonts w:eastAsia="Times New Roman" w:cs="Times New Roman"/>
                <w:sz w:val="22"/>
                <w:lang w:val="lt-LT" w:eastAsia="lt-LT"/>
              </w:rPr>
              <w:t xml:space="preserve"> veikiantys vaistai</w:t>
            </w:r>
          </w:p>
        </w:tc>
        <w:tc>
          <w:tcPr>
            <w:tcW w:w="993" w:type="dxa"/>
            <w:tcBorders>
              <w:top w:val="nil"/>
              <w:left w:val="nil"/>
              <w:bottom w:val="single" w:sz="4" w:space="0" w:color="auto"/>
              <w:right w:val="single" w:sz="4" w:space="0" w:color="auto"/>
            </w:tcBorders>
            <w:vAlign w:val="center"/>
            <w:hideMark/>
          </w:tcPr>
          <w:p w14:paraId="5A1306CD"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70</w:t>
            </w:r>
          </w:p>
        </w:tc>
        <w:tc>
          <w:tcPr>
            <w:tcW w:w="992" w:type="dxa"/>
            <w:tcBorders>
              <w:top w:val="nil"/>
              <w:left w:val="nil"/>
              <w:bottom w:val="single" w:sz="4" w:space="0" w:color="auto"/>
              <w:right w:val="single" w:sz="4" w:space="0" w:color="auto"/>
            </w:tcBorders>
            <w:vAlign w:val="center"/>
            <w:hideMark/>
          </w:tcPr>
          <w:p w14:paraId="26F8BF57"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56</w:t>
            </w:r>
          </w:p>
        </w:tc>
        <w:tc>
          <w:tcPr>
            <w:tcW w:w="992" w:type="dxa"/>
            <w:tcBorders>
              <w:top w:val="nil"/>
              <w:left w:val="nil"/>
              <w:bottom w:val="single" w:sz="4" w:space="0" w:color="auto"/>
              <w:right w:val="single" w:sz="4" w:space="0" w:color="auto"/>
            </w:tcBorders>
            <w:vAlign w:val="bottom"/>
            <w:hideMark/>
          </w:tcPr>
          <w:p w14:paraId="2FD1306B"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61</w:t>
            </w:r>
          </w:p>
        </w:tc>
        <w:tc>
          <w:tcPr>
            <w:tcW w:w="994" w:type="dxa"/>
            <w:tcBorders>
              <w:top w:val="nil"/>
              <w:left w:val="nil"/>
              <w:bottom w:val="single" w:sz="4" w:space="0" w:color="auto"/>
              <w:right w:val="single" w:sz="4" w:space="0" w:color="auto"/>
            </w:tcBorders>
            <w:noWrap/>
            <w:vAlign w:val="bottom"/>
            <w:hideMark/>
          </w:tcPr>
          <w:p w14:paraId="073B3B1D" w14:textId="77777777" w:rsidR="002701E5" w:rsidRPr="002140F7" w:rsidRDefault="002701E5" w:rsidP="002701E5">
            <w:pPr>
              <w:spacing w:after="0"/>
              <w:jc w:val="center"/>
              <w:rPr>
                <w:rFonts w:eastAsia="Times New Roman" w:cs="Times New Roman"/>
                <w:sz w:val="22"/>
                <w:lang w:val="lt-LT" w:eastAsia="lt-LT"/>
              </w:rPr>
            </w:pPr>
            <w:r w:rsidRPr="002140F7">
              <w:rPr>
                <w:rFonts w:eastAsia="Times New Roman" w:cs="Times New Roman"/>
                <w:sz w:val="22"/>
                <w:lang w:val="lt-LT" w:eastAsia="lt-LT"/>
              </w:rPr>
              <w:t>108</w:t>
            </w:r>
          </w:p>
        </w:tc>
      </w:tr>
      <w:tr w:rsidR="00166C1A" w:rsidRPr="00166C1A" w14:paraId="650D3980" w14:textId="77777777" w:rsidTr="00166C1A">
        <w:trPr>
          <w:gridAfter w:val="1"/>
          <w:wAfter w:w="8" w:type="dxa"/>
          <w:trHeight w:val="294"/>
        </w:trPr>
        <w:tc>
          <w:tcPr>
            <w:tcW w:w="5665" w:type="dxa"/>
            <w:tcBorders>
              <w:top w:val="nil"/>
              <w:left w:val="single" w:sz="4" w:space="0" w:color="auto"/>
              <w:bottom w:val="single" w:sz="4" w:space="0" w:color="auto"/>
              <w:right w:val="single" w:sz="4" w:space="0" w:color="auto"/>
            </w:tcBorders>
            <w:vAlign w:val="center"/>
            <w:hideMark/>
          </w:tcPr>
          <w:p w14:paraId="629E9036" w14:textId="77777777" w:rsidR="002701E5" w:rsidRPr="00CD34F3" w:rsidRDefault="002701E5" w:rsidP="002701E5">
            <w:pPr>
              <w:spacing w:after="0"/>
              <w:jc w:val="both"/>
              <w:rPr>
                <w:rFonts w:eastAsia="Times New Roman" w:cs="Times New Roman"/>
                <w:sz w:val="22"/>
                <w:lang w:val="lt-LT" w:eastAsia="lt-LT"/>
              </w:rPr>
            </w:pPr>
            <w:r w:rsidRPr="00CD34F3">
              <w:rPr>
                <w:rFonts w:eastAsia="Times New Roman" w:cs="Times New Roman"/>
                <w:sz w:val="22"/>
                <w:lang w:val="lt-LT" w:eastAsia="lt-LT"/>
              </w:rPr>
              <w:t xml:space="preserve">Kiti vaistai, nepriskirti konkrečiai grupei </w:t>
            </w:r>
          </w:p>
        </w:tc>
        <w:tc>
          <w:tcPr>
            <w:tcW w:w="993" w:type="dxa"/>
            <w:tcBorders>
              <w:top w:val="nil"/>
              <w:left w:val="nil"/>
              <w:bottom w:val="single" w:sz="4" w:space="0" w:color="auto"/>
              <w:right w:val="single" w:sz="4" w:space="0" w:color="auto"/>
            </w:tcBorders>
            <w:vAlign w:val="center"/>
            <w:hideMark/>
          </w:tcPr>
          <w:p w14:paraId="780F5948"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16</w:t>
            </w:r>
          </w:p>
        </w:tc>
        <w:tc>
          <w:tcPr>
            <w:tcW w:w="992" w:type="dxa"/>
            <w:tcBorders>
              <w:top w:val="nil"/>
              <w:left w:val="nil"/>
              <w:bottom w:val="single" w:sz="4" w:space="0" w:color="auto"/>
              <w:right w:val="single" w:sz="4" w:space="0" w:color="auto"/>
            </w:tcBorders>
            <w:vAlign w:val="center"/>
            <w:hideMark/>
          </w:tcPr>
          <w:p w14:paraId="7FE10E0C"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12</w:t>
            </w:r>
          </w:p>
        </w:tc>
        <w:tc>
          <w:tcPr>
            <w:tcW w:w="992" w:type="dxa"/>
            <w:tcBorders>
              <w:top w:val="nil"/>
              <w:left w:val="nil"/>
              <w:bottom w:val="single" w:sz="4" w:space="0" w:color="auto"/>
              <w:right w:val="single" w:sz="4" w:space="0" w:color="auto"/>
            </w:tcBorders>
            <w:vAlign w:val="bottom"/>
            <w:hideMark/>
          </w:tcPr>
          <w:p w14:paraId="77E4DBF7"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22</w:t>
            </w:r>
          </w:p>
        </w:tc>
        <w:tc>
          <w:tcPr>
            <w:tcW w:w="994" w:type="dxa"/>
            <w:tcBorders>
              <w:top w:val="nil"/>
              <w:left w:val="nil"/>
              <w:bottom w:val="single" w:sz="4" w:space="0" w:color="auto"/>
              <w:right w:val="single" w:sz="4" w:space="0" w:color="auto"/>
            </w:tcBorders>
            <w:noWrap/>
            <w:vAlign w:val="bottom"/>
            <w:hideMark/>
          </w:tcPr>
          <w:p w14:paraId="21D78B71" w14:textId="77777777" w:rsidR="002701E5" w:rsidRPr="002140F7" w:rsidRDefault="002701E5" w:rsidP="002701E5">
            <w:pPr>
              <w:spacing w:after="0"/>
              <w:jc w:val="center"/>
              <w:rPr>
                <w:rFonts w:eastAsia="Times New Roman" w:cs="Times New Roman"/>
                <w:sz w:val="22"/>
                <w:lang w:val="lt-LT" w:eastAsia="lt-LT"/>
              </w:rPr>
            </w:pPr>
            <w:r w:rsidRPr="002140F7">
              <w:rPr>
                <w:rFonts w:eastAsia="Times New Roman" w:cs="Times New Roman"/>
                <w:sz w:val="22"/>
                <w:lang w:val="lt-LT" w:eastAsia="lt-LT"/>
              </w:rPr>
              <w:t>5</w:t>
            </w:r>
          </w:p>
        </w:tc>
      </w:tr>
      <w:tr w:rsidR="00166C1A" w:rsidRPr="00166C1A" w14:paraId="0E6C2FDC" w14:textId="77777777" w:rsidTr="00166C1A">
        <w:trPr>
          <w:gridAfter w:val="1"/>
          <w:wAfter w:w="8" w:type="dxa"/>
          <w:trHeight w:val="294"/>
        </w:trPr>
        <w:tc>
          <w:tcPr>
            <w:tcW w:w="5665" w:type="dxa"/>
            <w:tcBorders>
              <w:top w:val="nil"/>
              <w:left w:val="single" w:sz="4" w:space="0" w:color="auto"/>
              <w:bottom w:val="single" w:sz="4" w:space="0" w:color="auto"/>
              <w:right w:val="single" w:sz="4" w:space="0" w:color="auto"/>
            </w:tcBorders>
            <w:vAlign w:val="center"/>
            <w:hideMark/>
          </w:tcPr>
          <w:p w14:paraId="4763E055" w14:textId="77777777" w:rsidR="002701E5" w:rsidRPr="00CD34F3" w:rsidRDefault="002701E5" w:rsidP="002701E5">
            <w:pPr>
              <w:spacing w:after="0"/>
              <w:jc w:val="both"/>
              <w:rPr>
                <w:rFonts w:eastAsia="Times New Roman" w:cs="Times New Roman"/>
                <w:sz w:val="22"/>
                <w:lang w:val="lt-LT" w:eastAsia="lt-LT"/>
              </w:rPr>
            </w:pPr>
            <w:proofErr w:type="spellStart"/>
            <w:r w:rsidRPr="00CD34F3">
              <w:rPr>
                <w:rFonts w:eastAsia="Times New Roman" w:cs="Times New Roman"/>
                <w:sz w:val="22"/>
                <w:lang w:val="lt-LT" w:eastAsia="lt-LT"/>
              </w:rPr>
              <w:t>Urogenitalinę</w:t>
            </w:r>
            <w:proofErr w:type="spellEnd"/>
            <w:r w:rsidRPr="00CD34F3">
              <w:rPr>
                <w:rFonts w:eastAsia="Times New Roman" w:cs="Times New Roman"/>
                <w:sz w:val="22"/>
                <w:lang w:val="lt-LT" w:eastAsia="lt-LT"/>
              </w:rPr>
              <w:t xml:space="preserve"> sistemą veikiantys vaistai ir lytiniai hormonai</w:t>
            </w:r>
          </w:p>
        </w:tc>
        <w:tc>
          <w:tcPr>
            <w:tcW w:w="993" w:type="dxa"/>
            <w:tcBorders>
              <w:top w:val="nil"/>
              <w:left w:val="nil"/>
              <w:bottom w:val="single" w:sz="4" w:space="0" w:color="auto"/>
              <w:right w:val="single" w:sz="4" w:space="0" w:color="auto"/>
            </w:tcBorders>
            <w:vAlign w:val="center"/>
            <w:hideMark/>
          </w:tcPr>
          <w:p w14:paraId="5DA1E7E1"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42</w:t>
            </w:r>
          </w:p>
        </w:tc>
        <w:tc>
          <w:tcPr>
            <w:tcW w:w="992" w:type="dxa"/>
            <w:tcBorders>
              <w:top w:val="nil"/>
              <w:left w:val="nil"/>
              <w:bottom w:val="single" w:sz="4" w:space="0" w:color="auto"/>
              <w:right w:val="single" w:sz="4" w:space="0" w:color="auto"/>
            </w:tcBorders>
            <w:vAlign w:val="center"/>
            <w:hideMark/>
          </w:tcPr>
          <w:p w14:paraId="27499C20"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33</w:t>
            </w:r>
          </w:p>
        </w:tc>
        <w:tc>
          <w:tcPr>
            <w:tcW w:w="992" w:type="dxa"/>
            <w:tcBorders>
              <w:top w:val="nil"/>
              <w:left w:val="nil"/>
              <w:bottom w:val="single" w:sz="4" w:space="0" w:color="auto"/>
              <w:right w:val="single" w:sz="4" w:space="0" w:color="auto"/>
            </w:tcBorders>
            <w:vAlign w:val="bottom"/>
            <w:hideMark/>
          </w:tcPr>
          <w:p w14:paraId="4DF734FE"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42</w:t>
            </w:r>
          </w:p>
        </w:tc>
        <w:tc>
          <w:tcPr>
            <w:tcW w:w="994" w:type="dxa"/>
            <w:tcBorders>
              <w:top w:val="nil"/>
              <w:left w:val="nil"/>
              <w:bottom w:val="single" w:sz="4" w:space="0" w:color="auto"/>
              <w:right w:val="single" w:sz="4" w:space="0" w:color="auto"/>
            </w:tcBorders>
            <w:noWrap/>
            <w:vAlign w:val="bottom"/>
            <w:hideMark/>
          </w:tcPr>
          <w:p w14:paraId="1FB8C50C" w14:textId="77777777" w:rsidR="002701E5" w:rsidRPr="002140F7" w:rsidRDefault="002701E5" w:rsidP="002701E5">
            <w:pPr>
              <w:spacing w:after="0"/>
              <w:jc w:val="center"/>
              <w:rPr>
                <w:rFonts w:eastAsia="Times New Roman" w:cs="Times New Roman"/>
                <w:sz w:val="22"/>
                <w:lang w:val="lt-LT" w:eastAsia="lt-LT"/>
              </w:rPr>
            </w:pPr>
            <w:r w:rsidRPr="002140F7">
              <w:rPr>
                <w:rFonts w:eastAsia="Times New Roman" w:cs="Times New Roman"/>
                <w:sz w:val="22"/>
                <w:lang w:val="lt-LT" w:eastAsia="lt-LT"/>
              </w:rPr>
              <w:t>23</w:t>
            </w:r>
          </w:p>
        </w:tc>
      </w:tr>
      <w:tr w:rsidR="00166C1A" w:rsidRPr="00166C1A" w14:paraId="34CB4D17" w14:textId="77777777" w:rsidTr="00166C1A">
        <w:trPr>
          <w:gridAfter w:val="1"/>
          <w:wAfter w:w="8" w:type="dxa"/>
          <w:trHeight w:val="294"/>
        </w:trPr>
        <w:tc>
          <w:tcPr>
            <w:tcW w:w="5665" w:type="dxa"/>
            <w:tcBorders>
              <w:top w:val="nil"/>
              <w:left w:val="single" w:sz="4" w:space="0" w:color="auto"/>
              <w:bottom w:val="single" w:sz="4" w:space="0" w:color="auto"/>
              <w:right w:val="single" w:sz="4" w:space="0" w:color="auto"/>
            </w:tcBorders>
            <w:vAlign w:val="center"/>
            <w:hideMark/>
          </w:tcPr>
          <w:p w14:paraId="6774BDDF" w14:textId="77777777" w:rsidR="002701E5" w:rsidRPr="00CD34F3" w:rsidRDefault="002701E5" w:rsidP="002701E5">
            <w:pPr>
              <w:spacing w:after="0"/>
              <w:jc w:val="both"/>
              <w:rPr>
                <w:rFonts w:eastAsia="Times New Roman" w:cs="Times New Roman"/>
                <w:sz w:val="22"/>
                <w:lang w:val="lt-LT" w:eastAsia="lt-LT"/>
              </w:rPr>
            </w:pPr>
            <w:r w:rsidRPr="00CD34F3">
              <w:rPr>
                <w:rFonts w:eastAsia="Times New Roman" w:cs="Times New Roman"/>
                <w:sz w:val="22"/>
                <w:lang w:val="lt-LT" w:eastAsia="lt-LT"/>
              </w:rPr>
              <w:t>Raumenų ir skeleto sistemą veikiantys vaistai</w:t>
            </w:r>
          </w:p>
        </w:tc>
        <w:tc>
          <w:tcPr>
            <w:tcW w:w="993" w:type="dxa"/>
            <w:tcBorders>
              <w:top w:val="nil"/>
              <w:left w:val="nil"/>
              <w:bottom w:val="single" w:sz="4" w:space="0" w:color="auto"/>
              <w:right w:val="single" w:sz="4" w:space="0" w:color="auto"/>
            </w:tcBorders>
            <w:vAlign w:val="center"/>
            <w:hideMark/>
          </w:tcPr>
          <w:p w14:paraId="04A501A3"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27</w:t>
            </w:r>
          </w:p>
        </w:tc>
        <w:tc>
          <w:tcPr>
            <w:tcW w:w="992" w:type="dxa"/>
            <w:tcBorders>
              <w:top w:val="nil"/>
              <w:left w:val="nil"/>
              <w:bottom w:val="single" w:sz="4" w:space="0" w:color="auto"/>
              <w:right w:val="single" w:sz="4" w:space="0" w:color="auto"/>
            </w:tcBorders>
            <w:vAlign w:val="center"/>
            <w:hideMark/>
          </w:tcPr>
          <w:p w14:paraId="493C73BA"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47</w:t>
            </w:r>
          </w:p>
        </w:tc>
        <w:tc>
          <w:tcPr>
            <w:tcW w:w="992" w:type="dxa"/>
            <w:tcBorders>
              <w:top w:val="nil"/>
              <w:left w:val="nil"/>
              <w:bottom w:val="single" w:sz="4" w:space="0" w:color="auto"/>
              <w:right w:val="single" w:sz="4" w:space="0" w:color="auto"/>
            </w:tcBorders>
            <w:vAlign w:val="bottom"/>
            <w:hideMark/>
          </w:tcPr>
          <w:p w14:paraId="2F30722D"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43</w:t>
            </w:r>
          </w:p>
        </w:tc>
        <w:tc>
          <w:tcPr>
            <w:tcW w:w="994" w:type="dxa"/>
            <w:tcBorders>
              <w:top w:val="nil"/>
              <w:left w:val="nil"/>
              <w:bottom w:val="single" w:sz="4" w:space="0" w:color="auto"/>
              <w:right w:val="single" w:sz="4" w:space="0" w:color="auto"/>
            </w:tcBorders>
            <w:noWrap/>
            <w:vAlign w:val="bottom"/>
            <w:hideMark/>
          </w:tcPr>
          <w:p w14:paraId="7098E663" w14:textId="77777777" w:rsidR="002701E5" w:rsidRPr="002140F7" w:rsidRDefault="002701E5" w:rsidP="002701E5">
            <w:pPr>
              <w:spacing w:after="0"/>
              <w:jc w:val="center"/>
              <w:rPr>
                <w:rFonts w:eastAsia="Times New Roman" w:cs="Times New Roman"/>
                <w:sz w:val="22"/>
                <w:lang w:val="lt-LT" w:eastAsia="lt-LT"/>
              </w:rPr>
            </w:pPr>
            <w:r w:rsidRPr="002140F7">
              <w:rPr>
                <w:rFonts w:eastAsia="Times New Roman" w:cs="Times New Roman"/>
                <w:sz w:val="22"/>
                <w:lang w:val="lt-LT" w:eastAsia="lt-LT"/>
              </w:rPr>
              <w:t>57</w:t>
            </w:r>
          </w:p>
        </w:tc>
      </w:tr>
      <w:tr w:rsidR="00166C1A" w:rsidRPr="00166C1A" w14:paraId="1D717430" w14:textId="77777777" w:rsidTr="00166C1A">
        <w:trPr>
          <w:gridAfter w:val="1"/>
          <w:wAfter w:w="8" w:type="dxa"/>
          <w:trHeight w:val="294"/>
        </w:trPr>
        <w:tc>
          <w:tcPr>
            <w:tcW w:w="5665" w:type="dxa"/>
            <w:tcBorders>
              <w:top w:val="nil"/>
              <w:left w:val="single" w:sz="4" w:space="0" w:color="auto"/>
              <w:bottom w:val="single" w:sz="4" w:space="0" w:color="auto"/>
              <w:right w:val="single" w:sz="4" w:space="0" w:color="auto"/>
            </w:tcBorders>
            <w:vAlign w:val="center"/>
            <w:hideMark/>
          </w:tcPr>
          <w:p w14:paraId="76593F32" w14:textId="77777777" w:rsidR="002701E5" w:rsidRPr="00CD34F3" w:rsidRDefault="002701E5" w:rsidP="002701E5">
            <w:pPr>
              <w:spacing w:after="0"/>
              <w:jc w:val="both"/>
              <w:rPr>
                <w:rFonts w:eastAsia="Times New Roman" w:cs="Times New Roman"/>
                <w:sz w:val="22"/>
                <w:lang w:val="lt-LT" w:eastAsia="lt-LT"/>
              </w:rPr>
            </w:pPr>
            <w:r w:rsidRPr="00CD34F3">
              <w:rPr>
                <w:rFonts w:eastAsia="Times New Roman" w:cs="Times New Roman"/>
                <w:sz w:val="22"/>
                <w:lang w:val="lt-LT" w:eastAsia="lt-LT"/>
              </w:rPr>
              <w:t>Kvėpavimo sistemą veikiantys vaistai</w:t>
            </w:r>
          </w:p>
        </w:tc>
        <w:tc>
          <w:tcPr>
            <w:tcW w:w="993" w:type="dxa"/>
            <w:tcBorders>
              <w:top w:val="nil"/>
              <w:left w:val="nil"/>
              <w:bottom w:val="single" w:sz="4" w:space="0" w:color="auto"/>
              <w:right w:val="single" w:sz="4" w:space="0" w:color="auto"/>
            </w:tcBorders>
            <w:vAlign w:val="center"/>
            <w:hideMark/>
          </w:tcPr>
          <w:p w14:paraId="58DA6B2E"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27</w:t>
            </w:r>
          </w:p>
        </w:tc>
        <w:tc>
          <w:tcPr>
            <w:tcW w:w="992" w:type="dxa"/>
            <w:tcBorders>
              <w:top w:val="nil"/>
              <w:left w:val="nil"/>
              <w:bottom w:val="single" w:sz="4" w:space="0" w:color="auto"/>
              <w:right w:val="single" w:sz="4" w:space="0" w:color="auto"/>
            </w:tcBorders>
            <w:vAlign w:val="center"/>
            <w:hideMark/>
          </w:tcPr>
          <w:p w14:paraId="4E4EB407"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25</w:t>
            </w:r>
          </w:p>
        </w:tc>
        <w:tc>
          <w:tcPr>
            <w:tcW w:w="992" w:type="dxa"/>
            <w:tcBorders>
              <w:top w:val="nil"/>
              <w:left w:val="nil"/>
              <w:bottom w:val="single" w:sz="4" w:space="0" w:color="auto"/>
              <w:right w:val="single" w:sz="4" w:space="0" w:color="auto"/>
            </w:tcBorders>
            <w:vAlign w:val="bottom"/>
            <w:hideMark/>
          </w:tcPr>
          <w:p w14:paraId="3C5D5519"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26</w:t>
            </w:r>
          </w:p>
        </w:tc>
        <w:tc>
          <w:tcPr>
            <w:tcW w:w="994" w:type="dxa"/>
            <w:tcBorders>
              <w:top w:val="nil"/>
              <w:left w:val="nil"/>
              <w:bottom w:val="single" w:sz="4" w:space="0" w:color="auto"/>
              <w:right w:val="single" w:sz="4" w:space="0" w:color="auto"/>
            </w:tcBorders>
            <w:noWrap/>
            <w:vAlign w:val="bottom"/>
            <w:hideMark/>
          </w:tcPr>
          <w:p w14:paraId="639670C7" w14:textId="77777777" w:rsidR="002701E5" w:rsidRPr="002140F7" w:rsidRDefault="002701E5" w:rsidP="002701E5">
            <w:pPr>
              <w:spacing w:after="0"/>
              <w:jc w:val="center"/>
              <w:rPr>
                <w:rFonts w:eastAsia="Times New Roman" w:cs="Times New Roman"/>
                <w:sz w:val="22"/>
                <w:lang w:val="lt-LT" w:eastAsia="lt-LT"/>
              </w:rPr>
            </w:pPr>
            <w:r w:rsidRPr="002140F7">
              <w:rPr>
                <w:rFonts w:eastAsia="Times New Roman" w:cs="Times New Roman"/>
                <w:sz w:val="22"/>
                <w:lang w:val="lt-LT" w:eastAsia="lt-LT"/>
              </w:rPr>
              <w:t>21</w:t>
            </w:r>
          </w:p>
        </w:tc>
      </w:tr>
      <w:tr w:rsidR="00166C1A" w:rsidRPr="00166C1A" w14:paraId="716F9925" w14:textId="77777777" w:rsidTr="00166C1A">
        <w:trPr>
          <w:gridAfter w:val="1"/>
          <w:wAfter w:w="8" w:type="dxa"/>
          <w:trHeight w:val="294"/>
        </w:trPr>
        <w:tc>
          <w:tcPr>
            <w:tcW w:w="5665" w:type="dxa"/>
            <w:tcBorders>
              <w:top w:val="nil"/>
              <w:left w:val="single" w:sz="4" w:space="0" w:color="auto"/>
              <w:bottom w:val="single" w:sz="4" w:space="0" w:color="auto"/>
              <w:right w:val="single" w:sz="4" w:space="0" w:color="auto"/>
            </w:tcBorders>
            <w:vAlign w:val="center"/>
            <w:hideMark/>
          </w:tcPr>
          <w:p w14:paraId="24830C83" w14:textId="77777777" w:rsidR="002701E5" w:rsidRPr="00CD34F3" w:rsidRDefault="002701E5" w:rsidP="002701E5">
            <w:pPr>
              <w:spacing w:after="0"/>
              <w:jc w:val="both"/>
              <w:rPr>
                <w:rFonts w:eastAsia="Times New Roman" w:cs="Times New Roman"/>
                <w:sz w:val="22"/>
                <w:lang w:val="lt-LT" w:eastAsia="lt-LT"/>
              </w:rPr>
            </w:pPr>
            <w:r w:rsidRPr="00CD34F3">
              <w:rPr>
                <w:rFonts w:eastAsia="Times New Roman" w:cs="Times New Roman"/>
                <w:sz w:val="22"/>
                <w:lang w:val="lt-LT" w:eastAsia="lt-LT"/>
              </w:rPr>
              <w:t>Jutimo organus veikiantys vaistai</w:t>
            </w:r>
          </w:p>
        </w:tc>
        <w:tc>
          <w:tcPr>
            <w:tcW w:w="993" w:type="dxa"/>
            <w:tcBorders>
              <w:top w:val="nil"/>
              <w:left w:val="nil"/>
              <w:bottom w:val="single" w:sz="4" w:space="0" w:color="auto"/>
              <w:right w:val="single" w:sz="4" w:space="0" w:color="auto"/>
            </w:tcBorders>
            <w:vAlign w:val="center"/>
            <w:hideMark/>
          </w:tcPr>
          <w:p w14:paraId="5283C479"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10</w:t>
            </w:r>
          </w:p>
        </w:tc>
        <w:tc>
          <w:tcPr>
            <w:tcW w:w="992" w:type="dxa"/>
            <w:tcBorders>
              <w:top w:val="nil"/>
              <w:left w:val="nil"/>
              <w:bottom w:val="single" w:sz="4" w:space="0" w:color="auto"/>
              <w:right w:val="single" w:sz="4" w:space="0" w:color="auto"/>
            </w:tcBorders>
            <w:vAlign w:val="center"/>
            <w:hideMark/>
          </w:tcPr>
          <w:p w14:paraId="2415295B"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8</w:t>
            </w:r>
          </w:p>
        </w:tc>
        <w:tc>
          <w:tcPr>
            <w:tcW w:w="992" w:type="dxa"/>
            <w:tcBorders>
              <w:top w:val="nil"/>
              <w:left w:val="nil"/>
              <w:bottom w:val="single" w:sz="4" w:space="0" w:color="auto"/>
              <w:right w:val="single" w:sz="4" w:space="0" w:color="auto"/>
            </w:tcBorders>
            <w:vAlign w:val="bottom"/>
            <w:hideMark/>
          </w:tcPr>
          <w:p w14:paraId="5AE041E7"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11</w:t>
            </w:r>
          </w:p>
        </w:tc>
        <w:tc>
          <w:tcPr>
            <w:tcW w:w="994" w:type="dxa"/>
            <w:tcBorders>
              <w:top w:val="nil"/>
              <w:left w:val="nil"/>
              <w:bottom w:val="single" w:sz="4" w:space="0" w:color="auto"/>
              <w:right w:val="single" w:sz="4" w:space="0" w:color="auto"/>
            </w:tcBorders>
            <w:noWrap/>
            <w:vAlign w:val="bottom"/>
            <w:hideMark/>
          </w:tcPr>
          <w:p w14:paraId="684D1D72" w14:textId="77777777" w:rsidR="002701E5" w:rsidRPr="002140F7" w:rsidRDefault="002701E5" w:rsidP="002701E5">
            <w:pPr>
              <w:spacing w:after="0"/>
              <w:jc w:val="center"/>
              <w:rPr>
                <w:rFonts w:eastAsia="Times New Roman" w:cs="Times New Roman"/>
                <w:sz w:val="22"/>
                <w:lang w:val="lt-LT" w:eastAsia="lt-LT"/>
              </w:rPr>
            </w:pPr>
            <w:r w:rsidRPr="002140F7">
              <w:rPr>
                <w:rFonts w:eastAsia="Times New Roman" w:cs="Times New Roman"/>
                <w:sz w:val="22"/>
                <w:lang w:val="lt-LT" w:eastAsia="lt-LT"/>
              </w:rPr>
              <w:t>8</w:t>
            </w:r>
          </w:p>
        </w:tc>
      </w:tr>
      <w:tr w:rsidR="00166C1A" w:rsidRPr="00166C1A" w14:paraId="2E68D1A4" w14:textId="77777777" w:rsidTr="00166C1A">
        <w:trPr>
          <w:gridAfter w:val="1"/>
          <w:wAfter w:w="8" w:type="dxa"/>
          <w:trHeight w:val="294"/>
        </w:trPr>
        <w:tc>
          <w:tcPr>
            <w:tcW w:w="5665" w:type="dxa"/>
            <w:tcBorders>
              <w:top w:val="nil"/>
              <w:left w:val="single" w:sz="4" w:space="0" w:color="auto"/>
              <w:bottom w:val="single" w:sz="4" w:space="0" w:color="auto"/>
              <w:right w:val="single" w:sz="4" w:space="0" w:color="auto"/>
            </w:tcBorders>
            <w:vAlign w:val="center"/>
            <w:hideMark/>
          </w:tcPr>
          <w:p w14:paraId="61530E82" w14:textId="77777777" w:rsidR="002701E5" w:rsidRPr="00CD34F3" w:rsidRDefault="002701E5" w:rsidP="002701E5">
            <w:pPr>
              <w:spacing w:after="0"/>
              <w:jc w:val="both"/>
              <w:rPr>
                <w:rFonts w:eastAsia="Times New Roman" w:cs="Times New Roman"/>
                <w:sz w:val="22"/>
                <w:lang w:val="lt-LT" w:eastAsia="lt-LT"/>
              </w:rPr>
            </w:pPr>
            <w:proofErr w:type="spellStart"/>
            <w:r w:rsidRPr="00CD34F3">
              <w:rPr>
                <w:rFonts w:eastAsia="Times New Roman" w:cs="Times New Roman"/>
                <w:sz w:val="22"/>
                <w:lang w:val="lt-LT" w:eastAsia="lt-LT"/>
              </w:rPr>
              <w:t>Dermatologiniai</w:t>
            </w:r>
            <w:proofErr w:type="spellEnd"/>
            <w:r w:rsidRPr="00CD34F3">
              <w:rPr>
                <w:rFonts w:eastAsia="Times New Roman" w:cs="Times New Roman"/>
                <w:sz w:val="22"/>
                <w:lang w:val="lt-LT" w:eastAsia="lt-LT"/>
              </w:rPr>
              <w:t xml:space="preserve"> preparatai</w:t>
            </w:r>
          </w:p>
        </w:tc>
        <w:tc>
          <w:tcPr>
            <w:tcW w:w="993" w:type="dxa"/>
            <w:tcBorders>
              <w:top w:val="nil"/>
              <w:left w:val="nil"/>
              <w:bottom w:val="single" w:sz="4" w:space="0" w:color="auto"/>
              <w:right w:val="single" w:sz="4" w:space="0" w:color="auto"/>
            </w:tcBorders>
            <w:vAlign w:val="center"/>
            <w:hideMark/>
          </w:tcPr>
          <w:p w14:paraId="4A608AFC"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10</w:t>
            </w:r>
          </w:p>
        </w:tc>
        <w:tc>
          <w:tcPr>
            <w:tcW w:w="992" w:type="dxa"/>
            <w:tcBorders>
              <w:top w:val="nil"/>
              <w:left w:val="nil"/>
              <w:bottom w:val="single" w:sz="4" w:space="0" w:color="auto"/>
              <w:right w:val="single" w:sz="4" w:space="0" w:color="auto"/>
            </w:tcBorders>
            <w:vAlign w:val="center"/>
            <w:hideMark/>
          </w:tcPr>
          <w:p w14:paraId="74C0C5C0"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9</w:t>
            </w:r>
          </w:p>
        </w:tc>
        <w:tc>
          <w:tcPr>
            <w:tcW w:w="992" w:type="dxa"/>
            <w:tcBorders>
              <w:top w:val="nil"/>
              <w:left w:val="nil"/>
              <w:bottom w:val="single" w:sz="4" w:space="0" w:color="auto"/>
              <w:right w:val="single" w:sz="4" w:space="0" w:color="auto"/>
            </w:tcBorders>
            <w:vAlign w:val="bottom"/>
            <w:hideMark/>
          </w:tcPr>
          <w:p w14:paraId="226F5FA5"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16</w:t>
            </w:r>
          </w:p>
        </w:tc>
        <w:tc>
          <w:tcPr>
            <w:tcW w:w="994" w:type="dxa"/>
            <w:tcBorders>
              <w:top w:val="nil"/>
              <w:left w:val="nil"/>
              <w:bottom w:val="single" w:sz="4" w:space="0" w:color="auto"/>
              <w:right w:val="single" w:sz="4" w:space="0" w:color="auto"/>
            </w:tcBorders>
            <w:noWrap/>
            <w:vAlign w:val="bottom"/>
            <w:hideMark/>
          </w:tcPr>
          <w:p w14:paraId="25B51163" w14:textId="77777777" w:rsidR="002701E5" w:rsidRPr="002140F7" w:rsidRDefault="002701E5" w:rsidP="002701E5">
            <w:pPr>
              <w:spacing w:after="0"/>
              <w:jc w:val="center"/>
              <w:rPr>
                <w:rFonts w:eastAsia="Times New Roman" w:cs="Times New Roman"/>
                <w:sz w:val="22"/>
                <w:lang w:val="lt-LT" w:eastAsia="lt-LT"/>
              </w:rPr>
            </w:pPr>
            <w:r w:rsidRPr="002140F7">
              <w:rPr>
                <w:rFonts w:eastAsia="Times New Roman" w:cs="Times New Roman"/>
                <w:sz w:val="22"/>
                <w:lang w:val="lt-LT" w:eastAsia="lt-LT"/>
              </w:rPr>
              <w:t>12</w:t>
            </w:r>
          </w:p>
        </w:tc>
      </w:tr>
      <w:tr w:rsidR="00166C1A" w:rsidRPr="00166C1A" w14:paraId="236A215A" w14:textId="77777777" w:rsidTr="00166C1A">
        <w:trPr>
          <w:gridAfter w:val="1"/>
          <w:wAfter w:w="8" w:type="dxa"/>
          <w:trHeight w:val="294"/>
        </w:trPr>
        <w:tc>
          <w:tcPr>
            <w:tcW w:w="5665" w:type="dxa"/>
            <w:tcBorders>
              <w:top w:val="nil"/>
              <w:left w:val="single" w:sz="4" w:space="0" w:color="auto"/>
              <w:bottom w:val="single" w:sz="4" w:space="0" w:color="auto"/>
              <w:right w:val="single" w:sz="4" w:space="0" w:color="auto"/>
            </w:tcBorders>
            <w:vAlign w:val="center"/>
            <w:hideMark/>
          </w:tcPr>
          <w:p w14:paraId="063F4FC8" w14:textId="77777777" w:rsidR="002701E5" w:rsidRPr="00CD34F3" w:rsidRDefault="002701E5" w:rsidP="002701E5">
            <w:pPr>
              <w:spacing w:after="0"/>
              <w:jc w:val="both"/>
              <w:rPr>
                <w:rFonts w:eastAsia="Times New Roman" w:cs="Times New Roman"/>
                <w:sz w:val="22"/>
                <w:lang w:val="lt-LT" w:eastAsia="lt-LT"/>
              </w:rPr>
            </w:pPr>
            <w:r w:rsidRPr="00CD34F3">
              <w:rPr>
                <w:rFonts w:eastAsia="Times New Roman" w:cs="Times New Roman"/>
                <w:sz w:val="22"/>
                <w:lang w:val="lt-LT" w:eastAsia="lt-LT"/>
              </w:rPr>
              <w:t>Sistemiškai veikiantys hormonai</w:t>
            </w:r>
          </w:p>
        </w:tc>
        <w:tc>
          <w:tcPr>
            <w:tcW w:w="993" w:type="dxa"/>
            <w:tcBorders>
              <w:top w:val="nil"/>
              <w:left w:val="nil"/>
              <w:bottom w:val="single" w:sz="4" w:space="0" w:color="auto"/>
              <w:right w:val="single" w:sz="4" w:space="0" w:color="auto"/>
            </w:tcBorders>
            <w:vAlign w:val="center"/>
            <w:hideMark/>
          </w:tcPr>
          <w:p w14:paraId="45E45EE8"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21</w:t>
            </w:r>
          </w:p>
        </w:tc>
        <w:tc>
          <w:tcPr>
            <w:tcW w:w="992" w:type="dxa"/>
            <w:tcBorders>
              <w:top w:val="nil"/>
              <w:left w:val="nil"/>
              <w:bottom w:val="single" w:sz="4" w:space="0" w:color="auto"/>
              <w:right w:val="single" w:sz="4" w:space="0" w:color="auto"/>
            </w:tcBorders>
            <w:vAlign w:val="center"/>
            <w:hideMark/>
          </w:tcPr>
          <w:p w14:paraId="6519CD69"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71</w:t>
            </w:r>
          </w:p>
        </w:tc>
        <w:tc>
          <w:tcPr>
            <w:tcW w:w="992" w:type="dxa"/>
            <w:tcBorders>
              <w:top w:val="nil"/>
              <w:left w:val="nil"/>
              <w:bottom w:val="single" w:sz="4" w:space="0" w:color="auto"/>
              <w:right w:val="single" w:sz="4" w:space="0" w:color="auto"/>
            </w:tcBorders>
            <w:vAlign w:val="bottom"/>
            <w:hideMark/>
          </w:tcPr>
          <w:p w14:paraId="29EA1AE6"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16</w:t>
            </w:r>
          </w:p>
        </w:tc>
        <w:tc>
          <w:tcPr>
            <w:tcW w:w="994" w:type="dxa"/>
            <w:tcBorders>
              <w:top w:val="nil"/>
              <w:left w:val="nil"/>
              <w:bottom w:val="single" w:sz="4" w:space="0" w:color="auto"/>
              <w:right w:val="single" w:sz="4" w:space="0" w:color="auto"/>
            </w:tcBorders>
            <w:noWrap/>
            <w:vAlign w:val="bottom"/>
            <w:hideMark/>
          </w:tcPr>
          <w:p w14:paraId="1516B6A9" w14:textId="77777777" w:rsidR="002701E5" w:rsidRPr="002140F7" w:rsidRDefault="002701E5" w:rsidP="002701E5">
            <w:pPr>
              <w:spacing w:after="0"/>
              <w:jc w:val="center"/>
              <w:rPr>
                <w:rFonts w:eastAsia="Times New Roman" w:cs="Times New Roman"/>
                <w:sz w:val="22"/>
                <w:lang w:val="lt-LT" w:eastAsia="lt-LT"/>
              </w:rPr>
            </w:pPr>
            <w:r w:rsidRPr="002140F7">
              <w:rPr>
                <w:rFonts w:eastAsia="Times New Roman" w:cs="Times New Roman"/>
                <w:sz w:val="22"/>
                <w:lang w:val="lt-LT" w:eastAsia="lt-LT"/>
              </w:rPr>
              <w:t>28</w:t>
            </w:r>
          </w:p>
        </w:tc>
      </w:tr>
      <w:tr w:rsidR="00166C1A" w:rsidRPr="00166C1A" w14:paraId="22318AD7" w14:textId="77777777" w:rsidTr="00166C1A">
        <w:trPr>
          <w:gridAfter w:val="1"/>
          <w:wAfter w:w="8" w:type="dxa"/>
          <w:trHeight w:val="306"/>
        </w:trPr>
        <w:tc>
          <w:tcPr>
            <w:tcW w:w="5665" w:type="dxa"/>
            <w:tcBorders>
              <w:top w:val="nil"/>
              <w:left w:val="single" w:sz="4" w:space="0" w:color="auto"/>
              <w:bottom w:val="single" w:sz="4" w:space="0" w:color="auto"/>
              <w:right w:val="single" w:sz="4" w:space="0" w:color="auto"/>
            </w:tcBorders>
            <w:vAlign w:val="center"/>
            <w:hideMark/>
          </w:tcPr>
          <w:p w14:paraId="398E36C3" w14:textId="77777777" w:rsidR="002701E5" w:rsidRPr="00CD34F3" w:rsidRDefault="002701E5" w:rsidP="002701E5">
            <w:pPr>
              <w:spacing w:after="0"/>
              <w:jc w:val="both"/>
              <w:rPr>
                <w:rFonts w:eastAsia="Times New Roman" w:cs="Times New Roman"/>
                <w:sz w:val="22"/>
                <w:lang w:val="lt-LT" w:eastAsia="lt-LT"/>
              </w:rPr>
            </w:pPr>
            <w:proofErr w:type="spellStart"/>
            <w:r w:rsidRPr="00CD34F3">
              <w:rPr>
                <w:rFonts w:eastAsia="Times New Roman" w:cs="Times New Roman"/>
                <w:sz w:val="22"/>
                <w:lang w:val="lt-LT" w:eastAsia="lt-LT"/>
              </w:rPr>
              <w:t>Antiparazitiniai</w:t>
            </w:r>
            <w:proofErr w:type="spellEnd"/>
            <w:r w:rsidRPr="00CD34F3">
              <w:rPr>
                <w:rFonts w:eastAsia="Times New Roman" w:cs="Times New Roman"/>
                <w:sz w:val="22"/>
                <w:lang w:val="lt-LT" w:eastAsia="lt-LT"/>
              </w:rPr>
              <w:t xml:space="preserve"> preparatai</w:t>
            </w:r>
          </w:p>
        </w:tc>
        <w:tc>
          <w:tcPr>
            <w:tcW w:w="993" w:type="dxa"/>
            <w:tcBorders>
              <w:top w:val="nil"/>
              <w:left w:val="nil"/>
              <w:bottom w:val="single" w:sz="4" w:space="0" w:color="auto"/>
              <w:right w:val="single" w:sz="4" w:space="0" w:color="auto"/>
            </w:tcBorders>
            <w:vAlign w:val="center"/>
            <w:hideMark/>
          </w:tcPr>
          <w:p w14:paraId="1FD7B21B"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5</w:t>
            </w:r>
          </w:p>
        </w:tc>
        <w:tc>
          <w:tcPr>
            <w:tcW w:w="992" w:type="dxa"/>
            <w:tcBorders>
              <w:top w:val="nil"/>
              <w:left w:val="nil"/>
              <w:bottom w:val="single" w:sz="4" w:space="0" w:color="auto"/>
              <w:right w:val="single" w:sz="4" w:space="0" w:color="auto"/>
            </w:tcBorders>
            <w:vAlign w:val="center"/>
            <w:hideMark/>
          </w:tcPr>
          <w:p w14:paraId="30D8726D"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3</w:t>
            </w:r>
          </w:p>
        </w:tc>
        <w:tc>
          <w:tcPr>
            <w:tcW w:w="992" w:type="dxa"/>
            <w:tcBorders>
              <w:top w:val="nil"/>
              <w:left w:val="nil"/>
              <w:bottom w:val="single" w:sz="4" w:space="0" w:color="auto"/>
              <w:right w:val="single" w:sz="4" w:space="0" w:color="auto"/>
            </w:tcBorders>
            <w:vAlign w:val="bottom"/>
            <w:hideMark/>
          </w:tcPr>
          <w:p w14:paraId="7AAA9769"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0</w:t>
            </w:r>
          </w:p>
        </w:tc>
        <w:tc>
          <w:tcPr>
            <w:tcW w:w="994" w:type="dxa"/>
            <w:tcBorders>
              <w:top w:val="nil"/>
              <w:left w:val="nil"/>
              <w:bottom w:val="single" w:sz="4" w:space="0" w:color="auto"/>
              <w:right w:val="single" w:sz="4" w:space="0" w:color="auto"/>
            </w:tcBorders>
            <w:noWrap/>
            <w:vAlign w:val="bottom"/>
            <w:hideMark/>
          </w:tcPr>
          <w:p w14:paraId="7D7F92D9" w14:textId="77777777" w:rsidR="002701E5" w:rsidRPr="002140F7" w:rsidRDefault="002701E5" w:rsidP="002701E5">
            <w:pPr>
              <w:spacing w:after="0"/>
              <w:jc w:val="center"/>
              <w:rPr>
                <w:rFonts w:eastAsia="Times New Roman" w:cs="Times New Roman"/>
                <w:sz w:val="22"/>
                <w:lang w:val="lt-LT" w:eastAsia="lt-LT"/>
              </w:rPr>
            </w:pPr>
            <w:r w:rsidRPr="002140F7">
              <w:rPr>
                <w:rFonts w:eastAsia="Times New Roman" w:cs="Times New Roman"/>
                <w:sz w:val="22"/>
                <w:lang w:val="lt-LT" w:eastAsia="lt-LT"/>
              </w:rPr>
              <w:t>11</w:t>
            </w:r>
          </w:p>
        </w:tc>
      </w:tr>
      <w:tr w:rsidR="00166C1A" w:rsidRPr="00166C1A" w14:paraId="1E6A8A62" w14:textId="77777777" w:rsidTr="00166C1A">
        <w:trPr>
          <w:gridAfter w:val="1"/>
          <w:wAfter w:w="8" w:type="dxa"/>
          <w:trHeight w:val="306"/>
        </w:trPr>
        <w:tc>
          <w:tcPr>
            <w:tcW w:w="5665" w:type="dxa"/>
            <w:tcBorders>
              <w:top w:val="nil"/>
              <w:left w:val="single" w:sz="4" w:space="0" w:color="auto"/>
              <w:bottom w:val="single" w:sz="4" w:space="0" w:color="auto"/>
              <w:right w:val="single" w:sz="4" w:space="0" w:color="auto"/>
            </w:tcBorders>
            <w:vAlign w:val="center"/>
            <w:hideMark/>
          </w:tcPr>
          <w:p w14:paraId="61A82542" w14:textId="77777777" w:rsidR="002701E5" w:rsidRPr="00CD34F3" w:rsidRDefault="002701E5" w:rsidP="002701E5">
            <w:pPr>
              <w:spacing w:after="0"/>
              <w:rPr>
                <w:rFonts w:eastAsia="Times New Roman" w:cs="Times New Roman"/>
                <w:sz w:val="22"/>
                <w:lang w:val="lt-LT" w:eastAsia="lt-LT"/>
              </w:rPr>
            </w:pPr>
            <w:r w:rsidRPr="00CD34F3">
              <w:rPr>
                <w:rFonts w:eastAsia="Times New Roman" w:cs="Times New Roman"/>
                <w:sz w:val="22"/>
                <w:lang w:val="lt-LT" w:eastAsia="lt-LT"/>
              </w:rPr>
              <w:t>Vaistai, kuriems nesuteiktas ATC kodas</w:t>
            </w:r>
          </w:p>
        </w:tc>
        <w:tc>
          <w:tcPr>
            <w:tcW w:w="993" w:type="dxa"/>
            <w:tcBorders>
              <w:top w:val="nil"/>
              <w:left w:val="nil"/>
              <w:bottom w:val="single" w:sz="4" w:space="0" w:color="auto"/>
              <w:right w:val="single" w:sz="4" w:space="0" w:color="auto"/>
            </w:tcBorders>
            <w:vAlign w:val="center"/>
            <w:hideMark/>
          </w:tcPr>
          <w:p w14:paraId="0AAA35F0"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0</w:t>
            </w:r>
          </w:p>
        </w:tc>
        <w:tc>
          <w:tcPr>
            <w:tcW w:w="992" w:type="dxa"/>
            <w:tcBorders>
              <w:top w:val="nil"/>
              <w:left w:val="nil"/>
              <w:bottom w:val="single" w:sz="4" w:space="0" w:color="auto"/>
              <w:right w:val="single" w:sz="4" w:space="0" w:color="auto"/>
            </w:tcBorders>
            <w:vAlign w:val="center"/>
            <w:hideMark/>
          </w:tcPr>
          <w:p w14:paraId="3EE3ED50"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10</w:t>
            </w:r>
          </w:p>
        </w:tc>
        <w:tc>
          <w:tcPr>
            <w:tcW w:w="992" w:type="dxa"/>
            <w:tcBorders>
              <w:top w:val="nil"/>
              <w:left w:val="nil"/>
              <w:bottom w:val="single" w:sz="4" w:space="0" w:color="auto"/>
              <w:right w:val="single" w:sz="4" w:space="0" w:color="auto"/>
            </w:tcBorders>
            <w:vAlign w:val="bottom"/>
            <w:hideMark/>
          </w:tcPr>
          <w:p w14:paraId="4913E796" w14:textId="77777777" w:rsidR="002701E5" w:rsidRPr="00CD34F3" w:rsidRDefault="002701E5" w:rsidP="002701E5">
            <w:pPr>
              <w:spacing w:after="0"/>
              <w:jc w:val="center"/>
              <w:rPr>
                <w:rFonts w:eastAsia="Times New Roman" w:cs="Times New Roman"/>
                <w:sz w:val="22"/>
                <w:lang w:val="lt-LT" w:eastAsia="lt-LT"/>
              </w:rPr>
            </w:pPr>
            <w:r w:rsidRPr="00CD34F3">
              <w:rPr>
                <w:rFonts w:eastAsia="Times New Roman" w:cs="Times New Roman"/>
                <w:sz w:val="22"/>
                <w:lang w:val="lt-LT" w:eastAsia="lt-LT"/>
              </w:rPr>
              <w:t>3</w:t>
            </w:r>
          </w:p>
        </w:tc>
        <w:tc>
          <w:tcPr>
            <w:tcW w:w="994" w:type="dxa"/>
            <w:tcBorders>
              <w:top w:val="nil"/>
              <w:left w:val="nil"/>
              <w:bottom w:val="single" w:sz="4" w:space="0" w:color="auto"/>
              <w:right w:val="single" w:sz="4" w:space="0" w:color="auto"/>
            </w:tcBorders>
            <w:noWrap/>
            <w:vAlign w:val="bottom"/>
            <w:hideMark/>
          </w:tcPr>
          <w:p w14:paraId="1BA830F3" w14:textId="77777777" w:rsidR="002701E5" w:rsidRPr="002140F7" w:rsidRDefault="002701E5" w:rsidP="002701E5">
            <w:pPr>
              <w:spacing w:after="0"/>
              <w:jc w:val="center"/>
              <w:rPr>
                <w:rFonts w:eastAsia="Times New Roman" w:cs="Times New Roman"/>
                <w:sz w:val="22"/>
                <w:lang w:val="lt-LT" w:eastAsia="lt-LT"/>
              </w:rPr>
            </w:pPr>
            <w:r w:rsidRPr="002140F7">
              <w:rPr>
                <w:rFonts w:eastAsia="Times New Roman" w:cs="Times New Roman"/>
                <w:sz w:val="22"/>
                <w:lang w:val="lt-LT" w:eastAsia="lt-LT"/>
              </w:rPr>
              <w:t>6</w:t>
            </w:r>
          </w:p>
        </w:tc>
      </w:tr>
    </w:tbl>
    <w:p w14:paraId="3F3D8A22" w14:textId="77777777" w:rsidR="00DF22F0" w:rsidRPr="00DF22F0" w:rsidRDefault="00DF22F0" w:rsidP="00DF22F0">
      <w:pPr>
        <w:pStyle w:val="Betarp"/>
        <w:rPr>
          <w:b/>
          <w:bCs/>
          <w:sz w:val="24"/>
          <w:szCs w:val="24"/>
          <w:lang w:val="lt-LT"/>
        </w:rPr>
      </w:pPr>
    </w:p>
    <w:p w14:paraId="36E91D8F" w14:textId="3919EE91" w:rsidR="00DF22F0" w:rsidRPr="0001298D" w:rsidRDefault="00DF22F0" w:rsidP="0001298D">
      <w:pPr>
        <w:pStyle w:val="Betarp"/>
        <w:ind w:firstLine="708"/>
        <w:jc w:val="both"/>
        <w:rPr>
          <w:bCs/>
          <w:sz w:val="24"/>
          <w:szCs w:val="24"/>
          <w:lang w:val="lt-LT"/>
        </w:rPr>
      </w:pPr>
      <w:r w:rsidRPr="0001298D">
        <w:rPr>
          <w:sz w:val="24"/>
          <w:szCs w:val="24"/>
          <w:lang w:val="lt-LT"/>
        </w:rPr>
        <w:t>VVKT 202</w:t>
      </w:r>
      <w:r w:rsidR="00642050" w:rsidRPr="0001298D">
        <w:rPr>
          <w:sz w:val="24"/>
          <w:szCs w:val="24"/>
          <w:lang w:val="lt-LT"/>
        </w:rPr>
        <w:t>5</w:t>
      </w:r>
      <w:r w:rsidRPr="0001298D">
        <w:rPr>
          <w:sz w:val="24"/>
          <w:szCs w:val="24"/>
          <w:lang w:val="lt-LT"/>
        </w:rPr>
        <w:t xml:space="preserve"> m.  gavo </w:t>
      </w:r>
      <w:r w:rsidR="00642050" w:rsidRPr="0001298D">
        <w:rPr>
          <w:sz w:val="24"/>
          <w:szCs w:val="24"/>
          <w:lang w:val="lt-LT"/>
        </w:rPr>
        <w:t>262 pranešimus apie sunkias ĮNR. Iš jų 246</w:t>
      </w:r>
      <w:r w:rsidRPr="0001298D">
        <w:rPr>
          <w:sz w:val="24"/>
          <w:szCs w:val="24"/>
          <w:lang w:val="lt-LT"/>
        </w:rPr>
        <w:t xml:space="preserve"> pranešim</w:t>
      </w:r>
      <w:r w:rsidR="00642050" w:rsidRPr="0001298D">
        <w:rPr>
          <w:sz w:val="24"/>
          <w:szCs w:val="24"/>
          <w:lang w:val="lt-LT"/>
        </w:rPr>
        <w:t>ai</w:t>
      </w:r>
      <w:r w:rsidRPr="0001298D">
        <w:rPr>
          <w:sz w:val="24"/>
          <w:szCs w:val="24"/>
          <w:lang w:val="lt-LT"/>
        </w:rPr>
        <w:t xml:space="preserve"> apie vaistinių preparatų</w:t>
      </w:r>
      <w:r w:rsidR="00642050" w:rsidRPr="0001298D">
        <w:rPr>
          <w:sz w:val="24"/>
          <w:szCs w:val="24"/>
          <w:lang w:val="lt-LT"/>
        </w:rPr>
        <w:t xml:space="preserve"> ir 16 pranešimų apie vakcinų</w:t>
      </w:r>
      <w:r w:rsidRPr="0001298D">
        <w:rPr>
          <w:sz w:val="24"/>
          <w:szCs w:val="24"/>
          <w:lang w:val="lt-LT"/>
        </w:rPr>
        <w:t xml:space="preserve"> sukeltas sunkias nepageidaujamas reakcijas. </w:t>
      </w:r>
      <w:r w:rsidRPr="0001298D">
        <w:rPr>
          <w:bCs/>
          <w:sz w:val="24"/>
          <w:szCs w:val="24"/>
          <w:lang w:val="lt-LT"/>
        </w:rPr>
        <w:t>Dažniausiai pasireiškusios sunkios nepageidaujamos reakcijos pagal vaistų grupes ir veikliąsias medžiagas (išskyrus vakcinas (1</w:t>
      </w:r>
      <w:r w:rsidR="00642050" w:rsidRPr="0001298D">
        <w:rPr>
          <w:bCs/>
          <w:sz w:val="24"/>
          <w:szCs w:val="24"/>
          <w:lang w:val="lt-LT"/>
        </w:rPr>
        <w:t>6</w:t>
      </w:r>
      <w:r w:rsidRPr="0001298D">
        <w:rPr>
          <w:bCs/>
          <w:sz w:val="24"/>
          <w:szCs w:val="24"/>
          <w:lang w:val="lt-LT"/>
        </w:rPr>
        <w:t xml:space="preserve"> atvejų) ) pateiktos 3 lentelėje.</w:t>
      </w:r>
    </w:p>
    <w:p w14:paraId="56B27CBF" w14:textId="77777777" w:rsidR="006B1264" w:rsidRPr="00DF22F0" w:rsidRDefault="006B1264" w:rsidP="00DF22F0">
      <w:pPr>
        <w:pStyle w:val="Betarp"/>
        <w:rPr>
          <w:bCs/>
          <w:sz w:val="24"/>
          <w:szCs w:val="24"/>
          <w:lang w:val="lt-LT"/>
        </w:rPr>
      </w:pPr>
    </w:p>
    <w:p w14:paraId="0AB33CDD" w14:textId="00608D66" w:rsidR="006B1264" w:rsidRDefault="00DF22F0" w:rsidP="00DF22F0">
      <w:pPr>
        <w:pStyle w:val="Betarp"/>
        <w:rPr>
          <w:b/>
          <w:bCs/>
          <w:sz w:val="24"/>
          <w:szCs w:val="24"/>
          <w:lang w:val="lt-LT"/>
        </w:rPr>
      </w:pPr>
      <w:r w:rsidRPr="0001298D">
        <w:rPr>
          <w:b/>
          <w:sz w:val="24"/>
          <w:szCs w:val="24"/>
          <w:lang w:val="lt-LT"/>
        </w:rPr>
        <w:t>3 lentelė.</w:t>
      </w:r>
      <w:r w:rsidRPr="0001298D">
        <w:rPr>
          <w:b/>
          <w:bCs/>
          <w:sz w:val="24"/>
          <w:szCs w:val="24"/>
          <w:lang w:val="lt-LT"/>
        </w:rPr>
        <w:t xml:space="preserve"> Dažniausiai pasireiškusios sunkios nepageidaujamos reakcijos pagal vaistų grupes ir veikliąsias medžiagas (išskyrus vakcinas)</w:t>
      </w:r>
    </w:p>
    <w:p w14:paraId="56D11C09" w14:textId="77777777" w:rsidR="00CB675A" w:rsidRPr="0001298D" w:rsidRDefault="00CB675A" w:rsidP="00DF22F0">
      <w:pPr>
        <w:pStyle w:val="Betarp"/>
        <w:rPr>
          <w:b/>
          <w:bCs/>
          <w:sz w:val="24"/>
          <w:szCs w:val="24"/>
          <w:lang w:val="lt-LT"/>
        </w:rPr>
      </w:pPr>
    </w:p>
    <w:tbl>
      <w:tblPr>
        <w:tblW w:w="9680" w:type="dxa"/>
        <w:tblLook w:val="04A0" w:firstRow="1" w:lastRow="0" w:firstColumn="1" w:lastColumn="0" w:noHBand="0" w:noVBand="1"/>
      </w:tblPr>
      <w:tblGrid>
        <w:gridCol w:w="1231"/>
        <w:gridCol w:w="4940"/>
        <w:gridCol w:w="3640"/>
      </w:tblGrid>
      <w:tr w:rsidR="0058074B" w:rsidRPr="0058074B" w14:paraId="67A2228F" w14:textId="77777777" w:rsidTr="0058074B">
        <w:trPr>
          <w:trHeight w:val="576"/>
        </w:trPr>
        <w:tc>
          <w:tcPr>
            <w:tcW w:w="1100" w:type="dxa"/>
            <w:tcBorders>
              <w:top w:val="single" w:sz="4" w:space="0" w:color="auto"/>
              <w:left w:val="single" w:sz="4" w:space="0" w:color="auto"/>
              <w:bottom w:val="single" w:sz="4" w:space="0" w:color="auto"/>
              <w:right w:val="single" w:sz="4" w:space="0" w:color="auto"/>
            </w:tcBorders>
            <w:vAlign w:val="center"/>
            <w:hideMark/>
          </w:tcPr>
          <w:p w14:paraId="686B7A68" w14:textId="77777777" w:rsidR="0058074B" w:rsidRPr="00E4412C" w:rsidRDefault="0058074B" w:rsidP="0058074B">
            <w:pPr>
              <w:spacing w:after="0"/>
              <w:jc w:val="center"/>
              <w:rPr>
                <w:rFonts w:eastAsia="Times New Roman" w:cs="Times New Roman"/>
                <w:b/>
                <w:bCs/>
                <w:sz w:val="22"/>
                <w:lang w:val="lt-LT" w:eastAsia="lt-LT"/>
              </w:rPr>
            </w:pPr>
            <w:r w:rsidRPr="00E4412C">
              <w:rPr>
                <w:rFonts w:eastAsia="Times New Roman" w:cs="Times New Roman"/>
                <w:b/>
                <w:bCs/>
                <w:sz w:val="22"/>
                <w:lang w:val="lt-LT" w:eastAsia="lt-LT"/>
              </w:rPr>
              <w:t>Pranešimų skaičius</w:t>
            </w:r>
          </w:p>
        </w:tc>
        <w:tc>
          <w:tcPr>
            <w:tcW w:w="4940" w:type="dxa"/>
            <w:tcBorders>
              <w:top w:val="single" w:sz="4" w:space="0" w:color="auto"/>
              <w:left w:val="nil"/>
              <w:bottom w:val="single" w:sz="4" w:space="0" w:color="auto"/>
              <w:right w:val="single" w:sz="4" w:space="0" w:color="auto"/>
            </w:tcBorders>
            <w:vAlign w:val="center"/>
            <w:hideMark/>
          </w:tcPr>
          <w:p w14:paraId="7E43D8FC" w14:textId="77777777" w:rsidR="0058074B" w:rsidRPr="00E4412C" w:rsidRDefault="0058074B" w:rsidP="0058074B">
            <w:pPr>
              <w:spacing w:after="0"/>
              <w:jc w:val="center"/>
              <w:rPr>
                <w:rFonts w:eastAsia="Times New Roman" w:cs="Times New Roman"/>
                <w:b/>
                <w:bCs/>
                <w:sz w:val="22"/>
                <w:lang w:val="lt-LT" w:eastAsia="lt-LT"/>
              </w:rPr>
            </w:pPr>
            <w:r w:rsidRPr="00E4412C">
              <w:rPr>
                <w:rFonts w:eastAsia="Times New Roman" w:cs="Times New Roman"/>
                <w:b/>
                <w:bCs/>
                <w:sz w:val="22"/>
                <w:lang w:val="lt-LT" w:eastAsia="lt-LT"/>
              </w:rPr>
              <w:t>Veiklioji medžiaga</w:t>
            </w:r>
          </w:p>
        </w:tc>
        <w:tc>
          <w:tcPr>
            <w:tcW w:w="3640" w:type="dxa"/>
            <w:tcBorders>
              <w:top w:val="single" w:sz="4" w:space="0" w:color="auto"/>
              <w:left w:val="nil"/>
              <w:bottom w:val="single" w:sz="4" w:space="0" w:color="auto"/>
              <w:right w:val="single" w:sz="4" w:space="0" w:color="auto"/>
            </w:tcBorders>
            <w:vAlign w:val="center"/>
            <w:hideMark/>
          </w:tcPr>
          <w:p w14:paraId="0BE83E13" w14:textId="77777777" w:rsidR="0058074B" w:rsidRPr="00E4412C" w:rsidRDefault="0058074B" w:rsidP="0058074B">
            <w:pPr>
              <w:spacing w:after="0"/>
              <w:jc w:val="center"/>
              <w:rPr>
                <w:rFonts w:eastAsia="Times New Roman" w:cs="Times New Roman"/>
                <w:b/>
                <w:bCs/>
                <w:sz w:val="22"/>
                <w:lang w:val="lt-LT" w:eastAsia="lt-LT"/>
              </w:rPr>
            </w:pPr>
            <w:r w:rsidRPr="00E4412C">
              <w:rPr>
                <w:rFonts w:eastAsia="Times New Roman" w:cs="Times New Roman"/>
                <w:b/>
                <w:bCs/>
                <w:sz w:val="22"/>
                <w:lang w:val="lt-LT" w:eastAsia="lt-LT"/>
              </w:rPr>
              <w:t>Nepageidaujama reakcija</w:t>
            </w:r>
          </w:p>
        </w:tc>
      </w:tr>
      <w:tr w:rsidR="0058074B" w:rsidRPr="0058074B" w14:paraId="026EF06C" w14:textId="77777777" w:rsidTr="0058074B">
        <w:trPr>
          <w:trHeight w:val="288"/>
        </w:trPr>
        <w:tc>
          <w:tcPr>
            <w:tcW w:w="9680"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5214C8FA" w14:textId="3BDD5B9E" w:rsidR="0058074B" w:rsidRPr="0058074B" w:rsidRDefault="0058074B" w:rsidP="006F38F5">
            <w:pPr>
              <w:spacing w:after="0"/>
              <w:jc w:val="center"/>
              <w:rPr>
                <w:rFonts w:eastAsia="Times New Roman" w:cs="Times New Roman"/>
                <w:color w:val="000000"/>
                <w:sz w:val="22"/>
                <w:lang w:val="lt-LT" w:eastAsia="lt-LT"/>
              </w:rPr>
            </w:pPr>
            <w:r w:rsidRPr="0058074B">
              <w:rPr>
                <w:rFonts w:eastAsia="Times New Roman" w:cs="Times New Roman"/>
                <w:color w:val="000000"/>
                <w:sz w:val="22"/>
                <w:lang w:val="lt-LT" w:eastAsia="lt-LT"/>
              </w:rPr>
              <w:t>Virškinimo traktą ir metabolizmą veikiantys vaistai</w:t>
            </w:r>
          </w:p>
        </w:tc>
      </w:tr>
      <w:tr w:rsidR="0058074B" w:rsidRPr="0058074B" w14:paraId="2EEF3D61" w14:textId="77777777" w:rsidTr="0058074B">
        <w:trPr>
          <w:trHeight w:val="2220"/>
        </w:trPr>
        <w:tc>
          <w:tcPr>
            <w:tcW w:w="1100" w:type="dxa"/>
            <w:tcBorders>
              <w:top w:val="nil"/>
              <w:left w:val="single" w:sz="4" w:space="0" w:color="auto"/>
              <w:bottom w:val="single" w:sz="4" w:space="0" w:color="auto"/>
              <w:right w:val="single" w:sz="4" w:space="0" w:color="auto"/>
            </w:tcBorders>
            <w:noWrap/>
            <w:vAlign w:val="center"/>
            <w:hideMark/>
          </w:tcPr>
          <w:p w14:paraId="750A0B4A" w14:textId="77777777" w:rsidR="0058074B" w:rsidRPr="00E4412C" w:rsidRDefault="0058074B" w:rsidP="0058074B">
            <w:pPr>
              <w:spacing w:after="0"/>
              <w:jc w:val="center"/>
              <w:rPr>
                <w:rFonts w:eastAsia="Times New Roman" w:cs="Times New Roman"/>
                <w:color w:val="000000"/>
                <w:sz w:val="22"/>
                <w:lang w:val="lt-LT" w:eastAsia="lt-LT"/>
              </w:rPr>
            </w:pPr>
            <w:r w:rsidRPr="00E4412C">
              <w:rPr>
                <w:rFonts w:eastAsia="Times New Roman" w:cs="Times New Roman"/>
                <w:color w:val="000000"/>
                <w:sz w:val="22"/>
                <w:lang w:val="lt-LT" w:eastAsia="lt-LT"/>
              </w:rPr>
              <w:t>24</w:t>
            </w:r>
          </w:p>
        </w:tc>
        <w:tc>
          <w:tcPr>
            <w:tcW w:w="4940" w:type="dxa"/>
            <w:tcBorders>
              <w:top w:val="nil"/>
              <w:left w:val="nil"/>
              <w:bottom w:val="single" w:sz="4" w:space="0" w:color="auto"/>
              <w:right w:val="single" w:sz="4" w:space="0" w:color="auto"/>
            </w:tcBorders>
            <w:vAlign w:val="center"/>
            <w:hideMark/>
          </w:tcPr>
          <w:p w14:paraId="1D600E99" w14:textId="77777777" w:rsidR="0058074B" w:rsidRPr="00E4412C" w:rsidRDefault="0058074B" w:rsidP="0058074B">
            <w:pPr>
              <w:spacing w:after="0"/>
              <w:rPr>
                <w:rFonts w:eastAsia="Times New Roman" w:cs="Times New Roman"/>
                <w:color w:val="000000"/>
                <w:sz w:val="22"/>
                <w:lang w:val="lt-LT" w:eastAsia="lt-LT"/>
              </w:rPr>
            </w:pPr>
            <w:proofErr w:type="spellStart"/>
            <w:r w:rsidRPr="00E4412C">
              <w:rPr>
                <w:rFonts w:eastAsia="Times New Roman" w:cs="Times New Roman"/>
                <w:color w:val="000000"/>
                <w:sz w:val="22"/>
                <w:lang w:val="lt-LT" w:eastAsia="lt-LT"/>
              </w:rPr>
              <w:t>Metformino</w:t>
            </w:r>
            <w:proofErr w:type="spellEnd"/>
            <w:r w:rsidRPr="00E4412C">
              <w:rPr>
                <w:rFonts w:eastAsia="Times New Roman" w:cs="Times New Roman"/>
                <w:color w:val="000000"/>
                <w:sz w:val="22"/>
                <w:lang w:val="lt-LT" w:eastAsia="lt-LT"/>
              </w:rPr>
              <w:t xml:space="preserve"> hidrochloridas, Dapagliflozinas/</w:t>
            </w:r>
            <w:proofErr w:type="spellStart"/>
            <w:r w:rsidRPr="00E4412C">
              <w:rPr>
                <w:rFonts w:eastAsia="Times New Roman" w:cs="Times New Roman"/>
                <w:color w:val="000000"/>
                <w:sz w:val="22"/>
                <w:lang w:val="lt-LT" w:eastAsia="lt-LT"/>
              </w:rPr>
              <w:t>Metformino</w:t>
            </w:r>
            <w:proofErr w:type="spellEnd"/>
            <w:r w:rsidRPr="00E4412C">
              <w:rPr>
                <w:rFonts w:eastAsia="Times New Roman" w:cs="Times New Roman"/>
                <w:color w:val="000000"/>
                <w:sz w:val="22"/>
                <w:lang w:val="lt-LT" w:eastAsia="lt-LT"/>
              </w:rPr>
              <w:t xml:space="preserve"> hidrochloridas, Dapagliflozinas, Insulinas </w:t>
            </w:r>
            <w:proofErr w:type="spellStart"/>
            <w:r w:rsidRPr="00E4412C">
              <w:rPr>
                <w:rFonts w:eastAsia="Times New Roman" w:cs="Times New Roman"/>
                <w:color w:val="000000"/>
                <w:sz w:val="22"/>
                <w:lang w:val="lt-LT" w:eastAsia="lt-LT"/>
              </w:rPr>
              <w:t>detemiras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Mesalazinas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Empagliflozinas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Semagliutidas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Ezomeprazolas</w:t>
            </w:r>
            <w:proofErr w:type="spellEnd"/>
            <w:r w:rsidRPr="00E4412C">
              <w:rPr>
                <w:rFonts w:eastAsia="Times New Roman" w:cs="Times New Roman"/>
                <w:color w:val="000000"/>
                <w:sz w:val="22"/>
                <w:lang w:val="lt-LT" w:eastAsia="lt-LT"/>
              </w:rPr>
              <w:t xml:space="preserve">, Natrio </w:t>
            </w:r>
            <w:proofErr w:type="spellStart"/>
            <w:r w:rsidRPr="00E4412C">
              <w:rPr>
                <w:rFonts w:eastAsia="Times New Roman" w:cs="Times New Roman"/>
                <w:color w:val="000000"/>
                <w:sz w:val="22"/>
                <w:lang w:val="lt-LT" w:eastAsia="lt-LT"/>
              </w:rPr>
              <w:t>pikosulfatas</w:t>
            </w:r>
            <w:proofErr w:type="spellEnd"/>
            <w:r w:rsidRPr="00E4412C">
              <w:rPr>
                <w:rFonts w:eastAsia="Times New Roman" w:cs="Times New Roman"/>
                <w:color w:val="000000"/>
                <w:sz w:val="22"/>
                <w:lang w:val="lt-LT" w:eastAsia="lt-LT"/>
              </w:rPr>
              <w:t xml:space="preserve">/Magnio oksidas, </w:t>
            </w:r>
            <w:proofErr w:type="spellStart"/>
            <w:r w:rsidRPr="00E4412C">
              <w:rPr>
                <w:rFonts w:eastAsia="Times New Roman" w:cs="Times New Roman"/>
                <w:color w:val="000000"/>
                <w:sz w:val="22"/>
                <w:lang w:val="lt-LT" w:eastAsia="lt-LT"/>
              </w:rPr>
              <w:t>Omeprazolas</w:t>
            </w:r>
            <w:proofErr w:type="spellEnd"/>
            <w:r w:rsidRPr="00E4412C">
              <w:rPr>
                <w:rFonts w:eastAsia="Times New Roman" w:cs="Times New Roman"/>
                <w:color w:val="000000"/>
                <w:sz w:val="22"/>
                <w:lang w:val="lt-LT" w:eastAsia="lt-LT"/>
              </w:rPr>
              <w:t xml:space="preserve">,  lengvasis/Citrinų rūgštis, </w:t>
            </w:r>
            <w:proofErr w:type="spellStart"/>
            <w:r w:rsidRPr="00E4412C">
              <w:rPr>
                <w:rFonts w:eastAsia="Times New Roman" w:cs="Times New Roman"/>
                <w:color w:val="000000"/>
                <w:sz w:val="22"/>
                <w:lang w:val="lt-LT" w:eastAsia="lt-LT"/>
              </w:rPr>
              <w:t>Tirzepatidas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Sulfasalazinas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Maraliksibato</w:t>
            </w:r>
            <w:proofErr w:type="spellEnd"/>
            <w:r w:rsidRPr="00E4412C">
              <w:rPr>
                <w:rFonts w:eastAsia="Times New Roman" w:cs="Times New Roman"/>
                <w:color w:val="000000"/>
                <w:sz w:val="22"/>
                <w:lang w:val="lt-LT" w:eastAsia="lt-LT"/>
              </w:rPr>
              <w:t xml:space="preserve"> chloridas, </w:t>
            </w:r>
            <w:proofErr w:type="spellStart"/>
            <w:r w:rsidRPr="00E4412C">
              <w:rPr>
                <w:rFonts w:eastAsia="Times New Roman" w:cs="Times New Roman"/>
                <w:color w:val="000000"/>
                <w:sz w:val="22"/>
                <w:lang w:val="lt-LT" w:eastAsia="lt-LT"/>
              </w:rPr>
              <w:t>Mesalazinas</w:t>
            </w:r>
            <w:proofErr w:type="spellEnd"/>
          </w:p>
        </w:tc>
        <w:tc>
          <w:tcPr>
            <w:tcW w:w="3640" w:type="dxa"/>
            <w:tcBorders>
              <w:top w:val="nil"/>
              <w:left w:val="nil"/>
              <w:bottom w:val="single" w:sz="4" w:space="0" w:color="auto"/>
              <w:right w:val="single" w:sz="4" w:space="0" w:color="auto"/>
            </w:tcBorders>
            <w:vAlign w:val="center"/>
            <w:hideMark/>
          </w:tcPr>
          <w:p w14:paraId="091CBF9A" w14:textId="77777777" w:rsidR="0058074B" w:rsidRPr="00E4412C" w:rsidRDefault="0058074B" w:rsidP="0058074B">
            <w:pPr>
              <w:spacing w:after="0"/>
              <w:rPr>
                <w:rFonts w:eastAsia="Times New Roman" w:cs="Times New Roman"/>
                <w:color w:val="000000"/>
                <w:sz w:val="22"/>
                <w:lang w:val="lt-LT" w:eastAsia="lt-LT"/>
              </w:rPr>
            </w:pPr>
            <w:r w:rsidRPr="00E4412C">
              <w:rPr>
                <w:rFonts w:eastAsia="Times New Roman" w:cs="Times New Roman"/>
                <w:color w:val="000000"/>
                <w:sz w:val="22"/>
                <w:lang w:val="lt-LT" w:eastAsia="lt-LT"/>
              </w:rPr>
              <w:t>Hipoglikemija, poveikis vaisiui ir motinai nėštumo metu, kvėpavimo sutrikimas, bendras fizinės sveikatos būklės blogėjimas, kraujotakos sutrikimai</w:t>
            </w:r>
          </w:p>
        </w:tc>
      </w:tr>
      <w:tr w:rsidR="0058074B" w:rsidRPr="0058074B" w14:paraId="00193E03" w14:textId="77777777" w:rsidTr="0058074B">
        <w:trPr>
          <w:trHeight w:val="288"/>
        </w:trPr>
        <w:tc>
          <w:tcPr>
            <w:tcW w:w="9680"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2B128230" w14:textId="77777777" w:rsidR="0058074B" w:rsidRPr="0058074B" w:rsidRDefault="0058074B" w:rsidP="0058074B">
            <w:pPr>
              <w:spacing w:after="0"/>
              <w:jc w:val="center"/>
              <w:rPr>
                <w:rFonts w:eastAsia="Times New Roman" w:cs="Times New Roman"/>
                <w:sz w:val="22"/>
                <w:lang w:val="lt-LT" w:eastAsia="lt-LT"/>
              </w:rPr>
            </w:pPr>
            <w:r w:rsidRPr="0058074B">
              <w:rPr>
                <w:rFonts w:eastAsia="Times New Roman" w:cs="Times New Roman"/>
                <w:sz w:val="22"/>
                <w:lang w:val="lt-LT" w:eastAsia="lt-LT"/>
              </w:rPr>
              <w:t>Nervų sistemą veikiantys vaistai</w:t>
            </w:r>
          </w:p>
        </w:tc>
      </w:tr>
      <w:tr w:rsidR="0058074B" w:rsidRPr="0058074B" w14:paraId="534EFC55" w14:textId="77777777" w:rsidTr="0058074B">
        <w:trPr>
          <w:trHeight w:val="3804"/>
        </w:trPr>
        <w:tc>
          <w:tcPr>
            <w:tcW w:w="1100" w:type="dxa"/>
            <w:tcBorders>
              <w:top w:val="nil"/>
              <w:left w:val="single" w:sz="4" w:space="0" w:color="auto"/>
              <w:bottom w:val="single" w:sz="4" w:space="0" w:color="auto"/>
              <w:right w:val="single" w:sz="4" w:space="0" w:color="auto"/>
            </w:tcBorders>
            <w:noWrap/>
            <w:vAlign w:val="center"/>
            <w:hideMark/>
          </w:tcPr>
          <w:p w14:paraId="636CB302" w14:textId="77777777" w:rsidR="0058074B" w:rsidRPr="00E4412C" w:rsidRDefault="0058074B" w:rsidP="0058074B">
            <w:pPr>
              <w:spacing w:after="0"/>
              <w:jc w:val="center"/>
              <w:rPr>
                <w:rFonts w:eastAsia="Times New Roman" w:cs="Times New Roman"/>
                <w:color w:val="000000"/>
                <w:sz w:val="22"/>
                <w:lang w:val="lt-LT" w:eastAsia="lt-LT"/>
              </w:rPr>
            </w:pPr>
            <w:r w:rsidRPr="00E4412C">
              <w:rPr>
                <w:rFonts w:eastAsia="Times New Roman" w:cs="Times New Roman"/>
                <w:color w:val="000000"/>
                <w:sz w:val="22"/>
                <w:lang w:val="lt-LT" w:eastAsia="lt-LT"/>
              </w:rPr>
              <w:lastRenderedPageBreak/>
              <w:t>35</w:t>
            </w:r>
          </w:p>
        </w:tc>
        <w:tc>
          <w:tcPr>
            <w:tcW w:w="4940" w:type="dxa"/>
            <w:tcBorders>
              <w:top w:val="nil"/>
              <w:left w:val="nil"/>
              <w:bottom w:val="single" w:sz="4" w:space="0" w:color="auto"/>
              <w:right w:val="single" w:sz="4" w:space="0" w:color="auto"/>
            </w:tcBorders>
            <w:vAlign w:val="center"/>
            <w:hideMark/>
          </w:tcPr>
          <w:p w14:paraId="5C1C3D3A" w14:textId="77777777" w:rsidR="0058074B" w:rsidRPr="00E4412C" w:rsidRDefault="0058074B" w:rsidP="0058074B">
            <w:pPr>
              <w:spacing w:after="0"/>
              <w:rPr>
                <w:rFonts w:eastAsia="Times New Roman" w:cs="Times New Roman"/>
                <w:color w:val="000000"/>
                <w:sz w:val="22"/>
                <w:lang w:val="lt-LT" w:eastAsia="lt-LT"/>
              </w:rPr>
            </w:pPr>
            <w:proofErr w:type="spellStart"/>
            <w:r w:rsidRPr="00E4412C">
              <w:rPr>
                <w:rFonts w:eastAsia="Times New Roman" w:cs="Times New Roman"/>
                <w:color w:val="000000"/>
                <w:sz w:val="22"/>
                <w:lang w:val="lt-LT" w:eastAsia="lt-LT"/>
              </w:rPr>
              <w:t>Haloperidolis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Triheksifenidilio</w:t>
            </w:r>
            <w:proofErr w:type="spellEnd"/>
            <w:r w:rsidRPr="00E4412C">
              <w:rPr>
                <w:rFonts w:eastAsia="Times New Roman" w:cs="Times New Roman"/>
                <w:color w:val="000000"/>
                <w:sz w:val="22"/>
                <w:lang w:val="lt-LT" w:eastAsia="lt-LT"/>
              </w:rPr>
              <w:t xml:space="preserve"> hidrochloridas, </w:t>
            </w:r>
            <w:proofErr w:type="spellStart"/>
            <w:r w:rsidRPr="00E4412C">
              <w:rPr>
                <w:rFonts w:eastAsia="Times New Roman" w:cs="Times New Roman"/>
                <w:color w:val="000000"/>
                <w:sz w:val="22"/>
                <w:lang w:val="lt-LT" w:eastAsia="lt-LT"/>
              </w:rPr>
              <w:t>Diazepamas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Olanzapinas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Escitalopramas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Kvetiapinas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Neostigmino</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metilsulfatas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Disulfiramas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Paracetamolis</w:t>
            </w:r>
            <w:proofErr w:type="spellEnd"/>
            <w:r w:rsidRPr="00E4412C">
              <w:rPr>
                <w:rFonts w:eastAsia="Times New Roman" w:cs="Times New Roman"/>
                <w:color w:val="000000"/>
                <w:sz w:val="22"/>
                <w:lang w:val="lt-LT" w:eastAsia="lt-LT"/>
              </w:rPr>
              <w:t>/</w:t>
            </w:r>
            <w:proofErr w:type="spellStart"/>
            <w:r w:rsidRPr="00E4412C">
              <w:rPr>
                <w:rFonts w:eastAsia="Times New Roman" w:cs="Times New Roman"/>
                <w:color w:val="000000"/>
                <w:sz w:val="22"/>
                <w:lang w:val="lt-LT" w:eastAsia="lt-LT"/>
              </w:rPr>
              <w:t>Pseudoefedrino</w:t>
            </w:r>
            <w:proofErr w:type="spellEnd"/>
            <w:r w:rsidRPr="00E4412C">
              <w:rPr>
                <w:rFonts w:eastAsia="Times New Roman" w:cs="Times New Roman"/>
                <w:color w:val="000000"/>
                <w:sz w:val="22"/>
                <w:lang w:val="lt-LT" w:eastAsia="lt-LT"/>
              </w:rPr>
              <w:t xml:space="preserve"> hidrochloridas/</w:t>
            </w:r>
            <w:proofErr w:type="spellStart"/>
            <w:r w:rsidRPr="00E4412C">
              <w:rPr>
                <w:rFonts w:eastAsia="Times New Roman" w:cs="Times New Roman"/>
                <w:color w:val="000000"/>
                <w:sz w:val="22"/>
                <w:lang w:val="lt-LT" w:eastAsia="lt-LT"/>
              </w:rPr>
              <w:t>Dekstrometorfano</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hidrobromidas</w:t>
            </w:r>
            <w:proofErr w:type="spellEnd"/>
            <w:r w:rsidRPr="00E4412C">
              <w:rPr>
                <w:rFonts w:eastAsia="Times New Roman" w:cs="Times New Roman"/>
                <w:color w:val="000000"/>
                <w:sz w:val="22"/>
                <w:lang w:val="lt-LT" w:eastAsia="lt-LT"/>
              </w:rPr>
              <w:t>/</w:t>
            </w:r>
            <w:proofErr w:type="spellStart"/>
            <w:r w:rsidRPr="00E4412C">
              <w:rPr>
                <w:rFonts w:eastAsia="Times New Roman" w:cs="Times New Roman"/>
                <w:color w:val="000000"/>
                <w:sz w:val="22"/>
                <w:lang w:val="lt-LT" w:eastAsia="lt-LT"/>
              </w:rPr>
              <w:t>Chlorfenamino</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maleatas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Esketaminas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Atogepantas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Metilfenidato</w:t>
            </w:r>
            <w:proofErr w:type="spellEnd"/>
            <w:r w:rsidRPr="00E4412C">
              <w:rPr>
                <w:rFonts w:eastAsia="Times New Roman" w:cs="Times New Roman"/>
                <w:color w:val="000000"/>
                <w:sz w:val="22"/>
                <w:lang w:val="lt-LT" w:eastAsia="lt-LT"/>
              </w:rPr>
              <w:t xml:space="preserve"> hidrochloridas, </w:t>
            </w:r>
            <w:proofErr w:type="spellStart"/>
            <w:r w:rsidRPr="00E4412C">
              <w:rPr>
                <w:rFonts w:eastAsia="Times New Roman" w:cs="Times New Roman"/>
                <w:color w:val="000000"/>
                <w:sz w:val="22"/>
                <w:lang w:val="lt-LT" w:eastAsia="lt-LT"/>
              </w:rPr>
              <w:t>Propofolis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Bupropiono</w:t>
            </w:r>
            <w:proofErr w:type="spellEnd"/>
            <w:r w:rsidRPr="00E4412C">
              <w:rPr>
                <w:rFonts w:eastAsia="Times New Roman" w:cs="Times New Roman"/>
                <w:color w:val="000000"/>
                <w:sz w:val="22"/>
                <w:lang w:val="lt-LT" w:eastAsia="lt-LT"/>
              </w:rPr>
              <w:t xml:space="preserve"> hidrochloridas, </w:t>
            </w:r>
            <w:proofErr w:type="spellStart"/>
            <w:r w:rsidRPr="00E4412C">
              <w:rPr>
                <w:rFonts w:eastAsia="Times New Roman" w:cs="Times New Roman"/>
                <w:color w:val="000000"/>
                <w:sz w:val="22"/>
                <w:lang w:val="lt-LT" w:eastAsia="lt-LT"/>
              </w:rPr>
              <w:t>Levetiracetamas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Bupivakainas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Levomepromazinas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Paracetamolis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Fremanezumabas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Alprazolamas</w:t>
            </w:r>
            <w:proofErr w:type="spellEnd"/>
            <w:r w:rsidRPr="00E4412C">
              <w:rPr>
                <w:rFonts w:eastAsia="Times New Roman" w:cs="Times New Roman"/>
                <w:color w:val="000000"/>
                <w:sz w:val="22"/>
                <w:lang w:val="lt-LT" w:eastAsia="lt-LT"/>
              </w:rPr>
              <w:t xml:space="preserve">, Natrio </w:t>
            </w:r>
            <w:proofErr w:type="spellStart"/>
            <w:r w:rsidRPr="00E4412C">
              <w:rPr>
                <w:rFonts w:eastAsia="Times New Roman" w:cs="Times New Roman"/>
                <w:color w:val="000000"/>
                <w:sz w:val="22"/>
                <w:lang w:val="lt-LT" w:eastAsia="lt-LT"/>
              </w:rPr>
              <w:t>valproatas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Zolpidemas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Karbamazepinas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Zuklopentiksolio</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dekanoatas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Remimazolamas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Lidokainas</w:t>
            </w:r>
            <w:proofErr w:type="spellEnd"/>
          </w:p>
        </w:tc>
        <w:tc>
          <w:tcPr>
            <w:tcW w:w="3640" w:type="dxa"/>
            <w:tcBorders>
              <w:top w:val="nil"/>
              <w:left w:val="nil"/>
              <w:bottom w:val="single" w:sz="4" w:space="0" w:color="auto"/>
              <w:right w:val="single" w:sz="4" w:space="0" w:color="auto"/>
            </w:tcBorders>
            <w:vAlign w:val="center"/>
            <w:hideMark/>
          </w:tcPr>
          <w:p w14:paraId="4265B7F5" w14:textId="77777777" w:rsidR="0058074B" w:rsidRPr="00E4412C" w:rsidRDefault="0058074B" w:rsidP="0058074B">
            <w:pPr>
              <w:spacing w:after="0"/>
              <w:rPr>
                <w:rFonts w:eastAsia="Times New Roman" w:cs="Times New Roman"/>
                <w:color w:val="000000"/>
                <w:sz w:val="22"/>
                <w:lang w:val="lt-LT" w:eastAsia="lt-LT"/>
              </w:rPr>
            </w:pPr>
            <w:r w:rsidRPr="00E4412C">
              <w:rPr>
                <w:rFonts w:eastAsia="Times New Roman" w:cs="Times New Roman"/>
                <w:color w:val="000000"/>
                <w:sz w:val="22"/>
                <w:lang w:val="lt-LT" w:eastAsia="lt-LT"/>
              </w:rPr>
              <w:t xml:space="preserve">Sąmonės praradimas, sąmonės sutrikimas, tyčinis perdozavimas </w:t>
            </w:r>
            <w:proofErr w:type="spellStart"/>
            <w:r w:rsidRPr="00E4412C">
              <w:rPr>
                <w:rFonts w:eastAsia="Times New Roman" w:cs="Times New Roman"/>
                <w:color w:val="000000"/>
                <w:sz w:val="22"/>
                <w:lang w:val="lt-LT" w:eastAsia="lt-LT"/>
              </w:rPr>
              <w:t>suicido</w:t>
            </w:r>
            <w:proofErr w:type="spellEnd"/>
            <w:r w:rsidRPr="00E4412C">
              <w:rPr>
                <w:rFonts w:eastAsia="Times New Roman" w:cs="Times New Roman"/>
                <w:color w:val="000000"/>
                <w:sz w:val="22"/>
                <w:lang w:val="lt-LT" w:eastAsia="lt-LT"/>
              </w:rPr>
              <w:t xml:space="preserve"> tikslu, miego sutrikimas, haliucinacijos, kvėpavimo sutrikimas, kraujo spaudimo sutrikimai</w:t>
            </w:r>
          </w:p>
        </w:tc>
      </w:tr>
      <w:tr w:rsidR="0058074B" w:rsidRPr="0058074B" w14:paraId="7DDBB219" w14:textId="77777777" w:rsidTr="0058074B">
        <w:trPr>
          <w:trHeight w:val="288"/>
        </w:trPr>
        <w:tc>
          <w:tcPr>
            <w:tcW w:w="9680"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183329EA" w14:textId="77777777" w:rsidR="0058074B" w:rsidRPr="0058074B" w:rsidRDefault="0058074B" w:rsidP="0058074B">
            <w:pPr>
              <w:spacing w:after="0"/>
              <w:jc w:val="center"/>
              <w:rPr>
                <w:rFonts w:eastAsia="Times New Roman" w:cs="Times New Roman"/>
                <w:color w:val="000000"/>
                <w:sz w:val="22"/>
                <w:lang w:val="lt-LT" w:eastAsia="lt-LT"/>
              </w:rPr>
            </w:pPr>
            <w:proofErr w:type="spellStart"/>
            <w:r w:rsidRPr="0058074B">
              <w:rPr>
                <w:rFonts w:eastAsia="Times New Roman" w:cs="Times New Roman"/>
                <w:color w:val="000000"/>
                <w:sz w:val="22"/>
                <w:lang w:val="lt-LT" w:eastAsia="lt-LT"/>
              </w:rPr>
              <w:t>Antinavikiniai</w:t>
            </w:r>
            <w:proofErr w:type="spellEnd"/>
            <w:r w:rsidRPr="0058074B">
              <w:rPr>
                <w:rFonts w:eastAsia="Times New Roman" w:cs="Times New Roman"/>
                <w:color w:val="000000"/>
                <w:sz w:val="22"/>
                <w:lang w:val="lt-LT" w:eastAsia="lt-LT"/>
              </w:rPr>
              <w:t xml:space="preserve"> vaistai ir </w:t>
            </w:r>
            <w:proofErr w:type="spellStart"/>
            <w:r w:rsidRPr="0058074B">
              <w:rPr>
                <w:rFonts w:eastAsia="Times New Roman" w:cs="Times New Roman"/>
                <w:color w:val="000000"/>
                <w:sz w:val="22"/>
                <w:lang w:val="lt-LT" w:eastAsia="lt-LT"/>
              </w:rPr>
              <w:t>imunomoduliatoriai</w:t>
            </w:r>
            <w:proofErr w:type="spellEnd"/>
          </w:p>
        </w:tc>
      </w:tr>
      <w:tr w:rsidR="0058074B" w:rsidRPr="0058074B" w14:paraId="37E49A21" w14:textId="77777777" w:rsidTr="0058074B">
        <w:trPr>
          <w:trHeight w:val="4560"/>
        </w:trPr>
        <w:tc>
          <w:tcPr>
            <w:tcW w:w="1100" w:type="dxa"/>
            <w:tcBorders>
              <w:top w:val="nil"/>
              <w:left w:val="single" w:sz="4" w:space="0" w:color="auto"/>
              <w:bottom w:val="single" w:sz="4" w:space="0" w:color="auto"/>
              <w:right w:val="single" w:sz="4" w:space="0" w:color="auto"/>
            </w:tcBorders>
            <w:noWrap/>
            <w:vAlign w:val="center"/>
            <w:hideMark/>
          </w:tcPr>
          <w:p w14:paraId="704C5CD8" w14:textId="77777777" w:rsidR="0058074B" w:rsidRPr="00E4412C" w:rsidRDefault="0058074B" w:rsidP="0058074B">
            <w:pPr>
              <w:spacing w:after="0"/>
              <w:jc w:val="center"/>
              <w:rPr>
                <w:rFonts w:eastAsia="Times New Roman" w:cs="Times New Roman"/>
                <w:color w:val="000000"/>
                <w:sz w:val="22"/>
                <w:lang w:val="lt-LT" w:eastAsia="lt-LT"/>
              </w:rPr>
            </w:pPr>
            <w:r w:rsidRPr="00E4412C">
              <w:rPr>
                <w:rFonts w:eastAsia="Times New Roman" w:cs="Times New Roman"/>
                <w:color w:val="000000"/>
                <w:sz w:val="22"/>
                <w:lang w:val="lt-LT" w:eastAsia="lt-LT"/>
              </w:rPr>
              <w:t>94</w:t>
            </w:r>
          </w:p>
        </w:tc>
        <w:tc>
          <w:tcPr>
            <w:tcW w:w="4940" w:type="dxa"/>
            <w:tcBorders>
              <w:top w:val="nil"/>
              <w:left w:val="nil"/>
              <w:bottom w:val="single" w:sz="4" w:space="0" w:color="auto"/>
              <w:right w:val="single" w:sz="4" w:space="0" w:color="auto"/>
            </w:tcBorders>
            <w:vAlign w:val="center"/>
            <w:hideMark/>
          </w:tcPr>
          <w:p w14:paraId="3C92BCBC" w14:textId="77777777" w:rsidR="0058074B" w:rsidRPr="00E4412C" w:rsidRDefault="0058074B" w:rsidP="0058074B">
            <w:pPr>
              <w:spacing w:after="0"/>
              <w:rPr>
                <w:rFonts w:eastAsia="Times New Roman" w:cs="Times New Roman"/>
                <w:color w:val="333333"/>
                <w:sz w:val="22"/>
                <w:lang w:val="lt-LT" w:eastAsia="lt-LT"/>
              </w:rPr>
            </w:pPr>
            <w:proofErr w:type="spellStart"/>
            <w:r w:rsidRPr="00E4412C">
              <w:rPr>
                <w:rFonts w:eastAsia="Times New Roman" w:cs="Times New Roman"/>
                <w:color w:val="333333"/>
                <w:sz w:val="22"/>
                <w:lang w:val="lt-LT" w:eastAsia="lt-LT"/>
              </w:rPr>
              <w:t>Tofacitinibas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Pembrolizumabas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Ibrutinibas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Palbociklibas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Oksaliplatina</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Azatioprinas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Venetoklaksas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Upadacitinibas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Ribociklibas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Rituksimabas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Inavolisibas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Abemaciklibas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Lenvatinibas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Bevacizumabas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Nivolumabas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Kabozantinibas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Cisplatina</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Metotreksatas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Merkaptopurinas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Darolutamidas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Trastuzumabas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derukstekanas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Adalimumabas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Vinkristinas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Ciklosporinas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Ciklofosfamidas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Busulfanas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Olaparibas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Temozolomidas</w:t>
            </w:r>
            <w:proofErr w:type="spellEnd"/>
            <w:r w:rsidRPr="00E4412C">
              <w:rPr>
                <w:rFonts w:eastAsia="Times New Roman" w:cs="Times New Roman"/>
                <w:color w:val="333333"/>
                <w:sz w:val="22"/>
                <w:lang w:val="lt-LT" w:eastAsia="lt-LT"/>
              </w:rPr>
              <w:t xml:space="preserve">, Tocilizumabas, </w:t>
            </w:r>
            <w:proofErr w:type="spellStart"/>
            <w:r w:rsidRPr="00E4412C">
              <w:rPr>
                <w:rFonts w:eastAsia="Times New Roman" w:cs="Times New Roman"/>
                <w:color w:val="333333"/>
                <w:sz w:val="22"/>
                <w:lang w:val="lt-LT" w:eastAsia="lt-LT"/>
              </w:rPr>
              <w:t>Ruksolitinibas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Takrolimuzas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Ramucirumabas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Avelumabas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Fluorouracilas</w:t>
            </w:r>
            <w:proofErr w:type="spellEnd"/>
            <w:r w:rsidRPr="00E4412C">
              <w:rPr>
                <w:rFonts w:eastAsia="Times New Roman" w:cs="Times New Roman"/>
                <w:color w:val="333333"/>
                <w:sz w:val="22"/>
                <w:lang w:val="lt-LT" w:eastAsia="lt-LT"/>
              </w:rPr>
              <w:t xml:space="preserve">, Interferonas Beta - 1b, </w:t>
            </w:r>
            <w:proofErr w:type="spellStart"/>
            <w:r w:rsidRPr="00E4412C">
              <w:rPr>
                <w:rFonts w:eastAsia="Times New Roman" w:cs="Times New Roman"/>
                <w:color w:val="333333"/>
                <w:sz w:val="22"/>
                <w:lang w:val="lt-LT" w:eastAsia="lt-LT"/>
              </w:rPr>
              <w:t>Daratumumabas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Baricitinibas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Azatioprinas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Sacituzumabas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govitekanas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Ipilimumabas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Teriflunomidas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Alektinibas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Guselkumabas</w:t>
            </w:r>
            <w:proofErr w:type="spellEnd"/>
            <w:r w:rsidRPr="00E4412C">
              <w:rPr>
                <w:rFonts w:eastAsia="Times New Roman" w:cs="Times New Roman"/>
                <w:color w:val="333333"/>
                <w:sz w:val="22"/>
                <w:lang w:val="lt-LT" w:eastAsia="lt-LT"/>
              </w:rPr>
              <w:t xml:space="preserve">, </w:t>
            </w:r>
            <w:proofErr w:type="spellStart"/>
            <w:r w:rsidRPr="00E4412C">
              <w:rPr>
                <w:rFonts w:eastAsia="Times New Roman" w:cs="Times New Roman"/>
                <w:color w:val="333333"/>
                <w:sz w:val="22"/>
                <w:lang w:val="lt-LT" w:eastAsia="lt-LT"/>
              </w:rPr>
              <w:t>Lorlatinibas</w:t>
            </w:r>
            <w:proofErr w:type="spellEnd"/>
          </w:p>
        </w:tc>
        <w:tc>
          <w:tcPr>
            <w:tcW w:w="3640" w:type="dxa"/>
            <w:tcBorders>
              <w:top w:val="nil"/>
              <w:left w:val="nil"/>
              <w:bottom w:val="single" w:sz="4" w:space="0" w:color="auto"/>
              <w:right w:val="single" w:sz="4" w:space="0" w:color="auto"/>
            </w:tcBorders>
            <w:vAlign w:val="center"/>
            <w:hideMark/>
          </w:tcPr>
          <w:p w14:paraId="645F5249" w14:textId="77777777" w:rsidR="0058074B" w:rsidRPr="00E4412C" w:rsidRDefault="0058074B" w:rsidP="0058074B">
            <w:pPr>
              <w:spacing w:after="0"/>
              <w:rPr>
                <w:rFonts w:eastAsia="Times New Roman" w:cs="Times New Roman"/>
                <w:color w:val="000000"/>
                <w:sz w:val="22"/>
                <w:lang w:val="lt-LT" w:eastAsia="lt-LT"/>
              </w:rPr>
            </w:pPr>
            <w:proofErr w:type="spellStart"/>
            <w:r w:rsidRPr="00E4412C">
              <w:rPr>
                <w:rFonts w:eastAsia="Times New Roman" w:cs="Times New Roman"/>
                <w:color w:val="000000"/>
                <w:sz w:val="22"/>
                <w:lang w:val="lt-LT" w:eastAsia="lt-LT"/>
              </w:rPr>
              <w:t>Trombocitopenija</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neutropenija</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pancitopenija</w:t>
            </w:r>
            <w:proofErr w:type="spellEnd"/>
            <w:r w:rsidRPr="00E4412C">
              <w:rPr>
                <w:rFonts w:eastAsia="Times New Roman" w:cs="Times New Roman"/>
                <w:color w:val="000000"/>
                <w:sz w:val="22"/>
                <w:lang w:val="lt-LT" w:eastAsia="lt-LT"/>
              </w:rPr>
              <w:t>, imuninės sistemos sutrikimai, anemija, kepenų fermentų padidėjimas,  hepatitas,  piktybinio naviko progresavimas, ligos progresavimas, vaisto efektyvumo stoka, įvairios virusinės infekcijos, odos alerginės reakcijos</w:t>
            </w:r>
          </w:p>
        </w:tc>
      </w:tr>
      <w:tr w:rsidR="0058074B" w:rsidRPr="0058074B" w14:paraId="21A6CEB1" w14:textId="77777777" w:rsidTr="0058074B">
        <w:trPr>
          <w:trHeight w:val="288"/>
        </w:trPr>
        <w:tc>
          <w:tcPr>
            <w:tcW w:w="9680"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57F9B522" w14:textId="77777777" w:rsidR="0058074B" w:rsidRPr="0058074B" w:rsidRDefault="0058074B" w:rsidP="0058074B">
            <w:pPr>
              <w:spacing w:after="0"/>
              <w:jc w:val="center"/>
              <w:rPr>
                <w:rFonts w:eastAsia="Times New Roman" w:cs="Times New Roman"/>
                <w:color w:val="000000"/>
                <w:sz w:val="22"/>
                <w:lang w:val="lt-LT" w:eastAsia="lt-LT"/>
              </w:rPr>
            </w:pPr>
            <w:r w:rsidRPr="0058074B">
              <w:rPr>
                <w:rFonts w:eastAsia="Times New Roman" w:cs="Times New Roman"/>
                <w:color w:val="000000"/>
                <w:sz w:val="22"/>
                <w:lang w:val="lt-LT" w:eastAsia="lt-LT"/>
              </w:rPr>
              <w:t xml:space="preserve">Kraują ir </w:t>
            </w:r>
            <w:proofErr w:type="spellStart"/>
            <w:r w:rsidRPr="0058074B">
              <w:rPr>
                <w:rFonts w:eastAsia="Times New Roman" w:cs="Times New Roman"/>
                <w:color w:val="000000"/>
                <w:sz w:val="22"/>
                <w:lang w:val="lt-LT" w:eastAsia="lt-LT"/>
              </w:rPr>
              <w:t>kraujodarą</w:t>
            </w:r>
            <w:proofErr w:type="spellEnd"/>
            <w:r w:rsidRPr="0058074B">
              <w:rPr>
                <w:rFonts w:eastAsia="Times New Roman" w:cs="Times New Roman"/>
                <w:color w:val="000000"/>
                <w:sz w:val="22"/>
                <w:lang w:val="lt-LT" w:eastAsia="lt-LT"/>
              </w:rPr>
              <w:t xml:space="preserve"> veikiantys vaistai</w:t>
            </w:r>
          </w:p>
        </w:tc>
      </w:tr>
      <w:tr w:rsidR="0058074B" w:rsidRPr="0058074B" w14:paraId="42BA1120" w14:textId="77777777" w:rsidTr="0058074B">
        <w:trPr>
          <w:trHeight w:val="972"/>
        </w:trPr>
        <w:tc>
          <w:tcPr>
            <w:tcW w:w="1100" w:type="dxa"/>
            <w:tcBorders>
              <w:top w:val="nil"/>
              <w:left w:val="single" w:sz="4" w:space="0" w:color="auto"/>
              <w:bottom w:val="single" w:sz="4" w:space="0" w:color="auto"/>
              <w:right w:val="single" w:sz="4" w:space="0" w:color="auto"/>
            </w:tcBorders>
            <w:noWrap/>
            <w:vAlign w:val="center"/>
            <w:hideMark/>
          </w:tcPr>
          <w:p w14:paraId="17542103" w14:textId="77777777" w:rsidR="0058074B" w:rsidRPr="00E4412C" w:rsidRDefault="0058074B" w:rsidP="0058074B">
            <w:pPr>
              <w:spacing w:after="0"/>
              <w:jc w:val="center"/>
              <w:rPr>
                <w:rFonts w:eastAsia="Times New Roman" w:cs="Times New Roman"/>
                <w:color w:val="000000"/>
                <w:sz w:val="22"/>
                <w:lang w:val="lt-LT" w:eastAsia="lt-LT"/>
              </w:rPr>
            </w:pPr>
            <w:r w:rsidRPr="00E4412C">
              <w:rPr>
                <w:rFonts w:eastAsia="Times New Roman" w:cs="Times New Roman"/>
                <w:color w:val="000000"/>
                <w:sz w:val="22"/>
                <w:lang w:val="lt-LT" w:eastAsia="lt-LT"/>
              </w:rPr>
              <w:t>29</w:t>
            </w:r>
          </w:p>
        </w:tc>
        <w:tc>
          <w:tcPr>
            <w:tcW w:w="4940" w:type="dxa"/>
            <w:tcBorders>
              <w:top w:val="nil"/>
              <w:left w:val="nil"/>
              <w:bottom w:val="single" w:sz="4" w:space="0" w:color="auto"/>
              <w:right w:val="single" w:sz="4" w:space="0" w:color="auto"/>
            </w:tcBorders>
            <w:vAlign w:val="center"/>
            <w:hideMark/>
          </w:tcPr>
          <w:p w14:paraId="11833939" w14:textId="77777777" w:rsidR="0058074B" w:rsidRPr="00E4412C" w:rsidRDefault="0058074B" w:rsidP="0058074B">
            <w:pPr>
              <w:spacing w:after="0"/>
              <w:rPr>
                <w:rFonts w:eastAsia="Times New Roman" w:cs="Times New Roman"/>
                <w:color w:val="000000"/>
                <w:sz w:val="22"/>
                <w:lang w:val="lt-LT" w:eastAsia="lt-LT"/>
              </w:rPr>
            </w:pPr>
            <w:proofErr w:type="spellStart"/>
            <w:r w:rsidRPr="00E4412C">
              <w:rPr>
                <w:rFonts w:eastAsia="Times New Roman" w:cs="Times New Roman"/>
                <w:color w:val="000000"/>
                <w:sz w:val="22"/>
                <w:lang w:val="lt-LT" w:eastAsia="lt-LT"/>
              </w:rPr>
              <w:t>Apiksabanas</w:t>
            </w:r>
            <w:proofErr w:type="spellEnd"/>
            <w:r w:rsidRPr="00E4412C">
              <w:rPr>
                <w:rFonts w:eastAsia="Times New Roman" w:cs="Times New Roman"/>
                <w:color w:val="000000"/>
                <w:sz w:val="22"/>
                <w:lang w:val="lt-LT" w:eastAsia="lt-LT"/>
              </w:rPr>
              <w:t xml:space="preserve">, Geležis, </w:t>
            </w:r>
            <w:proofErr w:type="spellStart"/>
            <w:r w:rsidRPr="00E4412C">
              <w:rPr>
                <w:rFonts w:eastAsia="Times New Roman" w:cs="Times New Roman"/>
                <w:color w:val="000000"/>
                <w:sz w:val="22"/>
                <w:lang w:val="lt-LT" w:eastAsia="lt-LT"/>
              </w:rPr>
              <w:t>Seleksipagas</w:t>
            </w:r>
            <w:proofErr w:type="spellEnd"/>
            <w:r w:rsidRPr="00E4412C">
              <w:rPr>
                <w:rFonts w:eastAsia="Times New Roman" w:cs="Times New Roman"/>
                <w:color w:val="000000"/>
                <w:sz w:val="22"/>
                <w:lang w:val="lt-LT" w:eastAsia="lt-LT"/>
              </w:rPr>
              <w:t xml:space="preserve">, Varfarinas, </w:t>
            </w:r>
            <w:proofErr w:type="spellStart"/>
            <w:r w:rsidRPr="00E4412C">
              <w:rPr>
                <w:rFonts w:eastAsia="Times New Roman" w:cs="Times New Roman"/>
                <w:color w:val="000000"/>
                <w:sz w:val="22"/>
                <w:lang w:val="lt-LT" w:eastAsia="lt-LT"/>
              </w:rPr>
              <w:t>Nadroparinas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Bemiparino</w:t>
            </w:r>
            <w:proofErr w:type="spellEnd"/>
            <w:r w:rsidRPr="00E4412C">
              <w:rPr>
                <w:rFonts w:eastAsia="Times New Roman" w:cs="Times New Roman"/>
                <w:color w:val="000000"/>
                <w:sz w:val="22"/>
                <w:lang w:val="lt-LT" w:eastAsia="lt-LT"/>
              </w:rPr>
              <w:t xml:space="preserve"> natrio druska, </w:t>
            </w:r>
            <w:proofErr w:type="spellStart"/>
            <w:r w:rsidRPr="00E4412C">
              <w:rPr>
                <w:rFonts w:eastAsia="Times New Roman" w:cs="Times New Roman"/>
                <w:color w:val="000000"/>
                <w:sz w:val="22"/>
                <w:lang w:val="lt-LT" w:eastAsia="lt-LT"/>
              </w:rPr>
              <w:t>Acetilsalicilo</w:t>
            </w:r>
            <w:proofErr w:type="spellEnd"/>
            <w:r w:rsidRPr="00E4412C">
              <w:rPr>
                <w:rFonts w:eastAsia="Times New Roman" w:cs="Times New Roman"/>
                <w:color w:val="000000"/>
                <w:sz w:val="22"/>
                <w:lang w:val="lt-LT" w:eastAsia="lt-LT"/>
              </w:rPr>
              <w:t xml:space="preserve"> rūgštis, </w:t>
            </w:r>
            <w:proofErr w:type="spellStart"/>
            <w:r w:rsidRPr="00E4412C">
              <w:rPr>
                <w:rFonts w:eastAsia="Times New Roman" w:cs="Times New Roman"/>
                <w:color w:val="000000"/>
                <w:sz w:val="22"/>
                <w:lang w:val="lt-LT" w:eastAsia="lt-LT"/>
              </w:rPr>
              <w:t>Rivaroksabanas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Tikagreloras</w:t>
            </w:r>
            <w:proofErr w:type="spellEnd"/>
          </w:p>
        </w:tc>
        <w:tc>
          <w:tcPr>
            <w:tcW w:w="3640" w:type="dxa"/>
            <w:tcBorders>
              <w:top w:val="nil"/>
              <w:left w:val="nil"/>
              <w:bottom w:val="single" w:sz="4" w:space="0" w:color="auto"/>
              <w:right w:val="single" w:sz="4" w:space="0" w:color="auto"/>
            </w:tcBorders>
            <w:vAlign w:val="center"/>
            <w:hideMark/>
          </w:tcPr>
          <w:p w14:paraId="7236FDF8" w14:textId="77777777" w:rsidR="0058074B" w:rsidRPr="00E4412C" w:rsidRDefault="0058074B" w:rsidP="0058074B">
            <w:pPr>
              <w:spacing w:after="0"/>
              <w:rPr>
                <w:rFonts w:eastAsia="Times New Roman" w:cs="Times New Roman"/>
                <w:color w:val="000000"/>
                <w:sz w:val="22"/>
                <w:lang w:val="lt-LT" w:eastAsia="lt-LT"/>
              </w:rPr>
            </w:pPr>
            <w:r w:rsidRPr="00E4412C">
              <w:rPr>
                <w:rFonts w:eastAsia="Times New Roman" w:cs="Times New Roman"/>
                <w:color w:val="000000"/>
                <w:sz w:val="22"/>
                <w:lang w:val="lt-LT" w:eastAsia="lt-LT"/>
              </w:rPr>
              <w:t>Kraujavimas (</w:t>
            </w:r>
            <w:proofErr w:type="spellStart"/>
            <w:r w:rsidRPr="00E4412C">
              <w:rPr>
                <w:rFonts w:eastAsia="Times New Roman" w:cs="Times New Roman"/>
                <w:color w:val="000000"/>
                <w:sz w:val="22"/>
                <w:lang w:val="lt-LT" w:eastAsia="lt-LT"/>
              </w:rPr>
              <w:t>virškinamąjame</w:t>
            </w:r>
            <w:proofErr w:type="spellEnd"/>
            <w:r w:rsidRPr="00E4412C">
              <w:rPr>
                <w:rFonts w:eastAsia="Times New Roman" w:cs="Times New Roman"/>
                <w:color w:val="000000"/>
                <w:sz w:val="22"/>
                <w:lang w:val="lt-LT" w:eastAsia="lt-LT"/>
              </w:rPr>
              <w:t xml:space="preserve"> trakte, šlapimo takuose, žarnyne, iš nosies), anemija, sąmonės praradimas</w:t>
            </w:r>
          </w:p>
        </w:tc>
      </w:tr>
      <w:tr w:rsidR="0058074B" w:rsidRPr="0058074B" w14:paraId="7DEC9074" w14:textId="77777777" w:rsidTr="0058074B">
        <w:trPr>
          <w:trHeight w:val="288"/>
        </w:trPr>
        <w:tc>
          <w:tcPr>
            <w:tcW w:w="9680"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772FC02E" w14:textId="77777777" w:rsidR="0058074B" w:rsidRPr="00825C36" w:rsidRDefault="0058074B" w:rsidP="0058074B">
            <w:pPr>
              <w:spacing w:after="0"/>
              <w:jc w:val="center"/>
              <w:rPr>
                <w:rFonts w:eastAsia="Times New Roman" w:cs="Times New Roman"/>
                <w:color w:val="000000"/>
                <w:sz w:val="22"/>
                <w:lang w:val="lt-LT" w:eastAsia="lt-LT"/>
              </w:rPr>
            </w:pPr>
            <w:r w:rsidRPr="00825C36">
              <w:rPr>
                <w:rFonts w:eastAsia="Times New Roman" w:cs="Times New Roman"/>
                <w:color w:val="000000"/>
                <w:sz w:val="22"/>
                <w:lang w:val="lt-LT" w:eastAsia="lt-LT"/>
              </w:rPr>
              <w:t xml:space="preserve">Sistemiškai veikiantys </w:t>
            </w:r>
            <w:proofErr w:type="spellStart"/>
            <w:r w:rsidRPr="00825C36">
              <w:rPr>
                <w:rFonts w:eastAsia="Times New Roman" w:cs="Times New Roman"/>
                <w:color w:val="000000"/>
                <w:sz w:val="22"/>
                <w:lang w:val="lt-LT" w:eastAsia="lt-LT"/>
              </w:rPr>
              <w:t>priešinfekciniai</w:t>
            </w:r>
            <w:proofErr w:type="spellEnd"/>
            <w:r w:rsidRPr="00825C36">
              <w:rPr>
                <w:rFonts w:eastAsia="Times New Roman" w:cs="Times New Roman"/>
                <w:color w:val="000000"/>
                <w:sz w:val="22"/>
                <w:lang w:val="lt-LT" w:eastAsia="lt-LT"/>
              </w:rPr>
              <w:t xml:space="preserve"> vaistai</w:t>
            </w:r>
          </w:p>
        </w:tc>
      </w:tr>
      <w:tr w:rsidR="0058074B" w:rsidRPr="0058074B" w14:paraId="0A7D563F" w14:textId="77777777" w:rsidTr="0058074B">
        <w:trPr>
          <w:trHeight w:val="1968"/>
        </w:trPr>
        <w:tc>
          <w:tcPr>
            <w:tcW w:w="1100" w:type="dxa"/>
            <w:tcBorders>
              <w:top w:val="nil"/>
              <w:left w:val="single" w:sz="4" w:space="0" w:color="auto"/>
              <w:bottom w:val="single" w:sz="4" w:space="0" w:color="auto"/>
              <w:right w:val="single" w:sz="4" w:space="0" w:color="auto"/>
            </w:tcBorders>
            <w:noWrap/>
            <w:vAlign w:val="center"/>
            <w:hideMark/>
          </w:tcPr>
          <w:p w14:paraId="776EBA22" w14:textId="77777777" w:rsidR="0058074B" w:rsidRPr="00E4412C" w:rsidRDefault="0058074B" w:rsidP="0058074B">
            <w:pPr>
              <w:spacing w:after="0"/>
              <w:jc w:val="center"/>
              <w:rPr>
                <w:rFonts w:eastAsia="Times New Roman" w:cs="Times New Roman"/>
                <w:color w:val="000000"/>
                <w:sz w:val="22"/>
                <w:lang w:val="lt-LT" w:eastAsia="lt-LT"/>
              </w:rPr>
            </w:pPr>
            <w:r w:rsidRPr="00E4412C">
              <w:rPr>
                <w:rFonts w:eastAsia="Times New Roman" w:cs="Times New Roman"/>
                <w:color w:val="000000"/>
                <w:sz w:val="22"/>
                <w:lang w:val="lt-LT" w:eastAsia="lt-LT"/>
              </w:rPr>
              <w:t>16</w:t>
            </w:r>
          </w:p>
        </w:tc>
        <w:tc>
          <w:tcPr>
            <w:tcW w:w="4940" w:type="dxa"/>
            <w:tcBorders>
              <w:top w:val="nil"/>
              <w:left w:val="nil"/>
              <w:bottom w:val="single" w:sz="4" w:space="0" w:color="auto"/>
              <w:right w:val="single" w:sz="4" w:space="0" w:color="auto"/>
            </w:tcBorders>
            <w:vAlign w:val="center"/>
            <w:hideMark/>
          </w:tcPr>
          <w:p w14:paraId="6DE79E43" w14:textId="77777777" w:rsidR="0058074B" w:rsidRPr="00E4412C" w:rsidRDefault="0058074B" w:rsidP="0058074B">
            <w:pPr>
              <w:spacing w:after="0"/>
              <w:rPr>
                <w:rFonts w:eastAsia="Times New Roman" w:cs="Times New Roman"/>
                <w:color w:val="000000"/>
                <w:sz w:val="22"/>
                <w:lang w:val="lt-LT" w:eastAsia="lt-LT"/>
              </w:rPr>
            </w:pPr>
            <w:proofErr w:type="spellStart"/>
            <w:r w:rsidRPr="00E4412C">
              <w:rPr>
                <w:rFonts w:eastAsia="Times New Roman" w:cs="Times New Roman"/>
                <w:color w:val="000000"/>
                <w:sz w:val="22"/>
                <w:lang w:val="lt-LT" w:eastAsia="lt-LT"/>
              </w:rPr>
              <w:t>Vankomicinas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Meropenemas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Nirmatrelviras</w:t>
            </w:r>
            <w:proofErr w:type="spellEnd"/>
            <w:r w:rsidRPr="00E4412C">
              <w:rPr>
                <w:rFonts w:eastAsia="Times New Roman" w:cs="Times New Roman"/>
                <w:color w:val="000000"/>
                <w:sz w:val="22"/>
                <w:lang w:val="lt-LT" w:eastAsia="lt-LT"/>
              </w:rPr>
              <w:t xml:space="preserve"> (PF-07321332)+Ritonaviras, </w:t>
            </w:r>
            <w:proofErr w:type="spellStart"/>
            <w:r w:rsidRPr="00E4412C">
              <w:rPr>
                <w:rFonts w:eastAsia="Times New Roman" w:cs="Times New Roman"/>
                <w:color w:val="000000"/>
                <w:sz w:val="22"/>
                <w:lang w:val="lt-LT" w:eastAsia="lt-LT"/>
              </w:rPr>
              <w:t>Norfloksacinas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Acikloviras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Levofloksacinas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Sofosbuviras</w:t>
            </w:r>
            <w:proofErr w:type="spellEnd"/>
            <w:r w:rsidRPr="00E4412C">
              <w:rPr>
                <w:rFonts w:eastAsia="Times New Roman" w:cs="Times New Roman"/>
                <w:color w:val="000000"/>
                <w:sz w:val="22"/>
                <w:lang w:val="lt-LT" w:eastAsia="lt-LT"/>
              </w:rPr>
              <w:t>/</w:t>
            </w:r>
            <w:proofErr w:type="spellStart"/>
            <w:r w:rsidRPr="00E4412C">
              <w:rPr>
                <w:rFonts w:eastAsia="Times New Roman" w:cs="Times New Roman"/>
                <w:color w:val="000000"/>
                <w:sz w:val="22"/>
                <w:lang w:val="lt-LT" w:eastAsia="lt-LT"/>
              </w:rPr>
              <w:t>Velpatasviras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Dolutegraviras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Oksacilinas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Benzilpenicilinas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Valgancikloviras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Amoksicilinas</w:t>
            </w:r>
            <w:proofErr w:type="spellEnd"/>
            <w:r w:rsidRPr="00E4412C">
              <w:rPr>
                <w:rFonts w:eastAsia="Times New Roman" w:cs="Times New Roman"/>
                <w:color w:val="000000"/>
                <w:sz w:val="22"/>
                <w:lang w:val="lt-LT" w:eastAsia="lt-LT"/>
              </w:rPr>
              <w:t>/</w:t>
            </w:r>
            <w:proofErr w:type="spellStart"/>
            <w:r w:rsidRPr="00E4412C">
              <w:rPr>
                <w:rFonts w:eastAsia="Times New Roman" w:cs="Times New Roman"/>
                <w:color w:val="000000"/>
                <w:sz w:val="22"/>
                <w:lang w:val="lt-LT" w:eastAsia="lt-LT"/>
              </w:rPr>
              <w:t>Klavulano</w:t>
            </w:r>
            <w:proofErr w:type="spellEnd"/>
            <w:r w:rsidRPr="00E4412C">
              <w:rPr>
                <w:rFonts w:eastAsia="Times New Roman" w:cs="Times New Roman"/>
                <w:color w:val="000000"/>
                <w:sz w:val="22"/>
                <w:lang w:val="lt-LT" w:eastAsia="lt-LT"/>
              </w:rPr>
              <w:t xml:space="preserve"> rūgštis, </w:t>
            </w:r>
            <w:proofErr w:type="spellStart"/>
            <w:r w:rsidRPr="00E4412C">
              <w:rPr>
                <w:rFonts w:eastAsia="Times New Roman" w:cs="Times New Roman"/>
                <w:color w:val="000000"/>
                <w:sz w:val="22"/>
                <w:lang w:val="lt-LT" w:eastAsia="lt-LT"/>
              </w:rPr>
              <w:t>Amoksicilinas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Ciprofloksacinas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Oseltamiviras</w:t>
            </w:r>
            <w:proofErr w:type="spellEnd"/>
          </w:p>
        </w:tc>
        <w:tc>
          <w:tcPr>
            <w:tcW w:w="3640" w:type="dxa"/>
            <w:tcBorders>
              <w:top w:val="nil"/>
              <w:left w:val="nil"/>
              <w:bottom w:val="single" w:sz="4" w:space="0" w:color="auto"/>
              <w:right w:val="single" w:sz="4" w:space="0" w:color="auto"/>
            </w:tcBorders>
            <w:vAlign w:val="center"/>
            <w:hideMark/>
          </w:tcPr>
          <w:p w14:paraId="69AF708A" w14:textId="77777777" w:rsidR="0058074B" w:rsidRPr="00E4412C" w:rsidRDefault="0058074B" w:rsidP="0058074B">
            <w:pPr>
              <w:spacing w:after="0"/>
              <w:rPr>
                <w:rFonts w:eastAsia="Times New Roman" w:cs="Times New Roman"/>
                <w:color w:val="000000"/>
                <w:sz w:val="22"/>
                <w:lang w:val="lt-LT" w:eastAsia="lt-LT"/>
              </w:rPr>
            </w:pPr>
            <w:r w:rsidRPr="00E4412C">
              <w:rPr>
                <w:rFonts w:eastAsia="Times New Roman" w:cs="Times New Roman"/>
                <w:color w:val="000000"/>
                <w:sz w:val="22"/>
                <w:lang w:val="lt-LT" w:eastAsia="lt-LT"/>
              </w:rPr>
              <w:t xml:space="preserve">Anafilaksinė reakcija, alerginė </w:t>
            </w:r>
            <w:proofErr w:type="spellStart"/>
            <w:r w:rsidRPr="00E4412C">
              <w:rPr>
                <w:rFonts w:eastAsia="Times New Roman" w:cs="Times New Roman"/>
                <w:color w:val="000000"/>
                <w:sz w:val="22"/>
                <w:lang w:val="lt-LT" w:eastAsia="lt-LT"/>
              </w:rPr>
              <w:t>rakcija</w:t>
            </w:r>
            <w:proofErr w:type="spellEnd"/>
            <w:r w:rsidRPr="00E4412C">
              <w:rPr>
                <w:rFonts w:eastAsia="Times New Roman" w:cs="Times New Roman"/>
                <w:color w:val="000000"/>
                <w:sz w:val="22"/>
                <w:lang w:val="lt-LT" w:eastAsia="lt-LT"/>
              </w:rPr>
              <w:t xml:space="preserve">, dezorientacija, traukuliai, spazmai, </w:t>
            </w:r>
            <w:proofErr w:type="spellStart"/>
            <w:r w:rsidRPr="00E4412C">
              <w:rPr>
                <w:rFonts w:eastAsia="Times New Roman" w:cs="Times New Roman"/>
                <w:color w:val="000000"/>
                <w:sz w:val="22"/>
                <w:lang w:val="lt-LT" w:eastAsia="lt-LT"/>
              </w:rPr>
              <w:t>neutropenija</w:t>
            </w:r>
            <w:proofErr w:type="spellEnd"/>
          </w:p>
        </w:tc>
      </w:tr>
      <w:tr w:rsidR="0058074B" w:rsidRPr="0058074B" w14:paraId="2B5E7035" w14:textId="77777777" w:rsidTr="0058074B">
        <w:trPr>
          <w:trHeight w:val="288"/>
        </w:trPr>
        <w:tc>
          <w:tcPr>
            <w:tcW w:w="9680"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056268E3" w14:textId="77777777" w:rsidR="0058074B" w:rsidRPr="00825C36" w:rsidRDefault="0058074B" w:rsidP="0058074B">
            <w:pPr>
              <w:spacing w:after="0"/>
              <w:jc w:val="center"/>
              <w:rPr>
                <w:rFonts w:eastAsia="Times New Roman" w:cs="Times New Roman"/>
                <w:color w:val="000000"/>
                <w:sz w:val="22"/>
                <w:lang w:val="lt-LT" w:eastAsia="lt-LT"/>
              </w:rPr>
            </w:pPr>
            <w:r w:rsidRPr="00825C36">
              <w:rPr>
                <w:rFonts w:eastAsia="Times New Roman" w:cs="Times New Roman"/>
                <w:color w:val="000000"/>
                <w:sz w:val="22"/>
                <w:lang w:val="lt-LT" w:eastAsia="lt-LT"/>
              </w:rPr>
              <w:t>Raumenų ir skeleto sistemą veikiantys vaistai</w:t>
            </w:r>
          </w:p>
        </w:tc>
      </w:tr>
      <w:tr w:rsidR="0058074B" w:rsidRPr="0058074B" w14:paraId="2CA40DF7" w14:textId="77777777" w:rsidTr="0058074B">
        <w:trPr>
          <w:trHeight w:val="1296"/>
        </w:trPr>
        <w:tc>
          <w:tcPr>
            <w:tcW w:w="1100" w:type="dxa"/>
            <w:tcBorders>
              <w:top w:val="nil"/>
              <w:left w:val="single" w:sz="4" w:space="0" w:color="auto"/>
              <w:bottom w:val="single" w:sz="4" w:space="0" w:color="auto"/>
              <w:right w:val="single" w:sz="4" w:space="0" w:color="auto"/>
            </w:tcBorders>
            <w:noWrap/>
            <w:vAlign w:val="center"/>
            <w:hideMark/>
          </w:tcPr>
          <w:p w14:paraId="61036D61" w14:textId="77777777" w:rsidR="0058074B" w:rsidRPr="00E4412C" w:rsidRDefault="0058074B" w:rsidP="0058074B">
            <w:pPr>
              <w:spacing w:after="0"/>
              <w:jc w:val="center"/>
              <w:rPr>
                <w:rFonts w:eastAsia="Times New Roman" w:cs="Times New Roman"/>
                <w:color w:val="000000"/>
                <w:sz w:val="22"/>
                <w:lang w:val="lt-LT" w:eastAsia="lt-LT"/>
              </w:rPr>
            </w:pPr>
            <w:r w:rsidRPr="00E4412C">
              <w:rPr>
                <w:rFonts w:eastAsia="Times New Roman" w:cs="Times New Roman"/>
                <w:color w:val="000000"/>
                <w:sz w:val="22"/>
                <w:lang w:val="lt-LT" w:eastAsia="lt-LT"/>
              </w:rPr>
              <w:t>14</w:t>
            </w:r>
          </w:p>
        </w:tc>
        <w:tc>
          <w:tcPr>
            <w:tcW w:w="4940" w:type="dxa"/>
            <w:tcBorders>
              <w:top w:val="nil"/>
              <w:left w:val="nil"/>
              <w:bottom w:val="single" w:sz="4" w:space="0" w:color="auto"/>
              <w:right w:val="single" w:sz="4" w:space="0" w:color="auto"/>
            </w:tcBorders>
            <w:vAlign w:val="center"/>
            <w:hideMark/>
          </w:tcPr>
          <w:p w14:paraId="5B88110E" w14:textId="77777777" w:rsidR="0058074B" w:rsidRPr="00E4412C" w:rsidRDefault="0058074B" w:rsidP="0058074B">
            <w:pPr>
              <w:spacing w:after="0"/>
              <w:rPr>
                <w:rFonts w:eastAsia="Times New Roman" w:cs="Times New Roman"/>
                <w:color w:val="000000"/>
                <w:sz w:val="22"/>
                <w:lang w:val="lt-LT" w:eastAsia="lt-LT"/>
              </w:rPr>
            </w:pPr>
            <w:proofErr w:type="spellStart"/>
            <w:r w:rsidRPr="00E4412C">
              <w:rPr>
                <w:rFonts w:eastAsia="Times New Roman" w:cs="Times New Roman"/>
                <w:color w:val="000000"/>
                <w:sz w:val="22"/>
                <w:lang w:val="lt-LT" w:eastAsia="lt-LT"/>
              </w:rPr>
              <w:t>Alopurinolis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Alendrono</w:t>
            </w:r>
            <w:proofErr w:type="spellEnd"/>
            <w:r w:rsidRPr="00E4412C">
              <w:rPr>
                <w:rFonts w:eastAsia="Times New Roman" w:cs="Times New Roman"/>
                <w:color w:val="000000"/>
                <w:sz w:val="22"/>
                <w:lang w:val="lt-LT" w:eastAsia="lt-LT"/>
              </w:rPr>
              <w:t xml:space="preserve"> rūgštis, </w:t>
            </w:r>
            <w:proofErr w:type="spellStart"/>
            <w:r w:rsidRPr="00E4412C">
              <w:rPr>
                <w:rFonts w:eastAsia="Times New Roman" w:cs="Times New Roman"/>
                <w:color w:val="000000"/>
                <w:sz w:val="22"/>
                <w:lang w:val="lt-LT" w:eastAsia="lt-LT"/>
              </w:rPr>
              <w:t>Ibuprofenas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Tizanidinas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Baklofenas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Tolperizonas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Risdiplamas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Nimesulidas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Diklofenako</w:t>
            </w:r>
            <w:proofErr w:type="spellEnd"/>
            <w:r w:rsidRPr="00E4412C">
              <w:rPr>
                <w:rFonts w:eastAsia="Times New Roman" w:cs="Times New Roman"/>
                <w:color w:val="000000"/>
                <w:sz w:val="22"/>
                <w:lang w:val="lt-LT" w:eastAsia="lt-LT"/>
              </w:rPr>
              <w:t xml:space="preserve"> natrio druska</w:t>
            </w:r>
          </w:p>
        </w:tc>
        <w:tc>
          <w:tcPr>
            <w:tcW w:w="3640" w:type="dxa"/>
            <w:tcBorders>
              <w:top w:val="nil"/>
              <w:left w:val="nil"/>
              <w:bottom w:val="single" w:sz="4" w:space="0" w:color="auto"/>
              <w:right w:val="single" w:sz="4" w:space="0" w:color="auto"/>
            </w:tcBorders>
            <w:vAlign w:val="center"/>
            <w:hideMark/>
          </w:tcPr>
          <w:p w14:paraId="0E0338BB" w14:textId="77777777" w:rsidR="0058074B" w:rsidRPr="00E4412C" w:rsidRDefault="0058074B" w:rsidP="0058074B">
            <w:pPr>
              <w:spacing w:after="0"/>
              <w:rPr>
                <w:rFonts w:eastAsia="Times New Roman" w:cs="Times New Roman"/>
                <w:color w:val="000000"/>
                <w:sz w:val="22"/>
                <w:lang w:val="lt-LT" w:eastAsia="lt-LT"/>
              </w:rPr>
            </w:pPr>
            <w:r w:rsidRPr="00E4412C">
              <w:rPr>
                <w:rFonts w:eastAsia="Times New Roman" w:cs="Times New Roman"/>
                <w:color w:val="000000"/>
                <w:sz w:val="22"/>
                <w:lang w:val="lt-LT" w:eastAsia="lt-LT"/>
              </w:rPr>
              <w:t xml:space="preserve">Inkstų funkcijos sutrikimai, haliucinacijos, tyčinis perdozavimas </w:t>
            </w:r>
            <w:proofErr w:type="spellStart"/>
            <w:r w:rsidRPr="00E4412C">
              <w:rPr>
                <w:rFonts w:eastAsia="Times New Roman" w:cs="Times New Roman"/>
                <w:color w:val="000000"/>
                <w:sz w:val="22"/>
                <w:lang w:val="lt-LT" w:eastAsia="lt-LT"/>
              </w:rPr>
              <w:t>suicido</w:t>
            </w:r>
            <w:proofErr w:type="spellEnd"/>
            <w:r w:rsidRPr="00E4412C">
              <w:rPr>
                <w:rFonts w:eastAsia="Times New Roman" w:cs="Times New Roman"/>
                <w:color w:val="000000"/>
                <w:sz w:val="22"/>
                <w:lang w:val="lt-LT" w:eastAsia="lt-LT"/>
              </w:rPr>
              <w:t xml:space="preserve"> tikslu, mieguistumas, alerginė reakcija į vaistą</w:t>
            </w:r>
          </w:p>
        </w:tc>
      </w:tr>
      <w:tr w:rsidR="0058074B" w:rsidRPr="0058074B" w14:paraId="3D30B658" w14:textId="77777777" w:rsidTr="00E4412C">
        <w:trPr>
          <w:trHeight w:val="288"/>
        </w:trPr>
        <w:tc>
          <w:tcPr>
            <w:tcW w:w="9680"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2CB880C4" w14:textId="77777777" w:rsidR="0058074B" w:rsidRPr="0058074B" w:rsidRDefault="0058074B" w:rsidP="0058074B">
            <w:pPr>
              <w:spacing w:after="0"/>
              <w:jc w:val="center"/>
              <w:rPr>
                <w:rFonts w:eastAsia="Times New Roman" w:cs="Times New Roman"/>
                <w:color w:val="000000"/>
                <w:sz w:val="22"/>
                <w:lang w:val="lt-LT" w:eastAsia="lt-LT"/>
              </w:rPr>
            </w:pPr>
            <w:r w:rsidRPr="0058074B">
              <w:rPr>
                <w:rFonts w:eastAsia="Times New Roman" w:cs="Times New Roman"/>
                <w:color w:val="000000"/>
                <w:sz w:val="22"/>
                <w:lang w:val="lt-LT" w:eastAsia="lt-LT"/>
              </w:rPr>
              <w:t>Širdies ir kraujagyslių sistemą veikiantys vaistai</w:t>
            </w:r>
          </w:p>
        </w:tc>
      </w:tr>
      <w:tr w:rsidR="0058074B" w:rsidRPr="0058074B" w14:paraId="6FD08464" w14:textId="77777777" w:rsidTr="00E4412C">
        <w:trPr>
          <w:trHeight w:val="1620"/>
        </w:trPr>
        <w:tc>
          <w:tcPr>
            <w:tcW w:w="1100" w:type="dxa"/>
            <w:tcBorders>
              <w:top w:val="single" w:sz="4" w:space="0" w:color="auto"/>
              <w:left w:val="single" w:sz="4" w:space="0" w:color="auto"/>
              <w:bottom w:val="single" w:sz="4" w:space="0" w:color="auto"/>
              <w:right w:val="single" w:sz="4" w:space="0" w:color="auto"/>
            </w:tcBorders>
            <w:noWrap/>
            <w:vAlign w:val="center"/>
            <w:hideMark/>
          </w:tcPr>
          <w:p w14:paraId="10D03154" w14:textId="77777777" w:rsidR="0058074B" w:rsidRPr="00E4412C" w:rsidRDefault="0058074B" w:rsidP="0058074B">
            <w:pPr>
              <w:spacing w:after="0"/>
              <w:jc w:val="center"/>
              <w:rPr>
                <w:rFonts w:eastAsia="Times New Roman" w:cs="Times New Roman"/>
                <w:color w:val="000000"/>
                <w:sz w:val="22"/>
                <w:lang w:val="lt-LT" w:eastAsia="lt-LT"/>
              </w:rPr>
            </w:pPr>
            <w:r w:rsidRPr="00E4412C">
              <w:rPr>
                <w:rFonts w:eastAsia="Times New Roman" w:cs="Times New Roman"/>
                <w:color w:val="000000"/>
                <w:sz w:val="22"/>
                <w:lang w:val="lt-LT" w:eastAsia="lt-LT"/>
              </w:rPr>
              <w:lastRenderedPageBreak/>
              <w:t>12</w:t>
            </w:r>
          </w:p>
        </w:tc>
        <w:tc>
          <w:tcPr>
            <w:tcW w:w="4940" w:type="dxa"/>
            <w:tcBorders>
              <w:top w:val="single" w:sz="4" w:space="0" w:color="auto"/>
              <w:left w:val="nil"/>
              <w:bottom w:val="single" w:sz="4" w:space="0" w:color="auto"/>
              <w:right w:val="single" w:sz="4" w:space="0" w:color="auto"/>
            </w:tcBorders>
            <w:vAlign w:val="center"/>
            <w:hideMark/>
          </w:tcPr>
          <w:p w14:paraId="1E011173" w14:textId="77777777" w:rsidR="0058074B" w:rsidRPr="00E4412C" w:rsidRDefault="0058074B" w:rsidP="0058074B">
            <w:pPr>
              <w:spacing w:after="0"/>
              <w:rPr>
                <w:rFonts w:eastAsia="Times New Roman" w:cs="Times New Roman"/>
                <w:color w:val="000000"/>
                <w:sz w:val="22"/>
                <w:lang w:val="lt-LT" w:eastAsia="lt-LT"/>
              </w:rPr>
            </w:pPr>
            <w:proofErr w:type="spellStart"/>
            <w:r w:rsidRPr="00E4412C">
              <w:rPr>
                <w:rFonts w:eastAsia="Times New Roman" w:cs="Times New Roman"/>
                <w:color w:val="000000"/>
                <w:sz w:val="22"/>
                <w:lang w:val="lt-LT" w:eastAsia="lt-LT"/>
              </w:rPr>
              <w:t>Rozuvastatinas</w:t>
            </w:r>
            <w:proofErr w:type="spellEnd"/>
            <w:r w:rsidRPr="00E4412C">
              <w:rPr>
                <w:rFonts w:eastAsia="Times New Roman" w:cs="Times New Roman"/>
                <w:color w:val="000000"/>
                <w:sz w:val="22"/>
                <w:lang w:val="lt-LT" w:eastAsia="lt-LT"/>
              </w:rPr>
              <w:t>/</w:t>
            </w:r>
            <w:proofErr w:type="spellStart"/>
            <w:r w:rsidRPr="00E4412C">
              <w:rPr>
                <w:rFonts w:eastAsia="Times New Roman" w:cs="Times New Roman"/>
                <w:color w:val="000000"/>
                <w:sz w:val="22"/>
                <w:lang w:val="lt-LT" w:eastAsia="lt-LT"/>
              </w:rPr>
              <w:t>Ezetimibas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Atorvastatinas</w:t>
            </w:r>
            <w:proofErr w:type="spellEnd"/>
            <w:r w:rsidRPr="00E4412C">
              <w:rPr>
                <w:rFonts w:eastAsia="Times New Roman" w:cs="Times New Roman"/>
                <w:color w:val="000000"/>
                <w:sz w:val="22"/>
                <w:lang w:val="lt-LT" w:eastAsia="lt-LT"/>
              </w:rPr>
              <w:t>/</w:t>
            </w:r>
            <w:proofErr w:type="spellStart"/>
            <w:r w:rsidRPr="00E4412C">
              <w:rPr>
                <w:rFonts w:eastAsia="Times New Roman" w:cs="Times New Roman"/>
                <w:color w:val="000000"/>
                <w:sz w:val="22"/>
                <w:lang w:val="lt-LT" w:eastAsia="lt-LT"/>
              </w:rPr>
              <w:t>Perindoprilio</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argininas</w:t>
            </w:r>
            <w:proofErr w:type="spellEnd"/>
            <w:r w:rsidRPr="00E4412C">
              <w:rPr>
                <w:rFonts w:eastAsia="Times New Roman" w:cs="Times New Roman"/>
                <w:color w:val="000000"/>
                <w:sz w:val="22"/>
                <w:lang w:val="lt-LT" w:eastAsia="lt-LT"/>
              </w:rPr>
              <w:t>/</w:t>
            </w:r>
            <w:proofErr w:type="spellStart"/>
            <w:r w:rsidRPr="00E4412C">
              <w:rPr>
                <w:rFonts w:eastAsia="Times New Roman" w:cs="Times New Roman"/>
                <w:color w:val="000000"/>
                <w:sz w:val="22"/>
                <w:lang w:val="lt-LT" w:eastAsia="lt-LT"/>
              </w:rPr>
              <w:t>Amlodipinas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Vericiguatas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Metoprololio</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sukcinatas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Amjodarono</w:t>
            </w:r>
            <w:proofErr w:type="spellEnd"/>
            <w:r w:rsidRPr="00E4412C">
              <w:rPr>
                <w:rFonts w:eastAsia="Times New Roman" w:cs="Times New Roman"/>
                <w:color w:val="000000"/>
                <w:sz w:val="22"/>
                <w:lang w:val="lt-LT" w:eastAsia="lt-LT"/>
              </w:rPr>
              <w:t xml:space="preserve"> hidrochloridas, </w:t>
            </w:r>
            <w:proofErr w:type="spellStart"/>
            <w:r w:rsidRPr="00E4412C">
              <w:rPr>
                <w:rFonts w:eastAsia="Times New Roman" w:cs="Times New Roman"/>
                <w:color w:val="000000"/>
                <w:sz w:val="22"/>
                <w:lang w:val="lt-LT" w:eastAsia="lt-LT"/>
              </w:rPr>
              <w:t>Spironolaktonas</w:t>
            </w:r>
            <w:proofErr w:type="spellEnd"/>
            <w:r w:rsidRPr="00E4412C">
              <w:rPr>
                <w:rFonts w:eastAsia="Times New Roman" w:cs="Times New Roman"/>
                <w:color w:val="000000"/>
                <w:sz w:val="22"/>
                <w:lang w:val="lt-LT" w:eastAsia="lt-LT"/>
              </w:rPr>
              <w:t xml:space="preserve">, Adrenalinas, </w:t>
            </w:r>
            <w:proofErr w:type="spellStart"/>
            <w:r w:rsidRPr="00E4412C">
              <w:rPr>
                <w:rFonts w:eastAsia="Times New Roman" w:cs="Times New Roman"/>
                <w:color w:val="000000"/>
                <w:sz w:val="22"/>
                <w:lang w:val="lt-LT" w:eastAsia="lt-LT"/>
              </w:rPr>
              <w:t>Verapamilio</w:t>
            </w:r>
            <w:proofErr w:type="spellEnd"/>
            <w:r w:rsidRPr="00E4412C">
              <w:rPr>
                <w:rFonts w:eastAsia="Times New Roman" w:cs="Times New Roman"/>
                <w:color w:val="000000"/>
                <w:sz w:val="22"/>
                <w:lang w:val="lt-LT" w:eastAsia="lt-LT"/>
              </w:rPr>
              <w:t xml:space="preserve"> hidrochloridas, </w:t>
            </w:r>
            <w:proofErr w:type="spellStart"/>
            <w:r w:rsidRPr="00E4412C">
              <w:rPr>
                <w:rFonts w:eastAsia="Times New Roman" w:cs="Times New Roman"/>
                <w:color w:val="000000"/>
                <w:sz w:val="22"/>
                <w:lang w:val="lt-LT" w:eastAsia="lt-LT"/>
              </w:rPr>
              <w:t>Macitentanas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Torazemidas</w:t>
            </w:r>
            <w:proofErr w:type="spellEnd"/>
          </w:p>
        </w:tc>
        <w:tc>
          <w:tcPr>
            <w:tcW w:w="3640" w:type="dxa"/>
            <w:tcBorders>
              <w:top w:val="single" w:sz="4" w:space="0" w:color="auto"/>
              <w:left w:val="nil"/>
              <w:bottom w:val="single" w:sz="4" w:space="0" w:color="auto"/>
              <w:right w:val="single" w:sz="4" w:space="0" w:color="auto"/>
            </w:tcBorders>
            <w:vAlign w:val="center"/>
            <w:hideMark/>
          </w:tcPr>
          <w:p w14:paraId="2A072984" w14:textId="77777777" w:rsidR="0058074B" w:rsidRPr="00E4412C" w:rsidRDefault="0058074B" w:rsidP="0058074B">
            <w:pPr>
              <w:spacing w:after="0"/>
              <w:rPr>
                <w:rFonts w:eastAsia="Times New Roman" w:cs="Times New Roman"/>
                <w:color w:val="000000"/>
                <w:sz w:val="22"/>
                <w:lang w:val="lt-LT" w:eastAsia="lt-LT"/>
              </w:rPr>
            </w:pPr>
            <w:r w:rsidRPr="00E4412C">
              <w:rPr>
                <w:rFonts w:eastAsia="Times New Roman" w:cs="Times New Roman"/>
                <w:color w:val="000000"/>
                <w:sz w:val="22"/>
                <w:lang w:val="lt-LT" w:eastAsia="lt-LT"/>
              </w:rPr>
              <w:t>Širdies veiklos sutrikimas, kraujotakos sutrikimas, bendras fizinės sveikatos blogėjimas</w:t>
            </w:r>
          </w:p>
        </w:tc>
      </w:tr>
      <w:tr w:rsidR="0058074B" w:rsidRPr="0058074B" w14:paraId="53BA04E9" w14:textId="77777777" w:rsidTr="0058074B">
        <w:trPr>
          <w:trHeight w:val="288"/>
        </w:trPr>
        <w:tc>
          <w:tcPr>
            <w:tcW w:w="9680"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2D73EF8F" w14:textId="77777777" w:rsidR="0058074B" w:rsidRPr="0058074B" w:rsidRDefault="0058074B" w:rsidP="0058074B">
            <w:pPr>
              <w:spacing w:after="0"/>
              <w:jc w:val="center"/>
              <w:rPr>
                <w:rFonts w:eastAsia="Times New Roman" w:cs="Times New Roman"/>
                <w:color w:val="000000"/>
                <w:sz w:val="22"/>
                <w:lang w:val="lt-LT" w:eastAsia="lt-LT"/>
              </w:rPr>
            </w:pPr>
            <w:r w:rsidRPr="0058074B">
              <w:rPr>
                <w:rFonts w:eastAsia="Times New Roman" w:cs="Times New Roman"/>
                <w:color w:val="000000"/>
                <w:sz w:val="22"/>
                <w:lang w:val="lt-LT" w:eastAsia="lt-LT"/>
              </w:rPr>
              <w:t>Sistemiškai veikiantys hormonai</w:t>
            </w:r>
          </w:p>
        </w:tc>
      </w:tr>
      <w:tr w:rsidR="0058074B" w:rsidRPr="0058074B" w14:paraId="7AD5CBDD" w14:textId="77777777" w:rsidTr="0058074B">
        <w:trPr>
          <w:trHeight w:val="996"/>
        </w:trPr>
        <w:tc>
          <w:tcPr>
            <w:tcW w:w="1100" w:type="dxa"/>
            <w:tcBorders>
              <w:top w:val="nil"/>
              <w:left w:val="single" w:sz="4" w:space="0" w:color="auto"/>
              <w:bottom w:val="single" w:sz="4" w:space="0" w:color="auto"/>
              <w:right w:val="single" w:sz="4" w:space="0" w:color="auto"/>
            </w:tcBorders>
            <w:noWrap/>
            <w:vAlign w:val="center"/>
            <w:hideMark/>
          </w:tcPr>
          <w:p w14:paraId="225B2ED2" w14:textId="77777777" w:rsidR="0058074B" w:rsidRPr="00E4412C" w:rsidRDefault="0058074B" w:rsidP="0058074B">
            <w:pPr>
              <w:spacing w:after="0"/>
              <w:jc w:val="center"/>
              <w:rPr>
                <w:rFonts w:eastAsia="Times New Roman" w:cs="Times New Roman"/>
                <w:color w:val="000000"/>
                <w:sz w:val="22"/>
                <w:lang w:val="lt-LT" w:eastAsia="lt-LT"/>
              </w:rPr>
            </w:pPr>
            <w:r w:rsidRPr="00E4412C">
              <w:rPr>
                <w:rFonts w:eastAsia="Times New Roman" w:cs="Times New Roman"/>
                <w:color w:val="000000"/>
                <w:sz w:val="22"/>
                <w:lang w:val="lt-LT" w:eastAsia="lt-LT"/>
              </w:rPr>
              <w:t>7</w:t>
            </w:r>
          </w:p>
        </w:tc>
        <w:tc>
          <w:tcPr>
            <w:tcW w:w="4940" w:type="dxa"/>
            <w:tcBorders>
              <w:top w:val="nil"/>
              <w:left w:val="nil"/>
              <w:bottom w:val="single" w:sz="4" w:space="0" w:color="auto"/>
              <w:right w:val="single" w:sz="4" w:space="0" w:color="auto"/>
            </w:tcBorders>
            <w:vAlign w:val="center"/>
            <w:hideMark/>
          </w:tcPr>
          <w:p w14:paraId="1F1FEF67" w14:textId="77777777" w:rsidR="0058074B" w:rsidRPr="00E4412C" w:rsidRDefault="0058074B" w:rsidP="0058074B">
            <w:pPr>
              <w:spacing w:after="0"/>
              <w:rPr>
                <w:rFonts w:eastAsia="Times New Roman" w:cs="Times New Roman"/>
                <w:color w:val="000000"/>
                <w:sz w:val="22"/>
                <w:lang w:val="lt-LT" w:eastAsia="lt-LT"/>
              </w:rPr>
            </w:pPr>
            <w:proofErr w:type="spellStart"/>
            <w:r w:rsidRPr="00E4412C">
              <w:rPr>
                <w:rFonts w:eastAsia="Times New Roman" w:cs="Times New Roman"/>
                <w:color w:val="000000"/>
                <w:sz w:val="22"/>
                <w:lang w:val="lt-LT" w:eastAsia="lt-LT"/>
              </w:rPr>
              <w:t>Levotiroksino</w:t>
            </w:r>
            <w:proofErr w:type="spellEnd"/>
            <w:r w:rsidRPr="00E4412C">
              <w:rPr>
                <w:rFonts w:eastAsia="Times New Roman" w:cs="Times New Roman"/>
                <w:color w:val="000000"/>
                <w:sz w:val="22"/>
                <w:lang w:val="lt-LT" w:eastAsia="lt-LT"/>
              </w:rPr>
              <w:t xml:space="preserve"> natrio druska, </w:t>
            </w:r>
            <w:proofErr w:type="spellStart"/>
            <w:r w:rsidRPr="00E4412C">
              <w:rPr>
                <w:rFonts w:eastAsia="Times New Roman" w:cs="Times New Roman"/>
                <w:color w:val="000000"/>
                <w:sz w:val="22"/>
                <w:lang w:val="lt-LT" w:eastAsia="lt-LT"/>
              </w:rPr>
              <w:t>Metilprednizolonas</w:t>
            </w:r>
            <w:proofErr w:type="spellEnd"/>
            <w:r w:rsidRPr="00E4412C">
              <w:rPr>
                <w:rFonts w:eastAsia="Times New Roman" w:cs="Times New Roman"/>
                <w:color w:val="000000"/>
                <w:sz w:val="22"/>
                <w:lang w:val="lt-LT" w:eastAsia="lt-LT"/>
              </w:rPr>
              <w:t xml:space="preserve">, Prednizolonas, </w:t>
            </w:r>
            <w:proofErr w:type="spellStart"/>
            <w:r w:rsidRPr="00E4412C">
              <w:rPr>
                <w:rFonts w:eastAsia="Times New Roman" w:cs="Times New Roman"/>
                <w:color w:val="000000"/>
                <w:sz w:val="22"/>
                <w:lang w:val="lt-LT" w:eastAsia="lt-LT"/>
              </w:rPr>
              <w:t>Triamcinolono</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acetonidas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Deksametazonas</w:t>
            </w:r>
            <w:proofErr w:type="spellEnd"/>
          </w:p>
        </w:tc>
        <w:tc>
          <w:tcPr>
            <w:tcW w:w="3640" w:type="dxa"/>
            <w:tcBorders>
              <w:top w:val="nil"/>
              <w:left w:val="nil"/>
              <w:bottom w:val="single" w:sz="4" w:space="0" w:color="auto"/>
              <w:right w:val="single" w:sz="4" w:space="0" w:color="auto"/>
            </w:tcBorders>
            <w:vAlign w:val="center"/>
            <w:hideMark/>
          </w:tcPr>
          <w:p w14:paraId="27301657" w14:textId="77777777" w:rsidR="0058074B" w:rsidRPr="00E4412C" w:rsidRDefault="0058074B" w:rsidP="0058074B">
            <w:pPr>
              <w:spacing w:after="0"/>
              <w:rPr>
                <w:rFonts w:eastAsia="Times New Roman" w:cs="Times New Roman"/>
                <w:color w:val="000000"/>
                <w:sz w:val="22"/>
                <w:lang w:val="lt-LT" w:eastAsia="lt-LT"/>
              </w:rPr>
            </w:pPr>
            <w:proofErr w:type="spellStart"/>
            <w:r w:rsidRPr="00E4412C">
              <w:rPr>
                <w:rFonts w:eastAsia="Times New Roman" w:cs="Times New Roman"/>
                <w:color w:val="000000"/>
                <w:sz w:val="22"/>
                <w:lang w:val="lt-LT" w:eastAsia="lt-LT"/>
              </w:rPr>
              <w:t>Leukopenija</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neutropenija</w:t>
            </w:r>
            <w:proofErr w:type="spellEnd"/>
            <w:r w:rsidRPr="00E4412C">
              <w:rPr>
                <w:rFonts w:eastAsia="Times New Roman" w:cs="Times New Roman"/>
                <w:color w:val="000000"/>
                <w:sz w:val="22"/>
                <w:lang w:val="lt-LT" w:eastAsia="lt-LT"/>
              </w:rPr>
              <w:t xml:space="preserve">, cukrinis diabetas, </w:t>
            </w:r>
            <w:proofErr w:type="spellStart"/>
            <w:r w:rsidRPr="00E4412C">
              <w:rPr>
                <w:rFonts w:eastAsia="Times New Roman" w:cs="Times New Roman"/>
                <w:color w:val="000000"/>
                <w:sz w:val="22"/>
                <w:lang w:val="lt-LT" w:eastAsia="lt-LT"/>
              </w:rPr>
              <w:t>abscesas</w:t>
            </w:r>
            <w:proofErr w:type="spellEnd"/>
          </w:p>
        </w:tc>
      </w:tr>
      <w:tr w:rsidR="0058074B" w:rsidRPr="0058074B" w14:paraId="0E0A9906" w14:textId="77777777" w:rsidTr="0058074B">
        <w:trPr>
          <w:trHeight w:val="288"/>
        </w:trPr>
        <w:tc>
          <w:tcPr>
            <w:tcW w:w="9680"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76FAC954" w14:textId="77777777" w:rsidR="0058074B" w:rsidRPr="00825C36" w:rsidRDefault="0058074B" w:rsidP="0058074B">
            <w:pPr>
              <w:spacing w:after="0"/>
              <w:jc w:val="center"/>
              <w:rPr>
                <w:rFonts w:eastAsia="Times New Roman" w:cs="Times New Roman"/>
                <w:color w:val="000000"/>
                <w:sz w:val="22"/>
                <w:lang w:val="lt-LT" w:eastAsia="lt-LT"/>
              </w:rPr>
            </w:pPr>
            <w:proofErr w:type="spellStart"/>
            <w:r w:rsidRPr="00825C36">
              <w:rPr>
                <w:rFonts w:eastAsia="Times New Roman" w:cs="Times New Roman"/>
                <w:color w:val="000000"/>
                <w:sz w:val="22"/>
                <w:lang w:val="lt-LT" w:eastAsia="lt-LT"/>
              </w:rPr>
              <w:t>Urogenitalinę</w:t>
            </w:r>
            <w:proofErr w:type="spellEnd"/>
            <w:r w:rsidRPr="00825C36">
              <w:rPr>
                <w:rFonts w:eastAsia="Times New Roman" w:cs="Times New Roman"/>
                <w:color w:val="000000"/>
                <w:sz w:val="22"/>
                <w:lang w:val="lt-LT" w:eastAsia="lt-LT"/>
              </w:rPr>
              <w:t xml:space="preserve"> sistemą veikiantys vaistai ir lytiniai  hormonai</w:t>
            </w:r>
          </w:p>
        </w:tc>
      </w:tr>
      <w:tr w:rsidR="0058074B" w:rsidRPr="0058074B" w14:paraId="03527EEA" w14:textId="77777777" w:rsidTr="0058074B">
        <w:trPr>
          <w:trHeight w:val="720"/>
        </w:trPr>
        <w:tc>
          <w:tcPr>
            <w:tcW w:w="1100" w:type="dxa"/>
            <w:tcBorders>
              <w:top w:val="nil"/>
              <w:left w:val="single" w:sz="4" w:space="0" w:color="auto"/>
              <w:bottom w:val="single" w:sz="4" w:space="0" w:color="auto"/>
              <w:right w:val="single" w:sz="4" w:space="0" w:color="auto"/>
            </w:tcBorders>
            <w:noWrap/>
            <w:vAlign w:val="center"/>
            <w:hideMark/>
          </w:tcPr>
          <w:p w14:paraId="479D383F" w14:textId="77777777" w:rsidR="0058074B" w:rsidRPr="00E4412C" w:rsidRDefault="0058074B" w:rsidP="0058074B">
            <w:pPr>
              <w:spacing w:after="0"/>
              <w:jc w:val="center"/>
              <w:rPr>
                <w:rFonts w:eastAsia="Times New Roman" w:cs="Times New Roman"/>
                <w:color w:val="000000"/>
                <w:sz w:val="22"/>
                <w:lang w:val="lt-LT" w:eastAsia="lt-LT"/>
              </w:rPr>
            </w:pPr>
            <w:r w:rsidRPr="00E4412C">
              <w:rPr>
                <w:rFonts w:eastAsia="Times New Roman" w:cs="Times New Roman"/>
                <w:color w:val="000000"/>
                <w:sz w:val="22"/>
                <w:lang w:val="lt-LT" w:eastAsia="lt-LT"/>
              </w:rPr>
              <w:t>5</w:t>
            </w:r>
          </w:p>
        </w:tc>
        <w:tc>
          <w:tcPr>
            <w:tcW w:w="4940" w:type="dxa"/>
            <w:tcBorders>
              <w:top w:val="nil"/>
              <w:left w:val="nil"/>
              <w:bottom w:val="single" w:sz="4" w:space="0" w:color="auto"/>
              <w:right w:val="single" w:sz="4" w:space="0" w:color="auto"/>
            </w:tcBorders>
            <w:vAlign w:val="center"/>
            <w:hideMark/>
          </w:tcPr>
          <w:p w14:paraId="7583A425" w14:textId="77777777" w:rsidR="0058074B" w:rsidRPr="00E4412C" w:rsidRDefault="0058074B" w:rsidP="0058074B">
            <w:pPr>
              <w:spacing w:after="0"/>
              <w:rPr>
                <w:rFonts w:eastAsia="Times New Roman" w:cs="Times New Roman"/>
                <w:color w:val="000000"/>
                <w:sz w:val="22"/>
                <w:lang w:val="lt-LT" w:eastAsia="lt-LT"/>
              </w:rPr>
            </w:pPr>
            <w:proofErr w:type="spellStart"/>
            <w:r w:rsidRPr="00E4412C">
              <w:rPr>
                <w:rFonts w:eastAsia="Times New Roman" w:cs="Times New Roman"/>
                <w:color w:val="000000"/>
                <w:sz w:val="22"/>
                <w:lang w:val="lt-LT" w:eastAsia="lt-LT"/>
              </w:rPr>
              <w:t>Levonorgestrelis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Klotrimazolas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Etinilestradiolis</w:t>
            </w:r>
            <w:proofErr w:type="spellEnd"/>
            <w:r w:rsidRPr="00E4412C">
              <w:rPr>
                <w:rFonts w:eastAsia="Times New Roman" w:cs="Times New Roman"/>
                <w:color w:val="000000"/>
                <w:sz w:val="22"/>
                <w:lang w:val="lt-LT" w:eastAsia="lt-LT"/>
              </w:rPr>
              <w:t>/</w:t>
            </w:r>
            <w:proofErr w:type="spellStart"/>
            <w:r w:rsidRPr="00E4412C">
              <w:rPr>
                <w:rFonts w:eastAsia="Times New Roman" w:cs="Times New Roman"/>
                <w:color w:val="000000"/>
                <w:sz w:val="22"/>
                <w:lang w:val="lt-LT" w:eastAsia="lt-LT"/>
              </w:rPr>
              <w:t>Levonorgestrelis</w:t>
            </w:r>
            <w:proofErr w:type="spellEnd"/>
          </w:p>
        </w:tc>
        <w:tc>
          <w:tcPr>
            <w:tcW w:w="3640" w:type="dxa"/>
            <w:tcBorders>
              <w:top w:val="nil"/>
              <w:left w:val="nil"/>
              <w:bottom w:val="single" w:sz="4" w:space="0" w:color="auto"/>
              <w:right w:val="single" w:sz="4" w:space="0" w:color="auto"/>
            </w:tcBorders>
            <w:vAlign w:val="center"/>
            <w:hideMark/>
          </w:tcPr>
          <w:p w14:paraId="563D28C9" w14:textId="77777777" w:rsidR="0058074B" w:rsidRPr="00E4412C" w:rsidRDefault="0058074B" w:rsidP="0058074B">
            <w:pPr>
              <w:spacing w:after="0"/>
              <w:rPr>
                <w:rFonts w:eastAsia="Times New Roman" w:cs="Times New Roman"/>
                <w:color w:val="000000"/>
                <w:sz w:val="22"/>
                <w:lang w:val="lt-LT" w:eastAsia="lt-LT"/>
              </w:rPr>
            </w:pPr>
            <w:r w:rsidRPr="00E4412C">
              <w:rPr>
                <w:rFonts w:eastAsia="Times New Roman" w:cs="Times New Roman"/>
                <w:color w:val="000000"/>
                <w:sz w:val="22"/>
                <w:lang w:val="lt-LT" w:eastAsia="lt-LT"/>
              </w:rPr>
              <w:t>Širdies veiklos sutrikimas, nervų sistemos sutrikimas, neigiamas poveikis vaisiui</w:t>
            </w:r>
          </w:p>
        </w:tc>
      </w:tr>
      <w:tr w:rsidR="0058074B" w:rsidRPr="0058074B" w14:paraId="17BB6475" w14:textId="77777777" w:rsidTr="0058074B">
        <w:trPr>
          <w:trHeight w:val="288"/>
        </w:trPr>
        <w:tc>
          <w:tcPr>
            <w:tcW w:w="9680"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0EDB8CF6" w14:textId="77777777" w:rsidR="0058074B" w:rsidRPr="00825C36" w:rsidRDefault="0058074B" w:rsidP="0058074B">
            <w:pPr>
              <w:spacing w:after="0"/>
              <w:jc w:val="center"/>
              <w:rPr>
                <w:rFonts w:eastAsia="Times New Roman" w:cs="Times New Roman"/>
                <w:color w:val="000000"/>
                <w:sz w:val="22"/>
                <w:lang w:val="lt-LT" w:eastAsia="lt-LT"/>
              </w:rPr>
            </w:pPr>
            <w:r w:rsidRPr="00825C36">
              <w:rPr>
                <w:rFonts w:eastAsia="Times New Roman" w:cs="Times New Roman"/>
                <w:color w:val="000000"/>
                <w:sz w:val="22"/>
                <w:lang w:val="lt-LT" w:eastAsia="lt-LT"/>
              </w:rPr>
              <w:t>Kvėpavimo sistemą veikiantys vaistai</w:t>
            </w:r>
          </w:p>
        </w:tc>
      </w:tr>
      <w:tr w:rsidR="0058074B" w:rsidRPr="0058074B" w14:paraId="3E4907F7" w14:textId="77777777" w:rsidTr="0058074B">
        <w:trPr>
          <w:trHeight w:val="924"/>
        </w:trPr>
        <w:tc>
          <w:tcPr>
            <w:tcW w:w="1100" w:type="dxa"/>
            <w:tcBorders>
              <w:top w:val="nil"/>
              <w:left w:val="single" w:sz="4" w:space="0" w:color="auto"/>
              <w:bottom w:val="single" w:sz="4" w:space="0" w:color="auto"/>
              <w:right w:val="single" w:sz="4" w:space="0" w:color="auto"/>
            </w:tcBorders>
            <w:noWrap/>
            <w:vAlign w:val="center"/>
            <w:hideMark/>
          </w:tcPr>
          <w:p w14:paraId="0B0991A2" w14:textId="77777777" w:rsidR="0058074B" w:rsidRPr="00E4412C" w:rsidRDefault="0058074B" w:rsidP="0058074B">
            <w:pPr>
              <w:spacing w:after="0"/>
              <w:jc w:val="center"/>
              <w:rPr>
                <w:rFonts w:eastAsia="Times New Roman" w:cs="Times New Roman"/>
                <w:color w:val="000000"/>
                <w:sz w:val="22"/>
                <w:lang w:val="lt-LT" w:eastAsia="lt-LT"/>
              </w:rPr>
            </w:pPr>
            <w:r w:rsidRPr="00E4412C">
              <w:rPr>
                <w:rFonts w:eastAsia="Times New Roman" w:cs="Times New Roman"/>
                <w:color w:val="000000"/>
                <w:sz w:val="22"/>
                <w:lang w:val="lt-LT" w:eastAsia="lt-LT"/>
              </w:rPr>
              <w:t>5</w:t>
            </w:r>
          </w:p>
        </w:tc>
        <w:tc>
          <w:tcPr>
            <w:tcW w:w="4940" w:type="dxa"/>
            <w:tcBorders>
              <w:top w:val="nil"/>
              <w:left w:val="nil"/>
              <w:bottom w:val="single" w:sz="4" w:space="0" w:color="auto"/>
              <w:right w:val="single" w:sz="4" w:space="0" w:color="auto"/>
            </w:tcBorders>
            <w:vAlign w:val="center"/>
            <w:hideMark/>
          </w:tcPr>
          <w:p w14:paraId="09249F04" w14:textId="77777777" w:rsidR="0058074B" w:rsidRPr="00E4412C" w:rsidRDefault="0058074B" w:rsidP="0058074B">
            <w:pPr>
              <w:spacing w:after="0"/>
              <w:rPr>
                <w:rFonts w:eastAsia="Times New Roman" w:cs="Times New Roman"/>
                <w:color w:val="000000"/>
                <w:sz w:val="22"/>
                <w:lang w:val="lt-LT" w:eastAsia="lt-LT"/>
              </w:rPr>
            </w:pPr>
            <w:proofErr w:type="spellStart"/>
            <w:r w:rsidRPr="00E4412C">
              <w:rPr>
                <w:rFonts w:eastAsia="Times New Roman" w:cs="Times New Roman"/>
                <w:color w:val="000000"/>
                <w:sz w:val="22"/>
                <w:lang w:val="lt-LT" w:eastAsia="lt-LT"/>
              </w:rPr>
              <w:t>Budezonidas</w:t>
            </w:r>
            <w:proofErr w:type="spellEnd"/>
            <w:r w:rsidRPr="00E4412C">
              <w:rPr>
                <w:rFonts w:eastAsia="Times New Roman" w:cs="Times New Roman"/>
                <w:color w:val="000000"/>
                <w:sz w:val="22"/>
                <w:lang w:val="lt-LT" w:eastAsia="lt-LT"/>
              </w:rPr>
              <w:t>/</w:t>
            </w:r>
            <w:proofErr w:type="spellStart"/>
            <w:r w:rsidRPr="00E4412C">
              <w:rPr>
                <w:rFonts w:eastAsia="Times New Roman" w:cs="Times New Roman"/>
                <w:color w:val="000000"/>
                <w:sz w:val="22"/>
                <w:lang w:val="lt-LT" w:eastAsia="lt-LT"/>
              </w:rPr>
              <w:t>Formoterolio</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fumaratas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dihidratas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Mepolizumabas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Loratadinas</w:t>
            </w:r>
            <w:proofErr w:type="spellEnd"/>
            <w:r w:rsidRPr="00E4412C">
              <w:rPr>
                <w:rFonts w:eastAsia="Times New Roman" w:cs="Times New Roman"/>
                <w:color w:val="000000"/>
                <w:sz w:val="22"/>
                <w:lang w:val="lt-LT" w:eastAsia="lt-LT"/>
              </w:rPr>
              <w:t xml:space="preserve">, </w:t>
            </w:r>
            <w:proofErr w:type="spellStart"/>
            <w:r w:rsidRPr="00E4412C">
              <w:rPr>
                <w:rFonts w:eastAsia="Times New Roman" w:cs="Times New Roman"/>
                <w:color w:val="000000"/>
                <w:sz w:val="22"/>
                <w:lang w:val="lt-LT" w:eastAsia="lt-LT"/>
              </w:rPr>
              <w:t>Ivakaftoras</w:t>
            </w:r>
            <w:proofErr w:type="spellEnd"/>
            <w:r w:rsidRPr="00E4412C">
              <w:rPr>
                <w:rFonts w:eastAsia="Times New Roman" w:cs="Times New Roman"/>
                <w:color w:val="000000"/>
                <w:sz w:val="22"/>
                <w:lang w:val="lt-LT" w:eastAsia="lt-LT"/>
              </w:rPr>
              <w:t>/</w:t>
            </w:r>
            <w:proofErr w:type="spellStart"/>
            <w:r w:rsidRPr="00E4412C">
              <w:rPr>
                <w:rFonts w:eastAsia="Times New Roman" w:cs="Times New Roman"/>
                <w:color w:val="000000"/>
                <w:sz w:val="22"/>
                <w:lang w:val="lt-LT" w:eastAsia="lt-LT"/>
              </w:rPr>
              <w:t>Tezakaftoras</w:t>
            </w:r>
            <w:proofErr w:type="spellEnd"/>
            <w:r w:rsidRPr="00E4412C">
              <w:rPr>
                <w:rFonts w:eastAsia="Times New Roman" w:cs="Times New Roman"/>
                <w:color w:val="000000"/>
                <w:sz w:val="22"/>
                <w:lang w:val="lt-LT" w:eastAsia="lt-LT"/>
              </w:rPr>
              <w:t>/</w:t>
            </w:r>
            <w:proofErr w:type="spellStart"/>
            <w:r w:rsidRPr="00E4412C">
              <w:rPr>
                <w:rFonts w:eastAsia="Times New Roman" w:cs="Times New Roman"/>
                <w:color w:val="000000"/>
                <w:sz w:val="22"/>
                <w:lang w:val="lt-LT" w:eastAsia="lt-LT"/>
              </w:rPr>
              <w:t>Eleksakaftoras</w:t>
            </w:r>
            <w:proofErr w:type="spellEnd"/>
          </w:p>
        </w:tc>
        <w:tc>
          <w:tcPr>
            <w:tcW w:w="3640" w:type="dxa"/>
            <w:tcBorders>
              <w:top w:val="nil"/>
              <w:left w:val="nil"/>
              <w:bottom w:val="single" w:sz="4" w:space="0" w:color="auto"/>
              <w:right w:val="single" w:sz="4" w:space="0" w:color="auto"/>
            </w:tcBorders>
            <w:vAlign w:val="center"/>
            <w:hideMark/>
          </w:tcPr>
          <w:p w14:paraId="5CF5018B" w14:textId="77777777" w:rsidR="0058074B" w:rsidRPr="00E4412C" w:rsidRDefault="0058074B" w:rsidP="0058074B">
            <w:pPr>
              <w:spacing w:after="0"/>
              <w:rPr>
                <w:rFonts w:eastAsia="Times New Roman" w:cs="Times New Roman"/>
                <w:color w:val="000000"/>
                <w:sz w:val="22"/>
                <w:lang w:val="lt-LT" w:eastAsia="lt-LT"/>
              </w:rPr>
            </w:pPr>
            <w:r w:rsidRPr="00E4412C">
              <w:rPr>
                <w:rFonts w:eastAsia="Times New Roman" w:cs="Times New Roman"/>
                <w:color w:val="000000"/>
                <w:sz w:val="22"/>
                <w:lang w:val="lt-LT" w:eastAsia="lt-LT"/>
              </w:rPr>
              <w:t>Anafilaksinė reakcija, piktybinis navikas, PRES sindromas</w:t>
            </w:r>
          </w:p>
        </w:tc>
      </w:tr>
      <w:tr w:rsidR="0058074B" w:rsidRPr="0058074B" w14:paraId="6B565451" w14:textId="77777777" w:rsidTr="0058074B">
        <w:trPr>
          <w:trHeight w:val="288"/>
        </w:trPr>
        <w:tc>
          <w:tcPr>
            <w:tcW w:w="9680"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12C359BD" w14:textId="77777777" w:rsidR="0058074B" w:rsidRPr="00825C36" w:rsidRDefault="0058074B" w:rsidP="0058074B">
            <w:pPr>
              <w:spacing w:after="0"/>
              <w:jc w:val="center"/>
              <w:rPr>
                <w:rFonts w:eastAsia="Times New Roman" w:cs="Times New Roman"/>
                <w:color w:val="000000"/>
                <w:sz w:val="22"/>
                <w:lang w:val="lt-LT" w:eastAsia="lt-LT"/>
              </w:rPr>
            </w:pPr>
            <w:r w:rsidRPr="00825C36">
              <w:rPr>
                <w:rFonts w:eastAsia="Times New Roman" w:cs="Times New Roman"/>
                <w:color w:val="000000"/>
                <w:sz w:val="22"/>
                <w:lang w:val="lt-LT" w:eastAsia="lt-LT"/>
              </w:rPr>
              <w:t>Jutimo organus veikiantys vaistai</w:t>
            </w:r>
          </w:p>
        </w:tc>
      </w:tr>
      <w:tr w:rsidR="0058074B" w:rsidRPr="0058074B" w14:paraId="5179A695" w14:textId="77777777" w:rsidTr="0058074B">
        <w:trPr>
          <w:trHeight w:val="288"/>
        </w:trPr>
        <w:tc>
          <w:tcPr>
            <w:tcW w:w="1100" w:type="dxa"/>
            <w:tcBorders>
              <w:top w:val="nil"/>
              <w:left w:val="single" w:sz="4" w:space="0" w:color="auto"/>
              <w:bottom w:val="single" w:sz="4" w:space="0" w:color="auto"/>
              <w:right w:val="single" w:sz="4" w:space="0" w:color="auto"/>
            </w:tcBorders>
            <w:noWrap/>
            <w:vAlign w:val="center"/>
            <w:hideMark/>
          </w:tcPr>
          <w:p w14:paraId="69ED8B27" w14:textId="77777777" w:rsidR="0058074B" w:rsidRPr="00E4412C" w:rsidRDefault="0058074B" w:rsidP="0058074B">
            <w:pPr>
              <w:spacing w:after="0"/>
              <w:jc w:val="center"/>
              <w:rPr>
                <w:rFonts w:eastAsia="Times New Roman" w:cs="Times New Roman"/>
                <w:color w:val="000000"/>
                <w:sz w:val="22"/>
                <w:lang w:val="lt-LT" w:eastAsia="lt-LT"/>
              </w:rPr>
            </w:pPr>
            <w:r w:rsidRPr="00E4412C">
              <w:rPr>
                <w:rFonts w:eastAsia="Times New Roman" w:cs="Times New Roman"/>
                <w:color w:val="000000"/>
                <w:sz w:val="22"/>
                <w:lang w:val="lt-LT" w:eastAsia="lt-LT"/>
              </w:rPr>
              <w:t>1</w:t>
            </w:r>
          </w:p>
        </w:tc>
        <w:tc>
          <w:tcPr>
            <w:tcW w:w="4940" w:type="dxa"/>
            <w:tcBorders>
              <w:top w:val="nil"/>
              <w:left w:val="nil"/>
              <w:bottom w:val="single" w:sz="4" w:space="0" w:color="auto"/>
              <w:right w:val="single" w:sz="4" w:space="0" w:color="auto"/>
            </w:tcBorders>
            <w:noWrap/>
            <w:vAlign w:val="center"/>
            <w:hideMark/>
          </w:tcPr>
          <w:p w14:paraId="59004E61" w14:textId="77777777" w:rsidR="0058074B" w:rsidRPr="00E4412C" w:rsidRDefault="0058074B" w:rsidP="0058074B">
            <w:pPr>
              <w:spacing w:after="0"/>
              <w:rPr>
                <w:rFonts w:eastAsia="Times New Roman" w:cs="Times New Roman"/>
                <w:color w:val="000000"/>
                <w:sz w:val="22"/>
                <w:lang w:val="lt-LT" w:eastAsia="lt-LT"/>
              </w:rPr>
            </w:pPr>
            <w:proofErr w:type="spellStart"/>
            <w:r w:rsidRPr="00E4412C">
              <w:rPr>
                <w:rFonts w:eastAsia="Times New Roman" w:cs="Times New Roman"/>
                <w:color w:val="000000"/>
                <w:sz w:val="22"/>
                <w:lang w:val="lt-LT" w:eastAsia="lt-LT"/>
              </w:rPr>
              <w:t>Brinzolamidas</w:t>
            </w:r>
            <w:proofErr w:type="spellEnd"/>
          </w:p>
        </w:tc>
        <w:tc>
          <w:tcPr>
            <w:tcW w:w="3640" w:type="dxa"/>
            <w:tcBorders>
              <w:top w:val="nil"/>
              <w:left w:val="nil"/>
              <w:bottom w:val="single" w:sz="4" w:space="0" w:color="auto"/>
              <w:right w:val="single" w:sz="4" w:space="0" w:color="auto"/>
            </w:tcBorders>
            <w:noWrap/>
            <w:vAlign w:val="center"/>
            <w:hideMark/>
          </w:tcPr>
          <w:p w14:paraId="7BCBB8B3" w14:textId="77777777" w:rsidR="0058074B" w:rsidRPr="00E4412C" w:rsidRDefault="0058074B" w:rsidP="0058074B">
            <w:pPr>
              <w:spacing w:after="0"/>
              <w:rPr>
                <w:rFonts w:eastAsia="Times New Roman" w:cs="Times New Roman"/>
                <w:color w:val="000000"/>
                <w:sz w:val="22"/>
                <w:lang w:val="lt-LT" w:eastAsia="lt-LT"/>
              </w:rPr>
            </w:pPr>
            <w:r w:rsidRPr="00E4412C">
              <w:rPr>
                <w:rFonts w:eastAsia="Times New Roman" w:cs="Times New Roman"/>
                <w:color w:val="000000"/>
                <w:sz w:val="22"/>
                <w:lang w:val="lt-LT" w:eastAsia="lt-LT"/>
              </w:rPr>
              <w:t>Apnašos ant akių</w:t>
            </w:r>
          </w:p>
        </w:tc>
      </w:tr>
      <w:tr w:rsidR="0058074B" w:rsidRPr="0058074B" w14:paraId="54C0C7D9" w14:textId="77777777" w:rsidTr="0058074B">
        <w:trPr>
          <w:trHeight w:val="288"/>
        </w:trPr>
        <w:tc>
          <w:tcPr>
            <w:tcW w:w="9680"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42F89033" w14:textId="77777777" w:rsidR="0058074B" w:rsidRPr="00825C36" w:rsidRDefault="0058074B" w:rsidP="0058074B">
            <w:pPr>
              <w:spacing w:after="0"/>
              <w:jc w:val="center"/>
              <w:rPr>
                <w:rFonts w:eastAsia="Times New Roman" w:cs="Times New Roman"/>
                <w:color w:val="000000"/>
                <w:sz w:val="22"/>
                <w:lang w:val="lt-LT" w:eastAsia="lt-LT"/>
              </w:rPr>
            </w:pPr>
            <w:proofErr w:type="spellStart"/>
            <w:r w:rsidRPr="00825C36">
              <w:rPr>
                <w:rFonts w:eastAsia="Times New Roman" w:cs="Times New Roman"/>
                <w:color w:val="000000"/>
                <w:sz w:val="22"/>
                <w:lang w:val="lt-LT" w:eastAsia="lt-LT"/>
              </w:rPr>
              <w:t>Antiparazitiniai</w:t>
            </w:r>
            <w:proofErr w:type="spellEnd"/>
            <w:r w:rsidRPr="00825C36">
              <w:rPr>
                <w:rFonts w:eastAsia="Times New Roman" w:cs="Times New Roman"/>
                <w:color w:val="000000"/>
                <w:sz w:val="22"/>
                <w:lang w:val="lt-LT" w:eastAsia="lt-LT"/>
              </w:rPr>
              <w:t xml:space="preserve"> preparatai</w:t>
            </w:r>
          </w:p>
        </w:tc>
      </w:tr>
      <w:tr w:rsidR="0058074B" w:rsidRPr="0058074B" w14:paraId="6EDB8156" w14:textId="77777777" w:rsidTr="0058074B">
        <w:trPr>
          <w:trHeight w:val="600"/>
        </w:trPr>
        <w:tc>
          <w:tcPr>
            <w:tcW w:w="1100" w:type="dxa"/>
            <w:tcBorders>
              <w:top w:val="nil"/>
              <w:left w:val="single" w:sz="4" w:space="0" w:color="auto"/>
              <w:bottom w:val="single" w:sz="4" w:space="0" w:color="auto"/>
              <w:right w:val="single" w:sz="4" w:space="0" w:color="auto"/>
            </w:tcBorders>
            <w:noWrap/>
            <w:vAlign w:val="center"/>
            <w:hideMark/>
          </w:tcPr>
          <w:p w14:paraId="02BFA913" w14:textId="77777777" w:rsidR="0058074B" w:rsidRPr="00E4412C" w:rsidRDefault="0058074B" w:rsidP="0058074B">
            <w:pPr>
              <w:spacing w:after="0"/>
              <w:jc w:val="center"/>
              <w:rPr>
                <w:rFonts w:eastAsia="Times New Roman" w:cs="Times New Roman"/>
                <w:color w:val="333333"/>
                <w:sz w:val="22"/>
                <w:lang w:val="lt-LT" w:eastAsia="lt-LT"/>
              </w:rPr>
            </w:pPr>
            <w:r w:rsidRPr="00E4412C">
              <w:rPr>
                <w:rFonts w:eastAsia="Times New Roman" w:cs="Times New Roman"/>
                <w:color w:val="333333"/>
                <w:sz w:val="22"/>
                <w:lang w:val="lt-LT" w:eastAsia="lt-LT"/>
              </w:rPr>
              <w:t>1</w:t>
            </w:r>
          </w:p>
        </w:tc>
        <w:tc>
          <w:tcPr>
            <w:tcW w:w="4940" w:type="dxa"/>
            <w:tcBorders>
              <w:top w:val="nil"/>
              <w:left w:val="nil"/>
              <w:bottom w:val="single" w:sz="4" w:space="0" w:color="auto"/>
              <w:right w:val="single" w:sz="4" w:space="0" w:color="auto"/>
            </w:tcBorders>
            <w:noWrap/>
            <w:vAlign w:val="center"/>
            <w:hideMark/>
          </w:tcPr>
          <w:p w14:paraId="0DC5FE32" w14:textId="77777777" w:rsidR="0058074B" w:rsidRPr="00E4412C" w:rsidRDefault="0058074B" w:rsidP="0058074B">
            <w:pPr>
              <w:spacing w:after="0"/>
              <w:rPr>
                <w:rFonts w:eastAsia="Times New Roman" w:cs="Times New Roman"/>
                <w:color w:val="333333"/>
                <w:sz w:val="22"/>
                <w:lang w:val="lt-LT" w:eastAsia="lt-LT"/>
              </w:rPr>
            </w:pPr>
            <w:proofErr w:type="spellStart"/>
            <w:r w:rsidRPr="00E4412C">
              <w:rPr>
                <w:rFonts w:eastAsia="Times New Roman" w:cs="Times New Roman"/>
                <w:color w:val="333333"/>
                <w:sz w:val="22"/>
                <w:lang w:val="lt-LT" w:eastAsia="lt-LT"/>
              </w:rPr>
              <w:t>Atovakvonas</w:t>
            </w:r>
            <w:proofErr w:type="spellEnd"/>
            <w:r w:rsidRPr="00E4412C">
              <w:rPr>
                <w:rFonts w:eastAsia="Times New Roman" w:cs="Times New Roman"/>
                <w:color w:val="333333"/>
                <w:sz w:val="22"/>
                <w:lang w:val="lt-LT" w:eastAsia="lt-LT"/>
              </w:rPr>
              <w:t>/</w:t>
            </w:r>
            <w:proofErr w:type="spellStart"/>
            <w:r w:rsidRPr="00E4412C">
              <w:rPr>
                <w:rFonts w:eastAsia="Times New Roman" w:cs="Times New Roman"/>
                <w:color w:val="333333"/>
                <w:sz w:val="22"/>
                <w:lang w:val="lt-LT" w:eastAsia="lt-LT"/>
              </w:rPr>
              <w:t>Proguanilo</w:t>
            </w:r>
            <w:proofErr w:type="spellEnd"/>
            <w:r w:rsidRPr="00E4412C">
              <w:rPr>
                <w:rFonts w:eastAsia="Times New Roman" w:cs="Times New Roman"/>
                <w:color w:val="333333"/>
                <w:sz w:val="22"/>
                <w:lang w:val="lt-LT" w:eastAsia="lt-LT"/>
              </w:rPr>
              <w:t xml:space="preserve"> hidrochloridas</w:t>
            </w:r>
          </w:p>
        </w:tc>
        <w:tc>
          <w:tcPr>
            <w:tcW w:w="3640" w:type="dxa"/>
            <w:tcBorders>
              <w:top w:val="nil"/>
              <w:left w:val="nil"/>
              <w:bottom w:val="single" w:sz="4" w:space="0" w:color="auto"/>
              <w:right w:val="single" w:sz="4" w:space="0" w:color="auto"/>
            </w:tcBorders>
            <w:vAlign w:val="center"/>
            <w:hideMark/>
          </w:tcPr>
          <w:p w14:paraId="7FB571CB" w14:textId="77777777" w:rsidR="0058074B" w:rsidRPr="00E4412C" w:rsidRDefault="0058074B" w:rsidP="0058074B">
            <w:pPr>
              <w:spacing w:after="0"/>
              <w:rPr>
                <w:rFonts w:eastAsia="Times New Roman" w:cs="Times New Roman"/>
                <w:color w:val="000000"/>
                <w:sz w:val="22"/>
                <w:lang w:val="lt-LT" w:eastAsia="lt-LT"/>
              </w:rPr>
            </w:pPr>
            <w:r w:rsidRPr="00E4412C">
              <w:rPr>
                <w:rFonts w:eastAsia="Times New Roman" w:cs="Times New Roman"/>
                <w:color w:val="000000"/>
                <w:sz w:val="22"/>
                <w:lang w:val="lt-LT" w:eastAsia="lt-LT"/>
              </w:rPr>
              <w:t>Karščiavimas, kosulys, haliucinacijos, niežulys</w:t>
            </w:r>
          </w:p>
        </w:tc>
      </w:tr>
      <w:tr w:rsidR="0058074B" w:rsidRPr="0058074B" w14:paraId="23901E5E" w14:textId="77777777" w:rsidTr="0058074B">
        <w:trPr>
          <w:trHeight w:val="288"/>
        </w:trPr>
        <w:tc>
          <w:tcPr>
            <w:tcW w:w="9680"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75FDC589" w14:textId="77777777" w:rsidR="0058074B" w:rsidRPr="00825C36" w:rsidRDefault="0058074B" w:rsidP="0058074B">
            <w:pPr>
              <w:spacing w:after="0"/>
              <w:jc w:val="center"/>
              <w:rPr>
                <w:rFonts w:eastAsia="Times New Roman" w:cs="Times New Roman"/>
                <w:color w:val="000000"/>
                <w:sz w:val="22"/>
                <w:lang w:val="lt-LT" w:eastAsia="lt-LT"/>
              </w:rPr>
            </w:pPr>
            <w:r w:rsidRPr="00825C36">
              <w:rPr>
                <w:rFonts w:eastAsia="Times New Roman" w:cs="Times New Roman"/>
                <w:color w:val="000000"/>
                <w:sz w:val="22"/>
                <w:lang w:val="lt-LT" w:eastAsia="lt-LT"/>
              </w:rPr>
              <w:t xml:space="preserve">Kiti vaistai, nepriskirti konkrečiai grupei </w:t>
            </w:r>
          </w:p>
        </w:tc>
      </w:tr>
      <w:tr w:rsidR="0058074B" w:rsidRPr="0058074B" w14:paraId="7733837E" w14:textId="77777777" w:rsidTr="0058074B">
        <w:trPr>
          <w:trHeight w:val="288"/>
        </w:trPr>
        <w:tc>
          <w:tcPr>
            <w:tcW w:w="1100" w:type="dxa"/>
            <w:tcBorders>
              <w:top w:val="nil"/>
              <w:left w:val="single" w:sz="4" w:space="0" w:color="auto"/>
              <w:bottom w:val="single" w:sz="4" w:space="0" w:color="auto"/>
              <w:right w:val="single" w:sz="4" w:space="0" w:color="auto"/>
            </w:tcBorders>
            <w:noWrap/>
            <w:vAlign w:val="center"/>
            <w:hideMark/>
          </w:tcPr>
          <w:p w14:paraId="6AE9D0E4" w14:textId="77777777" w:rsidR="0058074B" w:rsidRPr="0058074B" w:rsidRDefault="0058074B" w:rsidP="0058074B">
            <w:pPr>
              <w:spacing w:after="0"/>
              <w:jc w:val="center"/>
              <w:rPr>
                <w:rFonts w:ascii="Calibri" w:eastAsia="Times New Roman" w:hAnsi="Calibri" w:cs="Calibri"/>
                <w:color w:val="000000"/>
                <w:sz w:val="22"/>
                <w:lang w:val="lt-LT" w:eastAsia="lt-LT"/>
              </w:rPr>
            </w:pPr>
            <w:r w:rsidRPr="0058074B">
              <w:rPr>
                <w:rFonts w:ascii="Calibri" w:eastAsia="Times New Roman" w:hAnsi="Calibri" w:cs="Calibri"/>
                <w:color w:val="000000"/>
                <w:sz w:val="22"/>
                <w:lang w:val="lt-LT" w:eastAsia="lt-LT"/>
              </w:rPr>
              <w:t>1</w:t>
            </w:r>
          </w:p>
        </w:tc>
        <w:tc>
          <w:tcPr>
            <w:tcW w:w="4940" w:type="dxa"/>
            <w:tcBorders>
              <w:top w:val="nil"/>
              <w:left w:val="nil"/>
              <w:bottom w:val="single" w:sz="4" w:space="0" w:color="auto"/>
              <w:right w:val="single" w:sz="4" w:space="0" w:color="auto"/>
            </w:tcBorders>
            <w:vAlign w:val="center"/>
            <w:hideMark/>
          </w:tcPr>
          <w:p w14:paraId="26FFA561" w14:textId="77777777" w:rsidR="0058074B" w:rsidRPr="00E4412C" w:rsidRDefault="0058074B" w:rsidP="0058074B">
            <w:pPr>
              <w:spacing w:after="0"/>
              <w:rPr>
                <w:rFonts w:eastAsia="Times New Roman" w:cs="Times New Roman"/>
                <w:color w:val="000000"/>
                <w:sz w:val="22"/>
                <w:lang w:val="lt-LT" w:eastAsia="lt-LT"/>
              </w:rPr>
            </w:pPr>
            <w:proofErr w:type="spellStart"/>
            <w:r w:rsidRPr="00E4412C">
              <w:rPr>
                <w:rFonts w:eastAsia="Times New Roman" w:cs="Times New Roman"/>
                <w:color w:val="000000"/>
                <w:sz w:val="22"/>
                <w:lang w:val="lt-LT" w:eastAsia="lt-LT"/>
              </w:rPr>
              <w:t>Jopromidas</w:t>
            </w:r>
            <w:proofErr w:type="spellEnd"/>
          </w:p>
        </w:tc>
        <w:tc>
          <w:tcPr>
            <w:tcW w:w="3640" w:type="dxa"/>
            <w:tcBorders>
              <w:top w:val="nil"/>
              <w:left w:val="nil"/>
              <w:bottom w:val="single" w:sz="4" w:space="0" w:color="auto"/>
              <w:right w:val="single" w:sz="4" w:space="0" w:color="auto"/>
            </w:tcBorders>
            <w:vAlign w:val="center"/>
            <w:hideMark/>
          </w:tcPr>
          <w:p w14:paraId="3878391B" w14:textId="77777777" w:rsidR="0058074B" w:rsidRPr="00E4412C" w:rsidRDefault="0058074B" w:rsidP="0058074B">
            <w:pPr>
              <w:spacing w:after="0"/>
              <w:rPr>
                <w:rFonts w:eastAsia="Times New Roman" w:cs="Times New Roman"/>
                <w:color w:val="000000"/>
                <w:sz w:val="22"/>
                <w:lang w:val="lt-LT" w:eastAsia="lt-LT"/>
              </w:rPr>
            </w:pPr>
            <w:r w:rsidRPr="00E4412C">
              <w:rPr>
                <w:rFonts w:eastAsia="Times New Roman" w:cs="Times New Roman"/>
                <w:color w:val="000000"/>
                <w:sz w:val="22"/>
                <w:lang w:val="lt-LT" w:eastAsia="lt-LT"/>
              </w:rPr>
              <w:t>Anafilaksinė reakcija</w:t>
            </w:r>
          </w:p>
        </w:tc>
      </w:tr>
      <w:tr w:rsidR="0058074B" w:rsidRPr="0058074B" w14:paraId="0B61B713" w14:textId="77777777" w:rsidTr="0058074B">
        <w:trPr>
          <w:trHeight w:val="288"/>
        </w:trPr>
        <w:tc>
          <w:tcPr>
            <w:tcW w:w="9680"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0E486BF1" w14:textId="77777777" w:rsidR="0058074B" w:rsidRPr="00825C36" w:rsidRDefault="0058074B" w:rsidP="0058074B">
            <w:pPr>
              <w:spacing w:after="0"/>
              <w:jc w:val="center"/>
              <w:rPr>
                <w:rFonts w:eastAsia="Times New Roman" w:cs="Times New Roman"/>
                <w:color w:val="000000"/>
                <w:sz w:val="22"/>
                <w:lang w:val="lt-LT" w:eastAsia="lt-LT"/>
              </w:rPr>
            </w:pPr>
            <w:r w:rsidRPr="00825C36">
              <w:rPr>
                <w:rFonts w:eastAsia="Times New Roman" w:cs="Times New Roman"/>
                <w:color w:val="000000"/>
                <w:sz w:val="22"/>
                <w:lang w:val="lt-LT" w:eastAsia="lt-LT"/>
              </w:rPr>
              <w:t>Vaistai, kuriems nesuteiktas ATC kodas</w:t>
            </w:r>
          </w:p>
        </w:tc>
      </w:tr>
      <w:tr w:rsidR="0058074B" w:rsidRPr="0058074B" w14:paraId="5456EA19" w14:textId="77777777" w:rsidTr="0058074B">
        <w:trPr>
          <w:trHeight w:val="864"/>
        </w:trPr>
        <w:tc>
          <w:tcPr>
            <w:tcW w:w="1100" w:type="dxa"/>
            <w:tcBorders>
              <w:top w:val="nil"/>
              <w:left w:val="single" w:sz="4" w:space="0" w:color="auto"/>
              <w:bottom w:val="single" w:sz="4" w:space="0" w:color="auto"/>
              <w:right w:val="single" w:sz="4" w:space="0" w:color="auto"/>
            </w:tcBorders>
            <w:noWrap/>
            <w:vAlign w:val="center"/>
            <w:hideMark/>
          </w:tcPr>
          <w:p w14:paraId="3EB9020F" w14:textId="77777777" w:rsidR="0058074B" w:rsidRPr="0058074B" w:rsidRDefault="0058074B" w:rsidP="0058074B">
            <w:pPr>
              <w:spacing w:after="0"/>
              <w:jc w:val="center"/>
              <w:rPr>
                <w:rFonts w:ascii="Calibri" w:eastAsia="Times New Roman" w:hAnsi="Calibri" w:cs="Calibri"/>
                <w:color w:val="000000"/>
                <w:sz w:val="22"/>
                <w:lang w:val="lt-LT" w:eastAsia="lt-LT"/>
              </w:rPr>
            </w:pPr>
            <w:r w:rsidRPr="0058074B">
              <w:rPr>
                <w:rFonts w:ascii="Calibri" w:eastAsia="Times New Roman" w:hAnsi="Calibri" w:cs="Calibri"/>
                <w:color w:val="000000"/>
                <w:sz w:val="22"/>
                <w:lang w:val="lt-LT" w:eastAsia="lt-LT"/>
              </w:rPr>
              <w:t>2</w:t>
            </w:r>
          </w:p>
        </w:tc>
        <w:tc>
          <w:tcPr>
            <w:tcW w:w="4940" w:type="dxa"/>
            <w:tcBorders>
              <w:top w:val="nil"/>
              <w:left w:val="nil"/>
              <w:bottom w:val="single" w:sz="4" w:space="0" w:color="auto"/>
              <w:right w:val="single" w:sz="4" w:space="0" w:color="auto"/>
            </w:tcBorders>
            <w:vAlign w:val="center"/>
            <w:hideMark/>
          </w:tcPr>
          <w:p w14:paraId="5A90CF17" w14:textId="77777777" w:rsidR="0058074B" w:rsidRPr="00E4412C" w:rsidRDefault="0058074B" w:rsidP="0058074B">
            <w:pPr>
              <w:spacing w:after="0"/>
              <w:rPr>
                <w:rFonts w:eastAsia="Times New Roman" w:cs="Times New Roman"/>
                <w:color w:val="000000"/>
                <w:sz w:val="22"/>
                <w:lang w:val="lt-LT" w:eastAsia="lt-LT"/>
              </w:rPr>
            </w:pPr>
            <w:r w:rsidRPr="00E4412C">
              <w:rPr>
                <w:rFonts w:eastAsia="Times New Roman" w:cs="Times New Roman"/>
                <w:color w:val="000000"/>
                <w:sz w:val="22"/>
                <w:lang w:val="lt-LT" w:eastAsia="lt-LT"/>
              </w:rPr>
              <w:t xml:space="preserve">Chimerinio antigeno receptoriaus T limfocitai, Nepatikslinti </w:t>
            </w:r>
            <w:proofErr w:type="spellStart"/>
            <w:r w:rsidRPr="00E4412C">
              <w:rPr>
                <w:rFonts w:eastAsia="Times New Roman" w:cs="Times New Roman"/>
                <w:color w:val="000000"/>
                <w:sz w:val="22"/>
                <w:lang w:val="lt-LT" w:eastAsia="lt-LT"/>
              </w:rPr>
              <w:t>antihipertenziniai</w:t>
            </w:r>
            <w:proofErr w:type="spellEnd"/>
            <w:r w:rsidRPr="00E4412C">
              <w:rPr>
                <w:rFonts w:eastAsia="Times New Roman" w:cs="Times New Roman"/>
                <w:color w:val="000000"/>
                <w:sz w:val="22"/>
                <w:lang w:val="lt-LT" w:eastAsia="lt-LT"/>
              </w:rPr>
              <w:t xml:space="preserve"> medikamentai</w:t>
            </w:r>
          </w:p>
        </w:tc>
        <w:tc>
          <w:tcPr>
            <w:tcW w:w="3640" w:type="dxa"/>
            <w:tcBorders>
              <w:top w:val="nil"/>
              <w:left w:val="nil"/>
              <w:bottom w:val="single" w:sz="4" w:space="0" w:color="auto"/>
              <w:right w:val="single" w:sz="4" w:space="0" w:color="auto"/>
            </w:tcBorders>
            <w:vAlign w:val="center"/>
            <w:hideMark/>
          </w:tcPr>
          <w:p w14:paraId="006596CD" w14:textId="77777777" w:rsidR="0058074B" w:rsidRPr="00E4412C" w:rsidRDefault="0058074B" w:rsidP="0058074B">
            <w:pPr>
              <w:spacing w:after="0"/>
              <w:rPr>
                <w:rFonts w:eastAsia="Times New Roman" w:cs="Times New Roman"/>
                <w:color w:val="000000"/>
                <w:sz w:val="22"/>
                <w:lang w:val="lt-LT" w:eastAsia="lt-LT"/>
              </w:rPr>
            </w:pPr>
            <w:r w:rsidRPr="00E4412C">
              <w:rPr>
                <w:rFonts w:eastAsia="Times New Roman" w:cs="Times New Roman"/>
                <w:color w:val="000000"/>
                <w:sz w:val="22"/>
                <w:lang w:val="lt-LT" w:eastAsia="lt-LT"/>
              </w:rPr>
              <w:t xml:space="preserve">Imuninių </w:t>
            </w:r>
            <w:proofErr w:type="spellStart"/>
            <w:r w:rsidRPr="00E4412C">
              <w:rPr>
                <w:rFonts w:eastAsia="Times New Roman" w:cs="Times New Roman"/>
                <w:color w:val="000000"/>
                <w:sz w:val="22"/>
                <w:lang w:val="lt-LT" w:eastAsia="lt-LT"/>
              </w:rPr>
              <w:t>efektorinių</w:t>
            </w:r>
            <w:proofErr w:type="spellEnd"/>
            <w:r w:rsidRPr="00E4412C">
              <w:rPr>
                <w:rFonts w:eastAsia="Times New Roman" w:cs="Times New Roman"/>
                <w:color w:val="000000"/>
                <w:sz w:val="22"/>
                <w:lang w:val="lt-LT" w:eastAsia="lt-LT"/>
              </w:rPr>
              <w:t xml:space="preserve"> ląstelių sąlygotas vėlyvas hematologinis toksiškumas, tyčinis perdozavimas </w:t>
            </w:r>
            <w:proofErr w:type="spellStart"/>
            <w:r w:rsidRPr="00E4412C">
              <w:rPr>
                <w:rFonts w:eastAsia="Times New Roman" w:cs="Times New Roman"/>
                <w:color w:val="000000"/>
                <w:sz w:val="22"/>
                <w:lang w:val="lt-LT" w:eastAsia="lt-LT"/>
              </w:rPr>
              <w:t>suicido</w:t>
            </w:r>
            <w:proofErr w:type="spellEnd"/>
            <w:r w:rsidRPr="00E4412C">
              <w:rPr>
                <w:rFonts w:eastAsia="Times New Roman" w:cs="Times New Roman"/>
                <w:color w:val="000000"/>
                <w:sz w:val="22"/>
                <w:lang w:val="lt-LT" w:eastAsia="lt-LT"/>
              </w:rPr>
              <w:t xml:space="preserve"> tikslu</w:t>
            </w:r>
          </w:p>
        </w:tc>
      </w:tr>
    </w:tbl>
    <w:p w14:paraId="607163D0" w14:textId="77777777" w:rsidR="00DF22F0" w:rsidRPr="00DF22F0" w:rsidRDefault="00DF22F0" w:rsidP="00DF22F0">
      <w:pPr>
        <w:pStyle w:val="Betarp"/>
        <w:rPr>
          <w:b/>
          <w:bCs/>
          <w:sz w:val="24"/>
          <w:szCs w:val="24"/>
          <w:lang w:val="lt-LT"/>
        </w:rPr>
      </w:pPr>
    </w:p>
    <w:p w14:paraId="6AF60D4A" w14:textId="5426A8DD" w:rsidR="00DF22F0" w:rsidRPr="0001298D" w:rsidRDefault="00DF22F0" w:rsidP="0001298D">
      <w:pPr>
        <w:pStyle w:val="Betarp"/>
        <w:ind w:firstLine="708"/>
        <w:rPr>
          <w:sz w:val="24"/>
          <w:szCs w:val="24"/>
          <w:lang w:val="lt-LT"/>
        </w:rPr>
      </w:pPr>
      <w:r w:rsidRPr="0001298D">
        <w:rPr>
          <w:sz w:val="24"/>
          <w:szCs w:val="24"/>
          <w:lang w:val="lt-LT"/>
        </w:rPr>
        <w:t>Dažniausiai praneštos nepageidaujamos reakcijos pagal organų klases į vaistus pateiktos 4 lentelėje.</w:t>
      </w:r>
    </w:p>
    <w:p w14:paraId="436F2C5B" w14:textId="77777777" w:rsidR="0001298D" w:rsidRPr="0001298D" w:rsidRDefault="0001298D" w:rsidP="0001298D">
      <w:pPr>
        <w:pStyle w:val="Betarp"/>
        <w:ind w:firstLine="708"/>
        <w:rPr>
          <w:sz w:val="24"/>
          <w:szCs w:val="24"/>
          <w:lang w:val="lt-LT"/>
        </w:rPr>
      </w:pPr>
    </w:p>
    <w:p w14:paraId="7C68B110" w14:textId="1B0575AE" w:rsidR="00DF22F0" w:rsidRDefault="00DF22F0" w:rsidP="00DF22F0">
      <w:pPr>
        <w:pStyle w:val="Betarp"/>
        <w:rPr>
          <w:b/>
          <w:bCs/>
          <w:sz w:val="24"/>
          <w:szCs w:val="24"/>
          <w:lang w:val="lt-LT"/>
        </w:rPr>
      </w:pPr>
      <w:r w:rsidRPr="0001298D">
        <w:rPr>
          <w:b/>
          <w:sz w:val="24"/>
          <w:szCs w:val="24"/>
          <w:lang w:val="lt-LT"/>
        </w:rPr>
        <w:t xml:space="preserve"> 4 lentelė.</w:t>
      </w:r>
      <w:r w:rsidRPr="0001298D">
        <w:rPr>
          <w:b/>
          <w:bCs/>
          <w:sz w:val="24"/>
          <w:szCs w:val="24"/>
          <w:lang w:val="lt-LT"/>
        </w:rPr>
        <w:t xml:space="preserve"> Dažniausios nepageidaujamos reakcijos į vaistus pagal organų klases</w:t>
      </w:r>
    </w:p>
    <w:p w14:paraId="702808DF" w14:textId="77777777" w:rsidR="00CD34F3" w:rsidRPr="0001298D" w:rsidRDefault="00CD34F3" w:rsidP="00DF22F0">
      <w:pPr>
        <w:pStyle w:val="Betarp"/>
        <w:rPr>
          <w:b/>
          <w:bCs/>
          <w:sz w:val="24"/>
          <w:szCs w:val="24"/>
          <w:lang w:val="lt-LT"/>
        </w:rPr>
      </w:pPr>
    </w:p>
    <w:tbl>
      <w:tblPr>
        <w:tblW w:w="9634" w:type="dxa"/>
        <w:tblLook w:val="04A0" w:firstRow="1" w:lastRow="0" w:firstColumn="1" w:lastColumn="0" w:noHBand="0" w:noVBand="1"/>
      </w:tblPr>
      <w:tblGrid>
        <w:gridCol w:w="7083"/>
        <w:gridCol w:w="2551"/>
      </w:tblGrid>
      <w:tr w:rsidR="00427063" w:rsidRPr="00427063" w14:paraId="43532FF8"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2D32C7F4"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Nepageidaujama reakcija pagal organų klasę</w:t>
            </w:r>
          </w:p>
        </w:tc>
        <w:tc>
          <w:tcPr>
            <w:tcW w:w="2551" w:type="dxa"/>
            <w:tcBorders>
              <w:top w:val="single" w:sz="4" w:space="0" w:color="auto"/>
              <w:left w:val="nil"/>
              <w:bottom w:val="single" w:sz="4" w:space="0" w:color="auto"/>
              <w:right w:val="single" w:sz="4" w:space="0" w:color="auto"/>
            </w:tcBorders>
            <w:noWrap/>
            <w:vAlign w:val="center"/>
            <w:hideMark/>
          </w:tcPr>
          <w:p w14:paraId="102DAD04" w14:textId="77777777" w:rsidR="00427063" w:rsidRPr="002140F7" w:rsidRDefault="00427063" w:rsidP="00427063">
            <w:pPr>
              <w:spacing w:after="0"/>
              <w:jc w:val="center"/>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Viso reakcijų</w:t>
            </w:r>
          </w:p>
        </w:tc>
      </w:tr>
      <w:tr w:rsidR="00427063" w:rsidRPr="00427063" w14:paraId="418AE46B" w14:textId="77777777" w:rsidTr="002140F7">
        <w:trPr>
          <w:trHeight w:val="312"/>
        </w:trPr>
        <w:tc>
          <w:tcPr>
            <w:tcW w:w="7083" w:type="dxa"/>
            <w:tcBorders>
              <w:top w:val="nil"/>
              <w:left w:val="single" w:sz="4" w:space="0" w:color="auto"/>
              <w:bottom w:val="single" w:sz="4" w:space="0" w:color="auto"/>
              <w:right w:val="single" w:sz="4" w:space="0" w:color="auto"/>
            </w:tcBorders>
            <w:shd w:val="clear" w:color="000000" w:fill="E7E6E6"/>
            <w:noWrap/>
            <w:vAlign w:val="center"/>
            <w:hideMark/>
          </w:tcPr>
          <w:p w14:paraId="69641BCD"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Kraujo ir limfinės sistemos sutrikimai</w:t>
            </w:r>
          </w:p>
        </w:tc>
        <w:tc>
          <w:tcPr>
            <w:tcW w:w="2551" w:type="dxa"/>
            <w:tcBorders>
              <w:top w:val="nil"/>
              <w:left w:val="nil"/>
              <w:bottom w:val="single" w:sz="4" w:space="0" w:color="auto"/>
              <w:right w:val="single" w:sz="4" w:space="0" w:color="auto"/>
            </w:tcBorders>
            <w:shd w:val="clear" w:color="000000" w:fill="E7E6E6"/>
            <w:noWrap/>
            <w:vAlign w:val="center"/>
            <w:hideMark/>
          </w:tcPr>
          <w:p w14:paraId="408B7817"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sz w:val="22"/>
                <w:lang w:val="lt-LT" w:eastAsia="lt-LT"/>
              </w:rPr>
              <w:t> </w:t>
            </w:r>
          </w:p>
        </w:tc>
      </w:tr>
      <w:tr w:rsidR="00427063" w:rsidRPr="00427063" w14:paraId="1745B130"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0869C374" w14:textId="77777777" w:rsidR="00427063" w:rsidRPr="002140F7" w:rsidRDefault="00427063" w:rsidP="00427063">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Neutropenija</w:t>
            </w:r>
            <w:proofErr w:type="spellEnd"/>
          </w:p>
        </w:tc>
        <w:tc>
          <w:tcPr>
            <w:tcW w:w="2551" w:type="dxa"/>
            <w:tcBorders>
              <w:top w:val="nil"/>
              <w:left w:val="nil"/>
              <w:bottom w:val="single" w:sz="4" w:space="0" w:color="auto"/>
              <w:right w:val="single" w:sz="4" w:space="0" w:color="auto"/>
            </w:tcBorders>
            <w:noWrap/>
            <w:vAlign w:val="center"/>
            <w:hideMark/>
          </w:tcPr>
          <w:p w14:paraId="5C7BDFCD"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24</w:t>
            </w:r>
          </w:p>
        </w:tc>
      </w:tr>
      <w:tr w:rsidR="00427063" w:rsidRPr="00427063" w14:paraId="43043198"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67AB3F9F" w14:textId="77777777" w:rsidR="00427063" w:rsidRPr="002140F7" w:rsidRDefault="00427063" w:rsidP="00427063">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Trombocitopenija</w:t>
            </w:r>
            <w:proofErr w:type="spellEnd"/>
          </w:p>
        </w:tc>
        <w:tc>
          <w:tcPr>
            <w:tcW w:w="2551" w:type="dxa"/>
            <w:tcBorders>
              <w:top w:val="nil"/>
              <w:left w:val="nil"/>
              <w:bottom w:val="single" w:sz="4" w:space="0" w:color="auto"/>
              <w:right w:val="single" w:sz="4" w:space="0" w:color="auto"/>
            </w:tcBorders>
            <w:noWrap/>
            <w:vAlign w:val="center"/>
            <w:hideMark/>
          </w:tcPr>
          <w:p w14:paraId="2FB4B804"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14</w:t>
            </w:r>
          </w:p>
        </w:tc>
      </w:tr>
      <w:tr w:rsidR="00427063" w:rsidRPr="00427063" w14:paraId="27A6D685"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12EF5A48"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Anemija</w:t>
            </w:r>
          </w:p>
        </w:tc>
        <w:tc>
          <w:tcPr>
            <w:tcW w:w="2551" w:type="dxa"/>
            <w:tcBorders>
              <w:top w:val="nil"/>
              <w:left w:val="nil"/>
              <w:bottom w:val="single" w:sz="4" w:space="0" w:color="auto"/>
              <w:right w:val="single" w:sz="4" w:space="0" w:color="auto"/>
            </w:tcBorders>
            <w:noWrap/>
            <w:vAlign w:val="center"/>
            <w:hideMark/>
          </w:tcPr>
          <w:p w14:paraId="03672944"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14</w:t>
            </w:r>
          </w:p>
        </w:tc>
      </w:tr>
      <w:tr w:rsidR="00427063" w:rsidRPr="00427063" w14:paraId="2D94DD98"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4680645D" w14:textId="77777777" w:rsidR="00427063" w:rsidRPr="002140F7" w:rsidRDefault="00427063" w:rsidP="00427063">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Leukopenija</w:t>
            </w:r>
            <w:proofErr w:type="spellEnd"/>
          </w:p>
        </w:tc>
        <w:tc>
          <w:tcPr>
            <w:tcW w:w="2551" w:type="dxa"/>
            <w:tcBorders>
              <w:top w:val="nil"/>
              <w:left w:val="nil"/>
              <w:bottom w:val="single" w:sz="4" w:space="0" w:color="auto"/>
              <w:right w:val="single" w:sz="4" w:space="0" w:color="auto"/>
            </w:tcBorders>
            <w:noWrap/>
            <w:vAlign w:val="center"/>
            <w:hideMark/>
          </w:tcPr>
          <w:p w14:paraId="46971887"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7</w:t>
            </w:r>
          </w:p>
        </w:tc>
      </w:tr>
      <w:tr w:rsidR="00427063" w:rsidRPr="00427063" w14:paraId="4FE5A93B" w14:textId="77777777" w:rsidTr="002140F7">
        <w:trPr>
          <w:trHeight w:val="312"/>
        </w:trPr>
        <w:tc>
          <w:tcPr>
            <w:tcW w:w="7083" w:type="dxa"/>
            <w:tcBorders>
              <w:top w:val="nil"/>
              <w:left w:val="single" w:sz="4" w:space="0" w:color="auto"/>
              <w:bottom w:val="single" w:sz="4" w:space="0" w:color="auto"/>
              <w:right w:val="single" w:sz="4" w:space="0" w:color="auto"/>
            </w:tcBorders>
            <w:shd w:val="clear" w:color="000000" w:fill="E7E6E6"/>
            <w:noWrap/>
            <w:vAlign w:val="center"/>
            <w:hideMark/>
          </w:tcPr>
          <w:p w14:paraId="4305CEEF"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Širdies sutrikimai</w:t>
            </w:r>
          </w:p>
        </w:tc>
        <w:tc>
          <w:tcPr>
            <w:tcW w:w="2551" w:type="dxa"/>
            <w:tcBorders>
              <w:top w:val="nil"/>
              <w:left w:val="nil"/>
              <w:bottom w:val="single" w:sz="4" w:space="0" w:color="auto"/>
              <w:right w:val="single" w:sz="4" w:space="0" w:color="auto"/>
            </w:tcBorders>
            <w:shd w:val="clear" w:color="000000" w:fill="E7E6E6"/>
            <w:noWrap/>
            <w:vAlign w:val="center"/>
            <w:hideMark/>
          </w:tcPr>
          <w:p w14:paraId="50E081F0"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sz w:val="22"/>
                <w:lang w:val="lt-LT" w:eastAsia="lt-LT"/>
              </w:rPr>
              <w:t> </w:t>
            </w:r>
          </w:p>
        </w:tc>
      </w:tr>
      <w:tr w:rsidR="00427063" w:rsidRPr="00427063" w14:paraId="46500CC2"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389A1C7E"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Krūtinės skausmas</w:t>
            </w:r>
          </w:p>
        </w:tc>
        <w:tc>
          <w:tcPr>
            <w:tcW w:w="2551" w:type="dxa"/>
            <w:tcBorders>
              <w:top w:val="nil"/>
              <w:left w:val="nil"/>
              <w:bottom w:val="single" w:sz="4" w:space="0" w:color="auto"/>
              <w:right w:val="single" w:sz="4" w:space="0" w:color="auto"/>
            </w:tcBorders>
            <w:noWrap/>
            <w:vAlign w:val="center"/>
            <w:hideMark/>
          </w:tcPr>
          <w:p w14:paraId="0B43E25F"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10</w:t>
            </w:r>
          </w:p>
        </w:tc>
      </w:tr>
      <w:tr w:rsidR="00427063" w:rsidRPr="00427063" w14:paraId="4F19AD0B"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08065BCD" w14:textId="77777777" w:rsidR="00427063" w:rsidRPr="002140F7" w:rsidRDefault="00427063" w:rsidP="00427063">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Palpitacijos</w:t>
            </w:r>
            <w:proofErr w:type="spellEnd"/>
          </w:p>
        </w:tc>
        <w:tc>
          <w:tcPr>
            <w:tcW w:w="2551" w:type="dxa"/>
            <w:tcBorders>
              <w:top w:val="nil"/>
              <w:left w:val="nil"/>
              <w:bottom w:val="single" w:sz="4" w:space="0" w:color="auto"/>
              <w:right w:val="single" w:sz="4" w:space="0" w:color="auto"/>
            </w:tcBorders>
            <w:noWrap/>
            <w:vAlign w:val="center"/>
            <w:hideMark/>
          </w:tcPr>
          <w:p w14:paraId="76FC7B78"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8</w:t>
            </w:r>
          </w:p>
        </w:tc>
      </w:tr>
      <w:tr w:rsidR="00427063" w:rsidRPr="00427063" w14:paraId="1678C190"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271061FA"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Širdies permušimas</w:t>
            </w:r>
          </w:p>
        </w:tc>
        <w:tc>
          <w:tcPr>
            <w:tcW w:w="2551" w:type="dxa"/>
            <w:tcBorders>
              <w:top w:val="nil"/>
              <w:left w:val="nil"/>
              <w:bottom w:val="single" w:sz="4" w:space="0" w:color="auto"/>
              <w:right w:val="single" w:sz="4" w:space="0" w:color="auto"/>
            </w:tcBorders>
            <w:noWrap/>
            <w:vAlign w:val="center"/>
            <w:hideMark/>
          </w:tcPr>
          <w:p w14:paraId="3A8B8BA3"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7</w:t>
            </w:r>
          </w:p>
        </w:tc>
      </w:tr>
      <w:tr w:rsidR="00427063" w:rsidRPr="00427063" w14:paraId="40EB3DB5" w14:textId="77777777" w:rsidTr="002140F7">
        <w:trPr>
          <w:trHeight w:val="312"/>
        </w:trPr>
        <w:tc>
          <w:tcPr>
            <w:tcW w:w="7083" w:type="dxa"/>
            <w:tcBorders>
              <w:top w:val="nil"/>
              <w:left w:val="single" w:sz="4" w:space="0" w:color="auto"/>
              <w:bottom w:val="single" w:sz="4" w:space="0" w:color="auto"/>
              <w:right w:val="single" w:sz="4" w:space="0" w:color="auto"/>
            </w:tcBorders>
            <w:shd w:val="clear" w:color="000000" w:fill="E7E6E6"/>
            <w:noWrap/>
            <w:vAlign w:val="center"/>
            <w:hideMark/>
          </w:tcPr>
          <w:p w14:paraId="31A66085"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Kraujagyslių sutrikimai</w:t>
            </w:r>
          </w:p>
        </w:tc>
        <w:tc>
          <w:tcPr>
            <w:tcW w:w="2551" w:type="dxa"/>
            <w:tcBorders>
              <w:top w:val="nil"/>
              <w:left w:val="nil"/>
              <w:bottom w:val="single" w:sz="4" w:space="0" w:color="auto"/>
              <w:right w:val="single" w:sz="4" w:space="0" w:color="auto"/>
            </w:tcBorders>
            <w:shd w:val="clear" w:color="000000" w:fill="E7E6E6"/>
            <w:noWrap/>
            <w:vAlign w:val="center"/>
            <w:hideMark/>
          </w:tcPr>
          <w:p w14:paraId="56D1926D"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sz w:val="22"/>
                <w:lang w:val="lt-LT" w:eastAsia="lt-LT"/>
              </w:rPr>
              <w:t> </w:t>
            </w:r>
          </w:p>
        </w:tc>
      </w:tr>
      <w:tr w:rsidR="00427063" w:rsidRPr="00427063" w14:paraId="32F2B659" w14:textId="77777777" w:rsidTr="00E4412C">
        <w:trPr>
          <w:trHeight w:val="312"/>
        </w:trPr>
        <w:tc>
          <w:tcPr>
            <w:tcW w:w="7083" w:type="dxa"/>
            <w:tcBorders>
              <w:top w:val="nil"/>
              <w:left w:val="single" w:sz="4" w:space="0" w:color="auto"/>
              <w:bottom w:val="single" w:sz="4" w:space="0" w:color="auto"/>
              <w:right w:val="single" w:sz="4" w:space="0" w:color="auto"/>
            </w:tcBorders>
            <w:noWrap/>
            <w:vAlign w:val="center"/>
            <w:hideMark/>
          </w:tcPr>
          <w:p w14:paraId="1BAB27FE"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Kraujavimas iš nosies</w:t>
            </w:r>
          </w:p>
        </w:tc>
        <w:tc>
          <w:tcPr>
            <w:tcW w:w="2551" w:type="dxa"/>
            <w:tcBorders>
              <w:top w:val="nil"/>
              <w:left w:val="nil"/>
              <w:bottom w:val="single" w:sz="4" w:space="0" w:color="auto"/>
              <w:right w:val="single" w:sz="4" w:space="0" w:color="auto"/>
            </w:tcBorders>
            <w:noWrap/>
            <w:vAlign w:val="center"/>
            <w:hideMark/>
          </w:tcPr>
          <w:p w14:paraId="1029E995"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14</w:t>
            </w:r>
          </w:p>
        </w:tc>
      </w:tr>
      <w:tr w:rsidR="00427063" w:rsidRPr="00427063" w14:paraId="20456CFD" w14:textId="77777777" w:rsidTr="00E4412C">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244A372C" w14:textId="77777777" w:rsidR="00427063" w:rsidRPr="002140F7" w:rsidRDefault="00427063" w:rsidP="00427063">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Hipotenzija</w:t>
            </w:r>
            <w:proofErr w:type="spellEnd"/>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E33475C"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11</w:t>
            </w:r>
          </w:p>
        </w:tc>
      </w:tr>
      <w:tr w:rsidR="00427063" w:rsidRPr="00427063" w14:paraId="02D46777" w14:textId="77777777" w:rsidTr="00E4412C">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2272F436"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lastRenderedPageBreak/>
              <w:t>Hipertenzija</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F0F8E57"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10</w:t>
            </w:r>
          </w:p>
        </w:tc>
      </w:tr>
      <w:tr w:rsidR="00427063" w:rsidRPr="00427063" w14:paraId="3C9F912B" w14:textId="77777777" w:rsidTr="00E4412C">
        <w:trPr>
          <w:trHeight w:val="312"/>
        </w:trPr>
        <w:tc>
          <w:tcPr>
            <w:tcW w:w="708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991FB20"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Akių sutrikimai</w:t>
            </w:r>
          </w:p>
        </w:tc>
        <w:tc>
          <w:tcPr>
            <w:tcW w:w="255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05BCBA0" w14:textId="77777777" w:rsidR="00427063" w:rsidRPr="002140F7" w:rsidRDefault="00427063" w:rsidP="00427063">
            <w:pPr>
              <w:spacing w:after="0"/>
              <w:jc w:val="center"/>
              <w:rPr>
                <w:rFonts w:eastAsia="Times New Roman" w:cs="Times New Roman"/>
                <w:b/>
                <w:bCs/>
                <w:color w:val="000000"/>
                <w:sz w:val="22"/>
                <w:lang w:val="lt-LT" w:eastAsia="lt-LT"/>
              </w:rPr>
            </w:pPr>
            <w:r w:rsidRPr="002140F7">
              <w:rPr>
                <w:rFonts w:eastAsia="Times New Roman" w:cs="Times New Roman"/>
                <w:b/>
                <w:bCs/>
                <w:sz w:val="22"/>
                <w:lang w:val="lt-LT" w:eastAsia="lt-LT"/>
              </w:rPr>
              <w:t> </w:t>
            </w:r>
          </w:p>
        </w:tc>
      </w:tr>
      <w:tr w:rsidR="00427063" w:rsidRPr="00427063" w14:paraId="16898D90" w14:textId="77777777" w:rsidTr="00E4412C">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5090E281"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Regos pablogėjimas</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14E5E6E"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27</w:t>
            </w:r>
          </w:p>
        </w:tc>
      </w:tr>
      <w:tr w:rsidR="00427063" w:rsidRPr="00427063" w14:paraId="63320EA8" w14:textId="77777777" w:rsidTr="00E4412C">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36087A7F"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Akių vokų tinimas</w:t>
            </w:r>
          </w:p>
        </w:tc>
        <w:tc>
          <w:tcPr>
            <w:tcW w:w="2551" w:type="dxa"/>
            <w:tcBorders>
              <w:top w:val="single" w:sz="4" w:space="0" w:color="auto"/>
              <w:left w:val="nil"/>
              <w:bottom w:val="single" w:sz="4" w:space="0" w:color="auto"/>
              <w:right w:val="single" w:sz="4" w:space="0" w:color="auto"/>
            </w:tcBorders>
            <w:noWrap/>
            <w:vAlign w:val="center"/>
            <w:hideMark/>
          </w:tcPr>
          <w:p w14:paraId="7E5021EA"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12</w:t>
            </w:r>
          </w:p>
        </w:tc>
      </w:tr>
      <w:tr w:rsidR="00427063" w:rsidRPr="00427063" w14:paraId="21D3FDC4"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12693E97"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Akių paraudimas</w:t>
            </w:r>
          </w:p>
        </w:tc>
        <w:tc>
          <w:tcPr>
            <w:tcW w:w="2551" w:type="dxa"/>
            <w:tcBorders>
              <w:top w:val="nil"/>
              <w:left w:val="nil"/>
              <w:bottom w:val="single" w:sz="4" w:space="0" w:color="auto"/>
              <w:right w:val="single" w:sz="4" w:space="0" w:color="auto"/>
            </w:tcBorders>
            <w:noWrap/>
            <w:vAlign w:val="center"/>
            <w:hideMark/>
          </w:tcPr>
          <w:p w14:paraId="6A92EE7C"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10</w:t>
            </w:r>
          </w:p>
        </w:tc>
      </w:tr>
      <w:tr w:rsidR="00427063" w:rsidRPr="00427063" w14:paraId="1C330F5B" w14:textId="77777777" w:rsidTr="002140F7">
        <w:trPr>
          <w:trHeight w:val="312"/>
        </w:trPr>
        <w:tc>
          <w:tcPr>
            <w:tcW w:w="7083" w:type="dxa"/>
            <w:tcBorders>
              <w:top w:val="nil"/>
              <w:left w:val="single" w:sz="4" w:space="0" w:color="auto"/>
              <w:bottom w:val="single" w:sz="4" w:space="0" w:color="auto"/>
              <w:right w:val="single" w:sz="4" w:space="0" w:color="auto"/>
            </w:tcBorders>
            <w:shd w:val="clear" w:color="000000" w:fill="E7E6E6"/>
            <w:noWrap/>
            <w:vAlign w:val="center"/>
            <w:hideMark/>
          </w:tcPr>
          <w:p w14:paraId="5CBAFF33"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Ausų ir labirintų sutrikimai</w:t>
            </w:r>
          </w:p>
        </w:tc>
        <w:tc>
          <w:tcPr>
            <w:tcW w:w="2551" w:type="dxa"/>
            <w:tcBorders>
              <w:top w:val="nil"/>
              <w:left w:val="nil"/>
              <w:bottom w:val="single" w:sz="4" w:space="0" w:color="auto"/>
              <w:right w:val="single" w:sz="4" w:space="0" w:color="auto"/>
            </w:tcBorders>
            <w:shd w:val="clear" w:color="000000" w:fill="E7E6E6"/>
            <w:noWrap/>
            <w:vAlign w:val="center"/>
            <w:hideMark/>
          </w:tcPr>
          <w:p w14:paraId="0CDD2DCF" w14:textId="77777777" w:rsidR="00427063" w:rsidRPr="002140F7" w:rsidRDefault="00427063" w:rsidP="00427063">
            <w:pPr>
              <w:spacing w:after="0"/>
              <w:jc w:val="center"/>
              <w:rPr>
                <w:rFonts w:eastAsia="Times New Roman" w:cs="Times New Roman"/>
                <w:b/>
                <w:bCs/>
                <w:color w:val="000000"/>
                <w:sz w:val="22"/>
                <w:lang w:val="lt-LT" w:eastAsia="lt-LT"/>
              </w:rPr>
            </w:pPr>
            <w:r w:rsidRPr="002140F7">
              <w:rPr>
                <w:rFonts w:eastAsia="Times New Roman" w:cs="Times New Roman"/>
                <w:b/>
                <w:bCs/>
                <w:sz w:val="22"/>
                <w:lang w:val="lt-LT" w:eastAsia="lt-LT"/>
              </w:rPr>
              <w:t> </w:t>
            </w:r>
          </w:p>
        </w:tc>
      </w:tr>
      <w:tr w:rsidR="00427063" w:rsidRPr="00427063" w14:paraId="105505D9"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6DE0CF87"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Klausos sutrikimas</w:t>
            </w:r>
          </w:p>
        </w:tc>
        <w:tc>
          <w:tcPr>
            <w:tcW w:w="2551" w:type="dxa"/>
            <w:tcBorders>
              <w:top w:val="nil"/>
              <w:left w:val="nil"/>
              <w:bottom w:val="single" w:sz="4" w:space="0" w:color="auto"/>
              <w:right w:val="single" w:sz="4" w:space="0" w:color="auto"/>
            </w:tcBorders>
            <w:noWrap/>
            <w:vAlign w:val="center"/>
            <w:hideMark/>
          </w:tcPr>
          <w:p w14:paraId="64865418"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3</w:t>
            </w:r>
          </w:p>
        </w:tc>
      </w:tr>
      <w:tr w:rsidR="00427063" w:rsidRPr="00427063" w14:paraId="1522ADC3" w14:textId="77777777" w:rsidTr="002140F7">
        <w:trPr>
          <w:trHeight w:val="312"/>
        </w:trPr>
        <w:tc>
          <w:tcPr>
            <w:tcW w:w="7083" w:type="dxa"/>
            <w:tcBorders>
              <w:top w:val="nil"/>
              <w:left w:val="single" w:sz="4" w:space="0" w:color="auto"/>
              <w:bottom w:val="single" w:sz="4" w:space="0" w:color="auto"/>
              <w:right w:val="single" w:sz="4" w:space="0" w:color="auto"/>
            </w:tcBorders>
            <w:shd w:val="clear" w:color="000000" w:fill="E7E6E6"/>
            <w:noWrap/>
            <w:vAlign w:val="center"/>
            <w:hideMark/>
          </w:tcPr>
          <w:p w14:paraId="28CE033E"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Virškinamojo trakto sutrikimai</w:t>
            </w:r>
          </w:p>
        </w:tc>
        <w:tc>
          <w:tcPr>
            <w:tcW w:w="2551" w:type="dxa"/>
            <w:tcBorders>
              <w:top w:val="nil"/>
              <w:left w:val="nil"/>
              <w:bottom w:val="single" w:sz="4" w:space="0" w:color="auto"/>
              <w:right w:val="single" w:sz="4" w:space="0" w:color="auto"/>
            </w:tcBorders>
            <w:shd w:val="clear" w:color="000000" w:fill="E7E6E6"/>
            <w:noWrap/>
            <w:vAlign w:val="center"/>
            <w:hideMark/>
          </w:tcPr>
          <w:p w14:paraId="025F17DA"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sz w:val="22"/>
                <w:lang w:val="lt-LT" w:eastAsia="lt-LT"/>
              </w:rPr>
              <w:t> </w:t>
            </w:r>
          </w:p>
        </w:tc>
      </w:tr>
      <w:tr w:rsidR="00427063" w:rsidRPr="00427063" w14:paraId="70B9E417"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6E70C1B8"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Pykinimas</w:t>
            </w:r>
          </w:p>
        </w:tc>
        <w:tc>
          <w:tcPr>
            <w:tcW w:w="2551" w:type="dxa"/>
            <w:tcBorders>
              <w:top w:val="nil"/>
              <w:left w:val="nil"/>
              <w:bottom w:val="single" w:sz="4" w:space="0" w:color="auto"/>
              <w:right w:val="single" w:sz="4" w:space="0" w:color="auto"/>
            </w:tcBorders>
            <w:noWrap/>
            <w:vAlign w:val="center"/>
            <w:hideMark/>
          </w:tcPr>
          <w:p w14:paraId="76C4A34E"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101</w:t>
            </w:r>
          </w:p>
        </w:tc>
      </w:tr>
      <w:tr w:rsidR="00427063" w:rsidRPr="00427063" w14:paraId="6C0371BA"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267030D5"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Viduriavimas</w:t>
            </w:r>
          </w:p>
        </w:tc>
        <w:tc>
          <w:tcPr>
            <w:tcW w:w="2551" w:type="dxa"/>
            <w:tcBorders>
              <w:top w:val="nil"/>
              <w:left w:val="nil"/>
              <w:bottom w:val="single" w:sz="4" w:space="0" w:color="auto"/>
              <w:right w:val="single" w:sz="4" w:space="0" w:color="auto"/>
            </w:tcBorders>
            <w:noWrap/>
            <w:vAlign w:val="center"/>
            <w:hideMark/>
          </w:tcPr>
          <w:p w14:paraId="390E1334"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59</w:t>
            </w:r>
          </w:p>
        </w:tc>
      </w:tr>
      <w:tr w:rsidR="00427063" w:rsidRPr="00427063" w14:paraId="2E1C37C4"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5B2EE37B"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Vėmimas</w:t>
            </w:r>
          </w:p>
        </w:tc>
        <w:tc>
          <w:tcPr>
            <w:tcW w:w="2551" w:type="dxa"/>
            <w:tcBorders>
              <w:top w:val="nil"/>
              <w:left w:val="nil"/>
              <w:bottom w:val="single" w:sz="4" w:space="0" w:color="auto"/>
              <w:right w:val="single" w:sz="4" w:space="0" w:color="auto"/>
            </w:tcBorders>
            <w:noWrap/>
            <w:vAlign w:val="center"/>
            <w:hideMark/>
          </w:tcPr>
          <w:p w14:paraId="30D9C9B7"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50</w:t>
            </w:r>
          </w:p>
        </w:tc>
      </w:tr>
      <w:tr w:rsidR="00427063" w:rsidRPr="00427063" w14:paraId="675AFF47"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0B941C38"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Pilvo skausmas</w:t>
            </w:r>
          </w:p>
        </w:tc>
        <w:tc>
          <w:tcPr>
            <w:tcW w:w="2551" w:type="dxa"/>
            <w:tcBorders>
              <w:top w:val="nil"/>
              <w:left w:val="nil"/>
              <w:bottom w:val="single" w:sz="4" w:space="0" w:color="auto"/>
              <w:right w:val="single" w:sz="4" w:space="0" w:color="auto"/>
            </w:tcBorders>
            <w:noWrap/>
            <w:vAlign w:val="center"/>
            <w:hideMark/>
          </w:tcPr>
          <w:p w14:paraId="4C0B44CB"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40</w:t>
            </w:r>
          </w:p>
        </w:tc>
      </w:tr>
      <w:tr w:rsidR="00427063" w:rsidRPr="00427063" w14:paraId="273B1AF1"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29003756"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Kartumas burnoje</w:t>
            </w:r>
          </w:p>
        </w:tc>
        <w:tc>
          <w:tcPr>
            <w:tcW w:w="2551" w:type="dxa"/>
            <w:tcBorders>
              <w:top w:val="nil"/>
              <w:left w:val="nil"/>
              <w:bottom w:val="single" w:sz="4" w:space="0" w:color="auto"/>
              <w:right w:val="single" w:sz="4" w:space="0" w:color="auto"/>
            </w:tcBorders>
            <w:noWrap/>
            <w:vAlign w:val="center"/>
            <w:hideMark/>
          </w:tcPr>
          <w:p w14:paraId="0857B157"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23</w:t>
            </w:r>
          </w:p>
        </w:tc>
      </w:tr>
      <w:tr w:rsidR="00427063" w:rsidRPr="00427063" w14:paraId="6B9653A1"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21855C34"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Skonio pakitimas</w:t>
            </w:r>
          </w:p>
        </w:tc>
        <w:tc>
          <w:tcPr>
            <w:tcW w:w="2551" w:type="dxa"/>
            <w:tcBorders>
              <w:top w:val="nil"/>
              <w:left w:val="nil"/>
              <w:bottom w:val="single" w:sz="4" w:space="0" w:color="auto"/>
              <w:right w:val="single" w:sz="4" w:space="0" w:color="auto"/>
            </w:tcBorders>
            <w:noWrap/>
            <w:vAlign w:val="center"/>
            <w:hideMark/>
          </w:tcPr>
          <w:p w14:paraId="142F09C4"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21</w:t>
            </w:r>
          </w:p>
        </w:tc>
      </w:tr>
      <w:tr w:rsidR="00427063" w:rsidRPr="00427063" w14:paraId="1EEDF70D"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011346DF"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Skrandžio skausmas</w:t>
            </w:r>
          </w:p>
        </w:tc>
        <w:tc>
          <w:tcPr>
            <w:tcW w:w="2551" w:type="dxa"/>
            <w:tcBorders>
              <w:top w:val="nil"/>
              <w:left w:val="nil"/>
              <w:bottom w:val="single" w:sz="4" w:space="0" w:color="auto"/>
              <w:right w:val="single" w:sz="4" w:space="0" w:color="auto"/>
            </w:tcBorders>
            <w:noWrap/>
            <w:vAlign w:val="center"/>
            <w:hideMark/>
          </w:tcPr>
          <w:p w14:paraId="5B928465"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23</w:t>
            </w:r>
          </w:p>
        </w:tc>
      </w:tr>
      <w:tr w:rsidR="00427063" w:rsidRPr="00427063" w14:paraId="7BD9B92A"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2A2B834B"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Burnos sausumas</w:t>
            </w:r>
          </w:p>
        </w:tc>
        <w:tc>
          <w:tcPr>
            <w:tcW w:w="2551" w:type="dxa"/>
            <w:tcBorders>
              <w:top w:val="nil"/>
              <w:left w:val="nil"/>
              <w:bottom w:val="single" w:sz="4" w:space="0" w:color="auto"/>
              <w:right w:val="single" w:sz="4" w:space="0" w:color="auto"/>
            </w:tcBorders>
            <w:noWrap/>
            <w:vAlign w:val="center"/>
            <w:hideMark/>
          </w:tcPr>
          <w:p w14:paraId="6258985B"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15</w:t>
            </w:r>
          </w:p>
        </w:tc>
      </w:tr>
      <w:tr w:rsidR="00427063" w:rsidRPr="00427063" w14:paraId="74542F85" w14:textId="77777777" w:rsidTr="002140F7">
        <w:trPr>
          <w:trHeight w:val="312"/>
        </w:trPr>
        <w:tc>
          <w:tcPr>
            <w:tcW w:w="7083" w:type="dxa"/>
            <w:tcBorders>
              <w:top w:val="nil"/>
              <w:left w:val="single" w:sz="4" w:space="0" w:color="auto"/>
              <w:bottom w:val="single" w:sz="4" w:space="0" w:color="auto"/>
              <w:right w:val="single" w:sz="4" w:space="0" w:color="auto"/>
            </w:tcBorders>
            <w:shd w:val="clear" w:color="000000" w:fill="E7E6E6"/>
            <w:noWrap/>
            <w:vAlign w:val="center"/>
            <w:hideMark/>
          </w:tcPr>
          <w:p w14:paraId="6AA185DA"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Inkstų ir šlapimo sistemos sutrikimai</w:t>
            </w:r>
          </w:p>
        </w:tc>
        <w:tc>
          <w:tcPr>
            <w:tcW w:w="2551" w:type="dxa"/>
            <w:tcBorders>
              <w:top w:val="nil"/>
              <w:left w:val="nil"/>
              <w:bottom w:val="single" w:sz="4" w:space="0" w:color="auto"/>
              <w:right w:val="single" w:sz="4" w:space="0" w:color="auto"/>
            </w:tcBorders>
            <w:shd w:val="clear" w:color="000000" w:fill="E7E6E6"/>
            <w:noWrap/>
            <w:vAlign w:val="center"/>
            <w:hideMark/>
          </w:tcPr>
          <w:p w14:paraId="5198F74D"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sz w:val="22"/>
                <w:lang w:val="lt-LT" w:eastAsia="lt-LT"/>
              </w:rPr>
              <w:t> </w:t>
            </w:r>
          </w:p>
        </w:tc>
      </w:tr>
      <w:tr w:rsidR="00427063" w:rsidRPr="00427063" w14:paraId="58D112C0"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5CAFE665" w14:textId="77777777" w:rsidR="00427063" w:rsidRPr="002140F7" w:rsidRDefault="00427063" w:rsidP="00427063">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Hematurija</w:t>
            </w:r>
            <w:proofErr w:type="spellEnd"/>
          </w:p>
        </w:tc>
        <w:tc>
          <w:tcPr>
            <w:tcW w:w="2551" w:type="dxa"/>
            <w:tcBorders>
              <w:top w:val="nil"/>
              <w:left w:val="nil"/>
              <w:bottom w:val="single" w:sz="4" w:space="0" w:color="auto"/>
              <w:right w:val="single" w:sz="4" w:space="0" w:color="auto"/>
            </w:tcBorders>
            <w:noWrap/>
            <w:vAlign w:val="center"/>
            <w:hideMark/>
          </w:tcPr>
          <w:p w14:paraId="63268BE1"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12</w:t>
            </w:r>
          </w:p>
        </w:tc>
      </w:tr>
      <w:tr w:rsidR="00427063" w:rsidRPr="00427063" w14:paraId="60D7445F"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67C92BAF" w14:textId="77777777" w:rsidR="00427063" w:rsidRPr="002140F7" w:rsidRDefault="00427063" w:rsidP="00427063">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Disurija</w:t>
            </w:r>
            <w:proofErr w:type="spellEnd"/>
          </w:p>
        </w:tc>
        <w:tc>
          <w:tcPr>
            <w:tcW w:w="2551" w:type="dxa"/>
            <w:tcBorders>
              <w:top w:val="nil"/>
              <w:left w:val="nil"/>
              <w:bottom w:val="single" w:sz="4" w:space="0" w:color="auto"/>
              <w:right w:val="single" w:sz="4" w:space="0" w:color="auto"/>
            </w:tcBorders>
            <w:noWrap/>
            <w:vAlign w:val="center"/>
            <w:hideMark/>
          </w:tcPr>
          <w:p w14:paraId="2B9DD3E8"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9</w:t>
            </w:r>
          </w:p>
        </w:tc>
      </w:tr>
      <w:tr w:rsidR="00427063" w:rsidRPr="00427063" w14:paraId="33F3AB2E"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3D66C93A"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Inkstų nepakankamumas</w:t>
            </w:r>
          </w:p>
        </w:tc>
        <w:tc>
          <w:tcPr>
            <w:tcW w:w="2551" w:type="dxa"/>
            <w:tcBorders>
              <w:top w:val="nil"/>
              <w:left w:val="nil"/>
              <w:bottom w:val="single" w:sz="4" w:space="0" w:color="auto"/>
              <w:right w:val="single" w:sz="4" w:space="0" w:color="auto"/>
            </w:tcBorders>
            <w:noWrap/>
            <w:vAlign w:val="center"/>
            <w:hideMark/>
          </w:tcPr>
          <w:p w14:paraId="2B42924F"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8</w:t>
            </w:r>
          </w:p>
        </w:tc>
      </w:tr>
      <w:tr w:rsidR="00427063" w:rsidRPr="00427063" w14:paraId="574D76BA"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5FACC52"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Endokrininės sistemos sutrikimai</w:t>
            </w:r>
          </w:p>
        </w:tc>
        <w:tc>
          <w:tcPr>
            <w:tcW w:w="255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7D19A4"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sz w:val="22"/>
                <w:lang w:val="lt-LT" w:eastAsia="lt-LT"/>
              </w:rPr>
              <w:t> </w:t>
            </w:r>
          </w:p>
        </w:tc>
      </w:tr>
      <w:tr w:rsidR="00427063" w:rsidRPr="00427063" w14:paraId="18448010"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51D0A8B8"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Hipoglikemija</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CE56AF1"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6</w:t>
            </w:r>
          </w:p>
        </w:tc>
      </w:tr>
      <w:tr w:rsidR="00427063" w:rsidRPr="00427063" w14:paraId="314D9C9A"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16F1977E"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Hiperglikemija</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D4D80A8"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5</w:t>
            </w:r>
          </w:p>
        </w:tc>
      </w:tr>
      <w:tr w:rsidR="00427063" w:rsidRPr="00427063" w14:paraId="384EF0C2"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97D852F"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Infekcijos ir užkrėtimai</w:t>
            </w:r>
          </w:p>
        </w:tc>
        <w:tc>
          <w:tcPr>
            <w:tcW w:w="255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F6B0942"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sz w:val="22"/>
                <w:lang w:val="lt-LT" w:eastAsia="lt-LT"/>
              </w:rPr>
              <w:t> </w:t>
            </w:r>
          </w:p>
        </w:tc>
      </w:tr>
      <w:tr w:rsidR="00427063" w:rsidRPr="00427063" w14:paraId="2D5710D1"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47771CC4"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Infekcija</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F976052"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15</w:t>
            </w:r>
          </w:p>
        </w:tc>
      </w:tr>
      <w:tr w:rsidR="00427063" w:rsidRPr="00427063" w14:paraId="01E03970"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002CF267" w14:textId="77777777" w:rsidR="00427063" w:rsidRPr="002140F7" w:rsidRDefault="00427063" w:rsidP="00427063">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Herpes</w:t>
            </w:r>
            <w:proofErr w:type="spellEnd"/>
            <w:r w:rsidRPr="002140F7">
              <w:rPr>
                <w:rFonts w:eastAsia="Times New Roman" w:cs="Times New Roman"/>
                <w:color w:val="000000"/>
                <w:sz w:val="22"/>
                <w:lang w:val="lt-LT" w:eastAsia="lt-LT"/>
              </w:rPr>
              <w:t xml:space="preserve"> </w:t>
            </w:r>
            <w:proofErr w:type="spellStart"/>
            <w:r w:rsidRPr="002140F7">
              <w:rPr>
                <w:rFonts w:eastAsia="Times New Roman" w:cs="Times New Roman"/>
                <w:color w:val="000000"/>
                <w:sz w:val="22"/>
                <w:lang w:val="lt-LT" w:eastAsia="lt-LT"/>
              </w:rPr>
              <w:t>simplex</w:t>
            </w:r>
            <w:proofErr w:type="spellEnd"/>
          </w:p>
        </w:tc>
        <w:tc>
          <w:tcPr>
            <w:tcW w:w="2551" w:type="dxa"/>
            <w:tcBorders>
              <w:top w:val="single" w:sz="4" w:space="0" w:color="auto"/>
              <w:left w:val="nil"/>
              <w:bottom w:val="single" w:sz="4" w:space="0" w:color="auto"/>
              <w:right w:val="single" w:sz="4" w:space="0" w:color="auto"/>
            </w:tcBorders>
            <w:noWrap/>
            <w:vAlign w:val="center"/>
            <w:hideMark/>
          </w:tcPr>
          <w:p w14:paraId="575C100A"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6</w:t>
            </w:r>
          </w:p>
        </w:tc>
      </w:tr>
      <w:tr w:rsidR="00427063" w:rsidRPr="00427063" w14:paraId="4DFDD02A" w14:textId="77777777" w:rsidTr="002140F7">
        <w:trPr>
          <w:trHeight w:val="312"/>
        </w:trPr>
        <w:tc>
          <w:tcPr>
            <w:tcW w:w="7083" w:type="dxa"/>
            <w:tcBorders>
              <w:top w:val="nil"/>
              <w:left w:val="single" w:sz="4" w:space="0" w:color="auto"/>
              <w:bottom w:val="single" w:sz="4" w:space="0" w:color="auto"/>
              <w:right w:val="single" w:sz="4" w:space="0" w:color="auto"/>
            </w:tcBorders>
            <w:shd w:val="clear" w:color="000000" w:fill="E7E6E6"/>
            <w:noWrap/>
            <w:vAlign w:val="center"/>
            <w:hideMark/>
          </w:tcPr>
          <w:p w14:paraId="12082B79"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Metabolizmo ir mitybos sutrikimai</w:t>
            </w:r>
          </w:p>
        </w:tc>
        <w:tc>
          <w:tcPr>
            <w:tcW w:w="2551" w:type="dxa"/>
            <w:tcBorders>
              <w:top w:val="nil"/>
              <w:left w:val="nil"/>
              <w:bottom w:val="single" w:sz="4" w:space="0" w:color="auto"/>
              <w:right w:val="single" w:sz="4" w:space="0" w:color="auto"/>
            </w:tcBorders>
            <w:shd w:val="clear" w:color="000000" w:fill="E7E6E6"/>
            <w:noWrap/>
            <w:vAlign w:val="center"/>
            <w:hideMark/>
          </w:tcPr>
          <w:p w14:paraId="5E7873C2"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sz w:val="22"/>
                <w:lang w:val="lt-LT" w:eastAsia="lt-LT"/>
              </w:rPr>
              <w:t> </w:t>
            </w:r>
          </w:p>
        </w:tc>
      </w:tr>
      <w:tr w:rsidR="00427063" w:rsidRPr="00427063" w14:paraId="1DC0A240"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1D27AA4F"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Apetito sumažėjimas</w:t>
            </w:r>
          </w:p>
        </w:tc>
        <w:tc>
          <w:tcPr>
            <w:tcW w:w="2551" w:type="dxa"/>
            <w:tcBorders>
              <w:top w:val="nil"/>
              <w:left w:val="nil"/>
              <w:bottom w:val="single" w:sz="4" w:space="0" w:color="auto"/>
              <w:right w:val="single" w:sz="4" w:space="0" w:color="auto"/>
            </w:tcBorders>
            <w:noWrap/>
            <w:vAlign w:val="center"/>
            <w:hideMark/>
          </w:tcPr>
          <w:p w14:paraId="15BD6461"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28</w:t>
            </w:r>
          </w:p>
        </w:tc>
      </w:tr>
      <w:tr w:rsidR="00427063" w:rsidRPr="00427063" w14:paraId="3A9556A0" w14:textId="77777777" w:rsidTr="002140F7">
        <w:trPr>
          <w:trHeight w:val="312"/>
        </w:trPr>
        <w:tc>
          <w:tcPr>
            <w:tcW w:w="7083" w:type="dxa"/>
            <w:tcBorders>
              <w:top w:val="nil"/>
              <w:left w:val="single" w:sz="4" w:space="0" w:color="auto"/>
              <w:bottom w:val="single" w:sz="4" w:space="0" w:color="auto"/>
              <w:right w:val="single" w:sz="4" w:space="0" w:color="auto"/>
            </w:tcBorders>
            <w:shd w:val="clear" w:color="000000" w:fill="E7E6E6"/>
            <w:noWrap/>
            <w:vAlign w:val="center"/>
            <w:hideMark/>
          </w:tcPr>
          <w:p w14:paraId="021D2FE5"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Imuninės sistemos sutrikimai</w:t>
            </w:r>
          </w:p>
        </w:tc>
        <w:tc>
          <w:tcPr>
            <w:tcW w:w="2551" w:type="dxa"/>
            <w:tcBorders>
              <w:top w:val="nil"/>
              <w:left w:val="nil"/>
              <w:bottom w:val="single" w:sz="4" w:space="0" w:color="auto"/>
              <w:right w:val="single" w:sz="4" w:space="0" w:color="auto"/>
            </w:tcBorders>
            <w:shd w:val="clear" w:color="000000" w:fill="E7E6E6"/>
            <w:noWrap/>
            <w:vAlign w:val="center"/>
            <w:hideMark/>
          </w:tcPr>
          <w:p w14:paraId="34C311F9" w14:textId="77777777" w:rsidR="00427063" w:rsidRPr="002140F7" w:rsidRDefault="00427063" w:rsidP="00427063">
            <w:pPr>
              <w:spacing w:after="0"/>
              <w:jc w:val="center"/>
              <w:rPr>
                <w:rFonts w:eastAsia="Times New Roman" w:cs="Times New Roman"/>
                <w:b/>
                <w:bCs/>
                <w:color w:val="000000"/>
                <w:sz w:val="22"/>
                <w:lang w:val="lt-LT" w:eastAsia="lt-LT"/>
              </w:rPr>
            </w:pPr>
            <w:r w:rsidRPr="002140F7">
              <w:rPr>
                <w:rFonts w:eastAsia="Times New Roman" w:cs="Times New Roman"/>
                <w:b/>
                <w:bCs/>
                <w:sz w:val="22"/>
                <w:lang w:val="lt-LT" w:eastAsia="lt-LT"/>
              </w:rPr>
              <w:t> </w:t>
            </w:r>
          </w:p>
        </w:tc>
      </w:tr>
      <w:tr w:rsidR="00427063" w:rsidRPr="00427063" w14:paraId="4BB17AB1"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0E290874"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Alerginė reakcija</w:t>
            </w:r>
          </w:p>
        </w:tc>
        <w:tc>
          <w:tcPr>
            <w:tcW w:w="2551" w:type="dxa"/>
            <w:tcBorders>
              <w:top w:val="nil"/>
              <w:left w:val="nil"/>
              <w:bottom w:val="single" w:sz="4" w:space="0" w:color="auto"/>
              <w:right w:val="single" w:sz="4" w:space="0" w:color="auto"/>
            </w:tcBorders>
            <w:noWrap/>
            <w:vAlign w:val="center"/>
            <w:hideMark/>
          </w:tcPr>
          <w:p w14:paraId="5735F2D3"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26</w:t>
            </w:r>
          </w:p>
        </w:tc>
      </w:tr>
      <w:tr w:rsidR="00427063" w:rsidRPr="00427063" w14:paraId="24B9C98E"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72BCC3AC"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Anafilaksinės reakcijos</w:t>
            </w:r>
          </w:p>
        </w:tc>
        <w:tc>
          <w:tcPr>
            <w:tcW w:w="2551" w:type="dxa"/>
            <w:tcBorders>
              <w:top w:val="nil"/>
              <w:left w:val="nil"/>
              <w:bottom w:val="single" w:sz="4" w:space="0" w:color="auto"/>
              <w:right w:val="single" w:sz="4" w:space="0" w:color="auto"/>
            </w:tcBorders>
            <w:noWrap/>
            <w:vAlign w:val="center"/>
            <w:hideMark/>
          </w:tcPr>
          <w:p w14:paraId="4EAB827D"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7</w:t>
            </w:r>
          </w:p>
        </w:tc>
      </w:tr>
      <w:tr w:rsidR="00427063" w:rsidRPr="00427063" w14:paraId="0ED07871" w14:textId="77777777" w:rsidTr="002140F7">
        <w:trPr>
          <w:trHeight w:val="312"/>
        </w:trPr>
        <w:tc>
          <w:tcPr>
            <w:tcW w:w="7083" w:type="dxa"/>
            <w:tcBorders>
              <w:top w:val="nil"/>
              <w:left w:val="single" w:sz="4" w:space="0" w:color="auto"/>
              <w:bottom w:val="single" w:sz="4" w:space="0" w:color="auto"/>
              <w:right w:val="single" w:sz="4" w:space="0" w:color="auto"/>
            </w:tcBorders>
            <w:shd w:val="clear" w:color="000000" w:fill="E7E6E6"/>
            <w:noWrap/>
            <w:vAlign w:val="center"/>
            <w:hideMark/>
          </w:tcPr>
          <w:p w14:paraId="067625C1"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Gerybiniai, piktybiniai ir nepatikslinti navikai</w:t>
            </w:r>
          </w:p>
        </w:tc>
        <w:tc>
          <w:tcPr>
            <w:tcW w:w="2551" w:type="dxa"/>
            <w:tcBorders>
              <w:top w:val="nil"/>
              <w:left w:val="nil"/>
              <w:bottom w:val="single" w:sz="4" w:space="0" w:color="auto"/>
              <w:right w:val="single" w:sz="4" w:space="0" w:color="auto"/>
            </w:tcBorders>
            <w:shd w:val="clear" w:color="000000" w:fill="E7E6E6"/>
            <w:noWrap/>
            <w:vAlign w:val="center"/>
            <w:hideMark/>
          </w:tcPr>
          <w:p w14:paraId="7D93166E"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sz w:val="22"/>
                <w:lang w:val="lt-LT" w:eastAsia="lt-LT"/>
              </w:rPr>
              <w:t> </w:t>
            </w:r>
          </w:p>
        </w:tc>
      </w:tr>
      <w:tr w:rsidR="00427063" w:rsidRPr="00427063" w14:paraId="5C7339E8"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6EA951E7" w14:textId="77777777" w:rsidR="00427063" w:rsidRPr="002140F7" w:rsidRDefault="00427063" w:rsidP="00427063">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Neoplazmos</w:t>
            </w:r>
            <w:proofErr w:type="spellEnd"/>
            <w:r w:rsidRPr="002140F7">
              <w:rPr>
                <w:rFonts w:eastAsia="Times New Roman" w:cs="Times New Roman"/>
                <w:color w:val="000000"/>
                <w:sz w:val="22"/>
                <w:lang w:val="lt-LT" w:eastAsia="lt-LT"/>
              </w:rPr>
              <w:t xml:space="preserve"> progresavimas</w:t>
            </w:r>
          </w:p>
        </w:tc>
        <w:tc>
          <w:tcPr>
            <w:tcW w:w="2551" w:type="dxa"/>
            <w:tcBorders>
              <w:top w:val="nil"/>
              <w:left w:val="nil"/>
              <w:bottom w:val="single" w:sz="4" w:space="0" w:color="auto"/>
              <w:right w:val="single" w:sz="4" w:space="0" w:color="auto"/>
            </w:tcBorders>
            <w:noWrap/>
            <w:vAlign w:val="center"/>
            <w:hideMark/>
          </w:tcPr>
          <w:p w14:paraId="70B7F65D"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4</w:t>
            </w:r>
          </w:p>
        </w:tc>
      </w:tr>
      <w:tr w:rsidR="00427063" w:rsidRPr="00427063" w14:paraId="5744DD17" w14:textId="77777777" w:rsidTr="002140F7">
        <w:trPr>
          <w:trHeight w:val="312"/>
        </w:trPr>
        <w:tc>
          <w:tcPr>
            <w:tcW w:w="7083" w:type="dxa"/>
            <w:tcBorders>
              <w:top w:val="nil"/>
              <w:left w:val="single" w:sz="4" w:space="0" w:color="auto"/>
              <w:bottom w:val="single" w:sz="4" w:space="0" w:color="auto"/>
              <w:right w:val="single" w:sz="4" w:space="0" w:color="auto"/>
            </w:tcBorders>
            <w:shd w:val="clear" w:color="000000" w:fill="E7E6E6"/>
            <w:noWrap/>
            <w:vAlign w:val="center"/>
            <w:hideMark/>
          </w:tcPr>
          <w:p w14:paraId="4B815751"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Nervų sistemos sutrikimai</w:t>
            </w:r>
          </w:p>
        </w:tc>
        <w:tc>
          <w:tcPr>
            <w:tcW w:w="2551" w:type="dxa"/>
            <w:tcBorders>
              <w:top w:val="nil"/>
              <w:left w:val="nil"/>
              <w:bottom w:val="single" w:sz="4" w:space="0" w:color="auto"/>
              <w:right w:val="single" w:sz="4" w:space="0" w:color="auto"/>
            </w:tcBorders>
            <w:shd w:val="clear" w:color="000000" w:fill="E7E6E6"/>
            <w:noWrap/>
            <w:vAlign w:val="center"/>
            <w:hideMark/>
          </w:tcPr>
          <w:p w14:paraId="3BFF96B1"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sz w:val="22"/>
                <w:lang w:val="lt-LT" w:eastAsia="lt-LT"/>
              </w:rPr>
              <w:t> </w:t>
            </w:r>
          </w:p>
        </w:tc>
      </w:tr>
      <w:tr w:rsidR="00427063" w:rsidRPr="00427063" w14:paraId="71914F76"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07E29E90"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Galvos svaigimas</w:t>
            </w:r>
          </w:p>
        </w:tc>
        <w:tc>
          <w:tcPr>
            <w:tcW w:w="2551" w:type="dxa"/>
            <w:tcBorders>
              <w:top w:val="nil"/>
              <w:left w:val="nil"/>
              <w:bottom w:val="single" w:sz="4" w:space="0" w:color="auto"/>
              <w:right w:val="single" w:sz="4" w:space="0" w:color="auto"/>
            </w:tcBorders>
            <w:noWrap/>
            <w:vAlign w:val="center"/>
            <w:hideMark/>
          </w:tcPr>
          <w:p w14:paraId="1BE9C0AC"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58</w:t>
            </w:r>
          </w:p>
        </w:tc>
      </w:tr>
      <w:tr w:rsidR="00427063" w:rsidRPr="00427063" w14:paraId="039E578C"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6EA25EEC"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Galvos skausmas</w:t>
            </w:r>
          </w:p>
        </w:tc>
        <w:tc>
          <w:tcPr>
            <w:tcW w:w="2551" w:type="dxa"/>
            <w:tcBorders>
              <w:top w:val="nil"/>
              <w:left w:val="nil"/>
              <w:bottom w:val="single" w:sz="4" w:space="0" w:color="auto"/>
              <w:right w:val="single" w:sz="4" w:space="0" w:color="auto"/>
            </w:tcBorders>
            <w:noWrap/>
            <w:vAlign w:val="center"/>
            <w:hideMark/>
          </w:tcPr>
          <w:p w14:paraId="662063B7"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54</w:t>
            </w:r>
          </w:p>
        </w:tc>
      </w:tr>
      <w:tr w:rsidR="00427063" w:rsidRPr="00427063" w14:paraId="6D18253E"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6C915732"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Mieguistumas</w:t>
            </w:r>
          </w:p>
        </w:tc>
        <w:tc>
          <w:tcPr>
            <w:tcW w:w="2551" w:type="dxa"/>
            <w:tcBorders>
              <w:top w:val="nil"/>
              <w:left w:val="nil"/>
              <w:bottom w:val="single" w:sz="4" w:space="0" w:color="auto"/>
              <w:right w:val="single" w:sz="4" w:space="0" w:color="auto"/>
            </w:tcBorders>
            <w:noWrap/>
            <w:vAlign w:val="center"/>
            <w:hideMark/>
          </w:tcPr>
          <w:p w14:paraId="1ECB01FE"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26</w:t>
            </w:r>
          </w:p>
        </w:tc>
      </w:tr>
      <w:tr w:rsidR="00427063" w:rsidRPr="00427063" w14:paraId="15646B43"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5259AFA9"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Tremoras</w:t>
            </w:r>
          </w:p>
        </w:tc>
        <w:tc>
          <w:tcPr>
            <w:tcW w:w="2551" w:type="dxa"/>
            <w:tcBorders>
              <w:top w:val="nil"/>
              <w:left w:val="nil"/>
              <w:bottom w:val="single" w:sz="4" w:space="0" w:color="auto"/>
              <w:right w:val="single" w:sz="4" w:space="0" w:color="auto"/>
            </w:tcBorders>
            <w:noWrap/>
            <w:vAlign w:val="center"/>
            <w:hideMark/>
          </w:tcPr>
          <w:p w14:paraId="55B4D536"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20</w:t>
            </w:r>
          </w:p>
        </w:tc>
      </w:tr>
      <w:tr w:rsidR="00427063" w:rsidRPr="00427063" w14:paraId="57A8F300"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4873995E"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Nerimas</w:t>
            </w:r>
          </w:p>
        </w:tc>
        <w:tc>
          <w:tcPr>
            <w:tcW w:w="2551" w:type="dxa"/>
            <w:tcBorders>
              <w:top w:val="nil"/>
              <w:left w:val="nil"/>
              <w:bottom w:val="single" w:sz="4" w:space="0" w:color="auto"/>
              <w:right w:val="single" w:sz="4" w:space="0" w:color="auto"/>
            </w:tcBorders>
            <w:noWrap/>
            <w:vAlign w:val="center"/>
            <w:hideMark/>
          </w:tcPr>
          <w:p w14:paraId="15CF958D"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18</w:t>
            </w:r>
          </w:p>
        </w:tc>
      </w:tr>
      <w:tr w:rsidR="00427063" w:rsidRPr="00427063" w14:paraId="7C3B98CB"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077F2A5C"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Miego sutrikimas</w:t>
            </w:r>
          </w:p>
        </w:tc>
        <w:tc>
          <w:tcPr>
            <w:tcW w:w="2551" w:type="dxa"/>
            <w:tcBorders>
              <w:top w:val="nil"/>
              <w:left w:val="nil"/>
              <w:bottom w:val="single" w:sz="4" w:space="0" w:color="auto"/>
              <w:right w:val="single" w:sz="4" w:space="0" w:color="auto"/>
            </w:tcBorders>
            <w:noWrap/>
            <w:vAlign w:val="center"/>
            <w:hideMark/>
          </w:tcPr>
          <w:p w14:paraId="3488B95B"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16</w:t>
            </w:r>
          </w:p>
        </w:tc>
      </w:tr>
      <w:tr w:rsidR="00427063" w:rsidRPr="00427063" w14:paraId="7E0B5108" w14:textId="77777777" w:rsidTr="002140F7">
        <w:trPr>
          <w:trHeight w:val="312"/>
        </w:trPr>
        <w:tc>
          <w:tcPr>
            <w:tcW w:w="7083" w:type="dxa"/>
            <w:tcBorders>
              <w:top w:val="nil"/>
              <w:left w:val="single" w:sz="4" w:space="0" w:color="auto"/>
              <w:bottom w:val="single" w:sz="4" w:space="0" w:color="auto"/>
              <w:right w:val="single" w:sz="4" w:space="0" w:color="auto"/>
            </w:tcBorders>
            <w:shd w:val="clear" w:color="000000" w:fill="E7E6E6"/>
            <w:noWrap/>
            <w:vAlign w:val="center"/>
            <w:hideMark/>
          </w:tcPr>
          <w:p w14:paraId="1561A18E"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Psichikos sutrikimai</w:t>
            </w:r>
          </w:p>
        </w:tc>
        <w:tc>
          <w:tcPr>
            <w:tcW w:w="2551" w:type="dxa"/>
            <w:tcBorders>
              <w:top w:val="nil"/>
              <w:left w:val="nil"/>
              <w:bottom w:val="single" w:sz="4" w:space="0" w:color="auto"/>
              <w:right w:val="single" w:sz="4" w:space="0" w:color="auto"/>
            </w:tcBorders>
            <w:shd w:val="clear" w:color="000000" w:fill="E7E6E6"/>
            <w:noWrap/>
            <w:vAlign w:val="center"/>
            <w:hideMark/>
          </w:tcPr>
          <w:p w14:paraId="5D7F7729" w14:textId="77777777" w:rsidR="00427063" w:rsidRPr="002140F7" w:rsidRDefault="00427063" w:rsidP="00427063">
            <w:pPr>
              <w:spacing w:after="0"/>
              <w:jc w:val="center"/>
              <w:rPr>
                <w:rFonts w:eastAsia="Times New Roman" w:cs="Times New Roman"/>
                <w:b/>
                <w:bCs/>
                <w:color w:val="000000"/>
                <w:sz w:val="22"/>
                <w:lang w:val="lt-LT" w:eastAsia="lt-LT"/>
              </w:rPr>
            </w:pPr>
            <w:r w:rsidRPr="002140F7">
              <w:rPr>
                <w:rFonts w:eastAsia="Times New Roman" w:cs="Times New Roman"/>
                <w:b/>
                <w:bCs/>
                <w:sz w:val="22"/>
                <w:lang w:val="lt-LT" w:eastAsia="lt-LT"/>
              </w:rPr>
              <w:t> </w:t>
            </w:r>
          </w:p>
        </w:tc>
      </w:tr>
      <w:tr w:rsidR="00427063" w:rsidRPr="00427063" w14:paraId="792C8B33"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1330AAC0"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Haliucinacijos</w:t>
            </w:r>
          </w:p>
        </w:tc>
        <w:tc>
          <w:tcPr>
            <w:tcW w:w="2551" w:type="dxa"/>
            <w:tcBorders>
              <w:top w:val="nil"/>
              <w:left w:val="nil"/>
              <w:bottom w:val="single" w:sz="4" w:space="0" w:color="auto"/>
              <w:right w:val="single" w:sz="4" w:space="0" w:color="auto"/>
            </w:tcBorders>
            <w:noWrap/>
            <w:vAlign w:val="center"/>
            <w:hideMark/>
          </w:tcPr>
          <w:p w14:paraId="4D13518E"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7</w:t>
            </w:r>
          </w:p>
        </w:tc>
      </w:tr>
      <w:tr w:rsidR="00427063" w:rsidRPr="00427063" w14:paraId="755992E1" w14:textId="77777777" w:rsidTr="00E4412C">
        <w:trPr>
          <w:trHeight w:val="312"/>
        </w:trPr>
        <w:tc>
          <w:tcPr>
            <w:tcW w:w="7083" w:type="dxa"/>
            <w:tcBorders>
              <w:top w:val="nil"/>
              <w:left w:val="single" w:sz="4" w:space="0" w:color="auto"/>
              <w:bottom w:val="single" w:sz="4" w:space="0" w:color="auto"/>
              <w:right w:val="single" w:sz="4" w:space="0" w:color="auto"/>
            </w:tcBorders>
            <w:noWrap/>
            <w:vAlign w:val="center"/>
            <w:hideMark/>
          </w:tcPr>
          <w:p w14:paraId="3CE522D5"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Panikos priepuolis</w:t>
            </w:r>
          </w:p>
        </w:tc>
        <w:tc>
          <w:tcPr>
            <w:tcW w:w="2551" w:type="dxa"/>
            <w:tcBorders>
              <w:top w:val="nil"/>
              <w:left w:val="nil"/>
              <w:bottom w:val="single" w:sz="4" w:space="0" w:color="auto"/>
              <w:right w:val="single" w:sz="4" w:space="0" w:color="auto"/>
            </w:tcBorders>
            <w:noWrap/>
            <w:vAlign w:val="center"/>
            <w:hideMark/>
          </w:tcPr>
          <w:p w14:paraId="3D76103C"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5</w:t>
            </w:r>
          </w:p>
        </w:tc>
      </w:tr>
      <w:tr w:rsidR="00427063" w:rsidRPr="00427063" w14:paraId="69ADF17C" w14:textId="77777777" w:rsidTr="00E4412C">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0864ADB7"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Depresija</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968EF38"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6</w:t>
            </w:r>
          </w:p>
        </w:tc>
      </w:tr>
      <w:tr w:rsidR="00427063" w:rsidRPr="00427063" w14:paraId="4EA4C3BF" w14:textId="77777777" w:rsidTr="00E4412C">
        <w:trPr>
          <w:trHeight w:val="312"/>
        </w:trPr>
        <w:tc>
          <w:tcPr>
            <w:tcW w:w="708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1162073"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lastRenderedPageBreak/>
              <w:t xml:space="preserve">Nėštumas, </w:t>
            </w:r>
            <w:proofErr w:type="spellStart"/>
            <w:r w:rsidRPr="002140F7">
              <w:rPr>
                <w:rFonts w:eastAsia="Times New Roman" w:cs="Times New Roman"/>
                <w:b/>
                <w:bCs/>
                <w:sz w:val="22"/>
                <w:lang w:val="lt-LT" w:eastAsia="lt-LT"/>
              </w:rPr>
              <w:t>puerperiumas</w:t>
            </w:r>
            <w:proofErr w:type="spellEnd"/>
            <w:r w:rsidRPr="002140F7">
              <w:rPr>
                <w:rFonts w:eastAsia="Times New Roman" w:cs="Times New Roman"/>
                <w:b/>
                <w:bCs/>
                <w:sz w:val="22"/>
                <w:lang w:val="lt-LT" w:eastAsia="lt-LT"/>
              </w:rPr>
              <w:t xml:space="preserve"> ir perinatalinės būklės</w:t>
            </w:r>
          </w:p>
        </w:tc>
        <w:tc>
          <w:tcPr>
            <w:tcW w:w="255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8E7C606" w14:textId="77777777" w:rsidR="00427063" w:rsidRPr="002140F7" w:rsidRDefault="00427063" w:rsidP="00427063">
            <w:pPr>
              <w:spacing w:after="0"/>
              <w:jc w:val="center"/>
              <w:rPr>
                <w:rFonts w:eastAsia="Times New Roman" w:cs="Times New Roman"/>
                <w:b/>
                <w:bCs/>
                <w:color w:val="000000"/>
                <w:sz w:val="22"/>
                <w:lang w:val="lt-LT" w:eastAsia="lt-LT"/>
              </w:rPr>
            </w:pPr>
            <w:r w:rsidRPr="002140F7">
              <w:rPr>
                <w:rFonts w:eastAsia="Times New Roman" w:cs="Times New Roman"/>
                <w:b/>
                <w:bCs/>
                <w:sz w:val="22"/>
                <w:lang w:val="lt-LT" w:eastAsia="lt-LT"/>
              </w:rPr>
              <w:t> </w:t>
            </w:r>
          </w:p>
        </w:tc>
      </w:tr>
      <w:tr w:rsidR="00427063" w:rsidRPr="00427063" w14:paraId="6DEA647F" w14:textId="77777777" w:rsidTr="00E4412C">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21F661FC"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Poveikis motinai nėštumo metu</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419D419"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5</w:t>
            </w:r>
          </w:p>
        </w:tc>
      </w:tr>
      <w:tr w:rsidR="00427063" w:rsidRPr="00427063" w14:paraId="7969A365" w14:textId="77777777" w:rsidTr="00E4412C">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541E5CCA"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Priešlaikinis gimdymas</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BDA8694"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3</w:t>
            </w:r>
          </w:p>
        </w:tc>
      </w:tr>
      <w:tr w:rsidR="00427063" w:rsidRPr="00427063" w14:paraId="1C729E3A" w14:textId="77777777" w:rsidTr="00E4412C">
        <w:trPr>
          <w:trHeight w:val="312"/>
        </w:trPr>
        <w:tc>
          <w:tcPr>
            <w:tcW w:w="708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AE4C68"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Reprodukcinės sistemos ir krūtų sutrikimai</w:t>
            </w:r>
          </w:p>
        </w:tc>
        <w:tc>
          <w:tcPr>
            <w:tcW w:w="255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B60F38"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sz w:val="22"/>
                <w:lang w:val="lt-LT" w:eastAsia="lt-LT"/>
              </w:rPr>
              <w:t> </w:t>
            </w:r>
          </w:p>
        </w:tc>
      </w:tr>
      <w:tr w:rsidR="00427063" w:rsidRPr="00427063" w14:paraId="7A292637" w14:textId="77777777" w:rsidTr="00E4412C">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742CEA76"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Genitalijų niežulys</w:t>
            </w:r>
          </w:p>
        </w:tc>
        <w:tc>
          <w:tcPr>
            <w:tcW w:w="2551" w:type="dxa"/>
            <w:tcBorders>
              <w:top w:val="single" w:sz="4" w:space="0" w:color="auto"/>
              <w:left w:val="nil"/>
              <w:bottom w:val="single" w:sz="4" w:space="0" w:color="auto"/>
              <w:right w:val="single" w:sz="4" w:space="0" w:color="auto"/>
            </w:tcBorders>
            <w:noWrap/>
            <w:vAlign w:val="center"/>
            <w:hideMark/>
          </w:tcPr>
          <w:p w14:paraId="7A2BB76F"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10</w:t>
            </w:r>
          </w:p>
        </w:tc>
      </w:tr>
      <w:tr w:rsidR="00427063" w:rsidRPr="00427063" w14:paraId="6F2EE884"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17AC06CA"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Menstruacijų sutrikimas</w:t>
            </w:r>
          </w:p>
        </w:tc>
        <w:tc>
          <w:tcPr>
            <w:tcW w:w="2551" w:type="dxa"/>
            <w:tcBorders>
              <w:top w:val="nil"/>
              <w:left w:val="nil"/>
              <w:bottom w:val="single" w:sz="4" w:space="0" w:color="auto"/>
              <w:right w:val="single" w:sz="4" w:space="0" w:color="auto"/>
            </w:tcBorders>
            <w:noWrap/>
            <w:vAlign w:val="center"/>
            <w:hideMark/>
          </w:tcPr>
          <w:p w14:paraId="3D8D4222"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4</w:t>
            </w:r>
          </w:p>
        </w:tc>
      </w:tr>
      <w:tr w:rsidR="00427063" w:rsidRPr="00427063" w14:paraId="0168A692" w14:textId="77777777" w:rsidTr="002140F7">
        <w:trPr>
          <w:trHeight w:val="312"/>
        </w:trPr>
        <w:tc>
          <w:tcPr>
            <w:tcW w:w="7083" w:type="dxa"/>
            <w:tcBorders>
              <w:top w:val="nil"/>
              <w:left w:val="single" w:sz="4" w:space="0" w:color="auto"/>
              <w:bottom w:val="single" w:sz="4" w:space="0" w:color="auto"/>
              <w:right w:val="single" w:sz="4" w:space="0" w:color="auto"/>
            </w:tcBorders>
            <w:shd w:val="clear" w:color="000000" w:fill="E7E6E6"/>
            <w:noWrap/>
            <w:vAlign w:val="center"/>
            <w:hideMark/>
          </w:tcPr>
          <w:p w14:paraId="759B0BCF"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Skeleto, raumenų ir jungiamojo audinio sutrikimai</w:t>
            </w:r>
          </w:p>
        </w:tc>
        <w:tc>
          <w:tcPr>
            <w:tcW w:w="2551" w:type="dxa"/>
            <w:tcBorders>
              <w:top w:val="nil"/>
              <w:left w:val="nil"/>
              <w:bottom w:val="single" w:sz="4" w:space="0" w:color="auto"/>
              <w:right w:val="single" w:sz="4" w:space="0" w:color="auto"/>
            </w:tcBorders>
            <w:shd w:val="clear" w:color="000000" w:fill="E7E6E6"/>
            <w:noWrap/>
            <w:vAlign w:val="center"/>
            <w:hideMark/>
          </w:tcPr>
          <w:p w14:paraId="5820E7C7"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sz w:val="22"/>
                <w:lang w:val="lt-LT" w:eastAsia="lt-LT"/>
              </w:rPr>
              <w:t> </w:t>
            </w:r>
          </w:p>
        </w:tc>
      </w:tr>
      <w:tr w:rsidR="00427063" w:rsidRPr="00427063" w14:paraId="63B95489"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26CAEA62"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Raumenų skausmas</w:t>
            </w:r>
          </w:p>
        </w:tc>
        <w:tc>
          <w:tcPr>
            <w:tcW w:w="2551" w:type="dxa"/>
            <w:tcBorders>
              <w:top w:val="nil"/>
              <w:left w:val="nil"/>
              <w:bottom w:val="single" w:sz="4" w:space="0" w:color="auto"/>
              <w:right w:val="single" w:sz="4" w:space="0" w:color="auto"/>
            </w:tcBorders>
            <w:noWrap/>
            <w:vAlign w:val="center"/>
            <w:hideMark/>
          </w:tcPr>
          <w:p w14:paraId="518E860C"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17</w:t>
            </w:r>
          </w:p>
        </w:tc>
      </w:tr>
      <w:tr w:rsidR="00427063" w:rsidRPr="00427063" w14:paraId="7450EC8F"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57ECE994"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Sąnarių skausmas</w:t>
            </w:r>
          </w:p>
        </w:tc>
        <w:tc>
          <w:tcPr>
            <w:tcW w:w="2551" w:type="dxa"/>
            <w:tcBorders>
              <w:top w:val="nil"/>
              <w:left w:val="nil"/>
              <w:bottom w:val="single" w:sz="4" w:space="0" w:color="auto"/>
              <w:right w:val="single" w:sz="4" w:space="0" w:color="auto"/>
            </w:tcBorders>
            <w:noWrap/>
            <w:vAlign w:val="center"/>
            <w:hideMark/>
          </w:tcPr>
          <w:p w14:paraId="36C9BC7E"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25</w:t>
            </w:r>
          </w:p>
        </w:tc>
      </w:tr>
      <w:tr w:rsidR="00427063" w:rsidRPr="00427063" w14:paraId="6581D056"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5F903264"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Nugaros skausmas</w:t>
            </w:r>
          </w:p>
        </w:tc>
        <w:tc>
          <w:tcPr>
            <w:tcW w:w="2551" w:type="dxa"/>
            <w:tcBorders>
              <w:top w:val="nil"/>
              <w:left w:val="nil"/>
              <w:bottom w:val="single" w:sz="4" w:space="0" w:color="auto"/>
              <w:right w:val="single" w:sz="4" w:space="0" w:color="auto"/>
            </w:tcBorders>
            <w:noWrap/>
            <w:vAlign w:val="center"/>
            <w:hideMark/>
          </w:tcPr>
          <w:p w14:paraId="39EA1DB1"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13</w:t>
            </w:r>
          </w:p>
        </w:tc>
      </w:tr>
      <w:tr w:rsidR="00427063" w:rsidRPr="00427063" w14:paraId="64DB3630"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4022668F"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Galūnių skausmas</w:t>
            </w:r>
          </w:p>
        </w:tc>
        <w:tc>
          <w:tcPr>
            <w:tcW w:w="2551" w:type="dxa"/>
            <w:tcBorders>
              <w:top w:val="nil"/>
              <w:left w:val="nil"/>
              <w:bottom w:val="single" w:sz="4" w:space="0" w:color="auto"/>
              <w:right w:val="single" w:sz="4" w:space="0" w:color="auto"/>
            </w:tcBorders>
            <w:noWrap/>
            <w:vAlign w:val="center"/>
            <w:hideMark/>
          </w:tcPr>
          <w:p w14:paraId="02C54456"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12</w:t>
            </w:r>
          </w:p>
        </w:tc>
      </w:tr>
      <w:tr w:rsidR="00427063" w:rsidRPr="00427063" w14:paraId="524211EF" w14:textId="77777777" w:rsidTr="002140F7">
        <w:trPr>
          <w:trHeight w:val="312"/>
        </w:trPr>
        <w:tc>
          <w:tcPr>
            <w:tcW w:w="7083" w:type="dxa"/>
            <w:tcBorders>
              <w:top w:val="nil"/>
              <w:left w:val="single" w:sz="4" w:space="0" w:color="auto"/>
              <w:bottom w:val="single" w:sz="4" w:space="0" w:color="auto"/>
              <w:right w:val="single" w:sz="4" w:space="0" w:color="auto"/>
            </w:tcBorders>
            <w:shd w:val="clear" w:color="000000" w:fill="E7E6E6"/>
            <w:noWrap/>
            <w:vAlign w:val="center"/>
            <w:hideMark/>
          </w:tcPr>
          <w:p w14:paraId="48BAA9F4"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Kvėpavimo sistemos, krūtinės ląstos ir tarpuplaučio sutrikimai</w:t>
            </w:r>
          </w:p>
        </w:tc>
        <w:tc>
          <w:tcPr>
            <w:tcW w:w="2551" w:type="dxa"/>
            <w:tcBorders>
              <w:top w:val="nil"/>
              <w:left w:val="nil"/>
              <w:bottom w:val="single" w:sz="4" w:space="0" w:color="auto"/>
              <w:right w:val="single" w:sz="4" w:space="0" w:color="auto"/>
            </w:tcBorders>
            <w:shd w:val="clear" w:color="000000" w:fill="E7E6E6"/>
            <w:noWrap/>
            <w:vAlign w:val="center"/>
            <w:hideMark/>
          </w:tcPr>
          <w:p w14:paraId="3C16D04E"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sz w:val="22"/>
                <w:lang w:val="lt-LT" w:eastAsia="lt-LT"/>
              </w:rPr>
              <w:t> </w:t>
            </w:r>
          </w:p>
        </w:tc>
      </w:tr>
      <w:tr w:rsidR="00427063" w:rsidRPr="00427063" w14:paraId="5A37702C"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4BB6D03F"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Dusulys</w:t>
            </w:r>
          </w:p>
        </w:tc>
        <w:tc>
          <w:tcPr>
            <w:tcW w:w="2551" w:type="dxa"/>
            <w:tcBorders>
              <w:top w:val="nil"/>
              <w:left w:val="nil"/>
              <w:bottom w:val="single" w:sz="4" w:space="0" w:color="auto"/>
              <w:right w:val="single" w:sz="4" w:space="0" w:color="auto"/>
            </w:tcBorders>
            <w:noWrap/>
            <w:vAlign w:val="center"/>
            <w:hideMark/>
          </w:tcPr>
          <w:p w14:paraId="3F5FD33C"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22</w:t>
            </w:r>
          </w:p>
        </w:tc>
      </w:tr>
      <w:tr w:rsidR="00427063" w:rsidRPr="00427063" w14:paraId="7C0295A5"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1BD73DD9"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Apsunkintas kvėpavimas</w:t>
            </w:r>
          </w:p>
        </w:tc>
        <w:tc>
          <w:tcPr>
            <w:tcW w:w="2551" w:type="dxa"/>
            <w:tcBorders>
              <w:top w:val="nil"/>
              <w:left w:val="nil"/>
              <w:bottom w:val="single" w:sz="4" w:space="0" w:color="auto"/>
              <w:right w:val="single" w:sz="4" w:space="0" w:color="auto"/>
            </w:tcBorders>
            <w:noWrap/>
            <w:vAlign w:val="center"/>
            <w:hideMark/>
          </w:tcPr>
          <w:p w14:paraId="2B6C7CF5"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14</w:t>
            </w:r>
          </w:p>
        </w:tc>
      </w:tr>
      <w:tr w:rsidR="00427063" w:rsidRPr="00427063" w14:paraId="7632B817"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0A33E88F"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Kosulys</w:t>
            </w:r>
          </w:p>
        </w:tc>
        <w:tc>
          <w:tcPr>
            <w:tcW w:w="2551" w:type="dxa"/>
            <w:tcBorders>
              <w:top w:val="nil"/>
              <w:left w:val="nil"/>
              <w:bottom w:val="single" w:sz="4" w:space="0" w:color="auto"/>
              <w:right w:val="single" w:sz="4" w:space="0" w:color="auto"/>
            </w:tcBorders>
            <w:noWrap/>
            <w:vAlign w:val="center"/>
            <w:hideMark/>
          </w:tcPr>
          <w:p w14:paraId="046D751E"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11</w:t>
            </w:r>
          </w:p>
        </w:tc>
      </w:tr>
      <w:tr w:rsidR="00427063" w:rsidRPr="00427063" w14:paraId="6938591E"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12CD5367"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Gerklės/ryklės skausmas</w:t>
            </w:r>
          </w:p>
        </w:tc>
        <w:tc>
          <w:tcPr>
            <w:tcW w:w="2551" w:type="dxa"/>
            <w:tcBorders>
              <w:top w:val="nil"/>
              <w:left w:val="nil"/>
              <w:bottom w:val="single" w:sz="4" w:space="0" w:color="auto"/>
              <w:right w:val="single" w:sz="4" w:space="0" w:color="auto"/>
            </w:tcBorders>
            <w:noWrap/>
            <w:vAlign w:val="center"/>
            <w:hideMark/>
          </w:tcPr>
          <w:p w14:paraId="6A05526F"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8</w:t>
            </w:r>
          </w:p>
        </w:tc>
      </w:tr>
      <w:tr w:rsidR="00427063" w:rsidRPr="00427063" w14:paraId="6A20ADB8" w14:textId="77777777" w:rsidTr="002140F7">
        <w:trPr>
          <w:trHeight w:val="312"/>
        </w:trPr>
        <w:tc>
          <w:tcPr>
            <w:tcW w:w="7083" w:type="dxa"/>
            <w:tcBorders>
              <w:top w:val="nil"/>
              <w:left w:val="single" w:sz="4" w:space="0" w:color="auto"/>
              <w:bottom w:val="single" w:sz="4" w:space="0" w:color="auto"/>
              <w:right w:val="single" w:sz="4" w:space="0" w:color="auto"/>
            </w:tcBorders>
            <w:shd w:val="clear" w:color="000000" w:fill="E7E6E6"/>
            <w:noWrap/>
            <w:vAlign w:val="center"/>
            <w:hideMark/>
          </w:tcPr>
          <w:p w14:paraId="31BFCA36"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Odos ir poodinio audinio sutrikimai</w:t>
            </w:r>
          </w:p>
        </w:tc>
        <w:tc>
          <w:tcPr>
            <w:tcW w:w="2551" w:type="dxa"/>
            <w:tcBorders>
              <w:top w:val="nil"/>
              <w:left w:val="nil"/>
              <w:bottom w:val="single" w:sz="4" w:space="0" w:color="auto"/>
              <w:right w:val="single" w:sz="4" w:space="0" w:color="auto"/>
            </w:tcBorders>
            <w:shd w:val="clear" w:color="000000" w:fill="E7E6E6"/>
            <w:noWrap/>
            <w:vAlign w:val="center"/>
            <w:hideMark/>
          </w:tcPr>
          <w:p w14:paraId="25BD4C31"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sz w:val="22"/>
                <w:lang w:val="lt-LT" w:eastAsia="lt-LT"/>
              </w:rPr>
              <w:t> </w:t>
            </w:r>
          </w:p>
        </w:tc>
      </w:tr>
      <w:tr w:rsidR="00427063" w:rsidRPr="00427063" w14:paraId="3AA7E96E"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02B55559"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Bėrimas</w:t>
            </w:r>
          </w:p>
        </w:tc>
        <w:tc>
          <w:tcPr>
            <w:tcW w:w="2551" w:type="dxa"/>
            <w:tcBorders>
              <w:top w:val="nil"/>
              <w:left w:val="nil"/>
              <w:bottom w:val="single" w:sz="4" w:space="0" w:color="auto"/>
              <w:right w:val="single" w:sz="4" w:space="0" w:color="auto"/>
            </w:tcBorders>
            <w:noWrap/>
            <w:vAlign w:val="center"/>
            <w:hideMark/>
          </w:tcPr>
          <w:p w14:paraId="0197E139"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66</w:t>
            </w:r>
          </w:p>
        </w:tc>
      </w:tr>
      <w:tr w:rsidR="00427063" w:rsidRPr="00427063" w14:paraId="1B9CDB17"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56B2E164"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Niežulys</w:t>
            </w:r>
          </w:p>
        </w:tc>
        <w:tc>
          <w:tcPr>
            <w:tcW w:w="2551" w:type="dxa"/>
            <w:tcBorders>
              <w:top w:val="nil"/>
              <w:left w:val="nil"/>
              <w:bottom w:val="single" w:sz="4" w:space="0" w:color="auto"/>
              <w:right w:val="single" w:sz="4" w:space="0" w:color="auto"/>
            </w:tcBorders>
            <w:noWrap/>
            <w:vAlign w:val="center"/>
            <w:hideMark/>
          </w:tcPr>
          <w:p w14:paraId="277DAE85"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65</w:t>
            </w:r>
          </w:p>
        </w:tc>
      </w:tr>
      <w:tr w:rsidR="00427063" w:rsidRPr="00427063" w14:paraId="5A42D38F"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6B8DD2BA"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Paraudimas</w:t>
            </w:r>
          </w:p>
        </w:tc>
        <w:tc>
          <w:tcPr>
            <w:tcW w:w="2551" w:type="dxa"/>
            <w:tcBorders>
              <w:top w:val="nil"/>
              <w:left w:val="nil"/>
              <w:bottom w:val="single" w:sz="4" w:space="0" w:color="auto"/>
              <w:right w:val="single" w:sz="4" w:space="0" w:color="auto"/>
            </w:tcBorders>
            <w:noWrap/>
            <w:vAlign w:val="center"/>
            <w:hideMark/>
          </w:tcPr>
          <w:p w14:paraId="3ADA0D73"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15</w:t>
            </w:r>
          </w:p>
        </w:tc>
      </w:tr>
      <w:tr w:rsidR="00427063" w:rsidRPr="00427063" w14:paraId="58CD6211"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50BB0C89" w14:textId="77777777" w:rsidR="00427063" w:rsidRPr="002140F7" w:rsidRDefault="00427063" w:rsidP="00427063">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Alopecija</w:t>
            </w:r>
            <w:proofErr w:type="spellEnd"/>
          </w:p>
        </w:tc>
        <w:tc>
          <w:tcPr>
            <w:tcW w:w="2551" w:type="dxa"/>
            <w:tcBorders>
              <w:top w:val="nil"/>
              <w:left w:val="nil"/>
              <w:bottom w:val="single" w:sz="4" w:space="0" w:color="auto"/>
              <w:right w:val="single" w:sz="4" w:space="0" w:color="auto"/>
            </w:tcBorders>
            <w:noWrap/>
            <w:vAlign w:val="center"/>
            <w:hideMark/>
          </w:tcPr>
          <w:p w14:paraId="32DCB9B7"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13</w:t>
            </w:r>
          </w:p>
        </w:tc>
      </w:tr>
      <w:tr w:rsidR="00427063" w:rsidRPr="00427063" w14:paraId="3FA91FDF"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A38160B"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Bendrieji sutrikimai</w:t>
            </w:r>
          </w:p>
        </w:tc>
        <w:tc>
          <w:tcPr>
            <w:tcW w:w="255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B2851B"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sz w:val="22"/>
                <w:lang w:val="lt-LT" w:eastAsia="lt-LT"/>
              </w:rPr>
              <w:t> </w:t>
            </w:r>
          </w:p>
        </w:tc>
      </w:tr>
      <w:tr w:rsidR="00427063" w:rsidRPr="00427063" w14:paraId="2F5FBF34"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5638774A"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Silpnumas</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F454473"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78</w:t>
            </w:r>
          </w:p>
        </w:tc>
      </w:tr>
      <w:tr w:rsidR="00427063" w:rsidRPr="00427063" w14:paraId="635A0F80"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0736F60D"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Karščiavimas</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28A0120"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30</w:t>
            </w:r>
          </w:p>
        </w:tc>
      </w:tr>
      <w:tr w:rsidR="00427063" w:rsidRPr="00427063" w14:paraId="72CFC334"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11118A67"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Bloga savijauta</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8F75048"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21</w:t>
            </w:r>
          </w:p>
        </w:tc>
      </w:tr>
      <w:tr w:rsidR="00427063" w:rsidRPr="00427063" w14:paraId="458E709D"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2780950F"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Nepakankamas vaisto poveikis/neveiksmingumas</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AE31AF9"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40</w:t>
            </w:r>
          </w:p>
        </w:tc>
      </w:tr>
      <w:tr w:rsidR="00427063" w:rsidRPr="00427063" w14:paraId="7BEB02DE"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04830CAF"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Tinimas</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28A3A4A"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20</w:t>
            </w:r>
          </w:p>
        </w:tc>
      </w:tr>
      <w:tr w:rsidR="00427063" w:rsidRPr="00427063" w14:paraId="4CF8719F"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01DA04A0"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Nuovargis</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3F018E9"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16</w:t>
            </w:r>
          </w:p>
        </w:tc>
      </w:tr>
      <w:tr w:rsidR="00427063" w:rsidRPr="00427063" w14:paraId="42B41921"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722BBC79" w14:textId="77777777" w:rsidR="00427063" w:rsidRPr="002140F7" w:rsidRDefault="00427063" w:rsidP="00427063">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Bendros būklės blogėjimas</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2EA5463" w14:textId="77777777" w:rsidR="00427063" w:rsidRPr="002140F7" w:rsidRDefault="00427063" w:rsidP="00427063">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16</w:t>
            </w:r>
          </w:p>
        </w:tc>
      </w:tr>
      <w:tr w:rsidR="00427063" w:rsidRPr="00427063" w14:paraId="30D5A671"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34E58D" w14:textId="77777777" w:rsidR="00427063" w:rsidRPr="002140F7" w:rsidRDefault="00427063" w:rsidP="00427063">
            <w:pPr>
              <w:spacing w:after="0"/>
              <w:rPr>
                <w:rFonts w:eastAsia="Times New Roman" w:cs="Times New Roman"/>
                <w:b/>
                <w:bCs/>
                <w:color w:val="000000"/>
                <w:sz w:val="22"/>
                <w:lang w:val="lt-LT" w:eastAsia="lt-LT"/>
              </w:rPr>
            </w:pPr>
            <w:r w:rsidRPr="002140F7">
              <w:rPr>
                <w:rFonts w:eastAsia="Times New Roman" w:cs="Times New Roman"/>
                <w:b/>
                <w:bCs/>
                <w:sz w:val="22"/>
                <w:lang w:val="lt-LT" w:eastAsia="lt-LT"/>
              </w:rPr>
              <w:t>Tyrimai</w:t>
            </w:r>
          </w:p>
        </w:tc>
        <w:tc>
          <w:tcPr>
            <w:tcW w:w="255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570E8B" w14:textId="77777777" w:rsidR="00427063" w:rsidRPr="002140F7" w:rsidRDefault="00427063" w:rsidP="00427063">
            <w:pPr>
              <w:spacing w:after="0"/>
              <w:jc w:val="center"/>
              <w:rPr>
                <w:rFonts w:eastAsia="Times New Roman" w:cs="Times New Roman"/>
                <w:b/>
                <w:bCs/>
                <w:color w:val="000000"/>
                <w:sz w:val="22"/>
                <w:lang w:val="lt-LT" w:eastAsia="lt-LT"/>
              </w:rPr>
            </w:pPr>
            <w:r w:rsidRPr="002140F7">
              <w:rPr>
                <w:rFonts w:eastAsia="Times New Roman" w:cs="Times New Roman"/>
                <w:b/>
                <w:bCs/>
                <w:sz w:val="22"/>
                <w:lang w:val="lt-LT" w:eastAsia="lt-LT"/>
              </w:rPr>
              <w:t> </w:t>
            </w:r>
          </w:p>
        </w:tc>
      </w:tr>
      <w:tr w:rsidR="00427063" w:rsidRPr="00427063" w14:paraId="02AE4061"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0F5EFC85" w14:textId="77777777" w:rsidR="00427063" w:rsidRPr="002140F7" w:rsidRDefault="00427063" w:rsidP="00427063">
            <w:pPr>
              <w:spacing w:after="0"/>
              <w:rPr>
                <w:rFonts w:eastAsia="Times New Roman" w:cs="Times New Roman"/>
                <w:sz w:val="22"/>
                <w:lang w:val="lt-LT" w:eastAsia="lt-LT"/>
              </w:rPr>
            </w:pPr>
            <w:r w:rsidRPr="002140F7">
              <w:rPr>
                <w:rFonts w:eastAsia="Times New Roman" w:cs="Times New Roman"/>
                <w:sz w:val="22"/>
                <w:lang w:val="lt-LT" w:eastAsia="lt-LT"/>
              </w:rPr>
              <w:t>Kraujo spaudimo padidėjimas</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A0A2806" w14:textId="77777777" w:rsidR="00427063" w:rsidRPr="002140F7" w:rsidRDefault="00427063" w:rsidP="00427063">
            <w:pPr>
              <w:spacing w:after="0"/>
              <w:jc w:val="center"/>
              <w:rPr>
                <w:rFonts w:eastAsia="Times New Roman" w:cs="Times New Roman"/>
                <w:sz w:val="22"/>
                <w:lang w:val="lt-LT" w:eastAsia="lt-LT"/>
              </w:rPr>
            </w:pPr>
            <w:r w:rsidRPr="002140F7">
              <w:rPr>
                <w:rFonts w:eastAsia="Times New Roman" w:cs="Times New Roman"/>
                <w:sz w:val="22"/>
                <w:lang w:val="lt-LT" w:eastAsia="lt-LT"/>
              </w:rPr>
              <w:t>13</w:t>
            </w:r>
          </w:p>
        </w:tc>
      </w:tr>
      <w:tr w:rsidR="00427063" w:rsidRPr="00427063" w14:paraId="538FAE05"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71E886AD" w14:textId="77777777" w:rsidR="00427063" w:rsidRPr="002140F7" w:rsidRDefault="00427063" w:rsidP="00427063">
            <w:pPr>
              <w:spacing w:after="0"/>
              <w:rPr>
                <w:rFonts w:eastAsia="Times New Roman" w:cs="Times New Roman"/>
                <w:sz w:val="22"/>
                <w:lang w:val="lt-LT" w:eastAsia="lt-LT"/>
              </w:rPr>
            </w:pPr>
            <w:r w:rsidRPr="002140F7">
              <w:rPr>
                <w:rFonts w:eastAsia="Times New Roman" w:cs="Times New Roman"/>
                <w:sz w:val="22"/>
                <w:lang w:val="lt-LT" w:eastAsia="lt-LT"/>
              </w:rPr>
              <w:t>Kepenų fermentų padidėjimas</w:t>
            </w:r>
          </w:p>
        </w:tc>
        <w:tc>
          <w:tcPr>
            <w:tcW w:w="2551" w:type="dxa"/>
            <w:tcBorders>
              <w:top w:val="single" w:sz="4" w:space="0" w:color="auto"/>
              <w:left w:val="nil"/>
              <w:bottom w:val="single" w:sz="4" w:space="0" w:color="auto"/>
              <w:right w:val="single" w:sz="4" w:space="0" w:color="auto"/>
            </w:tcBorders>
            <w:noWrap/>
            <w:vAlign w:val="center"/>
            <w:hideMark/>
          </w:tcPr>
          <w:p w14:paraId="008398F5" w14:textId="77777777" w:rsidR="00427063" w:rsidRPr="002140F7" w:rsidRDefault="00427063" w:rsidP="00427063">
            <w:pPr>
              <w:spacing w:after="0"/>
              <w:jc w:val="center"/>
              <w:rPr>
                <w:rFonts w:eastAsia="Times New Roman" w:cs="Times New Roman"/>
                <w:sz w:val="22"/>
                <w:lang w:val="lt-LT" w:eastAsia="lt-LT"/>
              </w:rPr>
            </w:pPr>
            <w:r w:rsidRPr="002140F7">
              <w:rPr>
                <w:rFonts w:eastAsia="Times New Roman" w:cs="Times New Roman"/>
                <w:sz w:val="22"/>
                <w:lang w:val="lt-LT" w:eastAsia="lt-LT"/>
              </w:rPr>
              <w:t>13</w:t>
            </w:r>
          </w:p>
        </w:tc>
      </w:tr>
      <w:tr w:rsidR="00427063" w:rsidRPr="00427063" w14:paraId="5BEC8B71"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4A13C671" w14:textId="77777777" w:rsidR="00427063" w:rsidRPr="002140F7" w:rsidRDefault="00427063" w:rsidP="00427063">
            <w:pPr>
              <w:spacing w:after="0"/>
              <w:rPr>
                <w:rFonts w:eastAsia="Times New Roman" w:cs="Times New Roman"/>
                <w:sz w:val="22"/>
                <w:lang w:val="lt-LT" w:eastAsia="lt-LT"/>
              </w:rPr>
            </w:pPr>
            <w:r w:rsidRPr="002140F7">
              <w:rPr>
                <w:rFonts w:eastAsia="Times New Roman" w:cs="Times New Roman"/>
                <w:sz w:val="22"/>
                <w:lang w:val="lt-LT" w:eastAsia="lt-LT"/>
              </w:rPr>
              <w:t>Svorio sumažėjimas</w:t>
            </w:r>
          </w:p>
        </w:tc>
        <w:tc>
          <w:tcPr>
            <w:tcW w:w="2551" w:type="dxa"/>
            <w:tcBorders>
              <w:top w:val="nil"/>
              <w:left w:val="nil"/>
              <w:bottom w:val="single" w:sz="4" w:space="0" w:color="auto"/>
              <w:right w:val="single" w:sz="4" w:space="0" w:color="auto"/>
            </w:tcBorders>
            <w:noWrap/>
            <w:vAlign w:val="center"/>
            <w:hideMark/>
          </w:tcPr>
          <w:p w14:paraId="73B0AD12" w14:textId="77777777" w:rsidR="00427063" w:rsidRPr="002140F7" w:rsidRDefault="00427063" w:rsidP="00427063">
            <w:pPr>
              <w:spacing w:after="0"/>
              <w:jc w:val="center"/>
              <w:rPr>
                <w:rFonts w:eastAsia="Times New Roman" w:cs="Times New Roman"/>
                <w:sz w:val="22"/>
                <w:lang w:val="lt-LT" w:eastAsia="lt-LT"/>
              </w:rPr>
            </w:pPr>
            <w:r w:rsidRPr="002140F7">
              <w:rPr>
                <w:rFonts w:eastAsia="Times New Roman" w:cs="Times New Roman"/>
                <w:sz w:val="22"/>
                <w:lang w:val="lt-LT" w:eastAsia="lt-LT"/>
              </w:rPr>
              <w:t>12</w:t>
            </w:r>
          </w:p>
        </w:tc>
      </w:tr>
      <w:tr w:rsidR="00427063" w:rsidRPr="00427063" w14:paraId="65A78F64" w14:textId="77777777" w:rsidTr="002140F7">
        <w:trPr>
          <w:trHeight w:val="312"/>
        </w:trPr>
        <w:tc>
          <w:tcPr>
            <w:tcW w:w="7083" w:type="dxa"/>
            <w:tcBorders>
              <w:top w:val="nil"/>
              <w:left w:val="single" w:sz="4" w:space="0" w:color="auto"/>
              <w:bottom w:val="single" w:sz="4" w:space="0" w:color="auto"/>
              <w:right w:val="single" w:sz="4" w:space="0" w:color="auto"/>
            </w:tcBorders>
            <w:noWrap/>
            <w:vAlign w:val="center"/>
            <w:hideMark/>
          </w:tcPr>
          <w:p w14:paraId="1CAE4A4A" w14:textId="77777777" w:rsidR="00427063" w:rsidRPr="002140F7" w:rsidRDefault="00427063" w:rsidP="00427063">
            <w:pPr>
              <w:spacing w:after="0"/>
              <w:rPr>
                <w:rFonts w:eastAsia="Times New Roman" w:cs="Times New Roman"/>
                <w:sz w:val="22"/>
                <w:lang w:val="lt-LT" w:eastAsia="lt-LT"/>
              </w:rPr>
            </w:pPr>
            <w:r w:rsidRPr="002140F7">
              <w:rPr>
                <w:rFonts w:eastAsia="Times New Roman" w:cs="Times New Roman"/>
                <w:sz w:val="22"/>
                <w:lang w:val="lt-LT" w:eastAsia="lt-LT"/>
              </w:rPr>
              <w:t>Dažnas širdies ritmas</w:t>
            </w:r>
          </w:p>
        </w:tc>
        <w:tc>
          <w:tcPr>
            <w:tcW w:w="2551" w:type="dxa"/>
            <w:tcBorders>
              <w:top w:val="nil"/>
              <w:left w:val="nil"/>
              <w:bottom w:val="single" w:sz="4" w:space="0" w:color="auto"/>
              <w:right w:val="single" w:sz="4" w:space="0" w:color="auto"/>
            </w:tcBorders>
            <w:noWrap/>
            <w:vAlign w:val="center"/>
            <w:hideMark/>
          </w:tcPr>
          <w:p w14:paraId="6564C35C" w14:textId="77777777" w:rsidR="00427063" w:rsidRPr="002140F7" w:rsidRDefault="00427063" w:rsidP="00427063">
            <w:pPr>
              <w:spacing w:after="0"/>
              <w:jc w:val="center"/>
              <w:rPr>
                <w:rFonts w:eastAsia="Times New Roman" w:cs="Times New Roman"/>
                <w:sz w:val="22"/>
                <w:lang w:val="lt-LT" w:eastAsia="lt-LT"/>
              </w:rPr>
            </w:pPr>
            <w:r w:rsidRPr="002140F7">
              <w:rPr>
                <w:rFonts w:eastAsia="Times New Roman" w:cs="Times New Roman"/>
                <w:sz w:val="22"/>
                <w:lang w:val="lt-LT" w:eastAsia="lt-LT"/>
              </w:rPr>
              <w:t>11</w:t>
            </w:r>
          </w:p>
        </w:tc>
      </w:tr>
    </w:tbl>
    <w:p w14:paraId="4A654ACA" w14:textId="77777777" w:rsidR="00AE4612" w:rsidRDefault="00AE4612" w:rsidP="00DF22F0">
      <w:pPr>
        <w:pStyle w:val="Betarp"/>
        <w:rPr>
          <w:sz w:val="24"/>
          <w:szCs w:val="24"/>
          <w:lang w:val="lt-LT"/>
        </w:rPr>
      </w:pPr>
      <w:bookmarkStart w:id="1" w:name="_Hlk190354802"/>
    </w:p>
    <w:p w14:paraId="7E481927" w14:textId="3B8046CA" w:rsidR="00BE4E3B" w:rsidRPr="0001298D" w:rsidRDefault="00BE4E3B" w:rsidP="00CD34F3">
      <w:pPr>
        <w:pStyle w:val="Betarp"/>
        <w:jc w:val="center"/>
        <w:rPr>
          <w:b/>
          <w:sz w:val="24"/>
          <w:szCs w:val="24"/>
          <w:lang w:val="lt-LT"/>
        </w:rPr>
      </w:pPr>
      <w:r w:rsidRPr="0001298D">
        <w:rPr>
          <w:b/>
          <w:sz w:val="24"/>
          <w:szCs w:val="24"/>
          <w:lang w:val="lt-LT"/>
        </w:rPr>
        <w:t>Pranešimai apie kontraceptinių vaistų sukeltas nepageidaujamas reakcijas</w:t>
      </w:r>
    </w:p>
    <w:p w14:paraId="037CCF61" w14:textId="77777777" w:rsidR="0001298D" w:rsidRPr="008F72E5" w:rsidRDefault="0001298D" w:rsidP="00CD34F3">
      <w:pPr>
        <w:pStyle w:val="Betarp"/>
        <w:jc w:val="center"/>
        <w:rPr>
          <w:b/>
          <w:color w:val="4472C4" w:themeColor="accent5"/>
          <w:sz w:val="24"/>
          <w:szCs w:val="24"/>
          <w:lang w:val="lt-LT"/>
        </w:rPr>
      </w:pPr>
    </w:p>
    <w:p w14:paraId="44732E80" w14:textId="7B0E5778" w:rsidR="00BE4E3B" w:rsidRPr="0001298D" w:rsidRDefault="00BE4E3B" w:rsidP="000D0531">
      <w:pPr>
        <w:pStyle w:val="Betarp"/>
        <w:jc w:val="both"/>
        <w:rPr>
          <w:bCs/>
          <w:sz w:val="24"/>
          <w:szCs w:val="24"/>
          <w:lang w:val="lt-LT"/>
        </w:rPr>
      </w:pPr>
      <w:r w:rsidRPr="0001298D">
        <w:rPr>
          <w:bCs/>
          <w:sz w:val="24"/>
          <w:szCs w:val="24"/>
          <w:lang w:val="lt-LT"/>
        </w:rPr>
        <w:t xml:space="preserve"> </w:t>
      </w:r>
      <w:r w:rsidR="0001298D">
        <w:rPr>
          <w:bCs/>
          <w:sz w:val="24"/>
          <w:szCs w:val="24"/>
          <w:lang w:val="lt-LT"/>
        </w:rPr>
        <w:tab/>
      </w:r>
      <w:r w:rsidRPr="0001298D">
        <w:rPr>
          <w:bCs/>
          <w:sz w:val="24"/>
          <w:szCs w:val="24"/>
          <w:lang w:val="lt-LT"/>
        </w:rPr>
        <w:t>2025 m. buvo gauta 10 pranešimų apie kontraceptinių vaistinių preparatų sukeltas įtariamas nepageidaujamas reakcijas (</w:t>
      </w:r>
      <w:r w:rsidR="008F7611">
        <w:rPr>
          <w:bCs/>
          <w:sz w:val="24"/>
          <w:szCs w:val="24"/>
          <w:lang w:val="lt-LT"/>
        </w:rPr>
        <w:t>7</w:t>
      </w:r>
      <w:r w:rsidRPr="0001298D">
        <w:rPr>
          <w:bCs/>
          <w:sz w:val="24"/>
          <w:szCs w:val="24"/>
          <w:lang w:val="lt-LT"/>
        </w:rPr>
        <w:t xml:space="preserve"> pav.). Daugiausiai, </w:t>
      </w:r>
      <w:proofErr w:type="spellStart"/>
      <w:r w:rsidRPr="0001298D">
        <w:rPr>
          <w:bCs/>
          <w:sz w:val="24"/>
          <w:szCs w:val="24"/>
          <w:lang w:val="lt-LT"/>
        </w:rPr>
        <w:t>t.y</w:t>
      </w:r>
      <w:proofErr w:type="spellEnd"/>
      <w:r w:rsidRPr="0001298D">
        <w:rPr>
          <w:bCs/>
          <w:sz w:val="24"/>
          <w:szCs w:val="24"/>
          <w:lang w:val="lt-LT"/>
        </w:rPr>
        <w:t xml:space="preserve">. 6 pranešimai, užregistruoti vartojant geriamuosius kontraceptinius preparatus. Iš jų 1 atvejis įvertintas kaip sunkus </w:t>
      </w:r>
      <w:r w:rsidR="002B3B37">
        <w:rPr>
          <w:bCs/>
          <w:sz w:val="24"/>
          <w:szCs w:val="24"/>
          <w:lang w:val="lt-LT"/>
        </w:rPr>
        <w:t>(</w:t>
      </w:r>
      <w:r w:rsidRPr="0001298D">
        <w:rPr>
          <w:bCs/>
          <w:sz w:val="24"/>
          <w:szCs w:val="24"/>
          <w:lang w:val="lt-LT"/>
        </w:rPr>
        <w:t xml:space="preserve">vaistui </w:t>
      </w:r>
      <w:proofErr w:type="spellStart"/>
      <w:r w:rsidRPr="0001298D">
        <w:rPr>
          <w:bCs/>
          <w:sz w:val="24"/>
          <w:szCs w:val="24"/>
          <w:lang w:val="lt-LT"/>
        </w:rPr>
        <w:t>Rigevidon</w:t>
      </w:r>
      <w:proofErr w:type="spellEnd"/>
      <w:r w:rsidR="002B3B37">
        <w:rPr>
          <w:bCs/>
          <w:sz w:val="24"/>
          <w:szCs w:val="24"/>
          <w:lang w:val="lt-LT"/>
        </w:rPr>
        <w:t>)</w:t>
      </w:r>
      <w:r w:rsidRPr="0001298D">
        <w:rPr>
          <w:bCs/>
          <w:sz w:val="24"/>
          <w:szCs w:val="24"/>
          <w:lang w:val="lt-LT"/>
        </w:rPr>
        <w:t xml:space="preserve">. Kiti atvejai įvertinti kaip nesunkūs: 1 atvejis </w:t>
      </w:r>
      <w:r w:rsidR="002B3B37">
        <w:rPr>
          <w:bCs/>
          <w:sz w:val="24"/>
          <w:szCs w:val="24"/>
          <w:lang w:val="lt-LT"/>
        </w:rPr>
        <w:t xml:space="preserve">vaistui </w:t>
      </w:r>
      <w:proofErr w:type="spellStart"/>
      <w:r w:rsidRPr="0001298D">
        <w:rPr>
          <w:bCs/>
          <w:sz w:val="24"/>
          <w:szCs w:val="24"/>
          <w:lang w:val="lt-LT"/>
        </w:rPr>
        <w:t>Escapelle</w:t>
      </w:r>
      <w:proofErr w:type="spellEnd"/>
      <w:r w:rsidRPr="0001298D">
        <w:rPr>
          <w:bCs/>
          <w:sz w:val="24"/>
          <w:szCs w:val="24"/>
          <w:lang w:val="lt-LT"/>
        </w:rPr>
        <w:t xml:space="preserve">, 2 atvejai </w:t>
      </w:r>
      <w:r w:rsidR="002B3B37">
        <w:rPr>
          <w:bCs/>
          <w:sz w:val="24"/>
          <w:szCs w:val="24"/>
          <w:lang w:val="lt-LT"/>
        </w:rPr>
        <w:t xml:space="preserve">- </w:t>
      </w:r>
      <w:proofErr w:type="spellStart"/>
      <w:r w:rsidRPr="0001298D">
        <w:rPr>
          <w:bCs/>
          <w:sz w:val="24"/>
          <w:szCs w:val="24"/>
          <w:lang w:val="lt-LT"/>
        </w:rPr>
        <w:t>Drovelis</w:t>
      </w:r>
      <w:proofErr w:type="spellEnd"/>
      <w:r w:rsidRPr="0001298D">
        <w:rPr>
          <w:bCs/>
          <w:sz w:val="24"/>
          <w:szCs w:val="24"/>
          <w:lang w:val="lt-LT"/>
        </w:rPr>
        <w:t xml:space="preserve"> ir 2 atvejai</w:t>
      </w:r>
      <w:r w:rsidR="002B3B37">
        <w:rPr>
          <w:bCs/>
          <w:sz w:val="24"/>
          <w:szCs w:val="24"/>
          <w:lang w:val="lt-LT"/>
        </w:rPr>
        <w:t xml:space="preserve"> -</w:t>
      </w:r>
      <w:r w:rsidRPr="0001298D">
        <w:rPr>
          <w:bCs/>
          <w:sz w:val="24"/>
          <w:szCs w:val="24"/>
          <w:lang w:val="lt-LT"/>
        </w:rPr>
        <w:t xml:space="preserve"> </w:t>
      </w:r>
      <w:proofErr w:type="spellStart"/>
      <w:r w:rsidRPr="0001298D">
        <w:rPr>
          <w:bCs/>
          <w:sz w:val="24"/>
          <w:szCs w:val="24"/>
          <w:lang w:val="lt-LT"/>
        </w:rPr>
        <w:t>Kelzy</w:t>
      </w:r>
      <w:proofErr w:type="spellEnd"/>
      <w:r w:rsidRPr="0001298D">
        <w:rPr>
          <w:bCs/>
          <w:sz w:val="24"/>
          <w:szCs w:val="24"/>
          <w:lang w:val="lt-LT"/>
        </w:rPr>
        <w:t xml:space="preserve">. </w:t>
      </w:r>
    </w:p>
    <w:p w14:paraId="5162F4FE" w14:textId="45C4A974" w:rsidR="00BE4E3B" w:rsidRPr="0001298D" w:rsidRDefault="00BE4E3B" w:rsidP="000D0531">
      <w:pPr>
        <w:pStyle w:val="Betarp"/>
        <w:ind w:firstLine="708"/>
        <w:jc w:val="both"/>
        <w:rPr>
          <w:bCs/>
          <w:sz w:val="24"/>
          <w:szCs w:val="24"/>
          <w:lang w:val="lt-LT"/>
        </w:rPr>
      </w:pPr>
      <w:r w:rsidRPr="0001298D">
        <w:rPr>
          <w:bCs/>
          <w:sz w:val="24"/>
          <w:szCs w:val="24"/>
          <w:lang w:val="lt-LT"/>
        </w:rPr>
        <w:t xml:space="preserve">Dėl spiralių sukeltų įtariamų nepageidaujamų reakcijų gauti 4 pranešimai. Dėl spiralės </w:t>
      </w:r>
      <w:proofErr w:type="spellStart"/>
      <w:r w:rsidRPr="0001298D">
        <w:rPr>
          <w:bCs/>
          <w:sz w:val="24"/>
          <w:szCs w:val="24"/>
          <w:lang w:val="lt-LT"/>
        </w:rPr>
        <w:t>Mirena</w:t>
      </w:r>
      <w:proofErr w:type="spellEnd"/>
      <w:r w:rsidRPr="0001298D">
        <w:rPr>
          <w:bCs/>
          <w:sz w:val="24"/>
          <w:szCs w:val="24"/>
          <w:lang w:val="lt-LT"/>
        </w:rPr>
        <w:t xml:space="preserve"> gauti 3 pranešimai (iš jų 2 pranešimai sunkūs, 1 nesunkus) ir 1 pranešimas dėl spiralės </w:t>
      </w:r>
      <w:proofErr w:type="spellStart"/>
      <w:r w:rsidRPr="0001298D">
        <w:rPr>
          <w:bCs/>
          <w:sz w:val="24"/>
          <w:szCs w:val="24"/>
          <w:lang w:val="lt-LT"/>
        </w:rPr>
        <w:t>Fleree</w:t>
      </w:r>
      <w:proofErr w:type="spellEnd"/>
      <w:r w:rsidRPr="0001298D">
        <w:rPr>
          <w:bCs/>
          <w:sz w:val="24"/>
          <w:szCs w:val="24"/>
          <w:lang w:val="lt-LT"/>
        </w:rPr>
        <w:t xml:space="preserve"> (nesunkus).</w:t>
      </w:r>
    </w:p>
    <w:p w14:paraId="5C5D85CB" w14:textId="5BD99122" w:rsidR="00BE4E3B" w:rsidRPr="0001298D" w:rsidRDefault="00BE4E3B" w:rsidP="000D0531">
      <w:pPr>
        <w:pStyle w:val="Betarp"/>
        <w:ind w:firstLine="708"/>
        <w:jc w:val="both"/>
        <w:rPr>
          <w:bCs/>
          <w:sz w:val="24"/>
          <w:szCs w:val="24"/>
          <w:lang w:val="lt-LT"/>
        </w:rPr>
      </w:pPr>
    </w:p>
    <w:p w14:paraId="0AE2AE91" w14:textId="77777777" w:rsidR="00BE4E3B" w:rsidRPr="00DF22F0" w:rsidRDefault="00BE4E3B" w:rsidP="002140F7">
      <w:pPr>
        <w:pStyle w:val="Betarp"/>
        <w:jc w:val="both"/>
        <w:rPr>
          <w:bCs/>
          <w:sz w:val="24"/>
          <w:szCs w:val="24"/>
          <w:lang w:val="lt-LT"/>
        </w:rPr>
      </w:pPr>
    </w:p>
    <w:p w14:paraId="354FA0C8" w14:textId="77777777" w:rsidR="00BE4E3B" w:rsidRPr="00DF22F0" w:rsidRDefault="00BE4E3B" w:rsidP="00BE4E3B">
      <w:pPr>
        <w:pStyle w:val="Betarp"/>
        <w:rPr>
          <w:sz w:val="24"/>
          <w:szCs w:val="24"/>
          <w:lang w:val="lt-LT"/>
        </w:rPr>
      </w:pPr>
      <w:r w:rsidRPr="00DF22F0">
        <w:rPr>
          <w:sz w:val="24"/>
          <w:szCs w:val="24"/>
          <w:lang w:val="lt-LT"/>
        </w:rPr>
        <w:lastRenderedPageBreak/>
        <w:t xml:space="preserve">   </w:t>
      </w:r>
      <w:r>
        <w:rPr>
          <w:noProof/>
          <w14:ligatures w14:val="standardContextual"/>
        </w:rPr>
        <w:drawing>
          <wp:inline distT="0" distB="0" distL="0" distR="0" wp14:anchorId="62358CEF" wp14:editId="7FD78A4B">
            <wp:extent cx="5956300" cy="2959100"/>
            <wp:effectExtent l="0" t="0" r="6350" b="12700"/>
            <wp:docPr id="1258432280" name="Diagrama 1">
              <a:extLst xmlns:a="http://schemas.openxmlformats.org/drawingml/2006/main">
                <a:ext uri="{FF2B5EF4-FFF2-40B4-BE49-F238E27FC236}">
                  <a16:creationId xmlns:a16="http://schemas.microsoft.com/office/drawing/2014/main" id="{13CB4CAA-9856-A398-6CE1-A700753BC6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D7E3A9" w14:textId="1F556D53" w:rsidR="00BE4E3B" w:rsidRDefault="00BE4E3B" w:rsidP="00BE4E3B">
      <w:pPr>
        <w:pStyle w:val="Betarp"/>
        <w:rPr>
          <w:bCs/>
          <w:i/>
          <w:iCs/>
          <w:sz w:val="24"/>
          <w:szCs w:val="24"/>
          <w:lang w:val="lt-LT"/>
        </w:rPr>
      </w:pPr>
      <w:r w:rsidRPr="00DF22F0">
        <w:rPr>
          <w:bCs/>
          <w:i/>
          <w:iCs/>
          <w:sz w:val="24"/>
          <w:szCs w:val="24"/>
          <w:lang w:val="lt-LT"/>
        </w:rPr>
        <w:t xml:space="preserve">  </w:t>
      </w:r>
      <w:r w:rsidR="00F57865">
        <w:rPr>
          <w:bCs/>
          <w:i/>
          <w:iCs/>
          <w:sz w:val="24"/>
          <w:szCs w:val="24"/>
          <w:lang w:val="lt-LT"/>
        </w:rPr>
        <w:t xml:space="preserve"> </w:t>
      </w:r>
      <w:r w:rsidRPr="00DF22F0">
        <w:rPr>
          <w:bCs/>
          <w:i/>
          <w:iCs/>
          <w:sz w:val="24"/>
          <w:szCs w:val="24"/>
          <w:lang w:val="lt-LT"/>
        </w:rPr>
        <w:t>(</w:t>
      </w:r>
      <w:r w:rsidR="000D0531">
        <w:rPr>
          <w:bCs/>
          <w:i/>
          <w:iCs/>
          <w:sz w:val="24"/>
          <w:szCs w:val="24"/>
          <w:lang w:val="lt-LT"/>
        </w:rPr>
        <w:t>7</w:t>
      </w:r>
      <w:r w:rsidRPr="00DF22F0">
        <w:rPr>
          <w:bCs/>
          <w:i/>
          <w:iCs/>
          <w:sz w:val="24"/>
          <w:szCs w:val="24"/>
          <w:lang w:val="lt-LT"/>
        </w:rPr>
        <w:t xml:space="preserve"> pav.)</w:t>
      </w:r>
    </w:p>
    <w:p w14:paraId="6DDF4810" w14:textId="77777777" w:rsidR="00BE4E3B" w:rsidRPr="00DF22F0" w:rsidRDefault="00BE4E3B" w:rsidP="00BE4E3B">
      <w:pPr>
        <w:pStyle w:val="Betarp"/>
        <w:rPr>
          <w:b/>
          <w:sz w:val="24"/>
          <w:szCs w:val="24"/>
          <w:lang w:val="lt-LT"/>
        </w:rPr>
      </w:pPr>
    </w:p>
    <w:p w14:paraId="29DC840D" w14:textId="37BDAC2F" w:rsidR="00BE4E3B" w:rsidRPr="00211BA5" w:rsidRDefault="00BE4E3B" w:rsidP="00CD34F3">
      <w:pPr>
        <w:pStyle w:val="Betarp"/>
        <w:jc w:val="center"/>
        <w:rPr>
          <w:b/>
          <w:sz w:val="24"/>
          <w:szCs w:val="24"/>
          <w:lang w:val="lt-LT"/>
        </w:rPr>
      </w:pPr>
      <w:r w:rsidRPr="00211BA5">
        <w:rPr>
          <w:b/>
          <w:sz w:val="24"/>
          <w:szCs w:val="24"/>
          <w:lang w:val="lt-LT"/>
        </w:rPr>
        <w:t>Pranešimai apie vaistų neveiksmingumo atvejus</w:t>
      </w:r>
    </w:p>
    <w:p w14:paraId="2E008342" w14:textId="77777777" w:rsidR="00211BA5" w:rsidRPr="00AC3BB4" w:rsidRDefault="00211BA5" w:rsidP="002140F7">
      <w:pPr>
        <w:pStyle w:val="Betarp"/>
        <w:jc w:val="both"/>
        <w:rPr>
          <w:b/>
          <w:color w:val="4472C4" w:themeColor="accent5"/>
          <w:sz w:val="24"/>
          <w:szCs w:val="24"/>
          <w:lang w:val="lt-LT"/>
        </w:rPr>
      </w:pPr>
    </w:p>
    <w:p w14:paraId="0BC2B27B" w14:textId="2C00C3B9" w:rsidR="00BE4E3B" w:rsidRPr="00211BA5" w:rsidRDefault="00BE4E3B" w:rsidP="000D0531">
      <w:pPr>
        <w:pStyle w:val="Betarp"/>
        <w:jc w:val="both"/>
        <w:rPr>
          <w:bCs/>
          <w:sz w:val="24"/>
          <w:szCs w:val="24"/>
          <w:lang w:val="lt-LT"/>
        </w:rPr>
      </w:pPr>
      <w:r w:rsidRPr="00AC3BB4">
        <w:rPr>
          <w:bCs/>
          <w:color w:val="4472C4" w:themeColor="accent5"/>
          <w:sz w:val="24"/>
          <w:szCs w:val="24"/>
          <w:lang w:val="lt-LT"/>
        </w:rPr>
        <w:tab/>
      </w:r>
      <w:r w:rsidRPr="00211BA5">
        <w:rPr>
          <w:bCs/>
          <w:sz w:val="24"/>
          <w:szCs w:val="24"/>
          <w:lang w:val="lt-LT"/>
        </w:rPr>
        <w:t xml:space="preserve">Ataskaitiniu laikotarpiu buvo gauta 50 pranešimų apie vaistų neveiksmingumo atvejus. Vaistų neveiksmingumo atvejai apibrėžiami kaip atvejai nesukeliantys norimo terapinio poveikio pacientui. Vaistų neveiksmingumo atvejų pasiskirstymas pagal vaistų grupes pateiktas </w:t>
      </w:r>
      <w:r w:rsidR="000D0531">
        <w:rPr>
          <w:bCs/>
          <w:sz w:val="24"/>
          <w:szCs w:val="24"/>
          <w:lang w:val="lt-LT"/>
        </w:rPr>
        <w:t>5</w:t>
      </w:r>
      <w:r w:rsidRPr="00211BA5">
        <w:rPr>
          <w:bCs/>
          <w:sz w:val="24"/>
          <w:szCs w:val="24"/>
          <w:lang w:val="lt-LT"/>
        </w:rPr>
        <w:t xml:space="preserve"> lentelėje.</w:t>
      </w:r>
    </w:p>
    <w:p w14:paraId="4745BE4C" w14:textId="77777777" w:rsidR="00BE4E3B" w:rsidRPr="00211BA5" w:rsidRDefault="00BE4E3B" w:rsidP="000D0531">
      <w:pPr>
        <w:pStyle w:val="Betarp"/>
        <w:jc w:val="both"/>
        <w:rPr>
          <w:bCs/>
          <w:sz w:val="24"/>
          <w:szCs w:val="24"/>
          <w:lang w:val="lt-LT"/>
        </w:rPr>
      </w:pPr>
    </w:p>
    <w:p w14:paraId="59A24A7E" w14:textId="34615AC3" w:rsidR="00BE4E3B" w:rsidRDefault="000D0531" w:rsidP="00BE4E3B">
      <w:pPr>
        <w:pStyle w:val="Betarp"/>
        <w:rPr>
          <w:b/>
          <w:bCs/>
          <w:sz w:val="24"/>
          <w:szCs w:val="24"/>
          <w:lang w:val="lt-LT"/>
        </w:rPr>
      </w:pPr>
      <w:r>
        <w:rPr>
          <w:b/>
          <w:bCs/>
          <w:sz w:val="24"/>
          <w:szCs w:val="24"/>
          <w:lang w:val="lt-LT"/>
        </w:rPr>
        <w:t>5</w:t>
      </w:r>
      <w:r w:rsidR="00CD34F3">
        <w:rPr>
          <w:b/>
          <w:bCs/>
          <w:sz w:val="24"/>
          <w:szCs w:val="24"/>
          <w:lang w:val="lt-LT"/>
        </w:rPr>
        <w:t xml:space="preserve"> </w:t>
      </w:r>
      <w:r w:rsidR="00BE4E3B" w:rsidRPr="00211BA5">
        <w:rPr>
          <w:b/>
          <w:bCs/>
          <w:sz w:val="24"/>
          <w:szCs w:val="24"/>
          <w:lang w:val="lt-LT"/>
        </w:rPr>
        <w:t>lentelė. Vaistų neveiksmingumo atvejų skaičius pagal vaistų grupes</w:t>
      </w:r>
    </w:p>
    <w:p w14:paraId="19A39E79" w14:textId="77777777" w:rsidR="00916505" w:rsidRPr="00211BA5" w:rsidRDefault="00916505" w:rsidP="00BE4E3B">
      <w:pPr>
        <w:pStyle w:val="Betarp"/>
        <w:rPr>
          <w:b/>
          <w:bCs/>
          <w:sz w:val="24"/>
          <w:szCs w:val="24"/>
          <w:lang w:val="lt-LT"/>
        </w:rPr>
      </w:pPr>
    </w:p>
    <w:tbl>
      <w:tblPr>
        <w:tblW w:w="9634" w:type="dxa"/>
        <w:tblLayout w:type="fixed"/>
        <w:tblLook w:val="04A0" w:firstRow="1" w:lastRow="0" w:firstColumn="1" w:lastColumn="0" w:noHBand="0" w:noVBand="1"/>
      </w:tblPr>
      <w:tblGrid>
        <w:gridCol w:w="7083"/>
        <w:gridCol w:w="2551"/>
      </w:tblGrid>
      <w:tr w:rsidR="00AA56E4" w:rsidRPr="00AA56E4" w14:paraId="0CD8D7E9" w14:textId="77777777" w:rsidTr="002140F7">
        <w:trPr>
          <w:trHeight w:val="996"/>
        </w:trPr>
        <w:tc>
          <w:tcPr>
            <w:tcW w:w="7083" w:type="dxa"/>
            <w:tcBorders>
              <w:top w:val="single" w:sz="4" w:space="0" w:color="auto"/>
              <w:left w:val="single" w:sz="4" w:space="0" w:color="auto"/>
              <w:bottom w:val="single" w:sz="4" w:space="0" w:color="auto"/>
              <w:right w:val="single" w:sz="4" w:space="0" w:color="auto"/>
            </w:tcBorders>
            <w:vAlign w:val="center"/>
            <w:hideMark/>
          </w:tcPr>
          <w:p w14:paraId="4210984B" w14:textId="77777777" w:rsidR="00BE4E3B" w:rsidRPr="002140F7" w:rsidRDefault="00BE4E3B" w:rsidP="00CE2278">
            <w:pPr>
              <w:spacing w:after="0"/>
              <w:jc w:val="center"/>
              <w:rPr>
                <w:rFonts w:eastAsia="Times New Roman" w:cs="Times New Roman"/>
                <w:b/>
                <w:bCs/>
                <w:sz w:val="22"/>
                <w:lang w:val="lt-LT" w:eastAsia="lt-LT"/>
              </w:rPr>
            </w:pPr>
            <w:r w:rsidRPr="002140F7">
              <w:rPr>
                <w:rFonts w:eastAsia="Times New Roman" w:cs="Times New Roman"/>
                <w:b/>
                <w:bCs/>
                <w:sz w:val="22"/>
                <w:lang w:val="lt-LT" w:eastAsia="lt-LT"/>
              </w:rPr>
              <w:t>Vaistų grupės</w:t>
            </w:r>
          </w:p>
        </w:tc>
        <w:tc>
          <w:tcPr>
            <w:tcW w:w="2551" w:type="dxa"/>
            <w:tcBorders>
              <w:top w:val="single" w:sz="4" w:space="0" w:color="auto"/>
              <w:left w:val="nil"/>
              <w:bottom w:val="single" w:sz="4" w:space="0" w:color="auto"/>
              <w:right w:val="single" w:sz="4" w:space="0" w:color="auto"/>
            </w:tcBorders>
            <w:vAlign w:val="center"/>
            <w:hideMark/>
          </w:tcPr>
          <w:p w14:paraId="11AF4AE4" w14:textId="77777777" w:rsidR="00BE4E3B" w:rsidRPr="002140F7" w:rsidRDefault="00BE4E3B" w:rsidP="00CE2278">
            <w:pPr>
              <w:spacing w:after="0"/>
              <w:jc w:val="center"/>
              <w:rPr>
                <w:rFonts w:eastAsia="Times New Roman" w:cs="Times New Roman"/>
                <w:b/>
                <w:bCs/>
                <w:sz w:val="22"/>
                <w:lang w:val="lt-LT" w:eastAsia="lt-LT"/>
              </w:rPr>
            </w:pPr>
            <w:r w:rsidRPr="002140F7">
              <w:rPr>
                <w:rFonts w:eastAsia="Times New Roman" w:cs="Times New Roman"/>
                <w:b/>
                <w:bCs/>
                <w:sz w:val="22"/>
                <w:lang w:val="lt-LT" w:eastAsia="lt-LT"/>
              </w:rPr>
              <w:t xml:space="preserve">Neveiksmingumo atvejų skaičius </w:t>
            </w:r>
          </w:p>
        </w:tc>
      </w:tr>
      <w:tr w:rsidR="00AA56E4" w:rsidRPr="00AA56E4" w14:paraId="23D69CFF" w14:textId="77777777" w:rsidTr="002140F7">
        <w:trPr>
          <w:trHeight w:val="288"/>
        </w:trPr>
        <w:tc>
          <w:tcPr>
            <w:tcW w:w="7083" w:type="dxa"/>
            <w:tcBorders>
              <w:top w:val="single" w:sz="4" w:space="0" w:color="auto"/>
              <w:left w:val="single" w:sz="4" w:space="0" w:color="auto"/>
              <w:bottom w:val="single" w:sz="4" w:space="0" w:color="auto"/>
              <w:right w:val="single" w:sz="4" w:space="0" w:color="auto"/>
            </w:tcBorders>
            <w:vAlign w:val="center"/>
            <w:hideMark/>
          </w:tcPr>
          <w:p w14:paraId="75DFB944" w14:textId="77777777" w:rsidR="00BE4E3B" w:rsidRPr="002140F7" w:rsidRDefault="00BE4E3B" w:rsidP="00CE2278">
            <w:pPr>
              <w:spacing w:after="0"/>
              <w:rPr>
                <w:rFonts w:eastAsia="Times New Roman" w:cs="Times New Roman"/>
                <w:sz w:val="22"/>
                <w:lang w:val="lt-LT" w:eastAsia="lt-LT"/>
              </w:rPr>
            </w:pPr>
            <w:proofErr w:type="spellStart"/>
            <w:r w:rsidRPr="002140F7">
              <w:rPr>
                <w:rFonts w:eastAsia="Times New Roman" w:cs="Times New Roman"/>
                <w:sz w:val="22"/>
                <w:lang w:val="lt-LT" w:eastAsia="lt-LT"/>
              </w:rPr>
              <w:t>Antinavikiniai</w:t>
            </w:r>
            <w:proofErr w:type="spellEnd"/>
            <w:r w:rsidRPr="002140F7">
              <w:rPr>
                <w:rFonts w:eastAsia="Times New Roman" w:cs="Times New Roman"/>
                <w:sz w:val="22"/>
                <w:lang w:val="lt-LT" w:eastAsia="lt-LT"/>
              </w:rPr>
              <w:t xml:space="preserve"> vaistai ir </w:t>
            </w:r>
            <w:proofErr w:type="spellStart"/>
            <w:r w:rsidRPr="002140F7">
              <w:rPr>
                <w:rFonts w:eastAsia="Times New Roman" w:cs="Times New Roman"/>
                <w:sz w:val="22"/>
                <w:lang w:val="lt-LT" w:eastAsia="lt-LT"/>
              </w:rPr>
              <w:t>imunomoduliatoriai</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22D36BAD" w14:textId="77777777" w:rsidR="00BE4E3B" w:rsidRPr="002140F7" w:rsidRDefault="00BE4E3B" w:rsidP="00CE2278">
            <w:pPr>
              <w:spacing w:after="0"/>
              <w:jc w:val="center"/>
              <w:rPr>
                <w:rFonts w:eastAsia="Times New Roman" w:cs="Times New Roman"/>
                <w:sz w:val="22"/>
                <w:lang w:val="lt-LT" w:eastAsia="lt-LT"/>
              </w:rPr>
            </w:pPr>
            <w:r w:rsidRPr="002140F7">
              <w:rPr>
                <w:rFonts w:eastAsia="Times New Roman" w:cs="Times New Roman"/>
                <w:sz w:val="22"/>
                <w:lang w:val="lt-LT" w:eastAsia="lt-LT"/>
              </w:rPr>
              <w:t>16</w:t>
            </w:r>
          </w:p>
        </w:tc>
      </w:tr>
      <w:tr w:rsidR="00AA56E4" w:rsidRPr="00AA56E4" w14:paraId="0C4BA098"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vAlign w:val="center"/>
            <w:hideMark/>
          </w:tcPr>
          <w:p w14:paraId="7B51B19C" w14:textId="77777777" w:rsidR="00BE4E3B" w:rsidRPr="002140F7" w:rsidRDefault="00BE4E3B" w:rsidP="00CE2278">
            <w:pPr>
              <w:spacing w:after="0"/>
              <w:rPr>
                <w:rFonts w:eastAsia="Times New Roman" w:cs="Times New Roman"/>
                <w:sz w:val="22"/>
                <w:lang w:val="lt-LT" w:eastAsia="lt-LT"/>
              </w:rPr>
            </w:pPr>
            <w:r w:rsidRPr="002140F7">
              <w:rPr>
                <w:rFonts w:eastAsia="Times New Roman" w:cs="Times New Roman"/>
                <w:sz w:val="22"/>
                <w:lang w:val="lt-LT" w:eastAsia="lt-LT"/>
              </w:rPr>
              <w:t xml:space="preserve">Sistemiškai veikiantys </w:t>
            </w:r>
            <w:proofErr w:type="spellStart"/>
            <w:r w:rsidRPr="002140F7">
              <w:rPr>
                <w:rFonts w:eastAsia="Times New Roman" w:cs="Times New Roman"/>
                <w:sz w:val="22"/>
                <w:lang w:val="lt-LT" w:eastAsia="lt-LT"/>
              </w:rPr>
              <w:t>priešinfekciniai</w:t>
            </w:r>
            <w:proofErr w:type="spellEnd"/>
            <w:r w:rsidRPr="002140F7">
              <w:rPr>
                <w:rFonts w:eastAsia="Times New Roman" w:cs="Times New Roman"/>
                <w:sz w:val="22"/>
                <w:lang w:val="lt-LT" w:eastAsia="lt-LT"/>
              </w:rPr>
              <w:t xml:space="preserve"> vaistai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81798C0" w14:textId="77777777" w:rsidR="00BE4E3B" w:rsidRPr="002140F7" w:rsidRDefault="00BE4E3B" w:rsidP="00CE2278">
            <w:pPr>
              <w:spacing w:after="0"/>
              <w:jc w:val="center"/>
              <w:rPr>
                <w:rFonts w:eastAsia="Times New Roman" w:cs="Times New Roman"/>
                <w:sz w:val="22"/>
                <w:lang w:val="lt-LT" w:eastAsia="lt-LT"/>
              </w:rPr>
            </w:pPr>
            <w:r w:rsidRPr="002140F7">
              <w:rPr>
                <w:rFonts w:eastAsia="Times New Roman" w:cs="Times New Roman"/>
                <w:sz w:val="22"/>
                <w:lang w:val="lt-LT" w:eastAsia="lt-LT"/>
              </w:rPr>
              <w:t>12</w:t>
            </w:r>
          </w:p>
        </w:tc>
      </w:tr>
      <w:tr w:rsidR="00AA56E4" w:rsidRPr="00AA56E4" w14:paraId="24BD74B9"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vAlign w:val="center"/>
            <w:hideMark/>
          </w:tcPr>
          <w:p w14:paraId="4C5CAC74" w14:textId="77777777" w:rsidR="00BE4E3B" w:rsidRPr="002140F7" w:rsidRDefault="00BE4E3B" w:rsidP="00CE2278">
            <w:pPr>
              <w:spacing w:after="0"/>
              <w:rPr>
                <w:rFonts w:eastAsia="Times New Roman" w:cs="Times New Roman"/>
                <w:sz w:val="22"/>
                <w:lang w:val="lt-LT" w:eastAsia="lt-LT"/>
              </w:rPr>
            </w:pPr>
            <w:r w:rsidRPr="002140F7">
              <w:rPr>
                <w:rFonts w:eastAsia="Times New Roman" w:cs="Times New Roman"/>
                <w:sz w:val="22"/>
                <w:lang w:val="lt-LT" w:eastAsia="lt-LT"/>
              </w:rPr>
              <w:t>Nervų sistemą veikiantys vaistai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A50B1B0" w14:textId="77777777" w:rsidR="00BE4E3B" w:rsidRPr="002140F7" w:rsidRDefault="00BE4E3B" w:rsidP="00CE2278">
            <w:pPr>
              <w:spacing w:after="0"/>
              <w:jc w:val="center"/>
              <w:rPr>
                <w:rFonts w:eastAsia="Times New Roman" w:cs="Times New Roman"/>
                <w:sz w:val="22"/>
                <w:lang w:val="lt-LT" w:eastAsia="lt-LT"/>
              </w:rPr>
            </w:pPr>
            <w:r w:rsidRPr="002140F7">
              <w:rPr>
                <w:rFonts w:eastAsia="Times New Roman" w:cs="Times New Roman"/>
                <w:sz w:val="22"/>
                <w:lang w:val="lt-LT" w:eastAsia="lt-LT"/>
              </w:rPr>
              <w:t>7</w:t>
            </w:r>
          </w:p>
        </w:tc>
      </w:tr>
      <w:tr w:rsidR="00AA56E4" w:rsidRPr="00AA56E4" w14:paraId="6E59D49E"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vAlign w:val="center"/>
            <w:hideMark/>
          </w:tcPr>
          <w:p w14:paraId="13339123" w14:textId="77777777" w:rsidR="00BE4E3B" w:rsidRPr="002140F7" w:rsidRDefault="00BE4E3B" w:rsidP="00CE2278">
            <w:pPr>
              <w:spacing w:after="0"/>
              <w:rPr>
                <w:rFonts w:eastAsia="Times New Roman" w:cs="Times New Roman"/>
                <w:sz w:val="22"/>
                <w:lang w:val="lt-LT" w:eastAsia="lt-LT"/>
              </w:rPr>
            </w:pPr>
            <w:r w:rsidRPr="002140F7">
              <w:rPr>
                <w:rFonts w:eastAsia="Times New Roman" w:cs="Times New Roman"/>
                <w:sz w:val="22"/>
                <w:lang w:val="lt-LT" w:eastAsia="lt-LT"/>
              </w:rPr>
              <w:t>Širdies ir kraujagyslių sistemą veikiantys vaistai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C539A78" w14:textId="77777777" w:rsidR="00BE4E3B" w:rsidRPr="002140F7" w:rsidRDefault="00BE4E3B" w:rsidP="00CE2278">
            <w:pPr>
              <w:spacing w:after="0"/>
              <w:jc w:val="center"/>
              <w:rPr>
                <w:rFonts w:eastAsia="Times New Roman" w:cs="Times New Roman"/>
                <w:sz w:val="22"/>
                <w:lang w:val="lt-LT" w:eastAsia="lt-LT"/>
              </w:rPr>
            </w:pPr>
            <w:r w:rsidRPr="002140F7">
              <w:rPr>
                <w:rFonts w:eastAsia="Times New Roman" w:cs="Times New Roman"/>
                <w:sz w:val="22"/>
                <w:lang w:val="lt-LT" w:eastAsia="lt-LT"/>
              </w:rPr>
              <w:t>4</w:t>
            </w:r>
          </w:p>
        </w:tc>
      </w:tr>
      <w:tr w:rsidR="00AA56E4" w:rsidRPr="00AA56E4" w14:paraId="7AB6BC31"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vAlign w:val="center"/>
            <w:hideMark/>
          </w:tcPr>
          <w:p w14:paraId="073EA83D" w14:textId="77777777" w:rsidR="00BE4E3B" w:rsidRPr="002140F7" w:rsidRDefault="00BE4E3B" w:rsidP="00CE2278">
            <w:pPr>
              <w:spacing w:after="0"/>
              <w:rPr>
                <w:rFonts w:eastAsia="Times New Roman" w:cs="Times New Roman"/>
                <w:sz w:val="22"/>
                <w:lang w:val="lt-LT" w:eastAsia="lt-LT"/>
              </w:rPr>
            </w:pPr>
            <w:r w:rsidRPr="002140F7">
              <w:rPr>
                <w:rFonts w:eastAsia="Times New Roman" w:cs="Times New Roman"/>
                <w:sz w:val="22"/>
                <w:lang w:val="lt-LT" w:eastAsia="lt-LT"/>
              </w:rPr>
              <w:t>Raumenų ir skeleto sistemą veikiantys vaistai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9C8E2F0" w14:textId="77777777" w:rsidR="00BE4E3B" w:rsidRPr="002140F7" w:rsidRDefault="00BE4E3B" w:rsidP="00CE2278">
            <w:pPr>
              <w:spacing w:after="0"/>
              <w:jc w:val="center"/>
              <w:rPr>
                <w:rFonts w:eastAsia="Times New Roman" w:cs="Times New Roman"/>
                <w:sz w:val="22"/>
                <w:lang w:val="lt-LT" w:eastAsia="lt-LT"/>
              </w:rPr>
            </w:pPr>
            <w:r w:rsidRPr="002140F7">
              <w:rPr>
                <w:rFonts w:eastAsia="Times New Roman" w:cs="Times New Roman"/>
                <w:sz w:val="22"/>
                <w:lang w:val="lt-LT" w:eastAsia="lt-LT"/>
              </w:rPr>
              <w:t>3</w:t>
            </w:r>
          </w:p>
        </w:tc>
      </w:tr>
      <w:tr w:rsidR="00AA56E4" w:rsidRPr="00AA56E4" w14:paraId="20D55BE1"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vAlign w:val="center"/>
            <w:hideMark/>
          </w:tcPr>
          <w:p w14:paraId="4F5EAE0B" w14:textId="77777777" w:rsidR="00BE4E3B" w:rsidRPr="002140F7" w:rsidRDefault="00BE4E3B" w:rsidP="00CE2278">
            <w:pPr>
              <w:spacing w:after="0"/>
              <w:rPr>
                <w:rFonts w:eastAsia="Times New Roman" w:cs="Times New Roman"/>
                <w:sz w:val="22"/>
                <w:lang w:val="lt-LT" w:eastAsia="lt-LT"/>
              </w:rPr>
            </w:pPr>
            <w:r w:rsidRPr="002140F7">
              <w:rPr>
                <w:rFonts w:eastAsia="Times New Roman" w:cs="Times New Roman"/>
                <w:sz w:val="22"/>
                <w:lang w:val="lt-LT" w:eastAsia="lt-LT"/>
              </w:rPr>
              <w:t>Virškinimo traktą ir metabolizmą veikiantys vaistai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E47BAC7" w14:textId="77777777" w:rsidR="00BE4E3B" w:rsidRPr="002140F7" w:rsidRDefault="00BE4E3B" w:rsidP="00CE2278">
            <w:pPr>
              <w:spacing w:after="0"/>
              <w:jc w:val="center"/>
              <w:rPr>
                <w:rFonts w:eastAsia="Times New Roman" w:cs="Times New Roman"/>
                <w:sz w:val="22"/>
                <w:lang w:val="lt-LT" w:eastAsia="lt-LT"/>
              </w:rPr>
            </w:pPr>
            <w:r w:rsidRPr="002140F7">
              <w:rPr>
                <w:rFonts w:eastAsia="Times New Roman" w:cs="Times New Roman"/>
                <w:sz w:val="22"/>
                <w:lang w:val="lt-LT" w:eastAsia="lt-LT"/>
              </w:rPr>
              <w:t>3</w:t>
            </w:r>
          </w:p>
        </w:tc>
      </w:tr>
      <w:tr w:rsidR="00AA56E4" w:rsidRPr="00AA56E4" w14:paraId="7E4062C2"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vAlign w:val="center"/>
            <w:hideMark/>
          </w:tcPr>
          <w:p w14:paraId="34329CAF" w14:textId="77777777" w:rsidR="00BE4E3B" w:rsidRPr="002140F7" w:rsidRDefault="00BE4E3B" w:rsidP="00CE2278">
            <w:pPr>
              <w:spacing w:after="0"/>
              <w:rPr>
                <w:rFonts w:eastAsia="Times New Roman" w:cs="Times New Roman"/>
                <w:sz w:val="22"/>
                <w:lang w:val="lt-LT" w:eastAsia="lt-LT"/>
              </w:rPr>
            </w:pPr>
            <w:r w:rsidRPr="002140F7">
              <w:rPr>
                <w:rFonts w:eastAsia="Times New Roman" w:cs="Times New Roman"/>
                <w:sz w:val="22"/>
                <w:lang w:val="lt-LT" w:eastAsia="lt-LT"/>
              </w:rPr>
              <w:t>Sistemiškai veikiantys hormonai, išskyrus lytinius hormonus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4B1A62A" w14:textId="77777777" w:rsidR="00BE4E3B" w:rsidRPr="002140F7" w:rsidRDefault="00BE4E3B" w:rsidP="00CE2278">
            <w:pPr>
              <w:spacing w:after="0"/>
              <w:jc w:val="center"/>
              <w:rPr>
                <w:rFonts w:eastAsia="Times New Roman" w:cs="Times New Roman"/>
                <w:sz w:val="22"/>
                <w:lang w:val="lt-LT" w:eastAsia="lt-LT"/>
              </w:rPr>
            </w:pPr>
            <w:r w:rsidRPr="002140F7">
              <w:rPr>
                <w:rFonts w:eastAsia="Times New Roman" w:cs="Times New Roman"/>
                <w:sz w:val="22"/>
                <w:lang w:val="lt-LT" w:eastAsia="lt-LT"/>
              </w:rPr>
              <w:t>3</w:t>
            </w:r>
          </w:p>
        </w:tc>
      </w:tr>
      <w:tr w:rsidR="00AA56E4" w:rsidRPr="00AA56E4" w14:paraId="61F9B6E2" w14:textId="77777777" w:rsidTr="002140F7">
        <w:trPr>
          <w:trHeight w:val="324"/>
        </w:trPr>
        <w:tc>
          <w:tcPr>
            <w:tcW w:w="7083" w:type="dxa"/>
            <w:tcBorders>
              <w:top w:val="single" w:sz="4" w:space="0" w:color="auto"/>
              <w:left w:val="single" w:sz="4" w:space="0" w:color="auto"/>
              <w:bottom w:val="single" w:sz="4" w:space="0" w:color="auto"/>
              <w:right w:val="single" w:sz="4" w:space="0" w:color="auto"/>
            </w:tcBorders>
            <w:vAlign w:val="center"/>
            <w:hideMark/>
          </w:tcPr>
          <w:p w14:paraId="0719B3F3" w14:textId="77777777" w:rsidR="00BE4E3B" w:rsidRPr="002140F7" w:rsidRDefault="00BE4E3B" w:rsidP="00CE2278">
            <w:pPr>
              <w:spacing w:after="0"/>
              <w:rPr>
                <w:rFonts w:eastAsia="Times New Roman" w:cs="Times New Roman"/>
                <w:sz w:val="22"/>
                <w:lang w:val="lt-LT" w:eastAsia="lt-LT"/>
              </w:rPr>
            </w:pPr>
            <w:r w:rsidRPr="002140F7">
              <w:rPr>
                <w:rFonts w:eastAsia="Times New Roman" w:cs="Times New Roman"/>
                <w:sz w:val="22"/>
                <w:lang w:val="lt-LT" w:eastAsia="lt-LT"/>
              </w:rPr>
              <w:t xml:space="preserve">Kraują ir </w:t>
            </w:r>
            <w:proofErr w:type="spellStart"/>
            <w:r w:rsidRPr="002140F7">
              <w:rPr>
                <w:rFonts w:eastAsia="Times New Roman" w:cs="Times New Roman"/>
                <w:sz w:val="22"/>
                <w:lang w:val="lt-LT" w:eastAsia="lt-LT"/>
              </w:rPr>
              <w:t>kraujodarą</w:t>
            </w:r>
            <w:proofErr w:type="spellEnd"/>
            <w:r w:rsidRPr="002140F7">
              <w:rPr>
                <w:rFonts w:eastAsia="Times New Roman" w:cs="Times New Roman"/>
                <w:sz w:val="22"/>
                <w:lang w:val="lt-LT" w:eastAsia="lt-LT"/>
              </w:rPr>
              <w:t xml:space="preserve"> veikiantys vaistai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0193458" w14:textId="77777777" w:rsidR="00BE4E3B" w:rsidRPr="002140F7" w:rsidRDefault="00BE4E3B" w:rsidP="00CE2278">
            <w:pPr>
              <w:spacing w:after="0"/>
              <w:jc w:val="center"/>
              <w:rPr>
                <w:rFonts w:eastAsia="Times New Roman" w:cs="Times New Roman"/>
                <w:sz w:val="22"/>
                <w:lang w:val="lt-LT" w:eastAsia="lt-LT"/>
              </w:rPr>
            </w:pPr>
            <w:r w:rsidRPr="002140F7">
              <w:rPr>
                <w:rFonts w:eastAsia="Times New Roman" w:cs="Times New Roman"/>
                <w:sz w:val="22"/>
                <w:lang w:val="lt-LT" w:eastAsia="lt-LT"/>
              </w:rPr>
              <w:t>1</w:t>
            </w:r>
          </w:p>
        </w:tc>
      </w:tr>
      <w:tr w:rsidR="00AA56E4" w:rsidRPr="00AA56E4" w14:paraId="47FF1C7A" w14:textId="77777777" w:rsidTr="002140F7">
        <w:trPr>
          <w:trHeight w:val="312"/>
        </w:trPr>
        <w:tc>
          <w:tcPr>
            <w:tcW w:w="7083" w:type="dxa"/>
            <w:tcBorders>
              <w:top w:val="single" w:sz="4" w:space="0" w:color="auto"/>
              <w:left w:val="single" w:sz="4" w:space="0" w:color="auto"/>
              <w:bottom w:val="single" w:sz="4" w:space="0" w:color="auto"/>
              <w:right w:val="single" w:sz="4" w:space="0" w:color="auto"/>
            </w:tcBorders>
            <w:vAlign w:val="center"/>
            <w:hideMark/>
          </w:tcPr>
          <w:p w14:paraId="43E9EEAB" w14:textId="77777777" w:rsidR="00BE4E3B" w:rsidRPr="002140F7" w:rsidRDefault="00BE4E3B" w:rsidP="00CE2278">
            <w:pPr>
              <w:spacing w:after="0"/>
              <w:rPr>
                <w:rFonts w:eastAsia="Times New Roman" w:cs="Times New Roman"/>
                <w:sz w:val="22"/>
                <w:lang w:val="lt-LT" w:eastAsia="lt-LT"/>
              </w:rPr>
            </w:pPr>
            <w:proofErr w:type="spellStart"/>
            <w:r w:rsidRPr="002140F7">
              <w:rPr>
                <w:rFonts w:eastAsia="Times New Roman" w:cs="Times New Roman"/>
                <w:sz w:val="22"/>
                <w:lang w:val="lt-LT" w:eastAsia="lt-LT"/>
              </w:rPr>
              <w:t>Dermatologiniai</w:t>
            </w:r>
            <w:proofErr w:type="spellEnd"/>
            <w:r w:rsidRPr="002140F7">
              <w:rPr>
                <w:rFonts w:eastAsia="Times New Roman" w:cs="Times New Roman"/>
                <w:sz w:val="22"/>
                <w:lang w:val="lt-LT" w:eastAsia="lt-LT"/>
              </w:rPr>
              <w:t xml:space="preserve"> preparatai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075F330" w14:textId="77777777" w:rsidR="00BE4E3B" w:rsidRPr="002140F7" w:rsidRDefault="00BE4E3B" w:rsidP="00CE2278">
            <w:pPr>
              <w:spacing w:after="0"/>
              <w:jc w:val="center"/>
              <w:rPr>
                <w:rFonts w:eastAsia="Times New Roman" w:cs="Times New Roman"/>
                <w:sz w:val="22"/>
                <w:lang w:val="lt-LT" w:eastAsia="lt-LT"/>
              </w:rPr>
            </w:pPr>
            <w:r w:rsidRPr="002140F7">
              <w:rPr>
                <w:rFonts w:eastAsia="Times New Roman" w:cs="Times New Roman"/>
                <w:sz w:val="22"/>
                <w:lang w:val="lt-LT" w:eastAsia="lt-LT"/>
              </w:rPr>
              <w:t>1</w:t>
            </w:r>
          </w:p>
        </w:tc>
      </w:tr>
    </w:tbl>
    <w:p w14:paraId="33F5B183" w14:textId="77777777" w:rsidR="00427063" w:rsidRDefault="00427063" w:rsidP="00DF22F0">
      <w:pPr>
        <w:pStyle w:val="Betarp"/>
        <w:rPr>
          <w:sz w:val="24"/>
          <w:szCs w:val="24"/>
          <w:lang w:val="lt-LT"/>
        </w:rPr>
      </w:pPr>
    </w:p>
    <w:p w14:paraId="471B3E09" w14:textId="77777777" w:rsidR="00AE4612" w:rsidRPr="00DF22F0" w:rsidRDefault="00AE4612" w:rsidP="00DF22F0">
      <w:pPr>
        <w:pStyle w:val="Betarp"/>
        <w:rPr>
          <w:b/>
          <w:bCs/>
          <w:sz w:val="24"/>
          <w:szCs w:val="24"/>
          <w:lang w:val="lt-LT"/>
        </w:rPr>
      </w:pPr>
    </w:p>
    <w:p w14:paraId="1899DC65" w14:textId="77777777" w:rsidR="00DF22F0" w:rsidRDefault="00DF22F0" w:rsidP="00AA56E4">
      <w:pPr>
        <w:pStyle w:val="Betarp"/>
        <w:jc w:val="center"/>
        <w:rPr>
          <w:b/>
          <w:bCs/>
          <w:sz w:val="24"/>
          <w:szCs w:val="24"/>
          <w:lang w:val="lt-LT"/>
        </w:rPr>
      </w:pPr>
      <w:r w:rsidRPr="00DF22F0">
        <w:rPr>
          <w:b/>
          <w:bCs/>
          <w:sz w:val="24"/>
          <w:szCs w:val="24"/>
          <w:lang w:val="lt-LT"/>
        </w:rPr>
        <w:t>Pranešimai apie vakcinų sukeltas ĮNR</w:t>
      </w:r>
    </w:p>
    <w:p w14:paraId="22E368D0" w14:textId="77777777" w:rsidR="00AA56E4" w:rsidRPr="00DF22F0" w:rsidRDefault="00AA56E4" w:rsidP="00AA56E4">
      <w:pPr>
        <w:pStyle w:val="Betarp"/>
        <w:jc w:val="center"/>
        <w:rPr>
          <w:b/>
          <w:bCs/>
          <w:sz w:val="24"/>
          <w:szCs w:val="24"/>
          <w:lang w:val="lt-LT"/>
        </w:rPr>
      </w:pPr>
    </w:p>
    <w:bookmarkEnd w:id="1"/>
    <w:p w14:paraId="61A8DD5D" w14:textId="7ECBC78F" w:rsidR="00DF22F0" w:rsidRPr="007B296D" w:rsidRDefault="00280DAD" w:rsidP="007B296D">
      <w:pPr>
        <w:pStyle w:val="Betarp"/>
        <w:ind w:firstLine="708"/>
        <w:jc w:val="both"/>
        <w:rPr>
          <w:sz w:val="24"/>
          <w:szCs w:val="24"/>
          <w:lang w:val="lt-LT"/>
        </w:rPr>
      </w:pPr>
      <w:r w:rsidRPr="007B296D">
        <w:rPr>
          <w:sz w:val="24"/>
          <w:szCs w:val="24"/>
          <w:lang w:val="lt-LT"/>
        </w:rPr>
        <w:t>2025 m. gauti 97 pranešimai apie vakcinų sukeltas įtariamas nepageidaujamas reakcijas</w:t>
      </w:r>
      <w:r w:rsidR="00B16177" w:rsidRPr="007B296D">
        <w:rPr>
          <w:sz w:val="24"/>
          <w:szCs w:val="24"/>
          <w:lang w:val="lt-LT"/>
        </w:rPr>
        <w:t xml:space="preserve">. </w:t>
      </w:r>
      <w:r w:rsidR="00E075AC" w:rsidRPr="007B296D">
        <w:rPr>
          <w:sz w:val="24"/>
          <w:szCs w:val="24"/>
          <w:lang w:val="lt-LT"/>
        </w:rPr>
        <w:t xml:space="preserve">96 pranešimai spontaniniai ir 1 pranešimas </w:t>
      </w:r>
      <w:r w:rsidR="00542720">
        <w:rPr>
          <w:sz w:val="24"/>
          <w:szCs w:val="24"/>
          <w:lang w:val="lt-LT"/>
        </w:rPr>
        <w:t xml:space="preserve">paremtas </w:t>
      </w:r>
      <w:r w:rsidR="00E075AC" w:rsidRPr="007B296D">
        <w:rPr>
          <w:sz w:val="24"/>
          <w:szCs w:val="24"/>
          <w:lang w:val="lt-LT"/>
        </w:rPr>
        <w:t xml:space="preserve"> literatūros šaltini</w:t>
      </w:r>
      <w:r w:rsidR="00542720">
        <w:rPr>
          <w:sz w:val="24"/>
          <w:szCs w:val="24"/>
          <w:lang w:val="lt-LT"/>
        </w:rPr>
        <w:t>u</w:t>
      </w:r>
      <w:r w:rsidR="00E075AC" w:rsidRPr="007B296D">
        <w:rPr>
          <w:sz w:val="24"/>
          <w:szCs w:val="24"/>
          <w:lang w:val="lt-LT"/>
        </w:rPr>
        <w:t xml:space="preserve">. </w:t>
      </w:r>
      <w:r w:rsidR="00B16177" w:rsidRPr="007B296D">
        <w:rPr>
          <w:sz w:val="24"/>
          <w:szCs w:val="24"/>
          <w:lang w:val="lt-LT"/>
        </w:rPr>
        <w:t>Ženkliai sumažėjo gaunamų atvejų po vakcinacijos nuo Covid-19</w:t>
      </w:r>
      <w:r w:rsidR="00B95FCC">
        <w:rPr>
          <w:sz w:val="24"/>
          <w:szCs w:val="24"/>
          <w:lang w:val="lt-LT"/>
        </w:rPr>
        <w:t xml:space="preserve"> ligos </w:t>
      </w:r>
      <w:r w:rsidR="00B16177" w:rsidRPr="007B296D">
        <w:rPr>
          <w:sz w:val="24"/>
          <w:szCs w:val="24"/>
          <w:lang w:val="lt-LT"/>
        </w:rPr>
        <w:t>(2025 m. gauti 5 tokie atvejai iš 97 pranešimų</w:t>
      </w:r>
      <w:r w:rsidR="008532A8" w:rsidRPr="007B296D">
        <w:rPr>
          <w:sz w:val="24"/>
          <w:szCs w:val="24"/>
          <w:lang w:val="lt-LT"/>
        </w:rPr>
        <w:t xml:space="preserve"> apie vakcinas</w:t>
      </w:r>
      <w:r w:rsidR="00B16177" w:rsidRPr="007B296D">
        <w:rPr>
          <w:sz w:val="24"/>
          <w:szCs w:val="24"/>
          <w:lang w:val="lt-LT"/>
        </w:rPr>
        <w:t>, 2024 m. -21 atvejis iš 78</w:t>
      </w:r>
      <w:r w:rsidR="00B632D9">
        <w:rPr>
          <w:sz w:val="24"/>
          <w:szCs w:val="24"/>
          <w:lang w:val="lt-LT"/>
        </w:rPr>
        <w:t>)</w:t>
      </w:r>
      <w:r w:rsidR="00B16177" w:rsidRPr="007B296D">
        <w:rPr>
          <w:sz w:val="24"/>
          <w:szCs w:val="24"/>
          <w:lang w:val="lt-LT"/>
        </w:rPr>
        <w:t xml:space="preserve">. </w:t>
      </w:r>
      <w:r w:rsidR="000D0531">
        <w:rPr>
          <w:sz w:val="24"/>
          <w:szCs w:val="24"/>
          <w:lang w:val="lt-LT"/>
        </w:rPr>
        <w:t>6</w:t>
      </w:r>
      <w:r w:rsidR="00DF22F0" w:rsidRPr="007B296D">
        <w:rPr>
          <w:sz w:val="24"/>
          <w:szCs w:val="24"/>
          <w:lang w:val="lt-LT"/>
        </w:rPr>
        <w:t xml:space="preserve"> lentelėje pateikt</w:t>
      </w:r>
      <w:r w:rsidR="002302C0" w:rsidRPr="007B296D">
        <w:rPr>
          <w:sz w:val="24"/>
          <w:szCs w:val="24"/>
          <w:lang w:val="lt-LT"/>
        </w:rPr>
        <w:t>a</w:t>
      </w:r>
      <w:r w:rsidR="00DF22F0" w:rsidRPr="007B296D">
        <w:rPr>
          <w:sz w:val="24"/>
          <w:szCs w:val="24"/>
          <w:lang w:val="lt-LT"/>
        </w:rPr>
        <w:t xml:space="preserve"> </w:t>
      </w:r>
      <w:r w:rsidR="002302C0" w:rsidRPr="007B296D">
        <w:rPr>
          <w:sz w:val="24"/>
          <w:szCs w:val="24"/>
          <w:lang w:val="lt-LT"/>
        </w:rPr>
        <w:t>kiek</w:t>
      </w:r>
      <w:r w:rsidR="00543069" w:rsidRPr="007B296D">
        <w:rPr>
          <w:sz w:val="24"/>
          <w:szCs w:val="24"/>
          <w:lang w:val="lt-LT"/>
        </w:rPr>
        <w:t xml:space="preserve"> per 2025 m. gauta</w:t>
      </w:r>
      <w:r w:rsidR="002302C0" w:rsidRPr="007B296D">
        <w:rPr>
          <w:sz w:val="24"/>
          <w:szCs w:val="24"/>
          <w:lang w:val="lt-LT"/>
        </w:rPr>
        <w:t xml:space="preserve"> </w:t>
      </w:r>
      <w:r w:rsidR="00DF22F0" w:rsidRPr="007B296D">
        <w:rPr>
          <w:sz w:val="24"/>
          <w:szCs w:val="24"/>
          <w:lang w:val="lt-LT"/>
        </w:rPr>
        <w:t xml:space="preserve">pranešimų konkrečiai vakcinai ir dažniausiai konkrečiai vakcinai pasireiškusios nepageidaujamos reakcijos. </w:t>
      </w:r>
    </w:p>
    <w:p w14:paraId="7BF359CD" w14:textId="77777777" w:rsidR="00E075AC" w:rsidRDefault="00E075AC" w:rsidP="00DF22F0">
      <w:pPr>
        <w:pStyle w:val="Betarp"/>
        <w:rPr>
          <w:color w:val="4472C4" w:themeColor="accent5"/>
          <w:sz w:val="24"/>
          <w:szCs w:val="24"/>
          <w:lang w:val="lt-LT"/>
        </w:rPr>
      </w:pPr>
    </w:p>
    <w:p w14:paraId="18C19BC7" w14:textId="77777777" w:rsidR="00F03477" w:rsidRPr="00337C51" w:rsidRDefault="00F03477" w:rsidP="00DF22F0">
      <w:pPr>
        <w:pStyle w:val="Betarp"/>
        <w:rPr>
          <w:color w:val="4472C4" w:themeColor="accent5"/>
          <w:sz w:val="24"/>
          <w:szCs w:val="24"/>
          <w:lang w:val="lt-LT"/>
        </w:rPr>
      </w:pPr>
    </w:p>
    <w:p w14:paraId="26412E59" w14:textId="78ED7737" w:rsidR="00DF22F0" w:rsidRDefault="000D0531" w:rsidP="00DF22F0">
      <w:pPr>
        <w:pStyle w:val="Betarp"/>
        <w:rPr>
          <w:b/>
          <w:bCs/>
          <w:sz w:val="24"/>
          <w:szCs w:val="24"/>
          <w:lang w:val="lt-LT"/>
        </w:rPr>
      </w:pPr>
      <w:bookmarkStart w:id="2" w:name="_Hlk190354817"/>
      <w:r>
        <w:rPr>
          <w:b/>
          <w:bCs/>
          <w:sz w:val="24"/>
          <w:szCs w:val="24"/>
          <w:lang w:val="lt-LT"/>
        </w:rPr>
        <w:lastRenderedPageBreak/>
        <w:t>6</w:t>
      </w:r>
      <w:r w:rsidR="00DF22F0" w:rsidRPr="007B296D">
        <w:rPr>
          <w:b/>
          <w:bCs/>
          <w:sz w:val="24"/>
          <w:szCs w:val="24"/>
          <w:lang w:val="lt-LT"/>
        </w:rPr>
        <w:t xml:space="preserve"> lentelė. ĮNR pranešimų skaičius ir dažniausi</w:t>
      </w:r>
      <w:r w:rsidR="00E075AC" w:rsidRPr="007B296D">
        <w:rPr>
          <w:b/>
          <w:bCs/>
          <w:sz w:val="24"/>
          <w:szCs w:val="24"/>
          <w:lang w:val="lt-LT"/>
        </w:rPr>
        <w:t>ai pasireiškusios</w:t>
      </w:r>
      <w:r w:rsidR="00DF22F0" w:rsidRPr="007B296D">
        <w:rPr>
          <w:b/>
          <w:bCs/>
          <w:sz w:val="24"/>
          <w:szCs w:val="24"/>
          <w:lang w:val="lt-LT"/>
        </w:rPr>
        <w:t xml:space="preserve"> ĮNR konkrečiai vakcinai</w:t>
      </w:r>
    </w:p>
    <w:p w14:paraId="6CCB9CD1" w14:textId="77777777" w:rsidR="00F13438" w:rsidRPr="007B296D" w:rsidRDefault="00F13438" w:rsidP="00DF22F0">
      <w:pPr>
        <w:pStyle w:val="Betarp"/>
        <w:rPr>
          <w:b/>
          <w:bCs/>
          <w:sz w:val="24"/>
          <w:szCs w:val="24"/>
          <w:lang w:val="lt-LT"/>
        </w:rPr>
      </w:pPr>
    </w:p>
    <w:tbl>
      <w:tblPr>
        <w:tblW w:w="9634" w:type="dxa"/>
        <w:tblLayout w:type="fixed"/>
        <w:tblLook w:val="04A0" w:firstRow="1" w:lastRow="0" w:firstColumn="1" w:lastColumn="0" w:noHBand="0" w:noVBand="1"/>
      </w:tblPr>
      <w:tblGrid>
        <w:gridCol w:w="2122"/>
        <w:gridCol w:w="1417"/>
        <w:gridCol w:w="6095"/>
      </w:tblGrid>
      <w:tr w:rsidR="007B296D" w:rsidRPr="007B296D" w14:paraId="2F202807" w14:textId="77777777" w:rsidTr="002140F7">
        <w:trPr>
          <w:trHeight w:val="624"/>
        </w:trPr>
        <w:tc>
          <w:tcPr>
            <w:tcW w:w="2122" w:type="dxa"/>
            <w:tcBorders>
              <w:top w:val="single" w:sz="4" w:space="0" w:color="auto"/>
              <w:left w:val="single" w:sz="4" w:space="0" w:color="auto"/>
              <w:bottom w:val="single" w:sz="4" w:space="0" w:color="auto"/>
              <w:right w:val="single" w:sz="4" w:space="0" w:color="auto"/>
            </w:tcBorders>
            <w:vAlign w:val="center"/>
            <w:hideMark/>
          </w:tcPr>
          <w:p w14:paraId="4C9E9C7A" w14:textId="77777777" w:rsidR="00FA433D" w:rsidRPr="002140F7" w:rsidRDefault="00FA433D" w:rsidP="00FA433D">
            <w:pPr>
              <w:spacing w:after="0"/>
              <w:jc w:val="center"/>
              <w:rPr>
                <w:rFonts w:eastAsia="Times New Roman" w:cs="Times New Roman"/>
                <w:b/>
                <w:bCs/>
                <w:sz w:val="22"/>
                <w:lang w:val="lt-LT" w:eastAsia="lt-LT"/>
              </w:rPr>
            </w:pPr>
            <w:r w:rsidRPr="002140F7">
              <w:rPr>
                <w:rFonts w:eastAsia="Times New Roman" w:cs="Times New Roman"/>
                <w:b/>
                <w:bCs/>
                <w:sz w:val="22"/>
                <w:lang w:val="lt-LT" w:eastAsia="lt-LT"/>
              </w:rPr>
              <w:t>Vakcinos pavadinimas</w:t>
            </w:r>
          </w:p>
        </w:tc>
        <w:tc>
          <w:tcPr>
            <w:tcW w:w="1417" w:type="dxa"/>
            <w:tcBorders>
              <w:top w:val="single" w:sz="4" w:space="0" w:color="auto"/>
              <w:left w:val="nil"/>
              <w:bottom w:val="single" w:sz="4" w:space="0" w:color="auto"/>
              <w:right w:val="single" w:sz="4" w:space="0" w:color="auto"/>
            </w:tcBorders>
            <w:vAlign w:val="center"/>
            <w:hideMark/>
          </w:tcPr>
          <w:p w14:paraId="7BE5C4A4" w14:textId="77777777" w:rsidR="00FA433D" w:rsidRPr="002140F7" w:rsidRDefault="00FA433D" w:rsidP="00FA433D">
            <w:pPr>
              <w:spacing w:after="0"/>
              <w:jc w:val="center"/>
              <w:rPr>
                <w:rFonts w:eastAsia="Times New Roman" w:cs="Times New Roman"/>
                <w:b/>
                <w:bCs/>
                <w:sz w:val="22"/>
                <w:lang w:val="lt-LT" w:eastAsia="lt-LT"/>
              </w:rPr>
            </w:pPr>
            <w:r w:rsidRPr="002140F7">
              <w:rPr>
                <w:rFonts w:eastAsia="Times New Roman" w:cs="Times New Roman"/>
                <w:b/>
                <w:bCs/>
                <w:sz w:val="22"/>
                <w:lang w:val="lt-LT" w:eastAsia="lt-LT"/>
              </w:rPr>
              <w:t>Pranešimų skaičius</w:t>
            </w:r>
          </w:p>
        </w:tc>
        <w:tc>
          <w:tcPr>
            <w:tcW w:w="6095" w:type="dxa"/>
            <w:tcBorders>
              <w:top w:val="single" w:sz="4" w:space="0" w:color="auto"/>
              <w:left w:val="nil"/>
              <w:bottom w:val="single" w:sz="4" w:space="0" w:color="auto"/>
              <w:right w:val="single" w:sz="4" w:space="0" w:color="auto"/>
            </w:tcBorders>
            <w:vAlign w:val="center"/>
            <w:hideMark/>
          </w:tcPr>
          <w:p w14:paraId="38B5BCFE" w14:textId="77777777" w:rsidR="00FA433D" w:rsidRPr="002140F7" w:rsidRDefault="00FA433D" w:rsidP="00FA433D">
            <w:pPr>
              <w:spacing w:after="0"/>
              <w:jc w:val="center"/>
              <w:rPr>
                <w:rFonts w:eastAsia="Times New Roman" w:cs="Times New Roman"/>
                <w:b/>
                <w:bCs/>
                <w:sz w:val="22"/>
                <w:lang w:val="lt-LT" w:eastAsia="lt-LT"/>
              </w:rPr>
            </w:pPr>
            <w:r w:rsidRPr="002140F7">
              <w:rPr>
                <w:rFonts w:eastAsia="Times New Roman" w:cs="Times New Roman"/>
                <w:b/>
                <w:bCs/>
                <w:sz w:val="22"/>
                <w:lang w:val="lt-LT" w:eastAsia="lt-LT"/>
              </w:rPr>
              <w:t>Dažniausiai pasireiškusios ĮNR</w:t>
            </w:r>
          </w:p>
        </w:tc>
      </w:tr>
      <w:tr w:rsidR="00FA433D" w:rsidRPr="00FA433D" w14:paraId="3B6ADDE0" w14:textId="77777777" w:rsidTr="002140F7">
        <w:trPr>
          <w:trHeight w:val="312"/>
        </w:trPr>
        <w:tc>
          <w:tcPr>
            <w:tcW w:w="2122" w:type="dxa"/>
            <w:tcBorders>
              <w:top w:val="nil"/>
              <w:left w:val="single" w:sz="4" w:space="0" w:color="auto"/>
              <w:bottom w:val="single" w:sz="4" w:space="0" w:color="auto"/>
              <w:right w:val="single" w:sz="4" w:space="0" w:color="auto"/>
            </w:tcBorders>
            <w:vAlign w:val="center"/>
            <w:hideMark/>
          </w:tcPr>
          <w:p w14:paraId="7FAC6084" w14:textId="77777777" w:rsidR="00FA433D" w:rsidRPr="002140F7" w:rsidRDefault="00FA433D" w:rsidP="00FA433D">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RotaTeq</w:t>
            </w:r>
            <w:proofErr w:type="spellEnd"/>
          </w:p>
        </w:tc>
        <w:tc>
          <w:tcPr>
            <w:tcW w:w="1417" w:type="dxa"/>
            <w:tcBorders>
              <w:top w:val="nil"/>
              <w:left w:val="nil"/>
              <w:bottom w:val="single" w:sz="4" w:space="0" w:color="auto"/>
              <w:right w:val="single" w:sz="4" w:space="0" w:color="auto"/>
            </w:tcBorders>
            <w:noWrap/>
            <w:vAlign w:val="center"/>
            <w:hideMark/>
          </w:tcPr>
          <w:p w14:paraId="12FFAF34"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c>
          <w:tcPr>
            <w:tcW w:w="6095" w:type="dxa"/>
            <w:tcBorders>
              <w:top w:val="nil"/>
              <w:left w:val="nil"/>
              <w:bottom w:val="single" w:sz="4" w:space="0" w:color="auto"/>
              <w:right w:val="single" w:sz="4" w:space="0" w:color="auto"/>
            </w:tcBorders>
            <w:vAlign w:val="center"/>
            <w:hideMark/>
          </w:tcPr>
          <w:p w14:paraId="75F10C1E"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Neramumas, nervingumas</w:t>
            </w:r>
          </w:p>
        </w:tc>
      </w:tr>
      <w:tr w:rsidR="00FA433D" w:rsidRPr="00FA433D" w14:paraId="7637C593" w14:textId="77777777" w:rsidTr="002140F7">
        <w:trPr>
          <w:trHeight w:val="936"/>
        </w:trPr>
        <w:tc>
          <w:tcPr>
            <w:tcW w:w="2122" w:type="dxa"/>
            <w:tcBorders>
              <w:top w:val="nil"/>
              <w:left w:val="single" w:sz="4" w:space="0" w:color="auto"/>
              <w:bottom w:val="single" w:sz="4" w:space="0" w:color="auto"/>
              <w:right w:val="single" w:sz="4" w:space="0" w:color="auto"/>
            </w:tcBorders>
            <w:vAlign w:val="center"/>
            <w:hideMark/>
          </w:tcPr>
          <w:p w14:paraId="0DCEA156" w14:textId="77777777" w:rsidR="00FA433D" w:rsidRPr="002140F7" w:rsidRDefault="00FA433D" w:rsidP="00FA433D">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TicoVac</w:t>
            </w:r>
            <w:proofErr w:type="spellEnd"/>
          </w:p>
        </w:tc>
        <w:tc>
          <w:tcPr>
            <w:tcW w:w="1417" w:type="dxa"/>
            <w:tcBorders>
              <w:top w:val="nil"/>
              <w:left w:val="nil"/>
              <w:bottom w:val="single" w:sz="4" w:space="0" w:color="auto"/>
              <w:right w:val="single" w:sz="4" w:space="0" w:color="auto"/>
            </w:tcBorders>
            <w:vAlign w:val="center"/>
            <w:hideMark/>
          </w:tcPr>
          <w:p w14:paraId="4B10143E"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36</w:t>
            </w:r>
          </w:p>
        </w:tc>
        <w:tc>
          <w:tcPr>
            <w:tcW w:w="6095" w:type="dxa"/>
            <w:tcBorders>
              <w:top w:val="nil"/>
              <w:left w:val="nil"/>
              <w:bottom w:val="single" w:sz="4" w:space="0" w:color="auto"/>
              <w:right w:val="single" w:sz="4" w:space="0" w:color="auto"/>
            </w:tcBorders>
            <w:vAlign w:val="center"/>
            <w:hideMark/>
          </w:tcPr>
          <w:p w14:paraId="42E56A9C"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Injekcijos vietos skausmas, patinimas ir paraudimas, raumenų skausmas, rankos skausmas, galvos skausmas, nuovargis, bėrimas, karščiavimas, bloga bendra savijauta</w:t>
            </w:r>
          </w:p>
        </w:tc>
      </w:tr>
      <w:tr w:rsidR="00FA433D" w:rsidRPr="00FA433D" w14:paraId="3ADA2030" w14:textId="77777777" w:rsidTr="002140F7">
        <w:trPr>
          <w:trHeight w:val="624"/>
        </w:trPr>
        <w:tc>
          <w:tcPr>
            <w:tcW w:w="2122" w:type="dxa"/>
            <w:tcBorders>
              <w:top w:val="nil"/>
              <w:left w:val="single" w:sz="4" w:space="0" w:color="auto"/>
              <w:bottom w:val="single" w:sz="4" w:space="0" w:color="auto"/>
              <w:right w:val="single" w:sz="4" w:space="0" w:color="auto"/>
            </w:tcBorders>
            <w:vAlign w:val="center"/>
            <w:hideMark/>
          </w:tcPr>
          <w:p w14:paraId="54A38F9D" w14:textId="77777777" w:rsidR="00FA433D" w:rsidRPr="002140F7" w:rsidRDefault="00FA433D" w:rsidP="00FA433D">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Pentaxim</w:t>
            </w:r>
            <w:proofErr w:type="spellEnd"/>
          </w:p>
        </w:tc>
        <w:tc>
          <w:tcPr>
            <w:tcW w:w="1417" w:type="dxa"/>
            <w:tcBorders>
              <w:top w:val="nil"/>
              <w:left w:val="nil"/>
              <w:bottom w:val="single" w:sz="4" w:space="0" w:color="auto"/>
              <w:right w:val="single" w:sz="4" w:space="0" w:color="auto"/>
            </w:tcBorders>
            <w:vAlign w:val="center"/>
            <w:hideMark/>
          </w:tcPr>
          <w:p w14:paraId="21C95394"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5</w:t>
            </w:r>
          </w:p>
        </w:tc>
        <w:tc>
          <w:tcPr>
            <w:tcW w:w="6095" w:type="dxa"/>
            <w:tcBorders>
              <w:top w:val="nil"/>
              <w:left w:val="nil"/>
              <w:bottom w:val="single" w:sz="4" w:space="0" w:color="auto"/>
              <w:right w:val="single" w:sz="4" w:space="0" w:color="auto"/>
            </w:tcBorders>
            <w:vAlign w:val="center"/>
            <w:hideMark/>
          </w:tcPr>
          <w:p w14:paraId="43980A90"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Injekcijos vietos niežulys, paraudimas, skausmas, viduriavimas, neramumas</w:t>
            </w:r>
          </w:p>
        </w:tc>
      </w:tr>
      <w:tr w:rsidR="00FA433D" w:rsidRPr="00FA433D" w14:paraId="33AF3881" w14:textId="77777777" w:rsidTr="002140F7">
        <w:trPr>
          <w:trHeight w:val="312"/>
        </w:trPr>
        <w:tc>
          <w:tcPr>
            <w:tcW w:w="2122" w:type="dxa"/>
            <w:tcBorders>
              <w:top w:val="nil"/>
              <w:left w:val="single" w:sz="4" w:space="0" w:color="auto"/>
              <w:bottom w:val="single" w:sz="4" w:space="0" w:color="auto"/>
              <w:right w:val="single" w:sz="4" w:space="0" w:color="auto"/>
            </w:tcBorders>
            <w:noWrap/>
            <w:vAlign w:val="center"/>
            <w:hideMark/>
          </w:tcPr>
          <w:p w14:paraId="5D119E2A" w14:textId="77777777" w:rsidR="00FA433D" w:rsidRPr="002140F7" w:rsidRDefault="00FA433D" w:rsidP="00FA433D">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Tetraxim</w:t>
            </w:r>
            <w:proofErr w:type="spellEnd"/>
          </w:p>
        </w:tc>
        <w:tc>
          <w:tcPr>
            <w:tcW w:w="1417" w:type="dxa"/>
            <w:tcBorders>
              <w:top w:val="nil"/>
              <w:left w:val="nil"/>
              <w:bottom w:val="single" w:sz="4" w:space="0" w:color="auto"/>
              <w:right w:val="single" w:sz="4" w:space="0" w:color="auto"/>
            </w:tcBorders>
            <w:noWrap/>
            <w:vAlign w:val="center"/>
            <w:hideMark/>
          </w:tcPr>
          <w:p w14:paraId="07ED8B1A"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4</w:t>
            </w:r>
          </w:p>
        </w:tc>
        <w:tc>
          <w:tcPr>
            <w:tcW w:w="6095" w:type="dxa"/>
            <w:tcBorders>
              <w:top w:val="nil"/>
              <w:left w:val="nil"/>
              <w:bottom w:val="single" w:sz="4" w:space="0" w:color="auto"/>
              <w:right w:val="single" w:sz="4" w:space="0" w:color="auto"/>
            </w:tcBorders>
            <w:noWrap/>
            <w:vAlign w:val="center"/>
            <w:hideMark/>
          </w:tcPr>
          <w:p w14:paraId="3EFE0FC1"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Injekcijos vietos skausmas, patinimas ir paraudimas, rankos skausmas</w:t>
            </w:r>
          </w:p>
        </w:tc>
      </w:tr>
      <w:tr w:rsidR="00FA433D" w:rsidRPr="00FA433D" w14:paraId="2306EDD7" w14:textId="77777777" w:rsidTr="002140F7">
        <w:trPr>
          <w:trHeight w:val="312"/>
        </w:trPr>
        <w:tc>
          <w:tcPr>
            <w:tcW w:w="2122" w:type="dxa"/>
            <w:tcBorders>
              <w:top w:val="nil"/>
              <w:left w:val="single" w:sz="4" w:space="0" w:color="auto"/>
              <w:bottom w:val="single" w:sz="4" w:space="0" w:color="auto"/>
              <w:right w:val="single" w:sz="4" w:space="0" w:color="auto"/>
            </w:tcBorders>
            <w:noWrap/>
            <w:vAlign w:val="center"/>
            <w:hideMark/>
          </w:tcPr>
          <w:p w14:paraId="64177B16"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IMOVAX (</w:t>
            </w:r>
            <w:proofErr w:type="spellStart"/>
            <w:r w:rsidRPr="002140F7">
              <w:rPr>
                <w:rFonts w:eastAsia="Times New Roman" w:cs="Times New Roman"/>
                <w:color w:val="000000"/>
                <w:sz w:val="22"/>
                <w:lang w:val="lt-LT" w:eastAsia="lt-LT"/>
              </w:rPr>
              <w:t>Td</w:t>
            </w:r>
            <w:proofErr w:type="spellEnd"/>
            <w:r w:rsidRPr="002140F7">
              <w:rPr>
                <w:rFonts w:eastAsia="Times New Roman" w:cs="Times New Roman"/>
                <w:color w:val="000000"/>
                <w:sz w:val="22"/>
                <w:lang w:val="lt-LT" w:eastAsia="lt-LT"/>
              </w:rPr>
              <w:t xml:space="preserve">) </w:t>
            </w:r>
            <w:proofErr w:type="spellStart"/>
            <w:r w:rsidRPr="002140F7">
              <w:rPr>
                <w:rFonts w:eastAsia="Times New Roman" w:cs="Times New Roman"/>
                <w:color w:val="000000"/>
                <w:sz w:val="22"/>
                <w:lang w:val="lt-LT" w:eastAsia="lt-LT"/>
              </w:rPr>
              <w:t>adult</w:t>
            </w:r>
            <w:proofErr w:type="spellEnd"/>
          </w:p>
        </w:tc>
        <w:tc>
          <w:tcPr>
            <w:tcW w:w="1417" w:type="dxa"/>
            <w:tcBorders>
              <w:top w:val="nil"/>
              <w:left w:val="nil"/>
              <w:bottom w:val="single" w:sz="4" w:space="0" w:color="auto"/>
              <w:right w:val="single" w:sz="4" w:space="0" w:color="auto"/>
            </w:tcBorders>
            <w:noWrap/>
            <w:vAlign w:val="center"/>
            <w:hideMark/>
          </w:tcPr>
          <w:p w14:paraId="73D9ED1B"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c>
          <w:tcPr>
            <w:tcW w:w="6095" w:type="dxa"/>
            <w:tcBorders>
              <w:top w:val="nil"/>
              <w:left w:val="nil"/>
              <w:bottom w:val="single" w:sz="4" w:space="0" w:color="auto"/>
              <w:right w:val="single" w:sz="4" w:space="0" w:color="auto"/>
            </w:tcBorders>
            <w:noWrap/>
            <w:vAlign w:val="center"/>
            <w:hideMark/>
          </w:tcPr>
          <w:p w14:paraId="0A6A1727"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Karščiavimas</w:t>
            </w:r>
          </w:p>
        </w:tc>
      </w:tr>
      <w:tr w:rsidR="00FA433D" w:rsidRPr="00FA433D" w14:paraId="1B33C1D5" w14:textId="77777777" w:rsidTr="002140F7">
        <w:trPr>
          <w:trHeight w:val="624"/>
        </w:trPr>
        <w:tc>
          <w:tcPr>
            <w:tcW w:w="2122" w:type="dxa"/>
            <w:tcBorders>
              <w:top w:val="nil"/>
              <w:left w:val="single" w:sz="4" w:space="0" w:color="auto"/>
              <w:bottom w:val="single" w:sz="4" w:space="0" w:color="auto"/>
              <w:right w:val="single" w:sz="4" w:space="0" w:color="auto"/>
            </w:tcBorders>
            <w:vAlign w:val="center"/>
            <w:hideMark/>
          </w:tcPr>
          <w:p w14:paraId="5BDF0D32" w14:textId="77777777" w:rsidR="00FA433D" w:rsidRPr="002140F7" w:rsidRDefault="00FA433D" w:rsidP="00FA433D">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Adacel</w:t>
            </w:r>
            <w:proofErr w:type="spellEnd"/>
          </w:p>
        </w:tc>
        <w:tc>
          <w:tcPr>
            <w:tcW w:w="1417" w:type="dxa"/>
            <w:tcBorders>
              <w:top w:val="nil"/>
              <w:left w:val="nil"/>
              <w:bottom w:val="single" w:sz="4" w:space="0" w:color="auto"/>
              <w:right w:val="single" w:sz="4" w:space="0" w:color="auto"/>
            </w:tcBorders>
            <w:noWrap/>
            <w:vAlign w:val="center"/>
            <w:hideMark/>
          </w:tcPr>
          <w:p w14:paraId="170A2AEE"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c>
          <w:tcPr>
            <w:tcW w:w="6095" w:type="dxa"/>
            <w:tcBorders>
              <w:top w:val="nil"/>
              <w:left w:val="nil"/>
              <w:bottom w:val="single" w:sz="4" w:space="0" w:color="auto"/>
              <w:right w:val="single" w:sz="4" w:space="0" w:color="auto"/>
            </w:tcBorders>
            <w:vAlign w:val="center"/>
            <w:hideMark/>
          </w:tcPr>
          <w:p w14:paraId="7C1DB849"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Injekcijos vietos skausmas, rankos skausmas, raumenų skausmas, sąnarių skausmas</w:t>
            </w:r>
          </w:p>
        </w:tc>
      </w:tr>
      <w:tr w:rsidR="00FA433D" w:rsidRPr="00FA433D" w14:paraId="187C86FE" w14:textId="77777777" w:rsidTr="002140F7">
        <w:trPr>
          <w:trHeight w:val="312"/>
        </w:trPr>
        <w:tc>
          <w:tcPr>
            <w:tcW w:w="2122" w:type="dxa"/>
            <w:tcBorders>
              <w:top w:val="nil"/>
              <w:left w:val="single" w:sz="4" w:space="0" w:color="auto"/>
              <w:bottom w:val="single" w:sz="4" w:space="0" w:color="auto"/>
              <w:right w:val="single" w:sz="4" w:space="0" w:color="auto"/>
            </w:tcBorders>
            <w:vAlign w:val="center"/>
            <w:hideMark/>
          </w:tcPr>
          <w:p w14:paraId="2B9FBEDA" w14:textId="77777777" w:rsidR="00FA433D" w:rsidRPr="002140F7" w:rsidRDefault="00FA433D" w:rsidP="00FA433D">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Prevenar</w:t>
            </w:r>
            <w:proofErr w:type="spellEnd"/>
            <w:r w:rsidRPr="002140F7">
              <w:rPr>
                <w:rFonts w:eastAsia="Times New Roman" w:cs="Times New Roman"/>
                <w:color w:val="000000"/>
                <w:sz w:val="22"/>
                <w:lang w:val="lt-LT" w:eastAsia="lt-LT"/>
              </w:rPr>
              <w:t xml:space="preserve"> 20  </w:t>
            </w:r>
          </w:p>
        </w:tc>
        <w:tc>
          <w:tcPr>
            <w:tcW w:w="1417" w:type="dxa"/>
            <w:tcBorders>
              <w:top w:val="nil"/>
              <w:left w:val="nil"/>
              <w:bottom w:val="single" w:sz="4" w:space="0" w:color="auto"/>
              <w:right w:val="single" w:sz="4" w:space="0" w:color="auto"/>
            </w:tcBorders>
            <w:noWrap/>
            <w:vAlign w:val="center"/>
            <w:hideMark/>
          </w:tcPr>
          <w:p w14:paraId="2A698D0F"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9</w:t>
            </w:r>
          </w:p>
        </w:tc>
        <w:tc>
          <w:tcPr>
            <w:tcW w:w="6095" w:type="dxa"/>
            <w:tcBorders>
              <w:top w:val="nil"/>
              <w:left w:val="nil"/>
              <w:bottom w:val="single" w:sz="4" w:space="0" w:color="auto"/>
              <w:right w:val="single" w:sz="4" w:space="0" w:color="auto"/>
            </w:tcBorders>
            <w:vAlign w:val="center"/>
            <w:hideMark/>
          </w:tcPr>
          <w:p w14:paraId="2E554673"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 xml:space="preserve">Injekcijos vietos skausmas, paraudimas ir patinimas </w:t>
            </w:r>
          </w:p>
        </w:tc>
      </w:tr>
      <w:tr w:rsidR="00FA433D" w:rsidRPr="00FA433D" w14:paraId="73FBF009" w14:textId="77777777" w:rsidTr="002140F7">
        <w:trPr>
          <w:trHeight w:val="312"/>
        </w:trPr>
        <w:tc>
          <w:tcPr>
            <w:tcW w:w="2122" w:type="dxa"/>
            <w:tcBorders>
              <w:top w:val="nil"/>
              <w:left w:val="single" w:sz="4" w:space="0" w:color="auto"/>
              <w:bottom w:val="single" w:sz="4" w:space="0" w:color="auto"/>
              <w:right w:val="single" w:sz="4" w:space="0" w:color="auto"/>
            </w:tcBorders>
            <w:vAlign w:val="center"/>
            <w:hideMark/>
          </w:tcPr>
          <w:p w14:paraId="7C53703F" w14:textId="77777777" w:rsidR="00FA433D" w:rsidRPr="002140F7" w:rsidRDefault="00FA433D" w:rsidP="00FA433D">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Vaxneuvance</w:t>
            </w:r>
            <w:proofErr w:type="spellEnd"/>
          </w:p>
        </w:tc>
        <w:tc>
          <w:tcPr>
            <w:tcW w:w="1417" w:type="dxa"/>
            <w:tcBorders>
              <w:top w:val="nil"/>
              <w:left w:val="nil"/>
              <w:bottom w:val="single" w:sz="4" w:space="0" w:color="auto"/>
              <w:right w:val="single" w:sz="4" w:space="0" w:color="auto"/>
            </w:tcBorders>
            <w:noWrap/>
            <w:vAlign w:val="center"/>
            <w:hideMark/>
          </w:tcPr>
          <w:p w14:paraId="28062703"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w:t>
            </w:r>
          </w:p>
        </w:tc>
        <w:tc>
          <w:tcPr>
            <w:tcW w:w="6095" w:type="dxa"/>
            <w:tcBorders>
              <w:top w:val="nil"/>
              <w:left w:val="nil"/>
              <w:bottom w:val="single" w:sz="4" w:space="0" w:color="auto"/>
              <w:right w:val="single" w:sz="4" w:space="0" w:color="auto"/>
            </w:tcBorders>
            <w:vAlign w:val="center"/>
            <w:hideMark/>
          </w:tcPr>
          <w:p w14:paraId="0F1356F7"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 xml:space="preserve">Nervingumas, neramumas, </w:t>
            </w:r>
            <w:proofErr w:type="spellStart"/>
            <w:r w:rsidRPr="002140F7">
              <w:rPr>
                <w:rFonts w:eastAsia="Times New Roman" w:cs="Times New Roman"/>
                <w:color w:val="000000"/>
                <w:sz w:val="22"/>
                <w:lang w:val="lt-LT" w:eastAsia="lt-LT"/>
              </w:rPr>
              <w:t>rėksmingumas</w:t>
            </w:r>
            <w:proofErr w:type="spellEnd"/>
          </w:p>
        </w:tc>
      </w:tr>
      <w:tr w:rsidR="00FA433D" w:rsidRPr="00FA433D" w14:paraId="0EBC2F67" w14:textId="77777777" w:rsidTr="002140F7">
        <w:trPr>
          <w:trHeight w:val="312"/>
        </w:trPr>
        <w:tc>
          <w:tcPr>
            <w:tcW w:w="2122" w:type="dxa"/>
            <w:tcBorders>
              <w:top w:val="nil"/>
              <w:left w:val="single" w:sz="4" w:space="0" w:color="auto"/>
              <w:bottom w:val="single" w:sz="4" w:space="0" w:color="auto"/>
              <w:right w:val="single" w:sz="4" w:space="0" w:color="auto"/>
            </w:tcBorders>
            <w:vAlign w:val="center"/>
            <w:hideMark/>
          </w:tcPr>
          <w:p w14:paraId="23346CDA" w14:textId="77777777" w:rsidR="00FA433D" w:rsidRPr="002140F7" w:rsidRDefault="00FA433D" w:rsidP="00FA433D">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Synflorix</w:t>
            </w:r>
            <w:proofErr w:type="spellEnd"/>
          </w:p>
        </w:tc>
        <w:tc>
          <w:tcPr>
            <w:tcW w:w="1417" w:type="dxa"/>
            <w:tcBorders>
              <w:top w:val="nil"/>
              <w:left w:val="nil"/>
              <w:bottom w:val="single" w:sz="4" w:space="0" w:color="auto"/>
              <w:right w:val="single" w:sz="4" w:space="0" w:color="auto"/>
            </w:tcBorders>
            <w:noWrap/>
            <w:vAlign w:val="center"/>
            <w:hideMark/>
          </w:tcPr>
          <w:p w14:paraId="2D40AA1C"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c>
          <w:tcPr>
            <w:tcW w:w="6095" w:type="dxa"/>
            <w:tcBorders>
              <w:top w:val="nil"/>
              <w:left w:val="nil"/>
              <w:bottom w:val="single" w:sz="4" w:space="0" w:color="auto"/>
              <w:right w:val="single" w:sz="4" w:space="0" w:color="auto"/>
            </w:tcBorders>
            <w:vAlign w:val="center"/>
            <w:hideMark/>
          </w:tcPr>
          <w:p w14:paraId="24CAAF84"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Traukuliai</w:t>
            </w:r>
          </w:p>
        </w:tc>
      </w:tr>
      <w:tr w:rsidR="00FA433D" w:rsidRPr="00FA433D" w14:paraId="0ADC82DD" w14:textId="77777777" w:rsidTr="002140F7">
        <w:trPr>
          <w:trHeight w:val="624"/>
        </w:trPr>
        <w:tc>
          <w:tcPr>
            <w:tcW w:w="2122" w:type="dxa"/>
            <w:tcBorders>
              <w:top w:val="nil"/>
              <w:left w:val="single" w:sz="4" w:space="0" w:color="auto"/>
              <w:bottom w:val="single" w:sz="4" w:space="0" w:color="auto"/>
              <w:right w:val="single" w:sz="4" w:space="0" w:color="auto"/>
            </w:tcBorders>
            <w:vAlign w:val="center"/>
            <w:hideMark/>
          </w:tcPr>
          <w:p w14:paraId="64732ABA" w14:textId="77777777" w:rsidR="00FA433D" w:rsidRPr="002140F7" w:rsidRDefault="00FA433D" w:rsidP="00FA433D">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Gardasil</w:t>
            </w:r>
            <w:proofErr w:type="spellEnd"/>
            <w:r w:rsidRPr="002140F7">
              <w:rPr>
                <w:rFonts w:eastAsia="Times New Roman" w:cs="Times New Roman"/>
                <w:color w:val="000000"/>
                <w:sz w:val="22"/>
                <w:lang w:val="lt-LT" w:eastAsia="lt-LT"/>
              </w:rPr>
              <w:t xml:space="preserve"> 9</w:t>
            </w:r>
          </w:p>
        </w:tc>
        <w:tc>
          <w:tcPr>
            <w:tcW w:w="1417" w:type="dxa"/>
            <w:tcBorders>
              <w:top w:val="nil"/>
              <w:left w:val="nil"/>
              <w:bottom w:val="single" w:sz="4" w:space="0" w:color="auto"/>
              <w:right w:val="single" w:sz="4" w:space="0" w:color="auto"/>
            </w:tcBorders>
            <w:noWrap/>
            <w:vAlign w:val="center"/>
            <w:hideMark/>
          </w:tcPr>
          <w:p w14:paraId="313B1722"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9</w:t>
            </w:r>
          </w:p>
        </w:tc>
        <w:tc>
          <w:tcPr>
            <w:tcW w:w="6095" w:type="dxa"/>
            <w:tcBorders>
              <w:top w:val="nil"/>
              <w:left w:val="nil"/>
              <w:bottom w:val="single" w:sz="4" w:space="0" w:color="auto"/>
              <w:right w:val="single" w:sz="4" w:space="0" w:color="auto"/>
            </w:tcBorders>
            <w:vAlign w:val="center"/>
            <w:hideMark/>
          </w:tcPr>
          <w:p w14:paraId="42F34CF7"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Injekcijos vietos skausmas ir patinimas, rankos skausmas, silpnumas</w:t>
            </w:r>
          </w:p>
        </w:tc>
      </w:tr>
      <w:tr w:rsidR="00FA433D" w:rsidRPr="00FA433D" w14:paraId="14659EA7" w14:textId="77777777" w:rsidTr="002140F7">
        <w:trPr>
          <w:trHeight w:val="624"/>
        </w:trPr>
        <w:tc>
          <w:tcPr>
            <w:tcW w:w="2122" w:type="dxa"/>
            <w:tcBorders>
              <w:top w:val="nil"/>
              <w:left w:val="single" w:sz="4" w:space="0" w:color="auto"/>
              <w:bottom w:val="single" w:sz="4" w:space="0" w:color="auto"/>
              <w:right w:val="single" w:sz="4" w:space="0" w:color="auto"/>
            </w:tcBorders>
            <w:vAlign w:val="center"/>
            <w:hideMark/>
          </w:tcPr>
          <w:p w14:paraId="489517AD" w14:textId="77777777" w:rsidR="00FA433D" w:rsidRPr="002140F7" w:rsidRDefault="00FA433D" w:rsidP="00FA433D">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Cervarix</w:t>
            </w:r>
            <w:proofErr w:type="spellEnd"/>
          </w:p>
        </w:tc>
        <w:tc>
          <w:tcPr>
            <w:tcW w:w="1417" w:type="dxa"/>
            <w:tcBorders>
              <w:top w:val="nil"/>
              <w:left w:val="nil"/>
              <w:bottom w:val="single" w:sz="4" w:space="0" w:color="auto"/>
              <w:right w:val="single" w:sz="4" w:space="0" w:color="auto"/>
            </w:tcBorders>
            <w:noWrap/>
            <w:vAlign w:val="center"/>
            <w:hideMark/>
          </w:tcPr>
          <w:p w14:paraId="1ABA14F4"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c>
          <w:tcPr>
            <w:tcW w:w="6095" w:type="dxa"/>
            <w:tcBorders>
              <w:top w:val="nil"/>
              <w:left w:val="nil"/>
              <w:bottom w:val="single" w:sz="4" w:space="0" w:color="auto"/>
              <w:right w:val="single" w:sz="4" w:space="0" w:color="auto"/>
            </w:tcBorders>
            <w:vAlign w:val="center"/>
            <w:hideMark/>
          </w:tcPr>
          <w:p w14:paraId="6FC28498"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Bloga bendra savijauta, nuovargis, kelias minutes trukę traukuliai</w:t>
            </w:r>
          </w:p>
        </w:tc>
      </w:tr>
      <w:tr w:rsidR="00FA433D" w:rsidRPr="00FA433D" w14:paraId="0B540875" w14:textId="77777777" w:rsidTr="002140F7">
        <w:trPr>
          <w:trHeight w:val="936"/>
        </w:trPr>
        <w:tc>
          <w:tcPr>
            <w:tcW w:w="2122" w:type="dxa"/>
            <w:tcBorders>
              <w:top w:val="nil"/>
              <w:left w:val="single" w:sz="4" w:space="0" w:color="auto"/>
              <w:bottom w:val="single" w:sz="4" w:space="0" w:color="auto"/>
              <w:right w:val="single" w:sz="4" w:space="0" w:color="auto"/>
            </w:tcBorders>
            <w:vAlign w:val="center"/>
            <w:hideMark/>
          </w:tcPr>
          <w:p w14:paraId="198421A5" w14:textId="77777777" w:rsidR="00FA433D" w:rsidRPr="002140F7" w:rsidRDefault="00FA433D" w:rsidP="00FA433D">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Bexsero</w:t>
            </w:r>
            <w:proofErr w:type="spellEnd"/>
          </w:p>
        </w:tc>
        <w:tc>
          <w:tcPr>
            <w:tcW w:w="1417" w:type="dxa"/>
            <w:tcBorders>
              <w:top w:val="nil"/>
              <w:left w:val="nil"/>
              <w:bottom w:val="single" w:sz="4" w:space="0" w:color="auto"/>
              <w:right w:val="single" w:sz="4" w:space="0" w:color="auto"/>
            </w:tcBorders>
            <w:noWrap/>
            <w:vAlign w:val="center"/>
            <w:hideMark/>
          </w:tcPr>
          <w:p w14:paraId="7D0B7A86"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14</w:t>
            </w:r>
          </w:p>
        </w:tc>
        <w:tc>
          <w:tcPr>
            <w:tcW w:w="6095" w:type="dxa"/>
            <w:tcBorders>
              <w:top w:val="nil"/>
              <w:left w:val="nil"/>
              <w:bottom w:val="single" w:sz="4" w:space="0" w:color="auto"/>
              <w:right w:val="single" w:sz="4" w:space="0" w:color="auto"/>
            </w:tcBorders>
            <w:vAlign w:val="center"/>
            <w:hideMark/>
          </w:tcPr>
          <w:p w14:paraId="3C6860BD"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Injekcijos vietos skausmas, patinimas ir paraudimas, karščiavimas, bloga bendra savijauta, raumenų tonuso sumažėjimas, traukuliai</w:t>
            </w:r>
          </w:p>
        </w:tc>
      </w:tr>
      <w:tr w:rsidR="00FA433D" w:rsidRPr="00FA433D" w14:paraId="1B0C9546" w14:textId="77777777" w:rsidTr="002140F7">
        <w:trPr>
          <w:trHeight w:val="624"/>
        </w:trPr>
        <w:tc>
          <w:tcPr>
            <w:tcW w:w="2122" w:type="dxa"/>
            <w:tcBorders>
              <w:top w:val="nil"/>
              <w:left w:val="single" w:sz="4" w:space="0" w:color="auto"/>
              <w:bottom w:val="single" w:sz="4" w:space="0" w:color="auto"/>
              <w:right w:val="single" w:sz="4" w:space="0" w:color="auto"/>
            </w:tcBorders>
            <w:vAlign w:val="center"/>
            <w:hideMark/>
          </w:tcPr>
          <w:p w14:paraId="31D52328"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M-M-RVAXPRO</w:t>
            </w:r>
          </w:p>
        </w:tc>
        <w:tc>
          <w:tcPr>
            <w:tcW w:w="1417" w:type="dxa"/>
            <w:tcBorders>
              <w:top w:val="nil"/>
              <w:left w:val="nil"/>
              <w:bottom w:val="single" w:sz="4" w:space="0" w:color="auto"/>
              <w:right w:val="single" w:sz="4" w:space="0" w:color="auto"/>
            </w:tcBorders>
            <w:vAlign w:val="center"/>
            <w:hideMark/>
          </w:tcPr>
          <w:p w14:paraId="58B28747"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8</w:t>
            </w:r>
          </w:p>
        </w:tc>
        <w:tc>
          <w:tcPr>
            <w:tcW w:w="6095" w:type="dxa"/>
            <w:tcBorders>
              <w:top w:val="nil"/>
              <w:left w:val="nil"/>
              <w:bottom w:val="single" w:sz="4" w:space="0" w:color="auto"/>
              <w:right w:val="single" w:sz="4" w:space="0" w:color="auto"/>
            </w:tcBorders>
            <w:vAlign w:val="center"/>
            <w:hideMark/>
          </w:tcPr>
          <w:p w14:paraId="53FC8F26"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Injekcijos vietos skausmas, karščiavimas, bloga bendra savijauta, silpnumas</w:t>
            </w:r>
          </w:p>
        </w:tc>
      </w:tr>
      <w:tr w:rsidR="00FA433D" w:rsidRPr="00FA433D" w14:paraId="2D5A27D8" w14:textId="77777777" w:rsidTr="002140F7">
        <w:trPr>
          <w:trHeight w:val="312"/>
        </w:trPr>
        <w:tc>
          <w:tcPr>
            <w:tcW w:w="2122" w:type="dxa"/>
            <w:tcBorders>
              <w:top w:val="nil"/>
              <w:left w:val="single" w:sz="4" w:space="0" w:color="auto"/>
              <w:bottom w:val="single" w:sz="4" w:space="0" w:color="auto"/>
              <w:right w:val="single" w:sz="4" w:space="0" w:color="auto"/>
            </w:tcBorders>
            <w:vAlign w:val="center"/>
            <w:hideMark/>
          </w:tcPr>
          <w:p w14:paraId="4CC76A8E" w14:textId="77777777" w:rsidR="00FA433D" w:rsidRPr="002140F7" w:rsidRDefault="00FA433D" w:rsidP="00FA433D">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Influvac</w:t>
            </w:r>
            <w:proofErr w:type="spellEnd"/>
          </w:p>
        </w:tc>
        <w:tc>
          <w:tcPr>
            <w:tcW w:w="1417" w:type="dxa"/>
            <w:tcBorders>
              <w:top w:val="nil"/>
              <w:left w:val="nil"/>
              <w:bottom w:val="single" w:sz="4" w:space="0" w:color="auto"/>
              <w:right w:val="single" w:sz="4" w:space="0" w:color="auto"/>
            </w:tcBorders>
            <w:vAlign w:val="center"/>
            <w:hideMark/>
          </w:tcPr>
          <w:p w14:paraId="194FB868"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c>
          <w:tcPr>
            <w:tcW w:w="6095" w:type="dxa"/>
            <w:tcBorders>
              <w:top w:val="nil"/>
              <w:left w:val="nil"/>
              <w:bottom w:val="single" w:sz="4" w:space="0" w:color="auto"/>
              <w:right w:val="single" w:sz="4" w:space="0" w:color="auto"/>
            </w:tcBorders>
            <w:vAlign w:val="center"/>
            <w:hideMark/>
          </w:tcPr>
          <w:p w14:paraId="22623A0F"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Raumenų skausmas, rankos skausmas</w:t>
            </w:r>
          </w:p>
        </w:tc>
      </w:tr>
      <w:tr w:rsidR="00FA433D" w:rsidRPr="00FA433D" w14:paraId="3BB89916" w14:textId="77777777" w:rsidTr="002140F7">
        <w:trPr>
          <w:trHeight w:val="324"/>
        </w:trPr>
        <w:tc>
          <w:tcPr>
            <w:tcW w:w="2122" w:type="dxa"/>
            <w:tcBorders>
              <w:top w:val="nil"/>
              <w:left w:val="single" w:sz="4" w:space="0" w:color="auto"/>
              <w:bottom w:val="single" w:sz="4" w:space="0" w:color="auto"/>
              <w:right w:val="single" w:sz="4" w:space="0" w:color="auto"/>
            </w:tcBorders>
            <w:vAlign w:val="center"/>
            <w:hideMark/>
          </w:tcPr>
          <w:p w14:paraId="76B74D80" w14:textId="77777777" w:rsidR="00FA433D" w:rsidRPr="002140F7" w:rsidRDefault="00FA433D" w:rsidP="00FA433D">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Vaxigrip</w:t>
            </w:r>
            <w:proofErr w:type="spellEnd"/>
            <w:r w:rsidRPr="002140F7">
              <w:rPr>
                <w:rFonts w:eastAsia="Times New Roman" w:cs="Times New Roman"/>
                <w:color w:val="000000"/>
                <w:sz w:val="22"/>
                <w:lang w:val="lt-LT" w:eastAsia="lt-LT"/>
              </w:rPr>
              <w:t xml:space="preserve"> </w:t>
            </w:r>
            <w:proofErr w:type="spellStart"/>
            <w:r w:rsidRPr="002140F7">
              <w:rPr>
                <w:rFonts w:eastAsia="Times New Roman" w:cs="Times New Roman"/>
                <w:color w:val="000000"/>
                <w:sz w:val="22"/>
                <w:lang w:val="lt-LT" w:eastAsia="lt-LT"/>
              </w:rPr>
              <w:t>Tetra</w:t>
            </w:r>
            <w:proofErr w:type="spellEnd"/>
          </w:p>
        </w:tc>
        <w:tc>
          <w:tcPr>
            <w:tcW w:w="1417" w:type="dxa"/>
            <w:tcBorders>
              <w:top w:val="nil"/>
              <w:left w:val="nil"/>
              <w:bottom w:val="single" w:sz="4" w:space="0" w:color="auto"/>
              <w:right w:val="single" w:sz="4" w:space="0" w:color="auto"/>
            </w:tcBorders>
            <w:noWrap/>
            <w:vAlign w:val="center"/>
            <w:hideMark/>
          </w:tcPr>
          <w:p w14:paraId="71252501"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w:t>
            </w:r>
          </w:p>
        </w:tc>
        <w:tc>
          <w:tcPr>
            <w:tcW w:w="6095" w:type="dxa"/>
            <w:tcBorders>
              <w:top w:val="nil"/>
              <w:left w:val="nil"/>
              <w:bottom w:val="single" w:sz="4" w:space="0" w:color="auto"/>
              <w:right w:val="single" w:sz="4" w:space="0" w:color="auto"/>
            </w:tcBorders>
            <w:vAlign w:val="center"/>
            <w:hideMark/>
          </w:tcPr>
          <w:p w14:paraId="39097ACB"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Injekcijos vietos paraudimas, neveiksmingumas</w:t>
            </w:r>
          </w:p>
        </w:tc>
      </w:tr>
      <w:tr w:rsidR="00FA433D" w:rsidRPr="00FA433D" w14:paraId="79563D89" w14:textId="77777777" w:rsidTr="002140F7">
        <w:trPr>
          <w:trHeight w:val="312"/>
        </w:trPr>
        <w:tc>
          <w:tcPr>
            <w:tcW w:w="2122" w:type="dxa"/>
            <w:tcBorders>
              <w:top w:val="nil"/>
              <w:left w:val="single" w:sz="4" w:space="0" w:color="auto"/>
              <w:bottom w:val="single" w:sz="4" w:space="0" w:color="auto"/>
              <w:right w:val="single" w:sz="4" w:space="0" w:color="auto"/>
            </w:tcBorders>
            <w:vAlign w:val="center"/>
            <w:hideMark/>
          </w:tcPr>
          <w:p w14:paraId="33D5A494" w14:textId="77777777" w:rsidR="00FA433D" w:rsidRPr="002140F7" w:rsidRDefault="00FA433D" w:rsidP="00FA433D">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Vaxigrip</w:t>
            </w:r>
            <w:proofErr w:type="spellEnd"/>
            <w:r w:rsidRPr="002140F7">
              <w:rPr>
                <w:rFonts w:eastAsia="Times New Roman" w:cs="Times New Roman"/>
                <w:color w:val="000000"/>
                <w:sz w:val="22"/>
                <w:lang w:val="lt-LT" w:eastAsia="lt-LT"/>
              </w:rPr>
              <w:t xml:space="preserve">  </w:t>
            </w:r>
          </w:p>
        </w:tc>
        <w:tc>
          <w:tcPr>
            <w:tcW w:w="1417" w:type="dxa"/>
            <w:tcBorders>
              <w:top w:val="nil"/>
              <w:left w:val="nil"/>
              <w:bottom w:val="single" w:sz="4" w:space="0" w:color="auto"/>
              <w:right w:val="single" w:sz="4" w:space="0" w:color="auto"/>
            </w:tcBorders>
            <w:noWrap/>
            <w:vAlign w:val="center"/>
            <w:hideMark/>
          </w:tcPr>
          <w:p w14:paraId="26179576"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5</w:t>
            </w:r>
          </w:p>
        </w:tc>
        <w:tc>
          <w:tcPr>
            <w:tcW w:w="6095" w:type="dxa"/>
            <w:tcBorders>
              <w:top w:val="nil"/>
              <w:left w:val="nil"/>
              <w:bottom w:val="single" w:sz="4" w:space="0" w:color="auto"/>
              <w:right w:val="single" w:sz="4" w:space="0" w:color="auto"/>
            </w:tcBorders>
            <w:vAlign w:val="center"/>
            <w:hideMark/>
          </w:tcPr>
          <w:p w14:paraId="71CDA595"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Injekcijos vietos paraudimas ir skausmas, neveiksmingumas</w:t>
            </w:r>
          </w:p>
        </w:tc>
      </w:tr>
      <w:tr w:rsidR="00FA433D" w:rsidRPr="00FA433D" w14:paraId="730637AE" w14:textId="77777777" w:rsidTr="002140F7">
        <w:trPr>
          <w:trHeight w:val="312"/>
        </w:trPr>
        <w:tc>
          <w:tcPr>
            <w:tcW w:w="2122" w:type="dxa"/>
            <w:tcBorders>
              <w:top w:val="nil"/>
              <w:left w:val="single" w:sz="4" w:space="0" w:color="auto"/>
              <w:bottom w:val="single" w:sz="4" w:space="0" w:color="auto"/>
              <w:right w:val="single" w:sz="4" w:space="0" w:color="auto"/>
            </w:tcBorders>
            <w:vAlign w:val="center"/>
            <w:hideMark/>
          </w:tcPr>
          <w:p w14:paraId="7C83AD12"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Comirnaty</w:t>
            </w:r>
          </w:p>
        </w:tc>
        <w:tc>
          <w:tcPr>
            <w:tcW w:w="1417" w:type="dxa"/>
            <w:tcBorders>
              <w:top w:val="nil"/>
              <w:left w:val="nil"/>
              <w:bottom w:val="single" w:sz="4" w:space="0" w:color="auto"/>
              <w:right w:val="single" w:sz="4" w:space="0" w:color="auto"/>
            </w:tcBorders>
            <w:noWrap/>
            <w:vAlign w:val="center"/>
            <w:hideMark/>
          </w:tcPr>
          <w:p w14:paraId="629398ED"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5</w:t>
            </w:r>
          </w:p>
        </w:tc>
        <w:tc>
          <w:tcPr>
            <w:tcW w:w="6095" w:type="dxa"/>
            <w:tcBorders>
              <w:top w:val="nil"/>
              <w:left w:val="nil"/>
              <w:bottom w:val="single" w:sz="4" w:space="0" w:color="auto"/>
              <w:right w:val="single" w:sz="4" w:space="0" w:color="auto"/>
            </w:tcBorders>
            <w:vAlign w:val="center"/>
            <w:hideMark/>
          </w:tcPr>
          <w:p w14:paraId="535EB302"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 xml:space="preserve">Injekcijos vietos skausmas, silpnumas, </w:t>
            </w:r>
            <w:proofErr w:type="spellStart"/>
            <w:r w:rsidRPr="002140F7">
              <w:rPr>
                <w:rFonts w:eastAsia="Times New Roman" w:cs="Times New Roman"/>
                <w:color w:val="000000"/>
                <w:sz w:val="22"/>
                <w:lang w:val="lt-LT" w:eastAsia="lt-LT"/>
              </w:rPr>
              <w:t>šaltkrėtis</w:t>
            </w:r>
            <w:proofErr w:type="spellEnd"/>
          </w:p>
        </w:tc>
      </w:tr>
      <w:tr w:rsidR="00FA433D" w:rsidRPr="00FA433D" w14:paraId="046CD5C9" w14:textId="77777777" w:rsidTr="002140F7">
        <w:trPr>
          <w:trHeight w:val="732"/>
        </w:trPr>
        <w:tc>
          <w:tcPr>
            <w:tcW w:w="2122" w:type="dxa"/>
            <w:tcBorders>
              <w:top w:val="single" w:sz="4" w:space="0" w:color="auto"/>
              <w:left w:val="single" w:sz="4" w:space="0" w:color="auto"/>
              <w:bottom w:val="single" w:sz="4" w:space="0" w:color="auto"/>
              <w:right w:val="single" w:sz="4" w:space="0" w:color="auto"/>
            </w:tcBorders>
            <w:vAlign w:val="center"/>
            <w:hideMark/>
          </w:tcPr>
          <w:p w14:paraId="5092F3E3" w14:textId="78095AAA"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Vakcina nuo gripo viruso</w:t>
            </w:r>
            <w:r w:rsidR="00CD34F3">
              <w:rPr>
                <w:rFonts w:eastAsia="Times New Roman" w:cs="Times New Roman"/>
                <w:color w:val="000000"/>
                <w:sz w:val="22"/>
                <w:lang w:val="lt-LT" w:eastAsia="lt-LT"/>
              </w:rPr>
              <w:t xml:space="preserve"> (p</w:t>
            </w:r>
            <w:r w:rsidRPr="002140F7">
              <w:rPr>
                <w:rFonts w:eastAsia="Times New Roman" w:cs="Times New Roman"/>
                <w:color w:val="000000"/>
                <w:sz w:val="22"/>
                <w:lang w:val="lt-LT" w:eastAsia="lt-LT"/>
              </w:rPr>
              <w:t>avadinimas nežinomas</w:t>
            </w:r>
            <w:r w:rsidR="00CD34F3">
              <w:rPr>
                <w:rFonts w:eastAsia="Times New Roman" w:cs="Times New Roman"/>
                <w:color w:val="000000"/>
                <w:sz w:val="22"/>
                <w:lang w:val="lt-LT" w:eastAsia="lt-LT"/>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A3380A"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c>
          <w:tcPr>
            <w:tcW w:w="6095" w:type="dxa"/>
            <w:tcBorders>
              <w:top w:val="single" w:sz="4" w:space="0" w:color="auto"/>
              <w:left w:val="single" w:sz="4" w:space="0" w:color="auto"/>
              <w:bottom w:val="single" w:sz="4" w:space="0" w:color="auto"/>
              <w:right w:val="single" w:sz="4" w:space="0" w:color="auto"/>
            </w:tcBorders>
            <w:vAlign w:val="center"/>
            <w:hideMark/>
          </w:tcPr>
          <w:p w14:paraId="00A992AE" w14:textId="77777777" w:rsidR="00FA433D" w:rsidRPr="002140F7" w:rsidRDefault="00FA433D" w:rsidP="00FA433D">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Šaltkrėtis</w:t>
            </w:r>
            <w:proofErr w:type="spellEnd"/>
            <w:r w:rsidRPr="002140F7">
              <w:rPr>
                <w:rFonts w:eastAsia="Times New Roman" w:cs="Times New Roman"/>
                <w:color w:val="000000"/>
                <w:sz w:val="22"/>
                <w:lang w:val="lt-LT" w:eastAsia="lt-LT"/>
              </w:rPr>
              <w:t>, silpnumas</w:t>
            </w:r>
          </w:p>
        </w:tc>
      </w:tr>
      <w:tr w:rsidR="00FA433D" w:rsidRPr="00FA433D" w14:paraId="4E2FB109" w14:textId="77777777" w:rsidTr="002140F7">
        <w:trPr>
          <w:trHeight w:val="936"/>
        </w:trPr>
        <w:tc>
          <w:tcPr>
            <w:tcW w:w="2122" w:type="dxa"/>
            <w:tcBorders>
              <w:top w:val="single" w:sz="4" w:space="0" w:color="auto"/>
              <w:left w:val="single" w:sz="4" w:space="0" w:color="auto"/>
              <w:bottom w:val="single" w:sz="4" w:space="0" w:color="auto"/>
              <w:right w:val="single" w:sz="4" w:space="0" w:color="auto"/>
            </w:tcBorders>
            <w:vAlign w:val="center"/>
            <w:hideMark/>
          </w:tcPr>
          <w:p w14:paraId="5E5238D1" w14:textId="6D847302"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 xml:space="preserve">Vakcina nuo </w:t>
            </w:r>
            <w:proofErr w:type="spellStart"/>
            <w:r w:rsidRPr="002140F7">
              <w:rPr>
                <w:rFonts w:eastAsia="Times New Roman" w:cs="Times New Roman"/>
                <w:color w:val="000000"/>
                <w:sz w:val="22"/>
                <w:lang w:val="lt-LT" w:eastAsia="lt-LT"/>
              </w:rPr>
              <w:t>meningokoko</w:t>
            </w:r>
            <w:proofErr w:type="spellEnd"/>
            <w:r w:rsidRPr="002140F7">
              <w:rPr>
                <w:rFonts w:eastAsia="Times New Roman" w:cs="Times New Roman"/>
                <w:color w:val="000000"/>
                <w:sz w:val="22"/>
                <w:lang w:val="lt-LT" w:eastAsia="lt-LT"/>
              </w:rPr>
              <w:t xml:space="preserve"> bakterijos </w:t>
            </w:r>
            <w:r w:rsidR="00CD34F3">
              <w:rPr>
                <w:rFonts w:eastAsia="Times New Roman" w:cs="Times New Roman"/>
                <w:color w:val="000000"/>
                <w:sz w:val="22"/>
                <w:lang w:val="lt-LT" w:eastAsia="lt-LT"/>
              </w:rPr>
              <w:t>(p</w:t>
            </w:r>
            <w:r w:rsidRPr="002140F7">
              <w:rPr>
                <w:rFonts w:eastAsia="Times New Roman" w:cs="Times New Roman"/>
                <w:color w:val="000000"/>
                <w:sz w:val="22"/>
                <w:lang w:val="lt-LT" w:eastAsia="lt-LT"/>
              </w:rPr>
              <w:t>avadinimas nežinomas</w:t>
            </w:r>
            <w:r w:rsidR="00CD34F3">
              <w:rPr>
                <w:rFonts w:eastAsia="Times New Roman" w:cs="Times New Roman"/>
                <w:color w:val="000000"/>
                <w:sz w:val="22"/>
                <w:lang w:val="lt-LT" w:eastAsia="lt-LT"/>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5A8320" w14:textId="77777777" w:rsidR="00FA433D" w:rsidRPr="002140F7" w:rsidRDefault="00FA433D" w:rsidP="00FA433D">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c>
          <w:tcPr>
            <w:tcW w:w="6095" w:type="dxa"/>
            <w:tcBorders>
              <w:top w:val="single" w:sz="4" w:space="0" w:color="auto"/>
              <w:left w:val="single" w:sz="4" w:space="0" w:color="auto"/>
              <w:bottom w:val="single" w:sz="4" w:space="0" w:color="auto"/>
              <w:right w:val="single" w:sz="4" w:space="0" w:color="auto"/>
            </w:tcBorders>
            <w:vAlign w:val="center"/>
            <w:hideMark/>
          </w:tcPr>
          <w:p w14:paraId="12652B02" w14:textId="77777777" w:rsidR="00FA433D" w:rsidRPr="002140F7" w:rsidRDefault="00FA433D" w:rsidP="00FA433D">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Skausmas injekcijos vietoje, patinimas injekcijos vietoje, karščiavimas</w:t>
            </w:r>
          </w:p>
        </w:tc>
      </w:tr>
    </w:tbl>
    <w:p w14:paraId="5E9186F7" w14:textId="77777777" w:rsidR="00DF22F0" w:rsidRPr="00DF22F0" w:rsidRDefault="00DF22F0" w:rsidP="00DF22F0">
      <w:pPr>
        <w:pStyle w:val="Betarp"/>
        <w:rPr>
          <w:b/>
          <w:bCs/>
          <w:sz w:val="24"/>
          <w:szCs w:val="24"/>
          <w:lang w:val="lt-LT"/>
        </w:rPr>
      </w:pPr>
    </w:p>
    <w:p w14:paraId="0FF39BAF" w14:textId="09F096C7" w:rsidR="00DF22F0" w:rsidRPr="007B296D" w:rsidRDefault="00E60BF4" w:rsidP="0092613A">
      <w:pPr>
        <w:pStyle w:val="Betarp"/>
        <w:ind w:firstLine="708"/>
        <w:jc w:val="both"/>
        <w:rPr>
          <w:sz w:val="24"/>
          <w:szCs w:val="24"/>
          <w:lang w:val="lt-LT"/>
        </w:rPr>
      </w:pPr>
      <w:r w:rsidRPr="007B296D">
        <w:rPr>
          <w:sz w:val="24"/>
          <w:szCs w:val="24"/>
          <w:lang w:val="lt-LT"/>
        </w:rPr>
        <w:t>Gauti</w:t>
      </w:r>
      <w:r w:rsidR="00DF22F0" w:rsidRPr="007B296D">
        <w:rPr>
          <w:sz w:val="24"/>
          <w:szCs w:val="24"/>
          <w:lang w:val="lt-LT"/>
        </w:rPr>
        <w:t xml:space="preserve"> </w:t>
      </w:r>
      <w:r w:rsidRPr="007B296D">
        <w:rPr>
          <w:sz w:val="24"/>
          <w:szCs w:val="24"/>
          <w:lang w:val="lt-LT"/>
        </w:rPr>
        <w:t>7</w:t>
      </w:r>
      <w:r w:rsidR="00DF22F0" w:rsidRPr="007B296D">
        <w:rPr>
          <w:sz w:val="24"/>
          <w:szCs w:val="24"/>
          <w:lang w:val="lt-LT"/>
        </w:rPr>
        <w:t xml:space="preserve"> </w:t>
      </w:r>
      <w:r w:rsidRPr="007B296D">
        <w:rPr>
          <w:sz w:val="24"/>
          <w:szCs w:val="24"/>
          <w:lang w:val="lt-LT"/>
        </w:rPr>
        <w:t xml:space="preserve">pranešimai, kuriuose </w:t>
      </w:r>
      <w:r w:rsidR="00DF22F0" w:rsidRPr="007B296D">
        <w:rPr>
          <w:sz w:val="24"/>
          <w:szCs w:val="24"/>
          <w:lang w:val="lt-LT"/>
        </w:rPr>
        <w:t>buvo nurodyta, kad pacient</w:t>
      </w:r>
      <w:r w:rsidRPr="007B296D">
        <w:rPr>
          <w:sz w:val="24"/>
          <w:szCs w:val="24"/>
          <w:lang w:val="lt-LT"/>
        </w:rPr>
        <w:t>ai</w:t>
      </w:r>
      <w:r w:rsidR="00DF22F0" w:rsidRPr="007B296D">
        <w:rPr>
          <w:sz w:val="24"/>
          <w:szCs w:val="24"/>
          <w:lang w:val="lt-LT"/>
        </w:rPr>
        <w:t xml:space="preserve"> skiepyt</w:t>
      </w:r>
      <w:r w:rsidRPr="007B296D">
        <w:rPr>
          <w:sz w:val="24"/>
          <w:szCs w:val="24"/>
          <w:lang w:val="lt-LT"/>
        </w:rPr>
        <w:t>i</w:t>
      </w:r>
      <w:r w:rsidR="00DF22F0" w:rsidRPr="007B296D">
        <w:rPr>
          <w:sz w:val="24"/>
          <w:szCs w:val="24"/>
          <w:lang w:val="lt-LT"/>
        </w:rPr>
        <w:t xml:space="preserve"> </w:t>
      </w:r>
      <w:r w:rsidRPr="007B296D">
        <w:rPr>
          <w:sz w:val="24"/>
          <w:szCs w:val="24"/>
          <w:lang w:val="lt-LT"/>
        </w:rPr>
        <w:t>daugiau nei viena vakcina tuo pačiu metu.</w:t>
      </w:r>
    </w:p>
    <w:p w14:paraId="7EB1A78A" w14:textId="426E5F71" w:rsidR="00E60BF4" w:rsidRPr="007B296D" w:rsidRDefault="00E60BF4" w:rsidP="00B95FCC">
      <w:pPr>
        <w:pStyle w:val="Betarp"/>
        <w:jc w:val="both"/>
        <w:rPr>
          <w:sz w:val="24"/>
          <w:szCs w:val="24"/>
          <w:lang w:val="lt-LT"/>
        </w:rPr>
      </w:pPr>
      <w:r w:rsidRPr="007B296D">
        <w:rPr>
          <w:sz w:val="24"/>
          <w:szCs w:val="24"/>
          <w:lang w:val="lt-LT"/>
        </w:rPr>
        <w:t xml:space="preserve">1 </w:t>
      </w:r>
      <w:r w:rsidR="0092613A">
        <w:rPr>
          <w:sz w:val="24"/>
          <w:szCs w:val="24"/>
          <w:lang w:val="lt-LT"/>
        </w:rPr>
        <w:t xml:space="preserve"> </w:t>
      </w:r>
      <w:r w:rsidRPr="007B296D">
        <w:rPr>
          <w:sz w:val="24"/>
          <w:szCs w:val="24"/>
          <w:lang w:val="lt-LT"/>
        </w:rPr>
        <w:t>atvejis: Comirnaty ir nenurodyto pavadinimo vakcina nuo gripo. Pa</w:t>
      </w:r>
      <w:r w:rsidR="00BE07A9" w:rsidRPr="007B296D">
        <w:rPr>
          <w:sz w:val="24"/>
          <w:szCs w:val="24"/>
          <w:lang w:val="lt-LT"/>
        </w:rPr>
        <w:t>sireiškė</w:t>
      </w:r>
      <w:r w:rsidRPr="007B296D">
        <w:rPr>
          <w:sz w:val="24"/>
          <w:szCs w:val="24"/>
          <w:lang w:val="lt-LT"/>
        </w:rPr>
        <w:t xml:space="preserve"> </w:t>
      </w:r>
      <w:proofErr w:type="spellStart"/>
      <w:r w:rsidRPr="007B296D">
        <w:rPr>
          <w:sz w:val="24"/>
          <w:szCs w:val="24"/>
          <w:lang w:val="lt-LT"/>
        </w:rPr>
        <w:t>šaltkrėt</w:t>
      </w:r>
      <w:r w:rsidR="00BE07A9" w:rsidRPr="007B296D">
        <w:rPr>
          <w:sz w:val="24"/>
          <w:szCs w:val="24"/>
          <w:lang w:val="lt-LT"/>
        </w:rPr>
        <w:t>is</w:t>
      </w:r>
      <w:proofErr w:type="spellEnd"/>
      <w:r w:rsidR="00BE07A9" w:rsidRPr="007B296D">
        <w:rPr>
          <w:sz w:val="24"/>
          <w:szCs w:val="24"/>
          <w:lang w:val="lt-LT"/>
        </w:rPr>
        <w:t>,</w:t>
      </w:r>
      <w:r w:rsidRPr="007B296D">
        <w:rPr>
          <w:sz w:val="24"/>
          <w:szCs w:val="24"/>
          <w:lang w:val="lt-LT"/>
        </w:rPr>
        <w:t xml:space="preserve"> silpnum</w:t>
      </w:r>
      <w:r w:rsidR="00BE07A9" w:rsidRPr="007B296D">
        <w:rPr>
          <w:sz w:val="24"/>
          <w:szCs w:val="24"/>
          <w:lang w:val="lt-LT"/>
        </w:rPr>
        <w:t>as</w:t>
      </w:r>
      <w:r w:rsidRPr="007B296D">
        <w:rPr>
          <w:sz w:val="24"/>
          <w:szCs w:val="24"/>
          <w:lang w:val="lt-LT"/>
        </w:rPr>
        <w:t xml:space="preserve">. </w:t>
      </w:r>
    </w:p>
    <w:p w14:paraId="21B91A53" w14:textId="3EA10D19" w:rsidR="00E60BF4" w:rsidRPr="007B296D" w:rsidRDefault="00E60BF4" w:rsidP="00B95FCC">
      <w:pPr>
        <w:pStyle w:val="Betarp"/>
        <w:jc w:val="both"/>
        <w:rPr>
          <w:sz w:val="24"/>
          <w:szCs w:val="24"/>
          <w:lang w:val="lt-LT"/>
        </w:rPr>
      </w:pPr>
      <w:r w:rsidRPr="007B296D">
        <w:rPr>
          <w:sz w:val="24"/>
          <w:szCs w:val="24"/>
          <w:lang w:val="lt-LT"/>
        </w:rPr>
        <w:t>2</w:t>
      </w:r>
      <w:r w:rsidR="00FF11F7">
        <w:rPr>
          <w:sz w:val="24"/>
          <w:szCs w:val="24"/>
          <w:lang w:val="lt-LT"/>
        </w:rPr>
        <w:t xml:space="preserve"> </w:t>
      </w:r>
      <w:r w:rsidRPr="007B296D">
        <w:rPr>
          <w:sz w:val="24"/>
          <w:szCs w:val="24"/>
          <w:lang w:val="lt-LT"/>
        </w:rPr>
        <w:t xml:space="preserve">atvejis: </w:t>
      </w:r>
      <w:proofErr w:type="spellStart"/>
      <w:r w:rsidRPr="007B296D">
        <w:rPr>
          <w:sz w:val="24"/>
          <w:szCs w:val="24"/>
          <w:lang w:val="lt-LT"/>
        </w:rPr>
        <w:t>Pentaxim</w:t>
      </w:r>
      <w:proofErr w:type="spellEnd"/>
      <w:r w:rsidRPr="007B296D">
        <w:rPr>
          <w:sz w:val="24"/>
          <w:szCs w:val="24"/>
          <w:lang w:val="lt-LT"/>
        </w:rPr>
        <w:t xml:space="preserve">, </w:t>
      </w:r>
      <w:proofErr w:type="spellStart"/>
      <w:r w:rsidRPr="007B296D">
        <w:rPr>
          <w:sz w:val="24"/>
          <w:szCs w:val="24"/>
          <w:lang w:val="lt-LT"/>
        </w:rPr>
        <w:t>RotaTeq</w:t>
      </w:r>
      <w:proofErr w:type="spellEnd"/>
      <w:r w:rsidRPr="007B296D">
        <w:rPr>
          <w:sz w:val="24"/>
          <w:szCs w:val="24"/>
          <w:lang w:val="lt-LT"/>
        </w:rPr>
        <w:t xml:space="preserve">, </w:t>
      </w:r>
      <w:proofErr w:type="spellStart"/>
      <w:r w:rsidRPr="007B296D">
        <w:rPr>
          <w:sz w:val="24"/>
          <w:szCs w:val="24"/>
          <w:lang w:val="lt-LT"/>
        </w:rPr>
        <w:t>Vaxneuvance</w:t>
      </w:r>
      <w:proofErr w:type="spellEnd"/>
      <w:r w:rsidRPr="007B296D">
        <w:rPr>
          <w:sz w:val="24"/>
          <w:szCs w:val="24"/>
          <w:lang w:val="lt-LT"/>
        </w:rPr>
        <w:t>. Pa</w:t>
      </w:r>
      <w:r w:rsidR="00BE07A9" w:rsidRPr="007B296D">
        <w:rPr>
          <w:sz w:val="24"/>
          <w:szCs w:val="24"/>
          <w:lang w:val="lt-LT"/>
        </w:rPr>
        <w:t>sireiškė</w:t>
      </w:r>
      <w:r w:rsidRPr="007B296D">
        <w:rPr>
          <w:sz w:val="24"/>
          <w:szCs w:val="24"/>
          <w:lang w:val="lt-LT"/>
        </w:rPr>
        <w:t xml:space="preserve"> neramum</w:t>
      </w:r>
      <w:r w:rsidR="00BE07A9" w:rsidRPr="007B296D">
        <w:rPr>
          <w:sz w:val="24"/>
          <w:szCs w:val="24"/>
          <w:lang w:val="lt-LT"/>
        </w:rPr>
        <w:t>as,</w:t>
      </w:r>
      <w:r w:rsidRPr="007B296D">
        <w:rPr>
          <w:sz w:val="24"/>
          <w:szCs w:val="24"/>
          <w:lang w:val="lt-LT"/>
        </w:rPr>
        <w:t xml:space="preserve"> nervingum</w:t>
      </w:r>
      <w:r w:rsidR="00BE07A9" w:rsidRPr="007B296D">
        <w:rPr>
          <w:sz w:val="24"/>
          <w:szCs w:val="24"/>
          <w:lang w:val="lt-LT"/>
        </w:rPr>
        <w:t>as.</w:t>
      </w:r>
      <w:r w:rsidR="008F59A5" w:rsidRPr="007B296D">
        <w:rPr>
          <w:sz w:val="24"/>
          <w:szCs w:val="24"/>
          <w:lang w:val="lt-LT"/>
        </w:rPr>
        <w:t xml:space="preserve"> </w:t>
      </w:r>
      <w:r w:rsidR="00FB5A85" w:rsidRPr="007B296D">
        <w:rPr>
          <w:sz w:val="24"/>
          <w:szCs w:val="24"/>
          <w:lang w:val="lt-LT"/>
        </w:rPr>
        <w:t xml:space="preserve">Taip pat pirmajame šio atvejo pranešime buvo nurodyta, kad </w:t>
      </w:r>
      <w:r w:rsidR="00506B22" w:rsidRPr="007B296D">
        <w:rPr>
          <w:sz w:val="24"/>
          <w:szCs w:val="24"/>
          <w:lang w:val="lt-LT"/>
        </w:rPr>
        <w:t xml:space="preserve">10 dieną </w:t>
      </w:r>
      <w:r w:rsidR="00FB5A85" w:rsidRPr="007B296D">
        <w:rPr>
          <w:sz w:val="24"/>
          <w:szCs w:val="24"/>
          <w:lang w:val="lt-LT"/>
        </w:rPr>
        <w:t xml:space="preserve">po vakcinacijos pacientą ištiko mirtis. Susisiekus su pranešėju ir paprašius daugiau duomenų, buvo </w:t>
      </w:r>
      <w:r w:rsidR="001D64FF" w:rsidRPr="007B296D">
        <w:rPr>
          <w:sz w:val="24"/>
          <w:szCs w:val="24"/>
          <w:lang w:val="lt-LT"/>
        </w:rPr>
        <w:t>nurodyta</w:t>
      </w:r>
      <w:r w:rsidR="00FB5A85" w:rsidRPr="007B296D">
        <w:rPr>
          <w:sz w:val="24"/>
          <w:szCs w:val="24"/>
          <w:lang w:val="lt-LT"/>
        </w:rPr>
        <w:t>, kad mirties priežastis yr</w:t>
      </w:r>
      <w:r w:rsidR="001D64FF" w:rsidRPr="007B296D">
        <w:rPr>
          <w:sz w:val="24"/>
          <w:szCs w:val="24"/>
          <w:lang w:val="lt-LT"/>
        </w:rPr>
        <w:t xml:space="preserve">a </w:t>
      </w:r>
      <w:r w:rsidR="00EB5175" w:rsidRPr="007B296D">
        <w:rPr>
          <w:sz w:val="24"/>
          <w:szCs w:val="24"/>
          <w:lang w:val="lt-LT"/>
        </w:rPr>
        <w:t>s</w:t>
      </w:r>
      <w:proofErr w:type="spellStart"/>
      <w:r w:rsidR="00F0391F" w:rsidRPr="007B296D">
        <w:rPr>
          <w:sz w:val="24"/>
          <w:szCs w:val="24"/>
        </w:rPr>
        <w:t>krandžio</w:t>
      </w:r>
      <w:proofErr w:type="spellEnd"/>
      <w:r w:rsidR="00F0391F" w:rsidRPr="007B296D">
        <w:rPr>
          <w:sz w:val="24"/>
          <w:szCs w:val="24"/>
        </w:rPr>
        <w:t xml:space="preserve"> </w:t>
      </w:r>
      <w:proofErr w:type="spellStart"/>
      <w:r w:rsidR="00F0391F" w:rsidRPr="007B296D">
        <w:rPr>
          <w:sz w:val="24"/>
          <w:szCs w:val="24"/>
        </w:rPr>
        <w:t>turinys</w:t>
      </w:r>
      <w:proofErr w:type="spellEnd"/>
      <w:r w:rsidR="00F0391F" w:rsidRPr="007B296D">
        <w:rPr>
          <w:sz w:val="24"/>
          <w:szCs w:val="24"/>
        </w:rPr>
        <w:t xml:space="preserve"> </w:t>
      </w:r>
      <w:proofErr w:type="spellStart"/>
      <w:r w:rsidR="00F0391F" w:rsidRPr="007B296D">
        <w:rPr>
          <w:sz w:val="24"/>
          <w:szCs w:val="24"/>
        </w:rPr>
        <w:t>įsiliejęs</w:t>
      </w:r>
      <w:proofErr w:type="spellEnd"/>
      <w:r w:rsidR="00F0391F" w:rsidRPr="007B296D">
        <w:rPr>
          <w:sz w:val="24"/>
          <w:szCs w:val="24"/>
        </w:rPr>
        <w:t xml:space="preserve"> į </w:t>
      </w:r>
      <w:proofErr w:type="spellStart"/>
      <w:r w:rsidR="00F0391F" w:rsidRPr="007B296D">
        <w:rPr>
          <w:sz w:val="24"/>
          <w:szCs w:val="24"/>
        </w:rPr>
        <w:t>plaučius</w:t>
      </w:r>
      <w:proofErr w:type="spellEnd"/>
      <w:r w:rsidR="00F0391F" w:rsidRPr="007B296D">
        <w:rPr>
          <w:sz w:val="24"/>
          <w:szCs w:val="24"/>
        </w:rPr>
        <w:t xml:space="preserve"> (</w:t>
      </w:r>
      <w:proofErr w:type="spellStart"/>
      <w:r w:rsidR="00F0391F" w:rsidRPr="007B296D">
        <w:rPr>
          <w:sz w:val="24"/>
          <w:szCs w:val="24"/>
        </w:rPr>
        <w:t>plaučiuose</w:t>
      </w:r>
      <w:proofErr w:type="spellEnd"/>
      <w:r w:rsidR="00F0391F" w:rsidRPr="007B296D">
        <w:rPr>
          <w:sz w:val="24"/>
          <w:szCs w:val="24"/>
        </w:rPr>
        <w:t xml:space="preserve"> </w:t>
      </w:r>
      <w:proofErr w:type="spellStart"/>
      <w:r w:rsidR="00F0391F" w:rsidRPr="007B296D">
        <w:rPr>
          <w:sz w:val="24"/>
          <w:szCs w:val="24"/>
        </w:rPr>
        <w:t>svetimkūnis</w:t>
      </w:r>
      <w:proofErr w:type="spellEnd"/>
      <w:r w:rsidR="00F0391F" w:rsidRPr="007B296D">
        <w:rPr>
          <w:sz w:val="24"/>
          <w:szCs w:val="24"/>
        </w:rPr>
        <w:t>)</w:t>
      </w:r>
      <w:r w:rsidR="00D82737" w:rsidRPr="007B296D">
        <w:rPr>
          <w:sz w:val="24"/>
          <w:szCs w:val="24"/>
          <w:lang w:val="lt-LT"/>
        </w:rPr>
        <w:t>. T</w:t>
      </w:r>
      <w:r w:rsidR="00EB5175" w:rsidRPr="007B296D">
        <w:rPr>
          <w:sz w:val="24"/>
          <w:szCs w:val="24"/>
          <w:lang w:val="lt-LT"/>
        </w:rPr>
        <w:t xml:space="preserve">ai </w:t>
      </w:r>
      <w:r w:rsidR="003504FE" w:rsidRPr="007B296D">
        <w:rPr>
          <w:sz w:val="24"/>
          <w:szCs w:val="24"/>
          <w:lang w:val="lt-LT"/>
        </w:rPr>
        <w:t>į</w:t>
      </w:r>
      <w:r w:rsidR="00EB5175" w:rsidRPr="007B296D">
        <w:rPr>
          <w:sz w:val="24"/>
          <w:szCs w:val="24"/>
          <w:lang w:val="lt-LT"/>
        </w:rPr>
        <w:t xml:space="preserve">rodo, kad vakcinacija neįtakojo </w:t>
      </w:r>
      <w:r w:rsidR="00506B22" w:rsidRPr="007B296D">
        <w:rPr>
          <w:sz w:val="24"/>
          <w:szCs w:val="24"/>
          <w:lang w:val="lt-LT"/>
        </w:rPr>
        <w:t>paciento mirčiai.</w:t>
      </w:r>
    </w:p>
    <w:p w14:paraId="4CD54D76" w14:textId="519C6971" w:rsidR="00E60BF4" w:rsidRPr="007B296D" w:rsidRDefault="00E60BF4" w:rsidP="00B95FCC">
      <w:pPr>
        <w:pStyle w:val="Betarp"/>
        <w:jc w:val="both"/>
        <w:rPr>
          <w:sz w:val="24"/>
          <w:szCs w:val="24"/>
          <w:lang w:val="lt-LT"/>
        </w:rPr>
      </w:pPr>
      <w:r w:rsidRPr="007B296D">
        <w:rPr>
          <w:sz w:val="24"/>
          <w:szCs w:val="24"/>
          <w:lang w:val="lt-LT"/>
        </w:rPr>
        <w:lastRenderedPageBreak/>
        <w:t xml:space="preserve">3 atvejis: </w:t>
      </w:r>
      <w:proofErr w:type="spellStart"/>
      <w:r w:rsidRPr="007B296D">
        <w:rPr>
          <w:sz w:val="24"/>
          <w:szCs w:val="24"/>
          <w:lang w:val="lt-LT"/>
        </w:rPr>
        <w:t>TicoVac</w:t>
      </w:r>
      <w:proofErr w:type="spellEnd"/>
      <w:r w:rsidRPr="007B296D">
        <w:rPr>
          <w:sz w:val="24"/>
          <w:szCs w:val="24"/>
          <w:lang w:val="lt-LT"/>
        </w:rPr>
        <w:t xml:space="preserve">, </w:t>
      </w:r>
      <w:proofErr w:type="spellStart"/>
      <w:r w:rsidRPr="007B296D">
        <w:rPr>
          <w:sz w:val="24"/>
          <w:szCs w:val="24"/>
          <w:lang w:val="lt-LT"/>
        </w:rPr>
        <w:t>Bexsero</w:t>
      </w:r>
      <w:proofErr w:type="spellEnd"/>
      <w:r w:rsidRPr="007B296D">
        <w:rPr>
          <w:sz w:val="24"/>
          <w:szCs w:val="24"/>
          <w:lang w:val="lt-LT"/>
        </w:rPr>
        <w:t xml:space="preserve">, </w:t>
      </w:r>
      <w:proofErr w:type="spellStart"/>
      <w:r w:rsidRPr="007B296D">
        <w:rPr>
          <w:sz w:val="24"/>
          <w:szCs w:val="24"/>
          <w:lang w:val="lt-LT"/>
        </w:rPr>
        <w:t>Synflorix</w:t>
      </w:r>
      <w:proofErr w:type="spellEnd"/>
      <w:r w:rsidRPr="007B296D">
        <w:rPr>
          <w:sz w:val="24"/>
          <w:szCs w:val="24"/>
          <w:lang w:val="lt-LT"/>
        </w:rPr>
        <w:t>. Pa</w:t>
      </w:r>
      <w:r w:rsidR="00BE07A9" w:rsidRPr="007B296D">
        <w:rPr>
          <w:sz w:val="24"/>
          <w:szCs w:val="24"/>
          <w:lang w:val="lt-LT"/>
        </w:rPr>
        <w:t>sireišk</w:t>
      </w:r>
      <w:r w:rsidRPr="007B296D">
        <w:rPr>
          <w:sz w:val="24"/>
          <w:szCs w:val="24"/>
          <w:lang w:val="lt-LT"/>
        </w:rPr>
        <w:t>ė traukuliai</w:t>
      </w:r>
      <w:r w:rsidR="00BE07A9" w:rsidRPr="007B296D">
        <w:rPr>
          <w:sz w:val="24"/>
          <w:szCs w:val="24"/>
          <w:lang w:val="lt-LT"/>
        </w:rPr>
        <w:t>.</w:t>
      </w:r>
    </w:p>
    <w:p w14:paraId="45ADADDF" w14:textId="5E3A4CF6" w:rsidR="00BE07A9" w:rsidRPr="007B296D" w:rsidRDefault="00BE07A9" w:rsidP="00B95FCC">
      <w:pPr>
        <w:pStyle w:val="Betarp"/>
        <w:jc w:val="both"/>
        <w:rPr>
          <w:sz w:val="24"/>
          <w:szCs w:val="24"/>
          <w:lang w:val="lt-LT"/>
        </w:rPr>
      </w:pPr>
      <w:r w:rsidRPr="007B296D">
        <w:rPr>
          <w:sz w:val="24"/>
          <w:szCs w:val="24"/>
          <w:lang w:val="lt-LT"/>
        </w:rPr>
        <w:t xml:space="preserve">4 atvejis: M-M-RVAXPRO, </w:t>
      </w:r>
      <w:proofErr w:type="spellStart"/>
      <w:r w:rsidRPr="007B296D">
        <w:rPr>
          <w:sz w:val="24"/>
          <w:szCs w:val="24"/>
          <w:lang w:val="lt-LT"/>
        </w:rPr>
        <w:t>Tetraxim</w:t>
      </w:r>
      <w:proofErr w:type="spellEnd"/>
      <w:r w:rsidRPr="007B296D">
        <w:rPr>
          <w:sz w:val="24"/>
          <w:szCs w:val="24"/>
          <w:lang w:val="lt-LT"/>
        </w:rPr>
        <w:t>. Pasireiškė skausmas injekcijos vietoje, karščiavimas, prasta savijauta, rankos skausmas.</w:t>
      </w:r>
    </w:p>
    <w:p w14:paraId="32AE9605" w14:textId="14BD8285" w:rsidR="00E60BF4" w:rsidRPr="007B296D" w:rsidRDefault="00BE07A9" w:rsidP="00B95FCC">
      <w:pPr>
        <w:pStyle w:val="Betarp"/>
        <w:jc w:val="both"/>
        <w:rPr>
          <w:sz w:val="24"/>
          <w:szCs w:val="24"/>
          <w:lang w:val="lt-LT"/>
        </w:rPr>
      </w:pPr>
      <w:r w:rsidRPr="007B296D">
        <w:rPr>
          <w:sz w:val="24"/>
          <w:szCs w:val="24"/>
          <w:lang w:val="lt-LT"/>
        </w:rPr>
        <w:t xml:space="preserve">5 atvejis: </w:t>
      </w:r>
      <w:proofErr w:type="spellStart"/>
      <w:r w:rsidRPr="007B296D">
        <w:rPr>
          <w:sz w:val="24"/>
          <w:szCs w:val="24"/>
          <w:lang w:val="lt-LT"/>
        </w:rPr>
        <w:t>P</w:t>
      </w:r>
      <w:r w:rsidR="0044003E" w:rsidRPr="007B296D">
        <w:rPr>
          <w:sz w:val="24"/>
          <w:szCs w:val="24"/>
          <w:lang w:val="lt-LT"/>
        </w:rPr>
        <w:t>entaxim</w:t>
      </w:r>
      <w:proofErr w:type="spellEnd"/>
      <w:r w:rsidRPr="007B296D">
        <w:rPr>
          <w:sz w:val="24"/>
          <w:szCs w:val="24"/>
          <w:lang w:val="lt-LT"/>
        </w:rPr>
        <w:t xml:space="preserve">, </w:t>
      </w:r>
      <w:proofErr w:type="spellStart"/>
      <w:r w:rsidRPr="007B296D">
        <w:rPr>
          <w:sz w:val="24"/>
          <w:szCs w:val="24"/>
          <w:lang w:val="lt-LT"/>
        </w:rPr>
        <w:t>Vaxneuvance</w:t>
      </w:r>
      <w:proofErr w:type="spellEnd"/>
      <w:r w:rsidRPr="007B296D">
        <w:rPr>
          <w:sz w:val="24"/>
          <w:szCs w:val="24"/>
          <w:lang w:val="lt-LT"/>
        </w:rPr>
        <w:t>. Pasireiškė 45 min rėkimas.</w:t>
      </w:r>
    </w:p>
    <w:p w14:paraId="01FF4949" w14:textId="73FC577B" w:rsidR="00BE07A9" w:rsidRPr="007B296D" w:rsidRDefault="00BE07A9" w:rsidP="00B95FCC">
      <w:pPr>
        <w:pStyle w:val="Betarp"/>
        <w:jc w:val="both"/>
        <w:rPr>
          <w:sz w:val="24"/>
          <w:szCs w:val="24"/>
          <w:lang w:val="lt-LT"/>
        </w:rPr>
      </w:pPr>
      <w:r w:rsidRPr="007B296D">
        <w:rPr>
          <w:sz w:val="24"/>
          <w:szCs w:val="24"/>
          <w:lang w:val="lt-LT"/>
        </w:rPr>
        <w:t xml:space="preserve">6 atvejis: </w:t>
      </w:r>
      <w:proofErr w:type="spellStart"/>
      <w:r w:rsidRPr="007B296D">
        <w:rPr>
          <w:sz w:val="24"/>
          <w:szCs w:val="24"/>
          <w:lang w:val="lt-LT"/>
        </w:rPr>
        <w:t>Prevenar</w:t>
      </w:r>
      <w:proofErr w:type="spellEnd"/>
      <w:r w:rsidRPr="007B296D">
        <w:rPr>
          <w:sz w:val="24"/>
          <w:szCs w:val="24"/>
          <w:lang w:val="lt-LT"/>
        </w:rPr>
        <w:t xml:space="preserve"> 20, </w:t>
      </w:r>
      <w:proofErr w:type="spellStart"/>
      <w:r w:rsidRPr="007B296D">
        <w:rPr>
          <w:sz w:val="24"/>
          <w:szCs w:val="24"/>
          <w:lang w:val="lt-LT"/>
        </w:rPr>
        <w:t>Vaxigrip</w:t>
      </w:r>
      <w:proofErr w:type="spellEnd"/>
      <w:r w:rsidRPr="007B296D">
        <w:rPr>
          <w:sz w:val="24"/>
          <w:szCs w:val="24"/>
          <w:lang w:val="lt-LT"/>
        </w:rPr>
        <w:t xml:space="preserve">, </w:t>
      </w:r>
      <w:proofErr w:type="spellStart"/>
      <w:r w:rsidRPr="007B296D">
        <w:rPr>
          <w:sz w:val="24"/>
          <w:szCs w:val="24"/>
          <w:lang w:val="lt-LT"/>
        </w:rPr>
        <w:t>Gardasil</w:t>
      </w:r>
      <w:proofErr w:type="spellEnd"/>
      <w:r w:rsidRPr="007B296D">
        <w:rPr>
          <w:sz w:val="24"/>
          <w:szCs w:val="24"/>
          <w:lang w:val="lt-LT"/>
        </w:rPr>
        <w:t xml:space="preserve"> 9. Pasireiškė injekcijos vietos paraudimas ir skausmas.</w:t>
      </w:r>
    </w:p>
    <w:p w14:paraId="3971940E" w14:textId="1A2BCD42" w:rsidR="00DF22F0" w:rsidRDefault="00BE07A9" w:rsidP="007B296D">
      <w:pPr>
        <w:pStyle w:val="Betarp"/>
        <w:jc w:val="both"/>
        <w:rPr>
          <w:sz w:val="24"/>
          <w:szCs w:val="24"/>
          <w:lang w:val="lt-LT"/>
        </w:rPr>
      </w:pPr>
      <w:r w:rsidRPr="007B296D">
        <w:rPr>
          <w:sz w:val="24"/>
          <w:szCs w:val="24"/>
          <w:lang w:val="lt-LT"/>
        </w:rPr>
        <w:t xml:space="preserve">7 atvejis: </w:t>
      </w:r>
      <w:proofErr w:type="spellStart"/>
      <w:r w:rsidRPr="007B296D">
        <w:rPr>
          <w:sz w:val="24"/>
          <w:szCs w:val="24"/>
          <w:lang w:val="lt-LT"/>
        </w:rPr>
        <w:t>TicoVac</w:t>
      </w:r>
      <w:proofErr w:type="spellEnd"/>
      <w:r w:rsidRPr="007B296D">
        <w:rPr>
          <w:sz w:val="24"/>
          <w:szCs w:val="24"/>
          <w:lang w:val="lt-LT"/>
        </w:rPr>
        <w:t xml:space="preserve">, </w:t>
      </w:r>
      <w:proofErr w:type="spellStart"/>
      <w:r w:rsidRPr="007B296D">
        <w:rPr>
          <w:sz w:val="24"/>
          <w:szCs w:val="24"/>
          <w:lang w:val="lt-LT"/>
        </w:rPr>
        <w:t>Gardasil</w:t>
      </w:r>
      <w:proofErr w:type="spellEnd"/>
      <w:r w:rsidRPr="007B296D">
        <w:rPr>
          <w:sz w:val="24"/>
          <w:szCs w:val="24"/>
          <w:lang w:val="lt-LT"/>
        </w:rPr>
        <w:t xml:space="preserve"> 9. Pasireiškė temperatūros padidėjimas, silpnumas, pykinimas.</w:t>
      </w:r>
    </w:p>
    <w:p w14:paraId="26317902" w14:textId="77777777" w:rsidR="00741825" w:rsidRPr="007B296D" w:rsidRDefault="00741825" w:rsidP="007B296D">
      <w:pPr>
        <w:pStyle w:val="Betarp"/>
        <w:jc w:val="both"/>
        <w:rPr>
          <w:sz w:val="24"/>
          <w:szCs w:val="24"/>
          <w:lang w:val="lt-LT"/>
        </w:rPr>
      </w:pPr>
    </w:p>
    <w:p w14:paraId="5549AAB6" w14:textId="75D82DD2" w:rsidR="00DF22F0" w:rsidRPr="007E28D6" w:rsidRDefault="00DF22F0" w:rsidP="007E28D6">
      <w:pPr>
        <w:pStyle w:val="Betarp"/>
        <w:ind w:firstLine="708"/>
        <w:jc w:val="both"/>
        <w:rPr>
          <w:sz w:val="24"/>
          <w:szCs w:val="24"/>
          <w:lang w:val="lt-LT"/>
        </w:rPr>
      </w:pPr>
      <w:r w:rsidRPr="007E28D6">
        <w:rPr>
          <w:sz w:val="24"/>
          <w:szCs w:val="24"/>
          <w:lang w:val="lt-LT"/>
        </w:rPr>
        <w:t>Iš gautų pranešimų</w:t>
      </w:r>
      <w:r w:rsidR="002504B5" w:rsidRPr="007E28D6">
        <w:rPr>
          <w:sz w:val="24"/>
          <w:szCs w:val="24"/>
          <w:lang w:val="lt-LT"/>
        </w:rPr>
        <w:t xml:space="preserve"> apie vakcinas</w:t>
      </w:r>
      <w:r w:rsidRPr="007E28D6">
        <w:rPr>
          <w:sz w:val="24"/>
          <w:szCs w:val="24"/>
          <w:lang w:val="lt-LT"/>
        </w:rPr>
        <w:t>, 1</w:t>
      </w:r>
      <w:r w:rsidR="00E440D1" w:rsidRPr="007E28D6">
        <w:rPr>
          <w:sz w:val="24"/>
          <w:szCs w:val="24"/>
          <w:lang w:val="lt-LT"/>
        </w:rPr>
        <w:t>6</w:t>
      </w:r>
      <w:r w:rsidRPr="007E28D6">
        <w:rPr>
          <w:sz w:val="24"/>
          <w:szCs w:val="24"/>
          <w:lang w:val="lt-LT"/>
        </w:rPr>
        <w:t xml:space="preserve"> pranešimų buvo sunkūs ir </w:t>
      </w:r>
      <w:r w:rsidR="00CA0C33" w:rsidRPr="007E28D6">
        <w:rPr>
          <w:sz w:val="24"/>
          <w:szCs w:val="24"/>
          <w:lang w:val="lt-LT"/>
        </w:rPr>
        <w:t>81</w:t>
      </w:r>
      <w:r w:rsidRPr="007E28D6">
        <w:rPr>
          <w:sz w:val="24"/>
          <w:szCs w:val="24"/>
          <w:lang w:val="lt-LT"/>
        </w:rPr>
        <w:t xml:space="preserve"> nesunk</w:t>
      </w:r>
      <w:r w:rsidR="008D5352">
        <w:rPr>
          <w:sz w:val="24"/>
          <w:szCs w:val="24"/>
          <w:lang w:val="lt-LT"/>
        </w:rPr>
        <w:t>u</w:t>
      </w:r>
      <w:r w:rsidRPr="007E28D6">
        <w:rPr>
          <w:sz w:val="24"/>
          <w:szCs w:val="24"/>
          <w:lang w:val="lt-LT"/>
        </w:rPr>
        <w:t xml:space="preserve">s. Pranešimuose, kurie buvo įvertinti kaip sunkūs, pasireiškė įvairios nepageidaujamos reakcijos, pvz.: vakcinos neveiksmingumas (po skiepo pacientas susirgo liga, nuo kurios buvo skiepytas), </w:t>
      </w:r>
      <w:r w:rsidR="00C95BDD" w:rsidRPr="007E28D6">
        <w:rPr>
          <w:sz w:val="24"/>
          <w:szCs w:val="24"/>
          <w:lang w:val="lt-LT"/>
        </w:rPr>
        <w:t xml:space="preserve">traukuliai, raumenų tonuso praradimas, nevalingi judesiai, judėjimo sutrikimas, išeminis insultas, epilepsija, </w:t>
      </w:r>
      <w:proofErr w:type="spellStart"/>
      <w:r w:rsidR="00C95BDD" w:rsidRPr="007E28D6">
        <w:rPr>
          <w:sz w:val="24"/>
          <w:szCs w:val="24"/>
          <w:lang w:val="lt-LT"/>
        </w:rPr>
        <w:t>hipertenzinė</w:t>
      </w:r>
      <w:proofErr w:type="spellEnd"/>
      <w:r w:rsidR="00C95BDD" w:rsidRPr="007E28D6">
        <w:rPr>
          <w:sz w:val="24"/>
          <w:szCs w:val="24"/>
          <w:lang w:val="lt-LT"/>
        </w:rPr>
        <w:t xml:space="preserve"> širdies liga, </w:t>
      </w:r>
      <w:proofErr w:type="spellStart"/>
      <w:r w:rsidR="00C95BDD" w:rsidRPr="007E28D6">
        <w:rPr>
          <w:sz w:val="24"/>
          <w:szCs w:val="24"/>
          <w:lang w:val="lt-LT"/>
        </w:rPr>
        <w:t>hiperlipidemija</w:t>
      </w:r>
      <w:proofErr w:type="spellEnd"/>
      <w:r w:rsidR="00C95BDD" w:rsidRPr="007E28D6">
        <w:rPr>
          <w:sz w:val="24"/>
          <w:szCs w:val="24"/>
          <w:lang w:val="lt-LT"/>
        </w:rPr>
        <w:t xml:space="preserve"> ir pan</w:t>
      </w:r>
      <w:r w:rsidRPr="007E28D6">
        <w:rPr>
          <w:sz w:val="24"/>
          <w:szCs w:val="24"/>
          <w:lang w:val="lt-LT"/>
        </w:rPr>
        <w:t>.</w:t>
      </w:r>
      <w:r w:rsidR="008F59A5" w:rsidRPr="007E28D6">
        <w:rPr>
          <w:sz w:val="24"/>
          <w:szCs w:val="24"/>
          <w:lang w:val="lt-LT"/>
        </w:rPr>
        <w:t xml:space="preserve"> </w:t>
      </w:r>
      <w:r w:rsidRPr="007E28D6">
        <w:rPr>
          <w:sz w:val="24"/>
          <w:szCs w:val="24"/>
          <w:lang w:val="lt-LT"/>
        </w:rPr>
        <w:t>Nesunkių atvejų pranešimuose dominavo karščiavimas, injekcijos vietos skausmas, patinimas ir paraudimas, silpnumas, bloga</w:t>
      </w:r>
      <w:r w:rsidR="00C95BDD" w:rsidRPr="007E28D6">
        <w:rPr>
          <w:sz w:val="24"/>
          <w:szCs w:val="24"/>
          <w:lang w:val="lt-LT"/>
        </w:rPr>
        <w:t xml:space="preserve"> bendra</w:t>
      </w:r>
      <w:r w:rsidRPr="007E28D6">
        <w:rPr>
          <w:sz w:val="24"/>
          <w:szCs w:val="24"/>
          <w:lang w:val="lt-LT"/>
        </w:rPr>
        <w:t xml:space="preserve"> savijauta, nuovargis, galvos skausmas</w:t>
      </w:r>
      <w:r w:rsidR="00C95BDD" w:rsidRPr="007E28D6">
        <w:rPr>
          <w:sz w:val="24"/>
          <w:szCs w:val="24"/>
          <w:lang w:val="lt-LT"/>
        </w:rPr>
        <w:t xml:space="preserve"> ir svaigimas</w:t>
      </w:r>
      <w:r w:rsidRPr="007E28D6">
        <w:rPr>
          <w:sz w:val="24"/>
          <w:szCs w:val="24"/>
          <w:lang w:val="lt-LT"/>
        </w:rPr>
        <w:t>, rankos skausmas</w:t>
      </w:r>
      <w:r w:rsidR="00C95BDD" w:rsidRPr="007E28D6">
        <w:rPr>
          <w:sz w:val="24"/>
          <w:szCs w:val="24"/>
          <w:lang w:val="lt-LT"/>
        </w:rPr>
        <w:t>, bėrimas</w:t>
      </w:r>
      <w:r w:rsidRPr="007E28D6">
        <w:rPr>
          <w:sz w:val="24"/>
          <w:szCs w:val="24"/>
          <w:lang w:val="lt-LT"/>
        </w:rPr>
        <w:t xml:space="preserve"> ir pan. Beveik visuose pranešimuose nurodyta, kad pacientai patyrė daugiau nei vieną ar dvi nepageidaujamas reakcijas. </w:t>
      </w:r>
      <w:r w:rsidR="000D0531">
        <w:rPr>
          <w:sz w:val="24"/>
          <w:szCs w:val="24"/>
          <w:lang w:val="lt-LT"/>
        </w:rPr>
        <w:t>7</w:t>
      </w:r>
      <w:r w:rsidRPr="007E28D6">
        <w:rPr>
          <w:sz w:val="24"/>
          <w:szCs w:val="24"/>
          <w:lang w:val="lt-LT"/>
        </w:rPr>
        <w:t xml:space="preserve"> lentelėje pateiktas visų 202</w:t>
      </w:r>
      <w:r w:rsidR="00337C51" w:rsidRPr="007E28D6">
        <w:rPr>
          <w:sz w:val="24"/>
          <w:szCs w:val="24"/>
          <w:lang w:val="lt-LT"/>
        </w:rPr>
        <w:t>5</w:t>
      </w:r>
      <w:r w:rsidRPr="007E28D6">
        <w:rPr>
          <w:sz w:val="24"/>
          <w:szCs w:val="24"/>
          <w:lang w:val="lt-LT"/>
        </w:rPr>
        <w:t xml:space="preserve"> m. pasireiškusių nepageidaujamų reakcijų į vakcinas pagal organų klases, skaičius.</w:t>
      </w:r>
    </w:p>
    <w:p w14:paraId="2A9D6496" w14:textId="77777777" w:rsidR="008664C5" w:rsidRPr="00337C51" w:rsidRDefault="008664C5" w:rsidP="00DF22F0">
      <w:pPr>
        <w:pStyle w:val="Betarp"/>
        <w:rPr>
          <w:color w:val="4472C4" w:themeColor="accent5"/>
          <w:sz w:val="24"/>
          <w:szCs w:val="24"/>
          <w:lang w:val="lt-LT"/>
        </w:rPr>
      </w:pPr>
    </w:p>
    <w:p w14:paraId="0626E8DA" w14:textId="7E3230B8" w:rsidR="00DF22F0" w:rsidRDefault="000D0531" w:rsidP="00DF22F0">
      <w:pPr>
        <w:pStyle w:val="Betarp"/>
        <w:rPr>
          <w:b/>
          <w:bCs/>
          <w:sz w:val="24"/>
          <w:szCs w:val="24"/>
          <w:lang w:val="lt-LT"/>
        </w:rPr>
      </w:pPr>
      <w:r>
        <w:rPr>
          <w:b/>
          <w:bCs/>
          <w:sz w:val="24"/>
          <w:szCs w:val="24"/>
          <w:lang w:val="lt-LT"/>
        </w:rPr>
        <w:t>7</w:t>
      </w:r>
      <w:r w:rsidR="00DF22F0" w:rsidRPr="00F01D8D">
        <w:rPr>
          <w:b/>
          <w:bCs/>
          <w:sz w:val="24"/>
          <w:szCs w:val="24"/>
          <w:lang w:val="lt-LT"/>
        </w:rPr>
        <w:t xml:space="preserve"> lentelė. Nepageidaujamos reakcijos pagal organų klases pasireiškusios po vakcinacijos</w:t>
      </w:r>
    </w:p>
    <w:p w14:paraId="788AD937" w14:textId="77777777" w:rsidR="00CD34F3" w:rsidRPr="00F01D8D" w:rsidRDefault="00CD34F3" w:rsidP="00DF22F0">
      <w:pPr>
        <w:pStyle w:val="Betarp"/>
        <w:rPr>
          <w:b/>
          <w:bCs/>
          <w:sz w:val="24"/>
          <w:szCs w:val="24"/>
          <w:lang w:val="lt-LT"/>
        </w:rPr>
      </w:pPr>
    </w:p>
    <w:tbl>
      <w:tblPr>
        <w:tblW w:w="9351" w:type="dxa"/>
        <w:tblLook w:val="04A0" w:firstRow="1" w:lastRow="0" w:firstColumn="1" w:lastColumn="0" w:noHBand="0" w:noVBand="1"/>
      </w:tblPr>
      <w:tblGrid>
        <w:gridCol w:w="6061"/>
        <w:gridCol w:w="3290"/>
      </w:tblGrid>
      <w:tr w:rsidR="00F01D8D" w:rsidRPr="00F01D8D" w14:paraId="016A1DB6" w14:textId="77777777" w:rsidTr="00337C51">
        <w:trPr>
          <w:trHeight w:val="624"/>
        </w:trPr>
        <w:tc>
          <w:tcPr>
            <w:tcW w:w="6061" w:type="dxa"/>
            <w:tcBorders>
              <w:top w:val="single" w:sz="4" w:space="0" w:color="auto"/>
              <w:left w:val="single" w:sz="4" w:space="0" w:color="auto"/>
              <w:bottom w:val="single" w:sz="4" w:space="0" w:color="auto"/>
              <w:right w:val="single" w:sz="4" w:space="0" w:color="auto"/>
            </w:tcBorders>
            <w:vAlign w:val="bottom"/>
            <w:hideMark/>
          </w:tcPr>
          <w:bookmarkEnd w:id="2"/>
          <w:p w14:paraId="5173BA59" w14:textId="77777777" w:rsidR="00337C51" w:rsidRPr="002140F7" w:rsidRDefault="00337C51" w:rsidP="00337C51">
            <w:pPr>
              <w:spacing w:after="0"/>
              <w:rPr>
                <w:rFonts w:eastAsia="Times New Roman" w:cs="Times New Roman"/>
                <w:b/>
                <w:bCs/>
                <w:sz w:val="22"/>
                <w:lang w:val="lt-LT" w:eastAsia="lt-LT"/>
              </w:rPr>
            </w:pPr>
            <w:r w:rsidRPr="002140F7">
              <w:rPr>
                <w:rFonts w:eastAsia="Times New Roman" w:cs="Times New Roman"/>
                <w:b/>
                <w:bCs/>
                <w:sz w:val="22"/>
                <w:lang w:val="lt-LT" w:eastAsia="lt-LT"/>
              </w:rPr>
              <w:t>Visos nepageidaujamos reakcijos pasireiškusios po vakcinacijos pagal organų klasę</w:t>
            </w:r>
          </w:p>
        </w:tc>
        <w:tc>
          <w:tcPr>
            <w:tcW w:w="3290" w:type="dxa"/>
            <w:tcBorders>
              <w:top w:val="single" w:sz="4" w:space="0" w:color="auto"/>
              <w:left w:val="nil"/>
              <w:bottom w:val="single" w:sz="4" w:space="0" w:color="auto"/>
              <w:right w:val="single" w:sz="4" w:space="0" w:color="auto"/>
            </w:tcBorders>
            <w:noWrap/>
            <w:vAlign w:val="center"/>
            <w:hideMark/>
          </w:tcPr>
          <w:p w14:paraId="5FC0C59E" w14:textId="77777777" w:rsidR="00337C51" w:rsidRPr="002140F7" w:rsidRDefault="00337C51" w:rsidP="00337C51">
            <w:pPr>
              <w:spacing w:after="0"/>
              <w:jc w:val="center"/>
              <w:rPr>
                <w:rFonts w:eastAsia="Times New Roman" w:cs="Times New Roman"/>
                <w:b/>
                <w:bCs/>
                <w:sz w:val="22"/>
                <w:lang w:val="lt-LT" w:eastAsia="lt-LT"/>
              </w:rPr>
            </w:pPr>
            <w:r w:rsidRPr="002140F7">
              <w:rPr>
                <w:rFonts w:eastAsia="Times New Roman" w:cs="Times New Roman"/>
                <w:b/>
                <w:bCs/>
                <w:sz w:val="22"/>
                <w:lang w:val="lt-LT" w:eastAsia="lt-LT"/>
              </w:rPr>
              <w:t>Viso reakcijų</w:t>
            </w:r>
          </w:p>
        </w:tc>
      </w:tr>
      <w:tr w:rsidR="00337C51" w:rsidRPr="00337C51" w14:paraId="07394710" w14:textId="77777777" w:rsidTr="00337C51">
        <w:trPr>
          <w:trHeight w:val="312"/>
        </w:trPr>
        <w:tc>
          <w:tcPr>
            <w:tcW w:w="6061" w:type="dxa"/>
            <w:tcBorders>
              <w:top w:val="nil"/>
              <w:left w:val="single" w:sz="4" w:space="0" w:color="auto"/>
              <w:bottom w:val="single" w:sz="4" w:space="0" w:color="auto"/>
              <w:right w:val="single" w:sz="4" w:space="0" w:color="auto"/>
            </w:tcBorders>
            <w:shd w:val="clear" w:color="000000" w:fill="E7E6E6"/>
            <w:noWrap/>
            <w:vAlign w:val="center"/>
            <w:hideMark/>
          </w:tcPr>
          <w:p w14:paraId="5F028464" w14:textId="77777777" w:rsidR="00337C51" w:rsidRPr="002140F7" w:rsidRDefault="00337C51" w:rsidP="00337C51">
            <w:pPr>
              <w:spacing w:after="0"/>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Kraujo ir limfinės sistemos sutrikimai</w:t>
            </w:r>
          </w:p>
        </w:tc>
        <w:tc>
          <w:tcPr>
            <w:tcW w:w="3290" w:type="dxa"/>
            <w:tcBorders>
              <w:top w:val="nil"/>
              <w:left w:val="nil"/>
              <w:bottom w:val="single" w:sz="4" w:space="0" w:color="auto"/>
              <w:right w:val="single" w:sz="4" w:space="0" w:color="auto"/>
            </w:tcBorders>
            <w:shd w:val="clear" w:color="000000" w:fill="E7E6E6"/>
            <w:noWrap/>
            <w:vAlign w:val="bottom"/>
            <w:hideMark/>
          </w:tcPr>
          <w:p w14:paraId="7E9DCFC9"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 </w:t>
            </w:r>
          </w:p>
        </w:tc>
      </w:tr>
      <w:tr w:rsidR="00337C51" w:rsidRPr="00337C51" w14:paraId="24A58449"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3B67D9CD" w14:textId="77777777" w:rsidR="00337C51" w:rsidRPr="002140F7" w:rsidRDefault="00337C51" w:rsidP="00337C51">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Limfadenopatija</w:t>
            </w:r>
            <w:proofErr w:type="spellEnd"/>
          </w:p>
        </w:tc>
        <w:tc>
          <w:tcPr>
            <w:tcW w:w="3290" w:type="dxa"/>
            <w:tcBorders>
              <w:top w:val="nil"/>
              <w:left w:val="nil"/>
              <w:bottom w:val="single" w:sz="4" w:space="0" w:color="auto"/>
              <w:right w:val="single" w:sz="4" w:space="0" w:color="auto"/>
            </w:tcBorders>
            <w:noWrap/>
            <w:vAlign w:val="bottom"/>
            <w:hideMark/>
          </w:tcPr>
          <w:p w14:paraId="1A1B4EAA"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3</w:t>
            </w:r>
          </w:p>
        </w:tc>
      </w:tr>
      <w:tr w:rsidR="00337C51" w:rsidRPr="00337C51" w14:paraId="04900EB1" w14:textId="77777777" w:rsidTr="00337C51">
        <w:trPr>
          <w:trHeight w:val="312"/>
        </w:trPr>
        <w:tc>
          <w:tcPr>
            <w:tcW w:w="6061" w:type="dxa"/>
            <w:tcBorders>
              <w:top w:val="nil"/>
              <w:left w:val="single" w:sz="4" w:space="0" w:color="auto"/>
              <w:bottom w:val="single" w:sz="4" w:space="0" w:color="auto"/>
              <w:right w:val="single" w:sz="4" w:space="0" w:color="auto"/>
            </w:tcBorders>
            <w:shd w:val="clear" w:color="000000" w:fill="E7E6E6"/>
            <w:noWrap/>
            <w:vAlign w:val="center"/>
            <w:hideMark/>
          </w:tcPr>
          <w:p w14:paraId="7CD0A4A8" w14:textId="77777777" w:rsidR="00337C51" w:rsidRPr="002140F7" w:rsidRDefault="00337C51" w:rsidP="00337C51">
            <w:pPr>
              <w:spacing w:after="0"/>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Akių sutrikimai</w:t>
            </w:r>
          </w:p>
        </w:tc>
        <w:tc>
          <w:tcPr>
            <w:tcW w:w="3290" w:type="dxa"/>
            <w:tcBorders>
              <w:top w:val="nil"/>
              <w:left w:val="nil"/>
              <w:bottom w:val="single" w:sz="4" w:space="0" w:color="auto"/>
              <w:right w:val="single" w:sz="4" w:space="0" w:color="auto"/>
            </w:tcBorders>
            <w:shd w:val="clear" w:color="000000" w:fill="E7E6E6"/>
            <w:noWrap/>
            <w:vAlign w:val="bottom"/>
            <w:hideMark/>
          </w:tcPr>
          <w:p w14:paraId="6B49AD73" w14:textId="77777777" w:rsidR="00337C51" w:rsidRPr="002140F7" w:rsidRDefault="00337C51" w:rsidP="00337C51">
            <w:pPr>
              <w:spacing w:after="0"/>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 </w:t>
            </w:r>
          </w:p>
        </w:tc>
      </w:tr>
      <w:tr w:rsidR="00337C51" w:rsidRPr="00337C51" w14:paraId="657ED55C"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25903DCC"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Akių sausumas</w:t>
            </w:r>
          </w:p>
        </w:tc>
        <w:tc>
          <w:tcPr>
            <w:tcW w:w="3290" w:type="dxa"/>
            <w:tcBorders>
              <w:top w:val="nil"/>
              <w:left w:val="nil"/>
              <w:bottom w:val="single" w:sz="4" w:space="0" w:color="auto"/>
              <w:right w:val="single" w:sz="4" w:space="0" w:color="auto"/>
            </w:tcBorders>
            <w:noWrap/>
            <w:vAlign w:val="bottom"/>
            <w:hideMark/>
          </w:tcPr>
          <w:p w14:paraId="299F7601"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w:t>
            </w:r>
          </w:p>
        </w:tc>
      </w:tr>
      <w:tr w:rsidR="00337C51" w:rsidRPr="00337C51" w14:paraId="7EEF3AB0"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4DCC11D3"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Akių judėjimo sutrikimas</w:t>
            </w:r>
          </w:p>
        </w:tc>
        <w:tc>
          <w:tcPr>
            <w:tcW w:w="3290" w:type="dxa"/>
            <w:tcBorders>
              <w:top w:val="nil"/>
              <w:left w:val="nil"/>
              <w:bottom w:val="single" w:sz="4" w:space="0" w:color="auto"/>
              <w:right w:val="single" w:sz="4" w:space="0" w:color="auto"/>
            </w:tcBorders>
            <w:noWrap/>
            <w:vAlign w:val="bottom"/>
            <w:hideMark/>
          </w:tcPr>
          <w:p w14:paraId="28D4989B"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337C51" w14:paraId="4F3748F8" w14:textId="77777777" w:rsidTr="00337C51">
        <w:trPr>
          <w:trHeight w:val="312"/>
        </w:trPr>
        <w:tc>
          <w:tcPr>
            <w:tcW w:w="6061" w:type="dxa"/>
            <w:tcBorders>
              <w:top w:val="nil"/>
              <w:left w:val="single" w:sz="4" w:space="0" w:color="auto"/>
              <w:bottom w:val="single" w:sz="4" w:space="0" w:color="auto"/>
              <w:right w:val="single" w:sz="4" w:space="0" w:color="auto"/>
            </w:tcBorders>
            <w:shd w:val="clear" w:color="000000" w:fill="E7E6E6"/>
            <w:noWrap/>
            <w:vAlign w:val="center"/>
            <w:hideMark/>
          </w:tcPr>
          <w:p w14:paraId="3AAB5D9C" w14:textId="77777777" w:rsidR="00337C51" w:rsidRPr="002140F7" w:rsidRDefault="00337C51" w:rsidP="00337C51">
            <w:pPr>
              <w:spacing w:after="0"/>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Virškinamojo trakto sutrikimai</w:t>
            </w:r>
          </w:p>
        </w:tc>
        <w:tc>
          <w:tcPr>
            <w:tcW w:w="3290" w:type="dxa"/>
            <w:tcBorders>
              <w:top w:val="nil"/>
              <w:left w:val="nil"/>
              <w:bottom w:val="single" w:sz="4" w:space="0" w:color="auto"/>
              <w:right w:val="single" w:sz="4" w:space="0" w:color="auto"/>
            </w:tcBorders>
            <w:shd w:val="clear" w:color="000000" w:fill="E7E6E6"/>
            <w:noWrap/>
            <w:vAlign w:val="bottom"/>
            <w:hideMark/>
          </w:tcPr>
          <w:p w14:paraId="5B330442"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 </w:t>
            </w:r>
          </w:p>
        </w:tc>
      </w:tr>
      <w:tr w:rsidR="00337C51" w:rsidRPr="00337C51" w14:paraId="578C4B56"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16F728A4"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Viduriavimas</w:t>
            </w:r>
          </w:p>
        </w:tc>
        <w:tc>
          <w:tcPr>
            <w:tcW w:w="3290" w:type="dxa"/>
            <w:tcBorders>
              <w:top w:val="nil"/>
              <w:left w:val="nil"/>
              <w:bottom w:val="single" w:sz="4" w:space="0" w:color="auto"/>
              <w:right w:val="single" w:sz="4" w:space="0" w:color="auto"/>
            </w:tcBorders>
            <w:noWrap/>
            <w:vAlign w:val="center"/>
            <w:hideMark/>
          </w:tcPr>
          <w:p w14:paraId="22DEC730"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6</w:t>
            </w:r>
          </w:p>
        </w:tc>
      </w:tr>
      <w:tr w:rsidR="00337C51" w:rsidRPr="00337C51" w14:paraId="3E51A562"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3C330659"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Pykinimas</w:t>
            </w:r>
          </w:p>
        </w:tc>
        <w:tc>
          <w:tcPr>
            <w:tcW w:w="3290" w:type="dxa"/>
            <w:tcBorders>
              <w:top w:val="nil"/>
              <w:left w:val="nil"/>
              <w:bottom w:val="single" w:sz="4" w:space="0" w:color="auto"/>
              <w:right w:val="single" w:sz="4" w:space="0" w:color="auto"/>
            </w:tcBorders>
            <w:noWrap/>
            <w:vAlign w:val="center"/>
            <w:hideMark/>
          </w:tcPr>
          <w:p w14:paraId="0C875196"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5</w:t>
            </w:r>
          </w:p>
        </w:tc>
      </w:tr>
      <w:tr w:rsidR="00337C51" w:rsidRPr="00337C51" w14:paraId="73AE8EA0" w14:textId="77777777" w:rsidTr="002140F7">
        <w:trPr>
          <w:trHeight w:val="312"/>
        </w:trPr>
        <w:tc>
          <w:tcPr>
            <w:tcW w:w="6061" w:type="dxa"/>
            <w:tcBorders>
              <w:top w:val="nil"/>
              <w:left w:val="single" w:sz="4" w:space="0" w:color="auto"/>
              <w:bottom w:val="single" w:sz="4" w:space="0" w:color="auto"/>
              <w:right w:val="single" w:sz="4" w:space="0" w:color="auto"/>
            </w:tcBorders>
            <w:noWrap/>
            <w:vAlign w:val="center"/>
            <w:hideMark/>
          </w:tcPr>
          <w:p w14:paraId="5D427BCA"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Vėmimas</w:t>
            </w:r>
          </w:p>
        </w:tc>
        <w:tc>
          <w:tcPr>
            <w:tcW w:w="3290" w:type="dxa"/>
            <w:tcBorders>
              <w:top w:val="nil"/>
              <w:left w:val="nil"/>
              <w:bottom w:val="single" w:sz="4" w:space="0" w:color="auto"/>
              <w:right w:val="single" w:sz="4" w:space="0" w:color="auto"/>
            </w:tcBorders>
            <w:noWrap/>
            <w:vAlign w:val="center"/>
            <w:hideMark/>
          </w:tcPr>
          <w:p w14:paraId="5A93D065"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w:t>
            </w:r>
          </w:p>
        </w:tc>
      </w:tr>
      <w:tr w:rsidR="00337C51" w:rsidRPr="00337C51" w14:paraId="06D6BFAE" w14:textId="77777777" w:rsidTr="002140F7">
        <w:trPr>
          <w:trHeight w:val="312"/>
        </w:trPr>
        <w:tc>
          <w:tcPr>
            <w:tcW w:w="6061" w:type="dxa"/>
            <w:tcBorders>
              <w:top w:val="single" w:sz="4" w:space="0" w:color="auto"/>
              <w:left w:val="single" w:sz="4" w:space="0" w:color="auto"/>
              <w:bottom w:val="single" w:sz="4" w:space="0" w:color="auto"/>
              <w:right w:val="single" w:sz="4" w:space="0" w:color="auto"/>
            </w:tcBorders>
            <w:noWrap/>
            <w:vAlign w:val="center"/>
            <w:hideMark/>
          </w:tcPr>
          <w:p w14:paraId="0AA28B76"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Liežuvio tinimas</w:t>
            </w:r>
          </w:p>
        </w:tc>
        <w:tc>
          <w:tcPr>
            <w:tcW w:w="3290" w:type="dxa"/>
            <w:tcBorders>
              <w:top w:val="single" w:sz="4" w:space="0" w:color="auto"/>
              <w:left w:val="single" w:sz="4" w:space="0" w:color="auto"/>
              <w:bottom w:val="single" w:sz="4" w:space="0" w:color="auto"/>
              <w:right w:val="single" w:sz="4" w:space="0" w:color="auto"/>
            </w:tcBorders>
            <w:noWrap/>
            <w:vAlign w:val="center"/>
            <w:hideMark/>
          </w:tcPr>
          <w:p w14:paraId="18CCE0BF"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303BF497" w14:textId="77777777" w:rsidTr="002140F7">
        <w:trPr>
          <w:trHeight w:val="312"/>
        </w:trPr>
        <w:tc>
          <w:tcPr>
            <w:tcW w:w="6061" w:type="dxa"/>
            <w:tcBorders>
              <w:top w:val="single" w:sz="4" w:space="0" w:color="auto"/>
              <w:left w:val="single" w:sz="4" w:space="0" w:color="auto"/>
              <w:bottom w:val="single" w:sz="4" w:space="0" w:color="auto"/>
              <w:right w:val="single" w:sz="4" w:space="0" w:color="auto"/>
            </w:tcBorders>
            <w:noWrap/>
            <w:vAlign w:val="center"/>
            <w:hideMark/>
          </w:tcPr>
          <w:p w14:paraId="778423D7"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Burnos sausumas</w:t>
            </w:r>
          </w:p>
        </w:tc>
        <w:tc>
          <w:tcPr>
            <w:tcW w:w="3290" w:type="dxa"/>
            <w:tcBorders>
              <w:top w:val="single" w:sz="4" w:space="0" w:color="auto"/>
              <w:left w:val="single" w:sz="4" w:space="0" w:color="auto"/>
              <w:bottom w:val="single" w:sz="4" w:space="0" w:color="auto"/>
              <w:right w:val="single" w:sz="4" w:space="0" w:color="auto"/>
            </w:tcBorders>
            <w:noWrap/>
            <w:vAlign w:val="center"/>
            <w:hideMark/>
          </w:tcPr>
          <w:p w14:paraId="235FE0B3"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07CB6A3E" w14:textId="77777777" w:rsidTr="002140F7">
        <w:trPr>
          <w:trHeight w:val="312"/>
        </w:trPr>
        <w:tc>
          <w:tcPr>
            <w:tcW w:w="6061" w:type="dxa"/>
            <w:tcBorders>
              <w:top w:val="single" w:sz="4" w:space="0" w:color="auto"/>
              <w:left w:val="single" w:sz="4" w:space="0" w:color="auto"/>
              <w:bottom w:val="single" w:sz="4" w:space="0" w:color="auto"/>
              <w:right w:val="single" w:sz="4" w:space="0" w:color="auto"/>
            </w:tcBorders>
            <w:noWrap/>
            <w:vAlign w:val="center"/>
            <w:hideMark/>
          </w:tcPr>
          <w:p w14:paraId="07231C3A" w14:textId="77777777" w:rsidR="00337C51" w:rsidRPr="002140F7" w:rsidRDefault="00337C51" w:rsidP="00337C51">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Ekmano-Westborgo-Julino</w:t>
            </w:r>
            <w:proofErr w:type="spellEnd"/>
            <w:r w:rsidRPr="002140F7">
              <w:rPr>
                <w:rFonts w:eastAsia="Times New Roman" w:cs="Times New Roman"/>
                <w:color w:val="000000"/>
                <w:sz w:val="22"/>
                <w:lang w:val="lt-LT" w:eastAsia="lt-LT"/>
              </w:rPr>
              <w:t xml:space="preserve"> sindromas</w:t>
            </w:r>
          </w:p>
        </w:tc>
        <w:tc>
          <w:tcPr>
            <w:tcW w:w="3290" w:type="dxa"/>
            <w:tcBorders>
              <w:top w:val="single" w:sz="4" w:space="0" w:color="auto"/>
              <w:left w:val="single" w:sz="4" w:space="0" w:color="auto"/>
              <w:bottom w:val="single" w:sz="4" w:space="0" w:color="auto"/>
              <w:right w:val="single" w:sz="4" w:space="0" w:color="auto"/>
            </w:tcBorders>
            <w:noWrap/>
            <w:vAlign w:val="center"/>
            <w:hideMark/>
          </w:tcPr>
          <w:p w14:paraId="68FE889A" w14:textId="77777777" w:rsidR="00337C51" w:rsidRPr="00CD34F3" w:rsidRDefault="00337C51" w:rsidP="00337C51">
            <w:pPr>
              <w:spacing w:after="0"/>
              <w:jc w:val="center"/>
              <w:rPr>
                <w:rFonts w:ascii="Calibri" w:eastAsia="Times New Roman" w:hAnsi="Calibri" w:cs="Calibri"/>
                <w:color w:val="000000"/>
                <w:sz w:val="22"/>
                <w:lang w:val="lt-LT" w:eastAsia="lt-LT"/>
              </w:rPr>
            </w:pPr>
            <w:r w:rsidRPr="00CD34F3">
              <w:rPr>
                <w:rFonts w:ascii="Calibri" w:eastAsia="Times New Roman" w:hAnsi="Calibri" w:cs="Calibri"/>
                <w:color w:val="000000"/>
                <w:sz w:val="22"/>
                <w:lang w:val="lt-LT" w:eastAsia="lt-LT"/>
              </w:rPr>
              <w:t>1</w:t>
            </w:r>
          </w:p>
        </w:tc>
      </w:tr>
      <w:tr w:rsidR="00337C51" w:rsidRPr="00CD34F3" w14:paraId="7D3777E1" w14:textId="77777777" w:rsidTr="002140F7">
        <w:trPr>
          <w:trHeight w:val="312"/>
        </w:trPr>
        <w:tc>
          <w:tcPr>
            <w:tcW w:w="606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B78E63" w14:textId="77777777" w:rsidR="00337C51" w:rsidRPr="002140F7" w:rsidRDefault="00337C51" w:rsidP="00337C51">
            <w:pPr>
              <w:spacing w:after="0"/>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Bendrieji sutrikimai</w:t>
            </w:r>
          </w:p>
        </w:tc>
        <w:tc>
          <w:tcPr>
            <w:tcW w:w="3290" w:type="dxa"/>
            <w:tcBorders>
              <w:top w:val="single" w:sz="4" w:space="0" w:color="auto"/>
              <w:left w:val="nil"/>
              <w:bottom w:val="single" w:sz="4" w:space="0" w:color="auto"/>
              <w:right w:val="single" w:sz="4" w:space="0" w:color="auto"/>
            </w:tcBorders>
            <w:shd w:val="clear" w:color="000000" w:fill="E7E6E6"/>
            <w:noWrap/>
            <w:vAlign w:val="center"/>
            <w:hideMark/>
          </w:tcPr>
          <w:p w14:paraId="19DE38D8"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 </w:t>
            </w:r>
          </w:p>
        </w:tc>
      </w:tr>
      <w:tr w:rsidR="00337C51" w:rsidRPr="00CD34F3" w14:paraId="22EFA30B"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53FEE288"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Injekcijos vietos skausmas</w:t>
            </w:r>
          </w:p>
        </w:tc>
        <w:tc>
          <w:tcPr>
            <w:tcW w:w="3290" w:type="dxa"/>
            <w:tcBorders>
              <w:top w:val="nil"/>
              <w:left w:val="nil"/>
              <w:bottom w:val="single" w:sz="4" w:space="0" w:color="auto"/>
              <w:right w:val="single" w:sz="4" w:space="0" w:color="auto"/>
            </w:tcBorders>
            <w:noWrap/>
            <w:vAlign w:val="center"/>
            <w:hideMark/>
          </w:tcPr>
          <w:p w14:paraId="7445558B"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33</w:t>
            </w:r>
          </w:p>
        </w:tc>
      </w:tr>
      <w:tr w:rsidR="00337C51" w:rsidRPr="00CD34F3" w14:paraId="18AB7164"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5E4EA60D"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Karščiavimas</w:t>
            </w:r>
          </w:p>
        </w:tc>
        <w:tc>
          <w:tcPr>
            <w:tcW w:w="3290" w:type="dxa"/>
            <w:tcBorders>
              <w:top w:val="nil"/>
              <w:left w:val="nil"/>
              <w:bottom w:val="single" w:sz="4" w:space="0" w:color="auto"/>
              <w:right w:val="single" w:sz="4" w:space="0" w:color="auto"/>
            </w:tcBorders>
            <w:noWrap/>
            <w:vAlign w:val="center"/>
            <w:hideMark/>
          </w:tcPr>
          <w:p w14:paraId="0A451E63"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28</w:t>
            </w:r>
          </w:p>
        </w:tc>
      </w:tr>
      <w:tr w:rsidR="00337C51" w:rsidRPr="00CD34F3" w14:paraId="3C79D614"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0429D05D"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Bendra bloga savijauta</w:t>
            </w:r>
          </w:p>
        </w:tc>
        <w:tc>
          <w:tcPr>
            <w:tcW w:w="3290" w:type="dxa"/>
            <w:tcBorders>
              <w:top w:val="nil"/>
              <w:left w:val="nil"/>
              <w:bottom w:val="single" w:sz="4" w:space="0" w:color="auto"/>
              <w:right w:val="single" w:sz="4" w:space="0" w:color="auto"/>
            </w:tcBorders>
            <w:noWrap/>
            <w:vAlign w:val="center"/>
            <w:hideMark/>
          </w:tcPr>
          <w:p w14:paraId="532B3AC1"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24</w:t>
            </w:r>
          </w:p>
        </w:tc>
      </w:tr>
      <w:tr w:rsidR="00337C51" w:rsidRPr="00CD34F3" w14:paraId="50ED3E4C"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2916A08C"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Injekcijos vietos patinimas</w:t>
            </w:r>
          </w:p>
        </w:tc>
        <w:tc>
          <w:tcPr>
            <w:tcW w:w="3290" w:type="dxa"/>
            <w:tcBorders>
              <w:top w:val="nil"/>
              <w:left w:val="nil"/>
              <w:bottom w:val="single" w:sz="4" w:space="0" w:color="auto"/>
              <w:right w:val="single" w:sz="4" w:space="0" w:color="auto"/>
            </w:tcBorders>
            <w:noWrap/>
            <w:vAlign w:val="center"/>
            <w:hideMark/>
          </w:tcPr>
          <w:p w14:paraId="6419E82F"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20</w:t>
            </w:r>
          </w:p>
        </w:tc>
      </w:tr>
      <w:tr w:rsidR="00337C51" w:rsidRPr="00CD34F3" w14:paraId="2FEC9B37"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387BC0AD"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Rankos skausmas</w:t>
            </w:r>
          </w:p>
        </w:tc>
        <w:tc>
          <w:tcPr>
            <w:tcW w:w="3290" w:type="dxa"/>
            <w:tcBorders>
              <w:top w:val="nil"/>
              <w:left w:val="nil"/>
              <w:bottom w:val="single" w:sz="4" w:space="0" w:color="auto"/>
              <w:right w:val="single" w:sz="4" w:space="0" w:color="auto"/>
            </w:tcBorders>
            <w:noWrap/>
            <w:vAlign w:val="center"/>
            <w:hideMark/>
          </w:tcPr>
          <w:p w14:paraId="7E9B893B"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19</w:t>
            </w:r>
          </w:p>
        </w:tc>
      </w:tr>
      <w:tr w:rsidR="00337C51" w:rsidRPr="00CD34F3" w14:paraId="1FDAAEEF"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230B4D59"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Silpnumas</w:t>
            </w:r>
          </w:p>
        </w:tc>
        <w:tc>
          <w:tcPr>
            <w:tcW w:w="3290" w:type="dxa"/>
            <w:tcBorders>
              <w:top w:val="nil"/>
              <w:left w:val="nil"/>
              <w:bottom w:val="single" w:sz="4" w:space="0" w:color="auto"/>
              <w:right w:val="single" w:sz="4" w:space="0" w:color="auto"/>
            </w:tcBorders>
            <w:noWrap/>
            <w:vAlign w:val="center"/>
            <w:hideMark/>
          </w:tcPr>
          <w:p w14:paraId="03A303F0"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17</w:t>
            </w:r>
          </w:p>
        </w:tc>
      </w:tr>
      <w:tr w:rsidR="00337C51" w:rsidRPr="00CD34F3" w14:paraId="3B57813B"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2375C8C3"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Nuovargis</w:t>
            </w:r>
          </w:p>
        </w:tc>
        <w:tc>
          <w:tcPr>
            <w:tcW w:w="3290" w:type="dxa"/>
            <w:tcBorders>
              <w:top w:val="nil"/>
              <w:left w:val="nil"/>
              <w:bottom w:val="single" w:sz="4" w:space="0" w:color="auto"/>
              <w:right w:val="single" w:sz="4" w:space="0" w:color="auto"/>
            </w:tcBorders>
            <w:noWrap/>
            <w:vAlign w:val="center"/>
            <w:hideMark/>
          </w:tcPr>
          <w:p w14:paraId="78A3B4AE"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13</w:t>
            </w:r>
          </w:p>
        </w:tc>
      </w:tr>
      <w:tr w:rsidR="00337C51" w:rsidRPr="00CD34F3" w14:paraId="45253F04"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27057E64"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Injekcijos vietos paraudimas</w:t>
            </w:r>
          </w:p>
        </w:tc>
        <w:tc>
          <w:tcPr>
            <w:tcW w:w="3290" w:type="dxa"/>
            <w:tcBorders>
              <w:top w:val="nil"/>
              <w:left w:val="nil"/>
              <w:bottom w:val="single" w:sz="4" w:space="0" w:color="auto"/>
              <w:right w:val="single" w:sz="4" w:space="0" w:color="auto"/>
            </w:tcBorders>
            <w:noWrap/>
            <w:vAlign w:val="center"/>
            <w:hideMark/>
          </w:tcPr>
          <w:p w14:paraId="18CE8085"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13</w:t>
            </w:r>
          </w:p>
        </w:tc>
      </w:tr>
      <w:tr w:rsidR="00337C51" w:rsidRPr="00CD34F3" w14:paraId="16E0ABA6"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40EF47FB" w14:textId="77777777" w:rsidR="00337C51" w:rsidRPr="002140F7" w:rsidRDefault="00337C51" w:rsidP="00337C51">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Šaltkrėtis</w:t>
            </w:r>
            <w:proofErr w:type="spellEnd"/>
          </w:p>
        </w:tc>
        <w:tc>
          <w:tcPr>
            <w:tcW w:w="3290" w:type="dxa"/>
            <w:tcBorders>
              <w:top w:val="nil"/>
              <w:left w:val="nil"/>
              <w:bottom w:val="single" w:sz="4" w:space="0" w:color="auto"/>
              <w:right w:val="single" w:sz="4" w:space="0" w:color="auto"/>
            </w:tcBorders>
            <w:noWrap/>
            <w:vAlign w:val="center"/>
            <w:hideMark/>
          </w:tcPr>
          <w:p w14:paraId="36A9459F"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9</w:t>
            </w:r>
          </w:p>
        </w:tc>
      </w:tr>
      <w:tr w:rsidR="00337C51" w:rsidRPr="00CD34F3" w14:paraId="6BFC014E"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4425AC56"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Nepakankamas poveikis</w:t>
            </w:r>
          </w:p>
        </w:tc>
        <w:tc>
          <w:tcPr>
            <w:tcW w:w="3290" w:type="dxa"/>
            <w:tcBorders>
              <w:top w:val="nil"/>
              <w:left w:val="nil"/>
              <w:bottom w:val="single" w:sz="4" w:space="0" w:color="auto"/>
              <w:right w:val="single" w:sz="4" w:space="0" w:color="auto"/>
            </w:tcBorders>
            <w:noWrap/>
            <w:vAlign w:val="center"/>
            <w:hideMark/>
          </w:tcPr>
          <w:p w14:paraId="74513F72"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9</w:t>
            </w:r>
          </w:p>
        </w:tc>
      </w:tr>
      <w:tr w:rsidR="00337C51" w:rsidRPr="00CD34F3" w14:paraId="0B6C27F9" w14:textId="77777777" w:rsidTr="00E4412C">
        <w:trPr>
          <w:trHeight w:val="312"/>
        </w:trPr>
        <w:tc>
          <w:tcPr>
            <w:tcW w:w="6061" w:type="dxa"/>
            <w:tcBorders>
              <w:top w:val="nil"/>
              <w:left w:val="single" w:sz="4" w:space="0" w:color="auto"/>
              <w:bottom w:val="single" w:sz="4" w:space="0" w:color="auto"/>
              <w:right w:val="single" w:sz="4" w:space="0" w:color="auto"/>
            </w:tcBorders>
            <w:noWrap/>
            <w:vAlign w:val="center"/>
            <w:hideMark/>
          </w:tcPr>
          <w:p w14:paraId="3DCB0825"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Injekcijos vietos sukietėjimas</w:t>
            </w:r>
          </w:p>
        </w:tc>
        <w:tc>
          <w:tcPr>
            <w:tcW w:w="3290" w:type="dxa"/>
            <w:tcBorders>
              <w:top w:val="nil"/>
              <w:left w:val="nil"/>
              <w:bottom w:val="single" w:sz="4" w:space="0" w:color="auto"/>
              <w:right w:val="single" w:sz="4" w:space="0" w:color="auto"/>
            </w:tcBorders>
            <w:noWrap/>
            <w:vAlign w:val="center"/>
            <w:hideMark/>
          </w:tcPr>
          <w:p w14:paraId="31044231"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6</w:t>
            </w:r>
          </w:p>
        </w:tc>
      </w:tr>
      <w:tr w:rsidR="00337C51" w:rsidRPr="00CD34F3" w14:paraId="17F2DBDF" w14:textId="77777777" w:rsidTr="00E4412C">
        <w:trPr>
          <w:trHeight w:val="312"/>
        </w:trPr>
        <w:tc>
          <w:tcPr>
            <w:tcW w:w="6061" w:type="dxa"/>
            <w:tcBorders>
              <w:top w:val="single" w:sz="4" w:space="0" w:color="auto"/>
              <w:left w:val="single" w:sz="4" w:space="0" w:color="auto"/>
              <w:bottom w:val="single" w:sz="4" w:space="0" w:color="auto"/>
              <w:right w:val="single" w:sz="4" w:space="0" w:color="auto"/>
            </w:tcBorders>
            <w:noWrap/>
            <w:vAlign w:val="center"/>
            <w:hideMark/>
          </w:tcPr>
          <w:p w14:paraId="4F462A96" w14:textId="77777777" w:rsidR="00337C51" w:rsidRPr="002140F7" w:rsidRDefault="00337C51" w:rsidP="00337C51">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Sufebrili</w:t>
            </w:r>
            <w:proofErr w:type="spellEnd"/>
            <w:r w:rsidRPr="002140F7">
              <w:rPr>
                <w:rFonts w:eastAsia="Times New Roman" w:cs="Times New Roman"/>
                <w:color w:val="000000"/>
                <w:sz w:val="22"/>
                <w:lang w:val="lt-LT" w:eastAsia="lt-LT"/>
              </w:rPr>
              <w:t xml:space="preserve"> temperatūra</w:t>
            </w:r>
          </w:p>
        </w:tc>
        <w:tc>
          <w:tcPr>
            <w:tcW w:w="3290" w:type="dxa"/>
            <w:tcBorders>
              <w:top w:val="single" w:sz="4" w:space="0" w:color="auto"/>
              <w:left w:val="single" w:sz="4" w:space="0" w:color="auto"/>
              <w:bottom w:val="single" w:sz="4" w:space="0" w:color="auto"/>
              <w:right w:val="single" w:sz="4" w:space="0" w:color="auto"/>
            </w:tcBorders>
            <w:noWrap/>
            <w:vAlign w:val="center"/>
            <w:hideMark/>
          </w:tcPr>
          <w:p w14:paraId="51DC9FFF"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5</w:t>
            </w:r>
          </w:p>
        </w:tc>
      </w:tr>
      <w:tr w:rsidR="00337C51" w:rsidRPr="00CD34F3" w14:paraId="7A13C3B1" w14:textId="77777777" w:rsidTr="00E4412C">
        <w:trPr>
          <w:trHeight w:val="312"/>
        </w:trPr>
        <w:tc>
          <w:tcPr>
            <w:tcW w:w="6061" w:type="dxa"/>
            <w:tcBorders>
              <w:top w:val="single" w:sz="4" w:space="0" w:color="auto"/>
              <w:left w:val="single" w:sz="4" w:space="0" w:color="auto"/>
              <w:bottom w:val="single" w:sz="4" w:space="0" w:color="auto"/>
              <w:right w:val="single" w:sz="4" w:space="0" w:color="auto"/>
            </w:tcBorders>
            <w:noWrap/>
            <w:vAlign w:val="center"/>
            <w:hideMark/>
          </w:tcPr>
          <w:p w14:paraId="5AE9B282"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 xml:space="preserve">Injekcijos vietos </w:t>
            </w:r>
            <w:proofErr w:type="spellStart"/>
            <w:r w:rsidRPr="002140F7">
              <w:rPr>
                <w:rFonts w:eastAsia="Times New Roman" w:cs="Times New Roman"/>
                <w:color w:val="000000"/>
                <w:sz w:val="22"/>
                <w:lang w:val="lt-LT" w:eastAsia="lt-LT"/>
              </w:rPr>
              <w:t>eritema</w:t>
            </w:r>
            <w:proofErr w:type="spellEnd"/>
          </w:p>
        </w:tc>
        <w:tc>
          <w:tcPr>
            <w:tcW w:w="3290" w:type="dxa"/>
            <w:tcBorders>
              <w:top w:val="single" w:sz="4" w:space="0" w:color="auto"/>
              <w:left w:val="single" w:sz="4" w:space="0" w:color="auto"/>
              <w:bottom w:val="single" w:sz="4" w:space="0" w:color="auto"/>
              <w:right w:val="single" w:sz="4" w:space="0" w:color="auto"/>
            </w:tcBorders>
            <w:noWrap/>
            <w:vAlign w:val="center"/>
            <w:hideMark/>
          </w:tcPr>
          <w:p w14:paraId="5271FD6B"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5</w:t>
            </w:r>
          </w:p>
        </w:tc>
      </w:tr>
      <w:tr w:rsidR="00337C51" w:rsidRPr="00CD34F3" w14:paraId="3DD5C054" w14:textId="77777777" w:rsidTr="00E4412C">
        <w:trPr>
          <w:trHeight w:val="312"/>
        </w:trPr>
        <w:tc>
          <w:tcPr>
            <w:tcW w:w="6061" w:type="dxa"/>
            <w:tcBorders>
              <w:top w:val="single" w:sz="4" w:space="0" w:color="auto"/>
              <w:left w:val="single" w:sz="4" w:space="0" w:color="auto"/>
              <w:bottom w:val="single" w:sz="4" w:space="0" w:color="auto"/>
              <w:right w:val="single" w:sz="4" w:space="0" w:color="auto"/>
            </w:tcBorders>
            <w:noWrap/>
            <w:vAlign w:val="center"/>
            <w:hideMark/>
          </w:tcPr>
          <w:p w14:paraId="634744A0"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lastRenderedPageBreak/>
              <w:t>Injekcijos vietos niežulys</w:t>
            </w:r>
          </w:p>
        </w:tc>
        <w:tc>
          <w:tcPr>
            <w:tcW w:w="3290" w:type="dxa"/>
            <w:tcBorders>
              <w:top w:val="single" w:sz="4" w:space="0" w:color="auto"/>
              <w:left w:val="single" w:sz="4" w:space="0" w:color="auto"/>
              <w:bottom w:val="single" w:sz="4" w:space="0" w:color="auto"/>
              <w:right w:val="single" w:sz="4" w:space="0" w:color="auto"/>
            </w:tcBorders>
            <w:noWrap/>
            <w:vAlign w:val="center"/>
            <w:hideMark/>
          </w:tcPr>
          <w:p w14:paraId="40209A8C"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w:t>
            </w:r>
          </w:p>
        </w:tc>
      </w:tr>
      <w:tr w:rsidR="00337C51" w:rsidRPr="00CD34F3" w14:paraId="1FC853DD" w14:textId="77777777" w:rsidTr="00E4412C">
        <w:trPr>
          <w:trHeight w:val="312"/>
        </w:trPr>
        <w:tc>
          <w:tcPr>
            <w:tcW w:w="6061" w:type="dxa"/>
            <w:tcBorders>
              <w:top w:val="single" w:sz="4" w:space="0" w:color="auto"/>
              <w:left w:val="single" w:sz="4" w:space="0" w:color="auto"/>
              <w:bottom w:val="single" w:sz="4" w:space="0" w:color="auto"/>
              <w:right w:val="single" w:sz="4" w:space="0" w:color="auto"/>
            </w:tcBorders>
            <w:noWrap/>
            <w:vAlign w:val="center"/>
            <w:hideMark/>
          </w:tcPr>
          <w:p w14:paraId="4C403DB1"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Injekcijos vietos bėrimas</w:t>
            </w:r>
          </w:p>
        </w:tc>
        <w:tc>
          <w:tcPr>
            <w:tcW w:w="3290" w:type="dxa"/>
            <w:tcBorders>
              <w:top w:val="single" w:sz="4" w:space="0" w:color="auto"/>
              <w:left w:val="single" w:sz="4" w:space="0" w:color="auto"/>
              <w:bottom w:val="single" w:sz="4" w:space="0" w:color="auto"/>
              <w:right w:val="single" w:sz="4" w:space="0" w:color="auto"/>
            </w:tcBorders>
            <w:noWrap/>
            <w:vAlign w:val="center"/>
            <w:hideMark/>
          </w:tcPr>
          <w:p w14:paraId="578B8DB6"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68401298" w14:textId="77777777" w:rsidTr="00E4412C">
        <w:trPr>
          <w:trHeight w:val="312"/>
        </w:trPr>
        <w:tc>
          <w:tcPr>
            <w:tcW w:w="6061" w:type="dxa"/>
            <w:tcBorders>
              <w:top w:val="single" w:sz="4" w:space="0" w:color="auto"/>
              <w:left w:val="single" w:sz="4" w:space="0" w:color="auto"/>
              <w:bottom w:val="single" w:sz="4" w:space="0" w:color="auto"/>
              <w:right w:val="single" w:sz="4" w:space="0" w:color="auto"/>
            </w:tcBorders>
            <w:noWrap/>
            <w:vAlign w:val="center"/>
            <w:hideMark/>
          </w:tcPr>
          <w:p w14:paraId="63460978"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Darbingumo sumažėjimas</w:t>
            </w:r>
          </w:p>
        </w:tc>
        <w:tc>
          <w:tcPr>
            <w:tcW w:w="3290" w:type="dxa"/>
            <w:tcBorders>
              <w:top w:val="single" w:sz="4" w:space="0" w:color="auto"/>
              <w:left w:val="single" w:sz="4" w:space="0" w:color="auto"/>
              <w:bottom w:val="single" w:sz="4" w:space="0" w:color="auto"/>
              <w:right w:val="single" w:sz="4" w:space="0" w:color="auto"/>
            </w:tcBorders>
            <w:noWrap/>
            <w:vAlign w:val="center"/>
            <w:hideMark/>
          </w:tcPr>
          <w:p w14:paraId="10E625AD"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5070BDD1" w14:textId="77777777" w:rsidTr="00E4412C">
        <w:trPr>
          <w:trHeight w:val="312"/>
        </w:trPr>
        <w:tc>
          <w:tcPr>
            <w:tcW w:w="6061" w:type="dxa"/>
            <w:tcBorders>
              <w:top w:val="single" w:sz="4" w:space="0" w:color="auto"/>
              <w:left w:val="single" w:sz="4" w:space="0" w:color="auto"/>
              <w:bottom w:val="single" w:sz="4" w:space="0" w:color="auto"/>
              <w:right w:val="single" w:sz="4" w:space="0" w:color="auto"/>
            </w:tcBorders>
            <w:noWrap/>
            <w:vAlign w:val="center"/>
            <w:hideMark/>
          </w:tcPr>
          <w:p w14:paraId="7D164C9F"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Vangumas</w:t>
            </w:r>
          </w:p>
        </w:tc>
        <w:tc>
          <w:tcPr>
            <w:tcW w:w="3290" w:type="dxa"/>
            <w:tcBorders>
              <w:top w:val="single" w:sz="4" w:space="0" w:color="auto"/>
              <w:left w:val="single" w:sz="4" w:space="0" w:color="auto"/>
              <w:bottom w:val="single" w:sz="4" w:space="0" w:color="auto"/>
              <w:right w:val="single" w:sz="4" w:space="0" w:color="auto"/>
            </w:tcBorders>
            <w:noWrap/>
            <w:vAlign w:val="center"/>
            <w:hideMark/>
          </w:tcPr>
          <w:p w14:paraId="5B86762F"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E604FD" w:rsidRPr="00CD34F3" w14:paraId="76CE97C3" w14:textId="77777777" w:rsidTr="00E4412C">
        <w:trPr>
          <w:trHeight w:val="312"/>
        </w:trPr>
        <w:tc>
          <w:tcPr>
            <w:tcW w:w="6061" w:type="dxa"/>
            <w:tcBorders>
              <w:top w:val="single" w:sz="4" w:space="0" w:color="auto"/>
              <w:left w:val="single" w:sz="4" w:space="0" w:color="auto"/>
              <w:bottom w:val="single" w:sz="4" w:space="0" w:color="auto"/>
              <w:right w:val="single" w:sz="4" w:space="0" w:color="auto"/>
            </w:tcBorders>
            <w:noWrap/>
            <w:vAlign w:val="center"/>
          </w:tcPr>
          <w:p w14:paraId="2227B114" w14:textId="0DCD359D" w:rsidR="00E604FD" w:rsidRPr="002140F7" w:rsidRDefault="00E604FD"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Mirtis</w:t>
            </w:r>
          </w:p>
        </w:tc>
        <w:tc>
          <w:tcPr>
            <w:tcW w:w="3290" w:type="dxa"/>
            <w:tcBorders>
              <w:top w:val="single" w:sz="4" w:space="0" w:color="auto"/>
              <w:left w:val="single" w:sz="4" w:space="0" w:color="auto"/>
              <w:bottom w:val="single" w:sz="4" w:space="0" w:color="auto"/>
              <w:right w:val="single" w:sz="4" w:space="0" w:color="auto"/>
            </w:tcBorders>
            <w:noWrap/>
            <w:vAlign w:val="center"/>
          </w:tcPr>
          <w:p w14:paraId="67C11EFC" w14:textId="148E8495" w:rsidR="00E604FD" w:rsidRPr="002140F7" w:rsidRDefault="00E604FD"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3F408C62" w14:textId="77777777" w:rsidTr="00E4412C">
        <w:trPr>
          <w:trHeight w:val="312"/>
        </w:trPr>
        <w:tc>
          <w:tcPr>
            <w:tcW w:w="6061" w:type="dxa"/>
            <w:tcBorders>
              <w:top w:val="single" w:sz="4" w:space="0" w:color="auto"/>
              <w:left w:val="single" w:sz="4" w:space="0" w:color="auto"/>
              <w:bottom w:val="single" w:sz="4" w:space="0" w:color="auto"/>
              <w:right w:val="single" w:sz="4" w:space="0" w:color="auto"/>
            </w:tcBorders>
            <w:noWrap/>
            <w:vAlign w:val="center"/>
            <w:hideMark/>
          </w:tcPr>
          <w:p w14:paraId="102EE57A"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Šąlančios galūnės</w:t>
            </w:r>
          </w:p>
        </w:tc>
        <w:tc>
          <w:tcPr>
            <w:tcW w:w="3290" w:type="dxa"/>
            <w:tcBorders>
              <w:top w:val="single" w:sz="4" w:space="0" w:color="auto"/>
              <w:left w:val="single" w:sz="4" w:space="0" w:color="auto"/>
              <w:bottom w:val="single" w:sz="4" w:space="0" w:color="auto"/>
              <w:right w:val="single" w:sz="4" w:space="0" w:color="auto"/>
            </w:tcBorders>
            <w:noWrap/>
            <w:vAlign w:val="center"/>
            <w:hideMark/>
          </w:tcPr>
          <w:p w14:paraId="72263808"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2F432698" w14:textId="77777777" w:rsidTr="00E4412C">
        <w:trPr>
          <w:trHeight w:val="312"/>
        </w:trPr>
        <w:tc>
          <w:tcPr>
            <w:tcW w:w="606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5660A6" w14:textId="77777777" w:rsidR="00337C51" w:rsidRPr="002140F7" w:rsidRDefault="00337C51" w:rsidP="00337C51">
            <w:pPr>
              <w:spacing w:after="0"/>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Imuninės sistemos sutrikimai</w:t>
            </w:r>
          </w:p>
        </w:tc>
        <w:tc>
          <w:tcPr>
            <w:tcW w:w="32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C67A00" w14:textId="77777777" w:rsidR="00337C51" w:rsidRPr="002140F7" w:rsidRDefault="00337C51" w:rsidP="00337C51">
            <w:pPr>
              <w:spacing w:after="0"/>
              <w:jc w:val="center"/>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 </w:t>
            </w:r>
          </w:p>
        </w:tc>
      </w:tr>
      <w:tr w:rsidR="00337C51" w:rsidRPr="00CD34F3" w14:paraId="0C14209C" w14:textId="77777777" w:rsidTr="00E4412C">
        <w:trPr>
          <w:trHeight w:val="312"/>
        </w:trPr>
        <w:tc>
          <w:tcPr>
            <w:tcW w:w="6061" w:type="dxa"/>
            <w:tcBorders>
              <w:top w:val="single" w:sz="4" w:space="0" w:color="auto"/>
              <w:left w:val="single" w:sz="4" w:space="0" w:color="auto"/>
              <w:bottom w:val="single" w:sz="4" w:space="0" w:color="auto"/>
              <w:right w:val="single" w:sz="4" w:space="0" w:color="auto"/>
            </w:tcBorders>
            <w:noWrap/>
            <w:vAlign w:val="center"/>
            <w:hideMark/>
          </w:tcPr>
          <w:p w14:paraId="3E2C71D5" w14:textId="77777777" w:rsidR="00337C51" w:rsidRPr="002140F7" w:rsidRDefault="00337C51" w:rsidP="00337C51">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Sklerodermija</w:t>
            </w:r>
            <w:proofErr w:type="spellEnd"/>
          </w:p>
        </w:tc>
        <w:tc>
          <w:tcPr>
            <w:tcW w:w="3290" w:type="dxa"/>
            <w:tcBorders>
              <w:top w:val="single" w:sz="4" w:space="0" w:color="auto"/>
              <w:left w:val="nil"/>
              <w:bottom w:val="single" w:sz="4" w:space="0" w:color="auto"/>
              <w:right w:val="single" w:sz="4" w:space="0" w:color="auto"/>
            </w:tcBorders>
            <w:noWrap/>
            <w:vAlign w:val="center"/>
            <w:hideMark/>
          </w:tcPr>
          <w:p w14:paraId="4A17BF56"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5007756E" w14:textId="77777777" w:rsidTr="00337C51">
        <w:trPr>
          <w:trHeight w:val="312"/>
        </w:trPr>
        <w:tc>
          <w:tcPr>
            <w:tcW w:w="6061" w:type="dxa"/>
            <w:tcBorders>
              <w:top w:val="nil"/>
              <w:left w:val="single" w:sz="4" w:space="0" w:color="auto"/>
              <w:bottom w:val="single" w:sz="4" w:space="0" w:color="auto"/>
              <w:right w:val="single" w:sz="4" w:space="0" w:color="auto"/>
            </w:tcBorders>
            <w:shd w:val="clear" w:color="000000" w:fill="E7E6E6"/>
            <w:noWrap/>
            <w:vAlign w:val="center"/>
            <w:hideMark/>
          </w:tcPr>
          <w:p w14:paraId="7B33B664" w14:textId="77777777" w:rsidR="00337C51" w:rsidRPr="002140F7" w:rsidRDefault="00337C51" w:rsidP="00337C51">
            <w:pPr>
              <w:spacing w:after="0"/>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Infekcijos ir užkrėtimai</w:t>
            </w:r>
          </w:p>
        </w:tc>
        <w:tc>
          <w:tcPr>
            <w:tcW w:w="3290" w:type="dxa"/>
            <w:tcBorders>
              <w:top w:val="nil"/>
              <w:left w:val="nil"/>
              <w:bottom w:val="single" w:sz="4" w:space="0" w:color="auto"/>
              <w:right w:val="single" w:sz="4" w:space="0" w:color="auto"/>
            </w:tcBorders>
            <w:shd w:val="clear" w:color="000000" w:fill="E7E6E6"/>
            <w:noWrap/>
            <w:vAlign w:val="center"/>
            <w:hideMark/>
          </w:tcPr>
          <w:p w14:paraId="09E9239A"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 </w:t>
            </w:r>
          </w:p>
        </w:tc>
      </w:tr>
      <w:tr w:rsidR="00337C51" w:rsidRPr="00CD34F3" w14:paraId="78557B60"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4930D66D"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Erkinis virusinis encefalitas</w:t>
            </w:r>
          </w:p>
        </w:tc>
        <w:tc>
          <w:tcPr>
            <w:tcW w:w="3290" w:type="dxa"/>
            <w:tcBorders>
              <w:top w:val="nil"/>
              <w:left w:val="nil"/>
              <w:bottom w:val="single" w:sz="4" w:space="0" w:color="auto"/>
              <w:right w:val="single" w:sz="4" w:space="0" w:color="auto"/>
            </w:tcBorders>
            <w:noWrap/>
            <w:vAlign w:val="center"/>
            <w:hideMark/>
          </w:tcPr>
          <w:p w14:paraId="719EE8CA"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7</w:t>
            </w:r>
          </w:p>
        </w:tc>
      </w:tr>
      <w:tr w:rsidR="00337C51" w:rsidRPr="00CD34F3" w14:paraId="1FAAEE22"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026B0498" w14:textId="77777777" w:rsidR="00337C51" w:rsidRPr="002140F7" w:rsidRDefault="00337C51" w:rsidP="00337C51">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Herpes</w:t>
            </w:r>
            <w:proofErr w:type="spellEnd"/>
            <w:r w:rsidRPr="002140F7">
              <w:rPr>
                <w:rFonts w:eastAsia="Times New Roman" w:cs="Times New Roman"/>
                <w:color w:val="000000"/>
                <w:sz w:val="22"/>
                <w:lang w:val="lt-LT" w:eastAsia="lt-LT"/>
              </w:rPr>
              <w:t xml:space="preserve"> </w:t>
            </w:r>
            <w:proofErr w:type="spellStart"/>
            <w:r w:rsidRPr="002140F7">
              <w:rPr>
                <w:rFonts w:eastAsia="Times New Roman" w:cs="Times New Roman"/>
                <w:color w:val="000000"/>
                <w:sz w:val="22"/>
                <w:lang w:val="lt-LT" w:eastAsia="lt-LT"/>
              </w:rPr>
              <w:t>zoster</w:t>
            </w:r>
            <w:proofErr w:type="spellEnd"/>
          </w:p>
        </w:tc>
        <w:tc>
          <w:tcPr>
            <w:tcW w:w="3290" w:type="dxa"/>
            <w:tcBorders>
              <w:top w:val="nil"/>
              <w:left w:val="nil"/>
              <w:bottom w:val="single" w:sz="4" w:space="0" w:color="auto"/>
              <w:right w:val="single" w:sz="4" w:space="0" w:color="auto"/>
            </w:tcBorders>
            <w:noWrap/>
            <w:vAlign w:val="center"/>
            <w:hideMark/>
          </w:tcPr>
          <w:p w14:paraId="5E9BF24A"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76852A3C"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7B7E5262"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Meningitas</w:t>
            </w:r>
          </w:p>
        </w:tc>
        <w:tc>
          <w:tcPr>
            <w:tcW w:w="3290" w:type="dxa"/>
            <w:tcBorders>
              <w:top w:val="nil"/>
              <w:left w:val="nil"/>
              <w:bottom w:val="single" w:sz="4" w:space="0" w:color="auto"/>
              <w:right w:val="single" w:sz="4" w:space="0" w:color="auto"/>
            </w:tcBorders>
            <w:noWrap/>
            <w:vAlign w:val="center"/>
            <w:hideMark/>
          </w:tcPr>
          <w:p w14:paraId="382B771B"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7F48689C" w14:textId="77777777" w:rsidTr="00337C51">
        <w:trPr>
          <w:trHeight w:val="312"/>
        </w:trPr>
        <w:tc>
          <w:tcPr>
            <w:tcW w:w="6061" w:type="dxa"/>
            <w:tcBorders>
              <w:top w:val="nil"/>
              <w:left w:val="single" w:sz="4" w:space="0" w:color="auto"/>
              <w:bottom w:val="single" w:sz="4" w:space="0" w:color="auto"/>
              <w:right w:val="single" w:sz="4" w:space="0" w:color="auto"/>
            </w:tcBorders>
            <w:shd w:val="clear" w:color="000000" w:fill="E7E6E6"/>
            <w:noWrap/>
            <w:vAlign w:val="center"/>
            <w:hideMark/>
          </w:tcPr>
          <w:p w14:paraId="6DB2416C" w14:textId="77777777" w:rsidR="00337C51" w:rsidRPr="002140F7" w:rsidRDefault="00337C51" w:rsidP="00337C51">
            <w:pPr>
              <w:spacing w:after="0"/>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Metabolizmo ir mitybos sutrikimai</w:t>
            </w:r>
          </w:p>
        </w:tc>
        <w:tc>
          <w:tcPr>
            <w:tcW w:w="3290" w:type="dxa"/>
            <w:tcBorders>
              <w:top w:val="nil"/>
              <w:left w:val="nil"/>
              <w:bottom w:val="single" w:sz="4" w:space="0" w:color="auto"/>
              <w:right w:val="single" w:sz="4" w:space="0" w:color="auto"/>
            </w:tcBorders>
            <w:shd w:val="clear" w:color="000000" w:fill="E7E6E6"/>
            <w:noWrap/>
            <w:vAlign w:val="center"/>
            <w:hideMark/>
          </w:tcPr>
          <w:p w14:paraId="6A84AF5D"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 </w:t>
            </w:r>
          </w:p>
        </w:tc>
      </w:tr>
      <w:tr w:rsidR="00337C51" w:rsidRPr="00CD34F3" w14:paraId="428BEAE9"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17E2231C"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Apetito sumažėjimas</w:t>
            </w:r>
          </w:p>
        </w:tc>
        <w:tc>
          <w:tcPr>
            <w:tcW w:w="3290" w:type="dxa"/>
            <w:tcBorders>
              <w:top w:val="nil"/>
              <w:left w:val="nil"/>
              <w:bottom w:val="single" w:sz="4" w:space="0" w:color="auto"/>
              <w:right w:val="single" w:sz="4" w:space="0" w:color="auto"/>
            </w:tcBorders>
            <w:noWrap/>
            <w:vAlign w:val="center"/>
            <w:hideMark/>
          </w:tcPr>
          <w:p w14:paraId="59699527"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7E7FDB51"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0CBFBC26" w14:textId="77777777" w:rsidR="00337C51" w:rsidRPr="002140F7" w:rsidRDefault="00337C51" w:rsidP="00337C51">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Hiperlipidemija</w:t>
            </w:r>
            <w:proofErr w:type="spellEnd"/>
          </w:p>
        </w:tc>
        <w:tc>
          <w:tcPr>
            <w:tcW w:w="3290" w:type="dxa"/>
            <w:tcBorders>
              <w:top w:val="nil"/>
              <w:left w:val="nil"/>
              <w:bottom w:val="single" w:sz="4" w:space="0" w:color="auto"/>
              <w:right w:val="single" w:sz="4" w:space="0" w:color="auto"/>
            </w:tcBorders>
            <w:noWrap/>
            <w:vAlign w:val="center"/>
            <w:hideMark/>
          </w:tcPr>
          <w:p w14:paraId="32A1A691"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5DD77474" w14:textId="77777777" w:rsidTr="00337C51">
        <w:trPr>
          <w:trHeight w:val="312"/>
        </w:trPr>
        <w:tc>
          <w:tcPr>
            <w:tcW w:w="6061" w:type="dxa"/>
            <w:tcBorders>
              <w:top w:val="nil"/>
              <w:left w:val="single" w:sz="4" w:space="0" w:color="auto"/>
              <w:bottom w:val="single" w:sz="4" w:space="0" w:color="auto"/>
              <w:right w:val="single" w:sz="4" w:space="0" w:color="auto"/>
            </w:tcBorders>
            <w:shd w:val="clear" w:color="000000" w:fill="E7E6E6"/>
            <w:noWrap/>
            <w:vAlign w:val="center"/>
            <w:hideMark/>
          </w:tcPr>
          <w:p w14:paraId="0A0DC00B" w14:textId="77777777" w:rsidR="00337C51" w:rsidRPr="002140F7" w:rsidRDefault="00337C51" w:rsidP="00337C51">
            <w:pPr>
              <w:spacing w:after="0"/>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Skeleto, raumenų ir jungiamojo audinio sutrikimai</w:t>
            </w:r>
          </w:p>
        </w:tc>
        <w:tc>
          <w:tcPr>
            <w:tcW w:w="3290" w:type="dxa"/>
            <w:tcBorders>
              <w:top w:val="nil"/>
              <w:left w:val="nil"/>
              <w:bottom w:val="single" w:sz="4" w:space="0" w:color="auto"/>
              <w:right w:val="single" w:sz="4" w:space="0" w:color="auto"/>
            </w:tcBorders>
            <w:shd w:val="clear" w:color="000000" w:fill="E7E6E6"/>
            <w:noWrap/>
            <w:vAlign w:val="center"/>
            <w:hideMark/>
          </w:tcPr>
          <w:p w14:paraId="4C8D2529"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 </w:t>
            </w:r>
          </w:p>
        </w:tc>
      </w:tr>
      <w:tr w:rsidR="00337C51" w:rsidRPr="00CD34F3" w14:paraId="3269070C"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2D9B68D3"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Raumenų skausmas</w:t>
            </w:r>
          </w:p>
        </w:tc>
        <w:tc>
          <w:tcPr>
            <w:tcW w:w="3290" w:type="dxa"/>
            <w:tcBorders>
              <w:top w:val="nil"/>
              <w:left w:val="nil"/>
              <w:bottom w:val="single" w:sz="4" w:space="0" w:color="auto"/>
              <w:right w:val="single" w:sz="4" w:space="0" w:color="auto"/>
            </w:tcBorders>
            <w:noWrap/>
            <w:vAlign w:val="center"/>
            <w:hideMark/>
          </w:tcPr>
          <w:p w14:paraId="3E112298"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11</w:t>
            </w:r>
          </w:p>
        </w:tc>
      </w:tr>
      <w:tr w:rsidR="00337C51" w:rsidRPr="00CD34F3" w14:paraId="076CFB58"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02402B6F"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Sąnarių skausmas</w:t>
            </w:r>
          </w:p>
        </w:tc>
        <w:tc>
          <w:tcPr>
            <w:tcW w:w="3290" w:type="dxa"/>
            <w:tcBorders>
              <w:top w:val="nil"/>
              <w:left w:val="nil"/>
              <w:bottom w:val="single" w:sz="4" w:space="0" w:color="auto"/>
              <w:right w:val="single" w:sz="4" w:space="0" w:color="auto"/>
            </w:tcBorders>
            <w:noWrap/>
            <w:vAlign w:val="center"/>
            <w:hideMark/>
          </w:tcPr>
          <w:p w14:paraId="72CEED28"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10</w:t>
            </w:r>
          </w:p>
        </w:tc>
      </w:tr>
      <w:tr w:rsidR="00337C51" w:rsidRPr="00CD34F3" w14:paraId="608A3BE5"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7AF3010F"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Kaulų skausmas</w:t>
            </w:r>
          </w:p>
        </w:tc>
        <w:tc>
          <w:tcPr>
            <w:tcW w:w="3290" w:type="dxa"/>
            <w:tcBorders>
              <w:top w:val="nil"/>
              <w:left w:val="nil"/>
              <w:bottom w:val="single" w:sz="4" w:space="0" w:color="auto"/>
              <w:right w:val="single" w:sz="4" w:space="0" w:color="auto"/>
            </w:tcBorders>
            <w:noWrap/>
            <w:vAlign w:val="center"/>
            <w:hideMark/>
          </w:tcPr>
          <w:p w14:paraId="577C8F17"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4</w:t>
            </w:r>
          </w:p>
        </w:tc>
      </w:tr>
      <w:tr w:rsidR="00337C51" w:rsidRPr="00CD34F3" w14:paraId="1757BEA8"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3228B887"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Kaklo skausmas</w:t>
            </w:r>
          </w:p>
        </w:tc>
        <w:tc>
          <w:tcPr>
            <w:tcW w:w="3290" w:type="dxa"/>
            <w:tcBorders>
              <w:top w:val="nil"/>
              <w:left w:val="nil"/>
              <w:bottom w:val="single" w:sz="4" w:space="0" w:color="auto"/>
              <w:right w:val="single" w:sz="4" w:space="0" w:color="auto"/>
            </w:tcBorders>
            <w:noWrap/>
            <w:vAlign w:val="center"/>
            <w:hideMark/>
          </w:tcPr>
          <w:p w14:paraId="5F3BE1F1"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w:t>
            </w:r>
          </w:p>
        </w:tc>
      </w:tr>
      <w:tr w:rsidR="00337C51" w:rsidRPr="00CD34F3" w14:paraId="7214CD54"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1C3A0049"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Hipotonija</w:t>
            </w:r>
          </w:p>
        </w:tc>
        <w:tc>
          <w:tcPr>
            <w:tcW w:w="3290" w:type="dxa"/>
            <w:tcBorders>
              <w:top w:val="nil"/>
              <w:left w:val="nil"/>
              <w:bottom w:val="single" w:sz="4" w:space="0" w:color="auto"/>
              <w:right w:val="single" w:sz="4" w:space="0" w:color="auto"/>
            </w:tcBorders>
            <w:noWrap/>
            <w:vAlign w:val="center"/>
            <w:hideMark/>
          </w:tcPr>
          <w:p w14:paraId="7829AE68"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6A4D04EE"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231611F8"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Žandikaulio skausmas</w:t>
            </w:r>
          </w:p>
        </w:tc>
        <w:tc>
          <w:tcPr>
            <w:tcW w:w="3290" w:type="dxa"/>
            <w:tcBorders>
              <w:top w:val="nil"/>
              <w:left w:val="nil"/>
              <w:bottom w:val="single" w:sz="4" w:space="0" w:color="auto"/>
              <w:right w:val="single" w:sz="4" w:space="0" w:color="auto"/>
            </w:tcBorders>
            <w:noWrap/>
            <w:vAlign w:val="center"/>
            <w:hideMark/>
          </w:tcPr>
          <w:p w14:paraId="20BC13B7"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760050E8"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27C31A2B"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 xml:space="preserve">Peties </w:t>
            </w:r>
            <w:proofErr w:type="spellStart"/>
            <w:r w:rsidRPr="002140F7">
              <w:rPr>
                <w:rFonts w:eastAsia="Times New Roman" w:cs="Times New Roman"/>
                <w:color w:val="000000"/>
                <w:sz w:val="22"/>
                <w:lang w:val="lt-LT" w:eastAsia="lt-LT"/>
              </w:rPr>
              <w:t>kapsulitas</w:t>
            </w:r>
            <w:proofErr w:type="spellEnd"/>
          </w:p>
        </w:tc>
        <w:tc>
          <w:tcPr>
            <w:tcW w:w="3290" w:type="dxa"/>
            <w:tcBorders>
              <w:top w:val="nil"/>
              <w:left w:val="nil"/>
              <w:bottom w:val="single" w:sz="4" w:space="0" w:color="auto"/>
              <w:right w:val="single" w:sz="4" w:space="0" w:color="auto"/>
            </w:tcBorders>
            <w:noWrap/>
            <w:vAlign w:val="center"/>
            <w:hideMark/>
          </w:tcPr>
          <w:p w14:paraId="02CFB931"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048DDA2C"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052CD8C3"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 xml:space="preserve">Raumenų standumas </w:t>
            </w:r>
          </w:p>
        </w:tc>
        <w:tc>
          <w:tcPr>
            <w:tcW w:w="3290" w:type="dxa"/>
            <w:tcBorders>
              <w:top w:val="nil"/>
              <w:left w:val="nil"/>
              <w:bottom w:val="single" w:sz="4" w:space="0" w:color="auto"/>
              <w:right w:val="single" w:sz="4" w:space="0" w:color="auto"/>
            </w:tcBorders>
            <w:noWrap/>
            <w:vAlign w:val="center"/>
            <w:hideMark/>
          </w:tcPr>
          <w:p w14:paraId="24845A6D"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1477BF1F"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50F783E7"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 xml:space="preserve">Mėšlungis </w:t>
            </w:r>
          </w:p>
        </w:tc>
        <w:tc>
          <w:tcPr>
            <w:tcW w:w="3290" w:type="dxa"/>
            <w:tcBorders>
              <w:top w:val="nil"/>
              <w:left w:val="nil"/>
              <w:bottom w:val="single" w:sz="4" w:space="0" w:color="auto"/>
              <w:right w:val="single" w:sz="4" w:space="0" w:color="auto"/>
            </w:tcBorders>
            <w:noWrap/>
            <w:vAlign w:val="center"/>
            <w:hideMark/>
          </w:tcPr>
          <w:p w14:paraId="428C1E6B"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212C3D34"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50EBD058"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Eisenos sutrikimas</w:t>
            </w:r>
          </w:p>
        </w:tc>
        <w:tc>
          <w:tcPr>
            <w:tcW w:w="3290" w:type="dxa"/>
            <w:tcBorders>
              <w:top w:val="nil"/>
              <w:left w:val="nil"/>
              <w:bottom w:val="single" w:sz="4" w:space="0" w:color="auto"/>
              <w:right w:val="single" w:sz="4" w:space="0" w:color="auto"/>
            </w:tcBorders>
            <w:noWrap/>
            <w:vAlign w:val="center"/>
            <w:hideMark/>
          </w:tcPr>
          <w:p w14:paraId="01A48FC6"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4480AA5C" w14:textId="77777777" w:rsidTr="00337C51">
        <w:trPr>
          <w:trHeight w:val="312"/>
        </w:trPr>
        <w:tc>
          <w:tcPr>
            <w:tcW w:w="6061" w:type="dxa"/>
            <w:tcBorders>
              <w:top w:val="nil"/>
              <w:left w:val="single" w:sz="4" w:space="0" w:color="auto"/>
              <w:bottom w:val="single" w:sz="4" w:space="0" w:color="auto"/>
              <w:right w:val="single" w:sz="4" w:space="0" w:color="auto"/>
            </w:tcBorders>
            <w:shd w:val="clear" w:color="000000" w:fill="E7E6E6"/>
            <w:noWrap/>
            <w:vAlign w:val="center"/>
            <w:hideMark/>
          </w:tcPr>
          <w:p w14:paraId="3934B60E" w14:textId="77777777" w:rsidR="00337C51" w:rsidRPr="002140F7" w:rsidRDefault="00337C51" w:rsidP="00337C51">
            <w:pPr>
              <w:spacing w:after="0"/>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Gerybiniai, piktybiniai ir nepatikslinti navikai</w:t>
            </w:r>
          </w:p>
        </w:tc>
        <w:tc>
          <w:tcPr>
            <w:tcW w:w="3290" w:type="dxa"/>
            <w:tcBorders>
              <w:top w:val="nil"/>
              <w:left w:val="nil"/>
              <w:bottom w:val="single" w:sz="4" w:space="0" w:color="auto"/>
              <w:right w:val="single" w:sz="4" w:space="0" w:color="auto"/>
            </w:tcBorders>
            <w:shd w:val="clear" w:color="000000" w:fill="E7E6E6"/>
            <w:noWrap/>
            <w:vAlign w:val="center"/>
            <w:hideMark/>
          </w:tcPr>
          <w:p w14:paraId="363904FA"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 </w:t>
            </w:r>
          </w:p>
        </w:tc>
      </w:tr>
      <w:tr w:rsidR="00337C51" w:rsidRPr="00CD34F3" w14:paraId="43FE23BB"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17146676"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Krūties fibroadenoma</w:t>
            </w:r>
          </w:p>
        </w:tc>
        <w:tc>
          <w:tcPr>
            <w:tcW w:w="3290" w:type="dxa"/>
            <w:tcBorders>
              <w:top w:val="nil"/>
              <w:left w:val="nil"/>
              <w:bottom w:val="single" w:sz="4" w:space="0" w:color="auto"/>
              <w:right w:val="single" w:sz="4" w:space="0" w:color="auto"/>
            </w:tcBorders>
            <w:noWrap/>
            <w:vAlign w:val="center"/>
            <w:hideMark/>
          </w:tcPr>
          <w:p w14:paraId="04AB8AF2"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1289168A" w14:textId="77777777" w:rsidTr="00337C51">
        <w:trPr>
          <w:trHeight w:val="312"/>
        </w:trPr>
        <w:tc>
          <w:tcPr>
            <w:tcW w:w="6061" w:type="dxa"/>
            <w:tcBorders>
              <w:top w:val="nil"/>
              <w:left w:val="single" w:sz="4" w:space="0" w:color="auto"/>
              <w:bottom w:val="single" w:sz="4" w:space="0" w:color="auto"/>
              <w:right w:val="single" w:sz="4" w:space="0" w:color="auto"/>
            </w:tcBorders>
            <w:shd w:val="clear" w:color="000000" w:fill="E7E6E6"/>
            <w:noWrap/>
            <w:vAlign w:val="center"/>
            <w:hideMark/>
          </w:tcPr>
          <w:p w14:paraId="07AD9128" w14:textId="77777777" w:rsidR="00337C51" w:rsidRPr="002140F7" w:rsidRDefault="00337C51" w:rsidP="00337C51">
            <w:pPr>
              <w:spacing w:after="0"/>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Nervų sistemos sutrikimai</w:t>
            </w:r>
          </w:p>
        </w:tc>
        <w:tc>
          <w:tcPr>
            <w:tcW w:w="3290" w:type="dxa"/>
            <w:tcBorders>
              <w:top w:val="nil"/>
              <w:left w:val="nil"/>
              <w:bottom w:val="single" w:sz="4" w:space="0" w:color="auto"/>
              <w:right w:val="single" w:sz="4" w:space="0" w:color="auto"/>
            </w:tcBorders>
            <w:shd w:val="clear" w:color="000000" w:fill="E7E6E6"/>
            <w:noWrap/>
            <w:vAlign w:val="center"/>
            <w:hideMark/>
          </w:tcPr>
          <w:p w14:paraId="28A6654D"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 </w:t>
            </w:r>
          </w:p>
        </w:tc>
      </w:tr>
      <w:tr w:rsidR="00337C51" w:rsidRPr="00CD34F3" w14:paraId="7E685853"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30325E43"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Galvos skausmas</w:t>
            </w:r>
          </w:p>
        </w:tc>
        <w:tc>
          <w:tcPr>
            <w:tcW w:w="3290" w:type="dxa"/>
            <w:tcBorders>
              <w:top w:val="nil"/>
              <w:left w:val="nil"/>
              <w:bottom w:val="single" w:sz="4" w:space="0" w:color="auto"/>
              <w:right w:val="single" w:sz="4" w:space="0" w:color="auto"/>
            </w:tcBorders>
            <w:noWrap/>
            <w:vAlign w:val="center"/>
            <w:hideMark/>
          </w:tcPr>
          <w:p w14:paraId="1756F7AD"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10</w:t>
            </w:r>
          </w:p>
        </w:tc>
      </w:tr>
      <w:tr w:rsidR="00337C51" w:rsidRPr="00CD34F3" w14:paraId="7B1213D9"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04115600"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Galvos svaigimas</w:t>
            </w:r>
          </w:p>
        </w:tc>
        <w:tc>
          <w:tcPr>
            <w:tcW w:w="3290" w:type="dxa"/>
            <w:tcBorders>
              <w:top w:val="nil"/>
              <w:left w:val="nil"/>
              <w:bottom w:val="single" w:sz="4" w:space="0" w:color="auto"/>
              <w:right w:val="single" w:sz="4" w:space="0" w:color="auto"/>
            </w:tcBorders>
            <w:noWrap/>
            <w:vAlign w:val="center"/>
            <w:hideMark/>
          </w:tcPr>
          <w:p w14:paraId="281CFC91"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6</w:t>
            </w:r>
          </w:p>
        </w:tc>
      </w:tr>
      <w:tr w:rsidR="00337C51" w:rsidRPr="00CD34F3" w14:paraId="365CEBDB"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7F906F7A"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Traukuliai</w:t>
            </w:r>
          </w:p>
        </w:tc>
        <w:tc>
          <w:tcPr>
            <w:tcW w:w="3290" w:type="dxa"/>
            <w:tcBorders>
              <w:top w:val="nil"/>
              <w:left w:val="nil"/>
              <w:bottom w:val="single" w:sz="4" w:space="0" w:color="auto"/>
              <w:right w:val="single" w:sz="4" w:space="0" w:color="auto"/>
            </w:tcBorders>
            <w:noWrap/>
            <w:vAlign w:val="center"/>
            <w:hideMark/>
          </w:tcPr>
          <w:p w14:paraId="6311A111"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3</w:t>
            </w:r>
          </w:p>
        </w:tc>
      </w:tr>
      <w:tr w:rsidR="00337C51" w:rsidRPr="00CD34F3" w14:paraId="48D1C29B"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25D112DE"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Tremoras</w:t>
            </w:r>
          </w:p>
        </w:tc>
        <w:tc>
          <w:tcPr>
            <w:tcW w:w="3290" w:type="dxa"/>
            <w:tcBorders>
              <w:top w:val="nil"/>
              <w:left w:val="nil"/>
              <w:bottom w:val="single" w:sz="4" w:space="0" w:color="auto"/>
              <w:right w:val="single" w:sz="4" w:space="0" w:color="auto"/>
            </w:tcBorders>
            <w:noWrap/>
            <w:vAlign w:val="center"/>
            <w:hideMark/>
          </w:tcPr>
          <w:p w14:paraId="60CD8E1C"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w:t>
            </w:r>
          </w:p>
        </w:tc>
      </w:tr>
      <w:tr w:rsidR="00337C51" w:rsidRPr="00CD34F3" w14:paraId="4FFD05DD"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32238682"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Klykimas</w:t>
            </w:r>
          </w:p>
        </w:tc>
        <w:tc>
          <w:tcPr>
            <w:tcW w:w="3290" w:type="dxa"/>
            <w:tcBorders>
              <w:top w:val="nil"/>
              <w:left w:val="nil"/>
              <w:bottom w:val="single" w:sz="4" w:space="0" w:color="auto"/>
              <w:right w:val="single" w:sz="4" w:space="0" w:color="auto"/>
            </w:tcBorders>
            <w:noWrap/>
            <w:vAlign w:val="center"/>
            <w:hideMark/>
          </w:tcPr>
          <w:p w14:paraId="17EBE6AC"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w:t>
            </w:r>
          </w:p>
        </w:tc>
      </w:tr>
      <w:tr w:rsidR="00337C51" w:rsidRPr="00CD34F3" w14:paraId="4FBFCDBA"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38D6BDA9" w14:textId="77777777" w:rsidR="00337C51" w:rsidRPr="002140F7" w:rsidRDefault="00337C51" w:rsidP="00337C51">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Hipestezija</w:t>
            </w:r>
            <w:proofErr w:type="spellEnd"/>
          </w:p>
        </w:tc>
        <w:tc>
          <w:tcPr>
            <w:tcW w:w="3290" w:type="dxa"/>
            <w:tcBorders>
              <w:top w:val="nil"/>
              <w:left w:val="nil"/>
              <w:bottom w:val="single" w:sz="4" w:space="0" w:color="auto"/>
              <w:right w:val="single" w:sz="4" w:space="0" w:color="auto"/>
            </w:tcBorders>
            <w:noWrap/>
            <w:vAlign w:val="center"/>
            <w:hideMark/>
          </w:tcPr>
          <w:p w14:paraId="2136D616"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w:t>
            </w:r>
          </w:p>
        </w:tc>
      </w:tr>
      <w:tr w:rsidR="00337C51" w:rsidRPr="00CD34F3" w14:paraId="4689AAF2"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0C443A35" w14:textId="77777777" w:rsidR="00337C51" w:rsidRPr="002140F7" w:rsidRDefault="00337C51" w:rsidP="00337C51">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Diskinezija</w:t>
            </w:r>
            <w:proofErr w:type="spellEnd"/>
          </w:p>
        </w:tc>
        <w:tc>
          <w:tcPr>
            <w:tcW w:w="3290" w:type="dxa"/>
            <w:tcBorders>
              <w:top w:val="nil"/>
              <w:left w:val="nil"/>
              <w:bottom w:val="single" w:sz="4" w:space="0" w:color="auto"/>
              <w:right w:val="single" w:sz="4" w:space="0" w:color="auto"/>
            </w:tcBorders>
            <w:noWrap/>
            <w:vAlign w:val="center"/>
            <w:hideMark/>
          </w:tcPr>
          <w:p w14:paraId="3079AA5E"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236CEA7C"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2A6FD4BE"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Mieguistumas</w:t>
            </w:r>
          </w:p>
        </w:tc>
        <w:tc>
          <w:tcPr>
            <w:tcW w:w="3290" w:type="dxa"/>
            <w:tcBorders>
              <w:top w:val="nil"/>
              <w:left w:val="nil"/>
              <w:bottom w:val="single" w:sz="4" w:space="0" w:color="auto"/>
              <w:right w:val="single" w:sz="4" w:space="0" w:color="auto"/>
            </w:tcBorders>
            <w:noWrap/>
            <w:vAlign w:val="center"/>
            <w:hideMark/>
          </w:tcPr>
          <w:p w14:paraId="1F4133CC"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52B56B6F"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246C5491"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Epilepsija</w:t>
            </w:r>
          </w:p>
        </w:tc>
        <w:tc>
          <w:tcPr>
            <w:tcW w:w="3290" w:type="dxa"/>
            <w:tcBorders>
              <w:top w:val="nil"/>
              <w:left w:val="nil"/>
              <w:bottom w:val="single" w:sz="4" w:space="0" w:color="auto"/>
              <w:right w:val="single" w:sz="4" w:space="0" w:color="auto"/>
            </w:tcBorders>
            <w:noWrap/>
            <w:vAlign w:val="center"/>
            <w:hideMark/>
          </w:tcPr>
          <w:p w14:paraId="6AF4F705"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1D38CA6A"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14E75B77"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Dezorientacija</w:t>
            </w:r>
          </w:p>
        </w:tc>
        <w:tc>
          <w:tcPr>
            <w:tcW w:w="3290" w:type="dxa"/>
            <w:tcBorders>
              <w:top w:val="nil"/>
              <w:left w:val="nil"/>
              <w:bottom w:val="single" w:sz="4" w:space="0" w:color="auto"/>
              <w:right w:val="single" w:sz="4" w:space="0" w:color="auto"/>
            </w:tcBorders>
            <w:noWrap/>
            <w:vAlign w:val="center"/>
            <w:hideMark/>
          </w:tcPr>
          <w:p w14:paraId="0AACAB6A"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60A33E83"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26BA143C"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Sutrikusi motorika</w:t>
            </w:r>
          </w:p>
        </w:tc>
        <w:tc>
          <w:tcPr>
            <w:tcW w:w="3290" w:type="dxa"/>
            <w:tcBorders>
              <w:top w:val="nil"/>
              <w:left w:val="nil"/>
              <w:bottom w:val="single" w:sz="4" w:space="0" w:color="auto"/>
              <w:right w:val="single" w:sz="4" w:space="0" w:color="auto"/>
            </w:tcBorders>
            <w:noWrap/>
            <w:vAlign w:val="center"/>
            <w:hideMark/>
          </w:tcPr>
          <w:p w14:paraId="4BA6FF76"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71842107"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71A20FF6"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Nerimas</w:t>
            </w:r>
          </w:p>
        </w:tc>
        <w:tc>
          <w:tcPr>
            <w:tcW w:w="3290" w:type="dxa"/>
            <w:tcBorders>
              <w:top w:val="nil"/>
              <w:left w:val="nil"/>
              <w:bottom w:val="single" w:sz="4" w:space="0" w:color="auto"/>
              <w:right w:val="single" w:sz="4" w:space="0" w:color="auto"/>
            </w:tcBorders>
            <w:noWrap/>
            <w:vAlign w:val="center"/>
            <w:hideMark/>
          </w:tcPr>
          <w:p w14:paraId="714B518A"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3BF00D87" w14:textId="77777777" w:rsidTr="00E4412C">
        <w:trPr>
          <w:trHeight w:val="312"/>
        </w:trPr>
        <w:tc>
          <w:tcPr>
            <w:tcW w:w="6061" w:type="dxa"/>
            <w:tcBorders>
              <w:top w:val="nil"/>
              <w:left w:val="single" w:sz="4" w:space="0" w:color="auto"/>
              <w:bottom w:val="single" w:sz="4" w:space="0" w:color="auto"/>
              <w:right w:val="single" w:sz="4" w:space="0" w:color="auto"/>
            </w:tcBorders>
            <w:noWrap/>
            <w:vAlign w:val="center"/>
            <w:hideMark/>
          </w:tcPr>
          <w:p w14:paraId="74F3FA28"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Nervingumas</w:t>
            </w:r>
          </w:p>
        </w:tc>
        <w:tc>
          <w:tcPr>
            <w:tcW w:w="3290" w:type="dxa"/>
            <w:tcBorders>
              <w:top w:val="nil"/>
              <w:left w:val="nil"/>
              <w:bottom w:val="single" w:sz="4" w:space="0" w:color="auto"/>
              <w:right w:val="single" w:sz="4" w:space="0" w:color="auto"/>
            </w:tcBorders>
            <w:noWrap/>
            <w:vAlign w:val="center"/>
            <w:hideMark/>
          </w:tcPr>
          <w:p w14:paraId="4ED0D108"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301A09DD" w14:textId="77777777" w:rsidTr="00E4412C">
        <w:trPr>
          <w:trHeight w:val="312"/>
        </w:trPr>
        <w:tc>
          <w:tcPr>
            <w:tcW w:w="606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43C3EC" w14:textId="77777777" w:rsidR="00337C51" w:rsidRPr="00825C36" w:rsidRDefault="00337C51" w:rsidP="00337C51">
            <w:pPr>
              <w:spacing w:after="0"/>
              <w:rPr>
                <w:rFonts w:eastAsia="Times New Roman" w:cs="Times New Roman"/>
                <w:b/>
                <w:bCs/>
                <w:color w:val="000000"/>
                <w:sz w:val="22"/>
                <w:lang w:val="lt-LT" w:eastAsia="lt-LT"/>
              </w:rPr>
            </w:pPr>
            <w:r w:rsidRPr="00825C36">
              <w:rPr>
                <w:rFonts w:eastAsia="Times New Roman" w:cs="Times New Roman"/>
                <w:b/>
                <w:bCs/>
                <w:color w:val="000000"/>
                <w:sz w:val="22"/>
                <w:lang w:val="lt-LT" w:eastAsia="lt-LT"/>
              </w:rPr>
              <w:t>Psichikos sutrikimai</w:t>
            </w:r>
          </w:p>
        </w:tc>
        <w:tc>
          <w:tcPr>
            <w:tcW w:w="32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BFD9F9" w14:textId="77777777" w:rsidR="00337C51" w:rsidRPr="00825C36" w:rsidRDefault="00337C51" w:rsidP="00337C51">
            <w:pPr>
              <w:spacing w:after="0"/>
              <w:jc w:val="center"/>
              <w:rPr>
                <w:rFonts w:eastAsia="Times New Roman" w:cs="Times New Roman"/>
                <w:b/>
                <w:bCs/>
                <w:color w:val="000000"/>
                <w:sz w:val="22"/>
                <w:lang w:val="lt-LT" w:eastAsia="lt-LT"/>
              </w:rPr>
            </w:pPr>
            <w:r w:rsidRPr="00825C36">
              <w:rPr>
                <w:rFonts w:eastAsia="Times New Roman" w:cs="Times New Roman"/>
                <w:b/>
                <w:bCs/>
                <w:color w:val="000000"/>
                <w:sz w:val="22"/>
                <w:lang w:val="lt-LT" w:eastAsia="lt-LT"/>
              </w:rPr>
              <w:t> </w:t>
            </w:r>
          </w:p>
        </w:tc>
      </w:tr>
      <w:tr w:rsidR="00337C51" w:rsidRPr="00CD34F3" w14:paraId="213FC12F" w14:textId="77777777" w:rsidTr="00E4412C">
        <w:trPr>
          <w:trHeight w:val="312"/>
        </w:trPr>
        <w:tc>
          <w:tcPr>
            <w:tcW w:w="6061" w:type="dxa"/>
            <w:tcBorders>
              <w:top w:val="single" w:sz="4" w:space="0" w:color="auto"/>
              <w:left w:val="single" w:sz="4" w:space="0" w:color="auto"/>
              <w:bottom w:val="single" w:sz="4" w:space="0" w:color="auto"/>
              <w:right w:val="single" w:sz="4" w:space="0" w:color="auto"/>
            </w:tcBorders>
            <w:noWrap/>
            <w:vAlign w:val="center"/>
            <w:hideMark/>
          </w:tcPr>
          <w:p w14:paraId="71F93D0C" w14:textId="77777777" w:rsidR="00337C51" w:rsidRPr="00825C36" w:rsidRDefault="00337C51" w:rsidP="00337C51">
            <w:pPr>
              <w:spacing w:after="0"/>
              <w:rPr>
                <w:rFonts w:eastAsia="Times New Roman" w:cs="Times New Roman"/>
                <w:color w:val="000000"/>
                <w:sz w:val="22"/>
                <w:lang w:val="lt-LT" w:eastAsia="lt-LT"/>
              </w:rPr>
            </w:pPr>
            <w:r w:rsidRPr="00825C36">
              <w:rPr>
                <w:rFonts w:eastAsia="Times New Roman" w:cs="Times New Roman"/>
                <w:color w:val="000000"/>
                <w:sz w:val="22"/>
                <w:lang w:val="lt-LT" w:eastAsia="lt-LT"/>
              </w:rPr>
              <w:t>Irzlumas</w:t>
            </w:r>
          </w:p>
        </w:tc>
        <w:tc>
          <w:tcPr>
            <w:tcW w:w="3290" w:type="dxa"/>
            <w:tcBorders>
              <w:top w:val="single" w:sz="4" w:space="0" w:color="auto"/>
              <w:left w:val="single" w:sz="4" w:space="0" w:color="auto"/>
              <w:bottom w:val="single" w:sz="4" w:space="0" w:color="auto"/>
              <w:right w:val="single" w:sz="4" w:space="0" w:color="auto"/>
            </w:tcBorders>
            <w:noWrap/>
            <w:vAlign w:val="center"/>
            <w:hideMark/>
          </w:tcPr>
          <w:p w14:paraId="01A7E66E" w14:textId="77777777" w:rsidR="00337C51" w:rsidRPr="00825C36" w:rsidRDefault="00337C51" w:rsidP="00337C51">
            <w:pPr>
              <w:spacing w:after="0"/>
              <w:jc w:val="center"/>
              <w:rPr>
                <w:rFonts w:eastAsia="Times New Roman" w:cs="Times New Roman"/>
                <w:color w:val="000000"/>
                <w:sz w:val="22"/>
                <w:lang w:val="lt-LT" w:eastAsia="lt-LT"/>
              </w:rPr>
            </w:pPr>
            <w:r w:rsidRPr="00825C36">
              <w:rPr>
                <w:rFonts w:eastAsia="Times New Roman" w:cs="Times New Roman"/>
                <w:color w:val="000000"/>
                <w:sz w:val="22"/>
                <w:lang w:val="lt-LT" w:eastAsia="lt-LT"/>
              </w:rPr>
              <w:t>2</w:t>
            </w:r>
          </w:p>
        </w:tc>
      </w:tr>
      <w:tr w:rsidR="00337C51" w:rsidRPr="00CD34F3" w14:paraId="525C5513" w14:textId="77777777" w:rsidTr="00E4412C">
        <w:trPr>
          <w:trHeight w:val="312"/>
        </w:trPr>
        <w:tc>
          <w:tcPr>
            <w:tcW w:w="6061" w:type="dxa"/>
            <w:tcBorders>
              <w:top w:val="single" w:sz="4" w:space="0" w:color="auto"/>
              <w:left w:val="single" w:sz="4" w:space="0" w:color="auto"/>
              <w:bottom w:val="single" w:sz="4" w:space="0" w:color="auto"/>
              <w:right w:val="single" w:sz="4" w:space="0" w:color="auto"/>
            </w:tcBorders>
            <w:noWrap/>
            <w:vAlign w:val="bottom"/>
            <w:hideMark/>
          </w:tcPr>
          <w:p w14:paraId="25E2FCE5" w14:textId="77777777" w:rsidR="00337C51" w:rsidRPr="00E4412C" w:rsidRDefault="00337C51" w:rsidP="00337C51">
            <w:pPr>
              <w:spacing w:after="0"/>
              <w:rPr>
                <w:rFonts w:eastAsia="Times New Roman" w:cs="Times New Roman"/>
                <w:color w:val="000000"/>
                <w:sz w:val="22"/>
                <w:lang w:val="lt-LT" w:eastAsia="lt-LT"/>
              </w:rPr>
            </w:pPr>
            <w:proofErr w:type="spellStart"/>
            <w:r w:rsidRPr="00E4412C">
              <w:rPr>
                <w:rFonts w:eastAsia="Times New Roman" w:cs="Times New Roman"/>
                <w:color w:val="000000"/>
                <w:sz w:val="22"/>
                <w:lang w:val="lt-LT" w:eastAsia="lt-LT"/>
              </w:rPr>
              <w:lastRenderedPageBreak/>
              <w:t>Verksmingumas</w:t>
            </w:r>
            <w:proofErr w:type="spellEnd"/>
          </w:p>
        </w:tc>
        <w:tc>
          <w:tcPr>
            <w:tcW w:w="3290" w:type="dxa"/>
            <w:tcBorders>
              <w:top w:val="single" w:sz="4" w:space="0" w:color="auto"/>
              <w:left w:val="single" w:sz="4" w:space="0" w:color="auto"/>
              <w:bottom w:val="single" w:sz="4" w:space="0" w:color="auto"/>
              <w:right w:val="single" w:sz="4" w:space="0" w:color="auto"/>
            </w:tcBorders>
            <w:noWrap/>
            <w:vAlign w:val="center"/>
            <w:hideMark/>
          </w:tcPr>
          <w:p w14:paraId="100CB3D9" w14:textId="77777777" w:rsidR="00337C51" w:rsidRPr="00825C36" w:rsidRDefault="00337C51" w:rsidP="00337C51">
            <w:pPr>
              <w:spacing w:after="0"/>
              <w:jc w:val="center"/>
              <w:rPr>
                <w:rFonts w:eastAsia="Times New Roman" w:cs="Times New Roman"/>
                <w:color w:val="000000"/>
                <w:sz w:val="22"/>
                <w:lang w:val="lt-LT" w:eastAsia="lt-LT"/>
              </w:rPr>
            </w:pPr>
            <w:r w:rsidRPr="00825C36">
              <w:rPr>
                <w:rFonts w:eastAsia="Times New Roman" w:cs="Times New Roman"/>
                <w:color w:val="000000"/>
                <w:sz w:val="22"/>
                <w:lang w:val="lt-LT" w:eastAsia="lt-LT"/>
              </w:rPr>
              <w:t>2</w:t>
            </w:r>
          </w:p>
        </w:tc>
      </w:tr>
      <w:tr w:rsidR="00337C51" w:rsidRPr="00CD34F3" w14:paraId="63A7A2FB" w14:textId="77777777" w:rsidTr="00E4412C">
        <w:trPr>
          <w:trHeight w:val="312"/>
        </w:trPr>
        <w:tc>
          <w:tcPr>
            <w:tcW w:w="606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B3895CD" w14:textId="77777777" w:rsidR="00337C51" w:rsidRPr="002140F7" w:rsidRDefault="00337C51" w:rsidP="00337C51">
            <w:pPr>
              <w:spacing w:after="0"/>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Reprodukcinės sistemos ir krūtų sutrikimai</w:t>
            </w:r>
          </w:p>
        </w:tc>
        <w:tc>
          <w:tcPr>
            <w:tcW w:w="3290" w:type="dxa"/>
            <w:tcBorders>
              <w:top w:val="single" w:sz="4" w:space="0" w:color="auto"/>
              <w:left w:val="nil"/>
              <w:bottom w:val="single" w:sz="4" w:space="0" w:color="auto"/>
              <w:right w:val="single" w:sz="4" w:space="0" w:color="auto"/>
            </w:tcBorders>
            <w:shd w:val="clear" w:color="000000" w:fill="E7E6E6"/>
            <w:noWrap/>
            <w:vAlign w:val="center"/>
            <w:hideMark/>
          </w:tcPr>
          <w:p w14:paraId="04D7BE2E"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 </w:t>
            </w:r>
          </w:p>
        </w:tc>
      </w:tr>
      <w:tr w:rsidR="00337C51" w:rsidRPr="00CD34F3" w14:paraId="30ACDF84"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312460D5"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Genitalijų sausumas</w:t>
            </w:r>
          </w:p>
        </w:tc>
        <w:tc>
          <w:tcPr>
            <w:tcW w:w="3290" w:type="dxa"/>
            <w:tcBorders>
              <w:top w:val="nil"/>
              <w:left w:val="nil"/>
              <w:bottom w:val="single" w:sz="4" w:space="0" w:color="auto"/>
              <w:right w:val="single" w:sz="4" w:space="0" w:color="auto"/>
            </w:tcBorders>
            <w:noWrap/>
            <w:vAlign w:val="center"/>
            <w:hideMark/>
          </w:tcPr>
          <w:p w14:paraId="5BA3A990"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4BD884F8" w14:textId="77777777" w:rsidTr="00337C51">
        <w:trPr>
          <w:trHeight w:val="312"/>
        </w:trPr>
        <w:tc>
          <w:tcPr>
            <w:tcW w:w="6061" w:type="dxa"/>
            <w:tcBorders>
              <w:top w:val="nil"/>
              <w:left w:val="single" w:sz="4" w:space="0" w:color="auto"/>
              <w:bottom w:val="single" w:sz="4" w:space="0" w:color="auto"/>
              <w:right w:val="single" w:sz="4" w:space="0" w:color="auto"/>
            </w:tcBorders>
            <w:shd w:val="clear" w:color="000000" w:fill="E7E6E6"/>
            <w:noWrap/>
            <w:vAlign w:val="center"/>
            <w:hideMark/>
          </w:tcPr>
          <w:p w14:paraId="73079B80" w14:textId="77777777" w:rsidR="00337C51" w:rsidRPr="002140F7" w:rsidRDefault="00337C51" w:rsidP="00337C51">
            <w:pPr>
              <w:spacing w:after="0"/>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Kvėpavimo sistemos, krūtinės ląstos ir tarpuplaučio sutrikimai</w:t>
            </w:r>
          </w:p>
        </w:tc>
        <w:tc>
          <w:tcPr>
            <w:tcW w:w="3290" w:type="dxa"/>
            <w:tcBorders>
              <w:top w:val="nil"/>
              <w:left w:val="nil"/>
              <w:bottom w:val="single" w:sz="4" w:space="0" w:color="auto"/>
              <w:right w:val="single" w:sz="4" w:space="0" w:color="auto"/>
            </w:tcBorders>
            <w:shd w:val="clear" w:color="000000" w:fill="E7E6E6"/>
            <w:noWrap/>
            <w:vAlign w:val="center"/>
            <w:hideMark/>
          </w:tcPr>
          <w:p w14:paraId="05E56175"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 </w:t>
            </w:r>
          </w:p>
        </w:tc>
      </w:tr>
      <w:tr w:rsidR="00337C51" w:rsidRPr="00CD34F3" w14:paraId="7A7ED0F1"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4C71F22A"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Gripo simptomai</w:t>
            </w:r>
          </w:p>
        </w:tc>
        <w:tc>
          <w:tcPr>
            <w:tcW w:w="3290" w:type="dxa"/>
            <w:tcBorders>
              <w:top w:val="nil"/>
              <w:left w:val="nil"/>
              <w:bottom w:val="single" w:sz="4" w:space="0" w:color="auto"/>
              <w:right w:val="single" w:sz="4" w:space="0" w:color="auto"/>
            </w:tcBorders>
            <w:noWrap/>
            <w:vAlign w:val="center"/>
            <w:hideMark/>
          </w:tcPr>
          <w:p w14:paraId="4A640774"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41A4C16B"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6E22ABA7"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Gerklės / ryklės skausmas</w:t>
            </w:r>
          </w:p>
        </w:tc>
        <w:tc>
          <w:tcPr>
            <w:tcW w:w="3290" w:type="dxa"/>
            <w:tcBorders>
              <w:top w:val="nil"/>
              <w:left w:val="nil"/>
              <w:bottom w:val="single" w:sz="4" w:space="0" w:color="auto"/>
              <w:right w:val="single" w:sz="4" w:space="0" w:color="auto"/>
            </w:tcBorders>
            <w:noWrap/>
            <w:vAlign w:val="center"/>
            <w:hideMark/>
          </w:tcPr>
          <w:p w14:paraId="43201A7B"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03FC62E0"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689CEC74" w14:textId="77777777" w:rsidR="00337C51" w:rsidRPr="002140F7" w:rsidRDefault="00337C51" w:rsidP="00337C51">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Krupas</w:t>
            </w:r>
            <w:proofErr w:type="spellEnd"/>
          </w:p>
        </w:tc>
        <w:tc>
          <w:tcPr>
            <w:tcW w:w="3290" w:type="dxa"/>
            <w:tcBorders>
              <w:top w:val="nil"/>
              <w:left w:val="nil"/>
              <w:bottom w:val="single" w:sz="4" w:space="0" w:color="auto"/>
              <w:right w:val="single" w:sz="4" w:space="0" w:color="auto"/>
            </w:tcBorders>
            <w:noWrap/>
            <w:vAlign w:val="center"/>
            <w:hideMark/>
          </w:tcPr>
          <w:p w14:paraId="6727FC06"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57892D8A" w14:textId="77777777" w:rsidTr="00337C51">
        <w:trPr>
          <w:trHeight w:val="312"/>
        </w:trPr>
        <w:tc>
          <w:tcPr>
            <w:tcW w:w="6061" w:type="dxa"/>
            <w:tcBorders>
              <w:top w:val="nil"/>
              <w:left w:val="single" w:sz="4" w:space="0" w:color="auto"/>
              <w:bottom w:val="single" w:sz="4" w:space="0" w:color="auto"/>
              <w:right w:val="single" w:sz="4" w:space="0" w:color="auto"/>
            </w:tcBorders>
            <w:shd w:val="clear" w:color="000000" w:fill="E7E6E6"/>
            <w:noWrap/>
            <w:vAlign w:val="center"/>
            <w:hideMark/>
          </w:tcPr>
          <w:p w14:paraId="0469E60C" w14:textId="77777777" w:rsidR="00337C51" w:rsidRPr="002140F7" w:rsidRDefault="00337C51" w:rsidP="00337C51">
            <w:pPr>
              <w:spacing w:after="0"/>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Odos ir poodinio audinio sutrikimai</w:t>
            </w:r>
          </w:p>
        </w:tc>
        <w:tc>
          <w:tcPr>
            <w:tcW w:w="3290" w:type="dxa"/>
            <w:tcBorders>
              <w:top w:val="nil"/>
              <w:left w:val="nil"/>
              <w:bottom w:val="single" w:sz="4" w:space="0" w:color="auto"/>
              <w:right w:val="single" w:sz="4" w:space="0" w:color="auto"/>
            </w:tcBorders>
            <w:shd w:val="clear" w:color="000000" w:fill="E7E6E6"/>
            <w:noWrap/>
            <w:vAlign w:val="center"/>
            <w:hideMark/>
          </w:tcPr>
          <w:p w14:paraId="6DAB1673"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 </w:t>
            </w:r>
          </w:p>
        </w:tc>
      </w:tr>
      <w:tr w:rsidR="00337C51" w:rsidRPr="00CD34F3" w14:paraId="19D2DDBD"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44A4F966"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Niežulys</w:t>
            </w:r>
          </w:p>
        </w:tc>
        <w:tc>
          <w:tcPr>
            <w:tcW w:w="3290" w:type="dxa"/>
            <w:tcBorders>
              <w:top w:val="nil"/>
              <w:left w:val="nil"/>
              <w:bottom w:val="single" w:sz="4" w:space="0" w:color="auto"/>
              <w:right w:val="single" w:sz="4" w:space="0" w:color="auto"/>
            </w:tcBorders>
            <w:noWrap/>
            <w:vAlign w:val="center"/>
            <w:hideMark/>
          </w:tcPr>
          <w:p w14:paraId="080097F9"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2</w:t>
            </w:r>
          </w:p>
        </w:tc>
      </w:tr>
      <w:tr w:rsidR="00337C51" w:rsidRPr="00CD34F3" w14:paraId="53AE4B06"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49914A91"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Dilgėlinė</w:t>
            </w:r>
          </w:p>
        </w:tc>
        <w:tc>
          <w:tcPr>
            <w:tcW w:w="3290" w:type="dxa"/>
            <w:tcBorders>
              <w:top w:val="nil"/>
              <w:left w:val="nil"/>
              <w:bottom w:val="single" w:sz="4" w:space="0" w:color="auto"/>
              <w:right w:val="single" w:sz="4" w:space="0" w:color="auto"/>
            </w:tcBorders>
            <w:noWrap/>
            <w:vAlign w:val="center"/>
            <w:hideMark/>
          </w:tcPr>
          <w:p w14:paraId="65E66B46"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1B6BFB1E"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608102EA"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Pūslės/pūslelės</w:t>
            </w:r>
          </w:p>
        </w:tc>
        <w:tc>
          <w:tcPr>
            <w:tcW w:w="3290" w:type="dxa"/>
            <w:tcBorders>
              <w:top w:val="nil"/>
              <w:left w:val="nil"/>
              <w:bottom w:val="single" w:sz="4" w:space="0" w:color="auto"/>
              <w:right w:val="single" w:sz="4" w:space="0" w:color="auto"/>
            </w:tcBorders>
            <w:noWrap/>
            <w:vAlign w:val="center"/>
            <w:hideMark/>
          </w:tcPr>
          <w:p w14:paraId="5059ADC3"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3F3B4FC5"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188D693F"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Paraudimas</w:t>
            </w:r>
          </w:p>
        </w:tc>
        <w:tc>
          <w:tcPr>
            <w:tcW w:w="3290" w:type="dxa"/>
            <w:tcBorders>
              <w:top w:val="nil"/>
              <w:left w:val="nil"/>
              <w:bottom w:val="single" w:sz="4" w:space="0" w:color="auto"/>
              <w:right w:val="single" w:sz="4" w:space="0" w:color="auto"/>
            </w:tcBorders>
            <w:noWrap/>
            <w:vAlign w:val="center"/>
            <w:hideMark/>
          </w:tcPr>
          <w:p w14:paraId="040B43F9"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2CF30C0F"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617007C4"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Dermatitas</w:t>
            </w:r>
          </w:p>
        </w:tc>
        <w:tc>
          <w:tcPr>
            <w:tcW w:w="3290" w:type="dxa"/>
            <w:tcBorders>
              <w:top w:val="nil"/>
              <w:left w:val="nil"/>
              <w:bottom w:val="single" w:sz="4" w:space="0" w:color="auto"/>
              <w:right w:val="single" w:sz="4" w:space="0" w:color="auto"/>
            </w:tcBorders>
            <w:noWrap/>
            <w:vAlign w:val="center"/>
            <w:hideMark/>
          </w:tcPr>
          <w:p w14:paraId="21E6C3D2"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21984293"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03225AD8"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Odos patinimas</w:t>
            </w:r>
          </w:p>
        </w:tc>
        <w:tc>
          <w:tcPr>
            <w:tcW w:w="3290" w:type="dxa"/>
            <w:tcBorders>
              <w:top w:val="nil"/>
              <w:left w:val="nil"/>
              <w:bottom w:val="single" w:sz="4" w:space="0" w:color="auto"/>
              <w:right w:val="single" w:sz="4" w:space="0" w:color="auto"/>
            </w:tcBorders>
            <w:noWrap/>
            <w:vAlign w:val="center"/>
            <w:hideMark/>
          </w:tcPr>
          <w:p w14:paraId="5803B735"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7E1F9CF8"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693ED578"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Veido tinimas</w:t>
            </w:r>
          </w:p>
        </w:tc>
        <w:tc>
          <w:tcPr>
            <w:tcW w:w="3290" w:type="dxa"/>
            <w:tcBorders>
              <w:top w:val="nil"/>
              <w:left w:val="nil"/>
              <w:bottom w:val="single" w:sz="4" w:space="0" w:color="auto"/>
              <w:right w:val="single" w:sz="4" w:space="0" w:color="auto"/>
            </w:tcBorders>
            <w:noWrap/>
            <w:vAlign w:val="center"/>
            <w:hideMark/>
          </w:tcPr>
          <w:p w14:paraId="2A905528"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70F3357A" w14:textId="77777777" w:rsidTr="00337C51">
        <w:trPr>
          <w:trHeight w:val="312"/>
        </w:trPr>
        <w:tc>
          <w:tcPr>
            <w:tcW w:w="6061" w:type="dxa"/>
            <w:tcBorders>
              <w:top w:val="nil"/>
              <w:left w:val="single" w:sz="4" w:space="0" w:color="auto"/>
              <w:bottom w:val="single" w:sz="4" w:space="0" w:color="auto"/>
              <w:right w:val="single" w:sz="4" w:space="0" w:color="auto"/>
            </w:tcBorders>
            <w:shd w:val="clear" w:color="000000" w:fill="E7E6E6"/>
            <w:noWrap/>
            <w:vAlign w:val="center"/>
            <w:hideMark/>
          </w:tcPr>
          <w:p w14:paraId="1DD5D433" w14:textId="77777777" w:rsidR="00337C51" w:rsidRPr="002140F7" w:rsidRDefault="00337C51" w:rsidP="00337C51">
            <w:pPr>
              <w:spacing w:after="0"/>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Kraujagyslių sutrikimai</w:t>
            </w:r>
          </w:p>
        </w:tc>
        <w:tc>
          <w:tcPr>
            <w:tcW w:w="3290" w:type="dxa"/>
            <w:tcBorders>
              <w:top w:val="nil"/>
              <w:left w:val="nil"/>
              <w:bottom w:val="single" w:sz="4" w:space="0" w:color="auto"/>
              <w:right w:val="single" w:sz="4" w:space="0" w:color="auto"/>
            </w:tcBorders>
            <w:shd w:val="clear" w:color="000000" w:fill="E7E6E6"/>
            <w:noWrap/>
            <w:vAlign w:val="center"/>
            <w:hideMark/>
          </w:tcPr>
          <w:p w14:paraId="2F3A76FB"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 </w:t>
            </w:r>
          </w:p>
        </w:tc>
      </w:tr>
      <w:tr w:rsidR="00337C51" w:rsidRPr="00CD34F3" w14:paraId="14CF8F3A"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3D576F4C"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Arterijų trombozė</w:t>
            </w:r>
          </w:p>
        </w:tc>
        <w:tc>
          <w:tcPr>
            <w:tcW w:w="3290" w:type="dxa"/>
            <w:tcBorders>
              <w:top w:val="nil"/>
              <w:left w:val="nil"/>
              <w:bottom w:val="single" w:sz="4" w:space="0" w:color="auto"/>
              <w:right w:val="single" w:sz="4" w:space="0" w:color="auto"/>
            </w:tcBorders>
            <w:noWrap/>
            <w:vAlign w:val="center"/>
            <w:hideMark/>
          </w:tcPr>
          <w:p w14:paraId="5E5598B0"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7A4A0C52"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79B65E23" w14:textId="77777777" w:rsidR="00337C51" w:rsidRPr="002140F7" w:rsidRDefault="00337C51" w:rsidP="00337C51">
            <w:pPr>
              <w:spacing w:after="0"/>
              <w:rPr>
                <w:rFonts w:eastAsia="Times New Roman" w:cs="Times New Roman"/>
                <w:color w:val="000000"/>
                <w:sz w:val="22"/>
                <w:lang w:val="lt-LT" w:eastAsia="lt-LT"/>
              </w:rPr>
            </w:pPr>
            <w:r w:rsidRPr="002140F7">
              <w:rPr>
                <w:rFonts w:eastAsia="Times New Roman" w:cs="Times New Roman"/>
                <w:color w:val="000000"/>
                <w:sz w:val="22"/>
                <w:lang w:val="lt-LT" w:eastAsia="lt-LT"/>
              </w:rPr>
              <w:t>Insultas</w:t>
            </w:r>
          </w:p>
        </w:tc>
        <w:tc>
          <w:tcPr>
            <w:tcW w:w="3290" w:type="dxa"/>
            <w:tcBorders>
              <w:top w:val="nil"/>
              <w:left w:val="nil"/>
              <w:bottom w:val="single" w:sz="4" w:space="0" w:color="auto"/>
              <w:right w:val="single" w:sz="4" w:space="0" w:color="auto"/>
            </w:tcBorders>
            <w:noWrap/>
            <w:vAlign w:val="center"/>
            <w:hideMark/>
          </w:tcPr>
          <w:p w14:paraId="64465C26"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r w:rsidR="00337C51" w:rsidRPr="00CD34F3" w14:paraId="6A633187" w14:textId="77777777" w:rsidTr="00337C51">
        <w:trPr>
          <w:trHeight w:val="312"/>
        </w:trPr>
        <w:tc>
          <w:tcPr>
            <w:tcW w:w="6061" w:type="dxa"/>
            <w:tcBorders>
              <w:top w:val="nil"/>
              <w:left w:val="single" w:sz="4" w:space="0" w:color="auto"/>
              <w:bottom w:val="single" w:sz="4" w:space="0" w:color="auto"/>
              <w:right w:val="single" w:sz="4" w:space="0" w:color="auto"/>
            </w:tcBorders>
            <w:shd w:val="clear" w:color="000000" w:fill="E7E6E6"/>
            <w:noWrap/>
            <w:vAlign w:val="center"/>
            <w:hideMark/>
          </w:tcPr>
          <w:p w14:paraId="05C7A2EC" w14:textId="77777777" w:rsidR="00337C51" w:rsidRPr="002140F7" w:rsidRDefault="00337C51" w:rsidP="00337C51">
            <w:pPr>
              <w:spacing w:after="0"/>
              <w:rPr>
                <w:rFonts w:eastAsia="Times New Roman" w:cs="Times New Roman"/>
                <w:b/>
                <w:bCs/>
                <w:color w:val="000000"/>
                <w:sz w:val="22"/>
                <w:lang w:val="lt-LT" w:eastAsia="lt-LT"/>
              </w:rPr>
            </w:pPr>
            <w:r w:rsidRPr="002140F7">
              <w:rPr>
                <w:rFonts w:eastAsia="Times New Roman" w:cs="Times New Roman"/>
                <w:b/>
                <w:bCs/>
                <w:color w:val="000000"/>
                <w:sz w:val="22"/>
                <w:lang w:val="lt-LT" w:eastAsia="lt-LT"/>
              </w:rPr>
              <w:t>Širdies sutrikimai</w:t>
            </w:r>
          </w:p>
        </w:tc>
        <w:tc>
          <w:tcPr>
            <w:tcW w:w="3290" w:type="dxa"/>
            <w:tcBorders>
              <w:top w:val="nil"/>
              <w:left w:val="nil"/>
              <w:bottom w:val="single" w:sz="4" w:space="0" w:color="auto"/>
              <w:right w:val="single" w:sz="4" w:space="0" w:color="auto"/>
            </w:tcBorders>
            <w:shd w:val="clear" w:color="000000" w:fill="E7E6E6"/>
            <w:noWrap/>
            <w:vAlign w:val="center"/>
            <w:hideMark/>
          </w:tcPr>
          <w:p w14:paraId="56C1F865"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 </w:t>
            </w:r>
          </w:p>
        </w:tc>
      </w:tr>
      <w:tr w:rsidR="00337C51" w:rsidRPr="00CD34F3" w14:paraId="1A9C20BB" w14:textId="77777777" w:rsidTr="00337C51">
        <w:trPr>
          <w:trHeight w:val="312"/>
        </w:trPr>
        <w:tc>
          <w:tcPr>
            <w:tcW w:w="6061" w:type="dxa"/>
            <w:tcBorders>
              <w:top w:val="nil"/>
              <w:left w:val="single" w:sz="4" w:space="0" w:color="auto"/>
              <w:bottom w:val="single" w:sz="4" w:space="0" w:color="auto"/>
              <w:right w:val="single" w:sz="4" w:space="0" w:color="auto"/>
            </w:tcBorders>
            <w:noWrap/>
            <w:vAlign w:val="center"/>
            <w:hideMark/>
          </w:tcPr>
          <w:p w14:paraId="7A6FE507" w14:textId="77777777" w:rsidR="00337C51" w:rsidRPr="002140F7" w:rsidRDefault="00337C51" w:rsidP="00337C51">
            <w:pPr>
              <w:spacing w:after="0"/>
              <w:rPr>
                <w:rFonts w:eastAsia="Times New Roman" w:cs="Times New Roman"/>
                <w:color w:val="000000"/>
                <w:sz w:val="22"/>
                <w:lang w:val="lt-LT" w:eastAsia="lt-LT"/>
              </w:rPr>
            </w:pPr>
            <w:proofErr w:type="spellStart"/>
            <w:r w:rsidRPr="002140F7">
              <w:rPr>
                <w:rFonts w:eastAsia="Times New Roman" w:cs="Times New Roman"/>
                <w:color w:val="000000"/>
                <w:sz w:val="22"/>
                <w:lang w:val="lt-LT" w:eastAsia="lt-LT"/>
              </w:rPr>
              <w:t>Hipertenzinė</w:t>
            </w:r>
            <w:proofErr w:type="spellEnd"/>
            <w:r w:rsidRPr="002140F7">
              <w:rPr>
                <w:rFonts w:eastAsia="Times New Roman" w:cs="Times New Roman"/>
                <w:color w:val="000000"/>
                <w:sz w:val="22"/>
                <w:lang w:val="lt-LT" w:eastAsia="lt-LT"/>
              </w:rPr>
              <w:t xml:space="preserve"> širdies liga</w:t>
            </w:r>
          </w:p>
        </w:tc>
        <w:tc>
          <w:tcPr>
            <w:tcW w:w="3290" w:type="dxa"/>
            <w:tcBorders>
              <w:top w:val="nil"/>
              <w:left w:val="nil"/>
              <w:bottom w:val="single" w:sz="4" w:space="0" w:color="auto"/>
              <w:right w:val="single" w:sz="4" w:space="0" w:color="auto"/>
            </w:tcBorders>
            <w:noWrap/>
            <w:vAlign w:val="center"/>
            <w:hideMark/>
          </w:tcPr>
          <w:p w14:paraId="31B22758" w14:textId="77777777" w:rsidR="00337C51" w:rsidRPr="002140F7" w:rsidRDefault="00337C51" w:rsidP="00337C51">
            <w:pPr>
              <w:spacing w:after="0"/>
              <w:jc w:val="center"/>
              <w:rPr>
                <w:rFonts w:eastAsia="Times New Roman" w:cs="Times New Roman"/>
                <w:color w:val="000000"/>
                <w:sz w:val="22"/>
                <w:lang w:val="lt-LT" w:eastAsia="lt-LT"/>
              </w:rPr>
            </w:pPr>
            <w:r w:rsidRPr="002140F7">
              <w:rPr>
                <w:rFonts w:eastAsia="Times New Roman" w:cs="Times New Roman"/>
                <w:color w:val="000000"/>
                <w:sz w:val="22"/>
                <w:lang w:val="lt-LT" w:eastAsia="lt-LT"/>
              </w:rPr>
              <w:t>1</w:t>
            </w:r>
          </w:p>
        </w:tc>
      </w:tr>
    </w:tbl>
    <w:p w14:paraId="3FB81230" w14:textId="77777777" w:rsidR="00662B3C" w:rsidRPr="002140F7" w:rsidRDefault="00662B3C" w:rsidP="00DF22F0">
      <w:pPr>
        <w:pStyle w:val="Betarp"/>
        <w:rPr>
          <w:b/>
          <w:bCs/>
          <w:color w:val="4472C4" w:themeColor="accent5"/>
          <w:sz w:val="22"/>
          <w:lang w:val="lt-LT"/>
        </w:rPr>
      </w:pPr>
    </w:p>
    <w:p w14:paraId="105FBDF8" w14:textId="77777777" w:rsidR="00864AB5" w:rsidRDefault="00864AB5" w:rsidP="00F01D8D">
      <w:pPr>
        <w:pStyle w:val="Betarp"/>
        <w:jc w:val="center"/>
        <w:rPr>
          <w:b/>
          <w:bCs/>
          <w:sz w:val="24"/>
          <w:szCs w:val="24"/>
          <w:lang w:val="lt-LT"/>
        </w:rPr>
      </w:pPr>
    </w:p>
    <w:p w14:paraId="7F723922" w14:textId="39EB3BBE" w:rsidR="00DF22F0" w:rsidRPr="00F01D8D" w:rsidRDefault="000D0531" w:rsidP="00F01D8D">
      <w:pPr>
        <w:pStyle w:val="Betarp"/>
        <w:jc w:val="center"/>
        <w:rPr>
          <w:b/>
          <w:bCs/>
          <w:sz w:val="24"/>
          <w:szCs w:val="24"/>
          <w:lang w:val="lt-LT"/>
        </w:rPr>
      </w:pPr>
      <w:r>
        <w:rPr>
          <w:b/>
          <w:bCs/>
          <w:sz w:val="24"/>
          <w:szCs w:val="24"/>
          <w:lang w:val="lt-LT"/>
        </w:rPr>
        <w:t>ĮNR p</w:t>
      </w:r>
      <w:r w:rsidR="00DF22F0" w:rsidRPr="00F01D8D">
        <w:rPr>
          <w:b/>
          <w:bCs/>
          <w:sz w:val="24"/>
          <w:szCs w:val="24"/>
          <w:lang w:val="lt-LT"/>
        </w:rPr>
        <w:t>ranešimų į vakcinas  šaltiniai</w:t>
      </w:r>
    </w:p>
    <w:p w14:paraId="35F20C5C" w14:textId="77777777" w:rsidR="00F01D8D" w:rsidRPr="00F01D8D" w:rsidRDefault="00F01D8D" w:rsidP="00F01D8D">
      <w:pPr>
        <w:pStyle w:val="Betarp"/>
        <w:jc w:val="center"/>
        <w:rPr>
          <w:b/>
          <w:bCs/>
          <w:sz w:val="24"/>
          <w:szCs w:val="24"/>
          <w:lang w:val="lt-LT"/>
        </w:rPr>
      </w:pPr>
    </w:p>
    <w:p w14:paraId="5C06BF2B" w14:textId="6205332B" w:rsidR="00DF22F0" w:rsidRPr="00F01D8D" w:rsidRDefault="00DF22F0" w:rsidP="00F01D8D">
      <w:pPr>
        <w:pStyle w:val="Betarp"/>
        <w:ind w:firstLine="708"/>
        <w:jc w:val="both"/>
        <w:rPr>
          <w:sz w:val="24"/>
          <w:szCs w:val="24"/>
          <w:lang w:val="lt-LT"/>
        </w:rPr>
      </w:pPr>
      <w:r w:rsidRPr="00F01D8D">
        <w:rPr>
          <w:sz w:val="24"/>
          <w:szCs w:val="24"/>
          <w:lang w:val="lt-LT"/>
        </w:rPr>
        <w:t xml:space="preserve">Daugiausiai ĮNR pranešimų apie vakcinas pateikė pacientai, antroje vietoje - vaistinių preparatų registruotojai. Iš sveikatos priežiūros specialistų </w:t>
      </w:r>
      <w:r w:rsidR="00C356F0" w:rsidRPr="00F01D8D">
        <w:rPr>
          <w:sz w:val="24"/>
          <w:szCs w:val="24"/>
          <w:lang w:val="lt-LT"/>
        </w:rPr>
        <w:t>gauta 19 pranešimų, o iš</w:t>
      </w:r>
      <w:r w:rsidRPr="00F01D8D">
        <w:rPr>
          <w:sz w:val="24"/>
          <w:szCs w:val="24"/>
          <w:lang w:val="lt-LT"/>
        </w:rPr>
        <w:t xml:space="preserve"> vaistininkų </w:t>
      </w:r>
      <w:r w:rsidR="00C356F0" w:rsidRPr="00F01D8D">
        <w:rPr>
          <w:sz w:val="24"/>
          <w:szCs w:val="24"/>
          <w:lang w:val="lt-LT"/>
        </w:rPr>
        <w:t>1</w:t>
      </w:r>
      <w:r w:rsidRPr="00F01D8D">
        <w:rPr>
          <w:sz w:val="24"/>
          <w:szCs w:val="24"/>
          <w:lang w:val="lt-LT"/>
        </w:rPr>
        <w:t xml:space="preserve"> pranešim</w:t>
      </w:r>
      <w:r w:rsidR="00C356F0" w:rsidRPr="00F01D8D">
        <w:rPr>
          <w:sz w:val="24"/>
          <w:szCs w:val="24"/>
          <w:lang w:val="lt-LT"/>
        </w:rPr>
        <w:t>as</w:t>
      </w:r>
      <w:r w:rsidRPr="00F01D8D">
        <w:rPr>
          <w:sz w:val="24"/>
          <w:szCs w:val="24"/>
          <w:lang w:val="lt-LT"/>
        </w:rPr>
        <w:t xml:space="preserve">. Pasiskirstymas pagal ĮNR pranešimų į vakcinas šaltinius pavaizduotas </w:t>
      </w:r>
      <w:r w:rsidR="008F7611">
        <w:rPr>
          <w:sz w:val="24"/>
          <w:szCs w:val="24"/>
          <w:lang w:val="lt-LT"/>
        </w:rPr>
        <w:t>8</w:t>
      </w:r>
      <w:r w:rsidRPr="00F01D8D">
        <w:rPr>
          <w:sz w:val="24"/>
          <w:szCs w:val="24"/>
          <w:lang w:val="lt-LT"/>
        </w:rPr>
        <w:t xml:space="preserve"> pav. </w:t>
      </w:r>
    </w:p>
    <w:p w14:paraId="09E0AB2B" w14:textId="77777777" w:rsidR="00DF22F0" w:rsidRPr="00F01D8D" w:rsidRDefault="00DF22F0" w:rsidP="00F01D8D">
      <w:pPr>
        <w:pStyle w:val="Betarp"/>
        <w:jc w:val="both"/>
        <w:rPr>
          <w:sz w:val="24"/>
          <w:szCs w:val="24"/>
          <w:lang w:val="lt-LT"/>
        </w:rPr>
      </w:pPr>
    </w:p>
    <w:p w14:paraId="0B133C3C" w14:textId="4DC6E7BF" w:rsidR="00DF22F0" w:rsidRPr="00DF22F0" w:rsidRDefault="00DF22F0" w:rsidP="00DF22F0">
      <w:pPr>
        <w:pStyle w:val="Betarp"/>
        <w:rPr>
          <w:sz w:val="24"/>
          <w:szCs w:val="24"/>
          <w:lang w:val="lt-LT"/>
        </w:rPr>
      </w:pPr>
      <w:r w:rsidRPr="00DF22F0">
        <w:rPr>
          <w:sz w:val="24"/>
          <w:szCs w:val="24"/>
          <w:lang w:val="lt-LT"/>
        </w:rPr>
        <w:t xml:space="preserve">  </w:t>
      </w:r>
      <w:r w:rsidR="00C356F0">
        <w:rPr>
          <w:noProof/>
          <w14:ligatures w14:val="standardContextual"/>
        </w:rPr>
        <w:drawing>
          <wp:inline distT="0" distB="0" distL="0" distR="0" wp14:anchorId="62B5644D" wp14:editId="32EA197B">
            <wp:extent cx="5689600" cy="2940050"/>
            <wp:effectExtent l="0" t="0" r="6350" b="12700"/>
            <wp:docPr id="1691228759" name="Diagrama 1">
              <a:extLst xmlns:a="http://schemas.openxmlformats.org/drawingml/2006/main">
                <a:ext uri="{FF2B5EF4-FFF2-40B4-BE49-F238E27FC236}">
                  <a16:creationId xmlns:a16="http://schemas.microsoft.com/office/drawing/2014/main" id="{E9C32A0D-1005-BDDE-3689-3FA8159E0B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DF22F0">
        <w:rPr>
          <w:sz w:val="24"/>
          <w:szCs w:val="24"/>
          <w:lang w:val="lt-LT"/>
        </w:rPr>
        <w:t xml:space="preserve">          </w:t>
      </w:r>
    </w:p>
    <w:p w14:paraId="7BFA7254" w14:textId="2E3C5487" w:rsidR="00DF22F0" w:rsidRPr="00DF22F0" w:rsidRDefault="00DF22F0" w:rsidP="00DF22F0">
      <w:pPr>
        <w:pStyle w:val="Betarp"/>
        <w:rPr>
          <w:sz w:val="24"/>
          <w:szCs w:val="24"/>
          <w:lang w:val="lt-LT"/>
        </w:rPr>
      </w:pPr>
      <w:r w:rsidRPr="00DF22F0">
        <w:rPr>
          <w:i/>
          <w:iCs/>
          <w:sz w:val="24"/>
          <w:szCs w:val="24"/>
          <w:lang w:val="lt-LT"/>
        </w:rPr>
        <w:t xml:space="preserve">  (</w:t>
      </w:r>
      <w:r w:rsidR="008F7611">
        <w:rPr>
          <w:i/>
          <w:iCs/>
          <w:sz w:val="24"/>
          <w:szCs w:val="24"/>
          <w:lang w:val="lt-LT"/>
        </w:rPr>
        <w:t>8</w:t>
      </w:r>
      <w:r w:rsidRPr="00DF22F0">
        <w:rPr>
          <w:i/>
          <w:iCs/>
          <w:sz w:val="24"/>
          <w:szCs w:val="24"/>
          <w:lang w:val="lt-LT"/>
        </w:rPr>
        <w:t xml:space="preserve"> pav.)</w:t>
      </w:r>
    </w:p>
    <w:p w14:paraId="2683A45F" w14:textId="77777777" w:rsidR="00C356F0" w:rsidRDefault="00DF22F0" w:rsidP="00DF22F0">
      <w:pPr>
        <w:pStyle w:val="Betarp"/>
        <w:rPr>
          <w:b/>
          <w:bCs/>
          <w:sz w:val="24"/>
          <w:szCs w:val="24"/>
          <w:lang w:val="lt-LT"/>
        </w:rPr>
      </w:pPr>
      <w:r w:rsidRPr="00DF22F0">
        <w:rPr>
          <w:b/>
          <w:bCs/>
          <w:sz w:val="24"/>
          <w:szCs w:val="24"/>
          <w:lang w:val="lt-LT"/>
        </w:rPr>
        <w:t xml:space="preserve">                           </w:t>
      </w:r>
    </w:p>
    <w:p w14:paraId="6100399E" w14:textId="77777777" w:rsidR="004E6619" w:rsidRDefault="004E6619" w:rsidP="00F01D8D">
      <w:pPr>
        <w:pStyle w:val="Betarp"/>
        <w:jc w:val="center"/>
        <w:rPr>
          <w:b/>
          <w:bCs/>
          <w:sz w:val="24"/>
          <w:szCs w:val="24"/>
          <w:lang w:val="lt-LT"/>
        </w:rPr>
      </w:pPr>
    </w:p>
    <w:p w14:paraId="674D9A53" w14:textId="77777777" w:rsidR="004E6619" w:rsidRDefault="004E6619" w:rsidP="00F01D8D">
      <w:pPr>
        <w:pStyle w:val="Betarp"/>
        <w:jc w:val="center"/>
        <w:rPr>
          <w:b/>
          <w:bCs/>
          <w:sz w:val="24"/>
          <w:szCs w:val="24"/>
          <w:lang w:val="lt-LT"/>
        </w:rPr>
      </w:pPr>
    </w:p>
    <w:p w14:paraId="52010AFB" w14:textId="24763EA2" w:rsidR="00DF22F0" w:rsidRPr="00F01D8D" w:rsidRDefault="00DF22F0" w:rsidP="00F01D8D">
      <w:pPr>
        <w:pStyle w:val="Betarp"/>
        <w:jc w:val="center"/>
        <w:rPr>
          <w:b/>
          <w:bCs/>
          <w:sz w:val="24"/>
          <w:szCs w:val="24"/>
          <w:lang w:val="lt-LT"/>
        </w:rPr>
      </w:pPr>
      <w:r w:rsidRPr="00F01D8D">
        <w:rPr>
          <w:b/>
          <w:bCs/>
          <w:sz w:val="24"/>
          <w:szCs w:val="24"/>
          <w:lang w:val="lt-LT"/>
        </w:rPr>
        <w:t>ĮNR pranešimų</w:t>
      </w:r>
      <w:r w:rsidR="008F20A5" w:rsidRPr="00F01D8D">
        <w:rPr>
          <w:b/>
          <w:bCs/>
          <w:sz w:val="24"/>
          <w:szCs w:val="24"/>
          <w:lang w:val="lt-LT"/>
        </w:rPr>
        <w:t xml:space="preserve"> į vakcinas</w:t>
      </w:r>
      <w:r w:rsidRPr="00F01D8D">
        <w:rPr>
          <w:b/>
          <w:bCs/>
          <w:sz w:val="24"/>
          <w:szCs w:val="24"/>
          <w:lang w:val="lt-LT"/>
        </w:rPr>
        <w:t xml:space="preserve"> pasiskirstymas pagal pacientų lytį</w:t>
      </w:r>
    </w:p>
    <w:p w14:paraId="747EEAD8" w14:textId="77777777" w:rsidR="00F01D8D" w:rsidRPr="00F01D8D" w:rsidRDefault="00F01D8D" w:rsidP="00DF22F0">
      <w:pPr>
        <w:pStyle w:val="Betarp"/>
        <w:rPr>
          <w:b/>
          <w:bCs/>
          <w:sz w:val="24"/>
          <w:szCs w:val="24"/>
          <w:lang w:val="lt-LT"/>
        </w:rPr>
      </w:pPr>
    </w:p>
    <w:p w14:paraId="0D0F32CD" w14:textId="5BC6E8D6" w:rsidR="00DF22F0" w:rsidRPr="00C356F0" w:rsidRDefault="00DF22F0" w:rsidP="00F01D8D">
      <w:pPr>
        <w:pStyle w:val="Betarp"/>
        <w:ind w:firstLine="708"/>
        <w:jc w:val="both"/>
        <w:rPr>
          <w:color w:val="4472C4" w:themeColor="accent5"/>
          <w:sz w:val="24"/>
          <w:szCs w:val="24"/>
          <w:lang w:val="lt-LT"/>
        </w:rPr>
      </w:pPr>
      <w:r w:rsidRPr="00F01D8D">
        <w:rPr>
          <w:sz w:val="24"/>
          <w:szCs w:val="24"/>
          <w:lang w:val="lt-LT"/>
        </w:rPr>
        <w:t>Daugiausiai pranešimų, dėl vakcinų sukeltų ĮNR, pranešta moterims</w:t>
      </w:r>
      <w:r w:rsidR="00C356F0" w:rsidRPr="00F01D8D">
        <w:rPr>
          <w:sz w:val="24"/>
          <w:szCs w:val="24"/>
          <w:lang w:val="lt-LT"/>
        </w:rPr>
        <w:t>.</w:t>
      </w:r>
      <w:r w:rsidR="00484772">
        <w:rPr>
          <w:sz w:val="24"/>
          <w:szCs w:val="24"/>
          <w:lang w:val="lt-LT"/>
        </w:rPr>
        <w:t xml:space="preserve"> </w:t>
      </w:r>
      <w:r w:rsidRPr="00F01D8D">
        <w:rPr>
          <w:sz w:val="24"/>
          <w:szCs w:val="24"/>
          <w:lang w:val="lt-LT"/>
        </w:rPr>
        <w:t xml:space="preserve">2 pranešimuose pacientų lytis nenurodyta. Pacientų pasiskirstymo skaičius pagal lytį pavaizduotas </w:t>
      </w:r>
      <w:r w:rsidR="008F7611">
        <w:rPr>
          <w:sz w:val="24"/>
          <w:szCs w:val="24"/>
          <w:lang w:val="lt-LT"/>
        </w:rPr>
        <w:t>9</w:t>
      </w:r>
      <w:r w:rsidRPr="00F01D8D">
        <w:rPr>
          <w:sz w:val="24"/>
          <w:szCs w:val="24"/>
          <w:lang w:val="lt-LT"/>
        </w:rPr>
        <w:t xml:space="preserve"> pav</w:t>
      </w:r>
      <w:r w:rsidRPr="00C356F0">
        <w:rPr>
          <w:color w:val="4472C4" w:themeColor="accent5"/>
          <w:sz w:val="24"/>
          <w:szCs w:val="24"/>
          <w:lang w:val="lt-LT"/>
        </w:rPr>
        <w:t xml:space="preserve">. </w:t>
      </w:r>
    </w:p>
    <w:p w14:paraId="1B1CA05E" w14:textId="77777777" w:rsidR="00DF22F0" w:rsidRPr="00DF22F0" w:rsidRDefault="00DF22F0" w:rsidP="00DF22F0">
      <w:pPr>
        <w:pStyle w:val="Betarp"/>
        <w:rPr>
          <w:sz w:val="24"/>
          <w:szCs w:val="24"/>
          <w:lang w:val="lt-LT"/>
        </w:rPr>
      </w:pPr>
    </w:p>
    <w:p w14:paraId="3440EAF9" w14:textId="465F9AE4" w:rsidR="00DF22F0" w:rsidRPr="00DF22F0" w:rsidRDefault="00DF22F0" w:rsidP="00DF22F0">
      <w:pPr>
        <w:pStyle w:val="Betarp"/>
        <w:rPr>
          <w:sz w:val="24"/>
          <w:szCs w:val="24"/>
          <w:lang w:val="lt-LT"/>
        </w:rPr>
      </w:pPr>
      <w:r w:rsidRPr="00DF22F0">
        <w:rPr>
          <w:sz w:val="24"/>
          <w:szCs w:val="24"/>
          <w:lang w:val="lt-LT"/>
        </w:rPr>
        <w:t xml:space="preserve">     </w:t>
      </w:r>
      <w:r w:rsidR="00C356F0">
        <w:rPr>
          <w:noProof/>
          <w14:ligatures w14:val="standardContextual"/>
        </w:rPr>
        <w:drawing>
          <wp:inline distT="0" distB="0" distL="0" distR="0" wp14:anchorId="5CC6080D" wp14:editId="0A46C2DD">
            <wp:extent cx="5643418" cy="2733387"/>
            <wp:effectExtent l="0" t="0" r="14605" b="10160"/>
            <wp:docPr id="867072275" name="Diagrama 1">
              <a:extLst xmlns:a="http://schemas.openxmlformats.org/drawingml/2006/main">
                <a:ext uri="{FF2B5EF4-FFF2-40B4-BE49-F238E27FC236}">
                  <a16:creationId xmlns:a16="http://schemas.microsoft.com/office/drawing/2014/main" id="{F8480030-B966-BEDE-D208-C936BA2242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DF22F0">
        <w:rPr>
          <w:sz w:val="24"/>
          <w:szCs w:val="24"/>
          <w:lang w:val="lt-LT"/>
        </w:rPr>
        <w:t xml:space="preserve">  </w:t>
      </w:r>
    </w:p>
    <w:p w14:paraId="31F5E098" w14:textId="1F4FEC22" w:rsidR="00C356F0" w:rsidRDefault="00DF22F0" w:rsidP="00DF22F0">
      <w:pPr>
        <w:pStyle w:val="Betarp"/>
        <w:rPr>
          <w:b/>
          <w:bCs/>
          <w:sz w:val="24"/>
          <w:szCs w:val="24"/>
          <w:lang w:val="lt-LT"/>
        </w:rPr>
      </w:pPr>
      <w:r w:rsidRPr="00DF22F0">
        <w:rPr>
          <w:i/>
          <w:iCs/>
          <w:sz w:val="24"/>
          <w:szCs w:val="24"/>
          <w:lang w:val="lt-LT"/>
        </w:rPr>
        <w:t xml:space="preserve">     (</w:t>
      </w:r>
      <w:r w:rsidR="008F7611">
        <w:rPr>
          <w:i/>
          <w:iCs/>
          <w:sz w:val="24"/>
          <w:szCs w:val="24"/>
          <w:lang w:val="lt-LT"/>
        </w:rPr>
        <w:t>9</w:t>
      </w:r>
      <w:r w:rsidRPr="00DF22F0">
        <w:rPr>
          <w:i/>
          <w:iCs/>
          <w:sz w:val="24"/>
          <w:szCs w:val="24"/>
          <w:lang w:val="lt-LT"/>
        </w:rPr>
        <w:t xml:space="preserve"> pav.)</w:t>
      </w:r>
    </w:p>
    <w:p w14:paraId="42FD7C71" w14:textId="77777777" w:rsidR="00947BB2" w:rsidRDefault="00947BB2" w:rsidP="00DF22F0">
      <w:pPr>
        <w:pStyle w:val="Betarp"/>
        <w:rPr>
          <w:b/>
          <w:bCs/>
          <w:sz w:val="24"/>
          <w:szCs w:val="24"/>
          <w:lang w:val="lt-LT"/>
        </w:rPr>
      </w:pPr>
    </w:p>
    <w:p w14:paraId="789A8D87" w14:textId="44045189" w:rsidR="00DF22F0" w:rsidRPr="00F01D8D" w:rsidRDefault="00191D9E" w:rsidP="00F01D8D">
      <w:pPr>
        <w:pStyle w:val="Betarp"/>
        <w:jc w:val="center"/>
        <w:rPr>
          <w:b/>
          <w:bCs/>
          <w:sz w:val="24"/>
          <w:szCs w:val="24"/>
          <w:lang w:val="lt-LT"/>
        </w:rPr>
      </w:pPr>
      <w:r w:rsidRPr="00F01D8D">
        <w:rPr>
          <w:b/>
          <w:bCs/>
          <w:sz w:val="24"/>
          <w:szCs w:val="24"/>
          <w:lang w:val="lt-LT"/>
        </w:rPr>
        <w:t>ĮNR pranešimų į vakcinas pasiskirstymas pagal pacientų amžių</w:t>
      </w:r>
    </w:p>
    <w:p w14:paraId="3EAECEDC" w14:textId="77777777" w:rsidR="00F01D8D" w:rsidRPr="00C92F48" w:rsidRDefault="00F01D8D" w:rsidP="00F01D8D">
      <w:pPr>
        <w:pStyle w:val="Betarp"/>
        <w:jc w:val="center"/>
        <w:rPr>
          <w:b/>
          <w:bCs/>
          <w:color w:val="4472C4" w:themeColor="accent5"/>
          <w:sz w:val="24"/>
          <w:szCs w:val="24"/>
          <w:lang w:val="lt-LT"/>
        </w:rPr>
      </w:pPr>
    </w:p>
    <w:p w14:paraId="5C346F60" w14:textId="49FA890C" w:rsidR="00DF22F0" w:rsidRPr="00F01D8D" w:rsidRDefault="00DF22F0" w:rsidP="00F01D8D">
      <w:pPr>
        <w:pStyle w:val="Betarp"/>
        <w:ind w:firstLine="708"/>
        <w:jc w:val="both"/>
        <w:rPr>
          <w:sz w:val="24"/>
          <w:szCs w:val="24"/>
          <w:lang w:val="lt-LT"/>
        </w:rPr>
      </w:pPr>
      <w:r w:rsidRPr="00F01D8D">
        <w:rPr>
          <w:sz w:val="24"/>
          <w:szCs w:val="24"/>
          <w:lang w:val="lt-LT"/>
        </w:rPr>
        <w:t>Daugiausiai pranešimų į vakcinas gauta nuo 1 m. iki 19 m.</w:t>
      </w:r>
      <w:r w:rsidR="00C356F0" w:rsidRPr="00F01D8D">
        <w:rPr>
          <w:sz w:val="24"/>
          <w:szCs w:val="24"/>
          <w:lang w:val="lt-LT"/>
        </w:rPr>
        <w:t xml:space="preserve"> </w:t>
      </w:r>
      <w:r w:rsidR="00C92F48" w:rsidRPr="00F01D8D">
        <w:rPr>
          <w:sz w:val="24"/>
          <w:szCs w:val="24"/>
          <w:lang w:val="lt-LT"/>
        </w:rPr>
        <w:t xml:space="preserve">amžiaus grupės pacientams. </w:t>
      </w:r>
      <w:r w:rsidR="00C356F0" w:rsidRPr="00F01D8D">
        <w:rPr>
          <w:sz w:val="24"/>
          <w:szCs w:val="24"/>
          <w:lang w:val="lt-LT"/>
        </w:rPr>
        <w:t>Beveik tas pats pranešimų kiekis gautas</w:t>
      </w:r>
      <w:r w:rsidRPr="00F01D8D">
        <w:rPr>
          <w:sz w:val="24"/>
          <w:szCs w:val="24"/>
          <w:lang w:val="lt-LT"/>
        </w:rPr>
        <w:t xml:space="preserve"> </w:t>
      </w:r>
      <w:r w:rsidR="00C356F0" w:rsidRPr="00F01D8D">
        <w:rPr>
          <w:sz w:val="24"/>
          <w:szCs w:val="24"/>
          <w:lang w:val="lt-LT"/>
        </w:rPr>
        <w:t xml:space="preserve">nuo 20 m. iki 39 m. </w:t>
      </w:r>
      <w:r w:rsidRPr="00F01D8D">
        <w:rPr>
          <w:sz w:val="24"/>
          <w:szCs w:val="24"/>
          <w:lang w:val="lt-LT"/>
        </w:rPr>
        <w:t xml:space="preserve">ir nuo 40 m. iki 59 m. amžiaus grupėms. Pacientų amžius nebuvo nurodytas </w:t>
      </w:r>
      <w:r w:rsidR="00C92F48" w:rsidRPr="00F01D8D">
        <w:rPr>
          <w:sz w:val="24"/>
          <w:szCs w:val="24"/>
          <w:lang w:val="lt-LT"/>
        </w:rPr>
        <w:t>7</w:t>
      </w:r>
      <w:r w:rsidRPr="00F01D8D">
        <w:rPr>
          <w:sz w:val="24"/>
          <w:szCs w:val="24"/>
          <w:lang w:val="lt-LT"/>
        </w:rPr>
        <w:t xml:space="preserve"> -</w:t>
      </w:r>
      <w:r w:rsidR="00C92F48" w:rsidRPr="00F01D8D">
        <w:rPr>
          <w:sz w:val="24"/>
          <w:szCs w:val="24"/>
          <w:lang w:val="lt-LT"/>
        </w:rPr>
        <w:t xml:space="preserve"> </w:t>
      </w:r>
      <w:proofErr w:type="spellStart"/>
      <w:r w:rsidR="00C92F48" w:rsidRPr="00F01D8D">
        <w:rPr>
          <w:sz w:val="24"/>
          <w:szCs w:val="24"/>
          <w:lang w:val="lt-LT"/>
        </w:rPr>
        <w:t>iuose</w:t>
      </w:r>
      <w:proofErr w:type="spellEnd"/>
      <w:r w:rsidRPr="00F01D8D">
        <w:rPr>
          <w:sz w:val="24"/>
          <w:szCs w:val="24"/>
          <w:lang w:val="lt-LT"/>
        </w:rPr>
        <w:t xml:space="preserve"> pranešim</w:t>
      </w:r>
      <w:r w:rsidR="00C92F48" w:rsidRPr="00F01D8D">
        <w:rPr>
          <w:sz w:val="24"/>
          <w:szCs w:val="24"/>
          <w:lang w:val="lt-LT"/>
        </w:rPr>
        <w:t xml:space="preserve">uose, nors 4 - </w:t>
      </w:r>
      <w:proofErr w:type="spellStart"/>
      <w:r w:rsidR="00C92F48" w:rsidRPr="00F01D8D">
        <w:rPr>
          <w:sz w:val="24"/>
          <w:szCs w:val="24"/>
          <w:lang w:val="lt-LT"/>
        </w:rPr>
        <w:t>iuose</w:t>
      </w:r>
      <w:proofErr w:type="spellEnd"/>
      <w:r w:rsidR="00C92F48" w:rsidRPr="00F01D8D">
        <w:rPr>
          <w:sz w:val="24"/>
          <w:szCs w:val="24"/>
          <w:lang w:val="lt-LT"/>
        </w:rPr>
        <w:t xml:space="preserve"> iš jų pažymėta, kad pacientas yra suaugęs</w:t>
      </w:r>
      <w:r w:rsidRPr="00F01D8D">
        <w:rPr>
          <w:sz w:val="24"/>
          <w:szCs w:val="24"/>
          <w:lang w:val="lt-LT"/>
        </w:rPr>
        <w:t xml:space="preserve">.  </w:t>
      </w:r>
      <w:r w:rsidR="008F7611">
        <w:rPr>
          <w:sz w:val="24"/>
          <w:szCs w:val="24"/>
          <w:lang w:val="lt-LT"/>
        </w:rPr>
        <w:t>10</w:t>
      </w:r>
      <w:r w:rsidRPr="00F01D8D">
        <w:rPr>
          <w:sz w:val="24"/>
          <w:szCs w:val="24"/>
          <w:lang w:val="lt-LT"/>
        </w:rPr>
        <w:t xml:space="preserve"> pav. pavaizduota pacientų, kuriems pasireiškė ĮNR po vakcinacijos, pasiskirstymas pagal amžių. </w:t>
      </w:r>
    </w:p>
    <w:p w14:paraId="62A18F1D" w14:textId="77777777" w:rsidR="00DF22F0" w:rsidRPr="00DF22F0" w:rsidRDefault="00DF22F0" w:rsidP="00DF22F0">
      <w:pPr>
        <w:pStyle w:val="Betarp"/>
        <w:rPr>
          <w:sz w:val="24"/>
          <w:szCs w:val="24"/>
          <w:lang w:val="lt-LT"/>
        </w:rPr>
      </w:pPr>
    </w:p>
    <w:p w14:paraId="6AFC322F" w14:textId="2B364BC2" w:rsidR="00DF22F0" w:rsidRDefault="00DF22F0" w:rsidP="00DF22F0">
      <w:pPr>
        <w:pStyle w:val="Betarp"/>
        <w:rPr>
          <w:sz w:val="24"/>
          <w:szCs w:val="24"/>
          <w:lang w:val="lt-LT"/>
        </w:rPr>
      </w:pPr>
      <w:r w:rsidRPr="00DF22F0">
        <w:rPr>
          <w:sz w:val="24"/>
          <w:szCs w:val="24"/>
          <w:lang w:val="lt-LT"/>
        </w:rPr>
        <w:t xml:space="preserve">    </w:t>
      </w:r>
      <w:r w:rsidR="00C356F0">
        <w:rPr>
          <w:noProof/>
          <w14:ligatures w14:val="standardContextual"/>
        </w:rPr>
        <w:drawing>
          <wp:inline distT="0" distB="0" distL="0" distR="0" wp14:anchorId="5D052026" wp14:editId="41AFF03F">
            <wp:extent cx="5671128" cy="2974109"/>
            <wp:effectExtent l="0" t="0" r="6350" b="17145"/>
            <wp:docPr id="1291744675" name="Diagrama 1">
              <a:extLst xmlns:a="http://schemas.openxmlformats.org/drawingml/2006/main">
                <a:ext uri="{FF2B5EF4-FFF2-40B4-BE49-F238E27FC236}">
                  <a16:creationId xmlns:a16="http://schemas.microsoft.com/office/drawing/2014/main" id="{8390124C-0202-CBCE-569B-2B39B91912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DF22F0">
        <w:rPr>
          <w:sz w:val="24"/>
          <w:szCs w:val="24"/>
          <w:lang w:val="lt-LT"/>
        </w:rPr>
        <w:t xml:space="preserve">         </w:t>
      </w:r>
    </w:p>
    <w:p w14:paraId="681E2F6E" w14:textId="6BD5BFA7" w:rsidR="00DF22F0" w:rsidRDefault="004B0B4A" w:rsidP="00DF22F0">
      <w:pPr>
        <w:pStyle w:val="Betarp"/>
        <w:rPr>
          <w:i/>
          <w:iCs/>
          <w:sz w:val="24"/>
          <w:szCs w:val="24"/>
          <w:lang w:val="lt-LT"/>
        </w:rPr>
      </w:pPr>
      <w:r>
        <w:rPr>
          <w:i/>
          <w:iCs/>
          <w:sz w:val="24"/>
          <w:szCs w:val="24"/>
          <w:lang w:val="lt-LT"/>
        </w:rPr>
        <w:t xml:space="preserve">   </w:t>
      </w:r>
      <w:r w:rsidR="00DF22F0" w:rsidRPr="00DF22F0">
        <w:rPr>
          <w:i/>
          <w:iCs/>
          <w:sz w:val="24"/>
          <w:szCs w:val="24"/>
          <w:lang w:val="lt-LT"/>
        </w:rPr>
        <w:t xml:space="preserve"> (</w:t>
      </w:r>
      <w:r w:rsidR="008F7611">
        <w:rPr>
          <w:i/>
          <w:iCs/>
          <w:sz w:val="24"/>
          <w:szCs w:val="24"/>
          <w:lang w:val="lt-LT"/>
        </w:rPr>
        <w:t>10</w:t>
      </w:r>
      <w:r w:rsidR="00DF22F0" w:rsidRPr="00DF22F0">
        <w:rPr>
          <w:i/>
          <w:iCs/>
          <w:sz w:val="24"/>
          <w:szCs w:val="24"/>
          <w:lang w:val="lt-LT"/>
        </w:rPr>
        <w:t xml:space="preserve"> pav.)</w:t>
      </w:r>
    </w:p>
    <w:p w14:paraId="5892B7F2" w14:textId="77777777" w:rsidR="00ED3478" w:rsidRDefault="00ED3478" w:rsidP="00DF22F0">
      <w:pPr>
        <w:pStyle w:val="Betarp"/>
        <w:rPr>
          <w:i/>
          <w:iCs/>
          <w:sz w:val="24"/>
          <w:szCs w:val="24"/>
          <w:lang w:val="lt-LT"/>
        </w:rPr>
      </w:pPr>
    </w:p>
    <w:p w14:paraId="79BE50FA" w14:textId="77777777" w:rsidR="00B4478A" w:rsidRPr="00DF22F0" w:rsidRDefault="00B4478A" w:rsidP="00DF22F0">
      <w:pPr>
        <w:pStyle w:val="Betarp"/>
        <w:rPr>
          <w:sz w:val="24"/>
          <w:szCs w:val="24"/>
          <w:lang w:val="lt-LT"/>
        </w:rPr>
      </w:pPr>
    </w:p>
    <w:p w14:paraId="49296D04" w14:textId="77777777" w:rsidR="00DF22F0" w:rsidRDefault="00DF22F0" w:rsidP="00915EC1">
      <w:pPr>
        <w:pStyle w:val="Betarp"/>
        <w:jc w:val="center"/>
        <w:rPr>
          <w:b/>
          <w:sz w:val="24"/>
          <w:szCs w:val="24"/>
          <w:lang w:val="lt-LT"/>
        </w:rPr>
      </w:pPr>
      <w:r w:rsidRPr="00DF22F0">
        <w:rPr>
          <w:b/>
          <w:sz w:val="24"/>
          <w:szCs w:val="24"/>
          <w:lang w:val="lt-LT"/>
        </w:rPr>
        <w:lastRenderedPageBreak/>
        <w:t>Ataskaitos apibendrinimas</w:t>
      </w:r>
    </w:p>
    <w:p w14:paraId="14EDC3E9" w14:textId="77777777" w:rsidR="00915EC1" w:rsidRPr="00DF22F0" w:rsidRDefault="00915EC1" w:rsidP="00915EC1">
      <w:pPr>
        <w:pStyle w:val="Betarp"/>
        <w:jc w:val="center"/>
        <w:rPr>
          <w:b/>
          <w:sz w:val="24"/>
          <w:szCs w:val="24"/>
          <w:lang w:val="lt-LT"/>
        </w:rPr>
      </w:pPr>
    </w:p>
    <w:p w14:paraId="0CB2C46C" w14:textId="4ACABE98" w:rsidR="004F2EA0" w:rsidRDefault="00DF22F0" w:rsidP="00915EC1">
      <w:pPr>
        <w:pStyle w:val="Betarp"/>
        <w:ind w:firstLine="708"/>
        <w:jc w:val="both"/>
        <w:rPr>
          <w:bCs/>
          <w:sz w:val="24"/>
          <w:szCs w:val="24"/>
          <w:lang w:val="lt-LT"/>
        </w:rPr>
      </w:pPr>
      <w:r w:rsidRPr="00915EC1">
        <w:rPr>
          <w:bCs/>
          <w:sz w:val="24"/>
          <w:szCs w:val="24"/>
          <w:lang w:val="lt-LT"/>
        </w:rPr>
        <w:t>202</w:t>
      </w:r>
      <w:r w:rsidR="0003400F" w:rsidRPr="00915EC1">
        <w:rPr>
          <w:bCs/>
          <w:sz w:val="24"/>
          <w:szCs w:val="24"/>
          <w:lang w:val="lt-LT"/>
        </w:rPr>
        <w:t>5</w:t>
      </w:r>
      <w:r w:rsidRPr="00915EC1">
        <w:rPr>
          <w:bCs/>
          <w:sz w:val="24"/>
          <w:szCs w:val="24"/>
          <w:lang w:val="lt-LT"/>
        </w:rPr>
        <w:t xml:space="preserve"> m. VVKT gavo </w:t>
      </w:r>
      <w:r w:rsidR="0003400F" w:rsidRPr="00784838">
        <w:rPr>
          <w:bCs/>
          <w:sz w:val="24"/>
          <w:szCs w:val="24"/>
          <w:lang w:val="lt-LT"/>
        </w:rPr>
        <w:t>1049</w:t>
      </w:r>
      <w:r w:rsidR="009B4115">
        <w:rPr>
          <w:bCs/>
          <w:sz w:val="24"/>
          <w:szCs w:val="24"/>
          <w:lang w:val="lt-LT"/>
        </w:rPr>
        <w:t xml:space="preserve"> pirminius</w:t>
      </w:r>
      <w:r w:rsidRPr="00915EC1">
        <w:rPr>
          <w:bCs/>
          <w:sz w:val="24"/>
          <w:szCs w:val="24"/>
          <w:lang w:val="lt-LT"/>
        </w:rPr>
        <w:t xml:space="preserve"> pranešimus apie įtariamas nepageidaujamas reakcijas</w:t>
      </w:r>
      <w:r w:rsidR="007278E3" w:rsidRPr="00915EC1">
        <w:rPr>
          <w:bCs/>
          <w:sz w:val="24"/>
          <w:szCs w:val="24"/>
          <w:lang w:val="lt-LT"/>
        </w:rPr>
        <w:t xml:space="preserve"> (117 pranešimų daugiu nei 2024 m.).</w:t>
      </w:r>
      <w:r w:rsidR="00BB03F5">
        <w:rPr>
          <w:bCs/>
          <w:sz w:val="24"/>
          <w:szCs w:val="24"/>
          <w:lang w:val="lt-LT"/>
        </w:rPr>
        <w:t xml:space="preserve"> </w:t>
      </w:r>
      <w:r w:rsidR="002C4D52">
        <w:rPr>
          <w:bCs/>
          <w:sz w:val="24"/>
          <w:szCs w:val="24"/>
          <w:lang w:val="lt-LT"/>
        </w:rPr>
        <w:t>97 pranešimai buvo</w:t>
      </w:r>
      <w:r w:rsidR="00622CCE">
        <w:rPr>
          <w:bCs/>
          <w:sz w:val="24"/>
          <w:szCs w:val="24"/>
          <w:lang w:val="lt-LT"/>
        </w:rPr>
        <w:t xml:space="preserve"> registruoti</w:t>
      </w:r>
      <w:r w:rsidR="002C4D52">
        <w:rPr>
          <w:bCs/>
          <w:sz w:val="24"/>
          <w:szCs w:val="24"/>
          <w:lang w:val="lt-LT"/>
        </w:rPr>
        <w:t xml:space="preserve"> </w:t>
      </w:r>
      <w:r w:rsidR="00622CCE">
        <w:rPr>
          <w:bCs/>
          <w:sz w:val="24"/>
          <w:szCs w:val="24"/>
          <w:lang w:val="lt-LT"/>
        </w:rPr>
        <w:t>apie</w:t>
      </w:r>
      <w:r w:rsidR="002C4D52">
        <w:rPr>
          <w:bCs/>
          <w:sz w:val="24"/>
          <w:szCs w:val="24"/>
          <w:lang w:val="lt-LT"/>
        </w:rPr>
        <w:t xml:space="preserve"> vakcinas</w:t>
      </w:r>
      <w:r w:rsidR="00BF20BF">
        <w:rPr>
          <w:bCs/>
          <w:sz w:val="24"/>
          <w:szCs w:val="24"/>
          <w:lang w:val="lt-LT"/>
        </w:rPr>
        <w:t xml:space="preserve"> (19 pranešimų daugiau nei 2024</w:t>
      </w:r>
      <w:r w:rsidR="003B7A34">
        <w:rPr>
          <w:bCs/>
          <w:sz w:val="24"/>
          <w:szCs w:val="24"/>
          <w:lang w:val="lt-LT"/>
        </w:rPr>
        <w:t xml:space="preserve"> </w:t>
      </w:r>
      <w:r w:rsidR="00BF20BF">
        <w:rPr>
          <w:bCs/>
          <w:sz w:val="24"/>
          <w:szCs w:val="24"/>
          <w:lang w:val="lt-LT"/>
        </w:rPr>
        <w:t>m.)</w:t>
      </w:r>
      <w:r w:rsidR="00622CCE">
        <w:rPr>
          <w:bCs/>
          <w:sz w:val="24"/>
          <w:szCs w:val="24"/>
          <w:lang w:val="lt-LT"/>
        </w:rPr>
        <w:t>, kiti 952</w:t>
      </w:r>
      <w:r w:rsidR="00DB536E">
        <w:rPr>
          <w:bCs/>
          <w:sz w:val="24"/>
          <w:szCs w:val="24"/>
          <w:lang w:val="lt-LT"/>
        </w:rPr>
        <w:t xml:space="preserve"> (9</w:t>
      </w:r>
      <w:r w:rsidR="00801245">
        <w:rPr>
          <w:bCs/>
          <w:sz w:val="24"/>
          <w:szCs w:val="24"/>
          <w:lang w:val="lt-LT"/>
        </w:rPr>
        <w:t>8</w:t>
      </w:r>
      <w:r w:rsidR="00DB536E">
        <w:rPr>
          <w:bCs/>
          <w:sz w:val="24"/>
          <w:szCs w:val="24"/>
          <w:lang w:val="lt-LT"/>
        </w:rPr>
        <w:t xml:space="preserve"> daugiau nei 2024</w:t>
      </w:r>
      <w:r w:rsidR="003B7A34">
        <w:rPr>
          <w:bCs/>
          <w:sz w:val="24"/>
          <w:szCs w:val="24"/>
          <w:lang w:val="lt-LT"/>
        </w:rPr>
        <w:t xml:space="preserve"> </w:t>
      </w:r>
      <w:r w:rsidR="00DB536E">
        <w:rPr>
          <w:bCs/>
          <w:sz w:val="24"/>
          <w:szCs w:val="24"/>
          <w:lang w:val="lt-LT"/>
        </w:rPr>
        <w:t>m.)</w:t>
      </w:r>
      <w:r w:rsidR="00622CCE">
        <w:rPr>
          <w:bCs/>
          <w:sz w:val="24"/>
          <w:szCs w:val="24"/>
          <w:lang w:val="lt-LT"/>
        </w:rPr>
        <w:t xml:space="preserve"> pranešimai </w:t>
      </w:r>
      <w:r w:rsidR="008379DD">
        <w:rPr>
          <w:bCs/>
          <w:sz w:val="24"/>
          <w:szCs w:val="24"/>
          <w:lang w:val="lt-LT"/>
        </w:rPr>
        <w:t>apie</w:t>
      </w:r>
      <w:r w:rsidR="00622CCE">
        <w:rPr>
          <w:bCs/>
          <w:sz w:val="24"/>
          <w:szCs w:val="24"/>
          <w:lang w:val="lt-LT"/>
        </w:rPr>
        <w:t xml:space="preserve"> visus kitus vaistus.</w:t>
      </w:r>
      <w:r w:rsidRPr="00915EC1">
        <w:rPr>
          <w:bCs/>
          <w:sz w:val="24"/>
          <w:szCs w:val="24"/>
          <w:lang w:val="lt-LT"/>
        </w:rPr>
        <w:t xml:space="preserve"> </w:t>
      </w:r>
    </w:p>
    <w:p w14:paraId="55481E33" w14:textId="34817164" w:rsidR="00DF22F0" w:rsidRPr="00915EC1" w:rsidRDefault="00DF22F0" w:rsidP="00915EC1">
      <w:pPr>
        <w:pStyle w:val="Betarp"/>
        <w:ind w:firstLine="708"/>
        <w:jc w:val="both"/>
        <w:rPr>
          <w:sz w:val="24"/>
          <w:szCs w:val="24"/>
          <w:lang w:val="lt-LT"/>
        </w:rPr>
      </w:pPr>
      <w:r w:rsidRPr="00915EC1">
        <w:rPr>
          <w:bCs/>
          <w:sz w:val="24"/>
          <w:szCs w:val="24"/>
          <w:lang w:val="lt-LT"/>
        </w:rPr>
        <w:t>Daugiausiai pranešimų pateikė vaistinių preparatų registruotojai (</w:t>
      </w:r>
      <w:r w:rsidR="0003400F" w:rsidRPr="00915EC1">
        <w:rPr>
          <w:bCs/>
          <w:sz w:val="24"/>
          <w:szCs w:val="24"/>
          <w:lang w:val="lt-LT"/>
        </w:rPr>
        <w:t>501</w:t>
      </w:r>
      <w:r w:rsidRPr="00915EC1">
        <w:rPr>
          <w:bCs/>
          <w:sz w:val="24"/>
          <w:szCs w:val="24"/>
          <w:lang w:val="lt-LT"/>
        </w:rPr>
        <w:t xml:space="preserve"> pranešimas), antroje vietoje - pacientai (3</w:t>
      </w:r>
      <w:r w:rsidR="0003400F" w:rsidRPr="00915EC1">
        <w:rPr>
          <w:bCs/>
          <w:sz w:val="24"/>
          <w:szCs w:val="24"/>
          <w:lang w:val="lt-LT"/>
        </w:rPr>
        <w:t>70</w:t>
      </w:r>
      <w:r w:rsidRPr="00915EC1">
        <w:rPr>
          <w:bCs/>
          <w:sz w:val="24"/>
          <w:szCs w:val="24"/>
          <w:lang w:val="lt-LT"/>
        </w:rPr>
        <w:t xml:space="preserve"> pranešimų), </w:t>
      </w:r>
      <w:r w:rsidR="008F7611">
        <w:rPr>
          <w:bCs/>
          <w:sz w:val="24"/>
          <w:szCs w:val="24"/>
          <w:lang w:val="lt-LT"/>
        </w:rPr>
        <w:t>trečioje</w:t>
      </w:r>
      <w:r w:rsidRPr="00915EC1">
        <w:rPr>
          <w:bCs/>
          <w:sz w:val="24"/>
          <w:szCs w:val="24"/>
          <w:lang w:val="lt-LT"/>
        </w:rPr>
        <w:t xml:space="preserve"> - sveikatos priežiūros specialistai (1</w:t>
      </w:r>
      <w:r w:rsidR="0003400F" w:rsidRPr="00915EC1">
        <w:rPr>
          <w:bCs/>
          <w:sz w:val="24"/>
          <w:szCs w:val="24"/>
          <w:lang w:val="lt-LT"/>
        </w:rPr>
        <w:t>63</w:t>
      </w:r>
      <w:r w:rsidRPr="00915EC1">
        <w:rPr>
          <w:bCs/>
          <w:sz w:val="24"/>
          <w:szCs w:val="24"/>
          <w:lang w:val="lt-LT"/>
        </w:rPr>
        <w:t xml:space="preserve"> pranešim</w:t>
      </w:r>
      <w:r w:rsidR="0003400F" w:rsidRPr="00915EC1">
        <w:rPr>
          <w:bCs/>
          <w:sz w:val="24"/>
          <w:szCs w:val="24"/>
          <w:lang w:val="lt-LT"/>
        </w:rPr>
        <w:t>ai</w:t>
      </w:r>
      <w:r w:rsidRPr="00915EC1">
        <w:rPr>
          <w:bCs/>
          <w:sz w:val="24"/>
          <w:szCs w:val="24"/>
          <w:lang w:val="lt-LT"/>
        </w:rPr>
        <w:t>) ir vaistininkai (1</w:t>
      </w:r>
      <w:r w:rsidR="0003400F" w:rsidRPr="00915EC1">
        <w:rPr>
          <w:bCs/>
          <w:sz w:val="24"/>
          <w:szCs w:val="24"/>
          <w:lang w:val="lt-LT"/>
        </w:rPr>
        <w:t>5</w:t>
      </w:r>
      <w:r w:rsidRPr="00915EC1">
        <w:rPr>
          <w:bCs/>
          <w:sz w:val="24"/>
          <w:szCs w:val="24"/>
          <w:lang w:val="lt-LT"/>
        </w:rPr>
        <w:t xml:space="preserve"> pranešimų). </w:t>
      </w:r>
      <w:r w:rsidRPr="00915EC1">
        <w:rPr>
          <w:sz w:val="24"/>
          <w:szCs w:val="24"/>
          <w:lang w:val="lt-LT"/>
        </w:rPr>
        <w:t>Gaut</w:t>
      </w:r>
      <w:r w:rsidR="0003400F" w:rsidRPr="00915EC1">
        <w:rPr>
          <w:sz w:val="24"/>
          <w:szCs w:val="24"/>
          <w:lang w:val="lt-LT"/>
        </w:rPr>
        <w:t>a</w:t>
      </w:r>
      <w:r w:rsidRPr="00915EC1">
        <w:rPr>
          <w:sz w:val="24"/>
          <w:szCs w:val="24"/>
          <w:lang w:val="lt-LT"/>
        </w:rPr>
        <w:t xml:space="preserve"> </w:t>
      </w:r>
      <w:r w:rsidR="0003400F" w:rsidRPr="00915EC1">
        <w:rPr>
          <w:sz w:val="24"/>
          <w:szCs w:val="24"/>
          <w:lang w:val="lt-LT"/>
        </w:rPr>
        <w:t>80</w:t>
      </w:r>
      <w:r w:rsidRPr="00915EC1">
        <w:rPr>
          <w:sz w:val="24"/>
          <w:szCs w:val="24"/>
          <w:lang w:val="lt-LT"/>
        </w:rPr>
        <w:t xml:space="preserve"> ĮNR pranešim</w:t>
      </w:r>
      <w:r w:rsidR="0003400F" w:rsidRPr="00915EC1">
        <w:rPr>
          <w:sz w:val="24"/>
          <w:szCs w:val="24"/>
          <w:lang w:val="lt-LT"/>
        </w:rPr>
        <w:t>ų</w:t>
      </w:r>
      <w:r w:rsidRPr="00915EC1">
        <w:rPr>
          <w:sz w:val="24"/>
          <w:szCs w:val="24"/>
          <w:lang w:val="lt-LT"/>
        </w:rPr>
        <w:t>, paremt</w:t>
      </w:r>
      <w:r w:rsidR="0003400F" w:rsidRPr="00915EC1">
        <w:rPr>
          <w:sz w:val="24"/>
          <w:szCs w:val="24"/>
          <w:lang w:val="lt-LT"/>
        </w:rPr>
        <w:t>ų</w:t>
      </w:r>
      <w:r w:rsidRPr="00915EC1">
        <w:rPr>
          <w:sz w:val="24"/>
          <w:szCs w:val="24"/>
          <w:lang w:val="lt-LT"/>
        </w:rPr>
        <w:t xml:space="preserve"> literatūros šaltinių duomenimis, </w:t>
      </w:r>
      <w:r w:rsidR="0003400F" w:rsidRPr="00915EC1">
        <w:rPr>
          <w:sz w:val="24"/>
          <w:szCs w:val="24"/>
          <w:lang w:val="lt-LT"/>
        </w:rPr>
        <w:t>46</w:t>
      </w:r>
      <w:r w:rsidRPr="00915EC1">
        <w:rPr>
          <w:sz w:val="24"/>
          <w:szCs w:val="24"/>
          <w:lang w:val="lt-LT"/>
        </w:rPr>
        <w:t xml:space="preserve"> ĮNR pranešima</w:t>
      </w:r>
      <w:r w:rsidR="0003400F" w:rsidRPr="00915EC1">
        <w:rPr>
          <w:sz w:val="24"/>
          <w:szCs w:val="24"/>
          <w:lang w:val="lt-LT"/>
        </w:rPr>
        <w:t>i</w:t>
      </w:r>
      <w:r w:rsidRPr="00915EC1">
        <w:rPr>
          <w:sz w:val="24"/>
          <w:szCs w:val="24"/>
          <w:lang w:val="lt-LT"/>
        </w:rPr>
        <w:t xml:space="preserve"> gaut</w:t>
      </w:r>
      <w:r w:rsidR="0003400F" w:rsidRPr="00915EC1">
        <w:rPr>
          <w:sz w:val="24"/>
          <w:szCs w:val="24"/>
          <w:lang w:val="lt-LT"/>
        </w:rPr>
        <w:t>i</w:t>
      </w:r>
      <w:r w:rsidRPr="00915EC1">
        <w:rPr>
          <w:sz w:val="24"/>
          <w:szCs w:val="24"/>
          <w:lang w:val="lt-LT"/>
        </w:rPr>
        <w:t xml:space="preserve"> iš vykdomų vaistinių preparatų tyrimų ir </w:t>
      </w:r>
      <w:r w:rsidR="0003400F" w:rsidRPr="00915EC1">
        <w:rPr>
          <w:sz w:val="24"/>
          <w:szCs w:val="24"/>
          <w:lang w:val="lt-LT"/>
        </w:rPr>
        <w:t>923</w:t>
      </w:r>
      <w:r w:rsidRPr="00915EC1">
        <w:rPr>
          <w:sz w:val="24"/>
          <w:szCs w:val="24"/>
          <w:lang w:val="lt-LT"/>
        </w:rPr>
        <w:t xml:space="preserve"> spontaniniai ĮNR pranešimai. </w:t>
      </w:r>
      <w:r w:rsidRPr="00915EC1">
        <w:rPr>
          <w:bCs/>
          <w:sz w:val="24"/>
          <w:szCs w:val="24"/>
          <w:lang w:val="lt-LT"/>
        </w:rPr>
        <w:t>6</w:t>
      </w:r>
      <w:r w:rsidR="0003400F" w:rsidRPr="00915EC1">
        <w:rPr>
          <w:bCs/>
          <w:sz w:val="24"/>
          <w:szCs w:val="24"/>
          <w:lang w:val="lt-LT"/>
        </w:rPr>
        <w:t>4</w:t>
      </w:r>
      <w:r w:rsidRPr="00915EC1">
        <w:rPr>
          <w:bCs/>
          <w:sz w:val="24"/>
          <w:szCs w:val="24"/>
          <w:lang w:val="lt-LT"/>
        </w:rPr>
        <w:t>,</w:t>
      </w:r>
      <w:r w:rsidR="0003400F" w:rsidRPr="00915EC1">
        <w:rPr>
          <w:bCs/>
          <w:sz w:val="24"/>
          <w:szCs w:val="24"/>
          <w:lang w:val="lt-LT"/>
        </w:rPr>
        <w:t>92</w:t>
      </w:r>
      <w:r w:rsidRPr="00915EC1">
        <w:rPr>
          <w:bCs/>
          <w:sz w:val="24"/>
          <w:szCs w:val="24"/>
          <w:lang w:val="lt-LT"/>
        </w:rPr>
        <w:t xml:space="preserve"> proc. visų ĮNR pasireiškė moterims, 3</w:t>
      </w:r>
      <w:r w:rsidR="0003400F" w:rsidRPr="00915EC1">
        <w:rPr>
          <w:bCs/>
          <w:sz w:val="24"/>
          <w:szCs w:val="24"/>
          <w:lang w:val="lt-LT"/>
        </w:rPr>
        <w:t>0</w:t>
      </w:r>
      <w:r w:rsidRPr="00915EC1">
        <w:rPr>
          <w:bCs/>
          <w:sz w:val="24"/>
          <w:szCs w:val="24"/>
          <w:lang w:val="lt-LT"/>
        </w:rPr>
        <w:t>,</w:t>
      </w:r>
      <w:r w:rsidR="0003400F" w:rsidRPr="00915EC1">
        <w:rPr>
          <w:bCs/>
          <w:sz w:val="24"/>
          <w:szCs w:val="24"/>
          <w:lang w:val="lt-LT"/>
        </w:rPr>
        <w:t>6</w:t>
      </w:r>
      <w:r w:rsidRPr="00915EC1">
        <w:rPr>
          <w:bCs/>
          <w:sz w:val="24"/>
          <w:szCs w:val="24"/>
          <w:lang w:val="lt-LT"/>
        </w:rPr>
        <w:t xml:space="preserve"> proc. - vyrams ir </w:t>
      </w:r>
      <w:r w:rsidR="0003400F" w:rsidRPr="00915EC1">
        <w:rPr>
          <w:bCs/>
          <w:sz w:val="24"/>
          <w:szCs w:val="24"/>
          <w:lang w:val="lt-LT"/>
        </w:rPr>
        <w:t>4</w:t>
      </w:r>
      <w:r w:rsidRPr="00915EC1">
        <w:rPr>
          <w:bCs/>
          <w:sz w:val="24"/>
          <w:szCs w:val="24"/>
          <w:lang w:val="lt-LT"/>
        </w:rPr>
        <w:t>,</w:t>
      </w:r>
      <w:r w:rsidR="0003400F" w:rsidRPr="00915EC1">
        <w:rPr>
          <w:bCs/>
          <w:sz w:val="24"/>
          <w:szCs w:val="24"/>
          <w:lang w:val="lt-LT"/>
        </w:rPr>
        <w:t>48</w:t>
      </w:r>
      <w:r w:rsidRPr="00915EC1">
        <w:rPr>
          <w:bCs/>
          <w:sz w:val="24"/>
          <w:szCs w:val="24"/>
          <w:lang w:val="lt-LT"/>
        </w:rPr>
        <w:t xml:space="preserve"> proc. pranešim</w:t>
      </w:r>
      <w:r w:rsidR="0003400F" w:rsidRPr="00915EC1">
        <w:rPr>
          <w:bCs/>
          <w:sz w:val="24"/>
          <w:szCs w:val="24"/>
          <w:lang w:val="lt-LT"/>
        </w:rPr>
        <w:t>uose</w:t>
      </w:r>
      <w:r w:rsidRPr="00915EC1">
        <w:rPr>
          <w:bCs/>
          <w:sz w:val="24"/>
          <w:szCs w:val="24"/>
          <w:lang w:val="lt-LT"/>
        </w:rPr>
        <w:t xml:space="preserve"> nebuvo nurodyta paciento lytis.</w:t>
      </w:r>
      <w:r w:rsidRPr="00915EC1">
        <w:rPr>
          <w:sz w:val="24"/>
          <w:szCs w:val="24"/>
          <w:lang w:val="lt-LT"/>
        </w:rPr>
        <w:t xml:space="preserve"> </w:t>
      </w:r>
    </w:p>
    <w:p w14:paraId="4ABB6C02" w14:textId="64E7CCC3" w:rsidR="00DF22F0" w:rsidRPr="00915EC1" w:rsidRDefault="00FA4E23" w:rsidP="00FA4E23">
      <w:pPr>
        <w:pStyle w:val="Betarp"/>
        <w:ind w:firstLine="708"/>
        <w:jc w:val="both"/>
        <w:rPr>
          <w:sz w:val="24"/>
          <w:szCs w:val="24"/>
          <w:lang w:val="lt-LT"/>
        </w:rPr>
      </w:pPr>
      <w:r>
        <w:rPr>
          <w:sz w:val="24"/>
          <w:szCs w:val="24"/>
          <w:lang w:val="lt-LT"/>
        </w:rPr>
        <w:t>2025</w:t>
      </w:r>
      <w:r w:rsidR="00DF22F0" w:rsidRPr="00915EC1">
        <w:rPr>
          <w:sz w:val="24"/>
          <w:szCs w:val="24"/>
          <w:lang w:val="lt-LT"/>
        </w:rPr>
        <w:t xml:space="preserve"> m. daugiausia ĮNR pasireiškė 60</w:t>
      </w:r>
      <w:r w:rsidR="00D14529">
        <w:rPr>
          <w:sz w:val="24"/>
          <w:szCs w:val="24"/>
          <w:lang w:val="lt-LT"/>
        </w:rPr>
        <w:t xml:space="preserve"> </w:t>
      </w:r>
      <w:r w:rsidR="00DF22F0" w:rsidRPr="00915EC1">
        <w:rPr>
          <w:sz w:val="24"/>
          <w:szCs w:val="24"/>
          <w:lang w:val="lt-LT"/>
        </w:rPr>
        <w:t>-</w:t>
      </w:r>
      <w:r w:rsidR="00D14529">
        <w:rPr>
          <w:sz w:val="24"/>
          <w:szCs w:val="24"/>
          <w:lang w:val="lt-LT"/>
        </w:rPr>
        <w:t xml:space="preserve"> </w:t>
      </w:r>
      <w:r w:rsidR="00DF22F0" w:rsidRPr="00915EC1">
        <w:rPr>
          <w:sz w:val="24"/>
          <w:szCs w:val="24"/>
          <w:lang w:val="lt-LT"/>
        </w:rPr>
        <w:t>79 metų amžiaus pacientams (2</w:t>
      </w:r>
      <w:r w:rsidR="0003400F" w:rsidRPr="00915EC1">
        <w:rPr>
          <w:sz w:val="24"/>
          <w:szCs w:val="24"/>
          <w:lang w:val="lt-LT"/>
        </w:rPr>
        <w:t>5</w:t>
      </w:r>
      <w:r w:rsidR="00DF22F0" w:rsidRPr="00915EC1">
        <w:rPr>
          <w:sz w:val="24"/>
          <w:szCs w:val="24"/>
          <w:lang w:val="lt-LT"/>
        </w:rPr>
        <w:t>,</w:t>
      </w:r>
      <w:r w:rsidR="0003400F" w:rsidRPr="00915EC1">
        <w:rPr>
          <w:sz w:val="24"/>
          <w:szCs w:val="24"/>
          <w:lang w:val="lt-LT"/>
        </w:rPr>
        <w:t>5</w:t>
      </w:r>
      <w:r w:rsidR="00DF22F0" w:rsidRPr="00915EC1">
        <w:rPr>
          <w:sz w:val="24"/>
          <w:szCs w:val="24"/>
          <w:lang w:val="lt-LT"/>
        </w:rPr>
        <w:t xml:space="preserve"> proc.). Pakankamai didelis reakcijų skaičius buvo stebimas 40 - 59 metų (22,</w:t>
      </w:r>
      <w:r w:rsidR="0003400F" w:rsidRPr="00915EC1">
        <w:rPr>
          <w:sz w:val="24"/>
          <w:szCs w:val="24"/>
          <w:lang w:val="lt-LT"/>
        </w:rPr>
        <w:t>1</w:t>
      </w:r>
      <w:r w:rsidR="00DF22F0" w:rsidRPr="00915EC1">
        <w:rPr>
          <w:sz w:val="24"/>
          <w:szCs w:val="24"/>
          <w:lang w:val="lt-LT"/>
        </w:rPr>
        <w:t xml:space="preserve">2 proc.) ir 20 </w:t>
      </w:r>
      <w:r w:rsidR="004B20A8">
        <w:rPr>
          <w:sz w:val="24"/>
          <w:szCs w:val="24"/>
          <w:lang w:val="lt-LT"/>
        </w:rPr>
        <w:t>-</w:t>
      </w:r>
      <w:r w:rsidR="00DF22F0" w:rsidRPr="00915EC1">
        <w:rPr>
          <w:sz w:val="24"/>
          <w:szCs w:val="24"/>
          <w:lang w:val="lt-LT"/>
        </w:rPr>
        <w:t xml:space="preserve"> 39 metų (</w:t>
      </w:r>
      <w:r w:rsidR="0003400F" w:rsidRPr="00915EC1">
        <w:rPr>
          <w:sz w:val="24"/>
          <w:szCs w:val="24"/>
          <w:lang w:val="lt-LT"/>
        </w:rPr>
        <w:t>20</w:t>
      </w:r>
      <w:r w:rsidR="00DF22F0" w:rsidRPr="00915EC1">
        <w:rPr>
          <w:sz w:val="24"/>
          <w:szCs w:val="24"/>
          <w:lang w:val="lt-LT"/>
        </w:rPr>
        <w:t>,</w:t>
      </w:r>
      <w:r w:rsidR="0003400F" w:rsidRPr="00915EC1">
        <w:rPr>
          <w:sz w:val="24"/>
          <w:szCs w:val="24"/>
          <w:lang w:val="lt-LT"/>
        </w:rPr>
        <w:t>5</w:t>
      </w:r>
      <w:r w:rsidR="00DF22F0" w:rsidRPr="00915EC1">
        <w:rPr>
          <w:sz w:val="24"/>
          <w:szCs w:val="24"/>
          <w:lang w:val="lt-LT"/>
        </w:rPr>
        <w:t xml:space="preserve"> proc.) amžiaus grupėse. Mažiausiai ĮNR gauta apie pacientus, kurių amžius yra iki 1 metų (</w:t>
      </w:r>
      <w:r w:rsidR="0003400F" w:rsidRPr="00915EC1">
        <w:rPr>
          <w:sz w:val="24"/>
          <w:szCs w:val="24"/>
          <w:lang w:val="lt-LT"/>
        </w:rPr>
        <w:t>2</w:t>
      </w:r>
      <w:r w:rsidR="00DF22F0" w:rsidRPr="00915EC1">
        <w:rPr>
          <w:sz w:val="24"/>
          <w:szCs w:val="24"/>
          <w:lang w:val="lt-LT"/>
        </w:rPr>
        <w:t xml:space="preserve"> proc.) ir priklausančius  1 - 19 metų (</w:t>
      </w:r>
      <w:r w:rsidR="0003400F" w:rsidRPr="00915EC1">
        <w:rPr>
          <w:sz w:val="24"/>
          <w:szCs w:val="24"/>
          <w:lang w:val="lt-LT"/>
        </w:rPr>
        <w:t>8</w:t>
      </w:r>
      <w:r w:rsidR="00DF22F0" w:rsidRPr="00915EC1">
        <w:rPr>
          <w:sz w:val="24"/>
          <w:szCs w:val="24"/>
          <w:lang w:val="lt-LT"/>
        </w:rPr>
        <w:t>,</w:t>
      </w:r>
      <w:r w:rsidR="0003400F" w:rsidRPr="00915EC1">
        <w:rPr>
          <w:sz w:val="24"/>
          <w:szCs w:val="24"/>
          <w:lang w:val="lt-LT"/>
        </w:rPr>
        <w:t>58</w:t>
      </w:r>
      <w:r w:rsidR="00DF22F0" w:rsidRPr="00915EC1">
        <w:rPr>
          <w:sz w:val="24"/>
          <w:szCs w:val="24"/>
          <w:lang w:val="lt-LT"/>
        </w:rPr>
        <w:t xml:space="preserve"> proc.) amžiaus grupei bei vyresniems  kaip 80 metų (8 proc.). 1</w:t>
      </w:r>
      <w:r w:rsidR="0003400F" w:rsidRPr="00915EC1">
        <w:rPr>
          <w:sz w:val="24"/>
          <w:szCs w:val="24"/>
          <w:lang w:val="lt-LT"/>
        </w:rPr>
        <w:t>3</w:t>
      </w:r>
      <w:r w:rsidR="00DF22F0" w:rsidRPr="00915EC1">
        <w:rPr>
          <w:sz w:val="24"/>
          <w:szCs w:val="24"/>
          <w:lang w:val="lt-LT"/>
        </w:rPr>
        <w:t>,</w:t>
      </w:r>
      <w:r w:rsidR="0003400F" w:rsidRPr="00915EC1">
        <w:rPr>
          <w:sz w:val="24"/>
          <w:szCs w:val="24"/>
          <w:lang w:val="lt-LT"/>
        </w:rPr>
        <w:t>25</w:t>
      </w:r>
      <w:r w:rsidR="00DF22F0" w:rsidRPr="00915EC1">
        <w:rPr>
          <w:sz w:val="24"/>
          <w:szCs w:val="24"/>
          <w:lang w:val="lt-LT"/>
        </w:rPr>
        <w:t xml:space="preserve"> proc. gautų pranešimų pacientų amžius buvo nenurodytas.</w:t>
      </w:r>
    </w:p>
    <w:p w14:paraId="34B31A36" w14:textId="34A5A1C3" w:rsidR="00765B47" w:rsidRPr="00915EC1" w:rsidRDefault="00DF22F0" w:rsidP="00E36DA9">
      <w:pPr>
        <w:pStyle w:val="Betarp"/>
        <w:ind w:left="708"/>
        <w:jc w:val="both"/>
        <w:rPr>
          <w:bCs/>
          <w:sz w:val="24"/>
          <w:szCs w:val="24"/>
          <w:lang w:val="lt-LT"/>
        </w:rPr>
      </w:pPr>
      <w:r w:rsidRPr="00915EC1">
        <w:rPr>
          <w:bCs/>
          <w:sz w:val="24"/>
          <w:szCs w:val="24"/>
          <w:lang w:val="lt-LT"/>
        </w:rPr>
        <w:t>Iš viso gauti 2</w:t>
      </w:r>
      <w:r w:rsidR="006D79F0" w:rsidRPr="00915EC1">
        <w:rPr>
          <w:bCs/>
          <w:sz w:val="24"/>
          <w:szCs w:val="24"/>
          <w:lang w:val="lt-LT"/>
        </w:rPr>
        <w:t>62</w:t>
      </w:r>
      <w:r w:rsidRPr="00915EC1">
        <w:rPr>
          <w:bCs/>
          <w:sz w:val="24"/>
          <w:szCs w:val="24"/>
          <w:lang w:val="lt-LT"/>
        </w:rPr>
        <w:t xml:space="preserve"> pranešimai apie sunkias ir </w:t>
      </w:r>
      <w:r w:rsidR="00144927" w:rsidRPr="00915EC1">
        <w:rPr>
          <w:bCs/>
          <w:sz w:val="24"/>
          <w:szCs w:val="24"/>
          <w:lang w:val="lt-LT"/>
        </w:rPr>
        <w:t>787</w:t>
      </w:r>
      <w:r w:rsidRPr="00915EC1">
        <w:rPr>
          <w:bCs/>
          <w:sz w:val="24"/>
          <w:szCs w:val="24"/>
          <w:lang w:val="lt-LT"/>
        </w:rPr>
        <w:t xml:space="preserve"> – apie nesunkias nepageidaujamas reakcijas. Ataskaitiniais metais buvo gauti 5</w:t>
      </w:r>
      <w:r w:rsidR="00765B47" w:rsidRPr="00915EC1">
        <w:rPr>
          <w:bCs/>
          <w:sz w:val="24"/>
          <w:szCs w:val="24"/>
          <w:lang w:val="lt-LT"/>
        </w:rPr>
        <w:t>0</w:t>
      </w:r>
      <w:r w:rsidRPr="00915EC1">
        <w:rPr>
          <w:bCs/>
          <w:sz w:val="24"/>
          <w:szCs w:val="24"/>
          <w:lang w:val="lt-LT"/>
        </w:rPr>
        <w:t xml:space="preserve"> pranešim</w:t>
      </w:r>
      <w:r w:rsidR="00765B47" w:rsidRPr="00915EC1">
        <w:rPr>
          <w:bCs/>
          <w:sz w:val="24"/>
          <w:szCs w:val="24"/>
          <w:lang w:val="lt-LT"/>
        </w:rPr>
        <w:t>ų</w:t>
      </w:r>
      <w:r w:rsidRPr="00915EC1">
        <w:rPr>
          <w:bCs/>
          <w:sz w:val="24"/>
          <w:szCs w:val="24"/>
          <w:lang w:val="lt-LT"/>
        </w:rPr>
        <w:t xml:space="preserve"> apie vaistų neveiksmingumo atvejus</w:t>
      </w:r>
      <w:r w:rsidR="00765B47" w:rsidRPr="00915EC1">
        <w:rPr>
          <w:bCs/>
          <w:sz w:val="24"/>
          <w:szCs w:val="24"/>
          <w:lang w:val="lt-LT"/>
        </w:rPr>
        <w:t xml:space="preserve">. </w:t>
      </w:r>
    </w:p>
    <w:p w14:paraId="132B6EA2" w14:textId="6589811A" w:rsidR="00DF22F0" w:rsidRPr="00915EC1" w:rsidRDefault="00765B47" w:rsidP="00B86A3A">
      <w:pPr>
        <w:pStyle w:val="Betarp"/>
        <w:ind w:firstLine="708"/>
        <w:jc w:val="both"/>
        <w:rPr>
          <w:bCs/>
          <w:sz w:val="24"/>
          <w:szCs w:val="24"/>
          <w:lang w:val="lt-LT"/>
        </w:rPr>
      </w:pPr>
      <w:r w:rsidRPr="00915EC1">
        <w:rPr>
          <w:bCs/>
          <w:sz w:val="24"/>
          <w:szCs w:val="24"/>
          <w:lang w:val="lt-LT"/>
        </w:rPr>
        <w:t xml:space="preserve">Paskutinius penkerius metus gaunamų pranešimų dėl Covid-19 vakcinų mažėja, </w:t>
      </w:r>
      <w:proofErr w:type="spellStart"/>
      <w:r w:rsidRPr="00915EC1">
        <w:rPr>
          <w:bCs/>
          <w:sz w:val="24"/>
          <w:szCs w:val="24"/>
          <w:lang w:val="lt-LT"/>
        </w:rPr>
        <w:t>t.y</w:t>
      </w:r>
      <w:proofErr w:type="spellEnd"/>
      <w:r w:rsidRPr="00915EC1">
        <w:rPr>
          <w:bCs/>
          <w:sz w:val="24"/>
          <w:szCs w:val="24"/>
          <w:lang w:val="lt-LT"/>
        </w:rPr>
        <w:t>. 2021 m. tokių pranešimų skaičius buvo 680</w:t>
      </w:r>
      <w:r w:rsidR="007F351C">
        <w:rPr>
          <w:bCs/>
          <w:sz w:val="24"/>
          <w:szCs w:val="24"/>
          <w:lang w:val="lt-LT"/>
        </w:rPr>
        <w:t>8</w:t>
      </w:r>
      <w:r w:rsidRPr="00915EC1">
        <w:rPr>
          <w:bCs/>
          <w:sz w:val="24"/>
          <w:szCs w:val="24"/>
          <w:lang w:val="lt-LT"/>
        </w:rPr>
        <w:t>, 2022 m. - 122</w:t>
      </w:r>
      <w:r w:rsidR="007F351C">
        <w:rPr>
          <w:bCs/>
          <w:sz w:val="24"/>
          <w:szCs w:val="24"/>
          <w:lang w:val="lt-LT"/>
        </w:rPr>
        <w:t>7</w:t>
      </w:r>
      <w:r w:rsidRPr="00915EC1">
        <w:rPr>
          <w:bCs/>
          <w:sz w:val="24"/>
          <w:szCs w:val="24"/>
          <w:lang w:val="lt-LT"/>
        </w:rPr>
        <w:t xml:space="preserve"> pranešimai, o 2023 m. – 3</w:t>
      </w:r>
      <w:r w:rsidR="0096745F">
        <w:rPr>
          <w:bCs/>
          <w:sz w:val="24"/>
          <w:szCs w:val="24"/>
          <w:lang w:val="lt-LT"/>
        </w:rPr>
        <w:t>3</w:t>
      </w:r>
      <w:r w:rsidRPr="00915EC1">
        <w:rPr>
          <w:bCs/>
          <w:sz w:val="24"/>
          <w:szCs w:val="24"/>
          <w:lang w:val="lt-LT"/>
        </w:rPr>
        <w:t xml:space="preserve"> pranešimai,  2024 m. - 21 pranešimas, 2025 m. - 5 pranešimai</w:t>
      </w:r>
      <w:r w:rsidR="00FD2A09">
        <w:rPr>
          <w:bCs/>
          <w:sz w:val="24"/>
          <w:szCs w:val="24"/>
          <w:lang w:val="lt-LT"/>
        </w:rPr>
        <w:t xml:space="preserve">. </w:t>
      </w:r>
    </w:p>
    <w:p w14:paraId="6BF30812" w14:textId="77777777" w:rsidR="007278E3" w:rsidRPr="00915EC1" w:rsidRDefault="00DF22F0" w:rsidP="00FD2A09">
      <w:pPr>
        <w:pStyle w:val="Betarp"/>
        <w:ind w:firstLine="708"/>
        <w:jc w:val="both"/>
        <w:rPr>
          <w:bCs/>
          <w:sz w:val="24"/>
          <w:szCs w:val="24"/>
          <w:lang w:val="lt-LT"/>
        </w:rPr>
      </w:pPr>
      <w:r w:rsidRPr="00915EC1">
        <w:rPr>
          <w:bCs/>
          <w:sz w:val="24"/>
          <w:szCs w:val="24"/>
          <w:lang w:val="lt-LT"/>
        </w:rPr>
        <w:t>Apibendrinant gautus pranešimus apie įtariamas nepageidaujamas reakcijas, galima teigti, kad ataskaitiniais metais, kaip ir 202</w:t>
      </w:r>
      <w:r w:rsidR="00765B47" w:rsidRPr="00915EC1">
        <w:rPr>
          <w:bCs/>
          <w:sz w:val="24"/>
          <w:szCs w:val="24"/>
          <w:lang w:val="lt-LT"/>
        </w:rPr>
        <w:t xml:space="preserve">4 </w:t>
      </w:r>
      <w:r w:rsidRPr="00915EC1">
        <w:rPr>
          <w:bCs/>
          <w:sz w:val="24"/>
          <w:szCs w:val="24"/>
          <w:lang w:val="lt-LT"/>
        </w:rPr>
        <w:t xml:space="preserve">m., didžioji dalis pranešimų buvo susijusi su </w:t>
      </w:r>
      <w:r w:rsidRPr="00915EC1">
        <w:rPr>
          <w:sz w:val="24"/>
          <w:szCs w:val="24"/>
          <w:lang w:val="lt-LT"/>
        </w:rPr>
        <w:t xml:space="preserve">sistemiškai veikiančių </w:t>
      </w:r>
      <w:proofErr w:type="spellStart"/>
      <w:r w:rsidRPr="00915EC1">
        <w:rPr>
          <w:sz w:val="24"/>
          <w:szCs w:val="24"/>
          <w:lang w:val="lt-LT"/>
        </w:rPr>
        <w:t>priešinfekcinių</w:t>
      </w:r>
      <w:proofErr w:type="spellEnd"/>
      <w:r w:rsidRPr="00915EC1">
        <w:rPr>
          <w:sz w:val="24"/>
          <w:szCs w:val="24"/>
          <w:lang w:val="lt-LT"/>
        </w:rPr>
        <w:t xml:space="preserve"> vaistų grupei bei </w:t>
      </w:r>
      <w:proofErr w:type="spellStart"/>
      <w:r w:rsidRPr="00915EC1">
        <w:rPr>
          <w:sz w:val="24"/>
          <w:szCs w:val="24"/>
          <w:lang w:val="lt-LT"/>
        </w:rPr>
        <w:t>antinavikinių</w:t>
      </w:r>
      <w:proofErr w:type="spellEnd"/>
      <w:r w:rsidRPr="00915EC1">
        <w:rPr>
          <w:sz w:val="24"/>
          <w:szCs w:val="24"/>
          <w:lang w:val="lt-LT"/>
        </w:rPr>
        <w:t xml:space="preserve"> vaistų ir </w:t>
      </w:r>
      <w:proofErr w:type="spellStart"/>
      <w:r w:rsidRPr="00915EC1">
        <w:rPr>
          <w:sz w:val="24"/>
          <w:szCs w:val="24"/>
          <w:lang w:val="lt-LT"/>
        </w:rPr>
        <w:t>imunomoduliatorių</w:t>
      </w:r>
      <w:proofErr w:type="spellEnd"/>
      <w:r w:rsidRPr="00915EC1">
        <w:rPr>
          <w:sz w:val="24"/>
          <w:szCs w:val="24"/>
          <w:lang w:val="lt-LT"/>
        </w:rPr>
        <w:t xml:space="preserve"> grupei priskiriamais preparatai</w:t>
      </w:r>
      <w:r w:rsidRPr="00915EC1">
        <w:rPr>
          <w:bCs/>
          <w:sz w:val="24"/>
          <w:szCs w:val="24"/>
          <w:lang w:val="lt-LT"/>
        </w:rPr>
        <w:t xml:space="preserve">s. </w:t>
      </w:r>
    </w:p>
    <w:p w14:paraId="043FF188" w14:textId="396150F5" w:rsidR="00DF22F0" w:rsidRPr="00915EC1" w:rsidRDefault="00C01981" w:rsidP="0015686B">
      <w:pPr>
        <w:pStyle w:val="Betarp"/>
        <w:ind w:firstLine="708"/>
        <w:jc w:val="both"/>
        <w:rPr>
          <w:bCs/>
          <w:sz w:val="24"/>
          <w:szCs w:val="24"/>
          <w:lang w:val="lt-LT"/>
        </w:rPr>
      </w:pPr>
      <w:r>
        <w:rPr>
          <w:bCs/>
          <w:sz w:val="24"/>
          <w:szCs w:val="24"/>
          <w:lang w:val="lt-LT"/>
        </w:rPr>
        <w:t>Kitų a</w:t>
      </w:r>
      <w:r w:rsidR="00DF22F0" w:rsidRPr="00915EC1">
        <w:rPr>
          <w:bCs/>
          <w:sz w:val="24"/>
          <w:szCs w:val="24"/>
          <w:lang w:val="lt-LT"/>
        </w:rPr>
        <w:t>nalizuojamų rodiklių tendencijos išlieka panašios kaip ir ankstesniais metais.</w:t>
      </w:r>
    </w:p>
    <w:p w14:paraId="3EC2D492" w14:textId="77777777" w:rsidR="0049622F" w:rsidRPr="00915EC1" w:rsidRDefault="0049622F" w:rsidP="00915EC1">
      <w:pPr>
        <w:pStyle w:val="Betarp"/>
        <w:jc w:val="both"/>
        <w:rPr>
          <w:sz w:val="24"/>
          <w:szCs w:val="24"/>
          <w:lang w:val="lt-LT"/>
        </w:rPr>
      </w:pPr>
    </w:p>
    <w:p w14:paraId="2B9EE086" w14:textId="77777777" w:rsidR="0057553C" w:rsidRPr="00915EC1" w:rsidRDefault="0057553C" w:rsidP="00915EC1">
      <w:pPr>
        <w:pStyle w:val="Betarp"/>
        <w:jc w:val="both"/>
        <w:rPr>
          <w:sz w:val="24"/>
          <w:szCs w:val="24"/>
          <w:lang w:val="lt-LT"/>
        </w:rPr>
      </w:pPr>
    </w:p>
    <w:p w14:paraId="0319268C" w14:textId="77777777" w:rsidR="0057553C" w:rsidRPr="00915EC1" w:rsidRDefault="0057553C" w:rsidP="00915EC1">
      <w:pPr>
        <w:pStyle w:val="Betarp"/>
        <w:jc w:val="both"/>
        <w:rPr>
          <w:sz w:val="24"/>
          <w:szCs w:val="24"/>
          <w:lang w:val="lt-LT"/>
        </w:rPr>
      </w:pPr>
    </w:p>
    <w:p w14:paraId="4E75923F" w14:textId="77777777" w:rsidR="0057553C" w:rsidRPr="00915EC1" w:rsidRDefault="0057553C" w:rsidP="00915EC1">
      <w:pPr>
        <w:pStyle w:val="Betarp"/>
        <w:jc w:val="both"/>
        <w:rPr>
          <w:sz w:val="24"/>
          <w:szCs w:val="24"/>
          <w:lang w:val="lt-LT"/>
        </w:rPr>
      </w:pPr>
    </w:p>
    <w:p w14:paraId="774ECEB9" w14:textId="77777777" w:rsidR="00787608" w:rsidRPr="00915EC1" w:rsidRDefault="00787608" w:rsidP="00915EC1">
      <w:pPr>
        <w:pStyle w:val="Betarp"/>
        <w:jc w:val="both"/>
        <w:rPr>
          <w:sz w:val="24"/>
          <w:szCs w:val="24"/>
          <w:lang w:val="lt-LT"/>
        </w:rPr>
      </w:pPr>
    </w:p>
    <w:p w14:paraId="11480169" w14:textId="77777777" w:rsidR="00787608" w:rsidRPr="00915EC1" w:rsidRDefault="00787608" w:rsidP="00915EC1">
      <w:pPr>
        <w:pStyle w:val="Betarp"/>
        <w:jc w:val="both"/>
        <w:rPr>
          <w:sz w:val="24"/>
          <w:szCs w:val="24"/>
          <w:lang w:val="lt-LT"/>
        </w:rPr>
      </w:pPr>
    </w:p>
    <w:p w14:paraId="29AB39BB" w14:textId="77777777" w:rsidR="00787608" w:rsidRPr="00915EC1" w:rsidRDefault="00787608" w:rsidP="00915EC1">
      <w:pPr>
        <w:pStyle w:val="Betarp"/>
        <w:jc w:val="both"/>
        <w:rPr>
          <w:sz w:val="24"/>
          <w:szCs w:val="24"/>
          <w:lang w:val="lt-LT"/>
        </w:rPr>
      </w:pPr>
    </w:p>
    <w:p w14:paraId="31B0A0F5" w14:textId="77777777" w:rsidR="00787608" w:rsidRPr="00915EC1" w:rsidRDefault="00787608" w:rsidP="00915EC1">
      <w:pPr>
        <w:pStyle w:val="Betarp"/>
        <w:jc w:val="both"/>
        <w:rPr>
          <w:sz w:val="24"/>
          <w:szCs w:val="24"/>
          <w:lang w:val="lt-LT"/>
        </w:rPr>
      </w:pPr>
    </w:p>
    <w:p w14:paraId="16403648" w14:textId="77777777" w:rsidR="0057553C" w:rsidRPr="00915EC1" w:rsidRDefault="0057553C" w:rsidP="00915EC1">
      <w:pPr>
        <w:pStyle w:val="Betarp"/>
        <w:jc w:val="both"/>
        <w:rPr>
          <w:sz w:val="24"/>
          <w:szCs w:val="24"/>
          <w:lang w:val="lt-LT"/>
        </w:rPr>
      </w:pPr>
    </w:p>
    <w:p w14:paraId="18A3B19D" w14:textId="77777777" w:rsidR="0057553C" w:rsidRPr="00915EC1" w:rsidRDefault="0057553C" w:rsidP="00915EC1">
      <w:pPr>
        <w:pStyle w:val="Betarp"/>
        <w:jc w:val="both"/>
        <w:rPr>
          <w:sz w:val="24"/>
          <w:szCs w:val="24"/>
          <w:lang w:val="lt-LT"/>
        </w:rPr>
      </w:pPr>
    </w:p>
    <w:p w14:paraId="1B34E5F3" w14:textId="77777777" w:rsidR="0057553C" w:rsidRPr="00915EC1" w:rsidRDefault="0057553C" w:rsidP="00915EC1">
      <w:pPr>
        <w:pStyle w:val="Betarp"/>
        <w:jc w:val="both"/>
        <w:rPr>
          <w:sz w:val="24"/>
          <w:szCs w:val="24"/>
          <w:lang w:val="lt-LT"/>
        </w:rPr>
      </w:pPr>
    </w:p>
    <w:p w14:paraId="0F771F48" w14:textId="77777777" w:rsidR="0057553C" w:rsidRPr="00915EC1" w:rsidRDefault="0057553C" w:rsidP="00915EC1">
      <w:pPr>
        <w:pStyle w:val="Betarp"/>
        <w:jc w:val="both"/>
        <w:rPr>
          <w:sz w:val="24"/>
          <w:szCs w:val="24"/>
          <w:lang w:val="lt-LT"/>
        </w:rPr>
      </w:pPr>
    </w:p>
    <w:p w14:paraId="28CDBFB2" w14:textId="77777777" w:rsidR="0057553C" w:rsidRDefault="0057553C" w:rsidP="0049622F">
      <w:pPr>
        <w:pStyle w:val="Betarp"/>
        <w:rPr>
          <w:sz w:val="24"/>
          <w:szCs w:val="24"/>
          <w:lang w:val="lt-LT"/>
        </w:rPr>
      </w:pPr>
    </w:p>
    <w:p w14:paraId="60AE87EA" w14:textId="2504226B" w:rsidR="0049622F" w:rsidRPr="00784838" w:rsidRDefault="0049622F" w:rsidP="0049622F">
      <w:pPr>
        <w:pStyle w:val="Betarp"/>
        <w:rPr>
          <w:sz w:val="20"/>
          <w:szCs w:val="20"/>
          <w:lang w:val="lt-LT"/>
        </w:rPr>
      </w:pPr>
    </w:p>
    <w:sectPr w:rsidR="0049622F" w:rsidRPr="00784838" w:rsidSect="005C0A0B">
      <w:headerReference w:type="even" r:id="rId18"/>
      <w:footerReference w:type="default" r:id="rId19"/>
      <w:headerReference w:type="first" r:id="rId20"/>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3126" w14:textId="77777777" w:rsidR="00F33A01" w:rsidRDefault="00F33A01" w:rsidP="005403FF">
      <w:pPr>
        <w:spacing w:after="0"/>
      </w:pPr>
      <w:r>
        <w:separator/>
      </w:r>
    </w:p>
  </w:endnote>
  <w:endnote w:type="continuationSeparator" w:id="0">
    <w:p w14:paraId="21E032DC" w14:textId="77777777" w:rsidR="00F33A01" w:rsidRDefault="00F33A01" w:rsidP="005403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277872"/>
      <w:docPartObj>
        <w:docPartGallery w:val="Page Numbers (Bottom of Page)"/>
        <w:docPartUnique/>
      </w:docPartObj>
    </w:sdtPr>
    <w:sdtEndPr>
      <w:rPr>
        <w:sz w:val="18"/>
        <w:szCs w:val="18"/>
      </w:rPr>
    </w:sdtEndPr>
    <w:sdtContent>
      <w:p w14:paraId="748FE141" w14:textId="4FE740EF" w:rsidR="008F7611" w:rsidRPr="002140F7" w:rsidRDefault="008F7611">
        <w:pPr>
          <w:pStyle w:val="Porat"/>
          <w:jc w:val="right"/>
          <w:rPr>
            <w:sz w:val="18"/>
            <w:szCs w:val="18"/>
          </w:rPr>
        </w:pPr>
        <w:r w:rsidRPr="002140F7">
          <w:rPr>
            <w:sz w:val="18"/>
            <w:szCs w:val="18"/>
          </w:rPr>
          <w:fldChar w:fldCharType="begin"/>
        </w:r>
        <w:r w:rsidRPr="002140F7">
          <w:rPr>
            <w:sz w:val="18"/>
            <w:szCs w:val="18"/>
          </w:rPr>
          <w:instrText>PAGE   \* MERGEFORMAT</w:instrText>
        </w:r>
        <w:r w:rsidRPr="002140F7">
          <w:rPr>
            <w:sz w:val="18"/>
            <w:szCs w:val="18"/>
          </w:rPr>
          <w:fldChar w:fldCharType="separate"/>
        </w:r>
        <w:r w:rsidRPr="002140F7">
          <w:rPr>
            <w:sz w:val="18"/>
            <w:szCs w:val="18"/>
            <w:lang w:val="lt-LT"/>
          </w:rPr>
          <w:t>2</w:t>
        </w:r>
        <w:r w:rsidRPr="002140F7">
          <w:rPr>
            <w:sz w:val="18"/>
            <w:szCs w:val="18"/>
          </w:rPr>
          <w:fldChar w:fldCharType="end"/>
        </w:r>
      </w:p>
    </w:sdtContent>
  </w:sdt>
  <w:p w14:paraId="1B1182B4" w14:textId="77777777" w:rsidR="00211BA5" w:rsidRDefault="00211B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7D43" w14:textId="77777777" w:rsidR="00F33A01" w:rsidRDefault="00F33A01" w:rsidP="005403FF">
      <w:pPr>
        <w:spacing w:after="0"/>
      </w:pPr>
      <w:r>
        <w:separator/>
      </w:r>
    </w:p>
  </w:footnote>
  <w:footnote w:type="continuationSeparator" w:id="0">
    <w:p w14:paraId="2E4C26CC" w14:textId="77777777" w:rsidR="00F33A01" w:rsidRDefault="00F33A01" w:rsidP="005403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CF44" w14:textId="28864F5D" w:rsidR="005403FF" w:rsidRDefault="00F33A01">
    <w:pPr>
      <w:pStyle w:val="Antrats"/>
    </w:pPr>
    <w:r>
      <w:rPr>
        <w:noProof/>
        <w14:ligatures w14:val="standardContextual"/>
      </w:rPr>
      <w:pict w14:anchorId="439F7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878391" o:spid="_x0000_s1026" type="#_x0000_t75" style="position:absolute;margin-left:0;margin-top:0;width:595.45pt;height:842.15pt;z-index:-251657216;mso-position-horizontal:center;mso-position-horizontal-relative:margin;mso-position-vertical:center;mso-position-vertical-relative:margin" o:allowincell="f">
          <v:imagedata r:id="rId1" o:title="BlankasL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C67E" w14:textId="6DC90D42" w:rsidR="005403FF" w:rsidRPr="000157AB" w:rsidRDefault="00F33A01">
    <w:pPr>
      <w:pStyle w:val="Antrats"/>
      <w:rPr>
        <w:lang w:val="lt-LT"/>
      </w:rPr>
    </w:pPr>
    <w:r>
      <w:rPr>
        <w:noProof/>
        <w14:ligatures w14:val="standardContextual"/>
      </w:rPr>
      <w:pict w14:anchorId="550E8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878390" o:spid="_x0000_s1025" type="#_x0000_t75" style="position:absolute;margin-left:0;margin-top:0;width:595.45pt;height:842.15pt;z-index:-251658240;mso-position-horizontal:center;mso-position-horizontal-relative:margin;mso-position-vertical:center;mso-position-vertical-relative:margin" o:allowincell="f">
          <v:imagedata r:id="rId1" o:title="BlankasL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F31CE"/>
    <w:multiLevelType w:val="hybridMultilevel"/>
    <w:tmpl w:val="C0B6B4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DF37A74"/>
    <w:multiLevelType w:val="hybridMultilevel"/>
    <w:tmpl w:val="4F84FA10"/>
    <w:lvl w:ilvl="0" w:tplc="E312B2F0">
      <w:start w:val="1"/>
      <w:numFmt w:val="decimal"/>
      <w:lvlText w:val="%1."/>
      <w:lvlJc w:val="left"/>
      <w:pPr>
        <w:ind w:left="770" w:hanging="4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0E12743"/>
    <w:multiLevelType w:val="hybridMultilevel"/>
    <w:tmpl w:val="74E02E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0885686">
    <w:abstractNumId w:val="0"/>
  </w:num>
  <w:num w:numId="2" w16cid:durableId="1409837961">
    <w:abstractNumId w:val="2"/>
  </w:num>
  <w:num w:numId="3" w16cid:durableId="148983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01"/>
    <w:rsid w:val="0001298D"/>
    <w:rsid w:val="000156E3"/>
    <w:rsid w:val="000157AB"/>
    <w:rsid w:val="00020E04"/>
    <w:rsid w:val="00020F83"/>
    <w:rsid w:val="00022D55"/>
    <w:rsid w:val="00023928"/>
    <w:rsid w:val="00027F49"/>
    <w:rsid w:val="00030405"/>
    <w:rsid w:val="0003400F"/>
    <w:rsid w:val="000425AE"/>
    <w:rsid w:val="00051C08"/>
    <w:rsid w:val="00052F05"/>
    <w:rsid w:val="00071027"/>
    <w:rsid w:val="00071E43"/>
    <w:rsid w:val="000859B2"/>
    <w:rsid w:val="00085EA7"/>
    <w:rsid w:val="00086BF4"/>
    <w:rsid w:val="00086C9D"/>
    <w:rsid w:val="00095120"/>
    <w:rsid w:val="00096644"/>
    <w:rsid w:val="000A0F65"/>
    <w:rsid w:val="000A142D"/>
    <w:rsid w:val="000A1DC4"/>
    <w:rsid w:val="000A4F4E"/>
    <w:rsid w:val="000A72E9"/>
    <w:rsid w:val="000B22AC"/>
    <w:rsid w:val="000B5344"/>
    <w:rsid w:val="000B75EC"/>
    <w:rsid w:val="000D0531"/>
    <w:rsid w:val="000D7782"/>
    <w:rsid w:val="000E0EAC"/>
    <w:rsid w:val="000E7349"/>
    <w:rsid w:val="000E7477"/>
    <w:rsid w:val="000F4B51"/>
    <w:rsid w:val="000F580F"/>
    <w:rsid w:val="00102C79"/>
    <w:rsid w:val="0010348A"/>
    <w:rsid w:val="001049F7"/>
    <w:rsid w:val="00112B64"/>
    <w:rsid w:val="0011352C"/>
    <w:rsid w:val="00114EFE"/>
    <w:rsid w:val="00125697"/>
    <w:rsid w:val="00130A70"/>
    <w:rsid w:val="00130FE3"/>
    <w:rsid w:val="001330F4"/>
    <w:rsid w:val="00144927"/>
    <w:rsid w:val="00145C2A"/>
    <w:rsid w:val="00155103"/>
    <w:rsid w:val="0015686B"/>
    <w:rsid w:val="001569B7"/>
    <w:rsid w:val="001617E1"/>
    <w:rsid w:val="00161B96"/>
    <w:rsid w:val="00166C1A"/>
    <w:rsid w:val="00166E97"/>
    <w:rsid w:val="00171D66"/>
    <w:rsid w:val="00174D11"/>
    <w:rsid w:val="00177A1F"/>
    <w:rsid w:val="00180A70"/>
    <w:rsid w:val="00182978"/>
    <w:rsid w:val="00183419"/>
    <w:rsid w:val="00186FDA"/>
    <w:rsid w:val="001909C8"/>
    <w:rsid w:val="00191D9E"/>
    <w:rsid w:val="00192DE8"/>
    <w:rsid w:val="001A0E49"/>
    <w:rsid w:val="001B3FBE"/>
    <w:rsid w:val="001B68A9"/>
    <w:rsid w:val="001B7AA3"/>
    <w:rsid w:val="001C1785"/>
    <w:rsid w:val="001D1EAA"/>
    <w:rsid w:val="001D64FF"/>
    <w:rsid w:val="001D770D"/>
    <w:rsid w:val="001D7C89"/>
    <w:rsid w:val="001E106C"/>
    <w:rsid w:val="001E125A"/>
    <w:rsid w:val="001E2C07"/>
    <w:rsid w:val="001E5CAB"/>
    <w:rsid w:val="001F1CA2"/>
    <w:rsid w:val="001F4C0D"/>
    <w:rsid w:val="00204F92"/>
    <w:rsid w:val="00205734"/>
    <w:rsid w:val="00206C3F"/>
    <w:rsid w:val="00211BA5"/>
    <w:rsid w:val="00212920"/>
    <w:rsid w:val="00212DE7"/>
    <w:rsid w:val="002140F7"/>
    <w:rsid w:val="00217D8B"/>
    <w:rsid w:val="00220A21"/>
    <w:rsid w:val="002302C0"/>
    <w:rsid w:val="00233331"/>
    <w:rsid w:val="00234EBE"/>
    <w:rsid w:val="00234EE5"/>
    <w:rsid w:val="00235A67"/>
    <w:rsid w:val="00236486"/>
    <w:rsid w:val="00241F66"/>
    <w:rsid w:val="00243101"/>
    <w:rsid w:val="00247C89"/>
    <w:rsid w:val="002504B5"/>
    <w:rsid w:val="00255FF1"/>
    <w:rsid w:val="002578A8"/>
    <w:rsid w:val="00260D57"/>
    <w:rsid w:val="00265CBF"/>
    <w:rsid w:val="00265F96"/>
    <w:rsid w:val="0026684F"/>
    <w:rsid w:val="002701E5"/>
    <w:rsid w:val="0027473C"/>
    <w:rsid w:val="00280DAD"/>
    <w:rsid w:val="002810FB"/>
    <w:rsid w:val="0028144D"/>
    <w:rsid w:val="00286BCB"/>
    <w:rsid w:val="00287222"/>
    <w:rsid w:val="00293AC3"/>
    <w:rsid w:val="002952E1"/>
    <w:rsid w:val="00297940"/>
    <w:rsid w:val="00297943"/>
    <w:rsid w:val="002B3B37"/>
    <w:rsid w:val="002C4D52"/>
    <w:rsid w:val="002D0D1E"/>
    <w:rsid w:val="002D74D5"/>
    <w:rsid w:val="002E3688"/>
    <w:rsid w:val="002E5760"/>
    <w:rsid w:val="002E6AF0"/>
    <w:rsid w:val="002F2BFA"/>
    <w:rsid w:val="0030070A"/>
    <w:rsid w:val="0030302D"/>
    <w:rsid w:val="00306A94"/>
    <w:rsid w:val="0031246A"/>
    <w:rsid w:val="00320295"/>
    <w:rsid w:val="003221EA"/>
    <w:rsid w:val="00326E3F"/>
    <w:rsid w:val="0033687F"/>
    <w:rsid w:val="00337C51"/>
    <w:rsid w:val="003415D4"/>
    <w:rsid w:val="003456E1"/>
    <w:rsid w:val="003504FE"/>
    <w:rsid w:val="00351BE0"/>
    <w:rsid w:val="003536DA"/>
    <w:rsid w:val="003537B8"/>
    <w:rsid w:val="0036051B"/>
    <w:rsid w:val="003648F7"/>
    <w:rsid w:val="00367DA5"/>
    <w:rsid w:val="003716EB"/>
    <w:rsid w:val="003728FC"/>
    <w:rsid w:val="0037722A"/>
    <w:rsid w:val="00377F81"/>
    <w:rsid w:val="00377FD5"/>
    <w:rsid w:val="003868B3"/>
    <w:rsid w:val="003877C2"/>
    <w:rsid w:val="00393D72"/>
    <w:rsid w:val="00397471"/>
    <w:rsid w:val="003A46AF"/>
    <w:rsid w:val="003A5342"/>
    <w:rsid w:val="003A7CD3"/>
    <w:rsid w:val="003B0CEB"/>
    <w:rsid w:val="003B4A02"/>
    <w:rsid w:val="003B6B9E"/>
    <w:rsid w:val="003B7A34"/>
    <w:rsid w:val="003D336B"/>
    <w:rsid w:val="003D490F"/>
    <w:rsid w:val="003D72F6"/>
    <w:rsid w:val="003E41FE"/>
    <w:rsid w:val="003F0F40"/>
    <w:rsid w:val="003F4394"/>
    <w:rsid w:val="0040734A"/>
    <w:rsid w:val="004074AD"/>
    <w:rsid w:val="0041350C"/>
    <w:rsid w:val="00417F96"/>
    <w:rsid w:val="004252C9"/>
    <w:rsid w:val="00427063"/>
    <w:rsid w:val="0043045A"/>
    <w:rsid w:val="00434554"/>
    <w:rsid w:val="0044003E"/>
    <w:rsid w:val="00442BF0"/>
    <w:rsid w:val="004470DD"/>
    <w:rsid w:val="004507B8"/>
    <w:rsid w:val="00471A0B"/>
    <w:rsid w:val="00484772"/>
    <w:rsid w:val="00486884"/>
    <w:rsid w:val="00491C27"/>
    <w:rsid w:val="0049622F"/>
    <w:rsid w:val="0049707F"/>
    <w:rsid w:val="004A16D0"/>
    <w:rsid w:val="004A4C59"/>
    <w:rsid w:val="004A562F"/>
    <w:rsid w:val="004B0B4A"/>
    <w:rsid w:val="004B115B"/>
    <w:rsid w:val="004B20A8"/>
    <w:rsid w:val="004B251F"/>
    <w:rsid w:val="004B6823"/>
    <w:rsid w:val="004C359C"/>
    <w:rsid w:val="004C66D0"/>
    <w:rsid w:val="004C6987"/>
    <w:rsid w:val="004C7F04"/>
    <w:rsid w:val="004D2F9E"/>
    <w:rsid w:val="004D6BA4"/>
    <w:rsid w:val="004D79A2"/>
    <w:rsid w:val="004E6619"/>
    <w:rsid w:val="004F2CD0"/>
    <w:rsid w:val="004F2EA0"/>
    <w:rsid w:val="005005B8"/>
    <w:rsid w:val="00506B22"/>
    <w:rsid w:val="00512850"/>
    <w:rsid w:val="00516432"/>
    <w:rsid w:val="00517C96"/>
    <w:rsid w:val="0053245E"/>
    <w:rsid w:val="005337CB"/>
    <w:rsid w:val="0053676A"/>
    <w:rsid w:val="005377EA"/>
    <w:rsid w:val="005403FF"/>
    <w:rsid w:val="00542720"/>
    <w:rsid w:val="00542795"/>
    <w:rsid w:val="00543069"/>
    <w:rsid w:val="00543944"/>
    <w:rsid w:val="00543FA3"/>
    <w:rsid w:val="005618CC"/>
    <w:rsid w:val="005620AB"/>
    <w:rsid w:val="00562AD1"/>
    <w:rsid w:val="00572770"/>
    <w:rsid w:val="00573F82"/>
    <w:rsid w:val="00574219"/>
    <w:rsid w:val="0057553C"/>
    <w:rsid w:val="005761A2"/>
    <w:rsid w:val="0058074B"/>
    <w:rsid w:val="00584663"/>
    <w:rsid w:val="00585A92"/>
    <w:rsid w:val="005870DA"/>
    <w:rsid w:val="00590623"/>
    <w:rsid w:val="00594C71"/>
    <w:rsid w:val="00596EF8"/>
    <w:rsid w:val="005A018C"/>
    <w:rsid w:val="005A4647"/>
    <w:rsid w:val="005B776C"/>
    <w:rsid w:val="005C0A0B"/>
    <w:rsid w:val="005C0FB1"/>
    <w:rsid w:val="005C2237"/>
    <w:rsid w:val="005C3147"/>
    <w:rsid w:val="005D3B4E"/>
    <w:rsid w:val="005D5E65"/>
    <w:rsid w:val="005E10D1"/>
    <w:rsid w:val="005E1DE2"/>
    <w:rsid w:val="005E22ED"/>
    <w:rsid w:val="005E5440"/>
    <w:rsid w:val="005E76B2"/>
    <w:rsid w:val="005F3C6D"/>
    <w:rsid w:val="005F5C6C"/>
    <w:rsid w:val="005F77C9"/>
    <w:rsid w:val="006077FE"/>
    <w:rsid w:val="006107AC"/>
    <w:rsid w:val="00613F39"/>
    <w:rsid w:val="006204E2"/>
    <w:rsid w:val="00622CCE"/>
    <w:rsid w:val="00625381"/>
    <w:rsid w:val="00625627"/>
    <w:rsid w:val="00632F5D"/>
    <w:rsid w:val="00635D26"/>
    <w:rsid w:val="00642050"/>
    <w:rsid w:val="0064253E"/>
    <w:rsid w:val="00644918"/>
    <w:rsid w:val="00646270"/>
    <w:rsid w:val="00647822"/>
    <w:rsid w:val="0065671A"/>
    <w:rsid w:val="00660A28"/>
    <w:rsid w:val="00662B3C"/>
    <w:rsid w:val="00663B45"/>
    <w:rsid w:val="00674713"/>
    <w:rsid w:val="00674B75"/>
    <w:rsid w:val="00676DF9"/>
    <w:rsid w:val="00680074"/>
    <w:rsid w:val="00684DD7"/>
    <w:rsid w:val="006910D7"/>
    <w:rsid w:val="006A0A30"/>
    <w:rsid w:val="006B1264"/>
    <w:rsid w:val="006B1A32"/>
    <w:rsid w:val="006B55F8"/>
    <w:rsid w:val="006B6A7F"/>
    <w:rsid w:val="006C0B77"/>
    <w:rsid w:val="006C563B"/>
    <w:rsid w:val="006D79F0"/>
    <w:rsid w:val="006E7390"/>
    <w:rsid w:val="006F0978"/>
    <w:rsid w:val="006F2A44"/>
    <w:rsid w:val="006F38F5"/>
    <w:rsid w:val="006F4CED"/>
    <w:rsid w:val="0071218F"/>
    <w:rsid w:val="007123E2"/>
    <w:rsid w:val="00712890"/>
    <w:rsid w:val="007153E1"/>
    <w:rsid w:val="00720F65"/>
    <w:rsid w:val="007278E3"/>
    <w:rsid w:val="0074041C"/>
    <w:rsid w:val="00741825"/>
    <w:rsid w:val="00742AC9"/>
    <w:rsid w:val="00745CEC"/>
    <w:rsid w:val="00745E34"/>
    <w:rsid w:val="00746D47"/>
    <w:rsid w:val="00750410"/>
    <w:rsid w:val="00763604"/>
    <w:rsid w:val="00765B47"/>
    <w:rsid w:val="00770F02"/>
    <w:rsid w:val="007751B8"/>
    <w:rsid w:val="00780AE1"/>
    <w:rsid w:val="00784838"/>
    <w:rsid w:val="00785E37"/>
    <w:rsid w:val="00787608"/>
    <w:rsid w:val="00795376"/>
    <w:rsid w:val="00795825"/>
    <w:rsid w:val="007A3C90"/>
    <w:rsid w:val="007B296D"/>
    <w:rsid w:val="007B433B"/>
    <w:rsid w:val="007B6722"/>
    <w:rsid w:val="007B7170"/>
    <w:rsid w:val="007C130F"/>
    <w:rsid w:val="007C62E9"/>
    <w:rsid w:val="007D16CF"/>
    <w:rsid w:val="007D747D"/>
    <w:rsid w:val="007D75DA"/>
    <w:rsid w:val="007E10AE"/>
    <w:rsid w:val="007E28D6"/>
    <w:rsid w:val="007E2A10"/>
    <w:rsid w:val="007F2339"/>
    <w:rsid w:val="007F351C"/>
    <w:rsid w:val="007F5D06"/>
    <w:rsid w:val="00801245"/>
    <w:rsid w:val="00805BC3"/>
    <w:rsid w:val="00806708"/>
    <w:rsid w:val="00815739"/>
    <w:rsid w:val="0081623C"/>
    <w:rsid w:val="00816836"/>
    <w:rsid w:val="008242FF"/>
    <w:rsid w:val="00825C36"/>
    <w:rsid w:val="00827E51"/>
    <w:rsid w:val="008379DD"/>
    <w:rsid w:val="00840599"/>
    <w:rsid w:val="00842926"/>
    <w:rsid w:val="0084589A"/>
    <w:rsid w:val="008532A8"/>
    <w:rsid w:val="0085708C"/>
    <w:rsid w:val="008600D0"/>
    <w:rsid w:val="00860C60"/>
    <w:rsid w:val="00863AF9"/>
    <w:rsid w:val="00864AB5"/>
    <w:rsid w:val="0086540B"/>
    <w:rsid w:val="008658A8"/>
    <w:rsid w:val="008664C5"/>
    <w:rsid w:val="00866AF6"/>
    <w:rsid w:val="00870751"/>
    <w:rsid w:val="00871667"/>
    <w:rsid w:val="00874D04"/>
    <w:rsid w:val="0087597A"/>
    <w:rsid w:val="00877A3B"/>
    <w:rsid w:val="00887488"/>
    <w:rsid w:val="00896219"/>
    <w:rsid w:val="00897B66"/>
    <w:rsid w:val="008B2223"/>
    <w:rsid w:val="008C2BCE"/>
    <w:rsid w:val="008C455D"/>
    <w:rsid w:val="008C557A"/>
    <w:rsid w:val="008D3663"/>
    <w:rsid w:val="008D5352"/>
    <w:rsid w:val="008D63C1"/>
    <w:rsid w:val="008E1E05"/>
    <w:rsid w:val="008E3F17"/>
    <w:rsid w:val="008E68A3"/>
    <w:rsid w:val="008F20A5"/>
    <w:rsid w:val="008F59A5"/>
    <w:rsid w:val="008F72E5"/>
    <w:rsid w:val="008F7611"/>
    <w:rsid w:val="00904904"/>
    <w:rsid w:val="009064DB"/>
    <w:rsid w:val="0091041F"/>
    <w:rsid w:val="009143F6"/>
    <w:rsid w:val="00915624"/>
    <w:rsid w:val="00915EC1"/>
    <w:rsid w:val="00916505"/>
    <w:rsid w:val="0092024A"/>
    <w:rsid w:val="009213DF"/>
    <w:rsid w:val="00922C48"/>
    <w:rsid w:val="0092613A"/>
    <w:rsid w:val="0093020B"/>
    <w:rsid w:val="009334B7"/>
    <w:rsid w:val="0094036B"/>
    <w:rsid w:val="0094151F"/>
    <w:rsid w:val="00944FF8"/>
    <w:rsid w:val="00946024"/>
    <w:rsid w:val="009470EF"/>
    <w:rsid w:val="00947BB2"/>
    <w:rsid w:val="00950DA9"/>
    <w:rsid w:val="009546B1"/>
    <w:rsid w:val="009605B0"/>
    <w:rsid w:val="0096745F"/>
    <w:rsid w:val="009737EC"/>
    <w:rsid w:val="00973B76"/>
    <w:rsid w:val="00975C62"/>
    <w:rsid w:val="00975C9A"/>
    <w:rsid w:val="009922D7"/>
    <w:rsid w:val="0099247D"/>
    <w:rsid w:val="00993220"/>
    <w:rsid w:val="00997ECA"/>
    <w:rsid w:val="009A378D"/>
    <w:rsid w:val="009A47E4"/>
    <w:rsid w:val="009A607D"/>
    <w:rsid w:val="009B4115"/>
    <w:rsid w:val="009B49A9"/>
    <w:rsid w:val="009B7F97"/>
    <w:rsid w:val="009D28DB"/>
    <w:rsid w:val="009E09B2"/>
    <w:rsid w:val="009E32B5"/>
    <w:rsid w:val="009E553B"/>
    <w:rsid w:val="009E5F12"/>
    <w:rsid w:val="009F1031"/>
    <w:rsid w:val="009F3A20"/>
    <w:rsid w:val="009F5B48"/>
    <w:rsid w:val="00A1528B"/>
    <w:rsid w:val="00A27120"/>
    <w:rsid w:val="00A30A44"/>
    <w:rsid w:val="00A363BF"/>
    <w:rsid w:val="00A4027A"/>
    <w:rsid w:val="00A51647"/>
    <w:rsid w:val="00A519FD"/>
    <w:rsid w:val="00A51D3C"/>
    <w:rsid w:val="00A57E45"/>
    <w:rsid w:val="00A60DE1"/>
    <w:rsid w:val="00A71B6E"/>
    <w:rsid w:val="00A738FC"/>
    <w:rsid w:val="00A81CBC"/>
    <w:rsid w:val="00A82E40"/>
    <w:rsid w:val="00A85061"/>
    <w:rsid w:val="00A90C62"/>
    <w:rsid w:val="00A9352F"/>
    <w:rsid w:val="00A96077"/>
    <w:rsid w:val="00AA23DD"/>
    <w:rsid w:val="00AA56E4"/>
    <w:rsid w:val="00AA62EB"/>
    <w:rsid w:val="00AB71DC"/>
    <w:rsid w:val="00AB7576"/>
    <w:rsid w:val="00AC33CC"/>
    <w:rsid w:val="00AC3BB4"/>
    <w:rsid w:val="00AC6A8B"/>
    <w:rsid w:val="00AE18CE"/>
    <w:rsid w:val="00AE4612"/>
    <w:rsid w:val="00AE7939"/>
    <w:rsid w:val="00AE7C83"/>
    <w:rsid w:val="00AF0A61"/>
    <w:rsid w:val="00AF11B4"/>
    <w:rsid w:val="00AF3299"/>
    <w:rsid w:val="00AF3CB7"/>
    <w:rsid w:val="00AF5EFA"/>
    <w:rsid w:val="00B0182A"/>
    <w:rsid w:val="00B04A94"/>
    <w:rsid w:val="00B16177"/>
    <w:rsid w:val="00B17A20"/>
    <w:rsid w:val="00B259A8"/>
    <w:rsid w:val="00B313B5"/>
    <w:rsid w:val="00B411BB"/>
    <w:rsid w:val="00B433E4"/>
    <w:rsid w:val="00B4478A"/>
    <w:rsid w:val="00B56339"/>
    <w:rsid w:val="00B56CF1"/>
    <w:rsid w:val="00B6019E"/>
    <w:rsid w:val="00B60514"/>
    <w:rsid w:val="00B61094"/>
    <w:rsid w:val="00B632D9"/>
    <w:rsid w:val="00B67F79"/>
    <w:rsid w:val="00B809E2"/>
    <w:rsid w:val="00B80B53"/>
    <w:rsid w:val="00B82ED9"/>
    <w:rsid w:val="00B86655"/>
    <w:rsid w:val="00B86A3A"/>
    <w:rsid w:val="00B915B7"/>
    <w:rsid w:val="00B93C33"/>
    <w:rsid w:val="00B953EA"/>
    <w:rsid w:val="00B95589"/>
    <w:rsid w:val="00B95FCC"/>
    <w:rsid w:val="00BA20AF"/>
    <w:rsid w:val="00BB03F5"/>
    <w:rsid w:val="00BB2AE0"/>
    <w:rsid w:val="00BC1F33"/>
    <w:rsid w:val="00BC4764"/>
    <w:rsid w:val="00BC4CFA"/>
    <w:rsid w:val="00BC5535"/>
    <w:rsid w:val="00BD4641"/>
    <w:rsid w:val="00BE07A9"/>
    <w:rsid w:val="00BE4E3B"/>
    <w:rsid w:val="00BF20BF"/>
    <w:rsid w:val="00C01981"/>
    <w:rsid w:val="00C05184"/>
    <w:rsid w:val="00C051B7"/>
    <w:rsid w:val="00C10059"/>
    <w:rsid w:val="00C2056C"/>
    <w:rsid w:val="00C2325D"/>
    <w:rsid w:val="00C356F0"/>
    <w:rsid w:val="00C436B8"/>
    <w:rsid w:val="00C4391B"/>
    <w:rsid w:val="00C53CCD"/>
    <w:rsid w:val="00C55BBF"/>
    <w:rsid w:val="00C61A78"/>
    <w:rsid w:val="00C63D18"/>
    <w:rsid w:val="00C70DEB"/>
    <w:rsid w:val="00C87E05"/>
    <w:rsid w:val="00C92346"/>
    <w:rsid w:val="00C92F48"/>
    <w:rsid w:val="00C95BDD"/>
    <w:rsid w:val="00CA06CF"/>
    <w:rsid w:val="00CA0C33"/>
    <w:rsid w:val="00CB675A"/>
    <w:rsid w:val="00CB6EA6"/>
    <w:rsid w:val="00CD34F3"/>
    <w:rsid w:val="00CD48B5"/>
    <w:rsid w:val="00CE2410"/>
    <w:rsid w:val="00CE3B0D"/>
    <w:rsid w:val="00CE4202"/>
    <w:rsid w:val="00CE5551"/>
    <w:rsid w:val="00CE5AED"/>
    <w:rsid w:val="00CE7FEF"/>
    <w:rsid w:val="00CF35A0"/>
    <w:rsid w:val="00D033E3"/>
    <w:rsid w:val="00D1226B"/>
    <w:rsid w:val="00D14529"/>
    <w:rsid w:val="00D219E0"/>
    <w:rsid w:val="00D3714C"/>
    <w:rsid w:val="00D371EB"/>
    <w:rsid w:val="00D37D22"/>
    <w:rsid w:val="00D406FD"/>
    <w:rsid w:val="00D40CDA"/>
    <w:rsid w:val="00D42F54"/>
    <w:rsid w:val="00D44124"/>
    <w:rsid w:val="00D47366"/>
    <w:rsid w:val="00D52C3F"/>
    <w:rsid w:val="00D6728E"/>
    <w:rsid w:val="00D73279"/>
    <w:rsid w:val="00D73E82"/>
    <w:rsid w:val="00D7424E"/>
    <w:rsid w:val="00D75EC8"/>
    <w:rsid w:val="00D77993"/>
    <w:rsid w:val="00D82737"/>
    <w:rsid w:val="00D8382D"/>
    <w:rsid w:val="00D83880"/>
    <w:rsid w:val="00D85480"/>
    <w:rsid w:val="00D8603C"/>
    <w:rsid w:val="00DA3188"/>
    <w:rsid w:val="00DA5221"/>
    <w:rsid w:val="00DB4974"/>
    <w:rsid w:val="00DB4D67"/>
    <w:rsid w:val="00DB536E"/>
    <w:rsid w:val="00DB7097"/>
    <w:rsid w:val="00DC634D"/>
    <w:rsid w:val="00DD136B"/>
    <w:rsid w:val="00DD2A82"/>
    <w:rsid w:val="00DD5237"/>
    <w:rsid w:val="00DD58D2"/>
    <w:rsid w:val="00DE0479"/>
    <w:rsid w:val="00DE735D"/>
    <w:rsid w:val="00DE7A25"/>
    <w:rsid w:val="00DF22F0"/>
    <w:rsid w:val="00DF4517"/>
    <w:rsid w:val="00DF5A48"/>
    <w:rsid w:val="00DF6371"/>
    <w:rsid w:val="00DF7847"/>
    <w:rsid w:val="00E018FE"/>
    <w:rsid w:val="00E05707"/>
    <w:rsid w:val="00E063D3"/>
    <w:rsid w:val="00E06D64"/>
    <w:rsid w:val="00E0711C"/>
    <w:rsid w:val="00E075AC"/>
    <w:rsid w:val="00E10124"/>
    <w:rsid w:val="00E11BF1"/>
    <w:rsid w:val="00E147D3"/>
    <w:rsid w:val="00E149F4"/>
    <w:rsid w:val="00E17097"/>
    <w:rsid w:val="00E21162"/>
    <w:rsid w:val="00E21931"/>
    <w:rsid w:val="00E25FE0"/>
    <w:rsid w:val="00E308E5"/>
    <w:rsid w:val="00E31DF4"/>
    <w:rsid w:val="00E3519D"/>
    <w:rsid w:val="00E366E8"/>
    <w:rsid w:val="00E36DA9"/>
    <w:rsid w:val="00E40655"/>
    <w:rsid w:val="00E440D1"/>
    <w:rsid w:val="00E4412C"/>
    <w:rsid w:val="00E5431E"/>
    <w:rsid w:val="00E604FD"/>
    <w:rsid w:val="00E60BF4"/>
    <w:rsid w:val="00E62222"/>
    <w:rsid w:val="00E704CB"/>
    <w:rsid w:val="00E77AE1"/>
    <w:rsid w:val="00E80DDB"/>
    <w:rsid w:val="00E81F0E"/>
    <w:rsid w:val="00E825B3"/>
    <w:rsid w:val="00E855F3"/>
    <w:rsid w:val="00E92D14"/>
    <w:rsid w:val="00E96833"/>
    <w:rsid w:val="00EA4EFF"/>
    <w:rsid w:val="00EA59DF"/>
    <w:rsid w:val="00EA5AD2"/>
    <w:rsid w:val="00EB5175"/>
    <w:rsid w:val="00EB7FE4"/>
    <w:rsid w:val="00EC095D"/>
    <w:rsid w:val="00EC10B6"/>
    <w:rsid w:val="00EC65ED"/>
    <w:rsid w:val="00EC6A44"/>
    <w:rsid w:val="00ED1934"/>
    <w:rsid w:val="00ED332D"/>
    <w:rsid w:val="00ED3478"/>
    <w:rsid w:val="00ED5DC4"/>
    <w:rsid w:val="00EE4070"/>
    <w:rsid w:val="00EE6193"/>
    <w:rsid w:val="00EE6A41"/>
    <w:rsid w:val="00EF3735"/>
    <w:rsid w:val="00EF5156"/>
    <w:rsid w:val="00EF6922"/>
    <w:rsid w:val="00EF77B9"/>
    <w:rsid w:val="00EF7C4A"/>
    <w:rsid w:val="00F01D8D"/>
    <w:rsid w:val="00F03477"/>
    <w:rsid w:val="00F0391F"/>
    <w:rsid w:val="00F10656"/>
    <w:rsid w:val="00F12C76"/>
    <w:rsid w:val="00F13438"/>
    <w:rsid w:val="00F14EF0"/>
    <w:rsid w:val="00F15F22"/>
    <w:rsid w:val="00F16A2C"/>
    <w:rsid w:val="00F176BD"/>
    <w:rsid w:val="00F21588"/>
    <w:rsid w:val="00F215D0"/>
    <w:rsid w:val="00F26052"/>
    <w:rsid w:val="00F26BF3"/>
    <w:rsid w:val="00F324B8"/>
    <w:rsid w:val="00F33230"/>
    <w:rsid w:val="00F33A01"/>
    <w:rsid w:val="00F41CD4"/>
    <w:rsid w:val="00F57865"/>
    <w:rsid w:val="00F6042B"/>
    <w:rsid w:val="00F66CEA"/>
    <w:rsid w:val="00F70AA8"/>
    <w:rsid w:val="00F74ACE"/>
    <w:rsid w:val="00F77172"/>
    <w:rsid w:val="00F81C6A"/>
    <w:rsid w:val="00F82004"/>
    <w:rsid w:val="00F84285"/>
    <w:rsid w:val="00F84D42"/>
    <w:rsid w:val="00F858B5"/>
    <w:rsid w:val="00F9123F"/>
    <w:rsid w:val="00F91DC5"/>
    <w:rsid w:val="00F93C2B"/>
    <w:rsid w:val="00F93C4D"/>
    <w:rsid w:val="00F96CE7"/>
    <w:rsid w:val="00FA0989"/>
    <w:rsid w:val="00FA14E1"/>
    <w:rsid w:val="00FA276D"/>
    <w:rsid w:val="00FA3619"/>
    <w:rsid w:val="00FA433D"/>
    <w:rsid w:val="00FA4E23"/>
    <w:rsid w:val="00FA716B"/>
    <w:rsid w:val="00FB3554"/>
    <w:rsid w:val="00FB5A85"/>
    <w:rsid w:val="00FB5DF7"/>
    <w:rsid w:val="00FD2A09"/>
    <w:rsid w:val="00FD529A"/>
    <w:rsid w:val="00FE4D24"/>
    <w:rsid w:val="00FE5033"/>
    <w:rsid w:val="00FE6207"/>
    <w:rsid w:val="00FE6D20"/>
    <w:rsid w:val="00FE7BE0"/>
    <w:rsid w:val="00FF0625"/>
    <w:rsid w:val="00FF11F7"/>
    <w:rsid w:val="00FF45DD"/>
    <w:rsid w:val="00FF4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4D55C"/>
  <w15:chartTrackingRefBased/>
  <w15:docId w15:val="{C860E659-A04B-45CE-8EE1-CFD42CDB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5B7"/>
    <w:pPr>
      <w:spacing w:line="240" w:lineRule="auto"/>
    </w:pPr>
    <w:rPr>
      <w:rFonts w:ascii="Times New Roman" w:hAnsi="Times New Roman"/>
      <w:kern w:val="0"/>
      <w:sz w:val="28"/>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403FF"/>
    <w:pPr>
      <w:tabs>
        <w:tab w:val="center" w:pos="4680"/>
        <w:tab w:val="right" w:pos="9360"/>
      </w:tabs>
      <w:spacing w:after="0"/>
    </w:pPr>
  </w:style>
  <w:style w:type="character" w:customStyle="1" w:styleId="AntratsDiagrama">
    <w:name w:val="Antraštės Diagrama"/>
    <w:basedOn w:val="Numatytasispastraiposriftas"/>
    <w:link w:val="Antrats"/>
    <w:uiPriority w:val="99"/>
    <w:rsid w:val="005403FF"/>
    <w:rPr>
      <w:rFonts w:ascii="Times New Roman" w:hAnsi="Times New Roman"/>
      <w:kern w:val="0"/>
      <w:sz w:val="28"/>
      <w14:ligatures w14:val="none"/>
    </w:rPr>
  </w:style>
  <w:style w:type="paragraph" w:styleId="Porat">
    <w:name w:val="footer"/>
    <w:basedOn w:val="prastasis"/>
    <w:link w:val="PoratDiagrama"/>
    <w:uiPriority w:val="99"/>
    <w:unhideWhenUsed/>
    <w:rsid w:val="005403FF"/>
    <w:pPr>
      <w:tabs>
        <w:tab w:val="center" w:pos="4680"/>
        <w:tab w:val="right" w:pos="9360"/>
      </w:tabs>
      <w:spacing w:after="0"/>
    </w:pPr>
  </w:style>
  <w:style w:type="character" w:customStyle="1" w:styleId="PoratDiagrama">
    <w:name w:val="Poraštė Diagrama"/>
    <w:basedOn w:val="Numatytasispastraiposriftas"/>
    <w:link w:val="Porat"/>
    <w:uiPriority w:val="99"/>
    <w:rsid w:val="005403FF"/>
    <w:rPr>
      <w:rFonts w:ascii="Times New Roman" w:hAnsi="Times New Roman"/>
      <w:kern w:val="0"/>
      <w:sz w:val="28"/>
      <w14:ligatures w14:val="none"/>
    </w:rPr>
  </w:style>
  <w:style w:type="paragraph" w:styleId="Betarp">
    <w:name w:val="No Spacing"/>
    <w:uiPriority w:val="1"/>
    <w:qFormat/>
    <w:rsid w:val="003B0CEB"/>
    <w:pPr>
      <w:spacing w:after="0" w:line="240" w:lineRule="auto"/>
    </w:pPr>
    <w:rPr>
      <w:rFonts w:ascii="Times New Roman" w:hAnsi="Times New Roman"/>
      <w:kern w:val="0"/>
      <w:sz w:val="28"/>
      <w14:ligatures w14:val="none"/>
    </w:rPr>
  </w:style>
  <w:style w:type="character" w:styleId="Hipersaitas">
    <w:name w:val="Hyperlink"/>
    <w:basedOn w:val="Numatytasispastraiposriftas"/>
    <w:uiPriority w:val="99"/>
    <w:unhideWhenUsed/>
    <w:rsid w:val="00E21931"/>
    <w:rPr>
      <w:color w:val="0563C1" w:themeColor="hyperlink"/>
      <w:u w:val="single"/>
    </w:rPr>
  </w:style>
  <w:style w:type="character" w:styleId="Neapdorotaspaminjimas">
    <w:name w:val="Unresolved Mention"/>
    <w:basedOn w:val="Numatytasispastraiposriftas"/>
    <w:uiPriority w:val="99"/>
    <w:semiHidden/>
    <w:unhideWhenUsed/>
    <w:rsid w:val="00E21931"/>
    <w:rPr>
      <w:color w:val="605E5C"/>
      <w:shd w:val="clear" w:color="auto" w:fill="E1DFDD"/>
    </w:rPr>
  </w:style>
  <w:style w:type="paragraph" w:styleId="Sraopastraipa">
    <w:name w:val="List Paragraph"/>
    <w:basedOn w:val="prastasis"/>
    <w:uiPriority w:val="34"/>
    <w:qFormat/>
    <w:rsid w:val="00E21931"/>
    <w:pPr>
      <w:ind w:left="720"/>
      <w:contextualSpacing/>
    </w:pPr>
  </w:style>
  <w:style w:type="table" w:styleId="Lentelstinklelis">
    <w:name w:val="Table Grid"/>
    <w:basedOn w:val="prastojilentel"/>
    <w:uiPriority w:val="39"/>
    <w:rsid w:val="00740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1246A"/>
    <w:pPr>
      <w:spacing w:after="0" w:line="240" w:lineRule="auto"/>
    </w:pPr>
    <w:rPr>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DF22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prastasis"/>
    <w:rsid w:val="00DF22F0"/>
    <w:pPr>
      <w:spacing w:before="100" w:beforeAutospacing="1" w:after="100" w:afterAutospacing="1"/>
    </w:pPr>
    <w:rPr>
      <w:rFonts w:eastAsia="Times New Roman" w:cs="Times New Roman"/>
      <w:sz w:val="24"/>
      <w:szCs w:val="24"/>
      <w:lang w:val="lt-LT" w:eastAsia="lt-LT"/>
    </w:rPr>
  </w:style>
  <w:style w:type="paragraph" w:styleId="Komentarotekstas">
    <w:name w:val="annotation text"/>
    <w:basedOn w:val="prastasis"/>
    <w:link w:val="KomentarotekstasDiagrama"/>
    <w:uiPriority w:val="99"/>
    <w:unhideWhenUsed/>
    <w:rsid w:val="00DF22F0"/>
    <w:pPr>
      <w:spacing w:line="256" w:lineRule="auto"/>
    </w:pPr>
    <w:rPr>
      <w:rFonts w:asciiTheme="minorHAnsi" w:eastAsiaTheme="minorEastAsia" w:hAnsiTheme="minorHAnsi" w:cs="Times New Roman"/>
      <w:kern w:val="2"/>
      <w:sz w:val="20"/>
      <w:szCs w:val="20"/>
      <w:lang w:val="lt-LT" w:eastAsia="lt-LT"/>
    </w:rPr>
  </w:style>
  <w:style w:type="character" w:customStyle="1" w:styleId="KomentarotekstasDiagrama">
    <w:name w:val="Komentaro tekstas Diagrama"/>
    <w:basedOn w:val="Numatytasispastraiposriftas"/>
    <w:link w:val="Komentarotekstas"/>
    <w:uiPriority w:val="99"/>
    <w:rsid w:val="00DF22F0"/>
    <w:rPr>
      <w:rFonts w:eastAsiaTheme="minorEastAsia" w:cs="Times New Roman"/>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DF22F0"/>
    <w:rPr>
      <w:b/>
      <w:bCs/>
    </w:rPr>
  </w:style>
  <w:style w:type="character" w:customStyle="1" w:styleId="KomentarotemaDiagrama">
    <w:name w:val="Komentaro tema Diagrama"/>
    <w:basedOn w:val="KomentarotekstasDiagrama"/>
    <w:link w:val="Komentarotema"/>
    <w:uiPriority w:val="99"/>
    <w:semiHidden/>
    <w:rsid w:val="00DF22F0"/>
    <w:rPr>
      <w:rFonts w:eastAsiaTheme="minorEastAsia" w:cs="Times New Roman"/>
      <w:b/>
      <w:bCs/>
      <w:sz w:val="20"/>
      <w:szCs w:val="20"/>
      <w:lang w:val="lt-LT" w:eastAsia="lt-LT"/>
      <w14:ligatures w14:val="none"/>
    </w:rPr>
  </w:style>
  <w:style w:type="paragraph" w:styleId="Debesliotekstas">
    <w:name w:val="Balloon Text"/>
    <w:basedOn w:val="prastasis"/>
    <w:link w:val="DebesliotekstasDiagrama"/>
    <w:uiPriority w:val="99"/>
    <w:semiHidden/>
    <w:unhideWhenUsed/>
    <w:rsid w:val="00DF22F0"/>
    <w:pPr>
      <w:spacing w:after="0"/>
    </w:pPr>
    <w:rPr>
      <w:rFonts w:ascii="Segoe UI" w:eastAsiaTheme="minorEastAsia" w:hAnsi="Segoe UI" w:cs="Segoe UI"/>
      <w:kern w:val="2"/>
      <w:sz w:val="18"/>
      <w:szCs w:val="18"/>
      <w:lang w:val="lt-LT" w:eastAsia="lt-LT"/>
    </w:rPr>
  </w:style>
  <w:style w:type="character" w:customStyle="1" w:styleId="DebesliotekstasDiagrama">
    <w:name w:val="Debesėlio tekstas Diagrama"/>
    <w:basedOn w:val="Numatytasispastraiposriftas"/>
    <w:link w:val="Debesliotekstas"/>
    <w:uiPriority w:val="99"/>
    <w:semiHidden/>
    <w:rsid w:val="00DF22F0"/>
    <w:rPr>
      <w:rFonts w:ascii="Segoe UI" w:eastAsiaTheme="minorEastAsia" w:hAnsi="Segoe UI" w:cs="Segoe UI"/>
      <w:sz w:val="18"/>
      <w:szCs w:val="18"/>
      <w:lang w:val="lt-LT" w:eastAsia="lt-LT"/>
      <w14:ligatures w14:val="none"/>
    </w:rPr>
  </w:style>
  <w:style w:type="paragraph" w:styleId="Pataisymai">
    <w:name w:val="Revision"/>
    <w:uiPriority w:val="99"/>
    <w:semiHidden/>
    <w:rsid w:val="00DF22F0"/>
    <w:pPr>
      <w:spacing w:after="0" w:line="240" w:lineRule="auto"/>
    </w:pPr>
    <w:rPr>
      <w:rFonts w:eastAsiaTheme="minorEastAsia" w:cs="Times New Roman"/>
      <w:lang w:val="lt-LT" w:eastAsia="lt-LT"/>
      <w14:ligatures w14:val="none"/>
    </w:rPr>
  </w:style>
  <w:style w:type="paragraph" w:customStyle="1" w:styleId="Default">
    <w:name w:val="Default"/>
    <w:rsid w:val="00DF22F0"/>
    <w:pPr>
      <w:autoSpaceDE w:val="0"/>
      <w:autoSpaceDN w:val="0"/>
      <w:adjustRightInd w:val="0"/>
      <w:spacing w:after="0" w:line="240" w:lineRule="auto"/>
    </w:pPr>
    <w:rPr>
      <w:rFonts w:ascii="Times New Roman" w:eastAsiaTheme="minorEastAsia" w:hAnsi="Times New Roman" w:cs="Times New Roman"/>
      <w:color w:val="000000"/>
      <w:kern w:val="0"/>
      <w:sz w:val="24"/>
      <w:szCs w:val="24"/>
      <w:lang w:val="lt-LT"/>
      <w14:ligatures w14:val="none"/>
    </w:rPr>
  </w:style>
  <w:style w:type="character" w:styleId="Komentaronuoroda">
    <w:name w:val="annotation reference"/>
    <w:basedOn w:val="Numatytasispastraiposriftas"/>
    <w:uiPriority w:val="99"/>
    <w:semiHidden/>
    <w:unhideWhenUsed/>
    <w:rsid w:val="00DF22F0"/>
    <w:rPr>
      <w:rFonts w:ascii="Times New Roman" w:hAnsi="Times New Roman" w:cs="Times New Roman" w:hint="default"/>
      <w:sz w:val="16"/>
      <w:szCs w:val="16"/>
    </w:rPr>
  </w:style>
  <w:style w:type="character" w:customStyle="1" w:styleId="elpatostilius16">
    <w:name w:val="elpatostilius16"/>
    <w:semiHidden/>
    <w:rsid w:val="00DF22F0"/>
    <w:rPr>
      <w:rFonts w:ascii="Calibri" w:hAnsi="Calibri" w:cs="Calibri" w:hint="default"/>
      <w:color w:val="000000"/>
    </w:rPr>
  </w:style>
  <w:style w:type="character" w:customStyle="1" w:styleId="KomentarotemaDiagrama2">
    <w:name w:val="Komentaro tema Diagrama2"/>
    <w:basedOn w:val="KomentarotekstasDiagrama"/>
    <w:uiPriority w:val="99"/>
    <w:semiHidden/>
    <w:locked/>
    <w:rsid w:val="00DF22F0"/>
    <w:rPr>
      <w:rFonts w:eastAsiaTheme="minorEastAsia" w:cs="Times New Roman"/>
      <w:b/>
      <w:bCs/>
      <w:sz w:val="20"/>
      <w:szCs w:val="20"/>
      <w:lang w:val="lt-LT" w:eastAsia="lt-LT"/>
      <w14:ligatures w14:val="none"/>
    </w:rPr>
  </w:style>
  <w:style w:type="character" w:customStyle="1" w:styleId="CommentSubjectChar1">
    <w:name w:val="Comment Subject Char1"/>
    <w:basedOn w:val="KomentarotekstasDiagrama"/>
    <w:uiPriority w:val="99"/>
    <w:semiHidden/>
    <w:rsid w:val="00DF22F0"/>
    <w:rPr>
      <w:rFonts w:eastAsiaTheme="minorEastAsia" w:cs="Times New Roman" w:hint="default"/>
      <w:b/>
      <w:bCs/>
      <w:sz w:val="20"/>
      <w:szCs w:val="20"/>
      <w:lang w:val="lt-LT" w:eastAsia="lt-LT"/>
      <w14:ligatures w14:val="none"/>
    </w:rPr>
  </w:style>
  <w:style w:type="character" w:customStyle="1" w:styleId="CommentSubjectChar">
    <w:name w:val="Comment Subject Char"/>
    <w:basedOn w:val="KomentarotekstasDiagrama"/>
    <w:uiPriority w:val="99"/>
    <w:semiHidden/>
    <w:rsid w:val="00DF22F0"/>
    <w:rPr>
      <w:rFonts w:eastAsiaTheme="minorEastAsia" w:cs="Times New Roman" w:hint="default"/>
      <w:b/>
      <w:bCs/>
      <w:sz w:val="20"/>
      <w:szCs w:val="20"/>
      <w:lang w:val="lt-LT" w:eastAsia="lt-LT"/>
      <w14:ligatures w14:val="none"/>
    </w:rPr>
  </w:style>
  <w:style w:type="character" w:customStyle="1" w:styleId="KomentarotemaDiagrama1">
    <w:name w:val="Komentaro tema Diagrama1"/>
    <w:basedOn w:val="KomentarotekstasDiagrama"/>
    <w:uiPriority w:val="99"/>
    <w:semiHidden/>
    <w:rsid w:val="00DF22F0"/>
    <w:rPr>
      <w:rFonts w:eastAsiaTheme="minorEastAsia" w:cs="Times New Roman" w:hint="default"/>
      <w:b/>
      <w:bCs/>
      <w:sz w:val="20"/>
      <w:szCs w:val="20"/>
      <w:lang w:val="lt-LT" w:eastAsia="lt-LT"/>
      <w14:ligatures w14:val="none"/>
    </w:rPr>
  </w:style>
  <w:style w:type="character" w:customStyle="1" w:styleId="KomentarotemaDiagrama13">
    <w:name w:val="Komentaro tema Diagrama13"/>
    <w:basedOn w:val="KomentarotekstasDiagrama"/>
    <w:uiPriority w:val="99"/>
    <w:semiHidden/>
    <w:rsid w:val="00DF22F0"/>
    <w:rPr>
      <w:rFonts w:eastAsiaTheme="minorEastAsia" w:cs="Times New Roman" w:hint="default"/>
      <w:b/>
      <w:bCs/>
      <w:sz w:val="20"/>
      <w:szCs w:val="20"/>
      <w:lang w:val="lt-LT" w:eastAsia="lt-LT"/>
      <w14:ligatures w14:val="none"/>
    </w:rPr>
  </w:style>
  <w:style w:type="character" w:customStyle="1" w:styleId="KomentarotemaDiagrama12">
    <w:name w:val="Komentaro tema Diagrama12"/>
    <w:basedOn w:val="KomentarotekstasDiagrama"/>
    <w:uiPriority w:val="99"/>
    <w:semiHidden/>
    <w:rsid w:val="00DF22F0"/>
    <w:rPr>
      <w:rFonts w:eastAsiaTheme="minorEastAsia" w:cs="Times New Roman" w:hint="default"/>
      <w:b/>
      <w:bCs/>
      <w:sz w:val="20"/>
      <w:szCs w:val="20"/>
      <w:lang w:val="lt-LT" w:eastAsia="lt-LT"/>
      <w14:ligatures w14:val="none"/>
    </w:rPr>
  </w:style>
  <w:style w:type="character" w:customStyle="1" w:styleId="KomentarotemaDiagrama11">
    <w:name w:val="Komentaro tema Diagrama11"/>
    <w:basedOn w:val="KomentarotekstasDiagrama"/>
    <w:uiPriority w:val="99"/>
    <w:semiHidden/>
    <w:rsid w:val="00DF22F0"/>
    <w:rPr>
      <w:rFonts w:eastAsiaTheme="minorEastAsia" w:cs="Times New Roman" w:hint="default"/>
      <w:b/>
      <w:bCs/>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simanaviciene\Desktop\2025%20metine%20ataskaista\2025%20metai%20ataskai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jsimanaviciene\Desktop\2025%20metine%20ataskaista\Duomenys%20apie%20vakcinas%202025.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simanaviciene\Desktop\2025%20metine%20ataskaista\2025%20metai%20ataskai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simanaviciene\Desktop\2025%20metine%20ataskaista\2025%20metai%20ataskai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simanaviciene\Desktop\2025%20metine%20ataskaista\2025%20metai%20ataskai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simanaviciene\Desktop\2025%20metine%20ataskaista\2025%20metai%20ataskai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simanaviciene\Desktop\2025%20metine%20ataskaista\2025%20metai%20ataskai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jsimanaviciene\Desktop\2025%20metine%20ataskaista\2025%20metai%20ataskai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jsimanaviciene\Desktop\2025%20metine%20ataskaista\Duomenys%20apie%20vakcinas%20202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jsimanaviciene\Desktop\2025%20metine%20ataskaista\Duomenys%20apie%20vakcinas%20202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ĮNR</a:t>
            </a:r>
            <a:r>
              <a:rPr lang="lt-LT" baseline="0"/>
              <a:t> pranešimų skaičius 2015 - 2025 metais</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'grafikai nauji'!$C$3</c:f>
              <c:strCache>
                <c:ptCount val="1"/>
                <c:pt idx="0">
                  <c:v>Pranešimų skaičius</c:v>
                </c:pt>
              </c:strCache>
            </c:strRef>
          </c:tx>
          <c:spPr>
            <a:ln w="190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'grafikai nauji'!$B$4:$B$14</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'grafikai nauji'!$C$4:$C$14</c:f>
              <c:numCache>
                <c:formatCode>General</c:formatCode>
                <c:ptCount val="11"/>
                <c:pt idx="0">
                  <c:v>584</c:v>
                </c:pt>
                <c:pt idx="1">
                  <c:v>705</c:v>
                </c:pt>
                <c:pt idx="2">
                  <c:v>861</c:v>
                </c:pt>
                <c:pt idx="3">
                  <c:v>1450</c:v>
                </c:pt>
                <c:pt idx="4">
                  <c:v>1739</c:v>
                </c:pt>
                <c:pt idx="5">
                  <c:v>1338</c:v>
                </c:pt>
                <c:pt idx="6">
                  <c:v>7609</c:v>
                </c:pt>
                <c:pt idx="7">
                  <c:v>2003</c:v>
                </c:pt>
                <c:pt idx="8">
                  <c:v>953</c:v>
                </c:pt>
                <c:pt idx="9">
                  <c:v>932</c:v>
                </c:pt>
                <c:pt idx="10">
                  <c:v>1049</c:v>
                </c:pt>
              </c:numCache>
            </c:numRef>
          </c:val>
          <c:smooth val="0"/>
          <c:extLst>
            <c:ext xmlns:c16="http://schemas.microsoft.com/office/drawing/2014/chart" uri="{C3380CC4-5D6E-409C-BE32-E72D297353CC}">
              <c16:uniqueId val="{00000000-A2FA-4E0A-9328-D2C312F80276}"/>
            </c:ext>
          </c:extLst>
        </c:ser>
        <c:dLbls>
          <c:showLegendKey val="0"/>
          <c:showVal val="0"/>
          <c:showCatName val="0"/>
          <c:showSerName val="0"/>
          <c:showPercent val="0"/>
          <c:showBubbleSize val="0"/>
        </c:dLbls>
        <c:smooth val="0"/>
        <c:axId val="2102658480"/>
        <c:axId val="2102658000"/>
      </c:lineChart>
      <c:catAx>
        <c:axId val="210265848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Metai</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102658000"/>
        <c:crosses val="autoZero"/>
        <c:auto val="1"/>
        <c:lblAlgn val="ctr"/>
        <c:lblOffset val="100"/>
        <c:tickMarkSkip val="1"/>
        <c:noMultiLvlLbl val="0"/>
      </c:catAx>
      <c:valAx>
        <c:axId val="2102658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ĮNR</a:t>
                </a:r>
                <a:r>
                  <a:rPr lang="lt-LT" baseline="0"/>
                  <a:t> p</a:t>
                </a:r>
                <a:r>
                  <a:rPr lang="lt-LT"/>
                  <a:t>ranešimų</a:t>
                </a:r>
                <a:r>
                  <a:rPr lang="lt-LT" baseline="0"/>
                  <a:t> skaičius</a:t>
                </a:r>
                <a:endParaRPr lang="lt-LT"/>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1026584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a:latin typeface="Calibri" panose="020F0502020204030204" pitchFamily="34" charset="0"/>
                <a:ea typeface="Calibri" panose="020F0502020204030204" pitchFamily="34" charset="0"/>
                <a:cs typeface="Calibri" panose="020F0502020204030204" pitchFamily="34" charset="0"/>
              </a:rPr>
              <a:t>Pacientų, kuriems pasireiškė ĮNR po vakcinacijos, pasiskirstymas pagal amžių</a:t>
            </a:r>
            <a:endParaRPr lang="en-US" sz="1400" b="0">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'Grafikai, lentelės'!$H$29:$N$29</c:f>
              <c:strCache>
                <c:ptCount val="7"/>
                <c:pt idx="0">
                  <c:v>Iki 1 m.</c:v>
                </c:pt>
                <c:pt idx="1">
                  <c:v>1-19 m.</c:v>
                </c:pt>
                <c:pt idx="2">
                  <c:v>20-39 m.</c:v>
                </c:pt>
                <c:pt idx="3">
                  <c:v>40-59 m.</c:v>
                </c:pt>
                <c:pt idx="4">
                  <c:v>60-79 m.</c:v>
                </c:pt>
                <c:pt idx="5">
                  <c:v>Virš 80 m.</c:v>
                </c:pt>
                <c:pt idx="6">
                  <c:v>Nežinoma</c:v>
                </c:pt>
              </c:strCache>
            </c:strRef>
          </c:cat>
          <c:val>
            <c:numRef>
              <c:f>'Grafikai, lentelės'!$H$30:$N$30</c:f>
              <c:numCache>
                <c:formatCode>General</c:formatCode>
                <c:ptCount val="7"/>
                <c:pt idx="0">
                  <c:v>12</c:v>
                </c:pt>
                <c:pt idx="1">
                  <c:v>31</c:v>
                </c:pt>
                <c:pt idx="2">
                  <c:v>20</c:v>
                </c:pt>
                <c:pt idx="3">
                  <c:v>18</c:v>
                </c:pt>
                <c:pt idx="4">
                  <c:v>6</c:v>
                </c:pt>
                <c:pt idx="5">
                  <c:v>3</c:v>
                </c:pt>
                <c:pt idx="6">
                  <c:v>7</c:v>
                </c:pt>
              </c:numCache>
            </c:numRef>
          </c:val>
          <c:extLst>
            <c:ext xmlns:c16="http://schemas.microsoft.com/office/drawing/2014/chart" uri="{C3380CC4-5D6E-409C-BE32-E72D297353CC}">
              <c16:uniqueId val="{00000000-E7BC-49DC-A81D-72A0C512BA37}"/>
            </c:ext>
          </c:extLst>
        </c:ser>
        <c:dLbls>
          <c:dLblPos val="outEnd"/>
          <c:showLegendKey val="0"/>
          <c:showVal val="1"/>
          <c:showCatName val="0"/>
          <c:showSerName val="0"/>
          <c:showPercent val="0"/>
          <c:showBubbleSize val="0"/>
        </c:dLbls>
        <c:gapWidth val="219"/>
        <c:overlap val="-27"/>
        <c:axId val="478537488"/>
        <c:axId val="478542288"/>
      </c:barChart>
      <c:catAx>
        <c:axId val="47853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8542288"/>
        <c:crosses val="autoZero"/>
        <c:auto val="1"/>
        <c:lblAlgn val="ctr"/>
        <c:lblOffset val="100"/>
        <c:noMultiLvlLbl val="0"/>
      </c:catAx>
      <c:valAx>
        <c:axId val="478542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ĮNR</a:t>
                </a:r>
                <a:r>
                  <a:rPr lang="lt-LT" baseline="0"/>
                  <a:t> atvejų skaičius (vnt.)</a:t>
                </a:r>
                <a:endParaRPr lang="lt-LT"/>
              </a:p>
            </c:rich>
          </c:tx>
          <c:layout>
            <c:manualLayout>
              <c:xMode val="edge"/>
              <c:yMode val="edge"/>
              <c:x val="1.8541409147095178E-2"/>
              <c:y val="0.3623094275377739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8537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0"/>
              <a:t>Sunkių</a:t>
            </a:r>
            <a:r>
              <a:rPr lang="en-GB" b="0" baseline="0"/>
              <a:t> ir nesunkių ĮNR pranešimų santykio dinamika</a:t>
            </a:r>
            <a:endParaRPr lang="en-GB" b="0"/>
          </a:p>
        </c:rich>
      </c:tx>
      <c:layout>
        <c:manualLayout>
          <c:xMode val="edge"/>
          <c:yMode val="edge"/>
          <c:x val="0.25771053882842354"/>
          <c:y val="2.054286025556209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stacked"/>
        <c:varyColors val="0"/>
        <c:ser>
          <c:idx val="0"/>
          <c:order val="0"/>
          <c:tx>
            <c:strRef>
              <c:f>'grafikai nauji'!$C$30</c:f>
              <c:strCache>
                <c:ptCount val="1"/>
                <c:pt idx="0">
                  <c:v>Sunkių ĮNR pranešimų skaičius</c:v>
                </c:pt>
              </c:strCache>
            </c:strRef>
          </c:tx>
          <c:spPr>
            <a:solidFill>
              <a:schemeClr val="accent1"/>
            </a:solidFill>
            <a:ln>
              <a:noFill/>
            </a:ln>
            <a:effectLst/>
          </c:spPr>
          <c:invertIfNegative val="0"/>
          <c:cat>
            <c:numRef>
              <c:f>'grafikai nauji'!$B$31:$B$35</c:f>
              <c:numCache>
                <c:formatCode>General</c:formatCode>
                <c:ptCount val="5"/>
                <c:pt idx="0">
                  <c:v>2021</c:v>
                </c:pt>
                <c:pt idx="1">
                  <c:v>2022</c:v>
                </c:pt>
                <c:pt idx="2">
                  <c:v>2023</c:v>
                </c:pt>
                <c:pt idx="3">
                  <c:v>2024</c:v>
                </c:pt>
                <c:pt idx="4">
                  <c:v>2025</c:v>
                </c:pt>
              </c:numCache>
            </c:numRef>
          </c:cat>
          <c:val>
            <c:numRef>
              <c:f>'grafikai nauji'!$C$31:$C$35</c:f>
              <c:numCache>
                <c:formatCode>General</c:formatCode>
                <c:ptCount val="5"/>
                <c:pt idx="0">
                  <c:v>713</c:v>
                </c:pt>
                <c:pt idx="1">
                  <c:v>358</c:v>
                </c:pt>
                <c:pt idx="2">
                  <c:v>287</c:v>
                </c:pt>
                <c:pt idx="3">
                  <c:v>243</c:v>
                </c:pt>
                <c:pt idx="4">
                  <c:v>262</c:v>
                </c:pt>
              </c:numCache>
            </c:numRef>
          </c:val>
          <c:extLst>
            <c:ext xmlns:c16="http://schemas.microsoft.com/office/drawing/2014/chart" uri="{C3380CC4-5D6E-409C-BE32-E72D297353CC}">
              <c16:uniqueId val="{00000000-90F8-4C3C-9E5A-EC45104F87B0}"/>
            </c:ext>
          </c:extLst>
        </c:ser>
        <c:ser>
          <c:idx val="1"/>
          <c:order val="1"/>
          <c:tx>
            <c:strRef>
              <c:f>'grafikai nauji'!$D$30</c:f>
              <c:strCache>
                <c:ptCount val="1"/>
                <c:pt idx="0">
                  <c:v>Nesunkių ĮNR pranešimų skaičius</c:v>
                </c:pt>
              </c:strCache>
            </c:strRef>
          </c:tx>
          <c:spPr>
            <a:solidFill>
              <a:schemeClr val="accent2"/>
            </a:solidFill>
            <a:ln>
              <a:noFill/>
            </a:ln>
            <a:effectLst/>
          </c:spPr>
          <c:invertIfNegative val="0"/>
          <c:cat>
            <c:numRef>
              <c:f>'grafikai nauji'!$B$31:$B$35</c:f>
              <c:numCache>
                <c:formatCode>General</c:formatCode>
                <c:ptCount val="5"/>
                <c:pt idx="0">
                  <c:v>2021</c:v>
                </c:pt>
                <c:pt idx="1">
                  <c:v>2022</c:v>
                </c:pt>
                <c:pt idx="2">
                  <c:v>2023</c:v>
                </c:pt>
                <c:pt idx="3">
                  <c:v>2024</c:v>
                </c:pt>
                <c:pt idx="4">
                  <c:v>2025</c:v>
                </c:pt>
              </c:numCache>
            </c:numRef>
          </c:cat>
          <c:val>
            <c:numRef>
              <c:f>'grafikai nauji'!$D$31:$D$35</c:f>
              <c:numCache>
                <c:formatCode>General</c:formatCode>
                <c:ptCount val="5"/>
                <c:pt idx="0">
                  <c:v>6896</c:v>
                </c:pt>
                <c:pt idx="1">
                  <c:v>1645</c:v>
                </c:pt>
                <c:pt idx="2">
                  <c:v>666</c:v>
                </c:pt>
                <c:pt idx="3">
                  <c:v>689</c:v>
                </c:pt>
                <c:pt idx="4">
                  <c:v>787</c:v>
                </c:pt>
              </c:numCache>
            </c:numRef>
          </c:val>
          <c:extLst>
            <c:ext xmlns:c16="http://schemas.microsoft.com/office/drawing/2014/chart" uri="{C3380CC4-5D6E-409C-BE32-E72D297353CC}">
              <c16:uniqueId val="{00000001-90F8-4C3C-9E5A-EC45104F87B0}"/>
            </c:ext>
          </c:extLst>
        </c:ser>
        <c:dLbls>
          <c:showLegendKey val="0"/>
          <c:showVal val="0"/>
          <c:showCatName val="0"/>
          <c:showSerName val="0"/>
          <c:showPercent val="0"/>
          <c:showBubbleSize val="0"/>
        </c:dLbls>
        <c:gapWidth val="150"/>
        <c:overlap val="100"/>
        <c:axId val="1424396447"/>
        <c:axId val="486116303"/>
      </c:barChart>
      <c:catAx>
        <c:axId val="14243964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Metai</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LT"/>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486116303"/>
        <c:crosses val="autoZero"/>
        <c:auto val="1"/>
        <c:lblAlgn val="ctr"/>
        <c:lblOffset val="100"/>
        <c:noMultiLvlLbl val="0"/>
      </c:catAx>
      <c:valAx>
        <c:axId val="4861163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ĮNR</a:t>
                </a:r>
                <a:r>
                  <a:rPr lang="en-GB" baseline="0"/>
                  <a:t> pranešimų skaičius</a:t>
                </a:r>
                <a:endParaRPr lang="en-GB"/>
              </a:p>
            </c:rich>
          </c:tx>
          <c:layout>
            <c:manualLayout>
              <c:xMode val="edge"/>
              <c:yMode val="edge"/>
              <c:x val="0.19391140384272884"/>
              <c:y val="0.210868573251082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42439644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LT"/>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Mirties atvejų skaičius pagal vaistų grupes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5992216490180106"/>
          <c:w val="1"/>
          <c:h val="0.51074072637472034"/>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635-4DC5-B4B2-D8A2F9E2EB8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635-4DC5-B4B2-D8A2F9E2EB8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635-4DC5-B4B2-D8A2F9E2EB8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635-4DC5-B4B2-D8A2F9E2EB8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635-4DC5-B4B2-D8A2F9E2EB8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'Mirties atvejai'!$D$21:$D$25</c:f>
              <c:strCache>
                <c:ptCount val="5"/>
                <c:pt idx="0">
                  <c:v>Antinavikiniai ir imunomoduliaciniai vaistai </c:v>
                </c:pt>
                <c:pt idx="1">
                  <c:v>Nervų sistemą veikiantys vaistai</c:v>
                </c:pt>
                <c:pt idx="2">
                  <c:v>Kraują ir kraujodarą veikiantys vaistai </c:v>
                </c:pt>
                <c:pt idx="3">
                  <c:v>Sistemiškai veikiantys priešinfekciniai vaistai</c:v>
                </c:pt>
                <c:pt idx="4">
                  <c:v>Virškininimo traktą ir metabolizmą veikiantys vaistai</c:v>
                </c:pt>
              </c:strCache>
            </c:strRef>
          </c:cat>
          <c:val>
            <c:numRef>
              <c:f>'Mirties atvejai'!$E$21:$E$25</c:f>
              <c:numCache>
                <c:formatCode>General</c:formatCode>
                <c:ptCount val="5"/>
                <c:pt idx="0">
                  <c:v>6</c:v>
                </c:pt>
                <c:pt idx="1">
                  <c:v>4</c:v>
                </c:pt>
                <c:pt idx="2">
                  <c:v>2</c:v>
                </c:pt>
                <c:pt idx="3">
                  <c:v>2</c:v>
                </c:pt>
                <c:pt idx="4">
                  <c:v>1</c:v>
                </c:pt>
              </c:numCache>
            </c:numRef>
          </c:val>
          <c:extLst>
            <c:ext xmlns:c16="http://schemas.microsoft.com/office/drawing/2014/chart" uri="{C3380CC4-5D6E-409C-BE32-E72D297353CC}">
              <c16:uniqueId val="{0000000A-0635-4DC5-B4B2-D8A2F9E2EB87}"/>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866808384789212"/>
          <c:y val="0.7316621425013663"/>
          <c:w val="0.66594283136482935"/>
          <c:h val="0.209049040396537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ĮNR</a:t>
            </a:r>
            <a:r>
              <a:rPr lang="lt-LT" baseline="0"/>
              <a:t> pranešimų šaltiniai</a:t>
            </a:r>
            <a:endParaRPr lang="lt-LT"/>
          </a:p>
        </c:rich>
      </c:tx>
      <c:layout>
        <c:manualLayout>
          <c:xMode val="edge"/>
          <c:yMode val="edge"/>
          <c:x val="0.42681172588767796"/>
          <c:y val="3.76354384124472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stacked"/>
        <c:varyColors val="0"/>
        <c:ser>
          <c:idx val="0"/>
          <c:order val="0"/>
          <c:tx>
            <c:strRef>
              <c:f>'grafikai nauji'!$D$48</c:f>
              <c:strCache>
                <c:ptCount val="1"/>
                <c:pt idx="0">
                  <c:v>Sveikatos priežiūros specialistai</c:v>
                </c:pt>
              </c:strCache>
            </c:strRef>
          </c:tx>
          <c:spPr>
            <a:solidFill>
              <a:schemeClr val="accent1"/>
            </a:solidFill>
            <a:ln>
              <a:noFill/>
            </a:ln>
            <a:effectLst/>
          </c:spPr>
          <c:invertIfNegative val="0"/>
          <c:cat>
            <c:numRef>
              <c:f>'grafikai nauji'!$C$49:$C$53</c:f>
              <c:numCache>
                <c:formatCode>General</c:formatCode>
                <c:ptCount val="5"/>
                <c:pt idx="0">
                  <c:v>2021</c:v>
                </c:pt>
                <c:pt idx="1">
                  <c:v>2022</c:v>
                </c:pt>
                <c:pt idx="2">
                  <c:v>2023</c:v>
                </c:pt>
                <c:pt idx="3">
                  <c:v>2024</c:v>
                </c:pt>
                <c:pt idx="4">
                  <c:v>2025</c:v>
                </c:pt>
              </c:numCache>
            </c:numRef>
          </c:cat>
          <c:val>
            <c:numRef>
              <c:f>'grafikai nauji'!$D$49:$D$53</c:f>
              <c:numCache>
                <c:formatCode>General</c:formatCode>
                <c:ptCount val="5"/>
                <c:pt idx="0">
                  <c:v>917</c:v>
                </c:pt>
                <c:pt idx="1">
                  <c:v>679</c:v>
                </c:pt>
                <c:pt idx="2">
                  <c:v>151</c:v>
                </c:pt>
                <c:pt idx="3">
                  <c:v>115</c:v>
                </c:pt>
                <c:pt idx="4">
                  <c:v>163</c:v>
                </c:pt>
              </c:numCache>
            </c:numRef>
          </c:val>
          <c:extLst>
            <c:ext xmlns:c16="http://schemas.microsoft.com/office/drawing/2014/chart" uri="{C3380CC4-5D6E-409C-BE32-E72D297353CC}">
              <c16:uniqueId val="{00000000-8BFA-48C7-956C-EB5AA630DF6A}"/>
            </c:ext>
          </c:extLst>
        </c:ser>
        <c:ser>
          <c:idx val="1"/>
          <c:order val="1"/>
          <c:tx>
            <c:strRef>
              <c:f>'grafikai nauji'!$E$48</c:f>
              <c:strCache>
                <c:ptCount val="1"/>
                <c:pt idx="0">
                  <c:v>Vaistininkai</c:v>
                </c:pt>
              </c:strCache>
            </c:strRef>
          </c:tx>
          <c:spPr>
            <a:solidFill>
              <a:schemeClr val="accent2"/>
            </a:solidFill>
            <a:ln>
              <a:noFill/>
            </a:ln>
            <a:effectLst/>
          </c:spPr>
          <c:invertIfNegative val="0"/>
          <c:cat>
            <c:numRef>
              <c:f>'grafikai nauji'!$C$49:$C$53</c:f>
              <c:numCache>
                <c:formatCode>General</c:formatCode>
                <c:ptCount val="5"/>
                <c:pt idx="0">
                  <c:v>2021</c:v>
                </c:pt>
                <c:pt idx="1">
                  <c:v>2022</c:v>
                </c:pt>
                <c:pt idx="2">
                  <c:v>2023</c:v>
                </c:pt>
                <c:pt idx="3">
                  <c:v>2024</c:v>
                </c:pt>
                <c:pt idx="4">
                  <c:v>2025</c:v>
                </c:pt>
              </c:numCache>
            </c:numRef>
          </c:cat>
          <c:val>
            <c:numRef>
              <c:f>'grafikai nauji'!$E$49:$E$53</c:f>
              <c:numCache>
                <c:formatCode>General</c:formatCode>
                <c:ptCount val="5"/>
                <c:pt idx="0">
                  <c:v>3</c:v>
                </c:pt>
                <c:pt idx="1">
                  <c:v>4</c:v>
                </c:pt>
                <c:pt idx="2">
                  <c:v>6</c:v>
                </c:pt>
                <c:pt idx="3">
                  <c:v>16</c:v>
                </c:pt>
                <c:pt idx="4">
                  <c:v>15</c:v>
                </c:pt>
              </c:numCache>
            </c:numRef>
          </c:val>
          <c:extLst>
            <c:ext xmlns:c16="http://schemas.microsoft.com/office/drawing/2014/chart" uri="{C3380CC4-5D6E-409C-BE32-E72D297353CC}">
              <c16:uniqueId val="{00000001-8BFA-48C7-956C-EB5AA630DF6A}"/>
            </c:ext>
          </c:extLst>
        </c:ser>
        <c:ser>
          <c:idx val="2"/>
          <c:order val="2"/>
          <c:tx>
            <c:strRef>
              <c:f>'grafikai nauji'!$F$48</c:f>
              <c:strCache>
                <c:ptCount val="1"/>
                <c:pt idx="0">
                  <c:v>Vaistinių preparatų registruotojai</c:v>
                </c:pt>
              </c:strCache>
            </c:strRef>
          </c:tx>
          <c:spPr>
            <a:solidFill>
              <a:schemeClr val="accent3"/>
            </a:solidFill>
            <a:ln>
              <a:noFill/>
            </a:ln>
            <a:effectLst/>
          </c:spPr>
          <c:invertIfNegative val="0"/>
          <c:cat>
            <c:numRef>
              <c:f>'grafikai nauji'!$C$49:$C$53</c:f>
              <c:numCache>
                <c:formatCode>General</c:formatCode>
                <c:ptCount val="5"/>
                <c:pt idx="0">
                  <c:v>2021</c:v>
                </c:pt>
                <c:pt idx="1">
                  <c:v>2022</c:v>
                </c:pt>
                <c:pt idx="2">
                  <c:v>2023</c:v>
                </c:pt>
                <c:pt idx="3">
                  <c:v>2024</c:v>
                </c:pt>
                <c:pt idx="4">
                  <c:v>2025</c:v>
                </c:pt>
              </c:numCache>
            </c:numRef>
          </c:cat>
          <c:val>
            <c:numRef>
              <c:f>'grafikai nauji'!$F$49:$F$53</c:f>
              <c:numCache>
                <c:formatCode>General</c:formatCode>
                <c:ptCount val="5"/>
                <c:pt idx="0">
                  <c:v>875</c:v>
                </c:pt>
                <c:pt idx="1">
                  <c:v>390</c:v>
                </c:pt>
                <c:pt idx="2">
                  <c:v>396</c:v>
                </c:pt>
                <c:pt idx="3">
                  <c:v>451</c:v>
                </c:pt>
                <c:pt idx="4">
                  <c:v>501</c:v>
                </c:pt>
              </c:numCache>
            </c:numRef>
          </c:val>
          <c:extLst>
            <c:ext xmlns:c16="http://schemas.microsoft.com/office/drawing/2014/chart" uri="{C3380CC4-5D6E-409C-BE32-E72D297353CC}">
              <c16:uniqueId val="{00000002-8BFA-48C7-956C-EB5AA630DF6A}"/>
            </c:ext>
          </c:extLst>
        </c:ser>
        <c:ser>
          <c:idx val="3"/>
          <c:order val="3"/>
          <c:tx>
            <c:strRef>
              <c:f>'grafikai nauji'!$G$48</c:f>
              <c:strCache>
                <c:ptCount val="1"/>
                <c:pt idx="0">
                  <c:v>Pacientai</c:v>
                </c:pt>
              </c:strCache>
            </c:strRef>
          </c:tx>
          <c:spPr>
            <a:solidFill>
              <a:schemeClr val="accent4"/>
            </a:solidFill>
            <a:ln>
              <a:noFill/>
            </a:ln>
            <a:effectLst/>
          </c:spPr>
          <c:invertIfNegative val="0"/>
          <c:cat>
            <c:numRef>
              <c:f>'grafikai nauji'!$C$49:$C$53</c:f>
              <c:numCache>
                <c:formatCode>General</c:formatCode>
                <c:ptCount val="5"/>
                <c:pt idx="0">
                  <c:v>2021</c:v>
                </c:pt>
                <c:pt idx="1">
                  <c:v>2022</c:v>
                </c:pt>
                <c:pt idx="2">
                  <c:v>2023</c:v>
                </c:pt>
                <c:pt idx="3">
                  <c:v>2024</c:v>
                </c:pt>
                <c:pt idx="4">
                  <c:v>2025</c:v>
                </c:pt>
              </c:numCache>
            </c:numRef>
          </c:cat>
          <c:val>
            <c:numRef>
              <c:f>'grafikai nauji'!$G$49:$G$53</c:f>
              <c:numCache>
                <c:formatCode>General</c:formatCode>
                <c:ptCount val="5"/>
                <c:pt idx="0">
                  <c:v>5814</c:v>
                </c:pt>
                <c:pt idx="1">
                  <c:v>930</c:v>
                </c:pt>
                <c:pt idx="2">
                  <c:v>400</c:v>
                </c:pt>
                <c:pt idx="3">
                  <c:v>350</c:v>
                </c:pt>
                <c:pt idx="4">
                  <c:v>370</c:v>
                </c:pt>
              </c:numCache>
            </c:numRef>
          </c:val>
          <c:extLst>
            <c:ext xmlns:c16="http://schemas.microsoft.com/office/drawing/2014/chart" uri="{C3380CC4-5D6E-409C-BE32-E72D297353CC}">
              <c16:uniqueId val="{00000003-8BFA-48C7-956C-EB5AA630DF6A}"/>
            </c:ext>
          </c:extLst>
        </c:ser>
        <c:dLbls>
          <c:showLegendKey val="0"/>
          <c:showVal val="0"/>
          <c:showCatName val="0"/>
          <c:showSerName val="0"/>
          <c:showPercent val="0"/>
          <c:showBubbleSize val="0"/>
        </c:dLbls>
        <c:gapWidth val="150"/>
        <c:overlap val="100"/>
        <c:axId val="344397600"/>
        <c:axId val="344396160"/>
      </c:barChart>
      <c:catAx>
        <c:axId val="344397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Metai</a:t>
                </a:r>
              </a:p>
            </c:rich>
          </c:tx>
          <c:layout>
            <c:manualLayout>
              <c:xMode val="edge"/>
              <c:yMode val="edge"/>
              <c:x val="0.52131882819482589"/>
              <c:y val="0.8976965084127318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44396160"/>
        <c:crosses val="autoZero"/>
        <c:auto val="1"/>
        <c:lblAlgn val="ctr"/>
        <c:lblOffset val="100"/>
        <c:noMultiLvlLbl val="0"/>
      </c:catAx>
      <c:valAx>
        <c:axId val="344396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 ĮNR</a:t>
                </a:r>
                <a:r>
                  <a:rPr lang="lt-LT" baseline="0"/>
                  <a:t> pranešimų skaičius</a:t>
                </a:r>
                <a:endParaRPr lang="lt-LT"/>
              </a:p>
            </c:rich>
          </c:tx>
          <c:layout>
            <c:manualLayout>
              <c:xMode val="edge"/>
              <c:yMode val="edge"/>
              <c:x val="0.14414412369381802"/>
              <c:y val="0.202934819145128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443976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Pacientų, kuriems pasireiškė ĮNR, pasiskirstymas pagal lytį proc.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'grafikai nauji'!$C$58</c:f>
              <c:strCache>
                <c:ptCount val="1"/>
                <c:pt idx="0">
                  <c:v>Moterys</c:v>
                </c:pt>
              </c:strCache>
            </c:strRef>
          </c:tx>
          <c:spPr>
            <a:solidFill>
              <a:schemeClr val="accent1"/>
            </a:solidFill>
            <a:ln>
              <a:noFill/>
            </a:ln>
            <a:effectLst/>
          </c:spPr>
          <c:invertIfNegative val="0"/>
          <c:cat>
            <c:numRef>
              <c:f>'grafikai nauji'!$B$59:$B$63</c:f>
              <c:numCache>
                <c:formatCode>General</c:formatCode>
                <c:ptCount val="5"/>
                <c:pt idx="0">
                  <c:v>2021</c:v>
                </c:pt>
                <c:pt idx="1">
                  <c:v>2022</c:v>
                </c:pt>
                <c:pt idx="2">
                  <c:v>2023</c:v>
                </c:pt>
                <c:pt idx="3">
                  <c:v>2024</c:v>
                </c:pt>
                <c:pt idx="4">
                  <c:v>2025</c:v>
                </c:pt>
              </c:numCache>
            </c:numRef>
          </c:cat>
          <c:val>
            <c:numRef>
              <c:f>'grafikai nauji'!$C$59:$C$63</c:f>
              <c:numCache>
                <c:formatCode>General</c:formatCode>
                <c:ptCount val="5"/>
                <c:pt idx="0">
                  <c:v>71</c:v>
                </c:pt>
                <c:pt idx="1">
                  <c:v>55</c:v>
                </c:pt>
                <c:pt idx="2">
                  <c:v>65</c:v>
                </c:pt>
                <c:pt idx="3">
                  <c:v>65.599999999999994</c:v>
                </c:pt>
                <c:pt idx="4">
                  <c:v>64.92</c:v>
                </c:pt>
              </c:numCache>
            </c:numRef>
          </c:val>
          <c:extLst>
            <c:ext xmlns:c16="http://schemas.microsoft.com/office/drawing/2014/chart" uri="{C3380CC4-5D6E-409C-BE32-E72D297353CC}">
              <c16:uniqueId val="{00000000-58EA-4162-8955-74CE4A231719}"/>
            </c:ext>
          </c:extLst>
        </c:ser>
        <c:ser>
          <c:idx val="1"/>
          <c:order val="1"/>
          <c:tx>
            <c:strRef>
              <c:f>'grafikai nauji'!$D$58</c:f>
              <c:strCache>
                <c:ptCount val="1"/>
                <c:pt idx="0">
                  <c:v>Vyrai</c:v>
                </c:pt>
              </c:strCache>
            </c:strRef>
          </c:tx>
          <c:spPr>
            <a:solidFill>
              <a:schemeClr val="accent2"/>
            </a:solidFill>
            <a:ln>
              <a:noFill/>
            </a:ln>
            <a:effectLst/>
          </c:spPr>
          <c:invertIfNegative val="0"/>
          <c:cat>
            <c:numRef>
              <c:f>'grafikai nauji'!$B$59:$B$63</c:f>
              <c:numCache>
                <c:formatCode>General</c:formatCode>
                <c:ptCount val="5"/>
                <c:pt idx="0">
                  <c:v>2021</c:v>
                </c:pt>
                <c:pt idx="1">
                  <c:v>2022</c:v>
                </c:pt>
                <c:pt idx="2">
                  <c:v>2023</c:v>
                </c:pt>
                <c:pt idx="3">
                  <c:v>2024</c:v>
                </c:pt>
                <c:pt idx="4">
                  <c:v>2025</c:v>
                </c:pt>
              </c:numCache>
            </c:numRef>
          </c:cat>
          <c:val>
            <c:numRef>
              <c:f>'grafikai nauji'!$D$59:$D$63</c:f>
              <c:numCache>
                <c:formatCode>General</c:formatCode>
                <c:ptCount val="5"/>
                <c:pt idx="0">
                  <c:v>28</c:v>
                </c:pt>
                <c:pt idx="1">
                  <c:v>44</c:v>
                </c:pt>
                <c:pt idx="2">
                  <c:v>32</c:v>
                </c:pt>
                <c:pt idx="3">
                  <c:v>31.5</c:v>
                </c:pt>
                <c:pt idx="4">
                  <c:v>30.6</c:v>
                </c:pt>
              </c:numCache>
            </c:numRef>
          </c:val>
          <c:extLst>
            <c:ext xmlns:c16="http://schemas.microsoft.com/office/drawing/2014/chart" uri="{C3380CC4-5D6E-409C-BE32-E72D297353CC}">
              <c16:uniqueId val="{00000001-58EA-4162-8955-74CE4A231719}"/>
            </c:ext>
          </c:extLst>
        </c:ser>
        <c:ser>
          <c:idx val="2"/>
          <c:order val="2"/>
          <c:tx>
            <c:strRef>
              <c:f>'grafikai nauji'!$E$58</c:f>
              <c:strCache>
                <c:ptCount val="1"/>
                <c:pt idx="0">
                  <c:v>Nežinoma</c:v>
                </c:pt>
              </c:strCache>
            </c:strRef>
          </c:tx>
          <c:spPr>
            <a:solidFill>
              <a:schemeClr val="accent3"/>
            </a:solidFill>
            <a:ln>
              <a:noFill/>
            </a:ln>
            <a:effectLst/>
          </c:spPr>
          <c:invertIfNegative val="0"/>
          <c:cat>
            <c:numRef>
              <c:f>'grafikai nauji'!$B$59:$B$63</c:f>
              <c:numCache>
                <c:formatCode>General</c:formatCode>
                <c:ptCount val="5"/>
                <c:pt idx="0">
                  <c:v>2021</c:v>
                </c:pt>
                <c:pt idx="1">
                  <c:v>2022</c:v>
                </c:pt>
                <c:pt idx="2">
                  <c:v>2023</c:v>
                </c:pt>
                <c:pt idx="3">
                  <c:v>2024</c:v>
                </c:pt>
                <c:pt idx="4">
                  <c:v>2025</c:v>
                </c:pt>
              </c:numCache>
            </c:numRef>
          </c:cat>
          <c:val>
            <c:numRef>
              <c:f>'grafikai nauji'!$E$59:$E$63</c:f>
              <c:numCache>
                <c:formatCode>General</c:formatCode>
                <c:ptCount val="5"/>
                <c:pt idx="0">
                  <c:v>1</c:v>
                </c:pt>
                <c:pt idx="1">
                  <c:v>1</c:v>
                </c:pt>
                <c:pt idx="2">
                  <c:v>3</c:v>
                </c:pt>
                <c:pt idx="3">
                  <c:v>2.9</c:v>
                </c:pt>
                <c:pt idx="4">
                  <c:v>4.4800000000000004</c:v>
                </c:pt>
              </c:numCache>
            </c:numRef>
          </c:val>
          <c:extLst>
            <c:ext xmlns:c16="http://schemas.microsoft.com/office/drawing/2014/chart" uri="{C3380CC4-5D6E-409C-BE32-E72D297353CC}">
              <c16:uniqueId val="{00000002-58EA-4162-8955-74CE4A231719}"/>
            </c:ext>
          </c:extLst>
        </c:ser>
        <c:dLbls>
          <c:showLegendKey val="0"/>
          <c:showVal val="0"/>
          <c:showCatName val="0"/>
          <c:showSerName val="0"/>
          <c:showPercent val="0"/>
          <c:showBubbleSize val="0"/>
        </c:dLbls>
        <c:gapWidth val="219"/>
        <c:overlap val="-27"/>
        <c:axId val="654432288"/>
        <c:axId val="654430848"/>
      </c:barChart>
      <c:catAx>
        <c:axId val="654432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Metai</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54430848"/>
        <c:crosses val="autoZero"/>
        <c:auto val="1"/>
        <c:lblAlgn val="ctr"/>
        <c:lblOffset val="100"/>
        <c:noMultiLvlLbl val="0"/>
      </c:catAx>
      <c:valAx>
        <c:axId val="654430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Procentai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544322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Pacientų, kuriems pasireiškė ĮNR, pasiskirstymas pagal amžių proc.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'grafikai nauji'!$B$89</c:f>
              <c:strCache>
                <c:ptCount val="1"/>
                <c:pt idx="0">
                  <c:v>2021</c:v>
                </c:pt>
              </c:strCache>
            </c:strRef>
          </c:tx>
          <c:spPr>
            <a:solidFill>
              <a:schemeClr val="accent1"/>
            </a:solidFill>
            <a:ln>
              <a:noFill/>
            </a:ln>
            <a:effectLst/>
            <a:sp3d/>
          </c:spPr>
          <c:invertIfNegative val="0"/>
          <c:cat>
            <c:strRef>
              <c:f>'grafikai nauji'!$C$88:$I$88</c:f>
              <c:strCache>
                <c:ptCount val="7"/>
                <c:pt idx="0">
                  <c:v>Nežinoma</c:v>
                </c:pt>
                <c:pt idx="1">
                  <c:v>Iki 1 m.</c:v>
                </c:pt>
                <c:pt idx="2">
                  <c:v>1-19 m.</c:v>
                </c:pt>
                <c:pt idx="3">
                  <c:v>20-39 m.</c:v>
                </c:pt>
                <c:pt idx="4">
                  <c:v>40-59 m.</c:v>
                </c:pt>
                <c:pt idx="5">
                  <c:v>60-79 m.</c:v>
                </c:pt>
                <c:pt idx="6">
                  <c:v>Virš 80 m.</c:v>
                </c:pt>
              </c:strCache>
            </c:strRef>
          </c:cat>
          <c:val>
            <c:numRef>
              <c:f>'grafikai nauji'!$C$89:$I$89</c:f>
              <c:numCache>
                <c:formatCode>General</c:formatCode>
                <c:ptCount val="7"/>
                <c:pt idx="0">
                  <c:v>8.1</c:v>
                </c:pt>
                <c:pt idx="1">
                  <c:v>0.2</c:v>
                </c:pt>
                <c:pt idx="2">
                  <c:v>3</c:v>
                </c:pt>
                <c:pt idx="3">
                  <c:v>38.799999999999997</c:v>
                </c:pt>
                <c:pt idx="4">
                  <c:v>29</c:v>
                </c:pt>
                <c:pt idx="5">
                  <c:v>17.100000000000001</c:v>
                </c:pt>
                <c:pt idx="6">
                  <c:v>3.8</c:v>
                </c:pt>
              </c:numCache>
            </c:numRef>
          </c:val>
          <c:extLst>
            <c:ext xmlns:c16="http://schemas.microsoft.com/office/drawing/2014/chart" uri="{C3380CC4-5D6E-409C-BE32-E72D297353CC}">
              <c16:uniqueId val="{00000000-091E-4C27-B567-C51F06903A0D}"/>
            </c:ext>
          </c:extLst>
        </c:ser>
        <c:ser>
          <c:idx val="1"/>
          <c:order val="1"/>
          <c:tx>
            <c:strRef>
              <c:f>'grafikai nauji'!$B$90</c:f>
              <c:strCache>
                <c:ptCount val="1"/>
                <c:pt idx="0">
                  <c:v>2022</c:v>
                </c:pt>
              </c:strCache>
            </c:strRef>
          </c:tx>
          <c:spPr>
            <a:solidFill>
              <a:schemeClr val="accent2"/>
            </a:solidFill>
            <a:ln>
              <a:noFill/>
            </a:ln>
            <a:effectLst/>
            <a:sp3d/>
          </c:spPr>
          <c:invertIfNegative val="0"/>
          <c:cat>
            <c:strRef>
              <c:f>'grafikai nauji'!$C$88:$I$88</c:f>
              <c:strCache>
                <c:ptCount val="7"/>
                <c:pt idx="0">
                  <c:v>Nežinoma</c:v>
                </c:pt>
                <c:pt idx="1">
                  <c:v>Iki 1 m.</c:v>
                </c:pt>
                <c:pt idx="2">
                  <c:v>1-19 m.</c:v>
                </c:pt>
                <c:pt idx="3">
                  <c:v>20-39 m.</c:v>
                </c:pt>
                <c:pt idx="4">
                  <c:v>40-59 m.</c:v>
                </c:pt>
                <c:pt idx="5">
                  <c:v>60-79 m.</c:v>
                </c:pt>
                <c:pt idx="6">
                  <c:v>Virš 80 m.</c:v>
                </c:pt>
              </c:strCache>
            </c:strRef>
          </c:cat>
          <c:val>
            <c:numRef>
              <c:f>'grafikai nauji'!$C$90:$I$90</c:f>
              <c:numCache>
                <c:formatCode>General</c:formatCode>
                <c:ptCount val="7"/>
                <c:pt idx="0">
                  <c:v>6.1</c:v>
                </c:pt>
                <c:pt idx="1">
                  <c:v>0.6</c:v>
                </c:pt>
                <c:pt idx="2">
                  <c:v>5.0999999999999996</c:v>
                </c:pt>
                <c:pt idx="3">
                  <c:v>36.1</c:v>
                </c:pt>
                <c:pt idx="4">
                  <c:v>27.2</c:v>
                </c:pt>
                <c:pt idx="5">
                  <c:v>19.100000000000001</c:v>
                </c:pt>
                <c:pt idx="6">
                  <c:v>5.8</c:v>
                </c:pt>
              </c:numCache>
            </c:numRef>
          </c:val>
          <c:extLst>
            <c:ext xmlns:c16="http://schemas.microsoft.com/office/drawing/2014/chart" uri="{C3380CC4-5D6E-409C-BE32-E72D297353CC}">
              <c16:uniqueId val="{00000001-091E-4C27-B567-C51F06903A0D}"/>
            </c:ext>
          </c:extLst>
        </c:ser>
        <c:ser>
          <c:idx val="2"/>
          <c:order val="2"/>
          <c:tx>
            <c:strRef>
              <c:f>'grafikai nauji'!$B$91</c:f>
              <c:strCache>
                <c:ptCount val="1"/>
                <c:pt idx="0">
                  <c:v>2023</c:v>
                </c:pt>
              </c:strCache>
            </c:strRef>
          </c:tx>
          <c:spPr>
            <a:solidFill>
              <a:schemeClr val="accent3"/>
            </a:solidFill>
            <a:ln>
              <a:noFill/>
            </a:ln>
            <a:effectLst/>
            <a:sp3d/>
          </c:spPr>
          <c:invertIfNegative val="0"/>
          <c:cat>
            <c:strRef>
              <c:f>'grafikai nauji'!$C$88:$I$88</c:f>
              <c:strCache>
                <c:ptCount val="7"/>
                <c:pt idx="0">
                  <c:v>Nežinoma</c:v>
                </c:pt>
                <c:pt idx="1">
                  <c:v>Iki 1 m.</c:v>
                </c:pt>
                <c:pt idx="2">
                  <c:v>1-19 m.</c:v>
                </c:pt>
                <c:pt idx="3">
                  <c:v>20-39 m.</c:v>
                </c:pt>
                <c:pt idx="4">
                  <c:v>40-59 m.</c:v>
                </c:pt>
                <c:pt idx="5">
                  <c:v>60-79 m.</c:v>
                </c:pt>
                <c:pt idx="6">
                  <c:v>Virš 80 m.</c:v>
                </c:pt>
              </c:strCache>
            </c:strRef>
          </c:cat>
          <c:val>
            <c:numRef>
              <c:f>'grafikai nauji'!$C$91:$I$91</c:f>
              <c:numCache>
                <c:formatCode>General</c:formatCode>
                <c:ptCount val="7"/>
                <c:pt idx="0">
                  <c:v>12.4</c:v>
                </c:pt>
                <c:pt idx="1">
                  <c:v>3</c:v>
                </c:pt>
                <c:pt idx="2">
                  <c:v>6.71</c:v>
                </c:pt>
                <c:pt idx="3">
                  <c:v>17.100000000000001</c:v>
                </c:pt>
                <c:pt idx="4">
                  <c:v>23.6</c:v>
                </c:pt>
                <c:pt idx="5">
                  <c:v>28.2</c:v>
                </c:pt>
                <c:pt idx="6">
                  <c:v>9</c:v>
                </c:pt>
              </c:numCache>
            </c:numRef>
          </c:val>
          <c:extLst>
            <c:ext xmlns:c16="http://schemas.microsoft.com/office/drawing/2014/chart" uri="{C3380CC4-5D6E-409C-BE32-E72D297353CC}">
              <c16:uniqueId val="{00000002-091E-4C27-B567-C51F06903A0D}"/>
            </c:ext>
          </c:extLst>
        </c:ser>
        <c:ser>
          <c:idx val="3"/>
          <c:order val="3"/>
          <c:tx>
            <c:strRef>
              <c:f>'grafikai nauji'!$B$92</c:f>
              <c:strCache>
                <c:ptCount val="1"/>
                <c:pt idx="0">
                  <c:v>2024</c:v>
                </c:pt>
              </c:strCache>
            </c:strRef>
          </c:tx>
          <c:spPr>
            <a:solidFill>
              <a:schemeClr val="accent4"/>
            </a:solidFill>
            <a:ln>
              <a:noFill/>
            </a:ln>
            <a:effectLst/>
            <a:sp3d/>
          </c:spPr>
          <c:invertIfNegative val="0"/>
          <c:cat>
            <c:strRef>
              <c:f>'grafikai nauji'!$C$88:$I$88</c:f>
              <c:strCache>
                <c:ptCount val="7"/>
                <c:pt idx="0">
                  <c:v>Nežinoma</c:v>
                </c:pt>
                <c:pt idx="1">
                  <c:v>Iki 1 m.</c:v>
                </c:pt>
                <c:pt idx="2">
                  <c:v>1-19 m.</c:v>
                </c:pt>
                <c:pt idx="3">
                  <c:v>20-39 m.</c:v>
                </c:pt>
                <c:pt idx="4">
                  <c:v>40-59 m.</c:v>
                </c:pt>
                <c:pt idx="5">
                  <c:v>60-79 m.</c:v>
                </c:pt>
                <c:pt idx="6">
                  <c:v>Virš 80 m.</c:v>
                </c:pt>
              </c:strCache>
            </c:strRef>
          </c:cat>
          <c:val>
            <c:numRef>
              <c:f>'grafikai nauji'!$C$92:$I$92</c:f>
              <c:numCache>
                <c:formatCode>General</c:formatCode>
                <c:ptCount val="7"/>
                <c:pt idx="0">
                  <c:v>15.8</c:v>
                </c:pt>
                <c:pt idx="1">
                  <c:v>0.5</c:v>
                </c:pt>
                <c:pt idx="2">
                  <c:v>7.2</c:v>
                </c:pt>
                <c:pt idx="3">
                  <c:v>18.600000000000001</c:v>
                </c:pt>
                <c:pt idx="4">
                  <c:v>22.2</c:v>
                </c:pt>
                <c:pt idx="5">
                  <c:v>27.1</c:v>
                </c:pt>
                <c:pt idx="6">
                  <c:v>8.6</c:v>
                </c:pt>
              </c:numCache>
            </c:numRef>
          </c:val>
          <c:extLst>
            <c:ext xmlns:c16="http://schemas.microsoft.com/office/drawing/2014/chart" uri="{C3380CC4-5D6E-409C-BE32-E72D297353CC}">
              <c16:uniqueId val="{00000003-091E-4C27-B567-C51F06903A0D}"/>
            </c:ext>
          </c:extLst>
        </c:ser>
        <c:ser>
          <c:idx val="4"/>
          <c:order val="4"/>
          <c:tx>
            <c:strRef>
              <c:f>'grafikai nauji'!$B$93</c:f>
              <c:strCache>
                <c:ptCount val="1"/>
                <c:pt idx="0">
                  <c:v>2025</c:v>
                </c:pt>
              </c:strCache>
            </c:strRef>
          </c:tx>
          <c:spPr>
            <a:solidFill>
              <a:schemeClr val="accent5"/>
            </a:solidFill>
            <a:ln>
              <a:noFill/>
            </a:ln>
            <a:effectLst/>
            <a:sp3d/>
          </c:spPr>
          <c:invertIfNegative val="0"/>
          <c:cat>
            <c:strRef>
              <c:f>'grafikai nauji'!$C$88:$I$88</c:f>
              <c:strCache>
                <c:ptCount val="7"/>
                <c:pt idx="0">
                  <c:v>Nežinoma</c:v>
                </c:pt>
                <c:pt idx="1">
                  <c:v>Iki 1 m.</c:v>
                </c:pt>
                <c:pt idx="2">
                  <c:v>1-19 m.</c:v>
                </c:pt>
                <c:pt idx="3">
                  <c:v>20-39 m.</c:v>
                </c:pt>
                <c:pt idx="4">
                  <c:v>40-59 m.</c:v>
                </c:pt>
                <c:pt idx="5">
                  <c:v>60-79 m.</c:v>
                </c:pt>
                <c:pt idx="6">
                  <c:v>Virš 80 m.</c:v>
                </c:pt>
              </c:strCache>
            </c:strRef>
          </c:cat>
          <c:val>
            <c:numRef>
              <c:f>'grafikai nauji'!$C$93:$I$93</c:f>
              <c:numCache>
                <c:formatCode>General</c:formatCode>
                <c:ptCount val="7"/>
                <c:pt idx="0">
                  <c:v>13.25</c:v>
                </c:pt>
                <c:pt idx="1">
                  <c:v>2</c:v>
                </c:pt>
                <c:pt idx="2">
                  <c:v>8.58</c:v>
                </c:pt>
                <c:pt idx="3">
                  <c:v>20.5</c:v>
                </c:pt>
                <c:pt idx="4">
                  <c:v>22.12</c:v>
                </c:pt>
                <c:pt idx="5">
                  <c:v>25.55</c:v>
                </c:pt>
                <c:pt idx="6">
                  <c:v>8</c:v>
                </c:pt>
              </c:numCache>
            </c:numRef>
          </c:val>
          <c:extLst>
            <c:ext xmlns:c16="http://schemas.microsoft.com/office/drawing/2014/chart" uri="{C3380CC4-5D6E-409C-BE32-E72D297353CC}">
              <c16:uniqueId val="{00000004-091E-4C27-B567-C51F06903A0D}"/>
            </c:ext>
          </c:extLst>
        </c:ser>
        <c:dLbls>
          <c:showLegendKey val="0"/>
          <c:showVal val="0"/>
          <c:showCatName val="0"/>
          <c:showSerName val="0"/>
          <c:showPercent val="0"/>
          <c:showBubbleSize val="0"/>
        </c:dLbls>
        <c:gapWidth val="150"/>
        <c:shape val="box"/>
        <c:axId val="990391712"/>
        <c:axId val="990403712"/>
        <c:axId val="0"/>
      </c:bar3DChart>
      <c:catAx>
        <c:axId val="990391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a:t>
                </a:r>
                <a:r>
                  <a:rPr lang="lt-LT"/>
                  <a:t>žius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90403712"/>
        <c:crosses val="autoZero"/>
        <c:auto val="1"/>
        <c:lblAlgn val="ctr"/>
        <c:lblOffset val="100"/>
        <c:noMultiLvlLbl val="0"/>
      </c:catAx>
      <c:valAx>
        <c:axId val="990403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Procentai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903917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Pranešimų</a:t>
            </a:r>
            <a:r>
              <a:rPr lang="lt-LT" baseline="0"/>
              <a:t> skaičius dėl kontraceptinių vaistinių preparatų</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724-4EB5-924E-42BEC1DC3DA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724-4EB5-924E-42BEC1DC3DA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Kontraceptikai!$B$9:$B$10</c:f>
              <c:strCache>
                <c:ptCount val="2"/>
                <c:pt idx="0">
                  <c:v>Kontraceptinės spiralės</c:v>
                </c:pt>
                <c:pt idx="1">
                  <c:v>Germiamieji kontraceptiniai vaistiniai preparatai</c:v>
                </c:pt>
              </c:strCache>
            </c:strRef>
          </c:cat>
          <c:val>
            <c:numRef>
              <c:f>Kontraceptikai!$C$9:$C$10</c:f>
              <c:numCache>
                <c:formatCode>General</c:formatCode>
                <c:ptCount val="2"/>
                <c:pt idx="0">
                  <c:v>4</c:v>
                </c:pt>
                <c:pt idx="1">
                  <c:v>6</c:v>
                </c:pt>
              </c:numCache>
            </c:numRef>
          </c:val>
          <c:extLst>
            <c:ext xmlns:c16="http://schemas.microsoft.com/office/drawing/2014/chart" uri="{C3380CC4-5D6E-409C-BE32-E72D297353CC}">
              <c16:uniqueId val="{00000004-5724-4EB5-924E-42BEC1DC3DA6}"/>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a:latin typeface="Calibri" panose="020F0502020204030204" pitchFamily="34" charset="0"/>
                <a:ea typeface="Calibri" panose="020F0502020204030204" pitchFamily="34" charset="0"/>
                <a:cs typeface="Calibri" panose="020F0502020204030204" pitchFamily="34" charset="0"/>
              </a:rPr>
              <a:t>Pranešimų į</a:t>
            </a:r>
            <a:r>
              <a:rPr lang="lt-LT" sz="1400" b="0" baseline="0">
                <a:latin typeface="Calibri" panose="020F0502020204030204" pitchFamily="34" charset="0"/>
                <a:ea typeface="Calibri" panose="020F0502020204030204" pitchFamily="34" charset="0"/>
                <a:cs typeface="Calibri" panose="020F0502020204030204" pitchFamily="34" charset="0"/>
              </a:rPr>
              <a:t> v</a:t>
            </a:r>
            <a:r>
              <a:rPr lang="lt-LT" sz="1400" b="0">
                <a:latin typeface="Calibri" panose="020F0502020204030204" pitchFamily="34" charset="0"/>
                <a:ea typeface="Calibri" panose="020F0502020204030204" pitchFamily="34" charset="0"/>
                <a:cs typeface="Calibri" panose="020F0502020204030204" pitchFamily="34" charset="0"/>
              </a:rPr>
              <a:t>akcinų ĮNR šaltiniai</a:t>
            </a:r>
            <a:endParaRPr lang="lt-LT" b="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'Grafikai, lentelės'!$E$52:$E$55</c:f>
              <c:strCache>
                <c:ptCount val="4"/>
                <c:pt idx="0">
                  <c:v>Vaistininkai</c:v>
                </c:pt>
                <c:pt idx="1">
                  <c:v>Sveikatos priežiūros specialistai</c:v>
                </c:pt>
                <c:pt idx="2">
                  <c:v>Vaistinių preparatų registruotojai</c:v>
                </c:pt>
                <c:pt idx="3">
                  <c:v>Pacientai</c:v>
                </c:pt>
              </c:strCache>
            </c:strRef>
          </c:cat>
          <c:val>
            <c:numRef>
              <c:f>'Grafikai, lentelės'!$F$52:$F$55</c:f>
              <c:numCache>
                <c:formatCode>General</c:formatCode>
                <c:ptCount val="4"/>
                <c:pt idx="0">
                  <c:v>1</c:v>
                </c:pt>
                <c:pt idx="1">
                  <c:v>19</c:v>
                </c:pt>
                <c:pt idx="2">
                  <c:v>34</c:v>
                </c:pt>
                <c:pt idx="3">
                  <c:v>43</c:v>
                </c:pt>
              </c:numCache>
            </c:numRef>
          </c:val>
          <c:extLst>
            <c:ext xmlns:c16="http://schemas.microsoft.com/office/drawing/2014/chart" uri="{C3380CC4-5D6E-409C-BE32-E72D297353CC}">
              <c16:uniqueId val="{00000000-2B4C-4234-B155-51E978F9C7B7}"/>
            </c:ext>
          </c:extLst>
        </c:ser>
        <c:dLbls>
          <c:dLblPos val="outEnd"/>
          <c:showLegendKey val="0"/>
          <c:showVal val="1"/>
          <c:showCatName val="0"/>
          <c:showSerName val="0"/>
          <c:showPercent val="0"/>
          <c:showBubbleSize val="0"/>
        </c:dLbls>
        <c:gapWidth val="219"/>
        <c:overlap val="-27"/>
        <c:axId val="478536528"/>
        <c:axId val="478537008"/>
      </c:barChart>
      <c:catAx>
        <c:axId val="47853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8537008"/>
        <c:crosses val="autoZero"/>
        <c:auto val="1"/>
        <c:lblAlgn val="ctr"/>
        <c:lblOffset val="100"/>
        <c:noMultiLvlLbl val="0"/>
      </c:catAx>
      <c:valAx>
        <c:axId val="478537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ĮNR</a:t>
                </a:r>
                <a:r>
                  <a:rPr lang="lt-LT" baseline="0"/>
                  <a:t> pranešimų skaičius (vnt.)</a:t>
                </a:r>
                <a:endParaRPr lang="lt-LT"/>
              </a:p>
            </c:rich>
          </c:tx>
          <c:layout>
            <c:manualLayout>
              <c:xMode val="edge"/>
              <c:yMode val="edge"/>
              <c:x val="1.585144927536232E-2"/>
              <c:y val="0.2777347598991986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8536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400" b="0">
                <a:latin typeface="Calibri" panose="020F0502020204030204" pitchFamily="34" charset="0"/>
                <a:ea typeface="Calibri" panose="020F0502020204030204" pitchFamily="34" charset="0"/>
                <a:cs typeface="Calibri" panose="020F0502020204030204" pitchFamily="34" charset="0"/>
              </a:rPr>
              <a:t>Pacientų, kuriems pasireiškė ĮNR po vakcinacijos, pasiskirstymas pagal lytį</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lt-LT"/>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'Grafikai, lentelės'!$E$7:$E$9</c:f>
              <c:strCache>
                <c:ptCount val="3"/>
                <c:pt idx="0">
                  <c:v>Moterys</c:v>
                </c:pt>
                <c:pt idx="1">
                  <c:v>Vyrai</c:v>
                </c:pt>
                <c:pt idx="2">
                  <c:v>Nežinoma</c:v>
                </c:pt>
              </c:strCache>
            </c:strRef>
          </c:cat>
          <c:val>
            <c:numRef>
              <c:f>'Grafikai, lentelės'!$F$7:$F$9</c:f>
              <c:numCache>
                <c:formatCode>General</c:formatCode>
                <c:ptCount val="3"/>
                <c:pt idx="0">
                  <c:v>59</c:v>
                </c:pt>
                <c:pt idx="1">
                  <c:v>36</c:v>
                </c:pt>
                <c:pt idx="2">
                  <c:v>2</c:v>
                </c:pt>
              </c:numCache>
            </c:numRef>
          </c:val>
          <c:extLst>
            <c:ext xmlns:c16="http://schemas.microsoft.com/office/drawing/2014/chart" uri="{C3380CC4-5D6E-409C-BE32-E72D297353CC}">
              <c16:uniqueId val="{00000000-52BB-490C-B204-BF11CC5AD747}"/>
            </c:ext>
          </c:extLst>
        </c:ser>
        <c:dLbls>
          <c:showLegendKey val="0"/>
          <c:showVal val="0"/>
          <c:showCatName val="0"/>
          <c:showSerName val="0"/>
          <c:showPercent val="0"/>
          <c:showBubbleSize val="0"/>
        </c:dLbls>
        <c:gapWidth val="219"/>
        <c:overlap val="-27"/>
        <c:axId val="223049200"/>
        <c:axId val="223054480"/>
      </c:barChart>
      <c:catAx>
        <c:axId val="22304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23054480"/>
        <c:crosses val="autoZero"/>
        <c:auto val="1"/>
        <c:lblAlgn val="ctr"/>
        <c:lblOffset val="100"/>
        <c:noMultiLvlLbl val="0"/>
      </c:catAx>
      <c:valAx>
        <c:axId val="223054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Pacientų</a:t>
                </a:r>
                <a:r>
                  <a:rPr lang="lt-LT" baseline="0"/>
                  <a:t> skaičius (vnt.)</a:t>
                </a:r>
                <a:endParaRPr lang="lt-LT"/>
              </a:p>
            </c:rich>
          </c:tx>
          <c:layout>
            <c:manualLayout>
              <c:xMode val="edge"/>
              <c:yMode val="edge"/>
              <c:x val="1.5384615384615385E-2"/>
              <c:y val="0.371467265853760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23049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585DF-941D-4027-B88F-DD9BC745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17347</Words>
  <Characters>9889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Aniuta</dc:creator>
  <cp:keywords/>
  <dc:description/>
  <cp:lastModifiedBy>Jūratė Simanavičienė</cp:lastModifiedBy>
  <cp:revision>5</cp:revision>
  <dcterms:created xsi:type="dcterms:W3CDTF">2026-03-13T12:30:00Z</dcterms:created>
  <dcterms:modified xsi:type="dcterms:W3CDTF">2026-03-13T14:01:00Z</dcterms:modified>
</cp:coreProperties>
</file>