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7D767C" w:rsidRDefault="005F7602" w:rsidP="002946C7">
      <w:pPr>
        <w:ind w:left="5529"/>
      </w:pPr>
    </w:p>
    <w:p w14:paraId="12FA4B9E" w14:textId="39AA3336" w:rsidR="001B3C5B" w:rsidRPr="007D767C" w:rsidRDefault="00DC261A" w:rsidP="001B3C5B">
      <w:pPr>
        <w:ind w:left="6096"/>
      </w:pPr>
      <w:bookmarkStart w:id="0" w:name="_Hlk189565243"/>
      <w:r w:rsidRPr="007D767C">
        <w:t>PATVIRTINTA</w:t>
      </w:r>
    </w:p>
    <w:p w14:paraId="7206970B" w14:textId="70E9BD2E" w:rsidR="004C263A" w:rsidRPr="007D767C" w:rsidRDefault="001B3C5B" w:rsidP="001B3C5B">
      <w:pPr>
        <w:ind w:left="6096"/>
      </w:pPr>
      <w:r w:rsidRPr="007D767C">
        <w:t>Valstybinės vaistų kontrolės tarnybos prie Lietuvos Respublikos sveikatos apsaugos ministerijos viršininko 2021 m</w:t>
      </w:r>
      <w:r w:rsidR="004C263A" w:rsidRPr="007D767C">
        <w:t xml:space="preserve">. lapkričio 12 </w:t>
      </w:r>
      <w:r w:rsidRPr="007D767C">
        <w:t>d. įsakymu Nr.</w:t>
      </w:r>
      <w:r w:rsidR="004C263A" w:rsidRPr="007D767C">
        <w:t xml:space="preserve"> (1.72E)1A-1418</w:t>
      </w:r>
    </w:p>
    <w:p w14:paraId="5B219AA6" w14:textId="3A5D6CB4" w:rsidR="001B3C5B" w:rsidRPr="007D767C" w:rsidRDefault="004C263A" w:rsidP="001B3C5B">
      <w:pPr>
        <w:ind w:left="6096"/>
      </w:pPr>
      <w:r w:rsidRPr="007D767C">
        <w:t>(Valstybinės vaistų kontrolės tarnybos prie Lietuvos Respublikos sveikatos apsaugos ministerijos viršininko 202</w:t>
      </w:r>
      <w:r w:rsidR="00A2310D" w:rsidRPr="007D767C">
        <w:t>5</w:t>
      </w:r>
      <w:r w:rsidRPr="007D767C">
        <w:t xml:space="preserve"> m.                         d. įsakymo Nr.                    redakcija)</w:t>
      </w:r>
    </w:p>
    <w:p w14:paraId="3336BD74" w14:textId="77777777" w:rsidR="001B3C5B" w:rsidRPr="007D767C" w:rsidRDefault="001B3C5B" w:rsidP="00FA4169"/>
    <w:bookmarkEnd w:id="0"/>
    <w:p w14:paraId="56604434" w14:textId="77777777" w:rsidR="00DC261A" w:rsidRPr="007D767C" w:rsidRDefault="00DC261A" w:rsidP="003B211A">
      <w:pPr>
        <w:jc w:val="center"/>
        <w:rPr>
          <w:b/>
        </w:rPr>
      </w:pPr>
    </w:p>
    <w:p w14:paraId="77AFB67E" w14:textId="0FB133A2" w:rsidR="00613501" w:rsidRPr="007D767C" w:rsidRDefault="002F0E4F" w:rsidP="003B211A">
      <w:pPr>
        <w:jc w:val="center"/>
        <w:rPr>
          <w:b/>
          <w:bCs/>
          <w:caps/>
        </w:rPr>
      </w:pPr>
      <w:r w:rsidRPr="007D767C">
        <w:rPr>
          <w:b/>
        </w:rPr>
        <w:t xml:space="preserve">REKOMENDACIJA DĖL VAISTINIO PREPARATO </w:t>
      </w:r>
      <w:r w:rsidRPr="007D767C">
        <w:rPr>
          <w:b/>
          <w:bCs/>
          <w:caps/>
        </w:rPr>
        <w:t>Lietuvos Respublikos Sveikatos apsaugos ministerijos vaistinių preparatų ir medicinos pagalbos priemonių kompensavimo komisijai</w:t>
      </w:r>
    </w:p>
    <w:p w14:paraId="34E4395D" w14:textId="15FB10DF" w:rsidR="00B13D65" w:rsidRPr="007D767C" w:rsidRDefault="00B13D65" w:rsidP="003B211A">
      <w:pPr>
        <w:jc w:val="center"/>
        <w:rPr>
          <w:b/>
        </w:rPr>
      </w:pPr>
    </w:p>
    <w:p w14:paraId="72C1AECA" w14:textId="77777777" w:rsidR="001C69B9" w:rsidRPr="007D767C" w:rsidRDefault="001C69B9" w:rsidP="001C69B9">
      <w:pPr>
        <w:jc w:val="center"/>
        <w:rPr>
          <w:b/>
        </w:rPr>
      </w:pPr>
      <w:r w:rsidRPr="007D767C">
        <w:rPr>
          <w:b/>
        </w:rPr>
        <w:t>Jemperli 500 mg/10 ml koncentratas infuziniam tirpalui</w:t>
      </w:r>
    </w:p>
    <w:p w14:paraId="0B5B6A94" w14:textId="77777777" w:rsidR="001C69B9" w:rsidRPr="007D767C" w:rsidRDefault="001C69B9" w:rsidP="001C69B9">
      <w:pPr>
        <w:jc w:val="center"/>
      </w:pPr>
    </w:p>
    <w:p w14:paraId="4D147885" w14:textId="77777777" w:rsidR="001C69B9" w:rsidRPr="007D767C" w:rsidRDefault="001C69B9" w:rsidP="001C69B9">
      <w:pPr>
        <w:jc w:val="center"/>
      </w:pPr>
      <w:r w:rsidRPr="007D767C">
        <w:rPr>
          <w:b/>
        </w:rPr>
        <w:t>Dostarlimabas</w:t>
      </w:r>
    </w:p>
    <w:p w14:paraId="25606E78" w14:textId="77777777" w:rsidR="001C69B9" w:rsidRPr="007D767C" w:rsidRDefault="001C69B9" w:rsidP="001C69B9">
      <w:pPr>
        <w:jc w:val="center"/>
      </w:pPr>
    </w:p>
    <w:p w14:paraId="7F7AB780" w14:textId="77777777" w:rsidR="001C69B9" w:rsidRPr="007D767C" w:rsidRDefault="001C69B9" w:rsidP="001C69B9">
      <w:pPr>
        <w:jc w:val="center"/>
        <w:rPr>
          <w:b/>
        </w:rPr>
      </w:pPr>
      <w:r w:rsidRPr="007D767C">
        <w:rPr>
          <w:b/>
        </w:rPr>
        <w:t>SVT – 255</w:t>
      </w:r>
    </w:p>
    <w:p w14:paraId="453197C8" w14:textId="77777777" w:rsidR="00D4708D" w:rsidRPr="007D767C" w:rsidRDefault="00D4708D" w:rsidP="003B211A">
      <w:pPr>
        <w:jc w:val="center"/>
        <w:rPr>
          <w:b/>
        </w:rPr>
      </w:pPr>
    </w:p>
    <w:p w14:paraId="78C89D1C" w14:textId="0DEFFAA5" w:rsidR="00D4485B" w:rsidRPr="007D767C" w:rsidRDefault="00B13D65" w:rsidP="00CC09D4">
      <w:pPr>
        <w:pStyle w:val="Sraopastraipa"/>
        <w:numPr>
          <w:ilvl w:val="0"/>
          <w:numId w:val="12"/>
        </w:numPr>
        <w:tabs>
          <w:tab w:val="left" w:pos="567"/>
        </w:tabs>
        <w:ind w:left="567" w:hanging="567"/>
        <w:rPr>
          <w:b/>
          <w:bCs/>
          <w:caps/>
        </w:rPr>
      </w:pPr>
      <w:r w:rsidRPr="007D767C">
        <w:rPr>
          <w:b/>
          <w:bCs/>
          <w:caps/>
        </w:rPr>
        <w:t>Bendroji dalis</w:t>
      </w:r>
    </w:p>
    <w:p w14:paraId="04A7C7A7" w14:textId="77777777" w:rsidR="00B13D65" w:rsidRPr="007D767C"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1C69B9" w:rsidRPr="007D767C" w14:paraId="16729C72" w14:textId="77777777" w:rsidTr="00006F16">
        <w:trPr>
          <w:trHeight w:val="538"/>
        </w:trPr>
        <w:tc>
          <w:tcPr>
            <w:tcW w:w="632" w:type="dxa"/>
          </w:tcPr>
          <w:p w14:paraId="52FBEB61" w14:textId="77777777" w:rsidR="001C69B9" w:rsidRPr="007D767C" w:rsidRDefault="001C69B9" w:rsidP="00006F16">
            <w:pPr>
              <w:jc w:val="both"/>
              <w:rPr>
                <w:rFonts w:eastAsia="Arial"/>
                <w:b/>
                <w:bCs/>
              </w:rPr>
            </w:pPr>
            <w:bookmarkStart w:id="1" w:name="_Hlk187088187"/>
            <w:r w:rsidRPr="007D767C">
              <w:rPr>
                <w:rFonts w:eastAsia="Arial"/>
                <w:b/>
                <w:bCs/>
              </w:rPr>
              <w:t>1.1</w:t>
            </w:r>
          </w:p>
        </w:tc>
        <w:tc>
          <w:tcPr>
            <w:tcW w:w="3899" w:type="dxa"/>
          </w:tcPr>
          <w:p w14:paraId="2581CA65" w14:textId="77777777" w:rsidR="001C69B9" w:rsidRPr="007D767C" w:rsidRDefault="001C69B9" w:rsidP="00006F16">
            <w:pPr>
              <w:jc w:val="both"/>
              <w:rPr>
                <w:rFonts w:eastAsia="Arial"/>
                <w:b/>
                <w:bCs/>
              </w:rPr>
            </w:pPr>
            <w:r w:rsidRPr="007D767C">
              <w:rPr>
                <w:rFonts w:eastAsia="Arial"/>
                <w:b/>
                <w:bCs/>
              </w:rPr>
              <w:t>Pareiškėjas/ pareiškėjo atstovas</w:t>
            </w:r>
          </w:p>
        </w:tc>
        <w:tc>
          <w:tcPr>
            <w:tcW w:w="4962" w:type="dxa"/>
          </w:tcPr>
          <w:p w14:paraId="7F3E5C94" w14:textId="77777777" w:rsidR="001C69B9" w:rsidRPr="007D767C" w:rsidRDefault="001C69B9" w:rsidP="00006F16">
            <w:pPr>
              <w:jc w:val="both"/>
              <w:rPr>
                <w:rFonts w:eastAsia="Arial"/>
              </w:rPr>
            </w:pPr>
            <w:r w:rsidRPr="007D767C">
              <w:t>UAB „Tamro“</w:t>
            </w:r>
          </w:p>
        </w:tc>
      </w:tr>
      <w:tr w:rsidR="001C69B9" w:rsidRPr="007D767C" w14:paraId="42454AFA" w14:textId="77777777" w:rsidTr="00006F16">
        <w:trPr>
          <w:trHeight w:val="538"/>
        </w:trPr>
        <w:tc>
          <w:tcPr>
            <w:tcW w:w="632" w:type="dxa"/>
          </w:tcPr>
          <w:p w14:paraId="45E86C7F" w14:textId="77777777" w:rsidR="001C69B9" w:rsidRPr="007D767C" w:rsidRDefault="001C69B9" w:rsidP="00006F16">
            <w:pPr>
              <w:jc w:val="both"/>
              <w:rPr>
                <w:rFonts w:eastAsia="Arial"/>
                <w:b/>
                <w:bCs/>
              </w:rPr>
            </w:pPr>
            <w:r w:rsidRPr="007D767C">
              <w:rPr>
                <w:rFonts w:eastAsia="Arial"/>
                <w:b/>
                <w:bCs/>
              </w:rPr>
              <w:t>1.2</w:t>
            </w:r>
          </w:p>
        </w:tc>
        <w:tc>
          <w:tcPr>
            <w:tcW w:w="3899" w:type="dxa"/>
          </w:tcPr>
          <w:p w14:paraId="00972EFD" w14:textId="77777777" w:rsidR="001C69B9" w:rsidRPr="007D767C" w:rsidRDefault="001C69B9" w:rsidP="00006F16">
            <w:pPr>
              <w:jc w:val="both"/>
              <w:rPr>
                <w:b/>
                <w:bCs/>
                <w:lang w:eastAsia="lt-LT"/>
              </w:rPr>
            </w:pPr>
            <w:r w:rsidRPr="007D767C">
              <w:rPr>
                <w:b/>
                <w:bCs/>
                <w:lang w:eastAsia="lt-LT"/>
              </w:rPr>
              <w:t xml:space="preserve">Vaistinio preparato registracijos data </w:t>
            </w:r>
          </w:p>
          <w:p w14:paraId="42F25423" w14:textId="77777777" w:rsidR="001C69B9" w:rsidRPr="007D767C" w:rsidRDefault="001C69B9" w:rsidP="00006F16">
            <w:pPr>
              <w:jc w:val="both"/>
              <w:rPr>
                <w:b/>
                <w:bCs/>
                <w:lang w:eastAsia="lt-LT"/>
              </w:rPr>
            </w:pPr>
          </w:p>
        </w:tc>
        <w:tc>
          <w:tcPr>
            <w:tcW w:w="4962" w:type="dxa"/>
          </w:tcPr>
          <w:p w14:paraId="65928D58" w14:textId="77777777" w:rsidR="001C69B9" w:rsidRPr="00643741" w:rsidRDefault="00DA670A" w:rsidP="00006F16">
            <w:pPr>
              <w:jc w:val="both"/>
              <w:rPr>
                <w:rStyle w:val="Style2"/>
                <w:sz w:val="24"/>
              </w:rPr>
            </w:pPr>
            <w:sdt>
              <w:sdtPr>
                <w:rPr>
                  <w:sz w:val="32"/>
                </w:rPr>
                <w:alias w:val="Nurodykite konkrečią dieną"/>
                <w:tag w:val="Nurodykite pradžios datą"/>
                <w:id w:val="1772196685"/>
                <w:placeholder>
                  <w:docPart w:val="00E6AB36615E4927BEDB3DA9AD7243A2"/>
                </w:placeholder>
                <w15:color w:val="FFCC99"/>
                <w:date>
                  <w:dateFormat w:val="yyyy 'm.' MMMM d 'd.'"/>
                  <w:lid w:val="lt-LT"/>
                  <w:storeMappedDataAs w:val="dateTime"/>
                  <w:calendar w:val="gregorian"/>
                </w:date>
              </w:sdtPr>
              <w:sdtEndPr/>
              <w:sdtContent>
                <w:r w:rsidR="001C69B9" w:rsidRPr="00643741">
                  <w:t xml:space="preserve">2021 m. balandžio 21 d. </w:t>
                </w:r>
              </w:sdtContent>
            </w:sdt>
          </w:p>
        </w:tc>
      </w:tr>
      <w:tr w:rsidR="001C69B9" w:rsidRPr="007D767C" w14:paraId="4AB58FF4" w14:textId="77777777" w:rsidTr="00006F16">
        <w:trPr>
          <w:trHeight w:val="1396"/>
        </w:trPr>
        <w:tc>
          <w:tcPr>
            <w:tcW w:w="632" w:type="dxa"/>
          </w:tcPr>
          <w:p w14:paraId="775A22C6" w14:textId="77777777" w:rsidR="001C69B9" w:rsidRPr="007D767C" w:rsidRDefault="001C69B9" w:rsidP="00006F16">
            <w:pPr>
              <w:jc w:val="both"/>
              <w:rPr>
                <w:rFonts w:eastAsia="Arial"/>
                <w:b/>
                <w:bCs/>
              </w:rPr>
            </w:pPr>
            <w:r w:rsidRPr="007D767C">
              <w:rPr>
                <w:rFonts w:eastAsia="Arial"/>
                <w:b/>
                <w:bCs/>
              </w:rPr>
              <w:t>1.3</w:t>
            </w:r>
          </w:p>
        </w:tc>
        <w:tc>
          <w:tcPr>
            <w:tcW w:w="3899" w:type="dxa"/>
          </w:tcPr>
          <w:p w14:paraId="57F4EA7B" w14:textId="77777777" w:rsidR="001C69B9" w:rsidRPr="007D767C" w:rsidRDefault="001C69B9" w:rsidP="00006F16">
            <w:pPr>
              <w:pStyle w:val="Betarp"/>
              <w:jc w:val="both"/>
              <w:rPr>
                <w:rFonts w:ascii="Times New Roman" w:hAnsi="Times New Roman"/>
                <w:b/>
                <w:sz w:val="24"/>
                <w:szCs w:val="24"/>
                <w:shd w:val="clear" w:color="auto" w:fill="FFFFFF"/>
              </w:rPr>
            </w:pPr>
            <w:r w:rsidRPr="007D767C">
              <w:rPr>
                <w:rFonts w:ascii="Times New Roman" w:hAnsi="Times New Roman"/>
                <w:b/>
                <w:sz w:val="24"/>
                <w:szCs w:val="24"/>
              </w:rPr>
              <w:t xml:space="preserve">Vaistinio preparato </w:t>
            </w:r>
            <w:r w:rsidRPr="007D767C">
              <w:rPr>
                <w:rFonts w:ascii="Times New Roman" w:hAnsi="Times New Roman"/>
                <w:b/>
                <w:sz w:val="24"/>
                <w:szCs w:val="24"/>
                <w:shd w:val="clear" w:color="auto" w:fill="FFFFFF"/>
              </w:rPr>
              <w:t>registracijos teisinis pagrindas</w:t>
            </w:r>
          </w:p>
          <w:p w14:paraId="69D467E4" w14:textId="77777777" w:rsidR="001C69B9" w:rsidRPr="007D767C" w:rsidRDefault="001C69B9" w:rsidP="00006F16">
            <w:pPr>
              <w:pStyle w:val="Betarp"/>
              <w:jc w:val="both"/>
              <w:rPr>
                <w:rFonts w:ascii="Times New Roman" w:hAnsi="Times New Roman"/>
                <w:b/>
                <w:bCs/>
                <w:sz w:val="24"/>
                <w:szCs w:val="24"/>
                <w:lang w:eastAsia="lt-LT"/>
              </w:rPr>
            </w:pPr>
            <w:r w:rsidRPr="007D767C">
              <w:rPr>
                <w:rFonts w:ascii="Times New Roman" w:hAnsi="Times New Roman"/>
                <w:b/>
                <w:sz w:val="24"/>
                <w:szCs w:val="24"/>
                <w:shd w:val="clear" w:color="auto" w:fill="FFFFFF"/>
              </w:rPr>
              <w:t>(</w:t>
            </w:r>
            <w:r w:rsidRPr="007D767C">
              <w:rPr>
                <w:rFonts w:ascii="Times New Roman" w:hAnsi="Times New Roman"/>
                <w:b/>
                <w:sz w:val="24"/>
                <w:szCs w:val="24"/>
              </w:rPr>
              <w:t>Direktyvos 2001/83/EB str.)</w:t>
            </w:r>
          </w:p>
        </w:tc>
        <w:tc>
          <w:tcPr>
            <w:tcW w:w="4962" w:type="dxa"/>
          </w:tcPr>
          <w:p w14:paraId="14A295A9" w14:textId="77777777" w:rsidR="001C69B9" w:rsidRPr="007D767C" w:rsidRDefault="00DA670A" w:rsidP="00006F16">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rPr>
                  <w:t>☒</w:t>
                </w:r>
              </w:sdtContent>
            </w:sdt>
            <w:r w:rsidR="001C69B9" w:rsidRPr="007D767C">
              <w:t>8.3 str. (pilna byla, pagrįsta savais tyrimais)</w:t>
            </w:r>
          </w:p>
          <w:p w14:paraId="3C54233A" w14:textId="77777777" w:rsidR="001C69B9" w:rsidRPr="007D767C" w:rsidRDefault="00DA670A" w:rsidP="00006F16">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10 a str. (pripažintas medicininis vartojimas)</w:t>
            </w:r>
          </w:p>
          <w:p w14:paraId="02D82FB5" w14:textId="77777777" w:rsidR="001C69B9" w:rsidRPr="007D767C" w:rsidRDefault="00DA670A" w:rsidP="00006F16">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10.1 str. (generinis)</w:t>
            </w:r>
          </w:p>
          <w:p w14:paraId="3AAAD8BE" w14:textId="77777777" w:rsidR="001C69B9" w:rsidRPr="007D767C" w:rsidRDefault="00DA670A" w:rsidP="00006F16">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10.3 str. (hibridinis)</w:t>
            </w:r>
          </w:p>
          <w:p w14:paraId="4749CE63" w14:textId="77777777" w:rsidR="001C69B9" w:rsidRPr="007D767C" w:rsidRDefault="00DA670A" w:rsidP="00006F16">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10.4 str. (panašus biologinis)</w:t>
            </w:r>
          </w:p>
          <w:p w14:paraId="757F82E1" w14:textId="77777777" w:rsidR="001C69B9" w:rsidRPr="007D767C" w:rsidRDefault="001C69B9" w:rsidP="00006F16">
            <w:pPr>
              <w:jc w:val="both"/>
            </w:pPr>
          </w:p>
          <w:p w14:paraId="37CCE68D" w14:textId="77777777" w:rsidR="001C69B9" w:rsidRPr="007D767C" w:rsidRDefault="001C69B9" w:rsidP="00006F16">
            <w:pPr>
              <w:jc w:val="both"/>
              <w:rPr>
                <w:rStyle w:val="Style2"/>
              </w:rPr>
            </w:pPr>
          </w:p>
        </w:tc>
      </w:tr>
      <w:tr w:rsidR="001C69B9" w:rsidRPr="007D767C" w14:paraId="15B3A436" w14:textId="77777777" w:rsidTr="00006F16">
        <w:trPr>
          <w:trHeight w:val="1011"/>
        </w:trPr>
        <w:tc>
          <w:tcPr>
            <w:tcW w:w="632" w:type="dxa"/>
          </w:tcPr>
          <w:p w14:paraId="32607096" w14:textId="77777777" w:rsidR="001C69B9" w:rsidRPr="007D767C" w:rsidRDefault="001C69B9" w:rsidP="00006F16">
            <w:pPr>
              <w:jc w:val="both"/>
              <w:rPr>
                <w:rFonts w:eastAsia="Arial"/>
                <w:b/>
                <w:bCs/>
              </w:rPr>
            </w:pPr>
            <w:r w:rsidRPr="007D767C">
              <w:rPr>
                <w:rFonts w:eastAsia="Arial"/>
                <w:b/>
              </w:rPr>
              <w:t>1.4</w:t>
            </w:r>
          </w:p>
        </w:tc>
        <w:tc>
          <w:tcPr>
            <w:tcW w:w="3899" w:type="dxa"/>
          </w:tcPr>
          <w:p w14:paraId="38CC0861" w14:textId="77777777" w:rsidR="001C69B9" w:rsidRPr="007D767C" w:rsidRDefault="001C69B9" w:rsidP="00006F16">
            <w:pPr>
              <w:tabs>
                <w:tab w:val="left" w:pos="284"/>
              </w:tabs>
              <w:spacing w:line="280" w:lineRule="atLeast"/>
              <w:jc w:val="both"/>
              <w:rPr>
                <w:b/>
                <w:bCs/>
                <w:lang w:eastAsia="lt-LT"/>
              </w:rPr>
            </w:pPr>
            <w:r w:rsidRPr="007D767C">
              <w:rPr>
                <w:b/>
                <w:bCs/>
                <w:lang w:eastAsia="lt-LT"/>
              </w:rPr>
              <w:t>Ar vaistinis preparatas įrašytas į Bendrijos retųjų vaistinių preparatų registrą?</w:t>
            </w:r>
          </w:p>
        </w:tc>
        <w:tc>
          <w:tcPr>
            <w:tcW w:w="4962" w:type="dxa"/>
          </w:tcPr>
          <w:p w14:paraId="066A3B92" w14:textId="77777777" w:rsidR="001C69B9" w:rsidRPr="007D767C" w:rsidRDefault="00DA670A" w:rsidP="00006F16">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 xml:space="preserve"> Taip       </w:t>
            </w:r>
            <w:r w:rsidR="001C69B9" w:rsidRPr="007D767C">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rPr>
                  <w:t>☒</w:t>
                </w:r>
              </w:sdtContent>
            </w:sdt>
            <w:r w:rsidR="001C69B9" w:rsidRPr="007D767C">
              <w:t xml:space="preserve"> Ne</w:t>
            </w:r>
          </w:p>
          <w:p w14:paraId="347C0AB5" w14:textId="77777777" w:rsidR="001C69B9" w:rsidRPr="007D767C" w:rsidRDefault="001C69B9" w:rsidP="00006F16">
            <w:pPr>
              <w:jc w:val="both"/>
              <w:rPr>
                <w:rFonts w:eastAsia="Arial"/>
              </w:rPr>
            </w:pPr>
          </w:p>
        </w:tc>
      </w:tr>
      <w:tr w:rsidR="001C69B9" w:rsidRPr="007D767C" w14:paraId="7918CB97" w14:textId="77777777" w:rsidTr="00006F16">
        <w:trPr>
          <w:trHeight w:val="1011"/>
        </w:trPr>
        <w:tc>
          <w:tcPr>
            <w:tcW w:w="632" w:type="dxa"/>
          </w:tcPr>
          <w:p w14:paraId="27AF7905" w14:textId="77777777" w:rsidR="001C69B9" w:rsidRPr="007D767C" w:rsidRDefault="001C69B9" w:rsidP="00006F16">
            <w:pPr>
              <w:jc w:val="both"/>
              <w:rPr>
                <w:rFonts w:eastAsia="Arial"/>
                <w:b/>
              </w:rPr>
            </w:pPr>
            <w:r w:rsidRPr="007D767C">
              <w:rPr>
                <w:rFonts w:eastAsia="Arial"/>
                <w:b/>
                <w:bCs/>
              </w:rPr>
              <w:t>1.5</w:t>
            </w:r>
          </w:p>
        </w:tc>
        <w:tc>
          <w:tcPr>
            <w:tcW w:w="3899" w:type="dxa"/>
          </w:tcPr>
          <w:p w14:paraId="11C280A6" w14:textId="77777777" w:rsidR="001C69B9" w:rsidRPr="007D767C" w:rsidRDefault="001C69B9" w:rsidP="00006F16">
            <w:pPr>
              <w:tabs>
                <w:tab w:val="left" w:pos="284"/>
              </w:tabs>
              <w:spacing w:line="280" w:lineRule="atLeast"/>
              <w:jc w:val="both"/>
              <w:rPr>
                <w:b/>
                <w:bCs/>
                <w:lang w:eastAsia="lt-LT"/>
              </w:rPr>
            </w:pPr>
            <w:r w:rsidRPr="007D767C">
              <w:rPr>
                <w:b/>
                <w:bCs/>
                <w:lang w:eastAsia="lt-LT"/>
              </w:rPr>
              <w:t>Ar atliktas bendras klinikinis vertinimas</w:t>
            </w:r>
          </w:p>
          <w:p w14:paraId="6DCE0CE2" w14:textId="77777777" w:rsidR="001C69B9" w:rsidRPr="007D767C" w:rsidRDefault="001C69B9" w:rsidP="00006F16">
            <w:pPr>
              <w:tabs>
                <w:tab w:val="left" w:pos="284"/>
              </w:tabs>
              <w:spacing w:line="280" w:lineRule="atLeast"/>
              <w:jc w:val="both"/>
              <w:rPr>
                <w:b/>
                <w:bCs/>
                <w:lang w:eastAsia="lt-LT"/>
              </w:rPr>
            </w:pPr>
            <w:r w:rsidRPr="007D767C">
              <w:rPr>
                <w:b/>
                <w:bCs/>
                <w:lang w:eastAsia="lt-LT"/>
              </w:rPr>
              <w:t>(Europos Parlamento ir Tarybos reglamentas (ES) 2021/2282)</w:t>
            </w:r>
          </w:p>
        </w:tc>
        <w:tc>
          <w:tcPr>
            <w:tcW w:w="4962" w:type="dxa"/>
          </w:tcPr>
          <w:p w14:paraId="14D13D3B" w14:textId="77777777" w:rsidR="001C69B9" w:rsidRPr="007D767C" w:rsidRDefault="00DA670A" w:rsidP="00006F16">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 xml:space="preserve"> Taip       </w:t>
            </w:r>
            <w:r w:rsidR="001C69B9" w:rsidRPr="007D767C">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rPr>
                  <w:t>☒</w:t>
                </w:r>
              </w:sdtContent>
            </w:sdt>
            <w:r w:rsidR="001C69B9" w:rsidRPr="007D767C">
              <w:t xml:space="preserve"> Ne</w:t>
            </w:r>
          </w:p>
          <w:p w14:paraId="3A26AF1D" w14:textId="77777777" w:rsidR="001C69B9" w:rsidRPr="007D767C" w:rsidRDefault="001C69B9" w:rsidP="00006F16">
            <w:pPr>
              <w:jc w:val="both"/>
              <w:rPr>
                <w:rStyle w:val="Style2"/>
              </w:rPr>
            </w:pPr>
            <w:r w:rsidRPr="007D767C">
              <w:t xml:space="preserve">Data: </w:t>
            </w:r>
            <w:sdt>
              <w:sdtPr>
                <w:alias w:val="Nurodykite konkrečią dieną"/>
                <w:tag w:val="Nurodykite pradžios datą"/>
                <w:id w:val="1516880001"/>
                <w:placeholder>
                  <w:docPart w:val="4358DF4D0BDA4310A6855032A416D86D"/>
                </w:placeholder>
                <w:showingPlcHdr/>
                <w15:color w:val="FFCC99"/>
                <w:date w:fullDate="2022-05-18T00:00:00Z">
                  <w:dateFormat w:val="yyyy 'm.' MMMM d 'd.'"/>
                  <w:lid w:val="lt-LT"/>
                  <w:storeMappedDataAs w:val="dateTime"/>
                  <w:calendar w:val="gregorian"/>
                </w:date>
              </w:sdtPr>
              <w:sdtEndPr/>
              <w:sdtContent>
                <w:r w:rsidRPr="007D767C">
                  <w:rPr>
                    <w:rStyle w:val="Vietosrezervavimoenklotekstas"/>
                  </w:rPr>
                  <w:t>Click here to enter a date.</w:t>
                </w:r>
              </w:sdtContent>
            </w:sdt>
            <w:r w:rsidRPr="007D767C">
              <w:t xml:space="preserve"> </w:t>
            </w:r>
          </w:p>
        </w:tc>
      </w:tr>
      <w:tr w:rsidR="001C69B9" w:rsidRPr="007D767C" w14:paraId="1CBB272D" w14:textId="77777777" w:rsidTr="00006F16">
        <w:trPr>
          <w:trHeight w:val="1278"/>
        </w:trPr>
        <w:tc>
          <w:tcPr>
            <w:tcW w:w="632" w:type="dxa"/>
          </w:tcPr>
          <w:p w14:paraId="47475AD0" w14:textId="77777777" w:rsidR="001C69B9" w:rsidRPr="007D767C" w:rsidRDefault="001C69B9" w:rsidP="00006F16">
            <w:pPr>
              <w:jc w:val="both"/>
              <w:rPr>
                <w:rFonts w:eastAsia="Arial"/>
                <w:b/>
                <w:bCs/>
              </w:rPr>
            </w:pPr>
            <w:r w:rsidRPr="007D767C">
              <w:rPr>
                <w:rFonts w:eastAsia="Arial"/>
                <w:b/>
                <w:bCs/>
              </w:rPr>
              <w:lastRenderedPageBreak/>
              <w:t>1.6</w:t>
            </w:r>
          </w:p>
        </w:tc>
        <w:tc>
          <w:tcPr>
            <w:tcW w:w="3899" w:type="dxa"/>
          </w:tcPr>
          <w:p w14:paraId="1773BA40" w14:textId="77777777" w:rsidR="001C69B9" w:rsidRPr="007D767C" w:rsidRDefault="001C69B9" w:rsidP="00006F16">
            <w:pPr>
              <w:jc w:val="both"/>
              <w:rPr>
                <w:b/>
                <w:bCs/>
                <w:lang w:eastAsia="lt-LT"/>
              </w:rPr>
            </w:pPr>
            <w:r w:rsidRPr="007D767C">
              <w:rPr>
                <w:b/>
                <w:bCs/>
                <w:lang w:eastAsia="lt-LT"/>
              </w:rPr>
              <w:t xml:space="preserve">Teikiama kompensuoti terapinė indikacija </w:t>
            </w:r>
          </w:p>
          <w:p w14:paraId="4DBCF72D" w14:textId="77777777" w:rsidR="001C69B9" w:rsidRPr="007D767C" w:rsidRDefault="001C69B9" w:rsidP="00006F16">
            <w:pPr>
              <w:jc w:val="both"/>
              <w:rPr>
                <w:b/>
                <w:bCs/>
                <w:lang w:eastAsia="lt-LT"/>
              </w:rPr>
            </w:pPr>
          </w:p>
          <w:p w14:paraId="65634F97" w14:textId="77777777" w:rsidR="001C69B9" w:rsidRPr="007D767C" w:rsidRDefault="001C69B9" w:rsidP="00006F16">
            <w:pPr>
              <w:jc w:val="both"/>
              <w:rPr>
                <w:b/>
                <w:bCs/>
                <w:lang w:eastAsia="lt-LT"/>
              </w:rPr>
            </w:pPr>
            <w:r w:rsidRPr="007D767C">
              <w:rPr>
                <w:b/>
                <w:bCs/>
                <w:lang w:eastAsia="lt-LT"/>
              </w:rPr>
              <w:t>Kodas pagal TLK-10 AM</w:t>
            </w:r>
          </w:p>
        </w:tc>
        <w:tc>
          <w:tcPr>
            <w:tcW w:w="4962" w:type="dxa"/>
          </w:tcPr>
          <w:p w14:paraId="2DF13052" w14:textId="77777777" w:rsidR="001C69B9" w:rsidRPr="007D767C" w:rsidRDefault="001C69B9" w:rsidP="00006F16">
            <w:pPr>
              <w:jc w:val="both"/>
            </w:pPr>
            <w:r w:rsidRPr="007D767C">
              <w:t>JEMPERLI skirtas kartu su karboplatina ir paklitakseliu pirmos eilės gydymui suaugusioms pacientėms, kurioms yra diagnozuotas pirminis išplitęs ar atsinaujinęs gimdos gleivinės vėžys (GGV) ir yra numatytas sisteminis gydymas.</w:t>
            </w:r>
          </w:p>
          <w:p w14:paraId="18D772D0" w14:textId="77777777" w:rsidR="001C69B9" w:rsidRPr="007D767C" w:rsidRDefault="001C69B9" w:rsidP="00006F16">
            <w:pPr>
              <w:jc w:val="both"/>
            </w:pPr>
          </w:p>
          <w:p w14:paraId="1C5C51CF" w14:textId="77777777" w:rsidR="001C69B9" w:rsidRPr="007D767C" w:rsidRDefault="001C69B9" w:rsidP="00006F16">
            <w:pPr>
              <w:jc w:val="both"/>
            </w:pPr>
            <w:r w:rsidRPr="007D767C">
              <w:t xml:space="preserve">C54. </w:t>
            </w:r>
          </w:p>
        </w:tc>
      </w:tr>
      <w:tr w:rsidR="001C69B9" w:rsidRPr="007D767C" w14:paraId="1536493B" w14:textId="77777777" w:rsidTr="00006F16">
        <w:trPr>
          <w:trHeight w:val="378"/>
        </w:trPr>
        <w:tc>
          <w:tcPr>
            <w:tcW w:w="632" w:type="dxa"/>
          </w:tcPr>
          <w:p w14:paraId="52DAACEF" w14:textId="77777777" w:rsidR="001C69B9" w:rsidRPr="007D767C" w:rsidRDefault="001C69B9" w:rsidP="00006F16">
            <w:pPr>
              <w:jc w:val="both"/>
              <w:rPr>
                <w:rFonts w:eastAsia="Arial"/>
                <w:b/>
                <w:bCs/>
              </w:rPr>
            </w:pPr>
            <w:r w:rsidRPr="007D767C">
              <w:rPr>
                <w:rFonts w:eastAsia="Arial"/>
                <w:b/>
                <w:bCs/>
              </w:rPr>
              <w:t>1.7</w:t>
            </w:r>
          </w:p>
        </w:tc>
        <w:tc>
          <w:tcPr>
            <w:tcW w:w="3899" w:type="dxa"/>
          </w:tcPr>
          <w:p w14:paraId="2A292085" w14:textId="77777777" w:rsidR="001C69B9" w:rsidRPr="007D767C" w:rsidRDefault="001C69B9" w:rsidP="00006F16">
            <w:pPr>
              <w:jc w:val="both"/>
              <w:rPr>
                <w:b/>
                <w:bCs/>
                <w:u w:val="single"/>
                <w:lang w:eastAsia="lt-LT"/>
              </w:rPr>
            </w:pPr>
            <w:r w:rsidRPr="007D767C">
              <w:rPr>
                <w:b/>
                <w:bCs/>
                <w:lang w:eastAsia="lt-LT"/>
              </w:rPr>
              <w:t xml:space="preserve">Teikiamos skyrimo sąlygos </w:t>
            </w:r>
          </w:p>
        </w:tc>
        <w:tc>
          <w:tcPr>
            <w:tcW w:w="4962" w:type="dxa"/>
          </w:tcPr>
          <w:p w14:paraId="06D1640A" w14:textId="77777777" w:rsidR="001C69B9" w:rsidRPr="007D767C" w:rsidRDefault="001C69B9" w:rsidP="00006F16">
            <w:pPr>
              <w:jc w:val="both"/>
            </w:pPr>
          </w:p>
          <w:p w14:paraId="29F77F51" w14:textId="77777777" w:rsidR="001C69B9" w:rsidRPr="007D767C" w:rsidRDefault="001C69B9" w:rsidP="00006F16">
            <w:pPr>
              <w:jc w:val="both"/>
            </w:pPr>
            <w:r w:rsidRPr="007D767C">
              <w:t xml:space="preserve">Neteikiamos. </w:t>
            </w:r>
          </w:p>
          <w:p w14:paraId="16DC1C4C" w14:textId="77777777" w:rsidR="001C69B9" w:rsidRPr="007D767C" w:rsidRDefault="001C69B9" w:rsidP="00006F16">
            <w:pPr>
              <w:jc w:val="both"/>
            </w:pPr>
          </w:p>
        </w:tc>
      </w:tr>
      <w:tr w:rsidR="001C69B9" w:rsidRPr="007D767C" w14:paraId="721CDBE7" w14:textId="77777777" w:rsidTr="00006F16">
        <w:trPr>
          <w:trHeight w:val="378"/>
        </w:trPr>
        <w:tc>
          <w:tcPr>
            <w:tcW w:w="632" w:type="dxa"/>
          </w:tcPr>
          <w:p w14:paraId="5EA42A0F" w14:textId="77777777" w:rsidR="001C69B9" w:rsidRPr="007D767C" w:rsidRDefault="001C69B9" w:rsidP="00006F16">
            <w:pPr>
              <w:jc w:val="both"/>
              <w:rPr>
                <w:rFonts w:eastAsia="Arial"/>
                <w:b/>
                <w:bCs/>
              </w:rPr>
            </w:pPr>
            <w:r w:rsidRPr="007D767C">
              <w:rPr>
                <w:rFonts w:eastAsia="Arial"/>
                <w:b/>
                <w:bCs/>
              </w:rPr>
              <w:t>1.8</w:t>
            </w:r>
          </w:p>
        </w:tc>
        <w:tc>
          <w:tcPr>
            <w:tcW w:w="3899" w:type="dxa"/>
          </w:tcPr>
          <w:p w14:paraId="5AEE622E" w14:textId="77777777" w:rsidR="001C69B9" w:rsidRPr="007D767C" w:rsidRDefault="001C69B9" w:rsidP="00006F16">
            <w:pPr>
              <w:jc w:val="both"/>
              <w:rPr>
                <w:b/>
                <w:bCs/>
                <w:lang w:eastAsia="lt-LT"/>
              </w:rPr>
            </w:pPr>
            <w:r w:rsidRPr="007D767C">
              <w:rPr>
                <w:b/>
                <w:bCs/>
                <w:lang w:eastAsia="lt-LT"/>
              </w:rPr>
              <w:t>Ekonominė analizė</w:t>
            </w:r>
          </w:p>
        </w:tc>
        <w:tc>
          <w:tcPr>
            <w:tcW w:w="4962" w:type="dxa"/>
          </w:tcPr>
          <w:p w14:paraId="06396BA9" w14:textId="77777777" w:rsidR="001C69B9" w:rsidRPr="007D767C" w:rsidRDefault="00DA670A" w:rsidP="00006F16">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rPr>
                  <w:t>☒</w:t>
                </w:r>
              </w:sdtContent>
            </w:sdt>
            <w:r w:rsidR="001C69B9" w:rsidRPr="007D767C">
              <w:t xml:space="preserve"> Kaštų naudingumo analizė</w:t>
            </w:r>
          </w:p>
          <w:p w14:paraId="63E3E9EA" w14:textId="77777777" w:rsidR="001C69B9" w:rsidRPr="007D767C" w:rsidRDefault="00DA670A" w:rsidP="00006F16">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 xml:space="preserve"> Kaštų mažinimo analizė</w:t>
            </w:r>
          </w:p>
          <w:p w14:paraId="3991A6B3" w14:textId="77777777" w:rsidR="001C69B9" w:rsidRPr="007D767C" w:rsidRDefault="00DA670A" w:rsidP="00006F16">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rPr>
                  <w:t>☐</w:t>
                </w:r>
              </w:sdtContent>
            </w:sdt>
            <w:r w:rsidR="001C69B9" w:rsidRPr="007D767C">
              <w:t xml:space="preserve"> Neteikiama</w:t>
            </w:r>
          </w:p>
          <w:p w14:paraId="23B50210" w14:textId="77777777" w:rsidR="001C69B9" w:rsidRPr="007D767C" w:rsidRDefault="001C69B9" w:rsidP="00006F16">
            <w:pPr>
              <w:jc w:val="both"/>
            </w:pPr>
          </w:p>
        </w:tc>
      </w:tr>
    </w:tbl>
    <w:bookmarkEnd w:id="1"/>
    <w:p w14:paraId="2EB7FD31" w14:textId="5615B363" w:rsidR="007A2B68" w:rsidRPr="007D767C" w:rsidRDefault="00DC261A" w:rsidP="00063A50">
      <w:pPr>
        <w:pStyle w:val="Sraopastraipa"/>
        <w:tabs>
          <w:tab w:val="left" w:pos="426"/>
        </w:tabs>
        <w:ind w:left="0"/>
        <w:jc w:val="center"/>
        <w:rPr>
          <w:b/>
          <w:bCs/>
          <w:caps/>
        </w:rPr>
      </w:pPr>
      <w:r w:rsidRPr="007D767C">
        <w:rPr>
          <w:b/>
          <w:bCs/>
          <w:caps/>
        </w:rPr>
        <w:t>___________________</w:t>
      </w:r>
    </w:p>
    <w:p w14:paraId="73290081" w14:textId="77777777" w:rsidR="007A2B68" w:rsidRPr="007D767C" w:rsidRDefault="007A2B68">
      <w:pPr>
        <w:rPr>
          <w:b/>
          <w:bCs/>
          <w:caps/>
        </w:rPr>
      </w:pPr>
      <w:r w:rsidRPr="007D767C">
        <w:rPr>
          <w:b/>
          <w:bCs/>
          <w:caps/>
        </w:rPr>
        <w:br w:type="page"/>
      </w:r>
    </w:p>
    <w:p w14:paraId="5055E8A8" w14:textId="10DDAACA" w:rsidR="002E6F80" w:rsidRPr="007D767C" w:rsidRDefault="00CC7832" w:rsidP="00CC09D4">
      <w:pPr>
        <w:pStyle w:val="Sraopastraipa"/>
        <w:numPr>
          <w:ilvl w:val="0"/>
          <w:numId w:val="12"/>
        </w:numPr>
        <w:tabs>
          <w:tab w:val="left" w:pos="567"/>
        </w:tabs>
        <w:ind w:hanging="720"/>
        <w:rPr>
          <w:b/>
          <w:bCs/>
          <w:caps/>
        </w:rPr>
      </w:pPr>
      <w:r w:rsidRPr="007D767C">
        <w:rPr>
          <w:b/>
          <w:bCs/>
          <w:caps/>
        </w:rPr>
        <w:lastRenderedPageBreak/>
        <w:t>Klinikinio vertinimo a</w:t>
      </w:r>
      <w:r w:rsidR="00D4485B" w:rsidRPr="007D767C">
        <w:rPr>
          <w:b/>
          <w:bCs/>
          <w:caps/>
        </w:rPr>
        <w:t>pibendrinimas</w:t>
      </w:r>
    </w:p>
    <w:p w14:paraId="25F89291" w14:textId="5C45C8FC" w:rsidR="00D4485B" w:rsidRPr="007D767C" w:rsidRDefault="00D4485B" w:rsidP="00A93AA6">
      <w:pPr>
        <w:pStyle w:val="Sraopastraipa"/>
        <w:tabs>
          <w:tab w:val="left" w:pos="426"/>
        </w:tabs>
        <w:ind w:left="0"/>
        <w:rPr>
          <w:b/>
          <w:bCs/>
          <w:caps/>
        </w:rPr>
      </w:pPr>
    </w:p>
    <w:p w14:paraId="37D13AE6" w14:textId="77777777" w:rsidR="001C69B9" w:rsidRPr="007D767C" w:rsidRDefault="001C69B9" w:rsidP="007D767C">
      <w:pPr>
        <w:spacing w:line="276" w:lineRule="auto"/>
        <w:ind w:firstLine="720"/>
        <w:jc w:val="both"/>
        <w:rPr>
          <w:lang w:eastAsia="lt-LT"/>
        </w:rPr>
      </w:pPr>
      <w:r w:rsidRPr="007D767C">
        <w:rPr>
          <w:lang w:eastAsia="lt-LT"/>
        </w:rPr>
        <w:t>Endometriumo vėžys (EV), dar vadinamas gimdos gleivinės vėžiu, susijęs su gimdos anatomija, ypač su endometriumu – vidiniu gimdos sluoksniu, kuris keičiasi menstruacijų ciklo metu. EV yra viena iš dažniausiai pasitaikančių ginekologinių vėžio formų. Jis gali pasireikšti įvairiomis formomis, pradedant nuo ankstyvosios stadijos, kai liga gali būti besimptomė, iki pažengusių stadijų, kai simptomai yra ryškūs ir gali apimti skausmą bei kraujavimą. Ši liga yra svarbi, nes ji gali turėti didelį poveikį moters sveikatai ir gyvenimo kokybei, o ankstyva diagnostika ir gydymas gali pagerinti išgyvenamumą.</w:t>
      </w:r>
    </w:p>
    <w:p w14:paraId="70CD65F0" w14:textId="77777777" w:rsidR="001C69B9" w:rsidRPr="007D767C" w:rsidRDefault="001C69B9" w:rsidP="007D767C">
      <w:pPr>
        <w:spacing w:line="276" w:lineRule="auto"/>
        <w:ind w:firstLine="720"/>
        <w:jc w:val="both"/>
        <w:rPr>
          <w:lang w:eastAsia="lt-LT"/>
        </w:rPr>
      </w:pPr>
      <w:r w:rsidRPr="007D767C">
        <w:rPr>
          <w:lang w:eastAsia="lt-LT"/>
        </w:rPr>
        <w:t xml:space="preserve">EV daugiau nei 90 proc. atvejų diagnozuojamas moterims virš 50 metų. Dažniausiai šia liga serga 55–65 metų moterys. Tuo tarpu, moterys nuo 40 iki 50 metų dažniau serga ikivėžinėmis gimdos gleivinės vėžio ligomis arba būklėmis, kurias laiku diagnozavus, jos gali būti sėkmingai gydomos ir neprogresuoja į vėžį. EV yra dažniausias ginekologinis vėžys išsivysčiusiose šalyse ir antras pagal dažnumą ginekologinis vėžys visame pasaulyje. 2020 m. visame pasaulyje diagnozuota apie 376 000 naujų EV atvejų ir apie 88 000 mirčių nuo jo. GLOBOCAN duomenimis Lietuvoje 2022 m. EV sirgo 2718 pacientų ir per metus naujai diagnozuotas vėžys buvo 684 pacientėms. </w:t>
      </w:r>
    </w:p>
    <w:p w14:paraId="12CCA6F8" w14:textId="77777777" w:rsidR="001C69B9" w:rsidRPr="007D767C" w:rsidRDefault="001C69B9" w:rsidP="007D767C">
      <w:pPr>
        <w:spacing w:line="276" w:lineRule="auto"/>
        <w:ind w:firstLine="720"/>
        <w:jc w:val="both"/>
        <w:rPr>
          <w:lang w:eastAsia="lt-LT"/>
        </w:rPr>
      </w:pPr>
      <w:r w:rsidRPr="007D767C">
        <w:rPr>
          <w:lang w:eastAsia="lt-LT"/>
        </w:rPr>
        <w:t>Išplitusios stadijos EV (III/IV stadija), kai vėžys išplitęs regioniniu mastu arba į kitas tolimas kūno vietas, yra susijęs su blogesne prognoze. Be to, iki 18% moterų, kurioms diagnozuotas EV (bet kuri stadija), vėžys pasikartos, o pasikartojimo rizika didėja su kiekvienu vėžio diagnozės etapu. Ilgalaikiai pacientų, sergančių pirminiu išplitusiu ar pasikartojančiu EV, rezultatai išlieka prasti: mažiau nei 20% pacienčių išgyvena 5 metus, o vidutinė bendra išgyvenamumo trukmė (OS) yra mažesnė nei 3 metai. Pacientėms, sergančioms pirminiu išplitusiu EV dMMR/MSI-H, vidutinė trukmė iki kito gydymo, kuri yra išgyvenamumo be ligos progresavimo (PFS) rodiklis, yra maždaug 14,9 mėnesio.</w:t>
      </w:r>
    </w:p>
    <w:p w14:paraId="502E3875" w14:textId="77777777" w:rsidR="001C69B9" w:rsidRPr="007D767C" w:rsidRDefault="001C69B9" w:rsidP="007D767C">
      <w:pPr>
        <w:spacing w:line="276" w:lineRule="auto"/>
        <w:ind w:firstLine="720"/>
        <w:jc w:val="both"/>
        <w:rPr>
          <w:lang w:eastAsia="lt-LT"/>
        </w:rPr>
      </w:pPr>
      <w:r w:rsidRPr="007D767C">
        <w:rPr>
          <w:lang w:eastAsia="lt-LT"/>
        </w:rPr>
        <w:t xml:space="preserve">EV gydymas priklauso nuo ligos stadijos ir paciento sveikatos būklės. Dažniausiai taikomas chirurginis gydymas, kurio metu pašalinama gimda, kiaušidės ir kiti paveikti audiniai. Po operacijos gali būti taikoma radioterapija, chemoterapija arba hormonų terapija, siekiant užkirsti kelią ligos pasikartojimui. Naujausios gydymo galimybės apima imunoterapiją ir tikslinę terapiją, kurios gali būti taikomos pažengusiems atvejams. </w:t>
      </w:r>
    </w:p>
    <w:p w14:paraId="1838BB78" w14:textId="77777777" w:rsidR="001C69B9" w:rsidRPr="007D767C" w:rsidRDefault="001C69B9" w:rsidP="007D767C">
      <w:pPr>
        <w:spacing w:line="276" w:lineRule="auto"/>
        <w:ind w:firstLine="720"/>
        <w:jc w:val="both"/>
        <w:rPr>
          <w:b/>
          <w:bCs/>
        </w:rPr>
      </w:pPr>
      <w:r w:rsidRPr="007D767C">
        <w:rPr>
          <w:lang w:eastAsia="lt-LT"/>
        </w:rPr>
        <w:t xml:space="preserve">Chemoterapija su karboplatina ir paklitakseliu (CP) laikoma pirmos eilės standartine gydymo priemone (SOC) pacientams, kuriems neseniai diagnozuotas pirminis išplitęs arba pirmą kartą recidyvavęs endometriumo vėžys ir kuriems pagal tarptautines gaires tinka sisteminė terapija, įskaitant tuos, kuriems maža išgydymo tikimybė chirurginiu būdu arba radioterapija (RT) atskirai arba kartu. </w:t>
      </w:r>
    </w:p>
    <w:p w14:paraId="537CB1B3" w14:textId="1944C9B6" w:rsidR="001C69B9" w:rsidRPr="007D767C" w:rsidRDefault="001C69B9" w:rsidP="007D767C">
      <w:pPr>
        <w:pStyle w:val="Tekstas"/>
        <w:spacing w:after="0" w:line="276" w:lineRule="auto"/>
        <w:ind w:firstLine="720"/>
        <w:rPr>
          <w:lang w:val="lt-LT"/>
        </w:rPr>
      </w:pPr>
      <w:r w:rsidRPr="007D767C">
        <w:rPr>
          <w:lang w:val="lt-LT"/>
        </w:rPr>
        <w:t>Prašomai kompensuoti indikacijai gydymo rekomendacijų Lietuvoje nėra. Remiantis remiantis klinikinių ekspertų dirbančių su šia pacientų populiacija įžvalgomis, įprasta klinikinė praktika I eilės gydymui yra skirti platinos pagrindo chemoterapiją su pa</w:t>
      </w:r>
      <w:r w:rsidR="00643741">
        <w:rPr>
          <w:lang w:val="lt-LT"/>
        </w:rPr>
        <w:t>k</w:t>
      </w:r>
      <w:r w:rsidRPr="007D767C">
        <w:rPr>
          <w:lang w:val="lt-LT"/>
        </w:rPr>
        <w:t>litakseliu iki 8 gydymo kursų vėliau taikant stebėjimą. Nustačius ligos progresą yra skiriama II eilės gydymas pembrolizumabo ir lenvatinibo deriniu.</w:t>
      </w:r>
    </w:p>
    <w:p w14:paraId="71BA0853" w14:textId="77777777" w:rsidR="001C69B9" w:rsidRPr="007D767C" w:rsidRDefault="001C69B9" w:rsidP="007D767C">
      <w:pPr>
        <w:spacing w:line="276" w:lineRule="auto"/>
        <w:ind w:firstLine="720"/>
        <w:jc w:val="both"/>
      </w:pPr>
      <w:r w:rsidRPr="007D767C">
        <w:t xml:space="preserve">Paraiškos vertinimo metu Lietuvos Respublikos sveikatos apsaugos ministro 2000 m. sausio 28 d. įsakyme Nr.49 „Dėl kompensuojamųjų vaistų sąrašų patvirtinimo“ pateiktame ligų ir kompensuojamųjų vaistų joms gydyti sąraše (toliau – A sąrašas) bei Lietuvos Respublikos sveikatos apsaugos ministro </w:t>
      </w:r>
      <w:r w:rsidRPr="007D767C">
        <w:rPr>
          <w:color w:val="000000"/>
        </w:rPr>
        <w:t>2014 m. rugpjūčio 28 d. įsakyme Nr. V-910</w:t>
      </w:r>
      <w:r w:rsidRPr="007D767C">
        <w:t xml:space="preserve"> „Dėl centralizuotai apmokamų vaistinių preparatų sąrašo patvirtinimo“ pateiktame centralizuotai apmokamų vaistinių preparatų sąraše (toliau - Centralizuotai apmokamų vaistinių preparatų sąrašas) kompensuojamųjų vaistų sąraše šiai indikacijai kompensuojamų vaistinių preparatų taip pat nėra.</w:t>
      </w:r>
    </w:p>
    <w:p w14:paraId="08DE525D" w14:textId="77777777" w:rsidR="001C69B9" w:rsidRPr="007D767C" w:rsidRDefault="001C69B9" w:rsidP="007D767C">
      <w:pPr>
        <w:spacing w:line="276" w:lineRule="auto"/>
        <w:ind w:firstLine="645"/>
        <w:jc w:val="both"/>
        <w:rPr>
          <w:b/>
          <w:bCs/>
          <w:highlight w:val="yellow"/>
        </w:rPr>
      </w:pPr>
      <w:r w:rsidRPr="007D767C">
        <w:lastRenderedPageBreak/>
        <w:t>ESMO 2022 m. paskelbtose EV gydymo rekomendacijose nurodoma, kad pirmos eilės gydymas tiek pažengusiam, tiek atsinaujinusiam EV yra karboplatina ir paklitakselis. Šiose gairėse dostarlimabas nėra minimas, tačiau reikia pabrėžti, kad gairės išleistos 2022 m. ir šiuo metu nėra naujesnės galiojančios redakcijos, todėl gaires laikome neatitinkančios naujausių klinikinių tyrimų.</w:t>
      </w:r>
    </w:p>
    <w:p w14:paraId="540A7727" w14:textId="77777777" w:rsidR="001C69B9" w:rsidRPr="007D767C" w:rsidRDefault="001C69B9" w:rsidP="007D767C">
      <w:pPr>
        <w:pStyle w:val="Tekstas"/>
        <w:spacing w:after="0" w:line="276" w:lineRule="auto"/>
        <w:ind w:firstLine="720"/>
        <w:rPr>
          <w:lang w:val="lt-LT"/>
        </w:rPr>
      </w:pPr>
      <w:r w:rsidRPr="007D767C">
        <w:rPr>
          <w:lang w:val="lt-LT"/>
        </w:rPr>
        <w:t xml:space="preserve">Remiantis Jungtinių Amerikos Valstijų Nacionalinėmis vispusiško vėžio tinklo 2026 m. (angl. </w:t>
      </w:r>
      <w:r w:rsidRPr="007D767C">
        <w:rPr>
          <w:i/>
          <w:iCs/>
          <w:lang w:val="lt-LT"/>
        </w:rPr>
        <w:t>National Comprehensive Cancer Network</w:t>
      </w:r>
      <w:r w:rsidRPr="007D767C">
        <w:rPr>
          <w:lang w:val="lt-LT"/>
        </w:rPr>
        <w:t>) EV diagnostikos ir gydymo gairėmis, prašomai kompensuoti indikacijos daliai – dostarlimabas kartu su karboplatina ir paklitakseliu skirtas suaugusioms pacientėms, kurioms yra diagnozuotas pirminis pažengęs ar atsinaujinęs EV ir numatytas sisteminis gydymas, dostarlimabas yra rekomenduojamas (category 1).</w:t>
      </w:r>
    </w:p>
    <w:p w14:paraId="3089E3F1" w14:textId="77777777" w:rsidR="001C69B9" w:rsidRPr="007D767C" w:rsidRDefault="001C69B9" w:rsidP="007D767C">
      <w:pPr>
        <w:tabs>
          <w:tab w:val="left" w:pos="426"/>
        </w:tabs>
        <w:spacing w:line="276" w:lineRule="auto"/>
        <w:jc w:val="both"/>
        <w:rPr>
          <w:rFonts w:eastAsia="Arial"/>
        </w:rPr>
      </w:pPr>
      <w:r w:rsidRPr="007D767C">
        <w:rPr>
          <w:rFonts w:eastAsia="Arial"/>
        </w:rPr>
        <w:tab/>
      </w:r>
      <w:r w:rsidRPr="007D767C">
        <w:rPr>
          <w:rFonts w:eastAsia="Arial"/>
        </w:rPr>
        <w:tab/>
        <w:t>Dostarlimabas yra humanizuotas IgG4 izotipo monokloninis antikūnas, kuris prisijungia prie PD-1 receptorių ir blokuoja šių receptorių sąveiką su ligandais PD-L1 ir PD-L2. Slopinant PD 1 mechanizmu sukeltą imuninį atsaką, atstatomas T ląstelių funkcijos aktyvumas, pavyzdžiui: proliferacija, citokinų gamyba ir citotoksinis aktyvumas. Dostarlimabas sustiprina T ląstelių atsaką, įskaitant antinavikinį imuninį atsaką, užblokavus PD-L1 ir PD-L2 prisijungimą prie PD-1. Singeniniuose pelių naviko modeliuose blokuojant PD-1 aktyvumą, sumažėjo naviko augimas.</w:t>
      </w:r>
    </w:p>
    <w:p w14:paraId="34FA670C" w14:textId="1A29EA33" w:rsidR="001C69B9" w:rsidRPr="007D767C" w:rsidRDefault="001C69B9" w:rsidP="007D767C">
      <w:pPr>
        <w:tabs>
          <w:tab w:val="left" w:pos="426"/>
        </w:tabs>
        <w:spacing w:line="276" w:lineRule="auto"/>
        <w:jc w:val="both"/>
        <w:rPr>
          <w:rFonts w:eastAsia="Arial"/>
        </w:rPr>
      </w:pPr>
      <w:r w:rsidRPr="007D767C">
        <w:rPr>
          <w:rFonts w:eastAsia="Arial"/>
        </w:rPr>
        <w:t>.</w:t>
      </w:r>
      <w:r w:rsidRPr="007D767C">
        <w:rPr>
          <w:rFonts w:eastAsia="Arial"/>
        </w:rPr>
        <w:tab/>
      </w:r>
      <w:r w:rsidRPr="007D767C">
        <w:rPr>
          <w:rFonts w:eastAsia="Arial"/>
        </w:rPr>
        <w:tab/>
        <w:t xml:space="preserve">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punkto, nes </w:t>
      </w:r>
      <w:r w:rsidRPr="007D767C">
        <w:t xml:space="preserve">suaugusioms pacientėms, kurioms yra diagnozuotas pirminis pažengęs ar atsinaujinęs endometriumo vėžys ir numatytas sisteminis gydymas, o po to – palaikomasis gydymas, platinos pagrindo chemoterapiją su </w:t>
      </w:r>
      <w:r w:rsidRPr="00643741">
        <w:t>pa</w:t>
      </w:r>
      <w:r w:rsidR="00643741" w:rsidRPr="00643741">
        <w:t>k</w:t>
      </w:r>
      <w:r w:rsidRPr="00643741">
        <w:t xml:space="preserve">litakseliu </w:t>
      </w:r>
      <w:r w:rsidRPr="00643741">
        <w:rPr>
          <w:rFonts w:eastAsia="Arial"/>
        </w:rPr>
        <w:t>yra paraiškos vertinimo metu atitinkantis įprastą klinikinę praktiką ir pagrįstai laikomas atitinkančiu pripažintas konkrečios ligos gydymo gaires.</w:t>
      </w:r>
    </w:p>
    <w:p w14:paraId="055010AE" w14:textId="77777777" w:rsidR="001C69B9" w:rsidRPr="007D767C" w:rsidRDefault="001C69B9" w:rsidP="007D767C">
      <w:pPr>
        <w:tabs>
          <w:tab w:val="left" w:pos="426"/>
        </w:tabs>
        <w:spacing w:line="276" w:lineRule="auto"/>
        <w:jc w:val="both"/>
        <w:rPr>
          <w:rFonts w:eastAsia="Arial"/>
        </w:rPr>
      </w:pPr>
    </w:p>
    <w:p w14:paraId="6B9C841A" w14:textId="77777777" w:rsidR="001C69B9" w:rsidRPr="007D767C" w:rsidRDefault="001C69B9" w:rsidP="007D767C">
      <w:pPr>
        <w:tabs>
          <w:tab w:val="left" w:pos="426"/>
        </w:tabs>
        <w:spacing w:line="276" w:lineRule="auto"/>
        <w:jc w:val="both"/>
        <w:rPr>
          <w:rFonts w:eastAsia="Arial"/>
          <w:i/>
          <w:iCs/>
        </w:rPr>
      </w:pPr>
      <w:r w:rsidRPr="007D767C">
        <w:rPr>
          <w:rFonts w:eastAsia="Arial"/>
          <w:i/>
          <w:iCs/>
        </w:rPr>
        <w:t>Tiesioginis palyginamasis tyrimas</w:t>
      </w:r>
    </w:p>
    <w:p w14:paraId="6E84CFAE" w14:textId="77777777" w:rsidR="001C69B9" w:rsidRPr="007D767C" w:rsidRDefault="001C69B9" w:rsidP="007D767C">
      <w:pPr>
        <w:tabs>
          <w:tab w:val="left" w:pos="492"/>
        </w:tabs>
        <w:spacing w:line="276" w:lineRule="auto"/>
        <w:jc w:val="both"/>
        <w:outlineLvl w:val="1"/>
      </w:pPr>
      <w:r w:rsidRPr="007D767C">
        <w:tab/>
      </w:r>
      <w:r w:rsidRPr="007D767C">
        <w:tab/>
        <w:t>RUBY – tai atsitiktinių imčių kontroliuojamasis suaugusių pacienčių, kurioms diagnozuotas pirminis arba atsinaujinęs EV su dMMR / MSI-H, gydymo dostarlimabu kartu su karboplatina ir paklitakseliu (CP) tyrimas. Gydymo dostarlimabu kartu su CP idealusis veiksmingumas ir saugumas buvo tirti keliuose centruose atliekant atsitiktinių imčių, dvigubai koduotą, placebu kontroliuojamąjį III fazės tyrimą, dalyvaujant pacientėms, kurioms diagnozuotas pirminis išplitęs arba atsinaujinęs EV. Tyrimo pacientų populiacija atitinka egzistuojančią Lietuvos pacientų populiaciją, kuriai gydymas gali būti skiriamas pagal numatomas dostarlimabo skyrimo indikaciją.</w:t>
      </w:r>
    </w:p>
    <w:p w14:paraId="78203853" w14:textId="77777777" w:rsidR="001C69B9" w:rsidRPr="007D767C" w:rsidRDefault="001C69B9" w:rsidP="007D767C">
      <w:pPr>
        <w:tabs>
          <w:tab w:val="left" w:pos="426"/>
        </w:tabs>
        <w:spacing w:line="276" w:lineRule="auto"/>
        <w:jc w:val="both"/>
        <w:rPr>
          <w:rFonts w:eastAsia="Arial"/>
          <w:bCs/>
        </w:rPr>
      </w:pPr>
      <w:r w:rsidRPr="007D767C">
        <w:rPr>
          <w:rFonts w:eastAsia="Arial"/>
          <w:bCs/>
        </w:rPr>
        <w:tab/>
      </w:r>
      <w:r w:rsidRPr="007D767C">
        <w:rPr>
          <w:rFonts w:eastAsia="Arial"/>
          <w:bCs/>
        </w:rPr>
        <w:tab/>
        <w:t>Pacientės atsitiktine tvarka (1:1 santykiu) buvo priskirtos gauti dostarlimabą (500 mg) arba placebą į veną kartu su karboplatina (AUC 5 mg·min/ml) ir paklitakseliu (175 mg/m² kūno paviršiaus ploto) į veną kas 3 savaites pirmuosius šešis ciklus. Vėliau buvo skiriamas dostarlimabas (1000 mg) arba placebas į veną kas 6 savaites iki 3 metų arba iki ligos progresavimo, gydymo nutraukimo dėl toksinio poveikio, pacientės sprendimo pasitraukti, tyrėjo sprendimo nutraukti gydymą arba mirties Atsižvelgiant į šį dozavimo režimą, 7 ciklo 1 diena laikoma chemoterapijos laikotarpio pabaiga. Gydymas nutraukiamas po 3 metų, ligai progresuojant, pasireiškus nepriimtinam toksiškumui, atšaukus sutikimą, tyrėjui nusprendus nutraukti gydymą arba įvykus mirčiai – atsižvelgiant į tai, kas įvyksta anksčiau.</w:t>
      </w:r>
    </w:p>
    <w:p w14:paraId="071DBA92" w14:textId="77777777" w:rsidR="001C69B9" w:rsidRPr="007D767C" w:rsidRDefault="001C69B9" w:rsidP="007D767C">
      <w:pPr>
        <w:spacing w:line="276" w:lineRule="auto"/>
        <w:ind w:firstLine="720"/>
        <w:jc w:val="both"/>
      </w:pPr>
      <w:r w:rsidRPr="007D767C">
        <w:t xml:space="preserve">Svarbiausios vertinamosios baigtys – </w:t>
      </w:r>
      <w:r w:rsidRPr="007D767C">
        <w:rPr>
          <w:u w:val="single"/>
        </w:rPr>
        <w:t>išgyvenamumas be ligos progreso</w:t>
      </w:r>
      <w:r w:rsidRPr="007D767C">
        <w:t xml:space="preserve"> (angl. progression-free survival; PFS), kuris apibrėžiamas kaip laikotarpis nuo atsitiktinės atrankos iki tyrėjo pagal RECIST 1.1 nustatyto ligos progresavimo arba mirties ir </w:t>
      </w:r>
      <w:r w:rsidRPr="007D767C">
        <w:rPr>
          <w:u w:val="single"/>
        </w:rPr>
        <w:t>bendrasis išgyvenamumas</w:t>
      </w:r>
      <w:r w:rsidRPr="007D767C">
        <w:t xml:space="preserve"> (angl. overall survival; OS), kuris buvo apibrėžtas kaip laikas nuo randomizacijos iki mirties nuo bet kurios </w:t>
      </w:r>
      <w:r w:rsidRPr="007D767C">
        <w:lastRenderedPageBreak/>
        <w:t>priežasties datos. Antraeilės veiksmingumo vertinamosios baigtys – objektyvaus atsako dažnis (angl. overall response rate, ORR) ir atsako trukmė (angl. duration of response; DoR). Taip pat buvo atlikta pacientų praneštų baigčių analizė.</w:t>
      </w:r>
    </w:p>
    <w:p w14:paraId="1A8B349B" w14:textId="77777777" w:rsidR="001C69B9" w:rsidRPr="007D767C" w:rsidRDefault="001C69B9" w:rsidP="007D767C">
      <w:pPr>
        <w:spacing w:line="276" w:lineRule="auto"/>
        <w:ind w:firstLine="720"/>
        <w:jc w:val="both"/>
      </w:pPr>
      <w:r w:rsidRPr="007D767C">
        <w:t>RUBY klinikiniame tyrime aktualiame pogrupyje dalyvavo 494 pacientai. Pacientų bendrosios charakteristikos, demografiniai bei ligos rodikliai buvo pateikti visai pacientų imčiai, tai atspindi realią pacientų populiaciją, kuriai šis vaistai būtų skiriamas Lietuvoje. Apibendrinant, abi gydymo grupės buvo gerai subalansuotos pagal pagrindinius demografinius ir klinikinius ligos parametrus.</w:t>
      </w:r>
    </w:p>
    <w:p w14:paraId="696DCF4F" w14:textId="77777777" w:rsidR="001C69B9" w:rsidRPr="007D767C" w:rsidRDefault="001C69B9" w:rsidP="007D767C">
      <w:pPr>
        <w:pStyle w:val="Tekstas"/>
        <w:spacing w:after="0" w:line="276" w:lineRule="auto"/>
        <w:jc w:val="center"/>
        <w:rPr>
          <w:lang w:val="lt-LT"/>
        </w:rPr>
      </w:pPr>
    </w:p>
    <w:p w14:paraId="34B701F6" w14:textId="77777777" w:rsidR="001C69B9" w:rsidRPr="007D767C" w:rsidRDefault="001C69B9" w:rsidP="007D767C">
      <w:pPr>
        <w:tabs>
          <w:tab w:val="left" w:pos="426"/>
        </w:tabs>
        <w:spacing w:line="276" w:lineRule="auto"/>
        <w:jc w:val="both"/>
        <w:rPr>
          <w:rFonts w:eastAsia="Arial"/>
          <w:color w:val="000000" w:themeColor="text1"/>
        </w:rPr>
      </w:pPr>
      <w:r w:rsidRPr="007D767C">
        <w:rPr>
          <w:rFonts w:eastAsia="Arial"/>
          <w:color w:val="000000" w:themeColor="text1"/>
        </w:rPr>
        <w:tab/>
      </w:r>
      <w:r w:rsidRPr="007D767C">
        <w:rPr>
          <w:rFonts w:eastAsia="Arial"/>
          <w:color w:val="000000" w:themeColor="text1"/>
        </w:rPr>
        <w:tab/>
        <w:t xml:space="preserve">Tyrimo duomenys patvirtina dostarlimabo veiksmingumą EV sergančių pacienčių populiacijoje, ypač vertinant išgyvenamumą be ligos progresavimo. </w:t>
      </w:r>
    </w:p>
    <w:p w14:paraId="6BD3024C" w14:textId="77777777" w:rsidR="001C69B9" w:rsidRPr="007D767C" w:rsidRDefault="001C69B9" w:rsidP="007D767C">
      <w:pPr>
        <w:tabs>
          <w:tab w:val="left" w:pos="426"/>
        </w:tabs>
        <w:spacing w:line="276" w:lineRule="auto"/>
        <w:jc w:val="both"/>
        <w:rPr>
          <w:rFonts w:eastAsia="Arial"/>
          <w:color w:val="000000" w:themeColor="text1"/>
        </w:rPr>
      </w:pPr>
      <w:r w:rsidRPr="007D767C">
        <w:rPr>
          <w:rFonts w:eastAsia="Arial"/>
          <w:color w:val="000000" w:themeColor="text1"/>
        </w:rPr>
        <w:tab/>
      </w:r>
      <w:r w:rsidRPr="007D767C">
        <w:rPr>
          <w:rFonts w:eastAsia="Arial"/>
          <w:color w:val="000000" w:themeColor="text1"/>
        </w:rPr>
        <w:tab/>
        <w:t>PFS analizėje buvo nustatytas ryškus ir kliniškai reikšmingas gydymo pranašumas: dostarlimabo pridėjimas prie standartinės chemoterapijos lėmė 36 % mažesnę progresavimo ar mirties riziką (RS 0,64; 95 % PI 0,51–0,80). Šis skirtumas buvo nuoseklus viso stebėjimo metu – Kaplan–Meier kreivės išsiskyrė jau po 12 mėnesių ir išliko aiškiai atskirtos.</w:t>
      </w:r>
    </w:p>
    <w:p w14:paraId="190C05D6" w14:textId="77777777" w:rsidR="001C69B9" w:rsidRPr="007D767C" w:rsidRDefault="001C69B9" w:rsidP="007D767C">
      <w:pPr>
        <w:tabs>
          <w:tab w:val="left" w:pos="426"/>
        </w:tabs>
        <w:spacing w:line="276" w:lineRule="auto"/>
        <w:jc w:val="both"/>
        <w:rPr>
          <w:rFonts w:eastAsia="Arial"/>
          <w:color w:val="000000" w:themeColor="text1"/>
        </w:rPr>
      </w:pPr>
      <w:r w:rsidRPr="007D767C">
        <w:rPr>
          <w:rFonts w:eastAsia="Arial"/>
          <w:color w:val="000000" w:themeColor="text1"/>
        </w:rPr>
        <w:tab/>
      </w:r>
      <w:r w:rsidRPr="007D767C">
        <w:rPr>
          <w:rFonts w:eastAsia="Arial"/>
          <w:color w:val="000000" w:themeColor="text1"/>
        </w:rPr>
        <w:tab/>
        <w:t>Nors OS rezultatai aiškiai palankūs dostarlimabo režimui ir rodo kliniškai reikšmingą naudą, šioje tarpinėje analizėje jie dar nepasiekė iš anksto nustatyto formalaus statistinio reikšmingumo lygio, todėl yra laikomi tik papildantys PFS rezultatų svarbą. Bendras PFS bei OS rezultatų nuoseklumas ir reikšmingumas leidžia teigti, kad durvalumabo pridėjimas prie standartinės pirmos eilės terapijos yra kliniškai pagrįstas ir reikšmingai pagerina šios EV sergančios pacientų grupės prognozę.</w:t>
      </w:r>
    </w:p>
    <w:p w14:paraId="7D48AFB1" w14:textId="77777777" w:rsidR="001C69B9" w:rsidRPr="007D767C" w:rsidRDefault="001C69B9" w:rsidP="007D767C">
      <w:pPr>
        <w:tabs>
          <w:tab w:val="left" w:pos="426"/>
        </w:tabs>
        <w:spacing w:line="276" w:lineRule="auto"/>
        <w:jc w:val="both"/>
        <w:rPr>
          <w:rFonts w:eastAsia="Arial"/>
          <w:color w:val="000000" w:themeColor="text1"/>
        </w:rPr>
      </w:pPr>
      <w:r w:rsidRPr="007D767C">
        <w:rPr>
          <w:rFonts w:eastAsia="Arial"/>
          <w:color w:val="000000" w:themeColor="text1"/>
        </w:rPr>
        <w:tab/>
      </w:r>
      <w:r w:rsidRPr="007D767C">
        <w:rPr>
          <w:rFonts w:eastAsia="Arial"/>
          <w:color w:val="000000" w:themeColor="text1"/>
        </w:rPr>
        <w:tab/>
        <w:t>Apibendrinant, dostarlimabo pridėjimas prie karboplatinos ir paklitakselio buvo susijęs su didesniu objektyvaus atsako dažniu, didesne visiško atsako dalimi ir, svarbiausia, reikšmingai ilgesne atsako trukme, palyginti su vien chemoterapija. Pateikti duomenys neturi nurodytos statistinio reikšmingumo, todėl negalima vertinti ar rezultatas yra statistiškai reikšmingas.</w:t>
      </w:r>
      <w:r w:rsidRPr="007D767C">
        <w:t xml:space="preserve"> A</w:t>
      </w:r>
      <w:r w:rsidRPr="007D767C">
        <w:rPr>
          <w:rFonts w:eastAsia="Arial"/>
          <w:color w:val="000000" w:themeColor="text1"/>
        </w:rPr>
        <w:t>ntrinės baigtys RUBY tyrime nuosekliai rodo dostarlimabo pridėtinę naudą. ORR ir DoR rezultatai patvirtina gilesnį ir ilgesnį atsaką, o HRQoL duomenys – gerą toleravimą. Visos šios baigtys drauge sustiprina pirminius veiksmingumo rodiklius (PFS, OS) ir aiškiai pagrindžia dostarlimabo vertę kaip klinikiniu požiūriu reikšmingą gydymo komponentą EV gydyme</w:t>
      </w:r>
    </w:p>
    <w:p w14:paraId="6889080B" w14:textId="77777777" w:rsidR="001C69B9" w:rsidRPr="007D767C" w:rsidRDefault="001C69B9" w:rsidP="007D767C">
      <w:pPr>
        <w:tabs>
          <w:tab w:val="left" w:pos="426"/>
        </w:tabs>
        <w:spacing w:line="276" w:lineRule="auto"/>
        <w:jc w:val="both"/>
        <w:rPr>
          <w:rFonts w:eastAsia="Arial"/>
          <w:color w:val="000000" w:themeColor="text1"/>
        </w:rPr>
      </w:pPr>
      <w:r w:rsidRPr="007D767C">
        <w:rPr>
          <w:rFonts w:eastAsia="Arial"/>
          <w:color w:val="000000" w:themeColor="text1"/>
        </w:rPr>
        <w:tab/>
      </w:r>
      <w:r w:rsidRPr="007D767C">
        <w:rPr>
          <w:rFonts w:eastAsia="Arial"/>
          <w:color w:val="000000" w:themeColor="text1"/>
        </w:rPr>
        <w:tab/>
        <w:t>Tęstiniai tyrimo duomenys patvirtina dostarlimabo veiksmingumą EV sergančių pacienčių populiacijoje, vertinant OS. OS analizėje buvo nustatytas ryškus ir kliniškai reikšmingas gydymo pranašumas: dostarlimabo pridėjimas prie standartinės chemoterapijos lėmė 31 % mažesnę progresavimo ar mirties riziką (RS 0,69; 95 % PI 0,54–0,89).</w:t>
      </w:r>
    </w:p>
    <w:p w14:paraId="6C0679D1" w14:textId="77777777" w:rsidR="001C69B9" w:rsidRPr="007D767C" w:rsidRDefault="001C69B9" w:rsidP="007D767C">
      <w:pPr>
        <w:tabs>
          <w:tab w:val="left" w:pos="426"/>
        </w:tabs>
        <w:spacing w:line="276" w:lineRule="auto"/>
        <w:jc w:val="both"/>
        <w:rPr>
          <w:rFonts w:eastAsia="Arial"/>
          <w:color w:val="000000" w:themeColor="text1"/>
        </w:rPr>
      </w:pPr>
    </w:p>
    <w:p w14:paraId="4F7C2F60" w14:textId="77777777" w:rsidR="001C69B9" w:rsidRPr="007D767C" w:rsidRDefault="001C69B9" w:rsidP="007D767C">
      <w:pPr>
        <w:pStyle w:val="Betarp"/>
        <w:spacing w:line="276" w:lineRule="auto"/>
        <w:jc w:val="both"/>
        <w:rPr>
          <w:rFonts w:eastAsia="Arial"/>
          <w:color w:val="000000" w:themeColor="text1"/>
        </w:rPr>
      </w:pPr>
      <w:r w:rsidRPr="007D767C">
        <w:rPr>
          <w:rFonts w:ascii="Times New Roman" w:hAnsi="Times New Roman"/>
          <w:iCs/>
          <w:sz w:val="24"/>
          <w:szCs w:val="24"/>
        </w:rPr>
        <w:tab/>
        <w:t xml:space="preserve">Atsižvelgiant į veiksmingumo ir saugumo rezultatus, dostarlimabu kartu su karboplatina ir paklitakseliu palyginamasis veiksmingumas yra didesnis, lyginant su įprasta klinikine praktika </w:t>
      </w:r>
      <w:r w:rsidRPr="007D767C">
        <w:rPr>
          <w:rFonts w:ascii="Times New Roman" w:hAnsi="Times New Roman"/>
          <w:sz w:val="24"/>
          <w:szCs w:val="24"/>
        </w:rPr>
        <w:t xml:space="preserve">suaugusioms pacientėms, </w:t>
      </w:r>
      <w:r w:rsidRPr="007D767C">
        <w:rPr>
          <w:rFonts w:ascii="Times New Roman" w:eastAsia="Times New Roman" w:hAnsi="Times New Roman"/>
          <w:sz w:val="24"/>
          <w:szCs w:val="24"/>
          <w:lang w:eastAsia="lt-LT"/>
        </w:rPr>
        <w:t>kurioms yra diagnozuotas pirminis išplitęs ar atsinaujinęs gimdos gleivinės vėžys ir yra numatytas sisteminis gydymas</w:t>
      </w:r>
      <w:r w:rsidRPr="007D767C">
        <w:rPr>
          <w:rFonts w:ascii="Times New Roman" w:hAnsi="Times New Roman"/>
          <w:lang w:eastAsia="lt-LT"/>
        </w:rPr>
        <w:t>.</w:t>
      </w:r>
    </w:p>
    <w:p w14:paraId="39C1ADA8" w14:textId="77777777" w:rsidR="00AC5129" w:rsidRPr="007D767C" w:rsidRDefault="00AC5129" w:rsidP="007D767C">
      <w:pPr>
        <w:pStyle w:val="Sraopastraipa"/>
        <w:tabs>
          <w:tab w:val="left" w:pos="426"/>
        </w:tabs>
        <w:spacing w:line="276" w:lineRule="auto"/>
        <w:ind w:left="0"/>
        <w:rPr>
          <w:b/>
          <w:bCs/>
          <w:caps/>
        </w:rPr>
      </w:pPr>
    </w:p>
    <w:p w14:paraId="7DE09EB5" w14:textId="69E9DD74" w:rsidR="00E03C3F" w:rsidRPr="007D767C" w:rsidRDefault="00CC7832" w:rsidP="007D767C">
      <w:pPr>
        <w:pStyle w:val="Sraopastraipa"/>
        <w:numPr>
          <w:ilvl w:val="0"/>
          <w:numId w:val="12"/>
        </w:numPr>
        <w:tabs>
          <w:tab w:val="left" w:pos="567"/>
        </w:tabs>
        <w:spacing w:line="276" w:lineRule="auto"/>
        <w:ind w:hanging="720"/>
        <w:rPr>
          <w:b/>
          <w:bCs/>
          <w:caps/>
        </w:rPr>
      </w:pPr>
      <w:r w:rsidRPr="007D767C">
        <w:rPr>
          <w:b/>
          <w:bCs/>
          <w:caps/>
        </w:rPr>
        <w:t xml:space="preserve">ekonominio vertinimo </w:t>
      </w:r>
      <w:r w:rsidR="002F0E4F" w:rsidRPr="007D767C">
        <w:rPr>
          <w:b/>
          <w:bCs/>
          <w:caps/>
        </w:rPr>
        <w:t>apibendrinimas</w:t>
      </w:r>
    </w:p>
    <w:p w14:paraId="7CDD2BC5" w14:textId="77777777" w:rsidR="001C69B9" w:rsidRPr="007D767C" w:rsidRDefault="001C69B9" w:rsidP="007D767C">
      <w:pPr>
        <w:shd w:val="clear" w:color="auto" w:fill="FFFFFF"/>
        <w:spacing w:line="276" w:lineRule="auto"/>
        <w:jc w:val="both"/>
        <w:rPr>
          <w:rFonts w:eastAsia="Arial"/>
          <w:b/>
        </w:rPr>
      </w:pPr>
    </w:p>
    <w:p w14:paraId="4BE52717" w14:textId="77777777" w:rsidR="001C69B9" w:rsidRPr="007D767C" w:rsidRDefault="001C69B9" w:rsidP="007D767C">
      <w:pPr>
        <w:spacing w:line="276" w:lineRule="auto"/>
        <w:jc w:val="both"/>
      </w:pPr>
      <w:r w:rsidRPr="007D767C">
        <w:rPr>
          <w:rFonts w:eastAsia="Arial"/>
          <w:bCs/>
        </w:rPr>
        <w:t>Vertinimui pateikta kaštų naudingumo analizė, kurioje nagrinėjamas dostarlimabo kaštų naudingumas. Nagrinėjami pacientai kuriems dostarlimabas</w:t>
      </w:r>
      <w:r w:rsidRPr="007D767C">
        <w:t xml:space="preserve"> skiriamas kartu su karboplatina ir paklitakseliu pirmos eilės gydymui suaugusioms pacientėms, kurioms yra diagnozuotas pirminis išplitęs ar atsinaujinęs gimdos gleivinės vėžys (GGV) ir yra numatytas sisteminis gydymas. </w:t>
      </w:r>
      <w:r w:rsidRPr="007D767C">
        <w:lastRenderedPageBreak/>
        <w:t xml:space="preserve">Palyginamajam gydymui naudojamas karboplatinos ir paklikakselio derinys atitinka įprastą Lietuvos klinikinę praktiką, bei taikomų vaistų dozavimas atitinka preparatų charakteristikų santraukas. </w:t>
      </w:r>
    </w:p>
    <w:p w14:paraId="31198761" w14:textId="77777777" w:rsidR="001C69B9" w:rsidRPr="007D767C" w:rsidRDefault="001C69B9" w:rsidP="007D767C">
      <w:pPr>
        <w:spacing w:line="276" w:lineRule="auto"/>
        <w:jc w:val="both"/>
      </w:pPr>
    </w:p>
    <w:p w14:paraId="3B6B6EE7" w14:textId="77777777" w:rsidR="001C69B9" w:rsidRPr="007D767C" w:rsidRDefault="001C69B9" w:rsidP="007D767C">
      <w:pPr>
        <w:spacing w:line="276" w:lineRule="auto"/>
        <w:jc w:val="both"/>
      </w:pPr>
      <w:r w:rsidRPr="007D767C">
        <w:t xml:space="preserve">Analizėje taikoma 36 metų, viso gyvenimo laiko perspektyva ir analizė atliekama iš PSDF biudžeto perspektyvos. Tarnybos nuomone ši laiko perspektyva yra per ilga, todėl bazinio atvejo analizei, tarnyba naudoja 20,7 metų laiko perspektyvą, atsižvelgiant į Lietuvos pacientų išgyvenamumą ir siekiant konservatyvaus analizės rezultato. </w:t>
      </w:r>
    </w:p>
    <w:p w14:paraId="238A6584" w14:textId="77777777" w:rsidR="001C69B9" w:rsidRPr="007D767C" w:rsidRDefault="001C69B9" w:rsidP="007D767C">
      <w:pPr>
        <w:spacing w:line="276" w:lineRule="auto"/>
        <w:jc w:val="both"/>
      </w:pPr>
    </w:p>
    <w:p w14:paraId="0F654B61" w14:textId="77777777" w:rsidR="001C69B9" w:rsidRPr="007D767C" w:rsidRDefault="001C69B9" w:rsidP="007D767C">
      <w:pPr>
        <w:spacing w:line="276" w:lineRule="auto"/>
        <w:jc w:val="both"/>
      </w:pPr>
      <w:r w:rsidRPr="007D767C">
        <w:t xml:space="preserve">Analizėje taikomas padalintos kohortos išgyvenamumo modelis, su trejomis sveikatos būklėmis, ši modelio struktūra yra laikoma tinkama analizei atlikti. Ekonominėje analizėje naudojami klinikiniai duomenys sutampa su klinikinėje vertinimo dalyje naudotais duomenimis. Analizė yra grindžiama RUBY-1 tyrimo duomenimis. Tarnyba vertina, jog pasirenkant parametrines funkcijas bazinio atvejo analizei Pareiškėjas kai kuriais atvejais renkasi optimistines kreives, kurios ne visuomet statistiškai geriausiai atitinka Kaplano-Mėjerio kreivę. Taigi, pagrindinio atvejo analizėje Tarnyba taiko šias kreives – OS (dostarlimabo + SoC grupėje loglogistic, SoC grupėje loglogistic), PFS (dostarlimabo + SoC grupėje lognormal, SoC grupėje lognormal), TTD (dostarlimabo + SoC grupėje weibull, SoC grupėje weibull). Šios funkcijos buvo pasirinktos pagal AIC/BIC įverčius. Tačiau, atliekant scenarijų jautrumo analizę, yra stebima jog net ir keičiant naudojamas ekstrapoliacijas, ICER vertė kinta siaurame intervale, bei neviršija referentinės kaštų naudingumo vertės. </w:t>
      </w:r>
    </w:p>
    <w:p w14:paraId="3C097439" w14:textId="77777777" w:rsidR="001C69B9" w:rsidRPr="007D767C" w:rsidRDefault="001C69B9" w:rsidP="007D767C">
      <w:pPr>
        <w:spacing w:line="276" w:lineRule="auto"/>
        <w:jc w:val="both"/>
      </w:pPr>
    </w:p>
    <w:p w14:paraId="51BC7A16" w14:textId="77777777" w:rsidR="001C69B9" w:rsidRPr="007D767C" w:rsidRDefault="001C69B9" w:rsidP="007D767C">
      <w:pPr>
        <w:spacing w:line="276" w:lineRule="auto"/>
        <w:jc w:val="both"/>
      </w:pPr>
      <w:r w:rsidRPr="007D767C">
        <w:t xml:space="preserve">Analizėje naudojami gyvenimo kokybės įverčiai yra grindžiami RUBY-1 tyrimo duomenimis, pagal pacientų pildytą EQ-5D-5L klausimyną. Su nepageidaujamu poveikiu susiję gyvenimo kokybės įverčiai buvo naudojami iš literatūros šaltinių. Taip pat, pareiškėjas taikė su amžiumi susijusius gyvenimo kokybės įverčius, pagal Alava et al. metodologiją. Tarnyba laiko, kad pareiškėjo taikomos prielaidos apskaičiuojant gyvenimo kokybės įverčius yra tinkamos analizės rezultato apskaičiavimui. </w:t>
      </w:r>
    </w:p>
    <w:p w14:paraId="46A46D7E" w14:textId="77777777" w:rsidR="001C69B9" w:rsidRPr="007D767C" w:rsidRDefault="001C69B9" w:rsidP="007D767C">
      <w:pPr>
        <w:spacing w:line="276" w:lineRule="auto"/>
        <w:jc w:val="both"/>
      </w:pPr>
    </w:p>
    <w:p w14:paraId="2D0949E6" w14:textId="550A7282" w:rsidR="001C69B9" w:rsidRPr="007D767C" w:rsidRDefault="001C69B9" w:rsidP="007D767C">
      <w:pPr>
        <w:spacing w:line="276" w:lineRule="auto"/>
        <w:jc w:val="both"/>
      </w:pPr>
      <w:r w:rsidRPr="007D767C">
        <w:t xml:space="preserve">Siekiant pateikti konservatyvesnį analizės rezultatą, bei atsižvelgiant į tai, jog nėra žinoma, koks RDI būtų Lietuvos pacientų populiacijoje, siekdama vienodumo su ankstesniais vertinimais, Tarnyba taiko prielaidą, jog abiejose gydymo grupėse yra taikoma 100 proc. RDI. Taip pat, buvo atnaujinti visi kaštai pagal 2026 metų kainyno duomenis. Pareiškėjo daromos prielaidos apie sekančių eilių gydymą neatitiko standartinės klinikinės praktikos Lietuvoje, todėl siekiant vertinimo vienodumo su Tarnybos anksčiau </w:t>
      </w:r>
      <w:r w:rsidR="00643741" w:rsidRPr="007D767C">
        <w:t>atliktais</w:t>
      </w:r>
      <w:r w:rsidRPr="007D767C">
        <w:t xml:space="preserve"> vertinimais,  sekančių eilių gydymas analizėje buvo keičiamas. Šios prielaidos yra detaliai išdėstytos 11.5 šio vertinimo protokolo punkte. </w:t>
      </w:r>
    </w:p>
    <w:p w14:paraId="5864CF33" w14:textId="77777777" w:rsidR="001C69B9" w:rsidRPr="007D767C" w:rsidRDefault="001C69B9" w:rsidP="007D767C">
      <w:pPr>
        <w:spacing w:line="276" w:lineRule="auto"/>
        <w:jc w:val="both"/>
      </w:pPr>
    </w:p>
    <w:p w14:paraId="2E6DBEC8" w14:textId="4C9171E0" w:rsidR="001C69B9" w:rsidRPr="007D767C" w:rsidRDefault="001C69B9" w:rsidP="007D767C">
      <w:pPr>
        <w:spacing w:line="276" w:lineRule="auto"/>
        <w:jc w:val="both"/>
      </w:pPr>
      <w:r w:rsidRPr="007D767C">
        <w:t xml:space="preserve">Analizėje ligos našta nustatyta sunki, o referentinė kaštų naudingumo vertė – </w:t>
      </w:r>
      <w:r w:rsidR="00217B3A">
        <w:t>*</w:t>
      </w:r>
      <w:r w:rsidRPr="007D767C">
        <w:t xml:space="preserve"> BVP per capita. Atsižvelgiant į Tarnybos taikomas prielaidas, įvertinta jog dostarlimabas, taikant PGS, yra kaštams naudingas. </w:t>
      </w:r>
    </w:p>
    <w:p w14:paraId="2E187F6C" w14:textId="77777777" w:rsidR="001C69B9" w:rsidRPr="007D767C" w:rsidRDefault="001C69B9" w:rsidP="00A93AA6">
      <w:pPr>
        <w:tabs>
          <w:tab w:val="left" w:pos="426"/>
        </w:tabs>
        <w:rPr>
          <w:b/>
          <w:bCs/>
          <w:caps/>
        </w:rPr>
      </w:pPr>
    </w:p>
    <w:p w14:paraId="174D84D7" w14:textId="09C7BC2B" w:rsidR="0035172D" w:rsidRPr="007D767C" w:rsidRDefault="00164D64" w:rsidP="00A93AA6">
      <w:pPr>
        <w:tabs>
          <w:tab w:val="left" w:pos="426"/>
        </w:tabs>
        <w:rPr>
          <w:b/>
          <w:lang w:eastAsia="lt-LT"/>
        </w:rPr>
      </w:pPr>
      <w:r w:rsidRPr="007D767C">
        <w:rPr>
          <w:b/>
          <w:lang w:eastAsia="lt-LT"/>
        </w:rPr>
        <w:t xml:space="preserve">3.1 </w:t>
      </w:r>
      <w:r w:rsidR="0035172D" w:rsidRPr="007D767C">
        <w:rPr>
          <w:b/>
          <w:lang w:eastAsia="lt-LT"/>
        </w:rPr>
        <w:t>Ekonominės analizės rezultatas</w:t>
      </w:r>
    </w:p>
    <w:p w14:paraId="4801D227" w14:textId="77777777" w:rsidR="009E44AE" w:rsidRPr="007D767C"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7D767C"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7D767C" w:rsidRDefault="009E44AE" w:rsidP="009E44AE">
            <w:pPr>
              <w:tabs>
                <w:tab w:val="left" w:pos="567"/>
              </w:tabs>
              <w:jc w:val="center"/>
              <w:rPr>
                <w:b/>
                <w:bCs/>
                <w:sz w:val="26"/>
                <w:szCs w:val="26"/>
                <w:lang w:eastAsia="lt-LT"/>
              </w:rPr>
            </w:pPr>
            <w:r w:rsidRPr="007D767C">
              <w:rPr>
                <w:b/>
                <w:bCs/>
                <w:sz w:val="26"/>
                <w:szCs w:val="26"/>
                <w:lang w:eastAsia="lt-LT"/>
              </w:rPr>
              <w:t>Rezultatai</w:t>
            </w:r>
          </w:p>
        </w:tc>
      </w:tr>
      <w:tr w:rsidR="00334F18" w:rsidRPr="007D767C" w14:paraId="319AF392" w14:textId="77777777" w:rsidTr="00BE7489">
        <w:trPr>
          <w:trHeight w:val="267"/>
          <w:jc w:val="center"/>
        </w:trPr>
        <w:tc>
          <w:tcPr>
            <w:tcW w:w="6200" w:type="dxa"/>
            <w:tcBorders>
              <w:left w:val="single" w:sz="4" w:space="0" w:color="auto"/>
            </w:tcBorders>
          </w:tcPr>
          <w:p w14:paraId="44CD8D27" w14:textId="27245A0B" w:rsidR="00BA5DBC" w:rsidRPr="007D767C" w:rsidRDefault="00BA5DBC" w:rsidP="00BA5DBC">
            <w:pPr>
              <w:tabs>
                <w:tab w:val="left" w:pos="567"/>
              </w:tabs>
              <w:jc w:val="right"/>
              <w:rPr>
                <w:iCs/>
                <w:lang w:eastAsia="lt-LT"/>
              </w:rPr>
            </w:pPr>
            <w:r w:rsidRPr="007D767C">
              <w:rPr>
                <w:iCs/>
                <w:lang w:eastAsia="lt-LT"/>
              </w:rPr>
              <w:t>Kaštų skirtumas</w:t>
            </w:r>
          </w:p>
        </w:tc>
        <w:tc>
          <w:tcPr>
            <w:tcW w:w="3238" w:type="dxa"/>
            <w:tcBorders>
              <w:right w:val="single" w:sz="4" w:space="0" w:color="auto"/>
            </w:tcBorders>
          </w:tcPr>
          <w:p w14:paraId="1CACF0B4" w14:textId="1DC4A510" w:rsidR="00BA5DBC" w:rsidRPr="007D767C" w:rsidRDefault="00BF5CE3" w:rsidP="00BA5DBC">
            <w:pPr>
              <w:tabs>
                <w:tab w:val="left" w:pos="567"/>
              </w:tabs>
              <w:jc w:val="both"/>
              <w:rPr>
                <w:i/>
                <w:iCs/>
                <w:lang w:eastAsia="lt-LT"/>
              </w:rPr>
            </w:pPr>
            <w:r>
              <w:rPr>
                <w:i/>
                <w:iCs/>
                <w:lang w:eastAsia="lt-LT"/>
              </w:rPr>
              <w:t>***</w:t>
            </w:r>
            <w:r w:rsidR="001C69B9" w:rsidRPr="007D767C">
              <w:rPr>
                <w:i/>
                <w:iCs/>
                <w:lang w:eastAsia="lt-LT"/>
              </w:rPr>
              <w:t xml:space="preserve"> eur</w:t>
            </w:r>
          </w:p>
        </w:tc>
      </w:tr>
      <w:tr w:rsidR="00334F18" w:rsidRPr="007D767C" w14:paraId="49F818A3" w14:textId="77777777" w:rsidTr="00BE7489">
        <w:trPr>
          <w:trHeight w:val="267"/>
          <w:jc w:val="center"/>
        </w:trPr>
        <w:tc>
          <w:tcPr>
            <w:tcW w:w="6200" w:type="dxa"/>
            <w:tcBorders>
              <w:left w:val="single" w:sz="4" w:space="0" w:color="auto"/>
            </w:tcBorders>
          </w:tcPr>
          <w:p w14:paraId="021DB925" w14:textId="389F1BF5" w:rsidR="00BA5DBC" w:rsidRPr="007D767C" w:rsidRDefault="00BA5DBC" w:rsidP="00BA5DBC">
            <w:pPr>
              <w:tabs>
                <w:tab w:val="left" w:pos="567"/>
              </w:tabs>
              <w:jc w:val="right"/>
              <w:rPr>
                <w:iCs/>
                <w:lang w:eastAsia="lt-LT"/>
              </w:rPr>
            </w:pPr>
            <w:r w:rsidRPr="007D767C">
              <w:rPr>
                <w:iCs/>
                <w:lang w:eastAsia="lt-LT"/>
              </w:rPr>
              <w:t>Papildomi gyvenimo metai (LY)</w:t>
            </w:r>
          </w:p>
        </w:tc>
        <w:tc>
          <w:tcPr>
            <w:tcW w:w="3238" w:type="dxa"/>
            <w:tcBorders>
              <w:right w:val="single" w:sz="4" w:space="0" w:color="auto"/>
            </w:tcBorders>
          </w:tcPr>
          <w:p w14:paraId="4954817B" w14:textId="03C54F7B" w:rsidR="00BA5DBC" w:rsidRPr="007D767C" w:rsidRDefault="00217B3A" w:rsidP="00BA5DBC">
            <w:pPr>
              <w:tabs>
                <w:tab w:val="left" w:pos="567"/>
              </w:tabs>
              <w:jc w:val="both"/>
              <w:rPr>
                <w:i/>
                <w:iCs/>
                <w:lang w:eastAsia="lt-LT"/>
              </w:rPr>
            </w:pPr>
            <w:r>
              <w:rPr>
                <w:i/>
                <w:iCs/>
                <w:lang w:eastAsia="lt-LT"/>
              </w:rPr>
              <w:t>***</w:t>
            </w:r>
          </w:p>
        </w:tc>
      </w:tr>
      <w:tr w:rsidR="00334F18" w:rsidRPr="007D767C" w14:paraId="20ADA742" w14:textId="77777777" w:rsidTr="00BE7489">
        <w:trPr>
          <w:trHeight w:val="267"/>
          <w:jc w:val="center"/>
        </w:trPr>
        <w:tc>
          <w:tcPr>
            <w:tcW w:w="6200" w:type="dxa"/>
            <w:tcBorders>
              <w:left w:val="single" w:sz="4" w:space="0" w:color="auto"/>
            </w:tcBorders>
          </w:tcPr>
          <w:p w14:paraId="0F567576" w14:textId="2606A2E9" w:rsidR="00BA5DBC" w:rsidRPr="007D767C" w:rsidRDefault="0058712F" w:rsidP="00BA5DBC">
            <w:pPr>
              <w:tabs>
                <w:tab w:val="left" w:pos="567"/>
              </w:tabs>
              <w:jc w:val="right"/>
              <w:rPr>
                <w:iCs/>
                <w:lang w:eastAsia="lt-LT"/>
              </w:rPr>
            </w:pPr>
            <w:r w:rsidRPr="007D767C">
              <w:rPr>
                <w:iCs/>
                <w:lang w:eastAsia="lt-LT"/>
              </w:rPr>
              <w:t>Papildomi k</w:t>
            </w:r>
            <w:r w:rsidR="00BA5DBC" w:rsidRPr="007D767C">
              <w:rPr>
                <w:iCs/>
                <w:lang w:eastAsia="lt-LT"/>
              </w:rPr>
              <w:t>okybiški gyvenimo metai (QALY)</w:t>
            </w:r>
          </w:p>
        </w:tc>
        <w:tc>
          <w:tcPr>
            <w:tcW w:w="3238" w:type="dxa"/>
            <w:tcBorders>
              <w:right w:val="single" w:sz="4" w:space="0" w:color="auto"/>
            </w:tcBorders>
          </w:tcPr>
          <w:p w14:paraId="02E4DAE1" w14:textId="42413097" w:rsidR="00BA5DBC" w:rsidRPr="007D767C" w:rsidRDefault="00217B3A" w:rsidP="00BA5DBC">
            <w:pPr>
              <w:tabs>
                <w:tab w:val="left" w:pos="567"/>
              </w:tabs>
              <w:jc w:val="both"/>
              <w:rPr>
                <w:i/>
                <w:iCs/>
                <w:lang w:eastAsia="lt-LT"/>
              </w:rPr>
            </w:pPr>
            <w:r>
              <w:rPr>
                <w:i/>
                <w:iCs/>
                <w:lang w:eastAsia="lt-LT"/>
              </w:rPr>
              <w:t>***</w:t>
            </w:r>
          </w:p>
        </w:tc>
      </w:tr>
      <w:tr w:rsidR="00334F18" w:rsidRPr="007D767C" w14:paraId="1FADA2B3" w14:textId="77777777" w:rsidTr="00BE7489">
        <w:trPr>
          <w:trHeight w:val="267"/>
          <w:jc w:val="center"/>
        </w:trPr>
        <w:tc>
          <w:tcPr>
            <w:tcW w:w="6200" w:type="dxa"/>
            <w:tcBorders>
              <w:left w:val="single" w:sz="4" w:space="0" w:color="auto"/>
            </w:tcBorders>
          </w:tcPr>
          <w:p w14:paraId="13E089E8" w14:textId="0BCEB339" w:rsidR="00BA5DBC" w:rsidRPr="007D767C" w:rsidRDefault="00BA5DBC" w:rsidP="009E44AE">
            <w:pPr>
              <w:tabs>
                <w:tab w:val="left" w:pos="567"/>
              </w:tabs>
              <w:jc w:val="right"/>
              <w:rPr>
                <w:iCs/>
                <w:lang w:eastAsia="lt-LT"/>
              </w:rPr>
            </w:pPr>
            <w:r w:rsidRPr="007D767C">
              <w:rPr>
                <w:iCs/>
                <w:lang w:eastAsia="lt-LT"/>
              </w:rPr>
              <w:t>ICER už LY</w:t>
            </w:r>
          </w:p>
        </w:tc>
        <w:tc>
          <w:tcPr>
            <w:tcW w:w="3238" w:type="dxa"/>
            <w:tcBorders>
              <w:right w:val="single" w:sz="4" w:space="0" w:color="auto"/>
            </w:tcBorders>
          </w:tcPr>
          <w:p w14:paraId="2817448D" w14:textId="26966052" w:rsidR="00BA5DBC" w:rsidRPr="007D767C" w:rsidRDefault="00BF5CE3" w:rsidP="009E44AE">
            <w:pPr>
              <w:tabs>
                <w:tab w:val="left" w:pos="567"/>
              </w:tabs>
              <w:jc w:val="both"/>
              <w:rPr>
                <w:i/>
                <w:iCs/>
                <w:lang w:eastAsia="lt-LT"/>
              </w:rPr>
            </w:pPr>
            <w:r>
              <w:rPr>
                <w:i/>
                <w:iCs/>
                <w:lang w:eastAsia="lt-LT"/>
              </w:rPr>
              <w:t>***</w:t>
            </w:r>
            <w:r w:rsidR="001C69B9" w:rsidRPr="007D767C">
              <w:rPr>
                <w:i/>
                <w:iCs/>
                <w:lang w:eastAsia="lt-LT"/>
              </w:rPr>
              <w:t xml:space="preserve"> eur/LY</w:t>
            </w:r>
          </w:p>
        </w:tc>
      </w:tr>
      <w:tr w:rsidR="00334F18" w:rsidRPr="007D767C" w14:paraId="250DE960" w14:textId="77777777" w:rsidTr="00BE7489">
        <w:trPr>
          <w:trHeight w:val="267"/>
          <w:jc w:val="center"/>
        </w:trPr>
        <w:tc>
          <w:tcPr>
            <w:tcW w:w="6200" w:type="dxa"/>
            <w:tcBorders>
              <w:left w:val="single" w:sz="4" w:space="0" w:color="auto"/>
            </w:tcBorders>
          </w:tcPr>
          <w:p w14:paraId="207EFB23" w14:textId="77777777" w:rsidR="009E44AE" w:rsidRPr="007D767C" w:rsidRDefault="009E44AE" w:rsidP="009E44AE">
            <w:pPr>
              <w:tabs>
                <w:tab w:val="left" w:pos="567"/>
              </w:tabs>
              <w:jc w:val="right"/>
              <w:rPr>
                <w:iCs/>
                <w:lang w:eastAsia="lt-LT"/>
              </w:rPr>
            </w:pPr>
            <w:r w:rsidRPr="007D767C">
              <w:rPr>
                <w:iCs/>
                <w:lang w:eastAsia="lt-LT"/>
              </w:rPr>
              <w:t>ICER už QALY</w:t>
            </w:r>
          </w:p>
        </w:tc>
        <w:tc>
          <w:tcPr>
            <w:tcW w:w="3238" w:type="dxa"/>
            <w:tcBorders>
              <w:right w:val="single" w:sz="4" w:space="0" w:color="auto"/>
            </w:tcBorders>
          </w:tcPr>
          <w:p w14:paraId="4275320D" w14:textId="7E120FBB" w:rsidR="009E44AE" w:rsidRPr="007D767C" w:rsidRDefault="00BF5CE3" w:rsidP="009E44AE">
            <w:pPr>
              <w:tabs>
                <w:tab w:val="left" w:pos="567"/>
              </w:tabs>
              <w:jc w:val="both"/>
              <w:rPr>
                <w:i/>
                <w:iCs/>
                <w:lang w:eastAsia="lt-LT"/>
              </w:rPr>
            </w:pPr>
            <w:r>
              <w:rPr>
                <w:i/>
                <w:iCs/>
                <w:lang w:eastAsia="lt-LT"/>
              </w:rPr>
              <w:t>***</w:t>
            </w:r>
            <w:r w:rsidR="001C69B9" w:rsidRPr="007D767C">
              <w:rPr>
                <w:i/>
                <w:iCs/>
                <w:lang w:eastAsia="lt-LT"/>
              </w:rPr>
              <w:t xml:space="preserve"> eur/QALY</w:t>
            </w:r>
          </w:p>
        </w:tc>
      </w:tr>
      <w:tr w:rsidR="00334F18" w:rsidRPr="007D767C"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7D767C" w:rsidRDefault="00437623" w:rsidP="009E44AE">
            <w:pPr>
              <w:tabs>
                <w:tab w:val="left" w:pos="567"/>
              </w:tabs>
              <w:jc w:val="right"/>
              <w:rPr>
                <w:iCs/>
                <w:lang w:eastAsia="lt-LT"/>
              </w:rPr>
            </w:pPr>
            <w:r w:rsidRPr="007D767C">
              <w:rPr>
                <w:iCs/>
                <w:lang w:eastAsia="lt-LT"/>
              </w:rPr>
              <w:lastRenderedPageBreak/>
              <w:t>Referenc</w:t>
            </w:r>
            <w:r w:rsidR="009E44AE" w:rsidRPr="007D767C">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58BF08C3" w:rsidR="009E44AE" w:rsidRPr="007D767C" w:rsidRDefault="00217B3A" w:rsidP="009E44AE">
            <w:pPr>
              <w:tabs>
                <w:tab w:val="left" w:pos="567"/>
              </w:tabs>
              <w:jc w:val="both"/>
              <w:rPr>
                <w:i/>
                <w:iCs/>
                <w:lang w:eastAsia="lt-LT"/>
              </w:rPr>
            </w:pPr>
            <w:r>
              <w:rPr>
                <w:i/>
                <w:iCs/>
                <w:lang w:eastAsia="lt-LT"/>
              </w:rPr>
              <w:t>***</w:t>
            </w:r>
            <w:r w:rsidR="001C69B9" w:rsidRPr="007D767C">
              <w:rPr>
                <w:i/>
                <w:iCs/>
                <w:lang w:eastAsia="lt-LT"/>
              </w:rPr>
              <w:t xml:space="preserve"> eur/QALY</w:t>
            </w:r>
          </w:p>
        </w:tc>
      </w:tr>
    </w:tbl>
    <w:p w14:paraId="5FC8C737" w14:textId="4136B7F4" w:rsidR="0035172D" w:rsidRPr="007D767C" w:rsidRDefault="00E5102E" w:rsidP="0035172D">
      <w:pPr>
        <w:tabs>
          <w:tab w:val="left" w:pos="567"/>
        </w:tabs>
        <w:jc w:val="both"/>
        <w:rPr>
          <w:iCs/>
          <w:sz w:val="20"/>
          <w:lang w:eastAsia="lt-LT"/>
        </w:rPr>
      </w:pPr>
      <w:r w:rsidRPr="007D767C">
        <w:rPr>
          <w:iCs/>
          <w:sz w:val="20"/>
          <w:lang w:eastAsia="lt-LT"/>
        </w:rPr>
        <w:t xml:space="preserve">ICER </w:t>
      </w:r>
      <w:r w:rsidR="00453862" w:rsidRPr="007D767C">
        <w:rPr>
          <w:iCs/>
          <w:sz w:val="20"/>
          <w:lang w:eastAsia="lt-LT"/>
        </w:rPr>
        <w:t>– (</w:t>
      </w:r>
      <w:r w:rsidR="00453862" w:rsidRPr="007D767C">
        <w:rPr>
          <w:i/>
          <w:sz w:val="20"/>
          <w:lang w:eastAsia="lt-LT"/>
        </w:rPr>
        <w:t>angl. incremental cost-effectiveness ratio</w:t>
      </w:r>
      <w:r w:rsidR="00453862" w:rsidRPr="007D767C">
        <w:rPr>
          <w:iCs/>
          <w:sz w:val="20"/>
          <w:lang w:eastAsia="lt-LT"/>
        </w:rPr>
        <w:t>) inkrementinis kaštų naudingumo koeficientas</w:t>
      </w:r>
      <w:r w:rsidRPr="007D767C">
        <w:rPr>
          <w:iCs/>
          <w:sz w:val="20"/>
          <w:lang w:eastAsia="lt-LT"/>
        </w:rPr>
        <w:t>; LY –</w:t>
      </w:r>
      <w:r w:rsidR="00453862" w:rsidRPr="007D767C">
        <w:rPr>
          <w:iCs/>
          <w:sz w:val="20"/>
          <w:lang w:eastAsia="lt-LT"/>
        </w:rPr>
        <w:t xml:space="preserve"> (</w:t>
      </w:r>
      <w:r w:rsidR="00453862" w:rsidRPr="007D767C">
        <w:rPr>
          <w:i/>
          <w:sz w:val="20"/>
          <w:lang w:eastAsia="lt-LT"/>
        </w:rPr>
        <w:t>angl. life years</w:t>
      </w:r>
      <w:r w:rsidR="00453862" w:rsidRPr="007D767C">
        <w:rPr>
          <w:iCs/>
          <w:sz w:val="20"/>
          <w:lang w:eastAsia="lt-LT"/>
        </w:rPr>
        <w:t>) gyvenimo metai</w:t>
      </w:r>
      <w:r w:rsidRPr="007D767C">
        <w:rPr>
          <w:iCs/>
          <w:sz w:val="20"/>
          <w:lang w:eastAsia="lt-LT"/>
        </w:rPr>
        <w:t xml:space="preserve">; QALY- </w:t>
      </w:r>
      <w:r w:rsidR="00453862" w:rsidRPr="007D767C">
        <w:rPr>
          <w:iCs/>
          <w:sz w:val="20"/>
          <w:lang w:eastAsia="lt-LT"/>
        </w:rPr>
        <w:t>(</w:t>
      </w:r>
      <w:r w:rsidR="00453862" w:rsidRPr="007D767C">
        <w:rPr>
          <w:i/>
          <w:sz w:val="20"/>
          <w:lang w:eastAsia="lt-LT"/>
        </w:rPr>
        <w:t xml:space="preserve">angl. quality adjusted life years) </w:t>
      </w:r>
      <w:r w:rsidR="00453862" w:rsidRPr="007D767C">
        <w:rPr>
          <w:iCs/>
          <w:sz w:val="20"/>
          <w:lang w:eastAsia="lt-LT"/>
        </w:rPr>
        <w:t>kokybiški gyvenimo metai.</w:t>
      </w:r>
    </w:p>
    <w:p w14:paraId="33875138" w14:textId="77777777" w:rsidR="0035172D" w:rsidRPr="007D767C" w:rsidRDefault="0035172D" w:rsidP="00A93AA6">
      <w:pPr>
        <w:tabs>
          <w:tab w:val="left" w:pos="426"/>
        </w:tabs>
        <w:rPr>
          <w:b/>
          <w:bCs/>
          <w:caps/>
        </w:rPr>
      </w:pPr>
    </w:p>
    <w:p w14:paraId="4FC424F9" w14:textId="4E767245" w:rsidR="00C62B36" w:rsidRPr="007D767C" w:rsidRDefault="00C62B36" w:rsidP="00CC09D4">
      <w:pPr>
        <w:pStyle w:val="Sraopastraipa"/>
        <w:numPr>
          <w:ilvl w:val="0"/>
          <w:numId w:val="12"/>
        </w:numPr>
        <w:tabs>
          <w:tab w:val="left" w:pos="567"/>
        </w:tabs>
        <w:ind w:hanging="720"/>
        <w:rPr>
          <w:b/>
          <w:bCs/>
          <w:caps/>
        </w:rPr>
      </w:pPr>
      <w:r w:rsidRPr="007D767C">
        <w:rPr>
          <w:b/>
          <w:bCs/>
          <w:caps/>
        </w:rPr>
        <w:t xml:space="preserve">Pacientų organizacijų pateikti duomenys </w:t>
      </w:r>
    </w:p>
    <w:p w14:paraId="60020151" w14:textId="77777777" w:rsidR="002B64B8" w:rsidRPr="007D767C" w:rsidRDefault="002B64B8" w:rsidP="00937907">
      <w:pPr>
        <w:spacing w:after="120"/>
        <w:jc w:val="both"/>
      </w:pPr>
    </w:p>
    <w:p w14:paraId="62992180" w14:textId="47F962E2" w:rsidR="00937907" w:rsidRPr="007D767C" w:rsidRDefault="00937907" w:rsidP="00937907">
      <w:pPr>
        <w:spacing w:after="120"/>
        <w:jc w:val="both"/>
      </w:pPr>
      <w:r w:rsidRPr="007D767C">
        <w:t xml:space="preserve">Pacientų organizacijos pozicija </w:t>
      </w:r>
      <w:r w:rsidR="00880A44" w:rsidRPr="007D767C">
        <w:t>ne</w:t>
      </w:r>
      <w:r w:rsidRPr="007D767C">
        <w:t>pateikta.</w:t>
      </w:r>
    </w:p>
    <w:p w14:paraId="03E73D82" w14:textId="77777777" w:rsidR="00D417D2" w:rsidRPr="007D767C" w:rsidRDefault="00D417D2" w:rsidP="00937907">
      <w:pPr>
        <w:spacing w:after="120"/>
        <w:jc w:val="both"/>
      </w:pPr>
    </w:p>
    <w:p w14:paraId="3D3277FA" w14:textId="09414FFF" w:rsidR="00C62B36" w:rsidRPr="007D767C" w:rsidRDefault="00D67BAF" w:rsidP="00CC09D4">
      <w:pPr>
        <w:pStyle w:val="Sraopastraipa"/>
        <w:numPr>
          <w:ilvl w:val="0"/>
          <w:numId w:val="12"/>
        </w:numPr>
        <w:tabs>
          <w:tab w:val="left" w:pos="567"/>
        </w:tabs>
        <w:ind w:hanging="720"/>
        <w:rPr>
          <w:b/>
          <w:bCs/>
          <w:caps/>
        </w:rPr>
      </w:pPr>
      <w:r w:rsidRPr="007D767C">
        <w:rPr>
          <w:b/>
          <w:bCs/>
          <w:caps/>
        </w:rPr>
        <w:t xml:space="preserve">SVEIKATOS PRIEŽIŪROS SPECIALISTŲ </w:t>
      </w:r>
      <w:r w:rsidR="00C62B36" w:rsidRPr="007D767C">
        <w:rPr>
          <w:b/>
          <w:bCs/>
          <w:caps/>
        </w:rPr>
        <w:t xml:space="preserve"> organizacijų pateikti duomenys</w:t>
      </w:r>
    </w:p>
    <w:p w14:paraId="20000F50" w14:textId="77777777" w:rsidR="002B64B8" w:rsidRPr="007D767C" w:rsidRDefault="002B64B8" w:rsidP="00662983">
      <w:pPr>
        <w:spacing w:after="120"/>
        <w:jc w:val="both"/>
      </w:pPr>
    </w:p>
    <w:p w14:paraId="5D8CC48C" w14:textId="3D5827CF" w:rsidR="00662983" w:rsidRPr="007D767C" w:rsidRDefault="00D67BAF" w:rsidP="00662983">
      <w:pPr>
        <w:spacing w:after="120"/>
        <w:jc w:val="both"/>
      </w:pPr>
      <w:r w:rsidRPr="007D767C">
        <w:t>S</w:t>
      </w:r>
      <w:r w:rsidRPr="007D767C">
        <w:rPr>
          <w:bCs/>
        </w:rPr>
        <w:t>veikatos priežiūros specialistų</w:t>
      </w:r>
      <w:r w:rsidR="00937907" w:rsidRPr="007D767C">
        <w:t xml:space="preserve"> organizacijos pozicija </w:t>
      </w:r>
      <w:r w:rsidR="00880A44" w:rsidRPr="007D767C">
        <w:t>ne</w:t>
      </w:r>
      <w:r w:rsidR="00937907" w:rsidRPr="007D767C">
        <w:t>pateikta.</w:t>
      </w:r>
    </w:p>
    <w:p w14:paraId="3701D46A" w14:textId="77777777" w:rsidR="00A042B9" w:rsidRPr="007D767C" w:rsidRDefault="00A042B9" w:rsidP="00662983">
      <w:pPr>
        <w:spacing w:after="120"/>
        <w:jc w:val="both"/>
      </w:pPr>
    </w:p>
    <w:p w14:paraId="78F23ECB" w14:textId="3ED5BFD5" w:rsidR="002F0E4F" w:rsidRPr="007D767C" w:rsidRDefault="002F0E4F" w:rsidP="00CC09D4">
      <w:pPr>
        <w:pStyle w:val="Sraopastraipa"/>
        <w:numPr>
          <w:ilvl w:val="0"/>
          <w:numId w:val="12"/>
        </w:numPr>
        <w:tabs>
          <w:tab w:val="left" w:pos="567"/>
        </w:tabs>
        <w:ind w:hanging="720"/>
        <w:rPr>
          <w:b/>
          <w:bCs/>
          <w:caps/>
        </w:rPr>
      </w:pPr>
      <w:r w:rsidRPr="007D767C">
        <w:rPr>
          <w:b/>
          <w:bCs/>
          <w:caps/>
        </w:rPr>
        <w:t>Išvad</w:t>
      </w:r>
      <w:r w:rsidR="00B811A4" w:rsidRPr="007D767C">
        <w:rPr>
          <w:b/>
          <w:bCs/>
          <w:caps/>
        </w:rPr>
        <w:t>OS</w:t>
      </w:r>
      <w:r w:rsidRPr="007D767C">
        <w:rPr>
          <w:b/>
          <w:bCs/>
          <w:caps/>
        </w:rPr>
        <w:t xml:space="preserve"> </w:t>
      </w:r>
    </w:p>
    <w:p w14:paraId="30069D85" w14:textId="77777777" w:rsidR="0061611B" w:rsidRPr="007D767C"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7D767C" w14:paraId="4D5EFB83" w14:textId="77777777" w:rsidTr="007111C4">
        <w:trPr>
          <w:trHeight w:val="510"/>
        </w:trPr>
        <w:tc>
          <w:tcPr>
            <w:tcW w:w="9634" w:type="dxa"/>
            <w:gridSpan w:val="2"/>
            <w:vAlign w:val="center"/>
          </w:tcPr>
          <w:p w14:paraId="294EC16B"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7D767C">
              <w:rPr>
                <w:rStyle w:val="Style2"/>
                <w:rFonts w:eastAsia="MS Gothic"/>
                <w:b/>
                <w:bCs/>
                <w:sz w:val="23"/>
                <w:szCs w:val="23"/>
              </w:rPr>
              <w:t>Palyginamasis veiksmingumas</w:t>
            </w:r>
          </w:p>
        </w:tc>
      </w:tr>
      <w:tr w:rsidR="00334F18" w:rsidRPr="007D767C" w14:paraId="30B67515" w14:textId="77777777" w:rsidTr="007111C4">
        <w:tc>
          <w:tcPr>
            <w:tcW w:w="4820" w:type="dxa"/>
          </w:tcPr>
          <w:p w14:paraId="4FE3C208" w14:textId="78E40C4D"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sz w:val="23"/>
                    <w:szCs w:val="23"/>
                  </w:rPr>
                  <w:t>☒</w:t>
                </w:r>
              </w:sdtContent>
            </w:sdt>
            <w:r w:rsidR="00B811A4" w:rsidRPr="007D767C">
              <w:rPr>
                <w:rStyle w:val="Style2"/>
                <w:sz w:val="23"/>
                <w:szCs w:val="23"/>
              </w:rPr>
              <w:t xml:space="preserve"> 29</w:t>
            </w:r>
            <w:r w:rsidR="00B811A4" w:rsidRPr="007D767C">
              <w:rPr>
                <w:sz w:val="23"/>
                <w:szCs w:val="23"/>
              </w:rPr>
              <w:t>.1.1 yra didesnis, lyginant su įprasta klinikine praktika</w:t>
            </w:r>
          </w:p>
          <w:p w14:paraId="6F9786E4"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w:t>
            </w:r>
            <w:r w:rsidR="00B811A4" w:rsidRPr="007D767C">
              <w:rPr>
                <w:rStyle w:val="Style2"/>
                <w:sz w:val="23"/>
                <w:szCs w:val="23"/>
              </w:rPr>
              <w:t>29</w:t>
            </w:r>
            <w:r w:rsidR="00B811A4" w:rsidRPr="007D767C">
              <w:rPr>
                <w:sz w:val="23"/>
                <w:szCs w:val="23"/>
              </w:rPr>
              <w:t>.1.2 iš esmės nesiskiria, lyginant su įprasta klinikine praktika</w:t>
            </w:r>
          </w:p>
        </w:tc>
        <w:tc>
          <w:tcPr>
            <w:tcW w:w="4814" w:type="dxa"/>
          </w:tcPr>
          <w:p w14:paraId="72562F9E" w14:textId="77777777"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w:t>
            </w:r>
            <w:r w:rsidR="00B811A4" w:rsidRPr="007D767C">
              <w:rPr>
                <w:rStyle w:val="Style2"/>
                <w:sz w:val="23"/>
                <w:szCs w:val="23"/>
              </w:rPr>
              <w:t>29</w:t>
            </w:r>
            <w:r w:rsidR="00B811A4" w:rsidRPr="007D767C">
              <w:rPr>
                <w:sz w:val="23"/>
                <w:szCs w:val="23"/>
              </w:rPr>
              <w:t xml:space="preserve">.1.3 yra neįrodytas kaip didesnis  ar iš esmės nesiskiriantis, lyginant su įprasta klinikine praktika  </w:t>
            </w:r>
          </w:p>
          <w:p w14:paraId="6F6DB5BC"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w:t>
            </w:r>
            <w:r w:rsidR="00B811A4" w:rsidRPr="007D767C">
              <w:rPr>
                <w:rStyle w:val="Style2"/>
                <w:sz w:val="23"/>
                <w:szCs w:val="23"/>
              </w:rPr>
              <w:t>29</w:t>
            </w:r>
            <w:r w:rsidR="00B811A4" w:rsidRPr="007D767C">
              <w:rPr>
                <w:sz w:val="23"/>
                <w:szCs w:val="23"/>
              </w:rPr>
              <w:t>.1.4 yra mažesnis, lyginant su įprasta klinikine praktika</w:t>
            </w:r>
          </w:p>
          <w:p w14:paraId="193C3D76"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w:t>
            </w:r>
            <w:r w:rsidR="00B811A4" w:rsidRPr="007D767C">
              <w:rPr>
                <w:rStyle w:val="Style2"/>
                <w:sz w:val="23"/>
                <w:szCs w:val="23"/>
              </w:rPr>
              <w:t>29</w:t>
            </w:r>
            <w:r w:rsidR="00B811A4" w:rsidRPr="007D767C">
              <w:rPr>
                <w:sz w:val="23"/>
                <w:szCs w:val="23"/>
              </w:rPr>
              <w:t>.1.5 pateikti duomenys apie palyginamąjį veiksmingumą yra netinkami vertinti</w:t>
            </w:r>
          </w:p>
          <w:p w14:paraId="45719037"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7D767C" w14:paraId="0E0F5168" w14:textId="77777777" w:rsidTr="00743956">
        <w:trPr>
          <w:trHeight w:val="510"/>
        </w:trPr>
        <w:tc>
          <w:tcPr>
            <w:tcW w:w="9634" w:type="dxa"/>
            <w:gridSpan w:val="2"/>
            <w:vAlign w:val="center"/>
          </w:tcPr>
          <w:p w14:paraId="62B67E12"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7D767C">
              <w:rPr>
                <w:rStyle w:val="Style2"/>
                <w:rFonts w:eastAsia="MS Gothic"/>
                <w:b/>
                <w:bCs/>
                <w:sz w:val="23"/>
                <w:szCs w:val="23"/>
              </w:rPr>
              <w:t>Kaštų naudingumas</w:t>
            </w:r>
          </w:p>
        </w:tc>
      </w:tr>
      <w:tr w:rsidR="00334F18" w:rsidRPr="007D767C" w14:paraId="6A2F62B2" w14:textId="77777777" w:rsidTr="00743956">
        <w:tc>
          <w:tcPr>
            <w:tcW w:w="4820" w:type="dxa"/>
          </w:tcPr>
          <w:p w14:paraId="7CB2C697" w14:textId="3B78E061"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MS Gothic" w:eastAsia="MS Gothic" w:hAnsi="MS Gothic"/>
                    <w:sz w:val="23"/>
                    <w:szCs w:val="23"/>
                  </w:rPr>
                  <w:t>☒</w:t>
                </w:r>
              </w:sdtContent>
            </w:sdt>
            <w:r w:rsidR="00B811A4" w:rsidRPr="007D767C">
              <w:rPr>
                <w:sz w:val="23"/>
                <w:szCs w:val="23"/>
              </w:rPr>
              <w:t xml:space="preserve"> 29.2.1 atitinka referencinę naudingumo vertę taikant arba netaikant</w:t>
            </w:r>
            <w:r w:rsidR="00437623" w:rsidRPr="007D767C">
              <w:rPr>
                <w:b/>
                <w:bCs/>
                <w:sz w:val="23"/>
                <w:szCs w:val="23"/>
              </w:rPr>
              <w:t xml:space="preserve"> </w:t>
            </w:r>
            <w:r w:rsidR="00B811A4" w:rsidRPr="007D767C">
              <w:rPr>
                <w:sz w:val="23"/>
                <w:szCs w:val="23"/>
              </w:rPr>
              <w:t>PGS</w:t>
            </w:r>
          </w:p>
          <w:p w14:paraId="71797774"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29.2.3 neatitinka referencinės naudingumo vertės taikant arba netaikant PGS</w:t>
            </w:r>
          </w:p>
          <w:p w14:paraId="13C9EEE5"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7D767C">
                  <w:rPr>
                    <w:rStyle w:val="Style2"/>
                    <w:rFonts w:ascii="Segoe UI Symbol" w:eastAsia="MS Gothic" w:hAnsi="Segoe UI Symbol" w:cs="Segoe UI Symbol"/>
                    <w:sz w:val="23"/>
                    <w:szCs w:val="23"/>
                  </w:rPr>
                  <w:t>☐</w:t>
                </w:r>
              </w:sdtContent>
            </w:sdt>
            <w:r w:rsidR="00B811A4" w:rsidRPr="007D767C">
              <w:rPr>
                <w:sz w:val="23"/>
                <w:szCs w:val="23"/>
              </w:rPr>
              <w:t xml:space="preserve"> 29.2.5 pateikti duomenys apie kaštų naudingumą yra netinkami vertinti</w:t>
            </w:r>
          </w:p>
          <w:p w14:paraId="06AB06C5" w14:textId="77777777" w:rsidR="00B811A4" w:rsidRPr="007D767C"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7D767C" w14:paraId="632C9193" w14:textId="77777777" w:rsidTr="00027464">
        <w:tc>
          <w:tcPr>
            <w:tcW w:w="9634" w:type="dxa"/>
            <w:gridSpan w:val="2"/>
          </w:tcPr>
          <w:p w14:paraId="15C289C9" w14:textId="47C5A3CE" w:rsidR="007111C4" w:rsidRPr="007D767C" w:rsidRDefault="00DA670A"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7D767C">
                  <w:rPr>
                    <w:rStyle w:val="Style2"/>
                    <w:rFonts w:ascii="Segoe UI Symbol" w:eastAsia="MS Gothic" w:hAnsi="Segoe UI Symbol" w:cs="Segoe UI Symbol"/>
                    <w:sz w:val="23"/>
                    <w:szCs w:val="23"/>
                  </w:rPr>
                  <w:t>☐</w:t>
                </w:r>
              </w:sdtContent>
            </w:sdt>
            <w:r w:rsidR="007111C4" w:rsidRPr="007D767C">
              <w:rPr>
                <w:sz w:val="23"/>
                <w:szCs w:val="23"/>
              </w:rPr>
              <w:t xml:space="preserve"> Vykdant Aprašo &lt;17</w:t>
            </w:r>
            <w:r w:rsidR="007111C4" w:rsidRPr="007D767C">
              <w:rPr>
                <w:sz w:val="23"/>
                <w:szCs w:val="23"/>
                <w:vertAlign w:val="superscript"/>
              </w:rPr>
              <w:t>3</w:t>
            </w:r>
            <w:r w:rsidR="007111C4" w:rsidRPr="007D767C">
              <w:rPr>
                <w:sz w:val="23"/>
                <w:szCs w:val="23"/>
              </w:rPr>
              <w:t>.1&gt;&lt;17</w:t>
            </w:r>
            <w:r w:rsidR="007111C4" w:rsidRPr="007D767C">
              <w:rPr>
                <w:sz w:val="23"/>
                <w:szCs w:val="23"/>
                <w:vertAlign w:val="superscript"/>
              </w:rPr>
              <w:t>3</w:t>
            </w:r>
            <w:r w:rsidR="007111C4" w:rsidRPr="007D767C">
              <w:rPr>
                <w:sz w:val="23"/>
                <w:szCs w:val="23"/>
              </w:rPr>
              <w:t>.2&gt;&lt;17</w:t>
            </w:r>
            <w:r w:rsidR="007111C4" w:rsidRPr="007D767C">
              <w:rPr>
                <w:sz w:val="23"/>
                <w:szCs w:val="23"/>
                <w:vertAlign w:val="superscript"/>
              </w:rPr>
              <w:t>3</w:t>
            </w:r>
            <w:r w:rsidR="007111C4" w:rsidRPr="007D767C">
              <w:rPr>
                <w:sz w:val="23"/>
                <w:szCs w:val="23"/>
              </w:rPr>
              <w:t>.3&gt; punktą vaistinio (-ų) preparato (-ų) ekonominis vertinimas neatliekamas, išvados dėl kaštų naudingumo neteikiamos</w:t>
            </w:r>
          </w:p>
        </w:tc>
      </w:tr>
    </w:tbl>
    <w:p w14:paraId="08D5B3B6" w14:textId="292D1124" w:rsidR="0061611B" w:rsidRPr="007D767C" w:rsidRDefault="0061611B" w:rsidP="0061611B">
      <w:pPr>
        <w:rPr>
          <w:i/>
          <w:szCs w:val="22"/>
        </w:rPr>
      </w:pPr>
    </w:p>
    <w:p w14:paraId="1B85C083" w14:textId="77777777" w:rsidR="009E44AE" w:rsidRPr="007D767C" w:rsidRDefault="009E44AE" w:rsidP="00381024"/>
    <w:p w14:paraId="3B2D1F25" w14:textId="3A80E19F" w:rsidR="000001B0" w:rsidRPr="007D767C" w:rsidRDefault="000001B0" w:rsidP="00CC09D4">
      <w:pPr>
        <w:pStyle w:val="Sraopastraipa"/>
        <w:numPr>
          <w:ilvl w:val="0"/>
          <w:numId w:val="12"/>
        </w:numPr>
        <w:ind w:left="567" w:hanging="567"/>
      </w:pPr>
      <w:r w:rsidRPr="007D767C">
        <w:rPr>
          <w:b/>
        </w:rPr>
        <w:t>REKOME</w:t>
      </w:r>
      <w:r w:rsidR="00D83182" w:rsidRPr="007D767C">
        <w:rPr>
          <w:b/>
        </w:rPr>
        <w:t>N</w:t>
      </w:r>
      <w:r w:rsidRPr="007D767C">
        <w:rPr>
          <w:b/>
        </w:rPr>
        <w:t>DACIJA</w:t>
      </w:r>
    </w:p>
    <w:p w14:paraId="35E33D78" w14:textId="59232BB3" w:rsidR="00B811A4" w:rsidRPr="007D767C" w:rsidRDefault="00B811A4" w:rsidP="00B811A4">
      <w:pPr>
        <w:pStyle w:val="Sraopastraipa"/>
        <w:ind w:left="567"/>
        <w:rPr>
          <w:b/>
        </w:rPr>
      </w:pPr>
    </w:p>
    <w:p w14:paraId="177063B5" w14:textId="6AED1CDC" w:rsidR="00AC5129" w:rsidRPr="007D767C" w:rsidRDefault="00B811A4" w:rsidP="001C69B9">
      <w:pPr>
        <w:jc w:val="both"/>
        <w:rPr>
          <w:lang w:eastAsia="lt-LT"/>
        </w:rPr>
      </w:pPr>
      <w:r w:rsidRPr="007D767C">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sidR="001C69B9" w:rsidRPr="007D767C">
        <w:t xml:space="preserve"> </w:t>
      </w:r>
      <w:r w:rsidRPr="007D767C">
        <w:rPr>
          <w:lang w:eastAsia="lt-LT"/>
        </w:rPr>
        <w:t>30</w:t>
      </w:r>
      <w:r w:rsidRPr="007D767C">
        <w:rPr>
          <w:vertAlign w:val="superscript"/>
          <w:lang w:eastAsia="lt-LT"/>
        </w:rPr>
        <w:t>1</w:t>
      </w:r>
      <w:r w:rsidRPr="007D767C">
        <w:rPr>
          <w:lang w:eastAsia="lt-LT"/>
        </w:rPr>
        <w:t>.1. rekomenduojama kompensuoti vaistinį preparatą pagal paraiškoje nurodytą indikaciją (arba jos dalį) su arba be skyrimo sąlygų, taikant ar netaikant PGS, kai vertinimo išvados atitinka Aprašo 29.1.1 ir 29.2.1 papunkčiuose numatytas sąlygas</w:t>
      </w:r>
      <w:r w:rsidR="001C69B9" w:rsidRPr="007D767C">
        <w:rPr>
          <w:lang w:eastAsia="lt-LT"/>
        </w:rPr>
        <w:t>.</w:t>
      </w:r>
    </w:p>
    <w:p w14:paraId="3D60BB06" w14:textId="77777777" w:rsidR="00B811A4" w:rsidRPr="007D767C"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7D767C" w:rsidRDefault="00B811A4" w:rsidP="00B811A4">
      <w:pPr>
        <w:tabs>
          <w:tab w:val="left" w:pos="426"/>
        </w:tabs>
        <w:jc w:val="both"/>
        <w:rPr>
          <w:b/>
          <w:lang w:eastAsia="lt-LT"/>
        </w:rPr>
      </w:pPr>
      <w:r w:rsidRPr="007D767C">
        <w:rPr>
          <w:b/>
          <w:lang w:eastAsia="lt-LT"/>
        </w:rPr>
        <w:lastRenderedPageBreak/>
        <w:t xml:space="preserve">4.3 Siūloma (-os) kompensuoti terapinės indikacijos ir skyrimo sąlygos </w:t>
      </w:r>
    </w:p>
    <w:p w14:paraId="179FBABC" w14:textId="77777777" w:rsidR="00B811A4" w:rsidRPr="007D767C" w:rsidRDefault="00B811A4" w:rsidP="00B811A4">
      <w:pPr>
        <w:tabs>
          <w:tab w:val="left" w:pos="426"/>
        </w:tabs>
        <w:jc w:val="both"/>
        <w:rPr>
          <w:b/>
          <w:lang w:eastAsia="lt-LT"/>
        </w:rPr>
      </w:pPr>
    </w:p>
    <w:p w14:paraId="65CB839B" w14:textId="77777777" w:rsidR="00B811A4" w:rsidRPr="007D767C" w:rsidRDefault="00B811A4" w:rsidP="00B811A4">
      <w:pPr>
        <w:pStyle w:val="Betarp"/>
        <w:rPr>
          <w:rFonts w:ascii="Times New Roman" w:hAnsi="Times New Roman"/>
          <w:b/>
          <w:sz w:val="24"/>
          <w:szCs w:val="24"/>
          <w:lang w:eastAsia="lt-LT"/>
        </w:rPr>
      </w:pPr>
      <w:r w:rsidRPr="007D767C">
        <w:rPr>
          <w:rFonts w:ascii="Times New Roman" w:hAnsi="Times New Roman"/>
          <w:b/>
          <w:sz w:val="24"/>
          <w:szCs w:val="24"/>
          <w:lang w:eastAsia="lt-LT"/>
        </w:rPr>
        <w:t>Terapinės indikacijos</w:t>
      </w:r>
    </w:p>
    <w:p w14:paraId="70603201" w14:textId="77777777" w:rsidR="001C69B9" w:rsidRPr="007D767C" w:rsidRDefault="00DA670A" w:rsidP="001C69B9">
      <w:pPr>
        <w:pStyle w:val="Betarp"/>
        <w:rPr>
          <w:rFonts w:ascii="Times New Roman" w:hAnsi="Times New Roman"/>
          <w:sz w:val="24"/>
          <w:szCs w:val="24"/>
        </w:rPr>
      </w:pPr>
      <w:sdt>
        <w:sdtPr>
          <w:rPr>
            <w:rStyle w:val="Style2"/>
            <w:rFonts w:ascii="Times New Roman" w:hAnsi="Times New Roman"/>
            <w:sz w:val="24"/>
            <w:szCs w:val="24"/>
          </w:rPr>
          <w:id w:val="1799496492"/>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sz w:val="24"/>
              <w:szCs w:val="24"/>
            </w:rPr>
            <w:t>☒</w:t>
          </w:r>
        </w:sdtContent>
      </w:sdt>
      <w:r w:rsidR="001C69B9" w:rsidRPr="007D767C">
        <w:rPr>
          <w:rFonts w:ascii="Times New Roman" w:hAnsi="Times New Roman"/>
          <w:sz w:val="24"/>
          <w:szCs w:val="24"/>
        </w:rPr>
        <w:t xml:space="preserve"> Siūloma kompensuoti Pareiškėjo teikiamą indikaciją be pakeitimų.</w:t>
      </w:r>
    </w:p>
    <w:p w14:paraId="356B4A1F" w14:textId="77777777" w:rsidR="001C69B9" w:rsidRPr="007D767C" w:rsidRDefault="001C69B9" w:rsidP="001C69B9">
      <w:pPr>
        <w:pStyle w:val="Betarp"/>
        <w:jc w:val="both"/>
        <w:rPr>
          <w:rFonts w:ascii="Times New Roman" w:hAnsi="Times New Roman"/>
          <w:sz w:val="24"/>
          <w:szCs w:val="24"/>
        </w:rPr>
      </w:pPr>
      <w:r w:rsidRPr="007D767C">
        <w:rPr>
          <w:rFonts w:ascii="Times New Roman" w:eastAsia="Times New Roman" w:hAnsi="Times New Roman"/>
          <w:sz w:val="24"/>
          <w:szCs w:val="24"/>
          <w:lang w:eastAsia="lt-LT"/>
        </w:rPr>
        <w:t>JEMPERLI skirtas kartu su karboplatina ir paklitakseliu pirmos eilės gydymui suaugusioms pacientėms, kurioms yra diagnozuotas pirminis išplitęs ar atsinaujinęs gimdos gleivinės vėžys ir yra numatytas sisteminis gydymas</w:t>
      </w:r>
      <w:r w:rsidRPr="007D767C">
        <w:rPr>
          <w:rFonts w:ascii="Times New Roman" w:hAnsi="Times New Roman"/>
          <w:lang w:eastAsia="lt-LT"/>
        </w:rPr>
        <w:t>.</w:t>
      </w:r>
    </w:p>
    <w:p w14:paraId="3BC08150" w14:textId="77777777" w:rsidR="00B811A4" w:rsidRPr="007D767C" w:rsidRDefault="00B811A4" w:rsidP="00B811A4">
      <w:pPr>
        <w:pStyle w:val="Betarp"/>
        <w:rPr>
          <w:rFonts w:ascii="Times New Roman" w:hAnsi="Times New Roman"/>
          <w:sz w:val="24"/>
          <w:szCs w:val="24"/>
        </w:rPr>
      </w:pPr>
    </w:p>
    <w:p w14:paraId="632DB4B9" w14:textId="77777777" w:rsidR="00B811A4" w:rsidRPr="007D767C" w:rsidRDefault="00B811A4" w:rsidP="00B811A4">
      <w:pPr>
        <w:pStyle w:val="Betarp"/>
        <w:rPr>
          <w:rFonts w:ascii="Times New Roman" w:hAnsi="Times New Roman"/>
          <w:b/>
          <w:sz w:val="24"/>
          <w:szCs w:val="24"/>
        </w:rPr>
      </w:pPr>
      <w:r w:rsidRPr="007D767C">
        <w:rPr>
          <w:rFonts w:ascii="Times New Roman" w:hAnsi="Times New Roman"/>
          <w:b/>
          <w:sz w:val="24"/>
          <w:szCs w:val="24"/>
        </w:rPr>
        <w:t>Skyrimo sąlygos</w:t>
      </w:r>
    </w:p>
    <w:p w14:paraId="14906940" w14:textId="77777777" w:rsidR="001C69B9" w:rsidRPr="007D767C" w:rsidRDefault="00DA670A" w:rsidP="001C69B9">
      <w:pPr>
        <w:pStyle w:val="Betarp"/>
        <w:rPr>
          <w:rFonts w:ascii="Times New Roman" w:hAnsi="Times New Roman"/>
          <w:sz w:val="24"/>
          <w:szCs w:val="24"/>
        </w:rPr>
      </w:pPr>
      <w:sdt>
        <w:sdtPr>
          <w:rPr>
            <w:rStyle w:val="Style2"/>
            <w:rFonts w:ascii="Times New Roman" w:hAnsi="Times New Roman"/>
            <w:sz w:val="24"/>
            <w:szCs w:val="24"/>
          </w:rPr>
          <w:id w:val="932866808"/>
          <w15:color w:val="FFCC00"/>
          <w14:checkbox>
            <w14:checked w14:val="1"/>
            <w14:checkedState w14:val="2612" w14:font="MS Gothic"/>
            <w14:uncheckedState w14:val="2610" w14:font="MS Gothic"/>
          </w14:checkbox>
        </w:sdtPr>
        <w:sdtEndPr>
          <w:rPr>
            <w:rStyle w:val="Style2"/>
          </w:rPr>
        </w:sdtEndPr>
        <w:sdtContent>
          <w:r w:rsidR="001C69B9" w:rsidRPr="007D767C">
            <w:rPr>
              <w:rStyle w:val="Style2"/>
              <w:rFonts w:ascii="Segoe UI Symbol" w:eastAsia="MS Gothic" w:hAnsi="Segoe UI Symbol" w:cs="Segoe UI Symbol"/>
              <w:sz w:val="24"/>
              <w:szCs w:val="24"/>
            </w:rPr>
            <w:t>☒</w:t>
          </w:r>
        </w:sdtContent>
      </w:sdt>
      <w:r w:rsidR="001C69B9" w:rsidRPr="007D767C">
        <w:rPr>
          <w:rFonts w:ascii="Times New Roman" w:hAnsi="Times New Roman"/>
          <w:sz w:val="24"/>
          <w:szCs w:val="24"/>
        </w:rPr>
        <w:t xml:space="preserve"> Pareiškėjo siūlomos skyrimo sąlygos nepriimtinos. </w:t>
      </w:r>
    </w:p>
    <w:p w14:paraId="03228828" w14:textId="77777777" w:rsidR="001C69B9" w:rsidRPr="007D767C" w:rsidRDefault="001C69B9" w:rsidP="001C69B9">
      <w:pPr>
        <w:pStyle w:val="Betarp"/>
        <w:rPr>
          <w:rFonts w:ascii="Times New Roman" w:hAnsi="Times New Roman"/>
          <w:sz w:val="24"/>
          <w:szCs w:val="24"/>
        </w:rPr>
      </w:pPr>
    </w:p>
    <w:p w14:paraId="5ECE1A15" w14:textId="77777777" w:rsidR="001C69B9" w:rsidRPr="007D767C" w:rsidRDefault="001C69B9" w:rsidP="001C69B9">
      <w:pPr>
        <w:pStyle w:val="Betarp"/>
        <w:rPr>
          <w:rFonts w:ascii="Times New Roman" w:hAnsi="Times New Roman"/>
          <w:sz w:val="24"/>
          <w:szCs w:val="24"/>
        </w:rPr>
      </w:pPr>
      <w:r w:rsidRPr="007D767C">
        <w:rPr>
          <w:rFonts w:ascii="Times New Roman" w:hAnsi="Times New Roman"/>
          <w:sz w:val="24"/>
          <w:szCs w:val="24"/>
        </w:rPr>
        <w:t>Nustatytos skyrimo sąlygos:</w:t>
      </w:r>
    </w:p>
    <w:p w14:paraId="23CB7046" w14:textId="42643987" w:rsidR="001C69B9" w:rsidRPr="007D767C" w:rsidRDefault="001C69B9" w:rsidP="001C69B9">
      <w:pPr>
        <w:pStyle w:val="Tekstas"/>
        <w:spacing w:after="0"/>
        <w:rPr>
          <w:lang w:val="lt-LT"/>
        </w:rPr>
      </w:pPr>
      <w:r w:rsidRPr="007D767C">
        <w:rPr>
          <w:lang w:val="lt-LT"/>
        </w:rPr>
        <w:t>Skiriamas derinyje su karboplatina ir paklitakseliu suaugusioms pacientėms pirminiam pažengusiam ar atsinaujinusiam endometriumo vėžiu, kai numatytas sisteminis gydymas, o po to – palaikomasis gydymas</w:t>
      </w:r>
      <w:r w:rsidR="00245343">
        <w:rPr>
          <w:lang w:val="lt-LT"/>
        </w:rPr>
        <w:t xml:space="preserve"> monoterapija</w:t>
      </w:r>
      <w:r w:rsidRPr="007D767C">
        <w:rPr>
          <w:lang w:val="lt-LT"/>
        </w:rPr>
        <w:t>. Gydymas tęsiamas iki nepriimtino toksinio poveikio atsiradimo, ligos progresavimo, bet ne ilgiau nei 36 mėn. palaikomojo gydymo.</w:t>
      </w:r>
    </w:p>
    <w:p w14:paraId="33B8DE04" w14:textId="77777777" w:rsidR="00283E59" w:rsidRPr="007D767C" w:rsidRDefault="00283E59" w:rsidP="00283E59">
      <w:pPr>
        <w:widowControl w:val="0"/>
        <w:tabs>
          <w:tab w:val="left" w:pos="1418"/>
        </w:tabs>
        <w:suppressAutoHyphens/>
        <w:spacing w:line="360" w:lineRule="atLeast"/>
        <w:jc w:val="center"/>
        <w:textAlignment w:val="center"/>
      </w:pPr>
      <w:r w:rsidRPr="007D767C">
        <w:rPr>
          <w:lang w:eastAsia="lt-LT"/>
        </w:rPr>
        <w:t>____________________________</w:t>
      </w:r>
    </w:p>
    <w:p w14:paraId="562A1372" w14:textId="77777777" w:rsidR="00283E59" w:rsidRPr="007D767C" w:rsidRDefault="00283E59" w:rsidP="00283E59">
      <w:pPr>
        <w:jc w:val="both"/>
        <w:rPr>
          <w:b/>
          <w:sz w:val="20"/>
        </w:rPr>
      </w:pPr>
    </w:p>
    <w:p w14:paraId="7CDFF220" w14:textId="58191D98" w:rsidR="000723FF" w:rsidRPr="007D767C" w:rsidRDefault="000723FF" w:rsidP="00824B92">
      <w:pPr>
        <w:rPr>
          <w:b/>
        </w:rPr>
      </w:pPr>
    </w:p>
    <w:sectPr w:rsidR="000723FF" w:rsidRPr="007D767C"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10AC" w14:textId="77777777" w:rsidR="00DA670A" w:rsidRDefault="00DA670A">
      <w:r>
        <w:separator/>
      </w:r>
    </w:p>
  </w:endnote>
  <w:endnote w:type="continuationSeparator" w:id="0">
    <w:p w14:paraId="48C4D09B" w14:textId="77777777" w:rsidR="00DA670A" w:rsidRDefault="00DA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11C1" w14:textId="77777777" w:rsidR="00DA670A" w:rsidRDefault="00DA670A">
      <w:r>
        <w:separator/>
      </w:r>
    </w:p>
  </w:footnote>
  <w:footnote w:type="continuationSeparator" w:id="0">
    <w:p w14:paraId="0AC57E17" w14:textId="77777777" w:rsidR="00DA670A" w:rsidRDefault="00DA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0F3795"/>
    <w:rsid w:val="00100491"/>
    <w:rsid w:val="00102479"/>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C69B9"/>
    <w:rsid w:val="001D5B91"/>
    <w:rsid w:val="001D746F"/>
    <w:rsid w:val="001E0B2D"/>
    <w:rsid w:val="001E4BBB"/>
    <w:rsid w:val="001E6304"/>
    <w:rsid w:val="001F115E"/>
    <w:rsid w:val="0020381E"/>
    <w:rsid w:val="00213471"/>
    <w:rsid w:val="00215906"/>
    <w:rsid w:val="00217B3A"/>
    <w:rsid w:val="00241CD8"/>
    <w:rsid w:val="00244B09"/>
    <w:rsid w:val="00245343"/>
    <w:rsid w:val="002519CB"/>
    <w:rsid w:val="0025697F"/>
    <w:rsid w:val="00260258"/>
    <w:rsid w:val="0026588E"/>
    <w:rsid w:val="00272428"/>
    <w:rsid w:val="00272948"/>
    <w:rsid w:val="00283E59"/>
    <w:rsid w:val="00292392"/>
    <w:rsid w:val="002946C7"/>
    <w:rsid w:val="002B3CC1"/>
    <w:rsid w:val="002B64B8"/>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34F18"/>
    <w:rsid w:val="00336238"/>
    <w:rsid w:val="00347FAA"/>
    <w:rsid w:val="0035172D"/>
    <w:rsid w:val="0036187D"/>
    <w:rsid w:val="00362835"/>
    <w:rsid w:val="00367EDB"/>
    <w:rsid w:val="003705F0"/>
    <w:rsid w:val="00381024"/>
    <w:rsid w:val="00386307"/>
    <w:rsid w:val="003874DE"/>
    <w:rsid w:val="00393E9F"/>
    <w:rsid w:val="0039696E"/>
    <w:rsid w:val="003B1BD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3741"/>
    <w:rsid w:val="00645102"/>
    <w:rsid w:val="00646CF3"/>
    <w:rsid w:val="00653D11"/>
    <w:rsid w:val="00661B3E"/>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D3347"/>
    <w:rsid w:val="007D654E"/>
    <w:rsid w:val="007D767C"/>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0217"/>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835D9"/>
    <w:rsid w:val="009909AB"/>
    <w:rsid w:val="009B37DB"/>
    <w:rsid w:val="009C7A8C"/>
    <w:rsid w:val="009D23F9"/>
    <w:rsid w:val="009D4FA8"/>
    <w:rsid w:val="009E44AE"/>
    <w:rsid w:val="009E6CD6"/>
    <w:rsid w:val="009F4D66"/>
    <w:rsid w:val="00A00C3C"/>
    <w:rsid w:val="00A01091"/>
    <w:rsid w:val="00A042B9"/>
    <w:rsid w:val="00A06DBB"/>
    <w:rsid w:val="00A22ADF"/>
    <w:rsid w:val="00A2304C"/>
    <w:rsid w:val="00A2310D"/>
    <w:rsid w:val="00A254A2"/>
    <w:rsid w:val="00A31E86"/>
    <w:rsid w:val="00A54D87"/>
    <w:rsid w:val="00A5553C"/>
    <w:rsid w:val="00A701C9"/>
    <w:rsid w:val="00A80246"/>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0E21"/>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5CE3"/>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A670A"/>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37FEC"/>
    <w:rsid w:val="00F42426"/>
    <w:rsid w:val="00F44F01"/>
    <w:rsid w:val="00F456BC"/>
    <w:rsid w:val="00F50666"/>
    <w:rsid w:val="00F60753"/>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31ED"/>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le Grid nm,Dossier table,Section 3- footnotes,Summary box,Dossier Table,Legemiddelverket 3,Summary Table,ASD Table,Key messages box,YHEC table,Lash Style Table,Tabellengitternetz 9pt"/>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link w:val="BetarpDiagrama"/>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BetarpDiagrama">
    <w:name w:val="Be tarpų Diagrama"/>
    <w:basedOn w:val="Numatytasispastraiposriftas"/>
    <w:link w:val="Betarp"/>
    <w:uiPriority w:val="1"/>
    <w:rsid w:val="001C69B9"/>
    <w:rPr>
      <w:rFonts w:ascii="Calibri" w:eastAsia="Calibri" w:hAnsi="Calibri"/>
      <w:sz w:val="22"/>
      <w:szCs w:val="22"/>
      <w:lang w:eastAsia="en-US"/>
    </w:rPr>
  </w:style>
  <w:style w:type="paragraph" w:customStyle="1" w:styleId="Tekstas">
    <w:name w:val="Tekstas"/>
    <w:basedOn w:val="prastasis"/>
    <w:link w:val="TekstasChar"/>
    <w:qFormat/>
    <w:rsid w:val="001C69B9"/>
    <w:pPr>
      <w:spacing w:after="120"/>
      <w:jc w:val="both"/>
    </w:pPr>
    <w:rPr>
      <w:color w:val="000000" w:themeColor="text1"/>
      <w:lang w:val="en-US"/>
    </w:rPr>
  </w:style>
  <w:style w:type="character" w:customStyle="1" w:styleId="TekstasChar">
    <w:name w:val="Tekstas Char"/>
    <w:link w:val="Tekstas"/>
    <w:rsid w:val="001C69B9"/>
    <w:rPr>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E6AB36615E4927BEDB3DA9AD7243A2"/>
        <w:category>
          <w:name w:val="Bendrosios nuostatos"/>
          <w:gallery w:val="placeholder"/>
        </w:category>
        <w:types>
          <w:type w:val="bbPlcHdr"/>
        </w:types>
        <w:behaviors>
          <w:behavior w:val="content"/>
        </w:behaviors>
        <w:guid w:val="{127BB357-BB4B-4E99-BD6B-FB7E8382C9F8}"/>
      </w:docPartPr>
      <w:docPartBody>
        <w:p w:rsidR="00A01FC2" w:rsidRDefault="006214F7" w:rsidP="006214F7">
          <w:pPr>
            <w:pStyle w:val="00E6AB36615E4927BEDB3DA9AD7243A2"/>
          </w:pPr>
          <w:r>
            <w:rPr>
              <w:rStyle w:val="Vietosrezervavimoenklotekstas"/>
            </w:rPr>
            <w:t>Click here to enter a date.</w:t>
          </w:r>
        </w:p>
      </w:docPartBody>
    </w:docPart>
    <w:docPart>
      <w:docPartPr>
        <w:name w:val="4358DF4D0BDA4310A6855032A416D86D"/>
        <w:category>
          <w:name w:val="Bendrosios nuostatos"/>
          <w:gallery w:val="placeholder"/>
        </w:category>
        <w:types>
          <w:type w:val="bbPlcHdr"/>
        </w:types>
        <w:behaviors>
          <w:behavior w:val="content"/>
        </w:behaviors>
        <w:guid w:val="{857782E0-DF88-4B4F-8A41-61E57401CCB9}"/>
      </w:docPartPr>
      <w:docPartBody>
        <w:p w:rsidR="00A01FC2" w:rsidRDefault="006214F7" w:rsidP="006214F7">
          <w:pPr>
            <w:pStyle w:val="4358DF4D0BDA4310A6855032A416D86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067D2"/>
    <w:rsid w:val="0014006D"/>
    <w:rsid w:val="0016640A"/>
    <w:rsid w:val="001C35A9"/>
    <w:rsid w:val="00237556"/>
    <w:rsid w:val="002C0686"/>
    <w:rsid w:val="0039303B"/>
    <w:rsid w:val="003B1BDE"/>
    <w:rsid w:val="003F64BA"/>
    <w:rsid w:val="004144A3"/>
    <w:rsid w:val="004160E7"/>
    <w:rsid w:val="004416C6"/>
    <w:rsid w:val="00456E96"/>
    <w:rsid w:val="004C6221"/>
    <w:rsid w:val="004D038D"/>
    <w:rsid w:val="004F4E20"/>
    <w:rsid w:val="004F5AB2"/>
    <w:rsid w:val="005074B9"/>
    <w:rsid w:val="00563A5F"/>
    <w:rsid w:val="005B6B2C"/>
    <w:rsid w:val="005C62E5"/>
    <w:rsid w:val="005E40DD"/>
    <w:rsid w:val="00601F4E"/>
    <w:rsid w:val="006214F7"/>
    <w:rsid w:val="006E6A2C"/>
    <w:rsid w:val="007219C1"/>
    <w:rsid w:val="00745C63"/>
    <w:rsid w:val="00753462"/>
    <w:rsid w:val="00772325"/>
    <w:rsid w:val="007A2FE0"/>
    <w:rsid w:val="007C6D1D"/>
    <w:rsid w:val="007D654E"/>
    <w:rsid w:val="00853487"/>
    <w:rsid w:val="00892FF4"/>
    <w:rsid w:val="008C0DC0"/>
    <w:rsid w:val="0090074D"/>
    <w:rsid w:val="009019EA"/>
    <w:rsid w:val="00901A35"/>
    <w:rsid w:val="009835D9"/>
    <w:rsid w:val="009B3BF0"/>
    <w:rsid w:val="009D5E5E"/>
    <w:rsid w:val="009F1BB4"/>
    <w:rsid w:val="00A01FC2"/>
    <w:rsid w:val="00A20D39"/>
    <w:rsid w:val="00A2304C"/>
    <w:rsid w:val="00A254A2"/>
    <w:rsid w:val="00A60B4F"/>
    <w:rsid w:val="00AB2D54"/>
    <w:rsid w:val="00AB6ED4"/>
    <w:rsid w:val="00B14210"/>
    <w:rsid w:val="00B22ED6"/>
    <w:rsid w:val="00B23DC0"/>
    <w:rsid w:val="00B70E21"/>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E6194"/>
    <w:rsid w:val="00EF6E0C"/>
    <w:rsid w:val="00F14477"/>
    <w:rsid w:val="00F370E5"/>
    <w:rsid w:val="00F37FEC"/>
    <w:rsid w:val="00F55028"/>
    <w:rsid w:val="00F60753"/>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214F7"/>
    <w:rPr>
      <w:color w:val="808080"/>
    </w:rPr>
  </w:style>
  <w:style w:type="paragraph" w:customStyle="1" w:styleId="00E6AB36615E4927BEDB3DA9AD7243A2">
    <w:name w:val="00E6AB36615E4927BEDB3DA9AD7243A2"/>
    <w:rsid w:val="006214F7"/>
    <w:pPr>
      <w:spacing w:line="278" w:lineRule="auto"/>
    </w:pPr>
    <w:rPr>
      <w:kern w:val="2"/>
      <w:sz w:val="24"/>
      <w:szCs w:val="24"/>
      <w14:ligatures w14:val="standardContextual"/>
    </w:rPr>
  </w:style>
  <w:style w:type="paragraph" w:customStyle="1" w:styleId="4358DF4D0BDA4310A6855032A416D86D">
    <w:name w:val="4358DF4D0BDA4310A6855032A416D86D"/>
    <w:rsid w:val="006214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12114</Words>
  <Characters>6905</Characters>
  <Application>Microsoft Office Word</Application>
  <DocSecurity>0</DocSecurity>
  <Lines>57</Lines>
  <Paragraphs>37</Paragraphs>
  <ScaleCrop>false</ScaleCrop>
  <Company/>
  <LinksUpToDate>false</LinksUpToDate>
  <CharactersWithSpaces>18982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2026-03-23T15:02:00Z</dcterms:created>
  <dcterms:modified xsi:type="dcterms:W3CDTF">2026-03-26T12:29:00Z</dcterms:modified>
</cp:coreProperties>
</file>