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3F3D" w14:textId="77777777" w:rsidR="001B3FBE" w:rsidRPr="003456E1" w:rsidRDefault="001B3FBE" w:rsidP="00125697">
      <w:pPr>
        <w:spacing w:after="0"/>
        <w:rPr>
          <w:sz w:val="24"/>
          <w:szCs w:val="24"/>
          <w:lang w:val="lt-LT"/>
        </w:rPr>
      </w:pPr>
    </w:p>
    <w:p w14:paraId="01F3B28C" w14:textId="77777777" w:rsidR="001B3FBE" w:rsidRPr="003456E1" w:rsidRDefault="001B3FBE" w:rsidP="00125697">
      <w:pPr>
        <w:spacing w:after="0"/>
        <w:rPr>
          <w:sz w:val="24"/>
          <w:szCs w:val="24"/>
          <w:lang w:val="lt-LT"/>
        </w:rPr>
      </w:pPr>
    </w:p>
    <w:p w14:paraId="62A52BAB" w14:textId="77777777" w:rsidR="001B3FBE" w:rsidRPr="003456E1" w:rsidRDefault="001B3FBE" w:rsidP="00125697">
      <w:pPr>
        <w:spacing w:after="0"/>
        <w:rPr>
          <w:sz w:val="24"/>
          <w:szCs w:val="24"/>
          <w:lang w:val="lt-LT"/>
        </w:rPr>
      </w:pPr>
    </w:p>
    <w:p w14:paraId="75893488" w14:textId="77777777" w:rsidR="001B3FBE" w:rsidRPr="003456E1" w:rsidRDefault="001B3FBE" w:rsidP="00125697">
      <w:pPr>
        <w:spacing w:after="0"/>
        <w:rPr>
          <w:sz w:val="24"/>
          <w:szCs w:val="24"/>
          <w:lang w:val="lt-LT"/>
        </w:rPr>
      </w:pPr>
    </w:p>
    <w:p w14:paraId="674728E2" w14:textId="77777777" w:rsidR="00125697" w:rsidRPr="003456E1" w:rsidRDefault="00125697" w:rsidP="00125697">
      <w:pPr>
        <w:spacing w:after="0"/>
        <w:rPr>
          <w:sz w:val="24"/>
          <w:szCs w:val="24"/>
          <w:lang w:val="lt-LT"/>
        </w:rPr>
      </w:pPr>
    </w:p>
    <w:p w14:paraId="2172F785" w14:textId="77777777" w:rsidR="00377F81" w:rsidRPr="003456E1" w:rsidRDefault="00377F81" w:rsidP="00125697">
      <w:pPr>
        <w:spacing w:after="0"/>
        <w:rPr>
          <w:sz w:val="24"/>
          <w:szCs w:val="24"/>
          <w:lang w:val="lt-LT"/>
        </w:rPr>
      </w:pPr>
    </w:p>
    <w:p w14:paraId="179B9C12" w14:textId="77777777" w:rsidR="007E2A10" w:rsidRDefault="007E2A10" w:rsidP="00125697">
      <w:pPr>
        <w:spacing w:after="0"/>
        <w:rPr>
          <w:sz w:val="24"/>
          <w:szCs w:val="24"/>
          <w:lang w:val="lt-LT"/>
        </w:rPr>
      </w:pPr>
    </w:p>
    <w:p w14:paraId="57E1B112" w14:textId="77777777" w:rsidR="00A738FC" w:rsidRDefault="00A738FC" w:rsidP="00E40655">
      <w:pPr>
        <w:jc w:val="both"/>
        <w:rPr>
          <w:b/>
          <w:bCs/>
          <w:sz w:val="24"/>
          <w:szCs w:val="24"/>
          <w:lang w:val="lt-LT"/>
        </w:rPr>
      </w:pPr>
    </w:p>
    <w:p w14:paraId="64086C74" w14:textId="7B171DCA" w:rsidR="004C66D0" w:rsidRPr="009B49A9" w:rsidRDefault="00DF219C" w:rsidP="00647822">
      <w:pPr>
        <w:rPr>
          <w:b/>
          <w:caps/>
          <w:color w:val="000000" w:themeColor="text1"/>
          <w:sz w:val="24"/>
          <w:szCs w:val="24"/>
          <w:lang w:val="lt-LT"/>
        </w:rPr>
      </w:pPr>
      <w:r>
        <w:rPr>
          <w:b/>
          <w:caps/>
          <w:color w:val="000000" w:themeColor="text1"/>
          <w:sz w:val="24"/>
          <w:szCs w:val="24"/>
          <w:lang w:val="lt-LT"/>
        </w:rPr>
        <w:t xml:space="preserve">ĮNR </w:t>
      </w:r>
      <w:r w:rsidR="00647822" w:rsidRPr="009B49A9">
        <w:rPr>
          <w:b/>
          <w:caps/>
          <w:color w:val="000000" w:themeColor="text1"/>
          <w:sz w:val="24"/>
          <w:szCs w:val="24"/>
          <w:lang w:val="lt-LT"/>
        </w:rPr>
        <w:t>Pranešim</w:t>
      </w:r>
      <w:r w:rsidR="009A3631">
        <w:rPr>
          <w:b/>
          <w:caps/>
          <w:color w:val="000000" w:themeColor="text1"/>
          <w:sz w:val="24"/>
          <w:szCs w:val="24"/>
          <w:lang w:val="lt-LT"/>
        </w:rPr>
        <w:t xml:space="preserve">ų apie covid-19 vakcinas </w:t>
      </w:r>
      <w:r w:rsidR="00647822" w:rsidRPr="009B49A9">
        <w:rPr>
          <w:b/>
          <w:caps/>
          <w:color w:val="000000" w:themeColor="text1"/>
          <w:sz w:val="24"/>
          <w:szCs w:val="24"/>
          <w:lang w:val="lt-LT"/>
        </w:rPr>
        <w:t>ataskaita</w:t>
      </w:r>
    </w:p>
    <w:p w14:paraId="6BFED196" w14:textId="77777777" w:rsidR="000A4F4E" w:rsidRPr="009B49A9" w:rsidRDefault="000A4F4E" w:rsidP="000A4F4E">
      <w:pPr>
        <w:jc w:val="both"/>
        <w:rPr>
          <w:b/>
          <w:caps/>
          <w:color w:val="000000" w:themeColor="text1"/>
          <w:sz w:val="24"/>
          <w:szCs w:val="24"/>
          <w:lang w:val="lt-LT"/>
        </w:rPr>
      </w:pPr>
    </w:p>
    <w:p w14:paraId="7F19685A" w14:textId="41510952" w:rsidR="00DF22F0" w:rsidRPr="00102C79" w:rsidRDefault="00DF22F0" w:rsidP="00DF22F0">
      <w:pPr>
        <w:pStyle w:val="Betarp"/>
        <w:rPr>
          <w:b/>
          <w:sz w:val="24"/>
          <w:szCs w:val="24"/>
          <w:lang w:val="lt-LT"/>
        </w:rPr>
      </w:pPr>
      <w:r w:rsidRPr="00102C79">
        <w:rPr>
          <w:b/>
          <w:sz w:val="24"/>
          <w:szCs w:val="24"/>
          <w:lang w:val="lt-LT"/>
        </w:rPr>
        <w:t>Laikotarpis 202</w:t>
      </w:r>
      <w:r w:rsidR="002B1D4E">
        <w:rPr>
          <w:b/>
          <w:sz w:val="24"/>
          <w:szCs w:val="24"/>
          <w:lang w:val="lt-LT"/>
        </w:rPr>
        <w:t>0</w:t>
      </w:r>
      <w:r w:rsidRPr="00102C79">
        <w:rPr>
          <w:b/>
          <w:sz w:val="24"/>
          <w:szCs w:val="24"/>
          <w:lang w:val="lt-LT"/>
        </w:rPr>
        <w:t>-</w:t>
      </w:r>
      <w:r w:rsidR="002B1D4E">
        <w:rPr>
          <w:b/>
          <w:sz w:val="24"/>
          <w:szCs w:val="24"/>
          <w:lang w:val="lt-LT"/>
        </w:rPr>
        <w:t>12</w:t>
      </w:r>
      <w:r w:rsidRPr="00102C79">
        <w:rPr>
          <w:b/>
          <w:sz w:val="24"/>
          <w:szCs w:val="24"/>
          <w:lang w:val="lt-LT"/>
        </w:rPr>
        <w:t>-</w:t>
      </w:r>
      <w:r w:rsidR="002B1D4E">
        <w:rPr>
          <w:b/>
          <w:sz w:val="24"/>
          <w:szCs w:val="24"/>
          <w:lang w:val="lt-LT"/>
        </w:rPr>
        <w:t>27</w:t>
      </w:r>
      <w:r w:rsidRPr="00102C79">
        <w:rPr>
          <w:b/>
          <w:sz w:val="24"/>
          <w:szCs w:val="24"/>
          <w:lang w:val="lt-LT"/>
        </w:rPr>
        <w:t xml:space="preserve"> – 2025-12-31</w:t>
      </w:r>
    </w:p>
    <w:p w14:paraId="0CC54FEA" w14:textId="77777777" w:rsidR="00DF22F0" w:rsidRDefault="00DF22F0" w:rsidP="00DD2916">
      <w:pPr>
        <w:pStyle w:val="Betarp"/>
        <w:jc w:val="both"/>
        <w:rPr>
          <w:sz w:val="24"/>
          <w:szCs w:val="24"/>
          <w:lang w:val="lt-LT"/>
        </w:rPr>
      </w:pPr>
    </w:p>
    <w:p w14:paraId="7B1C0691" w14:textId="77777777" w:rsidR="002B56A6" w:rsidRPr="002673F4" w:rsidRDefault="002B56A6" w:rsidP="00E61A06">
      <w:pPr>
        <w:pStyle w:val="Betarp"/>
        <w:ind w:firstLine="708"/>
        <w:jc w:val="both"/>
        <w:rPr>
          <w:rFonts w:cs="Times New Roman"/>
          <w:sz w:val="24"/>
          <w:szCs w:val="24"/>
          <w:lang w:val="lt-LT"/>
        </w:rPr>
      </w:pPr>
      <w:r w:rsidRPr="002673F4">
        <w:rPr>
          <w:rFonts w:cs="Times New Roman"/>
          <w:sz w:val="24"/>
          <w:szCs w:val="24"/>
          <w:lang w:val="lt-LT"/>
        </w:rPr>
        <w:t>Šioje ataskaitoje Valstybinė vaistų kontrolės tarnyba prie Lietuvos Respublikos sveikatos</w:t>
      </w:r>
    </w:p>
    <w:p w14:paraId="3B292903" w14:textId="31DDCDBC" w:rsidR="00E24A18" w:rsidRPr="002673F4" w:rsidRDefault="002B56A6" w:rsidP="00E61A06">
      <w:pPr>
        <w:pStyle w:val="Betarp"/>
        <w:jc w:val="both"/>
        <w:rPr>
          <w:rFonts w:cs="Times New Roman"/>
          <w:sz w:val="24"/>
          <w:szCs w:val="24"/>
          <w:lang w:val="lt-LT"/>
        </w:rPr>
      </w:pPr>
      <w:r w:rsidRPr="002673F4">
        <w:rPr>
          <w:rFonts w:cs="Times New Roman"/>
          <w:sz w:val="24"/>
          <w:szCs w:val="24"/>
          <w:lang w:val="lt-LT"/>
        </w:rPr>
        <w:t>apsaugos ministerijos (toliau - VVKT) pateikia duomenis iš Lietuvo</w:t>
      </w:r>
      <w:r w:rsidR="007F6098" w:rsidRPr="002673F4">
        <w:rPr>
          <w:rFonts w:cs="Times New Roman"/>
          <w:sz w:val="24"/>
          <w:szCs w:val="24"/>
          <w:lang w:val="lt-LT"/>
        </w:rPr>
        <w:t>je</w:t>
      </w:r>
      <w:r w:rsidRPr="002673F4">
        <w:rPr>
          <w:rFonts w:cs="Times New Roman"/>
          <w:sz w:val="24"/>
          <w:szCs w:val="24"/>
          <w:lang w:val="lt-LT"/>
        </w:rPr>
        <w:t xml:space="preserve"> gautų pranešimų</w:t>
      </w:r>
      <w:r w:rsidR="005D5546" w:rsidRPr="002673F4">
        <w:rPr>
          <w:rFonts w:cs="Times New Roman"/>
          <w:sz w:val="24"/>
          <w:szCs w:val="24"/>
          <w:lang w:val="lt-LT"/>
        </w:rPr>
        <w:t xml:space="preserve"> nuo 2020 m. gruodžio 27 d. iki 2025</w:t>
      </w:r>
      <w:r w:rsidR="00DC1A7F">
        <w:rPr>
          <w:rFonts w:cs="Times New Roman"/>
          <w:sz w:val="24"/>
          <w:szCs w:val="24"/>
          <w:lang w:val="lt-LT"/>
        </w:rPr>
        <w:t xml:space="preserve"> m.</w:t>
      </w:r>
      <w:r w:rsidR="005D5546" w:rsidRPr="002673F4">
        <w:rPr>
          <w:rFonts w:cs="Times New Roman"/>
          <w:sz w:val="24"/>
          <w:szCs w:val="24"/>
          <w:lang w:val="lt-LT"/>
        </w:rPr>
        <w:t xml:space="preserve"> gruodžio 31 d.</w:t>
      </w:r>
      <w:r w:rsidRPr="002673F4">
        <w:rPr>
          <w:rFonts w:cs="Times New Roman"/>
          <w:sz w:val="24"/>
          <w:szCs w:val="24"/>
          <w:lang w:val="lt-LT"/>
        </w:rPr>
        <w:t xml:space="preserve"> apie</w:t>
      </w:r>
      <w:r w:rsidR="005D5546" w:rsidRPr="002673F4">
        <w:rPr>
          <w:rFonts w:cs="Times New Roman"/>
          <w:sz w:val="24"/>
          <w:szCs w:val="24"/>
          <w:lang w:val="lt-LT"/>
        </w:rPr>
        <w:t xml:space="preserve"> </w:t>
      </w:r>
      <w:r w:rsidRPr="002673F4">
        <w:rPr>
          <w:rFonts w:cs="Times New Roman"/>
          <w:sz w:val="24"/>
          <w:szCs w:val="24"/>
          <w:lang w:val="lt-LT"/>
        </w:rPr>
        <w:t>įtariamas nepageidaujamas reakcijas</w:t>
      </w:r>
      <w:r w:rsidR="005562C1" w:rsidRPr="002673F4">
        <w:rPr>
          <w:rFonts w:cs="Times New Roman"/>
          <w:sz w:val="24"/>
          <w:szCs w:val="24"/>
          <w:lang w:val="lt-LT"/>
        </w:rPr>
        <w:t xml:space="preserve"> (toliau - ĮNR)</w:t>
      </w:r>
      <w:r w:rsidRPr="002673F4">
        <w:rPr>
          <w:rFonts w:cs="Times New Roman"/>
          <w:sz w:val="24"/>
          <w:szCs w:val="24"/>
          <w:lang w:val="lt-LT"/>
        </w:rPr>
        <w:t>, susijusias su vakcin</w:t>
      </w:r>
      <w:r w:rsidR="00F36FF6" w:rsidRPr="002673F4">
        <w:rPr>
          <w:rFonts w:cs="Times New Roman"/>
          <w:sz w:val="24"/>
          <w:szCs w:val="24"/>
          <w:lang w:val="lt-LT"/>
        </w:rPr>
        <w:t>omis</w:t>
      </w:r>
      <w:r w:rsidR="00DD556D" w:rsidRPr="002673F4">
        <w:rPr>
          <w:rFonts w:cs="Times New Roman"/>
          <w:sz w:val="24"/>
          <w:szCs w:val="24"/>
          <w:lang w:val="lt-LT"/>
        </w:rPr>
        <w:t xml:space="preserve"> </w:t>
      </w:r>
      <w:r w:rsidR="00E61A06" w:rsidRPr="00DB689B">
        <w:rPr>
          <w:rFonts w:cs="Times New Roman"/>
          <w:sz w:val="24"/>
          <w:szCs w:val="24"/>
          <w:lang w:val="lt-LT"/>
        </w:rPr>
        <w:t xml:space="preserve"> </w:t>
      </w:r>
      <w:r w:rsidR="00E61A06">
        <w:rPr>
          <w:rFonts w:cs="Times New Roman"/>
          <w:sz w:val="24"/>
          <w:szCs w:val="24"/>
          <w:lang w:val="lt-LT"/>
        </w:rPr>
        <w:t xml:space="preserve">nuo </w:t>
      </w:r>
      <w:r w:rsidR="00DD556D" w:rsidRPr="002673F4">
        <w:rPr>
          <w:rFonts w:cs="Times New Roman"/>
          <w:sz w:val="24"/>
          <w:szCs w:val="24"/>
        </w:rPr>
        <w:t xml:space="preserve">COVID-19 </w:t>
      </w:r>
      <w:proofErr w:type="spellStart"/>
      <w:r w:rsidR="00DD556D" w:rsidRPr="002673F4">
        <w:rPr>
          <w:rFonts w:cs="Times New Roman"/>
          <w:sz w:val="24"/>
          <w:szCs w:val="24"/>
        </w:rPr>
        <w:t>ligos</w:t>
      </w:r>
      <w:proofErr w:type="spellEnd"/>
      <w:r w:rsidR="00E61A06" w:rsidRPr="00DB689B">
        <w:rPr>
          <w:rFonts w:cs="Times New Roman"/>
          <w:sz w:val="24"/>
          <w:szCs w:val="24"/>
          <w:lang w:val="lt-LT"/>
        </w:rPr>
        <w:t>.</w:t>
      </w:r>
      <w:r w:rsidR="00F36FF6" w:rsidRPr="002673F4">
        <w:rPr>
          <w:rFonts w:cs="Times New Roman"/>
          <w:sz w:val="24"/>
          <w:szCs w:val="24"/>
          <w:lang w:val="lt-LT"/>
        </w:rPr>
        <w:t>.</w:t>
      </w:r>
      <w:r w:rsidRPr="002673F4">
        <w:rPr>
          <w:rFonts w:cs="Times New Roman"/>
          <w:sz w:val="24"/>
          <w:szCs w:val="24"/>
          <w:lang w:val="lt-LT"/>
        </w:rPr>
        <w:t xml:space="preserve"> </w:t>
      </w:r>
      <w:r w:rsidR="00C95AEE" w:rsidRPr="002673F4">
        <w:rPr>
          <w:rFonts w:cs="Times New Roman"/>
          <w:sz w:val="24"/>
          <w:szCs w:val="24"/>
          <w:lang w:val="lt-LT"/>
        </w:rPr>
        <w:t>2020 m. gruodžio 27 d. Lietuvoje, kaip ir visoje Europos Sąjungoje</w:t>
      </w:r>
      <w:r w:rsidR="00547F52" w:rsidRPr="002673F4">
        <w:rPr>
          <w:rFonts w:cs="Times New Roman"/>
          <w:sz w:val="24"/>
          <w:szCs w:val="24"/>
          <w:lang w:val="lt-LT"/>
        </w:rPr>
        <w:t xml:space="preserve"> (toliau – ES) prasidėjo vakcinacija nuo COVID-19 ligos.</w:t>
      </w:r>
    </w:p>
    <w:p w14:paraId="6D365989" w14:textId="77777777" w:rsidR="00B03839" w:rsidRPr="002673F4" w:rsidRDefault="00B03839" w:rsidP="009210E6">
      <w:pPr>
        <w:pStyle w:val="Betarp"/>
        <w:jc w:val="both"/>
        <w:rPr>
          <w:rFonts w:cs="Times New Roman"/>
          <w:sz w:val="24"/>
          <w:szCs w:val="24"/>
          <w:lang w:val="lt-LT"/>
        </w:rPr>
      </w:pPr>
    </w:p>
    <w:p w14:paraId="35140D42" w14:textId="6CB1ED29" w:rsidR="00AB0634" w:rsidRPr="002673F4" w:rsidRDefault="00AB0634" w:rsidP="00EE2CA8">
      <w:pPr>
        <w:pStyle w:val="Betarp"/>
        <w:ind w:firstLine="708"/>
        <w:jc w:val="both"/>
        <w:rPr>
          <w:rFonts w:cs="Times New Roman"/>
          <w:sz w:val="24"/>
          <w:szCs w:val="24"/>
          <w:lang w:val="lt-LT"/>
        </w:rPr>
      </w:pPr>
      <w:r w:rsidRPr="002673F4">
        <w:rPr>
          <w:rFonts w:cs="Times New Roman"/>
          <w:sz w:val="24"/>
          <w:szCs w:val="24"/>
          <w:lang w:val="lt-LT"/>
        </w:rPr>
        <w:t>Vartotos vakcinos:</w:t>
      </w:r>
    </w:p>
    <w:p w14:paraId="00102A56" w14:textId="6C27CEF1" w:rsidR="00B03839" w:rsidRPr="002673F4" w:rsidRDefault="00B03839" w:rsidP="00EE2CA8">
      <w:pPr>
        <w:pStyle w:val="Betarp"/>
        <w:numPr>
          <w:ilvl w:val="0"/>
          <w:numId w:val="4"/>
        </w:numPr>
        <w:jc w:val="both"/>
        <w:rPr>
          <w:rFonts w:cs="Times New Roman"/>
          <w:sz w:val="24"/>
          <w:szCs w:val="24"/>
          <w:lang w:val="lt-LT"/>
        </w:rPr>
      </w:pPr>
      <w:r w:rsidRPr="002673F4">
        <w:rPr>
          <w:rFonts w:cs="Times New Roman"/>
          <w:sz w:val="24"/>
          <w:szCs w:val="24"/>
          <w:lang w:val="lt-LT"/>
        </w:rPr>
        <w:t xml:space="preserve">Comirnaty koncentratas injekcinei dispersijai (BioNTech </w:t>
      </w:r>
      <w:proofErr w:type="spellStart"/>
      <w:r w:rsidRPr="002673F4">
        <w:rPr>
          <w:rFonts w:cs="Times New Roman"/>
          <w:sz w:val="24"/>
          <w:szCs w:val="24"/>
          <w:lang w:val="lt-LT"/>
        </w:rPr>
        <w:t>Manufacturing</w:t>
      </w:r>
      <w:proofErr w:type="spellEnd"/>
      <w:r w:rsidRPr="002673F4">
        <w:rPr>
          <w:rFonts w:cs="Times New Roman"/>
          <w:sz w:val="24"/>
          <w:szCs w:val="24"/>
          <w:lang w:val="lt-LT"/>
        </w:rPr>
        <w:t xml:space="preserve"> </w:t>
      </w:r>
      <w:proofErr w:type="spellStart"/>
      <w:r w:rsidRPr="002673F4">
        <w:rPr>
          <w:rFonts w:cs="Times New Roman"/>
          <w:sz w:val="24"/>
          <w:szCs w:val="24"/>
          <w:lang w:val="lt-LT"/>
        </w:rPr>
        <w:t>GmbH</w:t>
      </w:r>
      <w:proofErr w:type="spellEnd"/>
      <w:r w:rsidRPr="002673F4">
        <w:rPr>
          <w:rFonts w:cs="Times New Roman"/>
          <w:sz w:val="24"/>
          <w:szCs w:val="24"/>
          <w:lang w:val="lt-LT"/>
        </w:rPr>
        <w:t>,</w:t>
      </w:r>
      <w:r w:rsidR="00F86222" w:rsidRPr="002673F4">
        <w:rPr>
          <w:rFonts w:cs="Times New Roman"/>
          <w:sz w:val="24"/>
          <w:szCs w:val="24"/>
          <w:lang w:val="lt-LT"/>
        </w:rPr>
        <w:t xml:space="preserve"> </w:t>
      </w:r>
      <w:r w:rsidRPr="002673F4">
        <w:rPr>
          <w:rFonts w:cs="Times New Roman"/>
          <w:sz w:val="24"/>
          <w:szCs w:val="24"/>
          <w:lang w:val="lt-LT"/>
        </w:rPr>
        <w:t>Vokietija)</w:t>
      </w:r>
      <w:r w:rsidR="00425D37">
        <w:rPr>
          <w:rFonts w:cs="Times New Roman"/>
          <w:sz w:val="24"/>
          <w:szCs w:val="24"/>
          <w:lang w:val="lt-LT"/>
        </w:rPr>
        <w:t xml:space="preserve"> ES registruota 2020 m. gruodžio 22 d.</w:t>
      </w:r>
      <w:r w:rsidR="00E74105" w:rsidRPr="002673F4">
        <w:rPr>
          <w:rFonts w:cs="Times New Roman"/>
          <w:sz w:val="24"/>
          <w:szCs w:val="24"/>
          <w:lang w:val="lt-LT"/>
        </w:rPr>
        <w:t>;</w:t>
      </w:r>
    </w:p>
    <w:p w14:paraId="0734DCB1" w14:textId="4E3ADBA0" w:rsidR="00B03839" w:rsidRPr="002673F4" w:rsidRDefault="00B03839" w:rsidP="00EE2CA8">
      <w:pPr>
        <w:pStyle w:val="Betarp"/>
        <w:numPr>
          <w:ilvl w:val="0"/>
          <w:numId w:val="4"/>
        </w:numPr>
        <w:jc w:val="both"/>
        <w:rPr>
          <w:rFonts w:cs="Times New Roman"/>
          <w:sz w:val="24"/>
          <w:szCs w:val="24"/>
          <w:lang w:val="lt-LT"/>
        </w:rPr>
      </w:pPr>
      <w:proofErr w:type="spellStart"/>
      <w:r w:rsidRPr="002673F4">
        <w:rPr>
          <w:rFonts w:cs="Times New Roman"/>
          <w:sz w:val="24"/>
          <w:szCs w:val="24"/>
          <w:lang w:val="lt-LT"/>
        </w:rPr>
        <w:t>Spikevax</w:t>
      </w:r>
      <w:proofErr w:type="spellEnd"/>
      <w:r w:rsidRPr="002673F4">
        <w:rPr>
          <w:rFonts w:cs="Times New Roman"/>
          <w:sz w:val="24"/>
          <w:szCs w:val="24"/>
          <w:lang w:val="lt-LT"/>
        </w:rPr>
        <w:t xml:space="preserve"> injekcinė dispersija (Moderna </w:t>
      </w:r>
      <w:proofErr w:type="spellStart"/>
      <w:r w:rsidRPr="002673F4">
        <w:rPr>
          <w:rFonts w:cs="Times New Roman"/>
          <w:sz w:val="24"/>
          <w:szCs w:val="24"/>
          <w:lang w:val="lt-LT"/>
        </w:rPr>
        <w:t>Biotech</w:t>
      </w:r>
      <w:proofErr w:type="spellEnd"/>
      <w:r w:rsidRPr="002673F4">
        <w:rPr>
          <w:rFonts w:cs="Times New Roman"/>
          <w:sz w:val="24"/>
          <w:szCs w:val="24"/>
          <w:lang w:val="lt-LT"/>
        </w:rPr>
        <w:t xml:space="preserve"> </w:t>
      </w:r>
      <w:proofErr w:type="spellStart"/>
      <w:r w:rsidRPr="002673F4">
        <w:rPr>
          <w:rFonts w:cs="Times New Roman"/>
          <w:sz w:val="24"/>
          <w:szCs w:val="24"/>
          <w:lang w:val="lt-LT"/>
        </w:rPr>
        <w:t>Spain</w:t>
      </w:r>
      <w:proofErr w:type="spellEnd"/>
      <w:r w:rsidRPr="002673F4">
        <w:rPr>
          <w:rFonts w:cs="Times New Roman"/>
          <w:sz w:val="24"/>
          <w:szCs w:val="24"/>
          <w:lang w:val="lt-LT"/>
        </w:rPr>
        <w:t>, S.L., Ispanija)</w:t>
      </w:r>
      <w:r w:rsidR="00425D37">
        <w:rPr>
          <w:rFonts w:cs="Times New Roman"/>
          <w:sz w:val="24"/>
          <w:szCs w:val="24"/>
          <w:lang w:val="lt-LT"/>
        </w:rPr>
        <w:t xml:space="preserve"> ES registruota 202</w:t>
      </w:r>
      <w:r w:rsidR="002F07EE">
        <w:rPr>
          <w:rFonts w:cs="Times New Roman"/>
          <w:sz w:val="24"/>
          <w:szCs w:val="24"/>
          <w:lang w:val="lt-LT"/>
        </w:rPr>
        <w:t>1</w:t>
      </w:r>
      <w:r w:rsidR="00425D37">
        <w:rPr>
          <w:rFonts w:cs="Times New Roman"/>
          <w:sz w:val="24"/>
          <w:szCs w:val="24"/>
          <w:lang w:val="lt-LT"/>
        </w:rPr>
        <w:t xml:space="preserve"> m. </w:t>
      </w:r>
      <w:r w:rsidR="002F07EE">
        <w:rPr>
          <w:rFonts w:cs="Times New Roman"/>
          <w:sz w:val="24"/>
          <w:szCs w:val="24"/>
          <w:lang w:val="lt-LT"/>
        </w:rPr>
        <w:t>sausio</w:t>
      </w:r>
      <w:r w:rsidR="00425D37">
        <w:rPr>
          <w:rFonts w:cs="Times New Roman"/>
          <w:sz w:val="24"/>
          <w:szCs w:val="24"/>
          <w:lang w:val="lt-LT"/>
        </w:rPr>
        <w:t xml:space="preserve"> </w:t>
      </w:r>
      <w:r w:rsidR="002F07EE">
        <w:rPr>
          <w:rFonts w:cs="Times New Roman"/>
          <w:sz w:val="24"/>
          <w:szCs w:val="24"/>
          <w:lang w:val="lt-LT"/>
        </w:rPr>
        <w:t>6</w:t>
      </w:r>
      <w:r w:rsidR="00425D37">
        <w:rPr>
          <w:rFonts w:cs="Times New Roman"/>
          <w:sz w:val="24"/>
          <w:szCs w:val="24"/>
          <w:lang w:val="lt-LT"/>
        </w:rPr>
        <w:t xml:space="preserve"> d</w:t>
      </w:r>
      <w:r w:rsidR="00E74105" w:rsidRPr="002673F4">
        <w:rPr>
          <w:rFonts w:cs="Times New Roman"/>
          <w:sz w:val="24"/>
          <w:szCs w:val="24"/>
          <w:lang w:val="lt-LT"/>
        </w:rPr>
        <w:t>;</w:t>
      </w:r>
    </w:p>
    <w:p w14:paraId="120335AA" w14:textId="59C1F256" w:rsidR="00B03839" w:rsidRPr="002673F4" w:rsidRDefault="00B03839" w:rsidP="00EE2CA8">
      <w:pPr>
        <w:pStyle w:val="Betarp"/>
        <w:numPr>
          <w:ilvl w:val="0"/>
          <w:numId w:val="4"/>
        </w:numPr>
        <w:jc w:val="both"/>
        <w:rPr>
          <w:rFonts w:cs="Times New Roman"/>
          <w:sz w:val="24"/>
          <w:szCs w:val="24"/>
          <w:lang w:val="lt-LT"/>
        </w:rPr>
      </w:pPr>
      <w:r w:rsidRPr="002673F4">
        <w:rPr>
          <w:rFonts w:cs="Times New Roman"/>
          <w:sz w:val="24"/>
          <w:szCs w:val="24"/>
          <w:lang w:val="lt-LT"/>
        </w:rPr>
        <w:t>Vaxzevria injekcinė suspensija (AstraZeneca AB, Švedija)</w:t>
      </w:r>
      <w:r w:rsidR="00A731A2">
        <w:rPr>
          <w:rFonts w:cs="Times New Roman"/>
          <w:sz w:val="24"/>
          <w:szCs w:val="24"/>
          <w:lang w:val="lt-LT"/>
        </w:rPr>
        <w:t xml:space="preserve"> </w:t>
      </w:r>
      <w:r w:rsidR="00425D37">
        <w:rPr>
          <w:rFonts w:cs="Times New Roman"/>
          <w:sz w:val="24"/>
          <w:szCs w:val="24"/>
          <w:lang w:val="lt-LT"/>
        </w:rPr>
        <w:t>ES registruota 202</w:t>
      </w:r>
      <w:r w:rsidR="004E65CB">
        <w:rPr>
          <w:rFonts w:cs="Times New Roman"/>
          <w:sz w:val="24"/>
          <w:szCs w:val="24"/>
          <w:lang w:val="lt-LT"/>
        </w:rPr>
        <w:t>1</w:t>
      </w:r>
      <w:r w:rsidR="00425D37">
        <w:rPr>
          <w:rFonts w:cs="Times New Roman"/>
          <w:sz w:val="24"/>
          <w:szCs w:val="24"/>
          <w:lang w:val="lt-LT"/>
        </w:rPr>
        <w:t xml:space="preserve"> m. </w:t>
      </w:r>
      <w:r w:rsidR="009940E1">
        <w:rPr>
          <w:rFonts w:cs="Times New Roman"/>
          <w:sz w:val="24"/>
          <w:szCs w:val="24"/>
          <w:lang w:val="lt-LT"/>
        </w:rPr>
        <w:t>sausio 29</w:t>
      </w:r>
      <w:r w:rsidR="00E61A06">
        <w:rPr>
          <w:rFonts w:cs="Times New Roman"/>
          <w:sz w:val="24"/>
          <w:szCs w:val="24"/>
          <w:lang w:val="lt-LT"/>
        </w:rPr>
        <w:t xml:space="preserve"> </w:t>
      </w:r>
      <w:r w:rsidR="00425D37">
        <w:rPr>
          <w:rFonts w:cs="Times New Roman"/>
          <w:sz w:val="24"/>
          <w:szCs w:val="24"/>
          <w:lang w:val="lt-LT"/>
        </w:rPr>
        <w:t>d</w:t>
      </w:r>
      <w:r w:rsidR="00E74105" w:rsidRPr="002673F4">
        <w:rPr>
          <w:rFonts w:cs="Times New Roman"/>
          <w:sz w:val="24"/>
          <w:szCs w:val="24"/>
          <w:lang w:val="lt-LT"/>
        </w:rPr>
        <w:t>;</w:t>
      </w:r>
    </w:p>
    <w:p w14:paraId="2F08A7B9" w14:textId="77777777" w:rsidR="009D695A" w:rsidRPr="009D695A" w:rsidRDefault="00546E96" w:rsidP="00777626">
      <w:pPr>
        <w:pStyle w:val="Betarp"/>
        <w:numPr>
          <w:ilvl w:val="0"/>
          <w:numId w:val="4"/>
        </w:numPr>
        <w:jc w:val="both"/>
        <w:rPr>
          <w:sz w:val="24"/>
          <w:szCs w:val="24"/>
          <w:lang w:val="lt-LT"/>
        </w:rPr>
      </w:pPr>
      <w:r w:rsidRPr="002673F4">
        <w:rPr>
          <w:rFonts w:cs="Times New Roman"/>
          <w:sz w:val="24"/>
          <w:szCs w:val="24"/>
        </w:rPr>
        <w:t>JCOVDEN</w:t>
      </w:r>
      <w:r w:rsidRPr="00E61A06">
        <w:rPr>
          <w:rFonts w:cs="Times New Roman"/>
          <w:sz w:val="24"/>
          <w:szCs w:val="24"/>
          <w:lang w:val="lt-LT"/>
        </w:rPr>
        <w:t xml:space="preserve"> </w:t>
      </w:r>
      <w:r w:rsidR="00B03839" w:rsidRPr="002673F4">
        <w:rPr>
          <w:rFonts w:cs="Times New Roman"/>
          <w:sz w:val="24"/>
          <w:szCs w:val="24"/>
          <w:lang w:val="lt-LT"/>
        </w:rPr>
        <w:t>injekcinė suspensija (Janssen-</w:t>
      </w:r>
      <w:proofErr w:type="spellStart"/>
      <w:r w:rsidR="00B03839" w:rsidRPr="002673F4">
        <w:rPr>
          <w:rFonts w:cs="Times New Roman"/>
          <w:sz w:val="24"/>
          <w:szCs w:val="24"/>
          <w:lang w:val="lt-LT"/>
        </w:rPr>
        <w:t>Cilag</w:t>
      </w:r>
      <w:proofErr w:type="spellEnd"/>
      <w:r w:rsidR="00B03839" w:rsidRPr="002673F4">
        <w:rPr>
          <w:rFonts w:cs="Times New Roman"/>
          <w:sz w:val="24"/>
          <w:szCs w:val="24"/>
          <w:lang w:val="lt-LT"/>
        </w:rPr>
        <w:t xml:space="preserve"> International</w:t>
      </w:r>
      <w:r w:rsidR="00F86222" w:rsidRPr="002673F4">
        <w:rPr>
          <w:rFonts w:cs="Times New Roman"/>
          <w:sz w:val="24"/>
          <w:szCs w:val="24"/>
          <w:lang w:val="lt-LT"/>
        </w:rPr>
        <w:t xml:space="preserve"> </w:t>
      </w:r>
      <w:r w:rsidR="00B03839" w:rsidRPr="002673F4">
        <w:rPr>
          <w:rFonts w:cs="Times New Roman"/>
          <w:sz w:val="24"/>
          <w:szCs w:val="24"/>
          <w:lang w:val="lt-LT"/>
        </w:rPr>
        <w:t>N.V.</w:t>
      </w:r>
      <w:r w:rsidR="002431AC" w:rsidRPr="002673F4">
        <w:rPr>
          <w:rFonts w:cs="Times New Roman"/>
          <w:sz w:val="24"/>
          <w:szCs w:val="24"/>
          <w:lang w:val="lt-LT"/>
        </w:rPr>
        <w:t>, Belgija</w:t>
      </w:r>
      <w:r w:rsidR="00B03839" w:rsidRPr="002673F4">
        <w:rPr>
          <w:rFonts w:cs="Times New Roman"/>
          <w:sz w:val="24"/>
          <w:szCs w:val="24"/>
          <w:lang w:val="lt-LT"/>
        </w:rPr>
        <w:t>)</w:t>
      </w:r>
      <w:r w:rsidR="00425D37">
        <w:rPr>
          <w:rFonts w:cs="Times New Roman"/>
          <w:sz w:val="24"/>
          <w:szCs w:val="24"/>
          <w:lang w:val="lt-LT"/>
        </w:rPr>
        <w:t xml:space="preserve"> ES registruota 202</w:t>
      </w:r>
      <w:r w:rsidR="00196F55">
        <w:rPr>
          <w:rFonts w:cs="Times New Roman"/>
          <w:sz w:val="24"/>
          <w:szCs w:val="24"/>
          <w:lang w:val="lt-LT"/>
        </w:rPr>
        <w:t>1</w:t>
      </w:r>
      <w:r w:rsidR="00425D37">
        <w:rPr>
          <w:rFonts w:cs="Times New Roman"/>
          <w:sz w:val="24"/>
          <w:szCs w:val="24"/>
          <w:lang w:val="lt-LT"/>
        </w:rPr>
        <w:t xml:space="preserve"> m.</w:t>
      </w:r>
      <w:r w:rsidR="00196F55">
        <w:rPr>
          <w:rFonts w:cs="Times New Roman"/>
          <w:sz w:val="24"/>
          <w:szCs w:val="24"/>
          <w:lang w:val="lt-LT"/>
        </w:rPr>
        <w:t xml:space="preserve"> </w:t>
      </w:r>
      <w:r w:rsidR="00A26447">
        <w:rPr>
          <w:rFonts w:cs="Times New Roman"/>
          <w:sz w:val="24"/>
          <w:szCs w:val="24"/>
          <w:lang w:val="lt-LT"/>
        </w:rPr>
        <w:t>kovo 11</w:t>
      </w:r>
      <w:r w:rsidR="00D202CB">
        <w:rPr>
          <w:rFonts w:cs="Times New Roman"/>
          <w:sz w:val="24"/>
          <w:szCs w:val="24"/>
          <w:lang w:val="lt-LT"/>
        </w:rPr>
        <w:t xml:space="preserve"> </w:t>
      </w:r>
      <w:r w:rsidR="00425D37">
        <w:rPr>
          <w:rFonts w:cs="Times New Roman"/>
          <w:sz w:val="24"/>
          <w:szCs w:val="24"/>
          <w:lang w:val="lt-LT"/>
        </w:rPr>
        <w:t>d</w:t>
      </w:r>
      <w:r w:rsidR="009D695A">
        <w:rPr>
          <w:rFonts w:cs="Times New Roman"/>
          <w:sz w:val="24"/>
          <w:szCs w:val="24"/>
          <w:lang w:val="lt-LT"/>
        </w:rPr>
        <w:t>.</w:t>
      </w:r>
    </w:p>
    <w:p w14:paraId="592E4792" w14:textId="323825A3" w:rsidR="00A31AB2" w:rsidRPr="009D695A" w:rsidRDefault="00D21914" w:rsidP="00777626">
      <w:pPr>
        <w:pStyle w:val="Betarp"/>
        <w:numPr>
          <w:ilvl w:val="0"/>
          <w:numId w:val="4"/>
        </w:numPr>
        <w:jc w:val="both"/>
        <w:rPr>
          <w:sz w:val="24"/>
          <w:szCs w:val="24"/>
          <w:lang w:val="lt-LT"/>
        </w:rPr>
      </w:pPr>
      <w:proofErr w:type="spellStart"/>
      <w:r w:rsidRPr="009D695A">
        <w:rPr>
          <w:rFonts w:cs="Times New Roman"/>
          <w:sz w:val="24"/>
          <w:szCs w:val="24"/>
          <w:lang w:val="lt-LT"/>
        </w:rPr>
        <w:t>Nuvaxovid</w:t>
      </w:r>
      <w:proofErr w:type="spellEnd"/>
      <w:r w:rsidRPr="009D695A">
        <w:rPr>
          <w:rFonts w:cs="Times New Roman"/>
          <w:sz w:val="24"/>
          <w:szCs w:val="24"/>
          <w:lang w:val="lt-LT"/>
        </w:rPr>
        <w:t xml:space="preserve"> injekcinė dispersija (</w:t>
      </w:r>
      <w:proofErr w:type="spellStart"/>
      <w:r w:rsidRPr="009D695A">
        <w:rPr>
          <w:rFonts w:cs="Times New Roman"/>
          <w:sz w:val="24"/>
          <w:szCs w:val="24"/>
          <w:lang w:val="lt-LT"/>
        </w:rPr>
        <w:t>Win</w:t>
      </w:r>
      <w:r w:rsidR="00BB1FB7" w:rsidRPr="009D695A">
        <w:rPr>
          <w:rFonts w:cs="Times New Roman"/>
          <w:sz w:val="24"/>
          <w:szCs w:val="24"/>
          <w:lang w:val="lt-LT"/>
        </w:rPr>
        <w:t>throp</w:t>
      </w:r>
      <w:proofErr w:type="spellEnd"/>
      <w:r w:rsidR="00BB1FB7" w:rsidRPr="009D695A">
        <w:rPr>
          <w:rFonts w:cs="Times New Roman"/>
          <w:sz w:val="24"/>
          <w:szCs w:val="24"/>
          <w:lang w:val="lt-LT"/>
        </w:rPr>
        <w:t xml:space="preserve"> </w:t>
      </w:r>
      <w:proofErr w:type="spellStart"/>
      <w:r w:rsidR="00BB1FB7" w:rsidRPr="009D695A">
        <w:rPr>
          <w:rFonts w:cs="Times New Roman"/>
          <w:sz w:val="24"/>
          <w:szCs w:val="24"/>
          <w:lang w:val="lt-LT"/>
        </w:rPr>
        <w:t>Industrie</w:t>
      </w:r>
      <w:proofErr w:type="spellEnd"/>
      <w:r w:rsidR="00BB1FB7" w:rsidRPr="009D695A">
        <w:rPr>
          <w:rFonts w:cs="Times New Roman"/>
          <w:sz w:val="24"/>
          <w:szCs w:val="24"/>
          <w:lang w:val="lt-LT"/>
        </w:rPr>
        <w:t>, Prancūzija)</w:t>
      </w:r>
      <w:r w:rsidR="00425D37" w:rsidRPr="009D695A">
        <w:rPr>
          <w:rFonts w:cs="Times New Roman"/>
          <w:sz w:val="24"/>
          <w:szCs w:val="24"/>
          <w:lang w:val="lt-LT"/>
        </w:rPr>
        <w:t>, ES registruota 202</w:t>
      </w:r>
      <w:r w:rsidR="001735B6" w:rsidRPr="009D695A">
        <w:rPr>
          <w:rFonts w:cs="Times New Roman"/>
          <w:sz w:val="24"/>
          <w:szCs w:val="24"/>
          <w:lang w:val="lt-LT"/>
        </w:rPr>
        <w:t>1</w:t>
      </w:r>
      <w:r w:rsidR="00425D37" w:rsidRPr="009D695A">
        <w:rPr>
          <w:rFonts w:cs="Times New Roman"/>
          <w:sz w:val="24"/>
          <w:szCs w:val="24"/>
          <w:lang w:val="lt-LT"/>
        </w:rPr>
        <w:t xml:space="preserve"> m. gruodžio 2</w:t>
      </w:r>
      <w:r w:rsidR="002124D8" w:rsidRPr="009D695A">
        <w:rPr>
          <w:rFonts w:cs="Times New Roman"/>
          <w:sz w:val="24"/>
          <w:szCs w:val="24"/>
          <w:lang w:val="lt-LT"/>
        </w:rPr>
        <w:t>0</w:t>
      </w:r>
      <w:r w:rsidR="00425D37" w:rsidRPr="009D695A">
        <w:rPr>
          <w:rFonts w:cs="Times New Roman"/>
          <w:sz w:val="24"/>
          <w:szCs w:val="24"/>
          <w:lang w:val="lt-LT"/>
        </w:rPr>
        <w:t xml:space="preserve"> d</w:t>
      </w:r>
      <w:r w:rsidR="00A54508" w:rsidRPr="009D695A">
        <w:rPr>
          <w:rFonts w:cs="Times New Roman"/>
          <w:sz w:val="24"/>
          <w:szCs w:val="24"/>
          <w:lang w:val="lt-LT"/>
        </w:rPr>
        <w:t>.</w:t>
      </w:r>
    </w:p>
    <w:p w14:paraId="01BED55E" w14:textId="77777777" w:rsidR="009D695A" w:rsidRPr="009D695A" w:rsidRDefault="009D695A" w:rsidP="009D695A">
      <w:pPr>
        <w:pStyle w:val="Betarp"/>
        <w:ind w:left="720"/>
        <w:jc w:val="both"/>
        <w:rPr>
          <w:sz w:val="24"/>
          <w:szCs w:val="24"/>
          <w:lang w:val="lt-LT"/>
        </w:rPr>
      </w:pPr>
    </w:p>
    <w:p w14:paraId="6DBB9CBA" w14:textId="7AE16C0B" w:rsidR="00E821CB" w:rsidRDefault="004A0C5C" w:rsidP="00E821CB">
      <w:pPr>
        <w:pStyle w:val="Betarp"/>
        <w:ind w:firstLine="708"/>
        <w:jc w:val="both"/>
        <w:rPr>
          <w:rFonts w:cs="Times New Roman"/>
          <w:sz w:val="24"/>
          <w:szCs w:val="24"/>
          <w:lang w:val="lt-LT"/>
        </w:rPr>
      </w:pPr>
      <w:r w:rsidRPr="002673F4">
        <w:rPr>
          <w:rFonts w:cs="Times New Roman"/>
          <w:sz w:val="24"/>
          <w:szCs w:val="24"/>
          <w:lang w:val="lt-LT"/>
        </w:rPr>
        <w:t>Lietuvoje vakcinacija COVID-19 vakcinomis organizuojama ir vykdoma vadovaujantis Gyventojų</w:t>
      </w:r>
      <w:r w:rsidR="00D46581" w:rsidRPr="002673F4">
        <w:rPr>
          <w:rFonts w:cs="Times New Roman"/>
          <w:sz w:val="24"/>
          <w:szCs w:val="24"/>
          <w:lang w:val="lt-LT"/>
        </w:rPr>
        <w:t xml:space="preserve"> </w:t>
      </w:r>
      <w:r w:rsidRPr="002673F4">
        <w:rPr>
          <w:rFonts w:cs="Times New Roman"/>
          <w:sz w:val="24"/>
          <w:szCs w:val="24"/>
          <w:lang w:val="lt-LT"/>
        </w:rPr>
        <w:t>skiepijimo COVID-19 ligos (koronaviruso infekcijos) vakcina</w:t>
      </w:r>
      <w:r w:rsidR="00D46581" w:rsidRPr="002673F4">
        <w:rPr>
          <w:rFonts w:cs="Times New Roman"/>
          <w:sz w:val="24"/>
          <w:szCs w:val="24"/>
          <w:lang w:val="lt-LT"/>
        </w:rPr>
        <w:t xml:space="preserve"> </w:t>
      </w:r>
      <w:r w:rsidRPr="002673F4">
        <w:rPr>
          <w:rFonts w:cs="Times New Roman"/>
          <w:sz w:val="24"/>
          <w:szCs w:val="24"/>
          <w:lang w:val="lt-LT"/>
        </w:rPr>
        <w:t>organizavimo tvarkos aprašu, patvirtintu Lietuvos Respublikos sveikatos apsaugos ministro 2020</w:t>
      </w:r>
      <w:r w:rsidR="00E61A06">
        <w:rPr>
          <w:rFonts w:cs="Times New Roman"/>
          <w:sz w:val="24"/>
          <w:szCs w:val="24"/>
          <w:lang w:val="lt-LT"/>
        </w:rPr>
        <w:t xml:space="preserve"> </w:t>
      </w:r>
      <w:r w:rsidRPr="002673F4">
        <w:rPr>
          <w:rFonts w:cs="Times New Roman"/>
          <w:sz w:val="24"/>
          <w:szCs w:val="24"/>
          <w:lang w:val="lt-LT"/>
        </w:rPr>
        <w:t>m. gruodžio 23 d. įsakymu Nr. V-2997.</w:t>
      </w:r>
    </w:p>
    <w:p w14:paraId="0375EBC6" w14:textId="34FAE2E0" w:rsidR="00CF5F8C" w:rsidRPr="00F419D9" w:rsidRDefault="00D13D1D" w:rsidP="00E821CB">
      <w:pPr>
        <w:pStyle w:val="Betarp"/>
        <w:ind w:firstLine="708"/>
        <w:jc w:val="both"/>
        <w:rPr>
          <w:sz w:val="24"/>
          <w:szCs w:val="24"/>
          <w:lang w:val="lt-LT"/>
        </w:rPr>
      </w:pPr>
      <w:r w:rsidRPr="00F419D9">
        <w:rPr>
          <w:sz w:val="24"/>
          <w:szCs w:val="24"/>
          <w:lang w:val="lt-LT"/>
        </w:rPr>
        <w:t xml:space="preserve">Visų ĮNR pranešimų po skiepijimo vakcinomis nuo COVID-19 ligos (koronaviruso infekcijos) priežastinio ryšio vertinimas, kaip ir kitų </w:t>
      </w:r>
      <w:r w:rsidR="00E61A06">
        <w:rPr>
          <w:sz w:val="24"/>
          <w:szCs w:val="24"/>
          <w:lang w:val="lt-LT"/>
        </w:rPr>
        <w:t>VVKT</w:t>
      </w:r>
      <w:r w:rsidRPr="00F419D9">
        <w:rPr>
          <w:sz w:val="24"/>
          <w:szCs w:val="24"/>
          <w:lang w:val="lt-LT"/>
        </w:rPr>
        <w:t xml:space="preserve"> gaunamų ĮNR pranešimų, yra atliktas vadovaujantis PSO-USC gairėmis (https://www.who.int/publications/m/item/WHO-causality-assessment) ir remiantis ĮNR pranešimuose pateikta informacija bei duomenimis</w:t>
      </w:r>
      <w:r w:rsidR="00747836" w:rsidRPr="00F419D9">
        <w:rPr>
          <w:sz w:val="24"/>
          <w:szCs w:val="24"/>
          <w:lang w:val="lt-LT"/>
        </w:rPr>
        <w:t>.</w:t>
      </w:r>
    </w:p>
    <w:p w14:paraId="67292A6A" w14:textId="3E349CF3" w:rsidR="009C7D66" w:rsidRPr="002673F4" w:rsidRDefault="00CF5F8C" w:rsidP="00CF5F8C">
      <w:pPr>
        <w:tabs>
          <w:tab w:val="left" w:pos="2637"/>
          <w:tab w:val="center" w:pos="4819"/>
        </w:tabs>
        <w:spacing w:after="0"/>
        <w:rPr>
          <w:rFonts w:eastAsia="Times New Roman" w:cs="Times New Roman"/>
          <w:b/>
          <w:bCs/>
          <w:color w:val="000000"/>
          <w:sz w:val="24"/>
          <w:szCs w:val="24"/>
          <w:lang w:val="lt-LT" w:eastAsia="lt-LT"/>
        </w:rPr>
      </w:pPr>
      <w:r>
        <w:rPr>
          <w:rFonts w:eastAsia="Times New Roman" w:cs="Times New Roman"/>
          <w:b/>
          <w:bCs/>
          <w:color w:val="000000"/>
          <w:sz w:val="24"/>
          <w:szCs w:val="24"/>
          <w:lang w:val="lt-LT" w:eastAsia="lt-LT"/>
        </w:rPr>
        <w:tab/>
      </w:r>
    </w:p>
    <w:p w14:paraId="4FFE0EA0" w14:textId="276FB2E5" w:rsidR="000F6B07" w:rsidRPr="002673F4" w:rsidRDefault="000F6B07" w:rsidP="0029642C">
      <w:pPr>
        <w:spacing w:after="0"/>
        <w:jc w:val="center"/>
        <w:rPr>
          <w:rFonts w:eastAsia="Times New Roman" w:cs="Times New Roman"/>
          <w:b/>
          <w:bCs/>
          <w:color w:val="000000"/>
          <w:sz w:val="24"/>
          <w:szCs w:val="24"/>
          <w:lang w:val="lt-LT" w:eastAsia="lt-LT"/>
        </w:rPr>
      </w:pPr>
      <w:r w:rsidRPr="002673F4">
        <w:rPr>
          <w:rFonts w:eastAsia="Times New Roman" w:cs="Times New Roman"/>
          <w:b/>
          <w:bCs/>
          <w:color w:val="000000"/>
          <w:sz w:val="24"/>
          <w:szCs w:val="24"/>
          <w:lang w:val="lt-LT" w:eastAsia="lt-LT"/>
        </w:rPr>
        <w:t>Bendras</w:t>
      </w:r>
      <w:r w:rsidR="007375A3">
        <w:rPr>
          <w:rFonts w:eastAsia="Times New Roman" w:cs="Times New Roman"/>
          <w:b/>
          <w:bCs/>
          <w:color w:val="000000"/>
          <w:sz w:val="24"/>
          <w:szCs w:val="24"/>
          <w:lang w:val="lt-LT" w:eastAsia="lt-LT"/>
        </w:rPr>
        <w:t xml:space="preserve"> gautų</w:t>
      </w:r>
      <w:r w:rsidRPr="002673F4">
        <w:rPr>
          <w:rFonts w:eastAsia="Times New Roman" w:cs="Times New Roman"/>
          <w:b/>
          <w:bCs/>
          <w:color w:val="000000"/>
          <w:sz w:val="24"/>
          <w:szCs w:val="24"/>
          <w:lang w:val="lt-LT" w:eastAsia="lt-LT"/>
        </w:rPr>
        <w:t xml:space="preserve"> ĮNR </w:t>
      </w:r>
      <w:r w:rsidR="00C4703C">
        <w:rPr>
          <w:rFonts w:eastAsia="Times New Roman" w:cs="Times New Roman"/>
          <w:b/>
          <w:bCs/>
          <w:color w:val="000000"/>
          <w:sz w:val="24"/>
          <w:szCs w:val="24"/>
          <w:lang w:val="lt-LT" w:eastAsia="lt-LT"/>
        </w:rPr>
        <w:t xml:space="preserve">pranešimų </w:t>
      </w:r>
      <w:r w:rsidRPr="002673F4">
        <w:rPr>
          <w:rFonts w:eastAsia="Times New Roman" w:cs="Times New Roman"/>
          <w:b/>
          <w:bCs/>
          <w:color w:val="000000"/>
          <w:sz w:val="24"/>
          <w:szCs w:val="24"/>
          <w:lang w:val="lt-LT" w:eastAsia="lt-LT"/>
        </w:rPr>
        <w:t xml:space="preserve">į vakcinas skaičius </w:t>
      </w:r>
    </w:p>
    <w:p w14:paraId="593E443B" w14:textId="77777777" w:rsidR="005F58B0" w:rsidRPr="002673F4" w:rsidRDefault="005F58B0" w:rsidP="000F6B07">
      <w:pPr>
        <w:spacing w:after="0"/>
        <w:jc w:val="both"/>
        <w:rPr>
          <w:rFonts w:eastAsia="Times New Roman" w:cs="Times New Roman"/>
          <w:color w:val="EE0000"/>
          <w:sz w:val="24"/>
          <w:szCs w:val="24"/>
          <w:lang w:val="lt-LT" w:eastAsia="lt-LT"/>
        </w:rPr>
      </w:pPr>
    </w:p>
    <w:p w14:paraId="70A39C9B" w14:textId="17DE6F0A" w:rsidR="005F58B0" w:rsidRDefault="00131C0C" w:rsidP="008A3A6E">
      <w:pPr>
        <w:spacing w:after="0"/>
        <w:ind w:firstLine="708"/>
        <w:jc w:val="both"/>
        <w:rPr>
          <w:rFonts w:eastAsia="Times New Roman" w:cs="Times New Roman"/>
          <w:sz w:val="24"/>
          <w:szCs w:val="24"/>
          <w:lang w:val="lt-LT" w:eastAsia="lt-LT"/>
        </w:rPr>
      </w:pPr>
      <w:r w:rsidRPr="002673F4">
        <w:rPr>
          <w:rFonts w:eastAsia="Times New Roman" w:cs="Times New Roman"/>
          <w:sz w:val="24"/>
          <w:szCs w:val="24"/>
          <w:lang w:val="lt-LT" w:eastAsia="lt-LT"/>
        </w:rPr>
        <w:t xml:space="preserve"> </w:t>
      </w:r>
      <w:r w:rsidR="00D13D1D">
        <w:rPr>
          <w:rFonts w:eastAsia="Times New Roman" w:cs="Times New Roman"/>
          <w:sz w:val="24"/>
          <w:szCs w:val="24"/>
          <w:lang w:val="lt-LT" w:eastAsia="lt-LT"/>
        </w:rPr>
        <w:t>P</w:t>
      </w:r>
      <w:r w:rsidRPr="002673F4">
        <w:rPr>
          <w:rFonts w:eastAsia="Times New Roman" w:cs="Times New Roman"/>
          <w:sz w:val="24"/>
          <w:szCs w:val="24"/>
          <w:lang w:val="lt-LT" w:eastAsia="lt-LT"/>
        </w:rPr>
        <w:t>irm</w:t>
      </w:r>
      <w:r w:rsidR="00D13D1D">
        <w:rPr>
          <w:rFonts w:eastAsia="Times New Roman" w:cs="Times New Roman"/>
          <w:sz w:val="24"/>
          <w:szCs w:val="24"/>
          <w:lang w:val="lt-LT" w:eastAsia="lt-LT"/>
        </w:rPr>
        <w:t>aisiais</w:t>
      </w:r>
      <w:r w:rsidR="00981E06" w:rsidRPr="002673F4">
        <w:rPr>
          <w:rFonts w:eastAsia="Times New Roman" w:cs="Times New Roman"/>
          <w:sz w:val="24"/>
          <w:szCs w:val="24"/>
          <w:lang w:val="lt-LT" w:eastAsia="lt-LT"/>
        </w:rPr>
        <w:t xml:space="preserve"> vakcinacijos</w:t>
      </w:r>
      <w:r w:rsidRPr="002673F4">
        <w:rPr>
          <w:rFonts w:eastAsia="Times New Roman" w:cs="Times New Roman"/>
          <w:sz w:val="24"/>
          <w:szCs w:val="24"/>
          <w:lang w:val="lt-LT" w:eastAsia="lt-LT"/>
        </w:rPr>
        <w:t xml:space="preserve"> met</w:t>
      </w:r>
      <w:r w:rsidR="00F419D9">
        <w:rPr>
          <w:rFonts w:eastAsia="Times New Roman" w:cs="Times New Roman"/>
          <w:sz w:val="24"/>
          <w:szCs w:val="24"/>
          <w:lang w:val="lt-LT" w:eastAsia="lt-LT"/>
        </w:rPr>
        <w:t>ai</w:t>
      </w:r>
      <w:r w:rsidRPr="002673F4">
        <w:rPr>
          <w:rFonts w:eastAsia="Times New Roman" w:cs="Times New Roman"/>
          <w:sz w:val="24"/>
          <w:szCs w:val="24"/>
          <w:lang w:val="lt-LT" w:eastAsia="lt-LT"/>
        </w:rPr>
        <w:t>s (</w:t>
      </w:r>
      <w:r w:rsidR="00AB2E20" w:rsidRPr="002673F4">
        <w:rPr>
          <w:rFonts w:eastAsia="Times New Roman" w:cs="Times New Roman"/>
          <w:sz w:val="24"/>
          <w:szCs w:val="24"/>
          <w:lang w:val="lt-LT" w:eastAsia="lt-LT"/>
        </w:rPr>
        <w:t xml:space="preserve">nuo </w:t>
      </w:r>
      <w:r w:rsidR="008E04B5" w:rsidRPr="002673F4">
        <w:rPr>
          <w:rFonts w:eastAsia="Times New Roman" w:cs="Times New Roman"/>
          <w:sz w:val="24"/>
          <w:szCs w:val="24"/>
          <w:lang w:val="lt-LT" w:eastAsia="lt-LT"/>
        </w:rPr>
        <w:t>2020-12-27 iki 2021-13-31</w:t>
      </w:r>
      <w:r w:rsidRPr="002673F4">
        <w:rPr>
          <w:rFonts w:eastAsia="Times New Roman" w:cs="Times New Roman"/>
          <w:sz w:val="24"/>
          <w:szCs w:val="24"/>
          <w:lang w:val="lt-LT" w:eastAsia="lt-LT"/>
        </w:rPr>
        <w:t>)</w:t>
      </w:r>
      <w:r w:rsidR="008E04B5" w:rsidRPr="002673F4">
        <w:rPr>
          <w:rFonts w:eastAsia="Times New Roman" w:cs="Times New Roman"/>
          <w:sz w:val="24"/>
          <w:szCs w:val="24"/>
          <w:lang w:val="lt-LT" w:eastAsia="lt-LT"/>
        </w:rPr>
        <w:t xml:space="preserve"> gauti </w:t>
      </w:r>
      <w:r w:rsidR="00BD0AB3" w:rsidRPr="002673F4">
        <w:rPr>
          <w:rFonts w:eastAsia="Times New Roman" w:cs="Times New Roman"/>
          <w:sz w:val="24"/>
          <w:szCs w:val="24"/>
          <w:lang w:val="lt-LT" w:eastAsia="lt-LT"/>
        </w:rPr>
        <w:t>6</w:t>
      </w:r>
      <w:r w:rsidR="007D01AD">
        <w:rPr>
          <w:rFonts w:eastAsia="Times New Roman" w:cs="Times New Roman"/>
          <w:sz w:val="24"/>
          <w:szCs w:val="24"/>
          <w:lang w:val="lt-LT" w:eastAsia="lt-LT"/>
        </w:rPr>
        <w:t xml:space="preserve"> </w:t>
      </w:r>
      <w:r w:rsidR="00BD0AB3" w:rsidRPr="002673F4">
        <w:rPr>
          <w:rFonts w:eastAsia="Times New Roman" w:cs="Times New Roman"/>
          <w:sz w:val="24"/>
          <w:szCs w:val="24"/>
          <w:lang w:val="lt-LT" w:eastAsia="lt-LT"/>
        </w:rPr>
        <w:t>808 ĮNR pranešimai į Covid-19 vakcinas.  2022 m. gauti 1</w:t>
      </w:r>
      <w:r w:rsidR="007D01AD">
        <w:rPr>
          <w:rFonts w:eastAsia="Times New Roman" w:cs="Times New Roman"/>
          <w:sz w:val="24"/>
          <w:szCs w:val="24"/>
          <w:lang w:val="lt-LT" w:eastAsia="lt-LT"/>
        </w:rPr>
        <w:t xml:space="preserve"> </w:t>
      </w:r>
      <w:r w:rsidR="00BD0AB3" w:rsidRPr="002673F4">
        <w:rPr>
          <w:rFonts w:eastAsia="Times New Roman" w:cs="Times New Roman"/>
          <w:sz w:val="24"/>
          <w:szCs w:val="24"/>
          <w:lang w:val="lt-LT" w:eastAsia="lt-LT"/>
        </w:rPr>
        <w:t>227</w:t>
      </w:r>
      <w:r w:rsidR="0059303C" w:rsidRPr="002673F4">
        <w:rPr>
          <w:rFonts w:eastAsia="Times New Roman" w:cs="Times New Roman"/>
          <w:sz w:val="24"/>
          <w:szCs w:val="24"/>
          <w:lang w:val="lt-LT" w:eastAsia="lt-LT"/>
        </w:rPr>
        <w:t xml:space="preserve"> ĮNR pranešimai</w:t>
      </w:r>
      <w:r w:rsidR="00BD0AB3" w:rsidRPr="002673F4">
        <w:rPr>
          <w:rFonts w:eastAsia="Times New Roman" w:cs="Times New Roman"/>
          <w:sz w:val="24"/>
          <w:szCs w:val="24"/>
          <w:lang w:val="lt-LT" w:eastAsia="lt-LT"/>
        </w:rPr>
        <w:t xml:space="preserve">,  2023 m. </w:t>
      </w:r>
      <w:r w:rsidR="000F09F7" w:rsidRPr="002673F4">
        <w:rPr>
          <w:rFonts w:eastAsia="Times New Roman" w:cs="Times New Roman"/>
          <w:sz w:val="24"/>
          <w:szCs w:val="24"/>
          <w:lang w:val="lt-LT" w:eastAsia="lt-LT"/>
        </w:rPr>
        <w:t>–</w:t>
      </w:r>
      <w:r w:rsidR="00BD0AB3" w:rsidRPr="002673F4">
        <w:rPr>
          <w:rFonts w:eastAsia="Times New Roman" w:cs="Times New Roman"/>
          <w:sz w:val="24"/>
          <w:szCs w:val="24"/>
          <w:lang w:val="lt-LT" w:eastAsia="lt-LT"/>
        </w:rPr>
        <w:t xml:space="preserve"> </w:t>
      </w:r>
      <w:r w:rsidR="000F09F7" w:rsidRPr="002673F4">
        <w:rPr>
          <w:rFonts w:eastAsia="Times New Roman" w:cs="Times New Roman"/>
          <w:sz w:val="24"/>
          <w:szCs w:val="24"/>
          <w:lang w:val="lt-LT" w:eastAsia="lt-LT"/>
        </w:rPr>
        <w:t>33</w:t>
      </w:r>
      <w:r w:rsidR="00243F04" w:rsidRPr="002673F4">
        <w:rPr>
          <w:rFonts w:eastAsia="Times New Roman" w:cs="Times New Roman"/>
          <w:sz w:val="24"/>
          <w:szCs w:val="24"/>
          <w:lang w:val="lt-LT" w:eastAsia="lt-LT"/>
        </w:rPr>
        <w:t xml:space="preserve"> ĮNR pranešimai</w:t>
      </w:r>
      <w:r w:rsidR="000F09F7" w:rsidRPr="002673F4">
        <w:rPr>
          <w:rFonts w:eastAsia="Times New Roman" w:cs="Times New Roman"/>
          <w:sz w:val="24"/>
          <w:szCs w:val="24"/>
          <w:lang w:val="lt-LT" w:eastAsia="lt-LT"/>
        </w:rPr>
        <w:t>,  2024 m. – 21</w:t>
      </w:r>
      <w:r w:rsidR="00243F04" w:rsidRPr="002673F4">
        <w:rPr>
          <w:rFonts w:eastAsia="Times New Roman" w:cs="Times New Roman"/>
          <w:sz w:val="24"/>
          <w:szCs w:val="24"/>
          <w:lang w:val="lt-LT" w:eastAsia="lt-LT"/>
        </w:rPr>
        <w:t xml:space="preserve"> ĮNR pranešimas</w:t>
      </w:r>
      <w:r w:rsidR="00F77676" w:rsidRPr="002673F4">
        <w:rPr>
          <w:rFonts w:eastAsia="Times New Roman" w:cs="Times New Roman"/>
          <w:sz w:val="24"/>
          <w:szCs w:val="24"/>
          <w:lang w:val="lt-LT" w:eastAsia="lt-LT"/>
        </w:rPr>
        <w:t xml:space="preserve">, </w:t>
      </w:r>
      <w:r w:rsidR="000F09F7" w:rsidRPr="002673F4">
        <w:rPr>
          <w:rFonts w:eastAsia="Times New Roman" w:cs="Times New Roman"/>
          <w:sz w:val="24"/>
          <w:szCs w:val="24"/>
          <w:lang w:val="lt-LT" w:eastAsia="lt-LT"/>
        </w:rPr>
        <w:t xml:space="preserve"> 2025 m. – 5</w:t>
      </w:r>
      <w:r w:rsidR="00243F04" w:rsidRPr="002673F4">
        <w:rPr>
          <w:rFonts w:eastAsia="Times New Roman" w:cs="Times New Roman"/>
          <w:sz w:val="24"/>
          <w:szCs w:val="24"/>
          <w:lang w:val="lt-LT" w:eastAsia="lt-LT"/>
        </w:rPr>
        <w:t xml:space="preserve"> ĮNR pranešimai</w:t>
      </w:r>
      <w:r w:rsidR="000F09F7" w:rsidRPr="002673F4">
        <w:rPr>
          <w:rFonts w:eastAsia="Times New Roman" w:cs="Times New Roman"/>
          <w:sz w:val="24"/>
          <w:szCs w:val="24"/>
          <w:lang w:val="lt-LT" w:eastAsia="lt-LT"/>
        </w:rPr>
        <w:t>.</w:t>
      </w:r>
      <w:r w:rsidR="00BD0AB3" w:rsidRPr="002673F4">
        <w:rPr>
          <w:rFonts w:eastAsia="Times New Roman" w:cs="Times New Roman"/>
          <w:sz w:val="24"/>
          <w:szCs w:val="24"/>
          <w:lang w:val="lt-LT" w:eastAsia="lt-LT"/>
        </w:rPr>
        <w:t xml:space="preserve"> </w:t>
      </w:r>
      <w:r w:rsidR="00747836">
        <w:rPr>
          <w:rFonts w:eastAsia="Times New Roman" w:cs="Times New Roman"/>
          <w:sz w:val="24"/>
          <w:szCs w:val="24"/>
          <w:lang w:val="lt-LT" w:eastAsia="lt-LT"/>
        </w:rPr>
        <w:t xml:space="preserve"> 2020-2025 m. laikotarpiu </w:t>
      </w:r>
      <w:r w:rsidR="0014791C">
        <w:rPr>
          <w:rFonts w:eastAsia="Times New Roman" w:cs="Times New Roman"/>
          <w:sz w:val="24"/>
          <w:szCs w:val="24"/>
          <w:lang w:val="lt-LT" w:eastAsia="lt-LT"/>
        </w:rPr>
        <w:t xml:space="preserve">iš viso </w:t>
      </w:r>
      <w:r w:rsidR="00747836">
        <w:rPr>
          <w:rFonts w:eastAsia="Times New Roman" w:cs="Times New Roman"/>
          <w:sz w:val="24"/>
          <w:szCs w:val="24"/>
          <w:lang w:val="lt-LT" w:eastAsia="lt-LT"/>
        </w:rPr>
        <w:t>gaut</w:t>
      </w:r>
      <w:r w:rsidR="00C57990">
        <w:rPr>
          <w:rFonts w:eastAsia="Times New Roman" w:cs="Times New Roman"/>
          <w:sz w:val="24"/>
          <w:szCs w:val="24"/>
          <w:lang w:val="lt-LT" w:eastAsia="lt-LT"/>
        </w:rPr>
        <w:t>i</w:t>
      </w:r>
      <w:r w:rsidR="00747836">
        <w:rPr>
          <w:rFonts w:eastAsia="Times New Roman" w:cs="Times New Roman"/>
          <w:sz w:val="24"/>
          <w:szCs w:val="24"/>
          <w:lang w:val="lt-LT" w:eastAsia="lt-LT"/>
        </w:rPr>
        <w:t xml:space="preserve"> 8</w:t>
      </w:r>
      <w:r w:rsidR="00882903">
        <w:rPr>
          <w:rFonts w:eastAsia="Times New Roman" w:cs="Times New Roman"/>
          <w:sz w:val="24"/>
          <w:szCs w:val="24"/>
          <w:lang w:val="lt-LT" w:eastAsia="lt-LT"/>
        </w:rPr>
        <w:t xml:space="preserve"> </w:t>
      </w:r>
      <w:r w:rsidR="00747836">
        <w:rPr>
          <w:rFonts w:eastAsia="Times New Roman" w:cs="Times New Roman"/>
          <w:sz w:val="24"/>
          <w:szCs w:val="24"/>
          <w:lang w:val="lt-LT" w:eastAsia="lt-LT"/>
        </w:rPr>
        <w:t>094 ĮNR pranešim</w:t>
      </w:r>
      <w:r w:rsidR="0014791C">
        <w:rPr>
          <w:rFonts w:eastAsia="Times New Roman" w:cs="Times New Roman"/>
          <w:sz w:val="24"/>
          <w:szCs w:val="24"/>
          <w:lang w:val="lt-LT" w:eastAsia="lt-LT"/>
        </w:rPr>
        <w:t>ai</w:t>
      </w:r>
      <w:r w:rsidR="009F7B12">
        <w:rPr>
          <w:rFonts w:eastAsia="Times New Roman" w:cs="Times New Roman"/>
          <w:sz w:val="24"/>
          <w:szCs w:val="24"/>
          <w:lang w:val="lt-LT" w:eastAsia="lt-LT"/>
        </w:rPr>
        <w:t>.</w:t>
      </w:r>
      <w:r w:rsidR="00747836">
        <w:rPr>
          <w:rFonts w:eastAsia="Times New Roman" w:cs="Times New Roman"/>
          <w:sz w:val="24"/>
          <w:szCs w:val="24"/>
          <w:lang w:val="lt-LT" w:eastAsia="lt-LT"/>
        </w:rPr>
        <w:t xml:space="preserve"> </w:t>
      </w:r>
    </w:p>
    <w:p w14:paraId="6328F453" w14:textId="77777777" w:rsidR="00CF5F8C" w:rsidRDefault="00CF5F8C" w:rsidP="008A3A6E">
      <w:pPr>
        <w:spacing w:after="0"/>
        <w:ind w:firstLine="708"/>
        <w:jc w:val="both"/>
        <w:rPr>
          <w:rFonts w:eastAsia="Times New Roman" w:cs="Times New Roman"/>
          <w:sz w:val="24"/>
          <w:szCs w:val="24"/>
          <w:lang w:val="lt-LT" w:eastAsia="lt-LT"/>
        </w:rPr>
      </w:pPr>
    </w:p>
    <w:p w14:paraId="0EFB417D" w14:textId="77777777" w:rsidR="00DB689B" w:rsidRDefault="00DB689B" w:rsidP="008A3A6E">
      <w:pPr>
        <w:spacing w:after="0"/>
        <w:ind w:firstLine="708"/>
        <w:jc w:val="both"/>
        <w:rPr>
          <w:rFonts w:eastAsia="Times New Roman" w:cs="Times New Roman"/>
          <w:sz w:val="24"/>
          <w:szCs w:val="24"/>
          <w:lang w:val="lt-LT" w:eastAsia="lt-LT"/>
        </w:rPr>
      </w:pPr>
    </w:p>
    <w:p w14:paraId="3AC86203" w14:textId="77777777" w:rsidR="00DB689B" w:rsidRDefault="00DB689B" w:rsidP="008A3A6E">
      <w:pPr>
        <w:spacing w:after="0"/>
        <w:ind w:firstLine="708"/>
        <w:jc w:val="both"/>
        <w:rPr>
          <w:rFonts w:eastAsia="Times New Roman" w:cs="Times New Roman"/>
          <w:sz w:val="24"/>
          <w:szCs w:val="24"/>
          <w:lang w:val="lt-LT" w:eastAsia="lt-LT"/>
        </w:rPr>
      </w:pPr>
    </w:p>
    <w:p w14:paraId="111A59A4" w14:textId="77777777" w:rsidR="00CF5F8C" w:rsidRPr="002673F4" w:rsidRDefault="00CF5F8C" w:rsidP="008A3A6E">
      <w:pPr>
        <w:spacing w:after="0"/>
        <w:ind w:firstLine="708"/>
        <w:jc w:val="both"/>
        <w:rPr>
          <w:rFonts w:eastAsia="Times New Roman" w:cs="Times New Roman"/>
          <w:color w:val="000000"/>
          <w:sz w:val="24"/>
          <w:szCs w:val="24"/>
          <w:lang w:val="lt-LT" w:eastAsia="lt-LT"/>
        </w:rPr>
      </w:pPr>
    </w:p>
    <w:p w14:paraId="0DC34590" w14:textId="4B5686EF" w:rsidR="0081744F" w:rsidRDefault="00257018" w:rsidP="001B6B6E">
      <w:pPr>
        <w:spacing w:after="0"/>
        <w:ind w:firstLine="708"/>
        <w:jc w:val="both"/>
        <w:rPr>
          <w:rFonts w:eastAsia="Times New Roman" w:cs="Times New Roman"/>
          <w:color w:val="000000"/>
          <w:sz w:val="24"/>
          <w:szCs w:val="24"/>
          <w:lang w:val="lt-LT" w:eastAsia="lt-LT"/>
        </w:rPr>
      </w:pPr>
      <w:r w:rsidRPr="002673F4">
        <w:rPr>
          <w:rFonts w:eastAsia="Times New Roman" w:cs="Times New Roman"/>
          <w:color w:val="000000"/>
          <w:sz w:val="24"/>
          <w:szCs w:val="24"/>
          <w:lang w:val="lt-LT" w:eastAsia="lt-LT"/>
        </w:rPr>
        <w:lastRenderedPageBreak/>
        <w:t xml:space="preserve">Nuo </w:t>
      </w:r>
      <w:r w:rsidR="00D13D1D">
        <w:rPr>
          <w:rFonts w:eastAsia="Times New Roman" w:cs="Times New Roman"/>
          <w:color w:val="000000"/>
          <w:sz w:val="24"/>
          <w:szCs w:val="24"/>
          <w:lang w:val="lt-LT" w:eastAsia="lt-LT"/>
        </w:rPr>
        <w:t xml:space="preserve">vakcinacijos </w:t>
      </w:r>
      <w:r w:rsidRPr="002673F4">
        <w:rPr>
          <w:rFonts w:eastAsia="Times New Roman" w:cs="Times New Roman"/>
          <w:color w:val="000000"/>
          <w:sz w:val="24"/>
          <w:szCs w:val="24"/>
          <w:lang w:val="lt-LT" w:eastAsia="lt-LT"/>
        </w:rPr>
        <w:t xml:space="preserve"> pradž</w:t>
      </w:r>
      <w:r w:rsidR="00D13D1D">
        <w:rPr>
          <w:rFonts w:eastAsia="Times New Roman" w:cs="Times New Roman"/>
          <w:color w:val="000000"/>
          <w:sz w:val="24"/>
          <w:szCs w:val="24"/>
          <w:lang w:val="lt-LT" w:eastAsia="lt-LT"/>
        </w:rPr>
        <w:t>ios</w:t>
      </w:r>
      <w:r w:rsidRPr="002673F4">
        <w:rPr>
          <w:rFonts w:eastAsia="Times New Roman" w:cs="Times New Roman"/>
          <w:color w:val="000000"/>
          <w:sz w:val="24"/>
          <w:szCs w:val="24"/>
          <w:lang w:val="lt-LT" w:eastAsia="lt-LT"/>
        </w:rPr>
        <w:t xml:space="preserve"> d</w:t>
      </w:r>
      <w:r w:rsidR="00C25F80" w:rsidRPr="002673F4">
        <w:rPr>
          <w:rFonts w:eastAsia="Times New Roman" w:cs="Times New Roman"/>
          <w:color w:val="000000"/>
          <w:sz w:val="24"/>
          <w:szCs w:val="24"/>
          <w:lang w:val="lt-LT" w:eastAsia="lt-LT"/>
        </w:rPr>
        <w:t xml:space="preserve">augiausiai </w:t>
      </w:r>
      <w:r w:rsidR="00995EA2" w:rsidRPr="002673F4">
        <w:rPr>
          <w:rFonts w:eastAsia="Times New Roman" w:cs="Times New Roman"/>
          <w:color w:val="000000"/>
          <w:sz w:val="24"/>
          <w:szCs w:val="24"/>
          <w:lang w:val="lt-LT" w:eastAsia="lt-LT"/>
        </w:rPr>
        <w:t xml:space="preserve">žmonių buvo </w:t>
      </w:r>
      <w:r w:rsidR="00C25F80" w:rsidRPr="002673F4">
        <w:rPr>
          <w:rFonts w:eastAsia="Times New Roman" w:cs="Times New Roman"/>
          <w:color w:val="000000"/>
          <w:sz w:val="24"/>
          <w:szCs w:val="24"/>
          <w:lang w:val="lt-LT" w:eastAsia="lt-LT"/>
        </w:rPr>
        <w:t>paskiepyt</w:t>
      </w:r>
      <w:r w:rsidR="00995EA2" w:rsidRPr="002673F4">
        <w:rPr>
          <w:rFonts w:eastAsia="Times New Roman" w:cs="Times New Roman"/>
          <w:color w:val="000000"/>
          <w:sz w:val="24"/>
          <w:szCs w:val="24"/>
          <w:lang w:val="lt-LT" w:eastAsia="lt-LT"/>
        </w:rPr>
        <w:t>i</w:t>
      </w:r>
      <w:r w:rsidR="00C25F80" w:rsidRPr="002673F4">
        <w:rPr>
          <w:rFonts w:eastAsia="Times New Roman" w:cs="Times New Roman"/>
          <w:color w:val="000000"/>
          <w:sz w:val="24"/>
          <w:szCs w:val="24"/>
          <w:lang w:val="lt-LT" w:eastAsia="lt-LT"/>
        </w:rPr>
        <w:t xml:space="preserve"> Comirnaty vakcin</w:t>
      </w:r>
      <w:r w:rsidR="00995EA2" w:rsidRPr="002673F4">
        <w:rPr>
          <w:rFonts w:eastAsia="Times New Roman" w:cs="Times New Roman"/>
          <w:color w:val="000000"/>
          <w:sz w:val="24"/>
          <w:szCs w:val="24"/>
          <w:lang w:val="lt-LT" w:eastAsia="lt-LT"/>
        </w:rPr>
        <w:t>a</w:t>
      </w:r>
      <w:r w:rsidR="00AF2BFB" w:rsidRPr="002673F4">
        <w:rPr>
          <w:rFonts w:eastAsia="Times New Roman" w:cs="Times New Roman"/>
          <w:color w:val="000000"/>
          <w:sz w:val="24"/>
          <w:szCs w:val="24"/>
          <w:lang w:val="lt-LT" w:eastAsia="lt-LT"/>
        </w:rPr>
        <w:t xml:space="preserve">, antroje vietoje </w:t>
      </w:r>
      <w:r w:rsidR="00D13D1D">
        <w:rPr>
          <w:rFonts w:eastAsia="Times New Roman" w:cs="Times New Roman"/>
          <w:color w:val="000000"/>
          <w:sz w:val="24"/>
          <w:szCs w:val="24"/>
          <w:lang w:val="lt-LT" w:eastAsia="lt-LT"/>
        </w:rPr>
        <w:t xml:space="preserve">- </w:t>
      </w:r>
      <w:r w:rsidR="00AF2BFB" w:rsidRPr="002673F4">
        <w:rPr>
          <w:rFonts w:eastAsia="Times New Roman" w:cs="Times New Roman"/>
          <w:color w:val="000000"/>
          <w:sz w:val="24"/>
          <w:szCs w:val="24"/>
          <w:lang w:val="lt-LT" w:eastAsia="lt-LT"/>
        </w:rPr>
        <w:t>Vaxzevria</w:t>
      </w:r>
      <w:r w:rsidR="00995EA2" w:rsidRPr="002673F4">
        <w:rPr>
          <w:rFonts w:eastAsia="Times New Roman" w:cs="Times New Roman"/>
          <w:color w:val="000000"/>
          <w:sz w:val="24"/>
          <w:szCs w:val="24"/>
          <w:lang w:val="lt-LT" w:eastAsia="lt-LT"/>
        </w:rPr>
        <w:t xml:space="preserve"> vakcina</w:t>
      </w:r>
      <w:r w:rsidR="00BC3AA4" w:rsidRPr="002673F4">
        <w:rPr>
          <w:rFonts w:eastAsia="Times New Roman" w:cs="Times New Roman"/>
          <w:color w:val="000000"/>
          <w:sz w:val="24"/>
          <w:szCs w:val="24"/>
          <w:lang w:val="lt-LT" w:eastAsia="lt-LT"/>
        </w:rPr>
        <w:t>, todėl ir gautų ĮNR pr</w:t>
      </w:r>
      <w:r w:rsidR="004673BD" w:rsidRPr="002673F4">
        <w:rPr>
          <w:rFonts w:eastAsia="Times New Roman" w:cs="Times New Roman"/>
          <w:color w:val="000000"/>
          <w:sz w:val="24"/>
          <w:szCs w:val="24"/>
          <w:lang w:val="lt-LT" w:eastAsia="lt-LT"/>
        </w:rPr>
        <w:t>anešimų į šias vakcinas kasmet buvo gauta daugiausiai</w:t>
      </w:r>
      <w:r w:rsidR="00E61A06">
        <w:rPr>
          <w:rFonts w:eastAsia="Times New Roman" w:cs="Times New Roman"/>
          <w:color w:val="000000"/>
          <w:sz w:val="24"/>
          <w:szCs w:val="24"/>
          <w:lang w:val="lt-LT" w:eastAsia="lt-LT"/>
        </w:rPr>
        <w:t>.</w:t>
      </w:r>
      <w:r w:rsidR="00252235" w:rsidRPr="002673F4">
        <w:rPr>
          <w:rFonts w:eastAsia="Times New Roman" w:cs="Times New Roman"/>
          <w:color w:val="000000"/>
          <w:sz w:val="24"/>
          <w:szCs w:val="24"/>
          <w:lang w:val="lt-LT" w:eastAsia="lt-LT"/>
        </w:rPr>
        <w:t xml:space="preserve"> Skiepijimo apimtys </w:t>
      </w:r>
      <w:r w:rsidR="00D03E88" w:rsidRPr="002673F4">
        <w:rPr>
          <w:rFonts w:eastAsia="Times New Roman" w:cs="Times New Roman"/>
          <w:color w:val="000000"/>
          <w:sz w:val="24"/>
          <w:szCs w:val="24"/>
          <w:lang w:val="lt-LT" w:eastAsia="lt-LT"/>
        </w:rPr>
        <w:t xml:space="preserve">nuo 2023 m. </w:t>
      </w:r>
      <w:r w:rsidR="00252235" w:rsidRPr="002673F4">
        <w:rPr>
          <w:rFonts w:eastAsia="Times New Roman" w:cs="Times New Roman"/>
          <w:color w:val="000000"/>
          <w:sz w:val="24"/>
          <w:szCs w:val="24"/>
          <w:lang w:val="lt-LT" w:eastAsia="lt-LT"/>
        </w:rPr>
        <w:t>ženkliai sumažėjo, todėl g</w:t>
      </w:r>
      <w:r w:rsidR="00077C68" w:rsidRPr="002673F4">
        <w:rPr>
          <w:rFonts w:eastAsia="Times New Roman" w:cs="Times New Roman"/>
          <w:color w:val="000000"/>
          <w:sz w:val="24"/>
          <w:szCs w:val="24"/>
          <w:lang w:val="lt-LT" w:eastAsia="lt-LT"/>
        </w:rPr>
        <w:t>aunamų ĮNR pranešimų į Covid-19 vakcinas kasmet</w:t>
      </w:r>
      <w:r w:rsidR="005F58B0" w:rsidRPr="002673F4">
        <w:rPr>
          <w:rFonts w:eastAsia="Times New Roman" w:cs="Times New Roman"/>
          <w:color w:val="000000"/>
          <w:sz w:val="24"/>
          <w:szCs w:val="24"/>
          <w:lang w:val="lt-LT" w:eastAsia="lt-LT"/>
        </w:rPr>
        <w:t xml:space="preserve"> taip pat</w:t>
      </w:r>
      <w:r w:rsidR="00077C68" w:rsidRPr="002673F4">
        <w:rPr>
          <w:rFonts w:eastAsia="Times New Roman" w:cs="Times New Roman"/>
          <w:color w:val="000000"/>
          <w:sz w:val="24"/>
          <w:szCs w:val="24"/>
          <w:lang w:val="lt-LT" w:eastAsia="lt-LT"/>
        </w:rPr>
        <w:t xml:space="preserve"> </w:t>
      </w:r>
      <w:r w:rsidR="0081744F" w:rsidRPr="002673F4">
        <w:rPr>
          <w:rFonts w:eastAsia="Times New Roman" w:cs="Times New Roman"/>
          <w:color w:val="000000"/>
          <w:sz w:val="24"/>
          <w:szCs w:val="24"/>
          <w:lang w:val="lt-LT" w:eastAsia="lt-LT"/>
        </w:rPr>
        <w:t>mažėja.</w:t>
      </w:r>
      <w:r w:rsidR="00B158E3" w:rsidRPr="002673F4">
        <w:rPr>
          <w:rFonts w:eastAsia="Times New Roman" w:cs="Times New Roman"/>
          <w:color w:val="000000"/>
          <w:sz w:val="24"/>
          <w:szCs w:val="24"/>
          <w:lang w:val="lt-LT" w:eastAsia="lt-LT"/>
        </w:rPr>
        <w:t xml:space="preserve"> </w:t>
      </w:r>
      <w:r w:rsidR="00D45B68" w:rsidRPr="002673F4">
        <w:rPr>
          <w:rFonts w:eastAsia="Times New Roman" w:cs="Times New Roman"/>
          <w:color w:val="000000"/>
          <w:sz w:val="24"/>
          <w:szCs w:val="24"/>
          <w:lang w:val="lt-LT" w:eastAsia="lt-LT"/>
        </w:rPr>
        <w:t>Kiek ĮNR pranešimų konkrečiai vakcinai buvo gauta atitinkamais metais nurodyta 1 paveikslėlyje.</w:t>
      </w:r>
    </w:p>
    <w:p w14:paraId="648424FD" w14:textId="77777777" w:rsidR="005940D4" w:rsidRPr="002673F4" w:rsidRDefault="005940D4" w:rsidP="001B6B6E">
      <w:pPr>
        <w:spacing w:after="0"/>
        <w:ind w:firstLine="708"/>
        <w:jc w:val="both"/>
        <w:rPr>
          <w:rFonts w:eastAsia="Times New Roman" w:cs="Times New Roman"/>
          <w:color w:val="000000"/>
          <w:sz w:val="24"/>
          <w:szCs w:val="24"/>
          <w:lang w:val="lt-LT" w:eastAsia="lt-LT"/>
        </w:rPr>
      </w:pPr>
    </w:p>
    <w:p w14:paraId="71D574EC" w14:textId="02F2263D" w:rsidR="00361430" w:rsidRPr="002308D3" w:rsidRDefault="00790D57" w:rsidP="002308D3">
      <w:pPr>
        <w:spacing w:after="0"/>
        <w:jc w:val="both"/>
        <w:rPr>
          <w:rFonts w:eastAsia="Times New Roman" w:cs="Times New Roman"/>
          <w:color w:val="000000"/>
          <w:sz w:val="24"/>
          <w:szCs w:val="24"/>
          <w:lang w:val="lt-LT" w:eastAsia="lt-LT"/>
        </w:rPr>
      </w:pPr>
      <w:r w:rsidRPr="002673F4">
        <w:rPr>
          <w:rFonts w:cs="Times New Roman"/>
          <w:noProof/>
          <w:sz w:val="24"/>
          <w:szCs w:val="24"/>
          <w14:ligatures w14:val="standardContextual"/>
        </w:rPr>
        <w:drawing>
          <wp:inline distT="0" distB="0" distL="0" distR="0" wp14:anchorId="36A4F0E2" wp14:editId="32E32AD0">
            <wp:extent cx="6097905" cy="3157087"/>
            <wp:effectExtent l="0" t="0" r="17145" b="5715"/>
            <wp:docPr id="1369340148" name="Diagrama 1">
              <a:extLst xmlns:a="http://schemas.openxmlformats.org/drawingml/2006/main">
                <a:ext uri="{FF2B5EF4-FFF2-40B4-BE49-F238E27FC236}">
                  <a16:creationId xmlns:a16="http://schemas.microsoft.com/office/drawing/2014/main" id="{5D24F69B-3377-C1F9-B77E-D1F3B2BC64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00CD90" w14:textId="06F1BFD1" w:rsidR="008731E0" w:rsidRDefault="00A308CF" w:rsidP="0015671E">
      <w:pPr>
        <w:pStyle w:val="Betarp"/>
        <w:jc w:val="both"/>
        <w:rPr>
          <w:rFonts w:cs="Times New Roman"/>
          <w:i/>
          <w:iCs/>
          <w:sz w:val="24"/>
          <w:szCs w:val="24"/>
          <w:lang w:val="lt-LT"/>
        </w:rPr>
      </w:pPr>
      <w:r w:rsidRPr="002673F4">
        <w:rPr>
          <w:rFonts w:cs="Times New Roman"/>
          <w:i/>
          <w:iCs/>
          <w:sz w:val="24"/>
          <w:szCs w:val="24"/>
          <w:lang w:val="lt-LT"/>
        </w:rPr>
        <w:t>(1</w:t>
      </w:r>
      <w:r w:rsidR="00352CD4" w:rsidRPr="002673F4">
        <w:rPr>
          <w:rFonts w:cs="Times New Roman"/>
          <w:i/>
          <w:iCs/>
          <w:sz w:val="24"/>
          <w:szCs w:val="24"/>
          <w:lang w:val="lt-LT"/>
        </w:rPr>
        <w:t xml:space="preserve"> </w:t>
      </w:r>
      <w:r w:rsidR="001721BB" w:rsidRPr="002673F4">
        <w:rPr>
          <w:rFonts w:cs="Times New Roman"/>
          <w:i/>
          <w:iCs/>
          <w:sz w:val="24"/>
          <w:szCs w:val="24"/>
          <w:lang w:val="lt-LT"/>
        </w:rPr>
        <w:t>pav.)</w:t>
      </w:r>
    </w:p>
    <w:p w14:paraId="6094DECB" w14:textId="77777777" w:rsidR="000F5AE4" w:rsidRPr="0015671E" w:rsidRDefault="000F5AE4" w:rsidP="0015671E">
      <w:pPr>
        <w:pStyle w:val="Betarp"/>
        <w:jc w:val="both"/>
        <w:rPr>
          <w:rFonts w:cs="Times New Roman"/>
          <w:i/>
          <w:iCs/>
          <w:sz w:val="24"/>
          <w:szCs w:val="24"/>
          <w:lang w:val="lt-LT"/>
        </w:rPr>
      </w:pPr>
    </w:p>
    <w:p w14:paraId="5F63C382" w14:textId="1515DD17" w:rsidR="008731E0" w:rsidRDefault="003E1F5C" w:rsidP="00DA77FB">
      <w:pPr>
        <w:spacing w:after="0"/>
        <w:jc w:val="center"/>
        <w:rPr>
          <w:rFonts w:eastAsia="Times New Roman" w:cs="Times New Roman"/>
          <w:b/>
          <w:bCs/>
          <w:color w:val="000000"/>
          <w:sz w:val="24"/>
          <w:szCs w:val="24"/>
          <w:lang w:val="lt-LT" w:eastAsia="lt-LT"/>
        </w:rPr>
      </w:pPr>
      <w:r w:rsidRPr="002673F4">
        <w:rPr>
          <w:rFonts w:eastAsia="Times New Roman" w:cs="Times New Roman"/>
          <w:b/>
          <w:bCs/>
          <w:color w:val="000000"/>
          <w:sz w:val="24"/>
          <w:szCs w:val="24"/>
          <w:lang w:val="lt-LT" w:eastAsia="lt-LT"/>
        </w:rPr>
        <w:t xml:space="preserve">ĮNR pranešimų šaltiniai </w:t>
      </w:r>
    </w:p>
    <w:p w14:paraId="4CDB9D34" w14:textId="77777777" w:rsidR="001B6B6E" w:rsidRPr="002673F4" w:rsidRDefault="001B6B6E" w:rsidP="00DA77FB">
      <w:pPr>
        <w:spacing w:after="0"/>
        <w:jc w:val="center"/>
        <w:rPr>
          <w:rFonts w:eastAsia="Times New Roman" w:cs="Times New Roman"/>
          <w:b/>
          <w:bCs/>
          <w:color w:val="000000"/>
          <w:sz w:val="24"/>
          <w:szCs w:val="24"/>
          <w:lang w:val="lt-LT" w:eastAsia="lt-LT"/>
        </w:rPr>
      </w:pPr>
    </w:p>
    <w:p w14:paraId="21A8017A" w14:textId="2C56509E" w:rsidR="001B6B6E" w:rsidRDefault="00E61A06" w:rsidP="007E3319">
      <w:pPr>
        <w:spacing w:after="0"/>
        <w:ind w:firstLine="708"/>
        <w:jc w:val="both"/>
        <w:rPr>
          <w:rFonts w:eastAsia="Times New Roman" w:cs="Times New Roman"/>
          <w:color w:val="000000"/>
          <w:sz w:val="24"/>
          <w:szCs w:val="24"/>
          <w:lang w:val="lt-LT" w:eastAsia="lt-LT"/>
        </w:rPr>
      </w:pPr>
      <w:r>
        <w:rPr>
          <w:rFonts w:eastAsia="Times New Roman" w:cs="Times New Roman"/>
          <w:color w:val="000000"/>
          <w:sz w:val="24"/>
          <w:szCs w:val="24"/>
          <w:lang w:val="lt-LT" w:eastAsia="lt-LT"/>
        </w:rPr>
        <w:t>VVKT</w:t>
      </w:r>
      <w:r w:rsidR="00AF020F" w:rsidRPr="002673F4">
        <w:rPr>
          <w:rFonts w:eastAsia="Times New Roman" w:cs="Times New Roman"/>
          <w:color w:val="000000"/>
          <w:sz w:val="24"/>
          <w:szCs w:val="24"/>
          <w:lang w:val="lt-LT" w:eastAsia="lt-LT"/>
        </w:rPr>
        <w:t xml:space="preserve"> pranešimus apie ĮNR gauna iš pacientų, sveikatos priežiūros specialistų (gydytojų, vaistininkų ir kt.) ir </w:t>
      </w:r>
      <w:r w:rsidR="00A45CCD" w:rsidRPr="002673F4">
        <w:rPr>
          <w:rFonts w:eastAsia="Times New Roman" w:cs="Times New Roman"/>
          <w:color w:val="000000"/>
          <w:sz w:val="24"/>
          <w:szCs w:val="24"/>
          <w:lang w:val="lt-LT" w:eastAsia="lt-LT"/>
        </w:rPr>
        <w:t xml:space="preserve">vaistinių preparatų registruotojų. Nuo </w:t>
      </w:r>
      <w:r w:rsidR="0099064D" w:rsidRPr="002673F4">
        <w:rPr>
          <w:rFonts w:eastAsia="Times New Roman" w:cs="Times New Roman"/>
          <w:color w:val="000000"/>
          <w:sz w:val="24"/>
          <w:szCs w:val="24"/>
          <w:lang w:val="lt-LT" w:eastAsia="lt-LT"/>
        </w:rPr>
        <w:t>vakcinacijos pradžios</w:t>
      </w:r>
      <w:r w:rsidR="00C3145B" w:rsidRPr="002673F4">
        <w:rPr>
          <w:rFonts w:eastAsia="Times New Roman" w:cs="Times New Roman"/>
          <w:color w:val="000000"/>
          <w:sz w:val="24"/>
          <w:szCs w:val="24"/>
          <w:lang w:val="lt-LT" w:eastAsia="lt-LT"/>
        </w:rPr>
        <w:t xml:space="preserve"> iki 2025 m. pabaigos</w:t>
      </w:r>
      <w:r w:rsidR="0099064D" w:rsidRPr="002673F4">
        <w:rPr>
          <w:rFonts w:eastAsia="Times New Roman" w:cs="Times New Roman"/>
          <w:color w:val="000000"/>
          <w:sz w:val="24"/>
          <w:szCs w:val="24"/>
          <w:lang w:val="lt-LT" w:eastAsia="lt-LT"/>
        </w:rPr>
        <w:t xml:space="preserve"> </w:t>
      </w:r>
      <w:r w:rsidR="00D42A7A" w:rsidRPr="002673F4">
        <w:rPr>
          <w:rFonts w:eastAsia="Times New Roman" w:cs="Times New Roman"/>
          <w:color w:val="000000"/>
          <w:sz w:val="24"/>
          <w:szCs w:val="24"/>
          <w:lang w:val="lt-LT" w:eastAsia="lt-LT"/>
        </w:rPr>
        <w:t xml:space="preserve">daugiausiai </w:t>
      </w:r>
      <w:r w:rsidR="0099064D" w:rsidRPr="002673F4">
        <w:rPr>
          <w:rFonts w:eastAsia="Times New Roman" w:cs="Times New Roman"/>
          <w:color w:val="000000"/>
          <w:sz w:val="24"/>
          <w:szCs w:val="24"/>
          <w:lang w:val="lt-LT" w:eastAsia="lt-LT"/>
        </w:rPr>
        <w:t xml:space="preserve">ĮNR </w:t>
      </w:r>
      <w:r w:rsidR="00D42A7A" w:rsidRPr="002673F4">
        <w:rPr>
          <w:rFonts w:eastAsia="Times New Roman" w:cs="Times New Roman"/>
          <w:color w:val="000000"/>
          <w:sz w:val="24"/>
          <w:szCs w:val="24"/>
          <w:lang w:val="lt-LT" w:eastAsia="lt-LT"/>
        </w:rPr>
        <w:t xml:space="preserve">pranešimų </w:t>
      </w:r>
      <w:r w:rsidR="007B06EE" w:rsidRPr="002673F4">
        <w:rPr>
          <w:rFonts w:eastAsia="Times New Roman" w:cs="Times New Roman"/>
          <w:color w:val="000000"/>
          <w:sz w:val="24"/>
          <w:szCs w:val="24"/>
          <w:lang w:val="lt-LT" w:eastAsia="lt-LT"/>
        </w:rPr>
        <w:t xml:space="preserve">kasmet </w:t>
      </w:r>
      <w:r w:rsidR="00D42A7A" w:rsidRPr="002673F4">
        <w:rPr>
          <w:rFonts w:eastAsia="Times New Roman" w:cs="Times New Roman"/>
          <w:color w:val="000000"/>
          <w:sz w:val="24"/>
          <w:szCs w:val="24"/>
          <w:lang w:val="lt-LT" w:eastAsia="lt-LT"/>
        </w:rPr>
        <w:t>pateikė pacientai</w:t>
      </w:r>
      <w:r w:rsidR="007B06EE" w:rsidRPr="002673F4">
        <w:rPr>
          <w:rFonts w:eastAsia="Times New Roman" w:cs="Times New Roman"/>
          <w:color w:val="000000"/>
          <w:sz w:val="24"/>
          <w:szCs w:val="24"/>
          <w:lang w:val="lt-LT" w:eastAsia="lt-LT"/>
        </w:rPr>
        <w:t xml:space="preserve"> (2020 - 2025 m.</w:t>
      </w:r>
      <w:r w:rsidR="00D13D1D">
        <w:rPr>
          <w:rFonts w:eastAsia="Times New Roman" w:cs="Times New Roman"/>
          <w:color w:val="000000"/>
          <w:sz w:val="24"/>
          <w:szCs w:val="24"/>
          <w:lang w:val="lt-LT" w:eastAsia="lt-LT"/>
        </w:rPr>
        <w:t xml:space="preserve"> </w:t>
      </w:r>
      <w:r w:rsidR="00B33FEC">
        <w:rPr>
          <w:rFonts w:eastAsia="Times New Roman" w:cs="Times New Roman"/>
          <w:color w:val="000000"/>
          <w:sz w:val="24"/>
          <w:szCs w:val="24"/>
          <w:lang w:val="lt-LT" w:eastAsia="lt-LT"/>
        </w:rPr>
        <w:t>–</w:t>
      </w:r>
      <w:r w:rsidR="00A204CF" w:rsidRPr="002673F4">
        <w:rPr>
          <w:rFonts w:eastAsia="Times New Roman" w:cs="Times New Roman"/>
          <w:color w:val="000000"/>
          <w:sz w:val="24"/>
          <w:szCs w:val="24"/>
          <w:lang w:val="lt-LT" w:eastAsia="lt-LT"/>
        </w:rPr>
        <w:t xml:space="preserve"> 6</w:t>
      </w:r>
      <w:r w:rsidR="00B33FEC">
        <w:rPr>
          <w:rFonts w:eastAsia="Times New Roman" w:cs="Times New Roman"/>
          <w:color w:val="000000"/>
          <w:sz w:val="24"/>
          <w:szCs w:val="24"/>
          <w:lang w:val="lt-LT" w:eastAsia="lt-LT"/>
        </w:rPr>
        <w:t xml:space="preserve"> </w:t>
      </w:r>
      <w:r w:rsidR="00A204CF" w:rsidRPr="002673F4">
        <w:rPr>
          <w:rFonts w:eastAsia="Times New Roman" w:cs="Times New Roman"/>
          <w:color w:val="000000"/>
          <w:sz w:val="24"/>
          <w:szCs w:val="24"/>
          <w:lang w:val="lt-LT" w:eastAsia="lt-LT"/>
        </w:rPr>
        <w:t>268 pranešimai</w:t>
      </w:r>
      <w:r w:rsidR="007B06EE" w:rsidRPr="002673F4">
        <w:rPr>
          <w:rFonts w:eastAsia="Times New Roman" w:cs="Times New Roman"/>
          <w:color w:val="000000"/>
          <w:sz w:val="24"/>
          <w:szCs w:val="24"/>
          <w:lang w:val="lt-LT" w:eastAsia="lt-LT"/>
        </w:rPr>
        <w:t>)</w:t>
      </w:r>
      <w:r w:rsidR="00B56016" w:rsidRPr="002673F4">
        <w:rPr>
          <w:rFonts w:eastAsia="Times New Roman" w:cs="Times New Roman"/>
          <w:color w:val="000000"/>
          <w:sz w:val="24"/>
          <w:szCs w:val="24"/>
          <w:lang w:val="lt-LT" w:eastAsia="lt-LT"/>
        </w:rPr>
        <w:t xml:space="preserve">, antroje vietoje </w:t>
      </w:r>
      <w:r w:rsidR="00D13D1D">
        <w:rPr>
          <w:rFonts w:eastAsia="Times New Roman" w:cs="Times New Roman"/>
          <w:color w:val="000000"/>
          <w:sz w:val="24"/>
          <w:szCs w:val="24"/>
          <w:lang w:val="lt-LT" w:eastAsia="lt-LT"/>
        </w:rPr>
        <w:t xml:space="preserve">- </w:t>
      </w:r>
      <w:r w:rsidR="00B56016" w:rsidRPr="002673F4">
        <w:rPr>
          <w:rFonts w:eastAsia="Times New Roman" w:cs="Times New Roman"/>
          <w:color w:val="000000"/>
          <w:sz w:val="24"/>
          <w:szCs w:val="24"/>
          <w:lang w:val="lt-LT" w:eastAsia="lt-LT"/>
        </w:rPr>
        <w:t>sveikatos priežiūros specialistai (</w:t>
      </w:r>
      <w:r w:rsidR="00D655BC" w:rsidRPr="002673F4">
        <w:rPr>
          <w:rFonts w:eastAsia="Times New Roman" w:cs="Times New Roman"/>
          <w:color w:val="000000"/>
          <w:sz w:val="24"/>
          <w:szCs w:val="24"/>
          <w:lang w:val="lt-LT" w:eastAsia="lt-LT"/>
        </w:rPr>
        <w:t>2020 -</w:t>
      </w:r>
      <w:r w:rsidR="00D13D1D">
        <w:rPr>
          <w:rFonts w:eastAsia="Times New Roman" w:cs="Times New Roman"/>
          <w:color w:val="000000"/>
          <w:sz w:val="24"/>
          <w:szCs w:val="24"/>
          <w:lang w:val="lt-LT" w:eastAsia="lt-LT"/>
        </w:rPr>
        <w:t xml:space="preserve"> </w:t>
      </w:r>
      <w:r w:rsidR="00D655BC" w:rsidRPr="002673F4">
        <w:rPr>
          <w:rFonts w:eastAsia="Times New Roman" w:cs="Times New Roman"/>
          <w:color w:val="000000"/>
          <w:sz w:val="24"/>
          <w:szCs w:val="24"/>
          <w:lang w:val="lt-LT" w:eastAsia="lt-LT"/>
        </w:rPr>
        <w:t xml:space="preserve"> 2025 m.</w:t>
      </w:r>
      <w:r>
        <w:rPr>
          <w:rFonts w:eastAsia="Times New Roman" w:cs="Times New Roman"/>
          <w:color w:val="000000"/>
          <w:sz w:val="24"/>
          <w:szCs w:val="24"/>
          <w:lang w:val="lt-LT" w:eastAsia="lt-LT"/>
        </w:rPr>
        <w:t xml:space="preserve"> </w:t>
      </w:r>
      <w:r w:rsidR="00D655BC" w:rsidRPr="002673F4">
        <w:rPr>
          <w:rFonts w:eastAsia="Times New Roman" w:cs="Times New Roman"/>
          <w:color w:val="000000"/>
          <w:sz w:val="24"/>
          <w:szCs w:val="24"/>
          <w:lang w:val="lt-LT" w:eastAsia="lt-LT"/>
        </w:rPr>
        <w:t>- 1</w:t>
      </w:r>
      <w:r w:rsidR="00B33FEC">
        <w:rPr>
          <w:rFonts w:eastAsia="Times New Roman" w:cs="Times New Roman"/>
          <w:color w:val="000000"/>
          <w:sz w:val="24"/>
          <w:szCs w:val="24"/>
          <w:lang w:val="lt-LT" w:eastAsia="lt-LT"/>
        </w:rPr>
        <w:t xml:space="preserve"> </w:t>
      </w:r>
      <w:r w:rsidR="00D655BC" w:rsidRPr="002673F4">
        <w:rPr>
          <w:rFonts w:eastAsia="Times New Roman" w:cs="Times New Roman"/>
          <w:color w:val="000000"/>
          <w:sz w:val="24"/>
          <w:szCs w:val="24"/>
          <w:lang w:val="lt-LT" w:eastAsia="lt-LT"/>
        </w:rPr>
        <w:t>350 pranešimų), ir trečioje – registruotojai (</w:t>
      </w:r>
      <w:r w:rsidR="003D3689" w:rsidRPr="002673F4">
        <w:rPr>
          <w:rFonts w:eastAsia="Times New Roman" w:cs="Times New Roman"/>
          <w:color w:val="000000"/>
          <w:sz w:val="24"/>
          <w:szCs w:val="24"/>
          <w:lang w:val="lt-LT" w:eastAsia="lt-LT"/>
        </w:rPr>
        <w:t xml:space="preserve">2020 - </w:t>
      </w:r>
      <w:r w:rsidR="00D13D1D">
        <w:rPr>
          <w:rFonts w:eastAsia="Times New Roman" w:cs="Times New Roman"/>
          <w:color w:val="000000"/>
          <w:sz w:val="24"/>
          <w:szCs w:val="24"/>
          <w:lang w:val="lt-LT" w:eastAsia="lt-LT"/>
        </w:rPr>
        <w:t xml:space="preserve"> </w:t>
      </w:r>
      <w:r w:rsidR="003D3689" w:rsidRPr="002673F4">
        <w:rPr>
          <w:rFonts w:eastAsia="Times New Roman" w:cs="Times New Roman"/>
          <w:color w:val="000000"/>
          <w:sz w:val="24"/>
          <w:szCs w:val="24"/>
          <w:lang w:val="lt-LT" w:eastAsia="lt-LT"/>
        </w:rPr>
        <w:t>2025 m.</w:t>
      </w:r>
      <w:r>
        <w:rPr>
          <w:rFonts w:eastAsia="Times New Roman" w:cs="Times New Roman"/>
          <w:color w:val="000000"/>
          <w:sz w:val="24"/>
          <w:szCs w:val="24"/>
          <w:lang w:val="lt-LT" w:eastAsia="lt-LT"/>
        </w:rPr>
        <w:t xml:space="preserve"> </w:t>
      </w:r>
      <w:r w:rsidR="003D3689" w:rsidRPr="002673F4">
        <w:rPr>
          <w:rFonts w:eastAsia="Times New Roman" w:cs="Times New Roman"/>
          <w:color w:val="000000"/>
          <w:sz w:val="24"/>
          <w:szCs w:val="24"/>
          <w:lang w:val="lt-LT" w:eastAsia="lt-LT"/>
        </w:rPr>
        <w:t>- 476 pranešimai</w:t>
      </w:r>
      <w:r w:rsidR="00D655BC" w:rsidRPr="002673F4">
        <w:rPr>
          <w:rFonts w:eastAsia="Times New Roman" w:cs="Times New Roman"/>
          <w:color w:val="000000"/>
          <w:sz w:val="24"/>
          <w:szCs w:val="24"/>
          <w:lang w:val="lt-LT" w:eastAsia="lt-LT"/>
        </w:rPr>
        <w:t>).</w:t>
      </w:r>
      <w:r w:rsidR="00B76C3F" w:rsidRPr="002673F4">
        <w:rPr>
          <w:rFonts w:eastAsia="Times New Roman" w:cs="Times New Roman"/>
          <w:color w:val="000000"/>
          <w:sz w:val="24"/>
          <w:szCs w:val="24"/>
          <w:lang w:val="lt-LT" w:eastAsia="lt-LT"/>
        </w:rPr>
        <w:t xml:space="preserve"> Kiek ĮNR pranešimų</w:t>
      </w:r>
      <w:r w:rsidR="00DF298E" w:rsidRPr="002673F4">
        <w:rPr>
          <w:rFonts w:eastAsia="Times New Roman" w:cs="Times New Roman"/>
          <w:color w:val="000000"/>
          <w:sz w:val="24"/>
          <w:szCs w:val="24"/>
          <w:lang w:val="lt-LT" w:eastAsia="lt-LT"/>
        </w:rPr>
        <w:t xml:space="preserve"> pateikė </w:t>
      </w:r>
      <w:r w:rsidR="006C71C6" w:rsidRPr="002673F4">
        <w:rPr>
          <w:rFonts w:eastAsia="Times New Roman" w:cs="Times New Roman"/>
          <w:color w:val="000000"/>
          <w:sz w:val="24"/>
          <w:szCs w:val="24"/>
          <w:lang w:val="lt-LT" w:eastAsia="lt-LT"/>
        </w:rPr>
        <w:t>pacientai, sveikatos priežiūros specialistai ir vaistinių preparatų registruotojai atitinkamais metais</w:t>
      </w:r>
      <w:r w:rsidR="00B76C3F" w:rsidRPr="002673F4">
        <w:rPr>
          <w:rFonts w:eastAsia="Times New Roman" w:cs="Times New Roman"/>
          <w:color w:val="000000"/>
          <w:sz w:val="24"/>
          <w:szCs w:val="24"/>
          <w:lang w:val="lt-LT" w:eastAsia="lt-LT"/>
        </w:rPr>
        <w:t xml:space="preserve"> nurodyta 2 paveikslėlyje.</w:t>
      </w:r>
    </w:p>
    <w:p w14:paraId="00A0E9D7" w14:textId="77777777" w:rsidR="007E3319" w:rsidRPr="00DA77FB" w:rsidRDefault="007E3319" w:rsidP="007E3319">
      <w:pPr>
        <w:spacing w:after="0"/>
        <w:ind w:firstLine="708"/>
        <w:jc w:val="both"/>
        <w:rPr>
          <w:rFonts w:eastAsia="Times New Roman" w:cs="Times New Roman"/>
          <w:color w:val="000000"/>
          <w:sz w:val="24"/>
          <w:szCs w:val="24"/>
          <w:lang w:val="lt-LT" w:eastAsia="lt-LT"/>
        </w:rPr>
      </w:pPr>
    </w:p>
    <w:p w14:paraId="6E378EFF" w14:textId="0F0825B2" w:rsidR="003E1F5C" w:rsidRPr="002673F4" w:rsidRDefault="00D538BE" w:rsidP="003E1F5C">
      <w:pPr>
        <w:spacing w:after="0"/>
        <w:jc w:val="both"/>
        <w:rPr>
          <w:rFonts w:eastAsia="Times New Roman" w:cs="Times New Roman"/>
          <w:b/>
          <w:bCs/>
          <w:color w:val="000000"/>
          <w:sz w:val="24"/>
          <w:szCs w:val="24"/>
          <w:lang w:val="lt-LT" w:eastAsia="lt-LT"/>
        </w:rPr>
      </w:pPr>
      <w:r w:rsidRPr="002673F4">
        <w:rPr>
          <w:rFonts w:eastAsia="Times New Roman" w:cs="Times New Roman"/>
          <w:b/>
          <w:bCs/>
          <w:color w:val="000000"/>
          <w:sz w:val="24"/>
          <w:szCs w:val="24"/>
          <w:lang w:val="lt-LT" w:eastAsia="lt-LT"/>
        </w:rPr>
        <w:t xml:space="preserve">        </w:t>
      </w:r>
      <w:r w:rsidR="007922DF" w:rsidRPr="002673F4">
        <w:rPr>
          <w:rFonts w:eastAsia="Times New Roman" w:cs="Times New Roman"/>
          <w:b/>
          <w:bCs/>
          <w:color w:val="000000"/>
          <w:sz w:val="24"/>
          <w:szCs w:val="24"/>
          <w:lang w:val="lt-LT" w:eastAsia="lt-LT"/>
        </w:rPr>
        <w:t xml:space="preserve">  </w:t>
      </w:r>
      <w:r w:rsidRPr="002673F4">
        <w:rPr>
          <w:rFonts w:eastAsia="Times New Roman" w:cs="Times New Roman"/>
          <w:b/>
          <w:bCs/>
          <w:color w:val="000000"/>
          <w:sz w:val="24"/>
          <w:szCs w:val="24"/>
          <w:lang w:val="lt-LT" w:eastAsia="lt-LT"/>
        </w:rPr>
        <w:t xml:space="preserve"> </w:t>
      </w:r>
      <w:r w:rsidR="003E1F5C" w:rsidRPr="002673F4">
        <w:rPr>
          <w:rFonts w:cs="Times New Roman"/>
          <w:noProof/>
          <w:sz w:val="24"/>
          <w:szCs w:val="24"/>
          <w14:ligatures w14:val="standardContextual"/>
        </w:rPr>
        <w:drawing>
          <wp:inline distT="0" distB="0" distL="0" distR="0" wp14:anchorId="3D74A117" wp14:editId="597161C9">
            <wp:extent cx="5572426" cy="2550160"/>
            <wp:effectExtent l="0" t="0" r="9525" b="2540"/>
            <wp:docPr id="216223981" name="Diagrama 1">
              <a:extLst xmlns:a="http://schemas.openxmlformats.org/drawingml/2006/main">
                <a:ext uri="{FF2B5EF4-FFF2-40B4-BE49-F238E27FC236}">
                  <a16:creationId xmlns:a16="http://schemas.microsoft.com/office/drawing/2014/main" id="{81C4C58C-966C-31E8-78F2-41999314B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0C7B81" w14:textId="2B3926BE" w:rsidR="00352CD4" w:rsidRPr="002673F4" w:rsidRDefault="007922DF" w:rsidP="00352CD4">
      <w:pPr>
        <w:pStyle w:val="Betarp"/>
        <w:jc w:val="both"/>
        <w:rPr>
          <w:rFonts w:cs="Times New Roman"/>
          <w:i/>
          <w:iCs/>
          <w:sz w:val="24"/>
          <w:szCs w:val="24"/>
          <w:lang w:val="lt-LT"/>
        </w:rPr>
      </w:pPr>
      <w:r w:rsidRPr="002673F4">
        <w:rPr>
          <w:rFonts w:cs="Times New Roman"/>
          <w:i/>
          <w:iCs/>
          <w:sz w:val="24"/>
          <w:szCs w:val="24"/>
          <w:lang w:val="lt-LT"/>
        </w:rPr>
        <w:t xml:space="preserve">          </w:t>
      </w:r>
      <w:r w:rsidR="002308D3">
        <w:rPr>
          <w:rFonts w:cs="Times New Roman"/>
          <w:i/>
          <w:iCs/>
          <w:sz w:val="24"/>
          <w:szCs w:val="24"/>
          <w:lang w:val="lt-LT"/>
        </w:rPr>
        <w:t xml:space="preserve"> </w:t>
      </w:r>
      <w:r w:rsidR="00352CD4" w:rsidRPr="002673F4">
        <w:rPr>
          <w:rFonts w:cs="Times New Roman"/>
          <w:i/>
          <w:iCs/>
          <w:sz w:val="24"/>
          <w:szCs w:val="24"/>
          <w:lang w:val="lt-LT"/>
        </w:rPr>
        <w:t>(2 pav.)</w:t>
      </w:r>
    </w:p>
    <w:p w14:paraId="10C6B40F" w14:textId="63EF5BAF" w:rsidR="0029642C" w:rsidRPr="002673F4" w:rsidRDefault="0029642C" w:rsidP="00C02882">
      <w:pPr>
        <w:pStyle w:val="Betarp"/>
        <w:tabs>
          <w:tab w:val="left" w:pos="3628"/>
        </w:tabs>
        <w:jc w:val="both"/>
        <w:rPr>
          <w:rFonts w:cs="Times New Roman"/>
          <w:b/>
          <w:bCs/>
          <w:sz w:val="24"/>
          <w:szCs w:val="24"/>
          <w:lang w:val="lt-LT"/>
        </w:rPr>
      </w:pPr>
    </w:p>
    <w:p w14:paraId="7EF8E32A" w14:textId="5616DA58" w:rsidR="0029642C" w:rsidRPr="002673F4" w:rsidRDefault="00747836" w:rsidP="0029642C">
      <w:pPr>
        <w:pStyle w:val="Betarp"/>
        <w:jc w:val="center"/>
        <w:rPr>
          <w:rFonts w:cs="Times New Roman"/>
          <w:b/>
          <w:bCs/>
          <w:sz w:val="24"/>
          <w:szCs w:val="24"/>
          <w:lang w:val="lt-LT"/>
        </w:rPr>
      </w:pPr>
      <w:r>
        <w:rPr>
          <w:rFonts w:cs="Times New Roman"/>
          <w:b/>
          <w:bCs/>
          <w:sz w:val="24"/>
          <w:szCs w:val="24"/>
          <w:lang w:val="lt-LT"/>
        </w:rPr>
        <w:lastRenderedPageBreak/>
        <w:t>ĮNR pranešimų p</w:t>
      </w:r>
      <w:r w:rsidR="0029642C" w:rsidRPr="002673F4">
        <w:rPr>
          <w:rFonts w:cs="Times New Roman"/>
          <w:b/>
          <w:bCs/>
          <w:sz w:val="24"/>
          <w:szCs w:val="24"/>
          <w:lang w:val="lt-LT"/>
        </w:rPr>
        <w:t>asiskirstymas pagal lytį</w:t>
      </w:r>
    </w:p>
    <w:p w14:paraId="3E4DABB3" w14:textId="77777777" w:rsidR="00CC53C2" w:rsidRPr="002673F4" w:rsidRDefault="00CC53C2" w:rsidP="0029642C">
      <w:pPr>
        <w:pStyle w:val="Betarp"/>
        <w:jc w:val="center"/>
        <w:rPr>
          <w:rFonts w:cs="Times New Roman"/>
          <w:b/>
          <w:bCs/>
          <w:sz w:val="24"/>
          <w:szCs w:val="24"/>
          <w:lang w:val="lt-LT"/>
        </w:rPr>
      </w:pPr>
    </w:p>
    <w:p w14:paraId="140B929D" w14:textId="7CB33894" w:rsidR="00BF1E34" w:rsidRPr="002673F4" w:rsidRDefault="00BF1E34" w:rsidP="00BF1E34">
      <w:pPr>
        <w:spacing w:after="0"/>
        <w:ind w:firstLine="708"/>
        <w:jc w:val="both"/>
        <w:rPr>
          <w:rFonts w:eastAsia="Times New Roman" w:cs="Times New Roman"/>
          <w:color w:val="000000"/>
          <w:sz w:val="24"/>
          <w:szCs w:val="24"/>
          <w:lang w:val="lt-LT" w:eastAsia="lt-LT"/>
        </w:rPr>
      </w:pPr>
      <w:r w:rsidRPr="002673F4">
        <w:rPr>
          <w:rFonts w:eastAsia="Times New Roman" w:cs="Times New Roman"/>
          <w:color w:val="000000"/>
          <w:sz w:val="24"/>
          <w:szCs w:val="24"/>
          <w:lang w:val="lt-LT" w:eastAsia="lt-LT"/>
        </w:rPr>
        <w:t>Nuo vakcinacijos pradžios iki 2025 m. pabaigos daugiausiai pranešimų apie ĮNR gauta moterims (iš viso gauti 5</w:t>
      </w:r>
      <w:r w:rsidR="00745B16">
        <w:rPr>
          <w:rFonts w:eastAsia="Times New Roman" w:cs="Times New Roman"/>
          <w:color w:val="000000"/>
          <w:sz w:val="24"/>
          <w:szCs w:val="24"/>
          <w:lang w:val="lt-LT" w:eastAsia="lt-LT"/>
        </w:rPr>
        <w:t xml:space="preserve"> </w:t>
      </w:r>
      <w:r w:rsidRPr="002673F4">
        <w:rPr>
          <w:rFonts w:eastAsia="Times New Roman" w:cs="Times New Roman"/>
          <w:color w:val="000000"/>
          <w:sz w:val="24"/>
          <w:szCs w:val="24"/>
          <w:lang w:val="lt-LT" w:eastAsia="lt-LT"/>
        </w:rPr>
        <w:t>560 pranešimai), ženkliai mažiau gauta pranešimų apie ĮNR vyrams (gauta 2</w:t>
      </w:r>
      <w:r w:rsidR="00745B16">
        <w:rPr>
          <w:rFonts w:eastAsia="Times New Roman" w:cs="Times New Roman"/>
          <w:color w:val="000000"/>
          <w:sz w:val="24"/>
          <w:szCs w:val="24"/>
          <w:lang w:val="lt-LT" w:eastAsia="lt-LT"/>
        </w:rPr>
        <w:t xml:space="preserve"> </w:t>
      </w:r>
      <w:r w:rsidRPr="002673F4">
        <w:rPr>
          <w:rFonts w:eastAsia="Times New Roman" w:cs="Times New Roman"/>
          <w:color w:val="000000"/>
          <w:sz w:val="24"/>
          <w:szCs w:val="24"/>
          <w:lang w:val="lt-LT" w:eastAsia="lt-LT"/>
        </w:rPr>
        <w:t>512 pranešimų). 22 pranešimuose gautuose per ataskaitinį laikotarpį pacientų lytis buvo nenurodyta. Gautų ĮNR pranešimų pasiskirstymas pagal lytį nurodyta</w:t>
      </w:r>
      <w:r w:rsidR="0030679D" w:rsidRPr="002673F4">
        <w:rPr>
          <w:rFonts w:eastAsia="Times New Roman" w:cs="Times New Roman"/>
          <w:color w:val="000000"/>
          <w:sz w:val="24"/>
          <w:szCs w:val="24"/>
          <w:lang w:val="lt-LT" w:eastAsia="lt-LT"/>
        </w:rPr>
        <w:t>s</w:t>
      </w:r>
      <w:r w:rsidRPr="002673F4">
        <w:rPr>
          <w:rFonts w:eastAsia="Times New Roman" w:cs="Times New Roman"/>
          <w:color w:val="000000"/>
          <w:sz w:val="24"/>
          <w:szCs w:val="24"/>
          <w:lang w:val="lt-LT" w:eastAsia="lt-LT"/>
        </w:rPr>
        <w:t xml:space="preserve"> 3 paveikslėlyje.</w:t>
      </w:r>
    </w:p>
    <w:p w14:paraId="2C069840" w14:textId="77777777" w:rsidR="00BF1E34" w:rsidRPr="002673F4" w:rsidRDefault="00BF1E34" w:rsidP="0029642C">
      <w:pPr>
        <w:pStyle w:val="Betarp"/>
        <w:jc w:val="center"/>
        <w:rPr>
          <w:rFonts w:cs="Times New Roman"/>
          <w:b/>
          <w:bCs/>
          <w:sz w:val="24"/>
          <w:szCs w:val="24"/>
          <w:lang w:val="lt-LT"/>
        </w:rPr>
      </w:pPr>
    </w:p>
    <w:p w14:paraId="305777FB" w14:textId="22F5C3CB" w:rsidR="00CC53C2" w:rsidRPr="002673F4" w:rsidRDefault="00773767" w:rsidP="0029642C">
      <w:pPr>
        <w:pStyle w:val="Betarp"/>
        <w:jc w:val="center"/>
        <w:rPr>
          <w:rFonts w:cs="Times New Roman"/>
          <w:b/>
          <w:bCs/>
          <w:sz w:val="24"/>
          <w:szCs w:val="24"/>
          <w:lang w:val="lt-LT"/>
        </w:rPr>
      </w:pPr>
      <w:r>
        <w:rPr>
          <w:rFonts w:cs="Times New Roman"/>
          <w:b/>
          <w:bCs/>
          <w:sz w:val="24"/>
          <w:szCs w:val="24"/>
          <w:lang w:val="lt-LT"/>
        </w:rPr>
        <w:t xml:space="preserve">      </w:t>
      </w:r>
      <w:r w:rsidR="007922DF" w:rsidRPr="002673F4">
        <w:rPr>
          <w:rFonts w:cs="Times New Roman"/>
          <w:b/>
          <w:bCs/>
          <w:sz w:val="24"/>
          <w:szCs w:val="24"/>
          <w:lang w:val="lt-LT"/>
        </w:rPr>
        <w:t xml:space="preserve">  </w:t>
      </w:r>
      <w:r w:rsidR="00E562B4" w:rsidRPr="002673F4">
        <w:rPr>
          <w:rFonts w:cs="Times New Roman"/>
          <w:noProof/>
          <w:sz w:val="24"/>
          <w:szCs w:val="24"/>
          <w14:ligatures w14:val="standardContextual"/>
        </w:rPr>
        <w:drawing>
          <wp:inline distT="0" distB="0" distL="0" distR="0" wp14:anchorId="256CE61A" wp14:editId="7E3F84DD">
            <wp:extent cx="5553777" cy="2762451"/>
            <wp:effectExtent l="0" t="0" r="8890" b="0"/>
            <wp:docPr id="1445355916" name="Diagrama 1">
              <a:extLst xmlns:a="http://schemas.openxmlformats.org/drawingml/2006/main">
                <a:ext uri="{FF2B5EF4-FFF2-40B4-BE49-F238E27FC236}">
                  <a16:creationId xmlns:a16="http://schemas.microsoft.com/office/drawing/2014/main" id="{A9CA2B03-80EA-1BA7-FB24-1ACE7FE093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911E81" w14:textId="2E2998B6" w:rsidR="00BF1E34" w:rsidRPr="002673F4" w:rsidRDefault="007922DF" w:rsidP="00BF1E34">
      <w:pPr>
        <w:pStyle w:val="Betarp"/>
        <w:jc w:val="both"/>
        <w:rPr>
          <w:rFonts w:cs="Times New Roman"/>
          <w:i/>
          <w:iCs/>
          <w:sz w:val="24"/>
          <w:szCs w:val="24"/>
          <w:lang w:val="lt-LT"/>
        </w:rPr>
      </w:pPr>
      <w:r w:rsidRPr="002673F4">
        <w:rPr>
          <w:rFonts w:cs="Times New Roman"/>
          <w:i/>
          <w:iCs/>
          <w:sz w:val="24"/>
          <w:szCs w:val="24"/>
          <w:lang w:val="lt-LT"/>
        </w:rPr>
        <w:t xml:space="preserve">           </w:t>
      </w:r>
      <w:r w:rsidR="00BF1E34" w:rsidRPr="002673F4">
        <w:rPr>
          <w:rFonts w:cs="Times New Roman"/>
          <w:i/>
          <w:iCs/>
          <w:sz w:val="24"/>
          <w:szCs w:val="24"/>
          <w:lang w:val="lt-LT"/>
        </w:rPr>
        <w:t>(3 pav.)</w:t>
      </w:r>
    </w:p>
    <w:p w14:paraId="55EDFBB6" w14:textId="77777777" w:rsidR="005E3D7E" w:rsidRPr="002673F4" w:rsidRDefault="005E3D7E" w:rsidP="003C6823">
      <w:pPr>
        <w:pStyle w:val="Betarp"/>
        <w:rPr>
          <w:rFonts w:cs="Times New Roman"/>
          <w:b/>
          <w:bCs/>
          <w:sz w:val="24"/>
          <w:szCs w:val="24"/>
          <w:lang w:val="lt-LT"/>
        </w:rPr>
      </w:pPr>
    </w:p>
    <w:p w14:paraId="4FBEA6A4" w14:textId="18E5261D" w:rsidR="006A097D" w:rsidRPr="002673F4" w:rsidRDefault="005E3D7E" w:rsidP="0029642C">
      <w:pPr>
        <w:pStyle w:val="Betarp"/>
        <w:jc w:val="center"/>
        <w:rPr>
          <w:rFonts w:cs="Times New Roman"/>
          <w:b/>
          <w:bCs/>
          <w:sz w:val="24"/>
          <w:szCs w:val="24"/>
          <w:lang w:val="lt-LT"/>
        </w:rPr>
      </w:pPr>
      <w:r w:rsidRPr="002673F4">
        <w:rPr>
          <w:rFonts w:cs="Times New Roman"/>
          <w:b/>
          <w:bCs/>
          <w:sz w:val="24"/>
          <w:szCs w:val="24"/>
          <w:lang w:val="lt-LT"/>
        </w:rPr>
        <w:t xml:space="preserve">Sunkių ir nesunkių ĮNR </w:t>
      </w:r>
      <w:r w:rsidR="00444BAD" w:rsidRPr="002673F4">
        <w:rPr>
          <w:rFonts w:cs="Times New Roman"/>
          <w:b/>
          <w:bCs/>
          <w:sz w:val="24"/>
          <w:szCs w:val="24"/>
          <w:lang w:val="lt-LT"/>
        </w:rPr>
        <w:t xml:space="preserve">pranešimų </w:t>
      </w:r>
      <w:r w:rsidRPr="002673F4">
        <w:rPr>
          <w:rFonts w:cs="Times New Roman"/>
          <w:b/>
          <w:bCs/>
          <w:sz w:val="24"/>
          <w:szCs w:val="24"/>
          <w:lang w:val="lt-LT"/>
        </w:rPr>
        <w:t>pasiskirstymas</w:t>
      </w:r>
    </w:p>
    <w:p w14:paraId="04D7E016" w14:textId="77777777" w:rsidR="00AE4CA8" w:rsidRPr="002673F4" w:rsidRDefault="00AE4CA8" w:rsidP="0029642C">
      <w:pPr>
        <w:pStyle w:val="Betarp"/>
        <w:jc w:val="center"/>
        <w:rPr>
          <w:rFonts w:cs="Times New Roman"/>
          <w:b/>
          <w:bCs/>
          <w:sz w:val="24"/>
          <w:szCs w:val="24"/>
          <w:lang w:val="lt-LT"/>
        </w:rPr>
      </w:pPr>
    </w:p>
    <w:p w14:paraId="19E5A308" w14:textId="66386302" w:rsidR="00D0375E" w:rsidRPr="002673F4" w:rsidRDefault="008B0066" w:rsidP="00D0375E">
      <w:pPr>
        <w:spacing w:after="0"/>
        <w:ind w:firstLine="708"/>
        <w:jc w:val="both"/>
        <w:rPr>
          <w:rFonts w:eastAsia="Times New Roman" w:cs="Times New Roman"/>
          <w:color w:val="000000"/>
          <w:sz w:val="24"/>
          <w:szCs w:val="24"/>
          <w:lang w:val="lt-LT" w:eastAsia="lt-LT"/>
        </w:rPr>
      </w:pPr>
      <w:r w:rsidRPr="002673F4">
        <w:rPr>
          <w:rFonts w:cs="Times New Roman"/>
          <w:sz w:val="24"/>
          <w:szCs w:val="24"/>
          <w:lang w:val="lt-LT"/>
        </w:rPr>
        <w:t>Ataskaitiniu laikotarpiu daugiausiai buvo gauta nesunkių ĮNR pranešimų</w:t>
      </w:r>
      <w:r w:rsidR="00416749" w:rsidRPr="002673F4">
        <w:rPr>
          <w:rFonts w:cs="Times New Roman"/>
          <w:sz w:val="24"/>
          <w:szCs w:val="24"/>
          <w:lang w:val="lt-LT"/>
        </w:rPr>
        <w:t xml:space="preserve"> </w:t>
      </w:r>
      <w:r w:rsidR="00A86564">
        <w:rPr>
          <w:rFonts w:cs="Times New Roman"/>
          <w:sz w:val="24"/>
          <w:szCs w:val="24"/>
          <w:lang w:val="lt-LT"/>
        </w:rPr>
        <w:t>–</w:t>
      </w:r>
      <w:r w:rsidR="00383631" w:rsidRPr="002673F4">
        <w:rPr>
          <w:rFonts w:cs="Times New Roman"/>
          <w:sz w:val="24"/>
          <w:szCs w:val="24"/>
          <w:lang w:val="lt-LT"/>
        </w:rPr>
        <w:t xml:space="preserve"> </w:t>
      </w:r>
      <w:r w:rsidR="004B2213" w:rsidRPr="002673F4">
        <w:rPr>
          <w:rFonts w:cs="Times New Roman"/>
          <w:sz w:val="24"/>
          <w:szCs w:val="24"/>
          <w:lang w:val="lt-LT"/>
        </w:rPr>
        <w:t>7</w:t>
      </w:r>
      <w:r w:rsidR="00A86564">
        <w:rPr>
          <w:rFonts w:cs="Times New Roman"/>
          <w:sz w:val="24"/>
          <w:szCs w:val="24"/>
          <w:lang w:val="lt-LT"/>
        </w:rPr>
        <w:t xml:space="preserve"> </w:t>
      </w:r>
      <w:r w:rsidR="004B2213" w:rsidRPr="002673F4">
        <w:rPr>
          <w:rFonts w:cs="Times New Roman"/>
          <w:sz w:val="24"/>
          <w:szCs w:val="24"/>
          <w:lang w:val="lt-LT"/>
        </w:rPr>
        <w:t>570</w:t>
      </w:r>
      <w:r w:rsidR="006640AF" w:rsidRPr="002673F4">
        <w:rPr>
          <w:rFonts w:cs="Times New Roman"/>
          <w:sz w:val="24"/>
          <w:szCs w:val="24"/>
          <w:lang w:val="lt-LT"/>
        </w:rPr>
        <w:t xml:space="preserve"> vnt.</w:t>
      </w:r>
      <w:r w:rsidR="008831DE" w:rsidRPr="002673F4">
        <w:rPr>
          <w:rFonts w:cs="Times New Roman"/>
          <w:sz w:val="24"/>
          <w:szCs w:val="24"/>
          <w:lang w:val="lt-LT"/>
        </w:rPr>
        <w:t xml:space="preserve"> </w:t>
      </w:r>
      <w:r w:rsidR="00CE4225" w:rsidRPr="002673F4">
        <w:rPr>
          <w:rFonts w:cs="Times New Roman"/>
          <w:sz w:val="24"/>
          <w:szCs w:val="24"/>
          <w:lang w:val="lt-LT"/>
        </w:rPr>
        <w:t xml:space="preserve">ĮNR </w:t>
      </w:r>
      <w:r w:rsidR="008E6B5E" w:rsidRPr="002673F4">
        <w:rPr>
          <w:rFonts w:cs="Times New Roman"/>
          <w:sz w:val="24"/>
          <w:szCs w:val="24"/>
          <w:lang w:val="lt-LT"/>
        </w:rPr>
        <w:t xml:space="preserve">pranešimai </w:t>
      </w:r>
      <w:r w:rsidR="00CE4225" w:rsidRPr="002673F4">
        <w:rPr>
          <w:rFonts w:cs="Times New Roman"/>
          <w:sz w:val="24"/>
          <w:szCs w:val="24"/>
          <w:lang w:val="lt-LT"/>
        </w:rPr>
        <w:t>vertinam</w:t>
      </w:r>
      <w:r w:rsidR="008E6B5E" w:rsidRPr="002673F4">
        <w:rPr>
          <w:rFonts w:cs="Times New Roman"/>
          <w:sz w:val="24"/>
          <w:szCs w:val="24"/>
          <w:lang w:val="lt-LT"/>
        </w:rPr>
        <w:t>i</w:t>
      </w:r>
      <w:r w:rsidR="00CE4225" w:rsidRPr="002673F4">
        <w:rPr>
          <w:rFonts w:cs="Times New Roman"/>
          <w:sz w:val="24"/>
          <w:szCs w:val="24"/>
          <w:lang w:val="lt-LT"/>
        </w:rPr>
        <w:t xml:space="preserve"> kaip sunk</w:t>
      </w:r>
      <w:r w:rsidR="008E6B5E" w:rsidRPr="002673F4">
        <w:rPr>
          <w:rFonts w:cs="Times New Roman"/>
          <w:sz w:val="24"/>
          <w:szCs w:val="24"/>
          <w:lang w:val="lt-LT"/>
        </w:rPr>
        <w:t>ūs</w:t>
      </w:r>
      <w:r w:rsidR="00CE4225" w:rsidRPr="002673F4">
        <w:rPr>
          <w:rFonts w:cs="Times New Roman"/>
          <w:sz w:val="24"/>
          <w:szCs w:val="24"/>
          <w:lang w:val="lt-LT"/>
        </w:rPr>
        <w:t>, jei atitinka bent vieną iš šių kriterijų: paciento mirtis, hospitalizavimas, prailginta stacionarinio gydymo trukmė, ilgalaikė ar reikšminga  negalia, nedarbingumas, apsigimimas ar kita svarbi medicininė priežastis.</w:t>
      </w:r>
      <w:r w:rsidR="00E12398" w:rsidRPr="002673F4">
        <w:rPr>
          <w:rFonts w:cs="Times New Roman"/>
          <w:sz w:val="24"/>
          <w:szCs w:val="24"/>
          <w:lang w:val="lt-LT"/>
        </w:rPr>
        <w:t xml:space="preserve"> Ataskaitiniu laikotarpiu buvo gaut</w:t>
      </w:r>
      <w:r w:rsidR="00383631" w:rsidRPr="002673F4">
        <w:rPr>
          <w:rFonts w:cs="Times New Roman"/>
          <w:sz w:val="24"/>
          <w:szCs w:val="24"/>
          <w:lang w:val="lt-LT"/>
        </w:rPr>
        <w:t>i 524</w:t>
      </w:r>
      <w:r w:rsidR="00E12398" w:rsidRPr="002673F4">
        <w:rPr>
          <w:rFonts w:cs="Times New Roman"/>
          <w:sz w:val="24"/>
          <w:szCs w:val="24"/>
          <w:lang w:val="lt-LT"/>
        </w:rPr>
        <w:t xml:space="preserve"> sunk</w:t>
      </w:r>
      <w:r w:rsidR="00383631" w:rsidRPr="002673F4">
        <w:rPr>
          <w:rFonts w:cs="Times New Roman"/>
          <w:sz w:val="24"/>
          <w:szCs w:val="24"/>
          <w:lang w:val="lt-LT"/>
        </w:rPr>
        <w:t>ūs</w:t>
      </w:r>
      <w:r w:rsidR="00E12398" w:rsidRPr="002673F4">
        <w:rPr>
          <w:rFonts w:cs="Times New Roman"/>
          <w:sz w:val="24"/>
          <w:szCs w:val="24"/>
          <w:lang w:val="lt-LT"/>
        </w:rPr>
        <w:t xml:space="preserve"> ĮNR pranešim</w:t>
      </w:r>
      <w:r w:rsidR="00383631" w:rsidRPr="002673F4">
        <w:rPr>
          <w:rFonts w:cs="Times New Roman"/>
          <w:sz w:val="24"/>
          <w:szCs w:val="24"/>
          <w:lang w:val="lt-LT"/>
        </w:rPr>
        <w:t>ai</w:t>
      </w:r>
      <w:r w:rsidR="00E12398" w:rsidRPr="002673F4">
        <w:rPr>
          <w:rFonts w:cs="Times New Roman"/>
          <w:sz w:val="24"/>
          <w:szCs w:val="24"/>
          <w:lang w:val="lt-LT"/>
        </w:rPr>
        <w:t>.</w:t>
      </w:r>
      <w:r w:rsidR="00D0375E" w:rsidRPr="002673F4">
        <w:rPr>
          <w:rFonts w:cs="Times New Roman"/>
          <w:sz w:val="24"/>
          <w:szCs w:val="24"/>
          <w:lang w:val="lt-LT"/>
        </w:rPr>
        <w:t xml:space="preserve"> </w:t>
      </w:r>
      <w:r w:rsidR="00D0375E" w:rsidRPr="002673F4">
        <w:rPr>
          <w:rFonts w:eastAsia="Times New Roman" w:cs="Times New Roman"/>
          <w:color w:val="000000"/>
          <w:sz w:val="24"/>
          <w:szCs w:val="24"/>
          <w:lang w:val="lt-LT" w:eastAsia="lt-LT"/>
        </w:rPr>
        <w:t>Gautų nesunkių ir sunkių ĮNR pranešimų pasiskirstymas nurodytas 4 paveikslėlyje.</w:t>
      </w:r>
    </w:p>
    <w:p w14:paraId="235DB5EE" w14:textId="77777777" w:rsidR="002E757C" w:rsidRPr="002673F4" w:rsidRDefault="002E757C" w:rsidP="00264B72">
      <w:pPr>
        <w:pStyle w:val="Betarp"/>
        <w:rPr>
          <w:rFonts w:cs="Times New Roman"/>
          <w:b/>
          <w:bCs/>
          <w:sz w:val="24"/>
          <w:szCs w:val="24"/>
          <w:lang w:val="lt-LT"/>
        </w:rPr>
      </w:pPr>
    </w:p>
    <w:p w14:paraId="2B6DC4B3" w14:textId="474501B5" w:rsidR="002E757C" w:rsidRPr="002673F4" w:rsidRDefault="007922DF" w:rsidP="00D538BE">
      <w:pPr>
        <w:pStyle w:val="Betarp"/>
        <w:rPr>
          <w:rFonts w:cs="Times New Roman"/>
          <w:b/>
          <w:bCs/>
          <w:sz w:val="24"/>
          <w:szCs w:val="24"/>
          <w:lang w:val="lt-LT"/>
        </w:rPr>
      </w:pPr>
      <w:r w:rsidRPr="002673F4">
        <w:rPr>
          <w:rFonts w:cs="Times New Roman"/>
          <w:b/>
          <w:bCs/>
          <w:sz w:val="24"/>
          <w:szCs w:val="24"/>
          <w:lang w:val="lt-LT"/>
        </w:rPr>
        <w:t xml:space="preserve">            </w:t>
      </w:r>
      <w:r w:rsidR="00661389" w:rsidRPr="002673F4">
        <w:rPr>
          <w:rFonts w:cs="Times New Roman"/>
          <w:noProof/>
          <w:sz w:val="24"/>
          <w:szCs w:val="24"/>
          <w14:ligatures w14:val="standardContextual"/>
        </w:rPr>
        <w:drawing>
          <wp:inline distT="0" distB="0" distL="0" distR="0" wp14:anchorId="54D092CD" wp14:editId="00A45435">
            <wp:extent cx="5594400" cy="2815200"/>
            <wp:effectExtent l="0" t="0" r="6350" b="4445"/>
            <wp:docPr id="8788656" name="Diagrama 1">
              <a:extLst xmlns:a="http://schemas.openxmlformats.org/drawingml/2006/main">
                <a:ext uri="{FF2B5EF4-FFF2-40B4-BE49-F238E27FC236}">
                  <a16:creationId xmlns:a16="http://schemas.microsoft.com/office/drawing/2014/main" id="{D77342CB-26AB-6495-F394-5F17ED4972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6C436B" w14:textId="03FA9475" w:rsidR="0030679D" w:rsidRPr="002673F4" w:rsidRDefault="007922DF" w:rsidP="0030679D">
      <w:pPr>
        <w:pStyle w:val="Betarp"/>
        <w:jc w:val="both"/>
        <w:rPr>
          <w:rFonts w:cs="Times New Roman"/>
          <w:i/>
          <w:iCs/>
          <w:sz w:val="24"/>
          <w:szCs w:val="24"/>
          <w:lang w:val="lt-LT"/>
        </w:rPr>
      </w:pPr>
      <w:r w:rsidRPr="002673F4">
        <w:rPr>
          <w:rFonts w:cs="Times New Roman"/>
          <w:i/>
          <w:iCs/>
          <w:sz w:val="24"/>
          <w:szCs w:val="24"/>
          <w:lang w:val="lt-LT"/>
        </w:rPr>
        <w:t xml:space="preserve">            </w:t>
      </w:r>
      <w:r w:rsidR="0030679D" w:rsidRPr="002673F4">
        <w:rPr>
          <w:rFonts w:cs="Times New Roman"/>
          <w:i/>
          <w:iCs/>
          <w:sz w:val="24"/>
          <w:szCs w:val="24"/>
          <w:lang w:val="lt-LT"/>
        </w:rPr>
        <w:t>(4 pav.)</w:t>
      </w:r>
    </w:p>
    <w:p w14:paraId="453B4A22" w14:textId="77777777" w:rsidR="003C6823" w:rsidRPr="002673F4" w:rsidRDefault="003C6823" w:rsidP="00264B72">
      <w:pPr>
        <w:pStyle w:val="Betarp"/>
        <w:rPr>
          <w:rFonts w:cs="Times New Roman"/>
          <w:b/>
          <w:bCs/>
          <w:sz w:val="24"/>
          <w:szCs w:val="24"/>
          <w:lang w:val="lt-LT"/>
        </w:rPr>
      </w:pPr>
    </w:p>
    <w:p w14:paraId="38CD406A" w14:textId="77777777" w:rsidR="00970DE9" w:rsidRPr="002673F4" w:rsidRDefault="00970DE9" w:rsidP="00264B72">
      <w:pPr>
        <w:pStyle w:val="Betarp"/>
        <w:rPr>
          <w:rFonts w:cs="Times New Roman"/>
          <w:b/>
          <w:bCs/>
          <w:sz w:val="24"/>
          <w:szCs w:val="24"/>
          <w:lang w:val="lt-LT"/>
        </w:rPr>
      </w:pPr>
    </w:p>
    <w:p w14:paraId="00B17063" w14:textId="4F4D273C" w:rsidR="00B61D01" w:rsidRDefault="00236BEB" w:rsidP="00A86564">
      <w:pPr>
        <w:pStyle w:val="Betarp"/>
        <w:ind w:firstLine="708"/>
        <w:jc w:val="both"/>
        <w:rPr>
          <w:rFonts w:cs="Times New Roman"/>
          <w:sz w:val="24"/>
          <w:szCs w:val="24"/>
          <w:lang w:val="lt-LT"/>
        </w:rPr>
      </w:pPr>
      <w:r w:rsidRPr="002673F4">
        <w:rPr>
          <w:rFonts w:cs="Times New Roman"/>
          <w:sz w:val="24"/>
          <w:szCs w:val="24"/>
          <w:lang w:val="lt-LT"/>
        </w:rPr>
        <w:t>Nuo vakcinacijos pradžios k</w:t>
      </w:r>
      <w:r w:rsidR="000F4B6B" w:rsidRPr="002673F4">
        <w:rPr>
          <w:rFonts w:cs="Times New Roman"/>
          <w:sz w:val="24"/>
          <w:szCs w:val="24"/>
          <w:lang w:val="lt-LT"/>
        </w:rPr>
        <w:t>asmet d</w:t>
      </w:r>
      <w:r w:rsidR="00B61D01" w:rsidRPr="002673F4">
        <w:rPr>
          <w:rFonts w:cs="Times New Roman"/>
          <w:sz w:val="24"/>
          <w:szCs w:val="24"/>
          <w:lang w:val="lt-LT"/>
        </w:rPr>
        <w:t xml:space="preserve">augiausiai ĮNR pranešimų </w:t>
      </w:r>
      <w:r w:rsidR="000F4B6B" w:rsidRPr="002673F4">
        <w:rPr>
          <w:rFonts w:cs="Times New Roman"/>
          <w:sz w:val="24"/>
          <w:szCs w:val="24"/>
          <w:lang w:val="lt-LT"/>
        </w:rPr>
        <w:t xml:space="preserve">buvo </w:t>
      </w:r>
      <w:r w:rsidR="00B61D01" w:rsidRPr="002673F4">
        <w:rPr>
          <w:rFonts w:cs="Times New Roman"/>
          <w:sz w:val="24"/>
          <w:szCs w:val="24"/>
          <w:lang w:val="lt-LT"/>
        </w:rPr>
        <w:t>gauta dėl Comirnaty vakcinos</w:t>
      </w:r>
      <w:r w:rsidR="000F4B6B" w:rsidRPr="002673F4">
        <w:rPr>
          <w:rFonts w:cs="Times New Roman"/>
          <w:sz w:val="24"/>
          <w:szCs w:val="24"/>
          <w:lang w:val="lt-LT"/>
        </w:rPr>
        <w:t>.</w:t>
      </w:r>
      <w:r w:rsidR="00C8260D" w:rsidRPr="002673F4">
        <w:rPr>
          <w:rFonts w:cs="Times New Roman"/>
          <w:sz w:val="24"/>
          <w:szCs w:val="24"/>
          <w:lang w:val="lt-LT"/>
        </w:rPr>
        <w:t xml:space="preserve"> Antroje vietoje Vaxzevria</w:t>
      </w:r>
      <w:r w:rsidR="00C30110" w:rsidRPr="002673F4">
        <w:rPr>
          <w:rFonts w:cs="Times New Roman"/>
          <w:sz w:val="24"/>
          <w:szCs w:val="24"/>
          <w:lang w:val="lt-LT"/>
        </w:rPr>
        <w:t xml:space="preserve">, trečioje – </w:t>
      </w:r>
      <w:proofErr w:type="spellStart"/>
      <w:r w:rsidR="00C30110" w:rsidRPr="002673F4">
        <w:rPr>
          <w:rFonts w:cs="Times New Roman"/>
          <w:sz w:val="24"/>
          <w:szCs w:val="24"/>
          <w:lang w:val="lt-LT"/>
        </w:rPr>
        <w:t>Spikevax</w:t>
      </w:r>
      <w:proofErr w:type="spellEnd"/>
      <w:r w:rsidR="00C30110" w:rsidRPr="002673F4">
        <w:rPr>
          <w:rFonts w:cs="Times New Roman"/>
          <w:sz w:val="24"/>
          <w:szCs w:val="24"/>
          <w:lang w:val="lt-LT"/>
        </w:rPr>
        <w:t xml:space="preserve">. Kiek sunkių ir nesunkių </w:t>
      </w:r>
      <w:r w:rsidR="008C5EE2">
        <w:rPr>
          <w:rFonts w:cs="Times New Roman"/>
          <w:sz w:val="24"/>
          <w:szCs w:val="24"/>
          <w:lang w:val="lt-LT"/>
        </w:rPr>
        <w:t>pranešimų</w:t>
      </w:r>
      <w:r w:rsidR="00C30110" w:rsidRPr="002673F4">
        <w:rPr>
          <w:rFonts w:cs="Times New Roman"/>
          <w:sz w:val="24"/>
          <w:szCs w:val="24"/>
          <w:lang w:val="lt-LT"/>
        </w:rPr>
        <w:t xml:space="preserve"> </w:t>
      </w:r>
      <w:r w:rsidR="001A1DAC" w:rsidRPr="002673F4">
        <w:rPr>
          <w:rFonts w:cs="Times New Roman"/>
          <w:sz w:val="24"/>
          <w:szCs w:val="24"/>
          <w:lang w:val="lt-LT"/>
        </w:rPr>
        <w:t>konkrečiais metais buvo gauta kiekvienai vakcinai pateikta 1 lentelėje.</w:t>
      </w:r>
    </w:p>
    <w:p w14:paraId="197694D1" w14:textId="77777777" w:rsidR="0017665D" w:rsidRPr="002673F4" w:rsidRDefault="0017665D" w:rsidP="00236BEB">
      <w:pPr>
        <w:pStyle w:val="Betarp"/>
        <w:ind w:firstLine="708"/>
        <w:rPr>
          <w:rFonts w:cs="Times New Roman"/>
          <w:sz w:val="24"/>
          <w:szCs w:val="24"/>
          <w:lang w:val="lt-LT"/>
        </w:rPr>
      </w:pPr>
    </w:p>
    <w:p w14:paraId="192D346A" w14:textId="2ADD17BB" w:rsidR="00395150" w:rsidRPr="0017665D" w:rsidRDefault="0017665D" w:rsidP="0017665D">
      <w:pPr>
        <w:pStyle w:val="Betarp"/>
        <w:rPr>
          <w:rFonts w:cs="Times New Roman"/>
          <w:b/>
          <w:bCs/>
          <w:sz w:val="24"/>
          <w:szCs w:val="24"/>
          <w:lang w:val="lt-LT"/>
        </w:rPr>
      </w:pPr>
      <w:r w:rsidRPr="0017665D">
        <w:rPr>
          <w:rFonts w:cs="Times New Roman"/>
          <w:b/>
          <w:bCs/>
          <w:sz w:val="24"/>
          <w:szCs w:val="24"/>
          <w:lang w:val="lt-LT"/>
        </w:rPr>
        <w:t>(1</w:t>
      </w:r>
      <w:r w:rsidR="00D13D1D">
        <w:rPr>
          <w:rFonts w:cs="Times New Roman"/>
          <w:b/>
          <w:bCs/>
          <w:sz w:val="24"/>
          <w:szCs w:val="24"/>
          <w:lang w:val="lt-LT"/>
        </w:rPr>
        <w:t xml:space="preserve"> </w:t>
      </w:r>
      <w:r w:rsidRPr="0017665D">
        <w:rPr>
          <w:rFonts w:cs="Times New Roman"/>
          <w:b/>
          <w:bCs/>
          <w:sz w:val="24"/>
          <w:szCs w:val="24"/>
          <w:lang w:val="lt-LT"/>
        </w:rPr>
        <w:t xml:space="preserve">lentelė) </w:t>
      </w:r>
      <w:r w:rsidR="008C68DD" w:rsidRPr="0017665D">
        <w:rPr>
          <w:rFonts w:cs="Times New Roman"/>
          <w:b/>
          <w:bCs/>
          <w:sz w:val="24"/>
          <w:szCs w:val="24"/>
          <w:lang w:val="lt-LT"/>
        </w:rPr>
        <w:t xml:space="preserve">Sunkių ir nesunkių </w:t>
      </w:r>
      <w:r w:rsidR="00D13D1D">
        <w:rPr>
          <w:rFonts w:cs="Times New Roman"/>
          <w:b/>
          <w:bCs/>
          <w:sz w:val="24"/>
          <w:szCs w:val="24"/>
          <w:lang w:val="lt-LT"/>
        </w:rPr>
        <w:t xml:space="preserve">ĮNR </w:t>
      </w:r>
      <w:r w:rsidR="008A4E69">
        <w:rPr>
          <w:rFonts w:cs="Times New Roman"/>
          <w:b/>
          <w:bCs/>
          <w:sz w:val="24"/>
          <w:szCs w:val="24"/>
          <w:lang w:val="lt-LT"/>
        </w:rPr>
        <w:t>pranešim</w:t>
      </w:r>
      <w:r w:rsidR="008C68DD" w:rsidRPr="0017665D">
        <w:rPr>
          <w:rFonts w:cs="Times New Roman"/>
          <w:b/>
          <w:bCs/>
          <w:sz w:val="24"/>
          <w:szCs w:val="24"/>
          <w:lang w:val="lt-LT"/>
        </w:rPr>
        <w:t>ų pasiskirstymas</w:t>
      </w:r>
    </w:p>
    <w:tbl>
      <w:tblPr>
        <w:tblW w:w="9920" w:type="dxa"/>
        <w:tblLook w:val="04A0" w:firstRow="1" w:lastRow="0" w:firstColumn="1" w:lastColumn="0" w:noHBand="0" w:noVBand="1"/>
      </w:tblPr>
      <w:tblGrid>
        <w:gridCol w:w="840"/>
        <w:gridCol w:w="1120"/>
        <w:gridCol w:w="1220"/>
        <w:gridCol w:w="1080"/>
        <w:gridCol w:w="1120"/>
        <w:gridCol w:w="1200"/>
        <w:gridCol w:w="1240"/>
        <w:gridCol w:w="1240"/>
        <w:gridCol w:w="860"/>
      </w:tblGrid>
      <w:tr w:rsidR="007A0055" w:rsidRPr="009770B5" w14:paraId="1C800DF9" w14:textId="77777777" w:rsidTr="007A0055">
        <w:trPr>
          <w:trHeight w:val="564"/>
        </w:trPr>
        <w:tc>
          <w:tcPr>
            <w:tcW w:w="840" w:type="dxa"/>
            <w:tcBorders>
              <w:top w:val="single" w:sz="4" w:space="0" w:color="auto"/>
              <w:left w:val="single" w:sz="4" w:space="0" w:color="auto"/>
              <w:bottom w:val="single" w:sz="4" w:space="0" w:color="auto"/>
              <w:right w:val="single" w:sz="4" w:space="0" w:color="auto"/>
            </w:tcBorders>
            <w:vAlign w:val="bottom"/>
            <w:hideMark/>
          </w:tcPr>
          <w:p w14:paraId="35CC482B"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Metai</w:t>
            </w:r>
          </w:p>
        </w:tc>
        <w:tc>
          <w:tcPr>
            <w:tcW w:w="1120" w:type="dxa"/>
            <w:tcBorders>
              <w:top w:val="single" w:sz="4" w:space="0" w:color="auto"/>
              <w:left w:val="nil"/>
              <w:bottom w:val="single" w:sz="4" w:space="0" w:color="auto"/>
              <w:right w:val="single" w:sz="4" w:space="0" w:color="auto"/>
            </w:tcBorders>
            <w:vAlign w:val="bottom"/>
            <w:hideMark/>
          </w:tcPr>
          <w:p w14:paraId="78F962AC" w14:textId="77777777" w:rsidR="007A0055" w:rsidRPr="009770B5" w:rsidRDefault="007A0055" w:rsidP="007A0055">
            <w:pPr>
              <w:spacing w:after="0"/>
              <w:jc w:val="center"/>
              <w:rPr>
                <w:rFonts w:eastAsia="Times New Roman" w:cs="Times New Roman"/>
                <w:b/>
                <w:bCs/>
                <w:sz w:val="20"/>
                <w:szCs w:val="20"/>
                <w:lang w:val="lt-LT" w:eastAsia="lt-LT"/>
              </w:rPr>
            </w:pPr>
            <w:r w:rsidRPr="009770B5">
              <w:rPr>
                <w:rFonts w:eastAsia="Times New Roman" w:cs="Times New Roman"/>
                <w:b/>
                <w:bCs/>
                <w:sz w:val="20"/>
                <w:szCs w:val="20"/>
                <w:lang w:val="lt-LT" w:eastAsia="lt-LT"/>
              </w:rPr>
              <w:t>ĮNR sunkumas</w:t>
            </w:r>
          </w:p>
        </w:tc>
        <w:tc>
          <w:tcPr>
            <w:tcW w:w="1220" w:type="dxa"/>
            <w:tcBorders>
              <w:top w:val="single" w:sz="4" w:space="0" w:color="auto"/>
              <w:left w:val="nil"/>
              <w:bottom w:val="single" w:sz="4" w:space="0" w:color="auto"/>
              <w:right w:val="single" w:sz="4" w:space="0" w:color="auto"/>
            </w:tcBorders>
            <w:vAlign w:val="bottom"/>
            <w:hideMark/>
          </w:tcPr>
          <w:p w14:paraId="124B6483" w14:textId="77777777" w:rsidR="007A0055" w:rsidRPr="009770B5" w:rsidRDefault="007A0055" w:rsidP="007A0055">
            <w:pPr>
              <w:spacing w:after="0"/>
              <w:jc w:val="center"/>
              <w:rPr>
                <w:rFonts w:eastAsia="Times New Roman" w:cs="Times New Roman"/>
                <w:b/>
                <w:bCs/>
                <w:sz w:val="20"/>
                <w:szCs w:val="20"/>
                <w:lang w:val="lt-LT" w:eastAsia="lt-LT"/>
              </w:rPr>
            </w:pPr>
            <w:r w:rsidRPr="009770B5">
              <w:rPr>
                <w:rFonts w:eastAsia="Times New Roman" w:cs="Times New Roman"/>
                <w:b/>
                <w:bCs/>
                <w:sz w:val="20"/>
                <w:szCs w:val="20"/>
                <w:lang w:val="lt-LT" w:eastAsia="lt-LT"/>
              </w:rPr>
              <w:t>Comirnaty</w:t>
            </w:r>
          </w:p>
        </w:tc>
        <w:tc>
          <w:tcPr>
            <w:tcW w:w="1080" w:type="dxa"/>
            <w:tcBorders>
              <w:top w:val="single" w:sz="4" w:space="0" w:color="auto"/>
              <w:left w:val="nil"/>
              <w:bottom w:val="single" w:sz="4" w:space="0" w:color="auto"/>
              <w:right w:val="single" w:sz="4" w:space="0" w:color="auto"/>
            </w:tcBorders>
            <w:vAlign w:val="bottom"/>
            <w:hideMark/>
          </w:tcPr>
          <w:p w14:paraId="715BAB29" w14:textId="77777777" w:rsidR="007A0055" w:rsidRPr="009770B5" w:rsidRDefault="007A0055" w:rsidP="007A0055">
            <w:pPr>
              <w:spacing w:after="0"/>
              <w:jc w:val="center"/>
              <w:rPr>
                <w:rFonts w:eastAsia="Times New Roman" w:cs="Times New Roman"/>
                <w:b/>
                <w:bCs/>
                <w:sz w:val="20"/>
                <w:szCs w:val="20"/>
                <w:lang w:val="lt-LT" w:eastAsia="lt-LT"/>
              </w:rPr>
            </w:pPr>
            <w:proofErr w:type="spellStart"/>
            <w:r w:rsidRPr="009770B5">
              <w:rPr>
                <w:rFonts w:eastAsia="Times New Roman" w:cs="Times New Roman"/>
                <w:b/>
                <w:bCs/>
                <w:sz w:val="20"/>
                <w:szCs w:val="20"/>
                <w:lang w:val="lt-LT" w:eastAsia="lt-LT"/>
              </w:rPr>
              <w:t>Spikevax</w:t>
            </w:r>
            <w:proofErr w:type="spellEnd"/>
          </w:p>
        </w:tc>
        <w:tc>
          <w:tcPr>
            <w:tcW w:w="1120" w:type="dxa"/>
            <w:tcBorders>
              <w:top w:val="single" w:sz="4" w:space="0" w:color="auto"/>
              <w:left w:val="nil"/>
              <w:bottom w:val="single" w:sz="4" w:space="0" w:color="auto"/>
              <w:right w:val="single" w:sz="4" w:space="0" w:color="auto"/>
            </w:tcBorders>
            <w:vAlign w:val="bottom"/>
            <w:hideMark/>
          </w:tcPr>
          <w:p w14:paraId="64C23F39" w14:textId="77777777" w:rsidR="007A0055" w:rsidRPr="009770B5" w:rsidRDefault="007A0055" w:rsidP="007A0055">
            <w:pPr>
              <w:spacing w:after="0"/>
              <w:jc w:val="center"/>
              <w:rPr>
                <w:rFonts w:eastAsia="Times New Roman" w:cs="Times New Roman"/>
                <w:b/>
                <w:bCs/>
                <w:sz w:val="20"/>
                <w:szCs w:val="20"/>
                <w:lang w:val="lt-LT" w:eastAsia="lt-LT"/>
              </w:rPr>
            </w:pPr>
            <w:r w:rsidRPr="009770B5">
              <w:rPr>
                <w:rFonts w:eastAsia="Times New Roman" w:cs="Times New Roman"/>
                <w:b/>
                <w:bCs/>
                <w:sz w:val="20"/>
                <w:szCs w:val="20"/>
                <w:lang w:val="lt-LT" w:eastAsia="lt-LT"/>
              </w:rPr>
              <w:t>Vaxzevria</w:t>
            </w:r>
          </w:p>
        </w:tc>
        <w:tc>
          <w:tcPr>
            <w:tcW w:w="1200" w:type="dxa"/>
            <w:tcBorders>
              <w:top w:val="single" w:sz="4" w:space="0" w:color="auto"/>
              <w:left w:val="nil"/>
              <w:bottom w:val="single" w:sz="4" w:space="0" w:color="auto"/>
              <w:right w:val="single" w:sz="4" w:space="0" w:color="auto"/>
            </w:tcBorders>
            <w:vAlign w:val="bottom"/>
            <w:hideMark/>
          </w:tcPr>
          <w:p w14:paraId="0B006D50" w14:textId="77777777" w:rsidR="007A0055" w:rsidRPr="009770B5" w:rsidRDefault="007A0055" w:rsidP="007A0055">
            <w:pPr>
              <w:spacing w:after="0"/>
              <w:jc w:val="center"/>
              <w:rPr>
                <w:rFonts w:eastAsia="Times New Roman" w:cs="Times New Roman"/>
                <w:b/>
                <w:bCs/>
                <w:sz w:val="20"/>
                <w:szCs w:val="20"/>
                <w:lang w:val="lt-LT" w:eastAsia="lt-LT"/>
              </w:rPr>
            </w:pPr>
            <w:r w:rsidRPr="009770B5">
              <w:rPr>
                <w:rFonts w:eastAsia="Times New Roman" w:cs="Times New Roman"/>
                <w:b/>
                <w:bCs/>
                <w:sz w:val="20"/>
                <w:szCs w:val="20"/>
                <w:lang w:val="lt-LT" w:eastAsia="lt-LT"/>
              </w:rPr>
              <w:t>JCOVDEN</w:t>
            </w:r>
          </w:p>
        </w:tc>
        <w:tc>
          <w:tcPr>
            <w:tcW w:w="1240" w:type="dxa"/>
            <w:tcBorders>
              <w:top w:val="single" w:sz="4" w:space="0" w:color="auto"/>
              <w:left w:val="nil"/>
              <w:bottom w:val="single" w:sz="4" w:space="0" w:color="auto"/>
              <w:right w:val="single" w:sz="4" w:space="0" w:color="auto"/>
            </w:tcBorders>
            <w:vAlign w:val="bottom"/>
            <w:hideMark/>
          </w:tcPr>
          <w:p w14:paraId="2A6E565A" w14:textId="77777777" w:rsidR="007A0055" w:rsidRPr="009770B5" w:rsidRDefault="007A0055" w:rsidP="007A0055">
            <w:pPr>
              <w:spacing w:after="0"/>
              <w:jc w:val="center"/>
              <w:rPr>
                <w:rFonts w:eastAsia="Times New Roman" w:cs="Times New Roman"/>
                <w:b/>
                <w:bCs/>
                <w:sz w:val="20"/>
                <w:szCs w:val="20"/>
                <w:lang w:val="lt-LT" w:eastAsia="lt-LT"/>
              </w:rPr>
            </w:pPr>
            <w:proofErr w:type="spellStart"/>
            <w:r w:rsidRPr="009770B5">
              <w:rPr>
                <w:rFonts w:eastAsia="Times New Roman" w:cs="Times New Roman"/>
                <w:b/>
                <w:bCs/>
                <w:sz w:val="20"/>
                <w:szCs w:val="20"/>
                <w:lang w:val="lt-LT" w:eastAsia="lt-LT"/>
              </w:rPr>
              <w:t>Nuvaxovid</w:t>
            </w:r>
            <w:proofErr w:type="spellEnd"/>
          </w:p>
        </w:tc>
        <w:tc>
          <w:tcPr>
            <w:tcW w:w="1240" w:type="dxa"/>
            <w:tcBorders>
              <w:top w:val="single" w:sz="4" w:space="0" w:color="auto"/>
              <w:left w:val="nil"/>
              <w:bottom w:val="single" w:sz="4" w:space="0" w:color="auto"/>
              <w:right w:val="single" w:sz="4" w:space="0" w:color="auto"/>
            </w:tcBorders>
            <w:vAlign w:val="bottom"/>
            <w:hideMark/>
          </w:tcPr>
          <w:p w14:paraId="65F38EB0" w14:textId="77777777" w:rsidR="007A0055" w:rsidRPr="009770B5" w:rsidRDefault="007A0055" w:rsidP="007A0055">
            <w:pPr>
              <w:spacing w:after="0"/>
              <w:jc w:val="center"/>
              <w:rPr>
                <w:rFonts w:eastAsia="Times New Roman" w:cs="Times New Roman"/>
                <w:b/>
                <w:bCs/>
                <w:sz w:val="20"/>
                <w:szCs w:val="20"/>
                <w:lang w:val="lt-LT" w:eastAsia="lt-LT"/>
              </w:rPr>
            </w:pPr>
            <w:r w:rsidRPr="009770B5">
              <w:rPr>
                <w:rFonts w:eastAsia="Times New Roman" w:cs="Times New Roman"/>
                <w:b/>
                <w:bCs/>
                <w:sz w:val="20"/>
                <w:szCs w:val="20"/>
                <w:lang w:val="lt-LT" w:eastAsia="lt-LT"/>
              </w:rPr>
              <w:t>Nenurodyta vakcina</w:t>
            </w:r>
          </w:p>
        </w:tc>
        <w:tc>
          <w:tcPr>
            <w:tcW w:w="860" w:type="dxa"/>
            <w:tcBorders>
              <w:top w:val="single" w:sz="4" w:space="0" w:color="auto"/>
              <w:left w:val="nil"/>
              <w:bottom w:val="single" w:sz="4" w:space="0" w:color="auto"/>
              <w:right w:val="single" w:sz="4" w:space="0" w:color="auto"/>
            </w:tcBorders>
            <w:vAlign w:val="bottom"/>
            <w:hideMark/>
          </w:tcPr>
          <w:p w14:paraId="4BB5E787" w14:textId="77777777" w:rsidR="007A0055" w:rsidRPr="009770B5" w:rsidRDefault="007A0055" w:rsidP="007A0055">
            <w:pPr>
              <w:spacing w:after="0"/>
              <w:jc w:val="center"/>
              <w:rPr>
                <w:rFonts w:eastAsia="Times New Roman" w:cs="Times New Roman"/>
                <w:b/>
                <w:bCs/>
                <w:sz w:val="20"/>
                <w:szCs w:val="20"/>
                <w:lang w:val="lt-LT" w:eastAsia="lt-LT"/>
              </w:rPr>
            </w:pPr>
            <w:r w:rsidRPr="009770B5">
              <w:rPr>
                <w:rFonts w:eastAsia="Times New Roman" w:cs="Times New Roman"/>
                <w:b/>
                <w:bCs/>
                <w:sz w:val="20"/>
                <w:szCs w:val="20"/>
                <w:lang w:val="lt-LT" w:eastAsia="lt-LT"/>
              </w:rPr>
              <w:t>VISO</w:t>
            </w:r>
          </w:p>
        </w:tc>
      </w:tr>
      <w:tr w:rsidR="007A0055" w:rsidRPr="009770B5" w14:paraId="1DFBCE9D" w14:textId="77777777" w:rsidTr="007A0055">
        <w:trPr>
          <w:trHeight w:val="288"/>
        </w:trPr>
        <w:tc>
          <w:tcPr>
            <w:tcW w:w="840" w:type="dxa"/>
            <w:vMerge w:val="restart"/>
            <w:tcBorders>
              <w:top w:val="nil"/>
              <w:left w:val="single" w:sz="4" w:space="0" w:color="auto"/>
              <w:bottom w:val="single" w:sz="8" w:space="0" w:color="000000"/>
              <w:right w:val="single" w:sz="4" w:space="0" w:color="auto"/>
            </w:tcBorders>
            <w:vAlign w:val="bottom"/>
            <w:hideMark/>
          </w:tcPr>
          <w:p w14:paraId="77A4BA75" w14:textId="77777777" w:rsidR="007A0055" w:rsidRPr="009770B5" w:rsidRDefault="007A0055" w:rsidP="00E93DFD">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2020- 2021</w:t>
            </w:r>
          </w:p>
        </w:tc>
        <w:tc>
          <w:tcPr>
            <w:tcW w:w="1120" w:type="dxa"/>
            <w:tcBorders>
              <w:top w:val="nil"/>
              <w:left w:val="nil"/>
              <w:bottom w:val="single" w:sz="4" w:space="0" w:color="auto"/>
              <w:right w:val="single" w:sz="4" w:space="0" w:color="auto"/>
            </w:tcBorders>
            <w:noWrap/>
            <w:vAlign w:val="bottom"/>
            <w:hideMark/>
          </w:tcPr>
          <w:p w14:paraId="059212C5"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Nesunkios</w:t>
            </w:r>
          </w:p>
        </w:tc>
        <w:tc>
          <w:tcPr>
            <w:tcW w:w="1220" w:type="dxa"/>
            <w:tcBorders>
              <w:top w:val="nil"/>
              <w:left w:val="nil"/>
              <w:bottom w:val="single" w:sz="4" w:space="0" w:color="auto"/>
              <w:right w:val="single" w:sz="4" w:space="0" w:color="auto"/>
            </w:tcBorders>
            <w:noWrap/>
            <w:vAlign w:val="bottom"/>
            <w:hideMark/>
          </w:tcPr>
          <w:p w14:paraId="4FE6B135"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3159</w:t>
            </w:r>
          </w:p>
        </w:tc>
        <w:tc>
          <w:tcPr>
            <w:tcW w:w="1080" w:type="dxa"/>
            <w:tcBorders>
              <w:top w:val="nil"/>
              <w:left w:val="nil"/>
              <w:bottom w:val="single" w:sz="4" w:space="0" w:color="auto"/>
              <w:right w:val="single" w:sz="4" w:space="0" w:color="auto"/>
            </w:tcBorders>
            <w:noWrap/>
            <w:vAlign w:val="bottom"/>
            <w:hideMark/>
          </w:tcPr>
          <w:p w14:paraId="60292D7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576</w:t>
            </w:r>
          </w:p>
        </w:tc>
        <w:tc>
          <w:tcPr>
            <w:tcW w:w="1120" w:type="dxa"/>
            <w:tcBorders>
              <w:top w:val="nil"/>
              <w:left w:val="nil"/>
              <w:bottom w:val="single" w:sz="4" w:space="0" w:color="auto"/>
              <w:right w:val="single" w:sz="4" w:space="0" w:color="auto"/>
            </w:tcBorders>
            <w:noWrap/>
            <w:vAlign w:val="bottom"/>
            <w:hideMark/>
          </w:tcPr>
          <w:p w14:paraId="26C15D89"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2186</w:t>
            </w:r>
          </w:p>
        </w:tc>
        <w:tc>
          <w:tcPr>
            <w:tcW w:w="1200" w:type="dxa"/>
            <w:tcBorders>
              <w:top w:val="nil"/>
              <w:left w:val="nil"/>
              <w:bottom w:val="single" w:sz="4" w:space="0" w:color="auto"/>
              <w:right w:val="single" w:sz="4" w:space="0" w:color="auto"/>
            </w:tcBorders>
            <w:noWrap/>
            <w:vAlign w:val="bottom"/>
            <w:hideMark/>
          </w:tcPr>
          <w:p w14:paraId="632E128E"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452</w:t>
            </w:r>
          </w:p>
        </w:tc>
        <w:tc>
          <w:tcPr>
            <w:tcW w:w="1240" w:type="dxa"/>
            <w:tcBorders>
              <w:top w:val="nil"/>
              <w:left w:val="nil"/>
              <w:bottom w:val="single" w:sz="4" w:space="0" w:color="auto"/>
              <w:right w:val="single" w:sz="4" w:space="0" w:color="auto"/>
            </w:tcBorders>
            <w:noWrap/>
            <w:vAlign w:val="bottom"/>
            <w:hideMark/>
          </w:tcPr>
          <w:p w14:paraId="798ABDDB"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5AA26674"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28</w:t>
            </w:r>
          </w:p>
        </w:tc>
        <w:tc>
          <w:tcPr>
            <w:tcW w:w="860" w:type="dxa"/>
            <w:tcBorders>
              <w:top w:val="nil"/>
              <w:left w:val="nil"/>
              <w:bottom w:val="single" w:sz="4" w:space="0" w:color="auto"/>
              <w:right w:val="single" w:sz="4" w:space="0" w:color="auto"/>
            </w:tcBorders>
            <w:noWrap/>
            <w:vAlign w:val="bottom"/>
            <w:hideMark/>
          </w:tcPr>
          <w:p w14:paraId="23415F90"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6401</w:t>
            </w:r>
          </w:p>
        </w:tc>
      </w:tr>
      <w:tr w:rsidR="007A0055" w:rsidRPr="009770B5" w14:paraId="42A6B128" w14:textId="77777777" w:rsidTr="007A0055">
        <w:trPr>
          <w:trHeight w:val="288"/>
        </w:trPr>
        <w:tc>
          <w:tcPr>
            <w:tcW w:w="840" w:type="dxa"/>
            <w:vMerge/>
            <w:tcBorders>
              <w:top w:val="nil"/>
              <w:left w:val="single" w:sz="4" w:space="0" w:color="auto"/>
              <w:bottom w:val="single" w:sz="8" w:space="0" w:color="000000"/>
              <w:right w:val="single" w:sz="4" w:space="0" w:color="auto"/>
            </w:tcBorders>
            <w:vAlign w:val="center"/>
            <w:hideMark/>
          </w:tcPr>
          <w:p w14:paraId="60321275" w14:textId="77777777" w:rsidR="007A0055" w:rsidRPr="009770B5" w:rsidRDefault="007A0055" w:rsidP="00E93DFD">
            <w:pPr>
              <w:spacing w:after="0"/>
              <w:jc w:val="center"/>
              <w:rPr>
                <w:rFonts w:eastAsia="Times New Roman" w:cs="Times New Roman"/>
                <w:color w:val="000000"/>
                <w:sz w:val="20"/>
                <w:szCs w:val="20"/>
                <w:lang w:val="lt-LT" w:eastAsia="lt-LT"/>
              </w:rPr>
            </w:pPr>
          </w:p>
        </w:tc>
        <w:tc>
          <w:tcPr>
            <w:tcW w:w="1120" w:type="dxa"/>
            <w:tcBorders>
              <w:top w:val="nil"/>
              <w:left w:val="nil"/>
              <w:bottom w:val="single" w:sz="4" w:space="0" w:color="auto"/>
              <w:right w:val="single" w:sz="4" w:space="0" w:color="auto"/>
            </w:tcBorders>
            <w:noWrap/>
            <w:vAlign w:val="bottom"/>
            <w:hideMark/>
          </w:tcPr>
          <w:p w14:paraId="7BFAFFE5"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Sunkios</w:t>
            </w:r>
          </w:p>
        </w:tc>
        <w:tc>
          <w:tcPr>
            <w:tcW w:w="1220" w:type="dxa"/>
            <w:tcBorders>
              <w:top w:val="nil"/>
              <w:left w:val="nil"/>
              <w:bottom w:val="single" w:sz="4" w:space="0" w:color="auto"/>
              <w:right w:val="single" w:sz="4" w:space="0" w:color="auto"/>
            </w:tcBorders>
            <w:noWrap/>
            <w:vAlign w:val="bottom"/>
            <w:hideMark/>
          </w:tcPr>
          <w:p w14:paraId="6737FBE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237</w:t>
            </w:r>
          </w:p>
        </w:tc>
        <w:tc>
          <w:tcPr>
            <w:tcW w:w="1080" w:type="dxa"/>
            <w:tcBorders>
              <w:top w:val="nil"/>
              <w:left w:val="nil"/>
              <w:bottom w:val="single" w:sz="4" w:space="0" w:color="auto"/>
              <w:right w:val="single" w:sz="4" w:space="0" w:color="auto"/>
            </w:tcBorders>
            <w:noWrap/>
            <w:vAlign w:val="bottom"/>
            <w:hideMark/>
          </w:tcPr>
          <w:p w14:paraId="69C70B81"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35</w:t>
            </w:r>
          </w:p>
        </w:tc>
        <w:tc>
          <w:tcPr>
            <w:tcW w:w="1120" w:type="dxa"/>
            <w:tcBorders>
              <w:top w:val="nil"/>
              <w:left w:val="nil"/>
              <w:bottom w:val="single" w:sz="4" w:space="0" w:color="auto"/>
              <w:right w:val="single" w:sz="4" w:space="0" w:color="auto"/>
            </w:tcBorders>
            <w:noWrap/>
            <w:vAlign w:val="bottom"/>
            <w:hideMark/>
          </w:tcPr>
          <w:p w14:paraId="14113E1D"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106</w:t>
            </w:r>
          </w:p>
        </w:tc>
        <w:tc>
          <w:tcPr>
            <w:tcW w:w="1200" w:type="dxa"/>
            <w:tcBorders>
              <w:top w:val="nil"/>
              <w:left w:val="nil"/>
              <w:bottom w:val="single" w:sz="4" w:space="0" w:color="auto"/>
              <w:right w:val="single" w:sz="4" w:space="0" w:color="auto"/>
            </w:tcBorders>
            <w:noWrap/>
            <w:vAlign w:val="bottom"/>
            <w:hideMark/>
          </w:tcPr>
          <w:p w14:paraId="7488A7BD"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27</w:t>
            </w:r>
          </w:p>
        </w:tc>
        <w:tc>
          <w:tcPr>
            <w:tcW w:w="1240" w:type="dxa"/>
            <w:tcBorders>
              <w:top w:val="nil"/>
              <w:left w:val="nil"/>
              <w:bottom w:val="single" w:sz="4" w:space="0" w:color="auto"/>
              <w:right w:val="single" w:sz="4" w:space="0" w:color="auto"/>
            </w:tcBorders>
            <w:noWrap/>
            <w:vAlign w:val="bottom"/>
            <w:hideMark/>
          </w:tcPr>
          <w:p w14:paraId="3997E94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13DC5C86"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860" w:type="dxa"/>
            <w:tcBorders>
              <w:top w:val="nil"/>
              <w:left w:val="nil"/>
              <w:bottom w:val="single" w:sz="4" w:space="0" w:color="auto"/>
              <w:right w:val="single" w:sz="4" w:space="0" w:color="auto"/>
            </w:tcBorders>
            <w:noWrap/>
            <w:vAlign w:val="bottom"/>
            <w:hideMark/>
          </w:tcPr>
          <w:p w14:paraId="07D64877"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407</w:t>
            </w:r>
          </w:p>
        </w:tc>
      </w:tr>
      <w:tr w:rsidR="007A0055" w:rsidRPr="009770B5" w14:paraId="2669AA1D" w14:textId="77777777" w:rsidTr="007A0055">
        <w:trPr>
          <w:trHeight w:val="300"/>
        </w:trPr>
        <w:tc>
          <w:tcPr>
            <w:tcW w:w="840" w:type="dxa"/>
            <w:vMerge/>
            <w:tcBorders>
              <w:top w:val="nil"/>
              <w:left w:val="single" w:sz="4" w:space="0" w:color="auto"/>
              <w:bottom w:val="single" w:sz="8" w:space="0" w:color="000000"/>
              <w:right w:val="single" w:sz="4" w:space="0" w:color="auto"/>
            </w:tcBorders>
            <w:vAlign w:val="center"/>
            <w:hideMark/>
          </w:tcPr>
          <w:p w14:paraId="0FE720A7" w14:textId="77777777" w:rsidR="007A0055" w:rsidRPr="009770B5" w:rsidRDefault="007A0055" w:rsidP="00E93DFD">
            <w:pPr>
              <w:spacing w:after="0"/>
              <w:jc w:val="center"/>
              <w:rPr>
                <w:rFonts w:eastAsia="Times New Roman" w:cs="Times New Roman"/>
                <w:color w:val="000000"/>
                <w:sz w:val="20"/>
                <w:szCs w:val="20"/>
                <w:lang w:val="lt-LT" w:eastAsia="lt-LT"/>
              </w:rPr>
            </w:pPr>
          </w:p>
        </w:tc>
        <w:tc>
          <w:tcPr>
            <w:tcW w:w="1120" w:type="dxa"/>
            <w:tcBorders>
              <w:top w:val="nil"/>
              <w:left w:val="nil"/>
              <w:bottom w:val="single" w:sz="8" w:space="0" w:color="auto"/>
              <w:right w:val="single" w:sz="4" w:space="0" w:color="auto"/>
            </w:tcBorders>
            <w:shd w:val="clear" w:color="000000" w:fill="D9D9D9"/>
            <w:noWrap/>
            <w:vAlign w:val="bottom"/>
            <w:hideMark/>
          </w:tcPr>
          <w:p w14:paraId="30DC6755"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Viso</w:t>
            </w:r>
          </w:p>
        </w:tc>
        <w:tc>
          <w:tcPr>
            <w:tcW w:w="1220" w:type="dxa"/>
            <w:tcBorders>
              <w:top w:val="nil"/>
              <w:left w:val="nil"/>
              <w:bottom w:val="single" w:sz="8" w:space="0" w:color="auto"/>
              <w:right w:val="single" w:sz="4" w:space="0" w:color="auto"/>
            </w:tcBorders>
            <w:shd w:val="clear" w:color="000000" w:fill="D9D9D9"/>
            <w:noWrap/>
            <w:vAlign w:val="bottom"/>
            <w:hideMark/>
          </w:tcPr>
          <w:p w14:paraId="1274F85B"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3396</w:t>
            </w:r>
          </w:p>
        </w:tc>
        <w:tc>
          <w:tcPr>
            <w:tcW w:w="1080" w:type="dxa"/>
            <w:tcBorders>
              <w:top w:val="nil"/>
              <w:left w:val="nil"/>
              <w:bottom w:val="single" w:sz="8" w:space="0" w:color="auto"/>
              <w:right w:val="single" w:sz="4" w:space="0" w:color="auto"/>
            </w:tcBorders>
            <w:shd w:val="clear" w:color="000000" w:fill="D9D9D9"/>
            <w:noWrap/>
            <w:vAlign w:val="bottom"/>
            <w:hideMark/>
          </w:tcPr>
          <w:p w14:paraId="2C6871AF"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611</w:t>
            </w:r>
          </w:p>
        </w:tc>
        <w:tc>
          <w:tcPr>
            <w:tcW w:w="1120" w:type="dxa"/>
            <w:tcBorders>
              <w:top w:val="nil"/>
              <w:left w:val="nil"/>
              <w:bottom w:val="single" w:sz="8" w:space="0" w:color="auto"/>
              <w:right w:val="single" w:sz="4" w:space="0" w:color="auto"/>
            </w:tcBorders>
            <w:shd w:val="clear" w:color="000000" w:fill="D9D9D9"/>
            <w:noWrap/>
            <w:vAlign w:val="bottom"/>
            <w:hideMark/>
          </w:tcPr>
          <w:p w14:paraId="3DDE0A03"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2292</w:t>
            </w:r>
          </w:p>
        </w:tc>
        <w:tc>
          <w:tcPr>
            <w:tcW w:w="1200" w:type="dxa"/>
            <w:tcBorders>
              <w:top w:val="nil"/>
              <w:left w:val="nil"/>
              <w:bottom w:val="single" w:sz="8" w:space="0" w:color="auto"/>
              <w:right w:val="single" w:sz="4" w:space="0" w:color="auto"/>
            </w:tcBorders>
            <w:shd w:val="clear" w:color="000000" w:fill="D9D9D9"/>
            <w:noWrap/>
            <w:vAlign w:val="bottom"/>
            <w:hideMark/>
          </w:tcPr>
          <w:p w14:paraId="0A32DADA"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479</w:t>
            </w:r>
          </w:p>
        </w:tc>
        <w:tc>
          <w:tcPr>
            <w:tcW w:w="1240" w:type="dxa"/>
            <w:tcBorders>
              <w:top w:val="nil"/>
              <w:left w:val="nil"/>
              <w:bottom w:val="single" w:sz="8" w:space="0" w:color="auto"/>
              <w:right w:val="single" w:sz="4" w:space="0" w:color="auto"/>
            </w:tcBorders>
            <w:shd w:val="clear" w:color="000000" w:fill="D9D9D9"/>
            <w:noWrap/>
            <w:vAlign w:val="bottom"/>
            <w:hideMark/>
          </w:tcPr>
          <w:p w14:paraId="5C0294CA"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8" w:space="0" w:color="auto"/>
              <w:right w:val="single" w:sz="4" w:space="0" w:color="auto"/>
            </w:tcBorders>
            <w:shd w:val="clear" w:color="000000" w:fill="D9D9D9"/>
            <w:noWrap/>
            <w:vAlign w:val="bottom"/>
            <w:hideMark/>
          </w:tcPr>
          <w:p w14:paraId="6A13010B"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30</w:t>
            </w:r>
          </w:p>
        </w:tc>
        <w:tc>
          <w:tcPr>
            <w:tcW w:w="860" w:type="dxa"/>
            <w:tcBorders>
              <w:top w:val="nil"/>
              <w:left w:val="nil"/>
              <w:bottom w:val="single" w:sz="8" w:space="0" w:color="auto"/>
              <w:right w:val="single" w:sz="4" w:space="0" w:color="auto"/>
            </w:tcBorders>
            <w:shd w:val="clear" w:color="000000" w:fill="D9D9D9"/>
            <w:noWrap/>
            <w:vAlign w:val="bottom"/>
            <w:hideMark/>
          </w:tcPr>
          <w:p w14:paraId="761BDFE7"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6808</w:t>
            </w:r>
          </w:p>
        </w:tc>
      </w:tr>
      <w:tr w:rsidR="007A0055" w:rsidRPr="009770B5" w14:paraId="345112EB" w14:textId="77777777" w:rsidTr="007A0055">
        <w:trPr>
          <w:trHeight w:val="288"/>
        </w:trPr>
        <w:tc>
          <w:tcPr>
            <w:tcW w:w="840" w:type="dxa"/>
            <w:vMerge w:val="restart"/>
            <w:tcBorders>
              <w:top w:val="nil"/>
              <w:left w:val="single" w:sz="4" w:space="0" w:color="auto"/>
              <w:bottom w:val="single" w:sz="8" w:space="0" w:color="000000"/>
              <w:right w:val="single" w:sz="4" w:space="0" w:color="auto"/>
            </w:tcBorders>
            <w:vAlign w:val="bottom"/>
            <w:hideMark/>
          </w:tcPr>
          <w:p w14:paraId="3EAFE47D" w14:textId="77777777" w:rsidR="007A0055" w:rsidRPr="009770B5" w:rsidRDefault="007A0055" w:rsidP="00E93DFD">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2022</w:t>
            </w:r>
          </w:p>
        </w:tc>
        <w:tc>
          <w:tcPr>
            <w:tcW w:w="1120" w:type="dxa"/>
            <w:tcBorders>
              <w:top w:val="nil"/>
              <w:left w:val="nil"/>
              <w:bottom w:val="single" w:sz="4" w:space="0" w:color="auto"/>
              <w:right w:val="single" w:sz="4" w:space="0" w:color="auto"/>
            </w:tcBorders>
            <w:noWrap/>
            <w:vAlign w:val="bottom"/>
            <w:hideMark/>
          </w:tcPr>
          <w:p w14:paraId="7CDD73F6"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Nesunkios</w:t>
            </w:r>
          </w:p>
        </w:tc>
        <w:tc>
          <w:tcPr>
            <w:tcW w:w="1220" w:type="dxa"/>
            <w:tcBorders>
              <w:top w:val="nil"/>
              <w:left w:val="nil"/>
              <w:bottom w:val="single" w:sz="4" w:space="0" w:color="auto"/>
              <w:right w:val="single" w:sz="4" w:space="0" w:color="auto"/>
            </w:tcBorders>
            <w:noWrap/>
            <w:vAlign w:val="bottom"/>
            <w:hideMark/>
          </w:tcPr>
          <w:p w14:paraId="56B69B6D"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907</w:t>
            </w:r>
          </w:p>
        </w:tc>
        <w:tc>
          <w:tcPr>
            <w:tcW w:w="1080" w:type="dxa"/>
            <w:tcBorders>
              <w:top w:val="nil"/>
              <w:left w:val="nil"/>
              <w:bottom w:val="single" w:sz="4" w:space="0" w:color="auto"/>
              <w:right w:val="single" w:sz="4" w:space="0" w:color="auto"/>
            </w:tcBorders>
            <w:noWrap/>
            <w:vAlign w:val="bottom"/>
            <w:hideMark/>
          </w:tcPr>
          <w:p w14:paraId="36759691"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71</w:t>
            </w:r>
          </w:p>
        </w:tc>
        <w:tc>
          <w:tcPr>
            <w:tcW w:w="1120" w:type="dxa"/>
            <w:tcBorders>
              <w:top w:val="nil"/>
              <w:left w:val="nil"/>
              <w:bottom w:val="single" w:sz="4" w:space="0" w:color="auto"/>
              <w:right w:val="single" w:sz="4" w:space="0" w:color="auto"/>
            </w:tcBorders>
            <w:noWrap/>
            <w:vAlign w:val="bottom"/>
            <w:hideMark/>
          </w:tcPr>
          <w:p w14:paraId="581DF6B7"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81</w:t>
            </w:r>
          </w:p>
        </w:tc>
        <w:tc>
          <w:tcPr>
            <w:tcW w:w="1200" w:type="dxa"/>
            <w:tcBorders>
              <w:top w:val="nil"/>
              <w:left w:val="nil"/>
              <w:bottom w:val="single" w:sz="4" w:space="0" w:color="auto"/>
              <w:right w:val="single" w:sz="4" w:space="0" w:color="auto"/>
            </w:tcBorders>
            <w:noWrap/>
            <w:vAlign w:val="bottom"/>
            <w:hideMark/>
          </w:tcPr>
          <w:p w14:paraId="108EB39C"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64</w:t>
            </w:r>
          </w:p>
        </w:tc>
        <w:tc>
          <w:tcPr>
            <w:tcW w:w="1240" w:type="dxa"/>
            <w:tcBorders>
              <w:top w:val="nil"/>
              <w:left w:val="nil"/>
              <w:bottom w:val="single" w:sz="4" w:space="0" w:color="auto"/>
              <w:right w:val="single" w:sz="4" w:space="0" w:color="auto"/>
            </w:tcBorders>
            <w:noWrap/>
            <w:vAlign w:val="bottom"/>
            <w:hideMark/>
          </w:tcPr>
          <w:p w14:paraId="4D8D1514"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1240" w:type="dxa"/>
            <w:tcBorders>
              <w:top w:val="nil"/>
              <w:left w:val="nil"/>
              <w:bottom w:val="single" w:sz="4" w:space="0" w:color="auto"/>
              <w:right w:val="single" w:sz="4" w:space="0" w:color="auto"/>
            </w:tcBorders>
            <w:noWrap/>
            <w:vAlign w:val="bottom"/>
            <w:hideMark/>
          </w:tcPr>
          <w:p w14:paraId="386E7CF4"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860" w:type="dxa"/>
            <w:tcBorders>
              <w:top w:val="nil"/>
              <w:left w:val="nil"/>
              <w:bottom w:val="single" w:sz="4" w:space="0" w:color="auto"/>
              <w:right w:val="single" w:sz="4" w:space="0" w:color="auto"/>
            </w:tcBorders>
            <w:noWrap/>
            <w:vAlign w:val="bottom"/>
            <w:hideMark/>
          </w:tcPr>
          <w:p w14:paraId="01BC6A9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1127</w:t>
            </w:r>
          </w:p>
        </w:tc>
      </w:tr>
      <w:tr w:rsidR="007A0055" w:rsidRPr="009770B5" w14:paraId="5D8076C5" w14:textId="77777777" w:rsidTr="007A0055">
        <w:trPr>
          <w:trHeight w:val="288"/>
        </w:trPr>
        <w:tc>
          <w:tcPr>
            <w:tcW w:w="840" w:type="dxa"/>
            <w:vMerge/>
            <w:tcBorders>
              <w:top w:val="nil"/>
              <w:left w:val="single" w:sz="4" w:space="0" w:color="auto"/>
              <w:bottom w:val="single" w:sz="8" w:space="0" w:color="000000"/>
              <w:right w:val="single" w:sz="4" w:space="0" w:color="auto"/>
            </w:tcBorders>
            <w:vAlign w:val="center"/>
            <w:hideMark/>
          </w:tcPr>
          <w:p w14:paraId="254F9DD6" w14:textId="77777777" w:rsidR="007A0055" w:rsidRPr="009770B5" w:rsidRDefault="007A0055" w:rsidP="00E93DFD">
            <w:pPr>
              <w:spacing w:after="0"/>
              <w:jc w:val="center"/>
              <w:rPr>
                <w:rFonts w:eastAsia="Times New Roman" w:cs="Times New Roman"/>
                <w:color w:val="000000"/>
                <w:sz w:val="20"/>
                <w:szCs w:val="20"/>
                <w:lang w:val="lt-LT" w:eastAsia="lt-LT"/>
              </w:rPr>
            </w:pPr>
          </w:p>
        </w:tc>
        <w:tc>
          <w:tcPr>
            <w:tcW w:w="1120" w:type="dxa"/>
            <w:tcBorders>
              <w:top w:val="nil"/>
              <w:left w:val="nil"/>
              <w:bottom w:val="single" w:sz="4" w:space="0" w:color="auto"/>
              <w:right w:val="single" w:sz="4" w:space="0" w:color="auto"/>
            </w:tcBorders>
            <w:noWrap/>
            <w:vAlign w:val="bottom"/>
            <w:hideMark/>
          </w:tcPr>
          <w:p w14:paraId="7A66EAC3"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Sunkios</w:t>
            </w:r>
          </w:p>
        </w:tc>
        <w:tc>
          <w:tcPr>
            <w:tcW w:w="1220" w:type="dxa"/>
            <w:tcBorders>
              <w:top w:val="nil"/>
              <w:left w:val="nil"/>
              <w:bottom w:val="single" w:sz="4" w:space="0" w:color="auto"/>
              <w:right w:val="single" w:sz="4" w:space="0" w:color="auto"/>
            </w:tcBorders>
            <w:noWrap/>
            <w:vAlign w:val="bottom"/>
            <w:hideMark/>
          </w:tcPr>
          <w:p w14:paraId="59493ABE"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90</w:t>
            </w:r>
          </w:p>
        </w:tc>
        <w:tc>
          <w:tcPr>
            <w:tcW w:w="1080" w:type="dxa"/>
            <w:tcBorders>
              <w:top w:val="nil"/>
              <w:left w:val="nil"/>
              <w:bottom w:val="single" w:sz="4" w:space="0" w:color="auto"/>
              <w:right w:val="single" w:sz="4" w:space="0" w:color="auto"/>
            </w:tcBorders>
            <w:noWrap/>
            <w:vAlign w:val="bottom"/>
            <w:hideMark/>
          </w:tcPr>
          <w:p w14:paraId="695F674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w:t>
            </w:r>
          </w:p>
        </w:tc>
        <w:tc>
          <w:tcPr>
            <w:tcW w:w="1120" w:type="dxa"/>
            <w:tcBorders>
              <w:top w:val="nil"/>
              <w:left w:val="nil"/>
              <w:bottom w:val="single" w:sz="4" w:space="0" w:color="auto"/>
              <w:right w:val="single" w:sz="4" w:space="0" w:color="auto"/>
            </w:tcBorders>
            <w:noWrap/>
            <w:vAlign w:val="bottom"/>
            <w:hideMark/>
          </w:tcPr>
          <w:p w14:paraId="0C093FD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4</w:t>
            </w:r>
          </w:p>
        </w:tc>
        <w:tc>
          <w:tcPr>
            <w:tcW w:w="1200" w:type="dxa"/>
            <w:tcBorders>
              <w:top w:val="nil"/>
              <w:left w:val="nil"/>
              <w:bottom w:val="single" w:sz="4" w:space="0" w:color="auto"/>
              <w:right w:val="single" w:sz="4" w:space="0" w:color="auto"/>
            </w:tcBorders>
            <w:noWrap/>
            <w:vAlign w:val="bottom"/>
            <w:hideMark/>
          </w:tcPr>
          <w:p w14:paraId="59E223E5"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1240" w:type="dxa"/>
            <w:tcBorders>
              <w:top w:val="nil"/>
              <w:left w:val="nil"/>
              <w:bottom w:val="single" w:sz="4" w:space="0" w:color="auto"/>
              <w:right w:val="single" w:sz="4" w:space="0" w:color="auto"/>
            </w:tcBorders>
            <w:noWrap/>
            <w:vAlign w:val="bottom"/>
            <w:hideMark/>
          </w:tcPr>
          <w:p w14:paraId="5387E267"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1F057DEF"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1</w:t>
            </w:r>
          </w:p>
        </w:tc>
        <w:tc>
          <w:tcPr>
            <w:tcW w:w="860" w:type="dxa"/>
            <w:tcBorders>
              <w:top w:val="nil"/>
              <w:left w:val="nil"/>
              <w:bottom w:val="single" w:sz="4" w:space="0" w:color="auto"/>
              <w:right w:val="single" w:sz="4" w:space="0" w:color="auto"/>
            </w:tcBorders>
            <w:noWrap/>
            <w:vAlign w:val="bottom"/>
            <w:hideMark/>
          </w:tcPr>
          <w:p w14:paraId="30BCFE9C"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100</w:t>
            </w:r>
          </w:p>
        </w:tc>
      </w:tr>
      <w:tr w:rsidR="007A0055" w:rsidRPr="009770B5" w14:paraId="036F69AE" w14:textId="77777777" w:rsidTr="007A0055">
        <w:trPr>
          <w:trHeight w:val="300"/>
        </w:trPr>
        <w:tc>
          <w:tcPr>
            <w:tcW w:w="840" w:type="dxa"/>
            <w:vMerge/>
            <w:tcBorders>
              <w:top w:val="nil"/>
              <w:left w:val="single" w:sz="4" w:space="0" w:color="auto"/>
              <w:bottom w:val="single" w:sz="8" w:space="0" w:color="000000"/>
              <w:right w:val="single" w:sz="4" w:space="0" w:color="auto"/>
            </w:tcBorders>
            <w:vAlign w:val="center"/>
            <w:hideMark/>
          </w:tcPr>
          <w:p w14:paraId="24594413" w14:textId="77777777" w:rsidR="007A0055" w:rsidRPr="009770B5" w:rsidRDefault="007A0055" w:rsidP="00E93DFD">
            <w:pPr>
              <w:spacing w:after="0"/>
              <w:jc w:val="center"/>
              <w:rPr>
                <w:rFonts w:eastAsia="Times New Roman" w:cs="Times New Roman"/>
                <w:color w:val="000000"/>
                <w:sz w:val="20"/>
                <w:szCs w:val="20"/>
                <w:lang w:val="lt-LT" w:eastAsia="lt-LT"/>
              </w:rPr>
            </w:pPr>
          </w:p>
        </w:tc>
        <w:tc>
          <w:tcPr>
            <w:tcW w:w="1120" w:type="dxa"/>
            <w:tcBorders>
              <w:top w:val="nil"/>
              <w:left w:val="nil"/>
              <w:bottom w:val="single" w:sz="8" w:space="0" w:color="auto"/>
              <w:right w:val="single" w:sz="4" w:space="0" w:color="auto"/>
            </w:tcBorders>
            <w:shd w:val="clear" w:color="000000" w:fill="D9D9D9"/>
            <w:noWrap/>
            <w:vAlign w:val="bottom"/>
            <w:hideMark/>
          </w:tcPr>
          <w:p w14:paraId="0F9564F2"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Viso</w:t>
            </w:r>
          </w:p>
        </w:tc>
        <w:tc>
          <w:tcPr>
            <w:tcW w:w="1220" w:type="dxa"/>
            <w:tcBorders>
              <w:top w:val="nil"/>
              <w:left w:val="nil"/>
              <w:bottom w:val="single" w:sz="8" w:space="0" w:color="auto"/>
              <w:right w:val="single" w:sz="4" w:space="0" w:color="auto"/>
            </w:tcBorders>
            <w:shd w:val="clear" w:color="000000" w:fill="D9D9D9"/>
            <w:noWrap/>
            <w:vAlign w:val="bottom"/>
            <w:hideMark/>
          </w:tcPr>
          <w:p w14:paraId="714E5BCC"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997</w:t>
            </w:r>
          </w:p>
        </w:tc>
        <w:tc>
          <w:tcPr>
            <w:tcW w:w="1080" w:type="dxa"/>
            <w:tcBorders>
              <w:top w:val="nil"/>
              <w:left w:val="nil"/>
              <w:bottom w:val="single" w:sz="8" w:space="0" w:color="auto"/>
              <w:right w:val="single" w:sz="4" w:space="0" w:color="auto"/>
            </w:tcBorders>
            <w:shd w:val="clear" w:color="000000" w:fill="D9D9D9"/>
            <w:noWrap/>
            <w:vAlign w:val="bottom"/>
            <w:hideMark/>
          </w:tcPr>
          <w:p w14:paraId="662490AD"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74</w:t>
            </w:r>
          </w:p>
        </w:tc>
        <w:tc>
          <w:tcPr>
            <w:tcW w:w="1120" w:type="dxa"/>
            <w:tcBorders>
              <w:top w:val="nil"/>
              <w:left w:val="nil"/>
              <w:bottom w:val="single" w:sz="8" w:space="0" w:color="auto"/>
              <w:right w:val="single" w:sz="4" w:space="0" w:color="auto"/>
            </w:tcBorders>
            <w:shd w:val="clear" w:color="000000" w:fill="D9D9D9"/>
            <w:noWrap/>
            <w:vAlign w:val="bottom"/>
            <w:hideMark/>
          </w:tcPr>
          <w:p w14:paraId="23CF2886"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85</w:t>
            </w:r>
          </w:p>
        </w:tc>
        <w:tc>
          <w:tcPr>
            <w:tcW w:w="1200" w:type="dxa"/>
            <w:tcBorders>
              <w:top w:val="nil"/>
              <w:left w:val="nil"/>
              <w:bottom w:val="single" w:sz="8" w:space="0" w:color="auto"/>
              <w:right w:val="single" w:sz="4" w:space="0" w:color="auto"/>
            </w:tcBorders>
            <w:shd w:val="clear" w:color="000000" w:fill="D9D9D9"/>
            <w:noWrap/>
            <w:vAlign w:val="bottom"/>
            <w:hideMark/>
          </w:tcPr>
          <w:p w14:paraId="5D5250D4"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66</w:t>
            </w:r>
          </w:p>
        </w:tc>
        <w:tc>
          <w:tcPr>
            <w:tcW w:w="1240" w:type="dxa"/>
            <w:tcBorders>
              <w:top w:val="nil"/>
              <w:left w:val="nil"/>
              <w:bottom w:val="single" w:sz="8" w:space="0" w:color="auto"/>
              <w:right w:val="single" w:sz="4" w:space="0" w:color="auto"/>
            </w:tcBorders>
            <w:shd w:val="clear" w:color="000000" w:fill="D9D9D9"/>
            <w:noWrap/>
            <w:vAlign w:val="bottom"/>
            <w:hideMark/>
          </w:tcPr>
          <w:p w14:paraId="39F3BF0A"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1240" w:type="dxa"/>
            <w:tcBorders>
              <w:top w:val="nil"/>
              <w:left w:val="nil"/>
              <w:bottom w:val="single" w:sz="8" w:space="0" w:color="auto"/>
              <w:right w:val="single" w:sz="4" w:space="0" w:color="auto"/>
            </w:tcBorders>
            <w:shd w:val="clear" w:color="000000" w:fill="D9D9D9"/>
            <w:noWrap/>
            <w:vAlign w:val="bottom"/>
            <w:hideMark/>
          </w:tcPr>
          <w:p w14:paraId="56F4BD4C"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w:t>
            </w:r>
          </w:p>
        </w:tc>
        <w:tc>
          <w:tcPr>
            <w:tcW w:w="860" w:type="dxa"/>
            <w:tcBorders>
              <w:top w:val="nil"/>
              <w:left w:val="nil"/>
              <w:bottom w:val="single" w:sz="8" w:space="0" w:color="auto"/>
              <w:right w:val="single" w:sz="4" w:space="0" w:color="auto"/>
            </w:tcBorders>
            <w:shd w:val="clear" w:color="000000" w:fill="D9D9D9"/>
            <w:noWrap/>
            <w:vAlign w:val="bottom"/>
            <w:hideMark/>
          </w:tcPr>
          <w:p w14:paraId="060EDE36"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1227</w:t>
            </w:r>
          </w:p>
        </w:tc>
      </w:tr>
      <w:tr w:rsidR="007A0055" w:rsidRPr="009770B5" w14:paraId="7BDA70CD" w14:textId="77777777" w:rsidTr="007A0055">
        <w:trPr>
          <w:trHeight w:val="288"/>
        </w:trPr>
        <w:tc>
          <w:tcPr>
            <w:tcW w:w="840" w:type="dxa"/>
            <w:vMerge w:val="restart"/>
            <w:tcBorders>
              <w:top w:val="nil"/>
              <w:left w:val="single" w:sz="4" w:space="0" w:color="auto"/>
              <w:bottom w:val="single" w:sz="8" w:space="0" w:color="000000"/>
              <w:right w:val="single" w:sz="4" w:space="0" w:color="auto"/>
            </w:tcBorders>
            <w:vAlign w:val="bottom"/>
            <w:hideMark/>
          </w:tcPr>
          <w:p w14:paraId="6435E431" w14:textId="77777777" w:rsidR="007A0055" w:rsidRPr="009770B5" w:rsidRDefault="007A0055" w:rsidP="00E93DFD">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2023</w:t>
            </w:r>
          </w:p>
        </w:tc>
        <w:tc>
          <w:tcPr>
            <w:tcW w:w="1120" w:type="dxa"/>
            <w:tcBorders>
              <w:top w:val="nil"/>
              <w:left w:val="nil"/>
              <w:bottom w:val="single" w:sz="4" w:space="0" w:color="auto"/>
              <w:right w:val="single" w:sz="4" w:space="0" w:color="auto"/>
            </w:tcBorders>
            <w:noWrap/>
            <w:vAlign w:val="bottom"/>
            <w:hideMark/>
          </w:tcPr>
          <w:p w14:paraId="02801D8C"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Nesunkios</w:t>
            </w:r>
          </w:p>
        </w:tc>
        <w:tc>
          <w:tcPr>
            <w:tcW w:w="1220" w:type="dxa"/>
            <w:tcBorders>
              <w:top w:val="nil"/>
              <w:left w:val="nil"/>
              <w:bottom w:val="single" w:sz="4" w:space="0" w:color="auto"/>
              <w:right w:val="single" w:sz="4" w:space="0" w:color="auto"/>
            </w:tcBorders>
            <w:noWrap/>
            <w:vAlign w:val="bottom"/>
            <w:hideMark/>
          </w:tcPr>
          <w:p w14:paraId="07FA2D00"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12</w:t>
            </w:r>
          </w:p>
        </w:tc>
        <w:tc>
          <w:tcPr>
            <w:tcW w:w="1080" w:type="dxa"/>
            <w:tcBorders>
              <w:top w:val="nil"/>
              <w:left w:val="nil"/>
              <w:bottom w:val="single" w:sz="4" w:space="0" w:color="auto"/>
              <w:right w:val="single" w:sz="4" w:space="0" w:color="auto"/>
            </w:tcBorders>
            <w:noWrap/>
            <w:vAlign w:val="bottom"/>
            <w:hideMark/>
          </w:tcPr>
          <w:p w14:paraId="239D01C4"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120" w:type="dxa"/>
            <w:tcBorders>
              <w:top w:val="nil"/>
              <w:left w:val="nil"/>
              <w:bottom w:val="single" w:sz="4" w:space="0" w:color="auto"/>
              <w:right w:val="single" w:sz="4" w:space="0" w:color="auto"/>
            </w:tcBorders>
            <w:noWrap/>
            <w:vAlign w:val="bottom"/>
            <w:hideMark/>
          </w:tcPr>
          <w:p w14:paraId="59597F7A"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6</w:t>
            </w:r>
          </w:p>
        </w:tc>
        <w:tc>
          <w:tcPr>
            <w:tcW w:w="1200" w:type="dxa"/>
            <w:tcBorders>
              <w:top w:val="nil"/>
              <w:left w:val="nil"/>
              <w:bottom w:val="single" w:sz="4" w:space="0" w:color="auto"/>
              <w:right w:val="single" w:sz="4" w:space="0" w:color="auto"/>
            </w:tcBorders>
            <w:noWrap/>
            <w:vAlign w:val="bottom"/>
            <w:hideMark/>
          </w:tcPr>
          <w:p w14:paraId="597C609F"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w:t>
            </w:r>
          </w:p>
        </w:tc>
        <w:tc>
          <w:tcPr>
            <w:tcW w:w="1240" w:type="dxa"/>
            <w:tcBorders>
              <w:top w:val="nil"/>
              <w:left w:val="nil"/>
              <w:bottom w:val="single" w:sz="4" w:space="0" w:color="auto"/>
              <w:right w:val="single" w:sz="4" w:space="0" w:color="auto"/>
            </w:tcBorders>
            <w:noWrap/>
            <w:vAlign w:val="bottom"/>
            <w:hideMark/>
          </w:tcPr>
          <w:p w14:paraId="1393882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1DDA480F"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860" w:type="dxa"/>
            <w:tcBorders>
              <w:top w:val="nil"/>
              <w:left w:val="nil"/>
              <w:bottom w:val="single" w:sz="4" w:space="0" w:color="auto"/>
              <w:right w:val="single" w:sz="4" w:space="0" w:color="auto"/>
            </w:tcBorders>
            <w:noWrap/>
            <w:vAlign w:val="bottom"/>
            <w:hideMark/>
          </w:tcPr>
          <w:p w14:paraId="5A0B3AC5"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21</w:t>
            </w:r>
          </w:p>
        </w:tc>
      </w:tr>
      <w:tr w:rsidR="007A0055" w:rsidRPr="009770B5" w14:paraId="27C0986D" w14:textId="77777777" w:rsidTr="007A0055">
        <w:trPr>
          <w:trHeight w:val="288"/>
        </w:trPr>
        <w:tc>
          <w:tcPr>
            <w:tcW w:w="840" w:type="dxa"/>
            <w:vMerge/>
            <w:tcBorders>
              <w:top w:val="nil"/>
              <w:left w:val="single" w:sz="4" w:space="0" w:color="auto"/>
              <w:bottom w:val="single" w:sz="8" w:space="0" w:color="000000"/>
              <w:right w:val="single" w:sz="4" w:space="0" w:color="auto"/>
            </w:tcBorders>
            <w:vAlign w:val="center"/>
            <w:hideMark/>
          </w:tcPr>
          <w:p w14:paraId="0626757E" w14:textId="77777777" w:rsidR="007A0055" w:rsidRPr="009770B5" w:rsidRDefault="007A0055" w:rsidP="00E93DFD">
            <w:pPr>
              <w:spacing w:after="0"/>
              <w:jc w:val="center"/>
              <w:rPr>
                <w:rFonts w:eastAsia="Times New Roman" w:cs="Times New Roman"/>
                <w:color w:val="000000"/>
                <w:sz w:val="20"/>
                <w:szCs w:val="20"/>
                <w:lang w:val="lt-LT" w:eastAsia="lt-LT"/>
              </w:rPr>
            </w:pPr>
          </w:p>
        </w:tc>
        <w:tc>
          <w:tcPr>
            <w:tcW w:w="1120" w:type="dxa"/>
            <w:tcBorders>
              <w:top w:val="nil"/>
              <w:left w:val="nil"/>
              <w:bottom w:val="single" w:sz="4" w:space="0" w:color="auto"/>
              <w:right w:val="single" w:sz="4" w:space="0" w:color="auto"/>
            </w:tcBorders>
            <w:noWrap/>
            <w:vAlign w:val="bottom"/>
            <w:hideMark/>
          </w:tcPr>
          <w:p w14:paraId="0C76108F"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Sunkios</w:t>
            </w:r>
          </w:p>
        </w:tc>
        <w:tc>
          <w:tcPr>
            <w:tcW w:w="1220" w:type="dxa"/>
            <w:tcBorders>
              <w:top w:val="nil"/>
              <w:left w:val="nil"/>
              <w:bottom w:val="single" w:sz="4" w:space="0" w:color="auto"/>
              <w:right w:val="single" w:sz="4" w:space="0" w:color="auto"/>
            </w:tcBorders>
            <w:noWrap/>
            <w:vAlign w:val="bottom"/>
            <w:hideMark/>
          </w:tcPr>
          <w:p w14:paraId="2865F0C1"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10</w:t>
            </w:r>
          </w:p>
        </w:tc>
        <w:tc>
          <w:tcPr>
            <w:tcW w:w="1080" w:type="dxa"/>
            <w:tcBorders>
              <w:top w:val="nil"/>
              <w:left w:val="nil"/>
              <w:bottom w:val="single" w:sz="4" w:space="0" w:color="auto"/>
              <w:right w:val="single" w:sz="4" w:space="0" w:color="auto"/>
            </w:tcBorders>
            <w:noWrap/>
            <w:vAlign w:val="bottom"/>
            <w:hideMark/>
          </w:tcPr>
          <w:p w14:paraId="69D1D56E"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120" w:type="dxa"/>
            <w:tcBorders>
              <w:top w:val="nil"/>
              <w:left w:val="nil"/>
              <w:bottom w:val="single" w:sz="4" w:space="0" w:color="auto"/>
              <w:right w:val="single" w:sz="4" w:space="0" w:color="auto"/>
            </w:tcBorders>
            <w:noWrap/>
            <w:vAlign w:val="bottom"/>
            <w:hideMark/>
          </w:tcPr>
          <w:p w14:paraId="31F5DB71"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00" w:type="dxa"/>
            <w:tcBorders>
              <w:top w:val="nil"/>
              <w:left w:val="nil"/>
              <w:bottom w:val="single" w:sz="4" w:space="0" w:color="auto"/>
              <w:right w:val="single" w:sz="4" w:space="0" w:color="auto"/>
            </w:tcBorders>
            <w:noWrap/>
            <w:vAlign w:val="bottom"/>
            <w:hideMark/>
          </w:tcPr>
          <w:p w14:paraId="3FF048E8"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1240" w:type="dxa"/>
            <w:tcBorders>
              <w:top w:val="nil"/>
              <w:left w:val="nil"/>
              <w:bottom w:val="single" w:sz="4" w:space="0" w:color="auto"/>
              <w:right w:val="single" w:sz="4" w:space="0" w:color="auto"/>
            </w:tcBorders>
            <w:noWrap/>
            <w:vAlign w:val="bottom"/>
            <w:hideMark/>
          </w:tcPr>
          <w:p w14:paraId="0029B15F"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5A8628C1"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860" w:type="dxa"/>
            <w:tcBorders>
              <w:top w:val="nil"/>
              <w:left w:val="nil"/>
              <w:bottom w:val="single" w:sz="4" w:space="0" w:color="auto"/>
              <w:right w:val="single" w:sz="4" w:space="0" w:color="auto"/>
            </w:tcBorders>
            <w:noWrap/>
            <w:vAlign w:val="bottom"/>
            <w:hideMark/>
          </w:tcPr>
          <w:p w14:paraId="67D66A80"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12</w:t>
            </w:r>
          </w:p>
        </w:tc>
      </w:tr>
      <w:tr w:rsidR="007A0055" w:rsidRPr="009770B5" w14:paraId="0C49FAAE" w14:textId="77777777" w:rsidTr="007A0055">
        <w:trPr>
          <w:trHeight w:val="300"/>
        </w:trPr>
        <w:tc>
          <w:tcPr>
            <w:tcW w:w="840" w:type="dxa"/>
            <w:vMerge/>
            <w:tcBorders>
              <w:top w:val="nil"/>
              <w:left w:val="single" w:sz="4" w:space="0" w:color="auto"/>
              <w:bottom w:val="single" w:sz="8" w:space="0" w:color="000000"/>
              <w:right w:val="single" w:sz="4" w:space="0" w:color="auto"/>
            </w:tcBorders>
            <w:vAlign w:val="center"/>
            <w:hideMark/>
          </w:tcPr>
          <w:p w14:paraId="22A464F7" w14:textId="77777777" w:rsidR="007A0055" w:rsidRPr="009770B5" w:rsidRDefault="007A0055" w:rsidP="00E93DFD">
            <w:pPr>
              <w:spacing w:after="0"/>
              <w:jc w:val="center"/>
              <w:rPr>
                <w:rFonts w:eastAsia="Times New Roman" w:cs="Times New Roman"/>
                <w:color w:val="000000"/>
                <w:sz w:val="20"/>
                <w:szCs w:val="20"/>
                <w:lang w:val="lt-LT" w:eastAsia="lt-LT"/>
              </w:rPr>
            </w:pPr>
          </w:p>
        </w:tc>
        <w:tc>
          <w:tcPr>
            <w:tcW w:w="1120" w:type="dxa"/>
            <w:tcBorders>
              <w:top w:val="nil"/>
              <w:left w:val="nil"/>
              <w:bottom w:val="single" w:sz="8" w:space="0" w:color="auto"/>
              <w:right w:val="single" w:sz="4" w:space="0" w:color="auto"/>
            </w:tcBorders>
            <w:shd w:val="clear" w:color="000000" w:fill="D9D9D9"/>
            <w:noWrap/>
            <w:vAlign w:val="bottom"/>
            <w:hideMark/>
          </w:tcPr>
          <w:p w14:paraId="17C229A1"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Viso</w:t>
            </w:r>
          </w:p>
        </w:tc>
        <w:tc>
          <w:tcPr>
            <w:tcW w:w="1220" w:type="dxa"/>
            <w:tcBorders>
              <w:top w:val="nil"/>
              <w:left w:val="nil"/>
              <w:bottom w:val="single" w:sz="8" w:space="0" w:color="auto"/>
              <w:right w:val="single" w:sz="4" w:space="0" w:color="auto"/>
            </w:tcBorders>
            <w:shd w:val="clear" w:color="000000" w:fill="D9D9D9"/>
            <w:noWrap/>
            <w:vAlign w:val="bottom"/>
            <w:hideMark/>
          </w:tcPr>
          <w:p w14:paraId="0EC3CD6C"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22</w:t>
            </w:r>
          </w:p>
        </w:tc>
        <w:tc>
          <w:tcPr>
            <w:tcW w:w="1080" w:type="dxa"/>
            <w:tcBorders>
              <w:top w:val="nil"/>
              <w:left w:val="nil"/>
              <w:bottom w:val="single" w:sz="8" w:space="0" w:color="auto"/>
              <w:right w:val="single" w:sz="4" w:space="0" w:color="auto"/>
            </w:tcBorders>
            <w:shd w:val="clear" w:color="000000" w:fill="D9D9D9"/>
            <w:noWrap/>
            <w:vAlign w:val="bottom"/>
            <w:hideMark/>
          </w:tcPr>
          <w:p w14:paraId="08AC6A1A"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120" w:type="dxa"/>
            <w:tcBorders>
              <w:top w:val="nil"/>
              <w:left w:val="nil"/>
              <w:bottom w:val="single" w:sz="8" w:space="0" w:color="auto"/>
              <w:right w:val="single" w:sz="4" w:space="0" w:color="auto"/>
            </w:tcBorders>
            <w:shd w:val="clear" w:color="000000" w:fill="D9D9D9"/>
            <w:noWrap/>
            <w:vAlign w:val="bottom"/>
            <w:hideMark/>
          </w:tcPr>
          <w:p w14:paraId="596F0DF5"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6</w:t>
            </w:r>
          </w:p>
        </w:tc>
        <w:tc>
          <w:tcPr>
            <w:tcW w:w="1200" w:type="dxa"/>
            <w:tcBorders>
              <w:top w:val="nil"/>
              <w:left w:val="nil"/>
              <w:bottom w:val="single" w:sz="8" w:space="0" w:color="auto"/>
              <w:right w:val="single" w:sz="4" w:space="0" w:color="auto"/>
            </w:tcBorders>
            <w:shd w:val="clear" w:color="000000" w:fill="D9D9D9"/>
            <w:noWrap/>
            <w:vAlign w:val="bottom"/>
            <w:hideMark/>
          </w:tcPr>
          <w:p w14:paraId="147757C8"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5</w:t>
            </w:r>
          </w:p>
        </w:tc>
        <w:tc>
          <w:tcPr>
            <w:tcW w:w="1240" w:type="dxa"/>
            <w:tcBorders>
              <w:top w:val="nil"/>
              <w:left w:val="nil"/>
              <w:bottom w:val="single" w:sz="8" w:space="0" w:color="auto"/>
              <w:right w:val="single" w:sz="4" w:space="0" w:color="auto"/>
            </w:tcBorders>
            <w:shd w:val="clear" w:color="000000" w:fill="D9D9D9"/>
            <w:noWrap/>
            <w:vAlign w:val="bottom"/>
            <w:hideMark/>
          </w:tcPr>
          <w:p w14:paraId="416F5D16"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8" w:space="0" w:color="auto"/>
              <w:right w:val="single" w:sz="4" w:space="0" w:color="auto"/>
            </w:tcBorders>
            <w:shd w:val="clear" w:color="000000" w:fill="D9D9D9"/>
            <w:noWrap/>
            <w:vAlign w:val="bottom"/>
            <w:hideMark/>
          </w:tcPr>
          <w:p w14:paraId="6852EF21"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860" w:type="dxa"/>
            <w:tcBorders>
              <w:top w:val="nil"/>
              <w:left w:val="nil"/>
              <w:bottom w:val="single" w:sz="8" w:space="0" w:color="auto"/>
              <w:right w:val="single" w:sz="4" w:space="0" w:color="auto"/>
            </w:tcBorders>
            <w:shd w:val="clear" w:color="000000" w:fill="D9D9D9"/>
            <w:noWrap/>
            <w:vAlign w:val="bottom"/>
            <w:hideMark/>
          </w:tcPr>
          <w:p w14:paraId="50ACB288"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33</w:t>
            </w:r>
          </w:p>
        </w:tc>
      </w:tr>
      <w:tr w:rsidR="007A0055" w:rsidRPr="009770B5" w14:paraId="56988206" w14:textId="77777777" w:rsidTr="007A0055">
        <w:trPr>
          <w:trHeight w:val="288"/>
        </w:trPr>
        <w:tc>
          <w:tcPr>
            <w:tcW w:w="840" w:type="dxa"/>
            <w:vMerge w:val="restart"/>
            <w:tcBorders>
              <w:top w:val="nil"/>
              <w:left w:val="single" w:sz="4" w:space="0" w:color="auto"/>
              <w:bottom w:val="single" w:sz="8" w:space="0" w:color="000000"/>
              <w:right w:val="single" w:sz="4" w:space="0" w:color="auto"/>
            </w:tcBorders>
            <w:vAlign w:val="bottom"/>
            <w:hideMark/>
          </w:tcPr>
          <w:p w14:paraId="0D228E93" w14:textId="77777777" w:rsidR="007A0055" w:rsidRPr="009770B5" w:rsidRDefault="007A0055" w:rsidP="00E93DFD">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2024</w:t>
            </w:r>
          </w:p>
        </w:tc>
        <w:tc>
          <w:tcPr>
            <w:tcW w:w="1120" w:type="dxa"/>
            <w:tcBorders>
              <w:top w:val="nil"/>
              <w:left w:val="nil"/>
              <w:bottom w:val="single" w:sz="4" w:space="0" w:color="auto"/>
              <w:right w:val="single" w:sz="4" w:space="0" w:color="auto"/>
            </w:tcBorders>
            <w:noWrap/>
            <w:vAlign w:val="bottom"/>
            <w:hideMark/>
          </w:tcPr>
          <w:p w14:paraId="01C45B13"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Nesunkios</w:t>
            </w:r>
          </w:p>
        </w:tc>
        <w:tc>
          <w:tcPr>
            <w:tcW w:w="1220" w:type="dxa"/>
            <w:tcBorders>
              <w:top w:val="nil"/>
              <w:left w:val="nil"/>
              <w:bottom w:val="single" w:sz="4" w:space="0" w:color="auto"/>
              <w:right w:val="single" w:sz="4" w:space="0" w:color="auto"/>
            </w:tcBorders>
            <w:noWrap/>
            <w:vAlign w:val="bottom"/>
            <w:hideMark/>
          </w:tcPr>
          <w:p w14:paraId="64E687D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12</w:t>
            </w:r>
          </w:p>
        </w:tc>
        <w:tc>
          <w:tcPr>
            <w:tcW w:w="1080" w:type="dxa"/>
            <w:tcBorders>
              <w:top w:val="nil"/>
              <w:left w:val="nil"/>
              <w:bottom w:val="single" w:sz="4" w:space="0" w:color="auto"/>
              <w:right w:val="single" w:sz="4" w:space="0" w:color="auto"/>
            </w:tcBorders>
            <w:noWrap/>
            <w:vAlign w:val="bottom"/>
            <w:hideMark/>
          </w:tcPr>
          <w:p w14:paraId="7AF56BAA"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1120" w:type="dxa"/>
            <w:tcBorders>
              <w:top w:val="nil"/>
              <w:left w:val="nil"/>
              <w:bottom w:val="single" w:sz="4" w:space="0" w:color="auto"/>
              <w:right w:val="single" w:sz="4" w:space="0" w:color="auto"/>
            </w:tcBorders>
            <w:noWrap/>
            <w:vAlign w:val="bottom"/>
            <w:hideMark/>
          </w:tcPr>
          <w:p w14:paraId="34304A93"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00" w:type="dxa"/>
            <w:tcBorders>
              <w:top w:val="nil"/>
              <w:left w:val="nil"/>
              <w:bottom w:val="single" w:sz="4" w:space="0" w:color="auto"/>
              <w:right w:val="single" w:sz="4" w:space="0" w:color="auto"/>
            </w:tcBorders>
            <w:noWrap/>
            <w:vAlign w:val="bottom"/>
            <w:hideMark/>
          </w:tcPr>
          <w:p w14:paraId="3BA9BFF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7A3578E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706B6B5D"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860" w:type="dxa"/>
            <w:tcBorders>
              <w:top w:val="nil"/>
              <w:left w:val="nil"/>
              <w:bottom w:val="single" w:sz="4" w:space="0" w:color="auto"/>
              <w:right w:val="single" w:sz="4" w:space="0" w:color="auto"/>
            </w:tcBorders>
            <w:noWrap/>
            <w:vAlign w:val="bottom"/>
            <w:hideMark/>
          </w:tcPr>
          <w:p w14:paraId="6402B2F6"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16</w:t>
            </w:r>
          </w:p>
        </w:tc>
      </w:tr>
      <w:tr w:rsidR="007A0055" w:rsidRPr="009770B5" w14:paraId="31BDA123" w14:textId="77777777" w:rsidTr="007A0055">
        <w:trPr>
          <w:trHeight w:val="288"/>
        </w:trPr>
        <w:tc>
          <w:tcPr>
            <w:tcW w:w="840" w:type="dxa"/>
            <w:vMerge/>
            <w:tcBorders>
              <w:top w:val="nil"/>
              <w:left w:val="single" w:sz="4" w:space="0" w:color="auto"/>
              <w:bottom w:val="single" w:sz="8" w:space="0" w:color="000000"/>
              <w:right w:val="single" w:sz="4" w:space="0" w:color="auto"/>
            </w:tcBorders>
            <w:vAlign w:val="center"/>
            <w:hideMark/>
          </w:tcPr>
          <w:p w14:paraId="33C10748" w14:textId="77777777" w:rsidR="007A0055" w:rsidRPr="009770B5" w:rsidRDefault="007A0055" w:rsidP="00E93DFD">
            <w:pPr>
              <w:spacing w:after="0"/>
              <w:jc w:val="center"/>
              <w:rPr>
                <w:rFonts w:eastAsia="Times New Roman" w:cs="Times New Roman"/>
                <w:color w:val="000000"/>
                <w:sz w:val="20"/>
                <w:szCs w:val="20"/>
                <w:lang w:val="lt-LT" w:eastAsia="lt-LT"/>
              </w:rPr>
            </w:pPr>
          </w:p>
        </w:tc>
        <w:tc>
          <w:tcPr>
            <w:tcW w:w="1120" w:type="dxa"/>
            <w:tcBorders>
              <w:top w:val="nil"/>
              <w:left w:val="nil"/>
              <w:bottom w:val="single" w:sz="4" w:space="0" w:color="auto"/>
              <w:right w:val="single" w:sz="4" w:space="0" w:color="auto"/>
            </w:tcBorders>
            <w:noWrap/>
            <w:vAlign w:val="bottom"/>
            <w:hideMark/>
          </w:tcPr>
          <w:p w14:paraId="0F412C9A"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Sunkios</w:t>
            </w:r>
          </w:p>
        </w:tc>
        <w:tc>
          <w:tcPr>
            <w:tcW w:w="1220" w:type="dxa"/>
            <w:tcBorders>
              <w:top w:val="nil"/>
              <w:left w:val="nil"/>
              <w:bottom w:val="single" w:sz="4" w:space="0" w:color="auto"/>
              <w:right w:val="single" w:sz="4" w:space="0" w:color="auto"/>
            </w:tcBorders>
            <w:noWrap/>
            <w:vAlign w:val="bottom"/>
            <w:hideMark/>
          </w:tcPr>
          <w:p w14:paraId="5258C27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w:t>
            </w:r>
          </w:p>
        </w:tc>
        <w:tc>
          <w:tcPr>
            <w:tcW w:w="1080" w:type="dxa"/>
            <w:tcBorders>
              <w:top w:val="nil"/>
              <w:left w:val="nil"/>
              <w:bottom w:val="single" w:sz="4" w:space="0" w:color="auto"/>
              <w:right w:val="single" w:sz="4" w:space="0" w:color="auto"/>
            </w:tcBorders>
            <w:noWrap/>
            <w:vAlign w:val="bottom"/>
            <w:hideMark/>
          </w:tcPr>
          <w:p w14:paraId="32287997"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120" w:type="dxa"/>
            <w:tcBorders>
              <w:top w:val="nil"/>
              <w:left w:val="nil"/>
              <w:bottom w:val="single" w:sz="4" w:space="0" w:color="auto"/>
              <w:right w:val="single" w:sz="4" w:space="0" w:color="auto"/>
            </w:tcBorders>
            <w:noWrap/>
            <w:vAlign w:val="bottom"/>
            <w:hideMark/>
          </w:tcPr>
          <w:p w14:paraId="55CD5817"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00" w:type="dxa"/>
            <w:tcBorders>
              <w:top w:val="nil"/>
              <w:left w:val="nil"/>
              <w:bottom w:val="single" w:sz="4" w:space="0" w:color="auto"/>
              <w:right w:val="single" w:sz="4" w:space="0" w:color="auto"/>
            </w:tcBorders>
            <w:noWrap/>
            <w:vAlign w:val="bottom"/>
            <w:hideMark/>
          </w:tcPr>
          <w:p w14:paraId="41B95A13"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1240" w:type="dxa"/>
            <w:tcBorders>
              <w:top w:val="nil"/>
              <w:left w:val="nil"/>
              <w:bottom w:val="single" w:sz="4" w:space="0" w:color="auto"/>
              <w:right w:val="single" w:sz="4" w:space="0" w:color="auto"/>
            </w:tcBorders>
            <w:noWrap/>
            <w:vAlign w:val="bottom"/>
            <w:hideMark/>
          </w:tcPr>
          <w:p w14:paraId="7EC15E1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5B42CA34"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860" w:type="dxa"/>
            <w:tcBorders>
              <w:top w:val="nil"/>
              <w:left w:val="nil"/>
              <w:bottom w:val="single" w:sz="4" w:space="0" w:color="auto"/>
              <w:right w:val="single" w:sz="4" w:space="0" w:color="auto"/>
            </w:tcBorders>
            <w:noWrap/>
            <w:vAlign w:val="bottom"/>
            <w:hideMark/>
          </w:tcPr>
          <w:p w14:paraId="2C541BDC"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5</w:t>
            </w:r>
          </w:p>
        </w:tc>
      </w:tr>
      <w:tr w:rsidR="007A0055" w:rsidRPr="009770B5" w14:paraId="666CE837" w14:textId="77777777" w:rsidTr="007A0055">
        <w:trPr>
          <w:trHeight w:val="300"/>
        </w:trPr>
        <w:tc>
          <w:tcPr>
            <w:tcW w:w="840" w:type="dxa"/>
            <w:vMerge/>
            <w:tcBorders>
              <w:top w:val="nil"/>
              <w:left w:val="single" w:sz="4" w:space="0" w:color="auto"/>
              <w:bottom w:val="single" w:sz="8" w:space="0" w:color="000000"/>
              <w:right w:val="single" w:sz="4" w:space="0" w:color="auto"/>
            </w:tcBorders>
            <w:vAlign w:val="center"/>
            <w:hideMark/>
          </w:tcPr>
          <w:p w14:paraId="52DB89DD" w14:textId="77777777" w:rsidR="007A0055" w:rsidRPr="009770B5" w:rsidRDefault="007A0055" w:rsidP="00E93DFD">
            <w:pPr>
              <w:spacing w:after="0"/>
              <w:jc w:val="center"/>
              <w:rPr>
                <w:rFonts w:eastAsia="Times New Roman" w:cs="Times New Roman"/>
                <w:color w:val="000000"/>
                <w:sz w:val="20"/>
                <w:szCs w:val="20"/>
                <w:lang w:val="lt-LT" w:eastAsia="lt-LT"/>
              </w:rPr>
            </w:pPr>
          </w:p>
        </w:tc>
        <w:tc>
          <w:tcPr>
            <w:tcW w:w="1120" w:type="dxa"/>
            <w:tcBorders>
              <w:top w:val="nil"/>
              <w:left w:val="nil"/>
              <w:bottom w:val="single" w:sz="8" w:space="0" w:color="auto"/>
              <w:right w:val="single" w:sz="4" w:space="0" w:color="auto"/>
            </w:tcBorders>
            <w:shd w:val="clear" w:color="000000" w:fill="D9D9D9"/>
            <w:noWrap/>
            <w:vAlign w:val="bottom"/>
            <w:hideMark/>
          </w:tcPr>
          <w:p w14:paraId="4B44CE6F"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Viso</w:t>
            </w:r>
          </w:p>
        </w:tc>
        <w:tc>
          <w:tcPr>
            <w:tcW w:w="1220" w:type="dxa"/>
            <w:tcBorders>
              <w:top w:val="nil"/>
              <w:left w:val="nil"/>
              <w:bottom w:val="single" w:sz="8" w:space="0" w:color="auto"/>
              <w:right w:val="single" w:sz="4" w:space="0" w:color="auto"/>
            </w:tcBorders>
            <w:shd w:val="clear" w:color="000000" w:fill="D9D9D9"/>
            <w:noWrap/>
            <w:vAlign w:val="bottom"/>
            <w:hideMark/>
          </w:tcPr>
          <w:p w14:paraId="29B0486D"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15</w:t>
            </w:r>
          </w:p>
        </w:tc>
        <w:tc>
          <w:tcPr>
            <w:tcW w:w="1080" w:type="dxa"/>
            <w:tcBorders>
              <w:top w:val="nil"/>
              <w:left w:val="nil"/>
              <w:bottom w:val="single" w:sz="8" w:space="0" w:color="auto"/>
              <w:right w:val="single" w:sz="4" w:space="0" w:color="auto"/>
            </w:tcBorders>
            <w:shd w:val="clear" w:color="000000" w:fill="D9D9D9"/>
            <w:noWrap/>
            <w:vAlign w:val="bottom"/>
            <w:hideMark/>
          </w:tcPr>
          <w:p w14:paraId="6AD737BD"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1120" w:type="dxa"/>
            <w:tcBorders>
              <w:top w:val="nil"/>
              <w:left w:val="nil"/>
              <w:bottom w:val="single" w:sz="8" w:space="0" w:color="auto"/>
              <w:right w:val="single" w:sz="4" w:space="0" w:color="auto"/>
            </w:tcBorders>
            <w:shd w:val="clear" w:color="000000" w:fill="D9D9D9"/>
            <w:noWrap/>
            <w:vAlign w:val="bottom"/>
            <w:hideMark/>
          </w:tcPr>
          <w:p w14:paraId="5D824C10"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00" w:type="dxa"/>
            <w:tcBorders>
              <w:top w:val="nil"/>
              <w:left w:val="nil"/>
              <w:bottom w:val="single" w:sz="8" w:space="0" w:color="auto"/>
              <w:right w:val="single" w:sz="4" w:space="0" w:color="auto"/>
            </w:tcBorders>
            <w:shd w:val="clear" w:color="000000" w:fill="D9D9D9"/>
            <w:noWrap/>
            <w:vAlign w:val="bottom"/>
            <w:hideMark/>
          </w:tcPr>
          <w:p w14:paraId="6AACEC2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1240" w:type="dxa"/>
            <w:tcBorders>
              <w:top w:val="nil"/>
              <w:left w:val="nil"/>
              <w:bottom w:val="single" w:sz="8" w:space="0" w:color="auto"/>
              <w:right w:val="single" w:sz="4" w:space="0" w:color="auto"/>
            </w:tcBorders>
            <w:shd w:val="clear" w:color="000000" w:fill="D9D9D9"/>
            <w:noWrap/>
            <w:vAlign w:val="bottom"/>
            <w:hideMark/>
          </w:tcPr>
          <w:p w14:paraId="06EBCAE4"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8" w:space="0" w:color="auto"/>
              <w:right w:val="single" w:sz="4" w:space="0" w:color="auto"/>
            </w:tcBorders>
            <w:shd w:val="clear" w:color="000000" w:fill="D9D9D9"/>
            <w:noWrap/>
            <w:vAlign w:val="bottom"/>
            <w:hideMark/>
          </w:tcPr>
          <w:p w14:paraId="1ED34DF1"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860" w:type="dxa"/>
            <w:tcBorders>
              <w:top w:val="nil"/>
              <w:left w:val="nil"/>
              <w:bottom w:val="single" w:sz="8" w:space="0" w:color="auto"/>
              <w:right w:val="single" w:sz="4" w:space="0" w:color="auto"/>
            </w:tcBorders>
            <w:shd w:val="clear" w:color="000000" w:fill="D9D9D9"/>
            <w:noWrap/>
            <w:vAlign w:val="bottom"/>
            <w:hideMark/>
          </w:tcPr>
          <w:p w14:paraId="2B61EA79"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21</w:t>
            </w:r>
          </w:p>
        </w:tc>
      </w:tr>
      <w:tr w:rsidR="007A0055" w:rsidRPr="009770B5" w14:paraId="4FF98C5B" w14:textId="77777777" w:rsidTr="007A0055">
        <w:trPr>
          <w:trHeight w:val="288"/>
        </w:trPr>
        <w:tc>
          <w:tcPr>
            <w:tcW w:w="840" w:type="dxa"/>
            <w:vMerge w:val="restart"/>
            <w:tcBorders>
              <w:top w:val="nil"/>
              <w:left w:val="single" w:sz="4" w:space="0" w:color="auto"/>
              <w:bottom w:val="single" w:sz="8" w:space="0" w:color="000000"/>
              <w:right w:val="single" w:sz="4" w:space="0" w:color="auto"/>
            </w:tcBorders>
            <w:vAlign w:val="bottom"/>
            <w:hideMark/>
          </w:tcPr>
          <w:p w14:paraId="7B157206" w14:textId="77777777" w:rsidR="007A0055" w:rsidRPr="009770B5" w:rsidRDefault="007A0055" w:rsidP="00E93DFD">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2025</w:t>
            </w:r>
          </w:p>
        </w:tc>
        <w:tc>
          <w:tcPr>
            <w:tcW w:w="1120" w:type="dxa"/>
            <w:tcBorders>
              <w:top w:val="nil"/>
              <w:left w:val="nil"/>
              <w:bottom w:val="single" w:sz="4" w:space="0" w:color="auto"/>
              <w:right w:val="single" w:sz="4" w:space="0" w:color="auto"/>
            </w:tcBorders>
            <w:noWrap/>
            <w:vAlign w:val="bottom"/>
            <w:hideMark/>
          </w:tcPr>
          <w:p w14:paraId="00C44D8A"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Nesunkios</w:t>
            </w:r>
          </w:p>
        </w:tc>
        <w:tc>
          <w:tcPr>
            <w:tcW w:w="1220" w:type="dxa"/>
            <w:tcBorders>
              <w:top w:val="nil"/>
              <w:left w:val="nil"/>
              <w:bottom w:val="single" w:sz="4" w:space="0" w:color="auto"/>
              <w:right w:val="single" w:sz="4" w:space="0" w:color="auto"/>
            </w:tcBorders>
            <w:noWrap/>
            <w:vAlign w:val="bottom"/>
            <w:hideMark/>
          </w:tcPr>
          <w:p w14:paraId="05DF5644"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5</w:t>
            </w:r>
          </w:p>
        </w:tc>
        <w:tc>
          <w:tcPr>
            <w:tcW w:w="1080" w:type="dxa"/>
            <w:tcBorders>
              <w:top w:val="nil"/>
              <w:left w:val="nil"/>
              <w:bottom w:val="single" w:sz="4" w:space="0" w:color="auto"/>
              <w:right w:val="single" w:sz="4" w:space="0" w:color="auto"/>
            </w:tcBorders>
            <w:noWrap/>
            <w:vAlign w:val="bottom"/>
            <w:hideMark/>
          </w:tcPr>
          <w:p w14:paraId="63FD2BD8"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120" w:type="dxa"/>
            <w:tcBorders>
              <w:top w:val="nil"/>
              <w:left w:val="nil"/>
              <w:bottom w:val="single" w:sz="4" w:space="0" w:color="auto"/>
              <w:right w:val="single" w:sz="4" w:space="0" w:color="auto"/>
            </w:tcBorders>
            <w:noWrap/>
            <w:vAlign w:val="bottom"/>
            <w:hideMark/>
          </w:tcPr>
          <w:p w14:paraId="0287EB33"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00" w:type="dxa"/>
            <w:tcBorders>
              <w:top w:val="nil"/>
              <w:left w:val="nil"/>
              <w:bottom w:val="single" w:sz="4" w:space="0" w:color="auto"/>
              <w:right w:val="single" w:sz="4" w:space="0" w:color="auto"/>
            </w:tcBorders>
            <w:noWrap/>
            <w:vAlign w:val="bottom"/>
            <w:hideMark/>
          </w:tcPr>
          <w:p w14:paraId="3356C311"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22863E38"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130DA910"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860" w:type="dxa"/>
            <w:tcBorders>
              <w:top w:val="nil"/>
              <w:left w:val="nil"/>
              <w:bottom w:val="single" w:sz="4" w:space="0" w:color="auto"/>
              <w:right w:val="single" w:sz="4" w:space="0" w:color="auto"/>
            </w:tcBorders>
            <w:noWrap/>
            <w:vAlign w:val="bottom"/>
            <w:hideMark/>
          </w:tcPr>
          <w:p w14:paraId="0E1B7F91"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5</w:t>
            </w:r>
          </w:p>
        </w:tc>
      </w:tr>
      <w:tr w:rsidR="007A0055" w:rsidRPr="009770B5" w14:paraId="521C784F" w14:textId="77777777" w:rsidTr="007A0055">
        <w:trPr>
          <w:trHeight w:val="288"/>
        </w:trPr>
        <w:tc>
          <w:tcPr>
            <w:tcW w:w="840" w:type="dxa"/>
            <w:vMerge/>
            <w:tcBorders>
              <w:top w:val="nil"/>
              <w:left w:val="single" w:sz="4" w:space="0" w:color="auto"/>
              <w:bottom w:val="single" w:sz="8" w:space="0" w:color="000000"/>
              <w:right w:val="single" w:sz="4" w:space="0" w:color="auto"/>
            </w:tcBorders>
            <w:vAlign w:val="center"/>
            <w:hideMark/>
          </w:tcPr>
          <w:p w14:paraId="338A5F1E" w14:textId="77777777" w:rsidR="007A0055" w:rsidRPr="009770B5" w:rsidRDefault="007A0055" w:rsidP="00E93DFD">
            <w:pPr>
              <w:spacing w:after="0"/>
              <w:jc w:val="center"/>
              <w:rPr>
                <w:rFonts w:eastAsia="Times New Roman" w:cs="Times New Roman"/>
                <w:color w:val="000000"/>
                <w:sz w:val="20"/>
                <w:szCs w:val="20"/>
                <w:lang w:val="lt-LT" w:eastAsia="lt-LT"/>
              </w:rPr>
            </w:pPr>
          </w:p>
        </w:tc>
        <w:tc>
          <w:tcPr>
            <w:tcW w:w="1120" w:type="dxa"/>
            <w:tcBorders>
              <w:top w:val="nil"/>
              <w:left w:val="nil"/>
              <w:bottom w:val="single" w:sz="4" w:space="0" w:color="auto"/>
              <w:right w:val="single" w:sz="4" w:space="0" w:color="auto"/>
            </w:tcBorders>
            <w:noWrap/>
            <w:vAlign w:val="bottom"/>
            <w:hideMark/>
          </w:tcPr>
          <w:p w14:paraId="5E6FD67E"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Sunkios</w:t>
            </w:r>
          </w:p>
        </w:tc>
        <w:tc>
          <w:tcPr>
            <w:tcW w:w="1220" w:type="dxa"/>
            <w:tcBorders>
              <w:top w:val="nil"/>
              <w:left w:val="nil"/>
              <w:bottom w:val="single" w:sz="4" w:space="0" w:color="auto"/>
              <w:right w:val="single" w:sz="4" w:space="0" w:color="auto"/>
            </w:tcBorders>
            <w:noWrap/>
            <w:vAlign w:val="bottom"/>
            <w:hideMark/>
          </w:tcPr>
          <w:p w14:paraId="03847C64"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080" w:type="dxa"/>
            <w:tcBorders>
              <w:top w:val="nil"/>
              <w:left w:val="nil"/>
              <w:bottom w:val="single" w:sz="4" w:space="0" w:color="auto"/>
              <w:right w:val="single" w:sz="4" w:space="0" w:color="auto"/>
            </w:tcBorders>
            <w:noWrap/>
            <w:vAlign w:val="bottom"/>
            <w:hideMark/>
          </w:tcPr>
          <w:p w14:paraId="0CA4A8ED"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120" w:type="dxa"/>
            <w:tcBorders>
              <w:top w:val="nil"/>
              <w:left w:val="nil"/>
              <w:bottom w:val="single" w:sz="4" w:space="0" w:color="auto"/>
              <w:right w:val="single" w:sz="4" w:space="0" w:color="auto"/>
            </w:tcBorders>
            <w:noWrap/>
            <w:vAlign w:val="bottom"/>
            <w:hideMark/>
          </w:tcPr>
          <w:p w14:paraId="23F1401A"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00" w:type="dxa"/>
            <w:tcBorders>
              <w:top w:val="nil"/>
              <w:left w:val="nil"/>
              <w:bottom w:val="single" w:sz="4" w:space="0" w:color="auto"/>
              <w:right w:val="single" w:sz="4" w:space="0" w:color="auto"/>
            </w:tcBorders>
            <w:noWrap/>
            <w:vAlign w:val="bottom"/>
            <w:hideMark/>
          </w:tcPr>
          <w:p w14:paraId="7934DB2A"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7BC8E386"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64CD82E4"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860" w:type="dxa"/>
            <w:tcBorders>
              <w:top w:val="nil"/>
              <w:left w:val="nil"/>
              <w:bottom w:val="single" w:sz="4" w:space="0" w:color="auto"/>
              <w:right w:val="single" w:sz="4" w:space="0" w:color="auto"/>
            </w:tcBorders>
            <w:noWrap/>
            <w:vAlign w:val="bottom"/>
            <w:hideMark/>
          </w:tcPr>
          <w:p w14:paraId="3B233E5E"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r>
      <w:tr w:rsidR="007A0055" w:rsidRPr="009770B5" w14:paraId="36C45D8A" w14:textId="77777777" w:rsidTr="007A0055">
        <w:trPr>
          <w:trHeight w:val="300"/>
        </w:trPr>
        <w:tc>
          <w:tcPr>
            <w:tcW w:w="840" w:type="dxa"/>
            <w:vMerge/>
            <w:tcBorders>
              <w:top w:val="nil"/>
              <w:left w:val="single" w:sz="4" w:space="0" w:color="auto"/>
              <w:bottom w:val="single" w:sz="8" w:space="0" w:color="000000"/>
              <w:right w:val="single" w:sz="4" w:space="0" w:color="auto"/>
            </w:tcBorders>
            <w:vAlign w:val="center"/>
            <w:hideMark/>
          </w:tcPr>
          <w:p w14:paraId="29405893" w14:textId="77777777" w:rsidR="007A0055" w:rsidRPr="009770B5" w:rsidRDefault="007A0055" w:rsidP="00E93DFD">
            <w:pPr>
              <w:spacing w:after="0"/>
              <w:jc w:val="center"/>
              <w:rPr>
                <w:rFonts w:eastAsia="Times New Roman" w:cs="Times New Roman"/>
                <w:color w:val="000000"/>
                <w:sz w:val="20"/>
                <w:szCs w:val="20"/>
                <w:lang w:val="lt-LT" w:eastAsia="lt-LT"/>
              </w:rPr>
            </w:pPr>
          </w:p>
        </w:tc>
        <w:tc>
          <w:tcPr>
            <w:tcW w:w="1120" w:type="dxa"/>
            <w:tcBorders>
              <w:top w:val="nil"/>
              <w:left w:val="nil"/>
              <w:bottom w:val="single" w:sz="8" w:space="0" w:color="auto"/>
              <w:right w:val="single" w:sz="4" w:space="0" w:color="auto"/>
            </w:tcBorders>
            <w:shd w:val="clear" w:color="000000" w:fill="D9D9D9"/>
            <w:noWrap/>
            <w:vAlign w:val="bottom"/>
            <w:hideMark/>
          </w:tcPr>
          <w:p w14:paraId="2492CC22"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Viso</w:t>
            </w:r>
          </w:p>
        </w:tc>
        <w:tc>
          <w:tcPr>
            <w:tcW w:w="1220" w:type="dxa"/>
            <w:tcBorders>
              <w:top w:val="nil"/>
              <w:left w:val="nil"/>
              <w:bottom w:val="single" w:sz="8" w:space="0" w:color="auto"/>
              <w:right w:val="single" w:sz="4" w:space="0" w:color="auto"/>
            </w:tcBorders>
            <w:shd w:val="clear" w:color="000000" w:fill="D9D9D9"/>
            <w:noWrap/>
            <w:vAlign w:val="bottom"/>
            <w:hideMark/>
          </w:tcPr>
          <w:p w14:paraId="2EADE7D4"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5</w:t>
            </w:r>
          </w:p>
        </w:tc>
        <w:tc>
          <w:tcPr>
            <w:tcW w:w="1080" w:type="dxa"/>
            <w:tcBorders>
              <w:top w:val="nil"/>
              <w:left w:val="nil"/>
              <w:bottom w:val="single" w:sz="8" w:space="0" w:color="auto"/>
              <w:right w:val="single" w:sz="4" w:space="0" w:color="auto"/>
            </w:tcBorders>
            <w:shd w:val="clear" w:color="000000" w:fill="D9D9D9"/>
            <w:noWrap/>
            <w:vAlign w:val="bottom"/>
            <w:hideMark/>
          </w:tcPr>
          <w:p w14:paraId="60A381B0"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120" w:type="dxa"/>
            <w:tcBorders>
              <w:top w:val="nil"/>
              <w:left w:val="nil"/>
              <w:bottom w:val="single" w:sz="8" w:space="0" w:color="auto"/>
              <w:right w:val="single" w:sz="4" w:space="0" w:color="auto"/>
            </w:tcBorders>
            <w:shd w:val="clear" w:color="000000" w:fill="D9D9D9"/>
            <w:noWrap/>
            <w:vAlign w:val="bottom"/>
            <w:hideMark/>
          </w:tcPr>
          <w:p w14:paraId="7BB31653"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00" w:type="dxa"/>
            <w:tcBorders>
              <w:top w:val="nil"/>
              <w:left w:val="nil"/>
              <w:bottom w:val="single" w:sz="8" w:space="0" w:color="auto"/>
              <w:right w:val="single" w:sz="4" w:space="0" w:color="auto"/>
            </w:tcBorders>
            <w:shd w:val="clear" w:color="000000" w:fill="D9D9D9"/>
            <w:noWrap/>
            <w:vAlign w:val="bottom"/>
            <w:hideMark/>
          </w:tcPr>
          <w:p w14:paraId="206C62BE"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8" w:space="0" w:color="auto"/>
              <w:right w:val="single" w:sz="4" w:space="0" w:color="auto"/>
            </w:tcBorders>
            <w:shd w:val="clear" w:color="000000" w:fill="D9D9D9"/>
            <w:noWrap/>
            <w:vAlign w:val="bottom"/>
            <w:hideMark/>
          </w:tcPr>
          <w:p w14:paraId="7914DEC6"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8" w:space="0" w:color="auto"/>
              <w:right w:val="single" w:sz="4" w:space="0" w:color="auto"/>
            </w:tcBorders>
            <w:shd w:val="clear" w:color="000000" w:fill="D9D9D9"/>
            <w:noWrap/>
            <w:vAlign w:val="bottom"/>
            <w:hideMark/>
          </w:tcPr>
          <w:p w14:paraId="30B34446"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860" w:type="dxa"/>
            <w:tcBorders>
              <w:top w:val="nil"/>
              <w:left w:val="nil"/>
              <w:bottom w:val="single" w:sz="8" w:space="0" w:color="auto"/>
              <w:right w:val="single" w:sz="4" w:space="0" w:color="auto"/>
            </w:tcBorders>
            <w:shd w:val="clear" w:color="000000" w:fill="D9D9D9"/>
            <w:noWrap/>
            <w:vAlign w:val="bottom"/>
            <w:hideMark/>
          </w:tcPr>
          <w:p w14:paraId="684EEC19"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5</w:t>
            </w:r>
          </w:p>
        </w:tc>
      </w:tr>
      <w:tr w:rsidR="007A0055" w:rsidRPr="009770B5" w14:paraId="63EDC5E2" w14:textId="77777777" w:rsidTr="007A0055">
        <w:trPr>
          <w:trHeight w:val="288"/>
        </w:trPr>
        <w:tc>
          <w:tcPr>
            <w:tcW w:w="840" w:type="dxa"/>
            <w:vMerge w:val="restart"/>
            <w:tcBorders>
              <w:top w:val="nil"/>
              <w:left w:val="single" w:sz="4" w:space="0" w:color="auto"/>
              <w:bottom w:val="single" w:sz="4" w:space="0" w:color="000000"/>
              <w:right w:val="single" w:sz="4" w:space="0" w:color="auto"/>
            </w:tcBorders>
            <w:vAlign w:val="bottom"/>
            <w:hideMark/>
          </w:tcPr>
          <w:p w14:paraId="26454489" w14:textId="77777777" w:rsidR="007A0055" w:rsidRPr="009770B5" w:rsidRDefault="007A0055" w:rsidP="00E93DFD">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2020- 2025</w:t>
            </w:r>
          </w:p>
        </w:tc>
        <w:tc>
          <w:tcPr>
            <w:tcW w:w="1120" w:type="dxa"/>
            <w:tcBorders>
              <w:top w:val="nil"/>
              <w:left w:val="nil"/>
              <w:bottom w:val="single" w:sz="4" w:space="0" w:color="auto"/>
              <w:right w:val="single" w:sz="4" w:space="0" w:color="auto"/>
            </w:tcBorders>
            <w:noWrap/>
            <w:vAlign w:val="bottom"/>
            <w:hideMark/>
          </w:tcPr>
          <w:p w14:paraId="4A630799"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Nesunkios</w:t>
            </w:r>
          </w:p>
        </w:tc>
        <w:tc>
          <w:tcPr>
            <w:tcW w:w="1220" w:type="dxa"/>
            <w:tcBorders>
              <w:top w:val="nil"/>
              <w:left w:val="nil"/>
              <w:bottom w:val="single" w:sz="4" w:space="0" w:color="auto"/>
              <w:right w:val="single" w:sz="4" w:space="0" w:color="auto"/>
            </w:tcBorders>
            <w:noWrap/>
            <w:vAlign w:val="bottom"/>
            <w:hideMark/>
          </w:tcPr>
          <w:p w14:paraId="54274B87"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4095</w:t>
            </w:r>
          </w:p>
        </w:tc>
        <w:tc>
          <w:tcPr>
            <w:tcW w:w="1080" w:type="dxa"/>
            <w:tcBorders>
              <w:top w:val="nil"/>
              <w:left w:val="nil"/>
              <w:bottom w:val="single" w:sz="4" w:space="0" w:color="auto"/>
              <w:right w:val="single" w:sz="4" w:space="0" w:color="auto"/>
            </w:tcBorders>
            <w:noWrap/>
            <w:vAlign w:val="bottom"/>
            <w:hideMark/>
          </w:tcPr>
          <w:p w14:paraId="028956CF"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649</w:t>
            </w:r>
          </w:p>
        </w:tc>
        <w:tc>
          <w:tcPr>
            <w:tcW w:w="1120" w:type="dxa"/>
            <w:tcBorders>
              <w:top w:val="nil"/>
              <w:left w:val="nil"/>
              <w:bottom w:val="single" w:sz="4" w:space="0" w:color="auto"/>
              <w:right w:val="single" w:sz="4" w:space="0" w:color="auto"/>
            </w:tcBorders>
            <w:noWrap/>
            <w:vAlign w:val="bottom"/>
            <w:hideMark/>
          </w:tcPr>
          <w:p w14:paraId="69D3F1BA"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2273</w:t>
            </w:r>
          </w:p>
        </w:tc>
        <w:tc>
          <w:tcPr>
            <w:tcW w:w="1200" w:type="dxa"/>
            <w:tcBorders>
              <w:top w:val="nil"/>
              <w:left w:val="nil"/>
              <w:bottom w:val="single" w:sz="4" w:space="0" w:color="auto"/>
              <w:right w:val="single" w:sz="4" w:space="0" w:color="auto"/>
            </w:tcBorders>
            <w:noWrap/>
            <w:vAlign w:val="bottom"/>
            <w:hideMark/>
          </w:tcPr>
          <w:p w14:paraId="02ED6510"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519</w:t>
            </w:r>
          </w:p>
        </w:tc>
        <w:tc>
          <w:tcPr>
            <w:tcW w:w="1240" w:type="dxa"/>
            <w:tcBorders>
              <w:top w:val="nil"/>
              <w:left w:val="nil"/>
              <w:bottom w:val="single" w:sz="4" w:space="0" w:color="auto"/>
              <w:right w:val="single" w:sz="4" w:space="0" w:color="auto"/>
            </w:tcBorders>
            <w:noWrap/>
            <w:vAlign w:val="bottom"/>
            <w:hideMark/>
          </w:tcPr>
          <w:p w14:paraId="684ABDEC"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2</w:t>
            </w:r>
          </w:p>
        </w:tc>
        <w:tc>
          <w:tcPr>
            <w:tcW w:w="1240" w:type="dxa"/>
            <w:tcBorders>
              <w:top w:val="nil"/>
              <w:left w:val="nil"/>
              <w:bottom w:val="single" w:sz="4" w:space="0" w:color="auto"/>
              <w:right w:val="single" w:sz="4" w:space="0" w:color="auto"/>
            </w:tcBorders>
            <w:noWrap/>
            <w:vAlign w:val="bottom"/>
            <w:hideMark/>
          </w:tcPr>
          <w:p w14:paraId="1664FFE6"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32</w:t>
            </w:r>
          </w:p>
        </w:tc>
        <w:tc>
          <w:tcPr>
            <w:tcW w:w="860" w:type="dxa"/>
            <w:tcBorders>
              <w:top w:val="nil"/>
              <w:left w:val="nil"/>
              <w:bottom w:val="single" w:sz="4" w:space="0" w:color="auto"/>
              <w:right w:val="single" w:sz="4" w:space="0" w:color="auto"/>
            </w:tcBorders>
            <w:noWrap/>
            <w:vAlign w:val="bottom"/>
            <w:hideMark/>
          </w:tcPr>
          <w:p w14:paraId="3BB9DA05"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7570</w:t>
            </w:r>
          </w:p>
        </w:tc>
      </w:tr>
      <w:tr w:rsidR="007A0055" w:rsidRPr="009770B5" w14:paraId="516B5CA3" w14:textId="77777777" w:rsidTr="007A0055">
        <w:trPr>
          <w:trHeight w:val="288"/>
        </w:trPr>
        <w:tc>
          <w:tcPr>
            <w:tcW w:w="840" w:type="dxa"/>
            <w:vMerge/>
            <w:tcBorders>
              <w:top w:val="nil"/>
              <w:left w:val="single" w:sz="4" w:space="0" w:color="auto"/>
              <w:bottom w:val="single" w:sz="4" w:space="0" w:color="000000"/>
              <w:right w:val="single" w:sz="4" w:space="0" w:color="auto"/>
            </w:tcBorders>
            <w:vAlign w:val="center"/>
            <w:hideMark/>
          </w:tcPr>
          <w:p w14:paraId="33CD67AA" w14:textId="77777777" w:rsidR="007A0055" w:rsidRPr="009770B5" w:rsidRDefault="007A0055" w:rsidP="007A0055">
            <w:pPr>
              <w:spacing w:after="0"/>
              <w:rPr>
                <w:rFonts w:eastAsia="Times New Roman" w:cs="Times New Roman"/>
                <w:color w:val="000000"/>
                <w:sz w:val="20"/>
                <w:szCs w:val="20"/>
                <w:lang w:val="lt-LT" w:eastAsia="lt-LT"/>
              </w:rPr>
            </w:pPr>
          </w:p>
        </w:tc>
        <w:tc>
          <w:tcPr>
            <w:tcW w:w="1120" w:type="dxa"/>
            <w:tcBorders>
              <w:top w:val="nil"/>
              <w:left w:val="nil"/>
              <w:bottom w:val="single" w:sz="4" w:space="0" w:color="auto"/>
              <w:right w:val="single" w:sz="4" w:space="0" w:color="auto"/>
            </w:tcBorders>
            <w:noWrap/>
            <w:vAlign w:val="bottom"/>
            <w:hideMark/>
          </w:tcPr>
          <w:p w14:paraId="6A0EA232"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Sunkios</w:t>
            </w:r>
          </w:p>
        </w:tc>
        <w:tc>
          <w:tcPr>
            <w:tcW w:w="1220" w:type="dxa"/>
            <w:tcBorders>
              <w:top w:val="nil"/>
              <w:left w:val="nil"/>
              <w:bottom w:val="single" w:sz="4" w:space="0" w:color="auto"/>
              <w:right w:val="single" w:sz="4" w:space="0" w:color="auto"/>
            </w:tcBorders>
            <w:noWrap/>
            <w:vAlign w:val="bottom"/>
            <w:hideMark/>
          </w:tcPr>
          <w:p w14:paraId="4E715645"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340</w:t>
            </w:r>
          </w:p>
        </w:tc>
        <w:tc>
          <w:tcPr>
            <w:tcW w:w="1080" w:type="dxa"/>
            <w:tcBorders>
              <w:top w:val="nil"/>
              <w:left w:val="nil"/>
              <w:bottom w:val="single" w:sz="4" w:space="0" w:color="auto"/>
              <w:right w:val="single" w:sz="4" w:space="0" w:color="auto"/>
            </w:tcBorders>
            <w:noWrap/>
            <w:vAlign w:val="bottom"/>
            <w:hideMark/>
          </w:tcPr>
          <w:p w14:paraId="6D076370"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38</w:t>
            </w:r>
          </w:p>
        </w:tc>
        <w:tc>
          <w:tcPr>
            <w:tcW w:w="1120" w:type="dxa"/>
            <w:tcBorders>
              <w:top w:val="nil"/>
              <w:left w:val="nil"/>
              <w:bottom w:val="single" w:sz="4" w:space="0" w:color="auto"/>
              <w:right w:val="single" w:sz="4" w:space="0" w:color="auto"/>
            </w:tcBorders>
            <w:noWrap/>
            <w:vAlign w:val="bottom"/>
            <w:hideMark/>
          </w:tcPr>
          <w:p w14:paraId="4F7EBFBD"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110</w:t>
            </w:r>
          </w:p>
        </w:tc>
        <w:tc>
          <w:tcPr>
            <w:tcW w:w="1200" w:type="dxa"/>
            <w:tcBorders>
              <w:top w:val="nil"/>
              <w:left w:val="nil"/>
              <w:bottom w:val="single" w:sz="4" w:space="0" w:color="auto"/>
              <w:right w:val="single" w:sz="4" w:space="0" w:color="auto"/>
            </w:tcBorders>
            <w:noWrap/>
            <w:vAlign w:val="bottom"/>
            <w:hideMark/>
          </w:tcPr>
          <w:p w14:paraId="4C8E9FD5"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33</w:t>
            </w:r>
          </w:p>
        </w:tc>
        <w:tc>
          <w:tcPr>
            <w:tcW w:w="1240" w:type="dxa"/>
            <w:tcBorders>
              <w:top w:val="nil"/>
              <w:left w:val="nil"/>
              <w:bottom w:val="single" w:sz="4" w:space="0" w:color="auto"/>
              <w:right w:val="single" w:sz="4" w:space="0" w:color="auto"/>
            </w:tcBorders>
            <w:noWrap/>
            <w:vAlign w:val="bottom"/>
            <w:hideMark/>
          </w:tcPr>
          <w:p w14:paraId="169696FB"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0</w:t>
            </w:r>
          </w:p>
        </w:tc>
        <w:tc>
          <w:tcPr>
            <w:tcW w:w="1240" w:type="dxa"/>
            <w:tcBorders>
              <w:top w:val="nil"/>
              <w:left w:val="nil"/>
              <w:bottom w:val="single" w:sz="4" w:space="0" w:color="auto"/>
              <w:right w:val="single" w:sz="4" w:space="0" w:color="auto"/>
            </w:tcBorders>
            <w:noWrap/>
            <w:vAlign w:val="bottom"/>
            <w:hideMark/>
          </w:tcPr>
          <w:p w14:paraId="2A2AE48A"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3</w:t>
            </w:r>
          </w:p>
        </w:tc>
        <w:tc>
          <w:tcPr>
            <w:tcW w:w="860" w:type="dxa"/>
            <w:tcBorders>
              <w:top w:val="nil"/>
              <w:left w:val="nil"/>
              <w:bottom w:val="single" w:sz="4" w:space="0" w:color="auto"/>
              <w:right w:val="single" w:sz="4" w:space="0" w:color="auto"/>
            </w:tcBorders>
            <w:noWrap/>
            <w:vAlign w:val="bottom"/>
            <w:hideMark/>
          </w:tcPr>
          <w:p w14:paraId="4A8E554E" w14:textId="77777777" w:rsidR="007A0055" w:rsidRPr="009770B5" w:rsidRDefault="007A0055" w:rsidP="007A0055">
            <w:pPr>
              <w:spacing w:after="0"/>
              <w:jc w:val="center"/>
              <w:rPr>
                <w:rFonts w:eastAsia="Times New Roman" w:cs="Times New Roman"/>
                <w:color w:val="000000"/>
                <w:sz w:val="20"/>
                <w:szCs w:val="20"/>
                <w:lang w:val="lt-LT" w:eastAsia="lt-LT"/>
              </w:rPr>
            </w:pPr>
            <w:r w:rsidRPr="009770B5">
              <w:rPr>
                <w:rFonts w:eastAsia="Times New Roman" w:cs="Times New Roman"/>
                <w:color w:val="000000"/>
                <w:sz w:val="20"/>
                <w:szCs w:val="20"/>
                <w:lang w:val="lt-LT" w:eastAsia="lt-LT"/>
              </w:rPr>
              <w:t>524</w:t>
            </w:r>
          </w:p>
        </w:tc>
      </w:tr>
      <w:tr w:rsidR="007A0055" w:rsidRPr="009770B5" w14:paraId="513C841A" w14:textId="77777777" w:rsidTr="007A0055">
        <w:trPr>
          <w:trHeight w:val="288"/>
        </w:trPr>
        <w:tc>
          <w:tcPr>
            <w:tcW w:w="840" w:type="dxa"/>
            <w:vMerge/>
            <w:tcBorders>
              <w:top w:val="nil"/>
              <w:left w:val="single" w:sz="4" w:space="0" w:color="auto"/>
              <w:bottom w:val="single" w:sz="4" w:space="0" w:color="000000"/>
              <w:right w:val="single" w:sz="4" w:space="0" w:color="auto"/>
            </w:tcBorders>
            <w:vAlign w:val="center"/>
            <w:hideMark/>
          </w:tcPr>
          <w:p w14:paraId="1ECDC81C" w14:textId="77777777" w:rsidR="007A0055" w:rsidRPr="009770B5" w:rsidRDefault="007A0055" w:rsidP="007A0055">
            <w:pPr>
              <w:spacing w:after="0"/>
              <w:rPr>
                <w:rFonts w:eastAsia="Times New Roman" w:cs="Times New Roman"/>
                <w:color w:val="000000"/>
                <w:sz w:val="20"/>
                <w:szCs w:val="20"/>
                <w:lang w:val="lt-LT" w:eastAsia="lt-LT"/>
              </w:rPr>
            </w:pPr>
          </w:p>
        </w:tc>
        <w:tc>
          <w:tcPr>
            <w:tcW w:w="1120" w:type="dxa"/>
            <w:tcBorders>
              <w:top w:val="nil"/>
              <w:left w:val="nil"/>
              <w:bottom w:val="single" w:sz="4" w:space="0" w:color="auto"/>
              <w:right w:val="single" w:sz="4" w:space="0" w:color="auto"/>
            </w:tcBorders>
            <w:shd w:val="clear" w:color="000000" w:fill="D9D9D9"/>
            <w:noWrap/>
            <w:vAlign w:val="bottom"/>
            <w:hideMark/>
          </w:tcPr>
          <w:p w14:paraId="5782AD6B"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Viso</w:t>
            </w:r>
          </w:p>
        </w:tc>
        <w:tc>
          <w:tcPr>
            <w:tcW w:w="1220" w:type="dxa"/>
            <w:tcBorders>
              <w:top w:val="nil"/>
              <w:left w:val="nil"/>
              <w:bottom w:val="single" w:sz="4" w:space="0" w:color="auto"/>
              <w:right w:val="single" w:sz="4" w:space="0" w:color="auto"/>
            </w:tcBorders>
            <w:shd w:val="clear" w:color="000000" w:fill="D9D9D9"/>
            <w:noWrap/>
            <w:vAlign w:val="bottom"/>
            <w:hideMark/>
          </w:tcPr>
          <w:p w14:paraId="4B43B424"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4435</w:t>
            </w:r>
          </w:p>
        </w:tc>
        <w:tc>
          <w:tcPr>
            <w:tcW w:w="1080" w:type="dxa"/>
            <w:tcBorders>
              <w:top w:val="nil"/>
              <w:left w:val="nil"/>
              <w:bottom w:val="single" w:sz="4" w:space="0" w:color="auto"/>
              <w:right w:val="single" w:sz="4" w:space="0" w:color="auto"/>
            </w:tcBorders>
            <w:shd w:val="clear" w:color="000000" w:fill="D9D9D9"/>
            <w:noWrap/>
            <w:vAlign w:val="bottom"/>
            <w:hideMark/>
          </w:tcPr>
          <w:p w14:paraId="7F62B3D9"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687</w:t>
            </w:r>
          </w:p>
        </w:tc>
        <w:tc>
          <w:tcPr>
            <w:tcW w:w="1120" w:type="dxa"/>
            <w:tcBorders>
              <w:top w:val="nil"/>
              <w:left w:val="nil"/>
              <w:bottom w:val="single" w:sz="4" w:space="0" w:color="auto"/>
              <w:right w:val="single" w:sz="4" w:space="0" w:color="auto"/>
            </w:tcBorders>
            <w:shd w:val="clear" w:color="000000" w:fill="D9D9D9"/>
            <w:noWrap/>
            <w:vAlign w:val="bottom"/>
            <w:hideMark/>
          </w:tcPr>
          <w:p w14:paraId="089A85D2"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2383</w:t>
            </w:r>
          </w:p>
        </w:tc>
        <w:tc>
          <w:tcPr>
            <w:tcW w:w="1200" w:type="dxa"/>
            <w:tcBorders>
              <w:top w:val="nil"/>
              <w:left w:val="nil"/>
              <w:bottom w:val="single" w:sz="4" w:space="0" w:color="auto"/>
              <w:right w:val="single" w:sz="4" w:space="0" w:color="auto"/>
            </w:tcBorders>
            <w:shd w:val="clear" w:color="000000" w:fill="D9D9D9"/>
            <w:noWrap/>
            <w:vAlign w:val="bottom"/>
            <w:hideMark/>
          </w:tcPr>
          <w:p w14:paraId="2B0C71AD"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552</w:t>
            </w:r>
          </w:p>
        </w:tc>
        <w:tc>
          <w:tcPr>
            <w:tcW w:w="1240" w:type="dxa"/>
            <w:tcBorders>
              <w:top w:val="nil"/>
              <w:left w:val="nil"/>
              <w:bottom w:val="single" w:sz="4" w:space="0" w:color="auto"/>
              <w:right w:val="single" w:sz="4" w:space="0" w:color="auto"/>
            </w:tcBorders>
            <w:shd w:val="clear" w:color="000000" w:fill="D9D9D9"/>
            <w:noWrap/>
            <w:vAlign w:val="bottom"/>
            <w:hideMark/>
          </w:tcPr>
          <w:p w14:paraId="1771D005"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2</w:t>
            </w:r>
          </w:p>
        </w:tc>
        <w:tc>
          <w:tcPr>
            <w:tcW w:w="1240" w:type="dxa"/>
            <w:tcBorders>
              <w:top w:val="nil"/>
              <w:left w:val="nil"/>
              <w:bottom w:val="single" w:sz="4" w:space="0" w:color="auto"/>
              <w:right w:val="single" w:sz="4" w:space="0" w:color="auto"/>
            </w:tcBorders>
            <w:shd w:val="clear" w:color="000000" w:fill="D9D9D9"/>
            <w:noWrap/>
            <w:vAlign w:val="bottom"/>
            <w:hideMark/>
          </w:tcPr>
          <w:p w14:paraId="0445FEF3"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35</w:t>
            </w:r>
          </w:p>
        </w:tc>
        <w:tc>
          <w:tcPr>
            <w:tcW w:w="860" w:type="dxa"/>
            <w:tcBorders>
              <w:top w:val="nil"/>
              <w:left w:val="nil"/>
              <w:bottom w:val="single" w:sz="4" w:space="0" w:color="auto"/>
              <w:right w:val="single" w:sz="4" w:space="0" w:color="auto"/>
            </w:tcBorders>
            <w:shd w:val="clear" w:color="000000" w:fill="D9D9D9"/>
            <w:noWrap/>
            <w:vAlign w:val="bottom"/>
            <w:hideMark/>
          </w:tcPr>
          <w:p w14:paraId="0C526D6C" w14:textId="77777777" w:rsidR="007A0055" w:rsidRPr="009770B5" w:rsidRDefault="007A0055" w:rsidP="007A0055">
            <w:pPr>
              <w:spacing w:after="0"/>
              <w:jc w:val="center"/>
              <w:rPr>
                <w:rFonts w:eastAsia="Times New Roman" w:cs="Times New Roman"/>
                <w:b/>
                <w:bCs/>
                <w:color w:val="000000"/>
                <w:sz w:val="20"/>
                <w:szCs w:val="20"/>
                <w:lang w:val="lt-LT" w:eastAsia="lt-LT"/>
              </w:rPr>
            </w:pPr>
            <w:r w:rsidRPr="009770B5">
              <w:rPr>
                <w:rFonts w:eastAsia="Times New Roman" w:cs="Times New Roman"/>
                <w:b/>
                <w:bCs/>
                <w:color w:val="000000"/>
                <w:sz w:val="20"/>
                <w:szCs w:val="20"/>
                <w:lang w:val="lt-LT" w:eastAsia="lt-LT"/>
              </w:rPr>
              <w:t>8094</w:t>
            </w:r>
          </w:p>
        </w:tc>
      </w:tr>
    </w:tbl>
    <w:p w14:paraId="3AA592A2" w14:textId="77777777" w:rsidR="00AC2154" w:rsidRDefault="00AC2154" w:rsidP="00264B72">
      <w:pPr>
        <w:pStyle w:val="Betarp"/>
        <w:rPr>
          <w:rFonts w:cs="Times New Roman"/>
          <w:sz w:val="24"/>
          <w:szCs w:val="24"/>
          <w:lang w:val="lt-LT"/>
        </w:rPr>
      </w:pPr>
    </w:p>
    <w:p w14:paraId="6FB3705D" w14:textId="77777777" w:rsidR="00170B20" w:rsidRPr="002673F4" w:rsidRDefault="00170B20" w:rsidP="00264B72">
      <w:pPr>
        <w:pStyle w:val="Betarp"/>
        <w:rPr>
          <w:rFonts w:cs="Times New Roman"/>
          <w:sz w:val="24"/>
          <w:szCs w:val="24"/>
          <w:lang w:val="lt-LT"/>
        </w:rPr>
      </w:pPr>
    </w:p>
    <w:p w14:paraId="44961E4A" w14:textId="3B4BAF0C" w:rsidR="00170B20" w:rsidRPr="002673F4" w:rsidRDefault="00170B20" w:rsidP="00170B20">
      <w:pPr>
        <w:pStyle w:val="Betarp"/>
        <w:jc w:val="center"/>
        <w:rPr>
          <w:rFonts w:cs="Times New Roman"/>
          <w:b/>
          <w:bCs/>
          <w:color w:val="EE0000"/>
          <w:sz w:val="24"/>
          <w:szCs w:val="24"/>
          <w:lang w:val="lt-LT"/>
        </w:rPr>
      </w:pPr>
      <w:r w:rsidRPr="002673F4">
        <w:rPr>
          <w:rFonts w:cs="Times New Roman"/>
          <w:b/>
          <w:bCs/>
          <w:color w:val="000000" w:themeColor="text1"/>
          <w:sz w:val="24"/>
          <w:szCs w:val="24"/>
          <w:lang w:val="lt-LT"/>
        </w:rPr>
        <w:t xml:space="preserve">ĮNR </w:t>
      </w:r>
      <w:r w:rsidR="00E61A06">
        <w:rPr>
          <w:rFonts w:cs="Times New Roman"/>
          <w:b/>
          <w:bCs/>
          <w:color w:val="000000" w:themeColor="text1"/>
          <w:sz w:val="24"/>
          <w:szCs w:val="24"/>
          <w:lang w:val="lt-LT"/>
        </w:rPr>
        <w:t>pranešimų</w:t>
      </w:r>
      <w:r w:rsidR="00E0245E">
        <w:rPr>
          <w:rFonts w:cs="Times New Roman"/>
          <w:b/>
          <w:bCs/>
          <w:color w:val="000000" w:themeColor="text1"/>
          <w:sz w:val="24"/>
          <w:szCs w:val="24"/>
          <w:lang w:val="lt-LT"/>
        </w:rPr>
        <w:t xml:space="preserve"> </w:t>
      </w:r>
      <w:r w:rsidRPr="002673F4">
        <w:rPr>
          <w:rFonts w:cs="Times New Roman"/>
          <w:b/>
          <w:bCs/>
          <w:color w:val="000000" w:themeColor="text1"/>
          <w:sz w:val="24"/>
          <w:szCs w:val="24"/>
          <w:lang w:val="lt-LT"/>
        </w:rPr>
        <w:t>pasiskirstymas pagal amžių</w:t>
      </w:r>
    </w:p>
    <w:p w14:paraId="4E14C32A" w14:textId="77777777" w:rsidR="00170B20" w:rsidRPr="002673F4" w:rsidRDefault="00170B20" w:rsidP="00170B20">
      <w:pPr>
        <w:pStyle w:val="Betarp"/>
        <w:jc w:val="both"/>
        <w:rPr>
          <w:rFonts w:cs="Times New Roman"/>
          <w:color w:val="000000" w:themeColor="text1"/>
          <w:sz w:val="24"/>
          <w:szCs w:val="24"/>
          <w:lang w:val="lt-LT"/>
        </w:rPr>
      </w:pPr>
    </w:p>
    <w:p w14:paraId="0D900AA3" w14:textId="19854775" w:rsidR="00170B20" w:rsidRDefault="00170B20" w:rsidP="00170B20">
      <w:pPr>
        <w:pStyle w:val="Betarp"/>
        <w:ind w:firstLine="708"/>
        <w:jc w:val="both"/>
        <w:rPr>
          <w:rFonts w:cs="Times New Roman"/>
          <w:color w:val="000000" w:themeColor="text1"/>
          <w:sz w:val="24"/>
          <w:szCs w:val="24"/>
          <w:lang w:val="lt-LT"/>
        </w:rPr>
      </w:pPr>
      <w:r w:rsidRPr="002673F4">
        <w:rPr>
          <w:rFonts w:cs="Times New Roman"/>
          <w:color w:val="000000" w:themeColor="text1"/>
          <w:sz w:val="24"/>
          <w:szCs w:val="24"/>
          <w:lang w:val="lt-LT"/>
        </w:rPr>
        <w:t xml:space="preserve">Laikotarpiu nuo 2020-12-27 iki 2021-12-31, didžiąją dalį ĮNR pranešimų, </w:t>
      </w:r>
      <w:proofErr w:type="spellStart"/>
      <w:r w:rsidRPr="002673F4">
        <w:rPr>
          <w:rFonts w:cs="Times New Roman"/>
          <w:color w:val="000000" w:themeColor="text1"/>
          <w:sz w:val="24"/>
          <w:szCs w:val="24"/>
          <w:lang w:val="lt-LT"/>
        </w:rPr>
        <w:t>t.y</w:t>
      </w:r>
      <w:proofErr w:type="spellEnd"/>
      <w:r w:rsidRPr="002673F4">
        <w:rPr>
          <w:rFonts w:cs="Times New Roman"/>
          <w:color w:val="000000" w:themeColor="text1"/>
          <w:sz w:val="24"/>
          <w:szCs w:val="24"/>
          <w:lang w:val="lt-LT"/>
        </w:rPr>
        <w:t>. apie 74 proc. nuo bendro pateiktų pranešimų skaičiaus pateikė asmenys, priklausantys amžiaus grupei nuo 20 iki 59 metų, t. y. darbingo amžiaus asmenys. Šiai amžiaus grupei daugiausiai pranešimų gauta buvo ir sekančiais 2022 m. - 75 proc. Nuo 2023</w:t>
      </w:r>
      <w:r w:rsidR="00E61A06">
        <w:rPr>
          <w:rFonts w:cs="Times New Roman"/>
          <w:color w:val="000000" w:themeColor="text1"/>
          <w:sz w:val="24"/>
          <w:szCs w:val="24"/>
          <w:lang w:val="lt-LT"/>
        </w:rPr>
        <w:t xml:space="preserve"> </w:t>
      </w:r>
      <w:r w:rsidRPr="002673F4">
        <w:rPr>
          <w:rFonts w:cs="Times New Roman"/>
          <w:color w:val="000000" w:themeColor="text1"/>
          <w:sz w:val="24"/>
          <w:szCs w:val="24"/>
          <w:lang w:val="lt-LT"/>
        </w:rPr>
        <w:t xml:space="preserve">m. iki 2025 m. minimo darbingo amžiaus asmenų grupei gauti pranešimai kasmet sudarė apie 60 proc. nuo visų gautų pranešimų. </w:t>
      </w:r>
    </w:p>
    <w:p w14:paraId="78BA98D8" w14:textId="77777777" w:rsidR="00170B20" w:rsidRDefault="00170B20" w:rsidP="00170B20">
      <w:pPr>
        <w:pStyle w:val="Betarp"/>
        <w:rPr>
          <w:rFonts w:cs="Times New Roman"/>
          <w:b/>
          <w:bCs/>
          <w:sz w:val="24"/>
          <w:szCs w:val="24"/>
          <w:lang w:val="lt-LT"/>
        </w:rPr>
      </w:pPr>
    </w:p>
    <w:p w14:paraId="17CA2E08" w14:textId="5A1F2AD2" w:rsidR="002F2FAC" w:rsidRPr="002673F4" w:rsidRDefault="00D13D1D" w:rsidP="003C6823">
      <w:pPr>
        <w:pStyle w:val="Betarp"/>
        <w:jc w:val="center"/>
        <w:rPr>
          <w:rFonts w:cs="Times New Roman"/>
          <w:b/>
          <w:bCs/>
          <w:sz w:val="24"/>
          <w:szCs w:val="24"/>
          <w:lang w:val="lt-LT"/>
        </w:rPr>
      </w:pPr>
      <w:r>
        <w:rPr>
          <w:rFonts w:cs="Times New Roman"/>
          <w:b/>
          <w:bCs/>
          <w:sz w:val="24"/>
          <w:szCs w:val="24"/>
          <w:lang w:val="lt-LT"/>
        </w:rPr>
        <w:t>ĮNR pranešimai apie mirčių atvejus</w:t>
      </w:r>
    </w:p>
    <w:p w14:paraId="6E76EA85" w14:textId="77777777" w:rsidR="002F2FAC" w:rsidRPr="002673F4" w:rsidRDefault="002F2FAC" w:rsidP="003C6823">
      <w:pPr>
        <w:pStyle w:val="Betarp"/>
        <w:jc w:val="center"/>
        <w:rPr>
          <w:rFonts w:cs="Times New Roman"/>
          <w:b/>
          <w:bCs/>
          <w:sz w:val="24"/>
          <w:szCs w:val="24"/>
          <w:lang w:val="lt-LT"/>
        </w:rPr>
      </w:pPr>
    </w:p>
    <w:p w14:paraId="631CE35F" w14:textId="065F8CE7" w:rsidR="00574452" w:rsidRPr="002673F4" w:rsidRDefault="00930958" w:rsidP="00574452">
      <w:pPr>
        <w:pStyle w:val="Betarp"/>
        <w:ind w:firstLine="708"/>
        <w:jc w:val="both"/>
        <w:rPr>
          <w:rFonts w:cs="Times New Roman"/>
          <w:sz w:val="24"/>
          <w:szCs w:val="24"/>
          <w:lang w:val="lt-LT"/>
        </w:rPr>
      </w:pPr>
      <w:r w:rsidRPr="002673F4">
        <w:rPr>
          <w:rFonts w:cs="Times New Roman"/>
          <w:sz w:val="24"/>
          <w:szCs w:val="24"/>
          <w:lang w:val="lt-LT"/>
        </w:rPr>
        <w:t>Nuo skiepijimo vakcinomis</w:t>
      </w:r>
      <w:r w:rsidRPr="002673F4">
        <w:rPr>
          <w:rFonts w:cs="Times New Roman"/>
          <w:sz w:val="24"/>
          <w:szCs w:val="24"/>
        </w:rPr>
        <w:t xml:space="preserve"> </w:t>
      </w:r>
      <w:bookmarkStart w:id="0" w:name="_Hlk214276590"/>
      <w:r w:rsidRPr="002673F4">
        <w:rPr>
          <w:rFonts w:cs="Times New Roman"/>
          <w:sz w:val="24"/>
          <w:szCs w:val="24"/>
          <w:lang w:val="lt-LT"/>
        </w:rPr>
        <w:t>nuo COVID-19 ligos (koronaviruso infekcijos</w:t>
      </w:r>
      <w:bookmarkEnd w:id="0"/>
      <w:r w:rsidRPr="002673F4">
        <w:rPr>
          <w:rFonts w:cs="Times New Roman"/>
          <w:sz w:val="24"/>
          <w:szCs w:val="24"/>
          <w:lang w:val="lt-LT"/>
        </w:rPr>
        <w:t xml:space="preserve">) pradžios, t. y. nuo 2020 m. gruodžio mėn. iki 2025 m. spalio 31 d. </w:t>
      </w:r>
      <w:r w:rsidR="00E61A06">
        <w:rPr>
          <w:rFonts w:cs="Times New Roman"/>
          <w:sz w:val="24"/>
          <w:szCs w:val="24"/>
          <w:lang w:val="lt-LT"/>
        </w:rPr>
        <w:t>VVKT</w:t>
      </w:r>
      <w:r w:rsidRPr="002673F4">
        <w:rPr>
          <w:rFonts w:cs="Times New Roman"/>
          <w:sz w:val="24"/>
          <w:szCs w:val="24"/>
          <w:lang w:val="lt-LT"/>
        </w:rPr>
        <w:t xml:space="preserve"> gavo 35  ĮNR pranešimus, kuriuose buvo </w:t>
      </w:r>
      <w:bookmarkStart w:id="1" w:name="_Hlk214033407"/>
      <w:r w:rsidRPr="002673F4">
        <w:rPr>
          <w:rFonts w:cs="Times New Roman"/>
          <w:sz w:val="24"/>
          <w:szCs w:val="24"/>
          <w:lang w:val="lt-LT"/>
        </w:rPr>
        <w:t>pranešta apie pacientų, paskiepytų vakcinomis nuo COVID-19 ligos (koronaviruso infekcijos), mirties atvejus</w:t>
      </w:r>
      <w:bookmarkEnd w:id="1"/>
      <w:r w:rsidR="001A3A19" w:rsidRPr="002673F4">
        <w:rPr>
          <w:rFonts w:cs="Times New Roman"/>
          <w:sz w:val="24"/>
          <w:szCs w:val="24"/>
          <w:lang w:val="lt-LT"/>
        </w:rPr>
        <w:t>.</w:t>
      </w:r>
      <w:r w:rsidR="00574452" w:rsidRPr="002673F4">
        <w:rPr>
          <w:rFonts w:cs="Times New Roman"/>
          <w:sz w:val="24"/>
          <w:szCs w:val="24"/>
          <w:lang w:val="lt-LT"/>
        </w:rPr>
        <w:t xml:space="preserve"> Pranešta apie 16 moterų ir 19 vyrų mirtis. </w:t>
      </w:r>
    </w:p>
    <w:p w14:paraId="749F4634" w14:textId="0D4BFD0F" w:rsidR="002F2FAC" w:rsidRPr="002673F4" w:rsidRDefault="001A3A19" w:rsidP="005D23AC">
      <w:pPr>
        <w:pStyle w:val="Betarp"/>
        <w:ind w:firstLine="708"/>
        <w:jc w:val="both"/>
        <w:rPr>
          <w:rFonts w:cs="Times New Roman"/>
          <w:sz w:val="24"/>
          <w:szCs w:val="24"/>
          <w:lang w:val="lt-LT"/>
        </w:rPr>
      </w:pPr>
      <w:r w:rsidRPr="002673F4">
        <w:rPr>
          <w:rFonts w:cs="Times New Roman"/>
          <w:sz w:val="24"/>
          <w:szCs w:val="24"/>
          <w:lang w:val="lt-LT"/>
        </w:rPr>
        <w:t xml:space="preserve"> </w:t>
      </w:r>
      <w:r w:rsidR="009E1984" w:rsidRPr="002673F4">
        <w:rPr>
          <w:rFonts w:cs="Times New Roman"/>
          <w:sz w:val="24"/>
          <w:szCs w:val="24"/>
          <w:lang w:val="lt-LT"/>
        </w:rPr>
        <w:t xml:space="preserve">Laikotarpiu </w:t>
      </w:r>
      <w:r w:rsidR="00802768" w:rsidRPr="002673F4">
        <w:rPr>
          <w:rFonts w:cs="Times New Roman"/>
          <w:sz w:val="24"/>
          <w:szCs w:val="24"/>
          <w:lang w:val="lt-LT"/>
        </w:rPr>
        <w:t>nuo 2020-12-27 iki 2021-12-31 gauti 29 pranešimai apie mirties atvejus</w:t>
      </w:r>
      <w:r w:rsidR="00D06A95" w:rsidRPr="002673F4">
        <w:rPr>
          <w:rFonts w:cs="Times New Roman"/>
          <w:sz w:val="24"/>
          <w:szCs w:val="24"/>
          <w:lang w:val="lt-LT"/>
        </w:rPr>
        <w:t xml:space="preserve">. </w:t>
      </w:r>
      <w:r w:rsidR="00662F43" w:rsidRPr="002673F4">
        <w:rPr>
          <w:rFonts w:cs="Times New Roman"/>
          <w:sz w:val="24"/>
          <w:szCs w:val="24"/>
          <w:lang w:val="lt-LT"/>
        </w:rPr>
        <w:t xml:space="preserve">Šiuo laikotarpiu mirusių asmenų </w:t>
      </w:r>
      <w:r w:rsidR="00DF0A95" w:rsidRPr="002673F4">
        <w:rPr>
          <w:rFonts w:cs="Times New Roman"/>
          <w:sz w:val="24"/>
          <w:szCs w:val="24"/>
          <w:lang w:val="lt-LT"/>
        </w:rPr>
        <w:t>amžiaus mediana yra 75 metai (ribos nuo 30 m. iki 93 m.)</w:t>
      </w:r>
      <w:r w:rsidR="00DF219C">
        <w:rPr>
          <w:rFonts w:cs="Times New Roman"/>
          <w:sz w:val="24"/>
          <w:szCs w:val="24"/>
          <w:lang w:val="lt-LT"/>
        </w:rPr>
        <w:t>.</w:t>
      </w:r>
      <w:r w:rsidR="003A2781" w:rsidRPr="002673F4">
        <w:rPr>
          <w:rFonts w:cs="Times New Roman"/>
          <w:sz w:val="24"/>
          <w:szCs w:val="24"/>
          <w:lang w:val="lt-LT"/>
        </w:rPr>
        <w:t xml:space="preserve"> Atkreiptinas dėmesys, kad VVKT buvo gautas pranešimas apie kitoje ES šalyje mirusį asmenį,</w:t>
      </w:r>
      <w:r w:rsidR="00AA0DA6" w:rsidRPr="002673F4">
        <w:rPr>
          <w:rFonts w:cs="Times New Roman"/>
          <w:sz w:val="24"/>
          <w:szCs w:val="24"/>
          <w:lang w:val="lt-LT"/>
        </w:rPr>
        <w:t xml:space="preserve"> </w:t>
      </w:r>
      <w:r w:rsidR="003A2781" w:rsidRPr="002673F4">
        <w:rPr>
          <w:rFonts w:cs="Times New Roman"/>
          <w:sz w:val="24"/>
          <w:szCs w:val="24"/>
          <w:lang w:val="lt-LT"/>
        </w:rPr>
        <w:t xml:space="preserve">kurio mirties faktas nėra įtrauktas į oficialią Lietuvos mirčių statistiką, tai </w:t>
      </w:r>
      <w:r w:rsidR="000D2076" w:rsidRPr="002673F4">
        <w:rPr>
          <w:rFonts w:cs="Times New Roman"/>
          <w:sz w:val="24"/>
          <w:szCs w:val="24"/>
          <w:lang w:val="lt-LT"/>
        </w:rPr>
        <w:t>JCOVDEN</w:t>
      </w:r>
      <w:r w:rsidR="003A2781" w:rsidRPr="002673F4">
        <w:rPr>
          <w:rFonts w:cs="Times New Roman"/>
          <w:sz w:val="24"/>
          <w:szCs w:val="24"/>
          <w:lang w:val="lt-LT"/>
        </w:rPr>
        <w:t xml:space="preserve"> Lietuvoje vakcinuotas 30 metų vyras, staiga miręs praėjus 1 mėnesiui po vakcinacijos</w:t>
      </w:r>
      <w:r w:rsidR="00106AA4" w:rsidRPr="002673F4">
        <w:rPr>
          <w:rFonts w:cs="Times New Roman"/>
          <w:sz w:val="24"/>
          <w:szCs w:val="24"/>
          <w:lang w:val="lt-LT"/>
        </w:rPr>
        <w:t xml:space="preserve"> </w:t>
      </w:r>
      <w:r w:rsidR="003A2781" w:rsidRPr="002673F4">
        <w:rPr>
          <w:rFonts w:cs="Times New Roman"/>
          <w:sz w:val="24"/>
          <w:szCs w:val="24"/>
          <w:lang w:val="lt-LT"/>
        </w:rPr>
        <w:t>dėl miokardo infarkto.</w:t>
      </w:r>
    </w:p>
    <w:p w14:paraId="7B8CF4B0" w14:textId="6C06C4C2" w:rsidR="004664B2" w:rsidRPr="002673F4" w:rsidRDefault="000C3C5C" w:rsidP="00356FE3">
      <w:pPr>
        <w:pStyle w:val="Betarp"/>
        <w:ind w:firstLine="708"/>
        <w:jc w:val="both"/>
        <w:rPr>
          <w:rFonts w:cs="Times New Roman"/>
          <w:sz w:val="24"/>
          <w:szCs w:val="24"/>
          <w:lang w:val="lt-LT"/>
        </w:rPr>
      </w:pPr>
      <w:r w:rsidRPr="002673F4">
        <w:rPr>
          <w:rFonts w:cs="Times New Roman"/>
          <w:sz w:val="24"/>
          <w:szCs w:val="24"/>
          <w:lang w:val="lt-LT"/>
        </w:rPr>
        <w:t>Per 2022 m.</w:t>
      </w:r>
      <w:r w:rsidR="008F25D0" w:rsidRPr="002673F4">
        <w:rPr>
          <w:rFonts w:cs="Times New Roman"/>
          <w:sz w:val="24"/>
          <w:szCs w:val="24"/>
          <w:lang w:val="lt-LT"/>
        </w:rPr>
        <w:t xml:space="preserve"> gauti 6 pranešimai apie mirties</w:t>
      </w:r>
      <w:r w:rsidRPr="002673F4">
        <w:rPr>
          <w:rFonts w:cs="Times New Roman"/>
          <w:sz w:val="24"/>
          <w:szCs w:val="24"/>
          <w:lang w:val="lt-LT"/>
        </w:rPr>
        <w:t xml:space="preserve"> </w:t>
      </w:r>
      <w:r w:rsidR="008F25D0" w:rsidRPr="002673F4">
        <w:rPr>
          <w:rFonts w:cs="Times New Roman"/>
          <w:sz w:val="24"/>
          <w:szCs w:val="24"/>
          <w:lang w:val="lt-LT"/>
        </w:rPr>
        <w:t>atvejus.</w:t>
      </w:r>
      <w:r w:rsidR="007B2174" w:rsidRPr="002673F4">
        <w:rPr>
          <w:rFonts w:cs="Times New Roman"/>
          <w:sz w:val="24"/>
          <w:szCs w:val="24"/>
          <w:lang w:val="lt-LT"/>
        </w:rPr>
        <w:t xml:space="preserve"> Šiuo laikotarpiu mirusių asmenų amžiaus mediana </w:t>
      </w:r>
      <w:r w:rsidR="008F25D0" w:rsidRPr="002673F4">
        <w:rPr>
          <w:rFonts w:cs="Times New Roman"/>
          <w:sz w:val="24"/>
          <w:szCs w:val="24"/>
          <w:lang w:val="lt-LT"/>
        </w:rPr>
        <w:t>yra 73,5</w:t>
      </w:r>
      <w:r w:rsidR="004C7930" w:rsidRPr="002673F4">
        <w:rPr>
          <w:rFonts w:cs="Times New Roman"/>
          <w:sz w:val="24"/>
          <w:szCs w:val="24"/>
          <w:lang w:val="lt-LT"/>
        </w:rPr>
        <w:t xml:space="preserve"> </w:t>
      </w:r>
      <w:r w:rsidR="008F25D0" w:rsidRPr="002673F4">
        <w:rPr>
          <w:rFonts w:cs="Times New Roman"/>
          <w:sz w:val="24"/>
          <w:szCs w:val="24"/>
          <w:lang w:val="lt-LT"/>
        </w:rPr>
        <w:t xml:space="preserve">metai (ribos nuo 46 iki 86 metų). </w:t>
      </w:r>
    </w:p>
    <w:p w14:paraId="344F455A" w14:textId="5448FE67" w:rsidR="00271002" w:rsidRPr="00344C23" w:rsidRDefault="00271002" w:rsidP="00BD792D">
      <w:pPr>
        <w:pStyle w:val="Betarp"/>
        <w:ind w:firstLine="708"/>
        <w:jc w:val="both"/>
        <w:rPr>
          <w:rFonts w:cs="Times New Roman"/>
          <w:sz w:val="24"/>
          <w:szCs w:val="24"/>
          <w:lang w:val="lt-LT"/>
        </w:rPr>
      </w:pPr>
      <w:r w:rsidRPr="002673F4">
        <w:rPr>
          <w:rFonts w:cs="Times New Roman"/>
          <w:sz w:val="24"/>
          <w:szCs w:val="24"/>
          <w:lang w:val="lt-LT"/>
        </w:rPr>
        <w:lastRenderedPageBreak/>
        <w:t xml:space="preserve">Nuo 2023 m. </w:t>
      </w:r>
      <w:r w:rsidR="00747836">
        <w:rPr>
          <w:rFonts w:cs="Times New Roman"/>
          <w:sz w:val="24"/>
          <w:szCs w:val="24"/>
          <w:lang w:val="lt-LT"/>
        </w:rPr>
        <w:t>-</w:t>
      </w:r>
      <w:r w:rsidRPr="002673F4">
        <w:rPr>
          <w:rFonts w:cs="Times New Roman"/>
          <w:sz w:val="24"/>
          <w:szCs w:val="24"/>
          <w:lang w:val="lt-LT"/>
        </w:rPr>
        <w:t xml:space="preserve"> 2025 m. apie mirties atvejus</w:t>
      </w:r>
      <w:r w:rsidR="00747836">
        <w:rPr>
          <w:rFonts w:cs="Times New Roman"/>
          <w:sz w:val="24"/>
          <w:szCs w:val="24"/>
          <w:lang w:val="lt-LT"/>
        </w:rPr>
        <w:t xml:space="preserve"> ĮNR</w:t>
      </w:r>
      <w:r w:rsidRPr="002673F4">
        <w:rPr>
          <w:rFonts w:cs="Times New Roman"/>
          <w:sz w:val="24"/>
          <w:szCs w:val="24"/>
          <w:lang w:val="lt-LT"/>
        </w:rPr>
        <w:t xml:space="preserve"> pranešimų negauta</w:t>
      </w:r>
      <w:r w:rsidR="00344C23" w:rsidRPr="00344C23">
        <w:rPr>
          <w:rFonts w:cs="Times New Roman"/>
          <w:sz w:val="24"/>
          <w:szCs w:val="24"/>
          <w:lang w:val="lt-LT"/>
        </w:rPr>
        <w:t xml:space="preserve">. </w:t>
      </w:r>
      <w:r w:rsidR="00344C23" w:rsidRPr="00AF0C2A">
        <w:rPr>
          <w:rFonts w:cs="Times New Roman"/>
          <w:sz w:val="24"/>
          <w:szCs w:val="24"/>
          <w:lang w:val="lt-LT"/>
        </w:rPr>
        <w:t>ĮNR pranešimai apie mirties atvejus po vakcinacijos konkrečia vakcina</w:t>
      </w:r>
      <w:r w:rsidR="00344C23">
        <w:rPr>
          <w:rFonts w:cs="Times New Roman"/>
          <w:sz w:val="24"/>
          <w:szCs w:val="24"/>
          <w:lang w:val="lt-LT"/>
        </w:rPr>
        <w:t xml:space="preserve"> pavai</w:t>
      </w:r>
      <w:r w:rsidR="00170B20">
        <w:rPr>
          <w:rFonts w:cs="Times New Roman"/>
          <w:sz w:val="24"/>
          <w:szCs w:val="24"/>
          <w:lang w:val="lt-LT"/>
        </w:rPr>
        <w:t>z</w:t>
      </w:r>
      <w:r w:rsidR="00344C23">
        <w:rPr>
          <w:rFonts w:cs="Times New Roman"/>
          <w:sz w:val="24"/>
          <w:szCs w:val="24"/>
          <w:lang w:val="lt-LT"/>
        </w:rPr>
        <w:t>d</w:t>
      </w:r>
      <w:r w:rsidR="00FB2D55">
        <w:rPr>
          <w:rFonts w:cs="Times New Roman"/>
          <w:sz w:val="24"/>
          <w:szCs w:val="24"/>
          <w:lang w:val="lt-LT"/>
        </w:rPr>
        <w:t>uoti 2 lentelėje.</w:t>
      </w:r>
    </w:p>
    <w:p w14:paraId="7F1488CB" w14:textId="77777777" w:rsidR="00DB3956" w:rsidRDefault="00DB3956" w:rsidP="00BD792D">
      <w:pPr>
        <w:pStyle w:val="Betarp"/>
        <w:ind w:firstLine="708"/>
        <w:jc w:val="both"/>
        <w:rPr>
          <w:rFonts w:cs="Times New Roman"/>
          <w:sz w:val="24"/>
          <w:szCs w:val="24"/>
          <w:lang w:val="lt-LT"/>
        </w:rPr>
      </w:pPr>
    </w:p>
    <w:p w14:paraId="770F84B0" w14:textId="3902693F" w:rsidR="00DF219C" w:rsidRPr="00AF0C2A" w:rsidRDefault="00DB3956" w:rsidP="00AF0C2A">
      <w:pPr>
        <w:pStyle w:val="Betarp"/>
        <w:rPr>
          <w:rFonts w:cs="Times New Roman"/>
          <w:b/>
          <w:bCs/>
          <w:sz w:val="24"/>
          <w:szCs w:val="24"/>
          <w:lang w:val="lt-LT"/>
        </w:rPr>
      </w:pPr>
      <w:r w:rsidRPr="0017665D">
        <w:rPr>
          <w:rFonts w:cs="Times New Roman"/>
          <w:b/>
          <w:bCs/>
          <w:sz w:val="24"/>
          <w:szCs w:val="24"/>
          <w:lang w:val="lt-LT"/>
        </w:rPr>
        <w:t>(</w:t>
      </w:r>
      <w:r>
        <w:rPr>
          <w:rFonts w:cs="Times New Roman"/>
          <w:b/>
          <w:bCs/>
          <w:sz w:val="24"/>
          <w:szCs w:val="24"/>
          <w:lang w:val="lt-LT"/>
        </w:rPr>
        <w:t xml:space="preserve">2 </w:t>
      </w:r>
      <w:r w:rsidRPr="0017665D">
        <w:rPr>
          <w:rFonts w:cs="Times New Roman"/>
          <w:b/>
          <w:bCs/>
          <w:sz w:val="24"/>
          <w:szCs w:val="24"/>
          <w:lang w:val="lt-LT"/>
        </w:rPr>
        <w:t xml:space="preserve">lentelė) </w:t>
      </w:r>
      <w:r>
        <w:rPr>
          <w:rFonts w:cs="Times New Roman"/>
          <w:b/>
          <w:bCs/>
          <w:sz w:val="24"/>
          <w:szCs w:val="24"/>
          <w:lang w:val="lt-LT"/>
        </w:rPr>
        <w:t>ĮNR pranešim</w:t>
      </w:r>
      <w:r w:rsidR="00BD6BB5">
        <w:rPr>
          <w:rFonts w:cs="Times New Roman"/>
          <w:b/>
          <w:bCs/>
          <w:sz w:val="24"/>
          <w:szCs w:val="24"/>
          <w:lang w:val="lt-LT"/>
        </w:rPr>
        <w:t>ai apie mirties atvejus po</w:t>
      </w:r>
      <w:r w:rsidR="00B90E46">
        <w:rPr>
          <w:rFonts w:cs="Times New Roman"/>
          <w:b/>
          <w:bCs/>
          <w:sz w:val="24"/>
          <w:szCs w:val="24"/>
          <w:lang w:val="lt-LT"/>
        </w:rPr>
        <w:t xml:space="preserve"> vakcinacijos</w:t>
      </w:r>
      <w:r w:rsidR="00BD6BB5">
        <w:rPr>
          <w:rFonts w:cs="Times New Roman"/>
          <w:b/>
          <w:bCs/>
          <w:sz w:val="24"/>
          <w:szCs w:val="24"/>
          <w:lang w:val="lt-LT"/>
        </w:rPr>
        <w:t xml:space="preserve"> konkreči</w:t>
      </w:r>
      <w:r w:rsidR="00B90E46">
        <w:rPr>
          <w:rFonts w:cs="Times New Roman"/>
          <w:b/>
          <w:bCs/>
          <w:sz w:val="24"/>
          <w:szCs w:val="24"/>
          <w:lang w:val="lt-LT"/>
        </w:rPr>
        <w:t>a</w:t>
      </w:r>
      <w:r w:rsidR="00BD6BB5">
        <w:rPr>
          <w:rFonts w:cs="Times New Roman"/>
          <w:b/>
          <w:bCs/>
          <w:sz w:val="24"/>
          <w:szCs w:val="24"/>
          <w:lang w:val="lt-LT"/>
        </w:rPr>
        <w:t xml:space="preserve"> vakcin</w:t>
      </w:r>
      <w:r w:rsidR="00B90E46">
        <w:rPr>
          <w:rFonts w:cs="Times New Roman"/>
          <w:b/>
          <w:bCs/>
          <w:sz w:val="24"/>
          <w:szCs w:val="24"/>
          <w:lang w:val="lt-LT"/>
        </w:rPr>
        <w:t>a</w:t>
      </w:r>
    </w:p>
    <w:tbl>
      <w:tblPr>
        <w:tblW w:w="9040" w:type="dxa"/>
        <w:tblLook w:val="04A0" w:firstRow="1" w:lastRow="0" w:firstColumn="1" w:lastColumn="0" w:noHBand="0" w:noVBand="1"/>
      </w:tblPr>
      <w:tblGrid>
        <w:gridCol w:w="1720"/>
        <w:gridCol w:w="1243"/>
        <w:gridCol w:w="1220"/>
        <w:gridCol w:w="1220"/>
        <w:gridCol w:w="1280"/>
        <w:gridCol w:w="1231"/>
        <w:gridCol w:w="1220"/>
      </w:tblGrid>
      <w:tr w:rsidR="00344FA7" w:rsidRPr="00344FA7" w14:paraId="5FB5581F" w14:textId="77777777" w:rsidTr="00344FA7">
        <w:trPr>
          <w:trHeight w:val="288"/>
        </w:trPr>
        <w:tc>
          <w:tcPr>
            <w:tcW w:w="1720" w:type="dxa"/>
            <w:tcBorders>
              <w:top w:val="single" w:sz="4" w:space="0" w:color="auto"/>
              <w:left w:val="single" w:sz="4" w:space="0" w:color="auto"/>
              <w:bottom w:val="single" w:sz="4" w:space="0" w:color="auto"/>
              <w:right w:val="single" w:sz="4" w:space="0" w:color="auto"/>
            </w:tcBorders>
            <w:vAlign w:val="bottom"/>
            <w:hideMark/>
          </w:tcPr>
          <w:p w14:paraId="7ABE181E" w14:textId="77777777" w:rsidR="00344FA7" w:rsidRPr="00344FA7" w:rsidRDefault="00344FA7" w:rsidP="00344FA7">
            <w:pPr>
              <w:spacing w:after="0"/>
              <w:jc w:val="center"/>
              <w:rPr>
                <w:rFonts w:eastAsia="Times New Roman" w:cs="Times New Roman"/>
                <w:b/>
                <w:bCs/>
                <w:sz w:val="22"/>
                <w:lang w:val="lt-LT" w:eastAsia="lt-LT"/>
              </w:rPr>
            </w:pPr>
            <w:r w:rsidRPr="00344FA7">
              <w:rPr>
                <w:rFonts w:eastAsia="Times New Roman" w:cs="Times New Roman"/>
                <w:b/>
                <w:bCs/>
                <w:sz w:val="22"/>
                <w:lang w:val="lt-LT" w:eastAsia="lt-LT"/>
              </w:rPr>
              <w:t> </w:t>
            </w:r>
          </w:p>
        </w:tc>
        <w:tc>
          <w:tcPr>
            <w:tcW w:w="1220" w:type="dxa"/>
            <w:tcBorders>
              <w:top w:val="single" w:sz="4" w:space="0" w:color="auto"/>
              <w:left w:val="nil"/>
              <w:bottom w:val="single" w:sz="4" w:space="0" w:color="auto"/>
              <w:right w:val="single" w:sz="4" w:space="0" w:color="auto"/>
            </w:tcBorders>
            <w:vAlign w:val="bottom"/>
            <w:hideMark/>
          </w:tcPr>
          <w:p w14:paraId="69B03CA5" w14:textId="77777777" w:rsidR="00344FA7" w:rsidRPr="00344FA7" w:rsidRDefault="00344FA7" w:rsidP="00344FA7">
            <w:pPr>
              <w:spacing w:after="0"/>
              <w:jc w:val="center"/>
              <w:rPr>
                <w:rFonts w:eastAsia="Times New Roman" w:cs="Times New Roman"/>
                <w:b/>
                <w:bCs/>
                <w:sz w:val="22"/>
                <w:lang w:val="lt-LT" w:eastAsia="lt-LT"/>
              </w:rPr>
            </w:pPr>
            <w:r w:rsidRPr="00344FA7">
              <w:rPr>
                <w:rFonts w:eastAsia="Times New Roman" w:cs="Times New Roman"/>
                <w:b/>
                <w:bCs/>
                <w:sz w:val="22"/>
                <w:lang w:val="lt-LT" w:eastAsia="lt-LT"/>
              </w:rPr>
              <w:t>Comirnaty</w:t>
            </w:r>
          </w:p>
        </w:tc>
        <w:tc>
          <w:tcPr>
            <w:tcW w:w="1220" w:type="dxa"/>
            <w:tcBorders>
              <w:top w:val="single" w:sz="4" w:space="0" w:color="auto"/>
              <w:left w:val="nil"/>
              <w:bottom w:val="single" w:sz="4" w:space="0" w:color="auto"/>
              <w:right w:val="single" w:sz="4" w:space="0" w:color="auto"/>
            </w:tcBorders>
            <w:vAlign w:val="bottom"/>
            <w:hideMark/>
          </w:tcPr>
          <w:p w14:paraId="291368A0" w14:textId="77777777" w:rsidR="00344FA7" w:rsidRPr="00344FA7" w:rsidRDefault="00344FA7" w:rsidP="00344FA7">
            <w:pPr>
              <w:spacing w:after="0"/>
              <w:jc w:val="center"/>
              <w:rPr>
                <w:rFonts w:eastAsia="Times New Roman" w:cs="Times New Roman"/>
                <w:b/>
                <w:bCs/>
                <w:sz w:val="22"/>
                <w:lang w:val="lt-LT" w:eastAsia="lt-LT"/>
              </w:rPr>
            </w:pPr>
            <w:proofErr w:type="spellStart"/>
            <w:r w:rsidRPr="00344FA7">
              <w:rPr>
                <w:rFonts w:eastAsia="Times New Roman" w:cs="Times New Roman"/>
                <w:b/>
                <w:bCs/>
                <w:sz w:val="22"/>
                <w:lang w:val="lt-LT" w:eastAsia="lt-LT"/>
              </w:rPr>
              <w:t>Spikevax</w:t>
            </w:r>
            <w:proofErr w:type="spellEnd"/>
          </w:p>
        </w:tc>
        <w:tc>
          <w:tcPr>
            <w:tcW w:w="1220" w:type="dxa"/>
            <w:tcBorders>
              <w:top w:val="single" w:sz="4" w:space="0" w:color="auto"/>
              <w:left w:val="nil"/>
              <w:bottom w:val="single" w:sz="4" w:space="0" w:color="auto"/>
              <w:right w:val="single" w:sz="4" w:space="0" w:color="auto"/>
            </w:tcBorders>
            <w:vAlign w:val="bottom"/>
            <w:hideMark/>
          </w:tcPr>
          <w:p w14:paraId="68A17E11" w14:textId="77777777" w:rsidR="00344FA7" w:rsidRPr="00344FA7" w:rsidRDefault="00344FA7" w:rsidP="00344FA7">
            <w:pPr>
              <w:spacing w:after="0"/>
              <w:jc w:val="center"/>
              <w:rPr>
                <w:rFonts w:eastAsia="Times New Roman" w:cs="Times New Roman"/>
                <w:b/>
                <w:bCs/>
                <w:sz w:val="22"/>
                <w:lang w:val="lt-LT" w:eastAsia="lt-LT"/>
              </w:rPr>
            </w:pPr>
            <w:r w:rsidRPr="00344FA7">
              <w:rPr>
                <w:rFonts w:eastAsia="Times New Roman" w:cs="Times New Roman"/>
                <w:b/>
                <w:bCs/>
                <w:sz w:val="22"/>
                <w:lang w:val="lt-LT" w:eastAsia="lt-LT"/>
              </w:rPr>
              <w:t>Vaxzevria</w:t>
            </w:r>
          </w:p>
        </w:tc>
        <w:tc>
          <w:tcPr>
            <w:tcW w:w="1220" w:type="dxa"/>
            <w:tcBorders>
              <w:top w:val="single" w:sz="4" w:space="0" w:color="auto"/>
              <w:left w:val="nil"/>
              <w:bottom w:val="single" w:sz="4" w:space="0" w:color="auto"/>
              <w:right w:val="single" w:sz="4" w:space="0" w:color="auto"/>
            </w:tcBorders>
            <w:vAlign w:val="bottom"/>
            <w:hideMark/>
          </w:tcPr>
          <w:p w14:paraId="166E3802" w14:textId="77777777" w:rsidR="00344FA7" w:rsidRPr="00344FA7" w:rsidRDefault="00344FA7" w:rsidP="00344FA7">
            <w:pPr>
              <w:spacing w:after="0"/>
              <w:jc w:val="center"/>
              <w:rPr>
                <w:rFonts w:eastAsia="Times New Roman" w:cs="Times New Roman"/>
                <w:b/>
                <w:bCs/>
                <w:sz w:val="22"/>
                <w:lang w:val="lt-LT" w:eastAsia="lt-LT"/>
              </w:rPr>
            </w:pPr>
            <w:r w:rsidRPr="00344FA7">
              <w:rPr>
                <w:rFonts w:eastAsia="Times New Roman" w:cs="Times New Roman"/>
                <w:b/>
                <w:bCs/>
                <w:sz w:val="22"/>
                <w:lang w:val="lt-LT" w:eastAsia="lt-LT"/>
              </w:rPr>
              <w:t>JCOVDEN</w:t>
            </w:r>
          </w:p>
        </w:tc>
        <w:tc>
          <w:tcPr>
            <w:tcW w:w="1220" w:type="dxa"/>
            <w:tcBorders>
              <w:top w:val="single" w:sz="4" w:space="0" w:color="auto"/>
              <w:left w:val="nil"/>
              <w:bottom w:val="single" w:sz="4" w:space="0" w:color="auto"/>
              <w:right w:val="single" w:sz="4" w:space="0" w:color="auto"/>
            </w:tcBorders>
            <w:vAlign w:val="bottom"/>
            <w:hideMark/>
          </w:tcPr>
          <w:p w14:paraId="1D67526F" w14:textId="77777777" w:rsidR="00344FA7" w:rsidRPr="00344FA7" w:rsidRDefault="00344FA7" w:rsidP="00344FA7">
            <w:pPr>
              <w:spacing w:after="0"/>
              <w:jc w:val="center"/>
              <w:rPr>
                <w:rFonts w:eastAsia="Times New Roman" w:cs="Times New Roman"/>
                <w:b/>
                <w:bCs/>
                <w:sz w:val="22"/>
                <w:lang w:val="lt-LT" w:eastAsia="lt-LT"/>
              </w:rPr>
            </w:pPr>
            <w:proofErr w:type="spellStart"/>
            <w:r w:rsidRPr="00344FA7">
              <w:rPr>
                <w:rFonts w:eastAsia="Times New Roman" w:cs="Times New Roman"/>
                <w:b/>
                <w:bCs/>
                <w:sz w:val="22"/>
                <w:lang w:val="lt-LT" w:eastAsia="lt-LT"/>
              </w:rPr>
              <w:t>Nuvaxovid</w:t>
            </w:r>
            <w:proofErr w:type="spellEnd"/>
          </w:p>
        </w:tc>
        <w:tc>
          <w:tcPr>
            <w:tcW w:w="1220" w:type="dxa"/>
            <w:tcBorders>
              <w:top w:val="single" w:sz="4" w:space="0" w:color="auto"/>
              <w:left w:val="nil"/>
              <w:bottom w:val="single" w:sz="4" w:space="0" w:color="auto"/>
              <w:right w:val="single" w:sz="4" w:space="0" w:color="auto"/>
            </w:tcBorders>
            <w:vAlign w:val="bottom"/>
            <w:hideMark/>
          </w:tcPr>
          <w:p w14:paraId="1FD23E86" w14:textId="77777777" w:rsidR="00344FA7" w:rsidRPr="00344FA7" w:rsidRDefault="00344FA7" w:rsidP="00344FA7">
            <w:pPr>
              <w:spacing w:after="0"/>
              <w:jc w:val="center"/>
              <w:rPr>
                <w:rFonts w:eastAsia="Times New Roman" w:cs="Times New Roman"/>
                <w:b/>
                <w:bCs/>
                <w:sz w:val="22"/>
                <w:lang w:val="lt-LT" w:eastAsia="lt-LT"/>
              </w:rPr>
            </w:pPr>
            <w:r w:rsidRPr="00344FA7">
              <w:rPr>
                <w:rFonts w:eastAsia="Times New Roman" w:cs="Times New Roman"/>
                <w:b/>
                <w:bCs/>
                <w:sz w:val="22"/>
                <w:lang w:val="lt-LT" w:eastAsia="lt-LT"/>
              </w:rPr>
              <w:t>VISO</w:t>
            </w:r>
          </w:p>
        </w:tc>
      </w:tr>
      <w:tr w:rsidR="00344FA7" w:rsidRPr="00344FA7" w14:paraId="452E25B2" w14:textId="77777777" w:rsidTr="00344FA7">
        <w:trPr>
          <w:trHeight w:val="288"/>
        </w:trPr>
        <w:tc>
          <w:tcPr>
            <w:tcW w:w="1720" w:type="dxa"/>
            <w:tcBorders>
              <w:top w:val="nil"/>
              <w:left w:val="single" w:sz="4" w:space="0" w:color="auto"/>
              <w:bottom w:val="single" w:sz="4" w:space="0" w:color="auto"/>
              <w:right w:val="single" w:sz="4" w:space="0" w:color="auto"/>
            </w:tcBorders>
            <w:noWrap/>
            <w:vAlign w:val="bottom"/>
            <w:hideMark/>
          </w:tcPr>
          <w:p w14:paraId="4B027501"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2020 m.</w:t>
            </w:r>
          </w:p>
        </w:tc>
        <w:tc>
          <w:tcPr>
            <w:tcW w:w="1220" w:type="dxa"/>
            <w:tcBorders>
              <w:top w:val="nil"/>
              <w:left w:val="nil"/>
              <w:bottom w:val="single" w:sz="4" w:space="0" w:color="auto"/>
              <w:right w:val="single" w:sz="4" w:space="0" w:color="auto"/>
            </w:tcBorders>
            <w:noWrap/>
            <w:vAlign w:val="bottom"/>
            <w:hideMark/>
          </w:tcPr>
          <w:p w14:paraId="384F75BD"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5B64AD59"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405B196E"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01EB7299"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4097FEB2"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2212C577"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0</w:t>
            </w:r>
          </w:p>
        </w:tc>
      </w:tr>
      <w:tr w:rsidR="00344FA7" w:rsidRPr="00344FA7" w14:paraId="6E0856DA" w14:textId="77777777" w:rsidTr="00344FA7">
        <w:trPr>
          <w:trHeight w:val="288"/>
        </w:trPr>
        <w:tc>
          <w:tcPr>
            <w:tcW w:w="1720" w:type="dxa"/>
            <w:tcBorders>
              <w:top w:val="nil"/>
              <w:left w:val="single" w:sz="4" w:space="0" w:color="auto"/>
              <w:bottom w:val="single" w:sz="4" w:space="0" w:color="auto"/>
              <w:right w:val="single" w:sz="4" w:space="0" w:color="auto"/>
            </w:tcBorders>
            <w:noWrap/>
            <w:vAlign w:val="bottom"/>
            <w:hideMark/>
          </w:tcPr>
          <w:p w14:paraId="1668F1BD"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2021 m.</w:t>
            </w:r>
          </w:p>
        </w:tc>
        <w:tc>
          <w:tcPr>
            <w:tcW w:w="1220" w:type="dxa"/>
            <w:tcBorders>
              <w:top w:val="nil"/>
              <w:left w:val="nil"/>
              <w:bottom w:val="single" w:sz="4" w:space="0" w:color="auto"/>
              <w:right w:val="single" w:sz="4" w:space="0" w:color="auto"/>
            </w:tcBorders>
            <w:noWrap/>
            <w:vAlign w:val="bottom"/>
            <w:hideMark/>
          </w:tcPr>
          <w:p w14:paraId="530E8B7E"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16</w:t>
            </w:r>
          </w:p>
        </w:tc>
        <w:tc>
          <w:tcPr>
            <w:tcW w:w="1220" w:type="dxa"/>
            <w:tcBorders>
              <w:top w:val="nil"/>
              <w:left w:val="nil"/>
              <w:bottom w:val="single" w:sz="4" w:space="0" w:color="auto"/>
              <w:right w:val="single" w:sz="4" w:space="0" w:color="auto"/>
            </w:tcBorders>
            <w:noWrap/>
            <w:vAlign w:val="bottom"/>
            <w:hideMark/>
          </w:tcPr>
          <w:p w14:paraId="700A4493"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1</w:t>
            </w:r>
          </w:p>
        </w:tc>
        <w:tc>
          <w:tcPr>
            <w:tcW w:w="1220" w:type="dxa"/>
            <w:tcBorders>
              <w:top w:val="nil"/>
              <w:left w:val="nil"/>
              <w:bottom w:val="single" w:sz="4" w:space="0" w:color="auto"/>
              <w:right w:val="single" w:sz="4" w:space="0" w:color="auto"/>
            </w:tcBorders>
            <w:noWrap/>
            <w:vAlign w:val="bottom"/>
            <w:hideMark/>
          </w:tcPr>
          <w:p w14:paraId="54F5B981"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11</w:t>
            </w:r>
          </w:p>
        </w:tc>
        <w:tc>
          <w:tcPr>
            <w:tcW w:w="1220" w:type="dxa"/>
            <w:tcBorders>
              <w:top w:val="nil"/>
              <w:left w:val="nil"/>
              <w:bottom w:val="single" w:sz="4" w:space="0" w:color="auto"/>
              <w:right w:val="single" w:sz="4" w:space="0" w:color="auto"/>
            </w:tcBorders>
            <w:noWrap/>
            <w:vAlign w:val="bottom"/>
            <w:hideMark/>
          </w:tcPr>
          <w:p w14:paraId="71DA7EAC"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1</w:t>
            </w:r>
          </w:p>
        </w:tc>
        <w:tc>
          <w:tcPr>
            <w:tcW w:w="1220" w:type="dxa"/>
            <w:tcBorders>
              <w:top w:val="nil"/>
              <w:left w:val="nil"/>
              <w:bottom w:val="single" w:sz="4" w:space="0" w:color="auto"/>
              <w:right w:val="single" w:sz="4" w:space="0" w:color="auto"/>
            </w:tcBorders>
            <w:noWrap/>
            <w:vAlign w:val="bottom"/>
            <w:hideMark/>
          </w:tcPr>
          <w:p w14:paraId="663A9381"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7039A1FD"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29</w:t>
            </w:r>
          </w:p>
        </w:tc>
      </w:tr>
      <w:tr w:rsidR="00344FA7" w:rsidRPr="00344FA7" w14:paraId="0F6C647A" w14:textId="77777777" w:rsidTr="00344FA7">
        <w:trPr>
          <w:trHeight w:val="288"/>
        </w:trPr>
        <w:tc>
          <w:tcPr>
            <w:tcW w:w="1720" w:type="dxa"/>
            <w:tcBorders>
              <w:top w:val="nil"/>
              <w:left w:val="single" w:sz="4" w:space="0" w:color="auto"/>
              <w:bottom w:val="single" w:sz="4" w:space="0" w:color="auto"/>
              <w:right w:val="single" w:sz="4" w:space="0" w:color="auto"/>
            </w:tcBorders>
            <w:noWrap/>
            <w:vAlign w:val="bottom"/>
            <w:hideMark/>
          </w:tcPr>
          <w:p w14:paraId="50F8D16B"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2022 m.</w:t>
            </w:r>
          </w:p>
        </w:tc>
        <w:tc>
          <w:tcPr>
            <w:tcW w:w="1220" w:type="dxa"/>
            <w:tcBorders>
              <w:top w:val="nil"/>
              <w:left w:val="nil"/>
              <w:bottom w:val="single" w:sz="4" w:space="0" w:color="auto"/>
              <w:right w:val="single" w:sz="4" w:space="0" w:color="auto"/>
            </w:tcBorders>
            <w:noWrap/>
            <w:vAlign w:val="bottom"/>
            <w:hideMark/>
          </w:tcPr>
          <w:p w14:paraId="7486E92F"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6</w:t>
            </w:r>
          </w:p>
        </w:tc>
        <w:tc>
          <w:tcPr>
            <w:tcW w:w="1220" w:type="dxa"/>
            <w:tcBorders>
              <w:top w:val="nil"/>
              <w:left w:val="nil"/>
              <w:bottom w:val="single" w:sz="4" w:space="0" w:color="auto"/>
              <w:right w:val="single" w:sz="4" w:space="0" w:color="auto"/>
            </w:tcBorders>
            <w:noWrap/>
            <w:vAlign w:val="bottom"/>
            <w:hideMark/>
          </w:tcPr>
          <w:p w14:paraId="76AC9ED1"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5755A3BF"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0B77BEEA"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0BE3D966"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3F17CEFC"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6</w:t>
            </w:r>
          </w:p>
        </w:tc>
      </w:tr>
      <w:tr w:rsidR="00344FA7" w:rsidRPr="00344FA7" w14:paraId="4CCF3BFE" w14:textId="77777777" w:rsidTr="00344FA7">
        <w:trPr>
          <w:trHeight w:val="288"/>
        </w:trPr>
        <w:tc>
          <w:tcPr>
            <w:tcW w:w="1720" w:type="dxa"/>
            <w:tcBorders>
              <w:top w:val="nil"/>
              <w:left w:val="single" w:sz="4" w:space="0" w:color="auto"/>
              <w:bottom w:val="single" w:sz="4" w:space="0" w:color="auto"/>
              <w:right w:val="single" w:sz="4" w:space="0" w:color="auto"/>
            </w:tcBorders>
            <w:noWrap/>
            <w:vAlign w:val="bottom"/>
            <w:hideMark/>
          </w:tcPr>
          <w:p w14:paraId="4C57685F"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2023 m.</w:t>
            </w:r>
          </w:p>
        </w:tc>
        <w:tc>
          <w:tcPr>
            <w:tcW w:w="1220" w:type="dxa"/>
            <w:tcBorders>
              <w:top w:val="nil"/>
              <w:left w:val="nil"/>
              <w:bottom w:val="single" w:sz="4" w:space="0" w:color="auto"/>
              <w:right w:val="single" w:sz="4" w:space="0" w:color="auto"/>
            </w:tcBorders>
            <w:noWrap/>
            <w:vAlign w:val="bottom"/>
            <w:hideMark/>
          </w:tcPr>
          <w:p w14:paraId="504BEC5D"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0BB77C30"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1923ED18"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124B7947"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74785E2C"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48C1C5D4"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r>
      <w:tr w:rsidR="00344FA7" w:rsidRPr="00344FA7" w14:paraId="22F1609C" w14:textId="77777777" w:rsidTr="00344FA7">
        <w:trPr>
          <w:trHeight w:val="288"/>
        </w:trPr>
        <w:tc>
          <w:tcPr>
            <w:tcW w:w="1720" w:type="dxa"/>
            <w:tcBorders>
              <w:top w:val="nil"/>
              <w:left w:val="single" w:sz="4" w:space="0" w:color="auto"/>
              <w:bottom w:val="single" w:sz="4" w:space="0" w:color="auto"/>
              <w:right w:val="single" w:sz="4" w:space="0" w:color="auto"/>
            </w:tcBorders>
            <w:noWrap/>
            <w:vAlign w:val="bottom"/>
            <w:hideMark/>
          </w:tcPr>
          <w:p w14:paraId="453D6148"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2024 m.</w:t>
            </w:r>
          </w:p>
        </w:tc>
        <w:tc>
          <w:tcPr>
            <w:tcW w:w="1220" w:type="dxa"/>
            <w:tcBorders>
              <w:top w:val="nil"/>
              <w:left w:val="nil"/>
              <w:bottom w:val="single" w:sz="4" w:space="0" w:color="auto"/>
              <w:right w:val="single" w:sz="4" w:space="0" w:color="auto"/>
            </w:tcBorders>
            <w:noWrap/>
            <w:vAlign w:val="bottom"/>
            <w:hideMark/>
          </w:tcPr>
          <w:p w14:paraId="5EC9D11C"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7F6803B9"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5463C744"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12E06DAC"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46DC1D86"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056586CF"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0</w:t>
            </w:r>
          </w:p>
        </w:tc>
      </w:tr>
      <w:tr w:rsidR="00344FA7" w:rsidRPr="00344FA7" w14:paraId="063E99AE" w14:textId="77777777" w:rsidTr="00344FA7">
        <w:trPr>
          <w:trHeight w:val="300"/>
        </w:trPr>
        <w:tc>
          <w:tcPr>
            <w:tcW w:w="1720" w:type="dxa"/>
            <w:tcBorders>
              <w:top w:val="nil"/>
              <w:left w:val="single" w:sz="4" w:space="0" w:color="auto"/>
              <w:bottom w:val="single" w:sz="8" w:space="0" w:color="auto"/>
              <w:right w:val="single" w:sz="4" w:space="0" w:color="auto"/>
            </w:tcBorders>
            <w:noWrap/>
            <w:vAlign w:val="bottom"/>
            <w:hideMark/>
          </w:tcPr>
          <w:p w14:paraId="2113F6FF"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2025 m.</w:t>
            </w:r>
          </w:p>
        </w:tc>
        <w:tc>
          <w:tcPr>
            <w:tcW w:w="1220" w:type="dxa"/>
            <w:tcBorders>
              <w:top w:val="nil"/>
              <w:left w:val="nil"/>
              <w:bottom w:val="single" w:sz="8" w:space="0" w:color="auto"/>
              <w:right w:val="single" w:sz="4" w:space="0" w:color="auto"/>
            </w:tcBorders>
            <w:noWrap/>
            <w:vAlign w:val="bottom"/>
            <w:hideMark/>
          </w:tcPr>
          <w:p w14:paraId="15F76291"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8" w:space="0" w:color="auto"/>
              <w:right w:val="single" w:sz="4" w:space="0" w:color="auto"/>
            </w:tcBorders>
            <w:noWrap/>
            <w:vAlign w:val="bottom"/>
            <w:hideMark/>
          </w:tcPr>
          <w:p w14:paraId="4E8D048E"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8" w:space="0" w:color="auto"/>
              <w:right w:val="single" w:sz="4" w:space="0" w:color="auto"/>
            </w:tcBorders>
            <w:noWrap/>
            <w:vAlign w:val="bottom"/>
            <w:hideMark/>
          </w:tcPr>
          <w:p w14:paraId="12F4980D"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8" w:space="0" w:color="auto"/>
              <w:right w:val="single" w:sz="4" w:space="0" w:color="auto"/>
            </w:tcBorders>
            <w:noWrap/>
            <w:vAlign w:val="bottom"/>
            <w:hideMark/>
          </w:tcPr>
          <w:p w14:paraId="4C79E3BE"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8" w:space="0" w:color="auto"/>
              <w:right w:val="single" w:sz="4" w:space="0" w:color="auto"/>
            </w:tcBorders>
            <w:noWrap/>
            <w:vAlign w:val="bottom"/>
            <w:hideMark/>
          </w:tcPr>
          <w:p w14:paraId="7B22D2A0"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8" w:space="0" w:color="auto"/>
              <w:right w:val="single" w:sz="4" w:space="0" w:color="auto"/>
            </w:tcBorders>
            <w:noWrap/>
            <w:vAlign w:val="bottom"/>
            <w:hideMark/>
          </w:tcPr>
          <w:p w14:paraId="01F745D4"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r>
      <w:tr w:rsidR="00344FA7" w:rsidRPr="00344FA7" w14:paraId="336E7C72" w14:textId="77777777" w:rsidTr="00344FA7">
        <w:trPr>
          <w:trHeight w:val="288"/>
        </w:trPr>
        <w:tc>
          <w:tcPr>
            <w:tcW w:w="1720" w:type="dxa"/>
            <w:tcBorders>
              <w:top w:val="nil"/>
              <w:left w:val="single" w:sz="4" w:space="0" w:color="auto"/>
              <w:bottom w:val="single" w:sz="4" w:space="0" w:color="auto"/>
              <w:right w:val="single" w:sz="4" w:space="0" w:color="auto"/>
            </w:tcBorders>
            <w:noWrap/>
            <w:vAlign w:val="bottom"/>
            <w:hideMark/>
          </w:tcPr>
          <w:p w14:paraId="2A9A5C84"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2020 m.-2025 m.</w:t>
            </w:r>
          </w:p>
        </w:tc>
        <w:tc>
          <w:tcPr>
            <w:tcW w:w="1220" w:type="dxa"/>
            <w:tcBorders>
              <w:top w:val="nil"/>
              <w:left w:val="nil"/>
              <w:bottom w:val="single" w:sz="4" w:space="0" w:color="auto"/>
              <w:right w:val="single" w:sz="4" w:space="0" w:color="auto"/>
            </w:tcBorders>
            <w:noWrap/>
            <w:vAlign w:val="bottom"/>
            <w:hideMark/>
          </w:tcPr>
          <w:p w14:paraId="7EDBF62D"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22</w:t>
            </w:r>
          </w:p>
        </w:tc>
        <w:tc>
          <w:tcPr>
            <w:tcW w:w="1220" w:type="dxa"/>
            <w:tcBorders>
              <w:top w:val="nil"/>
              <w:left w:val="nil"/>
              <w:bottom w:val="single" w:sz="4" w:space="0" w:color="auto"/>
              <w:right w:val="single" w:sz="4" w:space="0" w:color="auto"/>
            </w:tcBorders>
            <w:noWrap/>
            <w:vAlign w:val="bottom"/>
            <w:hideMark/>
          </w:tcPr>
          <w:p w14:paraId="5780232E"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1</w:t>
            </w:r>
          </w:p>
        </w:tc>
        <w:tc>
          <w:tcPr>
            <w:tcW w:w="1220" w:type="dxa"/>
            <w:tcBorders>
              <w:top w:val="nil"/>
              <w:left w:val="nil"/>
              <w:bottom w:val="single" w:sz="4" w:space="0" w:color="auto"/>
              <w:right w:val="single" w:sz="4" w:space="0" w:color="auto"/>
            </w:tcBorders>
            <w:noWrap/>
            <w:vAlign w:val="bottom"/>
            <w:hideMark/>
          </w:tcPr>
          <w:p w14:paraId="69D2837C"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11</w:t>
            </w:r>
          </w:p>
        </w:tc>
        <w:tc>
          <w:tcPr>
            <w:tcW w:w="1220" w:type="dxa"/>
            <w:tcBorders>
              <w:top w:val="nil"/>
              <w:left w:val="nil"/>
              <w:bottom w:val="single" w:sz="4" w:space="0" w:color="auto"/>
              <w:right w:val="single" w:sz="4" w:space="0" w:color="auto"/>
            </w:tcBorders>
            <w:noWrap/>
            <w:vAlign w:val="bottom"/>
            <w:hideMark/>
          </w:tcPr>
          <w:p w14:paraId="4C0B1BD7"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1</w:t>
            </w:r>
          </w:p>
        </w:tc>
        <w:tc>
          <w:tcPr>
            <w:tcW w:w="1220" w:type="dxa"/>
            <w:tcBorders>
              <w:top w:val="nil"/>
              <w:left w:val="nil"/>
              <w:bottom w:val="single" w:sz="4" w:space="0" w:color="auto"/>
              <w:right w:val="single" w:sz="4" w:space="0" w:color="auto"/>
            </w:tcBorders>
            <w:noWrap/>
            <w:vAlign w:val="bottom"/>
            <w:hideMark/>
          </w:tcPr>
          <w:p w14:paraId="6137E13E" w14:textId="77777777" w:rsidR="00344FA7" w:rsidRPr="00DF219C" w:rsidRDefault="00344FA7" w:rsidP="00344FA7">
            <w:pPr>
              <w:spacing w:after="0"/>
              <w:jc w:val="center"/>
              <w:rPr>
                <w:rFonts w:eastAsia="Times New Roman" w:cs="Times New Roman"/>
                <w:sz w:val="22"/>
                <w:lang w:val="lt-LT" w:eastAsia="lt-LT"/>
              </w:rPr>
            </w:pPr>
            <w:r w:rsidRPr="00DF219C">
              <w:rPr>
                <w:rFonts w:eastAsia="Times New Roman" w:cs="Times New Roman"/>
                <w:sz w:val="22"/>
                <w:lang w:val="lt-LT" w:eastAsia="lt-LT"/>
              </w:rPr>
              <w:t>0</w:t>
            </w:r>
          </w:p>
        </w:tc>
        <w:tc>
          <w:tcPr>
            <w:tcW w:w="1220" w:type="dxa"/>
            <w:tcBorders>
              <w:top w:val="nil"/>
              <w:left w:val="nil"/>
              <w:bottom w:val="single" w:sz="4" w:space="0" w:color="auto"/>
              <w:right w:val="single" w:sz="4" w:space="0" w:color="auto"/>
            </w:tcBorders>
            <w:noWrap/>
            <w:vAlign w:val="bottom"/>
            <w:hideMark/>
          </w:tcPr>
          <w:p w14:paraId="37C8F512" w14:textId="77777777" w:rsidR="00344FA7" w:rsidRPr="00DB689B" w:rsidRDefault="00344FA7" w:rsidP="00344FA7">
            <w:pPr>
              <w:spacing w:after="0"/>
              <w:jc w:val="center"/>
              <w:rPr>
                <w:rFonts w:eastAsia="Times New Roman" w:cs="Times New Roman"/>
                <w:color w:val="000000"/>
                <w:sz w:val="22"/>
                <w:lang w:val="lt-LT" w:eastAsia="lt-LT"/>
              </w:rPr>
            </w:pPr>
            <w:r w:rsidRPr="00DB689B">
              <w:rPr>
                <w:rFonts w:eastAsia="Times New Roman" w:cs="Times New Roman"/>
                <w:color w:val="000000"/>
                <w:sz w:val="22"/>
                <w:lang w:val="lt-LT" w:eastAsia="lt-LT"/>
              </w:rPr>
              <w:t>35</w:t>
            </w:r>
          </w:p>
        </w:tc>
      </w:tr>
    </w:tbl>
    <w:p w14:paraId="4566F8A2" w14:textId="77777777" w:rsidR="00C06CDD" w:rsidRPr="002673F4" w:rsidRDefault="00C06CDD" w:rsidP="00B90E46">
      <w:pPr>
        <w:pStyle w:val="Betarp"/>
        <w:jc w:val="both"/>
        <w:rPr>
          <w:rFonts w:cs="Times New Roman"/>
          <w:sz w:val="24"/>
          <w:szCs w:val="24"/>
          <w:lang w:val="lt-LT"/>
        </w:rPr>
      </w:pPr>
    </w:p>
    <w:p w14:paraId="7F3E2CBC" w14:textId="58F30839" w:rsidR="00BD55BD" w:rsidRDefault="008F25D0" w:rsidP="00112D47">
      <w:pPr>
        <w:ind w:firstLine="708"/>
        <w:jc w:val="both"/>
        <w:rPr>
          <w:rFonts w:cs="Times New Roman"/>
          <w:sz w:val="24"/>
          <w:szCs w:val="24"/>
          <w:lang w:val="lt-LT"/>
        </w:rPr>
      </w:pPr>
      <w:r w:rsidRPr="002673F4">
        <w:rPr>
          <w:rFonts w:cs="Times New Roman"/>
          <w:sz w:val="24"/>
          <w:szCs w:val="24"/>
          <w:lang w:val="lt-LT"/>
        </w:rPr>
        <w:t>Didžioji dalis mirusių</w:t>
      </w:r>
      <w:r w:rsidR="007B2174" w:rsidRPr="002673F4">
        <w:rPr>
          <w:rFonts w:cs="Times New Roman"/>
          <w:sz w:val="24"/>
          <w:szCs w:val="24"/>
          <w:lang w:val="lt-LT"/>
        </w:rPr>
        <w:t xml:space="preserve"> </w:t>
      </w:r>
      <w:r w:rsidRPr="002673F4">
        <w:rPr>
          <w:rFonts w:cs="Times New Roman"/>
          <w:sz w:val="24"/>
          <w:szCs w:val="24"/>
          <w:lang w:val="lt-LT"/>
        </w:rPr>
        <w:t xml:space="preserve">pacientų buvo vyresnio amžiaus ir sirgę lėtinėmis ligomis, kurios galėjo lemti mirtį. </w:t>
      </w:r>
      <w:r w:rsidR="005F5448" w:rsidRPr="002673F4">
        <w:rPr>
          <w:rFonts w:cs="Times New Roman"/>
          <w:sz w:val="24"/>
          <w:szCs w:val="24"/>
          <w:lang w:val="lt-LT"/>
        </w:rPr>
        <w:t xml:space="preserve">Dažniausiai mirtį lėmė </w:t>
      </w:r>
      <w:proofErr w:type="spellStart"/>
      <w:r w:rsidR="005F5448" w:rsidRPr="002673F4">
        <w:rPr>
          <w:rFonts w:cs="Times New Roman"/>
          <w:sz w:val="24"/>
          <w:szCs w:val="24"/>
          <w:lang w:val="lt-LT"/>
        </w:rPr>
        <w:t>kardialinės</w:t>
      </w:r>
      <w:proofErr w:type="spellEnd"/>
      <w:r w:rsidR="005F5448" w:rsidRPr="002673F4">
        <w:rPr>
          <w:rFonts w:cs="Times New Roman"/>
          <w:sz w:val="24"/>
          <w:szCs w:val="24"/>
          <w:lang w:val="lt-LT"/>
        </w:rPr>
        <w:t xml:space="preserve"> priežastys (17 atvejų), insultas (4 atvejai), pneumonija (2 atvejai), vidinis kraujavimas (1 atvejis), atsinaujinęs autoimuninis susirgimas (1</w:t>
      </w:r>
      <w:r w:rsidR="004E12C5">
        <w:rPr>
          <w:rFonts w:cs="Times New Roman"/>
          <w:sz w:val="24"/>
          <w:szCs w:val="24"/>
          <w:lang w:val="lt-LT"/>
        </w:rPr>
        <w:t xml:space="preserve"> </w:t>
      </w:r>
      <w:r w:rsidR="005F5448" w:rsidRPr="002673F4">
        <w:rPr>
          <w:rFonts w:cs="Times New Roman"/>
          <w:sz w:val="24"/>
          <w:szCs w:val="24"/>
          <w:lang w:val="lt-LT"/>
        </w:rPr>
        <w:t>atvejis), nepatikslintas encefalitas (1 atvejis), onkologinė liga (1 atvejis), sąmonės ir kvėpavimo sutrikimas (1 atvejis) bei 7 atvejuose mirties priežastis nebuvo nurodyta.</w:t>
      </w:r>
      <w:r w:rsidR="005B2CE8">
        <w:rPr>
          <w:rFonts w:cs="Times New Roman"/>
          <w:sz w:val="24"/>
          <w:szCs w:val="24"/>
          <w:lang w:val="lt-LT"/>
        </w:rPr>
        <w:t xml:space="preserve"> </w:t>
      </w:r>
      <w:r w:rsidRPr="002673F4">
        <w:rPr>
          <w:rFonts w:cs="Times New Roman"/>
          <w:sz w:val="24"/>
          <w:szCs w:val="24"/>
          <w:lang w:val="lt-LT"/>
        </w:rPr>
        <w:t>Nei vienu atveju VVKT nenustatė tiesioginio priežastinio ryšio tarp vakcinacijos Covid-19</w:t>
      </w:r>
      <w:r w:rsidR="00356FE3" w:rsidRPr="002673F4">
        <w:rPr>
          <w:rFonts w:cs="Times New Roman"/>
          <w:sz w:val="24"/>
          <w:szCs w:val="24"/>
          <w:lang w:val="lt-LT"/>
        </w:rPr>
        <w:t xml:space="preserve"> </w:t>
      </w:r>
      <w:r w:rsidRPr="002673F4">
        <w:rPr>
          <w:rFonts w:cs="Times New Roman"/>
          <w:sz w:val="24"/>
          <w:szCs w:val="24"/>
          <w:lang w:val="lt-LT"/>
        </w:rPr>
        <w:t>vakcinomis ir paciento mirties</w:t>
      </w:r>
      <w:r w:rsidR="00A95A1E">
        <w:rPr>
          <w:rFonts w:cs="Times New Roman"/>
          <w:sz w:val="24"/>
          <w:szCs w:val="24"/>
          <w:lang w:val="lt-LT"/>
        </w:rPr>
        <w:t xml:space="preserve"> (</w:t>
      </w:r>
      <w:proofErr w:type="spellStart"/>
      <w:r w:rsidR="00A95A1E">
        <w:rPr>
          <w:rFonts w:cs="Times New Roman"/>
          <w:sz w:val="24"/>
          <w:szCs w:val="24"/>
          <w:lang w:val="lt-LT"/>
        </w:rPr>
        <w:t>t.y</w:t>
      </w:r>
      <w:proofErr w:type="spellEnd"/>
      <w:r w:rsidR="00A95A1E">
        <w:rPr>
          <w:rFonts w:cs="Times New Roman"/>
          <w:sz w:val="24"/>
          <w:szCs w:val="24"/>
          <w:lang w:val="lt-LT"/>
        </w:rPr>
        <w:t>. n</w:t>
      </w:r>
      <w:r w:rsidR="00A95A1E" w:rsidRPr="00A95A1E">
        <w:rPr>
          <w:rFonts w:cs="Times New Roman"/>
          <w:sz w:val="24"/>
          <w:szCs w:val="24"/>
          <w:lang w:val="lt-LT"/>
        </w:rPr>
        <w:t>ei vienu atveju priežastinis ryšys nebuvo nustatytas kaip „tikras“ arba „labai tikėtinas ar tikėtinas“</w:t>
      </w:r>
      <w:r w:rsidR="00A95A1E">
        <w:rPr>
          <w:rFonts w:cs="Times New Roman"/>
          <w:sz w:val="24"/>
          <w:szCs w:val="24"/>
          <w:lang w:val="lt-LT"/>
        </w:rPr>
        <w:t>)</w:t>
      </w:r>
      <w:r w:rsidR="008B0894">
        <w:rPr>
          <w:rFonts w:cs="Times New Roman"/>
          <w:sz w:val="24"/>
          <w:szCs w:val="24"/>
          <w:lang w:val="lt-LT"/>
        </w:rPr>
        <w:t>.</w:t>
      </w:r>
    </w:p>
    <w:p w14:paraId="36FDD2DA" w14:textId="3E310791" w:rsidR="00BD55BD" w:rsidRDefault="00BD55BD" w:rsidP="00E638E9">
      <w:pPr>
        <w:pStyle w:val="Betarp"/>
        <w:ind w:firstLine="708"/>
        <w:jc w:val="center"/>
        <w:rPr>
          <w:rFonts w:cs="Times New Roman"/>
          <w:b/>
          <w:bCs/>
          <w:color w:val="000000" w:themeColor="text1"/>
          <w:sz w:val="24"/>
          <w:szCs w:val="24"/>
          <w:lang w:val="lt-LT"/>
        </w:rPr>
      </w:pPr>
      <w:r w:rsidRPr="00BD55BD">
        <w:rPr>
          <w:rFonts w:cs="Times New Roman"/>
          <w:b/>
          <w:bCs/>
          <w:color w:val="000000" w:themeColor="text1"/>
          <w:sz w:val="24"/>
          <w:szCs w:val="24"/>
          <w:lang w:val="lt-LT"/>
        </w:rPr>
        <w:t>Apibendrinimas</w:t>
      </w:r>
    </w:p>
    <w:p w14:paraId="28EBA508" w14:textId="77777777" w:rsidR="00B352D9" w:rsidRPr="002673F4" w:rsidRDefault="00B352D9" w:rsidP="00AE6D49">
      <w:pPr>
        <w:pStyle w:val="Betarp"/>
        <w:jc w:val="both"/>
        <w:rPr>
          <w:rFonts w:cs="Times New Roman"/>
          <w:color w:val="000000" w:themeColor="text1"/>
          <w:sz w:val="24"/>
          <w:szCs w:val="24"/>
          <w:lang w:val="lt-LT"/>
        </w:rPr>
      </w:pPr>
    </w:p>
    <w:p w14:paraId="166681F7" w14:textId="6FEA1E48" w:rsidR="008D6B11" w:rsidRPr="00387AC5" w:rsidRDefault="003564AA" w:rsidP="00387AC5">
      <w:pPr>
        <w:pStyle w:val="Betarp"/>
        <w:ind w:firstLine="708"/>
        <w:jc w:val="both"/>
        <w:rPr>
          <w:rFonts w:cs="Times New Roman"/>
          <w:sz w:val="24"/>
          <w:szCs w:val="24"/>
          <w:lang w:val="lt-LT"/>
        </w:rPr>
      </w:pPr>
      <w:r w:rsidRPr="002673F4">
        <w:rPr>
          <w:rFonts w:cs="Times New Roman"/>
          <w:sz w:val="24"/>
          <w:szCs w:val="24"/>
          <w:lang w:val="lt-LT"/>
        </w:rPr>
        <w:t>2020 m. gruodžio 27 d. Lietuvoje, kaip ir visoje Europos Sąjungoje (toliau – ES) prasidėjo vakcinacija nuo COVID-19 ligos.</w:t>
      </w:r>
      <w:r>
        <w:rPr>
          <w:rFonts w:cs="Times New Roman"/>
          <w:sz w:val="24"/>
          <w:szCs w:val="24"/>
          <w:lang w:val="lt-LT"/>
        </w:rPr>
        <w:t xml:space="preserve"> Lietuvoje buvo skiepijama penkiomis vakcinomis: </w:t>
      </w:r>
      <w:r w:rsidRPr="002673F4">
        <w:rPr>
          <w:rFonts w:cs="Times New Roman"/>
          <w:sz w:val="24"/>
          <w:szCs w:val="24"/>
          <w:lang w:val="lt-LT"/>
        </w:rPr>
        <w:t>Comirnaty</w:t>
      </w:r>
      <w:r>
        <w:rPr>
          <w:rFonts w:cs="Times New Roman"/>
          <w:sz w:val="24"/>
          <w:szCs w:val="24"/>
          <w:lang w:val="lt-LT"/>
        </w:rPr>
        <w:t xml:space="preserve">, </w:t>
      </w:r>
      <w:proofErr w:type="spellStart"/>
      <w:r w:rsidRPr="002673F4">
        <w:rPr>
          <w:rFonts w:cs="Times New Roman"/>
          <w:sz w:val="24"/>
          <w:szCs w:val="24"/>
          <w:lang w:val="lt-LT"/>
        </w:rPr>
        <w:t>Spikevax</w:t>
      </w:r>
      <w:proofErr w:type="spellEnd"/>
      <w:r>
        <w:rPr>
          <w:rFonts w:cs="Times New Roman"/>
          <w:sz w:val="24"/>
          <w:szCs w:val="24"/>
          <w:lang w:val="lt-LT"/>
        </w:rPr>
        <w:t xml:space="preserve">, </w:t>
      </w:r>
      <w:r w:rsidRPr="002673F4">
        <w:rPr>
          <w:rFonts w:cs="Times New Roman"/>
          <w:sz w:val="24"/>
          <w:szCs w:val="24"/>
          <w:lang w:val="lt-LT"/>
        </w:rPr>
        <w:t>Vaxzevria</w:t>
      </w:r>
      <w:r>
        <w:rPr>
          <w:rFonts w:cs="Times New Roman"/>
          <w:sz w:val="24"/>
          <w:szCs w:val="24"/>
          <w:lang w:val="lt-LT"/>
        </w:rPr>
        <w:t xml:space="preserve">, </w:t>
      </w:r>
      <w:r w:rsidRPr="002673F4">
        <w:rPr>
          <w:rFonts w:cs="Times New Roman"/>
          <w:sz w:val="24"/>
          <w:szCs w:val="24"/>
        </w:rPr>
        <w:t>JCOVDEN</w:t>
      </w:r>
      <w:r>
        <w:rPr>
          <w:rFonts w:cs="Times New Roman"/>
          <w:sz w:val="24"/>
          <w:szCs w:val="24"/>
          <w:lang w:val="lt-LT"/>
        </w:rPr>
        <w:t xml:space="preserve">, </w:t>
      </w:r>
      <w:proofErr w:type="spellStart"/>
      <w:r w:rsidRPr="00DE33C9">
        <w:rPr>
          <w:rFonts w:cs="Times New Roman"/>
          <w:sz w:val="24"/>
          <w:szCs w:val="24"/>
          <w:lang w:val="lt-LT"/>
        </w:rPr>
        <w:t>Nuvaxovid</w:t>
      </w:r>
      <w:proofErr w:type="spellEnd"/>
      <w:r>
        <w:rPr>
          <w:rFonts w:cs="Times New Roman"/>
          <w:sz w:val="24"/>
          <w:szCs w:val="24"/>
          <w:lang w:val="lt-LT"/>
        </w:rPr>
        <w:t>.</w:t>
      </w:r>
      <w:r w:rsidR="00205778">
        <w:rPr>
          <w:rFonts w:cs="Times New Roman"/>
          <w:color w:val="000000" w:themeColor="text1"/>
          <w:sz w:val="24"/>
          <w:szCs w:val="24"/>
          <w:lang w:val="lt-LT"/>
        </w:rPr>
        <w:t xml:space="preserve"> </w:t>
      </w:r>
      <w:r>
        <w:rPr>
          <w:rFonts w:cs="Times New Roman"/>
          <w:sz w:val="24"/>
          <w:szCs w:val="24"/>
          <w:lang w:val="lt-LT"/>
        </w:rPr>
        <w:t>N</w:t>
      </w:r>
      <w:r w:rsidRPr="002673F4">
        <w:rPr>
          <w:rFonts w:cs="Times New Roman"/>
          <w:sz w:val="24"/>
          <w:szCs w:val="24"/>
          <w:lang w:val="lt-LT"/>
        </w:rPr>
        <w:t>uo 2020 m. gruodžio 27 d. iki 2025 gruodžio 31 d.</w:t>
      </w:r>
      <w:r w:rsidR="00205778">
        <w:rPr>
          <w:rFonts w:cs="Times New Roman"/>
          <w:sz w:val="24"/>
          <w:szCs w:val="24"/>
          <w:lang w:val="lt-LT"/>
        </w:rPr>
        <w:t xml:space="preserve"> VVKT užregistravo iš viso </w:t>
      </w:r>
      <w:r w:rsidR="00876B99">
        <w:rPr>
          <w:rFonts w:cs="Times New Roman"/>
          <w:sz w:val="24"/>
          <w:szCs w:val="24"/>
          <w:lang w:val="lt-LT"/>
        </w:rPr>
        <w:t>8</w:t>
      </w:r>
      <w:r w:rsidR="00C00B57">
        <w:rPr>
          <w:rFonts w:cs="Times New Roman"/>
          <w:sz w:val="24"/>
          <w:szCs w:val="24"/>
          <w:lang w:val="lt-LT"/>
        </w:rPr>
        <w:t xml:space="preserve"> </w:t>
      </w:r>
      <w:r w:rsidR="00876B99">
        <w:rPr>
          <w:rFonts w:cs="Times New Roman"/>
          <w:sz w:val="24"/>
          <w:szCs w:val="24"/>
          <w:lang w:val="lt-LT"/>
        </w:rPr>
        <w:t>094 ĮNR pranešimus</w:t>
      </w:r>
      <w:r w:rsidR="002F2AE4">
        <w:rPr>
          <w:rFonts w:cs="Times New Roman"/>
          <w:sz w:val="24"/>
          <w:szCs w:val="24"/>
          <w:lang w:val="lt-LT"/>
        </w:rPr>
        <w:t xml:space="preserve"> (iš jų 7 570 </w:t>
      </w:r>
      <w:r w:rsidR="006D2F54" w:rsidRPr="002673F4">
        <w:rPr>
          <w:rFonts w:cs="Times New Roman"/>
          <w:sz w:val="24"/>
          <w:szCs w:val="24"/>
          <w:lang w:val="lt-LT"/>
        </w:rPr>
        <w:t>nesunk</w:t>
      </w:r>
      <w:r w:rsidR="002F2AE4">
        <w:rPr>
          <w:rFonts w:cs="Times New Roman"/>
          <w:sz w:val="24"/>
          <w:szCs w:val="24"/>
          <w:lang w:val="lt-LT"/>
        </w:rPr>
        <w:t>ūs</w:t>
      </w:r>
      <w:r w:rsidR="006D2F54" w:rsidRPr="002673F4">
        <w:rPr>
          <w:rFonts w:cs="Times New Roman"/>
          <w:sz w:val="24"/>
          <w:szCs w:val="24"/>
          <w:lang w:val="lt-LT"/>
        </w:rPr>
        <w:t xml:space="preserve"> </w:t>
      </w:r>
      <w:r w:rsidR="00275952">
        <w:rPr>
          <w:rFonts w:cs="Times New Roman"/>
          <w:sz w:val="24"/>
          <w:szCs w:val="24"/>
          <w:lang w:val="lt-LT"/>
        </w:rPr>
        <w:t>ir</w:t>
      </w:r>
      <w:r w:rsidR="002F2AE4">
        <w:rPr>
          <w:rFonts w:cs="Times New Roman"/>
          <w:sz w:val="24"/>
          <w:szCs w:val="24"/>
          <w:lang w:val="lt-LT"/>
        </w:rPr>
        <w:t xml:space="preserve"> </w:t>
      </w:r>
      <w:r w:rsidR="002F2AE4" w:rsidRPr="002673F4">
        <w:rPr>
          <w:rFonts w:cs="Times New Roman"/>
          <w:sz w:val="24"/>
          <w:szCs w:val="24"/>
          <w:lang w:val="lt-LT"/>
        </w:rPr>
        <w:t>524 sunkūs</w:t>
      </w:r>
      <w:r w:rsidR="00275952">
        <w:rPr>
          <w:rFonts w:cs="Times New Roman"/>
          <w:sz w:val="24"/>
          <w:szCs w:val="24"/>
          <w:lang w:val="lt-LT"/>
        </w:rPr>
        <w:t>)</w:t>
      </w:r>
      <w:r w:rsidR="002F2AE4">
        <w:rPr>
          <w:rFonts w:cs="Times New Roman"/>
          <w:sz w:val="24"/>
          <w:szCs w:val="24"/>
          <w:lang w:val="lt-LT"/>
        </w:rPr>
        <w:t>.</w:t>
      </w:r>
      <w:r w:rsidR="00F649F6">
        <w:rPr>
          <w:rFonts w:cs="Times New Roman"/>
          <w:sz w:val="24"/>
          <w:szCs w:val="24"/>
          <w:lang w:val="lt-LT"/>
        </w:rPr>
        <w:t xml:space="preserve"> </w:t>
      </w:r>
      <w:r w:rsidR="00DF219C" w:rsidRPr="00DF219C">
        <w:rPr>
          <w:rFonts w:cs="Times New Roman"/>
          <w:sz w:val="24"/>
          <w:szCs w:val="24"/>
          <w:lang w:val="lt-LT"/>
        </w:rPr>
        <w:t>2020-2021 m. gauti 6 808 ĮNR pranešimai,  2022 m. gauti 1 227, 2023 m. – gauti 33, 2024 m. – gautas 21, 2025 m. – gauti 5</w:t>
      </w:r>
      <w:r w:rsidR="006B192A">
        <w:rPr>
          <w:rFonts w:cs="Times New Roman"/>
          <w:sz w:val="24"/>
          <w:szCs w:val="24"/>
          <w:lang w:val="lt-LT"/>
        </w:rPr>
        <w:t>Kiekvienais metais</w:t>
      </w:r>
      <w:r w:rsidR="001C6A25">
        <w:rPr>
          <w:rFonts w:cs="Times New Roman"/>
          <w:sz w:val="24"/>
          <w:szCs w:val="24"/>
          <w:lang w:val="lt-LT"/>
        </w:rPr>
        <w:t xml:space="preserve"> </w:t>
      </w:r>
      <w:r w:rsidR="00747836">
        <w:rPr>
          <w:rFonts w:cs="Times New Roman"/>
          <w:sz w:val="24"/>
          <w:szCs w:val="24"/>
          <w:lang w:val="lt-LT"/>
        </w:rPr>
        <w:t xml:space="preserve">daugiausiai </w:t>
      </w:r>
      <w:r w:rsidR="001C6A25">
        <w:rPr>
          <w:rFonts w:cs="Times New Roman"/>
          <w:sz w:val="24"/>
          <w:szCs w:val="24"/>
          <w:lang w:val="lt-LT"/>
        </w:rPr>
        <w:t xml:space="preserve"> ĮNR pranešim</w:t>
      </w:r>
      <w:r w:rsidR="00747836">
        <w:rPr>
          <w:rFonts w:cs="Times New Roman"/>
          <w:sz w:val="24"/>
          <w:szCs w:val="24"/>
          <w:lang w:val="lt-LT"/>
        </w:rPr>
        <w:t>ų</w:t>
      </w:r>
      <w:r w:rsidR="001C6A25">
        <w:rPr>
          <w:rFonts w:cs="Times New Roman"/>
          <w:sz w:val="24"/>
          <w:szCs w:val="24"/>
          <w:lang w:val="lt-LT"/>
        </w:rPr>
        <w:t xml:space="preserve"> </w:t>
      </w:r>
      <w:r w:rsidR="00747836">
        <w:rPr>
          <w:rFonts w:cs="Times New Roman"/>
          <w:sz w:val="24"/>
          <w:szCs w:val="24"/>
          <w:lang w:val="lt-LT"/>
        </w:rPr>
        <w:t>pa</w:t>
      </w:r>
      <w:r w:rsidR="001C6A25">
        <w:rPr>
          <w:rFonts w:cs="Times New Roman"/>
          <w:sz w:val="24"/>
          <w:szCs w:val="24"/>
          <w:lang w:val="lt-LT"/>
        </w:rPr>
        <w:t>teik</w:t>
      </w:r>
      <w:r w:rsidR="00747836">
        <w:rPr>
          <w:rFonts w:cs="Times New Roman"/>
          <w:sz w:val="24"/>
          <w:szCs w:val="24"/>
          <w:lang w:val="lt-LT"/>
        </w:rPr>
        <w:t>ė</w:t>
      </w:r>
      <w:r w:rsidR="001C6A25">
        <w:rPr>
          <w:rFonts w:cs="Times New Roman"/>
          <w:sz w:val="24"/>
          <w:szCs w:val="24"/>
          <w:lang w:val="lt-LT"/>
        </w:rPr>
        <w:t xml:space="preserve"> pacientai</w:t>
      </w:r>
      <w:r w:rsidR="00AA72E6">
        <w:rPr>
          <w:rFonts w:cs="Times New Roman"/>
          <w:sz w:val="24"/>
          <w:szCs w:val="24"/>
          <w:lang w:val="lt-LT"/>
        </w:rPr>
        <w:t>.</w:t>
      </w:r>
      <w:r w:rsidR="001C6A25">
        <w:rPr>
          <w:rFonts w:cs="Times New Roman"/>
          <w:sz w:val="24"/>
          <w:szCs w:val="24"/>
          <w:lang w:val="lt-LT"/>
        </w:rPr>
        <w:t xml:space="preserve"> </w:t>
      </w:r>
      <w:r w:rsidR="00AE6D49">
        <w:rPr>
          <w:rFonts w:cs="Times New Roman"/>
          <w:sz w:val="24"/>
          <w:szCs w:val="24"/>
          <w:lang w:val="lt-LT"/>
        </w:rPr>
        <w:t>D</w:t>
      </w:r>
      <w:r w:rsidR="006B192A">
        <w:rPr>
          <w:rFonts w:cs="Times New Roman"/>
          <w:sz w:val="24"/>
          <w:szCs w:val="24"/>
          <w:lang w:val="lt-LT"/>
        </w:rPr>
        <w:t>augiausiai ĮNR pranešimų pateik</w:t>
      </w:r>
      <w:r w:rsidR="000A5FE9">
        <w:rPr>
          <w:rFonts w:cs="Times New Roman"/>
          <w:sz w:val="24"/>
          <w:szCs w:val="24"/>
          <w:lang w:val="lt-LT"/>
        </w:rPr>
        <w:t>ta apie</w:t>
      </w:r>
      <w:r w:rsidR="006B192A">
        <w:rPr>
          <w:rFonts w:cs="Times New Roman"/>
          <w:sz w:val="24"/>
          <w:szCs w:val="24"/>
          <w:lang w:val="lt-LT"/>
        </w:rPr>
        <w:t xml:space="preserve"> pacient</w:t>
      </w:r>
      <w:r w:rsidR="000A5FE9">
        <w:rPr>
          <w:rFonts w:cs="Times New Roman"/>
          <w:sz w:val="24"/>
          <w:szCs w:val="24"/>
          <w:lang w:val="lt-LT"/>
        </w:rPr>
        <w:t>es moteris</w:t>
      </w:r>
      <w:r w:rsidR="001102A9">
        <w:rPr>
          <w:rFonts w:cs="Times New Roman"/>
          <w:sz w:val="24"/>
          <w:szCs w:val="24"/>
          <w:lang w:val="lt-LT"/>
        </w:rPr>
        <w:t>.</w:t>
      </w:r>
      <w:r w:rsidR="007A170E">
        <w:rPr>
          <w:rFonts w:cs="Times New Roman"/>
          <w:sz w:val="24"/>
          <w:szCs w:val="24"/>
          <w:lang w:val="lt-LT"/>
        </w:rPr>
        <w:t xml:space="preserve"> </w:t>
      </w:r>
      <w:r w:rsidR="00ED4A74">
        <w:rPr>
          <w:rFonts w:cs="Times New Roman"/>
          <w:sz w:val="24"/>
          <w:szCs w:val="24"/>
          <w:lang w:val="lt-LT"/>
        </w:rPr>
        <w:t>Per ataskaitinį laikotarpį gaut</w:t>
      </w:r>
      <w:r w:rsidR="00235A5E">
        <w:rPr>
          <w:rFonts w:cs="Times New Roman"/>
          <w:sz w:val="24"/>
          <w:szCs w:val="24"/>
          <w:lang w:val="lt-LT"/>
        </w:rPr>
        <w:t>i</w:t>
      </w:r>
      <w:r w:rsidR="00ED4A74">
        <w:rPr>
          <w:rFonts w:cs="Times New Roman"/>
          <w:sz w:val="24"/>
          <w:szCs w:val="24"/>
          <w:lang w:val="lt-LT"/>
        </w:rPr>
        <w:t xml:space="preserve"> 35 pranešimai apie pacientų mirtis po vakcinacijos, tačiau n</w:t>
      </w:r>
      <w:r w:rsidR="00ED4A74" w:rsidRPr="002673F4">
        <w:rPr>
          <w:rFonts w:cs="Times New Roman"/>
          <w:sz w:val="24"/>
          <w:szCs w:val="24"/>
          <w:lang w:val="lt-LT"/>
        </w:rPr>
        <w:t>ei vienu atveju</w:t>
      </w:r>
      <w:r w:rsidR="00387AC5">
        <w:rPr>
          <w:rFonts w:cs="Times New Roman"/>
          <w:sz w:val="24"/>
          <w:szCs w:val="24"/>
          <w:lang w:val="lt-LT"/>
        </w:rPr>
        <w:t xml:space="preserve"> </w:t>
      </w:r>
      <w:r w:rsidR="00747836">
        <w:rPr>
          <w:rFonts w:cs="Times New Roman"/>
          <w:sz w:val="24"/>
          <w:szCs w:val="24"/>
          <w:lang w:val="lt-LT"/>
        </w:rPr>
        <w:t xml:space="preserve">remiantis </w:t>
      </w:r>
      <w:r w:rsidR="00387AC5">
        <w:rPr>
          <w:rFonts w:cs="Times New Roman"/>
          <w:sz w:val="24"/>
          <w:szCs w:val="24"/>
          <w:lang w:val="lt-LT"/>
        </w:rPr>
        <w:t xml:space="preserve"> pateikt</w:t>
      </w:r>
      <w:r w:rsidR="00747836">
        <w:rPr>
          <w:rFonts w:cs="Times New Roman"/>
          <w:sz w:val="24"/>
          <w:szCs w:val="24"/>
          <w:lang w:val="lt-LT"/>
        </w:rPr>
        <w:t xml:space="preserve">ais </w:t>
      </w:r>
      <w:r w:rsidR="00387AC5">
        <w:rPr>
          <w:rFonts w:cs="Times New Roman"/>
          <w:sz w:val="24"/>
          <w:szCs w:val="24"/>
          <w:lang w:val="lt-LT"/>
        </w:rPr>
        <w:t>duomen</w:t>
      </w:r>
      <w:r w:rsidR="00747836">
        <w:rPr>
          <w:rFonts w:cs="Times New Roman"/>
          <w:sz w:val="24"/>
          <w:szCs w:val="24"/>
          <w:lang w:val="lt-LT"/>
        </w:rPr>
        <w:t>imis</w:t>
      </w:r>
      <w:r w:rsidR="00ED4A74" w:rsidRPr="002673F4">
        <w:rPr>
          <w:rFonts w:cs="Times New Roman"/>
          <w:sz w:val="24"/>
          <w:szCs w:val="24"/>
          <w:lang w:val="lt-LT"/>
        </w:rPr>
        <w:t xml:space="preserve"> VVKT nenustatė tiesioginio priežastinio ryšio tarp vakcinacijos Covid-19 vakcinomis ir paciento mirties.</w:t>
      </w:r>
      <w:r w:rsidR="00387AC5">
        <w:rPr>
          <w:rFonts w:cs="Times New Roman"/>
          <w:sz w:val="24"/>
          <w:szCs w:val="24"/>
          <w:lang w:val="lt-LT"/>
        </w:rPr>
        <w:t xml:space="preserve"> </w:t>
      </w:r>
    </w:p>
    <w:p w14:paraId="35B1DEE4" w14:textId="75948F1C" w:rsidR="003564AA" w:rsidRPr="00205778" w:rsidRDefault="003564AA" w:rsidP="00205778">
      <w:pPr>
        <w:pStyle w:val="Betarp"/>
        <w:ind w:firstLine="708"/>
        <w:jc w:val="both"/>
        <w:rPr>
          <w:rFonts w:cs="Times New Roman"/>
          <w:color w:val="000000" w:themeColor="text1"/>
          <w:sz w:val="24"/>
          <w:szCs w:val="24"/>
          <w:lang w:val="lt-LT"/>
        </w:rPr>
      </w:pPr>
    </w:p>
    <w:p w14:paraId="35638DCA" w14:textId="63F1461A" w:rsidR="00B352D9" w:rsidRPr="002673F4" w:rsidRDefault="00B352D9" w:rsidP="003564AA">
      <w:pPr>
        <w:pStyle w:val="Betarp"/>
        <w:ind w:firstLine="708"/>
        <w:jc w:val="both"/>
        <w:rPr>
          <w:rFonts w:cs="Times New Roman"/>
          <w:color w:val="000000" w:themeColor="text1"/>
          <w:sz w:val="24"/>
          <w:szCs w:val="24"/>
          <w:lang w:val="lt-LT"/>
        </w:rPr>
      </w:pPr>
    </w:p>
    <w:sectPr w:rsidR="00B352D9" w:rsidRPr="002673F4" w:rsidSect="005C0A0B">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B6EF" w14:textId="77777777" w:rsidR="001B0A4A" w:rsidRDefault="001B0A4A" w:rsidP="005403FF">
      <w:pPr>
        <w:spacing w:after="0"/>
      </w:pPr>
      <w:r>
        <w:separator/>
      </w:r>
    </w:p>
  </w:endnote>
  <w:endnote w:type="continuationSeparator" w:id="0">
    <w:p w14:paraId="0EA3307A" w14:textId="77777777" w:rsidR="001B0A4A" w:rsidRDefault="001B0A4A" w:rsidP="005403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7FE3" w14:textId="77777777" w:rsidR="00211BA5" w:rsidRDefault="00211B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82B4" w14:textId="77777777" w:rsidR="00211BA5" w:rsidRDefault="00211B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BA2A" w14:textId="77777777" w:rsidR="00211BA5" w:rsidRDefault="00211B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11D0" w14:textId="77777777" w:rsidR="001B0A4A" w:rsidRDefault="001B0A4A" w:rsidP="005403FF">
      <w:pPr>
        <w:spacing w:after="0"/>
      </w:pPr>
      <w:r>
        <w:separator/>
      </w:r>
    </w:p>
  </w:footnote>
  <w:footnote w:type="continuationSeparator" w:id="0">
    <w:p w14:paraId="5704FC37" w14:textId="77777777" w:rsidR="001B0A4A" w:rsidRDefault="001B0A4A" w:rsidP="005403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CF44" w14:textId="28864F5D" w:rsidR="005403FF" w:rsidRDefault="00000000">
    <w:pPr>
      <w:pStyle w:val="Antrats"/>
    </w:pPr>
    <w:r>
      <w:rPr>
        <w:noProof/>
        <w14:ligatures w14:val="standardContextual"/>
      </w:rPr>
      <w:pict w14:anchorId="439F7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878391" o:spid="_x0000_s1026" type="#_x0000_t75" style="position:absolute;margin-left:0;margin-top:0;width:595.45pt;height:842.15pt;z-index:-251657216;mso-position-horizontal:center;mso-position-horizontal-relative:margin;mso-position-vertical:center;mso-position-vertical-relative:margin" o:allowincell="f">
          <v:imagedata r:id="rId1" o:title="Blankas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C389" w14:textId="77777777" w:rsidR="00211BA5" w:rsidRDefault="00211B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C67E" w14:textId="6DC90D42" w:rsidR="005403FF" w:rsidRPr="000157AB" w:rsidRDefault="00000000">
    <w:pPr>
      <w:pStyle w:val="Antrats"/>
      <w:rPr>
        <w:lang w:val="lt-LT"/>
      </w:rPr>
    </w:pPr>
    <w:r>
      <w:rPr>
        <w:noProof/>
        <w14:ligatures w14:val="standardContextual"/>
      </w:rPr>
      <w:pict w14:anchorId="550E8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878390" o:spid="_x0000_s1025" type="#_x0000_t75" style="position:absolute;margin-left:0;margin-top:0;width:595.45pt;height:842.15pt;z-index:-251658240;mso-position-horizontal:center;mso-position-horizontal-relative:margin;mso-position-vertical:center;mso-position-vertical-relative:margin" o:allowincell="f">
          <v:imagedata r:id="rId1" o:title="BlankasL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31CE"/>
    <w:multiLevelType w:val="hybridMultilevel"/>
    <w:tmpl w:val="C0B6B4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F37A74"/>
    <w:multiLevelType w:val="hybridMultilevel"/>
    <w:tmpl w:val="4F84FA10"/>
    <w:lvl w:ilvl="0" w:tplc="E312B2F0">
      <w:start w:val="1"/>
      <w:numFmt w:val="decimal"/>
      <w:lvlText w:val="%1."/>
      <w:lvlJc w:val="left"/>
      <w:pPr>
        <w:ind w:left="770" w:hanging="4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0E12743"/>
    <w:multiLevelType w:val="hybridMultilevel"/>
    <w:tmpl w:val="74E02E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3E193A"/>
    <w:multiLevelType w:val="hybridMultilevel"/>
    <w:tmpl w:val="BB1CA586"/>
    <w:lvl w:ilvl="0" w:tplc="3C167D9E">
      <w:start w:val="202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0885686">
    <w:abstractNumId w:val="0"/>
  </w:num>
  <w:num w:numId="2" w16cid:durableId="1409837961">
    <w:abstractNumId w:val="2"/>
  </w:num>
  <w:num w:numId="3" w16cid:durableId="148983081">
    <w:abstractNumId w:val="1"/>
  </w:num>
  <w:num w:numId="4" w16cid:durableId="1301619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trackRevisions/>
  <w:defaultTabStop w:val="708"/>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01"/>
    <w:rsid w:val="00003B31"/>
    <w:rsid w:val="0001298D"/>
    <w:rsid w:val="000156E3"/>
    <w:rsid w:val="000157AB"/>
    <w:rsid w:val="00020E04"/>
    <w:rsid w:val="00022D55"/>
    <w:rsid w:val="00023928"/>
    <w:rsid w:val="0003400F"/>
    <w:rsid w:val="00034B42"/>
    <w:rsid w:val="00051C08"/>
    <w:rsid w:val="00052F05"/>
    <w:rsid w:val="000543F7"/>
    <w:rsid w:val="00066007"/>
    <w:rsid w:val="00067132"/>
    <w:rsid w:val="00071027"/>
    <w:rsid w:val="00077C68"/>
    <w:rsid w:val="00080B2C"/>
    <w:rsid w:val="00085EA7"/>
    <w:rsid w:val="00086BF4"/>
    <w:rsid w:val="00086C9D"/>
    <w:rsid w:val="00095120"/>
    <w:rsid w:val="00096644"/>
    <w:rsid w:val="000A142D"/>
    <w:rsid w:val="000A4F4E"/>
    <w:rsid w:val="000A5FE9"/>
    <w:rsid w:val="000B1201"/>
    <w:rsid w:val="000B5344"/>
    <w:rsid w:val="000B6CE5"/>
    <w:rsid w:val="000B7276"/>
    <w:rsid w:val="000B75EC"/>
    <w:rsid w:val="000C3C5C"/>
    <w:rsid w:val="000C4F8E"/>
    <w:rsid w:val="000D2076"/>
    <w:rsid w:val="000E0EAC"/>
    <w:rsid w:val="000E7349"/>
    <w:rsid w:val="000E7477"/>
    <w:rsid w:val="000F09F7"/>
    <w:rsid w:val="000F4B51"/>
    <w:rsid w:val="000F4B6B"/>
    <w:rsid w:val="000F5AE4"/>
    <w:rsid w:val="000F6440"/>
    <w:rsid w:val="000F686E"/>
    <w:rsid w:val="000F6B07"/>
    <w:rsid w:val="00100A91"/>
    <w:rsid w:val="00102C79"/>
    <w:rsid w:val="0010348A"/>
    <w:rsid w:val="00106AA4"/>
    <w:rsid w:val="001102A9"/>
    <w:rsid w:val="00112D47"/>
    <w:rsid w:val="0011352C"/>
    <w:rsid w:val="00117BCA"/>
    <w:rsid w:val="00121BAD"/>
    <w:rsid w:val="00124270"/>
    <w:rsid w:val="00125697"/>
    <w:rsid w:val="00130A70"/>
    <w:rsid w:val="00130FE3"/>
    <w:rsid w:val="0013155F"/>
    <w:rsid w:val="001315A6"/>
    <w:rsid w:val="00131B25"/>
    <w:rsid w:val="00131C0C"/>
    <w:rsid w:val="00141B20"/>
    <w:rsid w:val="00144927"/>
    <w:rsid w:val="00145C2A"/>
    <w:rsid w:val="0014791C"/>
    <w:rsid w:val="0015671E"/>
    <w:rsid w:val="0015686B"/>
    <w:rsid w:val="001617E1"/>
    <w:rsid w:val="00161B96"/>
    <w:rsid w:val="00162E02"/>
    <w:rsid w:val="001659B7"/>
    <w:rsid w:val="00166C1A"/>
    <w:rsid w:val="001671AB"/>
    <w:rsid w:val="00170B20"/>
    <w:rsid w:val="001721BB"/>
    <w:rsid w:val="001735B6"/>
    <w:rsid w:val="00174D11"/>
    <w:rsid w:val="0017665D"/>
    <w:rsid w:val="00184308"/>
    <w:rsid w:val="00185DA7"/>
    <w:rsid w:val="00186FDA"/>
    <w:rsid w:val="001909C8"/>
    <w:rsid w:val="00191D9E"/>
    <w:rsid w:val="00196F55"/>
    <w:rsid w:val="001A0E49"/>
    <w:rsid w:val="001A110A"/>
    <w:rsid w:val="001A1DAC"/>
    <w:rsid w:val="001A3A00"/>
    <w:rsid w:val="001A3A19"/>
    <w:rsid w:val="001A5A98"/>
    <w:rsid w:val="001B0A4A"/>
    <w:rsid w:val="001B3FBE"/>
    <w:rsid w:val="001B68A9"/>
    <w:rsid w:val="001B6B6E"/>
    <w:rsid w:val="001B7AA3"/>
    <w:rsid w:val="001C498D"/>
    <w:rsid w:val="001C6A25"/>
    <w:rsid w:val="001D1EAA"/>
    <w:rsid w:val="001D5D83"/>
    <w:rsid w:val="001D64FF"/>
    <w:rsid w:val="001D7C89"/>
    <w:rsid w:val="001E106C"/>
    <w:rsid w:val="001E125A"/>
    <w:rsid w:val="001E2C07"/>
    <w:rsid w:val="001F07C6"/>
    <w:rsid w:val="001F1CA2"/>
    <w:rsid w:val="00204D62"/>
    <w:rsid w:val="00204EB2"/>
    <w:rsid w:val="00204F92"/>
    <w:rsid w:val="00205734"/>
    <w:rsid w:val="00205778"/>
    <w:rsid w:val="00206C0F"/>
    <w:rsid w:val="00211BA5"/>
    <w:rsid w:val="002124D8"/>
    <w:rsid w:val="00212920"/>
    <w:rsid w:val="00220A21"/>
    <w:rsid w:val="002302C0"/>
    <w:rsid w:val="002308D3"/>
    <w:rsid w:val="00233331"/>
    <w:rsid w:val="00234EBE"/>
    <w:rsid w:val="00235A5E"/>
    <w:rsid w:val="00236486"/>
    <w:rsid w:val="00236BEB"/>
    <w:rsid w:val="00241F66"/>
    <w:rsid w:val="00243101"/>
    <w:rsid w:val="002431AC"/>
    <w:rsid w:val="00243F04"/>
    <w:rsid w:val="0024522C"/>
    <w:rsid w:val="00247C89"/>
    <w:rsid w:val="002504B5"/>
    <w:rsid w:val="00250FC3"/>
    <w:rsid w:val="00252235"/>
    <w:rsid w:val="0025462D"/>
    <w:rsid w:val="00257018"/>
    <w:rsid w:val="002578A8"/>
    <w:rsid w:val="00264B72"/>
    <w:rsid w:val="00265F96"/>
    <w:rsid w:val="0026684F"/>
    <w:rsid w:val="002673F4"/>
    <w:rsid w:val="002701E5"/>
    <w:rsid w:val="00271002"/>
    <w:rsid w:val="0027473C"/>
    <w:rsid w:val="00275952"/>
    <w:rsid w:val="00275DC6"/>
    <w:rsid w:val="0027727C"/>
    <w:rsid w:val="00280DAD"/>
    <w:rsid w:val="002810FB"/>
    <w:rsid w:val="00286BCB"/>
    <w:rsid w:val="00287677"/>
    <w:rsid w:val="002943B6"/>
    <w:rsid w:val="002952E1"/>
    <w:rsid w:val="0029642C"/>
    <w:rsid w:val="00297940"/>
    <w:rsid w:val="00297943"/>
    <w:rsid w:val="00297D09"/>
    <w:rsid w:val="002B015E"/>
    <w:rsid w:val="002B1D4E"/>
    <w:rsid w:val="002B3B37"/>
    <w:rsid w:val="002B56A6"/>
    <w:rsid w:val="002C4D52"/>
    <w:rsid w:val="002D0D1E"/>
    <w:rsid w:val="002D498E"/>
    <w:rsid w:val="002E0787"/>
    <w:rsid w:val="002E0BA8"/>
    <w:rsid w:val="002E6AF0"/>
    <w:rsid w:val="002E757C"/>
    <w:rsid w:val="002F07EE"/>
    <w:rsid w:val="002F268F"/>
    <w:rsid w:val="002F2AE4"/>
    <w:rsid w:val="002F2FAC"/>
    <w:rsid w:val="0030070A"/>
    <w:rsid w:val="0030162E"/>
    <w:rsid w:val="0030302D"/>
    <w:rsid w:val="0030326A"/>
    <w:rsid w:val="0030679D"/>
    <w:rsid w:val="00306A94"/>
    <w:rsid w:val="0031246A"/>
    <w:rsid w:val="003221EA"/>
    <w:rsid w:val="00326E3F"/>
    <w:rsid w:val="00334D1F"/>
    <w:rsid w:val="0033757C"/>
    <w:rsid w:val="00337C51"/>
    <w:rsid w:val="0034004E"/>
    <w:rsid w:val="00341A44"/>
    <w:rsid w:val="00342064"/>
    <w:rsid w:val="00344C23"/>
    <w:rsid w:val="00344FA7"/>
    <w:rsid w:val="003456E1"/>
    <w:rsid w:val="003504FE"/>
    <w:rsid w:val="00352CD4"/>
    <w:rsid w:val="003536DA"/>
    <w:rsid w:val="003537B8"/>
    <w:rsid w:val="00354CA0"/>
    <w:rsid w:val="0035639A"/>
    <w:rsid w:val="003564AA"/>
    <w:rsid w:val="00356FE3"/>
    <w:rsid w:val="0036051B"/>
    <w:rsid w:val="00361430"/>
    <w:rsid w:val="00363F7C"/>
    <w:rsid w:val="00367DA5"/>
    <w:rsid w:val="003716EB"/>
    <w:rsid w:val="0037722A"/>
    <w:rsid w:val="00377F81"/>
    <w:rsid w:val="00383631"/>
    <w:rsid w:val="00386917"/>
    <w:rsid w:val="00387AC5"/>
    <w:rsid w:val="00393D72"/>
    <w:rsid w:val="00395150"/>
    <w:rsid w:val="00397471"/>
    <w:rsid w:val="003A2781"/>
    <w:rsid w:val="003A3A98"/>
    <w:rsid w:val="003A46AF"/>
    <w:rsid w:val="003A5342"/>
    <w:rsid w:val="003B0CEB"/>
    <w:rsid w:val="003B17A6"/>
    <w:rsid w:val="003B4A02"/>
    <w:rsid w:val="003B7A34"/>
    <w:rsid w:val="003C3D9F"/>
    <w:rsid w:val="003C6823"/>
    <w:rsid w:val="003D336B"/>
    <w:rsid w:val="003D3689"/>
    <w:rsid w:val="003D521F"/>
    <w:rsid w:val="003D72F6"/>
    <w:rsid w:val="003E1F5C"/>
    <w:rsid w:val="003E41FE"/>
    <w:rsid w:val="003E6FAC"/>
    <w:rsid w:val="003F0F40"/>
    <w:rsid w:val="004055AF"/>
    <w:rsid w:val="0040734A"/>
    <w:rsid w:val="004074AD"/>
    <w:rsid w:val="0041350C"/>
    <w:rsid w:val="00416749"/>
    <w:rsid w:val="00417F96"/>
    <w:rsid w:val="004252C9"/>
    <w:rsid w:val="00425D37"/>
    <w:rsid w:val="00427063"/>
    <w:rsid w:val="0043045A"/>
    <w:rsid w:val="00434554"/>
    <w:rsid w:val="0044003E"/>
    <w:rsid w:val="004436CF"/>
    <w:rsid w:val="00444BAD"/>
    <w:rsid w:val="004470DD"/>
    <w:rsid w:val="004507B8"/>
    <w:rsid w:val="00455338"/>
    <w:rsid w:val="00460F39"/>
    <w:rsid w:val="004664B2"/>
    <w:rsid w:val="004673BD"/>
    <w:rsid w:val="00471A0B"/>
    <w:rsid w:val="00486237"/>
    <w:rsid w:val="00486884"/>
    <w:rsid w:val="00486E49"/>
    <w:rsid w:val="00492BAC"/>
    <w:rsid w:val="0049622F"/>
    <w:rsid w:val="004A04B7"/>
    <w:rsid w:val="004A0C5C"/>
    <w:rsid w:val="004B115B"/>
    <w:rsid w:val="004B2213"/>
    <w:rsid w:val="004B251F"/>
    <w:rsid w:val="004C5550"/>
    <w:rsid w:val="004C66D0"/>
    <w:rsid w:val="004C6987"/>
    <w:rsid w:val="004C786B"/>
    <w:rsid w:val="004C7930"/>
    <w:rsid w:val="004C7F04"/>
    <w:rsid w:val="004D6BA4"/>
    <w:rsid w:val="004E12C5"/>
    <w:rsid w:val="004E65CB"/>
    <w:rsid w:val="004F2EA0"/>
    <w:rsid w:val="00506B22"/>
    <w:rsid w:val="00516432"/>
    <w:rsid w:val="005168A9"/>
    <w:rsid w:val="00517C96"/>
    <w:rsid w:val="005244FC"/>
    <w:rsid w:val="0053676A"/>
    <w:rsid w:val="005403FF"/>
    <w:rsid w:val="00540C84"/>
    <w:rsid w:val="00542795"/>
    <w:rsid w:val="00543069"/>
    <w:rsid w:val="00543944"/>
    <w:rsid w:val="00546E96"/>
    <w:rsid w:val="00547F52"/>
    <w:rsid w:val="005562C1"/>
    <w:rsid w:val="005618CC"/>
    <w:rsid w:val="005640B3"/>
    <w:rsid w:val="005675E8"/>
    <w:rsid w:val="00570D30"/>
    <w:rsid w:val="005718A9"/>
    <w:rsid w:val="00573F82"/>
    <w:rsid w:val="00574452"/>
    <w:rsid w:val="0057553C"/>
    <w:rsid w:val="005761A2"/>
    <w:rsid w:val="00583121"/>
    <w:rsid w:val="005868F6"/>
    <w:rsid w:val="005870DA"/>
    <w:rsid w:val="0059303C"/>
    <w:rsid w:val="005940D4"/>
    <w:rsid w:val="005A018C"/>
    <w:rsid w:val="005B2CE8"/>
    <w:rsid w:val="005B6A48"/>
    <w:rsid w:val="005B776C"/>
    <w:rsid w:val="005C008A"/>
    <w:rsid w:val="005C0A0B"/>
    <w:rsid w:val="005C2237"/>
    <w:rsid w:val="005C3147"/>
    <w:rsid w:val="005D23AC"/>
    <w:rsid w:val="005D305B"/>
    <w:rsid w:val="005D3B4E"/>
    <w:rsid w:val="005D5137"/>
    <w:rsid w:val="005D5546"/>
    <w:rsid w:val="005D5E65"/>
    <w:rsid w:val="005E10D1"/>
    <w:rsid w:val="005E1DE2"/>
    <w:rsid w:val="005E22ED"/>
    <w:rsid w:val="005E3D7E"/>
    <w:rsid w:val="005E5440"/>
    <w:rsid w:val="005E5D86"/>
    <w:rsid w:val="005E76B2"/>
    <w:rsid w:val="005F3C6D"/>
    <w:rsid w:val="005F5448"/>
    <w:rsid w:val="005F58B0"/>
    <w:rsid w:val="005F5C6C"/>
    <w:rsid w:val="005F6C2C"/>
    <w:rsid w:val="005F77C9"/>
    <w:rsid w:val="005F7C78"/>
    <w:rsid w:val="00601A9A"/>
    <w:rsid w:val="006077FE"/>
    <w:rsid w:val="00613F39"/>
    <w:rsid w:val="006156E9"/>
    <w:rsid w:val="006204E2"/>
    <w:rsid w:val="00622CCE"/>
    <w:rsid w:val="00625627"/>
    <w:rsid w:val="00632A1D"/>
    <w:rsid w:val="00635D26"/>
    <w:rsid w:val="00642050"/>
    <w:rsid w:val="00644918"/>
    <w:rsid w:val="00647822"/>
    <w:rsid w:val="0065671A"/>
    <w:rsid w:val="00661389"/>
    <w:rsid w:val="00662B3C"/>
    <w:rsid w:val="00662F43"/>
    <w:rsid w:val="006640AF"/>
    <w:rsid w:val="00666F90"/>
    <w:rsid w:val="0067307E"/>
    <w:rsid w:val="00673D7F"/>
    <w:rsid w:val="00674713"/>
    <w:rsid w:val="00684DD7"/>
    <w:rsid w:val="006903BB"/>
    <w:rsid w:val="006910D7"/>
    <w:rsid w:val="00691A7A"/>
    <w:rsid w:val="006A097D"/>
    <w:rsid w:val="006A0A30"/>
    <w:rsid w:val="006B1264"/>
    <w:rsid w:val="006B192A"/>
    <w:rsid w:val="006B1A32"/>
    <w:rsid w:val="006B55F8"/>
    <w:rsid w:val="006B6A7F"/>
    <w:rsid w:val="006C03E2"/>
    <w:rsid w:val="006C0B77"/>
    <w:rsid w:val="006C71C6"/>
    <w:rsid w:val="006D0978"/>
    <w:rsid w:val="006D2F54"/>
    <w:rsid w:val="006D79F0"/>
    <w:rsid w:val="006E010D"/>
    <w:rsid w:val="006E096D"/>
    <w:rsid w:val="006E397E"/>
    <w:rsid w:val="00706E35"/>
    <w:rsid w:val="0071218F"/>
    <w:rsid w:val="007123E2"/>
    <w:rsid w:val="00712AAE"/>
    <w:rsid w:val="00720F65"/>
    <w:rsid w:val="00721774"/>
    <w:rsid w:val="007278E3"/>
    <w:rsid w:val="00730E37"/>
    <w:rsid w:val="007314CD"/>
    <w:rsid w:val="007375A3"/>
    <w:rsid w:val="0074041C"/>
    <w:rsid w:val="007416E6"/>
    <w:rsid w:val="00742AC9"/>
    <w:rsid w:val="00743F75"/>
    <w:rsid w:val="00745B16"/>
    <w:rsid w:val="00745E34"/>
    <w:rsid w:val="00747836"/>
    <w:rsid w:val="00750410"/>
    <w:rsid w:val="00765B47"/>
    <w:rsid w:val="0077072C"/>
    <w:rsid w:val="00770F02"/>
    <w:rsid w:val="00773767"/>
    <w:rsid w:val="007751B8"/>
    <w:rsid w:val="0077612D"/>
    <w:rsid w:val="00777626"/>
    <w:rsid w:val="00780AE1"/>
    <w:rsid w:val="00785E37"/>
    <w:rsid w:val="00787608"/>
    <w:rsid w:val="00790D57"/>
    <w:rsid w:val="007922DF"/>
    <w:rsid w:val="00795376"/>
    <w:rsid w:val="00795825"/>
    <w:rsid w:val="007A0055"/>
    <w:rsid w:val="007A170E"/>
    <w:rsid w:val="007A3C90"/>
    <w:rsid w:val="007A73C7"/>
    <w:rsid w:val="007B06EE"/>
    <w:rsid w:val="007B2174"/>
    <w:rsid w:val="007B259E"/>
    <w:rsid w:val="007B296D"/>
    <w:rsid w:val="007B433B"/>
    <w:rsid w:val="007B7170"/>
    <w:rsid w:val="007C62E9"/>
    <w:rsid w:val="007D01AD"/>
    <w:rsid w:val="007D0E62"/>
    <w:rsid w:val="007D16CF"/>
    <w:rsid w:val="007D747D"/>
    <w:rsid w:val="007D75DA"/>
    <w:rsid w:val="007E1B2C"/>
    <w:rsid w:val="007E28D6"/>
    <w:rsid w:val="007E2A10"/>
    <w:rsid w:val="007E3319"/>
    <w:rsid w:val="007E4684"/>
    <w:rsid w:val="007E621C"/>
    <w:rsid w:val="007E6F91"/>
    <w:rsid w:val="007F2339"/>
    <w:rsid w:val="007F6098"/>
    <w:rsid w:val="0080061B"/>
    <w:rsid w:val="00801245"/>
    <w:rsid w:val="00802768"/>
    <w:rsid w:val="00806708"/>
    <w:rsid w:val="00807109"/>
    <w:rsid w:val="00815739"/>
    <w:rsid w:val="0081744F"/>
    <w:rsid w:val="008242FF"/>
    <w:rsid w:val="00830927"/>
    <w:rsid w:val="008379DD"/>
    <w:rsid w:val="00840599"/>
    <w:rsid w:val="00842926"/>
    <w:rsid w:val="00846249"/>
    <w:rsid w:val="00846436"/>
    <w:rsid w:val="00846C2E"/>
    <w:rsid w:val="008532A8"/>
    <w:rsid w:val="0085708C"/>
    <w:rsid w:val="008600D0"/>
    <w:rsid w:val="00863AF9"/>
    <w:rsid w:val="008658A8"/>
    <w:rsid w:val="008664C5"/>
    <w:rsid w:val="00870751"/>
    <w:rsid w:val="008731E0"/>
    <w:rsid w:val="0087597A"/>
    <w:rsid w:val="00876B99"/>
    <w:rsid w:val="00877A3B"/>
    <w:rsid w:val="00882903"/>
    <w:rsid w:val="008831DE"/>
    <w:rsid w:val="00887488"/>
    <w:rsid w:val="00896219"/>
    <w:rsid w:val="008A00B9"/>
    <w:rsid w:val="008A25B2"/>
    <w:rsid w:val="008A361A"/>
    <w:rsid w:val="008A3A6E"/>
    <w:rsid w:val="008A4907"/>
    <w:rsid w:val="008A4E69"/>
    <w:rsid w:val="008B0066"/>
    <w:rsid w:val="008B0894"/>
    <w:rsid w:val="008B2223"/>
    <w:rsid w:val="008B595B"/>
    <w:rsid w:val="008C2BCE"/>
    <w:rsid w:val="008C5EE2"/>
    <w:rsid w:val="008C68DD"/>
    <w:rsid w:val="008D1972"/>
    <w:rsid w:val="008D2093"/>
    <w:rsid w:val="008D3663"/>
    <w:rsid w:val="008D63C1"/>
    <w:rsid w:val="008D6B11"/>
    <w:rsid w:val="008E04B5"/>
    <w:rsid w:val="008E68A3"/>
    <w:rsid w:val="008E6B5E"/>
    <w:rsid w:val="008F20A5"/>
    <w:rsid w:val="008F25D0"/>
    <w:rsid w:val="008F2C79"/>
    <w:rsid w:val="008F59A5"/>
    <w:rsid w:val="008F72E5"/>
    <w:rsid w:val="00906574"/>
    <w:rsid w:val="0091041F"/>
    <w:rsid w:val="00915624"/>
    <w:rsid w:val="00915EC1"/>
    <w:rsid w:val="0092024A"/>
    <w:rsid w:val="009210E6"/>
    <w:rsid w:val="00922C48"/>
    <w:rsid w:val="009267D4"/>
    <w:rsid w:val="00930958"/>
    <w:rsid w:val="009316D6"/>
    <w:rsid w:val="009334B7"/>
    <w:rsid w:val="0094036B"/>
    <w:rsid w:val="00942E5A"/>
    <w:rsid w:val="009470EF"/>
    <w:rsid w:val="00950DA9"/>
    <w:rsid w:val="009546B1"/>
    <w:rsid w:val="009605B0"/>
    <w:rsid w:val="00970DE9"/>
    <w:rsid w:val="009737EC"/>
    <w:rsid w:val="00973B76"/>
    <w:rsid w:val="00975C62"/>
    <w:rsid w:val="00975C9A"/>
    <w:rsid w:val="00976E42"/>
    <w:rsid w:val="009770B5"/>
    <w:rsid w:val="00981E06"/>
    <w:rsid w:val="0098774C"/>
    <w:rsid w:val="0099064D"/>
    <w:rsid w:val="009922D7"/>
    <w:rsid w:val="00993220"/>
    <w:rsid w:val="009940E1"/>
    <w:rsid w:val="00995EA2"/>
    <w:rsid w:val="00997ECA"/>
    <w:rsid w:val="009A3631"/>
    <w:rsid w:val="009A3F81"/>
    <w:rsid w:val="009A47E4"/>
    <w:rsid w:val="009A607D"/>
    <w:rsid w:val="009B49A9"/>
    <w:rsid w:val="009C1A1D"/>
    <w:rsid w:val="009C3AD1"/>
    <w:rsid w:val="009C4B9C"/>
    <w:rsid w:val="009C69DC"/>
    <w:rsid w:val="009C7D66"/>
    <w:rsid w:val="009D3FA2"/>
    <w:rsid w:val="009D695A"/>
    <w:rsid w:val="009E1984"/>
    <w:rsid w:val="009E32B5"/>
    <w:rsid w:val="009E4AA6"/>
    <w:rsid w:val="009E553B"/>
    <w:rsid w:val="009E75B8"/>
    <w:rsid w:val="009F03CD"/>
    <w:rsid w:val="009F3A20"/>
    <w:rsid w:val="009F5B48"/>
    <w:rsid w:val="009F7B12"/>
    <w:rsid w:val="00A030D3"/>
    <w:rsid w:val="00A10DD9"/>
    <w:rsid w:val="00A11214"/>
    <w:rsid w:val="00A204CF"/>
    <w:rsid w:val="00A25923"/>
    <w:rsid w:val="00A26447"/>
    <w:rsid w:val="00A27120"/>
    <w:rsid w:val="00A308CF"/>
    <w:rsid w:val="00A30A44"/>
    <w:rsid w:val="00A31AB2"/>
    <w:rsid w:val="00A356C7"/>
    <w:rsid w:val="00A406A2"/>
    <w:rsid w:val="00A45CCD"/>
    <w:rsid w:val="00A54508"/>
    <w:rsid w:val="00A55D73"/>
    <w:rsid w:val="00A57DE0"/>
    <w:rsid w:val="00A57E45"/>
    <w:rsid w:val="00A71B6E"/>
    <w:rsid w:val="00A731A2"/>
    <w:rsid w:val="00A738FC"/>
    <w:rsid w:val="00A76B6B"/>
    <w:rsid w:val="00A81CB0"/>
    <w:rsid w:val="00A85061"/>
    <w:rsid w:val="00A86176"/>
    <w:rsid w:val="00A86564"/>
    <w:rsid w:val="00A90ADD"/>
    <w:rsid w:val="00A9352F"/>
    <w:rsid w:val="00A95A1E"/>
    <w:rsid w:val="00A96077"/>
    <w:rsid w:val="00AA0DA6"/>
    <w:rsid w:val="00AA56E4"/>
    <w:rsid w:val="00AA62EB"/>
    <w:rsid w:val="00AA72E6"/>
    <w:rsid w:val="00AB0634"/>
    <w:rsid w:val="00AB2E20"/>
    <w:rsid w:val="00AB71DC"/>
    <w:rsid w:val="00AC2154"/>
    <w:rsid w:val="00AC33CC"/>
    <w:rsid w:val="00AC3BB4"/>
    <w:rsid w:val="00AC6A8B"/>
    <w:rsid w:val="00AD616E"/>
    <w:rsid w:val="00AE18CE"/>
    <w:rsid w:val="00AE4612"/>
    <w:rsid w:val="00AE4CA8"/>
    <w:rsid w:val="00AE6D49"/>
    <w:rsid w:val="00AE7939"/>
    <w:rsid w:val="00AF020F"/>
    <w:rsid w:val="00AF0A61"/>
    <w:rsid w:val="00AF0C2A"/>
    <w:rsid w:val="00AF11B4"/>
    <w:rsid w:val="00AF2BFB"/>
    <w:rsid w:val="00AF5EFA"/>
    <w:rsid w:val="00B03839"/>
    <w:rsid w:val="00B04A94"/>
    <w:rsid w:val="00B158E3"/>
    <w:rsid w:val="00B16177"/>
    <w:rsid w:val="00B17A20"/>
    <w:rsid w:val="00B209A7"/>
    <w:rsid w:val="00B259A8"/>
    <w:rsid w:val="00B313B5"/>
    <w:rsid w:val="00B33FEC"/>
    <w:rsid w:val="00B352D9"/>
    <w:rsid w:val="00B40C09"/>
    <w:rsid w:val="00B41A81"/>
    <w:rsid w:val="00B42EE8"/>
    <w:rsid w:val="00B4478A"/>
    <w:rsid w:val="00B44DDB"/>
    <w:rsid w:val="00B45A25"/>
    <w:rsid w:val="00B50165"/>
    <w:rsid w:val="00B56016"/>
    <w:rsid w:val="00B56339"/>
    <w:rsid w:val="00B56A8F"/>
    <w:rsid w:val="00B56CF1"/>
    <w:rsid w:val="00B60514"/>
    <w:rsid w:val="00B61094"/>
    <w:rsid w:val="00B61D01"/>
    <w:rsid w:val="00B63C48"/>
    <w:rsid w:val="00B63F66"/>
    <w:rsid w:val="00B6474C"/>
    <w:rsid w:val="00B67F79"/>
    <w:rsid w:val="00B76C3F"/>
    <w:rsid w:val="00B77BE8"/>
    <w:rsid w:val="00B80B53"/>
    <w:rsid w:val="00B84D1E"/>
    <w:rsid w:val="00B86655"/>
    <w:rsid w:val="00B86A3A"/>
    <w:rsid w:val="00B90090"/>
    <w:rsid w:val="00B90E46"/>
    <w:rsid w:val="00B915B7"/>
    <w:rsid w:val="00B93C33"/>
    <w:rsid w:val="00B95589"/>
    <w:rsid w:val="00B97AE3"/>
    <w:rsid w:val="00BA3A7D"/>
    <w:rsid w:val="00BB03F5"/>
    <w:rsid w:val="00BB1AD0"/>
    <w:rsid w:val="00BB1FB7"/>
    <w:rsid w:val="00BB2AE0"/>
    <w:rsid w:val="00BC1A6B"/>
    <w:rsid w:val="00BC3AA4"/>
    <w:rsid w:val="00BC4CFA"/>
    <w:rsid w:val="00BC5535"/>
    <w:rsid w:val="00BD0AB3"/>
    <w:rsid w:val="00BD4641"/>
    <w:rsid w:val="00BD55BD"/>
    <w:rsid w:val="00BD6BB5"/>
    <w:rsid w:val="00BD792D"/>
    <w:rsid w:val="00BE07A9"/>
    <w:rsid w:val="00BE4B07"/>
    <w:rsid w:val="00BE4E3B"/>
    <w:rsid w:val="00BF1E34"/>
    <w:rsid w:val="00BF20BF"/>
    <w:rsid w:val="00BF421B"/>
    <w:rsid w:val="00C00B57"/>
    <w:rsid w:val="00C01981"/>
    <w:rsid w:val="00C02882"/>
    <w:rsid w:val="00C05184"/>
    <w:rsid w:val="00C06CDD"/>
    <w:rsid w:val="00C10059"/>
    <w:rsid w:val="00C1435F"/>
    <w:rsid w:val="00C20FD8"/>
    <w:rsid w:val="00C257C6"/>
    <w:rsid w:val="00C25F80"/>
    <w:rsid w:val="00C26F4B"/>
    <w:rsid w:val="00C30110"/>
    <w:rsid w:val="00C301C1"/>
    <w:rsid w:val="00C30A99"/>
    <w:rsid w:val="00C3145B"/>
    <w:rsid w:val="00C336CF"/>
    <w:rsid w:val="00C356F0"/>
    <w:rsid w:val="00C4391B"/>
    <w:rsid w:val="00C4703C"/>
    <w:rsid w:val="00C508F1"/>
    <w:rsid w:val="00C54474"/>
    <w:rsid w:val="00C55BBF"/>
    <w:rsid w:val="00C57990"/>
    <w:rsid w:val="00C61A78"/>
    <w:rsid w:val="00C6293F"/>
    <w:rsid w:val="00C65443"/>
    <w:rsid w:val="00C76EB2"/>
    <w:rsid w:val="00C77FAA"/>
    <w:rsid w:val="00C8260D"/>
    <w:rsid w:val="00C8393B"/>
    <w:rsid w:val="00C85BC6"/>
    <w:rsid w:val="00C87E05"/>
    <w:rsid w:val="00C92F48"/>
    <w:rsid w:val="00C94945"/>
    <w:rsid w:val="00C95AEE"/>
    <w:rsid w:val="00C95BDD"/>
    <w:rsid w:val="00C963A9"/>
    <w:rsid w:val="00C97ED2"/>
    <w:rsid w:val="00CA06CF"/>
    <w:rsid w:val="00CA0C33"/>
    <w:rsid w:val="00CA2ED8"/>
    <w:rsid w:val="00CA3602"/>
    <w:rsid w:val="00CA52BD"/>
    <w:rsid w:val="00CB0C08"/>
    <w:rsid w:val="00CB6EA6"/>
    <w:rsid w:val="00CC53C2"/>
    <w:rsid w:val="00CE3B0D"/>
    <w:rsid w:val="00CE4202"/>
    <w:rsid w:val="00CE4225"/>
    <w:rsid w:val="00CE5551"/>
    <w:rsid w:val="00CE5AED"/>
    <w:rsid w:val="00CE6B90"/>
    <w:rsid w:val="00CE7FEF"/>
    <w:rsid w:val="00CF5F8C"/>
    <w:rsid w:val="00D00CD1"/>
    <w:rsid w:val="00D033E3"/>
    <w:rsid w:val="00D0375E"/>
    <w:rsid w:val="00D03E88"/>
    <w:rsid w:val="00D066A3"/>
    <w:rsid w:val="00D06A95"/>
    <w:rsid w:val="00D07C25"/>
    <w:rsid w:val="00D13ADE"/>
    <w:rsid w:val="00D13D1D"/>
    <w:rsid w:val="00D202CB"/>
    <w:rsid w:val="00D21914"/>
    <w:rsid w:val="00D32A4A"/>
    <w:rsid w:val="00D337B6"/>
    <w:rsid w:val="00D371EB"/>
    <w:rsid w:val="00D406FD"/>
    <w:rsid w:val="00D42A7A"/>
    <w:rsid w:val="00D44124"/>
    <w:rsid w:val="00D45B68"/>
    <w:rsid w:val="00D46581"/>
    <w:rsid w:val="00D47366"/>
    <w:rsid w:val="00D51FB0"/>
    <w:rsid w:val="00D52C3F"/>
    <w:rsid w:val="00D538BE"/>
    <w:rsid w:val="00D655BC"/>
    <w:rsid w:val="00D66D36"/>
    <w:rsid w:val="00D73279"/>
    <w:rsid w:val="00D7424E"/>
    <w:rsid w:val="00D75D56"/>
    <w:rsid w:val="00D75EC8"/>
    <w:rsid w:val="00D80C38"/>
    <w:rsid w:val="00D82737"/>
    <w:rsid w:val="00D85524"/>
    <w:rsid w:val="00D915C2"/>
    <w:rsid w:val="00D921B5"/>
    <w:rsid w:val="00DA3188"/>
    <w:rsid w:val="00DA41B3"/>
    <w:rsid w:val="00DA5221"/>
    <w:rsid w:val="00DA77FB"/>
    <w:rsid w:val="00DA791F"/>
    <w:rsid w:val="00DB0070"/>
    <w:rsid w:val="00DB3956"/>
    <w:rsid w:val="00DB4974"/>
    <w:rsid w:val="00DB536E"/>
    <w:rsid w:val="00DB689B"/>
    <w:rsid w:val="00DC0F4E"/>
    <w:rsid w:val="00DC1A7F"/>
    <w:rsid w:val="00DC55EF"/>
    <w:rsid w:val="00DD08DB"/>
    <w:rsid w:val="00DD136B"/>
    <w:rsid w:val="00DD1E11"/>
    <w:rsid w:val="00DD2916"/>
    <w:rsid w:val="00DD4498"/>
    <w:rsid w:val="00DD5237"/>
    <w:rsid w:val="00DD556D"/>
    <w:rsid w:val="00DD58D2"/>
    <w:rsid w:val="00DD79C9"/>
    <w:rsid w:val="00DE0479"/>
    <w:rsid w:val="00DE33C9"/>
    <w:rsid w:val="00DE735D"/>
    <w:rsid w:val="00DE7A25"/>
    <w:rsid w:val="00DF0A95"/>
    <w:rsid w:val="00DF219C"/>
    <w:rsid w:val="00DF22F0"/>
    <w:rsid w:val="00DF298E"/>
    <w:rsid w:val="00DF4001"/>
    <w:rsid w:val="00DF6371"/>
    <w:rsid w:val="00E00D18"/>
    <w:rsid w:val="00E0190F"/>
    <w:rsid w:val="00E0245E"/>
    <w:rsid w:val="00E040F8"/>
    <w:rsid w:val="00E05707"/>
    <w:rsid w:val="00E06D64"/>
    <w:rsid w:val="00E0711C"/>
    <w:rsid w:val="00E075AC"/>
    <w:rsid w:val="00E10124"/>
    <w:rsid w:val="00E11BF1"/>
    <w:rsid w:val="00E12398"/>
    <w:rsid w:val="00E14248"/>
    <w:rsid w:val="00E147D3"/>
    <w:rsid w:val="00E149F4"/>
    <w:rsid w:val="00E17097"/>
    <w:rsid w:val="00E21142"/>
    <w:rsid w:val="00E21162"/>
    <w:rsid w:val="00E21931"/>
    <w:rsid w:val="00E21C09"/>
    <w:rsid w:val="00E239DF"/>
    <w:rsid w:val="00E24A18"/>
    <w:rsid w:val="00E25FE0"/>
    <w:rsid w:val="00E308E5"/>
    <w:rsid w:val="00E33CFC"/>
    <w:rsid w:val="00E36DA9"/>
    <w:rsid w:val="00E40655"/>
    <w:rsid w:val="00E440D1"/>
    <w:rsid w:val="00E52EC1"/>
    <w:rsid w:val="00E5431E"/>
    <w:rsid w:val="00E562B4"/>
    <w:rsid w:val="00E604FD"/>
    <w:rsid w:val="00E60BF4"/>
    <w:rsid w:val="00E61A06"/>
    <w:rsid w:val="00E61B81"/>
    <w:rsid w:val="00E6212A"/>
    <w:rsid w:val="00E638E9"/>
    <w:rsid w:val="00E704CB"/>
    <w:rsid w:val="00E74105"/>
    <w:rsid w:val="00E77AE1"/>
    <w:rsid w:val="00E80DDB"/>
    <w:rsid w:val="00E821CB"/>
    <w:rsid w:val="00E855F3"/>
    <w:rsid w:val="00E87147"/>
    <w:rsid w:val="00E87F4B"/>
    <w:rsid w:val="00E93DFD"/>
    <w:rsid w:val="00EA4EFF"/>
    <w:rsid w:val="00EA59DF"/>
    <w:rsid w:val="00EA5AD2"/>
    <w:rsid w:val="00EB5175"/>
    <w:rsid w:val="00EB7FE4"/>
    <w:rsid w:val="00EC10B6"/>
    <w:rsid w:val="00EC470B"/>
    <w:rsid w:val="00ED1934"/>
    <w:rsid w:val="00ED332D"/>
    <w:rsid w:val="00ED3478"/>
    <w:rsid w:val="00ED4A74"/>
    <w:rsid w:val="00EE2CA8"/>
    <w:rsid w:val="00EE4070"/>
    <w:rsid w:val="00EE6A41"/>
    <w:rsid w:val="00EF0F09"/>
    <w:rsid w:val="00EF19EC"/>
    <w:rsid w:val="00EF3735"/>
    <w:rsid w:val="00EF3D22"/>
    <w:rsid w:val="00EF5D67"/>
    <w:rsid w:val="00EF6922"/>
    <w:rsid w:val="00EF77B9"/>
    <w:rsid w:val="00F01D8D"/>
    <w:rsid w:val="00F0391F"/>
    <w:rsid w:val="00F10656"/>
    <w:rsid w:val="00F1114B"/>
    <w:rsid w:val="00F12C76"/>
    <w:rsid w:val="00F14EF0"/>
    <w:rsid w:val="00F16C37"/>
    <w:rsid w:val="00F17422"/>
    <w:rsid w:val="00F20201"/>
    <w:rsid w:val="00F21588"/>
    <w:rsid w:val="00F250D7"/>
    <w:rsid w:val="00F26BF3"/>
    <w:rsid w:val="00F303A8"/>
    <w:rsid w:val="00F324B8"/>
    <w:rsid w:val="00F36FF6"/>
    <w:rsid w:val="00F419D9"/>
    <w:rsid w:val="00F41CD4"/>
    <w:rsid w:val="00F501FD"/>
    <w:rsid w:val="00F50D45"/>
    <w:rsid w:val="00F57BF8"/>
    <w:rsid w:val="00F6042B"/>
    <w:rsid w:val="00F62261"/>
    <w:rsid w:val="00F649F6"/>
    <w:rsid w:val="00F66CEA"/>
    <w:rsid w:val="00F70373"/>
    <w:rsid w:val="00F70AA8"/>
    <w:rsid w:val="00F72318"/>
    <w:rsid w:val="00F77172"/>
    <w:rsid w:val="00F77676"/>
    <w:rsid w:val="00F82004"/>
    <w:rsid w:val="00F82869"/>
    <w:rsid w:val="00F8359D"/>
    <w:rsid w:val="00F858B5"/>
    <w:rsid w:val="00F86222"/>
    <w:rsid w:val="00F90E4E"/>
    <w:rsid w:val="00F9123F"/>
    <w:rsid w:val="00F93C4D"/>
    <w:rsid w:val="00F96A3F"/>
    <w:rsid w:val="00FA0989"/>
    <w:rsid w:val="00FA14E1"/>
    <w:rsid w:val="00FA433D"/>
    <w:rsid w:val="00FA4E23"/>
    <w:rsid w:val="00FA62FF"/>
    <w:rsid w:val="00FB14BD"/>
    <w:rsid w:val="00FB2D55"/>
    <w:rsid w:val="00FB3554"/>
    <w:rsid w:val="00FB5A85"/>
    <w:rsid w:val="00FB5DF7"/>
    <w:rsid w:val="00FC375D"/>
    <w:rsid w:val="00FD2A09"/>
    <w:rsid w:val="00FD68EA"/>
    <w:rsid w:val="00FE5033"/>
    <w:rsid w:val="00FE6207"/>
    <w:rsid w:val="00FE6D20"/>
    <w:rsid w:val="00FF0625"/>
    <w:rsid w:val="00FF45DD"/>
    <w:rsid w:val="00FF4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D55C"/>
  <w15:chartTrackingRefBased/>
  <w15:docId w15:val="{C860E659-A04B-45CE-8EE1-CFD42CDB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5B7"/>
    <w:pPr>
      <w:spacing w:line="240" w:lineRule="auto"/>
    </w:pPr>
    <w:rPr>
      <w:rFonts w:ascii="Times New Roman" w:hAnsi="Times New Roman"/>
      <w:kern w:val="0"/>
      <w:sz w:val="28"/>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03FF"/>
    <w:pPr>
      <w:tabs>
        <w:tab w:val="center" w:pos="4680"/>
        <w:tab w:val="right" w:pos="9360"/>
      </w:tabs>
      <w:spacing w:after="0"/>
    </w:pPr>
  </w:style>
  <w:style w:type="character" w:customStyle="1" w:styleId="AntratsDiagrama">
    <w:name w:val="Antraštės Diagrama"/>
    <w:basedOn w:val="Numatytasispastraiposriftas"/>
    <w:link w:val="Antrats"/>
    <w:uiPriority w:val="99"/>
    <w:rsid w:val="005403FF"/>
    <w:rPr>
      <w:rFonts w:ascii="Times New Roman" w:hAnsi="Times New Roman"/>
      <w:kern w:val="0"/>
      <w:sz w:val="28"/>
      <w14:ligatures w14:val="none"/>
    </w:rPr>
  </w:style>
  <w:style w:type="paragraph" w:styleId="Porat">
    <w:name w:val="footer"/>
    <w:basedOn w:val="prastasis"/>
    <w:link w:val="PoratDiagrama"/>
    <w:uiPriority w:val="99"/>
    <w:unhideWhenUsed/>
    <w:rsid w:val="005403FF"/>
    <w:pPr>
      <w:tabs>
        <w:tab w:val="center" w:pos="4680"/>
        <w:tab w:val="right" w:pos="9360"/>
      </w:tabs>
      <w:spacing w:after="0"/>
    </w:pPr>
  </w:style>
  <w:style w:type="character" w:customStyle="1" w:styleId="PoratDiagrama">
    <w:name w:val="Poraštė Diagrama"/>
    <w:basedOn w:val="Numatytasispastraiposriftas"/>
    <w:link w:val="Porat"/>
    <w:uiPriority w:val="99"/>
    <w:rsid w:val="005403FF"/>
    <w:rPr>
      <w:rFonts w:ascii="Times New Roman" w:hAnsi="Times New Roman"/>
      <w:kern w:val="0"/>
      <w:sz w:val="28"/>
      <w14:ligatures w14:val="none"/>
    </w:rPr>
  </w:style>
  <w:style w:type="paragraph" w:styleId="Betarp">
    <w:name w:val="No Spacing"/>
    <w:uiPriority w:val="1"/>
    <w:qFormat/>
    <w:rsid w:val="003B0CEB"/>
    <w:pPr>
      <w:spacing w:after="0" w:line="240" w:lineRule="auto"/>
    </w:pPr>
    <w:rPr>
      <w:rFonts w:ascii="Times New Roman" w:hAnsi="Times New Roman"/>
      <w:kern w:val="0"/>
      <w:sz w:val="28"/>
      <w14:ligatures w14:val="none"/>
    </w:rPr>
  </w:style>
  <w:style w:type="character" w:styleId="Hipersaitas">
    <w:name w:val="Hyperlink"/>
    <w:basedOn w:val="Numatytasispastraiposriftas"/>
    <w:uiPriority w:val="99"/>
    <w:unhideWhenUsed/>
    <w:rsid w:val="00E21931"/>
    <w:rPr>
      <w:color w:val="0563C1" w:themeColor="hyperlink"/>
      <w:u w:val="single"/>
    </w:rPr>
  </w:style>
  <w:style w:type="character" w:styleId="Neapdorotaspaminjimas">
    <w:name w:val="Unresolved Mention"/>
    <w:basedOn w:val="Numatytasispastraiposriftas"/>
    <w:uiPriority w:val="99"/>
    <w:semiHidden/>
    <w:unhideWhenUsed/>
    <w:rsid w:val="00E21931"/>
    <w:rPr>
      <w:color w:val="605E5C"/>
      <w:shd w:val="clear" w:color="auto" w:fill="E1DFDD"/>
    </w:rPr>
  </w:style>
  <w:style w:type="paragraph" w:styleId="Sraopastraipa">
    <w:name w:val="List Paragraph"/>
    <w:basedOn w:val="prastasis"/>
    <w:uiPriority w:val="34"/>
    <w:qFormat/>
    <w:rsid w:val="00E21931"/>
    <w:pPr>
      <w:ind w:left="720"/>
      <w:contextualSpacing/>
    </w:pPr>
  </w:style>
  <w:style w:type="table" w:styleId="Lentelstinklelis">
    <w:name w:val="Table Grid"/>
    <w:basedOn w:val="prastojilentel"/>
    <w:uiPriority w:val="39"/>
    <w:rsid w:val="0074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1246A"/>
    <w:pPr>
      <w:spacing w:after="0" w:line="240" w:lineRule="auto"/>
    </w:pPr>
    <w:rPr>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DF22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prastasis"/>
    <w:rsid w:val="00DF22F0"/>
    <w:pPr>
      <w:spacing w:before="100" w:beforeAutospacing="1" w:after="100" w:afterAutospacing="1"/>
    </w:pPr>
    <w:rPr>
      <w:rFonts w:eastAsia="Times New Roman" w:cs="Times New Roman"/>
      <w:sz w:val="24"/>
      <w:szCs w:val="24"/>
      <w:lang w:val="lt-LT" w:eastAsia="lt-LT"/>
    </w:rPr>
  </w:style>
  <w:style w:type="paragraph" w:styleId="Komentarotekstas">
    <w:name w:val="annotation text"/>
    <w:basedOn w:val="prastasis"/>
    <w:link w:val="KomentarotekstasDiagrama"/>
    <w:uiPriority w:val="99"/>
    <w:unhideWhenUsed/>
    <w:rsid w:val="00DF22F0"/>
    <w:pPr>
      <w:spacing w:line="256" w:lineRule="auto"/>
    </w:pPr>
    <w:rPr>
      <w:rFonts w:asciiTheme="minorHAnsi" w:eastAsiaTheme="minorEastAsia" w:hAnsiTheme="minorHAnsi" w:cs="Times New Roman"/>
      <w:kern w:val="2"/>
      <w:sz w:val="20"/>
      <w:szCs w:val="20"/>
      <w:lang w:val="lt-LT" w:eastAsia="lt-LT"/>
    </w:rPr>
  </w:style>
  <w:style w:type="character" w:customStyle="1" w:styleId="KomentarotekstasDiagrama">
    <w:name w:val="Komentaro tekstas Diagrama"/>
    <w:basedOn w:val="Numatytasispastraiposriftas"/>
    <w:link w:val="Komentarotekstas"/>
    <w:uiPriority w:val="99"/>
    <w:rsid w:val="00DF22F0"/>
    <w:rPr>
      <w:rFonts w:eastAsiaTheme="minorEastAsia" w:cs="Times New Roman"/>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DF22F0"/>
    <w:rPr>
      <w:b/>
      <w:bCs/>
    </w:rPr>
  </w:style>
  <w:style w:type="character" w:customStyle="1" w:styleId="KomentarotemaDiagrama">
    <w:name w:val="Komentaro tema Diagrama"/>
    <w:basedOn w:val="KomentarotekstasDiagrama"/>
    <w:link w:val="Komentarotema"/>
    <w:uiPriority w:val="99"/>
    <w:semiHidden/>
    <w:rsid w:val="00DF22F0"/>
    <w:rPr>
      <w:rFonts w:eastAsiaTheme="minorEastAsia" w:cs="Times New Roman"/>
      <w:b/>
      <w:bCs/>
      <w:sz w:val="20"/>
      <w:szCs w:val="20"/>
      <w:lang w:val="lt-LT" w:eastAsia="lt-LT"/>
      <w14:ligatures w14:val="none"/>
    </w:rPr>
  </w:style>
  <w:style w:type="paragraph" w:styleId="Debesliotekstas">
    <w:name w:val="Balloon Text"/>
    <w:basedOn w:val="prastasis"/>
    <w:link w:val="DebesliotekstasDiagrama"/>
    <w:uiPriority w:val="99"/>
    <w:semiHidden/>
    <w:unhideWhenUsed/>
    <w:rsid w:val="00DF22F0"/>
    <w:pPr>
      <w:spacing w:after="0"/>
    </w:pPr>
    <w:rPr>
      <w:rFonts w:ascii="Segoe UI" w:eastAsiaTheme="minorEastAsia" w:hAnsi="Segoe UI" w:cs="Segoe UI"/>
      <w:kern w:val="2"/>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DF22F0"/>
    <w:rPr>
      <w:rFonts w:ascii="Segoe UI" w:eastAsiaTheme="minorEastAsia" w:hAnsi="Segoe UI" w:cs="Segoe UI"/>
      <w:sz w:val="18"/>
      <w:szCs w:val="18"/>
      <w:lang w:val="lt-LT" w:eastAsia="lt-LT"/>
      <w14:ligatures w14:val="none"/>
    </w:rPr>
  </w:style>
  <w:style w:type="paragraph" w:styleId="Pataisymai">
    <w:name w:val="Revision"/>
    <w:uiPriority w:val="99"/>
    <w:semiHidden/>
    <w:rsid w:val="00DF22F0"/>
    <w:pPr>
      <w:spacing w:after="0" w:line="240" w:lineRule="auto"/>
    </w:pPr>
    <w:rPr>
      <w:rFonts w:eastAsiaTheme="minorEastAsia" w:cs="Times New Roman"/>
      <w:lang w:val="lt-LT" w:eastAsia="lt-LT"/>
      <w14:ligatures w14:val="none"/>
    </w:rPr>
  </w:style>
  <w:style w:type="paragraph" w:customStyle="1" w:styleId="Default">
    <w:name w:val="Default"/>
    <w:rsid w:val="00DF22F0"/>
    <w:pPr>
      <w:autoSpaceDE w:val="0"/>
      <w:autoSpaceDN w:val="0"/>
      <w:adjustRightInd w:val="0"/>
      <w:spacing w:after="0" w:line="240" w:lineRule="auto"/>
    </w:pPr>
    <w:rPr>
      <w:rFonts w:ascii="Times New Roman" w:eastAsiaTheme="minorEastAsia" w:hAnsi="Times New Roman" w:cs="Times New Roman"/>
      <w:color w:val="000000"/>
      <w:kern w:val="0"/>
      <w:sz w:val="24"/>
      <w:szCs w:val="24"/>
      <w:lang w:val="lt-LT"/>
      <w14:ligatures w14:val="none"/>
    </w:rPr>
  </w:style>
  <w:style w:type="character" w:styleId="Komentaronuoroda">
    <w:name w:val="annotation reference"/>
    <w:basedOn w:val="Numatytasispastraiposriftas"/>
    <w:uiPriority w:val="99"/>
    <w:semiHidden/>
    <w:unhideWhenUsed/>
    <w:rsid w:val="00DF22F0"/>
    <w:rPr>
      <w:rFonts w:ascii="Times New Roman" w:hAnsi="Times New Roman" w:cs="Times New Roman" w:hint="default"/>
      <w:sz w:val="16"/>
      <w:szCs w:val="16"/>
    </w:rPr>
  </w:style>
  <w:style w:type="character" w:customStyle="1" w:styleId="elpatostilius16">
    <w:name w:val="elpatostilius16"/>
    <w:semiHidden/>
    <w:rsid w:val="00DF22F0"/>
    <w:rPr>
      <w:rFonts w:ascii="Calibri" w:hAnsi="Calibri" w:cs="Calibri" w:hint="default"/>
      <w:color w:val="000000"/>
    </w:rPr>
  </w:style>
  <w:style w:type="character" w:customStyle="1" w:styleId="KomentarotemaDiagrama2">
    <w:name w:val="Komentaro tema Diagrama2"/>
    <w:basedOn w:val="KomentarotekstasDiagrama"/>
    <w:uiPriority w:val="99"/>
    <w:semiHidden/>
    <w:locked/>
    <w:rsid w:val="00DF22F0"/>
    <w:rPr>
      <w:rFonts w:eastAsiaTheme="minorEastAsia" w:cs="Times New Roman"/>
      <w:b/>
      <w:bCs/>
      <w:sz w:val="20"/>
      <w:szCs w:val="20"/>
      <w:lang w:val="lt-LT" w:eastAsia="lt-LT"/>
      <w14:ligatures w14:val="none"/>
    </w:rPr>
  </w:style>
  <w:style w:type="character" w:customStyle="1" w:styleId="CommentSubjectChar1">
    <w:name w:val="Comment Subject Char1"/>
    <w:basedOn w:val="KomentarotekstasDiagrama"/>
    <w:uiPriority w:val="99"/>
    <w:semiHidden/>
    <w:rsid w:val="00DF22F0"/>
    <w:rPr>
      <w:rFonts w:eastAsiaTheme="minorEastAsia" w:cs="Times New Roman" w:hint="default"/>
      <w:b/>
      <w:bCs/>
      <w:sz w:val="20"/>
      <w:szCs w:val="20"/>
      <w:lang w:val="lt-LT" w:eastAsia="lt-LT"/>
      <w14:ligatures w14:val="none"/>
    </w:rPr>
  </w:style>
  <w:style w:type="character" w:customStyle="1" w:styleId="CommentSubjectChar">
    <w:name w:val="Comment Subject Char"/>
    <w:basedOn w:val="KomentarotekstasDiagrama"/>
    <w:uiPriority w:val="99"/>
    <w:semiHidden/>
    <w:rsid w:val="00DF22F0"/>
    <w:rPr>
      <w:rFonts w:eastAsiaTheme="minorEastAsia" w:cs="Times New Roman" w:hint="default"/>
      <w:b/>
      <w:bCs/>
      <w:sz w:val="20"/>
      <w:szCs w:val="20"/>
      <w:lang w:val="lt-LT" w:eastAsia="lt-LT"/>
      <w14:ligatures w14:val="none"/>
    </w:rPr>
  </w:style>
  <w:style w:type="character" w:customStyle="1" w:styleId="KomentarotemaDiagrama1">
    <w:name w:val="Komentaro tema Diagrama1"/>
    <w:basedOn w:val="KomentarotekstasDiagrama"/>
    <w:uiPriority w:val="99"/>
    <w:semiHidden/>
    <w:rsid w:val="00DF22F0"/>
    <w:rPr>
      <w:rFonts w:eastAsiaTheme="minorEastAsia" w:cs="Times New Roman" w:hint="default"/>
      <w:b/>
      <w:bCs/>
      <w:sz w:val="20"/>
      <w:szCs w:val="20"/>
      <w:lang w:val="lt-LT" w:eastAsia="lt-LT"/>
      <w14:ligatures w14:val="none"/>
    </w:rPr>
  </w:style>
  <w:style w:type="character" w:customStyle="1" w:styleId="KomentarotemaDiagrama13">
    <w:name w:val="Komentaro tema Diagrama13"/>
    <w:basedOn w:val="KomentarotekstasDiagrama"/>
    <w:uiPriority w:val="99"/>
    <w:semiHidden/>
    <w:rsid w:val="00DF22F0"/>
    <w:rPr>
      <w:rFonts w:eastAsiaTheme="minorEastAsia" w:cs="Times New Roman" w:hint="default"/>
      <w:b/>
      <w:bCs/>
      <w:sz w:val="20"/>
      <w:szCs w:val="20"/>
      <w:lang w:val="lt-LT" w:eastAsia="lt-LT"/>
      <w14:ligatures w14:val="none"/>
    </w:rPr>
  </w:style>
  <w:style w:type="character" w:customStyle="1" w:styleId="KomentarotemaDiagrama12">
    <w:name w:val="Komentaro tema Diagrama12"/>
    <w:basedOn w:val="KomentarotekstasDiagrama"/>
    <w:uiPriority w:val="99"/>
    <w:semiHidden/>
    <w:rsid w:val="00DF22F0"/>
    <w:rPr>
      <w:rFonts w:eastAsiaTheme="minorEastAsia" w:cs="Times New Roman" w:hint="default"/>
      <w:b/>
      <w:bCs/>
      <w:sz w:val="20"/>
      <w:szCs w:val="20"/>
      <w:lang w:val="lt-LT" w:eastAsia="lt-LT"/>
      <w14:ligatures w14:val="none"/>
    </w:rPr>
  </w:style>
  <w:style w:type="character" w:customStyle="1" w:styleId="KomentarotemaDiagrama11">
    <w:name w:val="Komentaro tema Diagrama11"/>
    <w:basedOn w:val="KomentarotekstasDiagrama"/>
    <w:uiPriority w:val="99"/>
    <w:semiHidden/>
    <w:rsid w:val="00DF22F0"/>
    <w:rPr>
      <w:rFonts w:eastAsiaTheme="minorEastAsia" w:cs="Times New Roman" w:hint="default"/>
      <w:b/>
      <w:bCs/>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vvkt-my.sharepoint.com/personal/juratesimanaviciene_vvkt_lt/Documents/Desktop/COVID-19%20VAKCIN&#370;%20ATASKATIA/Skai&#269;iavim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vvkt-my.sharepoint.com/personal/juratesimanaviciene_vvkt_lt/Documents/Desktop/COVID-19%20VAKCIN&#370;%20ATASKATIA/Skai&#269;iavima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vvkt-my.sharepoint.com/personal/juratesimanaviciene_vvkt_lt/Documents/Desktop/COVID-19%20VAKCIN&#370;%20ATASKATIA/Skai&#269;iavima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vvkt-my.sharepoint.com/personal/juratesimanaviciene_vvkt_lt/Documents/Desktop/COVID-19%20VAKCIN&#370;%20ATASKATIA/Skai&#269;iavima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a:t>2020-12-27m. </a:t>
            </a:r>
            <a:r>
              <a:rPr lang="lt-LT" sz="1200" b="0" baseline="0"/>
              <a:t> </a:t>
            </a:r>
            <a:r>
              <a:rPr lang="lt-LT" sz="1200" b="0"/>
              <a:t>- 2025</a:t>
            </a:r>
            <a:r>
              <a:rPr lang="lt-LT" sz="1200" b="0" baseline="0"/>
              <a:t>-12-31m. gautų pranešimų skaičius </a:t>
            </a:r>
            <a:endParaRPr lang="lt-LT" sz="1200"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'Bendras skaičius'!$B$6</c:f>
              <c:strCache>
                <c:ptCount val="1"/>
                <c:pt idx="0">
                  <c:v>2020 m. - 2021 m.</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'Bendras skaičius'!$C$5:$H$5</c:f>
              <c:strCache>
                <c:ptCount val="6"/>
                <c:pt idx="0">
                  <c:v>Comirnaty</c:v>
                </c:pt>
                <c:pt idx="1">
                  <c:v>Spikevax</c:v>
                </c:pt>
                <c:pt idx="2">
                  <c:v>Vaxzevria</c:v>
                </c:pt>
                <c:pt idx="3">
                  <c:v>JCOVDEN</c:v>
                </c:pt>
                <c:pt idx="4">
                  <c:v>Nuvaxovid</c:v>
                </c:pt>
                <c:pt idx="5">
                  <c:v>Nenurodyta vakcina</c:v>
                </c:pt>
              </c:strCache>
            </c:strRef>
          </c:cat>
          <c:val>
            <c:numRef>
              <c:f>'Bendras skaičius'!$C$6:$H$6</c:f>
              <c:numCache>
                <c:formatCode>General</c:formatCode>
                <c:ptCount val="6"/>
                <c:pt idx="0">
                  <c:v>3396</c:v>
                </c:pt>
                <c:pt idx="1">
                  <c:v>611</c:v>
                </c:pt>
                <c:pt idx="2">
                  <c:v>2292</c:v>
                </c:pt>
                <c:pt idx="3">
                  <c:v>479</c:v>
                </c:pt>
                <c:pt idx="4">
                  <c:v>0</c:v>
                </c:pt>
                <c:pt idx="5">
                  <c:v>30</c:v>
                </c:pt>
              </c:numCache>
            </c:numRef>
          </c:val>
          <c:extLst>
            <c:ext xmlns:c16="http://schemas.microsoft.com/office/drawing/2014/chart" uri="{C3380CC4-5D6E-409C-BE32-E72D297353CC}">
              <c16:uniqueId val="{00000000-16B2-499E-90FC-1412F6AF0B99}"/>
            </c:ext>
          </c:extLst>
        </c:ser>
        <c:ser>
          <c:idx val="1"/>
          <c:order val="1"/>
          <c:tx>
            <c:strRef>
              <c:f>'Bendras skaičius'!$B$7</c:f>
              <c:strCache>
                <c:ptCount val="1"/>
                <c:pt idx="0">
                  <c:v>2022 m.</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'Bendras skaičius'!$C$5:$H$5</c:f>
              <c:strCache>
                <c:ptCount val="6"/>
                <c:pt idx="0">
                  <c:v>Comirnaty</c:v>
                </c:pt>
                <c:pt idx="1">
                  <c:v>Spikevax</c:v>
                </c:pt>
                <c:pt idx="2">
                  <c:v>Vaxzevria</c:v>
                </c:pt>
                <c:pt idx="3">
                  <c:v>JCOVDEN</c:v>
                </c:pt>
                <c:pt idx="4">
                  <c:v>Nuvaxovid</c:v>
                </c:pt>
                <c:pt idx="5">
                  <c:v>Nenurodyta vakcina</c:v>
                </c:pt>
              </c:strCache>
            </c:strRef>
          </c:cat>
          <c:val>
            <c:numRef>
              <c:f>'Bendras skaičius'!$C$7:$H$7</c:f>
              <c:numCache>
                <c:formatCode>General</c:formatCode>
                <c:ptCount val="6"/>
                <c:pt idx="0">
                  <c:v>997</c:v>
                </c:pt>
                <c:pt idx="1">
                  <c:v>74</c:v>
                </c:pt>
                <c:pt idx="2">
                  <c:v>85</c:v>
                </c:pt>
                <c:pt idx="3">
                  <c:v>66</c:v>
                </c:pt>
                <c:pt idx="4">
                  <c:v>2</c:v>
                </c:pt>
                <c:pt idx="5">
                  <c:v>3</c:v>
                </c:pt>
              </c:numCache>
            </c:numRef>
          </c:val>
          <c:extLst>
            <c:ext xmlns:c16="http://schemas.microsoft.com/office/drawing/2014/chart" uri="{C3380CC4-5D6E-409C-BE32-E72D297353CC}">
              <c16:uniqueId val="{00000001-16B2-499E-90FC-1412F6AF0B99}"/>
            </c:ext>
          </c:extLst>
        </c:ser>
        <c:ser>
          <c:idx val="2"/>
          <c:order val="2"/>
          <c:tx>
            <c:strRef>
              <c:f>'Bendras skaičius'!$B$8</c:f>
              <c:strCache>
                <c:ptCount val="1"/>
                <c:pt idx="0">
                  <c:v>2023 m.</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'Bendras skaičius'!$C$5:$H$5</c:f>
              <c:strCache>
                <c:ptCount val="6"/>
                <c:pt idx="0">
                  <c:v>Comirnaty</c:v>
                </c:pt>
                <c:pt idx="1">
                  <c:v>Spikevax</c:v>
                </c:pt>
                <c:pt idx="2">
                  <c:v>Vaxzevria</c:v>
                </c:pt>
                <c:pt idx="3">
                  <c:v>JCOVDEN</c:v>
                </c:pt>
                <c:pt idx="4">
                  <c:v>Nuvaxovid</c:v>
                </c:pt>
                <c:pt idx="5">
                  <c:v>Nenurodyta vakcina</c:v>
                </c:pt>
              </c:strCache>
            </c:strRef>
          </c:cat>
          <c:val>
            <c:numRef>
              <c:f>'Bendras skaičius'!$C$8:$H$8</c:f>
              <c:numCache>
                <c:formatCode>General</c:formatCode>
                <c:ptCount val="6"/>
                <c:pt idx="0">
                  <c:v>22</c:v>
                </c:pt>
                <c:pt idx="1">
                  <c:v>0</c:v>
                </c:pt>
                <c:pt idx="2">
                  <c:v>6</c:v>
                </c:pt>
                <c:pt idx="3">
                  <c:v>5</c:v>
                </c:pt>
                <c:pt idx="4">
                  <c:v>0</c:v>
                </c:pt>
                <c:pt idx="5">
                  <c:v>0</c:v>
                </c:pt>
              </c:numCache>
            </c:numRef>
          </c:val>
          <c:extLst>
            <c:ext xmlns:c16="http://schemas.microsoft.com/office/drawing/2014/chart" uri="{C3380CC4-5D6E-409C-BE32-E72D297353CC}">
              <c16:uniqueId val="{00000002-16B2-499E-90FC-1412F6AF0B99}"/>
            </c:ext>
          </c:extLst>
        </c:ser>
        <c:ser>
          <c:idx val="3"/>
          <c:order val="3"/>
          <c:tx>
            <c:strRef>
              <c:f>'Bendras skaičius'!$B$9</c:f>
              <c:strCache>
                <c:ptCount val="1"/>
                <c:pt idx="0">
                  <c:v>2024 m.</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'Bendras skaičius'!$C$5:$H$5</c:f>
              <c:strCache>
                <c:ptCount val="6"/>
                <c:pt idx="0">
                  <c:v>Comirnaty</c:v>
                </c:pt>
                <c:pt idx="1">
                  <c:v>Spikevax</c:v>
                </c:pt>
                <c:pt idx="2">
                  <c:v>Vaxzevria</c:v>
                </c:pt>
                <c:pt idx="3">
                  <c:v>JCOVDEN</c:v>
                </c:pt>
                <c:pt idx="4">
                  <c:v>Nuvaxovid</c:v>
                </c:pt>
                <c:pt idx="5">
                  <c:v>Nenurodyta vakcina</c:v>
                </c:pt>
              </c:strCache>
            </c:strRef>
          </c:cat>
          <c:val>
            <c:numRef>
              <c:f>'Bendras skaičius'!$C$9:$H$9</c:f>
              <c:numCache>
                <c:formatCode>General</c:formatCode>
                <c:ptCount val="6"/>
                <c:pt idx="0">
                  <c:v>15</c:v>
                </c:pt>
                <c:pt idx="1">
                  <c:v>2</c:v>
                </c:pt>
                <c:pt idx="2">
                  <c:v>0</c:v>
                </c:pt>
                <c:pt idx="3">
                  <c:v>2</c:v>
                </c:pt>
                <c:pt idx="4">
                  <c:v>0</c:v>
                </c:pt>
                <c:pt idx="5">
                  <c:v>2</c:v>
                </c:pt>
              </c:numCache>
            </c:numRef>
          </c:val>
          <c:extLst>
            <c:ext xmlns:c16="http://schemas.microsoft.com/office/drawing/2014/chart" uri="{C3380CC4-5D6E-409C-BE32-E72D297353CC}">
              <c16:uniqueId val="{00000003-16B2-499E-90FC-1412F6AF0B99}"/>
            </c:ext>
          </c:extLst>
        </c:ser>
        <c:ser>
          <c:idx val="4"/>
          <c:order val="4"/>
          <c:tx>
            <c:strRef>
              <c:f>'Bendras skaičius'!$B$10</c:f>
              <c:strCache>
                <c:ptCount val="1"/>
                <c:pt idx="0">
                  <c:v>2025 m.</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'Bendras skaičius'!$C$5:$H$5</c:f>
              <c:strCache>
                <c:ptCount val="6"/>
                <c:pt idx="0">
                  <c:v>Comirnaty</c:v>
                </c:pt>
                <c:pt idx="1">
                  <c:v>Spikevax</c:v>
                </c:pt>
                <c:pt idx="2">
                  <c:v>Vaxzevria</c:v>
                </c:pt>
                <c:pt idx="3">
                  <c:v>JCOVDEN</c:v>
                </c:pt>
                <c:pt idx="4">
                  <c:v>Nuvaxovid</c:v>
                </c:pt>
                <c:pt idx="5">
                  <c:v>Nenurodyta vakcina</c:v>
                </c:pt>
              </c:strCache>
            </c:strRef>
          </c:cat>
          <c:val>
            <c:numRef>
              <c:f>'Bendras skaičius'!$C$10:$H$10</c:f>
              <c:numCache>
                <c:formatCode>General</c:formatCode>
                <c:ptCount val="6"/>
                <c:pt idx="0">
                  <c:v>5</c:v>
                </c:pt>
                <c:pt idx="1">
                  <c:v>0</c:v>
                </c:pt>
                <c:pt idx="2">
                  <c:v>0</c:v>
                </c:pt>
                <c:pt idx="3">
                  <c:v>0</c:v>
                </c:pt>
                <c:pt idx="4">
                  <c:v>0</c:v>
                </c:pt>
                <c:pt idx="5">
                  <c:v>0</c:v>
                </c:pt>
              </c:numCache>
            </c:numRef>
          </c:val>
          <c:extLst>
            <c:ext xmlns:c16="http://schemas.microsoft.com/office/drawing/2014/chart" uri="{C3380CC4-5D6E-409C-BE32-E72D297353CC}">
              <c16:uniqueId val="{00000004-16B2-499E-90FC-1412F6AF0B99}"/>
            </c:ext>
          </c:extLst>
        </c:ser>
        <c:dLbls>
          <c:showLegendKey val="0"/>
          <c:showVal val="1"/>
          <c:showCatName val="0"/>
          <c:showSerName val="0"/>
          <c:showPercent val="0"/>
          <c:showBubbleSize val="0"/>
        </c:dLbls>
        <c:gapWidth val="150"/>
        <c:shape val="box"/>
        <c:axId val="803676864"/>
        <c:axId val="803677344"/>
        <c:axId val="0"/>
      </c:bar3DChart>
      <c:catAx>
        <c:axId val="803676864"/>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03677344"/>
        <c:crosses val="autoZero"/>
        <c:auto val="1"/>
        <c:lblAlgn val="ctr"/>
        <c:lblOffset val="100"/>
        <c:noMultiLvlLbl val="0"/>
      </c:catAx>
      <c:valAx>
        <c:axId val="803677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Pranešimų</a:t>
                </a:r>
                <a:r>
                  <a:rPr lang="lt-LT" baseline="0"/>
                  <a:t> skaičius vnt.</a:t>
                </a:r>
                <a:endParaRPr lang="lt-LT"/>
              </a:p>
            </c:rich>
          </c:tx>
          <c:layout>
            <c:manualLayout>
              <c:xMode val="edge"/>
              <c:yMode val="edge"/>
              <c:x val="0.1083846009408149"/>
              <c:y val="0.2043397137114493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036768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t>ĮNR</a:t>
            </a:r>
            <a:r>
              <a:rPr lang="lt-LT" sz="1200" baseline="0"/>
              <a:t> pranešimų šaltiniai</a:t>
            </a:r>
            <a:endParaRPr lang="lt-LT" sz="1200"/>
          </a:p>
        </c:rich>
      </c:tx>
      <c:layout>
        <c:manualLayout>
          <c:xMode val="edge"/>
          <c:yMode val="edge"/>
          <c:x val="0.34177482104094742"/>
          <c:y val="2.68147864393794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 Šaltiniai ir sunkios'!$D$5</c:f>
              <c:strCache>
                <c:ptCount val="1"/>
                <c:pt idx="0">
                  <c:v>Pacientai</c:v>
                </c:pt>
              </c:strCache>
            </c:strRef>
          </c:tx>
          <c:spPr>
            <a:ln w="28575" cap="rnd">
              <a:solidFill>
                <a:schemeClr val="accent1"/>
              </a:solidFill>
              <a:round/>
            </a:ln>
            <a:effectLst/>
          </c:spPr>
          <c:marker>
            <c:symbol val="none"/>
          </c:marker>
          <c:cat>
            <c:strRef>
              <c:f>' Šaltiniai ir sunkios'!$C$6:$C$10</c:f>
              <c:strCache>
                <c:ptCount val="5"/>
                <c:pt idx="0">
                  <c:v>2020m.-2021m.</c:v>
                </c:pt>
                <c:pt idx="1">
                  <c:v>2022 m.</c:v>
                </c:pt>
                <c:pt idx="2">
                  <c:v>2023 m.</c:v>
                </c:pt>
                <c:pt idx="3">
                  <c:v>2024 m.</c:v>
                </c:pt>
                <c:pt idx="4">
                  <c:v>2025 m.</c:v>
                </c:pt>
              </c:strCache>
            </c:strRef>
          </c:cat>
          <c:val>
            <c:numRef>
              <c:f>' Šaltiniai ir sunkios'!$D$6:$D$10</c:f>
              <c:numCache>
                <c:formatCode>General</c:formatCode>
                <c:ptCount val="5"/>
                <c:pt idx="0">
                  <c:v>5574</c:v>
                </c:pt>
                <c:pt idx="1">
                  <c:v>657</c:v>
                </c:pt>
                <c:pt idx="2">
                  <c:v>21</c:v>
                </c:pt>
                <c:pt idx="3">
                  <c:v>13</c:v>
                </c:pt>
                <c:pt idx="4">
                  <c:v>3</c:v>
                </c:pt>
              </c:numCache>
            </c:numRef>
          </c:val>
          <c:smooth val="0"/>
          <c:extLst>
            <c:ext xmlns:c16="http://schemas.microsoft.com/office/drawing/2014/chart" uri="{C3380CC4-5D6E-409C-BE32-E72D297353CC}">
              <c16:uniqueId val="{00000000-B062-49DF-AFDC-5BCC20BD3785}"/>
            </c:ext>
          </c:extLst>
        </c:ser>
        <c:ser>
          <c:idx val="1"/>
          <c:order val="1"/>
          <c:tx>
            <c:strRef>
              <c:f>' Šaltiniai ir sunkios'!$E$5</c:f>
              <c:strCache>
                <c:ptCount val="1"/>
                <c:pt idx="0">
                  <c:v>Sveikatos priežiūros specialistai</c:v>
                </c:pt>
              </c:strCache>
            </c:strRef>
          </c:tx>
          <c:spPr>
            <a:ln w="28575" cap="rnd">
              <a:solidFill>
                <a:schemeClr val="accent2"/>
              </a:solidFill>
              <a:round/>
            </a:ln>
            <a:effectLst/>
          </c:spPr>
          <c:marker>
            <c:symbol val="none"/>
          </c:marker>
          <c:cat>
            <c:strRef>
              <c:f>' Šaltiniai ir sunkios'!$C$6:$C$10</c:f>
              <c:strCache>
                <c:ptCount val="5"/>
                <c:pt idx="0">
                  <c:v>2020m.-2021m.</c:v>
                </c:pt>
                <c:pt idx="1">
                  <c:v>2022 m.</c:v>
                </c:pt>
                <c:pt idx="2">
                  <c:v>2023 m.</c:v>
                </c:pt>
                <c:pt idx="3">
                  <c:v>2024 m.</c:v>
                </c:pt>
                <c:pt idx="4">
                  <c:v>2025 m.</c:v>
                </c:pt>
              </c:strCache>
            </c:strRef>
          </c:cat>
          <c:val>
            <c:numRef>
              <c:f>' Šaltiniai ir sunkios'!$E$6:$E$10</c:f>
              <c:numCache>
                <c:formatCode>General</c:formatCode>
                <c:ptCount val="5"/>
                <c:pt idx="0">
                  <c:v>816</c:v>
                </c:pt>
                <c:pt idx="1">
                  <c:v>534</c:v>
                </c:pt>
                <c:pt idx="2">
                  <c:v>0</c:v>
                </c:pt>
                <c:pt idx="3">
                  <c:v>0</c:v>
                </c:pt>
                <c:pt idx="4">
                  <c:v>0</c:v>
                </c:pt>
              </c:numCache>
            </c:numRef>
          </c:val>
          <c:smooth val="0"/>
          <c:extLst>
            <c:ext xmlns:c16="http://schemas.microsoft.com/office/drawing/2014/chart" uri="{C3380CC4-5D6E-409C-BE32-E72D297353CC}">
              <c16:uniqueId val="{00000001-B062-49DF-AFDC-5BCC20BD3785}"/>
            </c:ext>
          </c:extLst>
        </c:ser>
        <c:ser>
          <c:idx val="2"/>
          <c:order val="2"/>
          <c:tx>
            <c:strRef>
              <c:f>' Šaltiniai ir sunkios'!$F$5</c:f>
              <c:strCache>
                <c:ptCount val="1"/>
                <c:pt idx="0">
                  <c:v>Registruotojai</c:v>
                </c:pt>
              </c:strCache>
            </c:strRef>
          </c:tx>
          <c:spPr>
            <a:ln w="28575" cap="rnd">
              <a:solidFill>
                <a:schemeClr val="accent3"/>
              </a:solidFill>
              <a:round/>
            </a:ln>
            <a:effectLst/>
          </c:spPr>
          <c:marker>
            <c:symbol val="none"/>
          </c:marker>
          <c:cat>
            <c:strRef>
              <c:f>' Šaltiniai ir sunkios'!$C$6:$C$10</c:f>
              <c:strCache>
                <c:ptCount val="5"/>
                <c:pt idx="0">
                  <c:v>2020m.-2021m.</c:v>
                </c:pt>
                <c:pt idx="1">
                  <c:v>2022 m.</c:v>
                </c:pt>
                <c:pt idx="2">
                  <c:v>2023 m.</c:v>
                </c:pt>
                <c:pt idx="3">
                  <c:v>2024 m.</c:v>
                </c:pt>
                <c:pt idx="4">
                  <c:v>2025 m.</c:v>
                </c:pt>
              </c:strCache>
            </c:strRef>
          </c:cat>
          <c:val>
            <c:numRef>
              <c:f>' Šaltiniai ir sunkios'!$F$6:$F$10</c:f>
              <c:numCache>
                <c:formatCode>General</c:formatCode>
                <c:ptCount val="5"/>
                <c:pt idx="0">
                  <c:v>418</c:v>
                </c:pt>
                <c:pt idx="1">
                  <c:v>36</c:v>
                </c:pt>
                <c:pt idx="2">
                  <c:v>12</c:v>
                </c:pt>
                <c:pt idx="3">
                  <c:v>8</c:v>
                </c:pt>
                <c:pt idx="4">
                  <c:v>2</c:v>
                </c:pt>
              </c:numCache>
            </c:numRef>
          </c:val>
          <c:smooth val="0"/>
          <c:extLst>
            <c:ext xmlns:c16="http://schemas.microsoft.com/office/drawing/2014/chart" uri="{C3380CC4-5D6E-409C-BE32-E72D297353CC}">
              <c16:uniqueId val="{00000002-B062-49DF-AFDC-5BCC20BD3785}"/>
            </c:ext>
          </c:extLst>
        </c:ser>
        <c:dLbls>
          <c:showLegendKey val="0"/>
          <c:showVal val="0"/>
          <c:showCatName val="0"/>
          <c:showSerName val="0"/>
          <c:showPercent val="0"/>
          <c:showBubbleSize val="0"/>
        </c:dLbls>
        <c:smooth val="0"/>
        <c:axId val="928746096"/>
        <c:axId val="928750416"/>
      </c:lineChart>
      <c:catAx>
        <c:axId val="92874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28750416"/>
        <c:crosses val="autoZero"/>
        <c:auto val="1"/>
        <c:lblAlgn val="ctr"/>
        <c:lblOffset val="100"/>
        <c:noMultiLvlLbl val="0"/>
      </c:catAx>
      <c:valAx>
        <c:axId val="928750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Pranešėjų</a:t>
                </a:r>
                <a:r>
                  <a:rPr lang="lt-LT" baseline="0"/>
                  <a:t> skaičius vnt.</a:t>
                </a:r>
                <a:endParaRPr lang="lt-LT"/>
              </a:p>
            </c:rich>
          </c:tx>
          <c:layout>
            <c:manualLayout>
              <c:xMode val="edge"/>
              <c:yMode val="edge"/>
              <c:x val="0.23692068518888815"/>
              <c:y val="0.142324338060846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28746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t>ĮNR</a:t>
            </a:r>
            <a:r>
              <a:rPr lang="lt-LT" sz="1200" baseline="0"/>
              <a:t> pranešimų pasiskirstymas pagal lytį</a:t>
            </a:r>
            <a:endParaRPr lang="lt-LT"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'Lytis ir amžius'!$C$7</c:f>
              <c:strCache>
                <c:ptCount val="1"/>
                <c:pt idx="0">
                  <c:v>Moterys</c:v>
                </c:pt>
              </c:strCache>
            </c:strRef>
          </c:tx>
          <c:spPr>
            <a:ln w="28575" cap="rnd">
              <a:solidFill>
                <a:schemeClr val="accent1"/>
              </a:solidFill>
              <a:round/>
            </a:ln>
            <a:effectLst/>
          </c:spPr>
          <c:marker>
            <c:symbol val="none"/>
          </c:marker>
          <c:cat>
            <c:strRef>
              <c:f>'Lytis ir amžius'!$B$8:$B$12</c:f>
              <c:strCache>
                <c:ptCount val="5"/>
                <c:pt idx="0">
                  <c:v>2020m.- 2021m.</c:v>
                </c:pt>
                <c:pt idx="1">
                  <c:v>2022 m.</c:v>
                </c:pt>
                <c:pt idx="2">
                  <c:v>2023 m.</c:v>
                </c:pt>
                <c:pt idx="3">
                  <c:v>2024 m.</c:v>
                </c:pt>
                <c:pt idx="4">
                  <c:v>2025 m.</c:v>
                </c:pt>
              </c:strCache>
            </c:strRef>
          </c:cat>
          <c:val>
            <c:numRef>
              <c:f>'Lytis ir amžius'!$C$8:$C$12</c:f>
              <c:numCache>
                <c:formatCode>General</c:formatCode>
                <c:ptCount val="5"/>
                <c:pt idx="0">
                  <c:v>4912</c:v>
                </c:pt>
                <c:pt idx="1">
                  <c:v>614</c:v>
                </c:pt>
                <c:pt idx="2">
                  <c:v>23</c:v>
                </c:pt>
                <c:pt idx="3">
                  <c:v>8</c:v>
                </c:pt>
                <c:pt idx="4">
                  <c:v>3</c:v>
                </c:pt>
              </c:numCache>
            </c:numRef>
          </c:val>
          <c:smooth val="0"/>
          <c:extLst>
            <c:ext xmlns:c16="http://schemas.microsoft.com/office/drawing/2014/chart" uri="{C3380CC4-5D6E-409C-BE32-E72D297353CC}">
              <c16:uniqueId val="{00000000-9E21-4A5A-8570-C7B3168E021F}"/>
            </c:ext>
          </c:extLst>
        </c:ser>
        <c:ser>
          <c:idx val="1"/>
          <c:order val="1"/>
          <c:tx>
            <c:strRef>
              <c:f>'Lytis ir amžius'!$D$7</c:f>
              <c:strCache>
                <c:ptCount val="1"/>
                <c:pt idx="0">
                  <c:v>Vyrai</c:v>
                </c:pt>
              </c:strCache>
            </c:strRef>
          </c:tx>
          <c:spPr>
            <a:ln w="28575" cap="rnd">
              <a:solidFill>
                <a:schemeClr val="accent2"/>
              </a:solidFill>
              <a:round/>
            </a:ln>
            <a:effectLst/>
          </c:spPr>
          <c:marker>
            <c:symbol val="none"/>
          </c:marker>
          <c:cat>
            <c:strRef>
              <c:f>'Lytis ir amžius'!$B$8:$B$12</c:f>
              <c:strCache>
                <c:ptCount val="5"/>
                <c:pt idx="0">
                  <c:v>2020m.- 2021m.</c:v>
                </c:pt>
                <c:pt idx="1">
                  <c:v>2022 m.</c:v>
                </c:pt>
                <c:pt idx="2">
                  <c:v>2023 m.</c:v>
                </c:pt>
                <c:pt idx="3">
                  <c:v>2024 m.</c:v>
                </c:pt>
                <c:pt idx="4">
                  <c:v>2025 m.</c:v>
                </c:pt>
              </c:strCache>
            </c:strRef>
          </c:cat>
          <c:val>
            <c:numRef>
              <c:f>'Lytis ir amžius'!$D$8:$D$12</c:f>
              <c:numCache>
                <c:formatCode>General</c:formatCode>
                <c:ptCount val="5"/>
                <c:pt idx="0">
                  <c:v>1877</c:v>
                </c:pt>
                <c:pt idx="1">
                  <c:v>610</c:v>
                </c:pt>
                <c:pt idx="2">
                  <c:v>10</c:v>
                </c:pt>
                <c:pt idx="3">
                  <c:v>13</c:v>
                </c:pt>
                <c:pt idx="4">
                  <c:v>2</c:v>
                </c:pt>
              </c:numCache>
            </c:numRef>
          </c:val>
          <c:smooth val="0"/>
          <c:extLst>
            <c:ext xmlns:c16="http://schemas.microsoft.com/office/drawing/2014/chart" uri="{C3380CC4-5D6E-409C-BE32-E72D297353CC}">
              <c16:uniqueId val="{00000001-9E21-4A5A-8570-C7B3168E021F}"/>
            </c:ext>
          </c:extLst>
        </c:ser>
        <c:ser>
          <c:idx val="2"/>
          <c:order val="2"/>
          <c:tx>
            <c:strRef>
              <c:f>'Lytis ir amžius'!$E$7</c:f>
              <c:strCache>
                <c:ptCount val="1"/>
                <c:pt idx="0">
                  <c:v>Nenurodyta lytis</c:v>
                </c:pt>
              </c:strCache>
            </c:strRef>
          </c:tx>
          <c:spPr>
            <a:ln w="28575" cap="rnd">
              <a:solidFill>
                <a:schemeClr val="accent3"/>
              </a:solidFill>
              <a:round/>
            </a:ln>
            <a:effectLst/>
          </c:spPr>
          <c:marker>
            <c:symbol val="none"/>
          </c:marker>
          <c:cat>
            <c:strRef>
              <c:f>'Lytis ir amžius'!$B$8:$B$12</c:f>
              <c:strCache>
                <c:ptCount val="5"/>
                <c:pt idx="0">
                  <c:v>2020m.- 2021m.</c:v>
                </c:pt>
                <c:pt idx="1">
                  <c:v>2022 m.</c:v>
                </c:pt>
                <c:pt idx="2">
                  <c:v>2023 m.</c:v>
                </c:pt>
                <c:pt idx="3">
                  <c:v>2024 m.</c:v>
                </c:pt>
                <c:pt idx="4">
                  <c:v>2025 m.</c:v>
                </c:pt>
              </c:strCache>
            </c:strRef>
          </c:cat>
          <c:val>
            <c:numRef>
              <c:f>'Lytis ir amžius'!$E$8:$E$12</c:f>
              <c:numCache>
                <c:formatCode>General</c:formatCode>
                <c:ptCount val="5"/>
                <c:pt idx="0">
                  <c:v>19</c:v>
                </c:pt>
                <c:pt idx="1">
                  <c:v>3</c:v>
                </c:pt>
                <c:pt idx="2">
                  <c:v>0</c:v>
                </c:pt>
                <c:pt idx="3">
                  <c:v>0</c:v>
                </c:pt>
                <c:pt idx="4">
                  <c:v>0</c:v>
                </c:pt>
              </c:numCache>
            </c:numRef>
          </c:val>
          <c:smooth val="0"/>
          <c:extLst>
            <c:ext xmlns:c16="http://schemas.microsoft.com/office/drawing/2014/chart" uri="{C3380CC4-5D6E-409C-BE32-E72D297353CC}">
              <c16:uniqueId val="{00000002-9E21-4A5A-8570-C7B3168E021F}"/>
            </c:ext>
          </c:extLst>
        </c:ser>
        <c:dLbls>
          <c:showLegendKey val="0"/>
          <c:showVal val="0"/>
          <c:showCatName val="0"/>
          <c:showSerName val="0"/>
          <c:showPercent val="0"/>
          <c:showBubbleSize val="0"/>
        </c:dLbls>
        <c:smooth val="0"/>
        <c:axId val="937747904"/>
        <c:axId val="937757024"/>
      </c:lineChart>
      <c:catAx>
        <c:axId val="93774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37757024"/>
        <c:crosses val="autoZero"/>
        <c:auto val="1"/>
        <c:lblAlgn val="ctr"/>
        <c:lblOffset val="100"/>
        <c:noMultiLvlLbl val="0"/>
      </c:catAx>
      <c:valAx>
        <c:axId val="937757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Pranešimų</a:t>
                </a:r>
                <a:r>
                  <a:rPr lang="lt-LT" baseline="0"/>
                  <a:t> skaičius vnt.</a:t>
                </a:r>
                <a:endParaRPr lang="lt-LT"/>
              </a:p>
            </c:rich>
          </c:tx>
          <c:layout>
            <c:manualLayout>
              <c:xMode val="edge"/>
              <c:yMode val="edge"/>
              <c:x val="5.297473512632437E-2"/>
              <c:y val="0.229275346516403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377479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t>Sunkių</a:t>
            </a:r>
            <a:r>
              <a:rPr lang="lt-LT" sz="1200" baseline="0"/>
              <a:t> ir nesunkių ĮNR pranešimų pasiskirtymas</a:t>
            </a:r>
            <a:endParaRPr lang="lt-LT"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 Šaltiniai ir sunkios'!$C$29</c:f>
              <c:strCache>
                <c:ptCount val="1"/>
                <c:pt idx="0">
                  <c:v>Nesunki ĮNR</c:v>
                </c:pt>
              </c:strCache>
            </c:strRef>
          </c:tx>
          <c:spPr>
            <a:ln w="28575" cap="rnd">
              <a:solidFill>
                <a:schemeClr val="accent1"/>
              </a:solidFill>
              <a:round/>
            </a:ln>
            <a:effectLst/>
          </c:spPr>
          <c:marker>
            <c:symbol val="none"/>
          </c:marker>
          <c:cat>
            <c:strRef>
              <c:f>' Šaltiniai ir sunkios'!$B$30:$B$34</c:f>
              <c:strCache>
                <c:ptCount val="5"/>
                <c:pt idx="0">
                  <c:v>2020 m.-2021 m.</c:v>
                </c:pt>
                <c:pt idx="1">
                  <c:v>2022 m.</c:v>
                </c:pt>
                <c:pt idx="2">
                  <c:v>2023 m.</c:v>
                </c:pt>
                <c:pt idx="3">
                  <c:v>2024 m.</c:v>
                </c:pt>
                <c:pt idx="4">
                  <c:v>2025 m.</c:v>
                </c:pt>
              </c:strCache>
            </c:strRef>
          </c:cat>
          <c:val>
            <c:numRef>
              <c:f>' Šaltiniai ir sunkios'!$C$30:$C$34</c:f>
              <c:numCache>
                <c:formatCode>General</c:formatCode>
                <c:ptCount val="5"/>
                <c:pt idx="0">
                  <c:v>6401</c:v>
                </c:pt>
                <c:pt idx="1">
                  <c:v>1127</c:v>
                </c:pt>
                <c:pt idx="2">
                  <c:v>21</c:v>
                </c:pt>
                <c:pt idx="3">
                  <c:v>16</c:v>
                </c:pt>
                <c:pt idx="4">
                  <c:v>5</c:v>
                </c:pt>
              </c:numCache>
            </c:numRef>
          </c:val>
          <c:smooth val="0"/>
          <c:extLst>
            <c:ext xmlns:c16="http://schemas.microsoft.com/office/drawing/2014/chart" uri="{C3380CC4-5D6E-409C-BE32-E72D297353CC}">
              <c16:uniqueId val="{00000000-398D-4885-BB24-145A2BDCA38D}"/>
            </c:ext>
          </c:extLst>
        </c:ser>
        <c:ser>
          <c:idx val="1"/>
          <c:order val="1"/>
          <c:tx>
            <c:strRef>
              <c:f>' Šaltiniai ir sunkios'!$D$29</c:f>
              <c:strCache>
                <c:ptCount val="1"/>
                <c:pt idx="0">
                  <c:v>Sunki ĮNR</c:v>
                </c:pt>
              </c:strCache>
            </c:strRef>
          </c:tx>
          <c:spPr>
            <a:ln w="28575" cap="rnd">
              <a:solidFill>
                <a:schemeClr val="accent2"/>
              </a:solidFill>
              <a:round/>
            </a:ln>
            <a:effectLst/>
          </c:spPr>
          <c:marker>
            <c:symbol val="none"/>
          </c:marker>
          <c:cat>
            <c:strRef>
              <c:f>' Šaltiniai ir sunkios'!$B$30:$B$34</c:f>
              <c:strCache>
                <c:ptCount val="5"/>
                <c:pt idx="0">
                  <c:v>2020 m.-2021 m.</c:v>
                </c:pt>
                <c:pt idx="1">
                  <c:v>2022 m.</c:v>
                </c:pt>
                <c:pt idx="2">
                  <c:v>2023 m.</c:v>
                </c:pt>
                <c:pt idx="3">
                  <c:v>2024 m.</c:v>
                </c:pt>
                <c:pt idx="4">
                  <c:v>2025 m.</c:v>
                </c:pt>
              </c:strCache>
            </c:strRef>
          </c:cat>
          <c:val>
            <c:numRef>
              <c:f>' Šaltiniai ir sunkios'!$D$30:$D$34</c:f>
              <c:numCache>
                <c:formatCode>General</c:formatCode>
                <c:ptCount val="5"/>
                <c:pt idx="0">
                  <c:v>407</c:v>
                </c:pt>
                <c:pt idx="1">
                  <c:v>100</c:v>
                </c:pt>
                <c:pt idx="2">
                  <c:v>12</c:v>
                </c:pt>
                <c:pt idx="3">
                  <c:v>5</c:v>
                </c:pt>
                <c:pt idx="4">
                  <c:v>0</c:v>
                </c:pt>
              </c:numCache>
            </c:numRef>
          </c:val>
          <c:smooth val="0"/>
          <c:extLst>
            <c:ext xmlns:c16="http://schemas.microsoft.com/office/drawing/2014/chart" uri="{C3380CC4-5D6E-409C-BE32-E72D297353CC}">
              <c16:uniqueId val="{00000001-398D-4885-BB24-145A2BDCA38D}"/>
            </c:ext>
          </c:extLst>
        </c:ser>
        <c:dLbls>
          <c:showLegendKey val="0"/>
          <c:showVal val="0"/>
          <c:showCatName val="0"/>
          <c:showSerName val="0"/>
          <c:showPercent val="0"/>
          <c:showBubbleSize val="0"/>
        </c:dLbls>
        <c:smooth val="0"/>
        <c:axId val="764371328"/>
        <c:axId val="764371808"/>
      </c:lineChart>
      <c:catAx>
        <c:axId val="76437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64371808"/>
        <c:crosses val="autoZero"/>
        <c:auto val="1"/>
        <c:lblAlgn val="ctr"/>
        <c:lblOffset val="100"/>
        <c:noMultiLvlLbl val="0"/>
      </c:catAx>
      <c:valAx>
        <c:axId val="764371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Pranešimų</a:t>
                </a:r>
                <a:r>
                  <a:rPr lang="lt-LT" baseline="0"/>
                  <a:t> skaičius vnt.</a:t>
                </a:r>
                <a:endParaRPr lang="lt-LT"/>
              </a:p>
            </c:rich>
          </c:tx>
          <c:layout>
            <c:manualLayout>
              <c:xMode val="edge"/>
              <c:yMode val="edge"/>
              <c:x val="6.683915480810694E-2"/>
              <c:y val="0.21970887360010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643713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585DF-941D-4027-B88F-DD9BC745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5491</Words>
  <Characters>3131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Aniuta</dc:creator>
  <cp:keywords/>
  <dc:description/>
  <cp:lastModifiedBy>Jūratė Simanavičienė</cp:lastModifiedBy>
  <cp:revision>8</cp:revision>
  <dcterms:created xsi:type="dcterms:W3CDTF">2026-03-26T07:24:00Z</dcterms:created>
  <dcterms:modified xsi:type="dcterms:W3CDTF">2026-03-26T08:33:00Z</dcterms:modified>
</cp:coreProperties>
</file>