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9B96F" w14:textId="77777777" w:rsidR="00355554" w:rsidRDefault="00355554">
      <w:pPr>
        <w:ind w:left="5529"/>
      </w:pPr>
    </w:p>
    <w:p w14:paraId="6579B970" w14:textId="77777777" w:rsidR="00355554" w:rsidRDefault="00862963">
      <w:pPr>
        <w:ind w:left="6096"/>
      </w:pPr>
      <w:bookmarkStart w:id="0" w:name="_heading=h.i37lhfh8g4ex" w:colFirst="0" w:colLast="0"/>
      <w:bookmarkEnd w:id="0"/>
      <w:r>
        <w:t>PATVIRTINTA</w:t>
      </w:r>
    </w:p>
    <w:p w14:paraId="6579B971" w14:textId="77777777" w:rsidR="00355554" w:rsidRDefault="00862963">
      <w:pPr>
        <w:ind w:left="6096"/>
      </w:pPr>
      <w:r>
        <w:t>Valstybinės vaistų kontrolės tarnybos prie Lietuvos Respublikos sveikatos apsaugos ministerijos viršininko 2021 m. lapkričio 12 d. įsakymu Nr. (1.72E)1A-1418</w:t>
      </w:r>
    </w:p>
    <w:p w14:paraId="6579B972" w14:textId="77777777" w:rsidR="00355554" w:rsidRDefault="00862963">
      <w:pPr>
        <w:ind w:left="6096"/>
      </w:pPr>
      <w:r>
        <w:t>(Valstybinės vaistų kontrolės tarnybos prie Lietuvos Respublikos sveikatos apsaugos ministerijos viršininko 2025 m.                         d. įsakymo Nr.                    redakcija)</w:t>
      </w:r>
    </w:p>
    <w:p w14:paraId="6579B973" w14:textId="77777777" w:rsidR="00355554" w:rsidRDefault="00355554"/>
    <w:p w14:paraId="6579B975" w14:textId="77777777" w:rsidR="00355554" w:rsidRDefault="00355554">
      <w:pPr>
        <w:jc w:val="center"/>
        <w:rPr>
          <w:b/>
          <w:bCs/>
        </w:rPr>
      </w:pPr>
      <w:bookmarkStart w:id="1" w:name="_heading=h.dujl4c65m0l0" w:colFirst="0" w:colLast="0"/>
      <w:bookmarkEnd w:id="1"/>
    </w:p>
    <w:p w14:paraId="6579B976" w14:textId="77777777" w:rsidR="00355554" w:rsidRDefault="00862963">
      <w:pPr>
        <w:jc w:val="center"/>
        <w:rPr>
          <w:b/>
          <w:bCs/>
          <w:smallCaps/>
        </w:rPr>
      </w:pPr>
      <w:r>
        <w:rPr>
          <w:b/>
          <w:bCs/>
        </w:rPr>
        <w:t xml:space="preserve">REKOMENDACIJA DĖL VAISTINIO PREPARATO </w:t>
      </w:r>
      <w:r>
        <w:rPr>
          <w:b/>
          <w:bCs/>
          <w:smallCaps/>
        </w:rPr>
        <w:t>LIETUVOS RESPUBLIKOS SVEIKATOS APSAUGOS MINISTERIJOS VAISTINIŲ PREPARATŲ IR MEDICINOS PAGALBOS PRIEMONIŲ KOMPENSAVIMO KOMISIJAI</w:t>
      </w:r>
    </w:p>
    <w:p w14:paraId="6579B977" w14:textId="77777777" w:rsidR="00355554" w:rsidRDefault="00355554">
      <w:pPr>
        <w:jc w:val="center"/>
        <w:rPr>
          <w:b/>
          <w:bCs/>
        </w:rPr>
      </w:pPr>
    </w:p>
    <w:p w14:paraId="6579B978" w14:textId="41FB4C23" w:rsidR="00355554" w:rsidRDefault="00862963">
      <w:pPr>
        <w:spacing w:after="160" w:line="276" w:lineRule="auto"/>
        <w:jc w:val="center"/>
      </w:pPr>
      <w:r>
        <w:rPr>
          <w:b/>
          <w:bCs/>
        </w:rPr>
        <w:t>IQIRVO 80 mg plėvele dengtos tabletės</w:t>
      </w:r>
    </w:p>
    <w:p w14:paraId="6579B979" w14:textId="77777777" w:rsidR="00355554" w:rsidRDefault="00862963">
      <w:pPr>
        <w:spacing w:line="276" w:lineRule="auto"/>
        <w:jc w:val="center"/>
      </w:pPr>
      <w:r>
        <w:t>(Elafibranoras)</w:t>
      </w:r>
    </w:p>
    <w:p w14:paraId="6579B97A" w14:textId="77777777" w:rsidR="00355554" w:rsidRDefault="00355554">
      <w:pPr>
        <w:spacing w:line="276" w:lineRule="auto"/>
        <w:jc w:val="center"/>
      </w:pPr>
    </w:p>
    <w:p w14:paraId="6579B97B" w14:textId="6F296EC0" w:rsidR="00355554" w:rsidRDefault="00862963">
      <w:pPr>
        <w:spacing w:line="276" w:lineRule="auto"/>
        <w:jc w:val="center"/>
        <w:rPr>
          <w:b/>
          <w:bCs/>
        </w:rPr>
      </w:pPr>
      <w:r>
        <w:rPr>
          <w:b/>
          <w:bCs/>
        </w:rPr>
        <w:t>Paraiškos numeris STV</w:t>
      </w:r>
      <w:r w:rsidR="00A30D45">
        <w:rPr>
          <w:b/>
          <w:bCs/>
        </w:rPr>
        <w:t>-</w:t>
      </w:r>
      <w:r>
        <w:rPr>
          <w:b/>
          <w:bCs/>
        </w:rPr>
        <w:t>258</w:t>
      </w:r>
    </w:p>
    <w:p w14:paraId="6579B97C" w14:textId="77777777" w:rsidR="00355554" w:rsidRDefault="00355554">
      <w:pPr>
        <w:spacing w:line="276" w:lineRule="auto"/>
        <w:jc w:val="both"/>
      </w:pPr>
    </w:p>
    <w:p w14:paraId="6579B97D" w14:textId="77777777" w:rsidR="00355554" w:rsidRDefault="00862963">
      <w:pPr>
        <w:tabs>
          <w:tab w:val="left" w:pos="284"/>
        </w:tabs>
        <w:spacing w:line="276" w:lineRule="auto"/>
        <w:jc w:val="both"/>
        <w:rPr>
          <w:b/>
          <w:bCs/>
        </w:rPr>
      </w:pPr>
      <w:r>
        <w:rPr>
          <w:b/>
          <w:bCs/>
        </w:rPr>
        <w:t>I. BENDROJI DALIS</w:t>
      </w:r>
    </w:p>
    <w:p w14:paraId="6579B97E" w14:textId="77777777" w:rsidR="00355554" w:rsidRDefault="00355554">
      <w:pPr>
        <w:spacing w:line="276" w:lineRule="auto"/>
        <w:jc w:val="both"/>
      </w:pPr>
    </w:p>
    <w:tbl>
      <w:tblPr>
        <w:tblStyle w:val="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4117"/>
        <w:gridCol w:w="5096"/>
      </w:tblGrid>
      <w:tr w:rsidR="00355554" w14:paraId="6579B982" w14:textId="77777777">
        <w:trPr>
          <w:trHeight w:val="342"/>
        </w:trPr>
        <w:tc>
          <w:tcPr>
            <w:tcW w:w="705" w:type="dxa"/>
          </w:tcPr>
          <w:p w14:paraId="6579B97F" w14:textId="77777777" w:rsidR="00355554" w:rsidRDefault="00862963">
            <w:pPr>
              <w:tabs>
                <w:tab w:val="left" w:pos="284"/>
              </w:tabs>
              <w:spacing w:line="276" w:lineRule="auto"/>
              <w:jc w:val="both"/>
              <w:rPr>
                <w:b/>
                <w:bCs/>
              </w:rPr>
            </w:pPr>
            <w:r>
              <w:rPr>
                <w:b/>
                <w:bCs/>
              </w:rPr>
              <w:t>1.1</w:t>
            </w:r>
          </w:p>
        </w:tc>
        <w:tc>
          <w:tcPr>
            <w:tcW w:w="4117" w:type="dxa"/>
          </w:tcPr>
          <w:p w14:paraId="6579B980" w14:textId="77777777" w:rsidR="00355554" w:rsidRDefault="00862963">
            <w:pPr>
              <w:tabs>
                <w:tab w:val="left" w:pos="284"/>
              </w:tabs>
              <w:spacing w:line="276" w:lineRule="auto"/>
              <w:jc w:val="both"/>
              <w:rPr>
                <w:b/>
                <w:bCs/>
              </w:rPr>
            </w:pPr>
            <w:r>
              <w:rPr>
                <w:b/>
                <w:bCs/>
              </w:rPr>
              <w:t>Pareiškėjas</w:t>
            </w:r>
          </w:p>
        </w:tc>
        <w:tc>
          <w:tcPr>
            <w:tcW w:w="5096" w:type="dxa"/>
          </w:tcPr>
          <w:p w14:paraId="6579B981" w14:textId="77777777" w:rsidR="00355554" w:rsidRDefault="00862963">
            <w:pPr>
              <w:spacing w:after="120" w:line="276" w:lineRule="auto"/>
              <w:jc w:val="both"/>
            </w:pPr>
            <w:r>
              <w:t>Ipsen Pharma S.A.S. Lietuvos filialas</w:t>
            </w:r>
          </w:p>
        </w:tc>
      </w:tr>
      <w:tr w:rsidR="00355554" w14:paraId="6579B988" w14:textId="77777777">
        <w:trPr>
          <w:trHeight w:val="479"/>
        </w:trPr>
        <w:tc>
          <w:tcPr>
            <w:tcW w:w="705" w:type="dxa"/>
          </w:tcPr>
          <w:p w14:paraId="6579B983" w14:textId="77777777" w:rsidR="00355554" w:rsidRDefault="00862963">
            <w:pPr>
              <w:tabs>
                <w:tab w:val="left" w:pos="284"/>
              </w:tabs>
              <w:spacing w:line="276" w:lineRule="auto"/>
              <w:jc w:val="both"/>
              <w:rPr>
                <w:b/>
                <w:bCs/>
              </w:rPr>
            </w:pPr>
            <w:r>
              <w:rPr>
                <w:b/>
                <w:bCs/>
              </w:rPr>
              <w:t>1.2</w:t>
            </w:r>
          </w:p>
        </w:tc>
        <w:tc>
          <w:tcPr>
            <w:tcW w:w="4117" w:type="dxa"/>
          </w:tcPr>
          <w:p w14:paraId="6579B984" w14:textId="77777777" w:rsidR="00355554" w:rsidRDefault="00862963">
            <w:pPr>
              <w:tabs>
                <w:tab w:val="left" w:pos="284"/>
              </w:tabs>
              <w:spacing w:line="276" w:lineRule="auto"/>
              <w:jc w:val="both"/>
              <w:rPr>
                <w:b/>
                <w:bCs/>
              </w:rPr>
            </w:pPr>
            <w:r>
              <w:rPr>
                <w:b/>
                <w:bCs/>
              </w:rPr>
              <w:t>Registracijos data (EVA)</w:t>
            </w:r>
          </w:p>
          <w:p w14:paraId="6579B985" w14:textId="77777777" w:rsidR="00355554" w:rsidRDefault="00355554">
            <w:pPr>
              <w:tabs>
                <w:tab w:val="left" w:pos="284"/>
              </w:tabs>
              <w:spacing w:line="276" w:lineRule="auto"/>
              <w:jc w:val="both"/>
            </w:pPr>
          </w:p>
        </w:tc>
        <w:tc>
          <w:tcPr>
            <w:tcW w:w="5096" w:type="dxa"/>
          </w:tcPr>
          <w:p w14:paraId="6579B986" w14:textId="77777777" w:rsidR="00355554" w:rsidRDefault="00862963">
            <w:pPr>
              <w:spacing w:after="160" w:line="276" w:lineRule="auto"/>
              <w:jc w:val="both"/>
            </w:pPr>
            <w:r>
              <w:t>2019 m. liepos 25 d.</w:t>
            </w:r>
          </w:p>
          <w:p w14:paraId="6579B987" w14:textId="77777777" w:rsidR="00355554" w:rsidRDefault="00355554">
            <w:pPr>
              <w:spacing w:after="120" w:line="276" w:lineRule="auto"/>
              <w:jc w:val="both"/>
            </w:pPr>
          </w:p>
        </w:tc>
      </w:tr>
      <w:tr w:rsidR="00355554" w14:paraId="6579B991" w14:textId="77777777">
        <w:trPr>
          <w:trHeight w:val="1328"/>
        </w:trPr>
        <w:tc>
          <w:tcPr>
            <w:tcW w:w="705" w:type="dxa"/>
          </w:tcPr>
          <w:p w14:paraId="6579B989" w14:textId="77777777" w:rsidR="00355554" w:rsidRDefault="00862963">
            <w:pPr>
              <w:tabs>
                <w:tab w:val="left" w:pos="284"/>
              </w:tabs>
              <w:spacing w:line="276" w:lineRule="auto"/>
              <w:jc w:val="both"/>
              <w:rPr>
                <w:b/>
                <w:bCs/>
              </w:rPr>
            </w:pPr>
            <w:r>
              <w:rPr>
                <w:b/>
                <w:bCs/>
              </w:rPr>
              <w:t>1.3</w:t>
            </w:r>
          </w:p>
        </w:tc>
        <w:tc>
          <w:tcPr>
            <w:tcW w:w="4117" w:type="dxa"/>
          </w:tcPr>
          <w:p w14:paraId="6579B98A" w14:textId="77777777" w:rsidR="00355554" w:rsidRDefault="00862963">
            <w:pPr>
              <w:spacing w:line="276" w:lineRule="auto"/>
              <w:jc w:val="both"/>
              <w:rPr>
                <w:b/>
                <w:bCs/>
              </w:rPr>
            </w:pPr>
            <w:r>
              <w:rPr>
                <w:b/>
                <w:bCs/>
              </w:rPr>
              <w:t xml:space="preserve">Paraiškos tipas </w:t>
            </w:r>
          </w:p>
          <w:p w14:paraId="6579B98B" w14:textId="77777777" w:rsidR="00355554" w:rsidRDefault="00862963">
            <w:pPr>
              <w:spacing w:line="276" w:lineRule="auto"/>
              <w:jc w:val="both"/>
              <w:rPr>
                <w:b/>
                <w:bCs/>
              </w:rPr>
            </w:pPr>
            <w:r>
              <w:rPr>
                <w:b/>
                <w:bCs/>
              </w:rPr>
              <w:t xml:space="preserve">(pagal </w:t>
            </w:r>
            <w:r>
              <w:rPr>
                <w:b/>
                <w:bCs/>
                <w:highlight w:val="white"/>
              </w:rPr>
              <w:t>vaistinio preparato registracijos tipą, įtvirtintą</w:t>
            </w:r>
            <w:r>
              <w:rPr>
                <w:b/>
                <w:bCs/>
              </w:rPr>
              <w:t xml:space="preserve"> Direktyvos 2001/83/EB straipsniuose)</w:t>
            </w:r>
          </w:p>
          <w:p w14:paraId="6579B98C" w14:textId="77777777" w:rsidR="00355554" w:rsidRDefault="00355554">
            <w:pPr>
              <w:tabs>
                <w:tab w:val="left" w:pos="284"/>
              </w:tabs>
              <w:spacing w:line="276" w:lineRule="auto"/>
              <w:jc w:val="both"/>
              <w:rPr>
                <w:b/>
                <w:bCs/>
              </w:rPr>
            </w:pPr>
          </w:p>
        </w:tc>
        <w:tc>
          <w:tcPr>
            <w:tcW w:w="5096" w:type="dxa"/>
          </w:tcPr>
          <w:p w14:paraId="6579B98D" w14:textId="77777777" w:rsidR="00355554" w:rsidRDefault="00862963">
            <w:pPr>
              <w:spacing w:line="276" w:lineRule="auto"/>
              <w:jc w:val="both"/>
            </w:pPr>
            <w:r>
              <w:t xml:space="preserve">☒ 8.3 str. (pilna byla, pagrįsta savais tyrimais) </w:t>
            </w:r>
          </w:p>
          <w:p w14:paraId="6579B98E" w14:textId="77777777" w:rsidR="00355554" w:rsidRDefault="00862963">
            <w:pPr>
              <w:spacing w:line="276" w:lineRule="auto"/>
              <w:jc w:val="both"/>
            </w:pPr>
            <w:r>
              <w:t xml:space="preserve">☐ 10 a str. (pripažintas medicininis vartojimas) </w:t>
            </w:r>
          </w:p>
          <w:p w14:paraId="6579B98F" w14:textId="77777777" w:rsidR="00355554" w:rsidRDefault="00862963">
            <w:pPr>
              <w:spacing w:line="276" w:lineRule="auto"/>
              <w:jc w:val="both"/>
            </w:pPr>
            <w:r>
              <w:t>☐ 10.1 str. (generinis)</w:t>
            </w:r>
          </w:p>
          <w:p w14:paraId="6579B990" w14:textId="77777777" w:rsidR="00355554" w:rsidRDefault="00862963">
            <w:pPr>
              <w:spacing w:line="276" w:lineRule="auto"/>
              <w:jc w:val="both"/>
            </w:pPr>
            <w:r>
              <w:t>☐ 10.3 str. (hibridinis)</w:t>
            </w:r>
          </w:p>
        </w:tc>
      </w:tr>
      <w:tr w:rsidR="00355554" w14:paraId="6579B998" w14:textId="77777777">
        <w:trPr>
          <w:trHeight w:val="1109"/>
        </w:trPr>
        <w:tc>
          <w:tcPr>
            <w:tcW w:w="705" w:type="dxa"/>
          </w:tcPr>
          <w:p w14:paraId="6579B992" w14:textId="77777777" w:rsidR="00355554" w:rsidRDefault="00862963">
            <w:pPr>
              <w:tabs>
                <w:tab w:val="left" w:pos="284"/>
              </w:tabs>
              <w:spacing w:line="276" w:lineRule="auto"/>
              <w:jc w:val="both"/>
              <w:rPr>
                <w:b/>
                <w:bCs/>
              </w:rPr>
            </w:pPr>
            <w:r>
              <w:rPr>
                <w:b/>
                <w:bCs/>
              </w:rPr>
              <w:t>1.4</w:t>
            </w:r>
          </w:p>
        </w:tc>
        <w:tc>
          <w:tcPr>
            <w:tcW w:w="4117" w:type="dxa"/>
          </w:tcPr>
          <w:p w14:paraId="6579B993" w14:textId="77777777" w:rsidR="00355554" w:rsidRDefault="00862963">
            <w:pPr>
              <w:tabs>
                <w:tab w:val="left" w:pos="284"/>
              </w:tabs>
              <w:spacing w:line="276" w:lineRule="auto"/>
              <w:jc w:val="both"/>
              <w:rPr>
                <w:b/>
                <w:bCs/>
              </w:rPr>
            </w:pPr>
            <w:r>
              <w:rPr>
                <w:b/>
                <w:bCs/>
              </w:rPr>
              <w:t>Ar vaistinis preparatas įrašytas į Bendrijos retųjų vaistinių preparatų registrą?</w:t>
            </w:r>
          </w:p>
          <w:p w14:paraId="6579B994" w14:textId="77777777" w:rsidR="00355554" w:rsidRDefault="00355554">
            <w:pPr>
              <w:tabs>
                <w:tab w:val="left" w:pos="284"/>
              </w:tabs>
              <w:spacing w:line="276" w:lineRule="auto"/>
              <w:jc w:val="both"/>
              <w:rPr>
                <w:b/>
                <w:bCs/>
              </w:rPr>
            </w:pPr>
          </w:p>
        </w:tc>
        <w:tc>
          <w:tcPr>
            <w:tcW w:w="5096" w:type="dxa"/>
          </w:tcPr>
          <w:p w14:paraId="6579B995" w14:textId="77777777" w:rsidR="00355554" w:rsidRDefault="00862963">
            <w:pPr>
              <w:spacing w:line="276" w:lineRule="auto"/>
              <w:jc w:val="both"/>
            </w:pPr>
            <w:r>
              <w:t>☒ Taip</w:t>
            </w:r>
          </w:p>
          <w:p w14:paraId="6579B996" w14:textId="77777777" w:rsidR="00355554" w:rsidRDefault="00862963">
            <w:pPr>
              <w:spacing w:line="276" w:lineRule="auto"/>
              <w:jc w:val="both"/>
            </w:pPr>
            <w:r>
              <w:t>☐ Ne</w:t>
            </w:r>
          </w:p>
          <w:p w14:paraId="6579B997" w14:textId="77777777" w:rsidR="00355554" w:rsidRDefault="00862963">
            <w:pPr>
              <w:spacing w:after="160" w:line="276" w:lineRule="auto"/>
              <w:jc w:val="both"/>
            </w:pPr>
            <w:r>
              <w:t>2019 m. liepos 25 d.</w:t>
            </w:r>
          </w:p>
        </w:tc>
      </w:tr>
      <w:tr w:rsidR="00355554" w14:paraId="6579B99F" w14:textId="77777777">
        <w:trPr>
          <w:trHeight w:val="958"/>
        </w:trPr>
        <w:tc>
          <w:tcPr>
            <w:tcW w:w="705" w:type="dxa"/>
            <w:tcBorders>
              <w:bottom w:val="single" w:sz="4" w:space="0" w:color="000000"/>
            </w:tcBorders>
          </w:tcPr>
          <w:p w14:paraId="6579B999" w14:textId="77777777" w:rsidR="00355554" w:rsidRDefault="00862963">
            <w:pPr>
              <w:tabs>
                <w:tab w:val="left" w:pos="284"/>
              </w:tabs>
              <w:spacing w:line="276" w:lineRule="auto"/>
              <w:jc w:val="both"/>
              <w:rPr>
                <w:b/>
                <w:bCs/>
              </w:rPr>
            </w:pPr>
            <w:r>
              <w:rPr>
                <w:b/>
                <w:bCs/>
              </w:rPr>
              <w:t>1.5</w:t>
            </w:r>
          </w:p>
        </w:tc>
        <w:tc>
          <w:tcPr>
            <w:tcW w:w="4117" w:type="dxa"/>
            <w:tcBorders>
              <w:bottom w:val="single" w:sz="4" w:space="0" w:color="000000"/>
            </w:tcBorders>
          </w:tcPr>
          <w:p w14:paraId="6579B99A" w14:textId="77777777" w:rsidR="00355554" w:rsidRDefault="00862963">
            <w:pPr>
              <w:tabs>
                <w:tab w:val="left" w:pos="284"/>
              </w:tabs>
              <w:spacing w:line="276" w:lineRule="auto"/>
              <w:jc w:val="both"/>
              <w:rPr>
                <w:b/>
                <w:bCs/>
              </w:rPr>
            </w:pPr>
            <w:r>
              <w:rPr>
                <w:b/>
                <w:bCs/>
              </w:rPr>
              <w:t>Pareiškėjo teikiama (-os) kompensuoti preparato indikacija (-os)</w:t>
            </w:r>
          </w:p>
          <w:p w14:paraId="12503A8B" w14:textId="77777777" w:rsidR="00A30D45" w:rsidRDefault="00A30D45">
            <w:pPr>
              <w:tabs>
                <w:tab w:val="left" w:pos="284"/>
              </w:tabs>
              <w:spacing w:line="276" w:lineRule="auto"/>
              <w:jc w:val="both"/>
              <w:rPr>
                <w:b/>
                <w:bCs/>
              </w:rPr>
            </w:pPr>
          </w:p>
          <w:p w14:paraId="53FD02D3" w14:textId="77777777" w:rsidR="00A30D45" w:rsidRDefault="00A30D45">
            <w:pPr>
              <w:tabs>
                <w:tab w:val="left" w:pos="284"/>
              </w:tabs>
              <w:spacing w:line="276" w:lineRule="auto"/>
              <w:jc w:val="both"/>
              <w:rPr>
                <w:b/>
                <w:bCs/>
              </w:rPr>
            </w:pPr>
          </w:p>
          <w:p w14:paraId="4EECF54C" w14:textId="77777777" w:rsidR="00A30D45" w:rsidRDefault="00A30D45">
            <w:pPr>
              <w:tabs>
                <w:tab w:val="left" w:pos="284"/>
              </w:tabs>
              <w:spacing w:line="276" w:lineRule="auto"/>
              <w:jc w:val="both"/>
              <w:rPr>
                <w:b/>
                <w:bCs/>
              </w:rPr>
            </w:pPr>
          </w:p>
          <w:p w14:paraId="412C64D6" w14:textId="77777777" w:rsidR="00A30D45" w:rsidRDefault="00A30D45">
            <w:pPr>
              <w:tabs>
                <w:tab w:val="left" w:pos="284"/>
              </w:tabs>
              <w:spacing w:line="276" w:lineRule="auto"/>
              <w:jc w:val="both"/>
              <w:rPr>
                <w:b/>
                <w:bCs/>
              </w:rPr>
            </w:pPr>
          </w:p>
          <w:p w14:paraId="322A92A1" w14:textId="77777777" w:rsidR="00A30D45" w:rsidRDefault="00A30D45">
            <w:pPr>
              <w:tabs>
                <w:tab w:val="left" w:pos="284"/>
              </w:tabs>
              <w:spacing w:line="276" w:lineRule="auto"/>
              <w:jc w:val="both"/>
              <w:rPr>
                <w:b/>
                <w:bCs/>
              </w:rPr>
            </w:pPr>
          </w:p>
          <w:p w14:paraId="6579B99B" w14:textId="5F2539E3" w:rsidR="00355554" w:rsidRDefault="00862963">
            <w:pPr>
              <w:tabs>
                <w:tab w:val="left" w:pos="284"/>
              </w:tabs>
              <w:spacing w:line="276" w:lineRule="auto"/>
              <w:jc w:val="both"/>
              <w:rPr>
                <w:b/>
                <w:bCs/>
              </w:rPr>
            </w:pPr>
            <w:r>
              <w:rPr>
                <w:b/>
                <w:bCs/>
              </w:rPr>
              <w:t xml:space="preserve">Kodas pagal TLK-10 AM  </w:t>
            </w:r>
          </w:p>
        </w:tc>
        <w:tc>
          <w:tcPr>
            <w:tcW w:w="5096" w:type="dxa"/>
            <w:tcBorders>
              <w:bottom w:val="single" w:sz="4" w:space="0" w:color="000000"/>
            </w:tcBorders>
          </w:tcPr>
          <w:p w14:paraId="5ECC676F" w14:textId="77777777" w:rsidR="00E61F59" w:rsidRDefault="00E61F59" w:rsidP="00E61F59">
            <w:pPr>
              <w:spacing w:after="160" w:line="276" w:lineRule="auto"/>
              <w:jc w:val="both"/>
            </w:pPr>
            <w:r w:rsidRPr="00A30D45">
              <w:rPr>
                <w:lang w:val="lt-LT"/>
              </w:rPr>
              <w:t>Iqirvo skirtas gydyti suaugusiųjų pirminį biliarinį cholangitą (PBC) kartu su ursodeoksicholio rūgštimi (UDCR), kai yra nepakankamas atsakas į gydymą UDCR, arba kaip monoterapija pacientams, netoleruojantiems UDCR.</w:t>
            </w:r>
          </w:p>
          <w:p w14:paraId="6579B99D" w14:textId="77777777" w:rsidR="00355554" w:rsidRDefault="00355554">
            <w:pPr>
              <w:spacing w:after="160" w:line="276" w:lineRule="auto"/>
              <w:jc w:val="both"/>
            </w:pPr>
          </w:p>
          <w:p w14:paraId="6579B99E" w14:textId="77777777" w:rsidR="00355554" w:rsidRDefault="00862963">
            <w:pPr>
              <w:spacing w:after="160" w:line="276" w:lineRule="auto"/>
              <w:jc w:val="both"/>
            </w:pPr>
            <w:r>
              <w:t>K74.3</w:t>
            </w:r>
          </w:p>
        </w:tc>
      </w:tr>
      <w:tr w:rsidR="00355554" w14:paraId="6579B9A3" w14:textId="77777777">
        <w:trPr>
          <w:trHeight w:val="479"/>
        </w:trPr>
        <w:tc>
          <w:tcPr>
            <w:tcW w:w="705" w:type="dxa"/>
            <w:tcBorders>
              <w:top w:val="single" w:sz="4" w:space="0" w:color="000000"/>
              <w:left w:val="single" w:sz="4" w:space="0" w:color="000000"/>
              <w:bottom w:val="single" w:sz="4" w:space="0" w:color="000000"/>
              <w:right w:val="single" w:sz="4" w:space="0" w:color="000000"/>
            </w:tcBorders>
          </w:tcPr>
          <w:p w14:paraId="6579B9A0" w14:textId="77777777" w:rsidR="00355554" w:rsidRDefault="00862963">
            <w:pPr>
              <w:tabs>
                <w:tab w:val="left" w:pos="284"/>
              </w:tabs>
              <w:spacing w:line="276" w:lineRule="auto"/>
              <w:jc w:val="both"/>
              <w:rPr>
                <w:b/>
                <w:bCs/>
              </w:rPr>
            </w:pPr>
            <w:r>
              <w:rPr>
                <w:b/>
                <w:bCs/>
              </w:rPr>
              <w:lastRenderedPageBreak/>
              <w:t>1.6</w:t>
            </w:r>
          </w:p>
        </w:tc>
        <w:tc>
          <w:tcPr>
            <w:tcW w:w="4117" w:type="dxa"/>
            <w:tcBorders>
              <w:top w:val="single" w:sz="4" w:space="0" w:color="000000"/>
              <w:left w:val="single" w:sz="4" w:space="0" w:color="000000"/>
              <w:bottom w:val="single" w:sz="4" w:space="0" w:color="000000"/>
              <w:right w:val="single" w:sz="4" w:space="0" w:color="000000"/>
            </w:tcBorders>
          </w:tcPr>
          <w:p w14:paraId="6579B9A1" w14:textId="77777777" w:rsidR="00355554" w:rsidRDefault="00862963">
            <w:pPr>
              <w:tabs>
                <w:tab w:val="left" w:pos="284"/>
              </w:tabs>
              <w:spacing w:line="276" w:lineRule="auto"/>
              <w:jc w:val="both"/>
              <w:rPr>
                <w:u w:val="single"/>
              </w:rPr>
            </w:pPr>
            <w:r>
              <w:rPr>
                <w:b/>
                <w:bCs/>
              </w:rPr>
              <w:t xml:space="preserve">Pareiškėjo teikiamos skyrimo sąlygos </w:t>
            </w:r>
          </w:p>
        </w:tc>
        <w:tc>
          <w:tcPr>
            <w:tcW w:w="5096" w:type="dxa"/>
            <w:tcBorders>
              <w:top w:val="single" w:sz="4" w:space="0" w:color="000000"/>
              <w:left w:val="single" w:sz="4" w:space="0" w:color="000000"/>
              <w:bottom w:val="single" w:sz="4" w:space="0" w:color="000000"/>
              <w:right w:val="single" w:sz="4" w:space="0" w:color="000000"/>
            </w:tcBorders>
          </w:tcPr>
          <w:p w14:paraId="6579B9A2" w14:textId="77777777" w:rsidR="00355554" w:rsidRDefault="00862963">
            <w:pPr>
              <w:spacing w:after="120" w:line="276" w:lineRule="auto"/>
              <w:jc w:val="both"/>
            </w:pPr>
            <w:r>
              <w:t>Neteikiamos</w:t>
            </w:r>
          </w:p>
        </w:tc>
      </w:tr>
      <w:tr w:rsidR="00355554" w14:paraId="6579B9A8" w14:textId="77777777">
        <w:trPr>
          <w:trHeight w:val="479"/>
        </w:trPr>
        <w:tc>
          <w:tcPr>
            <w:tcW w:w="705" w:type="dxa"/>
            <w:tcBorders>
              <w:top w:val="single" w:sz="4" w:space="0" w:color="000000"/>
              <w:left w:val="single" w:sz="4" w:space="0" w:color="000000"/>
              <w:bottom w:val="single" w:sz="4" w:space="0" w:color="000000"/>
              <w:right w:val="single" w:sz="4" w:space="0" w:color="000000"/>
            </w:tcBorders>
          </w:tcPr>
          <w:p w14:paraId="6579B9A4" w14:textId="77777777" w:rsidR="00355554" w:rsidRDefault="00862963">
            <w:pPr>
              <w:tabs>
                <w:tab w:val="left" w:pos="284"/>
              </w:tabs>
              <w:spacing w:line="276" w:lineRule="auto"/>
              <w:jc w:val="both"/>
              <w:rPr>
                <w:b/>
                <w:bCs/>
              </w:rPr>
            </w:pPr>
            <w:r>
              <w:rPr>
                <w:b/>
                <w:bCs/>
              </w:rPr>
              <w:t>1.7</w:t>
            </w:r>
          </w:p>
        </w:tc>
        <w:tc>
          <w:tcPr>
            <w:tcW w:w="4117" w:type="dxa"/>
            <w:tcBorders>
              <w:top w:val="single" w:sz="4" w:space="0" w:color="000000"/>
              <w:left w:val="single" w:sz="4" w:space="0" w:color="000000"/>
              <w:bottom w:val="single" w:sz="4" w:space="0" w:color="000000"/>
              <w:right w:val="single" w:sz="4" w:space="0" w:color="000000"/>
            </w:tcBorders>
          </w:tcPr>
          <w:p w14:paraId="6579B9A5" w14:textId="77777777" w:rsidR="00355554" w:rsidRDefault="00862963">
            <w:pPr>
              <w:tabs>
                <w:tab w:val="left" w:pos="284"/>
              </w:tabs>
              <w:spacing w:line="276" w:lineRule="auto"/>
              <w:jc w:val="both"/>
              <w:rPr>
                <w:b/>
                <w:bCs/>
              </w:rPr>
            </w:pPr>
            <w:r>
              <w:rPr>
                <w:b/>
                <w:bCs/>
              </w:rPr>
              <w:t>STV paraiškos pobūdis</w:t>
            </w:r>
          </w:p>
        </w:tc>
        <w:tc>
          <w:tcPr>
            <w:tcW w:w="5096" w:type="dxa"/>
            <w:tcBorders>
              <w:top w:val="single" w:sz="4" w:space="0" w:color="000000"/>
              <w:left w:val="single" w:sz="4" w:space="0" w:color="000000"/>
              <w:bottom w:val="single" w:sz="4" w:space="0" w:color="000000"/>
              <w:right w:val="single" w:sz="4" w:space="0" w:color="000000"/>
            </w:tcBorders>
          </w:tcPr>
          <w:p w14:paraId="6579B9A6" w14:textId="77777777" w:rsidR="00355554" w:rsidRDefault="00862963">
            <w:pPr>
              <w:spacing w:line="276" w:lineRule="auto"/>
              <w:jc w:val="both"/>
            </w:pPr>
            <w:r>
              <w:t>☒ Pilna paraiška</w:t>
            </w:r>
          </w:p>
          <w:p w14:paraId="6579B9A7" w14:textId="77777777" w:rsidR="00355554" w:rsidRDefault="00862963">
            <w:pPr>
              <w:spacing w:line="276" w:lineRule="auto"/>
              <w:jc w:val="both"/>
            </w:pPr>
            <w:r>
              <w:t>☐ Supaprastinta paraiška</w:t>
            </w:r>
          </w:p>
        </w:tc>
      </w:tr>
      <w:tr w:rsidR="00355554" w14:paraId="6579B9AD" w14:textId="77777777">
        <w:trPr>
          <w:trHeight w:val="479"/>
        </w:trPr>
        <w:tc>
          <w:tcPr>
            <w:tcW w:w="705" w:type="dxa"/>
            <w:tcBorders>
              <w:top w:val="single" w:sz="4" w:space="0" w:color="000000"/>
              <w:left w:val="single" w:sz="4" w:space="0" w:color="000000"/>
              <w:bottom w:val="single" w:sz="4" w:space="0" w:color="000000"/>
              <w:right w:val="single" w:sz="4" w:space="0" w:color="000000"/>
            </w:tcBorders>
          </w:tcPr>
          <w:p w14:paraId="6579B9A9" w14:textId="77777777" w:rsidR="00355554" w:rsidRDefault="00862963">
            <w:pPr>
              <w:tabs>
                <w:tab w:val="left" w:pos="284"/>
              </w:tabs>
              <w:spacing w:line="276" w:lineRule="auto"/>
              <w:jc w:val="both"/>
              <w:rPr>
                <w:b/>
                <w:bCs/>
              </w:rPr>
            </w:pPr>
            <w:r>
              <w:rPr>
                <w:b/>
                <w:bCs/>
              </w:rPr>
              <w:t>1.8</w:t>
            </w:r>
          </w:p>
        </w:tc>
        <w:tc>
          <w:tcPr>
            <w:tcW w:w="4117" w:type="dxa"/>
            <w:tcBorders>
              <w:top w:val="single" w:sz="4" w:space="0" w:color="000000"/>
              <w:left w:val="single" w:sz="4" w:space="0" w:color="000000"/>
              <w:bottom w:val="single" w:sz="4" w:space="0" w:color="000000"/>
              <w:right w:val="single" w:sz="4" w:space="0" w:color="000000"/>
            </w:tcBorders>
          </w:tcPr>
          <w:p w14:paraId="6579B9AA" w14:textId="77777777" w:rsidR="00355554" w:rsidRDefault="00862963">
            <w:pPr>
              <w:tabs>
                <w:tab w:val="left" w:pos="284"/>
              </w:tabs>
              <w:spacing w:line="276" w:lineRule="auto"/>
              <w:jc w:val="both"/>
              <w:rPr>
                <w:b/>
                <w:bCs/>
              </w:rPr>
            </w:pPr>
            <w:r>
              <w:rPr>
                <w:b/>
                <w:bCs/>
              </w:rPr>
              <w:t xml:space="preserve">Klinikinių tyrimų tipas </w:t>
            </w:r>
          </w:p>
        </w:tc>
        <w:tc>
          <w:tcPr>
            <w:tcW w:w="5096" w:type="dxa"/>
            <w:tcBorders>
              <w:top w:val="single" w:sz="4" w:space="0" w:color="000000"/>
              <w:left w:val="single" w:sz="4" w:space="0" w:color="000000"/>
              <w:bottom w:val="single" w:sz="4" w:space="0" w:color="000000"/>
              <w:right w:val="single" w:sz="4" w:space="0" w:color="000000"/>
            </w:tcBorders>
          </w:tcPr>
          <w:p w14:paraId="6579B9AB" w14:textId="77777777" w:rsidR="00355554" w:rsidRDefault="00862963">
            <w:pPr>
              <w:spacing w:line="276" w:lineRule="auto"/>
              <w:jc w:val="both"/>
            </w:pPr>
            <w:r>
              <w:t>☒ Tiesioginis palyginimas</w:t>
            </w:r>
          </w:p>
          <w:p w14:paraId="6579B9AC" w14:textId="77777777" w:rsidR="00355554" w:rsidRDefault="00862963">
            <w:pPr>
              <w:spacing w:line="276" w:lineRule="auto"/>
              <w:jc w:val="both"/>
            </w:pPr>
            <w:r>
              <w:t>☐ Netiesioginis palyginimas</w:t>
            </w:r>
          </w:p>
        </w:tc>
      </w:tr>
      <w:tr w:rsidR="00355554" w14:paraId="6579B9B3" w14:textId="77777777">
        <w:trPr>
          <w:trHeight w:val="479"/>
        </w:trPr>
        <w:tc>
          <w:tcPr>
            <w:tcW w:w="705" w:type="dxa"/>
            <w:tcBorders>
              <w:top w:val="single" w:sz="4" w:space="0" w:color="000000"/>
              <w:left w:val="single" w:sz="4" w:space="0" w:color="000000"/>
              <w:bottom w:val="single" w:sz="4" w:space="0" w:color="000000"/>
              <w:right w:val="single" w:sz="4" w:space="0" w:color="000000"/>
            </w:tcBorders>
          </w:tcPr>
          <w:p w14:paraId="6579B9AE" w14:textId="77777777" w:rsidR="00355554" w:rsidRDefault="00862963">
            <w:pPr>
              <w:tabs>
                <w:tab w:val="left" w:pos="284"/>
              </w:tabs>
              <w:spacing w:line="276" w:lineRule="auto"/>
              <w:jc w:val="both"/>
              <w:rPr>
                <w:b/>
                <w:bCs/>
              </w:rPr>
            </w:pPr>
            <w:r>
              <w:rPr>
                <w:b/>
                <w:bCs/>
              </w:rPr>
              <w:t>1.9</w:t>
            </w:r>
          </w:p>
        </w:tc>
        <w:tc>
          <w:tcPr>
            <w:tcW w:w="4117" w:type="dxa"/>
            <w:tcBorders>
              <w:top w:val="single" w:sz="4" w:space="0" w:color="000000"/>
              <w:left w:val="single" w:sz="4" w:space="0" w:color="000000"/>
              <w:bottom w:val="single" w:sz="4" w:space="0" w:color="000000"/>
              <w:right w:val="single" w:sz="4" w:space="0" w:color="000000"/>
            </w:tcBorders>
          </w:tcPr>
          <w:p w14:paraId="6579B9AF" w14:textId="77777777" w:rsidR="00355554" w:rsidRDefault="00862963">
            <w:pPr>
              <w:tabs>
                <w:tab w:val="left" w:pos="284"/>
              </w:tabs>
              <w:spacing w:line="276" w:lineRule="auto"/>
              <w:jc w:val="both"/>
              <w:rPr>
                <w:b/>
                <w:bCs/>
              </w:rPr>
            </w:pPr>
            <w:r>
              <w:rPr>
                <w:b/>
                <w:bCs/>
              </w:rPr>
              <w:t>Ekonominės analizės rūšis</w:t>
            </w:r>
          </w:p>
        </w:tc>
        <w:tc>
          <w:tcPr>
            <w:tcW w:w="5096" w:type="dxa"/>
            <w:tcBorders>
              <w:top w:val="single" w:sz="4" w:space="0" w:color="000000"/>
              <w:left w:val="single" w:sz="4" w:space="0" w:color="000000"/>
              <w:bottom w:val="single" w:sz="4" w:space="0" w:color="000000"/>
              <w:right w:val="single" w:sz="4" w:space="0" w:color="000000"/>
            </w:tcBorders>
          </w:tcPr>
          <w:p w14:paraId="6579B9B0" w14:textId="77777777" w:rsidR="00355554" w:rsidRDefault="00862963">
            <w:pPr>
              <w:spacing w:line="276" w:lineRule="auto"/>
              <w:jc w:val="both"/>
            </w:pPr>
            <w:r>
              <w:t>☒ Kaštų naudingumo analizė</w:t>
            </w:r>
          </w:p>
          <w:p w14:paraId="6579B9B1" w14:textId="77777777" w:rsidR="00355554" w:rsidRDefault="00862963">
            <w:pPr>
              <w:spacing w:line="276" w:lineRule="auto"/>
              <w:jc w:val="both"/>
            </w:pPr>
            <w:r>
              <w:t>☐ Kaštų mažinimo analizė</w:t>
            </w:r>
          </w:p>
          <w:p w14:paraId="6579B9B2" w14:textId="77777777" w:rsidR="00355554" w:rsidRDefault="00862963">
            <w:pPr>
              <w:spacing w:line="276" w:lineRule="auto"/>
              <w:jc w:val="both"/>
            </w:pPr>
            <w:r>
              <w:t xml:space="preserve">☐ Kita: _________________ </w:t>
            </w:r>
          </w:p>
        </w:tc>
      </w:tr>
    </w:tbl>
    <w:p w14:paraId="6579B9B4" w14:textId="77777777" w:rsidR="00355554" w:rsidRDefault="00355554">
      <w:pPr>
        <w:spacing w:line="276" w:lineRule="auto"/>
        <w:jc w:val="both"/>
        <w:rPr>
          <w:b/>
          <w:bCs/>
        </w:rPr>
      </w:pPr>
    </w:p>
    <w:p w14:paraId="6579B9B5" w14:textId="77777777" w:rsidR="00355554" w:rsidRDefault="00862963">
      <w:pPr>
        <w:numPr>
          <w:ilvl w:val="0"/>
          <w:numId w:val="1"/>
        </w:numPr>
        <w:pBdr>
          <w:top w:val="nil"/>
          <w:left w:val="nil"/>
          <w:bottom w:val="nil"/>
          <w:right w:val="nil"/>
          <w:between w:val="nil"/>
        </w:pBdr>
        <w:tabs>
          <w:tab w:val="left" w:pos="567"/>
        </w:tabs>
        <w:ind w:hanging="720"/>
        <w:rPr>
          <w:b/>
          <w:bCs/>
          <w:smallCaps/>
          <w:color w:val="000000"/>
        </w:rPr>
      </w:pPr>
      <w:r>
        <w:rPr>
          <w:b/>
          <w:bCs/>
          <w:smallCaps/>
          <w:color w:val="000000"/>
        </w:rPr>
        <w:t>KLINIKINIO VERTINIMO APIBENDRINIMAS</w:t>
      </w:r>
    </w:p>
    <w:p w14:paraId="6579B9B6" w14:textId="77777777" w:rsidR="00355554" w:rsidRDefault="00355554">
      <w:pPr>
        <w:tabs>
          <w:tab w:val="left" w:pos="426"/>
        </w:tabs>
        <w:spacing w:line="276" w:lineRule="auto"/>
        <w:jc w:val="both"/>
        <w:rPr>
          <w:color w:val="000000"/>
        </w:rPr>
      </w:pPr>
    </w:p>
    <w:p w14:paraId="6579B9B8" w14:textId="260E6DB1" w:rsidR="00355554" w:rsidRDefault="00862963">
      <w:pPr>
        <w:tabs>
          <w:tab w:val="left" w:pos="426"/>
        </w:tabs>
        <w:spacing w:line="276" w:lineRule="auto"/>
        <w:jc w:val="both"/>
      </w:pPr>
      <w:r>
        <w:tab/>
        <w:t xml:space="preserve">Pirminis biliarinis cholangitas </w:t>
      </w:r>
      <w:r w:rsidR="00425176">
        <w:t>(</w:t>
      </w:r>
      <w:r w:rsidR="00425176" w:rsidRPr="00425176">
        <w:t>anksčiau vadin</w:t>
      </w:r>
      <w:r w:rsidR="00425176">
        <w:t>tas</w:t>
      </w:r>
      <w:r w:rsidR="00425176" w:rsidRPr="00425176">
        <w:t xml:space="preserve"> pirmine biliarine kepenų ciroze</w:t>
      </w:r>
      <w:r w:rsidR="00425176">
        <w:t xml:space="preserve">) </w:t>
      </w:r>
      <w:r>
        <w:t>yra autoimuninė liga, kuria sergant palaipsniui suardomi kepenyse esantys mažieji tulžies latakai. Pažeidus šiuos latakus, tulžis kaupiasi kepenyse, pažeisdama kepenų audinį. Pirminis biliarinis cholangitas yra sunki, reta, progresuojančios eigos kepenų liga, pasireiškianti lėtiniu uždegimu, cholestaze, negrįžtama kepenų fibroze. Negydant pirminio biliarinio cholangito gali išsivystyti kepenų funkcijos nepakankamumas, pacientams išgydyti ir jų gyvybei išgelbėti gali būti reikalinga kepenų transplantacija. Pacientams, sergantiems pirminiu biliariniu cholangitu, pasireiškia simptomai, kurie neigiamai veikia jų gyvenimo kokybę, iš kurių dažniausiai pasireiškia stiprus nuovargis ir niežulys.</w:t>
      </w:r>
    </w:p>
    <w:p w14:paraId="6579B9B9" w14:textId="77777777" w:rsidR="00355554" w:rsidRDefault="00862963">
      <w:pPr>
        <w:tabs>
          <w:tab w:val="left" w:pos="426"/>
        </w:tabs>
        <w:spacing w:line="276" w:lineRule="auto"/>
        <w:jc w:val="both"/>
      </w:pPr>
      <w:r>
        <w:tab/>
      </w:r>
      <w:r>
        <w:rPr>
          <w:i/>
          <w:iCs/>
        </w:rPr>
        <w:tab/>
      </w:r>
      <w:r>
        <w:t xml:space="preserve">Higienos instituto duomenimis 2024 metais pirminiu biliariniu cholangitu Lietuvoje sirgo 575 pacientai, 2023 metais – 543 pacientai, 2022 metais – 529 pacientai, vidutinis augimas 4,5 proc. per metus. 2023 metais naujai pirminis biliarinis cholangitas diagnozuotas 78 pacientams. Planuojama, kad pirmais vaisto kompensavimo metais elafibranoras būtų skiriamas 72 pacientams, antrais metais – 102 pacientams, trečiais metais – 131 pacientui, ketvirtais metais – 158 pacientams ir penktais metais – 185 pacientams.  </w:t>
      </w:r>
    </w:p>
    <w:p w14:paraId="6579B9BA" w14:textId="77777777" w:rsidR="00355554" w:rsidRDefault="00862963">
      <w:pPr>
        <w:tabs>
          <w:tab w:val="left" w:pos="426"/>
        </w:tabs>
        <w:spacing w:line="276" w:lineRule="auto"/>
        <w:jc w:val="both"/>
      </w:pPr>
      <w:r>
        <w:rPr>
          <w:i/>
          <w:iCs/>
        </w:rPr>
        <w:tab/>
      </w:r>
      <w:r>
        <w:t>Pacientų, kuriems diagnozuotas pirminis biliarinis cholangitas, gydymo galimybių yra nedaug. Negydant pirminio biliarinio cholangito, liga progresuoja vidutiniškai viena histologine stadija per 2 metus. Pagrindiniai šios ligos gydymo tikslai: sumažinti cholestazės sukeltus simptomus, sulėtinti fibrozės progresavimą ir išvengti komplikacijų. Skirtingai nei kitoms autoimuninėmis ligoms, biologinė terapija ir imunoterapija nėra efektyvios gydant pirminiu biliariniu cholangitu sergančius pacientus. Ankstesnių tyrimų rezultatai teigia, kad negydant ligos, pacientų bendrasis išgyvenamumas priklauso nuo simptomų buvimo, t.y. simptominiams pacientams bendro išgyvenamumo mediana siekia 7,5 metų, o besimptomiams atitinkamai 16 metų.</w:t>
      </w:r>
    </w:p>
    <w:p w14:paraId="6579B9BB" w14:textId="77777777" w:rsidR="00355554" w:rsidRDefault="00862963">
      <w:pPr>
        <w:tabs>
          <w:tab w:val="left" w:pos="426"/>
        </w:tabs>
        <w:spacing w:line="276" w:lineRule="auto"/>
        <w:jc w:val="both"/>
      </w:pPr>
      <w:r>
        <w:tab/>
        <w:t xml:space="preserve">Ursodeoksicholio rūgštis (UDCR) yra vienintelė licencijuota pirmosios eilės terapija, rekomenduojama sergant pirminiu biliariniu cholangitu. Nors UDCR yra saugi vartoti ir veiksmingai mažina histologinį ligos progresavimą, iki 5 proc. pacientų netoleruoja UDCR, o 40 proc. pacientų atsakas į gydymą UDCR yra nepakankamas. </w:t>
      </w:r>
    </w:p>
    <w:p w14:paraId="6579B9BC" w14:textId="77777777" w:rsidR="00355554" w:rsidRDefault="00862963">
      <w:pPr>
        <w:tabs>
          <w:tab w:val="left" w:pos="426"/>
        </w:tabs>
        <w:spacing w:line="276" w:lineRule="auto"/>
        <w:jc w:val="both"/>
        <w:rPr>
          <w:vertAlign w:val="superscript"/>
        </w:rPr>
      </w:pPr>
      <w:r>
        <w:tab/>
        <w:t>Pacientams, sergantiems pirminiu biliariniu cholangitu, kurių atsakas į gydymą yra nepakankamas, liga progresuoja iki kepenų cirozės ir kepenų funkcijos nepakankamumo, tokiems pacientams kepenų transplantacija yra vienintelė gydymo galimybė, padedanti išvengti priešlaikinės mirties. Tačiau net 9–35 proc. pacientų po kepenų transplantacijos per 1,6–6,5 metų pirminis biliarinis cholangitas pasikartoja.</w:t>
      </w:r>
    </w:p>
    <w:p w14:paraId="6579B9BD" w14:textId="77777777" w:rsidR="00355554" w:rsidRDefault="00862963">
      <w:pPr>
        <w:tabs>
          <w:tab w:val="left" w:pos="426"/>
        </w:tabs>
        <w:spacing w:line="276" w:lineRule="auto"/>
        <w:jc w:val="both"/>
      </w:pPr>
      <w:r>
        <w:lastRenderedPageBreak/>
        <w:tab/>
        <w:t>Lietuvoje nėra sveikatos apsaugos ministro įsakymu patvirtinto pirminio biliarinio cholangito gydymo kompensuojamaisiais vaistiniais preparatais tvarkos aprašo. Vaistai kompensuojami pagal kompensuojamųjų vaistų A sąrašą. Pacientams, sergantiems pirminiu biliariniu cholangitu pirmos eilės gydymui vienintelis kompensuojamas vaistas yra ursodeoksicholio rūgštis (UDCR).</w:t>
      </w:r>
    </w:p>
    <w:p w14:paraId="6579B9BE" w14:textId="0539C0B0" w:rsidR="00355554" w:rsidRDefault="00862963">
      <w:pPr>
        <w:tabs>
          <w:tab w:val="left" w:pos="426"/>
        </w:tabs>
        <w:spacing w:line="276" w:lineRule="auto"/>
        <w:jc w:val="both"/>
      </w:pPr>
      <w:bookmarkStart w:id="2" w:name="_heading=h.8wlncw4ve3zz" w:colFirst="0" w:colLast="0"/>
      <w:bookmarkEnd w:id="2"/>
      <w:r>
        <w:tab/>
      </w:r>
      <w:r>
        <w:tab/>
        <w:t xml:space="preserve">Pirminis biliarinis cholangitas laikomas reta liga, nuo 2019 m. liepos 25 d. Iqirvo (elafibranoras) buvo priskirtas retųjų vaistų (retoms ligoms gydyti skirtų vaistų, angl. </w:t>
      </w:r>
      <w:r>
        <w:rPr>
          <w:i/>
          <w:iCs/>
        </w:rPr>
        <w:t>orphan medicine</w:t>
      </w:r>
      <w:r>
        <w:t>) kategorijai, bei skiriamas PBC pacientų gydymui. Remiantis Europos vaistų agentūros (EVA) teikiama informacija, 2019 m. EVA nusprendė, kad Iqirvo nauda yra didesnė už jo keliamą riziką ir jis gali būti registruotas vartoti Europos sąjungos šalyse. Iqirvo registracija tuomet buvo sąlyginė. Tai reiškia, kad vaistas buvo registruotas remiantis mažiau išsamiais duomenimis, nei paprastai reikalaujama, nes jis patenkina nepatenkintą medicininį poreikį. Lietuvoje Iqirvo registruotas 2024 m. rugsėjo 19 d. centrinėje registracijoje.</w:t>
      </w:r>
    </w:p>
    <w:p w14:paraId="6579B9BF" w14:textId="57202822" w:rsidR="00355554" w:rsidRDefault="00862963">
      <w:pPr>
        <w:tabs>
          <w:tab w:val="left" w:pos="426"/>
        </w:tabs>
        <w:spacing w:after="160" w:line="276" w:lineRule="auto"/>
        <w:jc w:val="both"/>
      </w:pPr>
      <w:r>
        <w:tab/>
        <w:t xml:space="preserve">Remiantis Europos kepenų tyrimų asociacijos (angl. </w:t>
      </w:r>
      <w:r>
        <w:rPr>
          <w:i/>
          <w:iCs/>
        </w:rPr>
        <w:t>European Association for the Study of the Liver</w:t>
      </w:r>
      <w:r>
        <w:t xml:space="preserve">) klinikinėmis gairėmis, visiems pacientams, sergantiems pirminiu biliariniu cholangitu rekomenduojamas pirmos eilės gydymas </w:t>
      </w:r>
      <w:r w:rsidR="005C00B0">
        <w:t xml:space="preserve">ursodeoksicholio rūgštimi (toliau – </w:t>
      </w:r>
      <w:r>
        <w:t>UDC</w:t>
      </w:r>
      <w:r w:rsidR="005C00B0">
        <w:t xml:space="preserve">R) </w:t>
      </w:r>
      <w:r>
        <w:t xml:space="preserve">13–15 mg/kg/d, gydymą tęsiant visą gyvenimą (I-o lygio rekomendacija). Po vienerių metų gydymo, nustačius nepakankamą atsaką į gydymą, gairėse rekomenduojama pridėti antros eilės gydymą, renkantis patvirtintus preparatus, </w:t>
      </w:r>
      <w:r>
        <w:rPr>
          <w:i/>
          <w:iCs/>
        </w:rPr>
        <w:t>off-label</w:t>
      </w:r>
      <w:r>
        <w:t xml:space="preserve"> vaistus arba klinikinius tyrimus.</w:t>
      </w:r>
    </w:p>
    <w:p w14:paraId="6579B9C0" w14:textId="07F7FE1B" w:rsidR="00355554" w:rsidRDefault="00862963">
      <w:pPr>
        <w:tabs>
          <w:tab w:val="left" w:pos="426"/>
        </w:tabs>
        <w:spacing w:after="160" w:line="276" w:lineRule="auto"/>
        <w:jc w:val="both"/>
      </w:pPr>
      <w:r>
        <w:tab/>
        <w:t>Įvertinus paraiškoje pateiktus  klinikinius duomenis, siūlomą kompensuoti terapinę indikaciją bei įprastinę klinikinę praktiką Lietuvoje,  tikėtina, kad šiems pacientams šiuo metu taikomas  gydymas UDCR. Todėl gydymas UDCR yra laikomas tinkamu palyginamuoju gydymu.  </w:t>
      </w:r>
    </w:p>
    <w:p w14:paraId="6579B9C1" w14:textId="77777777" w:rsidR="00355554" w:rsidRDefault="00862963">
      <w:pPr>
        <w:spacing w:line="276" w:lineRule="auto"/>
        <w:ind w:firstLine="420"/>
        <w:jc w:val="both"/>
      </w:pPr>
      <w:r>
        <w:t>Ursodeoksicholio rūgštis atitinka vaistinio preparato įrašymo į kompensavimo sąrašus rengimo taisyklių, patvirtintų Lietuvos Respublikos sveikatos apsaugos ministro 2002 m. balandžio 5 d. įsakymu Nr. V-159 „Dėl vaistinių preparatų ir medicinos pagalbos priemonių įrašymo į kompensavimo sąrašus ir jų keitimo tvarkos aprašo patvirtinimo“ 116 - 119 punktus.</w:t>
      </w:r>
    </w:p>
    <w:p w14:paraId="22C744D7" w14:textId="77777777" w:rsidR="00A91257" w:rsidRDefault="00A91257">
      <w:pPr>
        <w:tabs>
          <w:tab w:val="left" w:pos="426"/>
        </w:tabs>
        <w:spacing w:line="276" w:lineRule="auto"/>
        <w:jc w:val="both"/>
        <w:rPr>
          <w:u w:val="single"/>
        </w:rPr>
      </w:pPr>
    </w:p>
    <w:p w14:paraId="6579B9C4" w14:textId="77020002" w:rsidR="00355554" w:rsidRPr="00A91257" w:rsidRDefault="00862963">
      <w:pPr>
        <w:tabs>
          <w:tab w:val="left" w:pos="426"/>
        </w:tabs>
        <w:spacing w:line="276" w:lineRule="auto"/>
        <w:jc w:val="both"/>
        <w:rPr>
          <w:i/>
          <w:iCs/>
        </w:rPr>
      </w:pPr>
      <w:r w:rsidRPr="00A91257">
        <w:rPr>
          <w:i/>
          <w:iCs/>
        </w:rPr>
        <w:t>Tiesioginis palyginimas</w:t>
      </w:r>
    </w:p>
    <w:p w14:paraId="6579B9C5" w14:textId="77777777" w:rsidR="00355554" w:rsidRDefault="00355554">
      <w:pPr>
        <w:tabs>
          <w:tab w:val="left" w:pos="426"/>
        </w:tabs>
        <w:spacing w:line="276" w:lineRule="auto"/>
        <w:jc w:val="both"/>
        <w:rPr>
          <w:u w:val="single"/>
        </w:rPr>
      </w:pPr>
    </w:p>
    <w:p w14:paraId="6579B9C6" w14:textId="7B161DB6" w:rsidR="00355554" w:rsidRDefault="00862963">
      <w:pPr>
        <w:spacing w:line="276" w:lineRule="auto"/>
        <w:ind w:firstLine="720"/>
      </w:pPr>
      <w:r>
        <w:t>Klinikinis elafibranoro derinio su ursodeoksicholio rūgštimi</w:t>
      </w:r>
      <w:r w:rsidR="00A91257">
        <w:t xml:space="preserve"> (</w:t>
      </w:r>
      <w:r>
        <w:t>UDCR</w:t>
      </w:r>
      <w:r w:rsidR="00A91257">
        <w:t>)</w:t>
      </w:r>
      <w:r>
        <w:t xml:space="preserve"> efektyvumas vertinamas remiantis paraiškoje pateikto daugiacentrio, dvigubai </w:t>
      </w:r>
      <w:r w:rsidR="00A30D45">
        <w:t>koduoto</w:t>
      </w:r>
      <w:r>
        <w:t>, atsitiktinių imčių ELATIVE klinikinio tyrimo metu.</w:t>
      </w:r>
    </w:p>
    <w:p w14:paraId="6579B9C7" w14:textId="1919CD39" w:rsidR="00355554" w:rsidRDefault="00862963">
      <w:pPr>
        <w:spacing w:line="276" w:lineRule="auto"/>
        <w:ind w:firstLine="720"/>
      </w:pPr>
      <w:r>
        <w:t xml:space="preserve">ELATIVE tai atsitiktinių imčių III fazės, daugiacentris, dvigubai </w:t>
      </w:r>
      <w:r w:rsidR="00A30D45">
        <w:t>koduotas</w:t>
      </w:r>
      <w:r>
        <w:t xml:space="preserve"> klinikinis tyrimas, kuriame pacientai sergantys pirminiu biliariniu cholangitu, kurie netoleruoja gydymo UDCR arba šio gydymo efektyvumas yra nepakankamas, kuriame buvo palygintas gydymo elafibranoru veiksmingumas ir saugumas, taikant gydymą elafibranoru su ar be UDCR, kontrolinei grupei gaunant placebo su ar be UDCR. </w:t>
      </w:r>
    </w:p>
    <w:p w14:paraId="6579B9C8" w14:textId="77777777" w:rsidR="00355554" w:rsidRDefault="00862963">
      <w:pPr>
        <w:tabs>
          <w:tab w:val="left" w:pos="492"/>
        </w:tabs>
        <w:spacing w:line="276" w:lineRule="auto"/>
      </w:pPr>
      <w:r>
        <w:tab/>
        <w:t>ELATIVE tyrimo populiacija – 161 suaugę pacientai, sergantys pirmininiu biliariniu cholangitu, kuriems anksčiau taikytas gydymas ursodeoksicholio rūgštimi dėl šios ligos, tačiau šio gydymo pacientai netoleruoja, arba jo efektyvumas yra nepakankamas.</w:t>
      </w:r>
    </w:p>
    <w:p w14:paraId="6579B9C9" w14:textId="77777777" w:rsidR="00355554" w:rsidRDefault="00862963">
      <w:pPr>
        <w:tabs>
          <w:tab w:val="left" w:pos="426"/>
        </w:tabs>
        <w:spacing w:line="276" w:lineRule="auto"/>
      </w:pPr>
      <w:r>
        <w:tab/>
        <w:t>Tyrimo pacientų populiacija atitinka egzistuojančią Lietuvos pacientų populiaciją, kuriai gydymas gali būti skiriamas pagal numatomas elafibranoro skyrimo indikacijas ir siūlomas skyrimo sąlygas.</w:t>
      </w:r>
    </w:p>
    <w:p w14:paraId="6579B9CA" w14:textId="77777777" w:rsidR="00355554" w:rsidRDefault="00862963">
      <w:pPr>
        <w:tabs>
          <w:tab w:val="left" w:pos="492"/>
        </w:tabs>
        <w:spacing w:line="276" w:lineRule="auto"/>
        <w:jc w:val="both"/>
      </w:pPr>
      <w:r>
        <w:tab/>
        <w:t xml:space="preserve">Tyrimo metu, 161 pacientas atsitiktinių imčių būdu (santykiu 2:1) buvo suskirstytas į dvi gydymo grupes, jiems buvo paskirta vartoti po 80 mg elafibranoro arba placebo vieną kartą per parą  mažiausiai 52 savaites. Esant poreikiui tiriamieji viso tyrimo metu toliau vartojo prieš tyrimą vartotą </w:t>
      </w:r>
      <w:r>
        <w:lastRenderedPageBreak/>
        <w:t>UDCR dozę. Iš anksto numatyti pogrupiai buvo suskirstyti pagal šarminės fosfatazės, bendro bilirubino koncentraciją ir PBC ligos sukelto niežulio vertinimo skalės duomenis (smarkiausio niežėjimo skaitinės vertinimo skalės balas ≥ 4).</w:t>
      </w:r>
    </w:p>
    <w:p w14:paraId="6579B9CB" w14:textId="4044F16C" w:rsidR="00355554" w:rsidRDefault="00862963">
      <w:pPr>
        <w:tabs>
          <w:tab w:val="left" w:pos="492"/>
        </w:tabs>
        <w:spacing w:line="276" w:lineRule="auto"/>
        <w:jc w:val="both"/>
        <w:rPr>
          <w:i/>
          <w:iCs/>
        </w:rPr>
      </w:pPr>
      <w:r>
        <w:tab/>
        <w:t>Bendras dvigubai</w:t>
      </w:r>
      <w:r w:rsidR="00A91257">
        <w:t xml:space="preserve"> koduotas</w:t>
      </w:r>
      <w:r>
        <w:t xml:space="preserve"> tyrimo laikotarpis susidėjo iš dviejų dalių. Pirmojoje dalyje pacientai buvo atsitiktinai paskirstyti į dvi grupes (santykiu 2:1), kurioms bent 52 savaites buvo skiriamas elafibranoras arba placebas dvigubai </w:t>
      </w:r>
      <w:r w:rsidR="00A91257">
        <w:t>koduotu</w:t>
      </w:r>
      <w:r>
        <w:t xml:space="preserve"> būdu. Antrojoje dalyje pacientai tęsė jiems paskirtą gydymo schemą po 52 savaičių, kol visi pacientai baigė 52 savaičių vertinimą arba iki maksimalios 104 savaičių trukmės, priklausomai nuo to, kuris įvyko anksčiau. Dvigub</w:t>
      </w:r>
      <w:r w:rsidR="00A91257">
        <w:t>ai koduoto</w:t>
      </w:r>
      <w:r>
        <w:t xml:space="preserve"> tyrimo laikotarpio pabaigoje pacientai galėjo pereiti į elafibranoro grupę ir jį vartoti dar iki 5 metų. </w:t>
      </w:r>
      <w:r>
        <w:tab/>
        <w:t>Tyrimo protokole buvo numatyta, kad įtraukus 150 pacientų (100 pacientų į elafibranoro grupę ir 50 į placebo grupę) būtų galima pasiekti ne mažesnę kaip 90 proc. galią, esant dvipusiam alfa lygiui 0,05, siekiant nustatyti 35 proc. skirtumą tarp pacientų grupių, vertinant biocheminį atsaką 52 savaitę. Pirminė analizė buvo pagrįsta dvigub</w:t>
      </w:r>
      <w:r w:rsidR="00A91257">
        <w:t>ai koduoto</w:t>
      </w:r>
      <w:r>
        <w:t xml:space="preserve"> laikotarpio duomenimis, o veiksmingumo galutiniai rezultatai buvo vertinami 52 savaitę. Saugumo analizės apėmė duomenis iki 104 savaičių. Pirminė vertinamoji baigtis (biocheminis atsakas 52 savaitę) ir antrinės vertinamosios baigtys (šarminės fosfatazės normalizavimas 52 savaitę ir niežulio skalės balo pokytis nuo pradinio lygio) buvo vertinami naudojant iš anksto nustatytą fiksuotos sekos testavimo metodą, esant dvipusiam alfa lygiui 0,05.</w:t>
      </w:r>
    </w:p>
    <w:p w14:paraId="6579B9CC" w14:textId="77777777" w:rsidR="00355554" w:rsidRDefault="00862963">
      <w:pPr>
        <w:tabs>
          <w:tab w:val="left" w:pos="492"/>
        </w:tabs>
        <w:spacing w:line="276" w:lineRule="auto"/>
        <w:jc w:val="both"/>
      </w:pPr>
      <w:r>
        <w:rPr>
          <w:i/>
          <w:iCs/>
        </w:rPr>
        <w:tab/>
      </w:r>
      <w:r>
        <w:t xml:space="preserve">Pirminė vertinamoji baigtis ir pagrindinės antrinės vertinamosios baigtys, ŠF normalizavimasis 52 savaitę, analizė buvo atlikta ITT populiacijoje, taikant Cochran–Mantel–Haenszel testą, suskirstytą pagal atsitiktinės atrankos veiksnius. Taikytas skaičiavimas, pagal kurį buvo įvertinti pacientai, iki 52 savaitės turėję tarpinių įvykių (nutraukė bandomąjį gydymą arba vartojo </w:t>
      </w:r>
      <w:r>
        <w:rPr>
          <w:i/>
          <w:iCs/>
        </w:rPr>
        <w:t xml:space="preserve">rescue </w:t>
      </w:r>
      <w:r>
        <w:t xml:space="preserve">(gelbėjimosi) terapiją PBC gydyti). </w:t>
      </w:r>
    </w:p>
    <w:p w14:paraId="6579B9CD" w14:textId="77777777" w:rsidR="00355554" w:rsidRDefault="00862963">
      <w:pPr>
        <w:tabs>
          <w:tab w:val="left" w:pos="492"/>
        </w:tabs>
        <w:spacing w:line="276" w:lineRule="auto"/>
        <w:jc w:val="both"/>
      </w:pPr>
      <w:r>
        <w:tab/>
        <w:t xml:space="preserve">Nuo 2020 m. rugsėjo 24 d. iki 2023 m. birželio 1 d. į tyrimą buvo įtraukti suaugę pacientai, sergantys PBC, kuriems anksčiau taikytas gydymas UDCR, tačiau pacientai jo netoleravo, ar jo efektyvumas buvo nepakankamas. Pacientai buvo atsitiktinai paskirstytas gauti elafibranorą, po 80 mg vieną kartą per parą mažiausiai 52 savaites (108 pacientai), arba placebą (53 pacientai). Esant poreikiui tiriamieji viso tyrimo metu toliau vartojo prieš tyrimą vartotą UDCR dozę. Dauguma (95 proc.) tiriamųjų kartu vartojo ir UDCR, 5 proc. tiriamųjų, kurie netoleravo UDCR, vartojo elafibranoro monoterapiją. ITT populiaciją sudarė pacientai, kurių niežulys buvo vidutinio sunkumo ar sunkus (N=66, iš jų 44 elafibranoro grupėje ir 22 placebo grupėje). </w:t>
      </w:r>
    </w:p>
    <w:p w14:paraId="6579B9CE" w14:textId="77777777" w:rsidR="00355554" w:rsidRDefault="00862963">
      <w:pPr>
        <w:tabs>
          <w:tab w:val="left" w:pos="426"/>
        </w:tabs>
        <w:spacing w:line="276" w:lineRule="auto"/>
        <w:jc w:val="both"/>
      </w:pPr>
      <w:r>
        <w:tab/>
        <w:t xml:space="preserve">Pirminė vertinamoji baigtis, cholestazės atsakas (CA). Apibrėžtas kaip ŠF &lt;1,67 x VNR (viršutinė normos riba) ir BB ≤ VNR ir ŠF aktyvumo sumažėjimas ≥ 15 proc. nuo pradinio vertinimo 52-ąją savaitę. Buvo laikoma, kad tiriamiesiems, kurie tyrimo metu tiriamojo vaistinio preparato vartojimą nutraukė anksčiau ar jiems buvo skirtas gelbstintis (angl. </w:t>
      </w:r>
      <w:r>
        <w:rPr>
          <w:i/>
          <w:iCs/>
        </w:rPr>
        <w:t>rescue</w:t>
      </w:r>
      <w:r>
        <w:t>) PBC gydymas prieš 52-osios savaitės įvertinimą, atsakas nepasireiškė. Tuo atveju, kai 52-ąją savaitę tiriamiesiems, kuriems nebuvo tarpinių įvykių, trūko duomenų, buvo atsižvelgta į artimiausią nepertraukiamų duomenų įvertinimą gydymo laikotarpiu. ELATIVE tyrimo duomenimis, biocheminis atsakas, CA, buvo stebimas didesniam procentui pacientų elafibranoro grupėje nei placebo grupėje (51 proc. lyginant su 4 proc.), skirtumas tarp grupių 47 proc. (95 proc. PI 32–57, P &lt; 0,001), CA rezultatai išliko tolygūs vertinant visus iš anksto numatytus pogrupius. Elafibranoro grupėje per 4 savaites po gydymo pradžios buvo pastebėtas šarminės fosfatazės lygio sumažėjimas, palyginti su pradiniu lygiu, ir jis išliko žemesnis nei placebo grupėje iki 52 savaitės, o tarp grupių apskaičiuotas procentinis skirtumas buvo −40,6±5,3 (95 proc. PI, nuo −47,8 iki −33,5).  Papildomos antrinės vertinamosios baigtys parodė elafibranoro tikėtina naudą bei papildo CA rezultatus.</w:t>
      </w:r>
    </w:p>
    <w:p w14:paraId="6579B9CF" w14:textId="77777777" w:rsidR="00355554" w:rsidRDefault="00862963">
      <w:pPr>
        <w:tabs>
          <w:tab w:val="left" w:pos="426"/>
        </w:tabs>
        <w:spacing w:line="276" w:lineRule="auto"/>
        <w:jc w:val="both"/>
      </w:pPr>
      <w:r>
        <w:lastRenderedPageBreak/>
        <w:tab/>
      </w:r>
      <w:r>
        <w:rPr>
          <w:highlight w:val="white"/>
        </w:rPr>
        <w:t>Abiejose grupėse panašus procentas pacientų patyrė nepageidaujamus reiškinius, nepageidaujamus reiškinius, laikomus susijusiais su tyrimo režimu, sunkius ar rimtus nepageidaujamus reiškinius arba nepageidaujamus reiškinius, dėl kurių buvo nutrauktas elafibranoro ar placebo vartojimas. Nepageidaujami reiškiniai, pasireiškę daugiau nei 10 % pacientų ir dažniau pacientams, vartojusiems elafibranorą, nei pacientams, vartojusiems placebą, buvo daugiausia virškinimo trakto pobūdžio, įskaitant pilvo skausmą, vidurių pūtimą, pykinimą ir vėmimą (Lentelė 5). Dauguma nepageidaujamų reiškinių buvo lengvo arba vidutinio sunkumo, ir nė vienas elafibranorą vartojęs pacientas neturėjo sunkaus niežulio.</w:t>
      </w:r>
      <w:r>
        <w:t xml:space="preserve"> Pilnas nepageidaujamų reiškinių aprašymas pateiktas Preparato charakteristikų santraukoje.</w:t>
      </w:r>
    </w:p>
    <w:p w14:paraId="6579B9D1" w14:textId="047134F6" w:rsidR="00355554" w:rsidRDefault="00862963">
      <w:pPr>
        <w:tabs>
          <w:tab w:val="left" w:pos="426"/>
        </w:tabs>
        <w:spacing w:line="276" w:lineRule="auto"/>
        <w:jc w:val="both"/>
      </w:pPr>
      <w:r>
        <w:tab/>
      </w:r>
      <w:r w:rsidR="00A30D45">
        <w:t>Atlikus detalų klinkinį</w:t>
      </w:r>
      <w:r>
        <w:t xml:space="preserve"> vertinim</w:t>
      </w:r>
      <w:r w:rsidR="00A30D45">
        <w:t>ą nustatyta</w:t>
      </w:r>
      <w:r>
        <w:t>, kad bendroje populiacijoje gydymas elafibranoru lėmė ženklų biocheminį atsaką, reikšmingą atsižvelgiant į ligos patogenezę ir vaistinio preparato veikimo mechanizmą</w:t>
      </w:r>
      <w:r w:rsidR="00A30D45">
        <w:t>. C</w:t>
      </w:r>
      <w:r>
        <w:t>holestazės atsakas buvo stebimas didesniam procentui pacientų elafibranoro grupėje nei placebo grupėje (51 proc. lyginant su 4 proc.), skirtumas tarp grupių 47 proc. (95 proc. PI 32–57, P &lt; 0,001), CA rezultatai išliko tolygūs vertinant visus iš anksto numatytus pogrupius.</w:t>
      </w:r>
    </w:p>
    <w:p w14:paraId="6579B9D2" w14:textId="77777777" w:rsidR="00355554" w:rsidRDefault="00862963">
      <w:pPr>
        <w:tabs>
          <w:tab w:val="left" w:pos="426"/>
        </w:tabs>
        <w:spacing w:line="276" w:lineRule="auto"/>
        <w:jc w:val="both"/>
      </w:pPr>
      <w:r>
        <w:tab/>
        <w:t>Apibendrinant, elafibranoro klinikinis veiksmingumas įvertintas kaip pagrindžiantis papildomos naudos pacientų sveikatai sukūrimą, lyginant su gydymu UDCR monoterapija, kai skiriamas suaugusiems pacientams, sergantiems pirminiu biliariniu cholangitu.</w:t>
      </w:r>
    </w:p>
    <w:p w14:paraId="6579B9D3" w14:textId="77777777" w:rsidR="00355554" w:rsidRDefault="00355554">
      <w:pPr>
        <w:tabs>
          <w:tab w:val="left" w:pos="426"/>
        </w:tabs>
        <w:spacing w:line="276" w:lineRule="auto"/>
        <w:jc w:val="both"/>
        <w:rPr>
          <w:b/>
          <w:bCs/>
          <w:smallCaps/>
        </w:rPr>
      </w:pPr>
    </w:p>
    <w:p w14:paraId="6579B9D4" w14:textId="77777777" w:rsidR="00355554" w:rsidRDefault="00862963">
      <w:pPr>
        <w:numPr>
          <w:ilvl w:val="0"/>
          <w:numId w:val="1"/>
        </w:numPr>
        <w:pBdr>
          <w:top w:val="nil"/>
          <w:left w:val="nil"/>
          <w:bottom w:val="nil"/>
          <w:right w:val="nil"/>
          <w:between w:val="nil"/>
        </w:pBdr>
        <w:tabs>
          <w:tab w:val="left" w:pos="567"/>
        </w:tabs>
        <w:ind w:hanging="720"/>
        <w:rPr>
          <w:b/>
          <w:bCs/>
          <w:smallCaps/>
          <w:color w:val="000000"/>
        </w:rPr>
      </w:pPr>
      <w:r>
        <w:rPr>
          <w:b/>
          <w:bCs/>
          <w:smallCaps/>
          <w:color w:val="000000"/>
        </w:rPr>
        <w:t>EKONOMINIO VERTINIMO APIBENDRINIMAS</w:t>
      </w:r>
    </w:p>
    <w:p w14:paraId="6579B9D6" w14:textId="77777777" w:rsidR="00355554" w:rsidRPr="00A30D45" w:rsidRDefault="00355554">
      <w:pPr>
        <w:tabs>
          <w:tab w:val="left" w:pos="426"/>
        </w:tabs>
        <w:rPr>
          <w:i/>
          <w:iCs/>
        </w:rPr>
      </w:pPr>
    </w:p>
    <w:p w14:paraId="0CF9A2C7" w14:textId="10C4ABD4" w:rsidR="00B15FDA" w:rsidRDefault="00B15FDA" w:rsidP="00A30D45">
      <w:pPr>
        <w:spacing w:line="276" w:lineRule="auto"/>
        <w:jc w:val="both"/>
      </w:pPr>
      <w:r>
        <w:t xml:space="preserve">Vertinimui pateikta kaštų naudingumo analizė, kurioje vertinamas elafibranoro kaštų naudingumas, palyginus su Lietuvos klinikine praktika – ursodeoksicholio rūgštimi. </w:t>
      </w:r>
      <w:r w:rsidR="00CA75E0">
        <w:t>Pacient</w:t>
      </w:r>
      <w:r w:rsidR="00CA75E0">
        <w:rPr>
          <w:lang w:val="en-US"/>
        </w:rPr>
        <w:t>ų p</w:t>
      </w:r>
      <w:r w:rsidRPr="00287575">
        <w:t>opuliacija</w:t>
      </w:r>
      <w:r w:rsidR="00CA75E0">
        <w:t>, kuriai skirt</w:t>
      </w:r>
      <w:r w:rsidR="002532AB">
        <w:t>a</w:t>
      </w:r>
      <w:r w:rsidR="00CA75E0">
        <w:t>s vaistinis preparatas pagal patvirtintas terapines indikacijas</w:t>
      </w:r>
      <w:r w:rsidRPr="00287575">
        <w:t xml:space="preserve"> atitinka</w:t>
      </w:r>
      <w:r w:rsidRPr="00E42A84">
        <w:t xml:space="preserve"> pacientų grupę, įtrauktą į ELATIVE III fazės klinikinį tyrimą.</w:t>
      </w:r>
      <w:r>
        <w:t xml:space="preserve"> Analizėje taikoma viso gyvenimo laiko perspektyva – ji yra laikoma tinkama atsižvelgiant į ligos pobūdį ir įtaką pacientų išgyvenamumui.</w:t>
      </w:r>
    </w:p>
    <w:p w14:paraId="5FE657C0" w14:textId="77777777" w:rsidR="00B15FDA" w:rsidRDefault="00B15FDA" w:rsidP="00A30D45">
      <w:pPr>
        <w:spacing w:line="276" w:lineRule="auto"/>
        <w:jc w:val="both"/>
      </w:pPr>
      <w:r>
        <w:t xml:space="preserve">Analizėje taikomas modeliavimas – Markovo kohortos modelis. Modelį sudaro 10 sveikatos būklių, suskirstytų į 2 rūšis: </w:t>
      </w:r>
    </w:p>
    <w:p w14:paraId="22C14814" w14:textId="18396645" w:rsidR="00B15FDA" w:rsidRPr="00ED5342" w:rsidRDefault="00CA75E0" w:rsidP="00A30D45">
      <w:pPr>
        <w:numPr>
          <w:ilvl w:val="0"/>
          <w:numId w:val="3"/>
        </w:numPr>
        <w:spacing w:line="276" w:lineRule="auto"/>
        <w:jc w:val="both"/>
      </w:pPr>
      <w:r>
        <w:t>pirminio biliarinio cholangito (PBC)</w:t>
      </w:r>
      <w:r w:rsidR="00B15FDA" w:rsidRPr="00ED5342">
        <w:t xml:space="preserve"> bio</w:t>
      </w:r>
      <w:r>
        <w:t>loginių žymenų</w:t>
      </w:r>
      <w:r w:rsidR="002532AB">
        <w:t xml:space="preserve"> </w:t>
      </w:r>
      <w:r w:rsidR="00B15FDA">
        <w:t>rodikliai</w:t>
      </w:r>
      <w:r w:rsidR="00B15FDA" w:rsidRPr="00ED5342">
        <w:t>, kuri</w:t>
      </w:r>
      <w:r>
        <w:t>ame</w:t>
      </w:r>
      <w:r w:rsidR="00B15FDA" w:rsidRPr="00ED5342">
        <w:t xml:space="preserve"> pacientai </w:t>
      </w:r>
      <w:r w:rsidR="00B15FDA" w:rsidRPr="005422A8">
        <w:t>skirstomi</w:t>
      </w:r>
      <w:r w:rsidR="00B15FDA" w:rsidRPr="00ED5342">
        <w:t xml:space="preserve"> pagal ligos progresavimo į kepenų ligą riziką;</w:t>
      </w:r>
    </w:p>
    <w:p w14:paraId="6BF6ED3F" w14:textId="77777777" w:rsidR="00B15FDA" w:rsidRPr="00ED5342" w:rsidRDefault="00B15FDA" w:rsidP="00A30D45">
      <w:pPr>
        <w:numPr>
          <w:ilvl w:val="0"/>
          <w:numId w:val="3"/>
        </w:numPr>
        <w:spacing w:line="276" w:lineRule="auto"/>
        <w:jc w:val="both"/>
      </w:pPr>
      <w:r w:rsidRPr="00ED5342">
        <w:t>kepenų lig</w:t>
      </w:r>
      <w:r>
        <w:t>os</w:t>
      </w:r>
      <w:r w:rsidRPr="00ED5342">
        <w:t>, apimant</w:t>
      </w:r>
      <w:r w:rsidRPr="005422A8">
        <w:t>i</w:t>
      </w:r>
      <w:r w:rsidRPr="00ED5342">
        <w:t xml:space="preserve"> pacientus, kuriems liga jau progresavo į kepenų ligą.</w:t>
      </w:r>
    </w:p>
    <w:p w14:paraId="7AF87CC0" w14:textId="6D153071" w:rsidR="00B15FDA" w:rsidRDefault="00B15FDA" w:rsidP="00A30D45">
      <w:pPr>
        <w:tabs>
          <w:tab w:val="left" w:pos="567"/>
        </w:tabs>
        <w:spacing w:line="276" w:lineRule="auto"/>
        <w:jc w:val="both"/>
      </w:pPr>
      <w:r>
        <w:t xml:space="preserve">Toks modeliavimo metodas laikomas tinkamu ir atitinka ligos eigą. </w:t>
      </w:r>
    </w:p>
    <w:p w14:paraId="29D6BD20" w14:textId="77777777" w:rsidR="00B15FDA" w:rsidRDefault="00B15FDA" w:rsidP="00A30D45">
      <w:pPr>
        <w:tabs>
          <w:tab w:val="left" w:pos="567"/>
        </w:tabs>
        <w:spacing w:line="276" w:lineRule="auto"/>
        <w:jc w:val="both"/>
      </w:pPr>
      <w:r>
        <w:t xml:space="preserve">Klinikiniai įrodymai analizėje grindžiami ELATIVE klinikinio tyrimo, klinikinių ekspertų nuomone ir mokslinės literatūros duomenimis. </w:t>
      </w:r>
    </w:p>
    <w:p w14:paraId="2E223357" w14:textId="0C1D710D" w:rsidR="00B15FDA" w:rsidRDefault="00A30D45" w:rsidP="00A30D45">
      <w:pPr>
        <w:tabs>
          <w:tab w:val="left" w:pos="567"/>
        </w:tabs>
        <w:spacing w:line="276" w:lineRule="auto"/>
        <w:jc w:val="both"/>
      </w:pPr>
      <w:r>
        <w:t>V</w:t>
      </w:r>
      <w:r w:rsidR="00B15FDA">
        <w:t>ertinim</w:t>
      </w:r>
      <w:r>
        <w:t xml:space="preserve">o metu </w:t>
      </w:r>
      <w:r w:rsidR="00CA75E0">
        <w:t xml:space="preserve">pareiškėjo pateiktos prielaidos </w:t>
      </w:r>
      <w:r>
        <w:t>buvo koreguotos.</w:t>
      </w:r>
    </w:p>
    <w:p w14:paraId="50E946E3" w14:textId="2B94F664" w:rsidR="00B15FDA" w:rsidRPr="00D47561" w:rsidRDefault="005C00B0" w:rsidP="00B15FDA">
      <w:pPr>
        <w:tabs>
          <w:tab w:val="left" w:pos="567"/>
        </w:tabs>
        <w:spacing w:line="276" w:lineRule="auto"/>
        <w:jc w:val="both"/>
        <w:rPr>
          <w:color w:val="000000" w:themeColor="text1"/>
        </w:rPr>
      </w:pPr>
      <w:r>
        <w:rPr>
          <w:color w:val="000000" w:themeColor="text1"/>
        </w:rPr>
        <w:t xml:space="preserve">Pareiškėjo taikoma prielaida, kad </w:t>
      </w:r>
      <w:r w:rsidR="00B15FDA" w:rsidRPr="00D47561">
        <w:rPr>
          <w:color w:val="000000" w:themeColor="text1"/>
        </w:rPr>
        <w:t>vartojant elafibranorą, po 4 gydymo ciklo pacient</w:t>
      </w:r>
      <w:r>
        <w:rPr>
          <w:color w:val="000000" w:themeColor="text1"/>
        </w:rPr>
        <w:t>as</w:t>
      </w:r>
      <w:r w:rsidR="00B15FDA" w:rsidRPr="00D47561">
        <w:rPr>
          <w:color w:val="000000" w:themeColor="text1"/>
        </w:rPr>
        <w:t xml:space="preserve"> li</w:t>
      </w:r>
      <w:r>
        <w:rPr>
          <w:color w:val="000000" w:themeColor="text1"/>
        </w:rPr>
        <w:t>eka</w:t>
      </w:r>
      <w:r w:rsidR="00B15FDA" w:rsidRPr="00D47561">
        <w:rPr>
          <w:color w:val="000000" w:themeColor="text1"/>
        </w:rPr>
        <w:t xml:space="preserve"> toje pačioje sveikatos būklėje visą likusį laikotarpį</w:t>
      </w:r>
      <w:r>
        <w:rPr>
          <w:color w:val="000000" w:themeColor="text1"/>
        </w:rPr>
        <w:t>,</w:t>
      </w:r>
      <w:r w:rsidR="00B15FDA" w:rsidRPr="00D47561">
        <w:rPr>
          <w:color w:val="000000" w:themeColor="text1"/>
        </w:rPr>
        <w:t xml:space="preserve"> gali pervertinti elafibranoro naudą, nes PBC yra lėtinė, progresuojanti liga, ir net taikant gydymą, lig</w:t>
      </w:r>
      <w:r w:rsidR="00A30D45">
        <w:rPr>
          <w:color w:val="000000" w:themeColor="text1"/>
        </w:rPr>
        <w:t>a</w:t>
      </w:r>
      <w:r w:rsidR="00B15FDA" w:rsidRPr="00D47561">
        <w:rPr>
          <w:color w:val="000000" w:themeColor="text1"/>
        </w:rPr>
        <w:t xml:space="preserve"> gali </w:t>
      </w:r>
      <w:r w:rsidR="00A30D45">
        <w:rPr>
          <w:color w:val="000000" w:themeColor="text1"/>
        </w:rPr>
        <w:t>progresuoti</w:t>
      </w:r>
      <w:r w:rsidR="00B15FDA" w:rsidRPr="00D47561">
        <w:rPr>
          <w:color w:val="000000" w:themeColor="text1"/>
        </w:rPr>
        <w:t>. Dėl šios priežasties, pagrindinio atvejo analizėje Tarnyba taiko prielaidą, jog elafibranorą vartojantys pacientai, po 4 gydymo ciklų, galės patekti į kitą sveikatos būklę, pagal jų būklių perėjimo tikimybių vidurkį iki 4 ciklo (</w:t>
      </w:r>
      <w:r w:rsidR="00B15FDA" w:rsidRPr="00A30D45">
        <w:rPr>
          <w:i/>
          <w:iCs/>
          <w:color w:val="000000" w:themeColor="text1"/>
        </w:rPr>
        <w:t>average of transitions matrices (baseline to Cycle 4)</w:t>
      </w:r>
      <w:r w:rsidR="00B15FDA" w:rsidRPr="00D47561">
        <w:rPr>
          <w:color w:val="000000" w:themeColor="text1"/>
        </w:rPr>
        <w:t xml:space="preserve">).  </w:t>
      </w:r>
      <w:r w:rsidR="00B15FDA" w:rsidRPr="00D47561">
        <w:rPr>
          <w:b/>
          <w:bCs/>
          <w:color w:val="000000" w:themeColor="text1"/>
        </w:rPr>
        <w:t xml:space="preserve"> </w:t>
      </w:r>
      <w:r w:rsidR="00B15FDA" w:rsidRPr="00D47561">
        <w:rPr>
          <w:color w:val="000000" w:themeColor="text1"/>
        </w:rPr>
        <w:t xml:space="preserve"> </w:t>
      </w:r>
    </w:p>
    <w:p w14:paraId="2051529A" w14:textId="28ACD330" w:rsidR="00B15FDA" w:rsidRPr="00D47561" w:rsidRDefault="00B15FDA" w:rsidP="00B15FDA">
      <w:pPr>
        <w:spacing w:line="280" w:lineRule="atLeast"/>
        <w:jc w:val="both"/>
        <w:rPr>
          <w:color w:val="000000" w:themeColor="text1"/>
        </w:rPr>
      </w:pPr>
      <w:r w:rsidRPr="00D47561">
        <w:rPr>
          <w:color w:val="000000" w:themeColor="text1"/>
        </w:rPr>
        <w:t>Pareiškėjas taip pat taiko prielaidą, jog pacientai gydomi UDC</w:t>
      </w:r>
      <w:r w:rsidR="00CA75E0">
        <w:rPr>
          <w:color w:val="000000" w:themeColor="text1"/>
        </w:rPr>
        <w:t>R</w:t>
      </w:r>
      <w:r w:rsidRPr="00D47561">
        <w:rPr>
          <w:color w:val="000000" w:themeColor="text1"/>
        </w:rPr>
        <w:t>, negali pagerinti savo P</w:t>
      </w:r>
      <w:r w:rsidR="00CA75E0">
        <w:rPr>
          <w:color w:val="000000" w:themeColor="text1"/>
        </w:rPr>
        <w:t>B</w:t>
      </w:r>
      <w:r w:rsidRPr="00D47561">
        <w:rPr>
          <w:color w:val="000000" w:themeColor="text1"/>
        </w:rPr>
        <w:t>C biomarkerių rodiklių likusio laikotarpio metu. Tai reiškia, kad:</w:t>
      </w:r>
    </w:p>
    <w:p w14:paraId="6ADA9324" w14:textId="77777777" w:rsidR="00B15FDA" w:rsidRPr="00D47561" w:rsidRDefault="00B15FDA" w:rsidP="00B15FDA">
      <w:pPr>
        <w:numPr>
          <w:ilvl w:val="0"/>
          <w:numId w:val="4"/>
        </w:numPr>
        <w:spacing w:line="280" w:lineRule="atLeast"/>
        <w:jc w:val="both"/>
        <w:rPr>
          <w:color w:val="000000" w:themeColor="text1"/>
        </w:rPr>
      </w:pPr>
      <w:r w:rsidRPr="00D47561">
        <w:rPr>
          <w:color w:val="000000" w:themeColor="text1"/>
        </w:rPr>
        <w:t xml:space="preserve">pacientai, esantys </w:t>
      </w:r>
      <w:r w:rsidRPr="00D47561">
        <w:rPr>
          <w:b/>
          <w:bCs/>
          <w:color w:val="000000" w:themeColor="text1"/>
        </w:rPr>
        <w:t>vidutinės rizikos</w:t>
      </w:r>
      <w:r w:rsidRPr="00D47561">
        <w:rPr>
          <w:color w:val="000000" w:themeColor="text1"/>
        </w:rPr>
        <w:t xml:space="preserve"> sveikatos būklėje, </w:t>
      </w:r>
      <w:r w:rsidRPr="00D47561">
        <w:rPr>
          <w:b/>
          <w:bCs/>
          <w:color w:val="000000" w:themeColor="text1"/>
        </w:rPr>
        <w:t>negali pereiti</w:t>
      </w:r>
      <w:r w:rsidRPr="00D47561">
        <w:rPr>
          <w:color w:val="000000" w:themeColor="text1"/>
        </w:rPr>
        <w:t xml:space="preserve"> į </w:t>
      </w:r>
      <w:r w:rsidRPr="00D47561">
        <w:rPr>
          <w:b/>
          <w:bCs/>
          <w:color w:val="000000" w:themeColor="text1"/>
        </w:rPr>
        <w:t>mažos rizikos</w:t>
      </w:r>
      <w:r w:rsidRPr="00D47561">
        <w:rPr>
          <w:color w:val="000000" w:themeColor="text1"/>
        </w:rPr>
        <w:t xml:space="preserve"> būklę;</w:t>
      </w:r>
    </w:p>
    <w:p w14:paraId="5E4BCAEE" w14:textId="77777777" w:rsidR="00B15FDA" w:rsidRPr="00D47561" w:rsidRDefault="00B15FDA" w:rsidP="00B15FDA">
      <w:pPr>
        <w:numPr>
          <w:ilvl w:val="0"/>
          <w:numId w:val="4"/>
        </w:numPr>
        <w:spacing w:line="280" w:lineRule="atLeast"/>
        <w:jc w:val="both"/>
        <w:rPr>
          <w:color w:val="000000" w:themeColor="text1"/>
        </w:rPr>
      </w:pPr>
      <w:r w:rsidRPr="00D47561">
        <w:rPr>
          <w:color w:val="000000" w:themeColor="text1"/>
        </w:rPr>
        <w:t xml:space="preserve">pacientai, esantys </w:t>
      </w:r>
      <w:r w:rsidRPr="00D47561">
        <w:rPr>
          <w:b/>
          <w:bCs/>
          <w:color w:val="000000" w:themeColor="text1"/>
        </w:rPr>
        <w:t>didelės rizikos</w:t>
      </w:r>
      <w:r w:rsidRPr="00D47561">
        <w:rPr>
          <w:color w:val="000000" w:themeColor="text1"/>
        </w:rPr>
        <w:t xml:space="preserve"> sveikatos būklėje, </w:t>
      </w:r>
      <w:r w:rsidRPr="00D47561">
        <w:rPr>
          <w:b/>
          <w:bCs/>
          <w:color w:val="000000" w:themeColor="text1"/>
        </w:rPr>
        <w:t>negali pereiti</w:t>
      </w:r>
      <w:r w:rsidRPr="00D47561">
        <w:rPr>
          <w:color w:val="000000" w:themeColor="text1"/>
        </w:rPr>
        <w:t xml:space="preserve"> į </w:t>
      </w:r>
      <w:r w:rsidRPr="00D47561">
        <w:rPr>
          <w:b/>
          <w:bCs/>
          <w:color w:val="000000" w:themeColor="text1"/>
        </w:rPr>
        <w:t>vidutinės ar mažos rizikos</w:t>
      </w:r>
      <w:r w:rsidRPr="00D47561">
        <w:rPr>
          <w:color w:val="000000" w:themeColor="text1"/>
        </w:rPr>
        <w:t xml:space="preserve"> būkles.</w:t>
      </w:r>
    </w:p>
    <w:p w14:paraId="1CB4FA3C" w14:textId="77777777" w:rsidR="00B15FDA" w:rsidRPr="00D47561" w:rsidRDefault="00B15FDA" w:rsidP="005C00B0">
      <w:pPr>
        <w:spacing w:line="276" w:lineRule="auto"/>
        <w:jc w:val="both"/>
        <w:rPr>
          <w:color w:val="000000" w:themeColor="text1"/>
        </w:rPr>
      </w:pPr>
    </w:p>
    <w:p w14:paraId="65F0873E" w14:textId="092E9582" w:rsidR="00B15FDA" w:rsidRPr="00D47561" w:rsidRDefault="00B15FDA" w:rsidP="005C00B0">
      <w:pPr>
        <w:spacing w:line="276" w:lineRule="auto"/>
        <w:jc w:val="both"/>
        <w:rPr>
          <w:color w:val="000000" w:themeColor="text1"/>
        </w:rPr>
      </w:pPr>
      <w:r w:rsidRPr="00D47561">
        <w:rPr>
          <w:color w:val="000000" w:themeColor="text1"/>
        </w:rPr>
        <w:lastRenderedPageBreak/>
        <w:t>Tarnybai kyla dvejonių dėl šios prielaidos, nes kai kuriems pacientams bio</w:t>
      </w:r>
      <w:r w:rsidR="005C00B0">
        <w:rPr>
          <w:color w:val="000000" w:themeColor="text1"/>
        </w:rPr>
        <w:t>loginiai žymenys</w:t>
      </w:r>
      <w:r w:rsidRPr="00D47561">
        <w:rPr>
          <w:color w:val="000000" w:themeColor="text1"/>
        </w:rPr>
        <w:t xml:space="preserve"> gali pagerėti, ypač ankstyvose stadijose, todėl pagrindinio atvejo analizėje taikoma prielaida, jog UDC</w:t>
      </w:r>
      <w:r w:rsidR="00CA75E0">
        <w:rPr>
          <w:color w:val="000000" w:themeColor="text1"/>
        </w:rPr>
        <w:t>R</w:t>
      </w:r>
      <w:r w:rsidRPr="00D47561">
        <w:rPr>
          <w:color w:val="000000" w:themeColor="text1"/>
        </w:rPr>
        <w:t xml:space="preserve"> gydomų pacientų sveikata gali pagerėti.</w:t>
      </w:r>
    </w:p>
    <w:p w14:paraId="57813F3F" w14:textId="77777777" w:rsidR="00B15FDA" w:rsidRPr="00D47561" w:rsidRDefault="00B15FDA" w:rsidP="00B15FDA">
      <w:pPr>
        <w:spacing w:line="280" w:lineRule="atLeast"/>
        <w:jc w:val="both"/>
        <w:rPr>
          <w:color w:val="000000" w:themeColor="text1"/>
        </w:rPr>
      </w:pPr>
    </w:p>
    <w:p w14:paraId="1464390B" w14:textId="77777777" w:rsidR="00B15FDA" w:rsidRPr="00D47561" w:rsidRDefault="00B15FDA" w:rsidP="00B15FDA">
      <w:pPr>
        <w:spacing w:line="276" w:lineRule="auto"/>
        <w:jc w:val="both"/>
        <w:rPr>
          <w:color w:val="000000" w:themeColor="text1"/>
        </w:rPr>
      </w:pPr>
      <w:r w:rsidRPr="00D47561">
        <w:rPr>
          <w:color w:val="000000" w:themeColor="text1"/>
        </w:rPr>
        <w:t>Gydymo nutraukimo ekstrapoliacija: Remiantis AIC ir BIC rodikliais, eksponentinis skirstinys būtų laikomas geriausiai statistiškai atitinkančiu duomenis. Pareiškėjas tikina, kad pagal klinikinės praktikos ekspertų nuomonę, elafibranoro gydymo trukmę klinikinėmis sąlygomis labiau atspindėtų plokštesnė parametrinė kreivė. Pareiškėjas tvirtina, jog esant ilgalaikių elafibranoro duomenų trūkumui, bazinio scenarijaus prielaidose pasirinktas lognormalus skirstinys yra tinkamas. Tarnyba, siekdama konservatyvaus analizės rezultato taiko eksponentinį skirsnį, kaip geriausią gydymo nutraukimo laiko ekstrapoliacijos statistinį pasirinkimą.</w:t>
      </w:r>
    </w:p>
    <w:p w14:paraId="63ED16B6" w14:textId="77777777" w:rsidR="00B15FDA" w:rsidRPr="00D47561" w:rsidRDefault="00B15FDA" w:rsidP="00B15FDA">
      <w:pPr>
        <w:spacing w:line="276" w:lineRule="auto"/>
        <w:jc w:val="both"/>
        <w:rPr>
          <w:color w:val="000000" w:themeColor="text1"/>
        </w:rPr>
      </w:pPr>
    </w:p>
    <w:p w14:paraId="198D3B68" w14:textId="58EEC57D" w:rsidR="00B15FDA" w:rsidRPr="00D47561" w:rsidRDefault="00B15FDA" w:rsidP="00B15FDA">
      <w:pPr>
        <w:spacing w:line="276" w:lineRule="auto"/>
        <w:jc w:val="both"/>
        <w:rPr>
          <w:color w:val="000000" w:themeColor="text1"/>
        </w:rPr>
      </w:pPr>
      <w:r w:rsidRPr="00D47561">
        <w:rPr>
          <w:color w:val="000000" w:themeColor="text1"/>
        </w:rPr>
        <w:t xml:space="preserve">ELATIVE klinikiniame tyrime surinkti gyvenimo kokybės duomenys analizėje nenaudojami, nes, pasak Pareiškėjo, dėl per mažo pacientų skaičiaus gautas gyvenimo kokybės įvertis didelės rizikos sveikatos būklėje (skirtumas tarp vidutinės ir didelės rizikos būklių įverčių) buvo per mažas (t.y. </w:t>
      </w:r>
      <w:r w:rsidR="0007212B">
        <w:rPr>
          <w:color w:val="000000" w:themeColor="text1"/>
        </w:rPr>
        <w:t>***</w:t>
      </w:r>
      <w:r w:rsidRPr="00D47561">
        <w:rPr>
          <w:color w:val="000000" w:themeColor="text1"/>
        </w:rPr>
        <w:t xml:space="preserve"> ir </w:t>
      </w:r>
      <w:r w:rsidR="0007212B">
        <w:rPr>
          <w:color w:val="000000" w:themeColor="text1"/>
        </w:rPr>
        <w:t>***</w:t>
      </w:r>
      <w:r w:rsidRPr="00D47561">
        <w:rPr>
          <w:color w:val="000000" w:themeColor="text1"/>
        </w:rPr>
        <w:t xml:space="preserve">). Dėl šios priežasties, Pagrindinio atvejo analizėje Pareiškėjas nenaudoja ELATIVE klinikinio tyrimo duomenų gyvenimo kokybės įverčiams nustatyti. Analizėje gyvenimo kokybės įverčiams nustatyti, Pareiškėjas taiko Wright (2006) ir Younossi (2000) publikacijų duomenis. Šių publikacijų pasirinkimas grindžiamas tuo, jog jos buvo naudojamos NICE Tarnybos atliktame vertinime TA443, taip pat kitų būklių gyvenimo kokybės įvertinimui naudojamos vertės iš NICE tarnybos vertinimo TA330. Pareiškėjas nepateikia pirminių šaltinių gyvenimo kokybės įverčiams nustatyti. CADTH tarnybos atliktame elafibranoro vertinime buvo naudoti šaltiniai iš Woo et al. Publikacijos (lengva rizika </w:t>
      </w:r>
      <w:r w:rsidR="00240679">
        <w:rPr>
          <w:color w:val="000000" w:themeColor="text1"/>
        </w:rPr>
        <w:t>***</w:t>
      </w:r>
      <w:r w:rsidRPr="00D47561">
        <w:rPr>
          <w:color w:val="000000" w:themeColor="text1"/>
        </w:rPr>
        <w:t xml:space="preserve"> įvertis), o didelė rizika – Levy et al. (</w:t>
      </w:r>
      <w:r w:rsidR="0007212B">
        <w:rPr>
          <w:color w:val="000000" w:themeColor="text1"/>
        </w:rPr>
        <w:t>***</w:t>
      </w:r>
      <w:r w:rsidRPr="00D47561">
        <w:rPr>
          <w:color w:val="000000" w:themeColor="text1"/>
        </w:rPr>
        <w:t xml:space="preserve"> įvertis), o vidutinės rizikos gyvenimo kokybės įvertis laikomas šių dviejų būklių įverčių vidurkiu – </w:t>
      </w:r>
      <w:r w:rsidR="0007212B">
        <w:rPr>
          <w:color w:val="000000" w:themeColor="text1"/>
        </w:rPr>
        <w:t>***</w:t>
      </w:r>
      <w:r w:rsidRPr="00D47561">
        <w:rPr>
          <w:color w:val="000000" w:themeColor="text1"/>
        </w:rPr>
        <w:t xml:space="preserve">. Skirtingų agentūrų naudoti įverčiai skiriasi ir daro didelę įtaką analizės rezultatui (ypatingai lengvos rizikos įvertis ir didelės rizikos įvertis). Atsižvelgiant į šį neapibrėžtumą ir siekiant konservatyvaus analizės rezultato, Tarnyba renkasi pagrindinio atvejo analizėje taikyti ELATIVE tyrime gautus gyvenimo kokybės įverčius lengvos ir vidutinės rizikos pacientams, tačiau sutinka, jog didelės rizikos pacientams gautas gyvenimo kokybės įvertis yra optimistiškas, todėl Pagrindinio atvejo analizėje taiko CADTH Tarnybos naudotą įvertį – </w:t>
      </w:r>
      <w:r w:rsidR="0007212B">
        <w:rPr>
          <w:color w:val="000000" w:themeColor="text1"/>
        </w:rPr>
        <w:t>***</w:t>
      </w:r>
      <w:r w:rsidRPr="00D47561">
        <w:rPr>
          <w:color w:val="000000" w:themeColor="text1"/>
        </w:rPr>
        <w:t>, kaip kompromisą.</w:t>
      </w:r>
    </w:p>
    <w:p w14:paraId="5A2CBED9" w14:textId="77777777" w:rsidR="00B15FDA" w:rsidRPr="00D47561" w:rsidRDefault="00B15FDA" w:rsidP="00A30D45">
      <w:pPr>
        <w:tabs>
          <w:tab w:val="left" w:pos="567"/>
        </w:tabs>
        <w:spacing w:line="276" w:lineRule="auto"/>
        <w:jc w:val="both"/>
        <w:rPr>
          <w:color w:val="000000" w:themeColor="text1"/>
        </w:rPr>
      </w:pPr>
    </w:p>
    <w:p w14:paraId="01A28246" w14:textId="3D0FB366" w:rsidR="00B15FDA" w:rsidRPr="00D47561" w:rsidRDefault="00B15FDA" w:rsidP="00A30D45">
      <w:pPr>
        <w:spacing w:line="276" w:lineRule="auto"/>
        <w:jc w:val="both"/>
        <w:rPr>
          <w:color w:val="000000" w:themeColor="text1"/>
        </w:rPr>
      </w:pPr>
      <w:r w:rsidRPr="00D47561">
        <w:rPr>
          <w:color w:val="000000" w:themeColor="text1"/>
        </w:rPr>
        <w:t xml:space="preserve">Pareiškėjo pagrindinio atvejo analizėje taikoma gydymo nurodymų laikymosi prielaida. Taikoma </w:t>
      </w:r>
      <w:r w:rsidR="0007212B">
        <w:rPr>
          <w:color w:val="000000" w:themeColor="text1"/>
        </w:rPr>
        <w:t xml:space="preserve">*** </w:t>
      </w:r>
      <w:r w:rsidRPr="00D47561">
        <w:rPr>
          <w:color w:val="000000" w:themeColor="text1"/>
        </w:rPr>
        <w:t xml:space="preserve"> proc. Gydymo nurodymo laikymasis elafibranoro grupėje. Tarnyb</w:t>
      </w:r>
      <w:r w:rsidR="00CA75E0">
        <w:rPr>
          <w:color w:val="000000" w:themeColor="text1"/>
        </w:rPr>
        <w:t>os</w:t>
      </w:r>
      <w:r w:rsidRPr="00D47561">
        <w:rPr>
          <w:color w:val="000000" w:themeColor="text1"/>
        </w:rPr>
        <w:t xml:space="preserve"> vertin</w:t>
      </w:r>
      <w:r w:rsidR="00CA75E0">
        <w:rPr>
          <w:color w:val="000000" w:themeColor="text1"/>
        </w:rPr>
        <w:t>imu</w:t>
      </w:r>
      <w:r w:rsidRPr="00D47561">
        <w:rPr>
          <w:color w:val="000000" w:themeColor="text1"/>
        </w:rPr>
        <w:t xml:space="preserve"> nėra aišku, koks gydymo nurodymų laikymasis būtų Lietuvos populiacijoje, taip pat, siekiant rezultato panašumo su įtakos PSDF biudžetui vertinimu, pagrindinio atvejo analizėje taikomas 100 proc. gydymo nurodymų laikymasis.</w:t>
      </w:r>
    </w:p>
    <w:p w14:paraId="21A1F6BC" w14:textId="797767A6" w:rsidR="00B15FDA" w:rsidRDefault="00B15FDA" w:rsidP="00B15FDA">
      <w:pPr>
        <w:tabs>
          <w:tab w:val="left" w:pos="567"/>
        </w:tabs>
        <w:spacing w:line="276" w:lineRule="auto"/>
        <w:jc w:val="both"/>
        <w:rPr>
          <w:color w:val="000000" w:themeColor="text1"/>
        </w:rPr>
      </w:pPr>
      <w:r w:rsidRPr="00D47561">
        <w:rPr>
          <w:color w:val="000000" w:themeColor="text1"/>
        </w:rPr>
        <w:t xml:space="preserve">Tarnyba atnaujino kaštus pagal 2026 m. </w:t>
      </w:r>
      <w:r w:rsidR="00A30D45">
        <w:rPr>
          <w:color w:val="000000" w:themeColor="text1"/>
        </w:rPr>
        <w:t>d</w:t>
      </w:r>
      <w:r w:rsidRPr="00D47561">
        <w:rPr>
          <w:color w:val="000000" w:themeColor="text1"/>
        </w:rPr>
        <w:t>uomenis. Kai kuriose sveikatos būklėse, Tarnyba pakoregavo Pareiškėjo pasirinktas paslaugas.</w:t>
      </w:r>
    </w:p>
    <w:p w14:paraId="13CDCE17" w14:textId="28F4E78B" w:rsidR="00B15FDA" w:rsidRPr="00D47561" w:rsidRDefault="00C771A6" w:rsidP="00B15FDA">
      <w:pPr>
        <w:tabs>
          <w:tab w:val="left" w:pos="567"/>
        </w:tabs>
        <w:spacing w:line="276" w:lineRule="auto"/>
        <w:jc w:val="both"/>
        <w:rPr>
          <w:color w:val="000000" w:themeColor="text1"/>
        </w:rPr>
      </w:pPr>
      <w:r>
        <w:rPr>
          <w:color w:val="000000" w:themeColor="text1"/>
        </w:rPr>
        <w:t>Apibendrinant pirmiau išdėsty</w:t>
      </w:r>
      <w:r w:rsidR="008967AD">
        <w:rPr>
          <w:color w:val="000000" w:themeColor="text1"/>
        </w:rPr>
        <w:t>t</w:t>
      </w:r>
      <w:r>
        <w:rPr>
          <w:color w:val="000000" w:themeColor="text1"/>
        </w:rPr>
        <w:t>ą, l</w:t>
      </w:r>
      <w:r w:rsidR="00B15FDA">
        <w:rPr>
          <w:color w:val="000000" w:themeColor="text1"/>
        </w:rPr>
        <w:t xml:space="preserve">aikoma, jog reikalinga papildoma bent </w:t>
      </w:r>
      <w:r w:rsidR="0007212B">
        <w:rPr>
          <w:color w:val="000000" w:themeColor="text1"/>
        </w:rPr>
        <w:t>**</w:t>
      </w:r>
      <w:r w:rsidR="00B15FDA">
        <w:rPr>
          <w:color w:val="000000" w:themeColor="text1"/>
        </w:rPr>
        <w:t xml:space="preserve"> proc. nuolaida elafibranorui, </w:t>
      </w:r>
      <w:r>
        <w:rPr>
          <w:color w:val="000000" w:themeColor="text1"/>
        </w:rPr>
        <w:t xml:space="preserve">kad </w:t>
      </w:r>
      <w:r w:rsidR="00B15FDA">
        <w:rPr>
          <w:color w:val="000000" w:themeColor="text1"/>
        </w:rPr>
        <w:t xml:space="preserve">šį vaistinį preparatą galėtume laikyti kaštams naudingu, kai </w:t>
      </w:r>
      <w:r w:rsidR="00A30D45">
        <w:rPr>
          <w:color w:val="000000" w:themeColor="text1"/>
        </w:rPr>
        <w:t xml:space="preserve">nustatyta </w:t>
      </w:r>
      <w:r w:rsidR="00B15FDA">
        <w:rPr>
          <w:color w:val="000000" w:themeColor="text1"/>
        </w:rPr>
        <w:t xml:space="preserve">ligos našta </w:t>
      </w:r>
      <w:r w:rsidR="00A30D45">
        <w:rPr>
          <w:color w:val="000000" w:themeColor="text1"/>
        </w:rPr>
        <w:t xml:space="preserve">yra </w:t>
      </w:r>
      <w:r w:rsidR="00B15FDA">
        <w:rPr>
          <w:color w:val="000000" w:themeColor="text1"/>
        </w:rPr>
        <w:t xml:space="preserve">vidutinio sunkumo. </w:t>
      </w:r>
    </w:p>
    <w:p w14:paraId="4E758199" w14:textId="77777777" w:rsidR="00B15FDA" w:rsidRDefault="00B15FDA">
      <w:pPr>
        <w:tabs>
          <w:tab w:val="left" w:pos="426"/>
        </w:tabs>
        <w:rPr>
          <w:b/>
          <w:bCs/>
          <w:smallCaps/>
        </w:rPr>
      </w:pPr>
    </w:p>
    <w:p w14:paraId="6579B9D7" w14:textId="77777777" w:rsidR="00355554" w:rsidRDefault="00862963">
      <w:pPr>
        <w:tabs>
          <w:tab w:val="left" w:pos="426"/>
        </w:tabs>
        <w:rPr>
          <w:b/>
          <w:bCs/>
        </w:rPr>
      </w:pPr>
      <w:r>
        <w:rPr>
          <w:b/>
          <w:bCs/>
        </w:rPr>
        <w:t>3.1 Ekonominės analizės rezultatas</w:t>
      </w:r>
    </w:p>
    <w:p w14:paraId="6579B9D8" w14:textId="77777777" w:rsidR="00355554" w:rsidRDefault="00355554">
      <w:pPr>
        <w:tabs>
          <w:tab w:val="left" w:pos="426"/>
        </w:tabs>
        <w:rPr>
          <w:b/>
          <w:bCs/>
        </w:rPr>
      </w:pPr>
    </w:p>
    <w:tbl>
      <w:tblPr>
        <w:tblStyle w:val="a0"/>
        <w:tblW w:w="9439"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200"/>
        <w:gridCol w:w="3239"/>
      </w:tblGrid>
      <w:tr w:rsidR="00355554" w14:paraId="6579B9DA" w14:textId="77777777">
        <w:trPr>
          <w:trHeight w:val="344"/>
          <w:jc w:val="center"/>
        </w:trPr>
        <w:tc>
          <w:tcPr>
            <w:tcW w:w="9439" w:type="dxa"/>
            <w:gridSpan w:val="2"/>
            <w:tcBorders>
              <w:top w:val="single" w:sz="12" w:space="0" w:color="000000"/>
              <w:left w:val="single" w:sz="4" w:space="0" w:color="000000"/>
              <w:right w:val="single" w:sz="4" w:space="0" w:color="000000"/>
            </w:tcBorders>
            <w:vAlign w:val="center"/>
          </w:tcPr>
          <w:p w14:paraId="6579B9D9" w14:textId="77777777" w:rsidR="00355554" w:rsidRDefault="00862963">
            <w:pPr>
              <w:tabs>
                <w:tab w:val="left" w:pos="567"/>
              </w:tabs>
              <w:jc w:val="center"/>
              <w:rPr>
                <w:b/>
                <w:bCs/>
                <w:sz w:val="26"/>
                <w:szCs w:val="26"/>
              </w:rPr>
            </w:pPr>
            <w:r>
              <w:rPr>
                <w:b/>
                <w:bCs/>
                <w:sz w:val="26"/>
                <w:szCs w:val="26"/>
              </w:rPr>
              <w:t>Rezultatai</w:t>
            </w:r>
          </w:p>
        </w:tc>
      </w:tr>
      <w:tr w:rsidR="00355554" w14:paraId="6579B9DD" w14:textId="77777777">
        <w:trPr>
          <w:trHeight w:val="267"/>
          <w:jc w:val="center"/>
        </w:trPr>
        <w:tc>
          <w:tcPr>
            <w:tcW w:w="6200" w:type="dxa"/>
            <w:tcBorders>
              <w:left w:val="single" w:sz="4" w:space="0" w:color="000000"/>
            </w:tcBorders>
          </w:tcPr>
          <w:p w14:paraId="6579B9DB" w14:textId="77777777" w:rsidR="00355554" w:rsidRDefault="00862963">
            <w:pPr>
              <w:tabs>
                <w:tab w:val="left" w:pos="567"/>
              </w:tabs>
              <w:jc w:val="right"/>
            </w:pPr>
            <w:r>
              <w:t>Kaštų skirtumas</w:t>
            </w:r>
          </w:p>
        </w:tc>
        <w:tc>
          <w:tcPr>
            <w:tcW w:w="3239" w:type="dxa"/>
            <w:tcBorders>
              <w:right w:val="single" w:sz="4" w:space="0" w:color="000000"/>
            </w:tcBorders>
          </w:tcPr>
          <w:p w14:paraId="6579B9DC" w14:textId="65D70E28" w:rsidR="00355554" w:rsidRDefault="0007212B">
            <w:pPr>
              <w:tabs>
                <w:tab w:val="left" w:pos="567"/>
              </w:tabs>
              <w:jc w:val="both"/>
              <w:rPr>
                <w:i/>
                <w:iCs/>
              </w:rPr>
            </w:pPr>
            <w:r>
              <w:rPr>
                <w:i/>
                <w:iCs/>
              </w:rPr>
              <w:t>***</w:t>
            </w:r>
            <w:r w:rsidR="0087275A">
              <w:rPr>
                <w:i/>
                <w:iCs/>
              </w:rPr>
              <w:t xml:space="preserve"> eur</w:t>
            </w:r>
          </w:p>
        </w:tc>
      </w:tr>
      <w:tr w:rsidR="00355554" w14:paraId="6579B9E0" w14:textId="77777777">
        <w:trPr>
          <w:trHeight w:val="267"/>
          <w:jc w:val="center"/>
        </w:trPr>
        <w:tc>
          <w:tcPr>
            <w:tcW w:w="6200" w:type="dxa"/>
            <w:tcBorders>
              <w:left w:val="single" w:sz="4" w:space="0" w:color="000000"/>
            </w:tcBorders>
          </w:tcPr>
          <w:p w14:paraId="6579B9DE" w14:textId="77777777" w:rsidR="00355554" w:rsidRDefault="00862963">
            <w:pPr>
              <w:tabs>
                <w:tab w:val="left" w:pos="567"/>
              </w:tabs>
              <w:jc w:val="right"/>
            </w:pPr>
            <w:r>
              <w:lastRenderedPageBreak/>
              <w:t>Papildomi gyvenimo metai (LY)</w:t>
            </w:r>
          </w:p>
        </w:tc>
        <w:tc>
          <w:tcPr>
            <w:tcW w:w="3239" w:type="dxa"/>
            <w:tcBorders>
              <w:right w:val="single" w:sz="4" w:space="0" w:color="000000"/>
            </w:tcBorders>
          </w:tcPr>
          <w:p w14:paraId="6579B9DF" w14:textId="3B615228" w:rsidR="00355554" w:rsidRDefault="0007212B">
            <w:pPr>
              <w:tabs>
                <w:tab w:val="left" w:pos="567"/>
              </w:tabs>
              <w:jc w:val="both"/>
              <w:rPr>
                <w:i/>
                <w:iCs/>
              </w:rPr>
            </w:pPr>
            <w:r>
              <w:rPr>
                <w:i/>
                <w:iCs/>
              </w:rPr>
              <w:t>***</w:t>
            </w:r>
          </w:p>
        </w:tc>
      </w:tr>
      <w:tr w:rsidR="00355554" w14:paraId="6579B9E3" w14:textId="77777777">
        <w:trPr>
          <w:trHeight w:val="267"/>
          <w:jc w:val="center"/>
        </w:trPr>
        <w:tc>
          <w:tcPr>
            <w:tcW w:w="6200" w:type="dxa"/>
            <w:tcBorders>
              <w:left w:val="single" w:sz="4" w:space="0" w:color="000000"/>
            </w:tcBorders>
          </w:tcPr>
          <w:p w14:paraId="6579B9E1" w14:textId="77777777" w:rsidR="00355554" w:rsidRDefault="00862963">
            <w:pPr>
              <w:tabs>
                <w:tab w:val="left" w:pos="567"/>
              </w:tabs>
              <w:jc w:val="right"/>
            </w:pPr>
            <w:r>
              <w:t>Papildomi kokybiški gyvenimo metai (QALY)</w:t>
            </w:r>
          </w:p>
        </w:tc>
        <w:tc>
          <w:tcPr>
            <w:tcW w:w="3239" w:type="dxa"/>
            <w:tcBorders>
              <w:right w:val="single" w:sz="4" w:space="0" w:color="000000"/>
            </w:tcBorders>
          </w:tcPr>
          <w:p w14:paraId="6579B9E2" w14:textId="654A18EC" w:rsidR="00355554" w:rsidRDefault="0007212B">
            <w:pPr>
              <w:tabs>
                <w:tab w:val="left" w:pos="567"/>
              </w:tabs>
              <w:jc w:val="both"/>
              <w:rPr>
                <w:i/>
                <w:iCs/>
              </w:rPr>
            </w:pPr>
            <w:r>
              <w:rPr>
                <w:i/>
                <w:iCs/>
              </w:rPr>
              <w:t>***</w:t>
            </w:r>
          </w:p>
        </w:tc>
      </w:tr>
      <w:tr w:rsidR="00355554" w14:paraId="6579B9E6" w14:textId="77777777">
        <w:trPr>
          <w:trHeight w:val="267"/>
          <w:jc w:val="center"/>
        </w:trPr>
        <w:tc>
          <w:tcPr>
            <w:tcW w:w="6200" w:type="dxa"/>
            <w:tcBorders>
              <w:left w:val="single" w:sz="4" w:space="0" w:color="000000"/>
            </w:tcBorders>
          </w:tcPr>
          <w:p w14:paraId="6579B9E4" w14:textId="77777777" w:rsidR="00355554" w:rsidRDefault="00862963">
            <w:pPr>
              <w:tabs>
                <w:tab w:val="left" w:pos="567"/>
              </w:tabs>
              <w:jc w:val="right"/>
            </w:pPr>
            <w:r>
              <w:t>ICER už LY</w:t>
            </w:r>
          </w:p>
        </w:tc>
        <w:tc>
          <w:tcPr>
            <w:tcW w:w="3239" w:type="dxa"/>
            <w:tcBorders>
              <w:right w:val="single" w:sz="4" w:space="0" w:color="000000"/>
            </w:tcBorders>
          </w:tcPr>
          <w:p w14:paraId="6579B9E5" w14:textId="6BC56384" w:rsidR="00355554" w:rsidRDefault="0007212B">
            <w:pPr>
              <w:tabs>
                <w:tab w:val="left" w:pos="567"/>
              </w:tabs>
              <w:jc w:val="both"/>
              <w:rPr>
                <w:i/>
                <w:iCs/>
              </w:rPr>
            </w:pPr>
            <w:r>
              <w:rPr>
                <w:i/>
                <w:iCs/>
              </w:rPr>
              <w:t>***</w:t>
            </w:r>
            <w:r w:rsidR="0087275A">
              <w:rPr>
                <w:i/>
                <w:iCs/>
              </w:rPr>
              <w:t xml:space="preserve"> eur/LY</w:t>
            </w:r>
          </w:p>
        </w:tc>
      </w:tr>
      <w:tr w:rsidR="00355554" w14:paraId="6579B9E9" w14:textId="77777777">
        <w:trPr>
          <w:trHeight w:val="267"/>
          <w:jc w:val="center"/>
        </w:trPr>
        <w:tc>
          <w:tcPr>
            <w:tcW w:w="6200" w:type="dxa"/>
            <w:tcBorders>
              <w:left w:val="single" w:sz="4" w:space="0" w:color="000000"/>
            </w:tcBorders>
          </w:tcPr>
          <w:p w14:paraId="6579B9E7" w14:textId="77777777" w:rsidR="00355554" w:rsidRDefault="00862963">
            <w:pPr>
              <w:tabs>
                <w:tab w:val="left" w:pos="567"/>
              </w:tabs>
              <w:jc w:val="right"/>
            </w:pPr>
            <w:r>
              <w:t>ICER už QALY</w:t>
            </w:r>
          </w:p>
        </w:tc>
        <w:tc>
          <w:tcPr>
            <w:tcW w:w="3239" w:type="dxa"/>
            <w:tcBorders>
              <w:right w:val="single" w:sz="4" w:space="0" w:color="000000"/>
            </w:tcBorders>
          </w:tcPr>
          <w:p w14:paraId="6579B9E8" w14:textId="5A5F8520" w:rsidR="00355554" w:rsidRDefault="0007212B">
            <w:pPr>
              <w:tabs>
                <w:tab w:val="left" w:pos="567"/>
              </w:tabs>
              <w:jc w:val="both"/>
              <w:rPr>
                <w:i/>
                <w:iCs/>
              </w:rPr>
            </w:pPr>
            <w:r>
              <w:rPr>
                <w:i/>
                <w:iCs/>
              </w:rPr>
              <w:t>***</w:t>
            </w:r>
            <w:r w:rsidR="0087275A">
              <w:rPr>
                <w:i/>
                <w:iCs/>
              </w:rPr>
              <w:t xml:space="preserve"> eur/QALY</w:t>
            </w:r>
          </w:p>
        </w:tc>
      </w:tr>
      <w:tr w:rsidR="00355554" w14:paraId="6579B9EC" w14:textId="77777777">
        <w:trPr>
          <w:trHeight w:val="267"/>
          <w:jc w:val="center"/>
        </w:trPr>
        <w:tc>
          <w:tcPr>
            <w:tcW w:w="6200" w:type="dxa"/>
            <w:tcBorders>
              <w:left w:val="single" w:sz="4" w:space="0" w:color="000000"/>
              <w:bottom w:val="single" w:sz="4" w:space="0" w:color="000000"/>
              <w:right w:val="single" w:sz="4" w:space="0" w:color="000000"/>
            </w:tcBorders>
          </w:tcPr>
          <w:p w14:paraId="6579B9EA" w14:textId="77777777" w:rsidR="00355554" w:rsidRDefault="00862963">
            <w:pPr>
              <w:tabs>
                <w:tab w:val="left" w:pos="567"/>
              </w:tabs>
              <w:jc w:val="right"/>
            </w:pPr>
            <w:r>
              <w:t>Referencinė kaštų naudingumo vertė</w:t>
            </w:r>
          </w:p>
        </w:tc>
        <w:tc>
          <w:tcPr>
            <w:tcW w:w="3239" w:type="dxa"/>
            <w:tcBorders>
              <w:left w:val="single" w:sz="4" w:space="0" w:color="000000"/>
              <w:bottom w:val="single" w:sz="4" w:space="0" w:color="000000"/>
              <w:right w:val="single" w:sz="4" w:space="0" w:color="000000"/>
            </w:tcBorders>
          </w:tcPr>
          <w:p w14:paraId="6579B9EB" w14:textId="52642E36" w:rsidR="00355554" w:rsidRDefault="0007212B">
            <w:pPr>
              <w:tabs>
                <w:tab w:val="left" w:pos="567"/>
              </w:tabs>
              <w:jc w:val="both"/>
              <w:rPr>
                <w:i/>
                <w:iCs/>
              </w:rPr>
            </w:pPr>
            <w:r>
              <w:rPr>
                <w:i/>
                <w:iCs/>
              </w:rPr>
              <w:t>***</w:t>
            </w:r>
            <w:r w:rsidR="0087275A">
              <w:rPr>
                <w:i/>
                <w:iCs/>
              </w:rPr>
              <w:t xml:space="preserve"> eur/QALY</w:t>
            </w:r>
          </w:p>
        </w:tc>
      </w:tr>
    </w:tbl>
    <w:p w14:paraId="6579B9ED" w14:textId="77777777" w:rsidR="00355554" w:rsidRDefault="00862963">
      <w:pPr>
        <w:tabs>
          <w:tab w:val="left" w:pos="567"/>
        </w:tabs>
        <w:jc w:val="both"/>
        <w:rPr>
          <w:sz w:val="20"/>
          <w:szCs w:val="20"/>
        </w:rPr>
      </w:pPr>
      <w:r>
        <w:rPr>
          <w:sz w:val="20"/>
          <w:szCs w:val="20"/>
        </w:rPr>
        <w:t>ICER – (</w:t>
      </w:r>
      <w:r>
        <w:rPr>
          <w:i/>
          <w:iCs/>
          <w:sz w:val="20"/>
          <w:szCs w:val="20"/>
        </w:rPr>
        <w:t>angl. incremental cost-effectiveness ratio</w:t>
      </w:r>
      <w:r>
        <w:rPr>
          <w:sz w:val="20"/>
          <w:szCs w:val="20"/>
        </w:rPr>
        <w:t>) inkrementinis kaštų naudingumo koeficientas; LY – (</w:t>
      </w:r>
      <w:r>
        <w:rPr>
          <w:i/>
          <w:iCs/>
          <w:sz w:val="20"/>
          <w:szCs w:val="20"/>
        </w:rPr>
        <w:t>angl. life years</w:t>
      </w:r>
      <w:r>
        <w:rPr>
          <w:sz w:val="20"/>
          <w:szCs w:val="20"/>
        </w:rPr>
        <w:t>) gyvenimo metai; QALY- (</w:t>
      </w:r>
      <w:r>
        <w:rPr>
          <w:i/>
          <w:iCs/>
          <w:sz w:val="20"/>
          <w:szCs w:val="20"/>
        </w:rPr>
        <w:t xml:space="preserve">angl. quality adjusted life years) </w:t>
      </w:r>
      <w:r>
        <w:rPr>
          <w:sz w:val="20"/>
          <w:szCs w:val="20"/>
        </w:rPr>
        <w:t>kokybiški gyvenimo metai.</w:t>
      </w:r>
    </w:p>
    <w:p w14:paraId="6579B9EE" w14:textId="77777777" w:rsidR="00355554" w:rsidRDefault="00355554">
      <w:pPr>
        <w:tabs>
          <w:tab w:val="left" w:pos="426"/>
        </w:tabs>
        <w:rPr>
          <w:b/>
          <w:bCs/>
          <w:smallCaps/>
        </w:rPr>
      </w:pPr>
    </w:p>
    <w:p w14:paraId="6579B9EF" w14:textId="77777777" w:rsidR="00355554" w:rsidRDefault="00862963">
      <w:pPr>
        <w:numPr>
          <w:ilvl w:val="0"/>
          <w:numId w:val="1"/>
        </w:numPr>
        <w:pBdr>
          <w:top w:val="nil"/>
          <w:left w:val="nil"/>
          <w:bottom w:val="nil"/>
          <w:right w:val="nil"/>
          <w:between w:val="nil"/>
        </w:pBdr>
        <w:tabs>
          <w:tab w:val="left" w:pos="567"/>
        </w:tabs>
        <w:ind w:hanging="720"/>
        <w:rPr>
          <w:b/>
          <w:bCs/>
          <w:smallCaps/>
          <w:color w:val="000000"/>
        </w:rPr>
      </w:pPr>
      <w:r>
        <w:rPr>
          <w:b/>
          <w:bCs/>
          <w:smallCaps/>
          <w:color w:val="000000"/>
        </w:rPr>
        <w:t xml:space="preserve">PACIENTŲ ORGANIZACIJŲ PATEIKTI DUOMENYS </w:t>
      </w:r>
    </w:p>
    <w:p w14:paraId="37456495" w14:textId="77777777" w:rsidR="0097642F" w:rsidRDefault="0097642F">
      <w:pPr>
        <w:spacing w:after="120"/>
        <w:jc w:val="both"/>
      </w:pPr>
    </w:p>
    <w:p w14:paraId="6579B9F2" w14:textId="7C307AB3" w:rsidR="00355554" w:rsidRDefault="00862963">
      <w:pPr>
        <w:spacing w:after="120"/>
        <w:jc w:val="both"/>
      </w:pPr>
      <w:r>
        <w:t>Pacientų organizacijos pozicija nepateikta.</w:t>
      </w:r>
    </w:p>
    <w:p w14:paraId="6579B9F3" w14:textId="77777777" w:rsidR="00355554" w:rsidRDefault="00355554">
      <w:pPr>
        <w:spacing w:after="120"/>
        <w:jc w:val="both"/>
      </w:pPr>
    </w:p>
    <w:p w14:paraId="6579B9F4" w14:textId="77777777" w:rsidR="00355554" w:rsidRDefault="00862963">
      <w:pPr>
        <w:numPr>
          <w:ilvl w:val="0"/>
          <w:numId w:val="1"/>
        </w:numPr>
        <w:pBdr>
          <w:top w:val="nil"/>
          <w:left w:val="nil"/>
          <w:bottom w:val="nil"/>
          <w:right w:val="nil"/>
          <w:between w:val="nil"/>
        </w:pBdr>
        <w:tabs>
          <w:tab w:val="left" w:pos="567"/>
        </w:tabs>
        <w:ind w:hanging="720"/>
        <w:rPr>
          <w:b/>
          <w:bCs/>
          <w:smallCaps/>
          <w:color w:val="000000"/>
        </w:rPr>
      </w:pPr>
      <w:r>
        <w:rPr>
          <w:b/>
          <w:bCs/>
          <w:smallCaps/>
          <w:color w:val="000000"/>
        </w:rPr>
        <w:t>SVEIKATOS PRIEŽIŪROS SPECIALISTŲ  ORGANIZACIJŲ PATEIKTI DUOMENYS</w:t>
      </w:r>
    </w:p>
    <w:p w14:paraId="6579B9F5" w14:textId="77777777" w:rsidR="00355554" w:rsidRDefault="00355554">
      <w:pPr>
        <w:pBdr>
          <w:top w:val="nil"/>
          <w:left w:val="nil"/>
          <w:bottom w:val="nil"/>
          <w:right w:val="nil"/>
          <w:between w:val="nil"/>
        </w:pBdr>
        <w:tabs>
          <w:tab w:val="left" w:pos="567"/>
        </w:tabs>
        <w:ind w:left="720"/>
        <w:rPr>
          <w:b/>
          <w:bCs/>
          <w:smallCaps/>
          <w:color w:val="000000"/>
        </w:rPr>
      </w:pPr>
    </w:p>
    <w:p w14:paraId="6579B9F7" w14:textId="32AB097F" w:rsidR="00355554" w:rsidRDefault="00862963">
      <w:pPr>
        <w:spacing w:after="120"/>
        <w:jc w:val="both"/>
      </w:pPr>
      <w:r>
        <w:t>Sveikatos priežiūros specialistų organizacijos pozicija nepateikta.</w:t>
      </w:r>
    </w:p>
    <w:p w14:paraId="6579B9F8" w14:textId="77777777" w:rsidR="00355554" w:rsidRDefault="00355554">
      <w:pPr>
        <w:spacing w:after="120"/>
        <w:jc w:val="both"/>
      </w:pPr>
    </w:p>
    <w:p w14:paraId="6579B9F9" w14:textId="77777777" w:rsidR="00355554" w:rsidRDefault="00862963">
      <w:pPr>
        <w:numPr>
          <w:ilvl w:val="0"/>
          <w:numId w:val="1"/>
        </w:numPr>
        <w:pBdr>
          <w:top w:val="nil"/>
          <w:left w:val="nil"/>
          <w:bottom w:val="nil"/>
          <w:right w:val="nil"/>
          <w:between w:val="nil"/>
        </w:pBdr>
        <w:tabs>
          <w:tab w:val="left" w:pos="567"/>
        </w:tabs>
        <w:ind w:hanging="720"/>
        <w:rPr>
          <w:b/>
          <w:bCs/>
          <w:smallCaps/>
          <w:color w:val="000000"/>
        </w:rPr>
      </w:pPr>
      <w:r>
        <w:rPr>
          <w:b/>
          <w:bCs/>
          <w:smallCaps/>
          <w:color w:val="000000"/>
        </w:rPr>
        <w:t xml:space="preserve">IŠVADOS </w:t>
      </w:r>
    </w:p>
    <w:p w14:paraId="6579B9FA" w14:textId="77777777" w:rsidR="00355554" w:rsidRDefault="00355554">
      <w:pPr>
        <w:ind w:left="360"/>
        <w:rPr>
          <w:i/>
          <w:iCs/>
        </w:rPr>
      </w:pPr>
    </w:p>
    <w:tbl>
      <w:tblPr>
        <w:tblStyle w:val="a1"/>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814"/>
      </w:tblGrid>
      <w:tr w:rsidR="00355554" w14:paraId="6579B9FC" w14:textId="77777777">
        <w:trPr>
          <w:trHeight w:val="510"/>
        </w:trPr>
        <w:tc>
          <w:tcPr>
            <w:tcW w:w="9634" w:type="dxa"/>
            <w:gridSpan w:val="2"/>
            <w:vAlign w:val="center"/>
          </w:tcPr>
          <w:p w14:paraId="6579B9FB" w14:textId="77777777" w:rsidR="00355554" w:rsidRDefault="00862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bookmarkStart w:id="3" w:name="_heading=h.uu7b1o107z75" w:colFirst="0" w:colLast="0"/>
            <w:bookmarkEnd w:id="3"/>
            <w:r>
              <w:rPr>
                <w:b/>
                <w:bCs/>
                <w:sz w:val="23"/>
                <w:szCs w:val="23"/>
              </w:rPr>
              <w:t>Palyginamasis veiksmingumas</w:t>
            </w:r>
          </w:p>
        </w:tc>
      </w:tr>
      <w:tr w:rsidR="00355554" w14:paraId="6579BA06" w14:textId="77777777">
        <w:tc>
          <w:tcPr>
            <w:tcW w:w="4820" w:type="dxa"/>
          </w:tcPr>
          <w:p w14:paraId="6579B9FD" w14:textId="77777777" w:rsidR="00355554" w:rsidRDefault="00862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rPr>
                <w:rFonts w:ascii="MS Gothic" w:eastAsia="MS Gothic" w:hAnsi="MS Gothic" w:cs="MS Gothic"/>
                <w:sz w:val="23"/>
                <w:szCs w:val="23"/>
              </w:rPr>
              <w:t>☒</w:t>
            </w:r>
            <w:r>
              <w:rPr>
                <w:sz w:val="23"/>
                <w:szCs w:val="23"/>
              </w:rPr>
              <w:t xml:space="preserve"> 29.1.1 yra didesnis, lyginant su įprasta klinikine praktika</w:t>
            </w:r>
          </w:p>
          <w:p w14:paraId="6579B9FE" w14:textId="77777777" w:rsidR="00355554" w:rsidRDefault="0035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14:paraId="6579B9FF" w14:textId="77777777" w:rsidR="00355554" w:rsidRDefault="005C0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sdt>
              <w:sdtPr>
                <w:tag w:val="goog_rdk_0"/>
                <w:id w:val="-532998582"/>
              </w:sdtPr>
              <w:sdtEndPr/>
              <w:sdtContent>
                <w:r w:rsidR="00862963">
                  <w:rPr>
                    <w:rFonts w:ascii="Arial Unicode MS" w:eastAsia="Arial Unicode MS" w:hAnsi="Arial Unicode MS" w:cs="Arial Unicode MS"/>
                    <w:sz w:val="23"/>
                    <w:szCs w:val="23"/>
                  </w:rPr>
                  <w:t>☐</w:t>
                </w:r>
              </w:sdtContent>
            </w:sdt>
            <w:r w:rsidR="00862963">
              <w:rPr>
                <w:sz w:val="23"/>
                <w:szCs w:val="23"/>
              </w:rPr>
              <w:t xml:space="preserve"> 29.1.2 iš esmės nesiskiria, lyginant su įprasta klinikine praktika</w:t>
            </w:r>
          </w:p>
        </w:tc>
        <w:tc>
          <w:tcPr>
            <w:tcW w:w="4814" w:type="dxa"/>
          </w:tcPr>
          <w:p w14:paraId="6579BA00" w14:textId="77777777" w:rsidR="00355554" w:rsidRDefault="005C0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sdt>
              <w:sdtPr>
                <w:tag w:val="goog_rdk_1"/>
                <w:id w:val="1206424107"/>
              </w:sdtPr>
              <w:sdtEndPr/>
              <w:sdtContent>
                <w:r w:rsidR="00862963">
                  <w:rPr>
                    <w:rFonts w:ascii="Arial Unicode MS" w:eastAsia="Arial Unicode MS" w:hAnsi="Arial Unicode MS" w:cs="Arial Unicode MS"/>
                    <w:sz w:val="23"/>
                    <w:szCs w:val="23"/>
                  </w:rPr>
                  <w:t>☐</w:t>
                </w:r>
              </w:sdtContent>
            </w:sdt>
            <w:r w:rsidR="00862963">
              <w:rPr>
                <w:sz w:val="23"/>
                <w:szCs w:val="23"/>
              </w:rPr>
              <w:t xml:space="preserve"> 29.1.3 yra neįrodytas kaip didesnis  ar iš esmės nesiskiriantis, lyginant su įprasta klinikine praktika  </w:t>
            </w:r>
          </w:p>
          <w:p w14:paraId="6579BA01" w14:textId="77777777" w:rsidR="00355554" w:rsidRDefault="0035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14:paraId="6579BA02" w14:textId="77777777" w:rsidR="00355554" w:rsidRDefault="005C0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sdt>
              <w:sdtPr>
                <w:tag w:val="goog_rdk_2"/>
                <w:id w:val="1606765766"/>
              </w:sdtPr>
              <w:sdtEndPr/>
              <w:sdtContent>
                <w:r w:rsidR="00862963">
                  <w:rPr>
                    <w:rFonts w:ascii="Arial Unicode MS" w:eastAsia="Arial Unicode MS" w:hAnsi="Arial Unicode MS" w:cs="Arial Unicode MS"/>
                    <w:sz w:val="23"/>
                    <w:szCs w:val="23"/>
                  </w:rPr>
                  <w:t>☐</w:t>
                </w:r>
              </w:sdtContent>
            </w:sdt>
            <w:r w:rsidR="00862963">
              <w:rPr>
                <w:sz w:val="23"/>
                <w:szCs w:val="23"/>
              </w:rPr>
              <w:t xml:space="preserve"> 29.1.4 yra mažesnis, lyginant su įprasta klinikine praktika</w:t>
            </w:r>
          </w:p>
          <w:p w14:paraId="6579BA03" w14:textId="77777777" w:rsidR="00355554" w:rsidRDefault="0035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14:paraId="6579BA04" w14:textId="77777777" w:rsidR="00355554" w:rsidRDefault="005C0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sdt>
              <w:sdtPr>
                <w:tag w:val="goog_rdk_3"/>
                <w:id w:val="-1034222938"/>
              </w:sdtPr>
              <w:sdtEndPr/>
              <w:sdtContent>
                <w:r w:rsidR="00862963">
                  <w:rPr>
                    <w:rFonts w:ascii="Arial Unicode MS" w:eastAsia="Arial Unicode MS" w:hAnsi="Arial Unicode MS" w:cs="Arial Unicode MS"/>
                    <w:sz w:val="23"/>
                    <w:szCs w:val="23"/>
                  </w:rPr>
                  <w:t>☐</w:t>
                </w:r>
              </w:sdtContent>
            </w:sdt>
            <w:r w:rsidR="00862963">
              <w:rPr>
                <w:sz w:val="23"/>
                <w:szCs w:val="23"/>
              </w:rPr>
              <w:t xml:space="preserve"> 29.1.5 pateikti duomenys apie palyginamąjį veiksmingumą yra netinkami vertinti</w:t>
            </w:r>
          </w:p>
          <w:p w14:paraId="6579BA05" w14:textId="77777777" w:rsidR="00355554" w:rsidRDefault="0035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tc>
      </w:tr>
      <w:tr w:rsidR="00355554" w14:paraId="6579BA08" w14:textId="77777777">
        <w:trPr>
          <w:trHeight w:val="510"/>
        </w:trPr>
        <w:tc>
          <w:tcPr>
            <w:tcW w:w="9634" w:type="dxa"/>
            <w:gridSpan w:val="2"/>
            <w:vAlign w:val="center"/>
          </w:tcPr>
          <w:p w14:paraId="6579BA07" w14:textId="77777777" w:rsidR="00355554" w:rsidRDefault="00862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Pr>
                <w:b/>
                <w:bCs/>
                <w:sz w:val="23"/>
                <w:szCs w:val="23"/>
              </w:rPr>
              <w:t>Kaštų naudingumas</w:t>
            </w:r>
          </w:p>
        </w:tc>
      </w:tr>
      <w:tr w:rsidR="00355554" w14:paraId="6579BA11" w14:textId="77777777">
        <w:tc>
          <w:tcPr>
            <w:tcW w:w="4820" w:type="dxa"/>
          </w:tcPr>
          <w:p w14:paraId="6579BA09" w14:textId="77777777" w:rsidR="00355554" w:rsidRDefault="005C0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sdt>
              <w:sdtPr>
                <w:tag w:val="goog_rdk_4"/>
                <w:id w:val="1461933222"/>
              </w:sdtPr>
              <w:sdtEndPr/>
              <w:sdtContent>
                <w:r w:rsidR="00862963">
                  <w:rPr>
                    <w:rFonts w:ascii="Arial Unicode MS" w:eastAsia="Arial Unicode MS" w:hAnsi="Arial Unicode MS" w:cs="Arial Unicode MS"/>
                    <w:sz w:val="23"/>
                    <w:szCs w:val="23"/>
                  </w:rPr>
                  <w:t>☐</w:t>
                </w:r>
              </w:sdtContent>
            </w:sdt>
            <w:r w:rsidR="00862963">
              <w:rPr>
                <w:sz w:val="23"/>
                <w:szCs w:val="23"/>
              </w:rPr>
              <w:t xml:space="preserve"> 29.2.1 atitinka referencinę naudingumo vertę taikant arba netaikant</w:t>
            </w:r>
            <w:r w:rsidR="00862963">
              <w:rPr>
                <w:b/>
                <w:bCs/>
                <w:sz w:val="23"/>
                <w:szCs w:val="23"/>
              </w:rPr>
              <w:t xml:space="preserve"> </w:t>
            </w:r>
            <w:r w:rsidR="00862963">
              <w:rPr>
                <w:sz w:val="23"/>
                <w:szCs w:val="23"/>
              </w:rPr>
              <w:t>PGS</w:t>
            </w:r>
          </w:p>
          <w:p w14:paraId="6579BA0A" w14:textId="77777777" w:rsidR="00355554" w:rsidRDefault="0035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14:paraId="6579BA0B" w14:textId="77777777" w:rsidR="00355554" w:rsidRDefault="0035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tc>
        <w:tc>
          <w:tcPr>
            <w:tcW w:w="4814" w:type="dxa"/>
          </w:tcPr>
          <w:p w14:paraId="6579BA0C" w14:textId="507A89CB" w:rsidR="00355554" w:rsidRDefault="005C0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sdt>
              <w:sdtPr>
                <w:tag w:val="goog_rdk_5"/>
                <w:id w:val="-1028620763"/>
              </w:sdtPr>
              <w:sdtEndPr/>
              <w:sdtContent>
                <w:r w:rsidR="0087275A">
                  <w:rPr>
                    <w:rFonts w:ascii="MS Gothic" w:eastAsia="MS Gothic" w:hAnsi="MS Gothic" w:cs="MS Gothic"/>
                    <w:sz w:val="23"/>
                    <w:szCs w:val="23"/>
                  </w:rPr>
                  <w:t>☒</w:t>
                </w:r>
              </w:sdtContent>
            </w:sdt>
            <w:r w:rsidR="00862963">
              <w:rPr>
                <w:sz w:val="23"/>
                <w:szCs w:val="23"/>
              </w:rPr>
              <w:t xml:space="preserve"> 29.2.3 neatitinka referencinės naudingumo vertės taikant arba netaikant PGS</w:t>
            </w:r>
          </w:p>
          <w:p w14:paraId="6579BA0D" w14:textId="77777777" w:rsidR="00355554" w:rsidRDefault="0035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14:paraId="6579BA0E" w14:textId="77777777" w:rsidR="00355554" w:rsidRDefault="0035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p w14:paraId="6579BA0F" w14:textId="77777777" w:rsidR="00355554" w:rsidRDefault="005C0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sdt>
              <w:sdtPr>
                <w:tag w:val="goog_rdk_6"/>
                <w:id w:val="149306656"/>
              </w:sdtPr>
              <w:sdtEndPr/>
              <w:sdtContent>
                <w:r w:rsidR="00862963">
                  <w:rPr>
                    <w:rFonts w:ascii="Arial Unicode MS" w:eastAsia="Arial Unicode MS" w:hAnsi="Arial Unicode MS" w:cs="Arial Unicode MS"/>
                    <w:sz w:val="23"/>
                    <w:szCs w:val="23"/>
                  </w:rPr>
                  <w:t>☐</w:t>
                </w:r>
              </w:sdtContent>
            </w:sdt>
            <w:r w:rsidR="00862963">
              <w:rPr>
                <w:sz w:val="23"/>
                <w:szCs w:val="23"/>
              </w:rPr>
              <w:t xml:space="preserve"> 29.2.5 pateikti duomenys apie kaštų naudingumą yra netinkami vertinti</w:t>
            </w:r>
          </w:p>
          <w:p w14:paraId="6579BA10" w14:textId="77777777" w:rsidR="00355554" w:rsidRDefault="00355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p>
        </w:tc>
      </w:tr>
      <w:tr w:rsidR="00355554" w14:paraId="6579BA13" w14:textId="77777777">
        <w:tc>
          <w:tcPr>
            <w:tcW w:w="9634" w:type="dxa"/>
            <w:gridSpan w:val="2"/>
          </w:tcPr>
          <w:p w14:paraId="6579BA12" w14:textId="77777777" w:rsidR="00355554" w:rsidRDefault="005C0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sdt>
              <w:sdtPr>
                <w:tag w:val="goog_rdk_7"/>
                <w:id w:val="-844530613"/>
              </w:sdtPr>
              <w:sdtEndPr/>
              <w:sdtContent>
                <w:r w:rsidR="00862963">
                  <w:rPr>
                    <w:rFonts w:ascii="Arial Unicode MS" w:eastAsia="Arial Unicode MS" w:hAnsi="Arial Unicode MS" w:cs="Arial Unicode MS"/>
                    <w:sz w:val="23"/>
                    <w:szCs w:val="23"/>
                  </w:rPr>
                  <w:t>☐</w:t>
                </w:r>
              </w:sdtContent>
            </w:sdt>
            <w:r w:rsidR="00862963">
              <w:rPr>
                <w:sz w:val="23"/>
                <w:szCs w:val="23"/>
              </w:rPr>
              <w:t xml:space="preserve"> </w:t>
            </w:r>
            <w:r w:rsidR="00862963">
              <w:rPr>
                <w:color w:val="000000"/>
                <w:sz w:val="23"/>
                <w:szCs w:val="23"/>
              </w:rPr>
              <w:t>Vykdant Aprašo &lt;17</w:t>
            </w:r>
            <w:r w:rsidR="00862963">
              <w:rPr>
                <w:color w:val="000000"/>
                <w:sz w:val="23"/>
                <w:szCs w:val="23"/>
                <w:vertAlign w:val="superscript"/>
              </w:rPr>
              <w:t>3</w:t>
            </w:r>
            <w:r w:rsidR="00862963">
              <w:rPr>
                <w:color w:val="000000"/>
                <w:sz w:val="23"/>
                <w:szCs w:val="23"/>
              </w:rPr>
              <w:t>.1&gt;&lt;17</w:t>
            </w:r>
            <w:r w:rsidR="00862963">
              <w:rPr>
                <w:color w:val="000000"/>
                <w:sz w:val="23"/>
                <w:szCs w:val="23"/>
                <w:vertAlign w:val="superscript"/>
              </w:rPr>
              <w:t>3</w:t>
            </w:r>
            <w:r w:rsidR="00862963">
              <w:rPr>
                <w:color w:val="000000"/>
                <w:sz w:val="23"/>
                <w:szCs w:val="23"/>
              </w:rPr>
              <w:t>.2&gt;&lt;17</w:t>
            </w:r>
            <w:r w:rsidR="00862963">
              <w:rPr>
                <w:color w:val="000000"/>
                <w:sz w:val="23"/>
                <w:szCs w:val="23"/>
                <w:vertAlign w:val="superscript"/>
              </w:rPr>
              <w:t>3</w:t>
            </w:r>
            <w:r w:rsidR="00862963">
              <w:rPr>
                <w:color w:val="000000"/>
                <w:sz w:val="23"/>
                <w:szCs w:val="23"/>
              </w:rPr>
              <w:t>.3&gt; punktą vaistinio (-ų) preparato (-ų) ekonominis vertinimas neatliekamas, išvados dėl kaštų naudingumo neteikiamos</w:t>
            </w:r>
          </w:p>
        </w:tc>
      </w:tr>
    </w:tbl>
    <w:p w14:paraId="2CA73C2D" w14:textId="77777777" w:rsidR="00015C30" w:rsidRDefault="00015C30"/>
    <w:p w14:paraId="24C0F296" w14:textId="77777777" w:rsidR="00015C30" w:rsidRDefault="00015C30"/>
    <w:p w14:paraId="6579BA16" w14:textId="77777777" w:rsidR="00355554" w:rsidRDefault="00862963">
      <w:pPr>
        <w:numPr>
          <w:ilvl w:val="0"/>
          <w:numId w:val="1"/>
        </w:numPr>
        <w:pBdr>
          <w:top w:val="nil"/>
          <w:left w:val="nil"/>
          <w:bottom w:val="nil"/>
          <w:right w:val="nil"/>
          <w:between w:val="nil"/>
        </w:pBdr>
        <w:ind w:left="567" w:hanging="567"/>
      </w:pPr>
      <w:r>
        <w:rPr>
          <w:b/>
          <w:bCs/>
          <w:color w:val="000000"/>
        </w:rPr>
        <w:t>REKOMENDACIJA</w:t>
      </w:r>
    </w:p>
    <w:p w14:paraId="6579BA17" w14:textId="77777777" w:rsidR="00355554" w:rsidRDefault="00355554">
      <w:pPr>
        <w:pBdr>
          <w:top w:val="nil"/>
          <w:left w:val="nil"/>
          <w:bottom w:val="nil"/>
          <w:right w:val="nil"/>
          <w:between w:val="nil"/>
        </w:pBdr>
        <w:ind w:left="567"/>
        <w:rPr>
          <w:b/>
          <w:bCs/>
          <w:color w:val="000000"/>
        </w:rPr>
      </w:pPr>
    </w:p>
    <w:p w14:paraId="78589B5C" w14:textId="77777777" w:rsidR="002D773B" w:rsidRDefault="00862963" w:rsidP="00615486">
      <w:pPr>
        <w:jc w:val="both"/>
      </w:pPr>
      <w:r>
        <w:t xml:space="preserve">Vadovaujantis Vaistinių preparatų ir medicinos pagalbos priemonių įrašymo į kompensavimo sąrašus ir jų keitimo tvarkos aprašo, patvirtinto Lietuvos Respublikos sveikatos apsaugos ministro 2002 m. balandžio 5 d. įsakymu Nr. V-159 „Dėl vaistinių preparatų ir medicinos pagalbos priemonių įrašymo į kompensavimo sąrašus ir jų keitimo tvarkos aprašo patvirtinimo“, </w:t>
      </w:r>
      <w:r w:rsidR="00615486">
        <w:t>30</w:t>
      </w:r>
      <w:r w:rsidR="00615486">
        <w:rPr>
          <w:vertAlign w:val="superscript"/>
        </w:rPr>
        <w:t>1</w:t>
      </w:r>
      <w:r w:rsidR="00615486">
        <w:t xml:space="preserve">.2. papunkčiu </w:t>
      </w:r>
      <w:r w:rsidR="00615486">
        <w:lastRenderedPageBreak/>
        <w:t>rekomenduojama kompensuoti vaistinį preparatą pagal paraiškoje nurodytą indikaciją (arba jos dalį) su arba be skyrimo sąlygų, jei, pateikus naują ar atnaujintą PGS, kaštų naudingumas atitinka referencinę naudingumo vertę, kai vertinimo išvados atitinka Aprašo 29.1.1 ir 29.2.3 papunkčiuose numatytas sąlygas.</w:t>
      </w:r>
    </w:p>
    <w:p w14:paraId="7912D6C0" w14:textId="77777777" w:rsidR="002D773B" w:rsidRDefault="002D773B" w:rsidP="00615486">
      <w:pPr>
        <w:jc w:val="both"/>
      </w:pPr>
    </w:p>
    <w:p w14:paraId="6579BA39" w14:textId="7A4D0DAE" w:rsidR="00355554" w:rsidRDefault="00862963" w:rsidP="00615486">
      <w:pPr>
        <w:jc w:val="both"/>
        <w:rPr>
          <w:b/>
          <w:bCs/>
        </w:rPr>
      </w:pPr>
      <w:r>
        <w:rPr>
          <w:b/>
          <w:bCs/>
        </w:rPr>
        <w:t xml:space="preserve">4.3 Siūloma (-os) kompensuoti terapinės indikacijos ir skyrimo sąlygos </w:t>
      </w:r>
    </w:p>
    <w:p w14:paraId="6579BA3A" w14:textId="77777777" w:rsidR="00355554" w:rsidRDefault="00355554">
      <w:pPr>
        <w:tabs>
          <w:tab w:val="left" w:pos="426"/>
        </w:tabs>
        <w:jc w:val="both"/>
        <w:rPr>
          <w:b/>
          <w:bCs/>
        </w:rPr>
      </w:pPr>
    </w:p>
    <w:p w14:paraId="6579BA3B" w14:textId="77777777" w:rsidR="00355554" w:rsidRDefault="00862963">
      <w:pPr>
        <w:pBdr>
          <w:top w:val="nil"/>
          <w:left w:val="nil"/>
          <w:bottom w:val="nil"/>
          <w:right w:val="nil"/>
          <w:between w:val="nil"/>
        </w:pBdr>
        <w:rPr>
          <w:b/>
          <w:bCs/>
          <w:color w:val="000000"/>
        </w:rPr>
      </w:pPr>
      <w:r>
        <w:rPr>
          <w:b/>
          <w:bCs/>
          <w:color w:val="000000"/>
        </w:rPr>
        <w:t>Terapinės indikacijos</w:t>
      </w:r>
    </w:p>
    <w:p w14:paraId="6CAA2A85" w14:textId="77777777" w:rsidR="00E61F59" w:rsidRPr="00741CA4" w:rsidRDefault="00E61F59" w:rsidP="00E61F59">
      <w:pPr>
        <w:pBdr>
          <w:top w:val="nil"/>
          <w:left w:val="nil"/>
          <w:bottom w:val="nil"/>
          <w:right w:val="nil"/>
          <w:between w:val="nil"/>
        </w:pBdr>
        <w:spacing w:line="276" w:lineRule="auto"/>
        <w:jc w:val="both"/>
        <w:rPr>
          <w:color w:val="000000"/>
        </w:rPr>
      </w:pPr>
      <w:bookmarkStart w:id="4" w:name="_heading=h.jd19no88guxy" w:colFirst="0" w:colLast="0"/>
      <w:bookmarkEnd w:id="4"/>
      <w:r w:rsidRPr="00741CA4">
        <w:rPr>
          <w:color w:val="000000"/>
        </w:rPr>
        <w:t>Paraiškoje pateiktos tokios terapinės indikacijos:</w:t>
      </w:r>
    </w:p>
    <w:p w14:paraId="572E1372" w14:textId="77777777" w:rsidR="00E61F59" w:rsidRDefault="00E61F59" w:rsidP="00E61F59">
      <w:pPr>
        <w:spacing w:after="160" w:line="276" w:lineRule="auto"/>
        <w:jc w:val="both"/>
      </w:pPr>
      <w:r w:rsidRPr="00741CA4">
        <w:rPr>
          <w:lang w:val="lt-LT"/>
        </w:rPr>
        <w:t>Iqirvo skirtas gydyti suaugusiųjų pirminį biliarinį cholangitą (PBC) kartu su ursodeoksicholio rūgštimi (UDCR), kai yra nepakankamas atsakas į gydymą UDCR, arba kaip monoterapija pacientams, netoleruojantiems UDCR.</w:t>
      </w:r>
    </w:p>
    <w:p w14:paraId="1DACE23E" w14:textId="77777777" w:rsidR="00E61F59" w:rsidRDefault="00E61F59" w:rsidP="00E61F59">
      <w:pPr>
        <w:spacing w:line="276" w:lineRule="auto"/>
        <w:jc w:val="both"/>
      </w:pPr>
    </w:p>
    <w:p w14:paraId="0C703899" w14:textId="77777777" w:rsidR="00E61F59" w:rsidRDefault="00E61F59" w:rsidP="00E61F59">
      <w:pPr>
        <w:spacing w:line="276" w:lineRule="auto"/>
        <w:jc w:val="both"/>
        <w:rPr>
          <w:b/>
          <w:bCs/>
        </w:rPr>
      </w:pPr>
      <w:r>
        <w:rPr>
          <w:b/>
          <w:bCs/>
        </w:rPr>
        <w:t>Skyrimo sąlygos</w:t>
      </w:r>
    </w:p>
    <w:p w14:paraId="580D825E" w14:textId="4898EB25" w:rsidR="002D773B" w:rsidRPr="00F7446A" w:rsidRDefault="002D773B" w:rsidP="002D773B">
      <w:pPr>
        <w:spacing w:line="276" w:lineRule="auto"/>
        <w:jc w:val="both"/>
        <w:rPr>
          <w:lang w:val="lt-LT"/>
        </w:rPr>
      </w:pPr>
      <w:r w:rsidRPr="00F7446A">
        <w:t xml:space="preserve">Skiriamas </w:t>
      </w:r>
      <w:r w:rsidRPr="00F7446A">
        <w:rPr>
          <w:lang w:val="lt-LT"/>
        </w:rPr>
        <w:t>pirminiu biliariniu cholangitu serga</w:t>
      </w:r>
      <w:r w:rsidR="00D37D84">
        <w:rPr>
          <w:lang w:val="lt-LT"/>
        </w:rPr>
        <w:t>n</w:t>
      </w:r>
      <w:r w:rsidRPr="00F7446A">
        <w:rPr>
          <w:lang w:val="lt-LT"/>
        </w:rPr>
        <w:t>tiems suaugusiesiems:</w:t>
      </w:r>
    </w:p>
    <w:p w14:paraId="194F2CD6" w14:textId="77777777" w:rsidR="002D773B" w:rsidRPr="00F7446A" w:rsidRDefault="002D773B" w:rsidP="002D773B">
      <w:pPr>
        <w:pStyle w:val="Sraopastraipa"/>
        <w:numPr>
          <w:ilvl w:val="0"/>
          <w:numId w:val="5"/>
        </w:numPr>
        <w:spacing w:line="276" w:lineRule="auto"/>
        <w:jc w:val="both"/>
        <w:rPr>
          <w:lang w:val="lt-LT"/>
        </w:rPr>
      </w:pPr>
      <w:r w:rsidRPr="00F7446A">
        <w:rPr>
          <w:lang w:val="lt-LT"/>
        </w:rPr>
        <w:t xml:space="preserve">kartu su ursodeoksicholio rūgštimi, kai po 12 mėnesių </w:t>
      </w:r>
      <w:r>
        <w:rPr>
          <w:lang w:val="lt-LT"/>
        </w:rPr>
        <w:t xml:space="preserve">trukmės </w:t>
      </w:r>
      <w:r w:rsidRPr="00F7446A">
        <w:rPr>
          <w:lang w:val="lt-LT"/>
        </w:rPr>
        <w:t xml:space="preserve">gydymo ursodeoksicholio rūgštimi </w:t>
      </w:r>
      <w:r w:rsidRPr="00F7446A">
        <w:t>šarminės fosfatazės koncentracija išlieka ≥ 1,67 kartų didesnė nei viršutinė normos riba;</w:t>
      </w:r>
    </w:p>
    <w:p w14:paraId="0D77DBAC" w14:textId="77777777" w:rsidR="002D773B" w:rsidRPr="00F7446A" w:rsidRDefault="002D773B" w:rsidP="002D773B">
      <w:pPr>
        <w:pStyle w:val="Sraopastraipa"/>
        <w:numPr>
          <w:ilvl w:val="0"/>
          <w:numId w:val="5"/>
        </w:numPr>
        <w:spacing w:line="276" w:lineRule="auto"/>
        <w:jc w:val="both"/>
        <w:rPr>
          <w:lang w:val="lt-LT"/>
        </w:rPr>
      </w:pPr>
      <w:r w:rsidRPr="00F7446A">
        <w:rPr>
          <w:lang w:val="lt-LT"/>
        </w:rPr>
        <w:t xml:space="preserve">monoterapijai, kai gydymas ursodeoksicholio rūgštimi netoleruojamas arba kontraindikuotinas. </w:t>
      </w:r>
    </w:p>
    <w:p w14:paraId="6579BA42" w14:textId="77777777" w:rsidR="00355554" w:rsidRDefault="00355554">
      <w:pPr>
        <w:pBdr>
          <w:top w:val="nil"/>
          <w:left w:val="nil"/>
          <w:bottom w:val="nil"/>
          <w:right w:val="nil"/>
          <w:between w:val="nil"/>
        </w:pBdr>
        <w:rPr>
          <w:color w:val="000000"/>
        </w:rPr>
      </w:pPr>
    </w:p>
    <w:p w14:paraId="6579BA43" w14:textId="77777777" w:rsidR="00355554" w:rsidRDefault="00862963">
      <w:pPr>
        <w:widowControl w:val="0"/>
        <w:tabs>
          <w:tab w:val="left" w:pos="1418"/>
        </w:tabs>
        <w:jc w:val="center"/>
      </w:pPr>
      <w:r>
        <w:rPr>
          <w:color w:val="000000"/>
        </w:rPr>
        <w:t>____________________________</w:t>
      </w:r>
    </w:p>
    <w:p w14:paraId="6579BA44" w14:textId="77777777" w:rsidR="00355554" w:rsidRDefault="00355554">
      <w:pPr>
        <w:jc w:val="both"/>
        <w:rPr>
          <w:b/>
          <w:bCs/>
          <w:sz w:val="20"/>
          <w:szCs w:val="20"/>
        </w:rPr>
      </w:pPr>
    </w:p>
    <w:sectPr w:rsidR="00355554">
      <w:headerReference w:type="first" r:id="rId7"/>
      <w:footerReference w:type="first" r:id="rId8"/>
      <w:pgSz w:w="11907" w:h="16840"/>
      <w:pgMar w:top="1134" w:right="567" w:bottom="1134" w:left="1701" w:header="646" w:footer="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E4D92" w14:textId="77777777" w:rsidR="005C0483" w:rsidRDefault="005C0483">
      <w:r>
        <w:separator/>
      </w:r>
    </w:p>
  </w:endnote>
  <w:endnote w:type="continuationSeparator" w:id="0">
    <w:p w14:paraId="39325F9D" w14:textId="77777777" w:rsidR="005C0483" w:rsidRDefault="005C0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embedRegular r:id="rId1" w:fontKey="{6778C5DF-6725-4E8C-964A-FAFA1A6E6435}"/>
  </w:font>
  <w:font w:name="Calibri">
    <w:panose1 w:val="020F0502020204030204"/>
    <w:charset w:val="BA"/>
    <w:family w:val="swiss"/>
    <w:pitch w:val="variable"/>
    <w:sig w:usb0="E4002EFF" w:usb1="C200247B" w:usb2="00000009" w:usb3="00000000" w:csb0="000001FF" w:csb1="00000000"/>
    <w:embedRegular r:id="rId2" w:fontKey="{2F49943F-F4A5-490F-8F00-9216B3B29B59}"/>
  </w:font>
  <w:font w:name="Georgia">
    <w:panose1 w:val="02040502050405020303"/>
    <w:charset w:val="BA"/>
    <w:family w:val="roman"/>
    <w:pitch w:val="variable"/>
    <w:sig w:usb0="00000287" w:usb1="00000000" w:usb2="00000000" w:usb3="00000000" w:csb0="0000009F" w:csb1="00000000"/>
    <w:embedItalic r:id="rId3" w:fontKey="{3A38A31B-DBFA-4A95-9C09-A5C2F30220F4}"/>
  </w:font>
  <w:font w:name="MS Gothic">
    <w:altName w:val="ＭＳ ゴシック"/>
    <w:panose1 w:val="020B0609070205080204"/>
    <w:charset w:val="80"/>
    <w:family w:val="modern"/>
    <w:pitch w:val="fixed"/>
    <w:sig w:usb0="E00002FF" w:usb1="6AC7FDFB" w:usb2="08000012" w:usb3="00000000" w:csb0="0002009F" w:csb1="00000000"/>
    <w:embedRegular r:id="rId4" w:subsetted="1" w:fontKey="{D9BC8658-EBC1-4E01-9CCF-9BA9DA6616CF}"/>
  </w:font>
  <w:font w:name="Arial Unicode MS">
    <w:altName w:val="Arial"/>
    <w:panose1 w:val="020B0604020202020204"/>
    <w:charset w:val="00"/>
    <w:family w:val="auto"/>
    <w:pitch w:val="default"/>
  </w:font>
  <w:font w:name="Cambria">
    <w:panose1 w:val="02040503050406030204"/>
    <w:charset w:val="BA"/>
    <w:family w:val="roman"/>
    <w:pitch w:val="variable"/>
    <w:sig w:usb0="E00006FF" w:usb1="420024FF" w:usb2="02000000" w:usb3="00000000" w:csb0="0000019F" w:csb1="00000000"/>
    <w:embedRegular r:id="rId5" w:fontKey="{2B75A1B4-3604-4E02-9D04-0D23FD8092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BA4B" w14:textId="77777777" w:rsidR="00355554" w:rsidRDefault="00355554">
    <w:pPr>
      <w:pBdr>
        <w:top w:val="nil"/>
        <w:left w:val="nil"/>
        <w:bottom w:val="nil"/>
        <w:right w:val="nil"/>
        <w:between w:val="nil"/>
      </w:pBdr>
      <w:tabs>
        <w:tab w:val="center" w:pos="4986"/>
        <w:tab w:val="right" w:pos="9972"/>
      </w:tabs>
      <w:jc w:val="right"/>
      <w:rPr>
        <w:i/>
        <w:iC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02D23" w14:textId="77777777" w:rsidR="005C0483" w:rsidRDefault="005C0483">
      <w:r>
        <w:separator/>
      </w:r>
    </w:p>
  </w:footnote>
  <w:footnote w:type="continuationSeparator" w:id="0">
    <w:p w14:paraId="5A2A2124" w14:textId="77777777" w:rsidR="005C0483" w:rsidRDefault="005C0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BA4A" w14:textId="77777777" w:rsidR="00355554" w:rsidRDefault="00355554">
    <w:pPr>
      <w:pBdr>
        <w:top w:val="nil"/>
        <w:left w:val="nil"/>
        <w:bottom w:val="nil"/>
        <w:right w:val="nil"/>
        <w:between w:val="nil"/>
      </w:pBdr>
      <w:tabs>
        <w:tab w:val="center" w:pos="4986"/>
        <w:tab w:val="right" w:pos="9972"/>
      </w:tabs>
      <w:ind w:left="612"/>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B6801"/>
    <w:multiLevelType w:val="multilevel"/>
    <w:tmpl w:val="53321E9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C839FC"/>
    <w:multiLevelType w:val="multilevel"/>
    <w:tmpl w:val="8D08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793761"/>
    <w:multiLevelType w:val="multilevel"/>
    <w:tmpl w:val="6FE2CE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223690"/>
    <w:multiLevelType w:val="hybridMultilevel"/>
    <w:tmpl w:val="B0F2A4FE"/>
    <w:lvl w:ilvl="0" w:tplc="042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8312FA7"/>
    <w:multiLevelType w:val="multilevel"/>
    <w:tmpl w:val="B206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4619094">
    <w:abstractNumId w:val="0"/>
  </w:num>
  <w:num w:numId="2" w16cid:durableId="1222210092">
    <w:abstractNumId w:val="2"/>
  </w:num>
  <w:num w:numId="3" w16cid:durableId="462624126">
    <w:abstractNumId w:val="1"/>
  </w:num>
  <w:num w:numId="4" w16cid:durableId="950625107">
    <w:abstractNumId w:val="4"/>
  </w:num>
  <w:num w:numId="5" w16cid:durableId="2022050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554"/>
    <w:rsid w:val="00015C30"/>
    <w:rsid w:val="0007212B"/>
    <w:rsid w:val="00224397"/>
    <w:rsid w:val="00240679"/>
    <w:rsid w:val="002532AB"/>
    <w:rsid w:val="002D773B"/>
    <w:rsid w:val="00345FC6"/>
    <w:rsid w:val="00355554"/>
    <w:rsid w:val="00363D4D"/>
    <w:rsid w:val="00392B96"/>
    <w:rsid w:val="003B1BDE"/>
    <w:rsid w:val="00420ECD"/>
    <w:rsid w:val="00425176"/>
    <w:rsid w:val="005B6D2D"/>
    <w:rsid w:val="005C00B0"/>
    <w:rsid w:val="005C0483"/>
    <w:rsid w:val="005E40A7"/>
    <w:rsid w:val="00615486"/>
    <w:rsid w:val="0063097F"/>
    <w:rsid w:val="006325C4"/>
    <w:rsid w:val="0068521F"/>
    <w:rsid w:val="00694D4D"/>
    <w:rsid w:val="00741CA4"/>
    <w:rsid w:val="007B399F"/>
    <w:rsid w:val="00862963"/>
    <w:rsid w:val="0087275A"/>
    <w:rsid w:val="008967AD"/>
    <w:rsid w:val="00913EA3"/>
    <w:rsid w:val="0097642F"/>
    <w:rsid w:val="009A4B1A"/>
    <w:rsid w:val="009A5B16"/>
    <w:rsid w:val="00A30D45"/>
    <w:rsid w:val="00A91257"/>
    <w:rsid w:val="00AC74D1"/>
    <w:rsid w:val="00B15FDA"/>
    <w:rsid w:val="00C771A6"/>
    <w:rsid w:val="00CA5751"/>
    <w:rsid w:val="00CA75E0"/>
    <w:rsid w:val="00CC6554"/>
    <w:rsid w:val="00D37D84"/>
    <w:rsid w:val="00E61F59"/>
    <w:rsid w:val="00EB6C73"/>
    <w:rsid w:val="00ED03DA"/>
    <w:rsid w:val="00ED18EA"/>
    <w:rsid w:val="00FB242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9B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jc w:val="center"/>
      <w:outlineLvl w:val="0"/>
    </w:pPr>
    <w:rPr>
      <w:b/>
      <w:bCs/>
      <w:smallCaps/>
    </w:rPr>
  </w:style>
  <w:style w:type="paragraph" w:styleId="Antrat2">
    <w:name w:val="heading 2"/>
    <w:basedOn w:val="prastasis"/>
    <w:next w:val="prastasis"/>
    <w:uiPriority w:val="9"/>
    <w:semiHidden/>
    <w:unhideWhenUsed/>
    <w:qFormat/>
    <w:pPr>
      <w:keepNext/>
      <w:jc w:val="center"/>
      <w:outlineLvl w:val="1"/>
    </w:pPr>
    <w:rPr>
      <w:b/>
      <w:bCs/>
      <w:smallCaps/>
      <w:sz w:val="28"/>
      <w:szCs w:val="28"/>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Antrats">
    <w:name w:val="header"/>
    <w:rsid w:val="00A84C51"/>
    <w:pPr>
      <w:tabs>
        <w:tab w:val="center" w:pos="4986"/>
        <w:tab w:val="right" w:pos="9972"/>
      </w:tabs>
    </w:pPr>
  </w:style>
  <w:style w:type="paragraph" w:styleId="Porat">
    <w:name w:val="footer"/>
    <w:link w:val="PoratDiagrama"/>
    <w:rsid w:val="00A84C51"/>
    <w:pPr>
      <w:tabs>
        <w:tab w:val="center" w:pos="4986"/>
        <w:tab w:val="right" w:pos="9972"/>
      </w:tabs>
    </w:pPr>
  </w:style>
  <w:style w:type="character" w:styleId="Puslapionumeris">
    <w:name w:val="page number"/>
    <w:basedOn w:val="Numatytasispastraiposriftas"/>
    <w:rsid w:val="00A84C51"/>
  </w:style>
  <w:style w:type="character" w:styleId="Hipersaitas">
    <w:name w:val="Hyperlink"/>
    <w:basedOn w:val="Numatytasispastraiposriftas"/>
    <w:rsid w:val="00A84C51"/>
    <w:rPr>
      <w:color w:val="0000FF"/>
      <w:u w:val="single"/>
    </w:rPr>
  </w:style>
  <w:style w:type="paragraph" w:styleId="Debesliotekstas">
    <w:name w:val="Balloon Text"/>
    <w:semiHidden/>
    <w:rsid w:val="00EC2356"/>
    <w:rPr>
      <w:rFonts w:ascii="Tahoma" w:hAnsi="Tahoma" w:cs="Tahoma"/>
      <w:sz w:val="16"/>
      <w:szCs w:val="16"/>
    </w:rPr>
  </w:style>
  <w:style w:type="character" w:customStyle="1" w:styleId="PoratDiagrama">
    <w:name w:val="Poraštė Diagrama"/>
    <w:basedOn w:val="Numatytasispastraiposriftas"/>
    <w:link w:val="Porat"/>
    <w:rsid w:val="00737E2D"/>
    <w:rPr>
      <w:sz w:val="24"/>
      <w:szCs w:val="24"/>
      <w:lang w:eastAsia="en-US"/>
    </w:rPr>
  </w:style>
  <w:style w:type="character" w:customStyle="1" w:styleId="Neapdorotaspaminjimas1">
    <w:name w:val="Neapdorotas paminėjimas1"/>
    <w:basedOn w:val="Numatytasispastraiposriftas"/>
    <w:uiPriority w:val="99"/>
    <w:semiHidden/>
    <w:unhideWhenUsed/>
    <w:rsid w:val="00A31E86"/>
    <w:rPr>
      <w:color w:val="605E5C"/>
      <w:shd w:val="clear" w:color="auto" w:fill="E1DFDD"/>
    </w:rPr>
  </w:style>
  <w:style w:type="character" w:styleId="Perirtashipersaitas">
    <w:name w:val="FollowedHyperlink"/>
    <w:basedOn w:val="Numatytasispastraiposriftas"/>
    <w:semiHidden/>
    <w:unhideWhenUsed/>
    <w:rsid w:val="00A31E86"/>
    <w:rPr>
      <w:color w:val="800080" w:themeColor="followedHyperlink"/>
      <w:u w:val="single"/>
    </w:rPr>
  </w:style>
  <w:style w:type="table" w:styleId="Lentelstinklelis">
    <w:name w:val="Table Grid"/>
    <w:basedOn w:val="prastojilentel"/>
    <w:rsid w:val="00D42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C7012C"/>
    <w:rPr>
      <w:sz w:val="16"/>
      <w:szCs w:val="16"/>
    </w:rPr>
  </w:style>
  <w:style w:type="paragraph" w:styleId="Komentarotekstas">
    <w:name w:val="annotation text"/>
    <w:link w:val="KomentarotekstasDiagrama"/>
    <w:unhideWhenUsed/>
    <w:rsid w:val="00C7012C"/>
    <w:rPr>
      <w:sz w:val="20"/>
      <w:szCs w:val="20"/>
    </w:rPr>
  </w:style>
  <w:style w:type="character" w:customStyle="1" w:styleId="KomentarotekstasDiagrama">
    <w:name w:val="Komentaro tekstas Diagrama"/>
    <w:basedOn w:val="Numatytasispastraiposriftas"/>
    <w:link w:val="Komentarotekstas"/>
    <w:rsid w:val="00C7012C"/>
    <w:rPr>
      <w:lang w:eastAsia="en-US"/>
    </w:rPr>
  </w:style>
  <w:style w:type="paragraph" w:styleId="Komentarotema">
    <w:name w:val="annotation subject"/>
    <w:basedOn w:val="Komentarotekstas"/>
    <w:next w:val="Komentarotekstas"/>
    <w:link w:val="KomentarotemaDiagrama"/>
    <w:semiHidden/>
    <w:unhideWhenUsed/>
    <w:rsid w:val="00C7012C"/>
    <w:rPr>
      <w:b/>
      <w:bCs/>
    </w:rPr>
  </w:style>
  <w:style w:type="character" w:customStyle="1" w:styleId="KomentarotemaDiagrama">
    <w:name w:val="Komentaro tema Diagrama"/>
    <w:basedOn w:val="KomentarotekstasDiagrama"/>
    <w:link w:val="Komentarotema"/>
    <w:semiHidden/>
    <w:rsid w:val="00C7012C"/>
    <w:rPr>
      <w:b/>
      <w:bCs/>
      <w:lang w:eastAsia="en-US"/>
    </w:rPr>
  </w:style>
  <w:style w:type="paragraph" w:styleId="Sraopastraipa">
    <w:name w:val="List Paragraph"/>
    <w:uiPriority w:val="34"/>
    <w:qFormat/>
    <w:rsid w:val="00104E2E"/>
    <w:pPr>
      <w:ind w:left="720"/>
      <w:contextualSpacing/>
    </w:pPr>
  </w:style>
  <w:style w:type="character" w:customStyle="1" w:styleId="Style2">
    <w:name w:val="Style2"/>
    <w:basedOn w:val="Numatytasispastraiposriftas"/>
    <w:uiPriority w:val="1"/>
    <w:rsid w:val="00D6498C"/>
    <w:rPr>
      <w:sz w:val="32"/>
    </w:rPr>
  </w:style>
  <w:style w:type="character" w:styleId="Vietosrezervavimoenklotekstas">
    <w:name w:val="Placeholder Text"/>
    <w:basedOn w:val="Numatytasispastraiposriftas"/>
    <w:uiPriority w:val="99"/>
    <w:rsid w:val="00B13D65"/>
    <w:rPr>
      <w:color w:val="808080"/>
    </w:rPr>
  </w:style>
  <w:style w:type="paragraph" w:styleId="Betarp">
    <w:name w:val="No Spacing"/>
    <w:uiPriority w:val="1"/>
    <w:qFormat/>
    <w:rsid w:val="00B13D65"/>
    <w:rPr>
      <w:rFonts w:ascii="Calibri" w:eastAsia="Calibri" w:hAnsi="Calibri"/>
      <w:sz w:val="22"/>
      <w:szCs w:val="22"/>
      <w:lang w:eastAsia="en-US"/>
    </w:rPr>
  </w:style>
  <w:style w:type="table" w:customStyle="1" w:styleId="Lentelstinklelis1">
    <w:name w:val="Lentelės tinklelis1"/>
    <w:basedOn w:val="prastojilentel"/>
    <w:next w:val="Lentelstinklelis"/>
    <w:rsid w:val="009E44A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476256"/>
    <w:rPr>
      <w:lang w:eastAsia="en-US"/>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14099</Words>
  <Characters>8037</Characters>
  <Application>Microsoft Office Word</Application>
  <DocSecurity>0</DocSecurity>
  <Lines>66</Lines>
  <Paragraphs>44</Paragraphs>
  <ScaleCrop>false</ScaleCrop>
  <Company/>
  <LinksUpToDate>false</LinksUpToDate>
  <CharactersWithSpaces>22092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2026-03-23T06:45:00Z</dcterms:created>
  <dcterms:modified xsi:type="dcterms:W3CDTF">2026-03-26T12:23:00Z</dcterms:modified>
</cp:coreProperties>
</file>