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5C0729" w:rsidRDefault="005F7602" w:rsidP="002946C7">
      <w:pPr>
        <w:ind w:left="5529"/>
        <w:rPr>
          <w:lang w:val="en-US"/>
        </w:rPr>
      </w:pPr>
    </w:p>
    <w:p w14:paraId="12FA4B9E" w14:textId="39AA3336" w:rsidR="001B3C5B" w:rsidRPr="000203E1" w:rsidRDefault="00DC261A" w:rsidP="001B3C5B">
      <w:pPr>
        <w:ind w:left="6096"/>
      </w:pPr>
      <w:bookmarkStart w:id="0" w:name="_Hlk189565243"/>
      <w:r w:rsidRPr="00DC261A">
        <w:t>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3A5D6CB4" w:rsidR="001B3C5B" w:rsidRPr="000203E1" w:rsidRDefault="004C263A" w:rsidP="001B3C5B">
      <w:pPr>
        <w:ind w:left="6096"/>
      </w:pPr>
      <w:r w:rsidRPr="000203E1">
        <w:t>(Valstybinės vaistų kontrolės tarnybos prie Lietuvos Respublikos sveikatos apsaugos ministerijos viršininko 202</w:t>
      </w:r>
      <w:r w:rsidR="00A2310D">
        <w:t>5</w:t>
      </w:r>
      <w:r w:rsidRPr="000203E1">
        <w:t xml:space="preserve"> m.                         d. įsakymo Nr.                    redakcija)</w:t>
      </w:r>
    </w:p>
    <w:p w14:paraId="3336BD74" w14:textId="77777777" w:rsidR="001B3C5B" w:rsidRPr="000203E1" w:rsidRDefault="001B3C5B" w:rsidP="00FA4169"/>
    <w:bookmarkEnd w:id="0"/>
    <w:p w14:paraId="56604434" w14:textId="77777777" w:rsidR="00DC261A" w:rsidRDefault="00DC261A" w:rsidP="003B211A">
      <w:pPr>
        <w:jc w:val="center"/>
        <w:rPr>
          <w:b/>
        </w:rPr>
      </w:pPr>
    </w:p>
    <w:p w14:paraId="77AFB67E" w14:textId="0FB133A2"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3BB421D4" w14:textId="77777777" w:rsidR="0061764C" w:rsidRPr="009300B3" w:rsidRDefault="0061764C" w:rsidP="0061764C">
      <w:pPr>
        <w:jc w:val="center"/>
        <w:rPr>
          <w:b/>
        </w:rPr>
      </w:pPr>
      <w:r>
        <w:rPr>
          <w:b/>
        </w:rPr>
        <w:t>Amvuttra</w:t>
      </w:r>
      <w:r w:rsidRPr="009300B3">
        <w:rPr>
          <w:b/>
        </w:rPr>
        <w:t xml:space="preserve"> </w:t>
      </w:r>
      <w:r>
        <w:rPr>
          <w:b/>
        </w:rPr>
        <w:t>0,5 ml / 25 mg</w:t>
      </w:r>
      <w:r w:rsidRPr="009300B3">
        <w:rPr>
          <w:b/>
        </w:rPr>
        <w:t xml:space="preserve"> </w:t>
      </w:r>
      <w:r>
        <w:rPr>
          <w:b/>
        </w:rPr>
        <w:t>injekcinis tirpalas</w:t>
      </w:r>
    </w:p>
    <w:p w14:paraId="0882A7FF" w14:textId="77777777" w:rsidR="0061764C" w:rsidRPr="009300B3" w:rsidRDefault="0061764C" w:rsidP="0061764C">
      <w:pPr>
        <w:jc w:val="center"/>
      </w:pPr>
    </w:p>
    <w:p w14:paraId="17739D48" w14:textId="77777777" w:rsidR="0061764C" w:rsidRPr="009300B3" w:rsidRDefault="0061764C" w:rsidP="0061764C">
      <w:pPr>
        <w:jc w:val="center"/>
      </w:pPr>
      <w:r>
        <w:rPr>
          <w:b/>
        </w:rPr>
        <w:t>Vutrisiranas</w:t>
      </w:r>
    </w:p>
    <w:p w14:paraId="49659D1C" w14:textId="77777777" w:rsidR="0061764C" w:rsidRPr="009300B3" w:rsidRDefault="0061764C" w:rsidP="0061764C">
      <w:pPr>
        <w:jc w:val="center"/>
      </w:pPr>
    </w:p>
    <w:p w14:paraId="453197C8" w14:textId="5A491FB9" w:rsidR="00D4708D" w:rsidRDefault="0061764C" w:rsidP="0061764C">
      <w:pPr>
        <w:jc w:val="center"/>
        <w:rPr>
          <w:b/>
        </w:rPr>
      </w:pPr>
      <w:r>
        <w:rPr>
          <w:b/>
        </w:rPr>
        <w:t>STV-265</w:t>
      </w:r>
    </w:p>
    <w:p w14:paraId="371DECA5" w14:textId="77777777" w:rsidR="0061764C" w:rsidRPr="000203E1" w:rsidRDefault="0061764C" w:rsidP="0061764C">
      <w:pPr>
        <w:jc w:val="center"/>
        <w:rPr>
          <w:b/>
        </w:rPr>
      </w:pPr>
    </w:p>
    <w:p w14:paraId="78C89D1C" w14:textId="0DEFFAA5" w:rsidR="00D4485B" w:rsidRPr="000203E1" w:rsidRDefault="00B13D65" w:rsidP="00CC09D4">
      <w:pPr>
        <w:pStyle w:val="ListParagraph"/>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899"/>
        <w:gridCol w:w="4962"/>
      </w:tblGrid>
      <w:tr w:rsidR="00D24C7A" w:rsidRPr="00977D72" w14:paraId="16A7BC7B" w14:textId="77777777" w:rsidTr="003F3FFF">
        <w:trPr>
          <w:trHeight w:val="538"/>
        </w:trPr>
        <w:tc>
          <w:tcPr>
            <w:tcW w:w="632" w:type="dxa"/>
          </w:tcPr>
          <w:p w14:paraId="4572808D" w14:textId="77777777" w:rsidR="00D24C7A" w:rsidRPr="00977D72" w:rsidRDefault="00D24C7A" w:rsidP="00D24C7A">
            <w:pPr>
              <w:rPr>
                <w:rFonts w:eastAsia="Arial"/>
                <w:b/>
                <w:bCs/>
              </w:rPr>
            </w:pPr>
            <w:r w:rsidRPr="00977D72">
              <w:rPr>
                <w:rFonts w:eastAsia="Arial"/>
                <w:b/>
                <w:bCs/>
              </w:rPr>
              <w:t>1.1</w:t>
            </w:r>
          </w:p>
        </w:tc>
        <w:tc>
          <w:tcPr>
            <w:tcW w:w="3899" w:type="dxa"/>
          </w:tcPr>
          <w:p w14:paraId="54BA6EB3" w14:textId="77777777" w:rsidR="00D24C7A" w:rsidRPr="00977D72" w:rsidRDefault="00D24C7A" w:rsidP="00D24C7A">
            <w:pPr>
              <w:rPr>
                <w:rFonts w:eastAsia="Arial"/>
                <w:b/>
                <w:bCs/>
              </w:rPr>
            </w:pPr>
            <w:r w:rsidRPr="00977D72">
              <w:rPr>
                <w:rFonts w:eastAsia="Arial"/>
                <w:b/>
                <w:bCs/>
              </w:rPr>
              <w:t>Pareiškėjas</w:t>
            </w:r>
            <w:r>
              <w:rPr>
                <w:rFonts w:eastAsia="Arial"/>
                <w:b/>
                <w:bCs/>
              </w:rPr>
              <w:t>/ pareiškėjo atstovas</w:t>
            </w:r>
          </w:p>
        </w:tc>
        <w:tc>
          <w:tcPr>
            <w:tcW w:w="4962" w:type="dxa"/>
          </w:tcPr>
          <w:p w14:paraId="0F359BD4" w14:textId="2293B24A" w:rsidR="00D24C7A" w:rsidRPr="00977D72" w:rsidRDefault="00D24C7A" w:rsidP="00D24C7A">
            <w:pPr>
              <w:rPr>
                <w:rFonts w:eastAsia="Arial"/>
              </w:rPr>
            </w:pPr>
            <w:r w:rsidRPr="00EC49FC">
              <w:t>Medison Pharma Lithuania, UAB</w:t>
            </w:r>
          </w:p>
        </w:tc>
      </w:tr>
      <w:tr w:rsidR="00D24C7A" w:rsidRPr="00977D72" w14:paraId="101EA148" w14:textId="77777777" w:rsidTr="003F3FFF">
        <w:trPr>
          <w:trHeight w:val="538"/>
        </w:trPr>
        <w:tc>
          <w:tcPr>
            <w:tcW w:w="632" w:type="dxa"/>
          </w:tcPr>
          <w:p w14:paraId="3BF67175" w14:textId="77777777" w:rsidR="00D24C7A" w:rsidRPr="00977D72" w:rsidRDefault="00D24C7A" w:rsidP="00D24C7A">
            <w:pPr>
              <w:rPr>
                <w:rFonts w:eastAsia="Arial"/>
                <w:b/>
                <w:bCs/>
              </w:rPr>
            </w:pPr>
            <w:r w:rsidRPr="00977D72">
              <w:rPr>
                <w:rFonts w:eastAsia="Arial"/>
                <w:b/>
                <w:bCs/>
              </w:rPr>
              <w:t>1.2</w:t>
            </w:r>
          </w:p>
        </w:tc>
        <w:tc>
          <w:tcPr>
            <w:tcW w:w="3899" w:type="dxa"/>
          </w:tcPr>
          <w:p w14:paraId="786B66DF" w14:textId="77777777" w:rsidR="00D24C7A" w:rsidRPr="00977D72" w:rsidRDefault="00D24C7A" w:rsidP="00D24C7A">
            <w:pPr>
              <w:rPr>
                <w:b/>
                <w:bCs/>
                <w:lang w:eastAsia="lt-LT"/>
              </w:rPr>
            </w:pPr>
            <w:r w:rsidRPr="00977D72">
              <w:rPr>
                <w:b/>
                <w:bCs/>
                <w:lang w:eastAsia="lt-LT"/>
              </w:rPr>
              <w:t xml:space="preserve">Vaistinio preparato registracijos data </w:t>
            </w:r>
          </w:p>
          <w:p w14:paraId="4B568341" w14:textId="77777777" w:rsidR="00D24C7A" w:rsidRPr="00977D72" w:rsidRDefault="00D24C7A" w:rsidP="00D24C7A">
            <w:pPr>
              <w:rPr>
                <w:b/>
                <w:bCs/>
                <w:lang w:eastAsia="lt-LT"/>
              </w:rPr>
            </w:pPr>
          </w:p>
        </w:tc>
        <w:tc>
          <w:tcPr>
            <w:tcW w:w="4962" w:type="dxa"/>
          </w:tcPr>
          <w:p w14:paraId="50F63366" w14:textId="7A0A545B" w:rsidR="00D24C7A" w:rsidRPr="00977D72" w:rsidRDefault="00000000" w:rsidP="00D24C7A">
            <w:pPr>
              <w:rPr>
                <w:rStyle w:val="Style2"/>
              </w:rPr>
            </w:pPr>
            <w:sdt>
              <w:sdtPr>
                <w:rPr>
                  <w:sz w:val="32"/>
                </w:rPr>
                <w:alias w:val="Nurodykite konkrečią dieną"/>
                <w:tag w:val="Nurodykite pradžios datą"/>
                <w:id w:val="1772196685"/>
                <w:placeholder>
                  <w:docPart w:val="12502E5E16DB4CE7A2F142C3F503F343"/>
                </w:placeholder>
                <w15:color w:val="FFCC99"/>
                <w:date>
                  <w:dateFormat w:val="yyyy 'm.' MMMM d 'd.'"/>
                  <w:lid w:val="lt-LT"/>
                  <w:storeMappedDataAs w:val="dateTime"/>
                  <w:calendar w:val="gregorian"/>
                </w:date>
              </w:sdtPr>
              <w:sdtEndPr>
                <w:rPr>
                  <w:sz w:val="24"/>
                </w:rPr>
              </w:sdtEndPr>
              <w:sdtContent>
                <w:r w:rsidR="00D24C7A" w:rsidRPr="00EC49FC">
                  <w:t>2022 m. rugsėjo 15 d.</w:t>
                </w:r>
              </w:sdtContent>
            </w:sdt>
          </w:p>
        </w:tc>
      </w:tr>
      <w:tr w:rsidR="00E70CED" w:rsidRPr="00977D72" w14:paraId="3D70E0FA" w14:textId="77777777" w:rsidTr="001F115E">
        <w:trPr>
          <w:trHeight w:val="1643"/>
        </w:trPr>
        <w:tc>
          <w:tcPr>
            <w:tcW w:w="632" w:type="dxa"/>
          </w:tcPr>
          <w:p w14:paraId="021DF6BD" w14:textId="77777777" w:rsidR="00E70CED" w:rsidRPr="00977D72" w:rsidRDefault="00E70CED" w:rsidP="001F115E">
            <w:pPr>
              <w:rPr>
                <w:rFonts w:eastAsia="Arial"/>
                <w:b/>
                <w:bCs/>
              </w:rPr>
            </w:pPr>
            <w:r w:rsidRPr="00977D72">
              <w:rPr>
                <w:rFonts w:eastAsia="Arial"/>
                <w:b/>
                <w:bCs/>
              </w:rPr>
              <w:t>1.3</w:t>
            </w:r>
          </w:p>
        </w:tc>
        <w:tc>
          <w:tcPr>
            <w:tcW w:w="3899" w:type="dxa"/>
          </w:tcPr>
          <w:p w14:paraId="528F713F" w14:textId="77777777" w:rsidR="00E70CED" w:rsidRPr="00977D72" w:rsidRDefault="00E70CED" w:rsidP="001F115E">
            <w:pPr>
              <w:pStyle w:val="NoSpacing"/>
              <w:rPr>
                <w:rFonts w:ascii="Times New Roman" w:hAnsi="Times New Roman"/>
                <w:b/>
                <w:sz w:val="24"/>
                <w:szCs w:val="24"/>
                <w:shd w:val="clear" w:color="auto" w:fill="FFFFFF"/>
              </w:rPr>
            </w:pPr>
            <w:r w:rsidRPr="00977D72">
              <w:rPr>
                <w:rFonts w:ascii="Times New Roman" w:hAnsi="Times New Roman"/>
                <w:b/>
                <w:sz w:val="24"/>
                <w:szCs w:val="24"/>
              </w:rPr>
              <w:t xml:space="preserve">Vaistinio preparato </w:t>
            </w:r>
            <w:r w:rsidRPr="00977D72">
              <w:rPr>
                <w:rFonts w:ascii="Times New Roman" w:hAnsi="Times New Roman"/>
                <w:b/>
                <w:sz w:val="24"/>
                <w:szCs w:val="24"/>
                <w:shd w:val="clear" w:color="auto" w:fill="FFFFFF"/>
              </w:rPr>
              <w:t>registracijos teisinis pagrindas</w:t>
            </w:r>
          </w:p>
          <w:p w14:paraId="63F86DC1" w14:textId="77777777" w:rsidR="00E70CED" w:rsidRPr="00977D72" w:rsidRDefault="00E70CED" w:rsidP="001F115E">
            <w:pPr>
              <w:pStyle w:val="NoSpacing"/>
              <w:rPr>
                <w:rFonts w:ascii="Times New Roman" w:hAnsi="Times New Roman"/>
                <w:b/>
                <w:bCs/>
                <w:sz w:val="24"/>
                <w:szCs w:val="24"/>
                <w:lang w:eastAsia="lt-LT"/>
              </w:rPr>
            </w:pPr>
            <w:r w:rsidRPr="00977D72">
              <w:rPr>
                <w:rFonts w:ascii="Times New Roman" w:hAnsi="Times New Roman"/>
                <w:b/>
                <w:sz w:val="24"/>
                <w:szCs w:val="24"/>
                <w:shd w:val="clear" w:color="auto" w:fill="FFFFFF"/>
              </w:rPr>
              <w:t>(</w:t>
            </w:r>
            <w:r w:rsidRPr="00977D72">
              <w:rPr>
                <w:rFonts w:ascii="Times New Roman" w:hAnsi="Times New Roman"/>
                <w:b/>
                <w:sz w:val="24"/>
                <w:szCs w:val="24"/>
              </w:rPr>
              <w:t>Direktyvos 2001/83/EB str.)</w:t>
            </w:r>
          </w:p>
        </w:tc>
        <w:tc>
          <w:tcPr>
            <w:tcW w:w="4962" w:type="dxa"/>
          </w:tcPr>
          <w:p w14:paraId="4C977D39" w14:textId="49727487" w:rsidR="00E70CED" w:rsidRPr="001A0CAA" w:rsidRDefault="00000000" w:rsidP="001F115E">
            <w:sdt>
              <w:sdtPr>
                <w:rPr>
                  <w:rStyle w:val="Style2"/>
                  <w:sz w:val="24"/>
                </w:rPr>
                <w:id w:val="526292078"/>
                <w15:color w:val="FFCC00"/>
                <w14:checkbox>
                  <w14:checked w14:val="1"/>
                  <w14:checkedState w14:val="2612" w14:font="MS Gothic"/>
                  <w14:uncheckedState w14:val="2610" w14:font="MS Gothic"/>
                </w14:checkbox>
              </w:sdtPr>
              <w:sdtContent>
                <w:r w:rsidR="007D57D7">
                  <w:rPr>
                    <w:rStyle w:val="Style2"/>
                    <w:rFonts w:ascii="MS Gothic" w:eastAsia="MS Gothic" w:hAnsi="MS Gothic" w:hint="eastAsia"/>
                    <w:sz w:val="24"/>
                  </w:rPr>
                  <w:t>☒</w:t>
                </w:r>
              </w:sdtContent>
            </w:sdt>
            <w:r w:rsidR="00E70CED" w:rsidRPr="001A0CAA">
              <w:t>8.3 str. (pilna byla, pagrįsta savais tyrimais)</w:t>
            </w:r>
          </w:p>
          <w:p w14:paraId="6AABD410" w14:textId="77777777" w:rsidR="00E70CED" w:rsidRPr="001A0CAA" w:rsidRDefault="00000000" w:rsidP="001F115E">
            <w:sdt>
              <w:sdtPr>
                <w:rPr>
                  <w:rStyle w:val="Style2"/>
                  <w:sz w:val="24"/>
                </w:rPr>
                <w:id w:val="-1497953736"/>
                <w15:color w:val="FFCC00"/>
                <w14:checkbox>
                  <w14:checked w14:val="0"/>
                  <w14:checkedState w14:val="2612" w14:font="MS Gothic"/>
                  <w14:uncheckedState w14:val="2610" w14:font="MS Gothic"/>
                </w14:checkbox>
              </w:sdtPr>
              <w:sdtContent>
                <w:r w:rsidR="00E70CED" w:rsidRPr="001A0CAA">
                  <w:rPr>
                    <w:rStyle w:val="Style2"/>
                    <w:rFonts w:ascii="Segoe UI Symbol" w:eastAsia="MS Gothic" w:hAnsi="Segoe UI Symbol" w:cs="Segoe UI Symbol"/>
                    <w:sz w:val="24"/>
                  </w:rPr>
                  <w:t>☐</w:t>
                </w:r>
              </w:sdtContent>
            </w:sdt>
            <w:r w:rsidR="00E70CED" w:rsidRPr="001A0CAA">
              <w:t>10 a str. (pripažintas medicininis vartojimas)</w:t>
            </w:r>
          </w:p>
          <w:p w14:paraId="5CF35A47" w14:textId="77777777" w:rsidR="00E70CED" w:rsidRPr="001A0CAA" w:rsidRDefault="00000000" w:rsidP="001F115E">
            <w:sdt>
              <w:sdtPr>
                <w:rPr>
                  <w:rStyle w:val="Style2"/>
                  <w:sz w:val="24"/>
                </w:rPr>
                <w:id w:val="204142496"/>
                <w15:color w:val="FFCC00"/>
                <w14:checkbox>
                  <w14:checked w14:val="0"/>
                  <w14:checkedState w14:val="2612" w14:font="MS Gothic"/>
                  <w14:uncheckedState w14:val="2610" w14:font="MS Gothic"/>
                </w14:checkbox>
              </w:sdtPr>
              <w:sdtContent>
                <w:r w:rsidR="00E70CED" w:rsidRPr="001A0CAA">
                  <w:rPr>
                    <w:rStyle w:val="Style2"/>
                    <w:rFonts w:ascii="Segoe UI Symbol" w:eastAsia="MS Gothic" w:hAnsi="Segoe UI Symbol" w:cs="Segoe UI Symbol"/>
                    <w:sz w:val="24"/>
                  </w:rPr>
                  <w:t>☐</w:t>
                </w:r>
              </w:sdtContent>
            </w:sdt>
            <w:r w:rsidR="00E70CED" w:rsidRPr="001A0CAA">
              <w:t>10.1 str. (generinis)</w:t>
            </w:r>
          </w:p>
          <w:p w14:paraId="0517A1B2" w14:textId="77777777" w:rsidR="00E70CED" w:rsidRPr="00656846" w:rsidRDefault="00000000" w:rsidP="001F115E">
            <w:sdt>
              <w:sdtPr>
                <w:rPr>
                  <w:rStyle w:val="Style2"/>
                  <w:sz w:val="24"/>
                </w:rPr>
                <w:id w:val="820305101"/>
                <w15:color w:val="FFCC00"/>
                <w14:checkbox>
                  <w14:checked w14:val="0"/>
                  <w14:checkedState w14:val="2612" w14:font="MS Gothic"/>
                  <w14:uncheckedState w14:val="2610" w14:font="MS Gothic"/>
                </w14:checkbox>
              </w:sdtPr>
              <w:sdtContent>
                <w:r w:rsidR="00E70CED" w:rsidRPr="001A0CAA">
                  <w:rPr>
                    <w:rStyle w:val="Style2"/>
                    <w:rFonts w:ascii="Segoe UI Symbol" w:eastAsia="MS Gothic" w:hAnsi="Segoe UI Symbol" w:cs="Segoe UI Symbol"/>
                    <w:sz w:val="24"/>
                  </w:rPr>
                  <w:t>☐</w:t>
                </w:r>
              </w:sdtContent>
            </w:sdt>
            <w:r w:rsidR="00E70CED" w:rsidRPr="001A0CAA">
              <w:t>10.3 str. (hibridinis)</w:t>
            </w:r>
          </w:p>
          <w:p w14:paraId="0F37DDE0" w14:textId="78AF6516" w:rsidR="00063A50" w:rsidRPr="001A0CAA" w:rsidRDefault="00000000" w:rsidP="00063A50">
            <w:sdt>
              <w:sdtPr>
                <w:rPr>
                  <w:rStyle w:val="Style2"/>
                  <w:sz w:val="24"/>
                </w:rPr>
                <w:id w:val="1800953328"/>
                <w15:color w:val="FFCC00"/>
                <w14:checkbox>
                  <w14:checked w14:val="0"/>
                  <w14:checkedState w14:val="2612" w14:font="MS Gothic"/>
                  <w14:uncheckedState w14:val="2610" w14:font="MS Gothic"/>
                </w14:checkbox>
              </w:sdtPr>
              <w:sdtContent>
                <w:r w:rsidR="00063A50" w:rsidRPr="001A0CAA">
                  <w:rPr>
                    <w:rStyle w:val="Style2"/>
                    <w:rFonts w:ascii="Segoe UI Symbol" w:eastAsia="MS Gothic" w:hAnsi="Segoe UI Symbol" w:cs="Segoe UI Symbol"/>
                    <w:sz w:val="24"/>
                  </w:rPr>
                  <w:t>☐</w:t>
                </w:r>
              </w:sdtContent>
            </w:sdt>
            <w:r w:rsidR="00063A50" w:rsidRPr="001A0CAA">
              <w:t>10.4 str. (panašus biologinis)</w:t>
            </w:r>
          </w:p>
          <w:p w14:paraId="7EDB4848" w14:textId="77777777" w:rsidR="00063A50" w:rsidRPr="001A0CAA" w:rsidRDefault="00063A50" w:rsidP="001F115E">
            <w:pPr>
              <w:rPr>
                <w:rStyle w:val="Style2"/>
                <w:sz w:val="24"/>
              </w:rPr>
            </w:pPr>
          </w:p>
        </w:tc>
      </w:tr>
      <w:tr w:rsidR="00404F4E" w:rsidRPr="00977D72" w14:paraId="31641941" w14:textId="77777777" w:rsidTr="003F3FFF">
        <w:trPr>
          <w:trHeight w:val="1011"/>
        </w:trPr>
        <w:tc>
          <w:tcPr>
            <w:tcW w:w="632" w:type="dxa"/>
          </w:tcPr>
          <w:p w14:paraId="2E73A32C" w14:textId="77777777" w:rsidR="00404F4E" w:rsidRPr="00977D72" w:rsidRDefault="00404F4E" w:rsidP="00404F4E">
            <w:pPr>
              <w:rPr>
                <w:rFonts w:eastAsia="Arial"/>
                <w:b/>
                <w:bCs/>
              </w:rPr>
            </w:pPr>
            <w:r w:rsidRPr="00977D72">
              <w:rPr>
                <w:rFonts w:eastAsia="Arial"/>
                <w:b/>
              </w:rPr>
              <w:t>1.4</w:t>
            </w:r>
          </w:p>
        </w:tc>
        <w:tc>
          <w:tcPr>
            <w:tcW w:w="3899" w:type="dxa"/>
          </w:tcPr>
          <w:p w14:paraId="2547AC59" w14:textId="77777777" w:rsidR="00404F4E" w:rsidRPr="001A0CAA" w:rsidRDefault="00404F4E" w:rsidP="00404F4E">
            <w:pPr>
              <w:tabs>
                <w:tab w:val="left" w:pos="284"/>
              </w:tabs>
              <w:rPr>
                <w:b/>
                <w:bCs/>
                <w:lang w:eastAsia="lt-LT"/>
              </w:rPr>
            </w:pPr>
            <w:r w:rsidRPr="001A0CAA">
              <w:rPr>
                <w:b/>
                <w:bCs/>
                <w:lang w:eastAsia="lt-LT"/>
              </w:rPr>
              <w:t>Ar vaistinis preparatas įrašytas į Bendrijos retųjų vaistinių preparatų registrą?</w:t>
            </w:r>
          </w:p>
        </w:tc>
        <w:tc>
          <w:tcPr>
            <w:tcW w:w="4962" w:type="dxa"/>
          </w:tcPr>
          <w:p w14:paraId="633E0CC3" w14:textId="77777777" w:rsidR="00404F4E" w:rsidRPr="009300B3" w:rsidRDefault="00000000" w:rsidP="00404F4E">
            <w:pPr>
              <w:jc w:val="both"/>
            </w:pPr>
            <w:sdt>
              <w:sdtPr>
                <w:rPr>
                  <w:rStyle w:val="Style2"/>
                </w:rPr>
                <w:id w:val="1190730465"/>
                <w15:color w:val="FFCC00"/>
                <w14:checkbox>
                  <w14:checked w14:val="1"/>
                  <w14:checkedState w14:val="2612" w14:font="MS Gothic"/>
                  <w14:uncheckedState w14:val="2610" w14:font="MS Gothic"/>
                </w14:checkbox>
              </w:sdtPr>
              <w:sdtContent>
                <w:r w:rsidR="00404F4E">
                  <w:rPr>
                    <w:rStyle w:val="Style2"/>
                    <w:rFonts w:ascii="MS Gothic" w:eastAsia="MS Gothic" w:hAnsi="MS Gothic" w:hint="eastAsia"/>
                  </w:rPr>
                  <w:t>☒</w:t>
                </w:r>
              </w:sdtContent>
            </w:sdt>
            <w:r w:rsidR="00404F4E" w:rsidRPr="009300B3">
              <w:t xml:space="preserve"> Taip       </w:t>
            </w:r>
            <w:r w:rsidR="00404F4E" w:rsidRPr="009300B3">
              <w:rPr>
                <w:rStyle w:val="Style2"/>
              </w:rPr>
              <w:t xml:space="preserve"> </w:t>
            </w:r>
            <w:sdt>
              <w:sdtPr>
                <w:rPr>
                  <w:rStyle w:val="Style2"/>
                </w:rPr>
                <w:id w:val="-1760283509"/>
                <w15:color w:val="FFCC00"/>
                <w14:checkbox>
                  <w14:checked w14:val="0"/>
                  <w14:checkedState w14:val="2612" w14:font="MS Gothic"/>
                  <w14:uncheckedState w14:val="2610" w14:font="MS Gothic"/>
                </w14:checkbox>
              </w:sdtPr>
              <w:sdtContent>
                <w:r w:rsidR="00404F4E" w:rsidRPr="009300B3">
                  <w:rPr>
                    <w:rStyle w:val="Style2"/>
                    <w:rFonts w:ascii="MS Gothic" w:eastAsia="MS Gothic" w:hAnsi="MS Gothic" w:hint="eastAsia"/>
                  </w:rPr>
                  <w:t>☐</w:t>
                </w:r>
              </w:sdtContent>
            </w:sdt>
            <w:r w:rsidR="00404F4E" w:rsidRPr="009300B3">
              <w:t xml:space="preserve"> Ne</w:t>
            </w:r>
          </w:p>
          <w:p w14:paraId="5E7C823C" w14:textId="77777777" w:rsidR="00404F4E" w:rsidRPr="009300B3" w:rsidRDefault="00404F4E" w:rsidP="00404F4E">
            <w:pPr>
              <w:jc w:val="both"/>
            </w:pPr>
            <w:r w:rsidRPr="009300B3">
              <w:t xml:space="preserve">Data: </w:t>
            </w:r>
            <w:sdt>
              <w:sdtPr>
                <w:alias w:val="Nurodykite konkrečią dieną"/>
                <w:tag w:val="Nurodykite pradžios datą"/>
                <w:id w:val="1784158105"/>
                <w:placeholder>
                  <w:docPart w:val="96F57009BDD5455B99086C1695375265"/>
                </w:placeholder>
                <w15:color w:val="FFCC99"/>
                <w:date>
                  <w:dateFormat w:val="yyyy 'm.' MMMM d 'd.'"/>
                  <w:lid w:val="lt-LT"/>
                  <w:storeMappedDataAs w:val="dateTime"/>
                  <w:calendar w:val="gregorian"/>
                </w:date>
              </w:sdtPr>
              <w:sdtContent>
                <w:r>
                  <w:t>2025 m. liepos 1 d.</w:t>
                </w:r>
              </w:sdtContent>
            </w:sdt>
          </w:p>
          <w:p w14:paraId="56165267" w14:textId="699D1920" w:rsidR="00404F4E" w:rsidRPr="001A0CAA" w:rsidRDefault="00404F4E" w:rsidP="00404F4E">
            <w:pPr>
              <w:rPr>
                <w:rFonts w:eastAsia="Arial"/>
              </w:rPr>
            </w:pPr>
            <w:r w:rsidRPr="009300B3">
              <w:t>Nr.</w:t>
            </w:r>
            <w:r>
              <w:t xml:space="preserve"> </w:t>
            </w:r>
            <w:r w:rsidRPr="00A75308">
              <w:t>EMADOC-360526170-2392475</w:t>
            </w:r>
          </w:p>
        </w:tc>
      </w:tr>
      <w:tr w:rsidR="00E70CED" w:rsidRPr="00977D72" w14:paraId="5E0775EB" w14:textId="77777777" w:rsidTr="003F3FFF">
        <w:trPr>
          <w:trHeight w:val="1011"/>
        </w:trPr>
        <w:tc>
          <w:tcPr>
            <w:tcW w:w="632" w:type="dxa"/>
          </w:tcPr>
          <w:p w14:paraId="6829924D" w14:textId="77777777" w:rsidR="00E70CED" w:rsidRPr="00977D72" w:rsidRDefault="00E70CED" w:rsidP="001F115E">
            <w:pPr>
              <w:rPr>
                <w:rFonts w:eastAsia="Arial"/>
                <w:b/>
              </w:rPr>
            </w:pPr>
            <w:r w:rsidRPr="00977D72">
              <w:rPr>
                <w:rFonts w:eastAsia="Arial"/>
                <w:b/>
                <w:bCs/>
              </w:rPr>
              <w:t>1.5</w:t>
            </w:r>
          </w:p>
        </w:tc>
        <w:tc>
          <w:tcPr>
            <w:tcW w:w="3899" w:type="dxa"/>
          </w:tcPr>
          <w:p w14:paraId="1DDE7CF3" w14:textId="2FF7A402" w:rsidR="00E70CED" w:rsidRPr="001A0CAA" w:rsidRDefault="00E70CED" w:rsidP="001F115E">
            <w:pPr>
              <w:tabs>
                <w:tab w:val="left" w:pos="284"/>
              </w:tabs>
              <w:rPr>
                <w:b/>
                <w:bCs/>
                <w:lang w:eastAsia="lt-LT"/>
              </w:rPr>
            </w:pPr>
            <w:r w:rsidRPr="001A0CAA">
              <w:rPr>
                <w:b/>
                <w:bCs/>
                <w:lang w:eastAsia="lt-LT"/>
              </w:rPr>
              <w:t>Ar atliktas bendras klinikinis vertinimas</w:t>
            </w:r>
          </w:p>
          <w:p w14:paraId="0961228D" w14:textId="77777777" w:rsidR="00E70CED" w:rsidRPr="001A0CAA" w:rsidRDefault="00E70CED" w:rsidP="001F115E">
            <w:pPr>
              <w:tabs>
                <w:tab w:val="left" w:pos="284"/>
              </w:tabs>
              <w:rPr>
                <w:b/>
                <w:bCs/>
                <w:lang w:eastAsia="lt-LT"/>
              </w:rPr>
            </w:pPr>
            <w:r w:rsidRPr="001A0CAA">
              <w:rPr>
                <w:b/>
                <w:bCs/>
                <w:lang w:eastAsia="lt-LT"/>
              </w:rPr>
              <w:t>(Europos Parlamento ir Tarybos reglamentas (ES) 2021/2282)</w:t>
            </w:r>
          </w:p>
          <w:p w14:paraId="7B6C3C1B" w14:textId="77777777" w:rsidR="00336238" w:rsidRPr="001A0CAA" w:rsidRDefault="00336238" w:rsidP="001F115E">
            <w:pPr>
              <w:tabs>
                <w:tab w:val="left" w:pos="284"/>
              </w:tabs>
              <w:rPr>
                <w:b/>
                <w:bCs/>
                <w:lang w:eastAsia="lt-LT"/>
              </w:rPr>
            </w:pPr>
          </w:p>
        </w:tc>
        <w:tc>
          <w:tcPr>
            <w:tcW w:w="4962" w:type="dxa"/>
          </w:tcPr>
          <w:p w14:paraId="024AE31B" w14:textId="1A12498F" w:rsidR="00E70CED" w:rsidRPr="001A0CAA" w:rsidRDefault="00000000" w:rsidP="001F115E">
            <w:sdt>
              <w:sdtPr>
                <w:rPr>
                  <w:rStyle w:val="Style2"/>
                  <w:sz w:val="24"/>
                </w:rPr>
                <w:id w:val="-1171564470"/>
                <w15:color w:val="FFCC00"/>
                <w14:checkbox>
                  <w14:checked w14:val="0"/>
                  <w14:checkedState w14:val="2612" w14:font="MS Gothic"/>
                  <w14:uncheckedState w14:val="2610" w14:font="MS Gothic"/>
                </w14:checkbox>
              </w:sdtPr>
              <w:sdtContent>
                <w:r w:rsidR="00E70CED" w:rsidRPr="001A0CAA">
                  <w:rPr>
                    <w:rStyle w:val="Style2"/>
                    <w:rFonts w:ascii="Segoe UI Symbol" w:eastAsia="MS Gothic" w:hAnsi="Segoe UI Symbol" w:cs="Segoe UI Symbol"/>
                    <w:sz w:val="24"/>
                  </w:rPr>
                  <w:t>☐</w:t>
                </w:r>
              </w:sdtContent>
            </w:sdt>
            <w:r w:rsidR="00E70CED" w:rsidRPr="001A0CAA">
              <w:t xml:space="preserve"> Taip       </w:t>
            </w:r>
            <w:r w:rsidR="00E70CED" w:rsidRPr="001A0CAA">
              <w:rPr>
                <w:rStyle w:val="Style2"/>
                <w:sz w:val="24"/>
              </w:rPr>
              <w:t xml:space="preserve"> </w:t>
            </w:r>
            <w:sdt>
              <w:sdtPr>
                <w:rPr>
                  <w:rStyle w:val="Style2"/>
                  <w:sz w:val="24"/>
                </w:rPr>
                <w:id w:val="1448122567"/>
                <w15:color w:val="FFCC00"/>
                <w14:checkbox>
                  <w14:checked w14:val="1"/>
                  <w14:checkedState w14:val="2612" w14:font="MS Gothic"/>
                  <w14:uncheckedState w14:val="2610" w14:font="MS Gothic"/>
                </w14:checkbox>
              </w:sdtPr>
              <w:sdtContent>
                <w:r w:rsidR="00404F4E">
                  <w:rPr>
                    <w:rStyle w:val="Style2"/>
                    <w:rFonts w:ascii="MS Gothic" w:eastAsia="MS Gothic" w:hAnsi="MS Gothic" w:hint="eastAsia"/>
                    <w:sz w:val="24"/>
                  </w:rPr>
                  <w:t>☒</w:t>
                </w:r>
              </w:sdtContent>
            </w:sdt>
            <w:r w:rsidR="00E70CED" w:rsidRPr="001A0CAA">
              <w:t xml:space="preserve"> Ne</w:t>
            </w:r>
          </w:p>
          <w:p w14:paraId="0DF729B3" w14:textId="042856F7" w:rsidR="00E70CED" w:rsidRPr="001A0CAA" w:rsidRDefault="00E70CED" w:rsidP="001F115E">
            <w:pPr>
              <w:rPr>
                <w:rStyle w:val="Style2"/>
                <w:sz w:val="24"/>
              </w:rPr>
            </w:pPr>
            <w:r w:rsidRPr="001A0CAA">
              <w:t xml:space="preserve">Data: </w:t>
            </w:r>
            <w:sdt>
              <w:sdtPr>
                <w:alias w:val="Nurodykite konkrečią dieną"/>
                <w:tag w:val="Nurodykite pradžios datą"/>
                <w:id w:val="1516880001"/>
                <w:placeholder>
                  <w:docPart w:val="313EC56AA2FD440FAB92ED675BD36BA0"/>
                </w:placeholder>
                <w:showingPlcHdr/>
                <w15:color w:val="FFCC99"/>
                <w:date w:fullDate="2022-05-18T00:00:00Z">
                  <w:dateFormat w:val="yyyy 'm.' MMMM d 'd.'"/>
                  <w:lid w:val="lt-LT"/>
                  <w:storeMappedDataAs w:val="dateTime"/>
                  <w:calendar w:val="gregorian"/>
                </w:date>
              </w:sdtPr>
              <w:sdtContent>
                <w:r w:rsidRPr="001A0CAA">
                  <w:rPr>
                    <w:rStyle w:val="PlaceholderText"/>
                  </w:rPr>
                  <w:t>Click here to enter a date.</w:t>
                </w:r>
              </w:sdtContent>
            </w:sdt>
            <w:r w:rsidRPr="001A0CAA">
              <w:t xml:space="preserve"> </w:t>
            </w:r>
          </w:p>
        </w:tc>
      </w:tr>
      <w:tr w:rsidR="00E70CED" w:rsidRPr="00977D72" w14:paraId="15E36E93" w14:textId="77777777" w:rsidTr="003F3FFF">
        <w:trPr>
          <w:trHeight w:val="1278"/>
        </w:trPr>
        <w:tc>
          <w:tcPr>
            <w:tcW w:w="632" w:type="dxa"/>
          </w:tcPr>
          <w:p w14:paraId="5F43AA8F" w14:textId="77777777" w:rsidR="00E70CED" w:rsidRPr="00977D72" w:rsidRDefault="00E70CED" w:rsidP="001F115E">
            <w:pPr>
              <w:rPr>
                <w:rFonts w:eastAsia="Arial"/>
                <w:b/>
                <w:bCs/>
              </w:rPr>
            </w:pPr>
            <w:r w:rsidRPr="00977D72">
              <w:rPr>
                <w:rFonts w:eastAsia="Arial"/>
                <w:b/>
                <w:bCs/>
              </w:rPr>
              <w:t>1.6</w:t>
            </w:r>
          </w:p>
        </w:tc>
        <w:tc>
          <w:tcPr>
            <w:tcW w:w="3899" w:type="dxa"/>
          </w:tcPr>
          <w:p w14:paraId="41F32942" w14:textId="77777777" w:rsidR="00E70CED" w:rsidRPr="00977D72" w:rsidRDefault="00E70CED" w:rsidP="001F115E">
            <w:pPr>
              <w:rPr>
                <w:b/>
                <w:bCs/>
                <w:lang w:eastAsia="lt-LT"/>
              </w:rPr>
            </w:pPr>
            <w:r w:rsidRPr="00977D72">
              <w:rPr>
                <w:b/>
                <w:bCs/>
                <w:lang w:eastAsia="lt-LT"/>
              </w:rPr>
              <w:t xml:space="preserve">Teikiama kompensuoti terapinė indikacija </w:t>
            </w:r>
          </w:p>
          <w:p w14:paraId="2882A5BD" w14:textId="77777777" w:rsidR="00E70CED" w:rsidRPr="00977D72" w:rsidRDefault="00E70CED" w:rsidP="001F115E">
            <w:pPr>
              <w:rPr>
                <w:b/>
                <w:bCs/>
                <w:lang w:eastAsia="lt-LT"/>
              </w:rPr>
            </w:pPr>
          </w:p>
          <w:p w14:paraId="371D188E" w14:textId="77777777" w:rsidR="00E70CED" w:rsidRPr="00977D72" w:rsidRDefault="00E70CED" w:rsidP="001F115E">
            <w:pPr>
              <w:rPr>
                <w:b/>
                <w:bCs/>
                <w:lang w:eastAsia="lt-LT"/>
              </w:rPr>
            </w:pPr>
            <w:r w:rsidRPr="00977D72">
              <w:rPr>
                <w:b/>
                <w:bCs/>
                <w:lang w:eastAsia="lt-LT"/>
              </w:rPr>
              <w:t>Kodas pagal TLK-10 AM</w:t>
            </w:r>
          </w:p>
        </w:tc>
        <w:tc>
          <w:tcPr>
            <w:tcW w:w="4962" w:type="dxa"/>
          </w:tcPr>
          <w:p w14:paraId="07172DAB" w14:textId="77777777" w:rsidR="007C6D89" w:rsidRDefault="007C6D89" w:rsidP="007C6D89">
            <w:pPr>
              <w:jc w:val="both"/>
            </w:pPr>
            <w:r w:rsidRPr="00B0095F">
              <w:t>Amvuttra skirtas laukinio tipo arba paveldimai transtiretino</w:t>
            </w:r>
            <w:r>
              <w:t xml:space="preserve"> </w:t>
            </w:r>
            <w:r w:rsidRPr="00B0095F">
              <w:t>amiloidozei gydyti suaugusiems pacientams, sergantiems</w:t>
            </w:r>
            <w:r>
              <w:t xml:space="preserve"> </w:t>
            </w:r>
            <w:r w:rsidRPr="00B0095F">
              <w:t>kardiomiopatija</w:t>
            </w:r>
          </w:p>
          <w:p w14:paraId="10833DB8" w14:textId="5C0A3A7B" w:rsidR="00E70CED" w:rsidRPr="00977D72" w:rsidRDefault="007C6D89" w:rsidP="007C6D89">
            <w:pPr>
              <w:jc w:val="both"/>
            </w:pPr>
            <w:r w:rsidRPr="00B0095F">
              <w:t>TLK</w:t>
            </w:r>
            <w:r>
              <w:t>-</w:t>
            </w:r>
            <w:r w:rsidRPr="00B0095F">
              <w:t>10 AM kodas: E85.8 kartu su I43.1</w:t>
            </w:r>
          </w:p>
        </w:tc>
      </w:tr>
      <w:tr w:rsidR="00E70CED" w:rsidRPr="00977D72" w14:paraId="01C3C4F5" w14:textId="77777777" w:rsidTr="003F3FFF">
        <w:trPr>
          <w:trHeight w:val="378"/>
        </w:trPr>
        <w:tc>
          <w:tcPr>
            <w:tcW w:w="632" w:type="dxa"/>
          </w:tcPr>
          <w:p w14:paraId="5115AFC1" w14:textId="77777777" w:rsidR="00E70CED" w:rsidRPr="00977D72" w:rsidRDefault="00E70CED" w:rsidP="001F115E">
            <w:pPr>
              <w:rPr>
                <w:rFonts w:eastAsia="Arial"/>
                <w:b/>
                <w:bCs/>
              </w:rPr>
            </w:pPr>
            <w:r w:rsidRPr="00977D72">
              <w:rPr>
                <w:rFonts w:eastAsia="Arial"/>
                <w:b/>
                <w:bCs/>
              </w:rPr>
              <w:t>1.7</w:t>
            </w:r>
          </w:p>
        </w:tc>
        <w:tc>
          <w:tcPr>
            <w:tcW w:w="3899" w:type="dxa"/>
          </w:tcPr>
          <w:p w14:paraId="48045B5A" w14:textId="77777777" w:rsidR="00E70CED" w:rsidRPr="00977D72" w:rsidRDefault="00E70CED" w:rsidP="001F115E">
            <w:pPr>
              <w:rPr>
                <w:b/>
                <w:bCs/>
                <w:u w:val="single"/>
                <w:lang w:eastAsia="lt-LT"/>
              </w:rPr>
            </w:pPr>
            <w:r w:rsidRPr="00977D72">
              <w:rPr>
                <w:b/>
                <w:bCs/>
                <w:lang w:eastAsia="lt-LT"/>
              </w:rPr>
              <w:t xml:space="preserve">Teikiamos skyrimo sąlygos </w:t>
            </w:r>
          </w:p>
        </w:tc>
        <w:tc>
          <w:tcPr>
            <w:tcW w:w="4962" w:type="dxa"/>
          </w:tcPr>
          <w:p w14:paraId="7BC32428" w14:textId="0DBC418C" w:rsidR="001F115E" w:rsidRDefault="007C6D89" w:rsidP="001F115E">
            <w:r>
              <w:t>Atitinka registruotą indikaciją.</w:t>
            </w:r>
          </w:p>
          <w:p w14:paraId="6A31562C" w14:textId="77777777" w:rsidR="00E70CED" w:rsidRPr="00977D72" w:rsidRDefault="00E70CED" w:rsidP="001F115E"/>
        </w:tc>
      </w:tr>
      <w:tr w:rsidR="00E70CED" w:rsidRPr="00977D72" w14:paraId="3C32C984" w14:textId="77777777" w:rsidTr="003F3FFF">
        <w:trPr>
          <w:trHeight w:val="378"/>
        </w:trPr>
        <w:tc>
          <w:tcPr>
            <w:tcW w:w="632" w:type="dxa"/>
          </w:tcPr>
          <w:p w14:paraId="4E679EDB" w14:textId="77777777" w:rsidR="00E70CED" w:rsidRPr="00977D72" w:rsidRDefault="00E70CED" w:rsidP="001F115E">
            <w:pPr>
              <w:rPr>
                <w:rFonts w:eastAsia="Arial"/>
                <w:b/>
                <w:bCs/>
              </w:rPr>
            </w:pPr>
            <w:r>
              <w:rPr>
                <w:rFonts w:eastAsia="Arial"/>
                <w:b/>
                <w:bCs/>
              </w:rPr>
              <w:lastRenderedPageBreak/>
              <w:t>1.8</w:t>
            </w:r>
          </w:p>
        </w:tc>
        <w:tc>
          <w:tcPr>
            <w:tcW w:w="3899" w:type="dxa"/>
          </w:tcPr>
          <w:p w14:paraId="784605B5" w14:textId="3A924C79" w:rsidR="00E70CED" w:rsidRPr="00977D72" w:rsidRDefault="00E70CED" w:rsidP="001F115E">
            <w:pPr>
              <w:rPr>
                <w:b/>
                <w:bCs/>
                <w:lang w:eastAsia="lt-LT"/>
              </w:rPr>
            </w:pPr>
            <w:r w:rsidRPr="00977D72">
              <w:rPr>
                <w:b/>
                <w:bCs/>
                <w:lang w:eastAsia="lt-LT"/>
              </w:rPr>
              <w:t>Ekonominė analizė</w:t>
            </w:r>
          </w:p>
        </w:tc>
        <w:tc>
          <w:tcPr>
            <w:tcW w:w="4962" w:type="dxa"/>
          </w:tcPr>
          <w:p w14:paraId="3155F2E8" w14:textId="399CD7ED" w:rsidR="00E70CED" w:rsidRPr="001A0CAA" w:rsidRDefault="00000000" w:rsidP="001F115E">
            <w:sdt>
              <w:sdtPr>
                <w:rPr>
                  <w:rStyle w:val="Style2"/>
                  <w:sz w:val="24"/>
                </w:rPr>
                <w:id w:val="356323367"/>
                <w15:color w:val="FFCC00"/>
                <w14:checkbox>
                  <w14:checked w14:val="1"/>
                  <w14:checkedState w14:val="2612" w14:font="MS Gothic"/>
                  <w14:uncheckedState w14:val="2610" w14:font="MS Gothic"/>
                </w14:checkbox>
              </w:sdtPr>
              <w:sdtContent>
                <w:r w:rsidR="007C6D89">
                  <w:rPr>
                    <w:rStyle w:val="Style2"/>
                    <w:rFonts w:ascii="MS Gothic" w:eastAsia="MS Gothic" w:hAnsi="MS Gothic" w:hint="eastAsia"/>
                    <w:sz w:val="24"/>
                  </w:rPr>
                  <w:t>☒</w:t>
                </w:r>
              </w:sdtContent>
            </w:sdt>
            <w:r w:rsidR="00E70CED" w:rsidRPr="001A0CAA">
              <w:t xml:space="preserve"> Kaštų naudingumo analizė</w:t>
            </w:r>
          </w:p>
          <w:p w14:paraId="49547563" w14:textId="77777777" w:rsidR="00E70CED" w:rsidRPr="001A0CAA" w:rsidRDefault="00000000" w:rsidP="001F115E">
            <w:sdt>
              <w:sdtPr>
                <w:rPr>
                  <w:rStyle w:val="Style2"/>
                  <w:sz w:val="24"/>
                </w:rPr>
                <w:id w:val="-250506580"/>
                <w15:color w:val="FFCC00"/>
                <w14:checkbox>
                  <w14:checked w14:val="0"/>
                  <w14:checkedState w14:val="2612" w14:font="MS Gothic"/>
                  <w14:uncheckedState w14:val="2610" w14:font="MS Gothic"/>
                </w14:checkbox>
              </w:sdtPr>
              <w:sdtContent>
                <w:r w:rsidR="00E70CED" w:rsidRPr="001A0CAA">
                  <w:rPr>
                    <w:rStyle w:val="Style2"/>
                    <w:rFonts w:ascii="Segoe UI Symbol" w:eastAsia="MS Gothic" w:hAnsi="Segoe UI Symbol" w:cs="Segoe UI Symbol"/>
                    <w:sz w:val="24"/>
                  </w:rPr>
                  <w:t>☐</w:t>
                </w:r>
              </w:sdtContent>
            </w:sdt>
            <w:r w:rsidR="00E70CED" w:rsidRPr="001A0CAA">
              <w:t xml:space="preserve"> Kaštų mažinimo analizė</w:t>
            </w:r>
          </w:p>
          <w:p w14:paraId="42039008" w14:textId="5726D9D8" w:rsidR="00FE5878" w:rsidRDefault="00000000" w:rsidP="00FE5878">
            <w:sdt>
              <w:sdtPr>
                <w:rPr>
                  <w:rStyle w:val="Style2"/>
                  <w:sz w:val="24"/>
                </w:rPr>
                <w:id w:val="-1570647133"/>
                <w15:color w:val="FFCC00"/>
                <w14:checkbox>
                  <w14:checked w14:val="0"/>
                  <w14:checkedState w14:val="2612" w14:font="MS Gothic"/>
                  <w14:uncheckedState w14:val="2610" w14:font="MS Gothic"/>
                </w14:checkbox>
              </w:sdtPr>
              <w:sdtContent>
                <w:r w:rsidR="00FE5878" w:rsidRPr="001A0CAA">
                  <w:rPr>
                    <w:rStyle w:val="Style2"/>
                    <w:rFonts w:ascii="Segoe UI Symbol" w:eastAsia="MS Gothic" w:hAnsi="Segoe UI Symbol" w:cs="Segoe UI Symbol"/>
                    <w:sz w:val="24"/>
                  </w:rPr>
                  <w:t>☐</w:t>
                </w:r>
              </w:sdtContent>
            </w:sdt>
            <w:r w:rsidR="00FE5878" w:rsidRPr="001A0CAA">
              <w:t xml:space="preserve"> </w:t>
            </w:r>
            <w:r w:rsidR="00FE5878">
              <w:t>Neteikiama</w:t>
            </w:r>
          </w:p>
          <w:p w14:paraId="5DC5A0C1" w14:textId="77777777" w:rsidR="00FE5878" w:rsidRPr="001A0CAA" w:rsidRDefault="00FE5878" w:rsidP="001F115E"/>
          <w:p w14:paraId="4B0FE78C" w14:textId="77777777" w:rsidR="00E70CED" w:rsidRPr="00977D72" w:rsidRDefault="00E70CED" w:rsidP="001F115E"/>
        </w:tc>
      </w:tr>
    </w:tbl>
    <w:p w14:paraId="2EB7FD31" w14:textId="5615B363" w:rsidR="007A2B68" w:rsidRPr="000203E1" w:rsidRDefault="00DC261A" w:rsidP="00063A50">
      <w:pPr>
        <w:pStyle w:val="ListParagraph"/>
        <w:tabs>
          <w:tab w:val="left" w:pos="426"/>
        </w:tabs>
        <w:ind w:left="0"/>
        <w:jc w:val="center"/>
        <w:rPr>
          <w:b/>
          <w:bCs/>
          <w:caps/>
        </w:rPr>
      </w:pPr>
      <w:r w:rsidRPr="00DC261A">
        <w:rPr>
          <w:b/>
          <w:bCs/>
          <w:caps/>
        </w:rPr>
        <w:t>___________________</w:t>
      </w:r>
    </w:p>
    <w:p w14:paraId="73290081" w14:textId="77777777" w:rsidR="007A2B68" w:rsidRPr="000203E1" w:rsidRDefault="007A2B68">
      <w:pPr>
        <w:rPr>
          <w:b/>
          <w:bCs/>
          <w:caps/>
        </w:rPr>
      </w:pPr>
      <w:r w:rsidRPr="000203E1">
        <w:rPr>
          <w:b/>
          <w:bCs/>
          <w:caps/>
        </w:rPr>
        <w:br w:type="page"/>
      </w:r>
    </w:p>
    <w:p w14:paraId="5055E8A8" w14:textId="4861156F" w:rsidR="002E6F80" w:rsidRPr="000203E1" w:rsidRDefault="00CC7832" w:rsidP="00CC09D4">
      <w:pPr>
        <w:pStyle w:val="ListParagraph"/>
        <w:numPr>
          <w:ilvl w:val="0"/>
          <w:numId w:val="12"/>
        </w:numPr>
        <w:tabs>
          <w:tab w:val="left" w:pos="567"/>
        </w:tabs>
        <w:ind w:hanging="720"/>
        <w:rPr>
          <w:b/>
          <w:bCs/>
          <w:caps/>
        </w:rPr>
      </w:pPr>
      <w:r w:rsidRPr="000203E1">
        <w:rPr>
          <w:b/>
          <w:bCs/>
          <w:caps/>
        </w:rPr>
        <w:lastRenderedPageBreak/>
        <w:t>Klinikinio vertinimo a</w:t>
      </w:r>
      <w:r w:rsidR="00D4485B" w:rsidRPr="000203E1">
        <w:rPr>
          <w:b/>
          <w:bCs/>
          <w:caps/>
        </w:rPr>
        <w:t>pibendrinimas</w:t>
      </w:r>
    </w:p>
    <w:p w14:paraId="39C1ADA8" w14:textId="77777777" w:rsidR="00AC5129" w:rsidRDefault="00AC5129" w:rsidP="00A93AA6">
      <w:pPr>
        <w:pStyle w:val="ListParagraph"/>
        <w:tabs>
          <w:tab w:val="left" w:pos="426"/>
        </w:tabs>
        <w:ind w:left="0"/>
        <w:rPr>
          <w:b/>
          <w:bCs/>
          <w:caps/>
        </w:rPr>
      </w:pPr>
    </w:p>
    <w:p w14:paraId="1C7647EE" w14:textId="77777777" w:rsidR="00AD3149" w:rsidRDefault="00AD3149" w:rsidP="005C0729">
      <w:pPr>
        <w:tabs>
          <w:tab w:val="left" w:pos="426"/>
        </w:tabs>
        <w:spacing w:line="276" w:lineRule="auto"/>
        <w:jc w:val="both"/>
        <w:rPr>
          <w:rFonts w:eastAsia="Arial"/>
          <w:bCs/>
        </w:rPr>
      </w:pPr>
      <w:r>
        <w:rPr>
          <w:rFonts w:eastAsia="Arial"/>
          <w:bCs/>
        </w:rPr>
        <w:tab/>
      </w:r>
      <w:r>
        <w:rPr>
          <w:rFonts w:eastAsia="Arial"/>
          <w:bCs/>
        </w:rPr>
        <w:tab/>
        <w:t>Širdies amiloidozė arba amiloidinė</w:t>
      </w:r>
      <w:r w:rsidRPr="0059394B">
        <w:rPr>
          <w:rFonts w:eastAsia="Arial"/>
          <w:bCs/>
        </w:rPr>
        <w:t xml:space="preserve"> kardiomiopatija</w:t>
      </w:r>
      <w:r>
        <w:rPr>
          <w:rFonts w:eastAsia="Arial"/>
          <w:bCs/>
        </w:rPr>
        <w:t xml:space="preserve"> </w:t>
      </w:r>
      <w:r w:rsidRPr="0059394B">
        <w:rPr>
          <w:rFonts w:eastAsia="Arial"/>
          <w:bCs/>
        </w:rPr>
        <w:t xml:space="preserve">– </w:t>
      </w:r>
      <w:r>
        <w:rPr>
          <w:rFonts w:eastAsia="Arial"/>
          <w:bCs/>
        </w:rPr>
        <w:t xml:space="preserve">restrikcinė širdies liga, kurią sukelia ekstraląstelinių baltymų kaupimasis miokarde. Išskiriami du vyraujantys ligos tipai: lengvųjų grandinių (AL) ir transtiretino (ATTR) amiloidozė. Pastaroji skirstoma į laukinio tipo (angl. </w:t>
      </w:r>
      <w:r>
        <w:rPr>
          <w:rFonts w:eastAsia="Arial"/>
          <w:bCs/>
          <w:i/>
          <w:iCs/>
        </w:rPr>
        <w:t>wild-type</w:t>
      </w:r>
      <w:r>
        <w:rPr>
          <w:rFonts w:eastAsia="Arial"/>
          <w:bCs/>
        </w:rPr>
        <w:t xml:space="preserve">, wtATTR; sudaro &gt;90% visų atvejų) ir paveldimą/pakitusią (angl. </w:t>
      </w:r>
      <w:r>
        <w:rPr>
          <w:rFonts w:eastAsia="Arial"/>
          <w:bCs/>
          <w:i/>
          <w:iCs/>
        </w:rPr>
        <w:t>hereditary/variant</w:t>
      </w:r>
      <w:r>
        <w:rPr>
          <w:rFonts w:eastAsia="Arial"/>
          <w:bCs/>
        </w:rPr>
        <w:t>; vATTR; sudaro &lt;10% visų atvejų).  Nors šiuo metu ši liga yra nustatoma retai, skaičiuojama, jog nuo 6 iki 16% pacientų, vyresnių nei 65 metai, kuriems nustatyta neaiškios kilmės kairiojo skilvelio hipertrofija, širdies nepakankamumas (ŠN) su išlikusia išstūmimo frakcija arba didelio laipsnio aortos vožtuvo stenozė, galėtų būti nustatoma ATTR kardiomiopatija (ATTR-KMP).</w:t>
      </w:r>
    </w:p>
    <w:p w14:paraId="00B23767" w14:textId="77777777" w:rsidR="00AD3149" w:rsidRDefault="00AD3149" w:rsidP="005C0729">
      <w:pPr>
        <w:tabs>
          <w:tab w:val="left" w:pos="426"/>
        </w:tabs>
        <w:spacing w:line="276" w:lineRule="auto"/>
        <w:jc w:val="both"/>
        <w:rPr>
          <w:rFonts w:eastAsia="Arial"/>
          <w:bCs/>
        </w:rPr>
      </w:pPr>
      <w:r>
        <w:rPr>
          <w:rFonts w:eastAsia="Arial"/>
          <w:bCs/>
        </w:rPr>
        <w:tab/>
      </w:r>
      <w:r>
        <w:rPr>
          <w:rFonts w:eastAsia="Arial"/>
          <w:bCs/>
        </w:rPr>
        <w:tab/>
      </w:r>
      <w:r>
        <w:rPr>
          <w:rFonts w:eastAsia="Arial"/>
          <w:bCs/>
          <w:i/>
          <w:iCs/>
        </w:rPr>
        <w:t>Orphanet</w:t>
      </w:r>
      <w:r>
        <w:rPr>
          <w:rFonts w:eastAsia="Arial"/>
          <w:bCs/>
        </w:rPr>
        <w:t xml:space="preserve"> duomenimis, wtATTR paplitimas yra 1 – 5/10 tūkst., vATTR – 1 – 9 / 1 mln. asmenų. Vertinant kitas epidemiologines studijas, šios ligos paplitimas tarp valstybių reikšmingai skiriasi: Jungtinėse Amerikos Valstijose ATTR-KMP paplitimas yra 6,09 / 1 mln. pacientų, Šiaurės Europoje (Danijoje, Norvegijoje, Švedijoje, Suomijoje) – nuo 14 iki 50 / 1 mln. asmenų. Liga dažniausiai nustatoma vyresniems nei 65 metų asmenims, vyrai serga dažniau nei moterys.</w:t>
      </w:r>
    </w:p>
    <w:p w14:paraId="500417E6" w14:textId="77777777" w:rsidR="00AD3149" w:rsidRDefault="00AD3149" w:rsidP="005C0729">
      <w:pPr>
        <w:tabs>
          <w:tab w:val="left" w:pos="567"/>
        </w:tabs>
        <w:spacing w:line="276" w:lineRule="auto"/>
        <w:jc w:val="both"/>
        <w:rPr>
          <w:rFonts w:eastAsia="Arial"/>
          <w:bCs/>
        </w:rPr>
      </w:pPr>
      <w:r>
        <w:rPr>
          <w:iCs/>
          <w:color w:val="00B050"/>
        </w:rPr>
        <w:tab/>
      </w:r>
      <w:r>
        <w:rPr>
          <w:iCs/>
          <w:color w:val="00B050"/>
        </w:rPr>
        <w:tab/>
      </w:r>
      <w:r>
        <w:rPr>
          <w:rFonts w:eastAsia="Arial"/>
          <w:bCs/>
        </w:rPr>
        <w:t>Išskiriamas simptominis ir etiopatogenetinis ATTR gydymas. Esant ŠN simptomams, gali būti skiriami kilpiniai diuretikai kartu su mineralkortikoidų receptorių antagonistais (MRA) ir/ar SGLT2 inhibitoriais (SGLT2i), vengiama hipovolemijos. Kiti ŠN gydymui skiriami vaistai (beta adrenoblokatoriai, BAB, angiotenziną konvertuojančio fermento inhibitoriai, AKFI, angiotenzino receptorių blokatoriai, ARB, angiotenzino – neprilizino receptorių inhibitoriai, ARNI) amiloidinė kardiomiopatijos atveju dažnai netinkami dėl hipotenzijos. Esant prieširdžių virpėjimui, skiriamas gydymas antikoaguliantais ir antiaritminis gydymas amiodaronu.</w:t>
      </w:r>
    </w:p>
    <w:p w14:paraId="4815B636" w14:textId="77777777" w:rsidR="00AD3149" w:rsidRDefault="00AD3149" w:rsidP="005C0729">
      <w:pPr>
        <w:tabs>
          <w:tab w:val="left" w:pos="567"/>
        </w:tabs>
        <w:spacing w:line="276" w:lineRule="auto"/>
        <w:jc w:val="both"/>
        <w:rPr>
          <w:rFonts w:eastAsia="Arial"/>
          <w:bCs/>
        </w:rPr>
      </w:pPr>
      <w:r>
        <w:rPr>
          <w:rFonts w:eastAsia="Arial"/>
          <w:bCs/>
        </w:rPr>
        <w:tab/>
      </w:r>
      <w:r>
        <w:rPr>
          <w:rFonts w:eastAsia="Arial"/>
          <w:bCs/>
        </w:rPr>
        <w:tab/>
        <w:t xml:space="preserve">Transtiretino gamybos sumažinimas ir būklės stabilizavimas sudaro etiopatogenetinio ATTR gydymo pagrindą. Išskiriami </w:t>
      </w:r>
      <w:r w:rsidRPr="003913A7">
        <w:rPr>
          <w:rFonts w:eastAsia="Arial"/>
          <w:bCs/>
        </w:rPr>
        <w:t>TTR baltymo stabilizatoriai (</w:t>
      </w:r>
      <w:r>
        <w:rPr>
          <w:rFonts w:eastAsia="Arial"/>
          <w:bCs/>
        </w:rPr>
        <w:t>t</w:t>
      </w:r>
      <w:r w:rsidRPr="003913A7">
        <w:rPr>
          <w:rFonts w:eastAsia="Arial"/>
          <w:bCs/>
        </w:rPr>
        <w:t xml:space="preserve">afamidis, </w:t>
      </w:r>
      <w:r>
        <w:rPr>
          <w:rFonts w:eastAsia="Arial"/>
          <w:bCs/>
        </w:rPr>
        <w:t>ak</w:t>
      </w:r>
      <w:r w:rsidRPr="003913A7">
        <w:rPr>
          <w:rFonts w:eastAsia="Arial"/>
          <w:bCs/>
        </w:rPr>
        <w:t>oramidis) ir</w:t>
      </w:r>
      <w:r>
        <w:rPr>
          <w:rFonts w:eastAsia="Arial"/>
          <w:bCs/>
        </w:rPr>
        <w:t xml:space="preserve"> </w:t>
      </w:r>
      <w:r w:rsidRPr="003913A7">
        <w:rPr>
          <w:rFonts w:eastAsia="Arial"/>
          <w:bCs/>
        </w:rPr>
        <w:t>TTR baltymo sintez</w:t>
      </w:r>
      <w:r w:rsidRPr="003913A7">
        <w:rPr>
          <w:rFonts w:eastAsia="Arial" w:hint="eastAsia"/>
          <w:bCs/>
        </w:rPr>
        <w:t>ę</w:t>
      </w:r>
      <w:r w:rsidRPr="003913A7">
        <w:rPr>
          <w:rFonts w:eastAsia="Arial"/>
          <w:bCs/>
        </w:rPr>
        <w:t xml:space="preserve"> slopinantys vaistai</w:t>
      </w:r>
      <w:r>
        <w:rPr>
          <w:rFonts w:eastAsia="Arial"/>
          <w:bCs/>
        </w:rPr>
        <w:t xml:space="preserve"> (pvz., patisiranas</w:t>
      </w:r>
      <w:r w:rsidRPr="003913A7">
        <w:rPr>
          <w:rFonts w:eastAsia="Arial"/>
          <w:bCs/>
        </w:rPr>
        <w:t>).</w:t>
      </w:r>
    </w:p>
    <w:p w14:paraId="03FC0AE4" w14:textId="77777777" w:rsidR="00AD3149" w:rsidRDefault="00AD3149" w:rsidP="005C0729">
      <w:pPr>
        <w:tabs>
          <w:tab w:val="left" w:pos="567"/>
        </w:tabs>
        <w:spacing w:line="276" w:lineRule="auto"/>
        <w:jc w:val="both"/>
      </w:pPr>
      <w:r>
        <w:rPr>
          <w:rFonts w:eastAsia="Arial"/>
          <w:bCs/>
        </w:rPr>
        <w:tab/>
      </w:r>
      <w:r>
        <w:rPr>
          <w:rFonts w:eastAsia="Arial"/>
          <w:bCs/>
        </w:rPr>
        <w:tab/>
      </w:r>
      <w:r w:rsidRPr="007E7C24">
        <w:t xml:space="preserve">Pareiškėjas siūlo, jog </w:t>
      </w:r>
      <w:r>
        <w:t xml:space="preserve">vutrisirano monoterapija </w:t>
      </w:r>
      <w:r w:rsidRPr="007E7C24">
        <w:t xml:space="preserve">šiuo metu Lietuvoje taikomoje gydymo schemoje turėtų papildyti </w:t>
      </w:r>
      <w:r>
        <w:t>standartinį</w:t>
      </w:r>
      <w:r w:rsidRPr="007E7C24">
        <w:t xml:space="preserve"> </w:t>
      </w:r>
      <w:r w:rsidRPr="007E7C24">
        <w:rPr>
          <w:rFonts w:eastAsia="Arial"/>
          <w:color w:val="000000" w:themeColor="text1"/>
        </w:rPr>
        <w:t xml:space="preserve">(širdies nepakankamumo, tromboembolininių komplikacijų prevencija, ritmo ir laidumo sutrikimų) </w:t>
      </w:r>
      <w:r w:rsidRPr="007E7C24">
        <w:t>gydymą,</w:t>
      </w:r>
      <w:r>
        <w:t xml:space="preserve"> paraiškoje nurodydamas, jog „l</w:t>
      </w:r>
      <w:r w:rsidRPr="000E2A8E">
        <w:t>ig</w:t>
      </w:r>
      <w:r w:rsidRPr="000E2A8E">
        <w:rPr>
          <w:rFonts w:hint="eastAsia"/>
        </w:rPr>
        <w:t>ą</w:t>
      </w:r>
      <w:r w:rsidRPr="000E2A8E">
        <w:t xml:space="preserve"> modifikuojantys vaistai Lietuvoje n</w:t>
      </w:r>
      <w:r w:rsidRPr="000E2A8E">
        <w:rPr>
          <w:rFonts w:hint="eastAsia"/>
        </w:rPr>
        <w:t>ė</w:t>
      </w:r>
      <w:r w:rsidRPr="000E2A8E">
        <w:t>ra kompensuojami</w:t>
      </w:r>
      <w:r>
        <w:t>“</w:t>
      </w:r>
      <w:r w:rsidRPr="007E7C24">
        <w:t>.</w:t>
      </w:r>
      <w:r w:rsidRPr="007E7C24">
        <w:rPr>
          <w:b/>
          <w:bCs/>
        </w:rPr>
        <w:t xml:space="preserve"> </w:t>
      </w:r>
      <w:r w:rsidRPr="007E7C24">
        <w:t>ŠN (pagal TLK-10 AM kodą I50) kompensuojami BAB, AKFI/ARB/ARNI, MRA, SGLT2 inhibitoriai, diuretikai.</w:t>
      </w:r>
      <w:r>
        <w:t xml:space="preserve"> </w:t>
      </w:r>
      <w:r w:rsidRPr="004A2242">
        <w:t>Remiantis VLK pateiktais duomenimis, tafamidis buvo pradėtas kompensuot</w:t>
      </w:r>
      <w:r>
        <w:t>i</w:t>
      </w:r>
      <w:r w:rsidRPr="004A2242">
        <w:t xml:space="preserve"> 2022 m. retų ligų komisijos sprendimu (TLK-10 AM kodai E85.8 ir I43.1). 2022 m. Lietuvoje tafamidis buvo kompensuojamas 7, 2023 m. – 19, 2024 m. – 32 pacientams</w:t>
      </w:r>
      <w:r>
        <w:t xml:space="preserve">.  Nuo 2025 m. retų ligų komisijos sprendimu buvo pradėtas kompensuoti ir akoramidis. </w:t>
      </w:r>
      <w:r>
        <w:rPr>
          <w:rFonts w:eastAsia="Arial"/>
          <w:color w:val="000000" w:themeColor="text1"/>
        </w:rPr>
        <w:t xml:space="preserve">ATTR-KMP simptomų (širdies nepakankamumo, tromboembolininių komplikacijų prevencija, ritmo ir laidumo sutrikimų gydymas) valdymui taikoma geriausia palaikomoji priežiūra ir etiopatogenezinis gydymas tafamidžiu ar akoramidžiu </w:t>
      </w:r>
      <w:r>
        <w:t>įvertintas kaip tinkamas palyginamasis gydymas.</w:t>
      </w:r>
    </w:p>
    <w:p w14:paraId="773A7510" w14:textId="77777777" w:rsidR="00AD3149" w:rsidRDefault="00AD3149" w:rsidP="005C0729">
      <w:pPr>
        <w:tabs>
          <w:tab w:val="left" w:pos="567"/>
        </w:tabs>
        <w:spacing w:line="276" w:lineRule="auto"/>
        <w:jc w:val="both"/>
      </w:pPr>
    </w:p>
    <w:p w14:paraId="18A9D569" w14:textId="77777777" w:rsidR="00AD3149" w:rsidRPr="00D26F19" w:rsidRDefault="00AD3149" w:rsidP="005C0729">
      <w:pPr>
        <w:widowControl w:val="0"/>
        <w:spacing w:line="276" w:lineRule="auto"/>
        <w:jc w:val="both"/>
        <w:rPr>
          <w:bCs/>
          <w:i/>
          <w:iCs/>
          <w:color w:val="000000"/>
          <w:lang w:eastAsia="lt-LT"/>
        </w:rPr>
      </w:pPr>
      <w:r>
        <w:rPr>
          <w:bCs/>
          <w:i/>
          <w:iCs/>
          <w:color w:val="000000"/>
          <w:lang w:eastAsia="lt-LT"/>
        </w:rPr>
        <w:t>Tiesioginis</w:t>
      </w:r>
      <w:r w:rsidRPr="00D26F19">
        <w:rPr>
          <w:bCs/>
          <w:i/>
          <w:iCs/>
          <w:color w:val="000000"/>
          <w:lang w:eastAsia="lt-LT"/>
        </w:rPr>
        <w:t xml:space="preserve"> palyginimas</w:t>
      </w:r>
    </w:p>
    <w:p w14:paraId="466CD484" w14:textId="77777777" w:rsidR="00AD3149" w:rsidRDefault="00AD3149" w:rsidP="005C0729">
      <w:pPr>
        <w:tabs>
          <w:tab w:val="left" w:pos="567"/>
        </w:tabs>
        <w:spacing w:line="276" w:lineRule="auto"/>
        <w:jc w:val="both"/>
      </w:pPr>
    </w:p>
    <w:p w14:paraId="5821AEB5" w14:textId="77777777" w:rsidR="00AD3149" w:rsidRDefault="00AD3149" w:rsidP="005C0729">
      <w:pPr>
        <w:tabs>
          <w:tab w:val="left" w:pos="567"/>
        </w:tabs>
        <w:spacing w:line="276" w:lineRule="auto"/>
        <w:jc w:val="both"/>
        <w:rPr>
          <w:bCs/>
          <w:color w:val="000000"/>
          <w:lang w:eastAsia="lt-LT"/>
        </w:rPr>
      </w:pPr>
      <w:r>
        <w:tab/>
      </w:r>
      <w:r>
        <w:tab/>
        <w:t xml:space="preserve">Klinikinis vertinimas buvo atliktas pagal paraiškoje pateiktą klinikinį tyrimą HELIOS-B. </w:t>
      </w:r>
      <w:r>
        <w:rPr>
          <w:bCs/>
          <w:color w:val="000000"/>
          <w:lang w:eastAsia="lt-LT"/>
        </w:rPr>
        <w:t>T</w:t>
      </w:r>
      <w:r w:rsidRPr="00497D50">
        <w:rPr>
          <w:bCs/>
          <w:color w:val="000000"/>
          <w:lang w:eastAsia="lt-LT"/>
        </w:rPr>
        <w:t xml:space="preserve">yrimo populiacija </w:t>
      </w:r>
      <w:r>
        <w:rPr>
          <w:bCs/>
          <w:color w:val="000000"/>
          <w:lang w:eastAsia="lt-LT"/>
        </w:rPr>
        <w:t>įvertinta kaip</w:t>
      </w:r>
      <w:r w:rsidRPr="00497D50">
        <w:rPr>
          <w:bCs/>
          <w:color w:val="000000"/>
          <w:lang w:eastAsia="lt-LT"/>
        </w:rPr>
        <w:t xml:space="preserve"> tinkama vertinant rezultatų pritaikomumą Lietuvos populiacijai.</w:t>
      </w:r>
      <w:r>
        <w:rPr>
          <w:bCs/>
          <w:color w:val="000000"/>
          <w:lang w:eastAsia="lt-LT"/>
        </w:rPr>
        <w:t xml:space="preserve"> </w:t>
      </w:r>
      <w:r w:rsidRPr="0019726A">
        <w:rPr>
          <w:bCs/>
          <w:color w:val="000000"/>
          <w:lang w:eastAsia="lt-LT"/>
        </w:rPr>
        <w:t xml:space="preserve">Klinikiniame tyrime </w:t>
      </w:r>
      <w:r w:rsidRPr="00FB55F3">
        <w:rPr>
          <w:bCs/>
          <w:color w:val="000000"/>
          <w:lang w:eastAsia="lt-LT"/>
        </w:rPr>
        <w:t>analizuojamas palyginamasis gydymas (placebo)</w:t>
      </w:r>
      <w:r>
        <w:rPr>
          <w:bCs/>
          <w:color w:val="000000"/>
          <w:lang w:eastAsia="lt-LT"/>
        </w:rPr>
        <w:t xml:space="preserve"> </w:t>
      </w:r>
      <w:r w:rsidRPr="0019726A">
        <w:rPr>
          <w:bCs/>
          <w:color w:val="000000"/>
          <w:lang w:eastAsia="lt-LT"/>
        </w:rPr>
        <w:t>neatitinka įprastinės klinikinės praktikos Lietuvoje (gydymo tafamidžiu ar akoramidžiu).</w:t>
      </w:r>
    </w:p>
    <w:p w14:paraId="1F383F08" w14:textId="77777777" w:rsidR="00AD3149" w:rsidRDefault="00AD3149" w:rsidP="005C0729">
      <w:pPr>
        <w:tabs>
          <w:tab w:val="left" w:pos="567"/>
        </w:tabs>
        <w:spacing w:line="276" w:lineRule="auto"/>
        <w:jc w:val="both"/>
        <w:rPr>
          <w:bCs/>
          <w:color w:val="000000"/>
          <w:lang w:eastAsia="lt-LT"/>
        </w:rPr>
      </w:pPr>
      <w:r>
        <w:rPr>
          <w:bCs/>
          <w:color w:val="000000"/>
          <w:lang w:eastAsia="lt-LT"/>
        </w:rPr>
        <w:tab/>
      </w:r>
      <w:r>
        <w:rPr>
          <w:bCs/>
          <w:color w:val="000000"/>
          <w:lang w:eastAsia="lt-LT"/>
        </w:rPr>
        <w:tab/>
        <w:t>Šia</w:t>
      </w:r>
      <w:r w:rsidRPr="00D26F19">
        <w:rPr>
          <w:bCs/>
          <w:color w:val="000000"/>
          <w:lang w:eastAsia="lt-LT"/>
        </w:rPr>
        <w:t xml:space="preserve">me </w:t>
      </w:r>
      <w:r>
        <w:rPr>
          <w:bCs/>
          <w:color w:val="000000"/>
          <w:lang w:eastAsia="lt-LT"/>
        </w:rPr>
        <w:t xml:space="preserve">tyrime </w:t>
      </w:r>
      <w:r w:rsidRPr="00D26F19">
        <w:rPr>
          <w:bCs/>
          <w:color w:val="000000"/>
          <w:lang w:eastAsia="lt-LT"/>
        </w:rPr>
        <w:t xml:space="preserve">įrodyta, jog 18 – </w:t>
      </w:r>
      <w:r>
        <w:rPr>
          <w:bCs/>
          <w:color w:val="000000"/>
          <w:lang w:eastAsia="lt-LT"/>
        </w:rPr>
        <w:t>85</w:t>
      </w:r>
      <w:r w:rsidRPr="00D26F19">
        <w:rPr>
          <w:bCs/>
          <w:color w:val="000000"/>
          <w:lang w:eastAsia="lt-LT"/>
        </w:rPr>
        <w:t xml:space="preserve"> metų pacientams, kuriems </w:t>
      </w:r>
      <w:r w:rsidRPr="00D26F19">
        <w:rPr>
          <w:rFonts w:eastAsia="Arial"/>
          <w:bCs/>
        </w:rPr>
        <w:t>nustatyta laukinio tipo ar paveldima ATTR-KMP</w:t>
      </w:r>
      <w:r>
        <w:rPr>
          <w:bCs/>
          <w:color w:val="000000"/>
          <w:lang w:eastAsia="lt-LT"/>
        </w:rPr>
        <w:t>, vutrisiranas</w:t>
      </w:r>
      <w:r w:rsidRPr="001832F2">
        <w:rPr>
          <w:rFonts w:eastAsia="Arial"/>
          <w:bCs/>
        </w:rPr>
        <w:t xml:space="preserve"> </w:t>
      </w:r>
      <w:r>
        <w:rPr>
          <w:rFonts w:eastAsia="Arial"/>
          <w:bCs/>
        </w:rPr>
        <w:t>bendrojoje (iki 40% į tyrimą įtrauktų pacientų vartojo tafamidį) ir monoterapijos (nevartojančių tafamidį) populiacijose</w:t>
      </w:r>
      <w:r>
        <w:rPr>
          <w:bCs/>
          <w:color w:val="000000"/>
          <w:lang w:eastAsia="lt-LT"/>
        </w:rPr>
        <w:t xml:space="preserve"> 28</w:t>
      </w:r>
      <w:r w:rsidRPr="00D26F19">
        <w:rPr>
          <w:bCs/>
          <w:color w:val="000000"/>
          <w:lang w:eastAsia="lt-LT"/>
        </w:rPr>
        <w:t>%</w:t>
      </w:r>
      <w:r>
        <w:rPr>
          <w:bCs/>
          <w:color w:val="000000"/>
          <w:lang w:eastAsia="lt-LT"/>
        </w:rPr>
        <w:t xml:space="preserve"> (</w:t>
      </w:r>
      <w:r>
        <w:rPr>
          <w:rFonts w:eastAsia="Arial"/>
          <w:bCs/>
        </w:rPr>
        <w:t>(RS 0,72; 95% PI 0,56 – 0,93; P=0,01)</w:t>
      </w:r>
      <w:r w:rsidRPr="00D26F19">
        <w:rPr>
          <w:bCs/>
          <w:color w:val="000000"/>
          <w:lang w:eastAsia="lt-LT"/>
        </w:rPr>
        <w:t xml:space="preserve"> </w:t>
      </w:r>
      <w:r w:rsidRPr="00D26F19">
        <w:rPr>
          <w:bCs/>
          <w:color w:val="000000"/>
          <w:lang w:eastAsia="lt-LT"/>
        </w:rPr>
        <w:lastRenderedPageBreak/>
        <w:t>ir 3</w:t>
      </w:r>
      <w:r>
        <w:rPr>
          <w:bCs/>
          <w:color w:val="000000"/>
          <w:lang w:eastAsia="lt-LT"/>
        </w:rPr>
        <w:t>3</w:t>
      </w:r>
      <w:r w:rsidRPr="00D26F19">
        <w:rPr>
          <w:bCs/>
          <w:color w:val="000000"/>
          <w:lang w:eastAsia="lt-LT"/>
        </w:rPr>
        <w:t>%</w:t>
      </w:r>
      <w:r>
        <w:rPr>
          <w:bCs/>
          <w:color w:val="000000"/>
          <w:lang w:eastAsia="lt-LT"/>
        </w:rPr>
        <w:t xml:space="preserve"> (</w:t>
      </w:r>
      <w:r>
        <w:rPr>
          <w:rFonts w:eastAsia="Arial"/>
          <w:bCs/>
        </w:rPr>
        <w:t>(RS 0,67; 95% PI 0,49 – 0,93; P=0,01)</w:t>
      </w:r>
      <w:r w:rsidRPr="00D26F19">
        <w:rPr>
          <w:bCs/>
          <w:color w:val="000000"/>
          <w:lang w:eastAsia="lt-LT"/>
        </w:rPr>
        <w:t xml:space="preserve"> sumažina mirties nuo bet kokios priežasties</w:t>
      </w:r>
      <w:r w:rsidRPr="00D26F19">
        <w:rPr>
          <w:b/>
          <w:color w:val="000000"/>
          <w:lang w:eastAsia="lt-LT"/>
        </w:rPr>
        <w:t xml:space="preserve"> </w:t>
      </w:r>
      <w:r>
        <w:rPr>
          <w:bCs/>
          <w:color w:val="000000"/>
          <w:lang w:eastAsia="lt-LT"/>
        </w:rPr>
        <w:t>bei kardiovaskulinio įvykio</w:t>
      </w:r>
      <w:r w:rsidRPr="00D26F19">
        <w:rPr>
          <w:bCs/>
          <w:color w:val="000000"/>
          <w:lang w:eastAsia="lt-LT"/>
        </w:rPr>
        <w:t xml:space="preserve"> rizik</w:t>
      </w:r>
      <w:r>
        <w:rPr>
          <w:bCs/>
          <w:color w:val="000000"/>
          <w:lang w:eastAsia="lt-LT"/>
        </w:rPr>
        <w:t>ą po 36 mėn.</w:t>
      </w:r>
      <w:r w:rsidRPr="00D26F19">
        <w:rPr>
          <w:rFonts w:eastAsia="Arial"/>
          <w:bCs/>
        </w:rPr>
        <w:t>,</w:t>
      </w:r>
      <w:r w:rsidRPr="00D26F19">
        <w:rPr>
          <w:bCs/>
          <w:color w:val="000000"/>
          <w:lang w:eastAsia="lt-LT"/>
        </w:rPr>
        <w:t xml:space="preserve"> lyginant su placebo (pirminės hierarchinės baigtys).</w:t>
      </w:r>
    </w:p>
    <w:p w14:paraId="4BD6D140" w14:textId="77777777" w:rsidR="00AD3149" w:rsidRDefault="00AD3149" w:rsidP="005C0729">
      <w:pPr>
        <w:widowControl w:val="0"/>
        <w:spacing w:line="276" w:lineRule="auto"/>
        <w:ind w:firstLine="680"/>
        <w:jc w:val="both"/>
        <w:rPr>
          <w:rFonts w:eastAsia="Arial"/>
          <w:bCs/>
        </w:rPr>
      </w:pPr>
      <w:r>
        <w:rPr>
          <w:bCs/>
          <w:color w:val="000000"/>
          <w:lang w:eastAsia="lt-LT"/>
        </w:rPr>
        <w:t xml:space="preserve">Vertinant svarbiausias antrines vertinamąsias baigtis, </w:t>
      </w:r>
      <w:r>
        <w:rPr>
          <w:rFonts w:eastAsia="Arial"/>
          <w:bCs/>
        </w:rPr>
        <w:t>p</w:t>
      </w:r>
      <w:r w:rsidRPr="007E7C24">
        <w:rPr>
          <w:rFonts w:eastAsia="Arial"/>
          <w:bCs/>
        </w:rPr>
        <w:t xml:space="preserve">acientų </w:t>
      </w:r>
      <w:r>
        <w:rPr>
          <w:rFonts w:eastAsia="Arial"/>
          <w:bCs/>
        </w:rPr>
        <w:t>6 minučių ėjimo testo</w:t>
      </w:r>
      <w:r w:rsidRPr="007E7C24">
        <w:rPr>
          <w:rFonts w:eastAsia="Arial"/>
          <w:bCs/>
        </w:rPr>
        <w:t xml:space="preserve"> metu nueitas atstumas po 30 mėnesių </w:t>
      </w:r>
      <w:r>
        <w:rPr>
          <w:rFonts w:eastAsia="Arial"/>
          <w:bCs/>
        </w:rPr>
        <w:t>vutrisirano bendrojoje ir monoterapijos populiacijose atitinkamai sumažėjo 26,5 (</w:t>
      </w:r>
      <w:r w:rsidRPr="00F52FBD">
        <w:rPr>
          <w:rFonts w:eastAsia="Arial"/>
          <w:bCs/>
        </w:rPr>
        <w:t xml:space="preserve">95% </w:t>
      </w:r>
      <w:r>
        <w:rPr>
          <w:rFonts w:eastAsia="Arial"/>
          <w:bCs/>
        </w:rPr>
        <w:t>PI</w:t>
      </w:r>
      <w:r w:rsidRPr="00F52FBD">
        <w:rPr>
          <w:rFonts w:eastAsia="Arial"/>
          <w:bCs/>
        </w:rPr>
        <w:t xml:space="preserve"> 13</w:t>
      </w:r>
      <w:r>
        <w:rPr>
          <w:rFonts w:eastAsia="Arial"/>
          <w:bCs/>
        </w:rPr>
        <w:t>,</w:t>
      </w:r>
      <w:r w:rsidRPr="00F52FBD">
        <w:rPr>
          <w:rFonts w:eastAsia="Arial"/>
          <w:bCs/>
        </w:rPr>
        <w:t>4</w:t>
      </w:r>
      <w:r>
        <w:rPr>
          <w:rFonts w:eastAsia="Arial"/>
          <w:bCs/>
        </w:rPr>
        <w:t xml:space="preserve"> – </w:t>
      </w:r>
      <w:r w:rsidRPr="00F52FBD">
        <w:rPr>
          <w:rFonts w:eastAsia="Arial"/>
          <w:bCs/>
        </w:rPr>
        <w:t>39</w:t>
      </w:r>
      <w:r>
        <w:rPr>
          <w:rFonts w:eastAsia="Arial"/>
          <w:bCs/>
        </w:rPr>
        <w:t>,</w:t>
      </w:r>
      <w:r w:rsidRPr="00F52FBD">
        <w:rPr>
          <w:rFonts w:eastAsia="Arial"/>
          <w:bCs/>
        </w:rPr>
        <w:t>6; P&lt;0.001)</w:t>
      </w:r>
      <w:r>
        <w:rPr>
          <w:rFonts w:eastAsia="Arial"/>
          <w:bCs/>
        </w:rPr>
        <w:t xml:space="preserve"> ir 32,1 (95% PI 14,0 – 50,2; P&lt;0,001) metrais mažiau, o gyvenimo kokybė (pagal KCCQ-OS skalės rezultatus) mažėjo 5,8 (</w:t>
      </w:r>
      <w:r w:rsidRPr="00F52FBD">
        <w:rPr>
          <w:rFonts w:eastAsia="Arial"/>
          <w:bCs/>
        </w:rPr>
        <w:t xml:space="preserve">95% </w:t>
      </w:r>
      <w:r>
        <w:rPr>
          <w:rFonts w:eastAsia="Arial"/>
          <w:bCs/>
        </w:rPr>
        <w:t>PI</w:t>
      </w:r>
      <w:r w:rsidRPr="00F52FBD">
        <w:rPr>
          <w:rFonts w:eastAsia="Arial"/>
          <w:bCs/>
        </w:rPr>
        <w:t xml:space="preserve"> </w:t>
      </w:r>
      <w:r>
        <w:rPr>
          <w:rFonts w:eastAsia="Arial"/>
          <w:bCs/>
        </w:rPr>
        <w:t>2,4 – 9,2</w:t>
      </w:r>
      <w:r w:rsidRPr="00F52FBD">
        <w:rPr>
          <w:rFonts w:eastAsia="Arial"/>
          <w:bCs/>
        </w:rPr>
        <w:t>; P&lt;0.001)</w:t>
      </w:r>
      <w:r>
        <w:rPr>
          <w:rFonts w:eastAsia="Arial"/>
          <w:bCs/>
        </w:rPr>
        <w:t xml:space="preserve"> ir 8,7 (95% PI 4,0 – 13,4; P&lt;0,001) balais mažiau, lyginant su placebo.</w:t>
      </w:r>
    </w:p>
    <w:p w14:paraId="0B2658B3" w14:textId="77777777" w:rsidR="00AD3149" w:rsidRPr="00BF1933" w:rsidRDefault="00AD3149" w:rsidP="005C0729">
      <w:pPr>
        <w:widowControl w:val="0"/>
        <w:spacing w:line="276" w:lineRule="auto"/>
        <w:ind w:firstLine="720"/>
        <w:jc w:val="both"/>
        <w:rPr>
          <w:rFonts w:eastAsia="Arial"/>
          <w:bCs/>
        </w:rPr>
      </w:pPr>
      <w:r>
        <w:rPr>
          <w:rFonts w:eastAsia="Arial"/>
          <w:bCs/>
        </w:rPr>
        <w:t xml:space="preserve">Mirties nuo bet kokios priežasties </w:t>
      </w:r>
      <w:r w:rsidRPr="007E7C24">
        <w:rPr>
          <w:rFonts w:eastAsia="Arial"/>
          <w:bCs/>
        </w:rPr>
        <w:t xml:space="preserve">po </w:t>
      </w:r>
      <w:r>
        <w:rPr>
          <w:rFonts w:eastAsia="Arial"/>
          <w:bCs/>
        </w:rPr>
        <w:t>42</w:t>
      </w:r>
      <w:r w:rsidRPr="007E7C24">
        <w:rPr>
          <w:rFonts w:eastAsia="Arial"/>
          <w:bCs/>
        </w:rPr>
        <w:t xml:space="preserve"> mė</w:t>
      </w:r>
      <w:r>
        <w:rPr>
          <w:rFonts w:eastAsia="Arial"/>
          <w:bCs/>
        </w:rPr>
        <w:t>n.</w:t>
      </w:r>
      <w:r w:rsidRPr="007E7C24">
        <w:rPr>
          <w:rFonts w:eastAsia="Arial"/>
          <w:bCs/>
        </w:rPr>
        <w:t xml:space="preserve"> </w:t>
      </w:r>
      <w:r>
        <w:rPr>
          <w:rFonts w:eastAsia="Arial"/>
          <w:bCs/>
        </w:rPr>
        <w:t xml:space="preserve">vutrisirano bendrojoje ir monoterapijos populiacijose buvo atitinkamai 35% (RS 0,65; 95% PI 0,46 – 0,90; P=0,01) </w:t>
      </w:r>
      <w:r w:rsidRPr="007E7C24">
        <w:rPr>
          <w:rFonts w:eastAsia="Arial"/>
          <w:bCs/>
        </w:rPr>
        <w:t>ir</w:t>
      </w:r>
      <w:r>
        <w:rPr>
          <w:rFonts w:eastAsia="Arial"/>
          <w:bCs/>
        </w:rPr>
        <w:t xml:space="preserve"> 34% mažesnė (RS 0,66; 95% PI 0,44 – 0,97; P=0,045), lyginant su placebo. </w:t>
      </w:r>
      <w:r w:rsidRPr="007E7C24">
        <w:rPr>
          <w:rFonts w:eastAsia="Arial"/>
          <w:bCs/>
        </w:rPr>
        <w:t xml:space="preserve">Pacientų funkcinė būklė pagal NYHA </w:t>
      </w:r>
      <w:r>
        <w:rPr>
          <w:rFonts w:eastAsia="Arial"/>
          <w:bCs/>
        </w:rPr>
        <w:t>vutrisirano</w:t>
      </w:r>
      <w:r w:rsidRPr="007E7C24">
        <w:rPr>
          <w:rFonts w:eastAsia="Arial"/>
          <w:bCs/>
        </w:rPr>
        <w:t xml:space="preserve"> </w:t>
      </w:r>
      <w:r>
        <w:rPr>
          <w:rFonts w:eastAsia="Arial"/>
          <w:bCs/>
        </w:rPr>
        <w:t xml:space="preserve">bendrojoje ir monoterapijos populiacijose </w:t>
      </w:r>
      <w:r w:rsidRPr="007E7C24">
        <w:rPr>
          <w:rFonts w:eastAsia="Arial"/>
          <w:bCs/>
        </w:rPr>
        <w:t xml:space="preserve">po 30 mėn. pagerėjo arba išliko stabili </w:t>
      </w:r>
      <w:r>
        <w:rPr>
          <w:rFonts w:eastAsia="Arial"/>
          <w:bCs/>
        </w:rPr>
        <w:t xml:space="preserve">atitinkamai 8,7% (95% PI 1,3 – 16,1; P=0,02) ir 12,5% (95% PI 2,7 – 22,2; P=0,01) </w:t>
      </w:r>
      <w:r w:rsidRPr="007E7C24">
        <w:rPr>
          <w:rFonts w:eastAsia="Arial"/>
          <w:bCs/>
        </w:rPr>
        <w:t>dažniau nei placebo grupėje</w:t>
      </w:r>
      <w:r>
        <w:rPr>
          <w:rFonts w:eastAsia="Arial"/>
          <w:bCs/>
        </w:rPr>
        <w:t>. Vertinant vaistinio preparato saugumą, reikšmingų problemų nenustatyta, saugumo profilis priimtinas.</w:t>
      </w:r>
    </w:p>
    <w:p w14:paraId="59257356" w14:textId="77777777" w:rsidR="00AD3149" w:rsidRDefault="00AD3149" w:rsidP="005C0729">
      <w:pPr>
        <w:tabs>
          <w:tab w:val="left" w:pos="567"/>
        </w:tabs>
        <w:spacing w:line="276" w:lineRule="auto"/>
        <w:jc w:val="both"/>
      </w:pPr>
    </w:p>
    <w:p w14:paraId="0CC69FCF" w14:textId="77777777" w:rsidR="00AD3149" w:rsidRPr="00D26F19" w:rsidRDefault="00AD3149" w:rsidP="005C0729">
      <w:pPr>
        <w:widowControl w:val="0"/>
        <w:spacing w:line="276" w:lineRule="auto"/>
        <w:jc w:val="both"/>
        <w:rPr>
          <w:bCs/>
          <w:i/>
          <w:iCs/>
          <w:color w:val="000000"/>
          <w:lang w:eastAsia="lt-LT"/>
        </w:rPr>
      </w:pPr>
      <w:r>
        <w:rPr>
          <w:bCs/>
          <w:i/>
          <w:iCs/>
          <w:color w:val="000000"/>
          <w:lang w:eastAsia="lt-LT"/>
        </w:rPr>
        <w:t>Netiesioginis</w:t>
      </w:r>
      <w:r w:rsidRPr="00D26F19">
        <w:rPr>
          <w:bCs/>
          <w:i/>
          <w:iCs/>
          <w:color w:val="000000"/>
          <w:lang w:eastAsia="lt-LT"/>
        </w:rPr>
        <w:t xml:space="preserve"> palyginimas</w:t>
      </w:r>
    </w:p>
    <w:p w14:paraId="3AED7B73" w14:textId="77777777" w:rsidR="00AD3149" w:rsidRPr="00D26F19" w:rsidRDefault="00AD3149" w:rsidP="005C0729">
      <w:pPr>
        <w:widowControl w:val="0"/>
        <w:spacing w:line="276" w:lineRule="auto"/>
        <w:jc w:val="both"/>
        <w:rPr>
          <w:bCs/>
          <w:i/>
          <w:iCs/>
          <w:color w:val="000000"/>
          <w:lang w:eastAsia="lt-LT"/>
        </w:rPr>
      </w:pPr>
    </w:p>
    <w:p w14:paraId="43A5CDE8" w14:textId="77777777" w:rsidR="00AD3149" w:rsidRDefault="00AD3149" w:rsidP="005C0729">
      <w:pPr>
        <w:widowControl w:val="0"/>
        <w:spacing w:line="276" w:lineRule="auto"/>
        <w:ind w:firstLine="720"/>
        <w:jc w:val="both"/>
        <w:rPr>
          <w:bCs/>
          <w:color w:val="000000"/>
          <w:lang w:eastAsia="lt-LT"/>
        </w:rPr>
      </w:pPr>
      <w:r w:rsidRPr="00D26F19">
        <w:rPr>
          <w:bCs/>
          <w:color w:val="000000"/>
          <w:lang w:eastAsia="lt-LT"/>
        </w:rPr>
        <w:t xml:space="preserve">Klinikinis vertinimas buvo atliktas pagal paraiškoje pateiktą </w:t>
      </w:r>
      <w:r>
        <w:rPr>
          <w:rFonts w:eastAsia="Arial"/>
          <w:bCs/>
        </w:rPr>
        <w:t xml:space="preserve">vutrisirano (HELIOS-B monoterapijos populiacija) ir tafamidžio (ATTR-ACT) netiesioginio palyginimo analizės atliekamumo (angl. </w:t>
      </w:r>
      <w:r w:rsidRPr="00B32A1E">
        <w:rPr>
          <w:rFonts w:eastAsia="Arial"/>
          <w:bCs/>
          <w:i/>
          <w:iCs/>
        </w:rPr>
        <w:t>feasibility</w:t>
      </w:r>
      <w:r>
        <w:rPr>
          <w:rFonts w:eastAsia="Arial"/>
          <w:bCs/>
        </w:rPr>
        <w:t>) įvertinimą bei papildomą HELIOS-B analizę, kurioje buvo lyginamos tafamidžio ir vutrisirano monoterapijos</w:t>
      </w:r>
      <w:r w:rsidRPr="00D26F19">
        <w:rPr>
          <w:bCs/>
          <w:color w:val="000000"/>
          <w:lang w:eastAsia="lt-LT"/>
        </w:rPr>
        <w:t>.</w:t>
      </w:r>
    </w:p>
    <w:p w14:paraId="7D5A0602" w14:textId="6991B4F9" w:rsidR="00640F87" w:rsidRDefault="00640F87" w:rsidP="005C0729">
      <w:pPr>
        <w:spacing w:line="276" w:lineRule="auto"/>
        <w:ind w:firstLine="720"/>
        <w:jc w:val="both"/>
        <w:rPr>
          <w:bCs/>
          <w:color w:val="000000"/>
          <w:lang w:eastAsia="lt-LT"/>
        </w:rPr>
      </w:pPr>
      <w:r>
        <w:rPr>
          <w:bCs/>
          <w:color w:val="000000"/>
          <w:lang w:eastAsia="lt-LT"/>
        </w:rPr>
        <w:t>****</w:t>
      </w:r>
    </w:p>
    <w:p w14:paraId="2D16D9F6" w14:textId="2095D1AF" w:rsidR="00B7015D" w:rsidRPr="00AD3149" w:rsidRDefault="00AD3149" w:rsidP="005C0729">
      <w:pPr>
        <w:spacing w:line="276" w:lineRule="auto"/>
        <w:ind w:firstLine="720"/>
        <w:jc w:val="both"/>
        <w:rPr>
          <w:rFonts w:eastAsia="Arial"/>
          <w:i/>
        </w:rPr>
      </w:pPr>
      <w:r>
        <w:rPr>
          <w:bCs/>
          <w:color w:val="000000"/>
          <w:lang w:eastAsia="lt-LT"/>
        </w:rPr>
        <w:t>Apibendrinant tiesioginio (</w:t>
      </w:r>
      <w:r w:rsidRPr="007F43DC">
        <w:rPr>
          <w:bCs/>
          <w:color w:val="000000"/>
          <w:lang w:eastAsia="lt-LT"/>
        </w:rPr>
        <w:t>vutrisiranas kliniškai ir statistiškai reikšmingai gerina pacientų išgyvenamumą bei jų gyvenimo kokybę, lyginant su placebo</w:t>
      </w:r>
      <w:r>
        <w:rPr>
          <w:bCs/>
          <w:color w:val="000000"/>
          <w:lang w:eastAsia="lt-LT"/>
        </w:rPr>
        <w:t>)</w:t>
      </w:r>
      <w:r w:rsidRPr="007F43DC">
        <w:rPr>
          <w:bCs/>
          <w:color w:val="000000"/>
          <w:lang w:eastAsia="lt-LT"/>
        </w:rPr>
        <w:t xml:space="preserve"> </w:t>
      </w:r>
      <w:r>
        <w:rPr>
          <w:bCs/>
          <w:color w:val="000000"/>
          <w:lang w:eastAsia="lt-LT"/>
        </w:rPr>
        <w:t>ir netiesioginio (</w:t>
      </w:r>
      <w:r w:rsidR="00EF10E2" w:rsidRPr="00EF10E2">
        <w:rPr>
          <w:bCs/>
          <w:color w:val="000000"/>
          <w:lang w:eastAsia="lt-LT"/>
        </w:rPr>
        <w:t>****</w:t>
      </w:r>
      <w:r>
        <w:rPr>
          <w:bCs/>
          <w:color w:val="000000"/>
          <w:lang w:eastAsia="lt-LT"/>
        </w:rPr>
        <w:t xml:space="preserve"> analizėje nustatyta jog </w:t>
      </w:r>
      <w:r w:rsidRPr="004568E4">
        <w:rPr>
          <w:bCs/>
          <w:color w:val="000000"/>
          <w:lang w:eastAsia="lt-LT"/>
        </w:rPr>
        <w:t>mirties ir kardiovaskulinių įvykių rizika bei funkcinės būklės pokyčio tikimybė tarp tafamidžio ir vutrisirano nesiskiria</w:t>
      </w:r>
      <w:r>
        <w:rPr>
          <w:bCs/>
          <w:color w:val="000000"/>
          <w:lang w:eastAsia="lt-LT"/>
        </w:rPr>
        <w:t xml:space="preserve">) palyginimo analizėje pateiktus duomenis, atsižvelgiant į aukščiau įvardytus duomenų trūkumus, nuspręsta, jog </w:t>
      </w:r>
      <w:r>
        <w:rPr>
          <w:rFonts w:eastAsia="Arial"/>
          <w:bCs/>
        </w:rPr>
        <w:t xml:space="preserve">vutrisiranas, tikėtina, </w:t>
      </w:r>
      <w:r w:rsidRPr="00840E3A">
        <w:rPr>
          <w:rFonts w:eastAsia="Arial"/>
          <w:bCs/>
        </w:rPr>
        <w:t>gerin</w:t>
      </w:r>
      <w:r>
        <w:rPr>
          <w:rFonts w:eastAsia="Arial"/>
          <w:bCs/>
        </w:rPr>
        <w:t>a</w:t>
      </w:r>
      <w:r w:rsidRPr="00840E3A">
        <w:rPr>
          <w:rFonts w:eastAsia="Arial"/>
          <w:bCs/>
        </w:rPr>
        <w:t xml:space="preserve"> pacientų išgyvenamumą</w:t>
      </w:r>
      <w:r>
        <w:rPr>
          <w:rFonts w:eastAsia="Arial"/>
          <w:bCs/>
        </w:rPr>
        <w:t xml:space="preserve"> bei</w:t>
      </w:r>
      <w:r w:rsidRPr="00840E3A">
        <w:rPr>
          <w:rFonts w:eastAsia="Arial"/>
          <w:bCs/>
        </w:rPr>
        <w:t xml:space="preserve"> </w:t>
      </w:r>
      <w:r>
        <w:rPr>
          <w:rFonts w:eastAsia="Arial"/>
          <w:bCs/>
        </w:rPr>
        <w:t xml:space="preserve">mažina </w:t>
      </w:r>
      <w:r w:rsidRPr="00840E3A">
        <w:rPr>
          <w:rFonts w:eastAsia="Arial"/>
          <w:bCs/>
        </w:rPr>
        <w:t xml:space="preserve">hospitalizacijų </w:t>
      </w:r>
      <w:r>
        <w:rPr>
          <w:rFonts w:eastAsia="Arial"/>
          <w:bCs/>
        </w:rPr>
        <w:t xml:space="preserve">riziką ne prasčiau nei tafamidis. Dėl šios priežasties, vutrisirano </w:t>
      </w:r>
      <w:r w:rsidRPr="00840E3A">
        <w:rPr>
          <w:rFonts w:eastAsia="Arial"/>
          <w:bCs/>
        </w:rPr>
        <w:t xml:space="preserve">palyginamasis veiksmingumas vertinamas kaip </w:t>
      </w:r>
      <w:r>
        <w:rPr>
          <w:rFonts w:eastAsia="Arial"/>
          <w:bCs/>
        </w:rPr>
        <w:t>iš esmės nesiskiriantis</w:t>
      </w:r>
      <w:r w:rsidRPr="00840E3A">
        <w:rPr>
          <w:rFonts w:eastAsia="Arial"/>
          <w:bCs/>
        </w:rPr>
        <w:t>, palyginus su įprasta klinikine praktika.</w:t>
      </w:r>
    </w:p>
    <w:p w14:paraId="0956E039" w14:textId="77777777" w:rsidR="00B7015D" w:rsidRPr="000203E1" w:rsidRDefault="00B7015D" w:rsidP="00A93AA6">
      <w:pPr>
        <w:pStyle w:val="ListParagraph"/>
        <w:tabs>
          <w:tab w:val="left" w:pos="426"/>
        </w:tabs>
        <w:ind w:left="0"/>
        <w:rPr>
          <w:b/>
          <w:bCs/>
          <w:caps/>
        </w:rPr>
      </w:pPr>
    </w:p>
    <w:p w14:paraId="7DE09EB5" w14:textId="69E9DD74" w:rsidR="00E03C3F" w:rsidRPr="000203E1" w:rsidRDefault="00CC7832" w:rsidP="00CC09D4">
      <w:pPr>
        <w:pStyle w:val="ListParagraph"/>
        <w:numPr>
          <w:ilvl w:val="0"/>
          <w:numId w:val="12"/>
        </w:numPr>
        <w:tabs>
          <w:tab w:val="left" w:pos="567"/>
        </w:tabs>
        <w:ind w:hanging="720"/>
        <w:rPr>
          <w:b/>
          <w:bCs/>
          <w:caps/>
        </w:rPr>
      </w:pPr>
      <w:r w:rsidRPr="000203E1">
        <w:rPr>
          <w:b/>
          <w:bCs/>
          <w:caps/>
        </w:rPr>
        <w:t xml:space="preserve">ekonominio vertinimo </w:t>
      </w:r>
      <w:r w:rsidR="002F0E4F" w:rsidRPr="000203E1">
        <w:rPr>
          <w:b/>
          <w:bCs/>
          <w:caps/>
        </w:rPr>
        <w:t>apibendrinimas</w:t>
      </w:r>
    </w:p>
    <w:p w14:paraId="1A900598" w14:textId="2A5CF38B" w:rsidR="00C62B36" w:rsidRDefault="00C62B36" w:rsidP="00A93AA6">
      <w:pPr>
        <w:tabs>
          <w:tab w:val="left" w:pos="426"/>
        </w:tabs>
        <w:rPr>
          <w:i/>
          <w:color w:val="00B050"/>
        </w:rPr>
      </w:pPr>
    </w:p>
    <w:p w14:paraId="4C89B845" w14:textId="7401336B" w:rsidR="005E0278" w:rsidRPr="00067B04" w:rsidRDefault="005E0278" w:rsidP="005E0278">
      <w:pPr>
        <w:spacing w:line="276" w:lineRule="auto"/>
        <w:jc w:val="both"/>
      </w:pPr>
      <w:r w:rsidRPr="009300B3">
        <w:rPr>
          <w:rFonts w:eastAsia="Arial"/>
        </w:rPr>
        <w:t>V</w:t>
      </w:r>
      <w:r>
        <w:rPr>
          <w:rFonts w:eastAsia="Arial"/>
        </w:rPr>
        <w:t>ykdant</w:t>
      </w:r>
      <w:r w:rsidRPr="009300B3">
        <w:rPr>
          <w:rFonts w:eastAsia="Arial"/>
        </w:rPr>
        <w:t xml:space="preserve"> </w:t>
      </w:r>
      <w:r>
        <w:t>V</w:t>
      </w:r>
      <w:r w:rsidRPr="009300B3">
        <w:t>aistinių preparatų ir medicinos pagalbos priemonių įrašymo į kompensavimo sąrašus ir jų keitimo tvarkos aprašo</w:t>
      </w:r>
      <w:r>
        <w:t>, patvirtinto</w:t>
      </w:r>
      <w:r w:rsidRPr="009300B3">
        <w:t xml:space="preserve"> Lietuvos Respublikos sveikatos apsaugos ministro 2002 m. balandžio 5 d. įsakym</w:t>
      </w:r>
      <w:r>
        <w:t>u</w:t>
      </w:r>
      <w:r w:rsidRPr="009300B3">
        <w:t xml:space="preserve"> Nr. V-159 „Dėl vaistinių preparatų ir medicinos pagalbos priemonių įrašymo į kompensavimo sąrašus ir jų keitimo tvarkos aprašo patvirtinimo“ </w:t>
      </w:r>
      <w:r>
        <w:t xml:space="preserve">(toliau – Aprašas) </w:t>
      </w:r>
      <w:r w:rsidRPr="009300B3">
        <w:t>17</w:t>
      </w:r>
      <w:r>
        <w:rPr>
          <w:vertAlign w:val="superscript"/>
        </w:rPr>
        <w:t>3</w:t>
      </w:r>
      <w:r w:rsidRPr="009300B3">
        <w:t xml:space="preserve"> punkt</w:t>
      </w:r>
      <w:r>
        <w:t>ą</w:t>
      </w:r>
      <w:r w:rsidRPr="009300B3">
        <w:t>, ekonomin</w:t>
      </w:r>
      <w:r>
        <w:t>is vertinimas</w:t>
      </w:r>
      <w:r w:rsidRPr="009300B3">
        <w:t xml:space="preserve"> neatliekama</w:t>
      </w:r>
      <w:r>
        <w:t xml:space="preserve">s </w:t>
      </w:r>
      <w:r w:rsidR="005C0729">
        <w:rPr>
          <w:rFonts w:eastAsia="Arial"/>
        </w:rPr>
        <w:t>k</w:t>
      </w:r>
      <w:r w:rsidRPr="009300B3">
        <w:rPr>
          <w:rFonts w:eastAsia="Arial"/>
        </w:rPr>
        <w:t xml:space="preserve">linikinio vertinimo metu nustačius </w:t>
      </w:r>
      <w:r w:rsidRPr="009300B3">
        <w:rPr>
          <w:bCs/>
          <w:i/>
          <w:iCs/>
          <w:lang w:eastAsia="lt-LT"/>
        </w:rPr>
        <w:t>iš esmės nesiskiriantį</w:t>
      </w:r>
      <w:r w:rsidRPr="009300B3">
        <w:rPr>
          <w:rFonts w:eastAsia="Arial"/>
        </w:rPr>
        <w:t xml:space="preserve"> palyginamąjį veiksmingumą lyginant su įprasta klinikine praktika (atitinka </w:t>
      </w:r>
      <w:r>
        <w:t>V</w:t>
      </w:r>
      <w:r w:rsidRPr="009300B3">
        <w:t>aistinių preparatų ir medicinos pagalbos priemonių įrašymo į kompensavimo sąrašus ir jų keitimo tvarkos aprašo</w:t>
      </w:r>
      <w:r>
        <w:t>, patvirtinto</w:t>
      </w:r>
      <w:r w:rsidRPr="009300B3">
        <w:t xml:space="preserve"> Lietuvos Respublikos sveikatos apsaugos ministro 2002 m. balandžio 5 d. įsakym</w:t>
      </w:r>
      <w:r>
        <w:t>u</w:t>
      </w:r>
      <w:r w:rsidRPr="009300B3">
        <w:t xml:space="preserve"> Nr. V-159 „Dėl vaistinių preparatų ir medicinos pagalbos priemonių įrašymo į kompensavimo sąrašus ir jų keitimo tvarkos aprašo patvirtinimo“ 29.1.2 papunktį)</w:t>
      </w:r>
      <w:r>
        <w:t>.</w:t>
      </w:r>
      <w:r>
        <w:rPr>
          <w:rFonts w:eastAsia="Arial"/>
          <w:bCs/>
          <w:szCs w:val="22"/>
        </w:rPr>
        <w:t xml:space="preserve"> </w:t>
      </w:r>
    </w:p>
    <w:p w14:paraId="4AF7D6D7" w14:textId="77777777" w:rsidR="005E0278" w:rsidRDefault="005E0278" w:rsidP="00A93AA6">
      <w:pPr>
        <w:tabs>
          <w:tab w:val="left" w:pos="426"/>
        </w:tabs>
        <w:rPr>
          <w:b/>
          <w:bCs/>
          <w:caps/>
        </w:rPr>
      </w:pPr>
    </w:p>
    <w:p w14:paraId="4FC424F9" w14:textId="4E767245" w:rsidR="00C62B36" w:rsidRDefault="00C62B36" w:rsidP="00CC09D4">
      <w:pPr>
        <w:pStyle w:val="ListParagraph"/>
        <w:numPr>
          <w:ilvl w:val="0"/>
          <w:numId w:val="12"/>
        </w:numPr>
        <w:tabs>
          <w:tab w:val="left" w:pos="567"/>
        </w:tabs>
        <w:ind w:hanging="720"/>
        <w:rPr>
          <w:b/>
          <w:bCs/>
          <w:caps/>
        </w:rPr>
      </w:pPr>
      <w:r w:rsidRPr="000203E1">
        <w:rPr>
          <w:b/>
          <w:bCs/>
          <w:caps/>
        </w:rPr>
        <w:t xml:space="preserve">Pacientų organizacijų pateikti duomenys </w:t>
      </w:r>
    </w:p>
    <w:p w14:paraId="54351841" w14:textId="77777777" w:rsidR="00C9728E" w:rsidRPr="000203E1" w:rsidRDefault="00C9728E" w:rsidP="00C9728E">
      <w:pPr>
        <w:pStyle w:val="ListParagraph"/>
        <w:tabs>
          <w:tab w:val="left" w:pos="567"/>
        </w:tabs>
        <w:rPr>
          <w:b/>
          <w:bCs/>
          <w:caps/>
        </w:rPr>
      </w:pPr>
    </w:p>
    <w:p w14:paraId="62992180" w14:textId="53CAE124" w:rsidR="00937907" w:rsidRPr="000203E1" w:rsidRDefault="00937907" w:rsidP="00937907">
      <w:pPr>
        <w:spacing w:after="120"/>
        <w:jc w:val="both"/>
      </w:pPr>
      <w:r w:rsidRPr="000203E1">
        <w:t xml:space="preserve">Pacientų organizacijos pozicija </w:t>
      </w:r>
      <w:r w:rsidR="00880A44" w:rsidRPr="000203E1">
        <w:t>ne</w:t>
      </w:r>
      <w:r w:rsidRPr="000203E1">
        <w:t>pateikta.</w:t>
      </w:r>
    </w:p>
    <w:p w14:paraId="03E73D82" w14:textId="77777777" w:rsidR="00D417D2" w:rsidRPr="000203E1" w:rsidRDefault="00D417D2" w:rsidP="00937907">
      <w:pPr>
        <w:spacing w:after="120"/>
        <w:jc w:val="both"/>
      </w:pPr>
    </w:p>
    <w:p w14:paraId="3D3277FA" w14:textId="09414FFF" w:rsidR="00C62B36" w:rsidRDefault="00D67BAF" w:rsidP="00CC09D4">
      <w:pPr>
        <w:pStyle w:val="ListParagraph"/>
        <w:numPr>
          <w:ilvl w:val="0"/>
          <w:numId w:val="12"/>
        </w:numPr>
        <w:tabs>
          <w:tab w:val="left" w:pos="567"/>
        </w:tabs>
        <w:ind w:hanging="720"/>
        <w:rPr>
          <w:b/>
          <w:bCs/>
          <w:caps/>
        </w:rPr>
      </w:pPr>
      <w:r w:rsidRPr="00D67BAF">
        <w:rPr>
          <w:b/>
          <w:bCs/>
          <w:caps/>
        </w:rPr>
        <w:t xml:space="preserve">SVEIKATOS PRIEŽIŪROS SPECIALISTŲ </w:t>
      </w:r>
      <w:r w:rsidR="00C62B36" w:rsidRPr="000203E1">
        <w:rPr>
          <w:b/>
          <w:bCs/>
          <w:caps/>
        </w:rPr>
        <w:t xml:space="preserve"> organizacijų pateikti duomenys</w:t>
      </w:r>
    </w:p>
    <w:p w14:paraId="044D5084" w14:textId="77777777" w:rsidR="00C9728E" w:rsidRPr="000203E1" w:rsidRDefault="00C9728E" w:rsidP="00C9728E">
      <w:pPr>
        <w:pStyle w:val="ListParagraph"/>
        <w:tabs>
          <w:tab w:val="left" w:pos="567"/>
        </w:tabs>
        <w:rPr>
          <w:b/>
          <w:bCs/>
          <w:caps/>
        </w:rPr>
      </w:pPr>
    </w:p>
    <w:p w14:paraId="5D8CC48C" w14:textId="0A58ACA5" w:rsidR="00662983" w:rsidRPr="000203E1" w:rsidRDefault="00D67BAF" w:rsidP="00662983">
      <w:pPr>
        <w:spacing w:after="120"/>
        <w:jc w:val="both"/>
      </w:pPr>
      <w:r>
        <w:t>S</w:t>
      </w:r>
      <w:r w:rsidRPr="00E16035">
        <w:rPr>
          <w:bCs/>
        </w:rPr>
        <w:t>veikatos priežiūros specialistų</w:t>
      </w:r>
      <w:r w:rsidR="00937907" w:rsidRPr="000203E1">
        <w:t xml:space="preserve"> organizacijos pozicija </w:t>
      </w:r>
      <w:r w:rsidR="00880A44" w:rsidRPr="000203E1">
        <w:t>ne</w:t>
      </w:r>
      <w:r w:rsidR="00937907" w:rsidRPr="000203E1">
        <w:t>pateikta.</w:t>
      </w:r>
    </w:p>
    <w:p w14:paraId="3701D46A" w14:textId="77777777" w:rsidR="00A042B9" w:rsidRPr="000203E1" w:rsidRDefault="00A042B9" w:rsidP="00662983">
      <w:pPr>
        <w:spacing w:after="120"/>
        <w:jc w:val="both"/>
      </w:pPr>
    </w:p>
    <w:p w14:paraId="78F23ECB" w14:textId="3ED5BFD5" w:rsidR="002F0E4F" w:rsidRPr="000203E1" w:rsidRDefault="002F0E4F" w:rsidP="00CC09D4">
      <w:pPr>
        <w:pStyle w:val="ListParagraph"/>
        <w:numPr>
          <w:ilvl w:val="0"/>
          <w:numId w:val="12"/>
        </w:numPr>
        <w:tabs>
          <w:tab w:val="left" w:pos="567"/>
        </w:tabs>
        <w:ind w:hanging="720"/>
        <w:rPr>
          <w:b/>
          <w:bCs/>
          <w:caps/>
        </w:rPr>
      </w:pPr>
      <w:r w:rsidRPr="000203E1">
        <w:rPr>
          <w:b/>
          <w:bCs/>
          <w:caps/>
        </w:rPr>
        <w:t>Išvad</w:t>
      </w:r>
      <w:r w:rsidR="00B811A4">
        <w:rPr>
          <w:b/>
          <w:bCs/>
          <w:caps/>
        </w:rPr>
        <w:t>OS</w:t>
      </w:r>
      <w:r w:rsidRPr="000203E1">
        <w:rPr>
          <w:b/>
          <w:bCs/>
          <w:caps/>
        </w:rPr>
        <w:t xml:space="preserve"> </w:t>
      </w:r>
    </w:p>
    <w:p w14:paraId="30069D85" w14:textId="77777777" w:rsidR="0061611B" w:rsidRPr="000203E1" w:rsidRDefault="0061611B" w:rsidP="0061611B">
      <w:pPr>
        <w:ind w:left="360"/>
        <w:rPr>
          <w:i/>
          <w:szCs w:val="22"/>
        </w:rPr>
      </w:pPr>
    </w:p>
    <w:tbl>
      <w:tblPr>
        <w:tblStyle w:val="TableGrid"/>
        <w:tblW w:w="0" w:type="auto"/>
        <w:tblInd w:w="-5" w:type="dxa"/>
        <w:tblLook w:val="04A0" w:firstRow="1" w:lastRow="0" w:firstColumn="1" w:lastColumn="0" w:noHBand="0" w:noVBand="1"/>
      </w:tblPr>
      <w:tblGrid>
        <w:gridCol w:w="4820"/>
        <w:gridCol w:w="4814"/>
      </w:tblGrid>
      <w:tr w:rsidR="00B811A4" w:rsidRPr="00B811A4" w14:paraId="4D5EFB83" w14:textId="77777777" w:rsidTr="007111C4">
        <w:trPr>
          <w:trHeight w:val="510"/>
        </w:trPr>
        <w:tc>
          <w:tcPr>
            <w:tcW w:w="9634" w:type="dxa"/>
            <w:gridSpan w:val="2"/>
            <w:vAlign w:val="center"/>
          </w:tcPr>
          <w:p w14:paraId="294EC16B"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1" w:name="_Hlk185430554"/>
            <w:r w:rsidRPr="00B811A4">
              <w:rPr>
                <w:rStyle w:val="Style2"/>
                <w:rFonts w:eastAsia="MS Gothic"/>
                <w:b/>
                <w:bCs/>
                <w:sz w:val="23"/>
                <w:szCs w:val="23"/>
              </w:rPr>
              <w:t>Palyginamasis veiksmingumas</w:t>
            </w:r>
          </w:p>
        </w:tc>
      </w:tr>
      <w:tr w:rsidR="00B811A4" w:rsidRPr="00B811A4" w14:paraId="30B67515" w14:textId="77777777" w:rsidTr="007111C4">
        <w:tc>
          <w:tcPr>
            <w:tcW w:w="4820" w:type="dxa"/>
          </w:tcPr>
          <w:p w14:paraId="4FE3C208" w14:textId="77777777"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rStyle w:val="Style2"/>
                <w:sz w:val="23"/>
                <w:szCs w:val="23"/>
              </w:rPr>
              <w:t xml:space="preserve"> 29</w:t>
            </w:r>
            <w:r w:rsidR="00B811A4" w:rsidRPr="00B811A4">
              <w:rPr>
                <w:sz w:val="23"/>
                <w:szCs w:val="23"/>
              </w:rPr>
              <w:t>.1.1 yra didesnis, lyginant su įprasta klinikine praktika</w:t>
            </w:r>
          </w:p>
          <w:p w14:paraId="6F9786E4"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1A93F3B4"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1"/>
                  <w14:checkedState w14:val="2612" w14:font="MS Gothic"/>
                  <w14:uncheckedState w14:val="2610" w14:font="MS Gothic"/>
                </w14:checkbox>
              </w:sdtPr>
              <w:sdtContent>
                <w:r w:rsidR="00AD3149">
                  <w:rPr>
                    <w:rStyle w:val="Style2"/>
                    <w:rFonts w:ascii="MS Gothic" w:eastAsia="MS Gothic" w:hAnsi="MS Gothic" w:hint="eastAsia"/>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.1.2 iš esmės nesiskiria, lyginant su įprasta klinikine praktika</w:t>
            </w:r>
          </w:p>
        </w:tc>
        <w:tc>
          <w:tcPr>
            <w:tcW w:w="4814" w:type="dxa"/>
          </w:tcPr>
          <w:p w14:paraId="72562F9E" w14:textId="77777777"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 xml:space="preserve">.1.3 yra neįrodytas kaip didesnis  ar iš esmės nesiskiriantis, lyginant su įprasta klinikine praktika  </w:t>
            </w:r>
          </w:p>
          <w:p w14:paraId="6F6DB5BC"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.1.4 yra mažesnis, lyginant su įprasta klinikine praktika</w:t>
            </w:r>
          </w:p>
          <w:p w14:paraId="193C3D76"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.1.5 pateikti duomenys apie palyginamąjį veiksmingumą yra netinkami vertinti</w:t>
            </w:r>
          </w:p>
          <w:p w14:paraId="45719037"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1"/>
      <w:tr w:rsidR="00B811A4" w:rsidRPr="00B811A4" w14:paraId="0E0F5168" w14:textId="77777777" w:rsidTr="00743956">
        <w:trPr>
          <w:trHeight w:val="510"/>
        </w:trPr>
        <w:tc>
          <w:tcPr>
            <w:tcW w:w="9634" w:type="dxa"/>
            <w:gridSpan w:val="2"/>
            <w:vAlign w:val="center"/>
          </w:tcPr>
          <w:p w14:paraId="62B67E12"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B811A4">
              <w:rPr>
                <w:rStyle w:val="Style2"/>
                <w:rFonts w:eastAsia="MS Gothic"/>
                <w:b/>
                <w:bCs/>
                <w:sz w:val="23"/>
                <w:szCs w:val="23"/>
              </w:rPr>
              <w:t>Kaštų naudingumas</w:t>
            </w:r>
          </w:p>
        </w:tc>
      </w:tr>
      <w:tr w:rsidR="00B811A4" w:rsidRPr="00B811A4" w14:paraId="6A2F62B2" w14:textId="77777777" w:rsidTr="00743956">
        <w:tc>
          <w:tcPr>
            <w:tcW w:w="4820" w:type="dxa"/>
          </w:tcPr>
          <w:p w14:paraId="7CB2C697" w14:textId="44A4E1DF"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29.2.1 atitinka referencinę naudingumo vertę taikant arba netaikant</w:t>
            </w:r>
            <w:r w:rsidR="00437623">
              <w:rPr>
                <w:b/>
                <w:bCs/>
                <w:sz w:val="23"/>
                <w:szCs w:val="23"/>
              </w:rPr>
              <w:t xml:space="preserve"> </w:t>
            </w:r>
            <w:r w:rsidR="00B811A4" w:rsidRPr="00B811A4">
              <w:rPr>
                <w:sz w:val="23"/>
                <w:szCs w:val="23"/>
              </w:rPr>
              <w:t>PGS</w:t>
            </w:r>
          </w:p>
          <w:p w14:paraId="71797774"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77777777"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29.2.3 neatitinka referencinės naudingumo vertės taikant arba netaikant PGS</w:t>
            </w:r>
          </w:p>
          <w:p w14:paraId="13C9EEE5"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29.2.5 pateikti duomenys apie kaštų naudingumą yra netinkami vertinti</w:t>
            </w:r>
          </w:p>
          <w:p w14:paraId="06AB06C5"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7111C4" w:rsidRPr="00B811A4" w14:paraId="632C9193" w14:textId="77777777" w:rsidTr="00027464">
        <w:tc>
          <w:tcPr>
            <w:tcW w:w="9634" w:type="dxa"/>
            <w:gridSpan w:val="2"/>
          </w:tcPr>
          <w:p w14:paraId="15C289C9" w14:textId="13E54C8A" w:rsidR="007111C4" w:rsidRDefault="00000000" w:rsidP="005E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1"/>
                  <w14:checkedState w14:val="2612" w14:font="MS Gothic"/>
                  <w14:uncheckedState w14:val="2610" w14:font="MS Gothic"/>
                </w14:checkbox>
              </w:sdtPr>
              <w:sdtContent>
                <w:r w:rsidR="005E0278">
                  <w:rPr>
                    <w:rStyle w:val="Style2"/>
                    <w:rFonts w:ascii="MS Gothic" w:eastAsia="MS Gothic" w:hAnsi="MS Gothic" w:hint="eastAsia"/>
                    <w:sz w:val="23"/>
                    <w:szCs w:val="23"/>
                  </w:rPr>
                  <w:t>☒</w:t>
                </w:r>
              </w:sdtContent>
            </w:sdt>
            <w:r w:rsidR="007111C4">
              <w:rPr>
                <w:sz w:val="23"/>
                <w:szCs w:val="23"/>
              </w:rPr>
              <w:t xml:space="preserve"> </w:t>
            </w:r>
            <w:r w:rsidR="007111C4" w:rsidRPr="007111C4">
              <w:rPr>
                <w:color w:val="000000"/>
                <w:sz w:val="23"/>
                <w:szCs w:val="23"/>
              </w:rPr>
              <w:t>Vykdant Aprašo 17</w:t>
            </w:r>
            <w:r w:rsidR="007111C4" w:rsidRPr="007111C4">
              <w:rPr>
                <w:color w:val="000000"/>
                <w:sz w:val="23"/>
                <w:szCs w:val="23"/>
                <w:vertAlign w:val="superscript"/>
              </w:rPr>
              <w:t>3</w:t>
            </w:r>
            <w:r w:rsidR="007111C4" w:rsidRPr="007111C4">
              <w:rPr>
                <w:color w:val="000000"/>
                <w:sz w:val="23"/>
                <w:szCs w:val="23"/>
              </w:rPr>
              <w:t>.3 punktą vaistinio (-ų) preparato (-ų) ekonominis vertinimas neatliekamas, išvados dėl kaštų naudingumo neteikiamos</w:t>
            </w:r>
          </w:p>
        </w:tc>
      </w:tr>
    </w:tbl>
    <w:p w14:paraId="08D5B3B6" w14:textId="292D1124" w:rsidR="0061611B" w:rsidRPr="000203E1" w:rsidRDefault="0061611B" w:rsidP="0061611B">
      <w:pPr>
        <w:rPr>
          <w:i/>
          <w:szCs w:val="22"/>
        </w:rPr>
      </w:pPr>
    </w:p>
    <w:p w14:paraId="1B85C083" w14:textId="77777777" w:rsidR="009E44AE" w:rsidRPr="000203E1" w:rsidRDefault="009E44AE" w:rsidP="00381024"/>
    <w:p w14:paraId="3B2D1F25" w14:textId="3A80E19F" w:rsidR="000001B0" w:rsidRPr="000203E1" w:rsidRDefault="000001B0" w:rsidP="00CC09D4">
      <w:pPr>
        <w:pStyle w:val="ListParagraph"/>
        <w:numPr>
          <w:ilvl w:val="0"/>
          <w:numId w:val="12"/>
        </w:numPr>
        <w:ind w:left="567" w:hanging="567"/>
      </w:pPr>
      <w:r w:rsidRPr="000203E1">
        <w:rPr>
          <w:b/>
        </w:rPr>
        <w:t>REKOME</w:t>
      </w:r>
      <w:r w:rsidR="00D83182" w:rsidRPr="000203E1">
        <w:rPr>
          <w:b/>
        </w:rPr>
        <w:t>N</w:t>
      </w:r>
      <w:r w:rsidRPr="000203E1">
        <w:rPr>
          <w:b/>
        </w:rPr>
        <w:t>DACIJA</w:t>
      </w:r>
    </w:p>
    <w:p w14:paraId="35E33D78" w14:textId="59232BB3" w:rsidR="00B811A4" w:rsidRPr="00D05364" w:rsidRDefault="00B811A4" w:rsidP="00B811A4">
      <w:pPr>
        <w:pStyle w:val="ListParagraph"/>
        <w:ind w:left="567"/>
        <w:rPr>
          <w:b/>
        </w:rPr>
      </w:pPr>
    </w:p>
    <w:p w14:paraId="26CC741D" w14:textId="77777777" w:rsidR="005E0278" w:rsidRPr="00603B3A" w:rsidRDefault="005E0278" w:rsidP="005E0278">
      <w:pPr>
        <w:widowControl w:val="0"/>
        <w:tabs>
          <w:tab w:val="left" w:pos="1418"/>
        </w:tabs>
        <w:suppressAutoHyphens/>
        <w:spacing w:line="360" w:lineRule="atLeast"/>
        <w:jc w:val="both"/>
        <w:textAlignment w:val="center"/>
        <w:rPr>
          <w:lang w:eastAsia="lt-LT"/>
        </w:rPr>
      </w:pPr>
      <w:r w:rsidRPr="00603B3A">
        <w:t xml:space="preserve">Vadovaujantis Aprašo </w:t>
      </w:r>
      <w:r w:rsidRPr="00603B3A">
        <w:rPr>
          <w:lang w:eastAsia="lt-LT"/>
        </w:rPr>
        <w:t>30</w:t>
      </w:r>
      <w:r w:rsidRPr="00603B3A">
        <w:rPr>
          <w:vertAlign w:val="superscript"/>
          <w:lang w:eastAsia="lt-LT"/>
        </w:rPr>
        <w:t>1</w:t>
      </w:r>
      <w:r w:rsidRPr="00603B3A">
        <w:rPr>
          <w:lang w:eastAsia="lt-LT"/>
        </w:rPr>
        <w:t xml:space="preserve">.5. papunkčiu rekomenduojama kompensuoti vaistinį preparatą pagal paraiškoje nurodytą indikaciją (arba jos dalį) su arba be skyrimo sąlygų, jei išvados apie įtaką PSDF biudžetui atitinka aprašo </w:t>
      </w:r>
      <w:r w:rsidRPr="00603B3A">
        <w:t>54.1</w:t>
      </w:r>
      <w:r w:rsidRPr="00603B3A">
        <w:rPr>
          <w:vertAlign w:val="superscript"/>
        </w:rPr>
        <w:t>1</w:t>
      </w:r>
      <w:r w:rsidRPr="00603B3A">
        <w:t xml:space="preserve"> papunkčio nuostatas arba šio papunkčio sąlygos išpildomos pateikus naują ar atnaujintą PGS.</w:t>
      </w:r>
    </w:p>
    <w:p w14:paraId="3D60BB06" w14:textId="77777777" w:rsidR="00B811A4" w:rsidRPr="0089345A" w:rsidRDefault="00B811A4" w:rsidP="00B811A4">
      <w:pPr>
        <w:widowControl w:val="0"/>
        <w:tabs>
          <w:tab w:val="left" w:pos="1418"/>
        </w:tabs>
        <w:suppressAutoHyphens/>
        <w:spacing w:line="360" w:lineRule="atLeast"/>
        <w:jc w:val="center"/>
        <w:textAlignment w:val="center"/>
        <w:rPr>
          <w:color w:val="000000"/>
          <w:lang w:eastAsia="lt-LT"/>
        </w:rPr>
      </w:pPr>
    </w:p>
    <w:p w14:paraId="4059A6D3" w14:textId="77777777" w:rsidR="005E0278" w:rsidRPr="00240E5E" w:rsidRDefault="005E0278" w:rsidP="005E0278">
      <w:pPr>
        <w:tabs>
          <w:tab w:val="left" w:pos="567"/>
        </w:tabs>
        <w:ind w:left="567" w:hanging="567"/>
        <w:jc w:val="both"/>
        <w:rPr>
          <w:b/>
          <w:color w:val="000000"/>
          <w:lang w:eastAsia="lt-LT"/>
        </w:rPr>
      </w:pPr>
      <w:r w:rsidRPr="00240E5E">
        <w:rPr>
          <w:b/>
          <w:color w:val="000000"/>
          <w:lang w:eastAsia="lt-LT"/>
        </w:rPr>
        <w:t>8.</w:t>
      </w:r>
      <w:r w:rsidRPr="00240E5E">
        <w:rPr>
          <w:b/>
          <w:color w:val="000000"/>
          <w:lang w:eastAsia="lt-LT"/>
        </w:rPr>
        <w:tab/>
        <w:t>SIŪLOMOS KOMPENSUOTI TERAPINĖS INDIKACIJOS IR SKYRIMO SĄLYGOS</w:t>
      </w:r>
    </w:p>
    <w:p w14:paraId="179FBABC" w14:textId="77777777" w:rsidR="00B811A4" w:rsidRPr="0073329D" w:rsidRDefault="00B811A4" w:rsidP="00B811A4">
      <w:pPr>
        <w:tabs>
          <w:tab w:val="left" w:pos="426"/>
        </w:tabs>
        <w:jc w:val="both"/>
        <w:rPr>
          <w:b/>
          <w:lang w:eastAsia="lt-LT"/>
        </w:rPr>
      </w:pPr>
    </w:p>
    <w:p w14:paraId="65CB839B" w14:textId="77777777" w:rsidR="00B811A4" w:rsidRDefault="00B811A4" w:rsidP="005C0729">
      <w:pPr>
        <w:pStyle w:val="NoSpacing"/>
        <w:spacing w:line="276" w:lineRule="auto"/>
        <w:rPr>
          <w:rFonts w:ascii="Times New Roman" w:hAnsi="Times New Roman"/>
          <w:b/>
          <w:sz w:val="24"/>
          <w:szCs w:val="24"/>
          <w:lang w:eastAsia="lt-LT"/>
        </w:rPr>
      </w:pPr>
      <w:r w:rsidRPr="0073329D">
        <w:rPr>
          <w:rFonts w:ascii="Times New Roman" w:hAnsi="Times New Roman"/>
          <w:b/>
          <w:sz w:val="24"/>
          <w:szCs w:val="24"/>
          <w:lang w:eastAsia="lt-LT"/>
        </w:rPr>
        <w:t>Terapinės indikacijos</w:t>
      </w:r>
    </w:p>
    <w:p w14:paraId="092799DD" w14:textId="77777777" w:rsidR="000D5F3C" w:rsidRDefault="000D5F3C" w:rsidP="005C0729">
      <w:pPr>
        <w:spacing w:line="276" w:lineRule="auto"/>
        <w:jc w:val="both"/>
      </w:pPr>
      <w:r w:rsidRPr="00B0095F">
        <w:t>Amvuttra skirtas laukinio tipo arba paveldimai transtiretino</w:t>
      </w:r>
      <w:r>
        <w:t xml:space="preserve"> </w:t>
      </w:r>
      <w:r w:rsidRPr="00B0095F">
        <w:t>amiloidozei gydyti suaugusiems pacientams, sergantiems</w:t>
      </w:r>
      <w:r>
        <w:t xml:space="preserve"> </w:t>
      </w:r>
      <w:r w:rsidRPr="00B0095F">
        <w:t>kardiomiopatija</w:t>
      </w:r>
    </w:p>
    <w:p w14:paraId="4F465E71" w14:textId="77777777" w:rsidR="000D5F3C" w:rsidRDefault="000D5F3C" w:rsidP="005C0729">
      <w:pPr>
        <w:spacing w:line="276" w:lineRule="auto"/>
        <w:jc w:val="both"/>
      </w:pPr>
      <w:r w:rsidRPr="00B0095F">
        <w:t>TLK</w:t>
      </w:r>
      <w:r>
        <w:t>-</w:t>
      </w:r>
      <w:r w:rsidRPr="00B0095F">
        <w:t>10 AM kodas: E85.8 kartu su I43.1</w:t>
      </w:r>
      <w:r>
        <w:t>.</w:t>
      </w:r>
    </w:p>
    <w:p w14:paraId="3BC08150" w14:textId="77777777" w:rsidR="00B811A4" w:rsidRPr="0073329D" w:rsidRDefault="00B811A4" w:rsidP="005C0729">
      <w:pPr>
        <w:pStyle w:val="NoSpacing"/>
        <w:spacing w:line="276" w:lineRule="auto"/>
        <w:rPr>
          <w:rFonts w:ascii="Times New Roman" w:hAnsi="Times New Roman"/>
          <w:sz w:val="24"/>
          <w:szCs w:val="24"/>
        </w:rPr>
      </w:pPr>
    </w:p>
    <w:p w14:paraId="632DB4B9" w14:textId="77777777" w:rsidR="00B811A4" w:rsidRDefault="00B811A4" w:rsidP="005C0729">
      <w:pPr>
        <w:pStyle w:val="NoSpacing"/>
        <w:spacing w:line="276" w:lineRule="auto"/>
        <w:rPr>
          <w:rFonts w:ascii="Times New Roman" w:hAnsi="Times New Roman"/>
          <w:b/>
          <w:sz w:val="24"/>
          <w:szCs w:val="24"/>
        </w:rPr>
      </w:pPr>
      <w:r w:rsidRPr="0073329D">
        <w:rPr>
          <w:rFonts w:ascii="Times New Roman" w:hAnsi="Times New Roman"/>
          <w:b/>
          <w:sz w:val="24"/>
          <w:szCs w:val="24"/>
        </w:rPr>
        <w:t>Skyrimo sąlygos</w:t>
      </w:r>
    </w:p>
    <w:p w14:paraId="70A85E3F" w14:textId="77777777" w:rsidR="008F1E13" w:rsidRDefault="008F1E13" w:rsidP="005C0729">
      <w:pPr>
        <w:spacing w:line="276" w:lineRule="auto"/>
        <w:rPr>
          <w:rFonts w:eastAsia="Calibri"/>
          <w:bCs/>
          <w:color w:val="000000" w:themeColor="text1"/>
          <w:lang w:eastAsia="lt-LT"/>
        </w:rPr>
      </w:pPr>
    </w:p>
    <w:p w14:paraId="7D5C6700" w14:textId="777222A7" w:rsidR="00D5470B" w:rsidRPr="008F1E13" w:rsidRDefault="008F1E13" w:rsidP="005C0729">
      <w:pPr>
        <w:spacing w:line="276" w:lineRule="auto"/>
        <w:jc w:val="both"/>
        <w:rPr>
          <w:bCs/>
          <w:color w:val="000000" w:themeColor="text1"/>
        </w:rPr>
      </w:pPr>
      <w:r w:rsidRPr="008F1E13">
        <w:rPr>
          <w:rFonts w:eastAsia="Calibri"/>
          <w:bCs/>
          <w:color w:val="000000" w:themeColor="text1"/>
          <w:lang w:eastAsia="lt-LT"/>
        </w:rPr>
        <w:lastRenderedPageBreak/>
        <w:t>Skiriamas transtiretino amiloidozei gydyti suaugusiems pacientams, sergantiems laukinio tipo (ORPHA 330001)  arba paveldėtąja kardiomiopatija (ORPHA 271861) ir širdies nepakankamumu (TLK kodai E85.8 ir I43.1 ir E85.1 ir I43.1), jei dėl širdies nepakankamumo pacientas vieną ar daugiau kartų buvo gydytas stacionare arba nustatytas simptominis širdies nepakankamumas ir NTproBNP ≥ 600 ng/L arba BNP ≥ 165 ng/L. Gydymą skiria ir tęsia VšĮ LSMU ligoninės Kauno klinikų arba VšĮ Santaros klinikų retų ligų centre dirbantis gydytojas kardiologas, turintis transtiretino amiloidozės diagnostikos ir gydymo patirties.</w:t>
      </w:r>
    </w:p>
    <w:p w14:paraId="33B8DE04" w14:textId="77777777" w:rsidR="00283E59" w:rsidRDefault="00283E59" w:rsidP="00283E59">
      <w:pPr>
        <w:widowControl w:val="0"/>
        <w:tabs>
          <w:tab w:val="left" w:pos="1418"/>
        </w:tabs>
        <w:suppressAutoHyphens/>
        <w:spacing w:line="360" w:lineRule="atLeast"/>
        <w:jc w:val="center"/>
        <w:textAlignment w:val="center"/>
      </w:pPr>
      <w:r>
        <w:rPr>
          <w:color w:val="000000"/>
          <w:lang w:eastAsia="lt-LT"/>
        </w:rPr>
        <w:t>____________________________</w:t>
      </w:r>
    </w:p>
    <w:p w14:paraId="562A1372" w14:textId="77777777" w:rsidR="00283E59" w:rsidRDefault="00283E59" w:rsidP="00283E59">
      <w:pPr>
        <w:jc w:val="both"/>
        <w:rPr>
          <w:b/>
          <w:sz w:val="20"/>
        </w:rPr>
      </w:pPr>
    </w:p>
    <w:sectPr w:rsidR="00283E59" w:rsidSect="00063A50">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65CC" w14:textId="77777777" w:rsidR="00431113" w:rsidRDefault="00431113">
      <w:r>
        <w:separator/>
      </w:r>
    </w:p>
  </w:endnote>
  <w:endnote w:type="continuationSeparator" w:id="0">
    <w:p w14:paraId="2C8C3C71" w14:textId="77777777" w:rsidR="00431113" w:rsidRDefault="00431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1B3C" w14:textId="77777777" w:rsidR="00431113" w:rsidRDefault="00431113">
      <w:r>
        <w:separator/>
      </w:r>
    </w:p>
  </w:footnote>
  <w:footnote w:type="continuationSeparator" w:id="0">
    <w:p w14:paraId="49F0EC3D" w14:textId="77777777" w:rsidR="00431113" w:rsidRDefault="00431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7229164">
    <w:abstractNumId w:val="8"/>
  </w:num>
  <w:num w:numId="2" w16cid:durableId="498692776">
    <w:abstractNumId w:val="2"/>
  </w:num>
  <w:num w:numId="3" w16cid:durableId="1539200131">
    <w:abstractNumId w:val="10"/>
  </w:num>
  <w:num w:numId="4" w16cid:durableId="825702463">
    <w:abstractNumId w:val="9"/>
  </w:num>
  <w:num w:numId="5" w16cid:durableId="829059448">
    <w:abstractNumId w:val="7"/>
  </w:num>
  <w:num w:numId="6" w16cid:durableId="1285162266">
    <w:abstractNumId w:val="6"/>
  </w:num>
  <w:num w:numId="7" w16cid:durableId="1864974962">
    <w:abstractNumId w:val="4"/>
  </w:num>
  <w:num w:numId="8" w16cid:durableId="1408500288">
    <w:abstractNumId w:val="13"/>
  </w:num>
  <w:num w:numId="9" w16cid:durableId="528765340">
    <w:abstractNumId w:val="0"/>
  </w:num>
  <w:num w:numId="10" w16cid:durableId="1232547046">
    <w:abstractNumId w:val="11"/>
  </w:num>
  <w:num w:numId="11" w16cid:durableId="477917849">
    <w:abstractNumId w:val="12"/>
  </w:num>
  <w:num w:numId="12" w16cid:durableId="1304776963">
    <w:abstractNumId w:val="3"/>
  </w:num>
  <w:num w:numId="13" w16cid:durableId="1149051851">
    <w:abstractNumId w:val="5"/>
  </w:num>
  <w:num w:numId="14" w16cid:durableId="881356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448C6"/>
    <w:rsid w:val="00052BD8"/>
    <w:rsid w:val="00053975"/>
    <w:rsid w:val="00057A2B"/>
    <w:rsid w:val="000606BE"/>
    <w:rsid w:val="000624FF"/>
    <w:rsid w:val="00063A50"/>
    <w:rsid w:val="000723FF"/>
    <w:rsid w:val="000736B8"/>
    <w:rsid w:val="0008190F"/>
    <w:rsid w:val="00081D9C"/>
    <w:rsid w:val="00082907"/>
    <w:rsid w:val="0008378D"/>
    <w:rsid w:val="000908A5"/>
    <w:rsid w:val="00092805"/>
    <w:rsid w:val="000A50C9"/>
    <w:rsid w:val="000B2B2C"/>
    <w:rsid w:val="000C454C"/>
    <w:rsid w:val="000D5038"/>
    <w:rsid w:val="000D5F3C"/>
    <w:rsid w:val="000E29D4"/>
    <w:rsid w:val="000F3540"/>
    <w:rsid w:val="00100491"/>
    <w:rsid w:val="00104E2E"/>
    <w:rsid w:val="00107287"/>
    <w:rsid w:val="00117194"/>
    <w:rsid w:val="00117406"/>
    <w:rsid w:val="00121EF0"/>
    <w:rsid w:val="00124A9E"/>
    <w:rsid w:val="00130703"/>
    <w:rsid w:val="0013153F"/>
    <w:rsid w:val="001408B8"/>
    <w:rsid w:val="001466FE"/>
    <w:rsid w:val="001517E2"/>
    <w:rsid w:val="001521D9"/>
    <w:rsid w:val="001554E2"/>
    <w:rsid w:val="00164146"/>
    <w:rsid w:val="00164D64"/>
    <w:rsid w:val="00166FBB"/>
    <w:rsid w:val="0017369C"/>
    <w:rsid w:val="00175D57"/>
    <w:rsid w:val="00180C39"/>
    <w:rsid w:val="00180D96"/>
    <w:rsid w:val="00184BD3"/>
    <w:rsid w:val="001921F3"/>
    <w:rsid w:val="001A0CAA"/>
    <w:rsid w:val="001A1862"/>
    <w:rsid w:val="001B3C5B"/>
    <w:rsid w:val="001C2FC8"/>
    <w:rsid w:val="001C6353"/>
    <w:rsid w:val="001D5B91"/>
    <w:rsid w:val="001D746F"/>
    <w:rsid w:val="001E0B2D"/>
    <w:rsid w:val="001E4BBB"/>
    <w:rsid w:val="001E6304"/>
    <w:rsid w:val="001F115E"/>
    <w:rsid w:val="00202977"/>
    <w:rsid w:val="0020381E"/>
    <w:rsid w:val="00213471"/>
    <w:rsid w:val="00215906"/>
    <w:rsid w:val="00241CD8"/>
    <w:rsid w:val="00244B09"/>
    <w:rsid w:val="002519CB"/>
    <w:rsid w:val="0025697F"/>
    <w:rsid w:val="00260258"/>
    <w:rsid w:val="0026588E"/>
    <w:rsid w:val="00272428"/>
    <w:rsid w:val="00272948"/>
    <w:rsid w:val="00283E59"/>
    <w:rsid w:val="00292392"/>
    <w:rsid w:val="002946C7"/>
    <w:rsid w:val="002B3CC1"/>
    <w:rsid w:val="002C0686"/>
    <w:rsid w:val="002C09E0"/>
    <w:rsid w:val="002C100E"/>
    <w:rsid w:val="002C1BB1"/>
    <w:rsid w:val="002C2786"/>
    <w:rsid w:val="002C3A10"/>
    <w:rsid w:val="002C4A90"/>
    <w:rsid w:val="002C4ED5"/>
    <w:rsid w:val="002D02EF"/>
    <w:rsid w:val="002E0702"/>
    <w:rsid w:val="002E1A83"/>
    <w:rsid w:val="002E57AD"/>
    <w:rsid w:val="002E6F80"/>
    <w:rsid w:val="002F0E4F"/>
    <w:rsid w:val="002F1053"/>
    <w:rsid w:val="00314816"/>
    <w:rsid w:val="00317B0E"/>
    <w:rsid w:val="00336238"/>
    <w:rsid w:val="00347FAA"/>
    <w:rsid w:val="0035172D"/>
    <w:rsid w:val="0036187D"/>
    <w:rsid w:val="00367EDB"/>
    <w:rsid w:val="003705F0"/>
    <w:rsid w:val="00381024"/>
    <w:rsid w:val="00386307"/>
    <w:rsid w:val="003874DE"/>
    <w:rsid w:val="00393E9F"/>
    <w:rsid w:val="0039696E"/>
    <w:rsid w:val="003B211A"/>
    <w:rsid w:val="003C141F"/>
    <w:rsid w:val="003C6B0E"/>
    <w:rsid w:val="003C7257"/>
    <w:rsid w:val="003C7E35"/>
    <w:rsid w:val="003D1E99"/>
    <w:rsid w:val="003D6208"/>
    <w:rsid w:val="00404E8A"/>
    <w:rsid w:val="00404F4E"/>
    <w:rsid w:val="0040622F"/>
    <w:rsid w:val="00413F24"/>
    <w:rsid w:val="00422853"/>
    <w:rsid w:val="00423160"/>
    <w:rsid w:val="00431113"/>
    <w:rsid w:val="00437623"/>
    <w:rsid w:val="00444A2B"/>
    <w:rsid w:val="00453862"/>
    <w:rsid w:val="0045469B"/>
    <w:rsid w:val="00461338"/>
    <w:rsid w:val="004677DB"/>
    <w:rsid w:val="00476256"/>
    <w:rsid w:val="0048630F"/>
    <w:rsid w:val="004942E2"/>
    <w:rsid w:val="004947A1"/>
    <w:rsid w:val="0049482A"/>
    <w:rsid w:val="004979D3"/>
    <w:rsid w:val="004A00E7"/>
    <w:rsid w:val="004A3A61"/>
    <w:rsid w:val="004B59BA"/>
    <w:rsid w:val="004B5A03"/>
    <w:rsid w:val="004C263A"/>
    <w:rsid w:val="004C6221"/>
    <w:rsid w:val="004D48A6"/>
    <w:rsid w:val="004D70B6"/>
    <w:rsid w:val="004D7B8F"/>
    <w:rsid w:val="004E241F"/>
    <w:rsid w:val="004E6458"/>
    <w:rsid w:val="004E6E7D"/>
    <w:rsid w:val="004F1AAC"/>
    <w:rsid w:val="004F1AE2"/>
    <w:rsid w:val="004F34F0"/>
    <w:rsid w:val="004F3B2B"/>
    <w:rsid w:val="004F6050"/>
    <w:rsid w:val="005005EF"/>
    <w:rsid w:val="0051095E"/>
    <w:rsid w:val="005123C2"/>
    <w:rsid w:val="0052144B"/>
    <w:rsid w:val="00524066"/>
    <w:rsid w:val="005243E1"/>
    <w:rsid w:val="00526A0F"/>
    <w:rsid w:val="00534E11"/>
    <w:rsid w:val="005378D8"/>
    <w:rsid w:val="005400D9"/>
    <w:rsid w:val="005476A4"/>
    <w:rsid w:val="0055019B"/>
    <w:rsid w:val="00556E63"/>
    <w:rsid w:val="005601A4"/>
    <w:rsid w:val="00566DBB"/>
    <w:rsid w:val="00567B14"/>
    <w:rsid w:val="005767DB"/>
    <w:rsid w:val="005815E6"/>
    <w:rsid w:val="0058712F"/>
    <w:rsid w:val="005976CE"/>
    <w:rsid w:val="005A23D4"/>
    <w:rsid w:val="005A2D1E"/>
    <w:rsid w:val="005A4698"/>
    <w:rsid w:val="005B3756"/>
    <w:rsid w:val="005C0729"/>
    <w:rsid w:val="005C493F"/>
    <w:rsid w:val="005C6BF7"/>
    <w:rsid w:val="005C71BF"/>
    <w:rsid w:val="005D002C"/>
    <w:rsid w:val="005D30E1"/>
    <w:rsid w:val="005D6555"/>
    <w:rsid w:val="005D69F8"/>
    <w:rsid w:val="005D7BDF"/>
    <w:rsid w:val="005E0278"/>
    <w:rsid w:val="005E4870"/>
    <w:rsid w:val="005F71D9"/>
    <w:rsid w:val="005F7602"/>
    <w:rsid w:val="006062BE"/>
    <w:rsid w:val="00613143"/>
    <w:rsid w:val="00613501"/>
    <w:rsid w:val="0061611B"/>
    <w:rsid w:val="006166A8"/>
    <w:rsid w:val="006174A1"/>
    <w:rsid w:val="0061764C"/>
    <w:rsid w:val="00621D6C"/>
    <w:rsid w:val="00633B49"/>
    <w:rsid w:val="00640F87"/>
    <w:rsid w:val="0064297F"/>
    <w:rsid w:val="00645102"/>
    <w:rsid w:val="00646CF3"/>
    <w:rsid w:val="00653D11"/>
    <w:rsid w:val="00662983"/>
    <w:rsid w:val="006834D3"/>
    <w:rsid w:val="00692625"/>
    <w:rsid w:val="00695CD3"/>
    <w:rsid w:val="006A38B6"/>
    <w:rsid w:val="006B1987"/>
    <w:rsid w:val="006B5B71"/>
    <w:rsid w:val="006B5D3E"/>
    <w:rsid w:val="006B6CB0"/>
    <w:rsid w:val="006C2B64"/>
    <w:rsid w:val="006D1BF3"/>
    <w:rsid w:val="006D4C85"/>
    <w:rsid w:val="006D66AC"/>
    <w:rsid w:val="006E33F6"/>
    <w:rsid w:val="006F1251"/>
    <w:rsid w:val="006F17E1"/>
    <w:rsid w:val="006F1C23"/>
    <w:rsid w:val="00702C18"/>
    <w:rsid w:val="00703166"/>
    <w:rsid w:val="007111C4"/>
    <w:rsid w:val="007127F3"/>
    <w:rsid w:val="007301CF"/>
    <w:rsid w:val="007316FB"/>
    <w:rsid w:val="00737E2D"/>
    <w:rsid w:val="007424D5"/>
    <w:rsid w:val="00745C63"/>
    <w:rsid w:val="00750A88"/>
    <w:rsid w:val="007523DD"/>
    <w:rsid w:val="00757B7E"/>
    <w:rsid w:val="007656B2"/>
    <w:rsid w:val="0077016F"/>
    <w:rsid w:val="007713AD"/>
    <w:rsid w:val="00795DC5"/>
    <w:rsid w:val="00797153"/>
    <w:rsid w:val="007A21F7"/>
    <w:rsid w:val="007A2B68"/>
    <w:rsid w:val="007A7086"/>
    <w:rsid w:val="007B0DDA"/>
    <w:rsid w:val="007C6D89"/>
    <w:rsid w:val="007D3347"/>
    <w:rsid w:val="007D57D7"/>
    <w:rsid w:val="007D654E"/>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875BC"/>
    <w:rsid w:val="00891EF6"/>
    <w:rsid w:val="00892FF4"/>
    <w:rsid w:val="0089345A"/>
    <w:rsid w:val="008A0303"/>
    <w:rsid w:val="008A5FDD"/>
    <w:rsid w:val="008B0BB3"/>
    <w:rsid w:val="008C3947"/>
    <w:rsid w:val="008E473B"/>
    <w:rsid w:val="008E51A6"/>
    <w:rsid w:val="008E7329"/>
    <w:rsid w:val="008F1E13"/>
    <w:rsid w:val="008F2ED5"/>
    <w:rsid w:val="0091207C"/>
    <w:rsid w:val="0092297E"/>
    <w:rsid w:val="00923292"/>
    <w:rsid w:val="00923651"/>
    <w:rsid w:val="00924DF7"/>
    <w:rsid w:val="00927B56"/>
    <w:rsid w:val="009341BF"/>
    <w:rsid w:val="009366E8"/>
    <w:rsid w:val="00937907"/>
    <w:rsid w:val="00941739"/>
    <w:rsid w:val="00951573"/>
    <w:rsid w:val="00963003"/>
    <w:rsid w:val="00965919"/>
    <w:rsid w:val="00966EEF"/>
    <w:rsid w:val="00971B28"/>
    <w:rsid w:val="00983471"/>
    <w:rsid w:val="009909AB"/>
    <w:rsid w:val="00995641"/>
    <w:rsid w:val="009B37DB"/>
    <w:rsid w:val="009C7A8C"/>
    <w:rsid w:val="009D23F9"/>
    <w:rsid w:val="009D4FA8"/>
    <w:rsid w:val="009E44AE"/>
    <w:rsid w:val="009E6CD6"/>
    <w:rsid w:val="009F4D66"/>
    <w:rsid w:val="009F6761"/>
    <w:rsid w:val="00A00C3C"/>
    <w:rsid w:val="00A01091"/>
    <w:rsid w:val="00A042B9"/>
    <w:rsid w:val="00A06DBB"/>
    <w:rsid w:val="00A22ADF"/>
    <w:rsid w:val="00A2310D"/>
    <w:rsid w:val="00A254A2"/>
    <w:rsid w:val="00A31E86"/>
    <w:rsid w:val="00A54D87"/>
    <w:rsid w:val="00A5553C"/>
    <w:rsid w:val="00A701C9"/>
    <w:rsid w:val="00A81785"/>
    <w:rsid w:val="00A8476F"/>
    <w:rsid w:val="00A84803"/>
    <w:rsid w:val="00A84C51"/>
    <w:rsid w:val="00A86F2B"/>
    <w:rsid w:val="00A91366"/>
    <w:rsid w:val="00A92F91"/>
    <w:rsid w:val="00A93AA6"/>
    <w:rsid w:val="00AA4E48"/>
    <w:rsid w:val="00AA6202"/>
    <w:rsid w:val="00AA7B57"/>
    <w:rsid w:val="00AB2806"/>
    <w:rsid w:val="00AB2D54"/>
    <w:rsid w:val="00AB3878"/>
    <w:rsid w:val="00AC15F3"/>
    <w:rsid w:val="00AC26FC"/>
    <w:rsid w:val="00AC4A99"/>
    <w:rsid w:val="00AC5129"/>
    <w:rsid w:val="00AC64D2"/>
    <w:rsid w:val="00AD02E7"/>
    <w:rsid w:val="00AD3149"/>
    <w:rsid w:val="00AE0FE8"/>
    <w:rsid w:val="00AF60D5"/>
    <w:rsid w:val="00B00959"/>
    <w:rsid w:val="00B04415"/>
    <w:rsid w:val="00B06509"/>
    <w:rsid w:val="00B11D60"/>
    <w:rsid w:val="00B13D65"/>
    <w:rsid w:val="00B21805"/>
    <w:rsid w:val="00B3072E"/>
    <w:rsid w:val="00B36E15"/>
    <w:rsid w:val="00B37245"/>
    <w:rsid w:val="00B4017A"/>
    <w:rsid w:val="00B4468D"/>
    <w:rsid w:val="00B7015D"/>
    <w:rsid w:val="00B71C72"/>
    <w:rsid w:val="00B71F04"/>
    <w:rsid w:val="00B74A62"/>
    <w:rsid w:val="00B811A4"/>
    <w:rsid w:val="00B81E92"/>
    <w:rsid w:val="00B908D7"/>
    <w:rsid w:val="00B935E8"/>
    <w:rsid w:val="00B93B30"/>
    <w:rsid w:val="00B94CB5"/>
    <w:rsid w:val="00BA0DD9"/>
    <w:rsid w:val="00BA5DBC"/>
    <w:rsid w:val="00BA6584"/>
    <w:rsid w:val="00BB6312"/>
    <w:rsid w:val="00BC39C2"/>
    <w:rsid w:val="00BC4D06"/>
    <w:rsid w:val="00BD05E1"/>
    <w:rsid w:val="00BD585E"/>
    <w:rsid w:val="00BD6919"/>
    <w:rsid w:val="00BE1EA7"/>
    <w:rsid w:val="00BE7489"/>
    <w:rsid w:val="00BF2E0D"/>
    <w:rsid w:val="00BF3927"/>
    <w:rsid w:val="00BF3F8B"/>
    <w:rsid w:val="00BF76DA"/>
    <w:rsid w:val="00C00CDB"/>
    <w:rsid w:val="00C07C7B"/>
    <w:rsid w:val="00C16245"/>
    <w:rsid w:val="00C22DC5"/>
    <w:rsid w:val="00C24479"/>
    <w:rsid w:val="00C273F2"/>
    <w:rsid w:val="00C327CB"/>
    <w:rsid w:val="00C37B53"/>
    <w:rsid w:val="00C434EB"/>
    <w:rsid w:val="00C517D2"/>
    <w:rsid w:val="00C5772E"/>
    <w:rsid w:val="00C62B36"/>
    <w:rsid w:val="00C7012C"/>
    <w:rsid w:val="00C712EA"/>
    <w:rsid w:val="00C9728E"/>
    <w:rsid w:val="00CA217D"/>
    <w:rsid w:val="00CA3131"/>
    <w:rsid w:val="00CC09D4"/>
    <w:rsid w:val="00CC4F5F"/>
    <w:rsid w:val="00CC668D"/>
    <w:rsid w:val="00CC7832"/>
    <w:rsid w:val="00CD488E"/>
    <w:rsid w:val="00CE4B0B"/>
    <w:rsid w:val="00CF0C1C"/>
    <w:rsid w:val="00CF27FD"/>
    <w:rsid w:val="00CF5F12"/>
    <w:rsid w:val="00D00D8F"/>
    <w:rsid w:val="00D12869"/>
    <w:rsid w:val="00D14512"/>
    <w:rsid w:val="00D15ED6"/>
    <w:rsid w:val="00D21F3A"/>
    <w:rsid w:val="00D23808"/>
    <w:rsid w:val="00D24C7A"/>
    <w:rsid w:val="00D3016A"/>
    <w:rsid w:val="00D417D2"/>
    <w:rsid w:val="00D42960"/>
    <w:rsid w:val="00D43BD7"/>
    <w:rsid w:val="00D4485B"/>
    <w:rsid w:val="00D46CCD"/>
    <w:rsid w:val="00D4708D"/>
    <w:rsid w:val="00D4744C"/>
    <w:rsid w:val="00D51046"/>
    <w:rsid w:val="00D521DE"/>
    <w:rsid w:val="00D5470B"/>
    <w:rsid w:val="00D63068"/>
    <w:rsid w:val="00D6498C"/>
    <w:rsid w:val="00D67BAF"/>
    <w:rsid w:val="00D76A70"/>
    <w:rsid w:val="00D83182"/>
    <w:rsid w:val="00D8521E"/>
    <w:rsid w:val="00D9291C"/>
    <w:rsid w:val="00D93A97"/>
    <w:rsid w:val="00DA5602"/>
    <w:rsid w:val="00DB1F64"/>
    <w:rsid w:val="00DC261A"/>
    <w:rsid w:val="00DC2F53"/>
    <w:rsid w:val="00DC5BAC"/>
    <w:rsid w:val="00DC6816"/>
    <w:rsid w:val="00DC76C2"/>
    <w:rsid w:val="00DD1CF2"/>
    <w:rsid w:val="00DE4484"/>
    <w:rsid w:val="00DE712B"/>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0CED"/>
    <w:rsid w:val="00E745A1"/>
    <w:rsid w:val="00E81529"/>
    <w:rsid w:val="00E83A13"/>
    <w:rsid w:val="00EB1151"/>
    <w:rsid w:val="00EB6FC5"/>
    <w:rsid w:val="00EC2356"/>
    <w:rsid w:val="00EC2582"/>
    <w:rsid w:val="00EC337C"/>
    <w:rsid w:val="00ED0783"/>
    <w:rsid w:val="00ED0CFF"/>
    <w:rsid w:val="00ED31D2"/>
    <w:rsid w:val="00EE0EAC"/>
    <w:rsid w:val="00EE3322"/>
    <w:rsid w:val="00EE33CB"/>
    <w:rsid w:val="00EF10E2"/>
    <w:rsid w:val="00F0061A"/>
    <w:rsid w:val="00F02834"/>
    <w:rsid w:val="00F04EEB"/>
    <w:rsid w:val="00F05467"/>
    <w:rsid w:val="00F055D2"/>
    <w:rsid w:val="00F07CD7"/>
    <w:rsid w:val="00F127E9"/>
    <w:rsid w:val="00F14477"/>
    <w:rsid w:val="00F14B5D"/>
    <w:rsid w:val="00F259FC"/>
    <w:rsid w:val="00F313F4"/>
    <w:rsid w:val="00F36972"/>
    <w:rsid w:val="00F42426"/>
    <w:rsid w:val="00F44F01"/>
    <w:rsid w:val="00F456BC"/>
    <w:rsid w:val="00F50666"/>
    <w:rsid w:val="00F70731"/>
    <w:rsid w:val="00F70C9E"/>
    <w:rsid w:val="00F74A74"/>
    <w:rsid w:val="00F7572C"/>
    <w:rsid w:val="00F8382C"/>
    <w:rsid w:val="00F855D7"/>
    <w:rsid w:val="00F92035"/>
    <w:rsid w:val="00F92748"/>
    <w:rsid w:val="00FA4169"/>
    <w:rsid w:val="00FB0D41"/>
    <w:rsid w:val="00FB2030"/>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basedOn w:val="Normal"/>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3EC56AA2FD440FAB92ED675BD36BA0"/>
        <w:category>
          <w:name w:val="Bendrosios nuostatos"/>
          <w:gallery w:val="placeholder"/>
        </w:category>
        <w:types>
          <w:type w:val="bbPlcHdr"/>
        </w:types>
        <w:behaviors>
          <w:behavior w:val="content"/>
        </w:behaviors>
        <w:guid w:val="{930DD3CB-97DE-4BCB-96BE-0677BB5CE856}"/>
      </w:docPartPr>
      <w:docPartBody>
        <w:p w:rsidR="00A20D39" w:rsidRDefault="00C66578" w:rsidP="00C66578">
          <w:pPr>
            <w:pStyle w:val="313EC56AA2FD440FAB92ED675BD36BA0"/>
          </w:pPr>
          <w:r>
            <w:rPr>
              <w:rStyle w:val="PlaceholderText"/>
            </w:rPr>
            <w:t>Click here to enter a date.</w:t>
          </w:r>
        </w:p>
      </w:docPartBody>
    </w:docPart>
    <w:docPart>
      <w:docPartPr>
        <w:name w:val="12502E5E16DB4CE7A2F142C3F503F343"/>
        <w:category>
          <w:name w:val="Bendrosios nuostatos"/>
          <w:gallery w:val="placeholder"/>
        </w:category>
        <w:types>
          <w:type w:val="bbPlcHdr"/>
        </w:types>
        <w:behaviors>
          <w:behavior w:val="content"/>
        </w:behaviors>
        <w:guid w:val="{0AAC4E5B-7F56-4C34-A726-37748E473775}"/>
      </w:docPartPr>
      <w:docPartBody>
        <w:p w:rsidR="00F548AC" w:rsidRDefault="00F548AC" w:rsidP="00F548AC">
          <w:pPr>
            <w:pStyle w:val="12502E5E16DB4CE7A2F142C3F503F343"/>
          </w:pPr>
          <w:r>
            <w:rPr>
              <w:rStyle w:val="PlaceholderText"/>
            </w:rPr>
            <w:t>Click here to enter a date.</w:t>
          </w:r>
        </w:p>
      </w:docPartBody>
    </w:docPart>
    <w:docPart>
      <w:docPartPr>
        <w:name w:val="96F57009BDD5455B99086C1695375265"/>
        <w:category>
          <w:name w:val="Bendrosios nuostatos"/>
          <w:gallery w:val="placeholder"/>
        </w:category>
        <w:types>
          <w:type w:val="bbPlcHdr"/>
        </w:types>
        <w:behaviors>
          <w:behavior w:val="content"/>
        </w:behaviors>
        <w:guid w:val="{EAF6609E-2136-4915-8A7F-54A171428392}"/>
      </w:docPartPr>
      <w:docPartBody>
        <w:p w:rsidR="00F548AC" w:rsidRDefault="00F548AC" w:rsidP="00F548AC">
          <w:pPr>
            <w:pStyle w:val="96F57009BDD5455B99086C1695375265"/>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937FE"/>
    <w:rsid w:val="000A50C9"/>
    <w:rsid w:val="000A559A"/>
    <w:rsid w:val="000D24D4"/>
    <w:rsid w:val="000D6217"/>
    <w:rsid w:val="000E2F42"/>
    <w:rsid w:val="0014006D"/>
    <w:rsid w:val="001C35A9"/>
    <w:rsid w:val="00237556"/>
    <w:rsid w:val="002C0686"/>
    <w:rsid w:val="0039303B"/>
    <w:rsid w:val="00405CCC"/>
    <w:rsid w:val="004144A3"/>
    <w:rsid w:val="004160E7"/>
    <w:rsid w:val="004416C6"/>
    <w:rsid w:val="00456E96"/>
    <w:rsid w:val="004A132D"/>
    <w:rsid w:val="004C6221"/>
    <w:rsid w:val="004D038D"/>
    <w:rsid w:val="004F4E20"/>
    <w:rsid w:val="004F5AB2"/>
    <w:rsid w:val="005074B9"/>
    <w:rsid w:val="00563A5F"/>
    <w:rsid w:val="005C62E5"/>
    <w:rsid w:val="005D69F8"/>
    <w:rsid w:val="005E40DD"/>
    <w:rsid w:val="00601F4E"/>
    <w:rsid w:val="006E6A2C"/>
    <w:rsid w:val="007219C1"/>
    <w:rsid w:val="00745C63"/>
    <w:rsid w:val="00753462"/>
    <w:rsid w:val="00772325"/>
    <w:rsid w:val="007A2FE0"/>
    <w:rsid w:val="007C6D1D"/>
    <w:rsid w:val="007D654E"/>
    <w:rsid w:val="00892FF4"/>
    <w:rsid w:val="008B0BB3"/>
    <w:rsid w:val="008C0DC0"/>
    <w:rsid w:val="0090074D"/>
    <w:rsid w:val="00901A35"/>
    <w:rsid w:val="00995641"/>
    <w:rsid w:val="009B3BF0"/>
    <w:rsid w:val="009D5E5E"/>
    <w:rsid w:val="009F1BB4"/>
    <w:rsid w:val="00A20D39"/>
    <w:rsid w:val="00A254A2"/>
    <w:rsid w:val="00A8476F"/>
    <w:rsid w:val="00AB2D54"/>
    <w:rsid w:val="00AB6ED4"/>
    <w:rsid w:val="00B14210"/>
    <w:rsid w:val="00B22ED6"/>
    <w:rsid w:val="00B23DC0"/>
    <w:rsid w:val="00B71F04"/>
    <w:rsid w:val="00B96656"/>
    <w:rsid w:val="00BA0A8E"/>
    <w:rsid w:val="00BE3364"/>
    <w:rsid w:val="00C2401D"/>
    <w:rsid w:val="00C250D7"/>
    <w:rsid w:val="00C327CB"/>
    <w:rsid w:val="00C53A68"/>
    <w:rsid w:val="00C66578"/>
    <w:rsid w:val="00CA5BB4"/>
    <w:rsid w:val="00CB4BD1"/>
    <w:rsid w:val="00CD139C"/>
    <w:rsid w:val="00CE28BC"/>
    <w:rsid w:val="00CE2DA9"/>
    <w:rsid w:val="00CE44BE"/>
    <w:rsid w:val="00D008F3"/>
    <w:rsid w:val="00D0142D"/>
    <w:rsid w:val="00D04DFF"/>
    <w:rsid w:val="00D15ED6"/>
    <w:rsid w:val="00D20347"/>
    <w:rsid w:val="00D4356B"/>
    <w:rsid w:val="00D7162F"/>
    <w:rsid w:val="00DA599C"/>
    <w:rsid w:val="00DB4DB5"/>
    <w:rsid w:val="00DE4D10"/>
    <w:rsid w:val="00E44A86"/>
    <w:rsid w:val="00E522EB"/>
    <w:rsid w:val="00E60827"/>
    <w:rsid w:val="00E819C5"/>
    <w:rsid w:val="00ED0783"/>
    <w:rsid w:val="00EF6E0C"/>
    <w:rsid w:val="00F14477"/>
    <w:rsid w:val="00F370E5"/>
    <w:rsid w:val="00F548AC"/>
    <w:rsid w:val="00F55028"/>
    <w:rsid w:val="00F677F0"/>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548AC"/>
    <w:rPr>
      <w:color w:val="808080"/>
    </w:rPr>
  </w:style>
  <w:style w:type="paragraph" w:customStyle="1" w:styleId="313EC56AA2FD440FAB92ED675BD36BA0">
    <w:name w:val="313EC56AA2FD440FAB92ED675BD36BA0"/>
    <w:rsid w:val="00C66578"/>
    <w:pPr>
      <w:spacing w:line="278" w:lineRule="auto"/>
    </w:pPr>
    <w:rPr>
      <w:kern w:val="2"/>
      <w:sz w:val="24"/>
      <w:szCs w:val="24"/>
      <w14:ligatures w14:val="standardContextual"/>
    </w:rPr>
  </w:style>
  <w:style w:type="paragraph" w:customStyle="1" w:styleId="12502E5E16DB4CE7A2F142C3F503F343">
    <w:name w:val="12502E5E16DB4CE7A2F142C3F503F343"/>
    <w:rsid w:val="00F548AC"/>
    <w:pPr>
      <w:spacing w:line="278" w:lineRule="auto"/>
    </w:pPr>
    <w:rPr>
      <w:kern w:val="2"/>
      <w:sz w:val="24"/>
      <w:szCs w:val="24"/>
      <w14:ligatures w14:val="standardContextual"/>
    </w:rPr>
  </w:style>
  <w:style w:type="paragraph" w:customStyle="1" w:styleId="96F57009BDD5455B99086C1695375265">
    <w:name w:val="96F57009BDD5455B99086C1695375265"/>
    <w:rsid w:val="00F548A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97cd41d-f0df-44e5-aea8-cb12e7ea80cd}" enabled="0" method="" siteId="{397cd41d-f0df-44e5-aea8-cb12e7ea80cd}"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1652</Words>
  <Characters>9418</Characters>
  <Application>Microsoft Office Word</Application>
  <DocSecurity>0</DocSecurity>
  <Lines>78</Lines>
  <Paragraphs>22</Paragraphs>
  <ScaleCrop>false</ScaleCrop>
  <Company/>
  <LinksUpToDate>false</LinksUpToDate>
  <CharactersWithSpaces>11048</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2026-04-07T11:40:00Z</dcterms:created>
  <dcterms:modified xsi:type="dcterms:W3CDTF">2026-04-08T06:36:00Z</dcterms:modified>
</cp:coreProperties>
</file>