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C680F31" w14:textId="77777777" w:rsidR="00486F17" w:rsidRPr="00480303" w:rsidRDefault="00486F17" w:rsidP="00486F17">
      <w:pPr>
        <w:jc w:val="center"/>
        <w:rPr>
          <w:b/>
        </w:rPr>
      </w:pPr>
      <w:r w:rsidRPr="00480303">
        <w:rPr>
          <w:b/>
        </w:rPr>
        <w:t>Tremfya 200 mg koncentratas infuziniam tirpalui</w:t>
      </w:r>
    </w:p>
    <w:p w14:paraId="7F1BA04A" w14:textId="77777777" w:rsidR="00486F17" w:rsidRPr="00480303" w:rsidRDefault="00486F17" w:rsidP="00486F17">
      <w:pPr>
        <w:jc w:val="center"/>
        <w:rPr>
          <w:b/>
        </w:rPr>
      </w:pPr>
      <w:r w:rsidRPr="00480303">
        <w:rPr>
          <w:b/>
        </w:rPr>
        <w:t>Tremfya</w:t>
      </w:r>
      <w:r w:rsidRPr="00480303">
        <w:rPr>
          <w:rFonts w:eastAsia="Arial"/>
          <w:b/>
        </w:rPr>
        <w:t xml:space="preserve"> </w:t>
      </w:r>
      <w:r w:rsidRPr="00480303">
        <w:rPr>
          <w:b/>
        </w:rPr>
        <w:t xml:space="preserve">100 mg injekcinis tirpalas užpildytame švirkštiklyje </w:t>
      </w:r>
    </w:p>
    <w:p w14:paraId="61E140C0" w14:textId="77777777" w:rsidR="00486F17" w:rsidRPr="00480303" w:rsidRDefault="00486F17" w:rsidP="00486F17">
      <w:pPr>
        <w:jc w:val="center"/>
        <w:rPr>
          <w:b/>
        </w:rPr>
      </w:pPr>
      <w:r w:rsidRPr="00480303">
        <w:rPr>
          <w:b/>
        </w:rPr>
        <w:t>Tremfya</w:t>
      </w:r>
      <w:r w:rsidRPr="00480303">
        <w:rPr>
          <w:rFonts w:eastAsia="Arial"/>
          <w:b/>
        </w:rPr>
        <w:t xml:space="preserve"> </w:t>
      </w:r>
      <w:r w:rsidRPr="00480303">
        <w:rPr>
          <w:b/>
        </w:rPr>
        <w:t xml:space="preserve">200 mg injekcinis tirpalas užpildytame švirkštiklyje </w:t>
      </w:r>
    </w:p>
    <w:p w14:paraId="2967C95E" w14:textId="77777777" w:rsidR="00421559" w:rsidRPr="009300B3" w:rsidRDefault="00421559" w:rsidP="00421559">
      <w:pPr>
        <w:jc w:val="center"/>
      </w:pPr>
    </w:p>
    <w:p w14:paraId="0DA4E4A8" w14:textId="77777777" w:rsidR="00421559" w:rsidRDefault="00421559" w:rsidP="00421559">
      <w:pPr>
        <w:jc w:val="center"/>
        <w:rPr>
          <w:b/>
        </w:rPr>
      </w:pPr>
      <w:r w:rsidRPr="002E1E2A">
        <w:rPr>
          <w:b/>
        </w:rPr>
        <w:t>Guselkumabas</w:t>
      </w:r>
    </w:p>
    <w:p w14:paraId="09E4BBC7" w14:textId="77777777" w:rsidR="00421559" w:rsidRPr="009300B3" w:rsidRDefault="00421559" w:rsidP="00421559">
      <w:pPr>
        <w:jc w:val="center"/>
      </w:pPr>
    </w:p>
    <w:p w14:paraId="2704845B" w14:textId="7C4E7385" w:rsidR="00421559" w:rsidRPr="009300B3" w:rsidRDefault="00421559" w:rsidP="00421559">
      <w:pPr>
        <w:jc w:val="center"/>
        <w:rPr>
          <w:b/>
        </w:rPr>
      </w:pPr>
      <w:r w:rsidRPr="009300B3">
        <w:rPr>
          <w:b/>
        </w:rPr>
        <w:t>Paraiškos numeris</w:t>
      </w:r>
      <w:r>
        <w:rPr>
          <w:b/>
        </w:rPr>
        <w:t xml:space="preserve"> STV</w:t>
      </w:r>
      <w:r w:rsidR="00A44048">
        <w:rPr>
          <w:b/>
        </w:rPr>
        <w:t>-</w:t>
      </w:r>
      <w:r>
        <w:rPr>
          <w:b/>
        </w:rPr>
        <w:t>261</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3DFBB154" w14:textId="77777777" w:rsidR="0012653C" w:rsidRPr="001C3329" w:rsidRDefault="0012653C" w:rsidP="0012653C">
      <w:pPr>
        <w:pStyle w:val="ListParagraph"/>
        <w:numPr>
          <w:ilvl w:val="0"/>
          <w:numId w:val="12"/>
        </w:numPr>
        <w:tabs>
          <w:tab w:val="left" w:pos="284"/>
        </w:tabs>
        <w:spacing w:line="280" w:lineRule="atLeast"/>
        <w:jc w:val="both"/>
        <w:rPr>
          <w:rFonts w:eastAsia="Arial"/>
          <w:b/>
        </w:rPr>
      </w:pPr>
    </w:p>
    <w:tbl>
      <w:tblPr>
        <w:tblStyle w:val="TableGrid"/>
        <w:tblW w:w="9493" w:type="dxa"/>
        <w:tblLook w:val="04A0" w:firstRow="1" w:lastRow="0" w:firstColumn="1" w:lastColumn="0" w:noHBand="0" w:noVBand="1"/>
      </w:tblPr>
      <w:tblGrid>
        <w:gridCol w:w="632"/>
        <w:gridCol w:w="3899"/>
        <w:gridCol w:w="4962"/>
      </w:tblGrid>
      <w:tr w:rsidR="008A0DAB" w:rsidRPr="001C3329" w14:paraId="02FE7DAE" w14:textId="77777777" w:rsidTr="001642DA">
        <w:trPr>
          <w:trHeight w:val="538"/>
        </w:trPr>
        <w:tc>
          <w:tcPr>
            <w:tcW w:w="632" w:type="dxa"/>
          </w:tcPr>
          <w:p w14:paraId="7BCEA872" w14:textId="77777777" w:rsidR="008A0DAB" w:rsidRPr="001C3329" w:rsidRDefault="008A0DAB" w:rsidP="008A0DAB">
            <w:pPr>
              <w:jc w:val="both"/>
              <w:rPr>
                <w:rFonts w:eastAsia="Arial"/>
                <w:b/>
                <w:bCs/>
              </w:rPr>
            </w:pPr>
            <w:bookmarkStart w:id="1" w:name="_Hlk187088187"/>
            <w:r w:rsidRPr="001C3329">
              <w:rPr>
                <w:rFonts w:eastAsia="Arial"/>
                <w:b/>
                <w:bCs/>
              </w:rPr>
              <w:t>1.1</w:t>
            </w:r>
          </w:p>
        </w:tc>
        <w:tc>
          <w:tcPr>
            <w:tcW w:w="3899" w:type="dxa"/>
          </w:tcPr>
          <w:p w14:paraId="422121D0" w14:textId="77777777" w:rsidR="008A0DAB" w:rsidRPr="001C3329" w:rsidRDefault="008A0DAB" w:rsidP="008A0DAB">
            <w:pPr>
              <w:jc w:val="both"/>
              <w:rPr>
                <w:rFonts w:eastAsia="Arial"/>
                <w:b/>
                <w:bCs/>
              </w:rPr>
            </w:pPr>
            <w:r w:rsidRPr="001C3329">
              <w:rPr>
                <w:rFonts w:eastAsia="Arial"/>
                <w:b/>
                <w:bCs/>
              </w:rPr>
              <w:t>Pareiškėjas/ pareiškėjo atstovas</w:t>
            </w:r>
          </w:p>
        </w:tc>
        <w:tc>
          <w:tcPr>
            <w:tcW w:w="4962" w:type="dxa"/>
          </w:tcPr>
          <w:p w14:paraId="0C1B00E8" w14:textId="64E7F144" w:rsidR="008A0DAB" w:rsidRPr="001C3329" w:rsidRDefault="008A0DAB" w:rsidP="008A0DAB">
            <w:pPr>
              <w:jc w:val="both"/>
              <w:rPr>
                <w:rFonts w:eastAsia="Arial"/>
              </w:rPr>
            </w:pPr>
            <w:r w:rsidRPr="008C59A3">
              <w:t>UAB „Johnson &amp; Johnson”</w:t>
            </w:r>
          </w:p>
        </w:tc>
      </w:tr>
      <w:tr w:rsidR="008A0DAB" w:rsidRPr="001C3329" w14:paraId="2F05578A" w14:textId="77777777" w:rsidTr="001642DA">
        <w:trPr>
          <w:trHeight w:val="538"/>
        </w:trPr>
        <w:tc>
          <w:tcPr>
            <w:tcW w:w="632" w:type="dxa"/>
          </w:tcPr>
          <w:p w14:paraId="782834EE" w14:textId="77777777" w:rsidR="008A0DAB" w:rsidRPr="001C3329" w:rsidRDefault="008A0DAB" w:rsidP="008A0DAB">
            <w:pPr>
              <w:jc w:val="both"/>
              <w:rPr>
                <w:rFonts w:eastAsia="Arial"/>
                <w:b/>
                <w:bCs/>
              </w:rPr>
            </w:pPr>
            <w:r w:rsidRPr="001C3329">
              <w:rPr>
                <w:rFonts w:eastAsia="Arial"/>
                <w:b/>
                <w:bCs/>
              </w:rPr>
              <w:t>1.2</w:t>
            </w:r>
          </w:p>
        </w:tc>
        <w:tc>
          <w:tcPr>
            <w:tcW w:w="3899" w:type="dxa"/>
          </w:tcPr>
          <w:p w14:paraId="39837B8F" w14:textId="77777777" w:rsidR="008A0DAB" w:rsidRPr="001C3329" w:rsidRDefault="008A0DAB" w:rsidP="008A0DAB">
            <w:pPr>
              <w:jc w:val="both"/>
              <w:rPr>
                <w:b/>
                <w:bCs/>
                <w:lang w:eastAsia="lt-LT"/>
              </w:rPr>
            </w:pPr>
            <w:r w:rsidRPr="001C3329">
              <w:rPr>
                <w:b/>
                <w:bCs/>
                <w:lang w:eastAsia="lt-LT"/>
              </w:rPr>
              <w:t xml:space="preserve">Vaistinio preparato registracijos data </w:t>
            </w:r>
          </w:p>
          <w:p w14:paraId="0427F97D" w14:textId="77777777" w:rsidR="008A0DAB" w:rsidRPr="001C3329" w:rsidRDefault="008A0DAB" w:rsidP="008A0DAB">
            <w:pPr>
              <w:jc w:val="both"/>
              <w:rPr>
                <w:b/>
                <w:bCs/>
                <w:lang w:eastAsia="lt-LT"/>
              </w:rPr>
            </w:pPr>
          </w:p>
        </w:tc>
        <w:tc>
          <w:tcPr>
            <w:tcW w:w="4962" w:type="dxa"/>
          </w:tcPr>
          <w:p w14:paraId="0C9AF067" w14:textId="25DCEBF6" w:rsidR="008A0DAB" w:rsidRPr="001C3329" w:rsidRDefault="004470DA" w:rsidP="008A0DAB">
            <w:pPr>
              <w:jc w:val="both"/>
              <w:rPr>
                <w:rStyle w:val="Style2"/>
              </w:rPr>
            </w:pPr>
            <w:sdt>
              <w:sdtPr>
                <w:rPr>
                  <w:sz w:val="32"/>
                </w:rPr>
                <w:alias w:val="Nurodykite konkrečią dieną"/>
                <w:tag w:val="Nurodykite pradžios datą"/>
                <w:id w:val="1772196685"/>
                <w:placeholder>
                  <w:docPart w:val="7B64D2ED249F4609A00DCDF98F89AA06"/>
                </w:placeholder>
                <w15:color w:val="FFCC99"/>
                <w:date w:fullDate="2017-11-10T00:00:00Z">
                  <w:dateFormat w:val="yyyy 'm.' MMMM d 'd.'"/>
                  <w:lid w:val="lt-LT"/>
                  <w:storeMappedDataAs w:val="dateTime"/>
                  <w:calendar w:val="gregorian"/>
                </w:date>
              </w:sdtPr>
              <w:sdtEndPr/>
              <w:sdtContent>
                <w:r w:rsidR="008A0DAB">
                  <w:t>2017 m. lapkričio 10 d.</w:t>
                </w:r>
              </w:sdtContent>
            </w:sdt>
          </w:p>
        </w:tc>
      </w:tr>
      <w:tr w:rsidR="0012653C" w:rsidRPr="001C3329" w14:paraId="2FD9EBFE" w14:textId="77777777" w:rsidTr="001642DA">
        <w:trPr>
          <w:trHeight w:val="1396"/>
        </w:trPr>
        <w:tc>
          <w:tcPr>
            <w:tcW w:w="632" w:type="dxa"/>
          </w:tcPr>
          <w:p w14:paraId="7AFC24D7" w14:textId="77777777" w:rsidR="0012653C" w:rsidRPr="001C3329" w:rsidRDefault="0012653C" w:rsidP="001642DA">
            <w:pPr>
              <w:jc w:val="both"/>
              <w:rPr>
                <w:rFonts w:eastAsia="Arial"/>
                <w:b/>
                <w:bCs/>
              </w:rPr>
            </w:pPr>
            <w:r w:rsidRPr="001C3329">
              <w:rPr>
                <w:rFonts w:eastAsia="Arial"/>
                <w:b/>
                <w:bCs/>
              </w:rPr>
              <w:t>1.3</w:t>
            </w:r>
          </w:p>
        </w:tc>
        <w:tc>
          <w:tcPr>
            <w:tcW w:w="3899" w:type="dxa"/>
          </w:tcPr>
          <w:p w14:paraId="361E58E6" w14:textId="77777777" w:rsidR="0012653C" w:rsidRPr="001C3329" w:rsidRDefault="0012653C" w:rsidP="001642DA">
            <w:pPr>
              <w:pStyle w:val="NoSpacing"/>
              <w:jc w:val="both"/>
              <w:rPr>
                <w:rFonts w:ascii="Times New Roman" w:hAnsi="Times New Roman"/>
                <w:b/>
                <w:sz w:val="24"/>
                <w:szCs w:val="24"/>
                <w:shd w:val="clear" w:color="auto" w:fill="FFFFFF"/>
              </w:rPr>
            </w:pPr>
            <w:r w:rsidRPr="001C3329">
              <w:rPr>
                <w:rFonts w:ascii="Times New Roman" w:hAnsi="Times New Roman"/>
                <w:b/>
                <w:sz w:val="24"/>
                <w:szCs w:val="24"/>
              </w:rPr>
              <w:t xml:space="preserve">Vaistinio preparato </w:t>
            </w:r>
            <w:r w:rsidRPr="001C3329">
              <w:rPr>
                <w:rFonts w:ascii="Times New Roman" w:hAnsi="Times New Roman"/>
                <w:b/>
                <w:sz w:val="24"/>
                <w:szCs w:val="24"/>
                <w:shd w:val="clear" w:color="auto" w:fill="FFFFFF"/>
              </w:rPr>
              <w:t>registracijos teisinis pagrindas</w:t>
            </w:r>
          </w:p>
          <w:p w14:paraId="45452EB8" w14:textId="77777777" w:rsidR="0012653C" w:rsidRPr="001C3329" w:rsidRDefault="0012653C" w:rsidP="001642DA">
            <w:pPr>
              <w:pStyle w:val="NoSpacing"/>
              <w:jc w:val="both"/>
              <w:rPr>
                <w:rFonts w:ascii="Times New Roman" w:hAnsi="Times New Roman"/>
                <w:b/>
                <w:bCs/>
                <w:sz w:val="24"/>
                <w:szCs w:val="24"/>
                <w:lang w:eastAsia="lt-LT"/>
              </w:rPr>
            </w:pPr>
            <w:r w:rsidRPr="001C3329">
              <w:rPr>
                <w:rFonts w:ascii="Times New Roman" w:hAnsi="Times New Roman"/>
                <w:b/>
                <w:sz w:val="24"/>
                <w:szCs w:val="24"/>
                <w:shd w:val="clear" w:color="auto" w:fill="FFFFFF"/>
              </w:rPr>
              <w:t>(</w:t>
            </w:r>
            <w:r w:rsidRPr="001C3329">
              <w:rPr>
                <w:rFonts w:ascii="Times New Roman" w:hAnsi="Times New Roman"/>
                <w:b/>
                <w:sz w:val="24"/>
                <w:szCs w:val="24"/>
              </w:rPr>
              <w:t>Direktyvos 2001/83/EB str.)</w:t>
            </w:r>
          </w:p>
        </w:tc>
        <w:tc>
          <w:tcPr>
            <w:tcW w:w="4962" w:type="dxa"/>
          </w:tcPr>
          <w:p w14:paraId="0A1E2768" w14:textId="77777777" w:rsidR="0012653C" w:rsidRPr="001C3329" w:rsidRDefault="004470DA" w:rsidP="001642DA">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8.3 str. (pilna byla, pagrįsta savais tyrimais)</w:t>
            </w:r>
          </w:p>
          <w:p w14:paraId="41DA7D19" w14:textId="77777777" w:rsidR="0012653C" w:rsidRPr="001C3329" w:rsidRDefault="004470DA" w:rsidP="001642DA">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 a str. (pripažintas medicininis vartojimas)</w:t>
            </w:r>
          </w:p>
          <w:p w14:paraId="75FE0A63" w14:textId="77777777" w:rsidR="0012653C" w:rsidRPr="001C3329" w:rsidRDefault="004470DA" w:rsidP="001642DA">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10.1 str. (generinis)</w:t>
            </w:r>
          </w:p>
          <w:p w14:paraId="2DE15DCB" w14:textId="77777777" w:rsidR="0012653C" w:rsidRPr="001C3329" w:rsidRDefault="004470DA" w:rsidP="001642DA">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10.3 str. (hibridinis)</w:t>
            </w:r>
          </w:p>
          <w:p w14:paraId="39D808E4" w14:textId="77777777" w:rsidR="0012653C" w:rsidRPr="001C3329" w:rsidRDefault="004470DA" w:rsidP="001642DA">
            <w:pPr>
              <w:rPr>
                <w:rStyle w:val="Style2"/>
              </w:rPr>
            </w:pPr>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10.4 str. (panašus biologinis)</w:t>
            </w:r>
          </w:p>
        </w:tc>
      </w:tr>
      <w:tr w:rsidR="0012653C" w:rsidRPr="001C3329" w14:paraId="4D88134C" w14:textId="77777777" w:rsidTr="001642DA">
        <w:trPr>
          <w:trHeight w:val="1011"/>
        </w:trPr>
        <w:tc>
          <w:tcPr>
            <w:tcW w:w="632" w:type="dxa"/>
          </w:tcPr>
          <w:p w14:paraId="563F4EF5" w14:textId="77777777" w:rsidR="0012653C" w:rsidRPr="001C3329" w:rsidRDefault="0012653C" w:rsidP="001642DA">
            <w:pPr>
              <w:jc w:val="both"/>
              <w:rPr>
                <w:rFonts w:eastAsia="Arial"/>
                <w:b/>
                <w:bCs/>
              </w:rPr>
            </w:pPr>
            <w:r w:rsidRPr="001C3329">
              <w:rPr>
                <w:rFonts w:eastAsia="Arial"/>
                <w:b/>
              </w:rPr>
              <w:t>1.4</w:t>
            </w:r>
          </w:p>
        </w:tc>
        <w:tc>
          <w:tcPr>
            <w:tcW w:w="3899" w:type="dxa"/>
          </w:tcPr>
          <w:p w14:paraId="55C4E51E"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vaistinis preparatas įrašytas į Bendrijos retųjų vaistinių preparatų registrą?</w:t>
            </w:r>
          </w:p>
        </w:tc>
        <w:tc>
          <w:tcPr>
            <w:tcW w:w="4962" w:type="dxa"/>
          </w:tcPr>
          <w:p w14:paraId="7D96A11D" w14:textId="77777777" w:rsidR="0012653C" w:rsidRPr="001C3329" w:rsidRDefault="004470DA" w:rsidP="001642DA">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16AFC0FC" w14:textId="77777777" w:rsidR="0012653C" w:rsidRPr="001C3329" w:rsidRDefault="0012653C" w:rsidP="001642DA">
            <w:pPr>
              <w:jc w:val="both"/>
            </w:pPr>
            <w:r w:rsidRPr="001C3329">
              <w:t xml:space="preserve">Data: </w:t>
            </w:r>
            <w:sdt>
              <w:sdtPr>
                <w:alias w:val="Nurodykite konkrečią dieną"/>
                <w:tag w:val="Nurodykite pradžios datą"/>
                <w:id w:val="1784158105"/>
                <w:placeholder>
                  <w:docPart w:val="C9F9030180744FE0B3D679E71F835902"/>
                </w:placeholder>
                <w:showingPlcHdr/>
                <w15:color w:val="FFCC99"/>
                <w:date w:fullDate="2022-05-18T00:00:00Z">
                  <w:dateFormat w:val="yyyy 'm.' MMMM d 'd.'"/>
                  <w:lid w:val="lt-LT"/>
                  <w:storeMappedDataAs w:val="dateTime"/>
                  <w:calendar w:val="gregorian"/>
                </w:date>
              </w:sdtPr>
              <w:sdtEndPr/>
              <w:sdtContent>
                <w:r w:rsidRPr="001C3329">
                  <w:rPr>
                    <w:rStyle w:val="PlaceholderText"/>
                  </w:rPr>
                  <w:t>Click here to enter a date.</w:t>
                </w:r>
              </w:sdtContent>
            </w:sdt>
          </w:p>
          <w:p w14:paraId="6F8B494D" w14:textId="77777777" w:rsidR="0012653C" w:rsidRPr="001C3329" w:rsidRDefault="0012653C" w:rsidP="001642DA">
            <w:pPr>
              <w:jc w:val="both"/>
              <w:rPr>
                <w:rFonts w:eastAsia="Arial"/>
              </w:rPr>
            </w:pPr>
            <w:r w:rsidRPr="001C3329">
              <w:t>Nr.</w:t>
            </w:r>
          </w:p>
        </w:tc>
      </w:tr>
      <w:tr w:rsidR="0012653C" w:rsidRPr="001C3329" w14:paraId="11AC825B" w14:textId="77777777" w:rsidTr="001642DA">
        <w:trPr>
          <w:trHeight w:val="1011"/>
        </w:trPr>
        <w:tc>
          <w:tcPr>
            <w:tcW w:w="632" w:type="dxa"/>
          </w:tcPr>
          <w:p w14:paraId="78591C0E" w14:textId="77777777" w:rsidR="0012653C" w:rsidRPr="001C3329" w:rsidRDefault="0012653C" w:rsidP="001642DA">
            <w:pPr>
              <w:jc w:val="both"/>
              <w:rPr>
                <w:rFonts w:eastAsia="Arial"/>
                <w:b/>
              </w:rPr>
            </w:pPr>
            <w:r w:rsidRPr="001C3329">
              <w:rPr>
                <w:rFonts w:eastAsia="Arial"/>
                <w:b/>
                <w:bCs/>
              </w:rPr>
              <w:t>1.5</w:t>
            </w:r>
          </w:p>
        </w:tc>
        <w:tc>
          <w:tcPr>
            <w:tcW w:w="3899" w:type="dxa"/>
          </w:tcPr>
          <w:p w14:paraId="0D962FF0"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atliktas bendras klinikinis vertinimas</w:t>
            </w:r>
          </w:p>
          <w:p w14:paraId="55B9BE90" w14:textId="77777777" w:rsidR="0012653C" w:rsidRPr="001C3329" w:rsidRDefault="0012653C" w:rsidP="001642DA">
            <w:pPr>
              <w:tabs>
                <w:tab w:val="left" w:pos="284"/>
              </w:tabs>
              <w:spacing w:line="280" w:lineRule="atLeast"/>
              <w:jc w:val="both"/>
              <w:rPr>
                <w:b/>
                <w:bCs/>
                <w:lang w:eastAsia="lt-LT"/>
              </w:rPr>
            </w:pPr>
            <w:r w:rsidRPr="001C3329">
              <w:rPr>
                <w:b/>
                <w:bCs/>
                <w:lang w:eastAsia="lt-LT"/>
              </w:rPr>
              <w:t>(Europos Parlamento ir Tarybos reglamentas (ES) 2021/2282)</w:t>
            </w:r>
          </w:p>
        </w:tc>
        <w:tc>
          <w:tcPr>
            <w:tcW w:w="4962" w:type="dxa"/>
          </w:tcPr>
          <w:p w14:paraId="51D072E1" w14:textId="77777777" w:rsidR="0012653C" w:rsidRPr="001C3329" w:rsidRDefault="004470DA" w:rsidP="001642DA">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44D3F00A" w14:textId="77777777" w:rsidR="0012653C" w:rsidRPr="001C3329" w:rsidRDefault="0012653C" w:rsidP="001642DA">
            <w:pPr>
              <w:jc w:val="both"/>
              <w:rPr>
                <w:rStyle w:val="Style2"/>
              </w:rPr>
            </w:pPr>
            <w:r w:rsidRPr="001C3329">
              <w:t xml:space="preserve">Data: </w:t>
            </w:r>
            <w:sdt>
              <w:sdtPr>
                <w:alias w:val="Nurodykite konkrečią dieną"/>
                <w:tag w:val="Nurodykite pradžios datą"/>
                <w:id w:val="1516880001"/>
                <w:placeholder>
                  <w:docPart w:val="6C9752C6CBD84186BBCEF4F37C82054C"/>
                </w:placeholder>
                <w:showingPlcHdr/>
                <w15:color w:val="FFCC99"/>
                <w:date w:fullDate="2022-05-18T00:00:00Z">
                  <w:dateFormat w:val="yyyy 'm.' MMMM d 'd.'"/>
                  <w:lid w:val="lt-LT"/>
                  <w:storeMappedDataAs w:val="dateTime"/>
                  <w:calendar w:val="gregorian"/>
                </w:date>
              </w:sdtPr>
              <w:sdtEndPr/>
              <w:sdtContent>
                <w:r w:rsidRPr="001C3329">
                  <w:rPr>
                    <w:rStyle w:val="PlaceholderText"/>
                  </w:rPr>
                  <w:t>Click here to enter a date.</w:t>
                </w:r>
              </w:sdtContent>
            </w:sdt>
            <w:r w:rsidRPr="001C3329">
              <w:t xml:space="preserve"> </w:t>
            </w:r>
          </w:p>
        </w:tc>
      </w:tr>
      <w:tr w:rsidR="00C07A59" w:rsidRPr="001C3329" w14:paraId="75AF80E1" w14:textId="77777777" w:rsidTr="001642DA">
        <w:trPr>
          <w:trHeight w:val="1278"/>
        </w:trPr>
        <w:tc>
          <w:tcPr>
            <w:tcW w:w="632" w:type="dxa"/>
          </w:tcPr>
          <w:p w14:paraId="2211A4EB" w14:textId="77777777" w:rsidR="00C07A59" w:rsidRPr="001C3329" w:rsidRDefault="00C07A59" w:rsidP="00C07A59">
            <w:pPr>
              <w:jc w:val="both"/>
              <w:rPr>
                <w:rFonts w:eastAsia="Arial"/>
                <w:b/>
                <w:bCs/>
              </w:rPr>
            </w:pPr>
            <w:r w:rsidRPr="001C3329">
              <w:rPr>
                <w:rFonts w:eastAsia="Arial"/>
                <w:b/>
                <w:bCs/>
              </w:rPr>
              <w:t>1.6</w:t>
            </w:r>
          </w:p>
        </w:tc>
        <w:tc>
          <w:tcPr>
            <w:tcW w:w="3899" w:type="dxa"/>
          </w:tcPr>
          <w:p w14:paraId="19F08644" w14:textId="77777777" w:rsidR="00C07A59" w:rsidRPr="001C3329" w:rsidRDefault="00C07A59" w:rsidP="00C07A59">
            <w:pPr>
              <w:jc w:val="both"/>
              <w:rPr>
                <w:b/>
                <w:bCs/>
                <w:lang w:eastAsia="lt-LT"/>
              </w:rPr>
            </w:pPr>
            <w:r w:rsidRPr="001C3329">
              <w:rPr>
                <w:b/>
                <w:bCs/>
                <w:lang w:eastAsia="lt-LT"/>
              </w:rPr>
              <w:t xml:space="preserve">Teikiama kompensuoti terapinė indikacija </w:t>
            </w:r>
          </w:p>
          <w:p w14:paraId="3B5BAFB4" w14:textId="77777777" w:rsidR="00C07A59" w:rsidRPr="001C3329" w:rsidRDefault="00C07A59" w:rsidP="00C07A59">
            <w:pPr>
              <w:jc w:val="both"/>
              <w:rPr>
                <w:b/>
                <w:bCs/>
                <w:lang w:eastAsia="lt-LT"/>
              </w:rPr>
            </w:pPr>
          </w:p>
          <w:p w14:paraId="47704D6E" w14:textId="77777777" w:rsidR="00C07A59" w:rsidRPr="001C3329" w:rsidRDefault="00C07A59" w:rsidP="00C07A59">
            <w:pPr>
              <w:jc w:val="both"/>
              <w:rPr>
                <w:b/>
                <w:bCs/>
                <w:lang w:eastAsia="lt-LT"/>
              </w:rPr>
            </w:pPr>
            <w:r w:rsidRPr="001C3329">
              <w:rPr>
                <w:b/>
                <w:bCs/>
                <w:lang w:eastAsia="lt-LT"/>
              </w:rPr>
              <w:t>Kodas pagal TLK-10 AM</w:t>
            </w:r>
          </w:p>
        </w:tc>
        <w:tc>
          <w:tcPr>
            <w:tcW w:w="4962" w:type="dxa"/>
          </w:tcPr>
          <w:p w14:paraId="10FC3FD1" w14:textId="77777777" w:rsidR="00C07A59" w:rsidRPr="009300B3" w:rsidRDefault="00C07A59" w:rsidP="00C07A59">
            <w:pPr>
              <w:jc w:val="both"/>
            </w:pPr>
            <w:r w:rsidRPr="006B6355">
              <w:t xml:space="preserve">Tremfya yra skirtas vidutinio sunkumo ir sunkaus aktyvaus opinio kolito gydymui suaugusiems pacientams, kuriems pasireiškė nepakankamas atsakas į įprastą gydymą ar biologinę terapiją, </w:t>
            </w:r>
            <w:r w:rsidRPr="006B6355">
              <w:lastRenderedPageBreak/>
              <w:t>atsakas pranyko arba jie tokio gydymo netoleravo</w:t>
            </w:r>
            <w:r w:rsidRPr="00122AE4">
              <w:t>.</w:t>
            </w:r>
          </w:p>
          <w:p w14:paraId="3828FE0E" w14:textId="77777777" w:rsidR="00C07A59" w:rsidRDefault="00C07A59" w:rsidP="00C07A59">
            <w:pPr>
              <w:jc w:val="both"/>
            </w:pPr>
          </w:p>
          <w:p w14:paraId="665F6B98" w14:textId="17A743B8" w:rsidR="00C07A59" w:rsidRPr="001C3329" w:rsidRDefault="00C07A59" w:rsidP="00C07A59">
            <w:pPr>
              <w:jc w:val="both"/>
            </w:pPr>
            <w:r>
              <w:t>K51</w:t>
            </w:r>
          </w:p>
        </w:tc>
      </w:tr>
      <w:tr w:rsidR="00C07A59" w:rsidRPr="001C3329" w14:paraId="0E52D2EF" w14:textId="77777777" w:rsidTr="001642DA">
        <w:trPr>
          <w:trHeight w:val="378"/>
        </w:trPr>
        <w:tc>
          <w:tcPr>
            <w:tcW w:w="632" w:type="dxa"/>
          </w:tcPr>
          <w:p w14:paraId="68F02FB2" w14:textId="77777777" w:rsidR="00C07A59" w:rsidRPr="001C3329" w:rsidRDefault="00C07A59" w:rsidP="00C07A59">
            <w:pPr>
              <w:jc w:val="both"/>
              <w:rPr>
                <w:rFonts w:eastAsia="Arial"/>
                <w:b/>
                <w:bCs/>
              </w:rPr>
            </w:pPr>
            <w:r w:rsidRPr="001C3329">
              <w:rPr>
                <w:rFonts w:eastAsia="Arial"/>
                <w:b/>
                <w:bCs/>
              </w:rPr>
              <w:lastRenderedPageBreak/>
              <w:t>1.7</w:t>
            </w:r>
          </w:p>
        </w:tc>
        <w:tc>
          <w:tcPr>
            <w:tcW w:w="3899" w:type="dxa"/>
          </w:tcPr>
          <w:p w14:paraId="6162B886" w14:textId="77777777" w:rsidR="00C07A59" w:rsidRPr="001C3329" w:rsidRDefault="00C07A59" w:rsidP="00C07A59">
            <w:pPr>
              <w:jc w:val="both"/>
              <w:rPr>
                <w:b/>
                <w:bCs/>
                <w:u w:val="single"/>
                <w:lang w:eastAsia="lt-LT"/>
              </w:rPr>
            </w:pPr>
            <w:r w:rsidRPr="001C3329">
              <w:rPr>
                <w:b/>
                <w:bCs/>
                <w:lang w:eastAsia="lt-LT"/>
              </w:rPr>
              <w:t xml:space="preserve">Teikiamos skyrimo sąlygos </w:t>
            </w:r>
          </w:p>
        </w:tc>
        <w:tc>
          <w:tcPr>
            <w:tcW w:w="4962" w:type="dxa"/>
          </w:tcPr>
          <w:p w14:paraId="2BC3B711" w14:textId="7E95C835" w:rsidR="00C07A59" w:rsidRPr="001C3329" w:rsidRDefault="00C07A59" w:rsidP="00C07A59">
            <w:pPr>
              <w:spacing w:before="240"/>
              <w:jc w:val="both"/>
              <w:rPr>
                <w:rFonts w:eastAsia="Calibri"/>
                <w:bCs/>
                <w:color w:val="000000"/>
              </w:rPr>
            </w:pPr>
            <w:bookmarkStart w:id="2" w:name="_Hlk210400287"/>
            <w:r w:rsidRPr="008B42C2">
              <w:t>Skiriamas sveikatos apsaugos ministro nustatyta tvarka suaugusiems pacientams, sergantiems vidutinio sunkumo ir sunkiu aktyviu opiniu kolitu, kuriems buvo nepakankamas atsakas į įprastą gydymą̨ arba gydymą biologiniais vaistais, dingęs atsakas ar jie tokio gydymo netoleravo, arba jiems yra medicininių kontraindikacijų tokiam gydymui</w:t>
            </w:r>
            <w:bookmarkEnd w:id="2"/>
            <w:r w:rsidRPr="008B42C2">
              <w:t>.</w:t>
            </w:r>
          </w:p>
        </w:tc>
      </w:tr>
      <w:tr w:rsidR="0012653C" w:rsidRPr="001C3329" w14:paraId="20A9E131" w14:textId="77777777" w:rsidTr="001642DA">
        <w:trPr>
          <w:trHeight w:val="378"/>
        </w:trPr>
        <w:tc>
          <w:tcPr>
            <w:tcW w:w="632" w:type="dxa"/>
          </w:tcPr>
          <w:p w14:paraId="1A72C071" w14:textId="77777777" w:rsidR="0012653C" w:rsidRPr="001C3329" w:rsidRDefault="0012653C" w:rsidP="001642DA">
            <w:pPr>
              <w:jc w:val="both"/>
              <w:rPr>
                <w:rFonts w:eastAsia="Arial"/>
                <w:b/>
                <w:bCs/>
              </w:rPr>
            </w:pPr>
            <w:r w:rsidRPr="001C3329">
              <w:rPr>
                <w:rFonts w:eastAsia="Arial"/>
                <w:b/>
                <w:bCs/>
              </w:rPr>
              <w:t>1.8</w:t>
            </w:r>
          </w:p>
        </w:tc>
        <w:tc>
          <w:tcPr>
            <w:tcW w:w="3899" w:type="dxa"/>
          </w:tcPr>
          <w:p w14:paraId="3F4D6992" w14:textId="77777777" w:rsidR="0012653C" w:rsidRPr="001C3329" w:rsidRDefault="0012653C" w:rsidP="001642DA">
            <w:pPr>
              <w:jc w:val="both"/>
              <w:rPr>
                <w:b/>
                <w:bCs/>
                <w:lang w:eastAsia="lt-LT"/>
              </w:rPr>
            </w:pPr>
            <w:r w:rsidRPr="001C3329">
              <w:rPr>
                <w:b/>
                <w:bCs/>
                <w:lang w:eastAsia="lt-LT"/>
              </w:rPr>
              <w:t>Ekonominė analizė</w:t>
            </w:r>
          </w:p>
        </w:tc>
        <w:tc>
          <w:tcPr>
            <w:tcW w:w="4962" w:type="dxa"/>
          </w:tcPr>
          <w:p w14:paraId="17D7DA90" w14:textId="11B63DC2" w:rsidR="0012653C" w:rsidRPr="001C3329" w:rsidRDefault="004470DA" w:rsidP="001642DA">
            <w:pPr>
              <w:jc w:val="both"/>
            </w:pPr>
            <w:sdt>
              <w:sdtPr>
                <w:rPr>
                  <w:rStyle w:val="Style2"/>
                </w:rPr>
                <w:id w:val="356323367"/>
                <w15:color w:val="FFCC00"/>
                <w14:checkbox>
                  <w14:checked w14:val="0"/>
                  <w14:checkedState w14:val="2612" w14:font="MS Gothic"/>
                  <w14:uncheckedState w14:val="2610" w14:font="MS Gothic"/>
                </w14:checkbox>
              </w:sdtPr>
              <w:sdtEndPr>
                <w:rPr>
                  <w:rStyle w:val="Style2"/>
                </w:rPr>
              </w:sdtEndPr>
              <w:sdtContent>
                <w:r w:rsidR="00C07A59">
                  <w:rPr>
                    <w:rStyle w:val="Style2"/>
                    <w:rFonts w:ascii="MS Gothic" w:eastAsia="MS Gothic" w:hAnsi="MS Gothic" w:hint="eastAsia"/>
                  </w:rPr>
                  <w:t>☐</w:t>
                </w:r>
              </w:sdtContent>
            </w:sdt>
            <w:r w:rsidR="0012653C" w:rsidRPr="001C3329">
              <w:t xml:space="preserve"> Kaštų naudingumo analizė</w:t>
            </w:r>
          </w:p>
          <w:p w14:paraId="4EE87597" w14:textId="3AC0A10C" w:rsidR="0012653C" w:rsidRPr="001C3329" w:rsidRDefault="004470DA" w:rsidP="001642DA">
            <w:pPr>
              <w:jc w:val="both"/>
            </w:pPr>
            <w:sdt>
              <w:sdtPr>
                <w:rPr>
                  <w:rStyle w:val="Style2"/>
                </w:rPr>
                <w:id w:val="-250506580"/>
                <w15:color w:val="FFCC00"/>
                <w14:checkbox>
                  <w14:checked w14:val="1"/>
                  <w14:checkedState w14:val="2612" w14:font="MS Gothic"/>
                  <w14:uncheckedState w14:val="2610" w14:font="MS Gothic"/>
                </w14:checkbox>
              </w:sdtPr>
              <w:sdtEndPr>
                <w:rPr>
                  <w:rStyle w:val="Style2"/>
                </w:rPr>
              </w:sdtEndPr>
              <w:sdtContent>
                <w:r w:rsidR="00C07A59">
                  <w:rPr>
                    <w:rStyle w:val="Style2"/>
                    <w:rFonts w:ascii="MS Gothic" w:eastAsia="MS Gothic" w:hAnsi="MS Gothic" w:hint="eastAsia"/>
                  </w:rPr>
                  <w:t>☒</w:t>
                </w:r>
              </w:sdtContent>
            </w:sdt>
            <w:r w:rsidR="0012653C" w:rsidRPr="001C3329">
              <w:t xml:space="preserve"> Kaštų mažinimo analizė</w:t>
            </w:r>
          </w:p>
          <w:p w14:paraId="46F4134C" w14:textId="77777777" w:rsidR="0012653C" w:rsidRPr="001C3329" w:rsidRDefault="004470DA" w:rsidP="001642DA">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Neteikiama</w:t>
            </w:r>
          </w:p>
          <w:p w14:paraId="1C95249A" w14:textId="77777777" w:rsidR="0012653C" w:rsidRPr="001C3329" w:rsidRDefault="0012653C" w:rsidP="001642DA">
            <w:pPr>
              <w:jc w:val="both"/>
            </w:pPr>
          </w:p>
        </w:tc>
      </w:tr>
    </w:tbl>
    <w:bookmarkEnd w:id="1"/>
    <w:p w14:paraId="2EB7FD31" w14:textId="5615B363" w:rsidR="007A2B68" w:rsidRPr="000203E1" w:rsidRDefault="00DC261A" w:rsidP="00063A50">
      <w:pPr>
        <w:pStyle w:val="ListParagraph"/>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4301BB1C" w:rsidR="002E6F80" w:rsidRPr="00A44048" w:rsidRDefault="001E0B2D" w:rsidP="00CC09D4">
      <w:pPr>
        <w:pStyle w:val="ListParagraph"/>
        <w:numPr>
          <w:ilvl w:val="0"/>
          <w:numId w:val="12"/>
        </w:numPr>
        <w:tabs>
          <w:tab w:val="left" w:pos="567"/>
        </w:tabs>
        <w:ind w:hanging="720"/>
        <w:rPr>
          <w:b/>
          <w:bCs/>
          <w:caps/>
        </w:rPr>
      </w:pPr>
      <w:r w:rsidRPr="00A44048">
        <w:rPr>
          <w:b/>
          <w:bCs/>
          <w:caps/>
        </w:rPr>
        <w:lastRenderedPageBreak/>
        <w:t xml:space="preserve">BENDRO&gt; </w:t>
      </w:r>
      <w:r w:rsidR="00CC7832" w:rsidRPr="00A44048">
        <w:rPr>
          <w:b/>
          <w:bCs/>
          <w:caps/>
        </w:rPr>
        <w:t>Klinikinio vertinimo a</w:t>
      </w:r>
      <w:r w:rsidR="00D4485B" w:rsidRPr="00A44048">
        <w:rPr>
          <w:b/>
          <w:bCs/>
          <w:caps/>
        </w:rPr>
        <w:t>pibendrinimas</w:t>
      </w:r>
    </w:p>
    <w:p w14:paraId="72C78556" w14:textId="77777777" w:rsidR="0012653C" w:rsidRPr="00A44048" w:rsidRDefault="0012653C" w:rsidP="00D12869">
      <w:pPr>
        <w:tabs>
          <w:tab w:val="left" w:pos="284"/>
        </w:tabs>
        <w:rPr>
          <w:i/>
        </w:rPr>
      </w:pPr>
    </w:p>
    <w:p w14:paraId="4E3F0451" w14:textId="77777777" w:rsidR="00AD4834" w:rsidRPr="002960C9" w:rsidRDefault="00AD4834" w:rsidP="00AD4834">
      <w:pPr>
        <w:tabs>
          <w:tab w:val="left" w:pos="426"/>
        </w:tabs>
        <w:spacing w:line="276" w:lineRule="auto"/>
        <w:jc w:val="both"/>
        <w:rPr>
          <w:rFonts w:eastAsia="Arial"/>
          <w:color w:val="000000" w:themeColor="text1"/>
        </w:rPr>
      </w:pPr>
      <w:r w:rsidRPr="00A44048">
        <w:rPr>
          <w:rFonts w:eastAsia="Arial"/>
        </w:rPr>
        <w:t xml:space="preserve">Opinis kolitas (toliau – OK) (TLK-10 AM K51), labiausiai paplitęs uždegiminės žarnyno ligos (UŽL) potipis, yra sudėtinga lėtinė liga, kuriai būdingi progresuojantys anatominiai ir funkciniai storosios žarnos pokyčiai. Klinikinei OK eigai būdingi ligos paūmėjimai, kai pacientams pasireiškia įvairaus </w:t>
      </w:r>
      <w:r w:rsidRPr="002960C9">
        <w:rPr>
          <w:rFonts w:eastAsia="Arial"/>
          <w:color w:val="000000" w:themeColor="text1"/>
        </w:rPr>
        <w:t>sunkumo ligos simptomai, ir remisijos, kai simptomų pasireiškia nedaug. Pagal ligos aktyvumą ir sunkumą remiantis klinikinių (pvz., tuštinimosi dažnis, kraujas išmatose) ir laboratorinių vertinimų rezultatais paprastai liga klasifikuojama kaip nesunki, vidutinio sunkumo arba sunki. Per pirmuosius metus po diagnozės nustatymo maždaug 40 proc. pacientų išsivysto vidutinio sunkumo ar sunki aktyvi liga.</w:t>
      </w:r>
    </w:p>
    <w:p w14:paraId="6295704A" w14:textId="2370338C" w:rsidR="00AD4834" w:rsidRPr="00216D5C" w:rsidRDefault="00AD4834" w:rsidP="00AD4834">
      <w:pPr>
        <w:pStyle w:val="Tekstas"/>
        <w:spacing w:line="276" w:lineRule="auto"/>
        <w:ind w:firstLine="720"/>
        <w:rPr>
          <w:lang w:val="lt-LT"/>
        </w:rPr>
      </w:pPr>
      <w:r w:rsidRPr="00216D5C">
        <w:rPr>
          <w:rFonts w:eastAsia="Arial"/>
          <w:lang w:val="lt-LT"/>
        </w:rPr>
        <w:t xml:space="preserve">Lietuvoje OK diagnostika ir gydymas reglamentuojami Lietuvos Respublikos sveikatos apsaugos ministro įsakymu „Dėl opinio kolito diagnostikos ir gydymo vaistais, kurių įsigijimo išlaidos apmokamos privalomojo Sveikatos draudimo fondo biudžeto lėšomis, tvarkos aprašo patvirtinimo“ 2018 m. vasario 12 d. Nr. V-159 ( toliau  - Aprašas). OK gydymas priklauso nuo ligos išplitimo ir sunkumo. Remiantis Aprašu, pagrindinis opinio kolito gydymo tikslas yra ilgalaikė klinikinė, endoskopinė ir histologinė remisija, leidžianti išvengti visų įmanomų ligos komplikacijų, chirurginių intervencijų bei hospitalizacijos ir užtikrinanti optimalią paciento gyvenimo kokybę bei normalų darbingumą. </w:t>
      </w:r>
      <w:r w:rsidRPr="00216D5C">
        <w:rPr>
          <w:lang w:val="lt-LT"/>
        </w:rPr>
        <w:t>Nors dabartinėje OK gydymo sistemoje pacientams yra prieinami įvairūs gydymo būdai, įskaitant skirtingų veikimo mechanizmų vaistinių preparatų, vis dar lieka nemažai iššūkių.</w:t>
      </w:r>
    </w:p>
    <w:p w14:paraId="22BAF9F5" w14:textId="79360A61" w:rsidR="001668AB" w:rsidRDefault="00AD4834" w:rsidP="001668AB">
      <w:pPr>
        <w:pStyle w:val="Tekstas"/>
        <w:spacing w:line="276" w:lineRule="auto"/>
        <w:ind w:firstLine="720"/>
        <w:rPr>
          <w:bCs/>
          <w:iCs/>
          <w:lang w:val="lt-LT" w:eastAsia="lt-LT"/>
        </w:rPr>
      </w:pPr>
      <w:r w:rsidRPr="00B0576F">
        <w:rPr>
          <w:bCs/>
          <w:iCs/>
          <w:lang w:val="lt-LT" w:eastAsia="lt-LT"/>
        </w:rPr>
        <w:t>Vertinant teikiamą kompensuoti indikaciją guselkumabas galėtų tapti dar vienu gydymo biologiniu vaistiniu preparatu pasirinkimu ir galėtų būti skiriamas vidutinio sunkumo arba sunkaus opinio kolito gydymui, kai įprastinis (standartinis) gydymas arba gydymas biologiniu vaistiniu preparatu sukėlė nepakankamą atsaką, atsakas išnyko arba gydymas buvo netoleruojamas.</w:t>
      </w:r>
      <w:r w:rsidRPr="00801CAD">
        <w:t xml:space="preserve"> </w:t>
      </w:r>
      <w:r w:rsidRPr="00801CAD">
        <w:rPr>
          <w:bCs/>
          <w:iCs/>
          <w:lang w:val="lt-LT" w:eastAsia="lt-LT"/>
        </w:rPr>
        <w:t>Atsižvelgiant į  „Dėl opinio kolito diagnostikos ir gydymo vaistais, kurių įsigijimo išlaidos apmokamos privalomojo Sveikatos draudimo fondo biudžeto lėšomis, tvarkos aprašo patvirtinimo“ 2018 m. vasario 12 d. Nr. V-159 bei ligų ir šiuo metu galiojančius kompensuojamųjų vaistų joms gydyti sąrašą (toliau – A sąrašas) tinkam</w:t>
      </w:r>
      <w:r>
        <w:rPr>
          <w:bCs/>
          <w:iCs/>
          <w:lang w:val="lt-LT" w:eastAsia="lt-LT"/>
        </w:rPr>
        <w:t>iausiu</w:t>
      </w:r>
      <w:r w:rsidRPr="00801CAD">
        <w:rPr>
          <w:bCs/>
          <w:iCs/>
          <w:lang w:val="lt-LT" w:eastAsia="lt-LT"/>
        </w:rPr>
        <w:t xml:space="preserve"> palyginamuoju gydymu laikomas ustekinumabas</w:t>
      </w:r>
      <w:r>
        <w:rPr>
          <w:bCs/>
          <w:iCs/>
          <w:lang w:val="lt-LT" w:eastAsia="lt-LT"/>
        </w:rPr>
        <w:t xml:space="preserve"> (dėl savo panašaus </w:t>
      </w:r>
      <w:r w:rsidR="00B06C52">
        <w:rPr>
          <w:bCs/>
          <w:iCs/>
          <w:lang w:val="lt-LT" w:eastAsia="lt-LT"/>
        </w:rPr>
        <w:t>v</w:t>
      </w:r>
      <w:r>
        <w:rPr>
          <w:bCs/>
          <w:iCs/>
          <w:lang w:val="lt-LT" w:eastAsia="lt-LT"/>
        </w:rPr>
        <w:t xml:space="preserve">eikimo </w:t>
      </w:r>
      <w:r w:rsidR="00B06C52">
        <w:rPr>
          <w:bCs/>
          <w:iCs/>
          <w:lang w:val="lt-LT" w:eastAsia="lt-LT"/>
        </w:rPr>
        <w:t>mechanizm</w:t>
      </w:r>
      <w:r w:rsidR="00DF6BA6">
        <w:rPr>
          <w:bCs/>
          <w:iCs/>
          <w:lang w:val="lt-LT" w:eastAsia="lt-LT"/>
        </w:rPr>
        <w:t xml:space="preserve">o </w:t>
      </w:r>
      <w:r>
        <w:rPr>
          <w:bCs/>
          <w:iCs/>
          <w:lang w:val="lt-LT" w:eastAsia="lt-LT"/>
        </w:rPr>
        <w:t>į IL-</w:t>
      </w:r>
      <w:r>
        <w:rPr>
          <w:bCs/>
          <w:iCs/>
          <w:lang w:eastAsia="lt-LT"/>
        </w:rPr>
        <w:t>23</w:t>
      </w:r>
      <w:r>
        <w:rPr>
          <w:bCs/>
          <w:iCs/>
          <w:lang w:val="lt-LT" w:eastAsia="lt-LT"/>
        </w:rPr>
        <w:t xml:space="preserve"> nukreiptas mA</w:t>
      </w:r>
      <w:r w:rsidR="00307B4B">
        <w:rPr>
          <w:bCs/>
          <w:iCs/>
          <w:lang w:val="lt-LT" w:eastAsia="lt-LT"/>
        </w:rPr>
        <w:t>k)</w:t>
      </w:r>
      <w:r>
        <w:rPr>
          <w:bCs/>
          <w:iCs/>
          <w:lang w:val="lt-LT" w:eastAsia="lt-LT"/>
        </w:rPr>
        <w:t xml:space="preserve"> pirmoje gydymo eilėje po nesėkmingo gydymo įprasta terapija, o </w:t>
      </w:r>
      <w:r w:rsidRPr="00801CAD">
        <w:rPr>
          <w:bCs/>
          <w:iCs/>
          <w:lang w:val="lt-LT" w:eastAsia="lt-LT"/>
        </w:rPr>
        <w:t>vedolizumabas</w:t>
      </w:r>
      <w:r>
        <w:rPr>
          <w:bCs/>
          <w:iCs/>
          <w:lang w:val="lt-LT" w:eastAsia="lt-LT"/>
        </w:rPr>
        <w:t xml:space="preserve"> pagal išrašomu receptų skaičių antrojo gydymo eilėje, tačiau </w:t>
      </w:r>
      <w:r w:rsidRPr="00801CAD">
        <w:rPr>
          <w:bCs/>
          <w:iCs/>
          <w:lang w:val="lt-LT" w:eastAsia="lt-LT"/>
        </w:rPr>
        <w:t xml:space="preserve">ustekinumabas </w:t>
      </w:r>
      <w:r>
        <w:rPr>
          <w:bCs/>
          <w:iCs/>
          <w:lang w:val="lt-LT" w:eastAsia="lt-LT"/>
        </w:rPr>
        <w:t xml:space="preserve">taip pat gali būti laikomas tinkamu </w:t>
      </w:r>
      <w:r w:rsidRPr="00801CAD">
        <w:rPr>
          <w:bCs/>
          <w:iCs/>
          <w:lang w:val="lt-LT" w:eastAsia="lt-LT"/>
        </w:rPr>
        <w:t>įprastinę klinikinę praktiką Lietuvoje</w:t>
      </w:r>
      <w:r>
        <w:rPr>
          <w:bCs/>
          <w:iCs/>
          <w:lang w:val="lt-LT" w:eastAsia="lt-LT"/>
        </w:rPr>
        <w:t>.</w:t>
      </w:r>
    </w:p>
    <w:p w14:paraId="4DF24EAF" w14:textId="77777777" w:rsidR="00AD4834" w:rsidRPr="00A44048" w:rsidRDefault="00AD4834" w:rsidP="00AD4834">
      <w:pPr>
        <w:pStyle w:val="Tekstas"/>
        <w:spacing w:line="276" w:lineRule="auto"/>
        <w:ind w:firstLine="720"/>
        <w:rPr>
          <w:i/>
          <w:iCs/>
          <w:lang w:val="lt-LT"/>
        </w:rPr>
      </w:pPr>
      <w:r w:rsidRPr="00A44048">
        <w:rPr>
          <w:i/>
          <w:iCs/>
          <w:lang w:val="lt-LT"/>
        </w:rPr>
        <w:t>Tiesioginis palyginimas</w:t>
      </w:r>
    </w:p>
    <w:p w14:paraId="63C17F4A" w14:textId="77777777" w:rsidR="00AD4834" w:rsidRDefault="00AD4834" w:rsidP="00AD4834">
      <w:pPr>
        <w:pStyle w:val="Tekstas"/>
        <w:spacing w:line="276" w:lineRule="auto"/>
        <w:ind w:firstLine="720"/>
        <w:rPr>
          <w:bCs/>
          <w:iCs/>
          <w:lang w:val="lt-LT" w:eastAsia="lt-LT"/>
        </w:rPr>
      </w:pPr>
      <w:r>
        <w:rPr>
          <w:lang w:val="lt-LT"/>
        </w:rPr>
        <w:t>P</w:t>
      </w:r>
      <w:r w:rsidRPr="009B7EE1">
        <w:rPr>
          <w:lang w:val="lt-LT"/>
        </w:rPr>
        <w:t xml:space="preserve">areiškėjas pateikė vertinimui tris atsitiktinių imčių, dvigubai aklus, placebu kontroliuojamus, lygiagrečių grupių, daugiacentrius tyrimus, kuriuose buvo vertinamas guselkumabo saugumas ir veiksmingumas suaugusiesiems, sergantiems vidutinio sunkumo ar sunkiu aktyviu opiniu kolitu (OK), kuriems anksčiau buvo nepakankamas atsakas į įprastinį gydymą (t. y. 6-merkaptopurinu, azatioprinu ar kortikosteroidais) arba ADT – </w:t>
      </w:r>
      <w:r>
        <w:rPr>
          <w:lang w:val="lt-LT"/>
        </w:rPr>
        <w:t>pažangaus gydymo</w:t>
      </w:r>
      <w:r w:rsidRPr="009B7EE1">
        <w:rPr>
          <w:lang w:val="lt-LT"/>
        </w:rPr>
        <w:t xml:space="preserve"> terapiją-  (t. y. TNF alfa antagonistais; vedolizumabu; tofacitinibu) arba kurie netoleravo tokio gydymo.</w:t>
      </w:r>
      <w:r>
        <w:rPr>
          <w:lang w:val="lt-LT"/>
        </w:rPr>
        <w:t xml:space="preserve"> </w:t>
      </w:r>
      <w:r w:rsidRPr="00E8021B">
        <w:rPr>
          <w:lang w:val="lt-LT"/>
        </w:rPr>
        <w:t xml:space="preserve">Klinikiniuose tyrimuose QUASAR IS ir MS vartotas palyginamasis gydymas placebas neatitinka įprastinės klinikinės praktikos Lietuvoje. ASTRO tyrimas yra be paliginamojo gydymo grupės, todėl šio tyrimo duomenis yra laikomi žvalgomaisiais ir šio tyrimo tikslas buvo įrodyti intraveninio ir poodinio vartojimo budo nesiskiriančią naudą. </w:t>
      </w:r>
      <w:r>
        <w:rPr>
          <w:lang w:val="lt-LT"/>
        </w:rPr>
        <w:t>Klinikinių tyrimų QUASAR IS ir MS n</w:t>
      </w:r>
      <w:r w:rsidRPr="00E8021B">
        <w:rPr>
          <w:lang w:val="lt-LT"/>
        </w:rPr>
        <w:t>umatytos vertinamosios baigtys ir jų vertinimo metodai pasirinkti tinkamai. Vertinamosios baigtys atspindi siektinas klinikines išeitis gydymo praktikoje</w:t>
      </w:r>
      <w:r>
        <w:rPr>
          <w:lang w:val="lt-LT"/>
        </w:rPr>
        <w:t xml:space="preserve">: indukcijos fazėje klinikinis atsakas ir klinikinė remisija buvo </w:t>
      </w:r>
      <w:r w:rsidRPr="00A74262">
        <w:rPr>
          <w:lang w:val="lt-LT"/>
        </w:rPr>
        <w:t>vertinami 12 gydymo savaitę</w:t>
      </w:r>
      <w:r>
        <w:rPr>
          <w:lang w:val="lt-LT"/>
        </w:rPr>
        <w:t xml:space="preserve">, o palaikomojo gydymo rezultatai  buvo vertinami po vienerių gydymo </w:t>
      </w:r>
      <w:r>
        <w:rPr>
          <w:lang w:val="lt-LT"/>
        </w:rPr>
        <w:lastRenderedPageBreak/>
        <w:t>metų</w:t>
      </w:r>
      <w:r w:rsidRPr="00E8021B">
        <w:rPr>
          <w:lang w:val="lt-LT"/>
        </w:rPr>
        <w:t xml:space="preserve">. </w:t>
      </w:r>
      <w:r>
        <w:rPr>
          <w:lang w:val="lt-LT"/>
        </w:rPr>
        <w:t xml:space="preserve">Pacientams </w:t>
      </w:r>
      <w:r w:rsidRPr="00B0576F">
        <w:rPr>
          <w:bCs/>
          <w:iCs/>
          <w:lang w:val="lt-LT" w:eastAsia="lt-LT"/>
        </w:rPr>
        <w:t>guselkumabas</w:t>
      </w:r>
      <w:r w:rsidRPr="00E8021B">
        <w:rPr>
          <w:lang w:val="lt-LT"/>
        </w:rPr>
        <w:t xml:space="preserve"> </w:t>
      </w:r>
      <w:r>
        <w:rPr>
          <w:lang w:val="lt-LT"/>
        </w:rPr>
        <w:t xml:space="preserve">buvo leidžiamas intraveniniu būdu. </w:t>
      </w:r>
      <w:r w:rsidRPr="00E8021B">
        <w:rPr>
          <w:lang w:val="lt-LT"/>
        </w:rPr>
        <w:t xml:space="preserve">Pažymėtina, kad maždaug pusė pacientų populiacijos buvo įtraukti į tyrimus dėl nepakankamai efektyvios įprastos terapijos ir pusė  - dėl nepakankamai arba netoleruojamos </w:t>
      </w:r>
      <w:r>
        <w:rPr>
          <w:lang w:val="lt-LT"/>
        </w:rPr>
        <w:t>pažangaus gydymo</w:t>
      </w:r>
      <w:r w:rsidRPr="00E8021B">
        <w:rPr>
          <w:lang w:val="lt-LT"/>
        </w:rPr>
        <w:t xml:space="preserve"> terapijos (t.y. TNF alfa antagonistai; vedolizumabas; tofacitinibas)</w:t>
      </w:r>
      <w:r>
        <w:rPr>
          <w:lang w:val="lt-LT"/>
        </w:rPr>
        <w:t xml:space="preserve">. </w:t>
      </w:r>
      <w:r>
        <w:rPr>
          <w:bCs/>
          <w:iCs/>
          <w:lang w:val="lt-LT" w:eastAsia="lt-LT"/>
        </w:rPr>
        <w:t>G</w:t>
      </w:r>
      <w:r w:rsidRPr="00B0576F">
        <w:rPr>
          <w:bCs/>
          <w:iCs/>
          <w:lang w:val="lt-LT" w:eastAsia="lt-LT"/>
        </w:rPr>
        <w:t>uselkumabas</w:t>
      </w:r>
      <w:r>
        <w:rPr>
          <w:bCs/>
          <w:iCs/>
          <w:lang w:val="lt-LT" w:eastAsia="lt-LT"/>
        </w:rPr>
        <w:t xml:space="preserve"> įrodė savo pranašumą prieš placebą indukcinėje ir palaikomojo gydymo fazėse.</w:t>
      </w:r>
    </w:p>
    <w:p w14:paraId="113D336B" w14:textId="77777777" w:rsidR="00AD4834" w:rsidRDefault="00AD4834" w:rsidP="00AD4834">
      <w:pPr>
        <w:pStyle w:val="Tekstas"/>
        <w:spacing w:line="276" w:lineRule="auto"/>
        <w:ind w:firstLine="720"/>
        <w:rPr>
          <w:bCs/>
          <w:i/>
          <w:lang w:val="lt-LT" w:eastAsia="lt-LT"/>
        </w:rPr>
      </w:pPr>
      <w:r w:rsidRPr="006D503C">
        <w:rPr>
          <w:bCs/>
          <w:i/>
          <w:lang w:val="lt-LT" w:eastAsia="lt-LT"/>
        </w:rPr>
        <w:t>Netiesioginis palyginimas</w:t>
      </w:r>
    </w:p>
    <w:p w14:paraId="73EA5B2C" w14:textId="77777777" w:rsidR="00AD4834" w:rsidRDefault="00AD4834" w:rsidP="00AD4834">
      <w:pPr>
        <w:spacing w:line="276" w:lineRule="auto"/>
        <w:ind w:firstLine="720"/>
        <w:jc w:val="both"/>
        <w:rPr>
          <w:rFonts w:eastAsia="Arial"/>
          <w:bCs/>
        </w:rPr>
      </w:pPr>
      <w:r>
        <w:rPr>
          <w:rFonts w:eastAsia="Arial"/>
          <w:bCs/>
        </w:rPr>
        <w:t xml:space="preserve">Į tinklinę meta-analizę </w:t>
      </w:r>
      <w:r w:rsidRPr="00FD4AB2">
        <w:rPr>
          <w:rFonts w:eastAsia="Arial"/>
          <w:bCs/>
        </w:rPr>
        <w:t xml:space="preserve">buvo įtraukti tyrimai, </w:t>
      </w:r>
      <w:r>
        <w:rPr>
          <w:rFonts w:eastAsia="Arial"/>
          <w:bCs/>
        </w:rPr>
        <w:t xml:space="preserve">kurie buvo atlikti </w:t>
      </w:r>
      <w:r w:rsidRPr="00FD4AB2">
        <w:rPr>
          <w:rFonts w:eastAsia="Arial"/>
          <w:bCs/>
        </w:rPr>
        <w:t xml:space="preserve"> Europoje, Jungtinėse Amerikos Valstijose, Kanadoje ar Japonijoje patvirtintas dozes.</w:t>
      </w:r>
      <w:r>
        <w:rPr>
          <w:rFonts w:eastAsia="Arial"/>
          <w:bCs/>
        </w:rPr>
        <w:t xml:space="preserve"> Pažymėtina, kad vienerių gydymo </w:t>
      </w:r>
      <w:r w:rsidRPr="00FD4AB2">
        <w:rPr>
          <w:rFonts w:eastAsia="Arial"/>
          <w:bCs/>
        </w:rPr>
        <w:t xml:space="preserve">metų </w:t>
      </w:r>
      <w:r>
        <w:rPr>
          <w:rFonts w:eastAsia="Arial"/>
          <w:bCs/>
        </w:rPr>
        <w:t>TMA</w:t>
      </w:r>
      <w:r w:rsidRPr="00FD4AB2">
        <w:rPr>
          <w:rFonts w:eastAsia="Arial"/>
          <w:bCs/>
        </w:rPr>
        <w:t xml:space="preserve"> </w:t>
      </w:r>
      <w:r>
        <w:rPr>
          <w:rFonts w:eastAsia="Arial"/>
          <w:bCs/>
        </w:rPr>
        <w:t xml:space="preserve">remiasi </w:t>
      </w:r>
      <w:r w:rsidRPr="00FD4AB2">
        <w:rPr>
          <w:rFonts w:eastAsia="Arial"/>
          <w:bCs/>
        </w:rPr>
        <w:t>tyrimai</w:t>
      </w:r>
      <w:r>
        <w:rPr>
          <w:rFonts w:eastAsia="Arial"/>
          <w:bCs/>
        </w:rPr>
        <w:t>s</w:t>
      </w:r>
      <w:r w:rsidRPr="00FD4AB2">
        <w:rPr>
          <w:rFonts w:eastAsia="Arial"/>
          <w:bCs/>
        </w:rPr>
        <w:t>, kurių minimali stebėjimo trukmė buvo 38 savaitės.</w:t>
      </w:r>
    </w:p>
    <w:p w14:paraId="00B895E2" w14:textId="44E7A4EF" w:rsidR="00AD4834" w:rsidRDefault="00AD4834" w:rsidP="00AD4834">
      <w:pPr>
        <w:spacing w:line="276" w:lineRule="auto"/>
        <w:jc w:val="both"/>
        <w:rPr>
          <w:iCs/>
        </w:rPr>
      </w:pPr>
      <w:r w:rsidRPr="006D68F8">
        <w:rPr>
          <w:rFonts w:eastAsia="Arial"/>
          <w:bCs/>
        </w:rPr>
        <w:t>Iš viso į analizę buvo įtraukti 35 tyrimai, iš kurių 26 tyrimai buvo III/IIIb fazės, 5 tyrimai buvo II fazės ir 3 tyrima</w:t>
      </w:r>
      <w:r w:rsidR="00852837">
        <w:rPr>
          <w:rFonts w:eastAsia="Arial"/>
          <w:bCs/>
        </w:rPr>
        <w:t>ių</w:t>
      </w:r>
      <w:r w:rsidRPr="006D68F8">
        <w:rPr>
          <w:rFonts w:eastAsia="Arial"/>
          <w:bCs/>
        </w:rPr>
        <w:t xml:space="preserve"> buvo IIb/III fazės. Visi tyrimai buvo atlikti daugiacentr</w:t>
      </w:r>
      <w:r>
        <w:rPr>
          <w:rFonts w:eastAsia="Arial"/>
          <w:bCs/>
        </w:rPr>
        <w:t>iai</w:t>
      </w:r>
      <w:r w:rsidRPr="006D68F8">
        <w:rPr>
          <w:rFonts w:eastAsia="Arial"/>
          <w:bCs/>
        </w:rPr>
        <w:t xml:space="preserve">. </w:t>
      </w:r>
      <w:r w:rsidRPr="00346B1A">
        <w:rPr>
          <w:rFonts w:eastAsia="Arial"/>
          <w:bCs/>
        </w:rPr>
        <w:t xml:space="preserve">Visi įtraukti tyrimai buvo dvigubai akli, lyginamieji, atsitiktinių imčių tyrimai. </w:t>
      </w:r>
      <w:r>
        <w:rPr>
          <w:rFonts w:eastAsia="Arial"/>
          <w:bCs/>
        </w:rPr>
        <w:t xml:space="preserve">Daugumoje tyrimų </w:t>
      </w:r>
      <w:r w:rsidRPr="00346B1A">
        <w:rPr>
          <w:rFonts w:eastAsia="Arial"/>
          <w:bCs/>
        </w:rPr>
        <w:t>naudojamas placeb</w:t>
      </w:r>
      <w:r>
        <w:rPr>
          <w:rFonts w:eastAsia="Arial"/>
          <w:bCs/>
        </w:rPr>
        <w:t>as</w:t>
      </w:r>
      <w:r w:rsidRPr="00346B1A">
        <w:rPr>
          <w:rFonts w:eastAsia="Arial"/>
          <w:bCs/>
        </w:rPr>
        <w:t xml:space="preserve"> </w:t>
      </w:r>
      <w:r>
        <w:rPr>
          <w:rFonts w:eastAsia="Arial"/>
          <w:bCs/>
        </w:rPr>
        <w:t xml:space="preserve">buvo </w:t>
      </w:r>
      <w:r w:rsidRPr="00346B1A">
        <w:rPr>
          <w:rFonts w:eastAsia="Arial"/>
          <w:bCs/>
        </w:rPr>
        <w:t xml:space="preserve">palyginamasis preparatas. </w:t>
      </w:r>
      <w:r>
        <w:rPr>
          <w:iCs/>
        </w:rPr>
        <w:t>Pacientų p</w:t>
      </w:r>
      <w:r w:rsidRPr="009300B3">
        <w:rPr>
          <w:iCs/>
        </w:rPr>
        <w:t>opuliacija atiti</w:t>
      </w:r>
      <w:r>
        <w:rPr>
          <w:iCs/>
        </w:rPr>
        <w:t>ko</w:t>
      </w:r>
      <w:r w:rsidRPr="009300B3">
        <w:rPr>
          <w:iCs/>
        </w:rPr>
        <w:t xml:space="preserve"> Lietuvos pacientų sergančių </w:t>
      </w:r>
      <w:r w:rsidRPr="006B6355">
        <w:t>vidutinio sunkumo ir sunk</w:t>
      </w:r>
      <w:r>
        <w:t>iu</w:t>
      </w:r>
      <w:r w:rsidRPr="006B6355">
        <w:t xml:space="preserve"> aktyv</w:t>
      </w:r>
      <w:r>
        <w:t>iu</w:t>
      </w:r>
      <w:r w:rsidRPr="006B6355">
        <w:t xml:space="preserve"> opini</w:t>
      </w:r>
      <w:r>
        <w:t>u</w:t>
      </w:r>
      <w:r w:rsidRPr="006B6355">
        <w:t xml:space="preserve"> kolit</w:t>
      </w:r>
      <w:r>
        <w:t>u</w:t>
      </w:r>
      <w:r w:rsidRPr="006B6355">
        <w:t xml:space="preserve"> </w:t>
      </w:r>
      <w:r w:rsidRPr="009300B3">
        <w:rPr>
          <w:iCs/>
        </w:rPr>
        <w:t>populiaciją.</w:t>
      </w:r>
      <w:r>
        <w:rPr>
          <w:iCs/>
        </w:rPr>
        <w:t xml:space="preserve"> </w:t>
      </w:r>
    </w:p>
    <w:p w14:paraId="445AABFC" w14:textId="77777777" w:rsidR="00AD4834" w:rsidRDefault="00AD4834" w:rsidP="00AD4834">
      <w:pPr>
        <w:spacing w:line="276" w:lineRule="auto"/>
        <w:ind w:firstLine="720"/>
        <w:jc w:val="both"/>
        <w:rPr>
          <w:iCs/>
        </w:rPr>
      </w:pPr>
      <w:r w:rsidRPr="00386C2B">
        <w:rPr>
          <w:iCs/>
        </w:rPr>
        <w:t>Tinklinė meta-analizė</w:t>
      </w:r>
      <w:r>
        <w:rPr>
          <w:iCs/>
        </w:rPr>
        <w:t xml:space="preserve">s rezultatai </w:t>
      </w:r>
      <w:r w:rsidRPr="00386C2B">
        <w:rPr>
          <w:iCs/>
        </w:rPr>
        <w:t xml:space="preserve">parodė, kad gydant guselkumabu tikimybė pasiekti klinikinį atsaką ir </w:t>
      </w:r>
      <w:r>
        <w:rPr>
          <w:iCs/>
        </w:rPr>
        <w:t xml:space="preserve">klinikinę </w:t>
      </w:r>
      <w:r w:rsidRPr="00386C2B">
        <w:rPr>
          <w:iCs/>
        </w:rPr>
        <w:t xml:space="preserve">remisiją yra panaši, jei pacientai būtų gydomi upadacitinibu. vedolizumabu ir alfa-TNF inhibitoriais. Pažymėtina, kad gydymo guselkumabu veiksmingumas yra panašus į kitus monokloninius antikūnus (mAk), kurie nukreipti į IL-23 receptorių blokavimą: ustekinumabą, risankizumabą ir mirikizumabą. </w:t>
      </w:r>
      <w:r>
        <w:rPr>
          <w:iCs/>
        </w:rPr>
        <w:t xml:space="preserve">Nors netiesioginio palyginimo analizėje pareiškėjas nepateikė palyginamosios analizės pacientų, </w:t>
      </w:r>
      <w:r w:rsidRPr="0025531F">
        <w:rPr>
          <w:iCs/>
        </w:rPr>
        <w:t>kuriems anksčiau buvo nepakankamas atsakas į įprastinį gydymą (t. y. 6-merkaptopurinu, azatioprinu ar kortikosteroidais</w:t>
      </w:r>
      <w:r w:rsidRPr="007617A0">
        <w:rPr>
          <w:iCs/>
        </w:rPr>
        <w:t>)</w:t>
      </w:r>
      <w:r>
        <w:rPr>
          <w:i/>
        </w:rPr>
        <w:t xml:space="preserve">, </w:t>
      </w:r>
      <w:r>
        <w:rPr>
          <w:iCs/>
        </w:rPr>
        <w:t xml:space="preserve">pogrupyje </w:t>
      </w:r>
      <w:r w:rsidRPr="00A1532A">
        <w:rPr>
          <w:iCs/>
        </w:rPr>
        <w:t xml:space="preserve">su </w:t>
      </w:r>
      <w:r>
        <w:rPr>
          <w:iCs/>
        </w:rPr>
        <w:t>pažangaus gydymo</w:t>
      </w:r>
      <w:r w:rsidRPr="00A1532A">
        <w:rPr>
          <w:iCs/>
        </w:rPr>
        <w:t xml:space="preserve"> t</w:t>
      </w:r>
      <w:r>
        <w:rPr>
          <w:iCs/>
        </w:rPr>
        <w:t>e</w:t>
      </w:r>
      <w:r w:rsidRPr="00A1532A">
        <w:rPr>
          <w:iCs/>
        </w:rPr>
        <w:t>rapijos vaistiniais preparatais (adalimumabu, filgotinibu, golimumabu, infliximabu, mirikizumabu, risankizumabu, tofacitinibu, upadacitinibu, ustekinumabu ir vedolizumabu)</w:t>
      </w:r>
      <w:r>
        <w:rPr>
          <w:iCs/>
        </w:rPr>
        <w:t xml:space="preserve">, </w:t>
      </w:r>
      <w:r w:rsidRPr="00A1532A">
        <w:rPr>
          <w:iCs/>
        </w:rPr>
        <w:t>tikėtina,</w:t>
      </w:r>
      <w:r>
        <w:rPr>
          <w:iCs/>
        </w:rPr>
        <w:t xml:space="preserve"> </w:t>
      </w:r>
      <w:r w:rsidRPr="00A1532A">
        <w:rPr>
          <w:iCs/>
        </w:rPr>
        <w:t>kad jo poveikis yra panašus į ustekinumabą</w:t>
      </w:r>
      <w:r>
        <w:rPr>
          <w:iCs/>
        </w:rPr>
        <w:t xml:space="preserve"> ir kitus į IL-</w:t>
      </w:r>
      <w:r w:rsidRPr="00097BB2">
        <w:rPr>
          <w:iCs/>
        </w:rPr>
        <w:t xml:space="preserve">23 receptorius nukreiptus </w:t>
      </w:r>
      <w:r>
        <w:rPr>
          <w:iCs/>
        </w:rPr>
        <w:t>mAk (</w:t>
      </w:r>
      <w:r w:rsidRPr="00386C2B">
        <w:rPr>
          <w:iCs/>
        </w:rPr>
        <w:t>ustekinumabą, risankizumabą ir mirikizumabą</w:t>
      </w:r>
      <w:r>
        <w:rPr>
          <w:iCs/>
        </w:rPr>
        <w:t>)</w:t>
      </w:r>
      <w:r w:rsidRPr="00097BB2">
        <w:rPr>
          <w:iCs/>
        </w:rPr>
        <w:t>,</w:t>
      </w:r>
      <w:r w:rsidRPr="00A1532A">
        <w:rPr>
          <w:iCs/>
        </w:rPr>
        <w:t xml:space="preserve"> jei būtų skiriamas iš kart po nesėkmingo įprastin</w:t>
      </w:r>
      <w:r>
        <w:rPr>
          <w:iCs/>
        </w:rPr>
        <w:t>io</w:t>
      </w:r>
      <w:r w:rsidRPr="00A1532A">
        <w:rPr>
          <w:iCs/>
        </w:rPr>
        <w:t xml:space="preserve"> gydym</w:t>
      </w:r>
      <w:r>
        <w:rPr>
          <w:iCs/>
        </w:rPr>
        <w:t>o (t</w:t>
      </w:r>
      <w:r w:rsidRPr="0025531F">
        <w:rPr>
          <w:iCs/>
        </w:rPr>
        <w:t>. y. 6-merkaptopurinu, azatioprinu ar kortikosteroidais</w:t>
      </w:r>
      <w:r>
        <w:rPr>
          <w:iCs/>
        </w:rPr>
        <w:t>)</w:t>
      </w:r>
      <w:r w:rsidRPr="00A1532A">
        <w:rPr>
          <w:iCs/>
        </w:rPr>
        <w:t>.</w:t>
      </w:r>
      <w:r>
        <w:rPr>
          <w:iCs/>
        </w:rPr>
        <w:t xml:space="preserve"> Dėl šios priežasties daroma prielaidą, kad </w:t>
      </w:r>
      <w:r w:rsidRPr="00386C2B">
        <w:rPr>
          <w:iCs/>
        </w:rPr>
        <w:t>guselkumab</w:t>
      </w:r>
      <w:r>
        <w:rPr>
          <w:iCs/>
        </w:rPr>
        <w:t>as gali būti gydymo pasirinkimu pirmoje po nesėkmingo įprastinio gydymo ir/arba vėlesnėse gydymo eilėse nesėkmingo pažangaus gydymo terapijos.</w:t>
      </w:r>
    </w:p>
    <w:p w14:paraId="6584B4D1" w14:textId="77777777" w:rsidR="00AD4834" w:rsidRDefault="00AD4834" w:rsidP="00AD4834">
      <w:pPr>
        <w:spacing w:line="276" w:lineRule="auto"/>
        <w:ind w:firstLine="720"/>
        <w:jc w:val="both"/>
        <w:rPr>
          <w:bCs/>
          <w:lang w:eastAsia="lt-LT"/>
        </w:rPr>
      </w:pPr>
      <w:r>
        <w:rPr>
          <w:iCs/>
        </w:rPr>
        <w:t>Apibendrinant, s</w:t>
      </w:r>
      <w:r w:rsidRPr="009300B3">
        <w:rPr>
          <w:bCs/>
          <w:lang w:eastAsia="lt-LT"/>
        </w:rPr>
        <w:t xml:space="preserve">iūlomo kompensuoti vaistinio preparato </w:t>
      </w:r>
      <w:r w:rsidRPr="00386C2B">
        <w:rPr>
          <w:iCs/>
        </w:rPr>
        <w:t>guselkumab</w:t>
      </w:r>
      <w:r>
        <w:rPr>
          <w:iCs/>
        </w:rPr>
        <w:t>o</w:t>
      </w:r>
      <w:r w:rsidRPr="009300B3">
        <w:rPr>
          <w:bCs/>
          <w:lang w:eastAsia="lt-LT"/>
        </w:rPr>
        <w:t xml:space="preserve"> palyginamasis veiksmingumas yra įvertintas kaip </w:t>
      </w:r>
      <w:r w:rsidRPr="00A44048">
        <w:rPr>
          <w:bCs/>
          <w:i/>
          <w:iCs/>
          <w:lang w:eastAsia="lt-LT"/>
        </w:rPr>
        <w:t>iš esmės nesiskiriantis</w:t>
      </w:r>
      <w:r w:rsidRPr="009300B3">
        <w:rPr>
          <w:bCs/>
          <w:lang w:eastAsia="lt-LT"/>
        </w:rPr>
        <w:t xml:space="preserve"> lyginant su įprasta klinikine praktika</w:t>
      </w:r>
      <w:r>
        <w:rPr>
          <w:bCs/>
          <w:lang w:eastAsia="lt-LT"/>
        </w:rPr>
        <w:t>.</w:t>
      </w:r>
    </w:p>
    <w:p w14:paraId="1AA28D4D" w14:textId="77777777" w:rsidR="00D31B93" w:rsidRPr="00D31B93" w:rsidRDefault="00D31B93" w:rsidP="00D31B93">
      <w:pPr>
        <w:tabs>
          <w:tab w:val="left" w:pos="567"/>
        </w:tabs>
        <w:jc w:val="both"/>
        <w:rPr>
          <w:b/>
          <w:bCs/>
          <w:caps/>
          <w:szCs w:val="20"/>
        </w:rPr>
      </w:pPr>
    </w:p>
    <w:p w14:paraId="39C1ADA8" w14:textId="77777777" w:rsidR="00AC5129" w:rsidRPr="000203E1" w:rsidRDefault="00AC5129" w:rsidP="00A93AA6">
      <w:pPr>
        <w:pStyle w:val="ListParagraph"/>
        <w:tabs>
          <w:tab w:val="left" w:pos="426"/>
        </w:tabs>
        <w:ind w:left="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33875138" w14:textId="77777777" w:rsidR="0035172D" w:rsidRDefault="0035172D" w:rsidP="00A93AA6">
      <w:pPr>
        <w:tabs>
          <w:tab w:val="left" w:pos="426"/>
        </w:tabs>
        <w:rPr>
          <w:b/>
          <w:bCs/>
          <w:caps/>
        </w:rPr>
      </w:pPr>
    </w:p>
    <w:p w14:paraId="7009343B" w14:textId="77777777" w:rsidR="002F2691" w:rsidRPr="002F2691" w:rsidRDefault="002F2691" w:rsidP="00A44048">
      <w:pPr>
        <w:spacing w:line="276" w:lineRule="auto"/>
        <w:ind w:firstLine="720"/>
        <w:jc w:val="both"/>
        <w:rPr>
          <w:color w:val="000000"/>
          <w:szCs w:val="20"/>
        </w:rPr>
      </w:pPr>
      <w:r w:rsidRPr="002F2691">
        <w:rPr>
          <w:rFonts w:eastAsia="Arial"/>
          <w:color w:val="000000"/>
        </w:rPr>
        <w:t xml:space="preserve">Vykdant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2F2691">
        <w:rPr>
          <w:color w:val="000000"/>
          <w:szCs w:val="20"/>
          <w:vertAlign w:val="superscript"/>
        </w:rPr>
        <w:t>3</w:t>
      </w:r>
      <w:r w:rsidRPr="002F2691">
        <w:rPr>
          <w:color w:val="000000"/>
          <w:szCs w:val="20"/>
        </w:rPr>
        <w:t xml:space="preserve"> punktą, ekonominis vertinimas neatliekamas </w:t>
      </w:r>
      <w:r w:rsidRPr="002F2691">
        <w:rPr>
          <w:rFonts w:eastAsia="Arial"/>
          <w:color w:val="000000"/>
        </w:rPr>
        <w:t xml:space="preserve">klinikinio vertinimo metu nustačius </w:t>
      </w:r>
      <w:r w:rsidRPr="002F2691">
        <w:rPr>
          <w:bCs/>
          <w:i/>
          <w:iCs/>
          <w:color w:val="000000"/>
          <w:lang w:eastAsia="lt-LT"/>
        </w:rPr>
        <w:t>iš esmės nesiskiriantį</w:t>
      </w:r>
      <w:r w:rsidRPr="002F2691">
        <w:rPr>
          <w:rFonts w:eastAsia="Arial"/>
          <w:color w:val="000000"/>
        </w:rPr>
        <w:t xml:space="preserve"> palyginamąjį veiksmingumą lyginant su įprasta klinikine praktika (atitinka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6FD951B6" w14:textId="77777777" w:rsidR="002F2691" w:rsidRDefault="002F2691" w:rsidP="00A93AA6">
      <w:pPr>
        <w:tabs>
          <w:tab w:val="left" w:pos="426"/>
        </w:tabs>
        <w:rPr>
          <w:b/>
          <w:bCs/>
          <w:caps/>
        </w:rPr>
      </w:pPr>
    </w:p>
    <w:p w14:paraId="24BFE036" w14:textId="77777777" w:rsidR="002F2691" w:rsidRPr="000203E1" w:rsidRDefault="002F2691" w:rsidP="00A93AA6">
      <w:pPr>
        <w:tabs>
          <w:tab w:val="left" w:pos="426"/>
        </w:tabs>
        <w:rPr>
          <w:b/>
          <w:bCs/>
          <w:caps/>
        </w:rPr>
      </w:pPr>
    </w:p>
    <w:p w14:paraId="4FC424F9" w14:textId="4E767245" w:rsidR="00C62B36"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ListParagraph"/>
        <w:tabs>
          <w:tab w:val="left" w:pos="567"/>
        </w:tabs>
        <w:rPr>
          <w:b/>
          <w:bCs/>
          <w:caps/>
        </w:rPr>
      </w:pPr>
    </w:p>
    <w:p w14:paraId="62992180" w14:textId="76A5B39A"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09414FFF" w:rsidR="00C62B36" w:rsidRDefault="00D67BAF" w:rsidP="00CC09D4">
      <w:pPr>
        <w:pStyle w:val="ListParagraph"/>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 xml:space="preserve"> organizacijų pateikti duomenys</w:t>
      </w:r>
    </w:p>
    <w:p w14:paraId="044D5084" w14:textId="77777777" w:rsidR="00C9728E" w:rsidRPr="000203E1" w:rsidRDefault="00C9728E" w:rsidP="00C9728E">
      <w:pPr>
        <w:pStyle w:val="ListParagraph"/>
        <w:tabs>
          <w:tab w:val="left" w:pos="567"/>
        </w:tabs>
        <w:rPr>
          <w:b/>
          <w:bCs/>
          <w:caps/>
        </w:rPr>
      </w:pPr>
    </w:p>
    <w:p w14:paraId="5D8CC48C" w14:textId="33E534AE"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ListParagraph"/>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3"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38968DBB"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C6961">
                  <w:rPr>
                    <w:rStyle w:val="Style2"/>
                    <w:rFonts w:ascii="MS Gothic" w:eastAsia="MS Gothic" w:hAnsi="MS Gothic" w:hint="eastAsia"/>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51F24F86"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EndPr>
                <w:rPr>
                  <w:rStyle w:val="Style2"/>
                </w:rPr>
              </w:sdtEndPr>
              <w:sdtContent>
                <w:r w:rsidR="00BC6961">
                  <w:rPr>
                    <w:rStyle w:val="Style2"/>
                    <w:rFonts w:ascii="MS Gothic" w:eastAsia="MS Gothic" w:hAnsi="MS Gothic" w:hint="eastAsia"/>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3"/>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44A4E1DF"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33FB968C" w:rsidR="007111C4" w:rsidRDefault="004470D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2F2691">
                  <w:rPr>
                    <w:rStyle w:val="Style2"/>
                    <w:rFonts w:ascii="MS Gothic" w:eastAsia="MS Gothic" w:hAnsi="MS Gothic" w:hint="eastAsia"/>
                    <w:sz w:val="23"/>
                    <w:szCs w:val="23"/>
                  </w:rPr>
                  <w:t>☒</w:t>
                </w:r>
              </w:sdtContent>
            </w:sdt>
            <w:r w:rsidR="007111C4">
              <w:rPr>
                <w:sz w:val="23"/>
                <w:szCs w:val="23"/>
              </w:rPr>
              <w:t xml:space="preserve"> </w:t>
            </w:r>
            <w:r w:rsidR="007111C4" w:rsidRPr="007111C4">
              <w:rPr>
                <w:color w:val="000000"/>
                <w:sz w:val="23"/>
                <w:szCs w:val="23"/>
              </w:rPr>
              <w:t>Vykdant Aprašo 17</w:t>
            </w:r>
            <w:r w:rsidR="007111C4" w:rsidRPr="007111C4">
              <w:rPr>
                <w:color w:val="000000"/>
                <w:sz w:val="23"/>
                <w:szCs w:val="23"/>
                <w:vertAlign w:val="superscript"/>
              </w:rPr>
              <w:t>3</w:t>
            </w:r>
            <w:r w:rsidR="007111C4" w:rsidRPr="007111C4">
              <w:rPr>
                <w:color w:val="000000"/>
                <w:sz w:val="23"/>
                <w:szCs w:val="23"/>
              </w:rPr>
              <w:t>.1</w:t>
            </w:r>
            <w:r w:rsidR="002F2691">
              <w:rPr>
                <w:color w:val="000000"/>
                <w:sz w:val="23"/>
                <w:szCs w:val="23"/>
              </w:rPr>
              <w:t xml:space="preserve"> </w:t>
            </w:r>
            <w:r w:rsidR="007111C4" w:rsidRPr="007111C4">
              <w:rPr>
                <w:color w:val="000000"/>
                <w:sz w:val="23"/>
                <w:szCs w:val="23"/>
              </w:rPr>
              <w:t>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ListParagraph"/>
        <w:ind w:left="567"/>
        <w:rPr>
          <w:b/>
        </w:rPr>
      </w:pPr>
    </w:p>
    <w:p w14:paraId="1B312979" w14:textId="77777777" w:rsidR="00516649" w:rsidRPr="005F74EC" w:rsidRDefault="00516649" w:rsidP="00516649">
      <w:pPr>
        <w:widowControl w:val="0"/>
        <w:tabs>
          <w:tab w:val="left" w:pos="1418"/>
        </w:tabs>
        <w:suppressAutoHyphens/>
        <w:spacing w:line="360" w:lineRule="atLeast"/>
        <w:jc w:val="both"/>
        <w:textAlignment w:val="center"/>
        <w:rPr>
          <w:color w:val="000000" w:themeColor="text1"/>
          <w:lang w:eastAsia="lt-LT"/>
        </w:rPr>
      </w:pPr>
      <w:r w:rsidRPr="005F74EC">
        <w:rPr>
          <w:color w:val="000000" w:themeColor="text1"/>
        </w:rPr>
        <w:t xml:space="preserve">Vadovaujantis Aprašo </w:t>
      </w:r>
      <w:r w:rsidRPr="005F74EC">
        <w:rPr>
          <w:color w:val="000000" w:themeColor="text1"/>
          <w:lang w:eastAsia="lt-LT"/>
        </w:rPr>
        <w:t>30</w:t>
      </w:r>
      <w:r w:rsidRPr="005F74EC">
        <w:rPr>
          <w:color w:val="000000" w:themeColor="text1"/>
          <w:vertAlign w:val="superscript"/>
          <w:lang w:eastAsia="lt-LT"/>
        </w:rPr>
        <w:t>1</w:t>
      </w:r>
      <w:r w:rsidRPr="005F74EC">
        <w:rPr>
          <w:color w:val="000000" w:themeColor="text1"/>
          <w:lang w:eastAsia="lt-LT"/>
        </w:rPr>
        <w:t xml:space="preserve">.5. papunkčiu rekomenduojama kompensuoti vaistinį preparatą pagal paraiškoje nurodytą indikaciją (arba jos dalį) su arba be skyrimo sąlygų, jei išvados apie įtaką PSDF biudžetui atitinka aprašo </w:t>
      </w:r>
      <w:r w:rsidRPr="005F74EC">
        <w:rPr>
          <w:color w:val="000000" w:themeColor="text1"/>
        </w:rPr>
        <w:t>54.1</w:t>
      </w:r>
      <w:r w:rsidRPr="005F74EC">
        <w:rPr>
          <w:color w:val="000000" w:themeColor="text1"/>
          <w:vertAlign w:val="superscript"/>
        </w:rPr>
        <w:t>1</w:t>
      </w:r>
      <w:r w:rsidRPr="005F74EC">
        <w:rPr>
          <w:color w:val="000000" w:themeColor="text1"/>
        </w:rPr>
        <w:t xml:space="preserve"> papunkčio nuostatas arba šio papunkčio sąlygos išpildomos pateikus naują ar atnaujintą PGS.</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77777777" w:rsidR="00B811A4" w:rsidRPr="0073329D" w:rsidRDefault="00B811A4" w:rsidP="00B811A4">
      <w:pPr>
        <w:tabs>
          <w:tab w:val="left" w:pos="426"/>
        </w:tabs>
        <w:jc w:val="both"/>
        <w:rPr>
          <w:b/>
          <w:lang w:eastAsia="lt-LT"/>
        </w:rPr>
      </w:pPr>
      <w:r w:rsidRPr="0089345A">
        <w:rPr>
          <w:b/>
          <w:lang w:eastAsia="lt-LT"/>
        </w:rPr>
        <w:t>4.3 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3945F773" w14:textId="77777777" w:rsidR="00DE2F62" w:rsidRPr="009300B3" w:rsidRDefault="00DE2F62" w:rsidP="00DE2F62">
      <w:pPr>
        <w:pStyle w:val="NoSpacing"/>
        <w:jc w:val="both"/>
        <w:rPr>
          <w:rFonts w:ascii="Times New Roman" w:hAnsi="Times New Roman"/>
          <w:b/>
          <w:sz w:val="24"/>
          <w:szCs w:val="24"/>
          <w:lang w:eastAsia="lt-LT"/>
        </w:rPr>
      </w:pPr>
      <w:r w:rsidRPr="009300B3">
        <w:rPr>
          <w:rFonts w:ascii="Times New Roman" w:hAnsi="Times New Roman"/>
          <w:b/>
          <w:sz w:val="24"/>
          <w:szCs w:val="24"/>
          <w:lang w:eastAsia="lt-LT"/>
        </w:rPr>
        <w:t>Terapinės indikacijos</w:t>
      </w:r>
    </w:p>
    <w:p w14:paraId="53DBF62F" w14:textId="77777777" w:rsidR="00DE2F62" w:rsidRPr="009300B3" w:rsidRDefault="00DE2F62" w:rsidP="00DE2F62">
      <w:pPr>
        <w:spacing w:line="276" w:lineRule="auto"/>
        <w:jc w:val="both"/>
      </w:pPr>
      <w:r w:rsidRPr="006B6355">
        <w:lastRenderedPageBreak/>
        <w:t>Tremfya yra skirtas vidutinio sunkumo ir sunkaus aktyvaus opinio kolito gydymui suaugusiems pacientams, kuriems pasireiškė nepakankamas atsakas į įprastą gydymą ar biologinę terapiją, atsakas pranyko arba jie tokio gydymo netoleravo</w:t>
      </w:r>
      <w:r w:rsidRPr="00122AE4">
        <w:t>.</w:t>
      </w:r>
    </w:p>
    <w:p w14:paraId="38803EF1" w14:textId="2A9346E7" w:rsidR="00DE2F62" w:rsidRPr="00A44048" w:rsidRDefault="00DE2F62" w:rsidP="00DE2F62">
      <w:pPr>
        <w:pStyle w:val="NoSpacing"/>
        <w:spacing w:line="276" w:lineRule="auto"/>
        <w:jc w:val="both"/>
        <w:rPr>
          <w:rFonts w:ascii="Times New Roman" w:hAnsi="Times New Roman"/>
          <w:i/>
          <w:iCs/>
          <w:sz w:val="24"/>
          <w:szCs w:val="24"/>
        </w:rPr>
      </w:pPr>
    </w:p>
    <w:p w14:paraId="2AFB8389" w14:textId="4FA08400" w:rsidR="00DE2F62" w:rsidRPr="00A44048" w:rsidRDefault="00DE2F62" w:rsidP="00DE2F62">
      <w:pPr>
        <w:pStyle w:val="NoSpacing"/>
        <w:spacing w:line="276" w:lineRule="auto"/>
        <w:jc w:val="both"/>
        <w:rPr>
          <w:rFonts w:ascii="Times New Roman" w:hAnsi="Times New Roman"/>
          <w:b/>
          <w:sz w:val="24"/>
          <w:szCs w:val="24"/>
        </w:rPr>
      </w:pPr>
      <w:r w:rsidRPr="00A44048">
        <w:rPr>
          <w:rFonts w:ascii="Times New Roman" w:hAnsi="Times New Roman"/>
          <w:b/>
          <w:sz w:val="24"/>
          <w:szCs w:val="24"/>
        </w:rPr>
        <w:t>Skyrimo sąlygos</w:t>
      </w:r>
    </w:p>
    <w:p w14:paraId="1506BF6D" w14:textId="77777777" w:rsidR="00DE2F62" w:rsidRDefault="00DE2F62" w:rsidP="00DE2F62">
      <w:pPr>
        <w:pStyle w:val="NoSpacing"/>
        <w:spacing w:line="276" w:lineRule="auto"/>
        <w:jc w:val="both"/>
        <w:rPr>
          <w:rFonts w:ascii="Times New Roman" w:hAnsi="Times New Roman"/>
          <w:sz w:val="24"/>
          <w:szCs w:val="24"/>
        </w:rPr>
      </w:pPr>
      <w:r w:rsidRPr="00A44048">
        <w:rPr>
          <w:rFonts w:ascii="Times New Roman" w:hAnsi="Times New Roman"/>
          <w:sz w:val="24"/>
          <w:szCs w:val="24"/>
        </w:rPr>
        <w:t>Skiriamas sveikatos apsaugos ministro nustatyta tvarka suaugusiems pacientams, sergantiems vidutinio sunkumo ir sunkiu aktyviu opiniu kolitu, kuriems buvo nepakankamas atsakas į įprastą gydymą̨ arba gydymą biologiniais vaistais, dingęs atsakas ar jie tokio gydymo netoleravo, arba jiems yra medicininių kontraindikacijų tokiam gydymui.</w:t>
      </w:r>
    </w:p>
    <w:p w14:paraId="542B90E0" w14:textId="77777777" w:rsidR="00481312" w:rsidRDefault="00481312" w:rsidP="00DE2F62">
      <w:pPr>
        <w:pStyle w:val="NoSpacing"/>
        <w:spacing w:line="276" w:lineRule="auto"/>
        <w:jc w:val="both"/>
        <w:rPr>
          <w:rFonts w:ascii="Times New Roman" w:hAnsi="Times New Roman"/>
          <w:sz w:val="24"/>
          <w:szCs w:val="24"/>
        </w:rPr>
      </w:pPr>
    </w:p>
    <w:p w14:paraId="0E67CDFB" w14:textId="3220903C" w:rsidR="00481312" w:rsidRPr="00414817" w:rsidRDefault="00481312" w:rsidP="00DE2F62">
      <w:pPr>
        <w:pStyle w:val="NoSpacing"/>
        <w:spacing w:line="276" w:lineRule="auto"/>
        <w:jc w:val="both"/>
        <w:rPr>
          <w:rFonts w:ascii="Times New Roman" w:hAnsi="Times New Roman"/>
          <w:b/>
          <w:bCs/>
          <w:sz w:val="24"/>
          <w:szCs w:val="24"/>
        </w:rPr>
      </w:pPr>
      <w:r w:rsidRPr="00414817">
        <w:rPr>
          <w:rFonts w:ascii="Times New Roman" w:hAnsi="Times New Roman"/>
          <w:b/>
          <w:bCs/>
          <w:sz w:val="24"/>
          <w:szCs w:val="24"/>
        </w:rPr>
        <w:t>Pastaba</w:t>
      </w:r>
    </w:p>
    <w:p w14:paraId="05EAE960" w14:textId="5461688B" w:rsidR="00481312" w:rsidRPr="00414817" w:rsidRDefault="00481312" w:rsidP="00DE2F62">
      <w:pPr>
        <w:pStyle w:val="NoSpacing"/>
        <w:spacing w:line="276" w:lineRule="auto"/>
        <w:jc w:val="both"/>
        <w:rPr>
          <w:rFonts w:ascii="Times New Roman" w:hAnsi="Times New Roman"/>
          <w:sz w:val="24"/>
          <w:szCs w:val="24"/>
        </w:rPr>
      </w:pPr>
      <w:r w:rsidRPr="00414817">
        <w:rPr>
          <w:rFonts w:ascii="Times New Roman" w:hAnsi="Times New Roman"/>
          <w:sz w:val="24"/>
          <w:szCs w:val="24"/>
        </w:rPr>
        <w:t xml:space="preserve">Priėmus sprendimą kompensuoti paraiškoje teikiamą vaistinį preparatą kompensuoti pagal teikiamas </w:t>
      </w:r>
      <w:r w:rsidR="00B516A8" w:rsidRPr="00414817">
        <w:rPr>
          <w:rFonts w:ascii="Times New Roman" w:hAnsi="Times New Roman"/>
          <w:sz w:val="24"/>
          <w:szCs w:val="24"/>
        </w:rPr>
        <w:t xml:space="preserve">terapines indikacijas ir skyrimo sąlygas, būtina atnaujinti Lietuvos </w:t>
      </w:r>
      <w:r w:rsidR="00AD7ECB">
        <w:rPr>
          <w:rFonts w:ascii="Times New Roman" w:hAnsi="Times New Roman"/>
          <w:sz w:val="24"/>
          <w:szCs w:val="24"/>
        </w:rPr>
        <w:t>R</w:t>
      </w:r>
      <w:r w:rsidR="00B516A8" w:rsidRPr="00414817">
        <w:rPr>
          <w:rFonts w:ascii="Times New Roman" w:hAnsi="Times New Roman"/>
          <w:sz w:val="24"/>
          <w:szCs w:val="24"/>
        </w:rPr>
        <w:t>espublikos sveikatos apsaugos ministro 2018-02-12 įsakymu</w:t>
      </w:r>
      <w:r w:rsidR="00B516A8" w:rsidRPr="00414817">
        <w:rPr>
          <w:rFonts w:ascii="Times New Roman" w:eastAsia="Times New Roman" w:hAnsi="Times New Roman"/>
          <w:b/>
          <w:bCs/>
          <w:color w:val="000000"/>
          <w:sz w:val="24"/>
          <w:szCs w:val="24"/>
        </w:rPr>
        <w:t xml:space="preserve"> </w:t>
      </w:r>
      <w:r w:rsidR="00B516A8" w:rsidRPr="00414817">
        <w:rPr>
          <w:rFonts w:ascii="Times New Roman" w:eastAsia="Times New Roman" w:hAnsi="Times New Roman"/>
          <w:color w:val="000000"/>
          <w:sz w:val="24"/>
          <w:szCs w:val="24"/>
        </w:rPr>
        <w:t>„</w:t>
      </w:r>
      <w:r w:rsidR="00B516A8" w:rsidRPr="00414817">
        <w:rPr>
          <w:rFonts w:ascii="Times New Roman" w:hAnsi="Times New Roman"/>
          <w:sz w:val="24"/>
          <w:szCs w:val="24"/>
        </w:rPr>
        <w:t>Dėl opinio kolito diagnostikos ir gydymo vaistais, kurių įsigijimo išlaidos apmokamos privalomojo sveikatos draudimo fondo biudžeto lėšomis, tvarkos aprašo patvirtinimo“ Nr. V-159</w:t>
      </w:r>
      <w:r w:rsidR="00B516A8" w:rsidRPr="00414817">
        <w:rPr>
          <w:rFonts w:ascii="Times New Roman" w:hAnsi="Times New Roman"/>
          <w:b/>
          <w:bCs/>
          <w:sz w:val="24"/>
          <w:szCs w:val="24"/>
        </w:rPr>
        <w:t xml:space="preserve"> </w:t>
      </w:r>
      <w:r w:rsidR="00B516A8" w:rsidRPr="00414817">
        <w:rPr>
          <w:rFonts w:ascii="Times New Roman" w:hAnsi="Times New Roman"/>
          <w:sz w:val="24"/>
          <w:szCs w:val="24"/>
        </w:rPr>
        <w:t>patvirtintą opinio kolito gydymo aprašą.</w:t>
      </w:r>
    </w:p>
    <w:p w14:paraId="33B8DE04" w14:textId="77777777" w:rsidR="00283E59" w:rsidRPr="00A44048" w:rsidRDefault="00283E59" w:rsidP="00283E59">
      <w:pPr>
        <w:widowControl w:val="0"/>
        <w:tabs>
          <w:tab w:val="left" w:pos="1418"/>
        </w:tabs>
        <w:suppressAutoHyphens/>
        <w:spacing w:line="360" w:lineRule="atLeast"/>
        <w:jc w:val="center"/>
        <w:textAlignment w:val="center"/>
      </w:pPr>
      <w:r w:rsidRPr="00414817">
        <w:rPr>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96B5" w14:textId="77777777" w:rsidR="00B67053" w:rsidRDefault="00B67053">
      <w:r>
        <w:separator/>
      </w:r>
    </w:p>
  </w:endnote>
  <w:endnote w:type="continuationSeparator" w:id="0">
    <w:p w14:paraId="1E572CED" w14:textId="77777777" w:rsidR="00B67053" w:rsidRDefault="00B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D0DA" w14:textId="77777777" w:rsidR="00B67053" w:rsidRDefault="00B67053">
      <w:r>
        <w:separator/>
      </w:r>
    </w:p>
  </w:footnote>
  <w:footnote w:type="continuationSeparator" w:id="0">
    <w:p w14:paraId="2C42F796" w14:textId="77777777" w:rsidR="00B67053" w:rsidRDefault="00B6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6B6F37"/>
    <w:multiLevelType w:val="hybridMultilevel"/>
    <w:tmpl w:val="28C0B01C"/>
    <w:lvl w:ilvl="0" w:tplc="4D1ED000">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414286">
    <w:abstractNumId w:val="8"/>
  </w:num>
  <w:num w:numId="2" w16cid:durableId="974027046">
    <w:abstractNumId w:val="2"/>
  </w:num>
  <w:num w:numId="3" w16cid:durableId="1473519277">
    <w:abstractNumId w:val="10"/>
  </w:num>
  <w:num w:numId="4" w16cid:durableId="1218511638">
    <w:abstractNumId w:val="9"/>
  </w:num>
  <w:num w:numId="5" w16cid:durableId="2118865422">
    <w:abstractNumId w:val="7"/>
  </w:num>
  <w:num w:numId="6" w16cid:durableId="1017005859">
    <w:abstractNumId w:val="6"/>
  </w:num>
  <w:num w:numId="7" w16cid:durableId="1576932398">
    <w:abstractNumId w:val="4"/>
  </w:num>
  <w:num w:numId="8" w16cid:durableId="369696263">
    <w:abstractNumId w:val="14"/>
  </w:num>
  <w:num w:numId="9" w16cid:durableId="2062628832">
    <w:abstractNumId w:val="0"/>
  </w:num>
  <w:num w:numId="10" w16cid:durableId="1030688407">
    <w:abstractNumId w:val="11"/>
  </w:num>
  <w:num w:numId="11" w16cid:durableId="592932888">
    <w:abstractNumId w:val="12"/>
  </w:num>
  <w:num w:numId="12" w16cid:durableId="887575004">
    <w:abstractNumId w:val="3"/>
  </w:num>
  <w:num w:numId="13" w16cid:durableId="675310411">
    <w:abstractNumId w:val="5"/>
  </w:num>
  <w:num w:numId="14" w16cid:durableId="1590772021">
    <w:abstractNumId w:val="1"/>
  </w:num>
  <w:num w:numId="15" w16cid:durableId="183880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0E1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C6793"/>
    <w:rsid w:val="000D05F1"/>
    <w:rsid w:val="000D0E95"/>
    <w:rsid w:val="000D5038"/>
    <w:rsid w:val="000E29D4"/>
    <w:rsid w:val="000F3540"/>
    <w:rsid w:val="00100491"/>
    <w:rsid w:val="00104E2E"/>
    <w:rsid w:val="00107287"/>
    <w:rsid w:val="00117194"/>
    <w:rsid w:val="00117406"/>
    <w:rsid w:val="00121EF0"/>
    <w:rsid w:val="00124A9E"/>
    <w:rsid w:val="0012653C"/>
    <w:rsid w:val="00130703"/>
    <w:rsid w:val="0013153F"/>
    <w:rsid w:val="001408B8"/>
    <w:rsid w:val="001466FE"/>
    <w:rsid w:val="001517E2"/>
    <w:rsid w:val="001521D9"/>
    <w:rsid w:val="001554E2"/>
    <w:rsid w:val="00164146"/>
    <w:rsid w:val="00164D64"/>
    <w:rsid w:val="001668AB"/>
    <w:rsid w:val="0017369C"/>
    <w:rsid w:val="00175D57"/>
    <w:rsid w:val="00180C39"/>
    <w:rsid w:val="00180D96"/>
    <w:rsid w:val="00184BD3"/>
    <w:rsid w:val="001921F3"/>
    <w:rsid w:val="001A0CAA"/>
    <w:rsid w:val="001B3C5B"/>
    <w:rsid w:val="001C2FC8"/>
    <w:rsid w:val="001C6353"/>
    <w:rsid w:val="001D4585"/>
    <w:rsid w:val="001D5B91"/>
    <w:rsid w:val="001D746F"/>
    <w:rsid w:val="001E0B2D"/>
    <w:rsid w:val="001E4BBB"/>
    <w:rsid w:val="001E6304"/>
    <w:rsid w:val="001F115E"/>
    <w:rsid w:val="0020381E"/>
    <w:rsid w:val="00213471"/>
    <w:rsid w:val="00215906"/>
    <w:rsid w:val="00216D5C"/>
    <w:rsid w:val="00241CD8"/>
    <w:rsid w:val="00244B09"/>
    <w:rsid w:val="002519CB"/>
    <w:rsid w:val="0025697F"/>
    <w:rsid w:val="00260258"/>
    <w:rsid w:val="0026588E"/>
    <w:rsid w:val="00272428"/>
    <w:rsid w:val="00272948"/>
    <w:rsid w:val="00283E59"/>
    <w:rsid w:val="00284A47"/>
    <w:rsid w:val="00292392"/>
    <w:rsid w:val="002946C7"/>
    <w:rsid w:val="002A39F5"/>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2F2691"/>
    <w:rsid w:val="002F6520"/>
    <w:rsid w:val="002F7929"/>
    <w:rsid w:val="00307B4B"/>
    <w:rsid w:val="00314816"/>
    <w:rsid w:val="00317B0E"/>
    <w:rsid w:val="00336238"/>
    <w:rsid w:val="0034459D"/>
    <w:rsid w:val="00347FAA"/>
    <w:rsid w:val="0035172D"/>
    <w:rsid w:val="0036187D"/>
    <w:rsid w:val="00367EDB"/>
    <w:rsid w:val="003705F0"/>
    <w:rsid w:val="00381024"/>
    <w:rsid w:val="00386307"/>
    <w:rsid w:val="003874DE"/>
    <w:rsid w:val="00393E9F"/>
    <w:rsid w:val="0039696E"/>
    <w:rsid w:val="003A7443"/>
    <w:rsid w:val="003B211A"/>
    <w:rsid w:val="003C141F"/>
    <w:rsid w:val="003C6B0E"/>
    <w:rsid w:val="003C7257"/>
    <w:rsid w:val="003C7E35"/>
    <w:rsid w:val="003D1E99"/>
    <w:rsid w:val="003D6208"/>
    <w:rsid w:val="003E38ED"/>
    <w:rsid w:val="00404E8A"/>
    <w:rsid w:val="0040622F"/>
    <w:rsid w:val="00413F24"/>
    <w:rsid w:val="00414817"/>
    <w:rsid w:val="00421559"/>
    <w:rsid w:val="00422853"/>
    <w:rsid w:val="00423160"/>
    <w:rsid w:val="00437623"/>
    <w:rsid w:val="00444A2B"/>
    <w:rsid w:val="004470DA"/>
    <w:rsid w:val="00453862"/>
    <w:rsid w:val="0045469B"/>
    <w:rsid w:val="00461338"/>
    <w:rsid w:val="00461BD9"/>
    <w:rsid w:val="004677DB"/>
    <w:rsid w:val="00476256"/>
    <w:rsid w:val="00481312"/>
    <w:rsid w:val="0048630F"/>
    <w:rsid w:val="00486F17"/>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16649"/>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66FF"/>
    <w:rsid w:val="005976CE"/>
    <w:rsid w:val="005A23D4"/>
    <w:rsid w:val="005A2D1E"/>
    <w:rsid w:val="005A4698"/>
    <w:rsid w:val="005B3756"/>
    <w:rsid w:val="005C0D18"/>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33E83"/>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D3347"/>
    <w:rsid w:val="007D654E"/>
    <w:rsid w:val="007E5466"/>
    <w:rsid w:val="007E70CB"/>
    <w:rsid w:val="007F1949"/>
    <w:rsid w:val="007F2592"/>
    <w:rsid w:val="00800A08"/>
    <w:rsid w:val="00817A84"/>
    <w:rsid w:val="008225A4"/>
    <w:rsid w:val="00824B92"/>
    <w:rsid w:val="00826D5E"/>
    <w:rsid w:val="00832013"/>
    <w:rsid w:val="00832DB7"/>
    <w:rsid w:val="00834732"/>
    <w:rsid w:val="008402E7"/>
    <w:rsid w:val="0085200C"/>
    <w:rsid w:val="00852837"/>
    <w:rsid w:val="00857C52"/>
    <w:rsid w:val="00860D5F"/>
    <w:rsid w:val="0087188A"/>
    <w:rsid w:val="00880A44"/>
    <w:rsid w:val="0088345E"/>
    <w:rsid w:val="0088656F"/>
    <w:rsid w:val="00886835"/>
    <w:rsid w:val="008875BC"/>
    <w:rsid w:val="00891EF6"/>
    <w:rsid w:val="00892FF4"/>
    <w:rsid w:val="0089345A"/>
    <w:rsid w:val="008A0303"/>
    <w:rsid w:val="008A0DAB"/>
    <w:rsid w:val="008A5FDD"/>
    <w:rsid w:val="008C3947"/>
    <w:rsid w:val="008E473B"/>
    <w:rsid w:val="008E51A6"/>
    <w:rsid w:val="008E7329"/>
    <w:rsid w:val="008F2ED5"/>
    <w:rsid w:val="0092297E"/>
    <w:rsid w:val="00923292"/>
    <w:rsid w:val="00923651"/>
    <w:rsid w:val="00924DF7"/>
    <w:rsid w:val="00927B56"/>
    <w:rsid w:val="009341BF"/>
    <w:rsid w:val="00937907"/>
    <w:rsid w:val="00941739"/>
    <w:rsid w:val="009421DD"/>
    <w:rsid w:val="00951573"/>
    <w:rsid w:val="00963003"/>
    <w:rsid w:val="00965919"/>
    <w:rsid w:val="00966EEF"/>
    <w:rsid w:val="00971B28"/>
    <w:rsid w:val="00983471"/>
    <w:rsid w:val="009909AB"/>
    <w:rsid w:val="009926B6"/>
    <w:rsid w:val="009B37DB"/>
    <w:rsid w:val="009C7A8C"/>
    <w:rsid w:val="009D0D2B"/>
    <w:rsid w:val="009D23F9"/>
    <w:rsid w:val="009D4FA8"/>
    <w:rsid w:val="009E44AE"/>
    <w:rsid w:val="009E6CD6"/>
    <w:rsid w:val="009F4D66"/>
    <w:rsid w:val="00A00C3C"/>
    <w:rsid w:val="00A01091"/>
    <w:rsid w:val="00A042B9"/>
    <w:rsid w:val="00A06DBB"/>
    <w:rsid w:val="00A22ADF"/>
    <w:rsid w:val="00A2310D"/>
    <w:rsid w:val="00A254A2"/>
    <w:rsid w:val="00A31E86"/>
    <w:rsid w:val="00A44048"/>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D4834"/>
    <w:rsid w:val="00AD7ECB"/>
    <w:rsid w:val="00AE0FE8"/>
    <w:rsid w:val="00AF60D5"/>
    <w:rsid w:val="00B00959"/>
    <w:rsid w:val="00B04415"/>
    <w:rsid w:val="00B06509"/>
    <w:rsid w:val="00B06C52"/>
    <w:rsid w:val="00B11D60"/>
    <w:rsid w:val="00B13D65"/>
    <w:rsid w:val="00B21805"/>
    <w:rsid w:val="00B3072E"/>
    <w:rsid w:val="00B36E15"/>
    <w:rsid w:val="00B37245"/>
    <w:rsid w:val="00B4017A"/>
    <w:rsid w:val="00B4468D"/>
    <w:rsid w:val="00B516A8"/>
    <w:rsid w:val="00B67053"/>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C6961"/>
    <w:rsid w:val="00BD05E1"/>
    <w:rsid w:val="00BD585E"/>
    <w:rsid w:val="00BD6919"/>
    <w:rsid w:val="00BE1EA7"/>
    <w:rsid w:val="00BE7489"/>
    <w:rsid w:val="00BF2E0D"/>
    <w:rsid w:val="00BF3927"/>
    <w:rsid w:val="00BF3F8B"/>
    <w:rsid w:val="00BF76DA"/>
    <w:rsid w:val="00C00CDB"/>
    <w:rsid w:val="00C07A59"/>
    <w:rsid w:val="00C07C7B"/>
    <w:rsid w:val="00C16245"/>
    <w:rsid w:val="00C22DC5"/>
    <w:rsid w:val="00C24479"/>
    <w:rsid w:val="00C273F2"/>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147"/>
    <w:rsid w:val="00D23808"/>
    <w:rsid w:val="00D3016A"/>
    <w:rsid w:val="00D31B93"/>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2F62"/>
    <w:rsid w:val="00DE4484"/>
    <w:rsid w:val="00DF41B7"/>
    <w:rsid w:val="00DF4A4A"/>
    <w:rsid w:val="00DF583C"/>
    <w:rsid w:val="00DF6BA6"/>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A29BB"/>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23FF"/>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Dossier table,Section 3- footnotes,Summary box"/>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1,Bullet1,List Paragraph CCT minutes,Bullet List,Section 5,Bullets Points,1. Bullet Blank,Bulleted - 2,Dairy Paragraphe,Table Header Row,Bullet Paragraph,Bullet Point,Table Legend,Use Case List Paragraph,List Paragraph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 1 Char,Bullet1 Char,List Paragraph CCT minutes Char,Bullet List Char,Section 5 Char,Bullets Points Char,1. Bullet Blank Char,Bulleted - 2 Char,Dairy Paragraphe Char,Table Header Row Char,Bullet Paragraph Char,Bullet Point Char"/>
    <w:link w:val="ListParagraph"/>
    <w:uiPriority w:val="34"/>
    <w:locked/>
    <w:rsid w:val="0012653C"/>
    <w:rPr>
      <w:sz w:val="24"/>
      <w:szCs w:val="24"/>
      <w:lang w:eastAsia="en-US"/>
    </w:rPr>
  </w:style>
  <w:style w:type="paragraph" w:customStyle="1" w:styleId="Tekstas">
    <w:name w:val="Tekstas"/>
    <w:basedOn w:val="Normal"/>
    <w:link w:val="TekstasChar"/>
    <w:qFormat/>
    <w:rsid w:val="00AD4834"/>
    <w:pPr>
      <w:spacing w:after="120"/>
      <w:jc w:val="both"/>
    </w:pPr>
    <w:rPr>
      <w:color w:val="000000" w:themeColor="text1"/>
      <w:lang w:val="en-US"/>
    </w:rPr>
  </w:style>
  <w:style w:type="character" w:customStyle="1" w:styleId="TekstasChar">
    <w:name w:val="Tekstas Char"/>
    <w:link w:val="Tekstas"/>
    <w:rsid w:val="00AD4834"/>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9030180744FE0B3D679E71F835902"/>
        <w:category>
          <w:name w:val="General"/>
          <w:gallery w:val="placeholder"/>
        </w:category>
        <w:types>
          <w:type w:val="bbPlcHdr"/>
        </w:types>
        <w:behaviors>
          <w:behavior w:val="content"/>
        </w:behaviors>
        <w:guid w:val="{C036638D-EEFE-4D06-9D0E-ACA2ABF63ED4}"/>
      </w:docPartPr>
      <w:docPartBody>
        <w:p w:rsidR="00100CFC" w:rsidRDefault="006D40A2" w:rsidP="006D40A2">
          <w:pPr>
            <w:pStyle w:val="C9F9030180744FE0B3D679E71F835902"/>
          </w:pPr>
          <w:r>
            <w:rPr>
              <w:rStyle w:val="PlaceholderText"/>
            </w:rPr>
            <w:t>Click here to enter a date.</w:t>
          </w:r>
        </w:p>
      </w:docPartBody>
    </w:docPart>
    <w:docPart>
      <w:docPartPr>
        <w:name w:val="6C9752C6CBD84186BBCEF4F37C82054C"/>
        <w:category>
          <w:name w:val="General"/>
          <w:gallery w:val="placeholder"/>
        </w:category>
        <w:types>
          <w:type w:val="bbPlcHdr"/>
        </w:types>
        <w:behaviors>
          <w:behavior w:val="content"/>
        </w:behaviors>
        <w:guid w:val="{212B5DF8-B1CF-488D-BDFA-28A50FAC2E23}"/>
      </w:docPartPr>
      <w:docPartBody>
        <w:p w:rsidR="00100CFC" w:rsidRDefault="006D40A2" w:rsidP="006D40A2">
          <w:pPr>
            <w:pStyle w:val="6C9752C6CBD84186BBCEF4F37C82054C"/>
          </w:pPr>
          <w:r>
            <w:rPr>
              <w:rStyle w:val="PlaceholderText"/>
            </w:rPr>
            <w:t>Click here to enter a date.</w:t>
          </w:r>
        </w:p>
      </w:docPartBody>
    </w:docPart>
    <w:docPart>
      <w:docPartPr>
        <w:name w:val="7B64D2ED249F4609A00DCDF98F89AA06"/>
        <w:category>
          <w:name w:val="General"/>
          <w:gallery w:val="placeholder"/>
        </w:category>
        <w:types>
          <w:type w:val="bbPlcHdr"/>
        </w:types>
        <w:behaviors>
          <w:behavior w:val="content"/>
        </w:behaviors>
        <w:guid w:val="{BD346829-B19F-4613-8B91-7CD4512D5505}"/>
      </w:docPartPr>
      <w:docPartBody>
        <w:p w:rsidR="00100CFC" w:rsidRDefault="00100CFC" w:rsidP="00100CFC">
          <w:pPr>
            <w:pStyle w:val="7B64D2ED249F4609A00DCDF98F89AA0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00CFC"/>
    <w:rsid w:val="0014006D"/>
    <w:rsid w:val="00191511"/>
    <w:rsid w:val="001C35A9"/>
    <w:rsid w:val="001D4585"/>
    <w:rsid w:val="001E6054"/>
    <w:rsid w:val="00237556"/>
    <w:rsid w:val="002A39F5"/>
    <w:rsid w:val="002C0686"/>
    <w:rsid w:val="00312706"/>
    <w:rsid w:val="0039303B"/>
    <w:rsid w:val="003A7443"/>
    <w:rsid w:val="004144A3"/>
    <w:rsid w:val="004160E7"/>
    <w:rsid w:val="004416C6"/>
    <w:rsid w:val="00456E96"/>
    <w:rsid w:val="004C6221"/>
    <w:rsid w:val="004D038D"/>
    <w:rsid w:val="004F4E20"/>
    <w:rsid w:val="004F5AB2"/>
    <w:rsid w:val="005074B9"/>
    <w:rsid w:val="00563A5F"/>
    <w:rsid w:val="005966FF"/>
    <w:rsid w:val="005C0D18"/>
    <w:rsid w:val="005C62E5"/>
    <w:rsid w:val="005E40DD"/>
    <w:rsid w:val="00601F4E"/>
    <w:rsid w:val="006D40A2"/>
    <w:rsid w:val="006E6A2C"/>
    <w:rsid w:val="007219C1"/>
    <w:rsid w:val="00745C63"/>
    <w:rsid w:val="00753462"/>
    <w:rsid w:val="00772325"/>
    <w:rsid w:val="007A2FE0"/>
    <w:rsid w:val="007C6D1D"/>
    <w:rsid w:val="007D654E"/>
    <w:rsid w:val="008402E7"/>
    <w:rsid w:val="00886835"/>
    <w:rsid w:val="00892FF4"/>
    <w:rsid w:val="008C0DC0"/>
    <w:rsid w:val="0090074D"/>
    <w:rsid w:val="00901A35"/>
    <w:rsid w:val="00940CD5"/>
    <w:rsid w:val="009926B6"/>
    <w:rsid w:val="009B3BF0"/>
    <w:rsid w:val="009D0D2B"/>
    <w:rsid w:val="009D5E5E"/>
    <w:rsid w:val="009F1BB4"/>
    <w:rsid w:val="00A20D39"/>
    <w:rsid w:val="00A254A2"/>
    <w:rsid w:val="00A82A76"/>
    <w:rsid w:val="00AB2D54"/>
    <w:rsid w:val="00AB6ED4"/>
    <w:rsid w:val="00B14210"/>
    <w:rsid w:val="00B22ED6"/>
    <w:rsid w:val="00B23DC0"/>
    <w:rsid w:val="00B71F04"/>
    <w:rsid w:val="00B96656"/>
    <w:rsid w:val="00BA0A8E"/>
    <w:rsid w:val="00BE3364"/>
    <w:rsid w:val="00C2401D"/>
    <w:rsid w:val="00C250D7"/>
    <w:rsid w:val="00C53A68"/>
    <w:rsid w:val="00C66578"/>
    <w:rsid w:val="00C67233"/>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004F6"/>
    <w:rsid w:val="00E259C7"/>
    <w:rsid w:val="00E44A86"/>
    <w:rsid w:val="00E522EB"/>
    <w:rsid w:val="00E60827"/>
    <w:rsid w:val="00EA29BB"/>
    <w:rsid w:val="00EF6E0C"/>
    <w:rsid w:val="00F14477"/>
    <w:rsid w:val="00F370E5"/>
    <w:rsid w:val="00F42351"/>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0CFC"/>
    <w:rPr>
      <w:color w:val="808080"/>
    </w:rPr>
  </w:style>
  <w:style w:type="paragraph" w:customStyle="1" w:styleId="7B64D2ED249F4609A00DCDF98F89AA06">
    <w:name w:val="7B64D2ED249F4609A00DCDF98F89AA06"/>
    <w:rsid w:val="00100CFC"/>
    <w:pPr>
      <w:spacing w:line="278" w:lineRule="auto"/>
    </w:pPr>
    <w:rPr>
      <w:kern w:val="2"/>
      <w:sz w:val="24"/>
      <w:szCs w:val="24"/>
      <w14:ligatures w14:val="standardContextual"/>
    </w:rPr>
  </w:style>
  <w:style w:type="paragraph" w:customStyle="1" w:styleId="C9F9030180744FE0B3D679E71F835902">
    <w:name w:val="C9F9030180744FE0B3D679E71F835902"/>
    <w:rsid w:val="006D40A2"/>
    <w:pPr>
      <w:spacing w:line="278" w:lineRule="auto"/>
    </w:pPr>
    <w:rPr>
      <w:kern w:val="2"/>
      <w:sz w:val="24"/>
      <w:szCs w:val="24"/>
      <w14:ligatures w14:val="standardContextual"/>
    </w:rPr>
  </w:style>
  <w:style w:type="paragraph" w:customStyle="1" w:styleId="6C9752C6CBD84186BBCEF4F37C82054C">
    <w:name w:val="6C9752C6CBD84186BBCEF4F37C82054C"/>
    <w:rsid w:val="006D40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DE5F-173E-413F-B8E5-EC1962BF46A1}">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10638</Characters>
  <Application>Microsoft Office Word</Application>
  <DocSecurity>4</DocSecurity>
  <Lines>251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2026-04-23T10:26:00Z</dcterms:created>
  <dcterms:modified xsi:type="dcterms:W3CDTF">2026-04-23T10:26:00Z</dcterms:modified>
</cp:coreProperties>
</file>