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334F18" w:rsidRDefault="005F7602" w:rsidP="002946C7">
      <w:pPr>
        <w:ind w:left="5529"/>
      </w:pPr>
    </w:p>
    <w:p w14:paraId="12FA4B9E" w14:textId="39AA3336" w:rsidR="001B3C5B" w:rsidRPr="00334F18" w:rsidRDefault="00DC261A" w:rsidP="001B3C5B">
      <w:pPr>
        <w:ind w:left="6096"/>
      </w:pPr>
      <w:bookmarkStart w:id="0" w:name="_Hlk189565243"/>
      <w:r w:rsidRPr="00334F18">
        <w:t>PATVIRTINTA</w:t>
      </w:r>
    </w:p>
    <w:p w14:paraId="7206970B" w14:textId="70E9BD2E" w:rsidR="004C263A" w:rsidRPr="00334F18" w:rsidRDefault="001B3C5B" w:rsidP="001B3C5B">
      <w:pPr>
        <w:ind w:left="6096"/>
      </w:pPr>
      <w:r w:rsidRPr="00334F18">
        <w:t>Valstybinės vaistų kontrolės tarnybos prie Lietuvos Respublikos sveikatos apsaugos ministerijos viršininko 2021 m</w:t>
      </w:r>
      <w:r w:rsidR="004C263A" w:rsidRPr="00334F18">
        <w:t xml:space="preserve">. lapkričio 12 </w:t>
      </w:r>
      <w:r w:rsidRPr="00334F18">
        <w:t>d. įsakymu Nr.</w:t>
      </w:r>
      <w:r w:rsidR="004C263A" w:rsidRPr="00334F18">
        <w:t xml:space="preserve"> (1.72E)1A-1418</w:t>
      </w:r>
    </w:p>
    <w:p w14:paraId="1C168261" w14:textId="140CD86D" w:rsidR="00DC261A" w:rsidRPr="00334F18" w:rsidRDefault="004C263A" w:rsidP="00CF63CB">
      <w:pPr>
        <w:ind w:left="6096"/>
        <w:rPr>
          <w:b/>
          <w:bCs/>
        </w:rPr>
      </w:pPr>
      <w:r w:rsidRPr="00334F18">
        <w:t xml:space="preserve">(Valstybinės vaistų kontrolės tarnybos prie Lietuvos Respublikos sveikatos apsaugos ministerijos </w:t>
      </w:r>
      <w:bookmarkStart w:id="1" w:name="_Hlk189565260"/>
      <w:bookmarkEnd w:id="0"/>
    </w:p>
    <w:bookmarkEnd w:id="1"/>
    <w:p w14:paraId="56604434" w14:textId="77777777" w:rsidR="00DC261A" w:rsidRPr="00334F18" w:rsidRDefault="00DC261A" w:rsidP="003B211A">
      <w:pPr>
        <w:jc w:val="center"/>
        <w:rPr>
          <w:b/>
        </w:rPr>
      </w:pPr>
    </w:p>
    <w:p w14:paraId="77AFB67E" w14:textId="0FB133A2" w:rsidR="00613501" w:rsidRPr="00334F18" w:rsidRDefault="002F0E4F" w:rsidP="003B211A">
      <w:pPr>
        <w:jc w:val="center"/>
        <w:rPr>
          <w:b/>
          <w:bCs/>
          <w:caps/>
        </w:rPr>
      </w:pPr>
      <w:r w:rsidRPr="00334F18">
        <w:rPr>
          <w:b/>
        </w:rPr>
        <w:t xml:space="preserve">REKOMENDACIJA DĖL VAISTINIO PREPARATO </w:t>
      </w:r>
      <w:r w:rsidRPr="00334F18">
        <w:rPr>
          <w:b/>
          <w:bCs/>
          <w:caps/>
        </w:rPr>
        <w:t>Lietuvos Respublikos Sveikatos apsaugos ministerijos vaistinių preparatų ir medicinos pagalbos priemonių kompensavimo komisijai</w:t>
      </w:r>
    </w:p>
    <w:p w14:paraId="34E4395D" w14:textId="15FB10DF" w:rsidR="00B13D65" w:rsidRPr="00334F18" w:rsidRDefault="00B13D65" w:rsidP="003B211A">
      <w:pPr>
        <w:jc w:val="center"/>
        <w:rPr>
          <w:b/>
        </w:rPr>
      </w:pPr>
    </w:p>
    <w:p w14:paraId="656DA343" w14:textId="77777777" w:rsidR="00CF63CB" w:rsidRPr="00480303" w:rsidRDefault="00CF63CB" w:rsidP="00CF63CB">
      <w:pPr>
        <w:jc w:val="center"/>
        <w:rPr>
          <w:b/>
        </w:rPr>
      </w:pPr>
      <w:r w:rsidRPr="00480303">
        <w:rPr>
          <w:b/>
        </w:rPr>
        <w:t>Tremfya 200 mg koncentratas infuziniam tirpalui</w:t>
      </w:r>
    </w:p>
    <w:p w14:paraId="3A1D3F38" w14:textId="77777777" w:rsidR="00CF63CB" w:rsidRPr="00480303" w:rsidRDefault="00CF63CB" w:rsidP="00CF63CB">
      <w:pPr>
        <w:jc w:val="center"/>
        <w:rPr>
          <w:b/>
        </w:rPr>
      </w:pPr>
      <w:r w:rsidRPr="00480303">
        <w:rPr>
          <w:b/>
        </w:rPr>
        <w:t>Tremfya</w:t>
      </w:r>
      <w:r w:rsidRPr="00480303">
        <w:rPr>
          <w:rFonts w:eastAsia="Arial"/>
          <w:b/>
        </w:rPr>
        <w:t xml:space="preserve"> </w:t>
      </w:r>
      <w:r w:rsidRPr="00480303">
        <w:rPr>
          <w:b/>
        </w:rPr>
        <w:t xml:space="preserve">100 mg injekcinis tirpalas užpildytame švirkštiklyje </w:t>
      </w:r>
    </w:p>
    <w:p w14:paraId="0F0F272E" w14:textId="77777777" w:rsidR="00CF63CB" w:rsidRPr="00480303" w:rsidRDefault="00CF63CB" w:rsidP="00CF63CB">
      <w:pPr>
        <w:jc w:val="center"/>
        <w:rPr>
          <w:b/>
        </w:rPr>
      </w:pPr>
      <w:r w:rsidRPr="00480303">
        <w:rPr>
          <w:b/>
        </w:rPr>
        <w:t>Tremfya</w:t>
      </w:r>
      <w:r w:rsidRPr="00480303">
        <w:rPr>
          <w:rFonts w:eastAsia="Arial"/>
          <w:b/>
        </w:rPr>
        <w:t xml:space="preserve"> </w:t>
      </w:r>
      <w:r w:rsidRPr="00480303">
        <w:rPr>
          <w:b/>
        </w:rPr>
        <w:t xml:space="preserve">200 mg injekcinis tirpalas užpildytame švirkštiklyje </w:t>
      </w:r>
    </w:p>
    <w:p w14:paraId="68DE53C8" w14:textId="77777777" w:rsidR="00DD4AD8" w:rsidRPr="00CA1872" w:rsidRDefault="00DD4AD8" w:rsidP="00DD4AD8">
      <w:pPr>
        <w:jc w:val="center"/>
        <w:rPr>
          <w:b/>
        </w:rPr>
      </w:pPr>
    </w:p>
    <w:p w14:paraId="34411F43" w14:textId="77777777" w:rsidR="00DD4AD8" w:rsidRDefault="00DD4AD8" w:rsidP="00DD4AD8">
      <w:pPr>
        <w:jc w:val="center"/>
        <w:rPr>
          <w:b/>
        </w:rPr>
      </w:pPr>
      <w:r w:rsidRPr="00A00F6C">
        <w:rPr>
          <w:b/>
        </w:rPr>
        <w:t>Guselkumabas</w:t>
      </w:r>
    </w:p>
    <w:p w14:paraId="41590DA1" w14:textId="77777777" w:rsidR="00DD4AD8" w:rsidRPr="009300B3" w:rsidRDefault="00DD4AD8" w:rsidP="00DD4AD8">
      <w:pPr>
        <w:jc w:val="center"/>
      </w:pPr>
    </w:p>
    <w:p w14:paraId="453197C8" w14:textId="77777777" w:rsidR="00D4708D" w:rsidRPr="00334F18" w:rsidRDefault="00D4708D" w:rsidP="003B211A">
      <w:pPr>
        <w:jc w:val="center"/>
        <w:rPr>
          <w:b/>
        </w:rPr>
      </w:pPr>
    </w:p>
    <w:p w14:paraId="78C89D1C" w14:textId="0DEFFAA5" w:rsidR="00D4485B" w:rsidRPr="00334F18" w:rsidRDefault="00B13D65" w:rsidP="00CC09D4">
      <w:pPr>
        <w:pStyle w:val="ListParagraph"/>
        <w:numPr>
          <w:ilvl w:val="0"/>
          <w:numId w:val="12"/>
        </w:numPr>
        <w:tabs>
          <w:tab w:val="left" w:pos="567"/>
        </w:tabs>
        <w:ind w:left="567" w:hanging="567"/>
        <w:rPr>
          <w:b/>
          <w:bCs/>
          <w:caps/>
        </w:rPr>
      </w:pPr>
      <w:r w:rsidRPr="00334F18">
        <w:rPr>
          <w:b/>
          <w:bCs/>
          <w:caps/>
        </w:rPr>
        <w:t>Bendroji dalis</w:t>
      </w:r>
    </w:p>
    <w:p w14:paraId="04A7C7A7" w14:textId="77777777" w:rsidR="00B13D65" w:rsidRPr="00334F18"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899"/>
        <w:gridCol w:w="4962"/>
      </w:tblGrid>
      <w:tr w:rsidR="008E7832" w:rsidRPr="00334F18" w14:paraId="16A7BC7B" w14:textId="77777777" w:rsidTr="003F3FFF">
        <w:trPr>
          <w:trHeight w:val="538"/>
        </w:trPr>
        <w:tc>
          <w:tcPr>
            <w:tcW w:w="632" w:type="dxa"/>
          </w:tcPr>
          <w:p w14:paraId="4572808D" w14:textId="77777777" w:rsidR="008E7832" w:rsidRPr="00334F18" w:rsidRDefault="008E7832" w:rsidP="008E7832">
            <w:pPr>
              <w:rPr>
                <w:rFonts w:eastAsia="Arial"/>
                <w:b/>
                <w:bCs/>
              </w:rPr>
            </w:pPr>
            <w:r w:rsidRPr="00334F18">
              <w:rPr>
                <w:rFonts w:eastAsia="Arial"/>
                <w:b/>
                <w:bCs/>
              </w:rPr>
              <w:t>1.1</w:t>
            </w:r>
          </w:p>
        </w:tc>
        <w:tc>
          <w:tcPr>
            <w:tcW w:w="3899" w:type="dxa"/>
          </w:tcPr>
          <w:p w14:paraId="54BA6EB3" w14:textId="77777777" w:rsidR="008E7832" w:rsidRPr="00334F18" w:rsidRDefault="008E7832" w:rsidP="008E7832">
            <w:pPr>
              <w:rPr>
                <w:rFonts w:eastAsia="Arial"/>
                <w:b/>
                <w:bCs/>
              </w:rPr>
            </w:pPr>
            <w:r w:rsidRPr="00334F18">
              <w:rPr>
                <w:rFonts w:eastAsia="Arial"/>
                <w:b/>
                <w:bCs/>
              </w:rPr>
              <w:t>Pareiškėjas/ pareiškėjo atstovas</w:t>
            </w:r>
          </w:p>
        </w:tc>
        <w:tc>
          <w:tcPr>
            <w:tcW w:w="4962" w:type="dxa"/>
          </w:tcPr>
          <w:p w14:paraId="0F359BD4" w14:textId="0E8F1C36" w:rsidR="008E7832" w:rsidRPr="00334F18" w:rsidRDefault="008E7832" w:rsidP="008E7832">
            <w:pPr>
              <w:rPr>
                <w:rFonts w:eastAsia="Arial"/>
              </w:rPr>
            </w:pPr>
            <w:r w:rsidRPr="004F783C">
              <w:t>UAB „Johnson &amp; Johnson”</w:t>
            </w:r>
          </w:p>
        </w:tc>
      </w:tr>
      <w:tr w:rsidR="008E7832" w:rsidRPr="00334F18" w14:paraId="101EA148" w14:textId="77777777" w:rsidTr="003F3FFF">
        <w:trPr>
          <w:trHeight w:val="538"/>
        </w:trPr>
        <w:tc>
          <w:tcPr>
            <w:tcW w:w="632" w:type="dxa"/>
          </w:tcPr>
          <w:p w14:paraId="3BF67175" w14:textId="77777777" w:rsidR="008E7832" w:rsidRPr="00334F18" w:rsidRDefault="008E7832" w:rsidP="008E7832">
            <w:pPr>
              <w:rPr>
                <w:rFonts w:eastAsia="Arial"/>
                <w:b/>
                <w:bCs/>
              </w:rPr>
            </w:pPr>
            <w:r w:rsidRPr="00334F18">
              <w:rPr>
                <w:rFonts w:eastAsia="Arial"/>
                <w:b/>
                <w:bCs/>
              </w:rPr>
              <w:t>1.2</w:t>
            </w:r>
          </w:p>
        </w:tc>
        <w:tc>
          <w:tcPr>
            <w:tcW w:w="3899" w:type="dxa"/>
          </w:tcPr>
          <w:p w14:paraId="786B66DF" w14:textId="77777777" w:rsidR="008E7832" w:rsidRPr="00334F18" w:rsidRDefault="008E7832" w:rsidP="008E7832">
            <w:pPr>
              <w:rPr>
                <w:b/>
                <w:bCs/>
                <w:lang w:eastAsia="lt-LT"/>
              </w:rPr>
            </w:pPr>
            <w:r w:rsidRPr="00334F18">
              <w:rPr>
                <w:b/>
                <w:bCs/>
                <w:lang w:eastAsia="lt-LT"/>
              </w:rPr>
              <w:t xml:space="preserve">Vaistinio preparato registracijos data </w:t>
            </w:r>
          </w:p>
          <w:p w14:paraId="4B568341" w14:textId="77777777" w:rsidR="008E7832" w:rsidRPr="00334F18" w:rsidRDefault="008E7832" w:rsidP="008E7832">
            <w:pPr>
              <w:rPr>
                <w:b/>
                <w:bCs/>
                <w:lang w:eastAsia="lt-LT"/>
              </w:rPr>
            </w:pPr>
          </w:p>
        </w:tc>
        <w:tc>
          <w:tcPr>
            <w:tcW w:w="4962" w:type="dxa"/>
          </w:tcPr>
          <w:p w14:paraId="50F63366" w14:textId="7FC3BCAA" w:rsidR="008E7832" w:rsidRPr="00334F18" w:rsidRDefault="00C14A26" w:rsidP="008E7832">
            <w:pPr>
              <w:rPr>
                <w:rStyle w:val="Style2"/>
              </w:rPr>
            </w:pPr>
            <w:sdt>
              <w:sdtPr>
                <w:rPr>
                  <w:sz w:val="32"/>
                </w:rPr>
                <w:alias w:val="Nurodykite konkrečią dieną"/>
                <w:tag w:val="Nurodykite pradžios datą"/>
                <w:id w:val="1772196685"/>
                <w:placeholder>
                  <w:docPart w:val="10CC526087EF46FE9DAEAFEA9DF08A4D"/>
                </w:placeholder>
                <w15:color w:val="FFCC99"/>
                <w:date>
                  <w:dateFormat w:val="yyyy 'm.' MMMM d 'd.'"/>
                  <w:lid w:val="lt-LT"/>
                  <w:storeMappedDataAs w:val="dateTime"/>
                  <w:calendar w:val="gregorian"/>
                </w:date>
              </w:sdtPr>
              <w:sdtEndPr/>
              <w:sdtContent>
                <w:r w:rsidR="008E7832" w:rsidRPr="000A1613">
                  <w:t>2017 m. lapkričio 10 d.</w:t>
                </w:r>
              </w:sdtContent>
            </w:sdt>
          </w:p>
        </w:tc>
      </w:tr>
      <w:tr w:rsidR="008E7832" w:rsidRPr="00334F18" w14:paraId="3D70E0FA" w14:textId="77777777" w:rsidTr="001F115E">
        <w:trPr>
          <w:trHeight w:val="1643"/>
        </w:trPr>
        <w:tc>
          <w:tcPr>
            <w:tcW w:w="632" w:type="dxa"/>
          </w:tcPr>
          <w:p w14:paraId="021DF6BD" w14:textId="77777777" w:rsidR="008E7832" w:rsidRPr="00334F18" w:rsidRDefault="008E7832" w:rsidP="008E7832">
            <w:pPr>
              <w:rPr>
                <w:rFonts w:eastAsia="Arial"/>
                <w:b/>
                <w:bCs/>
              </w:rPr>
            </w:pPr>
            <w:r w:rsidRPr="00334F18">
              <w:rPr>
                <w:rFonts w:eastAsia="Arial"/>
                <w:b/>
                <w:bCs/>
              </w:rPr>
              <w:t>1.3</w:t>
            </w:r>
          </w:p>
        </w:tc>
        <w:tc>
          <w:tcPr>
            <w:tcW w:w="3899" w:type="dxa"/>
          </w:tcPr>
          <w:p w14:paraId="528F713F" w14:textId="77777777" w:rsidR="008E7832" w:rsidRPr="00334F18" w:rsidRDefault="008E7832" w:rsidP="008E7832">
            <w:pPr>
              <w:pStyle w:val="NoSpacing"/>
              <w:rPr>
                <w:rFonts w:ascii="Times New Roman" w:hAnsi="Times New Roman"/>
                <w:b/>
                <w:sz w:val="24"/>
                <w:szCs w:val="24"/>
                <w:shd w:val="clear" w:color="auto" w:fill="FFFFFF"/>
              </w:rPr>
            </w:pPr>
            <w:r w:rsidRPr="00334F18">
              <w:rPr>
                <w:rFonts w:ascii="Times New Roman" w:hAnsi="Times New Roman"/>
                <w:b/>
                <w:sz w:val="24"/>
                <w:szCs w:val="24"/>
              </w:rPr>
              <w:t xml:space="preserve">Vaistinio preparato </w:t>
            </w:r>
            <w:r w:rsidRPr="00334F18">
              <w:rPr>
                <w:rFonts w:ascii="Times New Roman" w:hAnsi="Times New Roman"/>
                <w:b/>
                <w:sz w:val="24"/>
                <w:szCs w:val="24"/>
                <w:shd w:val="clear" w:color="auto" w:fill="FFFFFF"/>
              </w:rPr>
              <w:t>registracijos teisinis pagrindas</w:t>
            </w:r>
          </w:p>
          <w:p w14:paraId="63F86DC1" w14:textId="77777777" w:rsidR="008E7832" w:rsidRPr="00334F18" w:rsidRDefault="008E7832" w:rsidP="008E7832">
            <w:pPr>
              <w:pStyle w:val="NoSpacing"/>
              <w:rPr>
                <w:rFonts w:ascii="Times New Roman" w:hAnsi="Times New Roman"/>
                <w:b/>
                <w:bCs/>
                <w:sz w:val="24"/>
                <w:szCs w:val="24"/>
                <w:lang w:eastAsia="lt-LT"/>
              </w:rPr>
            </w:pPr>
            <w:r w:rsidRPr="00334F18">
              <w:rPr>
                <w:rFonts w:ascii="Times New Roman" w:hAnsi="Times New Roman"/>
                <w:b/>
                <w:sz w:val="24"/>
                <w:szCs w:val="24"/>
                <w:shd w:val="clear" w:color="auto" w:fill="FFFFFF"/>
              </w:rPr>
              <w:t>(</w:t>
            </w:r>
            <w:r w:rsidRPr="00334F18">
              <w:rPr>
                <w:rFonts w:ascii="Times New Roman" w:hAnsi="Times New Roman"/>
                <w:b/>
                <w:sz w:val="24"/>
                <w:szCs w:val="24"/>
              </w:rPr>
              <w:t>Direktyvos 2001/83/EB str.)</w:t>
            </w:r>
          </w:p>
        </w:tc>
        <w:tc>
          <w:tcPr>
            <w:tcW w:w="4962" w:type="dxa"/>
          </w:tcPr>
          <w:p w14:paraId="70066A61" w14:textId="0CA26FC0" w:rsidR="008E7832" w:rsidRPr="00DB5616" w:rsidRDefault="00C14A26" w:rsidP="008E7832">
            <w:pPr>
              <w:jc w:val="both"/>
            </w:pPr>
            <w:sdt>
              <w:sdtPr>
                <w:rPr>
                  <w:rStyle w:val="Style2"/>
                </w:rPr>
                <w:id w:val="526292078"/>
                <w15:color w:val="FFCC00"/>
                <w14:checkbox>
                  <w14:checked w14:val="1"/>
                  <w14:checkedState w14:val="2612" w14:font="MS Gothic"/>
                  <w14:uncheckedState w14:val="2610" w14:font="MS Gothic"/>
                </w14:checkbox>
              </w:sdtPr>
              <w:sdtEndPr>
                <w:rPr>
                  <w:rStyle w:val="Style2"/>
                </w:rPr>
              </w:sdtEndPr>
              <w:sdtContent>
                <w:r w:rsidR="00820DA1">
                  <w:rPr>
                    <w:rStyle w:val="Style2"/>
                    <w:rFonts w:ascii="MS Gothic" w:eastAsia="MS Gothic" w:hAnsi="MS Gothic" w:hint="eastAsia"/>
                  </w:rPr>
                  <w:t>☒</w:t>
                </w:r>
              </w:sdtContent>
            </w:sdt>
            <w:r w:rsidR="008E7832" w:rsidRPr="00DB5616">
              <w:t>8.3 str. (pilna byla, pagrįsta savais tyrimais)</w:t>
            </w:r>
          </w:p>
          <w:p w14:paraId="412BEC45" w14:textId="77777777" w:rsidR="008E7832" w:rsidRPr="00DB5616" w:rsidRDefault="00C14A26" w:rsidP="008E7832">
            <w:pPr>
              <w:jc w:val="both"/>
            </w:pPr>
            <w:sdt>
              <w:sdtPr>
                <w:rPr>
                  <w:rStyle w:val="Style2"/>
                </w:rPr>
                <w:id w:val="-1497953736"/>
                <w15:color w:val="FFCC00"/>
                <w14:checkbox>
                  <w14:checked w14:val="0"/>
                  <w14:checkedState w14:val="2612" w14:font="MS Gothic"/>
                  <w14:uncheckedState w14:val="2610" w14:font="MS Gothic"/>
                </w14:checkbox>
              </w:sdtPr>
              <w:sdtEndPr>
                <w:rPr>
                  <w:rStyle w:val="Style2"/>
                </w:rPr>
              </w:sdtEndPr>
              <w:sdtContent>
                <w:r w:rsidR="008E7832" w:rsidRPr="00DB5616">
                  <w:rPr>
                    <w:rStyle w:val="Style2"/>
                    <w:rFonts w:ascii="Segoe UI Symbol" w:eastAsia="MS Gothic" w:hAnsi="Segoe UI Symbol" w:cs="Segoe UI Symbol"/>
                  </w:rPr>
                  <w:t>☐</w:t>
                </w:r>
              </w:sdtContent>
            </w:sdt>
            <w:r w:rsidR="008E7832" w:rsidRPr="00DB5616">
              <w:t>10 a str. (pripažintas medicininis vartojimas)</w:t>
            </w:r>
          </w:p>
          <w:p w14:paraId="4D13F599" w14:textId="77777777" w:rsidR="008E7832" w:rsidRPr="00DB5616" w:rsidRDefault="00C14A26" w:rsidP="008E7832">
            <w:pPr>
              <w:jc w:val="both"/>
            </w:pPr>
            <w:sdt>
              <w:sdtPr>
                <w:rPr>
                  <w:rStyle w:val="Style2"/>
                </w:rPr>
                <w:id w:val="204142496"/>
                <w15:color w:val="FFCC00"/>
                <w14:checkbox>
                  <w14:checked w14:val="0"/>
                  <w14:checkedState w14:val="2612" w14:font="MS Gothic"/>
                  <w14:uncheckedState w14:val="2610" w14:font="MS Gothic"/>
                </w14:checkbox>
              </w:sdtPr>
              <w:sdtEndPr>
                <w:rPr>
                  <w:rStyle w:val="Style2"/>
                </w:rPr>
              </w:sdtEndPr>
              <w:sdtContent>
                <w:r w:rsidR="008E7832" w:rsidRPr="00DB5616">
                  <w:rPr>
                    <w:rStyle w:val="Style2"/>
                    <w:rFonts w:ascii="Segoe UI Symbol" w:eastAsia="MS Gothic" w:hAnsi="Segoe UI Symbol" w:cs="Segoe UI Symbol"/>
                  </w:rPr>
                  <w:t>☐</w:t>
                </w:r>
              </w:sdtContent>
            </w:sdt>
            <w:r w:rsidR="008E7832" w:rsidRPr="00DB5616">
              <w:t>10.1 str. (generinis)</w:t>
            </w:r>
          </w:p>
          <w:p w14:paraId="11C1C2F4" w14:textId="77777777" w:rsidR="008E7832" w:rsidRPr="00DB5616" w:rsidRDefault="00C14A26" w:rsidP="008E7832">
            <w:pPr>
              <w:jc w:val="both"/>
            </w:pPr>
            <w:sdt>
              <w:sdtPr>
                <w:rPr>
                  <w:rStyle w:val="Style2"/>
                </w:rPr>
                <w:id w:val="820305101"/>
                <w15:color w:val="FFCC00"/>
                <w14:checkbox>
                  <w14:checked w14:val="0"/>
                  <w14:checkedState w14:val="2612" w14:font="MS Gothic"/>
                  <w14:uncheckedState w14:val="2610" w14:font="MS Gothic"/>
                </w14:checkbox>
              </w:sdtPr>
              <w:sdtEndPr>
                <w:rPr>
                  <w:rStyle w:val="Style2"/>
                </w:rPr>
              </w:sdtEndPr>
              <w:sdtContent>
                <w:r w:rsidR="008E7832" w:rsidRPr="00DB5616">
                  <w:rPr>
                    <w:rStyle w:val="Style2"/>
                    <w:rFonts w:ascii="Segoe UI Symbol" w:eastAsia="MS Gothic" w:hAnsi="Segoe UI Symbol" w:cs="Segoe UI Symbol"/>
                  </w:rPr>
                  <w:t>☐</w:t>
                </w:r>
              </w:sdtContent>
            </w:sdt>
            <w:r w:rsidR="008E7832" w:rsidRPr="00DB5616">
              <w:t>10.3 str. (hibridinis)</w:t>
            </w:r>
          </w:p>
          <w:p w14:paraId="5160D259" w14:textId="77777777" w:rsidR="008E7832" w:rsidRPr="00DB5616" w:rsidRDefault="00C14A26" w:rsidP="008E7832">
            <w:sdt>
              <w:sdtPr>
                <w:rPr>
                  <w:rStyle w:val="Style2"/>
                </w:rPr>
                <w:id w:val="-450176040"/>
                <w15:color w:val="FFCC00"/>
                <w14:checkbox>
                  <w14:checked w14:val="0"/>
                  <w14:checkedState w14:val="2612" w14:font="MS Gothic"/>
                  <w14:uncheckedState w14:val="2610" w14:font="MS Gothic"/>
                </w14:checkbox>
              </w:sdtPr>
              <w:sdtEndPr>
                <w:rPr>
                  <w:rStyle w:val="Style2"/>
                </w:rPr>
              </w:sdtEndPr>
              <w:sdtContent>
                <w:r w:rsidR="008E7832" w:rsidRPr="00DB5616">
                  <w:rPr>
                    <w:rStyle w:val="Style2"/>
                    <w:rFonts w:ascii="Segoe UI Symbol" w:eastAsia="MS Gothic" w:hAnsi="Segoe UI Symbol" w:cs="Segoe UI Symbol"/>
                  </w:rPr>
                  <w:t>☐</w:t>
                </w:r>
              </w:sdtContent>
            </w:sdt>
            <w:r w:rsidR="008E7832" w:rsidRPr="00DB5616">
              <w:t>10.</w:t>
            </w:r>
            <w:r w:rsidR="008E7832">
              <w:t>4</w:t>
            </w:r>
            <w:r w:rsidR="008E7832" w:rsidRPr="00DB5616">
              <w:t xml:space="preserve"> str. (</w:t>
            </w:r>
            <w:r w:rsidR="008E7832" w:rsidRPr="001A0CAA">
              <w:t>panašus biologinis</w:t>
            </w:r>
            <w:r w:rsidR="008E7832" w:rsidRPr="00DB5616">
              <w:t>)</w:t>
            </w:r>
          </w:p>
          <w:p w14:paraId="0A7273A8" w14:textId="77777777" w:rsidR="008E7832" w:rsidRDefault="008E7832" w:rsidP="008E7832">
            <w:pPr>
              <w:jc w:val="both"/>
            </w:pPr>
          </w:p>
          <w:p w14:paraId="7EDB4848" w14:textId="77777777" w:rsidR="008E7832" w:rsidRPr="00334F18" w:rsidRDefault="008E7832" w:rsidP="008E7832">
            <w:pPr>
              <w:rPr>
                <w:rStyle w:val="Style2"/>
                <w:sz w:val="24"/>
              </w:rPr>
            </w:pPr>
          </w:p>
        </w:tc>
      </w:tr>
      <w:tr w:rsidR="008E7832" w:rsidRPr="00334F18" w14:paraId="31641941" w14:textId="77777777" w:rsidTr="003F3FFF">
        <w:trPr>
          <w:trHeight w:val="1011"/>
        </w:trPr>
        <w:tc>
          <w:tcPr>
            <w:tcW w:w="632" w:type="dxa"/>
          </w:tcPr>
          <w:p w14:paraId="2E73A32C" w14:textId="77777777" w:rsidR="008E7832" w:rsidRPr="00334F18" w:rsidRDefault="008E7832" w:rsidP="008E7832">
            <w:pPr>
              <w:rPr>
                <w:rFonts w:eastAsia="Arial"/>
                <w:b/>
                <w:bCs/>
              </w:rPr>
            </w:pPr>
            <w:r w:rsidRPr="00334F18">
              <w:rPr>
                <w:rFonts w:eastAsia="Arial"/>
                <w:b/>
              </w:rPr>
              <w:t>1.4</w:t>
            </w:r>
          </w:p>
        </w:tc>
        <w:tc>
          <w:tcPr>
            <w:tcW w:w="3899" w:type="dxa"/>
          </w:tcPr>
          <w:p w14:paraId="2547AC59" w14:textId="77777777" w:rsidR="008E7832" w:rsidRPr="00334F18" w:rsidRDefault="008E7832" w:rsidP="008E7832">
            <w:pPr>
              <w:tabs>
                <w:tab w:val="left" w:pos="284"/>
              </w:tabs>
              <w:rPr>
                <w:b/>
                <w:bCs/>
                <w:lang w:eastAsia="lt-LT"/>
              </w:rPr>
            </w:pPr>
            <w:r w:rsidRPr="00334F18">
              <w:rPr>
                <w:b/>
                <w:bCs/>
                <w:lang w:eastAsia="lt-LT"/>
              </w:rPr>
              <w:t>Ar vaistinis preparatas įrašytas į Bendrijos retųjų vaistinių preparatų registrą?</w:t>
            </w:r>
          </w:p>
        </w:tc>
        <w:tc>
          <w:tcPr>
            <w:tcW w:w="4962" w:type="dxa"/>
          </w:tcPr>
          <w:p w14:paraId="16CEF8F0" w14:textId="77777777" w:rsidR="008E7832" w:rsidRPr="009300B3" w:rsidRDefault="00C14A26" w:rsidP="008E7832">
            <w:pPr>
              <w:jc w:val="both"/>
            </w:pPr>
            <w:sdt>
              <w:sdtPr>
                <w:rPr>
                  <w:rStyle w:val="Style2"/>
                </w:rPr>
                <w:id w:val="1190730465"/>
                <w15:color w:val="FFCC00"/>
                <w14:checkbox>
                  <w14:checked w14:val="0"/>
                  <w14:checkedState w14:val="2612" w14:font="MS Gothic"/>
                  <w14:uncheckedState w14:val="2610" w14:font="MS Gothic"/>
                </w14:checkbox>
              </w:sdtPr>
              <w:sdtEndPr>
                <w:rPr>
                  <w:rStyle w:val="Style2"/>
                </w:rPr>
              </w:sdtEndPr>
              <w:sdtContent>
                <w:r w:rsidR="008E7832" w:rsidRPr="009300B3">
                  <w:rPr>
                    <w:rStyle w:val="Style2"/>
                    <w:rFonts w:ascii="Segoe UI Symbol" w:eastAsia="MS Gothic" w:hAnsi="Segoe UI Symbol" w:cs="Segoe UI Symbol"/>
                  </w:rPr>
                  <w:t>☐</w:t>
                </w:r>
              </w:sdtContent>
            </w:sdt>
            <w:r w:rsidR="008E7832" w:rsidRPr="009300B3">
              <w:t xml:space="preserve"> Taip       </w:t>
            </w:r>
            <w:r w:rsidR="008E7832" w:rsidRPr="009300B3">
              <w:rPr>
                <w:rStyle w:val="Style2"/>
              </w:rPr>
              <w:t xml:space="preserve"> </w:t>
            </w:r>
            <w:sdt>
              <w:sdtPr>
                <w:rPr>
                  <w:rStyle w:val="Style2"/>
                </w:rPr>
                <w:id w:val="-1760283509"/>
                <w15:color w:val="FFCC00"/>
                <w14:checkbox>
                  <w14:checked w14:val="1"/>
                  <w14:checkedState w14:val="2612" w14:font="MS Gothic"/>
                  <w14:uncheckedState w14:val="2610" w14:font="MS Gothic"/>
                </w14:checkbox>
              </w:sdtPr>
              <w:sdtEndPr>
                <w:rPr>
                  <w:rStyle w:val="Style2"/>
                </w:rPr>
              </w:sdtEndPr>
              <w:sdtContent>
                <w:r w:rsidR="008E7832">
                  <w:rPr>
                    <w:rStyle w:val="Style2"/>
                    <w:rFonts w:ascii="MS Gothic" w:eastAsia="MS Gothic" w:hAnsi="MS Gothic" w:hint="eastAsia"/>
                  </w:rPr>
                  <w:t>☒</w:t>
                </w:r>
              </w:sdtContent>
            </w:sdt>
            <w:r w:rsidR="008E7832" w:rsidRPr="009300B3">
              <w:t xml:space="preserve"> Ne</w:t>
            </w:r>
          </w:p>
          <w:p w14:paraId="1D30BCD2" w14:textId="77777777" w:rsidR="008E7832" w:rsidRPr="009300B3" w:rsidRDefault="008E7832" w:rsidP="008E7832">
            <w:pPr>
              <w:jc w:val="both"/>
            </w:pPr>
            <w:r w:rsidRPr="009300B3">
              <w:t xml:space="preserve">Data: </w:t>
            </w:r>
            <w:sdt>
              <w:sdtPr>
                <w:alias w:val="Nurodykite konkrečią dieną"/>
                <w:tag w:val="Nurodykite pradžios datą"/>
                <w:id w:val="1784158105"/>
                <w:placeholder>
                  <w:docPart w:val="15DDDCDE6723484BAAB4B034095E9D05"/>
                </w:placeholder>
                <w:showingPlcHdr/>
                <w15:color w:val="FFCC99"/>
                <w:date w:fullDate="2022-05-18T00:00:00Z">
                  <w:dateFormat w:val="yyyy 'm.' MMMM d 'd.'"/>
                  <w:lid w:val="lt-LT"/>
                  <w:storeMappedDataAs w:val="dateTime"/>
                  <w:calendar w:val="gregorian"/>
                </w:date>
              </w:sdtPr>
              <w:sdtEndPr/>
              <w:sdtContent>
                <w:r w:rsidRPr="009300B3">
                  <w:rPr>
                    <w:rStyle w:val="PlaceholderText"/>
                  </w:rPr>
                  <w:t>Click here to enter a date.</w:t>
                </w:r>
              </w:sdtContent>
            </w:sdt>
          </w:p>
          <w:p w14:paraId="56165267" w14:textId="71C88F84" w:rsidR="008E7832" w:rsidRPr="00334F18" w:rsidRDefault="008E7832" w:rsidP="008E7832">
            <w:pPr>
              <w:rPr>
                <w:rFonts w:eastAsia="Arial"/>
              </w:rPr>
            </w:pPr>
            <w:r w:rsidRPr="009300B3">
              <w:t>Nr.</w:t>
            </w:r>
          </w:p>
        </w:tc>
      </w:tr>
      <w:tr w:rsidR="008E7832" w:rsidRPr="00334F18" w14:paraId="5E0775EB" w14:textId="77777777" w:rsidTr="003F3FFF">
        <w:trPr>
          <w:trHeight w:val="1011"/>
        </w:trPr>
        <w:tc>
          <w:tcPr>
            <w:tcW w:w="632" w:type="dxa"/>
          </w:tcPr>
          <w:p w14:paraId="6829924D" w14:textId="77777777" w:rsidR="008E7832" w:rsidRPr="00334F18" w:rsidRDefault="008E7832" w:rsidP="008E7832">
            <w:pPr>
              <w:rPr>
                <w:rFonts w:eastAsia="Arial"/>
                <w:b/>
              </w:rPr>
            </w:pPr>
            <w:r w:rsidRPr="00334F18">
              <w:rPr>
                <w:rFonts w:eastAsia="Arial"/>
                <w:b/>
                <w:bCs/>
              </w:rPr>
              <w:t>1.5</w:t>
            </w:r>
          </w:p>
        </w:tc>
        <w:tc>
          <w:tcPr>
            <w:tcW w:w="3899" w:type="dxa"/>
          </w:tcPr>
          <w:p w14:paraId="1DDE7CF3" w14:textId="2FF7A402" w:rsidR="008E7832" w:rsidRPr="00334F18" w:rsidRDefault="008E7832" w:rsidP="008E7832">
            <w:pPr>
              <w:tabs>
                <w:tab w:val="left" w:pos="284"/>
              </w:tabs>
              <w:rPr>
                <w:b/>
                <w:bCs/>
                <w:lang w:eastAsia="lt-LT"/>
              </w:rPr>
            </w:pPr>
            <w:r w:rsidRPr="00334F18">
              <w:rPr>
                <w:b/>
                <w:bCs/>
                <w:lang w:eastAsia="lt-LT"/>
              </w:rPr>
              <w:t>Ar atliktas bendras klinikinis vertinimas</w:t>
            </w:r>
          </w:p>
          <w:p w14:paraId="0961228D" w14:textId="77777777" w:rsidR="008E7832" w:rsidRPr="00334F18" w:rsidRDefault="008E7832" w:rsidP="008E7832">
            <w:pPr>
              <w:tabs>
                <w:tab w:val="left" w:pos="284"/>
              </w:tabs>
              <w:rPr>
                <w:b/>
                <w:bCs/>
                <w:lang w:eastAsia="lt-LT"/>
              </w:rPr>
            </w:pPr>
            <w:r w:rsidRPr="00334F18">
              <w:rPr>
                <w:b/>
                <w:bCs/>
                <w:lang w:eastAsia="lt-LT"/>
              </w:rPr>
              <w:t>(Europos Parlamento ir Tarybos reglamentas (ES) 2021/2282)</w:t>
            </w:r>
          </w:p>
          <w:p w14:paraId="7B6C3C1B" w14:textId="77777777" w:rsidR="008E7832" w:rsidRPr="00334F18" w:rsidRDefault="008E7832" w:rsidP="008E7832">
            <w:pPr>
              <w:tabs>
                <w:tab w:val="left" w:pos="284"/>
              </w:tabs>
              <w:rPr>
                <w:b/>
                <w:bCs/>
                <w:lang w:eastAsia="lt-LT"/>
              </w:rPr>
            </w:pPr>
          </w:p>
        </w:tc>
        <w:tc>
          <w:tcPr>
            <w:tcW w:w="4962" w:type="dxa"/>
          </w:tcPr>
          <w:p w14:paraId="7C04B7E8" w14:textId="77777777" w:rsidR="008E7832" w:rsidRPr="009300B3" w:rsidRDefault="00C14A26" w:rsidP="008E7832">
            <w:pPr>
              <w:jc w:val="both"/>
            </w:pPr>
            <w:sdt>
              <w:sdtPr>
                <w:rPr>
                  <w:rStyle w:val="Style2"/>
                </w:rPr>
                <w:id w:val="-1171564470"/>
                <w15:color w:val="FFCC00"/>
                <w14:checkbox>
                  <w14:checked w14:val="0"/>
                  <w14:checkedState w14:val="2612" w14:font="MS Gothic"/>
                  <w14:uncheckedState w14:val="2610" w14:font="MS Gothic"/>
                </w14:checkbox>
              </w:sdtPr>
              <w:sdtEndPr>
                <w:rPr>
                  <w:rStyle w:val="Style2"/>
                </w:rPr>
              </w:sdtEndPr>
              <w:sdtContent>
                <w:r w:rsidR="008E7832" w:rsidRPr="009300B3">
                  <w:rPr>
                    <w:rStyle w:val="Style2"/>
                    <w:rFonts w:ascii="Segoe UI Symbol" w:eastAsia="MS Gothic" w:hAnsi="Segoe UI Symbol" w:cs="Segoe UI Symbol"/>
                  </w:rPr>
                  <w:t>☐</w:t>
                </w:r>
              </w:sdtContent>
            </w:sdt>
            <w:r w:rsidR="008E7832" w:rsidRPr="009300B3">
              <w:t xml:space="preserve"> Taip       </w:t>
            </w:r>
            <w:r w:rsidR="008E7832" w:rsidRPr="009300B3">
              <w:rPr>
                <w:rStyle w:val="Style2"/>
              </w:rPr>
              <w:t xml:space="preserve"> </w:t>
            </w:r>
            <w:sdt>
              <w:sdtPr>
                <w:rPr>
                  <w:rStyle w:val="Style2"/>
                </w:rPr>
                <w:id w:val="1448122567"/>
                <w15:color w:val="FFCC00"/>
                <w14:checkbox>
                  <w14:checked w14:val="1"/>
                  <w14:checkedState w14:val="2612" w14:font="MS Gothic"/>
                  <w14:uncheckedState w14:val="2610" w14:font="MS Gothic"/>
                </w14:checkbox>
              </w:sdtPr>
              <w:sdtEndPr>
                <w:rPr>
                  <w:rStyle w:val="Style2"/>
                </w:rPr>
              </w:sdtEndPr>
              <w:sdtContent>
                <w:r w:rsidR="008E7832">
                  <w:rPr>
                    <w:rStyle w:val="Style2"/>
                    <w:rFonts w:ascii="MS Gothic" w:eastAsia="MS Gothic" w:hAnsi="MS Gothic" w:hint="eastAsia"/>
                  </w:rPr>
                  <w:t>☒</w:t>
                </w:r>
              </w:sdtContent>
            </w:sdt>
            <w:r w:rsidR="008E7832" w:rsidRPr="009300B3">
              <w:t xml:space="preserve"> Ne</w:t>
            </w:r>
          </w:p>
          <w:p w14:paraId="0DF729B3" w14:textId="5C1037CD" w:rsidR="008E7832" w:rsidRPr="00334F18" w:rsidRDefault="008E7832" w:rsidP="008E7832">
            <w:pPr>
              <w:rPr>
                <w:rStyle w:val="Style2"/>
                <w:sz w:val="24"/>
              </w:rPr>
            </w:pPr>
            <w:r w:rsidRPr="009300B3">
              <w:t xml:space="preserve">Data: </w:t>
            </w:r>
            <w:sdt>
              <w:sdtPr>
                <w:alias w:val="Nurodykite konkrečią dieną"/>
                <w:tag w:val="Nurodykite pradžios datą"/>
                <w:id w:val="1516880001"/>
                <w:placeholder>
                  <w:docPart w:val="6EFE737A16D94F2F950CEF565146DF66"/>
                </w:placeholder>
                <w:showingPlcHdr/>
                <w15:color w:val="FFCC99"/>
                <w:date w:fullDate="2022-05-18T00:00:00Z">
                  <w:dateFormat w:val="yyyy 'm.' MMMM d 'd.'"/>
                  <w:lid w:val="lt-LT"/>
                  <w:storeMappedDataAs w:val="dateTime"/>
                  <w:calendar w:val="gregorian"/>
                </w:date>
              </w:sdtPr>
              <w:sdtEndPr/>
              <w:sdtContent>
                <w:r w:rsidRPr="009300B3">
                  <w:rPr>
                    <w:rStyle w:val="PlaceholderText"/>
                  </w:rPr>
                  <w:t>Click here to enter a date.</w:t>
                </w:r>
              </w:sdtContent>
            </w:sdt>
            <w:r w:rsidRPr="009300B3">
              <w:t xml:space="preserve"> </w:t>
            </w:r>
          </w:p>
        </w:tc>
      </w:tr>
      <w:tr w:rsidR="00C77166" w:rsidRPr="00334F18" w14:paraId="15E36E93" w14:textId="77777777" w:rsidTr="003F3FFF">
        <w:trPr>
          <w:trHeight w:val="1278"/>
        </w:trPr>
        <w:tc>
          <w:tcPr>
            <w:tcW w:w="632" w:type="dxa"/>
          </w:tcPr>
          <w:p w14:paraId="5F43AA8F" w14:textId="77777777" w:rsidR="00C77166" w:rsidRPr="00334F18" w:rsidRDefault="00C77166" w:rsidP="00C77166">
            <w:pPr>
              <w:rPr>
                <w:rFonts w:eastAsia="Arial"/>
                <w:b/>
                <w:bCs/>
              </w:rPr>
            </w:pPr>
            <w:r w:rsidRPr="00334F18">
              <w:rPr>
                <w:rFonts w:eastAsia="Arial"/>
                <w:b/>
                <w:bCs/>
              </w:rPr>
              <w:t>1.6</w:t>
            </w:r>
          </w:p>
        </w:tc>
        <w:tc>
          <w:tcPr>
            <w:tcW w:w="3899" w:type="dxa"/>
          </w:tcPr>
          <w:p w14:paraId="41F32942" w14:textId="77777777" w:rsidR="00C77166" w:rsidRPr="00334F18" w:rsidRDefault="00C77166" w:rsidP="00C77166">
            <w:pPr>
              <w:rPr>
                <w:b/>
                <w:bCs/>
                <w:lang w:eastAsia="lt-LT"/>
              </w:rPr>
            </w:pPr>
            <w:r w:rsidRPr="00334F18">
              <w:rPr>
                <w:b/>
                <w:bCs/>
                <w:lang w:eastAsia="lt-LT"/>
              </w:rPr>
              <w:t xml:space="preserve">Teikiama kompensuoti terapinė indikacija </w:t>
            </w:r>
          </w:p>
          <w:p w14:paraId="2882A5BD" w14:textId="77777777" w:rsidR="00C77166" w:rsidRPr="00334F18" w:rsidRDefault="00C77166" w:rsidP="00C77166">
            <w:pPr>
              <w:rPr>
                <w:b/>
                <w:bCs/>
                <w:lang w:eastAsia="lt-LT"/>
              </w:rPr>
            </w:pPr>
          </w:p>
          <w:p w14:paraId="371D188E" w14:textId="77777777" w:rsidR="00C77166" w:rsidRPr="00334F18" w:rsidRDefault="00C77166" w:rsidP="00C77166">
            <w:pPr>
              <w:rPr>
                <w:b/>
                <w:bCs/>
                <w:lang w:eastAsia="lt-LT"/>
              </w:rPr>
            </w:pPr>
            <w:r w:rsidRPr="00334F18">
              <w:rPr>
                <w:b/>
                <w:bCs/>
                <w:lang w:eastAsia="lt-LT"/>
              </w:rPr>
              <w:t>Kodas pagal TLK-10 AM</w:t>
            </w:r>
          </w:p>
        </w:tc>
        <w:tc>
          <w:tcPr>
            <w:tcW w:w="4962" w:type="dxa"/>
          </w:tcPr>
          <w:p w14:paraId="3F8BCD6B" w14:textId="77777777" w:rsidR="00C77166" w:rsidRPr="009300B3" w:rsidRDefault="00C77166" w:rsidP="00C77166">
            <w:pPr>
              <w:jc w:val="both"/>
            </w:pPr>
            <w:r w:rsidRPr="00F900C4">
              <w:t>Tremfya yra skirtas vidutinio sunkumo ir sunkios aktyvios Krono ligos gydymui suaugusiems pacientams, kuriems pasireiškė nepakankamas atsakas į įprastą</w:t>
            </w:r>
            <w:r w:rsidRPr="00F134F0">
              <w:t xml:space="preserve"> gydymą ar biologinę terapiją, </w:t>
            </w:r>
            <w:r w:rsidRPr="00F134F0">
              <w:lastRenderedPageBreak/>
              <w:t>atsakas pranyko arba jie tokio gydymo netoleravo</w:t>
            </w:r>
            <w:r w:rsidRPr="00122AE4">
              <w:t>.</w:t>
            </w:r>
          </w:p>
          <w:p w14:paraId="71545557" w14:textId="77777777" w:rsidR="00C77166" w:rsidRPr="009300B3" w:rsidRDefault="00C77166" w:rsidP="00C77166">
            <w:pPr>
              <w:jc w:val="both"/>
            </w:pPr>
            <w:r>
              <w:t>K50</w:t>
            </w:r>
          </w:p>
          <w:p w14:paraId="10833DB8" w14:textId="7678DD02" w:rsidR="00C77166" w:rsidRPr="00334F18" w:rsidRDefault="00C77166" w:rsidP="00C77166"/>
        </w:tc>
      </w:tr>
      <w:tr w:rsidR="00C77166" w:rsidRPr="00334F18" w14:paraId="01C3C4F5" w14:textId="77777777" w:rsidTr="003F3FFF">
        <w:trPr>
          <w:trHeight w:val="378"/>
        </w:trPr>
        <w:tc>
          <w:tcPr>
            <w:tcW w:w="632" w:type="dxa"/>
          </w:tcPr>
          <w:p w14:paraId="5115AFC1" w14:textId="77777777" w:rsidR="00C77166" w:rsidRPr="00334F18" w:rsidRDefault="00C77166" w:rsidP="00C77166">
            <w:pPr>
              <w:rPr>
                <w:rFonts w:eastAsia="Arial"/>
                <w:b/>
                <w:bCs/>
              </w:rPr>
            </w:pPr>
            <w:r w:rsidRPr="00334F18">
              <w:rPr>
                <w:rFonts w:eastAsia="Arial"/>
                <w:b/>
                <w:bCs/>
              </w:rPr>
              <w:lastRenderedPageBreak/>
              <w:t>1.7</w:t>
            </w:r>
          </w:p>
        </w:tc>
        <w:tc>
          <w:tcPr>
            <w:tcW w:w="3899" w:type="dxa"/>
          </w:tcPr>
          <w:p w14:paraId="48045B5A" w14:textId="77777777" w:rsidR="00C77166" w:rsidRPr="00334F18" w:rsidRDefault="00C77166" w:rsidP="00C77166">
            <w:pPr>
              <w:rPr>
                <w:b/>
                <w:bCs/>
                <w:u w:val="single"/>
                <w:lang w:eastAsia="lt-LT"/>
              </w:rPr>
            </w:pPr>
            <w:r w:rsidRPr="00334F18">
              <w:rPr>
                <w:b/>
                <w:bCs/>
                <w:lang w:eastAsia="lt-LT"/>
              </w:rPr>
              <w:t xml:space="preserve">Teikiamos skyrimo sąlygos </w:t>
            </w:r>
          </w:p>
        </w:tc>
        <w:tc>
          <w:tcPr>
            <w:tcW w:w="4962" w:type="dxa"/>
          </w:tcPr>
          <w:p w14:paraId="6A31562C" w14:textId="4B5AD1C8" w:rsidR="00C77166" w:rsidRPr="00334F18" w:rsidRDefault="00C77166" w:rsidP="00C77166">
            <w:r w:rsidRPr="00F134F0">
              <w:rPr>
                <w:rFonts w:eastAsia="Arial"/>
                <w:color w:val="000000"/>
              </w:rPr>
              <w:t>Skiriamas pacientams, kurių atsakas į gydymą pirmos eilės biologiniu vaistiniu preparatu buvo nepakankamas, buvo prarastas arba gydymas pirmos eilės biologiniu vaistiniu preparatu negalimas ar netoleruojamas</w:t>
            </w:r>
            <w:r w:rsidRPr="008B42C2">
              <w:rPr>
                <w:rFonts w:eastAsia="Arial"/>
                <w:color w:val="000000"/>
              </w:rPr>
              <w:t>.</w:t>
            </w:r>
          </w:p>
        </w:tc>
      </w:tr>
      <w:tr w:rsidR="00C77166" w:rsidRPr="00334F18" w14:paraId="3C32C984" w14:textId="77777777" w:rsidTr="003F3FFF">
        <w:trPr>
          <w:trHeight w:val="378"/>
        </w:trPr>
        <w:tc>
          <w:tcPr>
            <w:tcW w:w="632" w:type="dxa"/>
          </w:tcPr>
          <w:p w14:paraId="4E679EDB" w14:textId="77777777" w:rsidR="00C77166" w:rsidRPr="00334F18" w:rsidRDefault="00C77166" w:rsidP="00C77166">
            <w:pPr>
              <w:rPr>
                <w:rFonts w:eastAsia="Arial"/>
                <w:b/>
                <w:bCs/>
              </w:rPr>
            </w:pPr>
            <w:r w:rsidRPr="00334F18">
              <w:rPr>
                <w:rFonts w:eastAsia="Arial"/>
                <w:b/>
                <w:bCs/>
              </w:rPr>
              <w:t>1.8</w:t>
            </w:r>
          </w:p>
        </w:tc>
        <w:tc>
          <w:tcPr>
            <w:tcW w:w="3899" w:type="dxa"/>
          </w:tcPr>
          <w:p w14:paraId="784605B5" w14:textId="3A924C79" w:rsidR="00C77166" w:rsidRPr="00334F18" w:rsidRDefault="00C77166" w:rsidP="00C77166">
            <w:pPr>
              <w:rPr>
                <w:b/>
                <w:bCs/>
                <w:lang w:eastAsia="lt-LT"/>
              </w:rPr>
            </w:pPr>
            <w:r w:rsidRPr="00334F18">
              <w:rPr>
                <w:b/>
                <w:bCs/>
                <w:lang w:eastAsia="lt-LT"/>
              </w:rPr>
              <w:t>Ekonominė analizė</w:t>
            </w:r>
          </w:p>
        </w:tc>
        <w:tc>
          <w:tcPr>
            <w:tcW w:w="4962" w:type="dxa"/>
          </w:tcPr>
          <w:p w14:paraId="762EC423" w14:textId="45539F40" w:rsidR="00C77166" w:rsidRPr="009300B3" w:rsidRDefault="00C14A26" w:rsidP="00C77166">
            <w:pPr>
              <w:jc w:val="both"/>
            </w:pPr>
            <w:sdt>
              <w:sdtPr>
                <w:rPr>
                  <w:rStyle w:val="Style2"/>
                </w:rPr>
                <w:id w:val="356323367"/>
                <w15:color w:val="FFCC00"/>
                <w14:checkbox>
                  <w14:checked w14:val="0"/>
                  <w14:checkedState w14:val="2612" w14:font="MS Gothic"/>
                  <w14:uncheckedState w14:val="2610" w14:font="MS Gothic"/>
                </w14:checkbox>
              </w:sdtPr>
              <w:sdtEndPr>
                <w:rPr>
                  <w:rStyle w:val="Style2"/>
                </w:rPr>
              </w:sdtEndPr>
              <w:sdtContent>
                <w:r w:rsidR="00224E5E">
                  <w:rPr>
                    <w:rStyle w:val="Style2"/>
                    <w:rFonts w:ascii="MS Gothic" w:eastAsia="MS Gothic" w:hAnsi="MS Gothic" w:hint="eastAsia"/>
                  </w:rPr>
                  <w:t>☐</w:t>
                </w:r>
              </w:sdtContent>
            </w:sdt>
            <w:r w:rsidR="00C77166" w:rsidRPr="009300B3">
              <w:t xml:space="preserve"> Kaštų naudingumo analizė</w:t>
            </w:r>
          </w:p>
          <w:p w14:paraId="7B2774C9" w14:textId="5ECD4CA6" w:rsidR="00C77166" w:rsidRDefault="00C14A26" w:rsidP="00C77166">
            <w:pPr>
              <w:jc w:val="both"/>
            </w:pPr>
            <w:sdt>
              <w:sdtPr>
                <w:rPr>
                  <w:rStyle w:val="Style2"/>
                </w:rPr>
                <w:id w:val="-250506580"/>
                <w15:color w:val="FFCC00"/>
                <w14:checkbox>
                  <w14:checked w14:val="1"/>
                  <w14:checkedState w14:val="2612" w14:font="MS Gothic"/>
                  <w14:uncheckedState w14:val="2610" w14:font="MS Gothic"/>
                </w14:checkbox>
              </w:sdtPr>
              <w:sdtEndPr>
                <w:rPr>
                  <w:rStyle w:val="Style2"/>
                </w:rPr>
              </w:sdtEndPr>
              <w:sdtContent>
                <w:r w:rsidR="00224E5E">
                  <w:rPr>
                    <w:rStyle w:val="Style2"/>
                    <w:rFonts w:ascii="MS Gothic" w:eastAsia="MS Gothic" w:hAnsi="MS Gothic" w:hint="eastAsia"/>
                  </w:rPr>
                  <w:t>☒</w:t>
                </w:r>
              </w:sdtContent>
            </w:sdt>
            <w:r w:rsidR="00C77166" w:rsidRPr="009300B3">
              <w:t xml:space="preserve"> Kaštų mažinimo analizė</w:t>
            </w:r>
          </w:p>
          <w:p w14:paraId="33B84FD0" w14:textId="77777777" w:rsidR="00C77166" w:rsidRPr="009300B3" w:rsidRDefault="00C14A26" w:rsidP="00C77166">
            <w:pPr>
              <w:jc w:val="both"/>
            </w:pPr>
            <w:sdt>
              <w:sdtPr>
                <w:rPr>
                  <w:rStyle w:val="Style2"/>
                </w:rPr>
                <w:id w:val="-1517455044"/>
                <w15:color w:val="FFCC00"/>
                <w14:checkbox>
                  <w14:checked w14:val="0"/>
                  <w14:checkedState w14:val="2612" w14:font="MS Gothic"/>
                  <w14:uncheckedState w14:val="2610" w14:font="MS Gothic"/>
                </w14:checkbox>
              </w:sdtPr>
              <w:sdtEndPr>
                <w:rPr>
                  <w:rStyle w:val="Style2"/>
                </w:rPr>
              </w:sdtEndPr>
              <w:sdtContent>
                <w:r w:rsidR="00C77166" w:rsidRPr="009300B3">
                  <w:rPr>
                    <w:rStyle w:val="Style2"/>
                    <w:rFonts w:ascii="Segoe UI Symbol" w:eastAsia="MS Gothic" w:hAnsi="Segoe UI Symbol" w:cs="Segoe UI Symbol"/>
                  </w:rPr>
                  <w:t>☐</w:t>
                </w:r>
              </w:sdtContent>
            </w:sdt>
            <w:r w:rsidR="00C77166">
              <w:t xml:space="preserve"> Neteikiama</w:t>
            </w:r>
          </w:p>
          <w:p w14:paraId="4B0FE78C" w14:textId="77777777" w:rsidR="00C77166" w:rsidRPr="00334F18" w:rsidRDefault="00C77166" w:rsidP="00C77166"/>
        </w:tc>
      </w:tr>
    </w:tbl>
    <w:p w14:paraId="2EB7FD31" w14:textId="5615B363" w:rsidR="007A2B68" w:rsidRPr="00334F18" w:rsidRDefault="00DC261A" w:rsidP="00063A50">
      <w:pPr>
        <w:pStyle w:val="ListParagraph"/>
        <w:tabs>
          <w:tab w:val="left" w:pos="426"/>
        </w:tabs>
        <w:ind w:left="0"/>
        <w:jc w:val="center"/>
        <w:rPr>
          <w:b/>
          <w:bCs/>
          <w:caps/>
        </w:rPr>
      </w:pPr>
      <w:r w:rsidRPr="00334F18">
        <w:rPr>
          <w:b/>
          <w:bCs/>
          <w:caps/>
        </w:rPr>
        <w:t>___________________</w:t>
      </w:r>
    </w:p>
    <w:p w14:paraId="73290081" w14:textId="77777777" w:rsidR="007A2B68" w:rsidRPr="00334F18" w:rsidRDefault="007A2B68">
      <w:pPr>
        <w:rPr>
          <w:b/>
          <w:bCs/>
          <w:caps/>
        </w:rPr>
      </w:pPr>
      <w:r w:rsidRPr="00334F18">
        <w:rPr>
          <w:b/>
          <w:bCs/>
          <w:caps/>
        </w:rPr>
        <w:br w:type="page"/>
      </w:r>
    </w:p>
    <w:p w14:paraId="5055E8A8" w14:textId="3D41E490" w:rsidR="002E6F80" w:rsidRPr="00334F18" w:rsidRDefault="00CC7832" w:rsidP="00CC09D4">
      <w:pPr>
        <w:pStyle w:val="ListParagraph"/>
        <w:numPr>
          <w:ilvl w:val="0"/>
          <w:numId w:val="12"/>
        </w:numPr>
        <w:tabs>
          <w:tab w:val="left" w:pos="567"/>
        </w:tabs>
        <w:ind w:hanging="720"/>
        <w:rPr>
          <w:b/>
          <w:bCs/>
          <w:caps/>
        </w:rPr>
      </w:pPr>
      <w:r w:rsidRPr="00334F18">
        <w:rPr>
          <w:b/>
          <w:bCs/>
          <w:caps/>
        </w:rPr>
        <w:lastRenderedPageBreak/>
        <w:t>Klinikinio vertinimo a</w:t>
      </w:r>
      <w:r w:rsidR="00D4485B" w:rsidRPr="00334F18">
        <w:rPr>
          <w:b/>
          <w:bCs/>
          <w:caps/>
        </w:rPr>
        <w:t>pibendrinimas</w:t>
      </w:r>
    </w:p>
    <w:p w14:paraId="39C1ADA8" w14:textId="77777777" w:rsidR="00AC5129" w:rsidRDefault="00AC5129" w:rsidP="00A93AA6">
      <w:pPr>
        <w:pStyle w:val="ListParagraph"/>
        <w:tabs>
          <w:tab w:val="left" w:pos="426"/>
        </w:tabs>
        <w:ind w:left="0"/>
        <w:rPr>
          <w:b/>
          <w:bCs/>
          <w:caps/>
        </w:rPr>
      </w:pPr>
    </w:p>
    <w:p w14:paraId="4DF0BEEE" w14:textId="77777777" w:rsidR="00CC4E89" w:rsidRDefault="00CC4E89" w:rsidP="00CC4E89">
      <w:pPr>
        <w:spacing w:line="276" w:lineRule="auto"/>
        <w:ind w:firstLine="720"/>
        <w:jc w:val="both"/>
        <w:rPr>
          <w:rFonts w:eastAsia="Arial"/>
        </w:rPr>
      </w:pPr>
      <w:r w:rsidRPr="00C25F3B">
        <w:rPr>
          <w:rFonts w:eastAsia="Arial"/>
        </w:rPr>
        <w:t>Krono liga (KL) yra lėtinė, progresuojanti, recidyvuojanti žarnyno uždegiminė liga, kuriai būdingas transmuralus žarnos uždegimas. KL dažniausiai pasireiškia lėtiniu, besikartojančiu pilvo skausmu su viduriavimu. KL gali pažeisti bet kurią virškinamojo kanalo dalį, pažeidimams būdingas segmentiškumas, kuomet normalios žarnos sienelės plotai yra pertraukiami Krono ligai tipingų pokyčių: glių, aftinių opų, opėjančios stenozės, pseudopolipų, randų. Dažniausios Krono ligos komplikacijos yra virškinamojo kanalo striktūros, pilvo arba perianaliniai abscesai, fistulės bei kolorektalinis vėžys</w:t>
      </w:r>
    </w:p>
    <w:p w14:paraId="27D99D1C" w14:textId="6107D6CB" w:rsidR="00CC4E89" w:rsidRDefault="00CC4E89" w:rsidP="00CC4E89">
      <w:pPr>
        <w:spacing w:line="276" w:lineRule="auto"/>
        <w:ind w:firstLine="720"/>
        <w:jc w:val="both"/>
      </w:pPr>
      <w:r w:rsidRPr="00C25F3B">
        <w:rPr>
          <w:rFonts w:eastAsia="Arial"/>
        </w:rPr>
        <w:t xml:space="preserve">Pagal </w:t>
      </w:r>
      <w:r w:rsidRPr="00414817">
        <w:t xml:space="preserve">Lietuvos </w:t>
      </w:r>
      <w:r>
        <w:t>R</w:t>
      </w:r>
      <w:r w:rsidRPr="00414817">
        <w:t>espublikos sveikatos apsaugos ministro įsakymu</w:t>
      </w:r>
      <w:r w:rsidRPr="00414817">
        <w:rPr>
          <w:b/>
          <w:bCs/>
          <w:color w:val="000000"/>
        </w:rPr>
        <w:t xml:space="preserve"> </w:t>
      </w:r>
      <w:r w:rsidRPr="00414817">
        <w:rPr>
          <w:color w:val="000000"/>
        </w:rPr>
        <w:t>„</w:t>
      </w:r>
      <w:r w:rsidRPr="00CF63CB">
        <w:rPr>
          <w:lang w:eastAsia="lt-LT"/>
        </w:rPr>
        <w:t>Dėl </w:t>
      </w:r>
      <w:r>
        <w:rPr>
          <w:lang w:eastAsia="lt-LT"/>
        </w:rPr>
        <w:t>K</w:t>
      </w:r>
      <w:r w:rsidRPr="00CF63CB">
        <w:rPr>
          <w:lang w:eastAsia="lt-LT"/>
        </w:rPr>
        <w:t>rono </w:t>
      </w:r>
      <w:r w:rsidRPr="00CF63CB">
        <w:rPr>
          <w:i/>
          <w:iCs/>
          <w:lang w:eastAsia="lt-LT"/>
        </w:rPr>
        <w:t>(</w:t>
      </w:r>
      <w:r>
        <w:rPr>
          <w:i/>
          <w:iCs/>
          <w:lang w:eastAsia="lt-LT"/>
        </w:rPr>
        <w:t>C</w:t>
      </w:r>
      <w:r w:rsidRPr="00CF63CB">
        <w:rPr>
          <w:i/>
          <w:iCs/>
          <w:lang w:eastAsia="lt-LT"/>
        </w:rPr>
        <w:t>rohn</w:t>
      </w:r>
      <w:r w:rsidRPr="00CF63CB">
        <w:rPr>
          <w:lang w:eastAsia="lt-LT"/>
        </w:rPr>
        <w:t>) ligos (sritinio enterito) diagnostikos ir gydymo vaistais, kurių įsigijimo išlaidos apmokamos privalomojo sveikatos draudimo fondo biudžeto lėšomis, tvarkos aprašo patvirtinimo</w:t>
      </w:r>
      <w:r w:rsidRPr="00414817">
        <w:t>“</w:t>
      </w:r>
      <w:r>
        <w:t>,</w:t>
      </w:r>
      <w:r w:rsidRPr="00414817">
        <w:t xml:space="preserve"> 2018</w:t>
      </w:r>
      <w:r>
        <w:t xml:space="preserve"> m. vasario </w:t>
      </w:r>
      <w:r w:rsidRPr="00414817">
        <w:t>12</w:t>
      </w:r>
      <w:r>
        <w:t xml:space="preserve"> d. </w:t>
      </w:r>
      <w:r w:rsidRPr="00414817">
        <w:t>Nr. V-15</w:t>
      </w:r>
      <w:r>
        <w:t>8,</w:t>
      </w:r>
      <w:r w:rsidRPr="00414817">
        <w:rPr>
          <w:b/>
          <w:bCs/>
        </w:rPr>
        <w:t xml:space="preserve"> </w:t>
      </w:r>
      <w:r w:rsidRPr="00414817">
        <w:t xml:space="preserve">patvirtintą </w:t>
      </w:r>
      <w:r>
        <w:t>Krono ligos</w:t>
      </w:r>
      <w:r w:rsidRPr="00414817">
        <w:t xml:space="preserve"> gydymo aprašą</w:t>
      </w:r>
      <w:r w:rsidRPr="00C25F3B">
        <w:rPr>
          <w:rFonts w:eastAsia="Arial"/>
        </w:rPr>
        <w:t xml:space="preserve"> (toliau - Aprašas), liga skirstoma į lengvą, vidutinę ir sunkią formas</w:t>
      </w:r>
      <w:r>
        <w:rPr>
          <w:rFonts w:eastAsia="Arial"/>
        </w:rPr>
        <w:t xml:space="preserve">. </w:t>
      </w:r>
      <w:r w:rsidRPr="00C25F3B">
        <w:t xml:space="preserve">Pagal </w:t>
      </w:r>
      <w:r>
        <w:t xml:space="preserve"> Lietuvos </w:t>
      </w:r>
      <w:r w:rsidRPr="00C25F3B">
        <w:t>Respublikos sveikatos apsaugos ministro 2000 m. sausio 28 d. įsakyme Nr. 49 „Dėl kompensuojamųjų vaistų sąrašų patvirtinimo“ pateiktą ligų ir kompensuojamųjų vaistų joms gydyti sąrašą, KL gydymui kompensuojami šie medikamentai: mesalazinas, sulfazalazinas, budezonidas, predizolonas, azatioprinas, TNFα inhibitoriai adalimumabas ir infliksimabas</w:t>
      </w:r>
      <w:r>
        <w:t xml:space="preserve"> ir</w:t>
      </w:r>
      <w:r w:rsidRPr="00C25F3B">
        <w:t xml:space="preserve"> vendolizumabas, Įsakyme vendolizumabas apribotas skyrimo sąlygomis: </w:t>
      </w:r>
      <w:r w:rsidRPr="00C25F3B">
        <w:rPr>
          <w:lang w:eastAsia="lt-LT"/>
        </w:rPr>
        <w:t>skiriamas pacientams, kuriems įprastinis gydymas ar gydymas tumoro nekrozės faktoriaus inhibitoriais sukėlė nepakankamą atsaką, atsakas išnyko arba gydymas buvo netoleruojamas.</w:t>
      </w:r>
      <w:r>
        <w:rPr>
          <w:lang w:eastAsia="lt-LT"/>
        </w:rPr>
        <w:t xml:space="preserve"> Antros arba </w:t>
      </w:r>
      <w:r>
        <w:t>tolesnės eilės</w:t>
      </w:r>
      <w:r>
        <w:rPr>
          <w:lang w:eastAsia="lt-LT"/>
        </w:rPr>
        <w:t xml:space="preserve"> gydymui papildomai gali būti skiriamas </w:t>
      </w:r>
      <w:r>
        <w:t>upadacitinibas</w:t>
      </w:r>
      <w:r w:rsidRPr="00D109C2">
        <w:t xml:space="preserve"> </w:t>
      </w:r>
      <w:r w:rsidRPr="00C25F3B">
        <w:t>bei ustekinumabas</w:t>
      </w:r>
      <w:r>
        <w:t>.</w:t>
      </w:r>
    </w:p>
    <w:p w14:paraId="0491B690" w14:textId="77777777" w:rsidR="00734A40" w:rsidRDefault="00734A40" w:rsidP="00734A40">
      <w:pPr>
        <w:spacing w:line="276" w:lineRule="auto"/>
        <w:ind w:firstLine="720"/>
        <w:jc w:val="both"/>
        <w:rPr>
          <w:rFonts w:eastAsia="Arial"/>
          <w:color w:val="000000" w:themeColor="text1"/>
        </w:rPr>
      </w:pPr>
      <w:r w:rsidRPr="00A81DC8">
        <w:rPr>
          <w:rFonts w:eastAsia="Arial"/>
          <w:color w:val="000000" w:themeColor="text1"/>
        </w:rPr>
        <w:t xml:space="preserve">Remiantis Europos Krono ir Kolito organizacijos gydymo gairėmis ( </w:t>
      </w:r>
      <w:r w:rsidRPr="00A81DC8">
        <w:rPr>
          <w:rFonts w:eastAsia="Arial"/>
          <w:i/>
          <w:color w:val="000000" w:themeColor="text1"/>
        </w:rPr>
        <w:t xml:space="preserve">angl. ECCO Guidelines on Therapeutics in Crohn's Disease: Medical Treatment (Crohn’s and Colitis Organisation, </w:t>
      </w:r>
      <w:r w:rsidRPr="00A81DC8">
        <w:rPr>
          <w:rFonts w:eastAsia="Arial"/>
          <w:color w:val="000000" w:themeColor="text1"/>
        </w:rPr>
        <w:t>20</w:t>
      </w:r>
      <w:r>
        <w:rPr>
          <w:rFonts w:eastAsia="Arial"/>
          <w:color w:val="000000" w:themeColor="text1"/>
        </w:rPr>
        <w:t>19 ir 2024</w:t>
      </w:r>
      <w:r w:rsidRPr="00A81DC8">
        <w:rPr>
          <w:rFonts w:eastAsia="Arial"/>
          <w:color w:val="000000" w:themeColor="text1"/>
        </w:rPr>
        <w:t>), gydymas TNFα inhibitoriumi (infliksumabu arba adalimumabu) pirmiausiai skiriamas pacientams, sergantiems vidutinio sunkumo ir sunkia KL forma, kai įprastinis gydymas GK arba GK kartu su imunomoduliatorias yra neveiksmingas. Jei TNFα neefektyvus arba netoleruojamas rekomenduojama skirti vedolizumabą arba  ustekumabą</w:t>
      </w:r>
      <w:r>
        <w:rPr>
          <w:rFonts w:eastAsia="Arial"/>
          <w:color w:val="000000" w:themeColor="text1"/>
        </w:rPr>
        <w:t>,</w:t>
      </w:r>
      <w:r w:rsidRPr="00A63647">
        <w:rPr>
          <w:rFonts w:eastAsia="Arial"/>
          <w:color w:val="000000" w:themeColor="text1"/>
        </w:rPr>
        <w:t xml:space="preserve"> </w:t>
      </w:r>
      <w:r>
        <w:rPr>
          <w:rFonts w:eastAsia="Arial"/>
          <w:color w:val="000000" w:themeColor="text1"/>
        </w:rPr>
        <w:t xml:space="preserve">arba </w:t>
      </w:r>
      <w:r>
        <w:t>upadacitinibas</w:t>
      </w:r>
      <w:r w:rsidRPr="00A81DC8">
        <w:rPr>
          <w:rFonts w:eastAsia="Arial"/>
          <w:color w:val="000000" w:themeColor="text1"/>
        </w:rPr>
        <w:t xml:space="preserve">. </w:t>
      </w:r>
      <w:r>
        <w:rPr>
          <w:rFonts w:eastAsia="Arial"/>
          <w:color w:val="000000" w:themeColor="text1"/>
        </w:rPr>
        <w:t>Šie v</w:t>
      </w:r>
      <w:r w:rsidRPr="00A81DC8">
        <w:rPr>
          <w:rFonts w:eastAsia="Arial"/>
          <w:color w:val="000000" w:themeColor="text1"/>
        </w:rPr>
        <w:t>aistiniai preparatai rekomenduojami indukcijos gydymui bei remisijos palaikymu</w:t>
      </w:r>
      <w:r>
        <w:rPr>
          <w:rFonts w:eastAsia="Arial"/>
          <w:color w:val="000000" w:themeColor="text1"/>
        </w:rPr>
        <w:t>.</w:t>
      </w:r>
    </w:p>
    <w:p w14:paraId="65156B8E" w14:textId="77777777" w:rsidR="00734A40" w:rsidRDefault="00734A40" w:rsidP="00734A40">
      <w:pPr>
        <w:spacing w:line="276" w:lineRule="auto"/>
        <w:ind w:firstLine="720"/>
        <w:jc w:val="both"/>
      </w:pPr>
      <w:r w:rsidRPr="005656B2">
        <w:rPr>
          <w:iCs/>
        </w:rPr>
        <w:t xml:space="preserve">Atsižvelgiant į įprastą klinikinę praktiką Lietuvoje, </w:t>
      </w:r>
      <w:r w:rsidRPr="002A63B0">
        <w:rPr>
          <w:i/>
        </w:rPr>
        <w:t>ustekinumabas</w:t>
      </w:r>
      <w:r w:rsidRPr="002A63B0">
        <w:rPr>
          <w:rFonts w:eastAsia="Arial"/>
          <w:i/>
          <w:color w:val="000000" w:themeColor="text1"/>
        </w:rPr>
        <w:t xml:space="preserve"> ir upadacitinibas</w:t>
      </w:r>
      <w:r w:rsidRPr="005656B2">
        <w:rPr>
          <w:iCs/>
        </w:rPr>
        <w:t xml:space="preserve"> yra laikom</w:t>
      </w:r>
      <w:r>
        <w:rPr>
          <w:iCs/>
        </w:rPr>
        <w:t>i</w:t>
      </w:r>
      <w:r w:rsidRPr="005656B2">
        <w:rPr>
          <w:iCs/>
        </w:rPr>
        <w:t xml:space="preserve"> tinkam</w:t>
      </w:r>
      <w:r>
        <w:rPr>
          <w:iCs/>
        </w:rPr>
        <w:t>ais</w:t>
      </w:r>
      <w:r w:rsidRPr="005656B2">
        <w:rPr>
          <w:iCs/>
        </w:rPr>
        <w:t xml:space="preserve"> palyginam</w:t>
      </w:r>
      <w:r>
        <w:rPr>
          <w:iCs/>
        </w:rPr>
        <w:t>aisiais</w:t>
      </w:r>
      <w:r w:rsidRPr="005656B2">
        <w:rPr>
          <w:iCs/>
        </w:rPr>
        <w:t xml:space="preserve"> </w:t>
      </w:r>
      <w:r>
        <w:rPr>
          <w:iCs/>
        </w:rPr>
        <w:t xml:space="preserve">vaistiniais preparatais vertinant </w:t>
      </w:r>
      <w:r>
        <w:rPr>
          <w:rFonts w:eastAsia="Arial"/>
          <w:color w:val="000000" w:themeColor="text1"/>
        </w:rPr>
        <w:t xml:space="preserve">guselkumabo veiksmingumą gydant </w:t>
      </w:r>
      <w:r w:rsidRPr="00F900C4">
        <w:t>vidutinio sunkumo ir sunkios aktyvios Krono ligos suaugusi</w:t>
      </w:r>
      <w:r>
        <w:t>u</w:t>
      </w:r>
      <w:r w:rsidRPr="00F900C4">
        <w:t>s pacient</w:t>
      </w:r>
      <w:r>
        <w:t>us</w:t>
      </w:r>
      <w:r w:rsidRPr="00F900C4">
        <w:t>, kuriems pasireiškė nepakankamas atsakas į įprastą</w:t>
      </w:r>
      <w:r w:rsidRPr="00F134F0">
        <w:t xml:space="preserve"> gydymą ar biologinę terapiją, atsakas pranyko arba jie tokio gydymo netoleravo</w:t>
      </w:r>
      <w:r>
        <w:t>.</w:t>
      </w:r>
    </w:p>
    <w:p w14:paraId="01CC1E1A" w14:textId="0CB27373" w:rsidR="00734A40" w:rsidRDefault="005166B1" w:rsidP="00734A40">
      <w:pPr>
        <w:tabs>
          <w:tab w:val="left" w:pos="492"/>
        </w:tabs>
        <w:spacing w:line="276" w:lineRule="auto"/>
        <w:jc w:val="both"/>
        <w:outlineLvl w:val="1"/>
        <w:rPr>
          <w:rFonts w:eastAsia="Arial"/>
          <w:b/>
        </w:rPr>
      </w:pPr>
      <w:r>
        <w:tab/>
      </w:r>
      <w:r>
        <w:tab/>
      </w:r>
      <w:r w:rsidR="00734A40" w:rsidRPr="003231FD">
        <w:t xml:space="preserve">Guselkumabo veiksmingumas ir saugumas buvo vertinamas trijuose III fazės klinikiniuose tyrimuose su suaugusiais pacientais, sergančiais vidutinio sunkumo ar sunkia aktyvia Krono liga, </w:t>
      </w:r>
      <w:r w:rsidR="00734A40" w:rsidRPr="00DB44EB">
        <w:t>kuriems pasireiškė nepakankamas atsakas arba atsakas pranyko, arba jie netoleravo gydymo per burną vartojamais kortikosteroidais, įprastais imunomoduliatoriais (AZA, 6-MP, MTX) ir (arba) biologinės terapijos (TNF blokatoriumi ar vedolizumabu): du tokio paties dizaino 48 savaičių trukmės daugiacentriai atsitiktinių imčių dvigubai koduoti placebu ir aktyviu vaistiniu preparatu (ustekinumabu) kontroliuojami paralelinių grupių tyrimai (GALAXI 2 ir GALAXI 3) bei vienas 24 savaičių trukmės daugiacentris atsitiktinių imčių dvigubai koduotas placebu kontroliuojamas paralelinių grupių tyrimas (GRAVITI). Visų trijų tyrimų dizaine buvo numatytas gydymas tyrimo metu: pacientai, paskirti vartoti guselkumabą (ar ustekinumabą tyrimuose GALAXI 2 ir GALAXI 3), paskirtą gydymą vartojo viso tyrimo metu.</w:t>
      </w:r>
    </w:p>
    <w:p w14:paraId="0EAB740F" w14:textId="3503C71D" w:rsidR="00734A40" w:rsidRPr="00021EF5" w:rsidRDefault="00734A40" w:rsidP="00734A40">
      <w:pPr>
        <w:tabs>
          <w:tab w:val="left" w:pos="492"/>
        </w:tabs>
        <w:spacing w:line="276" w:lineRule="auto"/>
        <w:jc w:val="both"/>
        <w:outlineLvl w:val="1"/>
        <w:rPr>
          <w:lang w:eastAsia="lt-LT"/>
        </w:rPr>
      </w:pPr>
      <w:r>
        <w:rPr>
          <w:lang w:eastAsia="lt-LT"/>
        </w:rPr>
        <w:tab/>
      </w:r>
      <w:r w:rsidR="005166B1">
        <w:rPr>
          <w:lang w:eastAsia="lt-LT"/>
        </w:rPr>
        <w:tab/>
      </w:r>
      <w:r w:rsidRPr="00021EF5">
        <w:rPr>
          <w:lang w:eastAsia="lt-LT"/>
        </w:rPr>
        <w:t xml:space="preserve">Remiantis GALAXI2 ir GALAXI3 tyrimų duomenimis, 52,8 proc. ir 51,9 proc. pacientų anksčiau buvo nustatytas nepakankamas atsakas į ankstesnį gydymą biologiniais vaistais arba jų </w:t>
      </w:r>
      <w:r w:rsidRPr="00021EF5">
        <w:rPr>
          <w:lang w:eastAsia="lt-LT"/>
        </w:rPr>
        <w:lastRenderedPageBreak/>
        <w:t>netoleravimas (BIO-nesėkmės grupė), atitinkamai. Atsižvelgiant į įprastą klinikinę praktiką, kurioje ustekinumabas skiriamas kaip antros ir/arba tolimesnės eilės gydymas, pacientai, kuriems gydymas biologiniais vaistiniais nebuvo nesėkmingas, yra populiacija, kurioje bus vertinamas guselkumabo palyginamasis veiksmingumas. Todėl, laikoma, kad GALAXI2 ir GALAXI3 tyrimų populiacija iš dalies atitinka Lietuvos pacientų sergančių Krono liga populiaciją. Naudojami statistiniai metodai laikomi tinkamais duomenų analizei.</w:t>
      </w:r>
    </w:p>
    <w:p w14:paraId="62902829" w14:textId="77777777" w:rsidR="00734A40" w:rsidRPr="00021EF5" w:rsidRDefault="00734A40" w:rsidP="00734A40">
      <w:pPr>
        <w:tabs>
          <w:tab w:val="left" w:pos="492"/>
        </w:tabs>
        <w:spacing w:line="276" w:lineRule="auto"/>
        <w:jc w:val="both"/>
        <w:outlineLvl w:val="1"/>
        <w:rPr>
          <w:i/>
          <w:iCs/>
          <w:lang w:eastAsia="lt-LT"/>
        </w:rPr>
      </w:pPr>
      <w:r>
        <w:rPr>
          <w:lang w:eastAsia="lt-LT"/>
        </w:rPr>
        <w:tab/>
      </w:r>
      <w:r w:rsidRPr="00021EF5">
        <w:rPr>
          <w:i/>
          <w:iCs/>
          <w:lang w:eastAsia="lt-LT"/>
        </w:rPr>
        <w:t>Tiesioginis palyginimas</w:t>
      </w:r>
    </w:p>
    <w:p w14:paraId="4F618D07" w14:textId="77777777" w:rsidR="00734A40" w:rsidRDefault="00734A40" w:rsidP="00734A40">
      <w:pPr>
        <w:tabs>
          <w:tab w:val="left" w:pos="492"/>
        </w:tabs>
        <w:spacing w:line="276" w:lineRule="auto"/>
        <w:jc w:val="both"/>
        <w:outlineLvl w:val="1"/>
        <w:rPr>
          <w:lang w:eastAsia="lt-LT"/>
        </w:rPr>
      </w:pPr>
      <w:r w:rsidRPr="00021EF5">
        <w:rPr>
          <w:lang w:eastAsia="lt-LT"/>
        </w:rPr>
        <w:t>Atsižvelgiant į klinikinę praktiką Lietuvoje (žr. Aprašą), išsamūs pirminių ir antrinių baigčių analizės rezultatai bu</w:t>
      </w:r>
      <w:r>
        <w:rPr>
          <w:lang w:eastAsia="lt-LT"/>
        </w:rPr>
        <w:t>vo</w:t>
      </w:r>
      <w:r w:rsidRPr="00021EF5">
        <w:rPr>
          <w:lang w:eastAsia="lt-LT"/>
        </w:rPr>
        <w:t xml:space="preserve"> vertinami tik pacientų, kurie buvo nesėkmingai gydomi mažiausiai vienu anksčiau taikytu biologiniu vaistiniu preparatu, pogrupyje.</w:t>
      </w:r>
    </w:p>
    <w:p w14:paraId="6C6C211A" w14:textId="77777777" w:rsidR="00734A40" w:rsidRDefault="00734A40" w:rsidP="00734A40">
      <w:pPr>
        <w:pStyle w:val="Tekstas"/>
        <w:spacing w:line="276" w:lineRule="auto"/>
        <w:ind w:firstLine="720"/>
        <w:rPr>
          <w:lang w:val="lt-LT"/>
        </w:rPr>
      </w:pPr>
      <w:r w:rsidRPr="00EF6E77">
        <w:rPr>
          <w:lang w:val="lt-LT"/>
        </w:rPr>
        <w:t xml:space="preserve">Bendros pirminės vertinamosios baigtys: </w:t>
      </w:r>
      <w:r w:rsidRPr="00EF6E77">
        <w:rPr>
          <w:b/>
          <w:lang w:val="lt-LT"/>
        </w:rPr>
        <w:t>klinikinė</w:t>
      </w:r>
      <w:r w:rsidRPr="00EF6E77">
        <w:rPr>
          <w:b/>
          <w:spacing w:val="-8"/>
          <w:lang w:val="lt-LT"/>
        </w:rPr>
        <w:t xml:space="preserve"> </w:t>
      </w:r>
      <w:r w:rsidRPr="00EF6E77">
        <w:rPr>
          <w:b/>
          <w:lang w:val="lt-LT"/>
        </w:rPr>
        <w:t>remisija</w:t>
      </w:r>
      <w:r w:rsidRPr="00EF6E77">
        <w:rPr>
          <w:b/>
          <w:spacing w:val="-8"/>
          <w:lang w:val="lt-LT"/>
        </w:rPr>
        <w:t xml:space="preserve"> </w:t>
      </w:r>
      <w:r w:rsidRPr="00EF6E77">
        <w:rPr>
          <w:b/>
          <w:lang w:val="lt-LT"/>
        </w:rPr>
        <w:t>12-ąją</w:t>
      </w:r>
      <w:r w:rsidRPr="00EF6E77">
        <w:rPr>
          <w:b/>
          <w:spacing w:val="-7"/>
          <w:lang w:val="lt-LT"/>
        </w:rPr>
        <w:t xml:space="preserve"> </w:t>
      </w:r>
      <w:r w:rsidRPr="00EF6E77">
        <w:rPr>
          <w:b/>
          <w:spacing w:val="-2"/>
          <w:lang w:val="lt-LT"/>
        </w:rPr>
        <w:t>savaitę (</w:t>
      </w:r>
      <w:r w:rsidRPr="00EF6E77">
        <w:rPr>
          <w:lang w:val="lt-LT"/>
        </w:rPr>
        <w:t xml:space="preserve">KLAI balas &lt; 150) bei </w:t>
      </w:r>
      <w:r w:rsidRPr="00EF6E77">
        <w:rPr>
          <w:b/>
          <w:lang w:val="lt-LT"/>
        </w:rPr>
        <w:t>endoskopinis</w:t>
      </w:r>
      <w:r w:rsidRPr="00EF6E77">
        <w:rPr>
          <w:b/>
          <w:spacing w:val="-10"/>
          <w:lang w:val="lt-LT"/>
        </w:rPr>
        <w:t xml:space="preserve"> </w:t>
      </w:r>
      <w:r w:rsidRPr="00EF6E77">
        <w:rPr>
          <w:b/>
          <w:lang w:val="lt-LT"/>
        </w:rPr>
        <w:t>atsakas</w:t>
      </w:r>
      <w:r w:rsidRPr="00EF6E77">
        <w:rPr>
          <w:b/>
          <w:spacing w:val="-8"/>
          <w:lang w:val="lt-LT"/>
        </w:rPr>
        <w:t xml:space="preserve"> </w:t>
      </w:r>
      <w:r w:rsidRPr="00EF6E77">
        <w:rPr>
          <w:b/>
          <w:lang w:val="lt-LT"/>
        </w:rPr>
        <w:t>12-ąją</w:t>
      </w:r>
      <w:r w:rsidRPr="00EF6E77">
        <w:rPr>
          <w:b/>
          <w:spacing w:val="-9"/>
          <w:lang w:val="lt-LT"/>
        </w:rPr>
        <w:t xml:space="preserve"> </w:t>
      </w:r>
      <w:r w:rsidRPr="00EF6E77">
        <w:rPr>
          <w:b/>
          <w:spacing w:val="-2"/>
          <w:lang w:val="lt-LT"/>
        </w:rPr>
        <w:t>savaitę (</w:t>
      </w:r>
      <w:r w:rsidRPr="00EF6E77">
        <w:rPr>
          <w:lang w:val="lt-LT"/>
        </w:rPr>
        <w:t xml:space="preserve"> ≥ 50 % SES-CD balo pagerėjimas nuo pradinio vertinimo arba SES-CD balas≤ 2) laikomos tinkamomis.</w:t>
      </w:r>
      <w:r>
        <w:rPr>
          <w:lang w:val="lt-LT"/>
        </w:rPr>
        <w:t xml:space="preserve"> S</w:t>
      </w:r>
      <w:r w:rsidRPr="003231FD">
        <w:rPr>
          <w:lang w:val="lt-LT"/>
        </w:rPr>
        <w:t>varbiaus</w:t>
      </w:r>
      <w:r>
        <w:rPr>
          <w:lang w:val="lt-LT"/>
        </w:rPr>
        <w:t xml:space="preserve">ios </w:t>
      </w:r>
      <w:r w:rsidRPr="003231FD">
        <w:rPr>
          <w:lang w:val="lt-LT"/>
        </w:rPr>
        <w:t>antrin</w:t>
      </w:r>
      <w:r>
        <w:rPr>
          <w:lang w:val="lt-LT"/>
        </w:rPr>
        <w:t>ės</w:t>
      </w:r>
      <w:r w:rsidRPr="003231FD">
        <w:rPr>
          <w:lang w:val="lt-LT"/>
        </w:rPr>
        <w:t xml:space="preserve"> vertinam</w:t>
      </w:r>
      <w:r>
        <w:rPr>
          <w:lang w:val="lt-LT"/>
        </w:rPr>
        <w:t>osios</w:t>
      </w:r>
      <w:r w:rsidRPr="003231FD">
        <w:rPr>
          <w:lang w:val="lt-LT"/>
        </w:rPr>
        <w:t xml:space="preserve"> baig</w:t>
      </w:r>
      <w:r>
        <w:rPr>
          <w:lang w:val="lt-LT"/>
        </w:rPr>
        <w:t xml:space="preserve">tys buvo </w:t>
      </w:r>
      <w:r w:rsidRPr="000A3914">
        <w:rPr>
          <w:lang w:val="lt-LT"/>
        </w:rPr>
        <w:t>PRO-2 (pagal pacientų praneštus rezultatus) remisija 12-ąją savaitę</w:t>
      </w:r>
      <w:r>
        <w:rPr>
          <w:lang w:val="lt-LT"/>
        </w:rPr>
        <w:t xml:space="preserve">  bei k</w:t>
      </w:r>
      <w:r w:rsidRPr="000A3914">
        <w:rPr>
          <w:lang w:val="lt-LT"/>
        </w:rPr>
        <w:t>linikinė remisija 48-ąją savaitę ir endoskopinis atsakas 48-ąją savaitę</w:t>
      </w:r>
      <w:r>
        <w:rPr>
          <w:lang w:val="lt-LT"/>
        </w:rPr>
        <w:t>.</w:t>
      </w:r>
    </w:p>
    <w:p w14:paraId="0B3EE14D" w14:textId="18C30CE7" w:rsidR="00734A40" w:rsidRDefault="00734A40" w:rsidP="00734A40">
      <w:pPr>
        <w:pStyle w:val="Tekstas"/>
        <w:spacing w:line="276" w:lineRule="auto"/>
        <w:ind w:firstLine="720"/>
        <w:rPr>
          <w:bCs/>
          <w:lang w:val="lt-LT"/>
        </w:rPr>
      </w:pPr>
      <w:r w:rsidRPr="009E689D">
        <w:rPr>
          <w:bCs/>
          <w:lang w:val="lt-LT"/>
        </w:rPr>
        <w:t>Detaliai įvertinus GALAXI 2 ir 3 tyrimų klinikinius duomenis, nustatyta galimai nesiskirianti nauda lyginant guselkumabo ir ustekinumabo veiksmingumą, kai abu vaistiniai preparatai skiriami suaugusiems pacientams, kuriems pasireiškė nepakankamas atsakas į biologinę terapiją, atsakas pranyko arba jie tokio gydymo netoleravo, kai yra nustatyta vidutinio sunkumo arba sunki Krono liga. Vertinimo metų buvo išryškinti duomenų neapibrėžtumai, kurie susiję su kryžminiu metodu taikymu placebo grupėje ir skirtingomis ustekinumabo (8 sav.) ir  guselkumabo (12 sav.) indukcinio gydymo trukmėmis. Šie neapibrėžtumai gali turėti įtaką palankesnę guselkumabo veiksmingumo rezultatų interpretaciją, tačiau galutiniai išvadai įtakos neturi. Tikėtina, kad guselkumabo ir ustekinumabo veiksmingumas nesiskiria.</w:t>
      </w:r>
      <w:r w:rsidRPr="002D4B5E">
        <w:t xml:space="preserve"> </w:t>
      </w:r>
      <w:r>
        <w:t>E</w:t>
      </w:r>
      <w:r w:rsidRPr="002D4B5E">
        <w:rPr>
          <w:bCs/>
          <w:lang w:val="lt-LT"/>
        </w:rPr>
        <w:t>ndoskopinis atsakas ≥ 50 % SES-CD balo pagerėjimas lyginant su pradiniu vertinimu arba SES-CD balas ≤ 2 ir klinikinė remisija pagal KLAI balą &lt; 150 – buvo vertinama tyrimų 48 savaitę. Analizė parodė, kad pacientų, kurie pasiekė klinikinė remisiją ir endoskopinį atsaką (sudėtinė baigtis), dalis buvo šiek tiek didesnė guselkumabo 100 mg grupėje (42,0 proc.) ir 10,2 proc. didesnė guselkumabo 200 mg grupėje, palyginus su ustekinumabo grupe (39,2 proc.), p=0,62 ir p=0,065, atitinkamai. Panašūs rezultatai buvo gauti vertinant pacientų, pasiekusių klinikinę remisiją be kortikosteroidų 48-ąją savaitę ir PRO-2 remisija 48-ąją savaitę, dalys palyginamose grupėse. Vertinant atskirai pagal pasiektos klinikinės remisijos, endoskopinės remisijos, klinikinės remisijos be kortikosteroidų ir ilgalaikius klinikinės remisijos pacientų dažnius paliginamuose grupėse skirtumų nebuvo pastebėta</w:t>
      </w:r>
      <w:r>
        <w:rPr>
          <w:bCs/>
          <w:lang w:val="lt-LT"/>
        </w:rPr>
        <w:t xml:space="preserve">. </w:t>
      </w:r>
      <w:r w:rsidRPr="00405CCD">
        <w:rPr>
          <w:bCs/>
          <w:lang w:val="lt-LT"/>
        </w:rPr>
        <w:t>Vertinant guselkumabo ir ustekinumabo palyginamąjį efektyvumą 96 savaitę, analizė parodė, kad guselkumabu gydant vidutinio sunkumo ir sunkia KL reikšmingai daugiau pacientų pasiekė klinikinę ir endoskopinę remisiją. Atkreiptinas dėmesys, kad vertinimo met buvo išryškinti duomenų neapibrėžtumai, kurie susiję su kryžminiu metodu taikymu placebo grupėje (pacientai, kurie nepasiekė atsako į gydymą iki 12 sav., galėjo pereiti į ustekinumabo grupę) ir skirtingomis ustekinumabo (8 sav.) ir guselkumabo (12 sav.) indukcinio gydymo trukmėmis atsitiktinių imčių klinikiniuose tyrimuose GALAXI 2 ir 3.</w:t>
      </w:r>
      <w:r w:rsidRPr="00AA0D03">
        <w:t xml:space="preserve"> </w:t>
      </w:r>
      <w:r w:rsidRPr="00AA0D03">
        <w:rPr>
          <w:bCs/>
          <w:lang w:val="lt-LT"/>
        </w:rPr>
        <w:t>Vertinant ilgalaikio veiksmingumo duomenis, rezultatų neapibrėžtumas dar padidėjo dėl atviro stebėjimo dizaino nuo 48 sav. iki 96 sav., pateikti efektyvumo rezultatai vertinami kaip žvalgomieji  ir iškylantys hipotezę, kuri gali būti patvirtina tik atsitiktinių imčių maskuotame klinikiniame tyrime. Todėl remiantis tiesioginiu palyginimu išvada apie guselkumabo ir ustekinumabo palyginamąjį veiksmingumą nesikeičia, nustatyta nesiskirianti nauda.</w:t>
      </w:r>
    </w:p>
    <w:p w14:paraId="06560E62" w14:textId="6495EC3C" w:rsidR="00734A40" w:rsidRPr="00C32E6B" w:rsidRDefault="00734A40" w:rsidP="00734A40">
      <w:pPr>
        <w:spacing w:line="276" w:lineRule="auto"/>
        <w:ind w:firstLine="720"/>
        <w:jc w:val="both"/>
      </w:pPr>
      <w:r>
        <w:lastRenderedPageBreak/>
        <w:t xml:space="preserve">Saugumo duomenys. </w:t>
      </w:r>
      <w:r w:rsidRPr="00C32E6B">
        <w:t>Gus</w:t>
      </w:r>
      <w:r w:rsidR="00C14A26">
        <w:t>e</w:t>
      </w:r>
      <w:r w:rsidRPr="00C32E6B">
        <w:t xml:space="preserve">lkumabas priklauso tai pačiai terapiniai grupei kaip ir monokloniniai antikūnai ustekinumabas (mAk IL-12 ir IL-23 baltymo p40 subvienetui) </w:t>
      </w:r>
      <w:r w:rsidR="00C14A26">
        <w:t>*************</w:t>
      </w:r>
      <w:r w:rsidRPr="00C32E6B">
        <w:t>. Šios vaistinių preparatų saugumo duomenys gerai žinomi, naujų NR pateiktuose klininiuose tyrimuose nustatyta nebuvo.</w:t>
      </w:r>
      <w:r>
        <w:t xml:space="preserve"> </w:t>
      </w:r>
      <w:r>
        <w:rPr>
          <w:bCs/>
          <w:iCs/>
          <w:color w:val="000000" w:themeColor="text1"/>
          <w:lang w:eastAsia="lt-LT"/>
        </w:rPr>
        <w:t xml:space="preserve">Išsamesnė informacijja apie </w:t>
      </w:r>
      <w:r w:rsidRPr="000A2EAE">
        <w:rPr>
          <w:bCs/>
          <w:iCs/>
          <w:color w:val="000000" w:themeColor="text1"/>
          <w:lang w:eastAsia="lt-LT"/>
        </w:rPr>
        <w:t>Guselkumab</w:t>
      </w:r>
      <w:r>
        <w:rPr>
          <w:bCs/>
          <w:iCs/>
          <w:color w:val="000000" w:themeColor="text1"/>
          <w:lang w:eastAsia="lt-LT"/>
        </w:rPr>
        <w:t>o saugumo duomenis pateikta preparatų charakteristikos santraukoje.</w:t>
      </w:r>
    </w:p>
    <w:p w14:paraId="2E727D0D" w14:textId="77777777" w:rsidR="00734A40" w:rsidRPr="00E4089C" w:rsidRDefault="00734A40" w:rsidP="00734A40">
      <w:pPr>
        <w:pStyle w:val="Tekstas"/>
        <w:spacing w:line="276" w:lineRule="auto"/>
        <w:ind w:firstLine="720"/>
        <w:rPr>
          <w:bCs/>
          <w:i/>
          <w:iCs/>
          <w:lang w:val="lt-LT"/>
        </w:rPr>
      </w:pPr>
      <w:r w:rsidRPr="00E4089C">
        <w:rPr>
          <w:bCs/>
          <w:i/>
          <w:iCs/>
          <w:lang w:val="lt-LT"/>
        </w:rPr>
        <w:t>Netiesioginis palyginimas</w:t>
      </w:r>
    </w:p>
    <w:p w14:paraId="79341F14" w14:textId="721EB4D3" w:rsidR="00734A40" w:rsidRDefault="00734A40" w:rsidP="00734A40">
      <w:pPr>
        <w:spacing w:line="276" w:lineRule="auto"/>
        <w:jc w:val="both"/>
        <w:rPr>
          <w:rFonts w:eastAsia="Arial"/>
          <w:bCs/>
        </w:rPr>
      </w:pPr>
      <w:r w:rsidRPr="00C17245">
        <w:rPr>
          <w:bCs/>
        </w:rPr>
        <w:t>Netiesioginio palyginimo analizės populiacija atitinka Lietuvos pacientų sergančių Krono populiaciją.</w:t>
      </w:r>
      <w:r>
        <w:rPr>
          <w:bCs/>
        </w:rPr>
        <w:t xml:space="preserve"> </w:t>
      </w:r>
      <w:r>
        <w:rPr>
          <w:rFonts w:eastAsia="Arial"/>
          <w:bCs/>
        </w:rPr>
        <w:t>Į tinklinę meta-analizę (TMA) buvo įtraukti klinikiniai tyrimai, kurie buvo atsitiktinių imčių, maskuoti ir su panašiomis vertinamosiomis</w:t>
      </w:r>
      <w:r w:rsidRPr="00467946">
        <w:rPr>
          <w:rFonts w:eastAsia="Arial"/>
          <w:bCs/>
        </w:rPr>
        <w:t xml:space="preserve"> </w:t>
      </w:r>
      <w:r>
        <w:rPr>
          <w:rFonts w:eastAsia="Arial"/>
          <w:bCs/>
        </w:rPr>
        <w:t xml:space="preserve">baigtimi. Pacientų populiacija sudarė pacientai iš  </w:t>
      </w:r>
      <w:r w:rsidRPr="00467946">
        <w:rPr>
          <w:rFonts w:eastAsia="Arial"/>
          <w:bCs/>
        </w:rPr>
        <w:t>Europo</w:t>
      </w:r>
      <w:r>
        <w:rPr>
          <w:rFonts w:eastAsia="Arial"/>
          <w:bCs/>
        </w:rPr>
        <w:t>s</w:t>
      </w:r>
      <w:r w:rsidRPr="00467946">
        <w:rPr>
          <w:rFonts w:eastAsia="Arial"/>
          <w:bCs/>
        </w:rPr>
        <w:t>, Jungtinėse Amerikos Valstij</w:t>
      </w:r>
      <w:r>
        <w:rPr>
          <w:rFonts w:eastAsia="Arial"/>
          <w:bCs/>
        </w:rPr>
        <w:t>ų</w:t>
      </w:r>
      <w:r w:rsidRPr="00467946">
        <w:rPr>
          <w:rFonts w:eastAsia="Arial"/>
          <w:bCs/>
        </w:rPr>
        <w:t>, Kanado</w:t>
      </w:r>
      <w:r>
        <w:rPr>
          <w:rFonts w:eastAsia="Arial"/>
          <w:bCs/>
        </w:rPr>
        <w:t>s</w:t>
      </w:r>
      <w:r w:rsidRPr="00467946">
        <w:rPr>
          <w:rFonts w:eastAsia="Arial"/>
          <w:bCs/>
        </w:rPr>
        <w:t xml:space="preserve"> ir Japonijo</w:t>
      </w:r>
      <w:r>
        <w:rPr>
          <w:rFonts w:eastAsia="Arial"/>
          <w:bCs/>
        </w:rPr>
        <w:t xml:space="preserve">s, palyginamųjų vaistinių preparatų dozės buvo prieianamos. </w:t>
      </w:r>
      <w:r w:rsidRPr="00467946">
        <w:rPr>
          <w:rFonts w:eastAsia="Arial"/>
          <w:bCs/>
        </w:rPr>
        <w:t xml:space="preserve">Į 1 metų analizę buvo įtraukti tik tie tyrimai, kurių minimali stebėjimo trukmė buvo 38 savaitės. </w:t>
      </w:r>
      <w:r w:rsidRPr="00C17245">
        <w:rPr>
          <w:rFonts w:eastAsia="Arial"/>
          <w:bCs/>
        </w:rPr>
        <w:t>Netiesioginio palyginimo analizėje palyginamasis gydymas  ustekinumabas</w:t>
      </w:r>
      <w:r>
        <w:rPr>
          <w:rFonts w:eastAsia="Arial"/>
          <w:bCs/>
        </w:rPr>
        <w:t>,</w:t>
      </w:r>
      <w:r w:rsidRPr="00C17245">
        <w:rPr>
          <w:rFonts w:eastAsia="Arial"/>
          <w:bCs/>
        </w:rPr>
        <w:t xml:space="preserve"> upadacitinibas</w:t>
      </w:r>
      <w:r>
        <w:rPr>
          <w:rFonts w:eastAsia="Arial"/>
          <w:bCs/>
        </w:rPr>
        <w:t xml:space="preserve"> </w:t>
      </w:r>
      <w:r w:rsidR="00C14A26">
        <w:rPr>
          <w:rFonts w:eastAsia="Arial"/>
          <w:bCs/>
          <w:lang w:val="en-US"/>
        </w:rPr>
        <w:t>********</w:t>
      </w:r>
      <w:r w:rsidRPr="00C17245">
        <w:rPr>
          <w:rFonts w:eastAsia="Arial"/>
          <w:bCs/>
        </w:rPr>
        <w:t xml:space="preserve"> </w:t>
      </w:r>
      <w:r>
        <w:rPr>
          <w:rFonts w:eastAsia="Arial"/>
          <w:bCs/>
        </w:rPr>
        <w:t xml:space="preserve">atitinka </w:t>
      </w:r>
      <w:r w:rsidRPr="00C17245">
        <w:rPr>
          <w:rFonts w:eastAsia="Arial"/>
          <w:bCs/>
        </w:rPr>
        <w:t>įprastinę klinikinę praktiką Lietuvoje.</w:t>
      </w:r>
    </w:p>
    <w:p w14:paraId="5F994DC8" w14:textId="16872524" w:rsidR="00734A40" w:rsidRDefault="00734A40" w:rsidP="00734A40">
      <w:pPr>
        <w:pStyle w:val="Tekstas"/>
        <w:spacing w:line="276" w:lineRule="auto"/>
        <w:ind w:firstLine="720"/>
        <w:rPr>
          <w:lang w:val="lt-LT"/>
        </w:rPr>
      </w:pPr>
      <w:r w:rsidRPr="00DB44EB">
        <w:rPr>
          <w:lang w:val="lt-LT"/>
        </w:rPr>
        <w:t>Netiesioginiame palyginime</w:t>
      </w:r>
      <w:r>
        <w:rPr>
          <w:lang w:val="lt-LT"/>
        </w:rPr>
        <w:t xml:space="preserve"> (TMA)</w:t>
      </w:r>
      <w:r w:rsidRPr="00DB44EB">
        <w:rPr>
          <w:lang w:val="lt-LT"/>
        </w:rPr>
        <w:t xml:space="preserve"> indukcijos fazėje, vertinant ne</w:t>
      </w:r>
      <w:r>
        <w:rPr>
          <w:lang w:val="lt-LT"/>
        </w:rPr>
        <w:t>koreguot</w:t>
      </w:r>
      <w:r w:rsidRPr="00DB44EB">
        <w:rPr>
          <w:lang w:val="lt-LT"/>
        </w:rPr>
        <w:t xml:space="preserve">us ir </w:t>
      </w:r>
      <w:r>
        <w:rPr>
          <w:lang w:val="lt-LT"/>
        </w:rPr>
        <w:t>koreguotus</w:t>
      </w:r>
      <w:r w:rsidRPr="00DB44EB">
        <w:rPr>
          <w:lang w:val="lt-LT"/>
        </w:rPr>
        <w:t xml:space="preserve"> rezultatus, statistiškai reikšmingų klinikinio atsako ir klinikinės r</w:t>
      </w:r>
      <w:r>
        <w:rPr>
          <w:lang w:val="lt-LT"/>
        </w:rPr>
        <w:t>emisijos</w:t>
      </w:r>
      <w:r w:rsidRPr="00DB44EB">
        <w:rPr>
          <w:lang w:val="lt-LT"/>
        </w:rPr>
        <w:t xml:space="preserve">, bei endoskopinio atsako </w:t>
      </w:r>
      <w:r>
        <w:rPr>
          <w:lang w:val="lt-LT"/>
        </w:rPr>
        <w:t xml:space="preserve">dažnių reikšmingų </w:t>
      </w:r>
      <w:r w:rsidRPr="00DB44EB">
        <w:rPr>
          <w:lang w:val="lt-LT"/>
        </w:rPr>
        <w:t xml:space="preserve">skirtumų lyginant guselkumabu </w:t>
      </w:r>
      <w:r>
        <w:rPr>
          <w:lang w:val="lt-LT"/>
        </w:rPr>
        <w:t xml:space="preserve">su </w:t>
      </w:r>
      <w:r w:rsidRPr="00DB44EB">
        <w:rPr>
          <w:lang w:val="lt-LT"/>
        </w:rPr>
        <w:t>upadacitinibu</w:t>
      </w:r>
      <w:r>
        <w:rPr>
          <w:lang w:val="lt-LT"/>
        </w:rPr>
        <w:t xml:space="preserve"> arba ustekinumabu</w:t>
      </w:r>
      <w:r w:rsidRPr="00DB44EB">
        <w:rPr>
          <w:lang w:val="lt-LT"/>
        </w:rPr>
        <w:t xml:space="preserve"> </w:t>
      </w:r>
      <w:r w:rsidR="00C14A26">
        <w:t>***********</w:t>
      </w:r>
      <w:r>
        <w:rPr>
          <w:lang w:val="lt-LT"/>
        </w:rPr>
        <w:t xml:space="preserve"> </w:t>
      </w:r>
      <w:r w:rsidRPr="00DB44EB">
        <w:rPr>
          <w:lang w:val="lt-LT"/>
        </w:rPr>
        <w:t>gydytus pacientus, kurių atsakas į gydymą pirmos eilės biologiniu vaistiniu preparatu buvo nepakankamas, buvo prarastas arba gydymas pirmos eilės biologiniu vaistiniu preparatu negalimas ar netoleruojamas, nebuvo</w:t>
      </w:r>
      <w:r>
        <w:rPr>
          <w:lang w:val="lt-LT"/>
        </w:rPr>
        <w:t>.</w:t>
      </w:r>
    </w:p>
    <w:p w14:paraId="1749D3E4" w14:textId="40000F1C" w:rsidR="00734A40" w:rsidRDefault="00734A40" w:rsidP="00734A40">
      <w:pPr>
        <w:pStyle w:val="Tekstas"/>
        <w:spacing w:line="276" w:lineRule="auto"/>
        <w:ind w:firstLine="720"/>
        <w:rPr>
          <w:lang w:val="lt-LT"/>
        </w:rPr>
      </w:pPr>
      <w:r w:rsidRPr="00DB44EB">
        <w:rPr>
          <w:lang w:val="lt-LT"/>
        </w:rPr>
        <w:t>1-erių metų gydymo laikotarpiu, vertinant ne</w:t>
      </w:r>
      <w:r>
        <w:rPr>
          <w:lang w:val="lt-LT"/>
        </w:rPr>
        <w:t>koreguotus</w:t>
      </w:r>
      <w:r w:rsidRPr="00DB44EB">
        <w:rPr>
          <w:lang w:val="lt-LT"/>
        </w:rPr>
        <w:t xml:space="preserve"> ir </w:t>
      </w:r>
      <w:r>
        <w:rPr>
          <w:lang w:val="lt-LT"/>
        </w:rPr>
        <w:t>koreguotus</w:t>
      </w:r>
      <w:r w:rsidRPr="00DB44EB">
        <w:rPr>
          <w:lang w:val="lt-LT"/>
        </w:rPr>
        <w:t xml:space="preserve"> rezultatus, statistiškai reikšmingų klinikinio atsako ir klinikinės remisijos, bei endoskopinio atsako skirtumų lyginant guselkumabu </w:t>
      </w:r>
      <w:r>
        <w:rPr>
          <w:lang w:val="lt-LT"/>
        </w:rPr>
        <w:t>su</w:t>
      </w:r>
      <w:r w:rsidRPr="00DB44EB">
        <w:rPr>
          <w:lang w:val="lt-LT"/>
        </w:rPr>
        <w:t xml:space="preserve"> upadacitinibu</w:t>
      </w:r>
      <w:r>
        <w:rPr>
          <w:lang w:val="lt-LT"/>
        </w:rPr>
        <w:t>,</w:t>
      </w:r>
      <w:r w:rsidRPr="00DB44EB">
        <w:rPr>
          <w:lang w:val="lt-LT"/>
        </w:rPr>
        <w:t xml:space="preserve"> </w:t>
      </w:r>
      <w:r>
        <w:rPr>
          <w:lang w:val="lt-LT"/>
        </w:rPr>
        <w:t>arba ustekinumabu,</w:t>
      </w:r>
      <w:r w:rsidRPr="00DB44EB">
        <w:rPr>
          <w:lang w:val="lt-LT"/>
        </w:rPr>
        <w:t xml:space="preserve"> </w:t>
      </w:r>
      <w:r w:rsidR="00C14A26">
        <w:rPr>
          <w:lang w:val="lt-LT"/>
        </w:rPr>
        <w:t>*********</w:t>
      </w:r>
      <w:r>
        <w:rPr>
          <w:lang w:val="lt-LT"/>
        </w:rPr>
        <w:t xml:space="preserve"> </w:t>
      </w:r>
      <w:r w:rsidRPr="00DB44EB">
        <w:rPr>
          <w:lang w:val="lt-LT"/>
        </w:rPr>
        <w:t>gydytus pacientus, kurių atsakas į gydymą pirmos eilės biologiniu vaistiniu preparatu buvo nepakankamas, buvo prarastas arba gydymas pirmos eilės biologiniu vaistiniu preparatu negalimas ar netoleruojamas, nebuvo</w:t>
      </w:r>
      <w:r>
        <w:rPr>
          <w:lang w:val="lt-LT"/>
        </w:rPr>
        <w:t xml:space="preserve"> nepriklausomai ar tai buvo pacientai su pavėluotu atsaku ar be pavėluoto atsako į gydymą.</w:t>
      </w:r>
    </w:p>
    <w:p w14:paraId="06528A54" w14:textId="1F2FCDFC" w:rsidR="00734A40" w:rsidRDefault="00734A40" w:rsidP="00734A40">
      <w:pPr>
        <w:pStyle w:val="Tekstas"/>
        <w:spacing w:line="276" w:lineRule="auto"/>
        <w:ind w:firstLine="720"/>
        <w:rPr>
          <w:lang w:val="lt-LT"/>
        </w:rPr>
      </w:pPr>
      <w:r>
        <w:rPr>
          <w:lang w:val="lt-LT"/>
        </w:rPr>
        <w:t xml:space="preserve">Apibendrinant, palyginamasis </w:t>
      </w:r>
      <w:r w:rsidRPr="00DB44EB">
        <w:rPr>
          <w:lang w:val="lt-LT"/>
        </w:rPr>
        <w:t>guselkumab</w:t>
      </w:r>
      <w:r>
        <w:rPr>
          <w:lang w:val="lt-LT"/>
        </w:rPr>
        <w:t xml:space="preserve">o veiksmingumas </w:t>
      </w:r>
      <w:r w:rsidRPr="002B6D96">
        <w:rPr>
          <w:lang w:val="lt-LT"/>
        </w:rPr>
        <w:t>iš esmės nesiskiria, lyginant su įprasta klinikine praktika</w:t>
      </w:r>
      <w:r>
        <w:rPr>
          <w:lang w:val="lt-LT"/>
        </w:rPr>
        <w:t xml:space="preserve">, skiriant </w:t>
      </w:r>
      <w:r w:rsidRPr="00F764BC">
        <w:rPr>
          <w:lang w:val="lt-LT"/>
        </w:rPr>
        <w:t xml:space="preserve">suaugusiems pacientams, kuriems pasireiškė nepakankamas atsakas į </w:t>
      </w:r>
      <w:r w:rsidR="00D875D2">
        <w:rPr>
          <w:lang w:val="lt-LT"/>
        </w:rPr>
        <w:t xml:space="preserve">pirmos eilės </w:t>
      </w:r>
      <w:r w:rsidRPr="00F764BC">
        <w:rPr>
          <w:lang w:val="lt-LT"/>
        </w:rPr>
        <w:t>biologinę terapiją, atsakas pranyko arba jie tokio gydymo netoleravo.</w:t>
      </w:r>
    </w:p>
    <w:p w14:paraId="42145C96" w14:textId="77777777" w:rsidR="00CD1E64" w:rsidRPr="00334F18" w:rsidRDefault="00CD1E64" w:rsidP="00A93AA6">
      <w:pPr>
        <w:pStyle w:val="ListParagraph"/>
        <w:tabs>
          <w:tab w:val="left" w:pos="426"/>
        </w:tabs>
        <w:ind w:left="0"/>
        <w:rPr>
          <w:b/>
          <w:bCs/>
          <w:caps/>
        </w:rPr>
      </w:pPr>
    </w:p>
    <w:p w14:paraId="7DE09EB5" w14:textId="69E9DD74" w:rsidR="00E03C3F" w:rsidRPr="00334F18" w:rsidRDefault="00CC7832" w:rsidP="00CC09D4">
      <w:pPr>
        <w:pStyle w:val="ListParagraph"/>
        <w:numPr>
          <w:ilvl w:val="0"/>
          <w:numId w:val="12"/>
        </w:numPr>
        <w:tabs>
          <w:tab w:val="left" w:pos="567"/>
        </w:tabs>
        <w:ind w:hanging="720"/>
        <w:rPr>
          <w:b/>
          <w:bCs/>
          <w:caps/>
        </w:rPr>
      </w:pPr>
      <w:r w:rsidRPr="00334F18">
        <w:rPr>
          <w:b/>
          <w:bCs/>
          <w:caps/>
        </w:rPr>
        <w:t xml:space="preserve">ekonominio vertinimo </w:t>
      </w:r>
      <w:r w:rsidR="002F0E4F" w:rsidRPr="00334F18">
        <w:rPr>
          <w:b/>
          <w:bCs/>
          <w:caps/>
        </w:rPr>
        <w:t>apibendrinimas</w:t>
      </w:r>
    </w:p>
    <w:p w14:paraId="1A900598" w14:textId="4826E5DF" w:rsidR="00C62B36" w:rsidRPr="00334F18" w:rsidRDefault="00C62B36" w:rsidP="00A93AA6">
      <w:pPr>
        <w:tabs>
          <w:tab w:val="left" w:pos="426"/>
        </w:tabs>
        <w:rPr>
          <w:b/>
          <w:bCs/>
          <w:caps/>
        </w:rPr>
      </w:pPr>
    </w:p>
    <w:p w14:paraId="1B6657B9" w14:textId="77777777" w:rsidR="007B3C9F" w:rsidRPr="002F2691" w:rsidRDefault="007B3C9F" w:rsidP="007B3C9F">
      <w:pPr>
        <w:spacing w:line="276" w:lineRule="auto"/>
        <w:ind w:firstLine="720"/>
        <w:jc w:val="both"/>
        <w:rPr>
          <w:color w:val="000000"/>
          <w:szCs w:val="20"/>
        </w:rPr>
      </w:pPr>
      <w:r w:rsidRPr="002F2691">
        <w:rPr>
          <w:rFonts w:eastAsia="Arial"/>
          <w:color w:val="000000"/>
        </w:rPr>
        <w:t xml:space="preserve">Vykdant </w:t>
      </w:r>
      <w:r w:rsidRPr="002F2691">
        <w:rPr>
          <w:color w:val="000000"/>
          <w:szCs w:val="20"/>
        </w:rPr>
        <w:t>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(toliau – Aprašas) 17</w:t>
      </w:r>
      <w:r w:rsidRPr="002F2691">
        <w:rPr>
          <w:color w:val="000000"/>
          <w:szCs w:val="20"/>
          <w:vertAlign w:val="superscript"/>
        </w:rPr>
        <w:t>3</w:t>
      </w:r>
      <w:r w:rsidRPr="002F2691">
        <w:rPr>
          <w:color w:val="000000"/>
          <w:szCs w:val="20"/>
        </w:rPr>
        <w:t xml:space="preserve"> punktą, ekonominis vertinimas neatliekamas </w:t>
      </w:r>
      <w:r w:rsidRPr="002F2691">
        <w:rPr>
          <w:rFonts w:eastAsia="Arial"/>
          <w:color w:val="000000"/>
        </w:rPr>
        <w:t xml:space="preserve">klinikinio vertinimo metu nustačius </w:t>
      </w:r>
      <w:r w:rsidRPr="002F2691">
        <w:rPr>
          <w:bCs/>
          <w:i/>
          <w:iCs/>
          <w:color w:val="000000"/>
          <w:lang w:eastAsia="lt-LT"/>
        </w:rPr>
        <w:t>iš esmės nesiskiriantį</w:t>
      </w:r>
      <w:r w:rsidRPr="002F2691">
        <w:rPr>
          <w:rFonts w:eastAsia="Arial"/>
          <w:color w:val="000000"/>
        </w:rPr>
        <w:t xml:space="preserve"> palyginamąjį veiksmingumą lyginant su įprasta klinikine praktika (atitinka </w:t>
      </w:r>
      <w:r w:rsidRPr="002F2691">
        <w:rPr>
          <w:color w:val="000000"/>
          <w:szCs w:val="20"/>
        </w:rPr>
        <w:t>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29.1.2 papunktį).</w:t>
      </w:r>
    </w:p>
    <w:p w14:paraId="33875138" w14:textId="77777777" w:rsidR="0035172D" w:rsidRPr="00334F18" w:rsidRDefault="0035172D" w:rsidP="00A93AA6">
      <w:pPr>
        <w:tabs>
          <w:tab w:val="left" w:pos="426"/>
        </w:tabs>
        <w:rPr>
          <w:b/>
          <w:bCs/>
          <w:caps/>
        </w:rPr>
      </w:pPr>
    </w:p>
    <w:p w14:paraId="4FC424F9" w14:textId="4E767245" w:rsidR="00C62B36" w:rsidRPr="00334F18" w:rsidRDefault="00C62B36" w:rsidP="00CC09D4">
      <w:pPr>
        <w:pStyle w:val="ListParagraph"/>
        <w:numPr>
          <w:ilvl w:val="0"/>
          <w:numId w:val="12"/>
        </w:numPr>
        <w:tabs>
          <w:tab w:val="left" w:pos="567"/>
        </w:tabs>
        <w:ind w:hanging="720"/>
        <w:rPr>
          <w:b/>
          <w:bCs/>
          <w:caps/>
        </w:rPr>
      </w:pPr>
      <w:r w:rsidRPr="00334F18">
        <w:rPr>
          <w:b/>
          <w:bCs/>
          <w:caps/>
        </w:rPr>
        <w:t xml:space="preserve">Pacientų organizacijų pateikti duomenys </w:t>
      </w:r>
    </w:p>
    <w:p w14:paraId="54351841" w14:textId="77777777" w:rsidR="00C9728E" w:rsidRPr="00334F18" w:rsidRDefault="00C9728E" w:rsidP="00C9728E">
      <w:pPr>
        <w:pStyle w:val="ListParagraph"/>
        <w:tabs>
          <w:tab w:val="left" w:pos="567"/>
        </w:tabs>
        <w:rPr>
          <w:b/>
          <w:bCs/>
          <w:caps/>
        </w:rPr>
      </w:pPr>
    </w:p>
    <w:p w14:paraId="62992180" w14:textId="5F9A69E9" w:rsidR="00937907" w:rsidRPr="00334F18" w:rsidRDefault="00937907" w:rsidP="00937907">
      <w:pPr>
        <w:spacing w:after="120"/>
        <w:jc w:val="both"/>
      </w:pPr>
      <w:r w:rsidRPr="00334F18">
        <w:t xml:space="preserve">Pacientų organizacijos pozicija </w:t>
      </w:r>
      <w:r w:rsidR="00880A44" w:rsidRPr="00334F18">
        <w:t>ne</w:t>
      </w:r>
      <w:r w:rsidRPr="00334F18">
        <w:t>pateikta.</w:t>
      </w:r>
    </w:p>
    <w:p w14:paraId="03E73D82" w14:textId="77777777" w:rsidR="00D417D2" w:rsidRPr="00334F18" w:rsidRDefault="00D417D2" w:rsidP="00937907">
      <w:pPr>
        <w:spacing w:after="120"/>
        <w:jc w:val="both"/>
      </w:pPr>
    </w:p>
    <w:p w14:paraId="3D3277FA" w14:textId="09414FFF" w:rsidR="00C62B36" w:rsidRPr="00334F18" w:rsidRDefault="00D67BAF" w:rsidP="00CC09D4">
      <w:pPr>
        <w:pStyle w:val="ListParagraph"/>
        <w:numPr>
          <w:ilvl w:val="0"/>
          <w:numId w:val="12"/>
        </w:numPr>
        <w:tabs>
          <w:tab w:val="left" w:pos="567"/>
        </w:tabs>
        <w:ind w:hanging="720"/>
        <w:rPr>
          <w:b/>
          <w:bCs/>
          <w:caps/>
        </w:rPr>
      </w:pPr>
      <w:r w:rsidRPr="00334F18">
        <w:rPr>
          <w:b/>
          <w:bCs/>
          <w:caps/>
        </w:rPr>
        <w:t xml:space="preserve">SVEIKATOS PRIEŽIŪROS SPECIALISTŲ </w:t>
      </w:r>
      <w:r w:rsidR="00C62B36" w:rsidRPr="00334F18">
        <w:rPr>
          <w:b/>
          <w:bCs/>
          <w:caps/>
        </w:rPr>
        <w:t xml:space="preserve"> organizacijų pateikti duomenys</w:t>
      </w:r>
    </w:p>
    <w:p w14:paraId="044D5084" w14:textId="77777777" w:rsidR="00C9728E" w:rsidRPr="00334F18" w:rsidRDefault="00C9728E" w:rsidP="00C9728E">
      <w:pPr>
        <w:pStyle w:val="ListParagraph"/>
        <w:tabs>
          <w:tab w:val="left" w:pos="567"/>
        </w:tabs>
        <w:rPr>
          <w:b/>
          <w:bCs/>
          <w:caps/>
        </w:rPr>
      </w:pPr>
    </w:p>
    <w:p w14:paraId="5D8CC48C" w14:textId="44222503" w:rsidR="00662983" w:rsidRPr="00334F18" w:rsidRDefault="00D67BAF" w:rsidP="00662983">
      <w:pPr>
        <w:spacing w:after="120"/>
        <w:jc w:val="both"/>
      </w:pPr>
      <w:r w:rsidRPr="00334F18">
        <w:t>S</w:t>
      </w:r>
      <w:r w:rsidRPr="00334F18">
        <w:rPr>
          <w:bCs/>
        </w:rPr>
        <w:t>veikatos priežiūros specialistų</w:t>
      </w:r>
      <w:r w:rsidR="00937907" w:rsidRPr="00334F18">
        <w:t xml:space="preserve"> organizacijos pozicija </w:t>
      </w:r>
      <w:r w:rsidR="00880A44" w:rsidRPr="00334F18">
        <w:t>ne</w:t>
      </w:r>
      <w:r w:rsidR="00937907" w:rsidRPr="00334F18">
        <w:t>pateikta.</w:t>
      </w:r>
    </w:p>
    <w:p w14:paraId="3701D46A" w14:textId="77777777" w:rsidR="00A042B9" w:rsidRPr="00334F18" w:rsidRDefault="00A042B9" w:rsidP="00662983">
      <w:pPr>
        <w:spacing w:after="120"/>
        <w:jc w:val="both"/>
      </w:pPr>
    </w:p>
    <w:p w14:paraId="78F23ECB" w14:textId="3ED5BFD5" w:rsidR="002F0E4F" w:rsidRPr="00334F18" w:rsidRDefault="002F0E4F" w:rsidP="00CC09D4">
      <w:pPr>
        <w:pStyle w:val="ListParagraph"/>
        <w:numPr>
          <w:ilvl w:val="0"/>
          <w:numId w:val="12"/>
        </w:numPr>
        <w:tabs>
          <w:tab w:val="left" w:pos="567"/>
        </w:tabs>
        <w:ind w:hanging="720"/>
        <w:rPr>
          <w:b/>
          <w:bCs/>
          <w:caps/>
        </w:rPr>
      </w:pPr>
      <w:r w:rsidRPr="00334F18">
        <w:rPr>
          <w:b/>
          <w:bCs/>
          <w:caps/>
        </w:rPr>
        <w:t>Išvad</w:t>
      </w:r>
      <w:r w:rsidR="00B811A4" w:rsidRPr="00334F18">
        <w:rPr>
          <w:b/>
          <w:bCs/>
          <w:caps/>
        </w:rPr>
        <w:t>OS</w:t>
      </w:r>
      <w:r w:rsidRPr="00334F18">
        <w:rPr>
          <w:b/>
          <w:bCs/>
          <w:caps/>
        </w:rPr>
        <w:t xml:space="preserve"> </w:t>
      </w:r>
    </w:p>
    <w:p w14:paraId="30069D85" w14:textId="77777777" w:rsidR="0061611B" w:rsidRPr="00334F18" w:rsidRDefault="0061611B" w:rsidP="0061611B">
      <w:pPr>
        <w:ind w:left="360"/>
        <w:rPr>
          <w:i/>
          <w:szCs w:val="22"/>
        </w:rPr>
      </w:pPr>
    </w:p>
    <w:tbl>
      <w:tblPr>
        <w:tblStyle w:val="TableGrid"/>
        <w:tblW w:w="0" w:type="auto"/>
        <w:tblInd w:w="-5" w:type="dxa"/>
        <w:tblLook w:val="04A0" w:firstRow="1" w:lastRow="0" w:firstColumn="1" w:lastColumn="0" w:noHBand="0" w:noVBand="1"/>
      </w:tblPr>
      <w:tblGrid>
        <w:gridCol w:w="4820"/>
        <w:gridCol w:w="4814"/>
      </w:tblGrid>
      <w:tr w:rsidR="00334F18" w:rsidRPr="00334F18" w14:paraId="4D5EFB83" w14:textId="77777777" w:rsidTr="007111C4">
        <w:trPr>
          <w:trHeight w:val="510"/>
        </w:trPr>
        <w:tc>
          <w:tcPr>
            <w:tcW w:w="9634" w:type="dxa"/>
            <w:gridSpan w:val="2"/>
            <w:vAlign w:val="center"/>
          </w:tcPr>
          <w:p w14:paraId="294EC16B"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2" w:name="_Hlk185430554"/>
            <w:r w:rsidRPr="00334F18">
              <w:rPr>
                <w:rStyle w:val="Style2"/>
                <w:rFonts w:eastAsia="MS Gothic"/>
                <w:b/>
                <w:bCs/>
                <w:sz w:val="23"/>
                <w:szCs w:val="23"/>
              </w:rPr>
              <w:t>Palyginamasis veiksmingumas</w:t>
            </w:r>
          </w:p>
        </w:tc>
      </w:tr>
      <w:tr w:rsidR="00334F18" w:rsidRPr="00334F18" w14:paraId="30B67515" w14:textId="77777777" w:rsidTr="007111C4">
        <w:tc>
          <w:tcPr>
            <w:tcW w:w="4820" w:type="dxa"/>
          </w:tcPr>
          <w:p w14:paraId="4FE3C208" w14:textId="77777777" w:rsidR="00B811A4" w:rsidRPr="00334F18" w:rsidRDefault="00C14A26"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rStyle w:val="Style2"/>
                <w:sz w:val="23"/>
                <w:szCs w:val="23"/>
              </w:rPr>
              <w:t xml:space="preserve"> 29</w:t>
            </w:r>
            <w:r w:rsidR="00B811A4" w:rsidRPr="00334F18">
              <w:rPr>
                <w:sz w:val="23"/>
                <w:szCs w:val="23"/>
              </w:rPr>
              <w:t>.1.1 yra didesnis, lyginant su įprasta klinikine praktika</w:t>
            </w:r>
          </w:p>
          <w:p w14:paraId="6F9786E4"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7B80B2A0" w:rsidR="00B811A4" w:rsidRPr="00334F18" w:rsidRDefault="00C14A26"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1"/>
                  <w14:checkedState w14:val="2612" w14:font="MS Gothic"/>
                  <w14:uncheckedState w14:val="2610" w14:font="MS Gothic"/>
                </w14:checkbox>
              </w:sdtPr>
              <w:sdtEndPr>
                <w:rPr>
                  <w:rStyle w:val="Style2"/>
                </w:rPr>
              </w:sdtEndPr>
              <w:sdtContent>
                <w:r w:rsidR="00F65D18">
                  <w:rPr>
                    <w:rStyle w:val="Style2"/>
                    <w:rFonts w:ascii="MS Gothic" w:eastAsia="MS Gothic" w:hAnsi="MS Gothic" w:hint="eastAsia"/>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.1.2 iš esmės nesiskiria, lyginant su įprasta klinikine praktika</w:t>
            </w:r>
          </w:p>
        </w:tc>
        <w:tc>
          <w:tcPr>
            <w:tcW w:w="4814" w:type="dxa"/>
          </w:tcPr>
          <w:p w14:paraId="72562F9E" w14:textId="77777777" w:rsidR="00B811A4" w:rsidRPr="00334F18" w:rsidRDefault="00C14A26"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 xml:space="preserve">.1.3 yra neįrodytas kaip didesnis  ar iš esmės nesiskiriantis, lyginant su įprasta klinikine praktika  </w:t>
            </w:r>
          </w:p>
          <w:p w14:paraId="6F6DB5BC"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7777777" w:rsidR="00B811A4" w:rsidRPr="00334F18" w:rsidRDefault="00C14A26"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.1.4 yra mažesnis, lyginant su įprasta klinikine praktika</w:t>
            </w:r>
          </w:p>
          <w:p w14:paraId="193C3D76"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334F18" w:rsidRDefault="00C14A26"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.1.5 pateikti duomenys apie palyginamąjį veiksmingumą yra netinkami vertinti</w:t>
            </w:r>
          </w:p>
          <w:p w14:paraId="45719037"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2"/>
      <w:tr w:rsidR="00334F18" w:rsidRPr="00334F18" w14:paraId="0E0F5168" w14:textId="77777777" w:rsidTr="00743956">
        <w:trPr>
          <w:trHeight w:val="510"/>
        </w:trPr>
        <w:tc>
          <w:tcPr>
            <w:tcW w:w="9634" w:type="dxa"/>
            <w:gridSpan w:val="2"/>
            <w:vAlign w:val="center"/>
          </w:tcPr>
          <w:p w14:paraId="62B67E12"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334F18">
              <w:rPr>
                <w:rStyle w:val="Style2"/>
                <w:rFonts w:eastAsia="MS Gothic"/>
                <w:b/>
                <w:bCs/>
                <w:sz w:val="23"/>
                <w:szCs w:val="23"/>
              </w:rPr>
              <w:t>Kaštų naudingumas</w:t>
            </w:r>
          </w:p>
        </w:tc>
      </w:tr>
      <w:tr w:rsidR="00334F18" w:rsidRPr="00334F18" w14:paraId="6A2F62B2" w14:textId="77777777" w:rsidTr="00743956">
        <w:tc>
          <w:tcPr>
            <w:tcW w:w="4820" w:type="dxa"/>
          </w:tcPr>
          <w:p w14:paraId="7CB2C697" w14:textId="44A4E1DF" w:rsidR="00B811A4" w:rsidRPr="00334F18" w:rsidRDefault="00C14A26"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29.2.1 atitinka referencinę naudingumo vertę taikant arba netaikant</w:t>
            </w:r>
            <w:r w:rsidR="00437623" w:rsidRPr="00334F18">
              <w:rPr>
                <w:b/>
                <w:bCs/>
                <w:sz w:val="23"/>
                <w:szCs w:val="23"/>
              </w:rPr>
              <w:t xml:space="preserve"> </w:t>
            </w:r>
            <w:r w:rsidR="00B811A4" w:rsidRPr="00334F18">
              <w:rPr>
                <w:sz w:val="23"/>
                <w:szCs w:val="23"/>
              </w:rPr>
              <w:t>PGS</w:t>
            </w:r>
          </w:p>
          <w:p w14:paraId="71797774"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E88CDB" w14:textId="60C4FFA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0370A72C" w14:textId="77777777" w:rsidR="00B811A4" w:rsidRPr="00334F18" w:rsidRDefault="00C14A26"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29.2.3 neatitinka referencinės naudingumo vertės taikant arba netaikant PGS</w:t>
            </w:r>
          </w:p>
          <w:p w14:paraId="13C9EEE5"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89E6691"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FD1976C" w14:textId="77777777" w:rsidR="00B811A4" w:rsidRPr="00334F18" w:rsidRDefault="00C14A26"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29.2.5 pateikti duomenys apie kaštų naudingumą yra netinkami vertinti</w:t>
            </w:r>
          </w:p>
          <w:p w14:paraId="06AB06C5"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334F18" w:rsidRPr="00334F18" w14:paraId="632C9193" w14:textId="77777777" w:rsidTr="00027464">
        <w:tc>
          <w:tcPr>
            <w:tcW w:w="9634" w:type="dxa"/>
            <w:gridSpan w:val="2"/>
          </w:tcPr>
          <w:p w14:paraId="15C289C9" w14:textId="4EA58386" w:rsidR="007111C4" w:rsidRPr="00334F18" w:rsidRDefault="00C14A26"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1"/>
                  <w14:checkedState w14:val="2612" w14:font="MS Gothic"/>
                  <w14:uncheckedState w14:val="2610" w14:font="MS Gothic"/>
                </w14:checkbox>
              </w:sdtPr>
              <w:sdtEndPr>
                <w:rPr>
                  <w:rStyle w:val="Style2"/>
                </w:rPr>
              </w:sdtEndPr>
              <w:sdtContent>
                <w:r w:rsidR="00F65D18">
                  <w:rPr>
                    <w:rStyle w:val="Style2"/>
                    <w:rFonts w:ascii="MS Gothic" w:eastAsia="MS Gothic" w:hAnsi="MS Gothic" w:hint="eastAsia"/>
                    <w:sz w:val="23"/>
                    <w:szCs w:val="23"/>
                  </w:rPr>
                  <w:t>☒</w:t>
                </w:r>
              </w:sdtContent>
            </w:sdt>
            <w:r w:rsidR="007111C4" w:rsidRPr="00334F18">
              <w:rPr>
                <w:sz w:val="23"/>
                <w:szCs w:val="23"/>
              </w:rPr>
              <w:t xml:space="preserve"> Vykdant Aprašo 17</w:t>
            </w:r>
            <w:r w:rsidR="007111C4" w:rsidRPr="00334F18">
              <w:rPr>
                <w:sz w:val="23"/>
                <w:szCs w:val="23"/>
                <w:vertAlign w:val="superscript"/>
              </w:rPr>
              <w:t>3</w:t>
            </w:r>
            <w:r w:rsidR="007111C4" w:rsidRPr="00334F18">
              <w:rPr>
                <w:sz w:val="23"/>
                <w:szCs w:val="23"/>
              </w:rPr>
              <w:t>.1</w:t>
            </w:r>
            <w:r w:rsidR="00F65D18">
              <w:rPr>
                <w:sz w:val="23"/>
                <w:szCs w:val="23"/>
              </w:rPr>
              <w:t xml:space="preserve"> </w:t>
            </w:r>
            <w:r w:rsidR="007111C4" w:rsidRPr="00334F18">
              <w:rPr>
                <w:sz w:val="23"/>
                <w:szCs w:val="23"/>
              </w:rPr>
              <w:t>punktą vaistinio (-ų) preparato (-ų) ekonominis vertinimas neatliekamas, išvados dėl kaštų naudingumo neteikiamos</w:t>
            </w:r>
          </w:p>
        </w:tc>
      </w:tr>
    </w:tbl>
    <w:p w14:paraId="08D5B3B6" w14:textId="292D1124" w:rsidR="0061611B" w:rsidRPr="00334F18" w:rsidRDefault="0061611B" w:rsidP="0061611B">
      <w:pPr>
        <w:rPr>
          <w:i/>
          <w:szCs w:val="22"/>
        </w:rPr>
      </w:pPr>
    </w:p>
    <w:p w14:paraId="1B85C083" w14:textId="77777777" w:rsidR="009E44AE" w:rsidRPr="00334F18" w:rsidRDefault="009E44AE" w:rsidP="00381024"/>
    <w:p w14:paraId="3B2D1F25" w14:textId="3A80E19F" w:rsidR="000001B0" w:rsidRPr="00334F18" w:rsidRDefault="000001B0" w:rsidP="00CC09D4">
      <w:pPr>
        <w:pStyle w:val="ListParagraph"/>
        <w:numPr>
          <w:ilvl w:val="0"/>
          <w:numId w:val="12"/>
        </w:numPr>
        <w:ind w:left="567" w:hanging="567"/>
      </w:pPr>
      <w:r w:rsidRPr="00334F18">
        <w:rPr>
          <w:b/>
        </w:rPr>
        <w:t>REKOME</w:t>
      </w:r>
      <w:r w:rsidR="00D83182" w:rsidRPr="00334F18">
        <w:rPr>
          <w:b/>
        </w:rPr>
        <w:t>N</w:t>
      </w:r>
      <w:r w:rsidRPr="00334F18">
        <w:rPr>
          <w:b/>
        </w:rPr>
        <w:t>DACIJA</w:t>
      </w:r>
    </w:p>
    <w:p w14:paraId="35E33D78" w14:textId="59232BB3" w:rsidR="00B811A4" w:rsidRPr="00334F18" w:rsidRDefault="00B811A4" w:rsidP="00B811A4">
      <w:pPr>
        <w:pStyle w:val="ListParagraph"/>
        <w:ind w:left="567"/>
        <w:rPr>
          <w:b/>
        </w:rPr>
      </w:pPr>
    </w:p>
    <w:p w14:paraId="2309C0AB" w14:textId="77777777" w:rsidR="00530812" w:rsidRPr="005F74EC" w:rsidRDefault="00530812" w:rsidP="00530812">
      <w:pPr>
        <w:widowControl w:val="0"/>
        <w:tabs>
          <w:tab w:val="left" w:pos="1418"/>
        </w:tabs>
        <w:suppressAutoHyphens/>
        <w:spacing w:line="360" w:lineRule="atLeast"/>
        <w:jc w:val="both"/>
        <w:textAlignment w:val="center"/>
        <w:rPr>
          <w:color w:val="000000" w:themeColor="text1"/>
          <w:lang w:eastAsia="lt-LT"/>
        </w:rPr>
      </w:pPr>
      <w:r w:rsidRPr="005F74EC">
        <w:rPr>
          <w:color w:val="000000" w:themeColor="text1"/>
        </w:rPr>
        <w:t xml:space="preserve">Vadovaujantis Aprašo </w:t>
      </w:r>
      <w:r w:rsidRPr="005F74EC">
        <w:rPr>
          <w:color w:val="000000" w:themeColor="text1"/>
          <w:lang w:eastAsia="lt-LT"/>
        </w:rPr>
        <w:t>30</w:t>
      </w:r>
      <w:r w:rsidRPr="005F74EC">
        <w:rPr>
          <w:color w:val="000000" w:themeColor="text1"/>
          <w:vertAlign w:val="superscript"/>
          <w:lang w:eastAsia="lt-LT"/>
        </w:rPr>
        <w:t>1</w:t>
      </w:r>
      <w:r w:rsidRPr="005F74EC">
        <w:rPr>
          <w:color w:val="000000" w:themeColor="text1"/>
          <w:lang w:eastAsia="lt-LT"/>
        </w:rPr>
        <w:t xml:space="preserve">.5. papunkčiu rekomenduojama kompensuoti vaistinį preparatą pagal paraiškoje nurodytą indikaciją (arba jos dalį) su arba be skyrimo sąlygų, jei išvados apie įtaką PSDF biudžetui atitinka aprašo </w:t>
      </w:r>
      <w:r w:rsidRPr="005F74EC">
        <w:rPr>
          <w:color w:val="000000" w:themeColor="text1"/>
        </w:rPr>
        <w:t>54.1</w:t>
      </w:r>
      <w:r w:rsidRPr="005F74EC">
        <w:rPr>
          <w:color w:val="000000" w:themeColor="text1"/>
          <w:vertAlign w:val="superscript"/>
        </w:rPr>
        <w:t>1</w:t>
      </w:r>
      <w:r w:rsidRPr="005F74EC">
        <w:rPr>
          <w:color w:val="000000" w:themeColor="text1"/>
        </w:rPr>
        <w:t xml:space="preserve"> papunkčio nuostatas arba šio papunkčio sąlygos išpildomos pateikus naują ar atnaujintą PGS.</w:t>
      </w:r>
    </w:p>
    <w:p w14:paraId="2DD08195" w14:textId="77777777" w:rsidR="00B811A4" w:rsidRPr="00334F18" w:rsidRDefault="00B811A4" w:rsidP="00B811A4">
      <w:pPr>
        <w:jc w:val="both"/>
      </w:pPr>
    </w:p>
    <w:p w14:paraId="3D60BB06" w14:textId="77777777" w:rsidR="00B811A4" w:rsidRPr="00334F18" w:rsidRDefault="00B811A4" w:rsidP="00B811A4">
      <w:pPr>
        <w:widowControl w:val="0"/>
        <w:tabs>
          <w:tab w:val="left" w:pos="1418"/>
        </w:tabs>
        <w:suppressAutoHyphens/>
        <w:spacing w:line="360" w:lineRule="atLeast"/>
        <w:jc w:val="center"/>
        <w:textAlignment w:val="center"/>
        <w:rPr>
          <w:lang w:eastAsia="lt-LT"/>
        </w:rPr>
      </w:pPr>
      <w:bookmarkStart w:id="3" w:name="part_2e1d9dd50ec54141ab7a1b19970b9847"/>
      <w:bookmarkEnd w:id="3"/>
    </w:p>
    <w:p w14:paraId="42F3A222" w14:textId="77777777" w:rsidR="00B811A4" w:rsidRPr="00334F18" w:rsidRDefault="00B811A4" w:rsidP="00B811A4">
      <w:pPr>
        <w:tabs>
          <w:tab w:val="left" w:pos="426"/>
        </w:tabs>
        <w:jc w:val="both"/>
        <w:rPr>
          <w:b/>
          <w:lang w:eastAsia="lt-LT"/>
        </w:rPr>
      </w:pPr>
      <w:r w:rsidRPr="00334F18">
        <w:rPr>
          <w:b/>
          <w:lang w:eastAsia="lt-LT"/>
        </w:rPr>
        <w:t xml:space="preserve">4.3 Siūloma (-os) kompensuoti terapinės indikacijos ir skyrimo sąlygos </w:t>
      </w:r>
    </w:p>
    <w:p w14:paraId="179FBABC" w14:textId="77777777" w:rsidR="00B811A4" w:rsidRPr="00334F18" w:rsidRDefault="00B811A4" w:rsidP="00B811A4">
      <w:pPr>
        <w:tabs>
          <w:tab w:val="left" w:pos="426"/>
        </w:tabs>
        <w:jc w:val="both"/>
        <w:rPr>
          <w:b/>
          <w:lang w:eastAsia="lt-LT"/>
        </w:rPr>
      </w:pPr>
    </w:p>
    <w:p w14:paraId="65CB839B" w14:textId="77777777" w:rsidR="00B811A4" w:rsidRPr="00334F18" w:rsidRDefault="00B811A4" w:rsidP="00B811A4">
      <w:pPr>
        <w:pStyle w:val="NoSpacing"/>
        <w:rPr>
          <w:rFonts w:ascii="Times New Roman" w:hAnsi="Times New Roman"/>
          <w:b/>
          <w:sz w:val="24"/>
          <w:szCs w:val="24"/>
          <w:lang w:eastAsia="lt-LT"/>
        </w:rPr>
      </w:pPr>
      <w:r w:rsidRPr="00334F18">
        <w:rPr>
          <w:rFonts w:ascii="Times New Roman" w:hAnsi="Times New Roman"/>
          <w:b/>
          <w:sz w:val="24"/>
          <w:szCs w:val="24"/>
          <w:lang w:eastAsia="lt-LT"/>
        </w:rPr>
        <w:t>Terapinės indikacijos</w:t>
      </w:r>
    </w:p>
    <w:p w14:paraId="66B98041" w14:textId="77777777" w:rsidR="00DC4FD9" w:rsidRPr="006B27ED" w:rsidRDefault="00DC4FD9" w:rsidP="00DC4FD9">
      <w:pPr>
        <w:tabs>
          <w:tab w:val="left" w:pos="426"/>
        </w:tabs>
        <w:spacing w:line="276" w:lineRule="auto"/>
        <w:jc w:val="both"/>
        <w:rPr>
          <w:bCs/>
          <w:lang w:eastAsia="lt-LT"/>
        </w:rPr>
      </w:pPr>
      <w:r w:rsidRPr="006B27ED">
        <w:rPr>
          <w:bCs/>
          <w:lang w:eastAsia="lt-LT"/>
        </w:rPr>
        <w:t>Paraiškoje pateiktos tokios terapinės indikacijos.</w:t>
      </w:r>
    </w:p>
    <w:p w14:paraId="757A2337" w14:textId="77777777" w:rsidR="00DC4FD9" w:rsidRPr="006B27ED" w:rsidRDefault="00DC4FD9" w:rsidP="00DC4FD9">
      <w:pPr>
        <w:tabs>
          <w:tab w:val="left" w:pos="426"/>
        </w:tabs>
        <w:spacing w:line="276" w:lineRule="auto"/>
        <w:jc w:val="both"/>
        <w:rPr>
          <w:bCs/>
          <w:lang w:eastAsia="lt-LT"/>
        </w:rPr>
      </w:pPr>
      <w:r w:rsidRPr="006B27ED">
        <w:rPr>
          <w:bCs/>
          <w:lang w:eastAsia="lt-LT"/>
        </w:rPr>
        <w:t>Tremfya yra skirtas vidutinio sunkumo ir sunkios aktyvios Krono ligos gydymui suaugusiems pacientams, kuriems pasireiškė nepakankamas atsakas į įprastą gydymą ar biologinę terapiją, atsakas pranyko arba jie tokio gydymo netoleravo</w:t>
      </w:r>
    </w:p>
    <w:p w14:paraId="69A5DA82" w14:textId="77777777" w:rsidR="00DC4FD9" w:rsidRDefault="00DC4FD9" w:rsidP="00DC4FD9">
      <w:pPr>
        <w:pStyle w:val="NoSpacing"/>
        <w:jc w:val="both"/>
        <w:rPr>
          <w:rFonts w:ascii="Times New Roman" w:hAnsi="Times New Roman"/>
          <w:b/>
          <w:sz w:val="24"/>
          <w:szCs w:val="24"/>
        </w:rPr>
      </w:pPr>
    </w:p>
    <w:p w14:paraId="1ABC8BDD" w14:textId="77777777" w:rsidR="00DC4FD9" w:rsidRPr="009300B3" w:rsidRDefault="00DC4FD9" w:rsidP="00DC4FD9">
      <w:pPr>
        <w:pStyle w:val="NoSpacing"/>
        <w:jc w:val="both"/>
        <w:rPr>
          <w:rFonts w:ascii="Times New Roman" w:hAnsi="Times New Roman"/>
          <w:b/>
          <w:sz w:val="24"/>
          <w:szCs w:val="24"/>
        </w:rPr>
      </w:pPr>
      <w:r w:rsidRPr="009300B3">
        <w:rPr>
          <w:rFonts w:ascii="Times New Roman" w:hAnsi="Times New Roman"/>
          <w:b/>
          <w:sz w:val="24"/>
          <w:szCs w:val="24"/>
        </w:rPr>
        <w:lastRenderedPageBreak/>
        <w:t>6.2 Skyrimo sąlygos</w:t>
      </w:r>
    </w:p>
    <w:p w14:paraId="4E4E6092" w14:textId="77777777" w:rsidR="00DC4FD9" w:rsidRPr="009300B3" w:rsidRDefault="00DC4FD9" w:rsidP="00DC4FD9">
      <w:pPr>
        <w:pStyle w:val="NoSpacing"/>
        <w:jc w:val="both"/>
        <w:rPr>
          <w:rFonts w:ascii="Times New Roman" w:hAnsi="Times New Roman"/>
          <w:i/>
          <w:iCs/>
          <w:sz w:val="24"/>
          <w:szCs w:val="24"/>
        </w:rPr>
      </w:pPr>
    </w:p>
    <w:p w14:paraId="3CDBB1DC" w14:textId="77777777" w:rsidR="00DC4FD9" w:rsidRDefault="00DC4FD9" w:rsidP="00DC4FD9">
      <w:pPr>
        <w:pStyle w:val="NoSpacing"/>
        <w:jc w:val="both"/>
        <w:rPr>
          <w:rFonts w:ascii="Times New Roman" w:eastAsia="Times New Roman" w:hAnsi="Times New Roman"/>
          <w:bCs/>
          <w:sz w:val="24"/>
          <w:szCs w:val="24"/>
          <w:lang w:eastAsia="lt-LT"/>
        </w:rPr>
      </w:pPr>
      <w:r w:rsidRPr="00F36778">
        <w:rPr>
          <w:rFonts w:ascii="Times New Roman" w:eastAsia="Times New Roman" w:hAnsi="Times New Roman"/>
          <w:bCs/>
          <w:sz w:val="24"/>
          <w:szCs w:val="24"/>
          <w:lang w:eastAsia="lt-LT"/>
        </w:rPr>
        <w:t>Skiriamas pacientams, kurių atsakas į gydymą pirmos eilės biologiniu vaistiniu preparatu buvo nepakankamas, buvo prarastas arba gydymas pirmos eilės biologiniu vaistiniu preparatu negalimas ar netoleruojamas.</w:t>
      </w:r>
    </w:p>
    <w:p w14:paraId="28372847" w14:textId="77777777" w:rsidR="00CF63CB" w:rsidRDefault="00CF63CB" w:rsidP="00DC4FD9">
      <w:pPr>
        <w:pStyle w:val="NoSpacing"/>
        <w:jc w:val="both"/>
        <w:rPr>
          <w:rFonts w:ascii="Times New Roman" w:eastAsia="Times New Roman" w:hAnsi="Times New Roman"/>
          <w:bCs/>
          <w:sz w:val="24"/>
          <w:szCs w:val="24"/>
          <w:lang w:eastAsia="lt-LT"/>
        </w:rPr>
      </w:pPr>
    </w:p>
    <w:p w14:paraId="2B9E0913" w14:textId="298277A9" w:rsidR="00CF63CB" w:rsidRPr="00CF63CB" w:rsidRDefault="00CF63CB" w:rsidP="00CF63CB">
      <w:pPr>
        <w:pStyle w:val="NoSpacing"/>
        <w:spacing w:line="276" w:lineRule="auto"/>
        <w:jc w:val="both"/>
        <w:rPr>
          <w:rFonts w:ascii="Times New Roman" w:hAnsi="Times New Roman"/>
          <w:b/>
          <w:bCs/>
          <w:sz w:val="24"/>
          <w:szCs w:val="24"/>
        </w:rPr>
      </w:pPr>
      <w:r w:rsidRPr="00CF63CB">
        <w:rPr>
          <w:rFonts w:ascii="Times New Roman" w:hAnsi="Times New Roman"/>
          <w:b/>
          <w:bCs/>
          <w:sz w:val="24"/>
          <w:szCs w:val="24"/>
        </w:rPr>
        <w:t>Pastaba</w:t>
      </w:r>
    </w:p>
    <w:p w14:paraId="69CDD889" w14:textId="77777777" w:rsidR="005166B1" w:rsidRPr="00414817" w:rsidRDefault="005166B1" w:rsidP="005166B1">
      <w:pPr>
        <w:pStyle w:val="NoSpacing"/>
        <w:jc w:val="both"/>
        <w:rPr>
          <w:rFonts w:ascii="Times New Roman" w:hAnsi="Times New Roman"/>
          <w:sz w:val="24"/>
          <w:szCs w:val="24"/>
        </w:rPr>
      </w:pPr>
      <w:r w:rsidRPr="00414817">
        <w:rPr>
          <w:rFonts w:ascii="Times New Roman" w:hAnsi="Times New Roman"/>
          <w:sz w:val="24"/>
          <w:szCs w:val="24"/>
        </w:rPr>
        <w:t xml:space="preserve">Priėmus sprendimą kompensuoti paraiškoje teikiamą vaistinį preparatą kompensuoti pagal teikiamas terapines indikacijas ir skyrimo sąlygas, būtina atnaujinti Lietuvos </w:t>
      </w:r>
      <w:r>
        <w:rPr>
          <w:rFonts w:ascii="Times New Roman" w:hAnsi="Times New Roman"/>
          <w:sz w:val="24"/>
          <w:szCs w:val="24"/>
        </w:rPr>
        <w:t>R</w:t>
      </w:r>
      <w:r w:rsidRPr="00414817">
        <w:rPr>
          <w:rFonts w:ascii="Times New Roman" w:hAnsi="Times New Roman"/>
          <w:sz w:val="24"/>
          <w:szCs w:val="24"/>
        </w:rPr>
        <w:t>espublikos sveikatos apsaugos ministro  įsakymu</w:t>
      </w:r>
      <w:r w:rsidRPr="00414817">
        <w:rPr>
          <w:rFonts w:ascii="Times New Roman" w:eastAsia="Times New Roman" w:hAnsi="Times New Roman"/>
          <w:b/>
          <w:bCs/>
          <w:color w:val="000000"/>
          <w:sz w:val="24"/>
          <w:szCs w:val="24"/>
        </w:rPr>
        <w:t xml:space="preserve"> </w:t>
      </w:r>
      <w:r w:rsidRPr="00414817">
        <w:rPr>
          <w:rFonts w:ascii="Times New Roman" w:eastAsia="Times New Roman" w:hAnsi="Times New Roman"/>
          <w:color w:val="000000"/>
          <w:sz w:val="24"/>
          <w:szCs w:val="24"/>
        </w:rPr>
        <w:t>„</w:t>
      </w:r>
      <w:r w:rsidRPr="00CF63CB">
        <w:rPr>
          <w:rFonts w:ascii="Times New Roman" w:eastAsia="Times New Roman" w:hAnsi="Times New Roman"/>
          <w:sz w:val="24"/>
          <w:szCs w:val="24"/>
          <w:lang w:eastAsia="lt-LT"/>
        </w:rPr>
        <w:t>Dėl </w:t>
      </w:r>
      <w:r>
        <w:rPr>
          <w:rFonts w:ascii="Times New Roman" w:eastAsia="Times New Roman" w:hAnsi="Times New Roman"/>
          <w:sz w:val="24"/>
          <w:szCs w:val="24"/>
          <w:lang w:eastAsia="lt-LT"/>
        </w:rPr>
        <w:t>K</w:t>
      </w:r>
      <w:r w:rsidRPr="00CF63CB">
        <w:rPr>
          <w:rFonts w:ascii="Times New Roman" w:eastAsia="Times New Roman" w:hAnsi="Times New Roman"/>
          <w:sz w:val="24"/>
          <w:szCs w:val="24"/>
          <w:lang w:eastAsia="lt-LT"/>
        </w:rPr>
        <w:t>rono </w:t>
      </w:r>
      <w:r w:rsidRPr="00CF63CB">
        <w:rPr>
          <w:rFonts w:ascii="Times New Roman" w:eastAsia="Times New Roman" w:hAnsi="Times New Roman"/>
          <w:i/>
          <w:iCs/>
          <w:sz w:val="24"/>
          <w:szCs w:val="24"/>
          <w:lang w:eastAsia="lt-LT"/>
        </w:rPr>
        <w:t>(</w:t>
      </w:r>
      <w:r>
        <w:rPr>
          <w:rFonts w:ascii="Times New Roman" w:eastAsia="Times New Roman" w:hAnsi="Times New Roman"/>
          <w:i/>
          <w:iCs/>
          <w:sz w:val="24"/>
          <w:szCs w:val="24"/>
          <w:lang w:eastAsia="lt-LT"/>
        </w:rPr>
        <w:t>C</w:t>
      </w:r>
      <w:r w:rsidRPr="00CF63CB">
        <w:rPr>
          <w:rFonts w:ascii="Times New Roman" w:eastAsia="Times New Roman" w:hAnsi="Times New Roman"/>
          <w:i/>
          <w:iCs/>
          <w:sz w:val="24"/>
          <w:szCs w:val="24"/>
          <w:lang w:eastAsia="lt-LT"/>
        </w:rPr>
        <w:t>rohn</w:t>
      </w:r>
      <w:r w:rsidRPr="00CF63CB">
        <w:rPr>
          <w:rFonts w:ascii="Times New Roman" w:eastAsia="Times New Roman" w:hAnsi="Times New Roman"/>
          <w:sz w:val="24"/>
          <w:szCs w:val="24"/>
          <w:lang w:eastAsia="lt-LT"/>
        </w:rPr>
        <w:t>) ligos (sritinio enterito) diagnostikos ir gydymo vaistais, kurių įsigijimo išlaidos apmokamos privalomojo sveikatos draudimo fondo biudžeto lėšomis, tvarkos aprašo patvirtinimo</w:t>
      </w:r>
      <w:r w:rsidRPr="00414817">
        <w:rPr>
          <w:rFonts w:ascii="Times New Roman" w:hAnsi="Times New Roman"/>
          <w:sz w:val="24"/>
          <w:szCs w:val="24"/>
        </w:rPr>
        <w:t>“ 2018</w:t>
      </w:r>
      <w:r>
        <w:rPr>
          <w:rFonts w:ascii="Times New Roman" w:hAnsi="Times New Roman"/>
          <w:sz w:val="24"/>
          <w:szCs w:val="24"/>
        </w:rPr>
        <w:t xml:space="preserve"> m. vasario </w:t>
      </w:r>
      <w:r w:rsidRPr="00414817">
        <w:rPr>
          <w:rFonts w:ascii="Times New Roman" w:hAnsi="Times New Roman"/>
          <w:sz w:val="24"/>
          <w:szCs w:val="24"/>
        </w:rPr>
        <w:t>12</w:t>
      </w:r>
      <w:r>
        <w:rPr>
          <w:rFonts w:ascii="Times New Roman" w:hAnsi="Times New Roman"/>
          <w:sz w:val="24"/>
          <w:szCs w:val="24"/>
        </w:rPr>
        <w:t xml:space="preserve"> d. </w:t>
      </w:r>
      <w:r w:rsidRPr="00414817">
        <w:rPr>
          <w:rFonts w:ascii="Times New Roman" w:hAnsi="Times New Roman"/>
          <w:sz w:val="24"/>
          <w:szCs w:val="24"/>
        </w:rPr>
        <w:t>Nr. V-15</w:t>
      </w:r>
      <w:r>
        <w:rPr>
          <w:rFonts w:ascii="Times New Roman" w:hAnsi="Times New Roman"/>
          <w:sz w:val="24"/>
          <w:szCs w:val="24"/>
        </w:rPr>
        <w:t>8,</w:t>
      </w:r>
      <w:r w:rsidRPr="00414817">
        <w:rPr>
          <w:rFonts w:ascii="Times New Roman" w:hAnsi="Times New Roman"/>
          <w:b/>
          <w:bCs/>
          <w:sz w:val="24"/>
          <w:szCs w:val="24"/>
        </w:rPr>
        <w:t xml:space="preserve"> </w:t>
      </w:r>
      <w:r w:rsidRPr="00414817">
        <w:rPr>
          <w:rFonts w:ascii="Times New Roman" w:hAnsi="Times New Roman"/>
          <w:sz w:val="24"/>
          <w:szCs w:val="24"/>
        </w:rPr>
        <w:t xml:space="preserve">patvirtintą </w:t>
      </w:r>
      <w:r>
        <w:rPr>
          <w:rFonts w:ascii="Times New Roman" w:hAnsi="Times New Roman"/>
          <w:sz w:val="24"/>
          <w:szCs w:val="24"/>
        </w:rPr>
        <w:t>Krono ligos</w:t>
      </w:r>
      <w:r w:rsidRPr="00414817">
        <w:rPr>
          <w:rFonts w:ascii="Times New Roman" w:hAnsi="Times New Roman"/>
          <w:sz w:val="24"/>
          <w:szCs w:val="24"/>
        </w:rPr>
        <w:t xml:space="preserve"> gydymo aprašą.</w:t>
      </w:r>
    </w:p>
    <w:p w14:paraId="7BA4651D" w14:textId="77777777" w:rsidR="00CF63CB" w:rsidRDefault="00CF63CB" w:rsidP="00DC4FD9">
      <w:pPr>
        <w:pStyle w:val="NoSpacing"/>
        <w:jc w:val="both"/>
        <w:rPr>
          <w:rFonts w:ascii="Times New Roman" w:eastAsia="Times New Roman" w:hAnsi="Times New Roman"/>
          <w:b/>
          <w:bCs/>
          <w:sz w:val="24"/>
          <w:szCs w:val="24"/>
          <w:lang w:eastAsia="lt-LT"/>
        </w:rPr>
      </w:pPr>
    </w:p>
    <w:p w14:paraId="7CDFF220" w14:textId="6D2F1B91" w:rsidR="000723FF" w:rsidRPr="00334F18" w:rsidRDefault="00283E59" w:rsidP="00DC4FD9">
      <w:pPr>
        <w:pStyle w:val="NoSpacing"/>
        <w:jc w:val="center"/>
        <w:rPr>
          <w:b/>
        </w:rPr>
      </w:pPr>
      <w:r w:rsidRPr="00334F18">
        <w:rPr>
          <w:lang w:eastAsia="lt-LT"/>
        </w:rPr>
        <w:t>____________________________</w:t>
      </w:r>
    </w:p>
    <w:sectPr w:rsidR="000723FF" w:rsidRPr="00334F18" w:rsidSect="00063A50">
      <w:headerReference w:type="first" r:id="rId7"/>
      <w:footerReference w:type="first" r:id="rId8"/>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5958A" w14:textId="77777777" w:rsidR="00CC34C2" w:rsidRDefault="00CC34C2">
      <w:r>
        <w:separator/>
      </w:r>
    </w:p>
  </w:endnote>
  <w:endnote w:type="continuationSeparator" w:id="0">
    <w:p w14:paraId="68143DF9" w14:textId="77777777" w:rsidR="00CC34C2" w:rsidRDefault="00CC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88039" w14:textId="77777777" w:rsidR="00CC34C2" w:rsidRDefault="00CC34C2">
      <w:r>
        <w:separator/>
      </w:r>
    </w:p>
  </w:footnote>
  <w:footnote w:type="continuationSeparator" w:id="0">
    <w:p w14:paraId="202372E6" w14:textId="77777777" w:rsidR="00CC34C2" w:rsidRDefault="00CC3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9035017">
    <w:abstractNumId w:val="8"/>
  </w:num>
  <w:num w:numId="2" w16cid:durableId="985162166">
    <w:abstractNumId w:val="2"/>
  </w:num>
  <w:num w:numId="3" w16cid:durableId="480578891">
    <w:abstractNumId w:val="10"/>
  </w:num>
  <w:num w:numId="4" w16cid:durableId="442387534">
    <w:abstractNumId w:val="9"/>
  </w:num>
  <w:num w:numId="5" w16cid:durableId="823667834">
    <w:abstractNumId w:val="7"/>
  </w:num>
  <w:num w:numId="6" w16cid:durableId="417020125">
    <w:abstractNumId w:val="6"/>
  </w:num>
  <w:num w:numId="7" w16cid:durableId="1843550031">
    <w:abstractNumId w:val="4"/>
  </w:num>
  <w:num w:numId="8" w16cid:durableId="580068462">
    <w:abstractNumId w:val="13"/>
  </w:num>
  <w:num w:numId="9" w16cid:durableId="257183606">
    <w:abstractNumId w:val="0"/>
  </w:num>
  <w:num w:numId="10" w16cid:durableId="131410136">
    <w:abstractNumId w:val="11"/>
  </w:num>
  <w:num w:numId="11" w16cid:durableId="1133251921">
    <w:abstractNumId w:val="12"/>
  </w:num>
  <w:num w:numId="12" w16cid:durableId="700133012">
    <w:abstractNumId w:val="3"/>
  </w:num>
  <w:num w:numId="13" w16cid:durableId="373774129">
    <w:abstractNumId w:val="5"/>
  </w:num>
  <w:num w:numId="14" w16cid:durableId="1004668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2924"/>
    <w:rsid w:val="000448C6"/>
    <w:rsid w:val="00052BD8"/>
    <w:rsid w:val="00053975"/>
    <w:rsid w:val="00057A2B"/>
    <w:rsid w:val="000606BE"/>
    <w:rsid w:val="000624FF"/>
    <w:rsid w:val="00063A50"/>
    <w:rsid w:val="000723FF"/>
    <w:rsid w:val="000736B8"/>
    <w:rsid w:val="0008190F"/>
    <w:rsid w:val="00081D9C"/>
    <w:rsid w:val="00082907"/>
    <w:rsid w:val="0008378D"/>
    <w:rsid w:val="000908A5"/>
    <w:rsid w:val="00092805"/>
    <w:rsid w:val="000A50C9"/>
    <w:rsid w:val="000B2B2C"/>
    <w:rsid w:val="000B76AD"/>
    <w:rsid w:val="000C454C"/>
    <w:rsid w:val="000D5038"/>
    <w:rsid w:val="000E29D4"/>
    <w:rsid w:val="000F3540"/>
    <w:rsid w:val="00100491"/>
    <w:rsid w:val="00104E2E"/>
    <w:rsid w:val="00107287"/>
    <w:rsid w:val="00117194"/>
    <w:rsid w:val="00117406"/>
    <w:rsid w:val="00121EF0"/>
    <w:rsid w:val="00124A9E"/>
    <w:rsid w:val="00130703"/>
    <w:rsid w:val="0013153F"/>
    <w:rsid w:val="001408B8"/>
    <w:rsid w:val="001466FE"/>
    <w:rsid w:val="001517E2"/>
    <w:rsid w:val="001521D9"/>
    <w:rsid w:val="001554E2"/>
    <w:rsid w:val="00164146"/>
    <w:rsid w:val="00164D64"/>
    <w:rsid w:val="0017369C"/>
    <w:rsid w:val="00175D57"/>
    <w:rsid w:val="00176C5E"/>
    <w:rsid w:val="00180C39"/>
    <w:rsid w:val="00180D96"/>
    <w:rsid w:val="00184BD3"/>
    <w:rsid w:val="001921F3"/>
    <w:rsid w:val="001A0CAA"/>
    <w:rsid w:val="001B3C5B"/>
    <w:rsid w:val="001C2FC8"/>
    <w:rsid w:val="001C6353"/>
    <w:rsid w:val="001D4585"/>
    <w:rsid w:val="001D5B91"/>
    <w:rsid w:val="001D746F"/>
    <w:rsid w:val="001E0B2D"/>
    <w:rsid w:val="001E4BBB"/>
    <w:rsid w:val="001E6304"/>
    <w:rsid w:val="001F115E"/>
    <w:rsid w:val="0020381E"/>
    <w:rsid w:val="00213471"/>
    <w:rsid w:val="00215906"/>
    <w:rsid w:val="00224E5E"/>
    <w:rsid w:val="00241CD8"/>
    <w:rsid w:val="00244B09"/>
    <w:rsid w:val="002519CB"/>
    <w:rsid w:val="0025697F"/>
    <w:rsid w:val="00260258"/>
    <w:rsid w:val="0026588E"/>
    <w:rsid w:val="00272428"/>
    <w:rsid w:val="00272948"/>
    <w:rsid w:val="00283E59"/>
    <w:rsid w:val="00292392"/>
    <w:rsid w:val="002946C7"/>
    <w:rsid w:val="002B3CC1"/>
    <w:rsid w:val="002C0686"/>
    <w:rsid w:val="002C09E0"/>
    <w:rsid w:val="002C100E"/>
    <w:rsid w:val="002C1BB1"/>
    <w:rsid w:val="002C2786"/>
    <w:rsid w:val="002C3A10"/>
    <w:rsid w:val="002C4A90"/>
    <w:rsid w:val="002C4ED5"/>
    <w:rsid w:val="002D02EF"/>
    <w:rsid w:val="002E0702"/>
    <w:rsid w:val="002E1A83"/>
    <w:rsid w:val="002E57AD"/>
    <w:rsid w:val="002E6F80"/>
    <w:rsid w:val="002F0E4F"/>
    <w:rsid w:val="002F1053"/>
    <w:rsid w:val="002F63C6"/>
    <w:rsid w:val="00314816"/>
    <w:rsid w:val="00317B0E"/>
    <w:rsid w:val="00334F18"/>
    <w:rsid w:val="00336238"/>
    <w:rsid w:val="00347FAA"/>
    <w:rsid w:val="0035172D"/>
    <w:rsid w:val="0036187D"/>
    <w:rsid w:val="00367EDB"/>
    <w:rsid w:val="003705F0"/>
    <w:rsid w:val="00381024"/>
    <w:rsid w:val="00386307"/>
    <w:rsid w:val="003874DE"/>
    <w:rsid w:val="00393E9F"/>
    <w:rsid w:val="0039696E"/>
    <w:rsid w:val="003B211A"/>
    <w:rsid w:val="003C141F"/>
    <w:rsid w:val="003C6B0E"/>
    <w:rsid w:val="003C7257"/>
    <w:rsid w:val="003C7E35"/>
    <w:rsid w:val="003D1E99"/>
    <w:rsid w:val="003D6208"/>
    <w:rsid w:val="003E399A"/>
    <w:rsid w:val="003F1347"/>
    <w:rsid w:val="00404E8A"/>
    <w:rsid w:val="0040622F"/>
    <w:rsid w:val="00413F24"/>
    <w:rsid w:val="00422853"/>
    <w:rsid w:val="00423160"/>
    <w:rsid w:val="00437623"/>
    <w:rsid w:val="00444A2B"/>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C6221"/>
    <w:rsid w:val="004D48A6"/>
    <w:rsid w:val="004D70B6"/>
    <w:rsid w:val="004D7B8F"/>
    <w:rsid w:val="004E241F"/>
    <w:rsid w:val="004E6458"/>
    <w:rsid w:val="004E6E7D"/>
    <w:rsid w:val="004F1AAC"/>
    <w:rsid w:val="004F1AE2"/>
    <w:rsid w:val="004F34F0"/>
    <w:rsid w:val="004F3B2B"/>
    <w:rsid w:val="004F6050"/>
    <w:rsid w:val="005005EF"/>
    <w:rsid w:val="005123C2"/>
    <w:rsid w:val="005166B1"/>
    <w:rsid w:val="0052144B"/>
    <w:rsid w:val="00524066"/>
    <w:rsid w:val="00526A0F"/>
    <w:rsid w:val="00530812"/>
    <w:rsid w:val="00534E11"/>
    <w:rsid w:val="005378D8"/>
    <w:rsid w:val="005400D9"/>
    <w:rsid w:val="005476A4"/>
    <w:rsid w:val="0055019B"/>
    <w:rsid w:val="00556E63"/>
    <w:rsid w:val="005601A4"/>
    <w:rsid w:val="00566DBB"/>
    <w:rsid w:val="00567B14"/>
    <w:rsid w:val="00571D20"/>
    <w:rsid w:val="005767DB"/>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5D3E"/>
    <w:rsid w:val="006B6CB0"/>
    <w:rsid w:val="006C2B64"/>
    <w:rsid w:val="006D1BF3"/>
    <w:rsid w:val="006D4C85"/>
    <w:rsid w:val="006D66AC"/>
    <w:rsid w:val="006E33F6"/>
    <w:rsid w:val="006F1251"/>
    <w:rsid w:val="006F1C23"/>
    <w:rsid w:val="00702C18"/>
    <w:rsid w:val="00703166"/>
    <w:rsid w:val="007111C4"/>
    <w:rsid w:val="007127F3"/>
    <w:rsid w:val="007301CF"/>
    <w:rsid w:val="007316FB"/>
    <w:rsid w:val="00734A40"/>
    <w:rsid w:val="00737E2D"/>
    <w:rsid w:val="007424D5"/>
    <w:rsid w:val="00745C63"/>
    <w:rsid w:val="00750A88"/>
    <w:rsid w:val="007523DD"/>
    <w:rsid w:val="00757B7E"/>
    <w:rsid w:val="007656B2"/>
    <w:rsid w:val="0077016F"/>
    <w:rsid w:val="007713AD"/>
    <w:rsid w:val="00795DC5"/>
    <w:rsid w:val="00797153"/>
    <w:rsid w:val="007A21F7"/>
    <w:rsid w:val="007A2B68"/>
    <w:rsid w:val="007B0DDA"/>
    <w:rsid w:val="007B3C9F"/>
    <w:rsid w:val="007D3347"/>
    <w:rsid w:val="007D654E"/>
    <w:rsid w:val="007E5466"/>
    <w:rsid w:val="007F1949"/>
    <w:rsid w:val="007F2592"/>
    <w:rsid w:val="00800A08"/>
    <w:rsid w:val="00817A84"/>
    <w:rsid w:val="00820DA1"/>
    <w:rsid w:val="008225A4"/>
    <w:rsid w:val="00824B92"/>
    <w:rsid w:val="00826D5E"/>
    <w:rsid w:val="00832013"/>
    <w:rsid w:val="00832DB7"/>
    <w:rsid w:val="00834732"/>
    <w:rsid w:val="0085200C"/>
    <w:rsid w:val="00853487"/>
    <w:rsid w:val="00853C0B"/>
    <w:rsid w:val="00857C52"/>
    <w:rsid w:val="00860D5F"/>
    <w:rsid w:val="00880A44"/>
    <w:rsid w:val="0088345E"/>
    <w:rsid w:val="0088656F"/>
    <w:rsid w:val="008875BC"/>
    <w:rsid w:val="00891EF6"/>
    <w:rsid w:val="00892FF4"/>
    <w:rsid w:val="0089345A"/>
    <w:rsid w:val="008A0303"/>
    <w:rsid w:val="008A5FDD"/>
    <w:rsid w:val="008C3947"/>
    <w:rsid w:val="008E473B"/>
    <w:rsid w:val="008E51A6"/>
    <w:rsid w:val="008E7329"/>
    <w:rsid w:val="008E7832"/>
    <w:rsid w:val="008F2ED5"/>
    <w:rsid w:val="008F7FFE"/>
    <w:rsid w:val="00915F64"/>
    <w:rsid w:val="0092297E"/>
    <w:rsid w:val="00923292"/>
    <w:rsid w:val="00923651"/>
    <w:rsid w:val="00924DF7"/>
    <w:rsid w:val="00927B56"/>
    <w:rsid w:val="009341BF"/>
    <w:rsid w:val="00937907"/>
    <w:rsid w:val="00941739"/>
    <w:rsid w:val="00951573"/>
    <w:rsid w:val="00963003"/>
    <w:rsid w:val="00965919"/>
    <w:rsid w:val="00966EEF"/>
    <w:rsid w:val="00971B28"/>
    <w:rsid w:val="00983471"/>
    <w:rsid w:val="009909AB"/>
    <w:rsid w:val="009B37DB"/>
    <w:rsid w:val="009C7A8C"/>
    <w:rsid w:val="009C7FED"/>
    <w:rsid w:val="009D23F9"/>
    <w:rsid w:val="009D4FA8"/>
    <w:rsid w:val="009E44AE"/>
    <w:rsid w:val="009E6CD6"/>
    <w:rsid w:val="009F4D66"/>
    <w:rsid w:val="009F7E5F"/>
    <w:rsid w:val="00A00C3C"/>
    <w:rsid w:val="00A01091"/>
    <w:rsid w:val="00A042B9"/>
    <w:rsid w:val="00A06DBB"/>
    <w:rsid w:val="00A22ADF"/>
    <w:rsid w:val="00A2310D"/>
    <w:rsid w:val="00A254A2"/>
    <w:rsid w:val="00A31E86"/>
    <w:rsid w:val="00A51F6D"/>
    <w:rsid w:val="00A54D87"/>
    <w:rsid w:val="00A5553C"/>
    <w:rsid w:val="00A701C9"/>
    <w:rsid w:val="00A81785"/>
    <w:rsid w:val="00A84803"/>
    <w:rsid w:val="00A84C51"/>
    <w:rsid w:val="00A86F2B"/>
    <w:rsid w:val="00A91366"/>
    <w:rsid w:val="00A92F91"/>
    <w:rsid w:val="00A93AA6"/>
    <w:rsid w:val="00AA4E48"/>
    <w:rsid w:val="00AA6202"/>
    <w:rsid w:val="00AA7B57"/>
    <w:rsid w:val="00AB2806"/>
    <w:rsid w:val="00AB2D54"/>
    <w:rsid w:val="00AB3219"/>
    <w:rsid w:val="00AC26FC"/>
    <w:rsid w:val="00AC4A99"/>
    <w:rsid w:val="00AC5129"/>
    <w:rsid w:val="00AC64D2"/>
    <w:rsid w:val="00AD02E7"/>
    <w:rsid w:val="00AE0FE8"/>
    <w:rsid w:val="00AF60D5"/>
    <w:rsid w:val="00B00959"/>
    <w:rsid w:val="00B04415"/>
    <w:rsid w:val="00B06509"/>
    <w:rsid w:val="00B11D60"/>
    <w:rsid w:val="00B13D65"/>
    <w:rsid w:val="00B21805"/>
    <w:rsid w:val="00B3072E"/>
    <w:rsid w:val="00B36E15"/>
    <w:rsid w:val="00B37245"/>
    <w:rsid w:val="00B4017A"/>
    <w:rsid w:val="00B4468D"/>
    <w:rsid w:val="00B71C72"/>
    <w:rsid w:val="00B71F04"/>
    <w:rsid w:val="00B74A62"/>
    <w:rsid w:val="00B811A4"/>
    <w:rsid w:val="00B81E92"/>
    <w:rsid w:val="00B908D7"/>
    <w:rsid w:val="00B935E8"/>
    <w:rsid w:val="00B93B30"/>
    <w:rsid w:val="00B94CB5"/>
    <w:rsid w:val="00BA0DD9"/>
    <w:rsid w:val="00BA5DBC"/>
    <w:rsid w:val="00BA6584"/>
    <w:rsid w:val="00BB6312"/>
    <w:rsid w:val="00BC39C2"/>
    <w:rsid w:val="00BC4D06"/>
    <w:rsid w:val="00BD05E1"/>
    <w:rsid w:val="00BD585E"/>
    <w:rsid w:val="00BD6919"/>
    <w:rsid w:val="00BE1EA7"/>
    <w:rsid w:val="00BE7489"/>
    <w:rsid w:val="00BF2E0D"/>
    <w:rsid w:val="00BF3927"/>
    <w:rsid w:val="00BF3F8B"/>
    <w:rsid w:val="00BF76DA"/>
    <w:rsid w:val="00C00CDB"/>
    <w:rsid w:val="00C07C7B"/>
    <w:rsid w:val="00C14A26"/>
    <w:rsid w:val="00C16245"/>
    <w:rsid w:val="00C178B5"/>
    <w:rsid w:val="00C22DC5"/>
    <w:rsid w:val="00C24479"/>
    <w:rsid w:val="00C273F2"/>
    <w:rsid w:val="00C37B53"/>
    <w:rsid w:val="00C434EB"/>
    <w:rsid w:val="00C517D2"/>
    <w:rsid w:val="00C5772E"/>
    <w:rsid w:val="00C62B36"/>
    <w:rsid w:val="00C7012C"/>
    <w:rsid w:val="00C712EA"/>
    <w:rsid w:val="00C77166"/>
    <w:rsid w:val="00C9728E"/>
    <w:rsid w:val="00CA217D"/>
    <w:rsid w:val="00CA3131"/>
    <w:rsid w:val="00CC09D4"/>
    <w:rsid w:val="00CC34C2"/>
    <w:rsid w:val="00CC4E89"/>
    <w:rsid w:val="00CC4F5F"/>
    <w:rsid w:val="00CC668D"/>
    <w:rsid w:val="00CC7832"/>
    <w:rsid w:val="00CD1E64"/>
    <w:rsid w:val="00CD488E"/>
    <w:rsid w:val="00CE4B0B"/>
    <w:rsid w:val="00CF0C1C"/>
    <w:rsid w:val="00CF27FD"/>
    <w:rsid w:val="00CF5F12"/>
    <w:rsid w:val="00CF63CB"/>
    <w:rsid w:val="00D00D8F"/>
    <w:rsid w:val="00D05E25"/>
    <w:rsid w:val="00D12869"/>
    <w:rsid w:val="00D14512"/>
    <w:rsid w:val="00D15ED6"/>
    <w:rsid w:val="00D21F3A"/>
    <w:rsid w:val="00D23808"/>
    <w:rsid w:val="00D3016A"/>
    <w:rsid w:val="00D417D2"/>
    <w:rsid w:val="00D42960"/>
    <w:rsid w:val="00D43BD7"/>
    <w:rsid w:val="00D4485B"/>
    <w:rsid w:val="00D46CCD"/>
    <w:rsid w:val="00D4708D"/>
    <w:rsid w:val="00D4744C"/>
    <w:rsid w:val="00D51046"/>
    <w:rsid w:val="00D521DE"/>
    <w:rsid w:val="00D5470B"/>
    <w:rsid w:val="00D63068"/>
    <w:rsid w:val="00D6498C"/>
    <w:rsid w:val="00D67BAF"/>
    <w:rsid w:val="00D76A70"/>
    <w:rsid w:val="00D83182"/>
    <w:rsid w:val="00D84642"/>
    <w:rsid w:val="00D8521E"/>
    <w:rsid w:val="00D875D2"/>
    <w:rsid w:val="00D9291C"/>
    <w:rsid w:val="00D93A97"/>
    <w:rsid w:val="00DA5602"/>
    <w:rsid w:val="00DB1F64"/>
    <w:rsid w:val="00DC261A"/>
    <w:rsid w:val="00DC2F53"/>
    <w:rsid w:val="00DC4FD9"/>
    <w:rsid w:val="00DC5BAC"/>
    <w:rsid w:val="00DC6816"/>
    <w:rsid w:val="00DC76C2"/>
    <w:rsid w:val="00DD089B"/>
    <w:rsid w:val="00DD1CF2"/>
    <w:rsid w:val="00DD4AD8"/>
    <w:rsid w:val="00DE4484"/>
    <w:rsid w:val="00DF41B7"/>
    <w:rsid w:val="00DF4A4A"/>
    <w:rsid w:val="00DF583C"/>
    <w:rsid w:val="00E03C3F"/>
    <w:rsid w:val="00E04367"/>
    <w:rsid w:val="00E06FD7"/>
    <w:rsid w:val="00E07417"/>
    <w:rsid w:val="00E24D45"/>
    <w:rsid w:val="00E33DB8"/>
    <w:rsid w:val="00E33EFF"/>
    <w:rsid w:val="00E34387"/>
    <w:rsid w:val="00E348BA"/>
    <w:rsid w:val="00E369FE"/>
    <w:rsid w:val="00E37C6F"/>
    <w:rsid w:val="00E475F8"/>
    <w:rsid w:val="00E5102E"/>
    <w:rsid w:val="00E5721C"/>
    <w:rsid w:val="00E619C6"/>
    <w:rsid w:val="00E70CED"/>
    <w:rsid w:val="00E745A1"/>
    <w:rsid w:val="00E81529"/>
    <w:rsid w:val="00E83A13"/>
    <w:rsid w:val="00E94633"/>
    <w:rsid w:val="00EA29BB"/>
    <w:rsid w:val="00EB1151"/>
    <w:rsid w:val="00EB6FC5"/>
    <w:rsid w:val="00EC2356"/>
    <w:rsid w:val="00EC2582"/>
    <w:rsid w:val="00EC337C"/>
    <w:rsid w:val="00ED0CFF"/>
    <w:rsid w:val="00ED31D2"/>
    <w:rsid w:val="00ED4C6D"/>
    <w:rsid w:val="00EE0EAC"/>
    <w:rsid w:val="00EE17FD"/>
    <w:rsid w:val="00EE3322"/>
    <w:rsid w:val="00EE33CB"/>
    <w:rsid w:val="00F0061A"/>
    <w:rsid w:val="00F02834"/>
    <w:rsid w:val="00F04EEB"/>
    <w:rsid w:val="00F05467"/>
    <w:rsid w:val="00F055D2"/>
    <w:rsid w:val="00F07CD7"/>
    <w:rsid w:val="00F10391"/>
    <w:rsid w:val="00F127E9"/>
    <w:rsid w:val="00F14477"/>
    <w:rsid w:val="00F14B5D"/>
    <w:rsid w:val="00F259FC"/>
    <w:rsid w:val="00F313F4"/>
    <w:rsid w:val="00F36972"/>
    <w:rsid w:val="00F42426"/>
    <w:rsid w:val="00F44F01"/>
    <w:rsid w:val="00F456BC"/>
    <w:rsid w:val="00F50666"/>
    <w:rsid w:val="00F65D18"/>
    <w:rsid w:val="00F70731"/>
    <w:rsid w:val="00F70C9E"/>
    <w:rsid w:val="00F74A74"/>
    <w:rsid w:val="00F7572C"/>
    <w:rsid w:val="00F8382C"/>
    <w:rsid w:val="00F855D7"/>
    <w:rsid w:val="00F92035"/>
    <w:rsid w:val="00F92748"/>
    <w:rsid w:val="00FA4169"/>
    <w:rsid w:val="00FA4C55"/>
    <w:rsid w:val="00FB0D41"/>
    <w:rsid w:val="00FB2030"/>
    <w:rsid w:val="00FD0E46"/>
    <w:rsid w:val="00FD1060"/>
    <w:rsid w:val="00FD1CF2"/>
    <w:rsid w:val="00FD3EDF"/>
    <w:rsid w:val="00FD793C"/>
    <w:rsid w:val="00FE0FD5"/>
    <w:rsid w:val="00FE20E6"/>
    <w:rsid w:val="00FE3E3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basedOn w:val="Normal"/>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paragraph" w:customStyle="1" w:styleId="Tekstas">
    <w:name w:val="Tekstas"/>
    <w:basedOn w:val="Normal"/>
    <w:link w:val="TekstasChar"/>
    <w:qFormat/>
    <w:rsid w:val="00734A40"/>
    <w:pPr>
      <w:spacing w:after="120"/>
      <w:jc w:val="both"/>
    </w:pPr>
    <w:rPr>
      <w:color w:val="000000" w:themeColor="text1"/>
      <w:lang w:val="en-US"/>
    </w:rPr>
  </w:style>
  <w:style w:type="character" w:customStyle="1" w:styleId="TekstasChar">
    <w:name w:val="Tekstas Char"/>
    <w:link w:val="Tekstas"/>
    <w:rsid w:val="00734A40"/>
    <w:rPr>
      <w:color w:val="000000" w:themeColor="tex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CC526087EF46FE9DAEAFEA9DF08A4D"/>
        <w:category>
          <w:name w:val="General"/>
          <w:gallery w:val="placeholder"/>
        </w:category>
        <w:types>
          <w:type w:val="bbPlcHdr"/>
        </w:types>
        <w:behaviors>
          <w:behavior w:val="content"/>
        </w:behaviors>
        <w:guid w:val="{D51A9A0A-D675-43E4-AC2E-EC672A4B86F5}"/>
      </w:docPartPr>
      <w:docPartBody>
        <w:p w:rsidR="00C82B4D" w:rsidRDefault="00270CAF" w:rsidP="00270CAF">
          <w:pPr>
            <w:pStyle w:val="10CC526087EF46FE9DAEAFEA9DF08A4D"/>
          </w:pPr>
          <w:r>
            <w:rPr>
              <w:rStyle w:val="PlaceholderText"/>
            </w:rPr>
            <w:t>Click here to enter a date.</w:t>
          </w:r>
        </w:p>
      </w:docPartBody>
    </w:docPart>
    <w:docPart>
      <w:docPartPr>
        <w:name w:val="15DDDCDE6723484BAAB4B034095E9D05"/>
        <w:category>
          <w:name w:val="General"/>
          <w:gallery w:val="placeholder"/>
        </w:category>
        <w:types>
          <w:type w:val="bbPlcHdr"/>
        </w:types>
        <w:behaviors>
          <w:behavior w:val="content"/>
        </w:behaviors>
        <w:guid w:val="{B90D71A8-8894-44EA-83E4-C5FA0897BFB6}"/>
      </w:docPartPr>
      <w:docPartBody>
        <w:p w:rsidR="00C82B4D" w:rsidRDefault="00270CAF" w:rsidP="00270CAF">
          <w:pPr>
            <w:pStyle w:val="15DDDCDE6723484BAAB4B034095E9D05"/>
          </w:pPr>
          <w:r>
            <w:rPr>
              <w:rStyle w:val="PlaceholderText"/>
            </w:rPr>
            <w:t>Click here to enter a date.</w:t>
          </w:r>
        </w:p>
      </w:docPartBody>
    </w:docPart>
    <w:docPart>
      <w:docPartPr>
        <w:name w:val="6EFE737A16D94F2F950CEF565146DF66"/>
        <w:category>
          <w:name w:val="General"/>
          <w:gallery w:val="placeholder"/>
        </w:category>
        <w:types>
          <w:type w:val="bbPlcHdr"/>
        </w:types>
        <w:behaviors>
          <w:behavior w:val="content"/>
        </w:behaviors>
        <w:guid w:val="{4F79C765-4D1B-4FDD-A881-EFA9A6790A2A}"/>
      </w:docPartPr>
      <w:docPartBody>
        <w:p w:rsidR="00C82B4D" w:rsidRDefault="00270CAF" w:rsidP="00270CAF">
          <w:pPr>
            <w:pStyle w:val="6EFE737A16D94F2F950CEF565146DF66"/>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7C19"/>
    <w:rsid w:val="00061157"/>
    <w:rsid w:val="000624FF"/>
    <w:rsid w:val="000937FE"/>
    <w:rsid w:val="000A50C9"/>
    <w:rsid w:val="000A559A"/>
    <w:rsid w:val="000A5CF9"/>
    <w:rsid w:val="000D24D4"/>
    <w:rsid w:val="000D6217"/>
    <w:rsid w:val="0014006D"/>
    <w:rsid w:val="001C35A9"/>
    <w:rsid w:val="001D4585"/>
    <w:rsid w:val="00237556"/>
    <w:rsid w:val="00251585"/>
    <w:rsid w:val="00270CAF"/>
    <w:rsid w:val="002C0686"/>
    <w:rsid w:val="002F63C6"/>
    <w:rsid w:val="002F69AD"/>
    <w:rsid w:val="0039303B"/>
    <w:rsid w:val="004144A3"/>
    <w:rsid w:val="004160E7"/>
    <w:rsid w:val="004416C6"/>
    <w:rsid w:val="00456E96"/>
    <w:rsid w:val="004C6221"/>
    <w:rsid w:val="004D038D"/>
    <w:rsid w:val="004F4E20"/>
    <w:rsid w:val="004F5AB2"/>
    <w:rsid w:val="005074B9"/>
    <w:rsid w:val="00563A5F"/>
    <w:rsid w:val="005C62E5"/>
    <w:rsid w:val="005E40DD"/>
    <w:rsid w:val="00601F4E"/>
    <w:rsid w:val="006E6A2C"/>
    <w:rsid w:val="007219C1"/>
    <w:rsid w:val="00731C0C"/>
    <w:rsid w:val="00745C63"/>
    <w:rsid w:val="00753462"/>
    <w:rsid w:val="00772325"/>
    <w:rsid w:val="00780295"/>
    <w:rsid w:val="007A2FE0"/>
    <w:rsid w:val="007C6D1D"/>
    <w:rsid w:val="007D654E"/>
    <w:rsid w:val="00853487"/>
    <w:rsid w:val="00853C0B"/>
    <w:rsid w:val="00892FF4"/>
    <w:rsid w:val="008C0DC0"/>
    <w:rsid w:val="008F7FFE"/>
    <w:rsid w:val="0090074D"/>
    <w:rsid w:val="009019EA"/>
    <w:rsid w:val="00901A35"/>
    <w:rsid w:val="009B3BF0"/>
    <w:rsid w:val="009D5E5E"/>
    <w:rsid w:val="009F1BB4"/>
    <w:rsid w:val="009F7E5F"/>
    <w:rsid w:val="00A20D39"/>
    <w:rsid w:val="00A254A2"/>
    <w:rsid w:val="00A51F6D"/>
    <w:rsid w:val="00AB2D54"/>
    <w:rsid w:val="00AB3219"/>
    <w:rsid w:val="00AB6ED4"/>
    <w:rsid w:val="00B14210"/>
    <w:rsid w:val="00B22ED6"/>
    <w:rsid w:val="00B23DC0"/>
    <w:rsid w:val="00B71F04"/>
    <w:rsid w:val="00B96656"/>
    <w:rsid w:val="00BA0A8E"/>
    <w:rsid w:val="00BA7FA5"/>
    <w:rsid w:val="00BC240D"/>
    <w:rsid w:val="00BE3364"/>
    <w:rsid w:val="00BF7FB2"/>
    <w:rsid w:val="00C2401D"/>
    <w:rsid w:val="00C250D7"/>
    <w:rsid w:val="00C53A68"/>
    <w:rsid w:val="00C66578"/>
    <w:rsid w:val="00C82B4D"/>
    <w:rsid w:val="00CA5BB4"/>
    <w:rsid w:val="00CB4BD1"/>
    <w:rsid w:val="00CD139C"/>
    <w:rsid w:val="00CE2DA9"/>
    <w:rsid w:val="00CE44BE"/>
    <w:rsid w:val="00D008F3"/>
    <w:rsid w:val="00D0142D"/>
    <w:rsid w:val="00D04DFF"/>
    <w:rsid w:val="00D15ED6"/>
    <w:rsid w:val="00D20347"/>
    <w:rsid w:val="00D4356B"/>
    <w:rsid w:val="00D7162F"/>
    <w:rsid w:val="00DA599C"/>
    <w:rsid w:val="00DB4DB5"/>
    <w:rsid w:val="00DD089B"/>
    <w:rsid w:val="00DE4D10"/>
    <w:rsid w:val="00E44A86"/>
    <w:rsid w:val="00E522EB"/>
    <w:rsid w:val="00E60827"/>
    <w:rsid w:val="00EA29BB"/>
    <w:rsid w:val="00EE17FD"/>
    <w:rsid w:val="00EF6E0C"/>
    <w:rsid w:val="00F14477"/>
    <w:rsid w:val="00F370E5"/>
    <w:rsid w:val="00F55028"/>
    <w:rsid w:val="00F677F0"/>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0CAF"/>
    <w:rPr>
      <w:color w:val="808080"/>
    </w:rPr>
  </w:style>
  <w:style w:type="paragraph" w:customStyle="1" w:styleId="10CC526087EF46FE9DAEAFEA9DF08A4D">
    <w:name w:val="10CC526087EF46FE9DAEAFEA9DF08A4D"/>
    <w:rsid w:val="00270CAF"/>
    <w:pPr>
      <w:spacing w:line="278" w:lineRule="auto"/>
    </w:pPr>
    <w:rPr>
      <w:kern w:val="2"/>
      <w:sz w:val="24"/>
      <w:szCs w:val="24"/>
      <w14:ligatures w14:val="standardContextual"/>
    </w:rPr>
  </w:style>
  <w:style w:type="paragraph" w:customStyle="1" w:styleId="15DDDCDE6723484BAAB4B034095E9D05">
    <w:name w:val="15DDDCDE6723484BAAB4B034095E9D05"/>
    <w:rsid w:val="00270CAF"/>
    <w:pPr>
      <w:spacing w:line="278" w:lineRule="auto"/>
    </w:pPr>
    <w:rPr>
      <w:kern w:val="2"/>
      <w:sz w:val="24"/>
      <w:szCs w:val="24"/>
      <w14:ligatures w14:val="standardContextual"/>
    </w:rPr>
  </w:style>
  <w:style w:type="paragraph" w:customStyle="1" w:styleId="6EFE737A16D94F2F950CEF565146DF66">
    <w:name w:val="6EFE737A16D94F2F950CEF565146DF66"/>
    <w:rsid w:val="00270CA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1945</Words>
  <Characters>13836</Characters>
  <Application>Microsoft Office Word</Application>
  <DocSecurity>4</DocSecurity>
  <Lines>329</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15651</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2026-04-23T10:32:00Z</dcterms:created>
  <dcterms:modified xsi:type="dcterms:W3CDTF">2026-04-23T10:32:00Z</dcterms:modified>
</cp:coreProperties>
</file>