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Pr="00334F18" w:rsidRDefault="005F7602" w:rsidP="002946C7">
      <w:pPr>
        <w:ind w:left="5529"/>
      </w:pPr>
    </w:p>
    <w:p w14:paraId="12FA4B9E" w14:textId="39AA3336" w:rsidR="001B3C5B" w:rsidRPr="00334F18" w:rsidRDefault="00DC261A" w:rsidP="001B3C5B">
      <w:pPr>
        <w:ind w:left="6096"/>
      </w:pPr>
      <w:bookmarkStart w:id="0" w:name="_Hlk189565243"/>
      <w:r w:rsidRPr="00334F18">
        <w:t>PATVIRTINTA</w:t>
      </w:r>
    </w:p>
    <w:p w14:paraId="7206970B" w14:textId="70E9BD2E" w:rsidR="004C263A" w:rsidRPr="00334F18" w:rsidRDefault="001B3C5B" w:rsidP="001B3C5B">
      <w:pPr>
        <w:ind w:left="6096"/>
      </w:pPr>
      <w:r w:rsidRPr="00334F18">
        <w:t>Valstybinės vaistų kontrolės tarnybos prie Lietuvos Respublikos sveikatos apsaugos ministerijos viršininko 2021 m</w:t>
      </w:r>
      <w:r w:rsidR="004C263A" w:rsidRPr="00334F18">
        <w:t xml:space="preserve">. lapkričio 12 </w:t>
      </w:r>
      <w:r w:rsidRPr="00334F18">
        <w:t>d. įsakymu Nr.</w:t>
      </w:r>
      <w:r w:rsidR="004C263A" w:rsidRPr="00334F18">
        <w:t xml:space="preserve"> (1.72E)1A-1418</w:t>
      </w:r>
    </w:p>
    <w:p w14:paraId="5B219AA6" w14:textId="3A5D6CB4" w:rsidR="001B3C5B" w:rsidRPr="00334F18" w:rsidRDefault="004C263A" w:rsidP="001B3C5B">
      <w:pPr>
        <w:ind w:left="6096"/>
      </w:pPr>
      <w:r w:rsidRPr="00334F18">
        <w:t>(Valstybinės vaistų kontrolės tarnybos prie Lietuvos Respublikos sveikatos apsaugos ministerijos viršininko 202</w:t>
      </w:r>
      <w:r w:rsidR="00A2310D" w:rsidRPr="00334F18">
        <w:t>5</w:t>
      </w:r>
      <w:r w:rsidRPr="00334F18">
        <w:t xml:space="preserve"> m.                         d. įsakymo Nr.                    redakcija)</w:t>
      </w:r>
    </w:p>
    <w:p w14:paraId="3336BD74" w14:textId="77777777" w:rsidR="001B3C5B" w:rsidRPr="00334F18" w:rsidRDefault="001B3C5B" w:rsidP="00FA4169"/>
    <w:p w14:paraId="1C168261" w14:textId="41E1A8C0" w:rsidR="00DC261A" w:rsidRPr="00334F18" w:rsidRDefault="00DC261A" w:rsidP="005401A9">
      <w:pPr>
        <w:rPr>
          <w:b/>
          <w:bCs/>
        </w:rPr>
      </w:pPr>
      <w:bookmarkStart w:id="1" w:name="_Hlk189565260"/>
      <w:bookmarkEnd w:id="0"/>
    </w:p>
    <w:bookmarkEnd w:id="1"/>
    <w:p w14:paraId="56604434" w14:textId="77777777" w:rsidR="00DC261A" w:rsidRPr="00334F18" w:rsidRDefault="00DC261A" w:rsidP="003B211A">
      <w:pPr>
        <w:jc w:val="center"/>
        <w:rPr>
          <w:b/>
        </w:rPr>
      </w:pPr>
    </w:p>
    <w:p w14:paraId="77AFB67E" w14:textId="0FB133A2" w:rsidR="00613501" w:rsidRPr="00334F18" w:rsidRDefault="002F0E4F" w:rsidP="003B211A">
      <w:pPr>
        <w:jc w:val="center"/>
        <w:rPr>
          <w:b/>
          <w:bCs/>
          <w:caps/>
        </w:rPr>
      </w:pPr>
      <w:r w:rsidRPr="00334F18">
        <w:rPr>
          <w:b/>
        </w:rPr>
        <w:t xml:space="preserve">REKOMENDACIJA DĖL VAISTINIO PREPARATO </w:t>
      </w:r>
      <w:r w:rsidRPr="00334F18">
        <w:rPr>
          <w:b/>
          <w:bCs/>
          <w:caps/>
        </w:rPr>
        <w:t>Lietuvos Respublikos Sveikatos apsaugos ministerijos vaistinių preparatų ir medicinos pagalbos priemonių kompensavimo komisijai</w:t>
      </w:r>
    </w:p>
    <w:p w14:paraId="34E4395D" w14:textId="15FB10DF" w:rsidR="00B13D65" w:rsidRPr="00334F18" w:rsidRDefault="00B13D65" w:rsidP="003B211A">
      <w:pPr>
        <w:jc w:val="center"/>
        <w:rPr>
          <w:b/>
        </w:rPr>
      </w:pPr>
    </w:p>
    <w:p w14:paraId="316EBE93" w14:textId="45E4175F" w:rsidR="0044277F" w:rsidRPr="007F2EE0" w:rsidRDefault="0044277F" w:rsidP="0044277F">
      <w:pPr>
        <w:jc w:val="center"/>
        <w:rPr>
          <w:b/>
        </w:rPr>
      </w:pPr>
      <w:proofErr w:type="spellStart"/>
      <w:r>
        <w:rPr>
          <w:b/>
        </w:rPr>
        <w:t>Omnitrope</w:t>
      </w:r>
      <w:proofErr w:type="spellEnd"/>
      <w:r>
        <w:rPr>
          <w:b/>
        </w:rPr>
        <w:t xml:space="preserve"> 10 mg/1,5 ml injekcinis tirpalas</w:t>
      </w:r>
    </w:p>
    <w:p w14:paraId="0091E3E0" w14:textId="333BB993" w:rsidR="0044277F" w:rsidRDefault="00CC249D" w:rsidP="0044277F">
      <w:pPr>
        <w:jc w:val="center"/>
      </w:pPr>
      <w:proofErr w:type="spellStart"/>
      <w:r>
        <w:rPr>
          <w:b/>
        </w:rPr>
        <w:t>Omnitrope</w:t>
      </w:r>
      <w:proofErr w:type="spellEnd"/>
      <w:r>
        <w:rPr>
          <w:b/>
        </w:rPr>
        <w:t xml:space="preserve"> 5 mg/1,5 ml injekcinis tirpalas</w:t>
      </w:r>
    </w:p>
    <w:p w14:paraId="2E6B6698" w14:textId="77777777" w:rsidR="00CC249D" w:rsidRPr="00603B3A" w:rsidRDefault="00CC249D" w:rsidP="0044277F">
      <w:pPr>
        <w:jc w:val="center"/>
      </w:pPr>
    </w:p>
    <w:p w14:paraId="77DFAD03" w14:textId="77777777" w:rsidR="0044277F" w:rsidRPr="00603B3A" w:rsidRDefault="0044277F" w:rsidP="0044277F">
      <w:pPr>
        <w:jc w:val="center"/>
      </w:pPr>
      <w:proofErr w:type="spellStart"/>
      <w:r>
        <w:rPr>
          <w:b/>
        </w:rPr>
        <w:t>Somatropinas</w:t>
      </w:r>
      <w:proofErr w:type="spellEnd"/>
    </w:p>
    <w:p w14:paraId="5AFD4579" w14:textId="77777777" w:rsidR="0044277F" w:rsidRPr="00603B3A" w:rsidRDefault="0044277F" w:rsidP="0044277F">
      <w:pPr>
        <w:jc w:val="center"/>
      </w:pPr>
    </w:p>
    <w:p w14:paraId="415F223A" w14:textId="3E2BAEB6" w:rsidR="0044277F" w:rsidRPr="009A0B27" w:rsidRDefault="0044277F" w:rsidP="0044277F">
      <w:pPr>
        <w:jc w:val="center"/>
        <w:rPr>
          <w:b/>
        </w:rPr>
      </w:pPr>
      <w:r>
        <w:rPr>
          <w:b/>
        </w:rPr>
        <w:t>STV</w:t>
      </w:r>
      <w:r w:rsidR="00CC249D">
        <w:rPr>
          <w:b/>
        </w:rPr>
        <w:t>-</w:t>
      </w:r>
      <w:r>
        <w:rPr>
          <w:b/>
        </w:rPr>
        <w:t xml:space="preserve"> 267</w:t>
      </w:r>
    </w:p>
    <w:p w14:paraId="09EA6495" w14:textId="77777777" w:rsidR="00D458B7" w:rsidRPr="00603B3A" w:rsidRDefault="00D458B7" w:rsidP="00D458B7">
      <w:pPr>
        <w:spacing w:line="280" w:lineRule="atLeast"/>
        <w:jc w:val="center"/>
        <w:rPr>
          <w:rFonts w:eastAsia="Arial"/>
        </w:rPr>
      </w:pPr>
    </w:p>
    <w:p w14:paraId="453197C8" w14:textId="77777777" w:rsidR="00D4708D" w:rsidRPr="00334F18" w:rsidRDefault="00D4708D" w:rsidP="003B211A">
      <w:pPr>
        <w:jc w:val="center"/>
        <w:rPr>
          <w:b/>
        </w:rPr>
      </w:pPr>
    </w:p>
    <w:p w14:paraId="78C89D1C" w14:textId="0DEFFAA5" w:rsidR="00D4485B" w:rsidRPr="00334F18" w:rsidRDefault="00B13D65" w:rsidP="00CC09D4">
      <w:pPr>
        <w:pStyle w:val="Sraopastraipa"/>
        <w:numPr>
          <w:ilvl w:val="0"/>
          <w:numId w:val="12"/>
        </w:numPr>
        <w:tabs>
          <w:tab w:val="left" w:pos="567"/>
        </w:tabs>
        <w:ind w:left="567" w:hanging="567"/>
        <w:rPr>
          <w:b/>
          <w:bCs/>
          <w:caps/>
        </w:rPr>
      </w:pPr>
      <w:r w:rsidRPr="00334F18">
        <w:rPr>
          <w:b/>
          <w:bCs/>
          <w:caps/>
        </w:rPr>
        <w:t>Bendroji dalis</w:t>
      </w:r>
    </w:p>
    <w:p w14:paraId="04A7C7A7" w14:textId="77777777" w:rsidR="00B13D65" w:rsidRPr="00334F18"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899"/>
        <w:gridCol w:w="4962"/>
      </w:tblGrid>
      <w:tr w:rsidR="00334F18" w:rsidRPr="00334F18" w14:paraId="16A7BC7B" w14:textId="77777777" w:rsidTr="003F3FFF">
        <w:trPr>
          <w:trHeight w:val="538"/>
        </w:trPr>
        <w:tc>
          <w:tcPr>
            <w:tcW w:w="632" w:type="dxa"/>
          </w:tcPr>
          <w:p w14:paraId="4572808D" w14:textId="77777777" w:rsidR="00E70CED" w:rsidRPr="00334F18" w:rsidRDefault="00E70CED" w:rsidP="001F115E">
            <w:pPr>
              <w:rPr>
                <w:rFonts w:eastAsia="Arial"/>
                <w:b/>
                <w:bCs/>
              </w:rPr>
            </w:pPr>
            <w:r w:rsidRPr="00334F18">
              <w:rPr>
                <w:rFonts w:eastAsia="Arial"/>
                <w:b/>
                <w:bCs/>
              </w:rPr>
              <w:t>1.1</w:t>
            </w:r>
          </w:p>
        </w:tc>
        <w:tc>
          <w:tcPr>
            <w:tcW w:w="3899" w:type="dxa"/>
          </w:tcPr>
          <w:p w14:paraId="54BA6EB3" w14:textId="77777777" w:rsidR="00E70CED" w:rsidRPr="00334F18" w:rsidRDefault="00E70CED" w:rsidP="001F115E">
            <w:pPr>
              <w:rPr>
                <w:rFonts w:eastAsia="Arial"/>
                <w:b/>
                <w:bCs/>
              </w:rPr>
            </w:pPr>
            <w:r w:rsidRPr="00334F18">
              <w:rPr>
                <w:rFonts w:eastAsia="Arial"/>
                <w:b/>
                <w:bCs/>
              </w:rPr>
              <w:t>Pareiškėjas/ pareiškėjo atstovas</w:t>
            </w:r>
          </w:p>
        </w:tc>
        <w:tc>
          <w:tcPr>
            <w:tcW w:w="4962" w:type="dxa"/>
          </w:tcPr>
          <w:p w14:paraId="0F359BD4" w14:textId="1F37251A" w:rsidR="00E70CED" w:rsidRPr="00334F18" w:rsidRDefault="0044277F" w:rsidP="00772F40">
            <w:pPr>
              <w:tabs>
                <w:tab w:val="left" w:pos="1756"/>
              </w:tabs>
              <w:rPr>
                <w:rFonts w:eastAsia="Arial"/>
              </w:rPr>
            </w:pPr>
            <w:proofErr w:type="spellStart"/>
            <w:r w:rsidRPr="00AD48F6">
              <w:t>Sandoz</w:t>
            </w:r>
            <w:proofErr w:type="spellEnd"/>
            <w:r w:rsidRPr="00AD48F6">
              <w:t xml:space="preserve"> </w:t>
            </w:r>
            <w:proofErr w:type="spellStart"/>
            <w:r w:rsidRPr="00AD48F6">
              <w:t>Pharmaceuticals</w:t>
            </w:r>
            <w:proofErr w:type="spellEnd"/>
          </w:p>
        </w:tc>
      </w:tr>
      <w:tr w:rsidR="00334F18" w:rsidRPr="00334F18" w14:paraId="101EA148" w14:textId="77777777" w:rsidTr="003F3FFF">
        <w:trPr>
          <w:trHeight w:val="538"/>
        </w:trPr>
        <w:tc>
          <w:tcPr>
            <w:tcW w:w="632" w:type="dxa"/>
          </w:tcPr>
          <w:p w14:paraId="3BF67175" w14:textId="77777777" w:rsidR="00E70CED" w:rsidRPr="00334F18" w:rsidRDefault="00E70CED" w:rsidP="001F115E">
            <w:pPr>
              <w:rPr>
                <w:rFonts w:eastAsia="Arial"/>
                <w:b/>
                <w:bCs/>
              </w:rPr>
            </w:pPr>
            <w:r w:rsidRPr="00334F18">
              <w:rPr>
                <w:rFonts w:eastAsia="Arial"/>
                <w:b/>
                <w:bCs/>
              </w:rPr>
              <w:t>1.2</w:t>
            </w:r>
          </w:p>
        </w:tc>
        <w:tc>
          <w:tcPr>
            <w:tcW w:w="3899" w:type="dxa"/>
          </w:tcPr>
          <w:p w14:paraId="786B66DF" w14:textId="77777777" w:rsidR="00E70CED" w:rsidRPr="00334F18" w:rsidRDefault="00E70CED" w:rsidP="001F115E">
            <w:pPr>
              <w:rPr>
                <w:b/>
                <w:bCs/>
                <w:lang w:eastAsia="lt-LT"/>
              </w:rPr>
            </w:pPr>
            <w:r w:rsidRPr="00334F18">
              <w:rPr>
                <w:b/>
                <w:bCs/>
                <w:lang w:eastAsia="lt-LT"/>
              </w:rPr>
              <w:t xml:space="preserve">Vaistinio preparato registracijos data </w:t>
            </w:r>
          </w:p>
          <w:p w14:paraId="4B568341" w14:textId="77777777" w:rsidR="00E70CED" w:rsidRPr="00334F18" w:rsidRDefault="00E70CED" w:rsidP="001F115E">
            <w:pPr>
              <w:rPr>
                <w:b/>
                <w:bCs/>
                <w:lang w:eastAsia="lt-LT"/>
              </w:rPr>
            </w:pPr>
          </w:p>
        </w:tc>
        <w:tc>
          <w:tcPr>
            <w:tcW w:w="4962" w:type="dxa"/>
          </w:tcPr>
          <w:p w14:paraId="50F63366" w14:textId="10AE2F62" w:rsidR="00E70CED" w:rsidRPr="00180E85" w:rsidRDefault="009632FA" w:rsidP="001F115E">
            <w:pPr>
              <w:rPr>
                <w:rStyle w:val="Style2"/>
                <w:sz w:val="24"/>
              </w:rPr>
            </w:pPr>
            <w:sdt>
              <w:sdtPr>
                <w:rPr>
                  <w:sz w:val="32"/>
                  <w:lang w:eastAsia="lt-LT"/>
                </w:rPr>
                <w:alias w:val="Nurodykite konkrečią dieną"/>
                <w:tag w:val="Nurodykite pradžios datą"/>
                <w:id w:val="1772196685"/>
                <w:placeholder>
                  <w:docPart w:val="9F03AA1B603F47D3BD40A45F2A0F7814"/>
                </w:placeholder>
                <w15:color w:val="FFCC99"/>
                <w:date>
                  <w:dateFormat w:val="yyyy 'm.' MMMM d 'd.'"/>
                  <w:lid w:val="lt-LT"/>
                  <w:storeMappedDataAs w:val="dateTime"/>
                  <w:calendar w:val="gregorian"/>
                </w:date>
              </w:sdtPr>
              <w:sdtEndPr/>
              <w:sdtContent>
                <w:r w:rsidR="0044277F" w:rsidRPr="00180E85">
                  <w:rPr>
                    <w:lang w:eastAsia="lt-LT"/>
                  </w:rPr>
                  <w:t>2007 m. rugsėjo 9 d.</w:t>
                </w:r>
              </w:sdtContent>
            </w:sdt>
          </w:p>
        </w:tc>
      </w:tr>
      <w:tr w:rsidR="00334F18" w:rsidRPr="00334F18" w14:paraId="3D70E0FA" w14:textId="77777777" w:rsidTr="001F115E">
        <w:trPr>
          <w:trHeight w:val="1643"/>
        </w:trPr>
        <w:tc>
          <w:tcPr>
            <w:tcW w:w="632" w:type="dxa"/>
          </w:tcPr>
          <w:p w14:paraId="021DF6BD" w14:textId="77777777" w:rsidR="00E70CED" w:rsidRPr="00334F18" w:rsidRDefault="00E70CED" w:rsidP="001F115E">
            <w:pPr>
              <w:rPr>
                <w:rFonts w:eastAsia="Arial"/>
                <w:b/>
                <w:bCs/>
              </w:rPr>
            </w:pPr>
            <w:r w:rsidRPr="00334F18">
              <w:rPr>
                <w:rFonts w:eastAsia="Arial"/>
                <w:b/>
                <w:bCs/>
              </w:rPr>
              <w:t>1.3</w:t>
            </w:r>
          </w:p>
        </w:tc>
        <w:tc>
          <w:tcPr>
            <w:tcW w:w="3899" w:type="dxa"/>
          </w:tcPr>
          <w:p w14:paraId="528F713F" w14:textId="77777777" w:rsidR="00E70CED" w:rsidRPr="00334F18" w:rsidRDefault="00E70CED" w:rsidP="001F115E">
            <w:pPr>
              <w:pStyle w:val="Betarp"/>
              <w:rPr>
                <w:rFonts w:ascii="Times New Roman" w:hAnsi="Times New Roman"/>
                <w:b/>
                <w:sz w:val="24"/>
                <w:szCs w:val="24"/>
                <w:shd w:val="clear" w:color="auto" w:fill="FFFFFF"/>
              </w:rPr>
            </w:pPr>
            <w:r w:rsidRPr="00334F18">
              <w:rPr>
                <w:rFonts w:ascii="Times New Roman" w:hAnsi="Times New Roman"/>
                <w:b/>
                <w:sz w:val="24"/>
                <w:szCs w:val="24"/>
              </w:rPr>
              <w:t xml:space="preserve">Vaistinio preparato </w:t>
            </w:r>
            <w:r w:rsidRPr="00334F18">
              <w:rPr>
                <w:rFonts w:ascii="Times New Roman" w:hAnsi="Times New Roman"/>
                <w:b/>
                <w:sz w:val="24"/>
                <w:szCs w:val="24"/>
                <w:shd w:val="clear" w:color="auto" w:fill="FFFFFF"/>
              </w:rPr>
              <w:t>registracijos teisinis pagrindas</w:t>
            </w:r>
          </w:p>
          <w:p w14:paraId="63F86DC1" w14:textId="77777777" w:rsidR="00E70CED" w:rsidRPr="00334F18" w:rsidRDefault="00E70CED" w:rsidP="001F115E">
            <w:pPr>
              <w:pStyle w:val="Betarp"/>
              <w:rPr>
                <w:rFonts w:ascii="Times New Roman" w:hAnsi="Times New Roman"/>
                <w:b/>
                <w:bCs/>
                <w:sz w:val="24"/>
                <w:szCs w:val="24"/>
                <w:lang w:eastAsia="lt-LT"/>
              </w:rPr>
            </w:pPr>
            <w:r w:rsidRPr="00334F18">
              <w:rPr>
                <w:rFonts w:ascii="Times New Roman" w:hAnsi="Times New Roman"/>
                <w:b/>
                <w:sz w:val="24"/>
                <w:szCs w:val="24"/>
                <w:shd w:val="clear" w:color="auto" w:fill="FFFFFF"/>
              </w:rPr>
              <w:t>(</w:t>
            </w:r>
            <w:r w:rsidRPr="00334F18">
              <w:rPr>
                <w:rFonts w:ascii="Times New Roman" w:hAnsi="Times New Roman"/>
                <w:b/>
                <w:sz w:val="24"/>
                <w:szCs w:val="24"/>
              </w:rPr>
              <w:t>Direktyvos 2001/83/EB str.)</w:t>
            </w:r>
          </w:p>
        </w:tc>
        <w:tc>
          <w:tcPr>
            <w:tcW w:w="4962" w:type="dxa"/>
          </w:tcPr>
          <w:p w14:paraId="4C977D39" w14:textId="103400A4" w:rsidR="00E70CED" w:rsidRPr="00334F18" w:rsidRDefault="009632FA" w:rsidP="001F115E">
            <w:sdt>
              <w:sdtPr>
                <w:rPr>
                  <w:rStyle w:val="Style2"/>
                  <w:sz w:val="24"/>
                </w:rPr>
                <w:id w:val="526292078"/>
                <w15:color w:val="FFCC00"/>
                <w14:checkbox>
                  <w14:checked w14:val="0"/>
                  <w14:checkedState w14:val="2612" w14:font="MS Gothic"/>
                  <w14:uncheckedState w14:val="2610" w14:font="MS Gothic"/>
                </w14:checkbox>
              </w:sdtPr>
              <w:sdtEndPr>
                <w:rPr>
                  <w:rStyle w:val="Style2"/>
                </w:rPr>
              </w:sdtEndPr>
              <w:sdtContent>
                <w:r w:rsidR="0044277F">
                  <w:rPr>
                    <w:rStyle w:val="Style2"/>
                    <w:rFonts w:ascii="MS Gothic" w:eastAsia="MS Gothic" w:hAnsi="MS Gothic" w:hint="eastAsia"/>
                    <w:sz w:val="24"/>
                  </w:rPr>
                  <w:t>☐</w:t>
                </w:r>
              </w:sdtContent>
            </w:sdt>
            <w:r w:rsidR="00E70CED" w:rsidRPr="00334F18">
              <w:t>8.3 str. (pilna byla, pagrįsta savais tyrimais)</w:t>
            </w:r>
          </w:p>
          <w:p w14:paraId="6AABD410" w14:textId="77777777" w:rsidR="00E70CED" w:rsidRPr="00334F18" w:rsidRDefault="009632FA" w:rsidP="001F115E">
            <w:sdt>
              <w:sdtPr>
                <w:rPr>
                  <w:rStyle w:val="Style2"/>
                  <w:sz w:val="24"/>
                </w:rPr>
                <w:id w:val="-1497953736"/>
                <w15:color w:val="FFCC00"/>
                <w14:checkbox>
                  <w14:checked w14:val="0"/>
                  <w14:checkedState w14:val="2612" w14:font="MS Gothic"/>
                  <w14:uncheckedState w14:val="2610" w14:font="MS Gothic"/>
                </w14:checkbox>
              </w:sdtPr>
              <w:sdtEndPr>
                <w:rPr>
                  <w:rStyle w:val="Style2"/>
                </w:rPr>
              </w:sdtEndPr>
              <w:sdtContent>
                <w:r w:rsidR="00E70CED" w:rsidRPr="00334F18">
                  <w:rPr>
                    <w:rStyle w:val="Style2"/>
                    <w:rFonts w:ascii="Segoe UI Symbol" w:eastAsia="MS Gothic" w:hAnsi="Segoe UI Symbol" w:cs="Segoe UI Symbol"/>
                    <w:sz w:val="24"/>
                  </w:rPr>
                  <w:t>☐</w:t>
                </w:r>
              </w:sdtContent>
            </w:sdt>
            <w:r w:rsidR="00E70CED" w:rsidRPr="00334F18">
              <w:t>10 a str. (pripažintas medicininis vartojimas)</w:t>
            </w:r>
          </w:p>
          <w:p w14:paraId="5CF35A47" w14:textId="77777777" w:rsidR="00E70CED" w:rsidRPr="00334F18" w:rsidRDefault="009632FA" w:rsidP="001F115E">
            <w:sdt>
              <w:sdtPr>
                <w:rPr>
                  <w:rStyle w:val="Style2"/>
                  <w:sz w:val="24"/>
                </w:rPr>
                <w:id w:val="204142496"/>
                <w15:color w:val="FFCC00"/>
                <w14:checkbox>
                  <w14:checked w14:val="0"/>
                  <w14:checkedState w14:val="2612" w14:font="MS Gothic"/>
                  <w14:uncheckedState w14:val="2610" w14:font="MS Gothic"/>
                </w14:checkbox>
              </w:sdtPr>
              <w:sdtEndPr>
                <w:rPr>
                  <w:rStyle w:val="Style2"/>
                </w:rPr>
              </w:sdtEndPr>
              <w:sdtContent>
                <w:r w:rsidR="00E70CED" w:rsidRPr="00334F18">
                  <w:rPr>
                    <w:rStyle w:val="Style2"/>
                    <w:rFonts w:ascii="Segoe UI Symbol" w:eastAsia="MS Gothic" w:hAnsi="Segoe UI Symbol" w:cs="Segoe UI Symbol"/>
                    <w:sz w:val="24"/>
                  </w:rPr>
                  <w:t>☐</w:t>
                </w:r>
              </w:sdtContent>
            </w:sdt>
            <w:r w:rsidR="00E70CED" w:rsidRPr="00334F18">
              <w:t>10.1 str. (</w:t>
            </w:r>
            <w:proofErr w:type="spellStart"/>
            <w:r w:rsidR="00E70CED" w:rsidRPr="00334F18">
              <w:t>generinis</w:t>
            </w:r>
            <w:proofErr w:type="spellEnd"/>
            <w:r w:rsidR="00E70CED" w:rsidRPr="00334F18">
              <w:t>)</w:t>
            </w:r>
          </w:p>
          <w:p w14:paraId="0517A1B2" w14:textId="77777777" w:rsidR="00E70CED" w:rsidRPr="00334F18" w:rsidRDefault="009632FA" w:rsidP="001F115E">
            <w:sdt>
              <w:sdtPr>
                <w:rPr>
                  <w:rStyle w:val="Style2"/>
                  <w:sz w:val="24"/>
                </w:rPr>
                <w:id w:val="820305101"/>
                <w15:color w:val="FFCC00"/>
                <w14:checkbox>
                  <w14:checked w14:val="0"/>
                  <w14:checkedState w14:val="2612" w14:font="MS Gothic"/>
                  <w14:uncheckedState w14:val="2610" w14:font="MS Gothic"/>
                </w14:checkbox>
              </w:sdtPr>
              <w:sdtEndPr>
                <w:rPr>
                  <w:rStyle w:val="Style2"/>
                </w:rPr>
              </w:sdtEndPr>
              <w:sdtContent>
                <w:r w:rsidR="00E70CED" w:rsidRPr="00334F18">
                  <w:rPr>
                    <w:rStyle w:val="Style2"/>
                    <w:rFonts w:ascii="Segoe UI Symbol" w:eastAsia="MS Gothic" w:hAnsi="Segoe UI Symbol" w:cs="Segoe UI Symbol"/>
                    <w:sz w:val="24"/>
                  </w:rPr>
                  <w:t>☐</w:t>
                </w:r>
              </w:sdtContent>
            </w:sdt>
            <w:r w:rsidR="00E70CED" w:rsidRPr="00334F18">
              <w:t>10.3 str. (hibridinis)</w:t>
            </w:r>
          </w:p>
          <w:p w14:paraId="0F37DDE0" w14:textId="3FB04653" w:rsidR="00063A50" w:rsidRPr="00334F18" w:rsidRDefault="009632FA" w:rsidP="00063A50">
            <w:sdt>
              <w:sdtPr>
                <w:rPr>
                  <w:rStyle w:val="Style2"/>
                  <w:sz w:val="24"/>
                </w:rPr>
                <w:id w:val="1800953328"/>
                <w15:color w:val="FFCC00"/>
                <w14:checkbox>
                  <w14:checked w14:val="1"/>
                  <w14:checkedState w14:val="2612" w14:font="MS Gothic"/>
                  <w14:uncheckedState w14:val="2610" w14:font="MS Gothic"/>
                </w14:checkbox>
              </w:sdtPr>
              <w:sdtEndPr>
                <w:rPr>
                  <w:rStyle w:val="Style2"/>
                </w:rPr>
              </w:sdtEndPr>
              <w:sdtContent>
                <w:r w:rsidR="0044277F">
                  <w:rPr>
                    <w:rStyle w:val="Style2"/>
                    <w:rFonts w:ascii="MS Gothic" w:eastAsia="MS Gothic" w:hAnsi="MS Gothic" w:hint="eastAsia"/>
                    <w:sz w:val="24"/>
                  </w:rPr>
                  <w:t>☒</w:t>
                </w:r>
              </w:sdtContent>
            </w:sdt>
            <w:r w:rsidR="00063A50" w:rsidRPr="00334F18">
              <w:t>10.4 str. (panašus biologinis)</w:t>
            </w:r>
          </w:p>
          <w:p w14:paraId="7EDB4848" w14:textId="77777777" w:rsidR="00063A50" w:rsidRPr="00334F18" w:rsidRDefault="00063A50" w:rsidP="001F115E">
            <w:pPr>
              <w:rPr>
                <w:rStyle w:val="Style2"/>
                <w:sz w:val="24"/>
              </w:rPr>
            </w:pPr>
          </w:p>
        </w:tc>
      </w:tr>
      <w:tr w:rsidR="00334F18" w:rsidRPr="00334F18" w14:paraId="31641941" w14:textId="77777777" w:rsidTr="003F3FFF">
        <w:trPr>
          <w:trHeight w:val="1011"/>
        </w:trPr>
        <w:tc>
          <w:tcPr>
            <w:tcW w:w="632" w:type="dxa"/>
          </w:tcPr>
          <w:p w14:paraId="2E73A32C" w14:textId="77777777" w:rsidR="00E70CED" w:rsidRPr="00334F18" w:rsidRDefault="00E70CED" w:rsidP="001F115E">
            <w:pPr>
              <w:rPr>
                <w:rFonts w:eastAsia="Arial"/>
                <w:b/>
                <w:bCs/>
              </w:rPr>
            </w:pPr>
            <w:r w:rsidRPr="00334F18">
              <w:rPr>
                <w:rFonts w:eastAsia="Arial"/>
                <w:b/>
              </w:rPr>
              <w:t>1.4</w:t>
            </w:r>
          </w:p>
        </w:tc>
        <w:tc>
          <w:tcPr>
            <w:tcW w:w="3899" w:type="dxa"/>
          </w:tcPr>
          <w:p w14:paraId="2547AC59" w14:textId="77777777" w:rsidR="00E70CED" w:rsidRPr="00334F18" w:rsidRDefault="00E70CED" w:rsidP="001F115E">
            <w:pPr>
              <w:tabs>
                <w:tab w:val="left" w:pos="284"/>
              </w:tabs>
              <w:rPr>
                <w:b/>
                <w:bCs/>
                <w:lang w:eastAsia="lt-LT"/>
              </w:rPr>
            </w:pPr>
            <w:r w:rsidRPr="00334F18">
              <w:rPr>
                <w:b/>
                <w:bCs/>
                <w:lang w:eastAsia="lt-LT"/>
              </w:rPr>
              <w:t>Ar vaistinis preparatas įrašytas į Bendrijos retųjų vaistinių preparatų registrą?</w:t>
            </w:r>
          </w:p>
        </w:tc>
        <w:tc>
          <w:tcPr>
            <w:tcW w:w="4962" w:type="dxa"/>
          </w:tcPr>
          <w:p w14:paraId="49AB923F" w14:textId="1D7A118A" w:rsidR="00E70CED" w:rsidRPr="00334F18" w:rsidRDefault="009632FA" w:rsidP="001F115E">
            <w:sdt>
              <w:sdtPr>
                <w:rPr>
                  <w:rStyle w:val="Style2"/>
                  <w:sz w:val="24"/>
                </w:rPr>
                <w:id w:val="1190730465"/>
                <w15:color w:val="FFCC00"/>
                <w14:checkbox>
                  <w14:checked w14:val="0"/>
                  <w14:checkedState w14:val="2612" w14:font="MS Gothic"/>
                  <w14:uncheckedState w14:val="2610" w14:font="MS Gothic"/>
                </w14:checkbox>
              </w:sdtPr>
              <w:sdtEndPr>
                <w:rPr>
                  <w:rStyle w:val="Style2"/>
                </w:rPr>
              </w:sdtEndPr>
              <w:sdtContent>
                <w:r w:rsidR="00E70CED" w:rsidRPr="00334F18">
                  <w:rPr>
                    <w:rStyle w:val="Style2"/>
                    <w:rFonts w:ascii="Segoe UI Symbol" w:eastAsia="MS Gothic" w:hAnsi="Segoe UI Symbol" w:cs="Segoe UI Symbol"/>
                    <w:sz w:val="24"/>
                  </w:rPr>
                  <w:t>☐</w:t>
                </w:r>
              </w:sdtContent>
            </w:sdt>
            <w:r w:rsidR="00E70CED" w:rsidRPr="00334F18">
              <w:t xml:space="preserve"> Taip       </w:t>
            </w:r>
            <w:r w:rsidR="00E70CED" w:rsidRPr="00334F18">
              <w:rPr>
                <w:rStyle w:val="Style2"/>
                <w:sz w:val="24"/>
              </w:rPr>
              <w:t xml:space="preserve"> </w:t>
            </w:r>
            <w:sdt>
              <w:sdtPr>
                <w:rPr>
                  <w:rStyle w:val="Style2"/>
                  <w:sz w:val="24"/>
                </w:rPr>
                <w:id w:val="-1760283509"/>
                <w15:color w:val="FFCC00"/>
                <w14:checkbox>
                  <w14:checked w14:val="1"/>
                  <w14:checkedState w14:val="2612" w14:font="MS Gothic"/>
                  <w14:uncheckedState w14:val="2610" w14:font="MS Gothic"/>
                </w14:checkbox>
              </w:sdtPr>
              <w:sdtEndPr>
                <w:rPr>
                  <w:rStyle w:val="Style2"/>
                </w:rPr>
              </w:sdtEndPr>
              <w:sdtContent>
                <w:r w:rsidR="00772F40">
                  <w:rPr>
                    <w:rStyle w:val="Style2"/>
                    <w:rFonts w:ascii="MS Gothic" w:eastAsia="MS Gothic" w:hAnsi="MS Gothic" w:hint="eastAsia"/>
                    <w:sz w:val="24"/>
                  </w:rPr>
                  <w:t>☒</w:t>
                </w:r>
              </w:sdtContent>
            </w:sdt>
            <w:r w:rsidR="00E70CED" w:rsidRPr="00334F18">
              <w:t xml:space="preserve"> Ne</w:t>
            </w:r>
          </w:p>
          <w:p w14:paraId="56165267" w14:textId="77777777" w:rsidR="00E70CED" w:rsidRPr="00334F18" w:rsidRDefault="00E70CED" w:rsidP="001F115E">
            <w:pPr>
              <w:rPr>
                <w:rFonts w:eastAsia="Arial"/>
              </w:rPr>
            </w:pPr>
            <w:r w:rsidRPr="00334F18">
              <w:t xml:space="preserve">Data: </w:t>
            </w:r>
            <w:sdt>
              <w:sdtPr>
                <w:alias w:val="Nurodykite konkrečią dieną"/>
                <w:tag w:val="Nurodykite pradžios datą"/>
                <w:id w:val="1784158105"/>
                <w:placeholder>
                  <w:docPart w:val="93D7EBE30A7F432F9AB1114CDC0B27A0"/>
                </w:placeholder>
                <w:showingPlcHdr/>
                <w15:color w:val="FFCC99"/>
                <w:date w:fullDate="2022-05-18T00:00:00Z">
                  <w:dateFormat w:val="yyyy 'm.' MMMM d 'd.'"/>
                  <w:lid w:val="lt-LT"/>
                  <w:storeMappedDataAs w:val="dateTime"/>
                  <w:calendar w:val="gregorian"/>
                </w:date>
              </w:sdtPr>
              <w:sdtEndPr/>
              <w:sdtContent>
                <w:r w:rsidRPr="00334F18">
                  <w:rPr>
                    <w:rStyle w:val="Vietosrezervavimoenklotekstas"/>
                    <w:color w:val="auto"/>
                  </w:rPr>
                  <w:t>Click here to enter a date.</w:t>
                </w:r>
              </w:sdtContent>
            </w:sdt>
            <w:r w:rsidRPr="00334F18">
              <w:t xml:space="preserve"> Nr.</w:t>
            </w:r>
          </w:p>
        </w:tc>
      </w:tr>
      <w:tr w:rsidR="00334F18" w:rsidRPr="00334F18" w14:paraId="5E0775EB" w14:textId="77777777" w:rsidTr="003F3FFF">
        <w:trPr>
          <w:trHeight w:val="1011"/>
        </w:trPr>
        <w:tc>
          <w:tcPr>
            <w:tcW w:w="632" w:type="dxa"/>
          </w:tcPr>
          <w:p w14:paraId="6829924D" w14:textId="77777777" w:rsidR="00E70CED" w:rsidRPr="00334F18" w:rsidRDefault="00E70CED" w:rsidP="001F115E">
            <w:pPr>
              <w:rPr>
                <w:rFonts w:eastAsia="Arial"/>
                <w:b/>
              </w:rPr>
            </w:pPr>
            <w:r w:rsidRPr="00334F18">
              <w:rPr>
                <w:rFonts w:eastAsia="Arial"/>
                <w:b/>
                <w:bCs/>
              </w:rPr>
              <w:t>1.5</w:t>
            </w:r>
          </w:p>
        </w:tc>
        <w:tc>
          <w:tcPr>
            <w:tcW w:w="3899" w:type="dxa"/>
          </w:tcPr>
          <w:p w14:paraId="1DDE7CF3" w14:textId="2FF7A402" w:rsidR="00E70CED" w:rsidRPr="00334F18" w:rsidRDefault="00E70CED" w:rsidP="001F115E">
            <w:pPr>
              <w:tabs>
                <w:tab w:val="left" w:pos="284"/>
              </w:tabs>
              <w:rPr>
                <w:b/>
                <w:bCs/>
                <w:lang w:eastAsia="lt-LT"/>
              </w:rPr>
            </w:pPr>
            <w:r w:rsidRPr="00334F18">
              <w:rPr>
                <w:b/>
                <w:bCs/>
                <w:lang w:eastAsia="lt-LT"/>
              </w:rPr>
              <w:t>Ar atliktas bendras klinikinis vertinimas</w:t>
            </w:r>
          </w:p>
          <w:p w14:paraId="0961228D" w14:textId="77777777" w:rsidR="00E70CED" w:rsidRPr="00334F18" w:rsidRDefault="00E70CED" w:rsidP="001F115E">
            <w:pPr>
              <w:tabs>
                <w:tab w:val="left" w:pos="284"/>
              </w:tabs>
              <w:rPr>
                <w:b/>
                <w:bCs/>
                <w:lang w:eastAsia="lt-LT"/>
              </w:rPr>
            </w:pPr>
            <w:r w:rsidRPr="00334F18">
              <w:rPr>
                <w:b/>
                <w:bCs/>
                <w:lang w:eastAsia="lt-LT"/>
              </w:rPr>
              <w:t>(Europos Parlamento ir Tarybos reglamentas (ES) 2021/2282)</w:t>
            </w:r>
          </w:p>
          <w:p w14:paraId="7B6C3C1B" w14:textId="77777777" w:rsidR="00336238" w:rsidRPr="00334F18" w:rsidRDefault="00336238" w:rsidP="001F115E">
            <w:pPr>
              <w:tabs>
                <w:tab w:val="left" w:pos="284"/>
              </w:tabs>
              <w:rPr>
                <w:b/>
                <w:bCs/>
                <w:lang w:eastAsia="lt-LT"/>
              </w:rPr>
            </w:pPr>
          </w:p>
        </w:tc>
        <w:tc>
          <w:tcPr>
            <w:tcW w:w="4962" w:type="dxa"/>
          </w:tcPr>
          <w:p w14:paraId="024AE31B" w14:textId="5D428604" w:rsidR="00E70CED" w:rsidRPr="00334F18" w:rsidRDefault="009632FA" w:rsidP="001F115E">
            <w:sdt>
              <w:sdtPr>
                <w:rPr>
                  <w:rStyle w:val="Style2"/>
                  <w:sz w:val="24"/>
                </w:rPr>
                <w:id w:val="-1171564470"/>
                <w15:color w:val="FFCC00"/>
                <w14:checkbox>
                  <w14:checked w14:val="0"/>
                  <w14:checkedState w14:val="2612" w14:font="MS Gothic"/>
                  <w14:uncheckedState w14:val="2610" w14:font="MS Gothic"/>
                </w14:checkbox>
              </w:sdtPr>
              <w:sdtEndPr>
                <w:rPr>
                  <w:rStyle w:val="Style2"/>
                </w:rPr>
              </w:sdtEndPr>
              <w:sdtContent>
                <w:r w:rsidR="00E70CED" w:rsidRPr="00334F18">
                  <w:rPr>
                    <w:rStyle w:val="Style2"/>
                    <w:rFonts w:ascii="Segoe UI Symbol" w:eastAsia="MS Gothic" w:hAnsi="Segoe UI Symbol" w:cs="Segoe UI Symbol"/>
                    <w:sz w:val="24"/>
                  </w:rPr>
                  <w:t>☐</w:t>
                </w:r>
              </w:sdtContent>
            </w:sdt>
            <w:r w:rsidR="00E70CED" w:rsidRPr="00334F18">
              <w:t xml:space="preserve"> Taip       </w:t>
            </w:r>
            <w:r w:rsidR="00E70CED" w:rsidRPr="00334F18">
              <w:rPr>
                <w:rStyle w:val="Style2"/>
                <w:sz w:val="24"/>
              </w:rPr>
              <w:t xml:space="preserve"> </w:t>
            </w:r>
            <w:sdt>
              <w:sdtPr>
                <w:rPr>
                  <w:rStyle w:val="Style2"/>
                  <w:sz w:val="24"/>
                </w:rPr>
                <w:id w:val="1448122567"/>
                <w15:color w:val="FFCC00"/>
                <w14:checkbox>
                  <w14:checked w14:val="1"/>
                  <w14:checkedState w14:val="2612" w14:font="MS Gothic"/>
                  <w14:uncheckedState w14:val="2610" w14:font="MS Gothic"/>
                </w14:checkbox>
              </w:sdtPr>
              <w:sdtEndPr>
                <w:rPr>
                  <w:rStyle w:val="Style2"/>
                </w:rPr>
              </w:sdtEndPr>
              <w:sdtContent>
                <w:r w:rsidR="00772F40">
                  <w:rPr>
                    <w:rStyle w:val="Style2"/>
                    <w:rFonts w:ascii="MS Gothic" w:eastAsia="MS Gothic" w:hAnsi="MS Gothic" w:hint="eastAsia"/>
                    <w:sz w:val="24"/>
                  </w:rPr>
                  <w:t>☒</w:t>
                </w:r>
              </w:sdtContent>
            </w:sdt>
            <w:r w:rsidR="00E70CED" w:rsidRPr="00334F18">
              <w:t xml:space="preserve"> Ne</w:t>
            </w:r>
          </w:p>
          <w:p w14:paraId="0DF729B3" w14:textId="042856F7" w:rsidR="00E70CED" w:rsidRPr="00334F18" w:rsidRDefault="00E70CED" w:rsidP="001F115E">
            <w:pPr>
              <w:rPr>
                <w:rStyle w:val="Style2"/>
                <w:sz w:val="24"/>
              </w:rPr>
            </w:pPr>
            <w:r w:rsidRPr="00334F18">
              <w:t xml:space="preserve">Data: </w:t>
            </w:r>
            <w:sdt>
              <w:sdtPr>
                <w:alias w:val="Nurodykite konkrečią dieną"/>
                <w:tag w:val="Nurodykite pradžios datą"/>
                <w:id w:val="1516880001"/>
                <w:placeholder>
                  <w:docPart w:val="313EC56AA2FD440FAB92ED675BD36BA0"/>
                </w:placeholder>
                <w:showingPlcHdr/>
                <w15:color w:val="FFCC99"/>
                <w:date w:fullDate="2022-05-18T00:00:00Z">
                  <w:dateFormat w:val="yyyy 'm.' MMMM d 'd.'"/>
                  <w:lid w:val="lt-LT"/>
                  <w:storeMappedDataAs w:val="dateTime"/>
                  <w:calendar w:val="gregorian"/>
                </w:date>
              </w:sdtPr>
              <w:sdtEndPr/>
              <w:sdtContent>
                <w:r w:rsidRPr="00334F18">
                  <w:rPr>
                    <w:rStyle w:val="Vietosrezervavimoenklotekstas"/>
                    <w:color w:val="auto"/>
                  </w:rPr>
                  <w:t>Click here to enter a date.</w:t>
                </w:r>
              </w:sdtContent>
            </w:sdt>
            <w:r w:rsidRPr="00334F18">
              <w:t xml:space="preserve"> </w:t>
            </w:r>
          </w:p>
        </w:tc>
      </w:tr>
      <w:tr w:rsidR="00334F18" w:rsidRPr="00334F18" w14:paraId="15E36E93" w14:textId="77777777" w:rsidTr="003F3FFF">
        <w:trPr>
          <w:trHeight w:val="1278"/>
        </w:trPr>
        <w:tc>
          <w:tcPr>
            <w:tcW w:w="632" w:type="dxa"/>
          </w:tcPr>
          <w:p w14:paraId="5F43AA8F" w14:textId="77777777" w:rsidR="00E70CED" w:rsidRPr="00334F18" w:rsidRDefault="00E70CED" w:rsidP="001F115E">
            <w:pPr>
              <w:rPr>
                <w:rFonts w:eastAsia="Arial"/>
                <w:b/>
                <w:bCs/>
              </w:rPr>
            </w:pPr>
            <w:r w:rsidRPr="00334F18">
              <w:rPr>
                <w:rFonts w:eastAsia="Arial"/>
                <w:b/>
                <w:bCs/>
              </w:rPr>
              <w:lastRenderedPageBreak/>
              <w:t>1.6</w:t>
            </w:r>
          </w:p>
        </w:tc>
        <w:tc>
          <w:tcPr>
            <w:tcW w:w="3899" w:type="dxa"/>
          </w:tcPr>
          <w:p w14:paraId="41F32942" w14:textId="77777777" w:rsidR="00E70CED" w:rsidRPr="00334F18" w:rsidRDefault="00E70CED" w:rsidP="001F115E">
            <w:pPr>
              <w:rPr>
                <w:b/>
                <w:bCs/>
                <w:lang w:eastAsia="lt-LT"/>
              </w:rPr>
            </w:pPr>
            <w:r w:rsidRPr="00334F18">
              <w:rPr>
                <w:b/>
                <w:bCs/>
                <w:lang w:eastAsia="lt-LT"/>
              </w:rPr>
              <w:t xml:space="preserve">Teikiama kompensuoti terapinė indikacija </w:t>
            </w:r>
          </w:p>
          <w:p w14:paraId="2882A5BD" w14:textId="77777777" w:rsidR="00E70CED" w:rsidRPr="00334F18" w:rsidRDefault="00E70CED" w:rsidP="001F115E">
            <w:pPr>
              <w:rPr>
                <w:b/>
                <w:bCs/>
                <w:lang w:eastAsia="lt-LT"/>
              </w:rPr>
            </w:pPr>
          </w:p>
          <w:p w14:paraId="371D188E" w14:textId="77777777" w:rsidR="00E70CED" w:rsidRPr="00334F18" w:rsidRDefault="00E70CED" w:rsidP="001F115E">
            <w:pPr>
              <w:rPr>
                <w:b/>
                <w:bCs/>
                <w:lang w:eastAsia="lt-LT"/>
              </w:rPr>
            </w:pPr>
            <w:r w:rsidRPr="00334F18">
              <w:rPr>
                <w:b/>
                <w:bCs/>
                <w:lang w:eastAsia="lt-LT"/>
              </w:rPr>
              <w:t>Kodas pagal TLK-10 AM</w:t>
            </w:r>
          </w:p>
        </w:tc>
        <w:tc>
          <w:tcPr>
            <w:tcW w:w="4962" w:type="dxa"/>
          </w:tcPr>
          <w:p w14:paraId="2ED0E997" w14:textId="77777777" w:rsidR="00E70CED" w:rsidRPr="00334F18" w:rsidRDefault="00E70CED" w:rsidP="001F115E"/>
          <w:p w14:paraId="0096887D" w14:textId="7C5CDF49" w:rsidR="0044277F" w:rsidRPr="00B700C4" w:rsidRDefault="0044277F" w:rsidP="0044277F">
            <w:pPr>
              <w:jc w:val="both"/>
            </w:pPr>
            <w:r w:rsidRPr="00B700C4">
              <w:t xml:space="preserve">Turintiems augimo sutrikimą (esamas ūgis žemesnis nei  -2,5 standartiniai  ūgio nuokrypiai (toliau – SDS) nuo vidurkio (arba &lt; 3 </w:t>
            </w:r>
            <w:proofErr w:type="spellStart"/>
            <w:r w:rsidRPr="00B700C4">
              <w:t>procentilės</w:t>
            </w:r>
            <w:proofErr w:type="spellEnd"/>
            <w:r w:rsidRPr="00B700C4">
              <w:t xml:space="preserve">), o pagal tėvų ūgį koreguotas vaiko ūgis &lt; -1 SDS (2 </w:t>
            </w:r>
            <w:proofErr w:type="spellStart"/>
            <w:r w:rsidRPr="00B700C4">
              <w:t>procentiliniai</w:t>
            </w:r>
            <w:proofErr w:type="spellEnd"/>
            <w:r w:rsidRPr="00B700C4">
              <w:t xml:space="preserve"> tarpai žemesnis nei tėvų ūgio vidurkis)) vaikams / paaugliams, kurie gimė maži pagal savo </w:t>
            </w:r>
            <w:proofErr w:type="spellStart"/>
            <w:r w:rsidRPr="00B700C4">
              <w:t>gestacijos</w:t>
            </w:r>
            <w:proofErr w:type="spellEnd"/>
            <w:r w:rsidRPr="00B700C4">
              <w:t xml:space="preserve"> amžių (</w:t>
            </w:r>
            <w:r w:rsidRPr="00B700C4">
              <w:rPr>
                <w:b/>
                <w:bCs/>
              </w:rPr>
              <w:t>SGA</w:t>
            </w:r>
            <w:r w:rsidRPr="00B700C4">
              <w:t xml:space="preserve">), tai yra kurių svoris ir (arba) ūgis gimus nesiekė - 2 standartinio nuokrypio (3 </w:t>
            </w:r>
            <w:proofErr w:type="spellStart"/>
            <w:r w:rsidRPr="00B700C4">
              <w:t>procentilės</w:t>
            </w:r>
            <w:proofErr w:type="spellEnd"/>
            <w:r w:rsidRPr="00B700C4">
              <w:t xml:space="preserve">) ir kurie iki 4 metų ar vėliau neprisivijo ūgiu (augimo greitis (AG) per pastaruosius metus buvo &lt;0 SDS (&lt;50 </w:t>
            </w:r>
            <w:proofErr w:type="spellStart"/>
            <w:r w:rsidRPr="00B700C4">
              <w:t>procentilės</w:t>
            </w:r>
            <w:proofErr w:type="spellEnd"/>
            <w:r w:rsidRPr="00B700C4">
              <w:t>)).</w:t>
            </w:r>
          </w:p>
          <w:p w14:paraId="29FEE653" w14:textId="77777777" w:rsidR="0044277F" w:rsidRDefault="0044277F" w:rsidP="0044277F">
            <w:pPr>
              <w:jc w:val="both"/>
            </w:pPr>
          </w:p>
          <w:p w14:paraId="32D6B97F" w14:textId="77777777" w:rsidR="0044277F" w:rsidRPr="00B700C4" w:rsidRDefault="0044277F" w:rsidP="0044277F">
            <w:pPr>
              <w:jc w:val="both"/>
            </w:pPr>
            <w:r w:rsidRPr="00B700C4">
              <w:t>P05.1 - Per mažas vaisius pagal esamą nėštumo trukmę (angl. „</w:t>
            </w:r>
            <w:proofErr w:type="spellStart"/>
            <w:r w:rsidRPr="00B700C4">
              <w:rPr>
                <w:i/>
                <w:iCs/>
              </w:rPr>
              <w:t>small</w:t>
            </w:r>
            <w:proofErr w:type="spellEnd"/>
            <w:r w:rsidRPr="00B700C4">
              <w:rPr>
                <w:i/>
                <w:iCs/>
              </w:rPr>
              <w:t xml:space="preserve"> </w:t>
            </w:r>
            <w:proofErr w:type="spellStart"/>
            <w:r w:rsidRPr="00B700C4">
              <w:rPr>
                <w:i/>
                <w:iCs/>
              </w:rPr>
              <w:t>for</w:t>
            </w:r>
            <w:proofErr w:type="spellEnd"/>
            <w:r w:rsidRPr="00B700C4">
              <w:rPr>
                <w:i/>
                <w:iCs/>
              </w:rPr>
              <w:t xml:space="preserve"> </w:t>
            </w:r>
            <w:proofErr w:type="spellStart"/>
            <w:r w:rsidRPr="00B700C4">
              <w:rPr>
                <w:i/>
                <w:iCs/>
              </w:rPr>
              <w:t>gestational</w:t>
            </w:r>
            <w:proofErr w:type="spellEnd"/>
            <w:r w:rsidRPr="00B700C4">
              <w:rPr>
                <w:i/>
                <w:iCs/>
              </w:rPr>
              <w:t xml:space="preserve"> </w:t>
            </w:r>
            <w:proofErr w:type="spellStart"/>
            <w:r w:rsidRPr="00B700C4">
              <w:rPr>
                <w:i/>
                <w:iCs/>
              </w:rPr>
              <w:t>age</w:t>
            </w:r>
            <w:proofErr w:type="spellEnd"/>
            <w:r w:rsidRPr="00B700C4">
              <w:t>“, SGA)</w:t>
            </w:r>
          </w:p>
          <w:p w14:paraId="72971D14" w14:textId="77777777" w:rsidR="0044277F" w:rsidRPr="00B700C4" w:rsidRDefault="0044277F" w:rsidP="0044277F">
            <w:pPr>
              <w:jc w:val="both"/>
            </w:pPr>
          </w:p>
          <w:p w14:paraId="10833DB8" w14:textId="2A438BF4" w:rsidR="00E70CED" w:rsidRPr="00334F18" w:rsidRDefault="0044277F" w:rsidP="0044277F">
            <w:r w:rsidRPr="00B700C4">
              <w:t>E34.3 - Mažas ūgis, neklasifikuojamas kitur (žemo ūgio vaikai) (angl. „</w:t>
            </w:r>
            <w:proofErr w:type="spellStart"/>
            <w:r w:rsidRPr="00B700C4">
              <w:t>s</w:t>
            </w:r>
            <w:r w:rsidRPr="00B700C4">
              <w:rPr>
                <w:i/>
                <w:iCs/>
              </w:rPr>
              <w:t>hort</w:t>
            </w:r>
            <w:proofErr w:type="spellEnd"/>
            <w:r w:rsidRPr="00B700C4">
              <w:rPr>
                <w:i/>
                <w:iCs/>
              </w:rPr>
              <w:t xml:space="preserve"> </w:t>
            </w:r>
            <w:proofErr w:type="spellStart"/>
            <w:r w:rsidRPr="00B700C4">
              <w:rPr>
                <w:i/>
                <w:iCs/>
              </w:rPr>
              <w:t>stature</w:t>
            </w:r>
            <w:proofErr w:type="spellEnd"/>
            <w:r w:rsidRPr="00B700C4">
              <w:rPr>
                <w:i/>
                <w:iCs/>
              </w:rPr>
              <w:t xml:space="preserve">, </w:t>
            </w:r>
            <w:proofErr w:type="spellStart"/>
            <w:r w:rsidRPr="00B700C4">
              <w:rPr>
                <w:i/>
                <w:iCs/>
              </w:rPr>
              <w:t>not</w:t>
            </w:r>
            <w:proofErr w:type="spellEnd"/>
            <w:r w:rsidRPr="00B700C4">
              <w:rPr>
                <w:i/>
                <w:iCs/>
              </w:rPr>
              <w:t xml:space="preserve"> </w:t>
            </w:r>
            <w:proofErr w:type="spellStart"/>
            <w:r w:rsidRPr="00B700C4">
              <w:rPr>
                <w:i/>
                <w:iCs/>
              </w:rPr>
              <w:t>elsewhere</w:t>
            </w:r>
            <w:proofErr w:type="spellEnd"/>
            <w:r w:rsidRPr="00B700C4">
              <w:rPr>
                <w:i/>
                <w:iCs/>
              </w:rPr>
              <w:t xml:space="preserve"> </w:t>
            </w:r>
            <w:proofErr w:type="spellStart"/>
            <w:r w:rsidRPr="00B700C4">
              <w:rPr>
                <w:i/>
                <w:iCs/>
              </w:rPr>
              <w:t>classified</w:t>
            </w:r>
            <w:proofErr w:type="spellEnd"/>
            <w:r w:rsidRPr="00B700C4">
              <w:t>“)</w:t>
            </w:r>
          </w:p>
        </w:tc>
      </w:tr>
      <w:tr w:rsidR="00334F18" w:rsidRPr="00334F18" w14:paraId="01C3C4F5" w14:textId="77777777" w:rsidTr="003F3FFF">
        <w:trPr>
          <w:trHeight w:val="378"/>
        </w:trPr>
        <w:tc>
          <w:tcPr>
            <w:tcW w:w="632" w:type="dxa"/>
          </w:tcPr>
          <w:p w14:paraId="5115AFC1" w14:textId="77777777" w:rsidR="00E70CED" w:rsidRPr="00334F18" w:rsidRDefault="00E70CED" w:rsidP="001F115E">
            <w:pPr>
              <w:rPr>
                <w:rFonts w:eastAsia="Arial"/>
                <w:b/>
                <w:bCs/>
              </w:rPr>
            </w:pPr>
            <w:r w:rsidRPr="00334F18">
              <w:rPr>
                <w:rFonts w:eastAsia="Arial"/>
                <w:b/>
                <w:bCs/>
              </w:rPr>
              <w:t>1.7</w:t>
            </w:r>
          </w:p>
        </w:tc>
        <w:tc>
          <w:tcPr>
            <w:tcW w:w="3899" w:type="dxa"/>
          </w:tcPr>
          <w:p w14:paraId="48045B5A" w14:textId="77777777" w:rsidR="00E70CED" w:rsidRPr="00334F18" w:rsidRDefault="00E70CED" w:rsidP="001F115E">
            <w:pPr>
              <w:rPr>
                <w:b/>
                <w:bCs/>
                <w:u w:val="single"/>
                <w:lang w:eastAsia="lt-LT"/>
              </w:rPr>
            </w:pPr>
            <w:r w:rsidRPr="00334F18">
              <w:rPr>
                <w:b/>
                <w:bCs/>
                <w:lang w:eastAsia="lt-LT"/>
              </w:rPr>
              <w:t xml:space="preserve">Teikiamos skyrimo sąlygos </w:t>
            </w:r>
          </w:p>
        </w:tc>
        <w:tc>
          <w:tcPr>
            <w:tcW w:w="4962" w:type="dxa"/>
          </w:tcPr>
          <w:p w14:paraId="29DC7D83" w14:textId="5B2D68EE" w:rsidR="00D458B7" w:rsidRDefault="00D458B7" w:rsidP="00D458B7">
            <w:pPr>
              <w:jc w:val="both"/>
              <w:rPr>
                <w:lang w:eastAsia="lt-LT"/>
              </w:rPr>
            </w:pPr>
            <w:r w:rsidRPr="000365FF">
              <w:t> </w:t>
            </w:r>
            <w:r w:rsidR="0044277F">
              <w:rPr>
                <w:lang w:eastAsia="lt-LT"/>
              </w:rPr>
              <w:t>Neteikiama</w:t>
            </w:r>
          </w:p>
          <w:p w14:paraId="6A31562C" w14:textId="77777777" w:rsidR="00E70CED" w:rsidRPr="00334F18" w:rsidRDefault="00E70CED" w:rsidP="001F115E"/>
        </w:tc>
      </w:tr>
      <w:tr w:rsidR="00334F18" w:rsidRPr="00334F18" w14:paraId="3C32C984" w14:textId="77777777" w:rsidTr="003F3FFF">
        <w:trPr>
          <w:trHeight w:val="378"/>
        </w:trPr>
        <w:tc>
          <w:tcPr>
            <w:tcW w:w="632" w:type="dxa"/>
          </w:tcPr>
          <w:p w14:paraId="4E679EDB" w14:textId="77777777" w:rsidR="00E70CED" w:rsidRPr="00334F18" w:rsidRDefault="00E70CED" w:rsidP="001F115E">
            <w:pPr>
              <w:rPr>
                <w:rFonts w:eastAsia="Arial"/>
                <w:b/>
                <w:bCs/>
              </w:rPr>
            </w:pPr>
            <w:r w:rsidRPr="00334F18">
              <w:rPr>
                <w:rFonts w:eastAsia="Arial"/>
                <w:b/>
                <w:bCs/>
              </w:rPr>
              <w:t>1.8</w:t>
            </w:r>
          </w:p>
        </w:tc>
        <w:tc>
          <w:tcPr>
            <w:tcW w:w="3899" w:type="dxa"/>
          </w:tcPr>
          <w:p w14:paraId="784605B5" w14:textId="3A924C79" w:rsidR="00E70CED" w:rsidRPr="00334F18" w:rsidRDefault="00E70CED" w:rsidP="001F115E">
            <w:pPr>
              <w:rPr>
                <w:b/>
                <w:bCs/>
                <w:lang w:eastAsia="lt-LT"/>
              </w:rPr>
            </w:pPr>
            <w:r w:rsidRPr="00334F18">
              <w:rPr>
                <w:b/>
                <w:bCs/>
                <w:lang w:eastAsia="lt-LT"/>
              </w:rPr>
              <w:t>Ekonominė analizė</w:t>
            </w:r>
          </w:p>
        </w:tc>
        <w:tc>
          <w:tcPr>
            <w:tcW w:w="4962" w:type="dxa"/>
          </w:tcPr>
          <w:p w14:paraId="3155F2E8" w14:textId="68CEB6C8" w:rsidR="00E70CED" w:rsidRPr="00334F18" w:rsidRDefault="009632FA" w:rsidP="001F115E">
            <w:sdt>
              <w:sdtPr>
                <w:rPr>
                  <w:rStyle w:val="Style2"/>
                  <w:sz w:val="24"/>
                </w:rPr>
                <w:id w:val="356323367"/>
                <w15:color w:val="FFCC00"/>
                <w14:checkbox>
                  <w14:checked w14:val="1"/>
                  <w14:checkedState w14:val="2612" w14:font="MS Gothic"/>
                  <w14:uncheckedState w14:val="2610" w14:font="MS Gothic"/>
                </w14:checkbox>
              </w:sdtPr>
              <w:sdtEndPr>
                <w:rPr>
                  <w:rStyle w:val="Style2"/>
                </w:rPr>
              </w:sdtEndPr>
              <w:sdtContent>
                <w:r w:rsidR="00772F40">
                  <w:rPr>
                    <w:rStyle w:val="Style2"/>
                    <w:rFonts w:ascii="MS Gothic" w:eastAsia="MS Gothic" w:hAnsi="MS Gothic" w:hint="eastAsia"/>
                    <w:sz w:val="24"/>
                  </w:rPr>
                  <w:t>☒</w:t>
                </w:r>
              </w:sdtContent>
            </w:sdt>
            <w:r w:rsidR="00E70CED" w:rsidRPr="00334F18">
              <w:t xml:space="preserve"> Kaštų naudingumo analizė</w:t>
            </w:r>
          </w:p>
          <w:p w14:paraId="49547563" w14:textId="77777777" w:rsidR="00E70CED" w:rsidRPr="00334F18" w:rsidRDefault="009632FA" w:rsidP="001F115E">
            <w:sdt>
              <w:sdtPr>
                <w:rPr>
                  <w:rStyle w:val="Style2"/>
                  <w:sz w:val="24"/>
                </w:rPr>
                <w:id w:val="-250506580"/>
                <w15:color w:val="FFCC00"/>
                <w14:checkbox>
                  <w14:checked w14:val="0"/>
                  <w14:checkedState w14:val="2612" w14:font="MS Gothic"/>
                  <w14:uncheckedState w14:val="2610" w14:font="MS Gothic"/>
                </w14:checkbox>
              </w:sdtPr>
              <w:sdtEndPr>
                <w:rPr>
                  <w:rStyle w:val="Style2"/>
                </w:rPr>
              </w:sdtEndPr>
              <w:sdtContent>
                <w:r w:rsidR="00E70CED" w:rsidRPr="00334F18">
                  <w:rPr>
                    <w:rStyle w:val="Style2"/>
                    <w:rFonts w:ascii="Segoe UI Symbol" w:eastAsia="MS Gothic" w:hAnsi="Segoe UI Symbol" w:cs="Segoe UI Symbol"/>
                    <w:sz w:val="24"/>
                  </w:rPr>
                  <w:t>☐</w:t>
                </w:r>
              </w:sdtContent>
            </w:sdt>
            <w:r w:rsidR="00E70CED" w:rsidRPr="00334F18">
              <w:t xml:space="preserve"> Kaštų mažinimo analizė</w:t>
            </w:r>
          </w:p>
          <w:p w14:paraId="42039008" w14:textId="5726D9D8" w:rsidR="00FE5878" w:rsidRPr="00334F18" w:rsidRDefault="009632FA" w:rsidP="00FE5878">
            <w:sdt>
              <w:sdtPr>
                <w:rPr>
                  <w:rStyle w:val="Style2"/>
                  <w:sz w:val="24"/>
                </w:rPr>
                <w:id w:val="-1570647133"/>
                <w15:color w:val="FFCC00"/>
                <w14:checkbox>
                  <w14:checked w14:val="0"/>
                  <w14:checkedState w14:val="2612" w14:font="MS Gothic"/>
                  <w14:uncheckedState w14:val="2610" w14:font="MS Gothic"/>
                </w14:checkbox>
              </w:sdtPr>
              <w:sdtEndPr>
                <w:rPr>
                  <w:rStyle w:val="Style2"/>
                </w:rPr>
              </w:sdtEndPr>
              <w:sdtContent>
                <w:r w:rsidR="00FE5878" w:rsidRPr="00334F18">
                  <w:rPr>
                    <w:rStyle w:val="Style2"/>
                    <w:rFonts w:ascii="Segoe UI Symbol" w:eastAsia="MS Gothic" w:hAnsi="Segoe UI Symbol" w:cs="Segoe UI Symbol"/>
                    <w:sz w:val="24"/>
                  </w:rPr>
                  <w:t>☐</w:t>
                </w:r>
              </w:sdtContent>
            </w:sdt>
            <w:r w:rsidR="00FE5878" w:rsidRPr="00334F18">
              <w:t xml:space="preserve"> Neteikiama</w:t>
            </w:r>
          </w:p>
          <w:p w14:paraId="5DC5A0C1" w14:textId="77777777" w:rsidR="00FE5878" w:rsidRPr="00334F18" w:rsidRDefault="00FE5878" w:rsidP="001F115E"/>
          <w:p w14:paraId="4B0FE78C" w14:textId="77777777" w:rsidR="00E70CED" w:rsidRPr="00334F18" w:rsidRDefault="00E70CED" w:rsidP="001F115E"/>
        </w:tc>
      </w:tr>
    </w:tbl>
    <w:p w14:paraId="2EB7FD31" w14:textId="5615B363" w:rsidR="007A2B68" w:rsidRPr="00334F18" w:rsidRDefault="00DC261A" w:rsidP="00063A50">
      <w:pPr>
        <w:pStyle w:val="Sraopastraipa"/>
        <w:tabs>
          <w:tab w:val="left" w:pos="426"/>
        </w:tabs>
        <w:ind w:left="0"/>
        <w:jc w:val="center"/>
        <w:rPr>
          <w:b/>
          <w:bCs/>
          <w:caps/>
        </w:rPr>
      </w:pPr>
      <w:r w:rsidRPr="00334F18">
        <w:rPr>
          <w:b/>
          <w:bCs/>
          <w:caps/>
        </w:rPr>
        <w:t>___________________</w:t>
      </w:r>
    </w:p>
    <w:p w14:paraId="73290081" w14:textId="77777777" w:rsidR="007A2B68" w:rsidRPr="00334F18" w:rsidRDefault="007A2B68">
      <w:pPr>
        <w:rPr>
          <w:b/>
          <w:bCs/>
          <w:caps/>
        </w:rPr>
      </w:pPr>
      <w:r w:rsidRPr="00334F18">
        <w:rPr>
          <w:b/>
          <w:bCs/>
          <w:caps/>
        </w:rPr>
        <w:br w:type="page"/>
      </w:r>
    </w:p>
    <w:p w14:paraId="5055E8A8" w14:textId="1FB182B9" w:rsidR="002E6F80" w:rsidRPr="00334F18" w:rsidRDefault="00CC7832" w:rsidP="00CC09D4">
      <w:pPr>
        <w:pStyle w:val="Sraopastraipa"/>
        <w:numPr>
          <w:ilvl w:val="0"/>
          <w:numId w:val="12"/>
        </w:numPr>
        <w:tabs>
          <w:tab w:val="left" w:pos="567"/>
        </w:tabs>
        <w:ind w:hanging="720"/>
        <w:rPr>
          <w:b/>
          <w:bCs/>
          <w:caps/>
        </w:rPr>
      </w:pPr>
      <w:r w:rsidRPr="00334F18">
        <w:rPr>
          <w:b/>
          <w:bCs/>
          <w:caps/>
        </w:rPr>
        <w:lastRenderedPageBreak/>
        <w:t>Klinikinio vertinimo a</w:t>
      </w:r>
      <w:r w:rsidR="00D4485B" w:rsidRPr="00334F18">
        <w:rPr>
          <w:b/>
          <w:bCs/>
          <w:caps/>
        </w:rPr>
        <w:t>pibendrinimas</w:t>
      </w:r>
    </w:p>
    <w:p w14:paraId="25F89291" w14:textId="77F0B72A" w:rsidR="00D4485B" w:rsidRDefault="00D4485B" w:rsidP="00A93AA6">
      <w:pPr>
        <w:pStyle w:val="Sraopastraipa"/>
        <w:tabs>
          <w:tab w:val="left" w:pos="426"/>
        </w:tabs>
        <w:ind w:left="0"/>
        <w:rPr>
          <w:b/>
          <w:bCs/>
          <w:caps/>
        </w:rPr>
      </w:pPr>
    </w:p>
    <w:p w14:paraId="549082A8" w14:textId="18777CE8" w:rsidR="0044277F" w:rsidRDefault="0044277F" w:rsidP="00CC249D">
      <w:pPr>
        <w:tabs>
          <w:tab w:val="left" w:pos="426"/>
        </w:tabs>
        <w:spacing w:line="276" w:lineRule="auto"/>
        <w:ind w:firstLine="567"/>
        <w:jc w:val="both"/>
        <w:rPr>
          <w:lang w:eastAsia="lt-LT"/>
        </w:rPr>
      </w:pPr>
      <w:r w:rsidRPr="00387D93">
        <w:rPr>
          <w:lang w:bidi="lt-LT"/>
        </w:rPr>
        <w:t xml:space="preserve">Gimę </w:t>
      </w:r>
      <w:r w:rsidR="00C32D13">
        <w:rPr>
          <w:lang w:bidi="lt-LT"/>
        </w:rPr>
        <w:t xml:space="preserve">per </w:t>
      </w:r>
      <w:r w:rsidRPr="00387D93">
        <w:rPr>
          <w:lang w:bidi="lt-LT"/>
        </w:rPr>
        <w:t xml:space="preserve">maži pagal savo </w:t>
      </w:r>
      <w:proofErr w:type="spellStart"/>
      <w:r w:rsidRPr="00387D93">
        <w:rPr>
          <w:lang w:bidi="lt-LT"/>
        </w:rPr>
        <w:t>gestacinį</w:t>
      </w:r>
      <w:proofErr w:type="spellEnd"/>
      <w:r w:rsidRPr="00387D93">
        <w:rPr>
          <w:lang w:bidi="lt-LT"/>
        </w:rPr>
        <w:t xml:space="preserve"> amžių (angl. SGA) – apibūdinami kūdikiai, kurių svoris ir (arba) ūgis gimimo metu nesiekia jų </w:t>
      </w:r>
      <w:proofErr w:type="spellStart"/>
      <w:r w:rsidRPr="00387D93">
        <w:rPr>
          <w:lang w:bidi="lt-LT"/>
        </w:rPr>
        <w:t>gestacinį</w:t>
      </w:r>
      <w:proofErr w:type="spellEnd"/>
      <w:r w:rsidRPr="00387D93">
        <w:rPr>
          <w:lang w:bidi="lt-LT"/>
        </w:rPr>
        <w:t xml:space="preserve"> amžių atitinkančios 10-os </w:t>
      </w:r>
      <w:proofErr w:type="spellStart"/>
      <w:r w:rsidRPr="00387D93">
        <w:rPr>
          <w:lang w:bidi="lt-LT"/>
        </w:rPr>
        <w:t>procentilės</w:t>
      </w:r>
      <w:proofErr w:type="spellEnd"/>
      <w:r w:rsidRPr="00387D93">
        <w:rPr>
          <w:lang w:bidi="lt-LT"/>
        </w:rPr>
        <w:t xml:space="preserve"> arba, kaip dažnai apibrėžiama, 2 standartinių nuokrypių (angl. SDS). SGA būklė siejama su reikšmingais sveikatos sutrikimais tiek ilguoju, tiek trumpuoju laikotarpiu. Gimusių mažų pagal </w:t>
      </w:r>
      <w:proofErr w:type="spellStart"/>
      <w:r w:rsidRPr="00387D93">
        <w:rPr>
          <w:lang w:bidi="lt-LT"/>
        </w:rPr>
        <w:t>gestacinį</w:t>
      </w:r>
      <w:proofErr w:type="spellEnd"/>
      <w:r w:rsidRPr="00387D93">
        <w:rPr>
          <w:lang w:bidi="lt-LT"/>
        </w:rPr>
        <w:t xml:space="preserve"> amžių naujagimių mirtingumo rizika yra didesnė nei atitinkančių </w:t>
      </w:r>
      <w:proofErr w:type="spellStart"/>
      <w:r w:rsidRPr="00387D93">
        <w:rPr>
          <w:lang w:bidi="lt-LT"/>
        </w:rPr>
        <w:t>gestacinį</w:t>
      </w:r>
      <w:proofErr w:type="spellEnd"/>
      <w:r w:rsidRPr="00387D93">
        <w:rPr>
          <w:lang w:bidi="lt-LT"/>
        </w:rPr>
        <w:t xml:space="preserve"> amžių. Apytiksliai trečdaliui SGA kūdikių po gimimo pasireiškia hipoglikemija. Mažas svoris gimus siejamas su padidėjusia palyginti anksti suaugusiųjų amžiuje pasireiškiančia cukrinio diabeto ir </w:t>
      </w:r>
      <w:proofErr w:type="spellStart"/>
      <w:r w:rsidRPr="00387D93">
        <w:rPr>
          <w:lang w:bidi="lt-LT"/>
        </w:rPr>
        <w:t>metabolinių</w:t>
      </w:r>
      <w:proofErr w:type="spellEnd"/>
      <w:r w:rsidRPr="00387D93">
        <w:rPr>
          <w:lang w:bidi="lt-LT"/>
        </w:rPr>
        <w:t xml:space="preserve"> širdies ligų rizika. Maždaug 3–5 % vaikų SGA ir nors daugelis jų iki 4 metų ūgiu spėja pasivyti bendraamžius, apie 10 % žemo ūgio išlieka ir suaugusiųjų amžiuje. Šią būklę gali sukelti įvairios priežastys, tarp jų – sulėtėjęs vaisiaus augimas ir įvairūs </w:t>
      </w:r>
      <w:proofErr w:type="spellStart"/>
      <w:r w:rsidRPr="00387D93">
        <w:rPr>
          <w:lang w:bidi="lt-LT"/>
        </w:rPr>
        <w:t>prenataliniai</w:t>
      </w:r>
      <w:proofErr w:type="spellEnd"/>
      <w:r w:rsidRPr="00387D93">
        <w:rPr>
          <w:lang w:bidi="lt-LT"/>
        </w:rPr>
        <w:t xml:space="preserve"> veiksniai.</w:t>
      </w:r>
    </w:p>
    <w:p w14:paraId="46F1589F" w14:textId="77777777" w:rsidR="0044277F" w:rsidRPr="00387D93" w:rsidRDefault="0044277F" w:rsidP="00CC249D">
      <w:pPr>
        <w:tabs>
          <w:tab w:val="left" w:pos="426"/>
        </w:tabs>
        <w:spacing w:line="276" w:lineRule="auto"/>
        <w:ind w:firstLine="567"/>
        <w:jc w:val="both"/>
        <w:rPr>
          <w:lang w:eastAsia="lt-LT"/>
        </w:rPr>
      </w:pPr>
      <w:r w:rsidRPr="00387D93">
        <w:rPr>
          <w:lang w:bidi="lt-LT"/>
        </w:rPr>
        <w:t xml:space="preserve">Remiantis regioniniais gyventojų populiacijos naujagimių duomenimis, Lietuvoje maži pagal savo </w:t>
      </w:r>
      <w:proofErr w:type="spellStart"/>
      <w:r w:rsidRPr="00387D93">
        <w:rPr>
          <w:lang w:bidi="lt-LT"/>
        </w:rPr>
        <w:t>gestacinį</w:t>
      </w:r>
      <w:proofErr w:type="spellEnd"/>
      <w:r w:rsidRPr="00387D93">
        <w:rPr>
          <w:lang w:bidi="lt-LT"/>
        </w:rPr>
        <w:t xml:space="preserve"> amžių gimsta apie 9,7 % berniukų ir 10,1 % mergaičių. Lietuvos gimimų medicininių duomenų registro 1995–2015 m. laikotarpio duomenimis, tai apytiksliai atitinka SGA kategorijai priskiriamus 30 859 berniukus ir 30 439 mergaites (iš viso išanalizuoti 618 235 naujagimių duomenys). 2024 m. Lietuvoje gimė 18 979 vaikai, iš jų 1 898 (maždaug 10 %) priskiriami mažiems pagal </w:t>
      </w:r>
      <w:proofErr w:type="spellStart"/>
      <w:r w:rsidRPr="00387D93">
        <w:rPr>
          <w:lang w:bidi="lt-LT"/>
        </w:rPr>
        <w:t>gestacinį</w:t>
      </w:r>
      <w:proofErr w:type="spellEnd"/>
      <w:r w:rsidRPr="00387D93">
        <w:rPr>
          <w:lang w:bidi="lt-LT"/>
        </w:rPr>
        <w:t xml:space="preserve"> amžių.</w:t>
      </w:r>
    </w:p>
    <w:p w14:paraId="33E1B3B0" w14:textId="77777777" w:rsidR="0044277F" w:rsidRDefault="0044277F" w:rsidP="00CC249D">
      <w:pPr>
        <w:tabs>
          <w:tab w:val="left" w:pos="426"/>
        </w:tabs>
        <w:spacing w:line="276" w:lineRule="auto"/>
        <w:ind w:firstLine="567"/>
        <w:jc w:val="both"/>
        <w:rPr>
          <w:lang w:bidi="lt-LT"/>
        </w:rPr>
      </w:pPr>
      <w:r w:rsidRPr="00387D93">
        <w:rPr>
          <w:lang w:bidi="lt-LT"/>
        </w:rPr>
        <w:t xml:space="preserve">Taikant klinikinį gydymą per pirmuosius dvejus gyvenimo metus, pagrindinis dėmesys skiriamas optimaliai mitybai, siekiant užtikrinti, kad vaikai tinkamai augtų ir pasivytų ūgiu, hipoglikemijos, pernelyg didelio svorio prieaugio, sulėtėjusio nervų sistemos vystymosi prevencijai ir galimų priežasčių, įskaitant genetines ligas, atmetimui. Gydymas augimo hormonu (AH) (0,033–0,067 mg/kg/d.) rekomenduojamas vaikams, kurie gimė maži pagal </w:t>
      </w:r>
      <w:proofErr w:type="spellStart"/>
      <w:r w:rsidRPr="00387D93">
        <w:rPr>
          <w:lang w:bidi="lt-LT"/>
        </w:rPr>
        <w:t>gestacinį</w:t>
      </w:r>
      <w:proofErr w:type="spellEnd"/>
      <w:r w:rsidRPr="00387D93">
        <w:rPr>
          <w:lang w:bidi="lt-LT"/>
        </w:rPr>
        <w:t xml:space="preserve"> amžių ir iki 3–4 metų amžiaus išliko žemo ūgio, nes toks gydymas yra veiksmingas ir saugus, įskaitant ilgąjį laikotarpį, po to, kai gydymas AH nutraukiamas</w:t>
      </w:r>
      <w:r>
        <w:rPr>
          <w:lang w:bidi="lt-LT"/>
        </w:rPr>
        <w:t>.</w:t>
      </w:r>
    </w:p>
    <w:p w14:paraId="74B73E4D" w14:textId="506E4532" w:rsidR="0044277F" w:rsidRDefault="0044277F" w:rsidP="00CC249D">
      <w:pPr>
        <w:tabs>
          <w:tab w:val="left" w:pos="426"/>
        </w:tabs>
        <w:spacing w:line="276" w:lineRule="auto"/>
        <w:ind w:firstLine="567"/>
        <w:jc w:val="both"/>
        <w:rPr>
          <w:lang w:bidi="lt-LT"/>
        </w:rPr>
      </w:pPr>
      <w:r w:rsidRPr="00387D93">
        <w:rPr>
          <w:lang w:bidi="lt-LT"/>
        </w:rPr>
        <w:t xml:space="preserve">Vaikų, kurie gimė maži pagal </w:t>
      </w:r>
      <w:proofErr w:type="spellStart"/>
      <w:r w:rsidRPr="00387D93">
        <w:rPr>
          <w:lang w:bidi="lt-LT"/>
        </w:rPr>
        <w:t>gestacinį</w:t>
      </w:r>
      <w:proofErr w:type="spellEnd"/>
      <w:r w:rsidRPr="00387D93">
        <w:rPr>
          <w:lang w:bidi="lt-LT"/>
        </w:rPr>
        <w:t xml:space="preserve"> amžių ir neserga gretutinėmis ligomis, būklė gali likti neišaiškinta, kol jie nesulaukia 2–4 metų arba nepradeda lankyti mokyklos ir nepasiveja ūgiu. Tarptautinė SGA patariamoji taryba nurodė, kad 2–4 metų amžiaus gimę maži pagal </w:t>
      </w:r>
      <w:proofErr w:type="spellStart"/>
      <w:r w:rsidRPr="00387D93">
        <w:rPr>
          <w:lang w:bidi="lt-LT"/>
        </w:rPr>
        <w:t>gestacinį</w:t>
      </w:r>
      <w:proofErr w:type="spellEnd"/>
      <w:r w:rsidRPr="00387D93">
        <w:rPr>
          <w:lang w:bidi="lt-LT"/>
        </w:rPr>
        <w:t xml:space="preserve"> amžių (SGA) vaikai, kurie nerodo požymių, jog ūgiu pasivys bendraamžius ir ūgiu nesiekia –2,5 SDS</w:t>
      </w:r>
      <w:r w:rsidR="00447EFC">
        <w:rPr>
          <w:lang w:bidi="lt-LT"/>
        </w:rPr>
        <w:t xml:space="preserve"> (</w:t>
      </w:r>
      <w:r w:rsidR="00447EFC" w:rsidRPr="00EF095A">
        <w:rPr>
          <w:i/>
          <w:iCs/>
          <w:lang w:bidi="lt-LT"/>
        </w:rPr>
        <w:t xml:space="preserve">angl. </w:t>
      </w:r>
      <w:proofErr w:type="spellStart"/>
      <w:r w:rsidR="00447EFC" w:rsidRPr="00EF095A">
        <w:rPr>
          <w:i/>
          <w:iCs/>
          <w:lang w:bidi="lt-LT"/>
        </w:rPr>
        <w:t>standard</w:t>
      </w:r>
      <w:proofErr w:type="spellEnd"/>
      <w:r w:rsidR="00447EFC" w:rsidRPr="00EF095A">
        <w:rPr>
          <w:i/>
          <w:iCs/>
          <w:lang w:bidi="lt-LT"/>
        </w:rPr>
        <w:t xml:space="preserve"> </w:t>
      </w:r>
      <w:proofErr w:type="spellStart"/>
      <w:r w:rsidR="00447EFC" w:rsidRPr="00EF095A">
        <w:rPr>
          <w:i/>
          <w:iCs/>
          <w:lang w:bidi="lt-LT"/>
        </w:rPr>
        <w:t>deviation</w:t>
      </w:r>
      <w:proofErr w:type="spellEnd"/>
      <w:r w:rsidR="00447EFC" w:rsidRPr="00EF095A">
        <w:rPr>
          <w:i/>
          <w:iCs/>
          <w:lang w:bidi="lt-LT"/>
        </w:rPr>
        <w:t xml:space="preserve"> </w:t>
      </w:r>
      <w:proofErr w:type="spellStart"/>
      <w:r w:rsidR="00447EFC" w:rsidRPr="00EF095A">
        <w:rPr>
          <w:i/>
          <w:iCs/>
          <w:lang w:bidi="lt-LT"/>
        </w:rPr>
        <w:t>scale</w:t>
      </w:r>
      <w:proofErr w:type="spellEnd"/>
      <w:r w:rsidR="00447EFC">
        <w:rPr>
          <w:lang w:bidi="lt-LT"/>
        </w:rPr>
        <w:t>)</w:t>
      </w:r>
      <w:r w:rsidRPr="00387D93">
        <w:rPr>
          <w:lang w:bidi="lt-LT"/>
        </w:rPr>
        <w:t>, turėtų būti laikomi tinkamais gydyti AH. Taip pat rekomenduojama apsvarstyti gydymo galimybę vyresniems nei 4 metų vaikams, kurie ūgiu nesiekia –2 SDS arba mažiau ir ūgiu nespėja pasivyti bendraamžių.</w:t>
      </w:r>
    </w:p>
    <w:p w14:paraId="34DE083C" w14:textId="77777777" w:rsidR="0044277F" w:rsidRDefault="0044277F" w:rsidP="00CC249D">
      <w:pPr>
        <w:tabs>
          <w:tab w:val="left" w:pos="426"/>
        </w:tabs>
        <w:spacing w:line="276" w:lineRule="auto"/>
        <w:ind w:firstLine="567"/>
        <w:jc w:val="both"/>
        <w:rPr>
          <w:lang w:bidi="lt-LT"/>
        </w:rPr>
      </w:pPr>
      <w:r w:rsidRPr="00387D93">
        <w:rPr>
          <w:lang w:bidi="lt-LT"/>
        </w:rPr>
        <w:t xml:space="preserve">Šiuo metu Lietuvoje gimusių mažų pagal </w:t>
      </w:r>
      <w:proofErr w:type="spellStart"/>
      <w:r w:rsidRPr="00387D93">
        <w:rPr>
          <w:lang w:bidi="lt-LT"/>
        </w:rPr>
        <w:t>gestacinį</w:t>
      </w:r>
      <w:proofErr w:type="spellEnd"/>
      <w:r w:rsidRPr="00387D93">
        <w:rPr>
          <w:lang w:bidi="lt-LT"/>
        </w:rPr>
        <w:t xml:space="preserve"> amžių vaikų gydymui AH nekompensuojamas. </w:t>
      </w:r>
    </w:p>
    <w:p w14:paraId="44EEADCE" w14:textId="77777777" w:rsidR="0044277F" w:rsidRDefault="0044277F" w:rsidP="00CC249D">
      <w:pPr>
        <w:tabs>
          <w:tab w:val="left" w:pos="426"/>
        </w:tabs>
        <w:spacing w:line="276" w:lineRule="auto"/>
        <w:ind w:firstLine="567"/>
        <w:jc w:val="both"/>
        <w:rPr>
          <w:lang w:bidi="lt-LT"/>
        </w:rPr>
      </w:pPr>
      <w:r>
        <w:rPr>
          <w:lang w:bidi="lt-LT"/>
        </w:rPr>
        <w:t xml:space="preserve">Remiantis naujausiomis tarptautinėmis mažų pagal </w:t>
      </w:r>
      <w:proofErr w:type="spellStart"/>
      <w:r>
        <w:rPr>
          <w:lang w:bidi="lt-LT"/>
        </w:rPr>
        <w:t>gestacinį</w:t>
      </w:r>
      <w:proofErr w:type="spellEnd"/>
      <w:r>
        <w:rPr>
          <w:lang w:bidi="lt-LT"/>
        </w:rPr>
        <w:t xml:space="preserve"> amžių gimusių vaikų ištyrimo ir gydymo gairėmis, gydymas augimo hormonu yra rekomenduojamas visiems, </w:t>
      </w:r>
      <w:r w:rsidRPr="00387D93">
        <w:rPr>
          <w:lang w:bidi="lt-LT"/>
        </w:rPr>
        <w:t xml:space="preserve">vaikams, kurie gimė maži pagal </w:t>
      </w:r>
      <w:proofErr w:type="spellStart"/>
      <w:r w:rsidRPr="00387D93">
        <w:rPr>
          <w:lang w:bidi="lt-LT"/>
        </w:rPr>
        <w:t>gestacinį</w:t>
      </w:r>
      <w:proofErr w:type="spellEnd"/>
      <w:r w:rsidRPr="00387D93">
        <w:rPr>
          <w:lang w:bidi="lt-LT"/>
        </w:rPr>
        <w:t xml:space="preserve"> amžių ir iki 3–4 metų amžiaus išliko žemo ūgio</w:t>
      </w:r>
      <w:r>
        <w:rPr>
          <w:lang w:bidi="lt-LT"/>
        </w:rPr>
        <w:t xml:space="preserve">, su sąlyga, </w:t>
      </w:r>
      <w:r w:rsidRPr="00010E26">
        <w:rPr>
          <w:lang w:bidi="lt-LT"/>
        </w:rPr>
        <w:t xml:space="preserve">kad buvo atmestos kitos žemo ūgio priežastys ir kad nėra klinikinių požymių, </w:t>
      </w:r>
      <w:r>
        <w:rPr>
          <w:lang w:bidi="lt-LT"/>
        </w:rPr>
        <w:t>į</w:t>
      </w:r>
      <w:r w:rsidRPr="00010E26">
        <w:rPr>
          <w:lang w:bidi="lt-LT"/>
        </w:rPr>
        <w:t xml:space="preserve">rodančių </w:t>
      </w:r>
      <w:proofErr w:type="spellStart"/>
      <w:r w:rsidRPr="00010E26">
        <w:rPr>
          <w:lang w:bidi="lt-LT"/>
        </w:rPr>
        <w:t>dismorfinį</w:t>
      </w:r>
      <w:proofErr w:type="spellEnd"/>
      <w:r w:rsidRPr="00010E26">
        <w:rPr>
          <w:lang w:bidi="lt-LT"/>
        </w:rPr>
        <w:t xml:space="preserve"> sindromą.</w:t>
      </w:r>
    </w:p>
    <w:p w14:paraId="3AF4C187" w14:textId="77777777" w:rsidR="0044277F" w:rsidRPr="00DC3BC9" w:rsidRDefault="0044277F" w:rsidP="00CC249D">
      <w:pPr>
        <w:spacing w:line="276" w:lineRule="auto"/>
        <w:ind w:firstLine="851"/>
        <w:jc w:val="both"/>
        <w:rPr>
          <w:rFonts w:eastAsia="Arial"/>
          <w:color w:val="000000"/>
        </w:rPr>
      </w:pPr>
      <w:r w:rsidRPr="00DC3BC9">
        <w:rPr>
          <w:rFonts w:eastAsia="Arial"/>
          <w:color w:val="000000"/>
        </w:rPr>
        <w:t xml:space="preserve">Paraiškoje </w:t>
      </w:r>
      <w:proofErr w:type="spellStart"/>
      <w:r w:rsidRPr="00DC3BC9">
        <w:rPr>
          <w:rFonts w:eastAsia="Arial"/>
          <w:color w:val="000000"/>
        </w:rPr>
        <w:t>somatropino</w:t>
      </w:r>
      <w:proofErr w:type="spellEnd"/>
      <w:r w:rsidRPr="00DC3BC9">
        <w:rPr>
          <w:rFonts w:eastAsia="Arial"/>
          <w:color w:val="000000"/>
        </w:rPr>
        <w:t xml:space="preserve"> (</w:t>
      </w:r>
      <w:proofErr w:type="spellStart"/>
      <w:r w:rsidRPr="00DC3BC9">
        <w:rPr>
          <w:rFonts w:eastAsia="Arial"/>
          <w:color w:val="000000"/>
        </w:rPr>
        <w:t>Omnitrope</w:t>
      </w:r>
      <w:proofErr w:type="spellEnd"/>
      <w:r w:rsidRPr="00DC3BC9">
        <w:rPr>
          <w:rFonts w:eastAsia="Arial"/>
          <w:color w:val="000000"/>
        </w:rPr>
        <w:t xml:space="preserve">) efektyvumas, remiantis tiesioginio ir </w:t>
      </w:r>
      <w:proofErr w:type="spellStart"/>
      <w:r w:rsidRPr="00DC3BC9">
        <w:rPr>
          <w:rFonts w:eastAsia="Arial"/>
          <w:color w:val="000000"/>
        </w:rPr>
        <w:t>neteisioginio</w:t>
      </w:r>
      <w:proofErr w:type="spellEnd"/>
      <w:r w:rsidRPr="00DC3BC9">
        <w:rPr>
          <w:rFonts w:eastAsia="Arial"/>
          <w:color w:val="000000"/>
        </w:rPr>
        <w:t xml:space="preserve"> palyginimo duomenimis bei papildomais atvirais klinikiniais tyrimais yra lyginamas su placebo, nes Lietuvoje nėra kompensuojamo gydymo vaistais šiai vaikų populiacijai. </w:t>
      </w:r>
      <w:proofErr w:type="spellStart"/>
      <w:r w:rsidRPr="00DC3BC9">
        <w:rPr>
          <w:rFonts w:eastAsia="Arial"/>
          <w:color w:val="000000"/>
        </w:rPr>
        <w:t>Omnitrope</w:t>
      </w:r>
      <w:proofErr w:type="spellEnd"/>
      <w:r w:rsidRPr="00DC3BC9">
        <w:rPr>
          <w:rFonts w:eastAsia="Arial"/>
          <w:color w:val="000000"/>
        </w:rPr>
        <w:t xml:space="preserve"> yra biologiškai panašus </w:t>
      </w:r>
      <w:proofErr w:type="spellStart"/>
      <w:r w:rsidRPr="00DC3BC9">
        <w:rPr>
          <w:rFonts w:eastAsia="Arial"/>
          <w:color w:val="000000"/>
        </w:rPr>
        <w:t>somatropinas</w:t>
      </w:r>
      <w:proofErr w:type="spellEnd"/>
      <w:r w:rsidRPr="00DC3BC9">
        <w:rPr>
          <w:rFonts w:eastAsia="Arial"/>
          <w:color w:val="000000"/>
        </w:rPr>
        <w:t>.</w:t>
      </w:r>
    </w:p>
    <w:p w14:paraId="5AB11DF3" w14:textId="77777777" w:rsidR="0044277F" w:rsidRPr="009A0B27" w:rsidRDefault="0044277F" w:rsidP="00CC249D">
      <w:pPr>
        <w:tabs>
          <w:tab w:val="left" w:pos="426"/>
        </w:tabs>
        <w:spacing w:line="276" w:lineRule="auto"/>
        <w:ind w:firstLine="567"/>
        <w:jc w:val="both"/>
        <w:rPr>
          <w:lang w:bidi="lt-LT"/>
        </w:rPr>
      </w:pPr>
    </w:p>
    <w:p w14:paraId="57D6DF2C" w14:textId="77777777" w:rsidR="0044277F" w:rsidRPr="00CC249D" w:rsidRDefault="0044277F" w:rsidP="00CC249D">
      <w:pPr>
        <w:tabs>
          <w:tab w:val="left" w:pos="426"/>
        </w:tabs>
        <w:spacing w:line="276" w:lineRule="auto"/>
        <w:ind w:firstLine="567"/>
        <w:jc w:val="both"/>
        <w:rPr>
          <w:i/>
          <w:iCs/>
          <w:lang w:bidi="lt-LT"/>
        </w:rPr>
      </w:pPr>
      <w:r w:rsidRPr="00CC249D">
        <w:rPr>
          <w:i/>
          <w:iCs/>
          <w:lang w:bidi="lt-LT"/>
        </w:rPr>
        <w:t>Tiesioginiai palyginamieji tyrimai</w:t>
      </w:r>
    </w:p>
    <w:p w14:paraId="52966F14" w14:textId="111E1A3B" w:rsidR="0044277F" w:rsidRDefault="0044277F" w:rsidP="00CC249D">
      <w:pPr>
        <w:tabs>
          <w:tab w:val="left" w:pos="426"/>
        </w:tabs>
        <w:spacing w:line="276" w:lineRule="auto"/>
        <w:ind w:firstLine="567"/>
        <w:jc w:val="both"/>
      </w:pPr>
      <w:r w:rsidRPr="009A0B27">
        <w:t xml:space="preserve">Paraiškoje </w:t>
      </w:r>
      <w:r>
        <w:t xml:space="preserve">pateiktas tiesioginis </w:t>
      </w:r>
      <w:proofErr w:type="spellStart"/>
      <w:r>
        <w:t>Genotropin</w:t>
      </w:r>
      <w:proofErr w:type="spellEnd"/>
      <w:r>
        <w:t xml:space="preserve"> (</w:t>
      </w:r>
      <w:proofErr w:type="spellStart"/>
      <w:r>
        <w:t>somatropino</w:t>
      </w:r>
      <w:proofErr w:type="spellEnd"/>
      <w:r>
        <w:t xml:space="preserve">) tyrimas, kuriame palygintas </w:t>
      </w:r>
      <w:proofErr w:type="spellStart"/>
      <w:r>
        <w:t>somatropino</w:t>
      </w:r>
      <w:proofErr w:type="spellEnd"/>
      <w:r>
        <w:t xml:space="preserve"> ir placebo veiksmingumas. </w:t>
      </w:r>
      <w:proofErr w:type="spellStart"/>
      <w:r>
        <w:t>Omnitrope</w:t>
      </w:r>
      <w:proofErr w:type="spellEnd"/>
      <w:r>
        <w:t xml:space="preserve"> ir </w:t>
      </w:r>
      <w:proofErr w:type="spellStart"/>
      <w:r>
        <w:t>biopanašus</w:t>
      </w:r>
      <w:proofErr w:type="spellEnd"/>
      <w:r>
        <w:t xml:space="preserve"> </w:t>
      </w:r>
      <w:proofErr w:type="spellStart"/>
      <w:r>
        <w:t>somatropinas</w:t>
      </w:r>
      <w:proofErr w:type="spellEnd"/>
      <w:r>
        <w:t xml:space="preserve">. </w:t>
      </w:r>
      <w:r w:rsidRPr="00DC3BC9">
        <w:rPr>
          <w:iCs/>
        </w:rPr>
        <w:t xml:space="preserve">Tarnyba, </w:t>
      </w:r>
      <w:r w:rsidRPr="00DC3BC9">
        <w:rPr>
          <w:iCs/>
        </w:rPr>
        <w:lastRenderedPageBreak/>
        <w:t xml:space="preserve">suprasdama ribotą </w:t>
      </w:r>
      <w:proofErr w:type="spellStart"/>
      <w:r w:rsidRPr="00DC3BC9">
        <w:rPr>
          <w:iCs/>
        </w:rPr>
        <w:t>generinių</w:t>
      </w:r>
      <w:proofErr w:type="spellEnd"/>
      <w:r w:rsidRPr="00DC3BC9">
        <w:rPr>
          <w:iCs/>
        </w:rPr>
        <w:t>, hibridinių ar panašių biologinių vaistinių preparatų klinikinių tyrimų duomenų prieinamumą, palyginamojo veiksmingumo ir saugumo įrodymus, gautus iš prieinamų referencinio vaistinio preparato klinikinių tyrimų duomenų ir literatūros šaltinių, laiko priimtinais</w:t>
      </w:r>
      <w:r>
        <w:rPr>
          <w:iCs/>
        </w:rPr>
        <w:t xml:space="preserve">. </w:t>
      </w:r>
      <w:r w:rsidRPr="00DC3BC9">
        <w:t xml:space="preserve">Tyrime buvo įtraukti </w:t>
      </w:r>
      <w:r>
        <w:t>43</w:t>
      </w:r>
      <w:r w:rsidRPr="00DC3BC9">
        <w:t xml:space="preserve"> labai jauno amžiaus vaikai (24–30 mėnesių), gimę</w:t>
      </w:r>
      <w:r w:rsidR="00447EFC">
        <w:t xml:space="preserve"> </w:t>
      </w:r>
      <w:r w:rsidR="008E58BC">
        <w:t xml:space="preserve">savo </w:t>
      </w:r>
      <w:r w:rsidRPr="00DC3BC9">
        <w:t>mažo</w:t>
      </w:r>
      <w:r w:rsidR="00447EFC">
        <w:t xml:space="preserve"> </w:t>
      </w:r>
      <w:proofErr w:type="spellStart"/>
      <w:r w:rsidRPr="00DC3BC9">
        <w:t>gestacinio</w:t>
      </w:r>
      <w:proofErr w:type="spellEnd"/>
      <w:r w:rsidRPr="00DC3BC9">
        <w:t xml:space="preserve"> amžiaus (SMGA) ir anksti nepasiviję augimo; visiems </w:t>
      </w:r>
      <w:r>
        <w:t>tiriamiesiems, kuriems</w:t>
      </w:r>
      <w:r w:rsidRPr="00DC3BC9">
        <w:t xml:space="preserve"> 24 mėnesius taikyta GH terapija</w:t>
      </w:r>
      <w:r>
        <w:t>, gydymas</w:t>
      </w:r>
      <w:r w:rsidRPr="00DC3BC9">
        <w:t xml:space="preserve"> buvo gerai toleruojama</w:t>
      </w:r>
      <w:r>
        <w:t>s</w:t>
      </w:r>
      <w:r w:rsidRPr="00DC3BC9">
        <w:t xml:space="preserve"> ir skatino spartų augimo atsistatymą.</w:t>
      </w:r>
    </w:p>
    <w:p w14:paraId="70302E0D" w14:textId="77777777" w:rsidR="0044277F" w:rsidRPr="006359A8" w:rsidRDefault="0044277F" w:rsidP="00CC249D">
      <w:pPr>
        <w:tabs>
          <w:tab w:val="left" w:pos="426"/>
        </w:tabs>
        <w:spacing w:line="276" w:lineRule="auto"/>
        <w:ind w:firstLine="567"/>
        <w:jc w:val="both"/>
      </w:pPr>
      <w:r>
        <w:rPr>
          <w:lang w:bidi="lt-LT"/>
        </w:rPr>
        <w:t xml:space="preserve">Taip pat Pareiškėjas pateikė tiesioginį atsitiktinių imčių kontroliuojamą tyrimą, kuriame buvo palygintas </w:t>
      </w:r>
      <w:proofErr w:type="spellStart"/>
      <w:r>
        <w:rPr>
          <w:lang w:bidi="lt-LT"/>
        </w:rPr>
        <w:t>Omnitrope</w:t>
      </w:r>
      <w:proofErr w:type="spellEnd"/>
      <w:r>
        <w:rPr>
          <w:lang w:bidi="lt-LT"/>
        </w:rPr>
        <w:t xml:space="preserve"> ir </w:t>
      </w:r>
      <w:proofErr w:type="spellStart"/>
      <w:r>
        <w:rPr>
          <w:lang w:bidi="lt-LT"/>
        </w:rPr>
        <w:t>Genotropin</w:t>
      </w:r>
      <w:proofErr w:type="spellEnd"/>
      <w:r>
        <w:rPr>
          <w:lang w:bidi="lt-LT"/>
        </w:rPr>
        <w:t xml:space="preserve"> veiksmingumas ir saugumas. </w:t>
      </w:r>
      <w:r w:rsidRPr="006359A8">
        <w:t xml:space="preserve">Klinikinis </w:t>
      </w:r>
      <w:proofErr w:type="spellStart"/>
      <w:r w:rsidRPr="006359A8">
        <w:t>Omnitrope</w:t>
      </w:r>
      <w:proofErr w:type="spellEnd"/>
      <w:r>
        <w:t xml:space="preserve"> </w:t>
      </w:r>
      <w:r w:rsidRPr="006359A8">
        <w:t xml:space="preserve">ir </w:t>
      </w:r>
      <w:proofErr w:type="spellStart"/>
      <w:r w:rsidRPr="006359A8">
        <w:t>Genotropin</w:t>
      </w:r>
      <w:proofErr w:type="spellEnd"/>
      <w:r w:rsidRPr="006359A8">
        <w:t xml:space="preserve"> palyginamumas buvo įrodytas per 9 gydymo mėnesius. </w:t>
      </w:r>
      <w:proofErr w:type="spellStart"/>
      <w:r w:rsidRPr="006359A8">
        <w:t>Omnitrope</w:t>
      </w:r>
      <w:proofErr w:type="spellEnd"/>
      <w:r w:rsidRPr="006359A8">
        <w:t xml:space="preserve"> (</w:t>
      </w:r>
      <w:proofErr w:type="spellStart"/>
      <w:r w:rsidRPr="006359A8">
        <w:t>liofilizatas</w:t>
      </w:r>
      <w:proofErr w:type="spellEnd"/>
      <w:r w:rsidRPr="006359A8">
        <w:t xml:space="preserve"> arba skystis), skiriamas GHD sergantiems vaikams iki 84 mėnesių 0,03 mg/kg per parą doze, pasirodė esąs veiksmingas, saugus ir gerai toleruojamas tiek lokaliai, tiek sistemiškai. Be to, perėjimas nuo vieno </w:t>
      </w:r>
      <w:proofErr w:type="spellStart"/>
      <w:r w:rsidRPr="006359A8">
        <w:t>rhGH</w:t>
      </w:r>
      <w:proofErr w:type="spellEnd"/>
      <w:r w:rsidRPr="006359A8">
        <w:t xml:space="preserve"> preparato prie kito buvo gerai toleruojamas ir saugus. Šio tyrimo rezultatai patvirtina ilgalaikį </w:t>
      </w:r>
      <w:proofErr w:type="spellStart"/>
      <w:r w:rsidRPr="006359A8">
        <w:t>Omnitrope</w:t>
      </w:r>
      <w:proofErr w:type="spellEnd"/>
      <w:r w:rsidRPr="006359A8">
        <w:t xml:space="preserve"> veiksmingumą ir toleravimą.</w:t>
      </w:r>
    </w:p>
    <w:p w14:paraId="0363961F" w14:textId="77777777" w:rsidR="0044277F" w:rsidRDefault="0044277F" w:rsidP="00CC249D">
      <w:pPr>
        <w:tabs>
          <w:tab w:val="left" w:pos="426"/>
        </w:tabs>
        <w:spacing w:line="276" w:lineRule="auto"/>
        <w:ind w:firstLine="567"/>
        <w:jc w:val="both"/>
        <w:rPr>
          <w:lang w:bidi="lt-LT"/>
        </w:rPr>
      </w:pPr>
    </w:p>
    <w:p w14:paraId="1E82DE3C" w14:textId="77777777" w:rsidR="0044277F" w:rsidRPr="00CC249D" w:rsidRDefault="0044277F" w:rsidP="00CC249D">
      <w:pPr>
        <w:tabs>
          <w:tab w:val="left" w:pos="426"/>
        </w:tabs>
        <w:spacing w:line="276" w:lineRule="auto"/>
        <w:ind w:firstLine="567"/>
        <w:jc w:val="both"/>
        <w:rPr>
          <w:i/>
          <w:iCs/>
          <w:lang w:bidi="lt-LT"/>
        </w:rPr>
      </w:pPr>
      <w:r w:rsidRPr="00CC249D">
        <w:rPr>
          <w:i/>
          <w:iCs/>
          <w:lang w:bidi="lt-LT"/>
        </w:rPr>
        <w:t>Netiesioginiai palyginamieji tyrimai</w:t>
      </w:r>
    </w:p>
    <w:p w14:paraId="5E9D0D55" w14:textId="3FA500A7" w:rsidR="0044277F" w:rsidRDefault="0044277F" w:rsidP="00CC249D">
      <w:pPr>
        <w:spacing w:line="276" w:lineRule="auto"/>
        <w:ind w:firstLine="567"/>
        <w:jc w:val="both"/>
        <w:rPr>
          <w:rFonts w:eastAsia="Arial"/>
        </w:rPr>
      </w:pPr>
      <w:r>
        <w:rPr>
          <w:rFonts w:eastAsia="Arial"/>
        </w:rPr>
        <w:t xml:space="preserve">Pareiškėjas pateikė 2 tinklines </w:t>
      </w:r>
      <w:proofErr w:type="spellStart"/>
      <w:r>
        <w:rPr>
          <w:rFonts w:eastAsia="Arial"/>
        </w:rPr>
        <w:t>metaanalizes</w:t>
      </w:r>
      <w:proofErr w:type="spellEnd"/>
      <w:r>
        <w:rPr>
          <w:rFonts w:eastAsia="Arial"/>
        </w:rPr>
        <w:t>, kuriose vertintas augimo faktoriaus poveikis SGA vaikų populiacijoje.</w:t>
      </w:r>
    </w:p>
    <w:p w14:paraId="4A156991" w14:textId="34C92304" w:rsidR="0044277F" w:rsidRDefault="0044277F" w:rsidP="00CC249D">
      <w:pPr>
        <w:tabs>
          <w:tab w:val="left" w:pos="426"/>
        </w:tabs>
        <w:spacing w:line="276" w:lineRule="auto"/>
        <w:ind w:firstLine="567"/>
        <w:jc w:val="both"/>
      </w:pPr>
      <w:r>
        <w:rPr>
          <w:lang w:bidi="lt-LT"/>
        </w:rPr>
        <w:t xml:space="preserve">Abu tyrimai </w:t>
      </w:r>
      <w:r w:rsidRPr="006359A8">
        <w:t xml:space="preserve">patvirtina, kad gydant mažo ūgio vaikus, gimusius </w:t>
      </w:r>
      <w:r w:rsidR="008E58BC">
        <w:t xml:space="preserve">savo </w:t>
      </w:r>
      <w:r w:rsidRPr="006359A8">
        <w:t>mažo</w:t>
      </w:r>
      <w:r w:rsidR="00370935">
        <w:t xml:space="preserve"> </w:t>
      </w:r>
      <w:proofErr w:type="spellStart"/>
      <w:r w:rsidRPr="006359A8">
        <w:t>gestacinio</w:t>
      </w:r>
      <w:proofErr w:type="spellEnd"/>
      <w:r w:rsidRPr="006359A8">
        <w:t xml:space="preserve"> amžiaus vartojant </w:t>
      </w:r>
      <w:proofErr w:type="spellStart"/>
      <w:r w:rsidRPr="006359A8">
        <w:t>rekombinantinį</w:t>
      </w:r>
      <w:proofErr w:type="spellEnd"/>
      <w:r w:rsidRPr="006359A8">
        <w:t xml:space="preserve"> žmogaus augimo hormoną (</w:t>
      </w:r>
      <w:r w:rsidR="00370935" w:rsidRPr="00CC249D">
        <w:rPr>
          <w:i/>
          <w:iCs/>
        </w:rPr>
        <w:t xml:space="preserve">angl. </w:t>
      </w:r>
      <w:proofErr w:type="spellStart"/>
      <w:r w:rsidRPr="00CC249D">
        <w:rPr>
          <w:i/>
          <w:iCs/>
        </w:rPr>
        <w:t>rhGH</w:t>
      </w:r>
      <w:proofErr w:type="spellEnd"/>
      <w:r w:rsidRPr="006359A8">
        <w:t xml:space="preserve">), egzistuoja aiški dozės ir atsako priklausomybė: didesnė </w:t>
      </w:r>
      <w:proofErr w:type="spellStart"/>
      <w:r w:rsidRPr="006359A8">
        <w:t>rhGH</w:t>
      </w:r>
      <w:proofErr w:type="spellEnd"/>
      <w:r w:rsidRPr="006359A8">
        <w:t xml:space="preserve"> dozė per 2 metus lemia didesnį ūgio SDS padidėjimą. Kai kuriems vaikams didesnė </w:t>
      </w:r>
      <w:proofErr w:type="spellStart"/>
      <w:r w:rsidRPr="006359A8">
        <w:t>rhGH</w:t>
      </w:r>
      <w:proofErr w:type="spellEnd"/>
      <w:r w:rsidRPr="006359A8">
        <w:t xml:space="preserve"> dozė per palyginti trumpą gydymo laikotarpį gali suteikti didesnę ūgio prieaugio naudą</w:t>
      </w:r>
      <w:r>
        <w:t xml:space="preserve">. </w:t>
      </w:r>
    </w:p>
    <w:p w14:paraId="327FCAE6" w14:textId="77777777" w:rsidR="0044277F" w:rsidRPr="00CC249D" w:rsidRDefault="0044277F" w:rsidP="00CC249D">
      <w:pPr>
        <w:tabs>
          <w:tab w:val="left" w:pos="426"/>
        </w:tabs>
        <w:spacing w:line="276" w:lineRule="auto"/>
        <w:ind w:firstLine="567"/>
        <w:jc w:val="both"/>
        <w:rPr>
          <w:i/>
          <w:iCs/>
          <w:lang w:bidi="lt-LT"/>
        </w:rPr>
      </w:pPr>
    </w:p>
    <w:p w14:paraId="6B97B09E" w14:textId="77777777" w:rsidR="0044277F" w:rsidRPr="00CC249D" w:rsidRDefault="0044277F" w:rsidP="00CC249D">
      <w:pPr>
        <w:tabs>
          <w:tab w:val="left" w:pos="426"/>
        </w:tabs>
        <w:spacing w:line="276" w:lineRule="auto"/>
        <w:ind w:firstLine="567"/>
        <w:jc w:val="both"/>
        <w:rPr>
          <w:i/>
          <w:iCs/>
          <w:lang w:bidi="lt-LT"/>
        </w:rPr>
      </w:pPr>
      <w:r w:rsidRPr="00CC249D">
        <w:rPr>
          <w:i/>
          <w:iCs/>
          <w:lang w:bidi="lt-LT"/>
        </w:rPr>
        <w:t>Papildomi tyrimai</w:t>
      </w:r>
    </w:p>
    <w:p w14:paraId="308FAA4C" w14:textId="77777777" w:rsidR="0044277F" w:rsidRDefault="0044277F" w:rsidP="00CC249D">
      <w:pPr>
        <w:tabs>
          <w:tab w:val="left" w:pos="426"/>
        </w:tabs>
        <w:spacing w:line="276" w:lineRule="auto"/>
        <w:ind w:firstLine="567"/>
        <w:jc w:val="both"/>
        <w:rPr>
          <w:rFonts w:eastAsia="Arial"/>
        </w:rPr>
      </w:pPr>
      <w:r>
        <w:rPr>
          <w:lang w:bidi="lt-LT"/>
        </w:rPr>
        <w:t xml:space="preserve">Pateikti du atviri </w:t>
      </w:r>
      <w:proofErr w:type="spellStart"/>
      <w:r>
        <w:rPr>
          <w:lang w:bidi="lt-LT"/>
        </w:rPr>
        <w:t>Omnitrope</w:t>
      </w:r>
      <w:proofErr w:type="spellEnd"/>
      <w:r>
        <w:rPr>
          <w:lang w:bidi="lt-LT"/>
        </w:rPr>
        <w:t xml:space="preserve"> tyrimai, kurių metu vertintas </w:t>
      </w:r>
      <w:proofErr w:type="spellStart"/>
      <w:r>
        <w:rPr>
          <w:lang w:bidi="lt-LT"/>
        </w:rPr>
        <w:t>Omnitrope</w:t>
      </w:r>
      <w:proofErr w:type="spellEnd"/>
      <w:r>
        <w:rPr>
          <w:lang w:bidi="lt-LT"/>
        </w:rPr>
        <w:t xml:space="preserve"> saugumas ir tęstinis veiksmingumas. Pagal gautus rezultatus </w:t>
      </w:r>
      <w:r>
        <w:rPr>
          <w:color w:val="000000"/>
        </w:rPr>
        <w:t>g</w:t>
      </w:r>
      <w:r w:rsidRPr="002C299F">
        <w:rPr>
          <w:color w:val="000000"/>
        </w:rPr>
        <w:t xml:space="preserve">ydymas </w:t>
      </w:r>
      <w:proofErr w:type="spellStart"/>
      <w:r w:rsidRPr="002C299F">
        <w:rPr>
          <w:color w:val="000000"/>
        </w:rPr>
        <w:t>Omnitrope</w:t>
      </w:r>
      <w:proofErr w:type="spellEnd"/>
      <w:r w:rsidRPr="002C299F">
        <w:rPr>
          <w:color w:val="000000"/>
        </w:rPr>
        <w:t xml:space="preserve"> buvo veiksmingas – daugumai pacientų po 2 metų stebėtas tęstinis pasivejamasis augimas.</w:t>
      </w:r>
      <w:r>
        <w:rPr>
          <w:color w:val="000000"/>
        </w:rPr>
        <w:t xml:space="preserve"> </w:t>
      </w:r>
      <w:r>
        <w:rPr>
          <w:rFonts w:eastAsia="Arial"/>
        </w:rPr>
        <w:t>Tyrimuose pateikti</w:t>
      </w:r>
      <w:r w:rsidRPr="0076392B">
        <w:rPr>
          <w:rFonts w:eastAsia="Arial"/>
        </w:rPr>
        <w:t xml:space="preserve"> duomenys rodo, kad </w:t>
      </w:r>
      <w:proofErr w:type="spellStart"/>
      <w:r w:rsidRPr="0076392B">
        <w:rPr>
          <w:rFonts w:eastAsia="Arial"/>
        </w:rPr>
        <w:t>Omnitrope</w:t>
      </w:r>
      <w:proofErr w:type="spellEnd"/>
      <w:r w:rsidRPr="0076392B">
        <w:rPr>
          <w:rFonts w:eastAsia="Arial"/>
        </w:rPr>
        <w:t xml:space="preserve"> savo veiksmingumu ir saugumo profiliu patvirtintose indikacijose nesiskiria nuo kitų </w:t>
      </w:r>
      <w:proofErr w:type="spellStart"/>
      <w:r w:rsidRPr="0076392B">
        <w:rPr>
          <w:rFonts w:eastAsia="Arial"/>
        </w:rPr>
        <w:t>rhGH</w:t>
      </w:r>
      <w:proofErr w:type="spellEnd"/>
      <w:r w:rsidRPr="0076392B">
        <w:rPr>
          <w:rFonts w:eastAsia="Arial"/>
        </w:rPr>
        <w:t xml:space="preserve"> preparatų.</w:t>
      </w:r>
    </w:p>
    <w:p w14:paraId="38A7B953" w14:textId="77777777" w:rsidR="00C32D13" w:rsidRPr="00DC3BC9" w:rsidRDefault="00C32D13" w:rsidP="00CC249D">
      <w:pPr>
        <w:tabs>
          <w:tab w:val="left" w:pos="426"/>
        </w:tabs>
        <w:spacing w:line="276" w:lineRule="auto"/>
        <w:ind w:firstLine="567"/>
        <w:jc w:val="both"/>
        <w:rPr>
          <w:lang w:bidi="lt-LT"/>
        </w:rPr>
      </w:pPr>
    </w:p>
    <w:p w14:paraId="00B5DA2D" w14:textId="2AC84AF4" w:rsidR="0044277F" w:rsidRPr="00744D98" w:rsidRDefault="00CC249D" w:rsidP="00CC249D">
      <w:pPr>
        <w:tabs>
          <w:tab w:val="left" w:pos="426"/>
        </w:tabs>
        <w:spacing w:line="276" w:lineRule="auto"/>
        <w:jc w:val="both"/>
        <w:rPr>
          <w:b/>
          <w:lang w:eastAsia="lt-LT"/>
        </w:rPr>
      </w:pPr>
      <w:r>
        <w:rPr>
          <w:b/>
          <w:lang w:eastAsia="lt-LT"/>
        </w:rPr>
        <w:tab/>
      </w:r>
      <w:r w:rsidRPr="00CC249D">
        <w:rPr>
          <w:bCs/>
          <w:lang w:eastAsia="lt-LT"/>
        </w:rPr>
        <w:t>Apibendrinant, s</w:t>
      </w:r>
      <w:r w:rsidR="0044277F" w:rsidRPr="00CC249D">
        <w:rPr>
          <w:bCs/>
          <w:lang w:eastAsia="lt-LT"/>
        </w:rPr>
        <w:t>iūlomo</w:t>
      </w:r>
      <w:r w:rsidR="0044277F" w:rsidRPr="00744D98">
        <w:rPr>
          <w:bCs/>
          <w:lang w:eastAsia="lt-LT"/>
        </w:rPr>
        <w:t xml:space="preserve"> kompensuoti vaistinio preparato palyginamasis veiksmingumas yra įvertintas kaip</w:t>
      </w:r>
      <w:r w:rsidR="0044277F" w:rsidRPr="00744D98">
        <w:rPr>
          <w:bCs/>
          <w:i/>
          <w:iCs/>
          <w:lang w:eastAsia="lt-LT"/>
        </w:rPr>
        <w:t xml:space="preserve"> didesnis </w:t>
      </w:r>
      <w:r w:rsidR="0044277F" w:rsidRPr="00744D98">
        <w:rPr>
          <w:bCs/>
          <w:lang w:eastAsia="lt-LT"/>
        </w:rPr>
        <w:t xml:space="preserve"> lyginant su įprasta klinikine praktika, </w:t>
      </w:r>
      <w:proofErr w:type="spellStart"/>
      <w:r w:rsidR="0044277F" w:rsidRPr="00744D98">
        <w:rPr>
          <w:bCs/>
          <w:lang w:eastAsia="lt-LT"/>
        </w:rPr>
        <w:t>t.y</w:t>
      </w:r>
      <w:proofErr w:type="spellEnd"/>
      <w:r w:rsidR="0044277F" w:rsidRPr="00744D98">
        <w:rPr>
          <w:bCs/>
          <w:lang w:eastAsia="lt-LT"/>
        </w:rPr>
        <w:t>. a</w:t>
      </w:r>
      <w:r w:rsidR="0044277F" w:rsidRPr="00744D98">
        <w:t>titinka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29.1.2 papunktį.</w:t>
      </w:r>
    </w:p>
    <w:p w14:paraId="5652541E" w14:textId="77777777" w:rsidR="00D80989" w:rsidRPr="00D80989" w:rsidRDefault="00D80989" w:rsidP="00D458B7">
      <w:pPr>
        <w:tabs>
          <w:tab w:val="left" w:pos="492"/>
        </w:tabs>
        <w:spacing w:line="280" w:lineRule="atLeast"/>
        <w:jc w:val="both"/>
        <w:outlineLvl w:val="1"/>
        <w:rPr>
          <w:rFonts w:eastAsia="Arial"/>
        </w:rPr>
      </w:pPr>
    </w:p>
    <w:p w14:paraId="39C1ADA8" w14:textId="77777777" w:rsidR="00AC5129" w:rsidRPr="00334F18" w:rsidRDefault="00AC5129" w:rsidP="00A93AA6">
      <w:pPr>
        <w:pStyle w:val="Sraopastraipa"/>
        <w:tabs>
          <w:tab w:val="left" w:pos="426"/>
        </w:tabs>
        <w:ind w:left="0"/>
        <w:rPr>
          <w:b/>
          <w:bCs/>
          <w:caps/>
        </w:rPr>
      </w:pPr>
    </w:p>
    <w:p w14:paraId="7DE09EB5" w14:textId="69E9DD74" w:rsidR="00E03C3F" w:rsidRPr="00334F18" w:rsidRDefault="00CC7832" w:rsidP="00CC09D4">
      <w:pPr>
        <w:pStyle w:val="Sraopastraipa"/>
        <w:numPr>
          <w:ilvl w:val="0"/>
          <w:numId w:val="12"/>
        </w:numPr>
        <w:tabs>
          <w:tab w:val="left" w:pos="567"/>
        </w:tabs>
        <w:ind w:hanging="720"/>
        <w:rPr>
          <w:b/>
          <w:bCs/>
          <w:caps/>
        </w:rPr>
      </w:pPr>
      <w:r w:rsidRPr="00334F18">
        <w:rPr>
          <w:b/>
          <w:bCs/>
          <w:caps/>
        </w:rPr>
        <w:t xml:space="preserve">ekonominio vertinimo </w:t>
      </w:r>
      <w:r w:rsidR="002F0E4F" w:rsidRPr="00334F18">
        <w:rPr>
          <w:b/>
          <w:bCs/>
          <w:caps/>
        </w:rPr>
        <w:t>apibendrinimas</w:t>
      </w:r>
    </w:p>
    <w:p w14:paraId="1A900598" w14:textId="74F0439F" w:rsidR="00C62B36" w:rsidRDefault="00C62B36" w:rsidP="00A93AA6">
      <w:pPr>
        <w:tabs>
          <w:tab w:val="left" w:pos="426"/>
        </w:tabs>
        <w:rPr>
          <w:i/>
        </w:rPr>
      </w:pPr>
    </w:p>
    <w:p w14:paraId="28B7949B" w14:textId="77777777" w:rsidR="001E4F8F" w:rsidRDefault="00B1366E" w:rsidP="001E4F8F">
      <w:pPr>
        <w:spacing w:line="276" w:lineRule="auto"/>
        <w:ind w:firstLine="540"/>
        <w:jc w:val="both"/>
      </w:pPr>
      <w:r w:rsidRPr="00C61BCA">
        <w:rPr>
          <w:rFonts w:eastAsia="Arial"/>
          <w:color w:val="000000"/>
        </w:rPr>
        <w:t xml:space="preserve">Paraiškoje </w:t>
      </w:r>
      <w:proofErr w:type="spellStart"/>
      <w:r w:rsidRPr="00C61BCA">
        <w:rPr>
          <w:rFonts w:eastAsia="Arial"/>
          <w:color w:val="000000"/>
        </w:rPr>
        <w:t>somatropino</w:t>
      </w:r>
      <w:proofErr w:type="spellEnd"/>
      <w:r w:rsidRPr="00C61BCA">
        <w:rPr>
          <w:rFonts w:eastAsia="Arial"/>
          <w:color w:val="000000"/>
        </w:rPr>
        <w:t xml:space="preserve"> (</w:t>
      </w:r>
      <w:proofErr w:type="spellStart"/>
      <w:r w:rsidRPr="00C61BCA">
        <w:rPr>
          <w:rFonts w:eastAsia="Arial"/>
          <w:color w:val="000000"/>
        </w:rPr>
        <w:t>Omnitrope</w:t>
      </w:r>
      <w:proofErr w:type="spellEnd"/>
      <w:r w:rsidRPr="00C61BCA">
        <w:rPr>
          <w:rFonts w:eastAsia="Arial"/>
          <w:color w:val="000000"/>
        </w:rPr>
        <w:t>) efektyvumas pagrįstas vadovaujantis tiesioginio ir netiesioginio palyginimo duomenimis bei papildomais atvirais klinikiniais tyrimais.</w:t>
      </w:r>
      <w:r w:rsidRPr="00C61BCA">
        <w:rPr>
          <w:lang w:eastAsia="lt-LT"/>
        </w:rPr>
        <w:t xml:space="preserve"> Klinikinei ir ekonominei daliai teikiami šaltiniai sutampa, todėl laikoma, kad </w:t>
      </w:r>
      <w:r w:rsidRPr="00C61BCA">
        <w:rPr>
          <w:rFonts w:eastAsia="Arial"/>
          <w:color w:val="000000"/>
        </w:rPr>
        <w:t xml:space="preserve">kaštų naudingumo analizėje įtraukiamos </w:t>
      </w:r>
      <w:r w:rsidRPr="00C61BCA">
        <w:t xml:space="preserve">populiacijos charakteristikos vadovaujantis </w:t>
      </w:r>
      <w:proofErr w:type="spellStart"/>
      <w:r w:rsidRPr="00C61BCA">
        <w:t>somatropino</w:t>
      </w:r>
      <w:proofErr w:type="spellEnd"/>
      <w:r w:rsidRPr="00C61BCA">
        <w:t xml:space="preserve"> tyrimais (</w:t>
      </w:r>
      <w:proofErr w:type="spellStart"/>
      <w:r w:rsidRPr="00C61BCA">
        <w:t>van</w:t>
      </w:r>
      <w:proofErr w:type="spellEnd"/>
      <w:r w:rsidRPr="00C61BCA">
        <w:t xml:space="preserve"> </w:t>
      </w:r>
      <w:proofErr w:type="spellStart"/>
      <w:r w:rsidRPr="00C61BCA">
        <w:t>Parenen</w:t>
      </w:r>
      <w:proofErr w:type="spellEnd"/>
      <w:r w:rsidRPr="00C61BCA">
        <w:t xml:space="preserve"> ir kt. 2003, </w:t>
      </w:r>
      <w:proofErr w:type="spellStart"/>
      <w:r w:rsidRPr="00C61BCA">
        <w:t>Bannink</w:t>
      </w:r>
      <w:proofErr w:type="spellEnd"/>
      <w:r w:rsidRPr="00C61BCA">
        <w:t xml:space="preserve"> ir kt. 2007)</w:t>
      </w:r>
      <w:r w:rsidRPr="00C61BCA">
        <w:rPr>
          <w:iCs/>
        </w:rPr>
        <w:t xml:space="preserve"> yra tinkamos ir atitinka Lietuvos SGA populiaciją.</w:t>
      </w:r>
    </w:p>
    <w:p w14:paraId="445A955E" w14:textId="29FB4CA1" w:rsidR="00B1366E" w:rsidRPr="001E4F8F" w:rsidRDefault="00B1366E" w:rsidP="001E4F8F">
      <w:pPr>
        <w:spacing w:line="276" w:lineRule="auto"/>
        <w:ind w:firstLine="540"/>
        <w:jc w:val="both"/>
      </w:pPr>
      <w:r w:rsidRPr="00C61BCA">
        <w:rPr>
          <w:iCs/>
        </w:rPr>
        <w:lastRenderedPageBreak/>
        <w:t xml:space="preserve">Atsižvelgiant į tai, kad šiuo metu pagal nurodytus TLK-A10 kodus E34.3 ir P05.1 gydymo kompensuojamais vaistiniais preparatas nėra, tinkamu palyginamuoju gydymu Lietuvoje laikytinas </w:t>
      </w:r>
      <w:r w:rsidRPr="00C61BCA">
        <w:rPr>
          <w:bCs/>
          <w:iCs/>
        </w:rPr>
        <w:t xml:space="preserve">placebas </w:t>
      </w:r>
      <w:r w:rsidRPr="00C61BCA">
        <w:rPr>
          <w:iCs/>
        </w:rPr>
        <w:t xml:space="preserve">ir KNA atliekama </w:t>
      </w:r>
      <w:proofErr w:type="spellStart"/>
      <w:r w:rsidRPr="00C61BCA">
        <w:rPr>
          <w:iCs/>
        </w:rPr>
        <w:t>somatropiną</w:t>
      </w:r>
      <w:proofErr w:type="spellEnd"/>
      <w:r w:rsidRPr="00C61BCA">
        <w:rPr>
          <w:iCs/>
        </w:rPr>
        <w:t xml:space="preserve"> lyginant su augimo stebėjimu (nėra aktyvaus gydymo).</w:t>
      </w:r>
    </w:p>
    <w:p w14:paraId="622102FA" w14:textId="77777777" w:rsidR="00B1366E" w:rsidRPr="00C61BCA" w:rsidRDefault="00B1366E" w:rsidP="001E4F8F">
      <w:pPr>
        <w:spacing w:line="276" w:lineRule="auto"/>
        <w:jc w:val="both"/>
        <w:rPr>
          <w:lang w:val="en-US"/>
        </w:rPr>
      </w:pPr>
      <w:r w:rsidRPr="00C61BCA">
        <w:rPr>
          <w:iCs/>
        </w:rPr>
        <w:t xml:space="preserve">Pareiškėjas teikia trijų sveikatos būklių (kai taikomas gydymas </w:t>
      </w:r>
      <w:proofErr w:type="spellStart"/>
      <w:r w:rsidRPr="00C61BCA">
        <w:rPr>
          <w:iCs/>
        </w:rPr>
        <w:t>somatropinu</w:t>
      </w:r>
      <w:proofErr w:type="spellEnd"/>
      <w:r w:rsidRPr="00C61BCA">
        <w:rPr>
          <w:iCs/>
        </w:rPr>
        <w:t>/ netaikomas/ mirtis) supaprastintą modelį. Atkreipiamas dėmesys, kad modelyje nėra įtraukiami paciento lygmens duomenys, KNA įtraukiami klinikiniai duomenys bei taikomos prielaidos vadovaujantis pagrindiniu šaltiniu - Jungtinėje Karalystėje atlikta kaštų efektyvumo analize (</w:t>
      </w:r>
      <w:r w:rsidRPr="00C61BCA">
        <w:rPr>
          <w:lang w:val="en-US"/>
        </w:rPr>
        <w:t xml:space="preserve">Christensen at al. 2010). </w:t>
      </w:r>
    </w:p>
    <w:p w14:paraId="1CBCDFB2" w14:textId="77777777" w:rsidR="001E4F8F" w:rsidRDefault="00B1366E" w:rsidP="001E4F8F">
      <w:pPr>
        <w:spacing w:line="276" w:lineRule="auto"/>
        <w:jc w:val="both"/>
        <w:rPr>
          <w:iCs/>
        </w:rPr>
      </w:pPr>
      <w:r w:rsidRPr="00C61BCA">
        <w:rPr>
          <w:iCs/>
        </w:rPr>
        <w:t xml:space="preserve">Tarnyba, suprasdama ribotą </w:t>
      </w:r>
      <w:proofErr w:type="spellStart"/>
      <w:r w:rsidRPr="00C61BCA">
        <w:rPr>
          <w:iCs/>
        </w:rPr>
        <w:t>generinių</w:t>
      </w:r>
      <w:proofErr w:type="spellEnd"/>
      <w:r w:rsidRPr="00C61BCA">
        <w:rPr>
          <w:iCs/>
        </w:rPr>
        <w:t>, hibridinių ar panašių biologinių vaistinių preparatų klinikinių tyrimų duomenų prieinamumą, palyginamojo veiksmingumo ir saugumo įrodymus, gautus iš prieinamų referencinio vaistinio preparato klinikinių tyrimų duomenų ir literatūros šaltinių, supaprastintą modelio struktūrą ir KNA laiko tinkama.</w:t>
      </w:r>
    </w:p>
    <w:p w14:paraId="7B079EC5" w14:textId="77777777" w:rsidR="001E4F8F" w:rsidRDefault="00B1366E" w:rsidP="001E4F8F">
      <w:pPr>
        <w:spacing w:line="276" w:lineRule="auto"/>
        <w:ind w:firstLine="540"/>
        <w:jc w:val="both"/>
        <w:rPr>
          <w:iCs/>
        </w:rPr>
      </w:pPr>
      <w:r w:rsidRPr="00C61BCA">
        <w:rPr>
          <w:lang w:val="en-US"/>
        </w:rPr>
        <w:t xml:space="preserve">KNA </w:t>
      </w:r>
      <w:proofErr w:type="spellStart"/>
      <w:r w:rsidRPr="00C61BCA">
        <w:rPr>
          <w:lang w:val="en-US"/>
        </w:rPr>
        <w:t>taikoma</w:t>
      </w:r>
      <w:proofErr w:type="spellEnd"/>
      <w:r w:rsidRPr="00C61BCA">
        <w:rPr>
          <w:lang w:val="en-US"/>
        </w:rPr>
        <w:t xml:space="preserve"> </w:t>
      </w:r>
      <w:proofErr w:type="spellStart"/>
      <w:r w:rsidRPr="00C61BCA">
        <w:rPr>
          <w:lang w:val="en-US"/>
        </w:rPr>
        <w:t>viso</w:t>
      </w:r>
      <w:proofErr w:type="spellEnd"/>
      <w:r w:rsidRPr="00C61BCA">
        <w:rPr>
          <w:lang w:val="en-US"/>
        </w:rPr>
        <w:t xml:space="preserve"> </w:t>
      </w:r>
      <w:proofErr w:type="spellStart"/>
      <w:r w:rsidRPr="00C61BCA">
        <w:rPr>
          <w:lang w:val="en-US"/>
        </w:rPr>
        <w:t>gyvenimo</w:t>
      </w:r>
      <w:proofErr w:type="spellEnd"/>
      <w:r w:rsidRPr="00C61BCA">
        <w:rPr>
          <w:lang w:val="en-US"/>
        </w:rPr>
        <w:t xml:space="preserve"> </w:t>
      </w:r>
      <w:proofErr w:type="spellStart"/>
      <w:r w:rsidRPr="00C61BCA">
        <w:rPr>
          <w:lang w:val="en-US"/>
        </w:rPr>
        <w:t>laiko</w:t>
      </w:r>
      <w:proofErr w:type="spellEnd"/>
      <w:r w:rsidRPr="00C61BCA">
        <w:rPr>
          <w:lang w:val="en-US"/>
        </w:rPr>
        <w:t xml:space="preserve"> </w:t>
      </w:r>
      <w:proofErr w:type="spellStart"/>
      <w:r w:rsidRPr="00C61BCA">
        <w:rPr>
          <w:lang w:val="en-US"/>
        </w:rPr>
        <w:t>perspektyva</w:t>
      </w:r>
      <w:proofErr w:type="spellEnd"/>
      <w:r w:rsidRPr="00C61BCA">
        <w:rPr>
          <w:lang w:val="en-US"/>
        </w:rPr>
        <w:t xml:space="preserve">, </w:t>
      </w:r>
      <w:proofErr w:type="spellStart"/>
      <w:r w:rsidRPr="00C61BCA">
        <w:rPr>
          <w:lang w:val="en-US"/>
        </w:rPr>
        <w:t>prielaidos</w:t>
      </w:r>
      <w:proofErr w:type="spellEnd"/>
      <w:r w:rsidRPr="00C61BCA">
        <w:rPr>
          <w:lang w:val="en-US"/>
        </w:rPr>
        <w:t xml:space="preserve"> </w:t>
      </w:r>
      <w:proofErr w:type="spellStart"/>
      <w:r w:rsidRPr="00C61BCA">
        <w:rPr>
          <w:lang w:val="en-US"/>
        </w:rPr>
        <w:t>dėl</w:t>
      </w:r>
      <w:proofErr w:type="spellEnd"/>
      <w:r w:rsidRPr="00C61BCA">
        <w:rPr>
          <w:lang w:val="en-US"/>
        </w:rPr>
        <w:t xml:space="preserve"> </w:t>
      </w:r>
      <w:proofErr w:type="spellStart"/>
      <w:r w:rsidRPr="00C61BCA">
        <w:rPr>
          <w:lang w:val="en-US"/>
        </w:rPr>
        <w:t>somatropino</w:t>
      </w:r>
      <w:proofErr w:type="spellEnd"/>
      <w:r w:rsidRPr="00C61BCA">
        <w:rPr>
          <w:lang w:val="en-US"/>
        </w:rPr>
        <w:t xml:space="preserve"> </w:t>
      </w:r>
      <w:proofErr w:type="spellStart"/>
      <w:r w:rsidRPr="00C61BCA">
        <w:rPr>
          <w:lang w:val="en-US"/>
        </w:rPr>
        <w:t>gydymo</w:t>
      </w:r>
      <w:proofErr w:type="spellEnd"/>
      <w:r w:rsidRPr="00C61BCA">
        <w:rPr>
          <w:lang w:val="en-US"/>
        </w:rPr>
        <w:t xml:space="preserve"> </w:t>
      </w:r>
      <w:proofErr w:type="spellStart"/>
      <w:r w:rsidRPr="00C61BCA">
        <w:rPr>
          <w:lang w:val="en-US"/>
        </w:rPr>
        <w:t>trukmės</w:t>
      </w:r>
      <w:proofErr w:type="spellEnd"/>
      <w:r w:rsidRPr="00C61BCA">
        <w:rPr>
          <w:lang w:val="en-US"/>
        </w:rPr>
        <w:t xml:space="preserve">, </w:t>
      </w:r>
      <w:proofErr w:type="spellStart"/>
      <w:r w:rsidRPr="00C61BCA">
        <w:rPr>
          <w:lang w:val="en-US"/>
        </w:rPr>
        <w:t>pacientų</w:t>
      </w:r>
      <w:proofErr w:type="spellEnd"/>
      <w:r w:rsidRPr="00C61BCA">
        <w:rPr>
          <w:lang w:val="en-US"/>
        </w:rPr>
        <w:t xml:space="preserve"> </w:t>
      </w:r>
      <w:proofErr w:type="spellStart"/>
      <w:r w:rsidRPr="00C61BCA">
        <w:rPr>
          <w:lang w:val="en-US"/>
        </w:rPr>
        <w:t>pradinių</w:t>
      </w:r>
      <w:proofErr w:type="spellEnd"/>
      <w:r w:rsidRPr="00C61BCA">
        <w:rPr>
          <w:lang w:val="en-US"/>
        </w:rPr>
        <w:t xml:space="preserve"> </w:t>
      </w:r>
      <w:proofErr w:type="spellStart"/>
      <w:r w:rsidRPr="00C61BCA">
        <w:rPr>
          <w:lang w:val="en-US"/>
        </w:rPr>
        <w:t>charakteristikų</w:t>
      </w:r>
      <w:proofErr w:type="spellEnd"/>
      <w:r w:rsidRPr="00C61BCA">
        <w:rPr>
          <w:lang w:val="en-US"/>
        </w:rPr>
        <w:t xml:space="preserve"> (</w:t>
      </w:r>
      <w:proofErr w:type="spellStart"/>
      <w:r w:rsidRPr="00C61BCA">
        <w:rPr>
          <w:lang w:val="en-US"/>
        </w:rPr>
        <w:t>amžiaus</w:t>
      </w:r>
      <w:proofErr w:type="spellEnd"/>
      <w:r w:rsidRPr="00C61BCA">
        <w:rPr>
          <w:lang w:val="en-US"/>
        </w:rPr>
        <w:t xml:space="preserve">, </w:t>
      </w:r>
      <w:proofErr w:type="spellStart"/>
      <w:r w:rsidRPr="00C61BCA">
        <w:rPr>
          <w:lang w:val="en-US"/>
        </w:rPr>
        <w:t>svorio</w:t>
      </w:r>
      <w:proofErr w:type="spellEnd"/>
      <w:r w:rsidRPr="00C61BCA">
        <w:rPr>
          <w:lang w:val="en-US"/>
        </w:rPr>
        <w:t xml:space="preserve">, </w:t>
      </w:r>
      <w:proofErr w:type="spellStart"/>
      <w:r w:rsidRPr="00C61BCA">
        <w:rPr>
          <w:lang w:val="en-US"/>
        </w:rPr>
        <w:t>klinikinių</w:t>
      </w:r>
      <w:proofErr w:type="spellEnd"/>
      <w:r w:rsidRPr="00C61BCA">
        <w:rPr>
          <w:lang w:val="en-US"/>
        </w:rPr>
        <w:t xml:space="preserve"> </w:t>
      </w:r>
      <w:proofErr w:type="spellStart"/>
      <w:r w:rsidRPr="00C61BCA">
        <w:rPr>
          <w:lang w:val="en-US"/>
        </w:rPr>
        <w:t>baigčių</w:t>
      </w:r>
      <w:proofErr w:type="spellEnd"/>
      <w:r w:rsidRPr="00C61BCA">
        <w:rPr>
          <w:lang w:val="en-US"/>
        </w:rPr>
        <w:t xml:space="preserve"> </w:t>
      </w:r>
      <w:proofErr w:type="spellStart"/>
      <w:r w:rsidRPr="00C61BCA">
        <w:rPr>
          <w:lang w:val="en-US"/>
        </w:rPr>
        <w:t>verčių</w:t>
      </w:r>
      <w:proofErr w:type="spellEnd"/>
      <w:r w:rsidRPr="00C61BCA">
        <w:rPr>
          <w:lang w:val="en-US"/>
        </w:rPr>
        <w:t xml:space="preserve">) KNA </w:t>
      </w:r>
      <w:proofErr w:type="spellStart"/>
      <w:r w:rsidRPr="00C61BCA">
        <w:rPr>
          <w:lang w:val="en-US"/>
        </w:rPr>
        <w:t>taikomos</w:t>
      </w:r>
      <w:proofErr w:type="spellEnd"/>
      <w:r w:rsidRPr="00C61BCA">
        <w:rPr>
          <w:lang w:val="en-US"/>
        </w:rPr>
        <w:t xml:space="preserve"> </w:t>
      </w:r>
      <w:proofErr w:type="spellStart"/>
      <w:r w:rsidRPr="00C61BCA">
        <w:rPr>
          <w:lang w:val="en-US"/>
        </w:rPr>
        <w:t>vadovaujantis</w:t>
      </w:r>
      <w:proofErr w:type="spellEnd"/>
      <w:r w:rsidRPr="00C61BCA">
        <w:rPr>
          <w:lang w:val="en-US"/>
        </w:rPr>
        <w:t xml:space="preserve"> </w:t>
      </w:r>
      <w:proofErr w:type="spellStart"/>
      <w:r w:rsidRPr="00C61BCA">
        <w:rPr>
          <w:lang w:val="en-US"/>
        </w:rPr>
        <w:t>minėta</w:t>
      </w:r>
      <w:proofErr w:type="spellEnd"/>
      <w:r w:rsidRPr="00C61BCA">
        <w:rPr>
          <w:lang w:val="en-US"/>
        </w:rPr>
        <w:t xml:space="preserve"> JK </w:t>
      </w:r>
      <w:proofErr w:type="spellStart"/>
      <w:r w:rsidRPr="00C61BCA">
        <w:rPr>
          <w:lang w:val="en-US"/>
        </w:rPr>
        <w:t>kaštų</w:t>
      </w:r>
      <w:proofErr w:type="spellEnd"/>
      <w:r w:rsidRPr="00C61BCA">
        <w:rPr>
          <w:lang w:val="en-US"/>
        </w:rPr>
        <w:t xml:space="preserve"> </w:t>
      </w:r>
      <w:proofErr w:type="spellStart"/>
      <w:r w:rsidRPr="00C61BCA">
        <w:rPr>
          <w:lang w:val="en-US"/>
        </w:rPr>
        <w:t>efektyvumo</w:t>
      </w:r>
      <w:proofErr w:type="spellEnd"/>
      <w:r w:rsidRPr="00C61BCA">
        <w:rPr>
          <w:lang w:val="en-US"/>
        </w:rPr>
        <w:t xml:space="preserve"> </w:t>
      </w:r>
      <w:proofErr w:type="spellStart"/>
      <w:r w:rsidRPr="00C61BCA">
        <w:rPr>
          <w:lang w:val="en-US"/>
        </w:rPr>
        <w:t>analize</w:t>
      </w:r>
      <w:proofErr w:type="spellEnd"/>
      <w:r w:rsidRPr="00C61BCA">
        <w:rPr>
          <w:lang w:val="en-US"/>
        </w:rPr>
        <w:t xml:space="preserve"> ir </w:t>
      </w:r>
      <w:proofErr w:type="spellStart"/>
      <w:r w:rsidRPr="00C61BCA">
        <w:rPr>
          <w:lang w:val="en-US"/>
        </w:rPr>
        <w:t>referenciniais</w:t>
      </w:r>
      <w:proofErr w:type="spellEnd"/>
      <w:r w:rsidRPr="00C61BCA">
        <w:rPr>
          <w:lang w:val="en-US"/>
        </w:rPr>
        <w:t xml:space="preserve"> </w:t>
      </w:r>
      <w:proofErr w:type="spellStart"/>
      <w:r w:rsidRPr="00C61BCA">
        <w:rPr>
          <w:lang w:val="en-US"/>
        </w:rPr>
        <w:t>klinikiniais</w:t>
      </w:r>
      <w:proofErr w:type="spellEnd"/>
      <w:r w:rsidRPr="00C61BCA">
        <w:rPr>
          <w:lang w:val="en-US"/>
        </w:rPr>
        <w:t xml:space="preserve"> </w:t>
      </w:r>
      <w:proofErr w:type="spellStart"/>
      <w:r w:rsidRPr="00C61BCA">
        <w:rPr>
          <w:lang w:val="en-US"/>
        </w:rPr>
        <w:t>tyrimais</w:t>
      </w:r>
      <w:proofErr w:type="spellEnd"/>
      <w:r w:rsidRPr="00C61BCA">
        <w:rPr>
          <w:lang w:val="en-US"/>
        </w:rPr>
        <w:t xml:space="preserve">. </w:t>
      </w:r>
    </w:p>
    <w:p w14:paraId="04CB294C" w14:textId="1FAC4AA2" w:rsidR="001E4F8F" w:rsidRDefault="00B1366E" w:rsidP="001E4F8F">
      <w:pPr>
        <w:spacing w:line="276" w:lineRule="auto"/>
        <w:ind w:firstLine="540"/>
        <w:jc w:val="both"/>
      </w:pPr>
      <w:r w:rsidRPr="00C61BCA">
        <w:rPr>
          <w:bCs/>
        </w:rPr>
        <w:t xml:space="preserve">Sveikatai sukuriama nauda buvo vertinama pagal su sveikata susijusią gyvenimo kokybę (angl. </w:t>
      </w:r>
      <w:proofErr w:type="spellStart"/>
      <w:r w:rsidRPr="00C61BCA">
        <w:rPr>
          <w:bCs/>
          <w:iCs/>
        </w:rPr>
        <w:t>Health</w:t>
      </w:r>
      <w:proofErr w:type="spellEnd"/>
      <w:r w:rsidRPr="00C61BCA">
        <w:rPr>
          <w:bCs/>
          <w:iCs/>
        </w:rPr>
        <w:t xml:space="preserve"> </w:t>
      </w:r>
      <w:proofErr w:type="spellStart"/>
      <w:r w:rsidRPr="00C61BCA">
        <w:rPr>
          <w:bCs/>
          <w:iCs/>
        </w:rPr>
        <w:t>realated</w:t>
      </w:r>
      <w:proofErr w:type="spellEnd"/>
      <w:r w:rsidRPr="00C61BCA">
        <w:rPr>
          <w:bCs/>
          <w:iCs/>
        </w:rPr>
        <w:t xml:space="preserve"> </w:t>
      </w:r>
      <w:proofErr w:type="spellStart"/>
      <w:r w:rsidRPr="00C61BCA">
        <w:rPr>
          <w:bCs/>
          <w:iCs/>
        </w:rPr>
        <w:t>quality</w:t>
      </w:r>
      <w:proofErr w:type="spellEnd"/>
      <w:r w:rsidRPr="00C61BCA">
        <w:rPr>
          <w:bCs/>
          <w:iCs/>
        </w:rPr>
        <w:t xml:space="preserve"> </w:t>
      </w:r>
      <w:proofErr w:type="spellStart"/>
      <w:r w:rsidRPr="00C61BCA">
        <w:rPr>
          <w:bCs/>
          <w:iCs/>
        </w:rPr>
        <w:t>of</w:t>
      </w:r>
      <w:proofErr w:type="spellEnd"/>
      <w:r w:rsidRPr="00C61BCA">
        <w:rPr>
          <w:bCs/>
          <w:iCs/>
        </w:rPr>
        <w:t xml:space="preserve"> </w:t>
      </w:r>
      <w:proofErr w:type="spellStart"/>
      <w:r w:rsidRPr="00C61BCA">
        <w:rPr>
          <w:bCs/>
          <w:iCs/>
        </w:rPr>
        <w:t>life</w:t>
      </w:r>
      <w:proofErr w:type="spellEnd"/>
      <w:r w:rsidRPr="00C61BCA">
        <w:rPr>
          <w:bCs/>
          <w:iCs/>
        </w:rPr>
        <w:t xml:space="preserve">, </w:t>
      </w:r>
      <w:proofErr w:type="spellStart"/>
      <w:r w:rsidRPr="00C61BCA">
        <w:rPr>
          <w:bCs/>
        </w:rPr>
        <w:t>HRQoL</w:t>
      </w:r>
      <w:proofErr w:type="spellEnd"/>
      <w:r w:rsidRPr="00C61BCA">
        <w:rPr>
          <w:bCs/>
        </w:rPr>
        <w:t>), kuri KNA įtraukiama vadovaujantis</w:t>
      </w:r>
      <w:r w:rsidRPr="00C61BCA">
        <w:rPr>
          <w:b/>
          <w:bCs/>
        </w:rPr>
        <w:t xml:space="preserve"> </w:t>
      </w:r>
      <w:r w:rsidRPr="00C61BCA">
        <w:t>Jungtinėje Karalystėje atlikto tyrimo duomenimis, kuriame vertintas ryšys tarp ūgio ir gyvenimo kokybės įverčių. Tyrimas apėmė 14 416 suaugusiųjų (≥18 metų amžiaus) pacientų apklausą naudojant „</w:t>
      </w:r>
      <w:proofErr w:type="spellStart"/>
      <w:r w:rsidRPr="00C61BCA">
        <w:t>EuroQoL</w:t>
      </w:r>
      <w:proofErr w:type="spellEnd"/>
      <w:r w:rsidRPr="00C61BCA">
        <w:t xml:space="preserve">“ (EQ-5D) klausimyną. Tarnyba atkreipia dėmesį, kad alternatyvių gyvenimo kokybės įverčių šaltinių Pareiškėjas nepateikė. Atkreiptinas dėmesys, kad pacientų, turinčių augimo sutrikimą, kurie gimė maži pagal savo </w:t>
      </w:r>
      <w:proofErr w:type="spellStart"/>
      <w:r w:rsidRPr="00C61BCA">
        <w:t>gestacijos</w:t>
      </w:r>
      <w:proofErr w:type="spellEnd"/>
      <w:r w:rsidRPr="00C61BCA">
        <w:t xml:space="preserve"> amžių ligos įtaka nėra siejama su išgyvenamumu, liga siejama su gyvenimo kokybės praradimu, todėl KNA taikomi gyvenimo kokybės įverčiai turi reikšmingos įtakos KNA rezultatams. Alternatyvių šaltinių trūkumas laikomas dideliu analizės neapibrėžtumu, tačiau atsižvelgiant, kad tiek JK atliktos kaštų efektyvumo analizės metu, tiek Švedijoje atliktos </w:t>
      </w:r>
      <w:proofErr w:type="spellStart"/>
      <w:r w:rsidRPr="00C61BCA">
        <w:t>somatropino</w:t>
      </w:r>
      <w:proofErr w:type="spellEnd"/>
      <w:r w:rsidRPr="00C61BCA">
        <w:t xml:space="preserve"> KNA metu taikytas tas pats gyvenimo kokybės įverčių šaltinis ir kitų nenustatyta, Tarnyba sutinka su taikomais gyvenimo kokybės įverčiais.</w:t>
      </w:r>
    </w:p>
    <w:p w14:paraId="7E4FD47E" w14:textId="6A2767EF" w:rsidR="00B1366E" w:rsidRPr="001E4F8F" w:rsidRDefault="00B1366E" w:rsidP="001E4F8F">
      <w:pPr>
        <w:spacing w:line="276" w:lineRule="auto"/>
        <w:ind w:firstLine="540"/>
        <w:jc w:val="both"/>
        <w:rPr>
          <w:iCs/>
        </w:rPr>
      </w:pPr>
      <w:r w:rsidRPr="00C61BCA">
        <w:t>Pareiškėjas KNA įtraukiamų ASPP dažnį ir poreikį grindžia literatūros šaltiniais. Tarnyba vertina, kad ne visi kaštai KNA įtraukti tinkamai. Tarnyba vertina, kad ASPP ir jų įkainius adaptuojant pagal Lietuvos sveikatos sistemos praktiką, Pareiškėjo kaštams taikomi indeksavimo koeficientai yra nepriimtini. Pareiškėjo įtraukiamos ASPP tokios kaip: gliukozės kraujo tyrimai, IGF-1 bei insulino ištyrimas pagal Lietuvos ASPP yra įtrauktos ir būtų skiriamos vaikų endokrinologo konsultacijos metu. Plaštakos rentgenas būtų taip pat atliekamas vaikų endokrinologo (kai atliekama 1 iš šių intervencijų: skydliaukės echoskopinis tyrimas, biopsija (</w:t>
      </w:r>
      <w:proofErr w:type="spellStart"/>
      <w:r w:rsidRPr="00C61BCA">
        <w:t>aspiracinė</w:t>
      </w:r>
      <w:proofErr w:type="spellEnd"/>
      <w:r w:rsidRPr="00C61BCA">
        <w:t xml:space="preserve"> punkcija), hormoninis tyrimas (ilgalaikis stebėjimas), paslaugos kodas – 3322) paslaugos teikimo metu. Endokrinologo konsultacijų paslaugos KNA įtrauktos remiantis 2026 m. I </w:t>
      </w:r>
      <w:proofErr w:type="spellStart"/>
      <w:r w:rsidRPr="00C61BCA">
        <w:t>pusm</w:t>
      </w:r>
      <w:proofErr w:type="spellEnd"/>
      <w:r w:rsidRPr="00C61BCA">
        <w:t>. ASPPĮ. Kiti kaštai laikomi įtrauktais teisingai.</w:t>
      </w:r>
    </w:p>
    <w:p w14:paraId="405F1B3B" w14:textId="77777777" w:rsidR="00B1366E" w:rsidRPr="00334F18" w:rsidRDefault="00B1366E" w:rsidP="00A93AA6">
      <w:pPr>
        <w:tabs>
          <w:tab w:val="left" w:pos="426"/>
        </w:tabs>
        <w:rPr>
          <w:b/>
          <w:bCs/>
          <w:caps/>
        </w:rPr>
      </w:pPr>
    </w:p>
    <w:p w14:paraId="174D84D7" w14:textId="09C7BC2B" w:rsidR="0035172D" w:rsidRPr="00334F18" w:rsidRDefault="00164D64" w:rsidP="00A93AA6">
      <w:pPr>
        <w:tabs>
          <w:tab w:val="left" w:pos="426"/>
        </w:tabs>
        <w:rPr>
          <w:b/>
          <w:lang w:eastAsia="lt-LT"/>
        </w:rPr>
      </w:pPr>
      <w:r w:rsidRPr="00334F18">
        <w:rPr>
          <w:b/>
          <w:lang w:eastAsia="lt-LT"/>
        </w:rPr>
        <w:t xml:space="preserve">3.1 </w:t>
      </w:r>
      <w:r w:rsidR="0035172D" w:rsidRPr="00334F18">
        <w:rPr>
          <w:b/>
          <w:lang w:eastAsia="lt-LT"/>
        </w:rPr>
        <w:t>Ekonominės analizės rezultatas</w:t>
      </w:r>
    </w:p>
    <w:p w14:paraId="4801D227" w14:textId="77777777" w:rsidR="009E44AE" w:rsidRPr="00334F18" w:rsidRDefault="009E44AE" w:rsidP="00A93AA6">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334F18" w:rsidRPr="00334F18"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334F18" w:rsidRDefault="009E44AE" w:rsidP="009E44AE">
            <w:pPr>
              <w:tabs>
                <w:tab w:val="left" w:pos="567"/>
              </w:tabs>
              <w:jc w:val="center"/>
              <w:rPr>
                <w:b/>
                <w:bCs/>
                <w:sz w:val="26"/>
                <w:szCs w:val="26"/>
                <w:lang w:eastAsia="lt-LT"/>
              </w:rPr>
            </w:pPr>
            <w:r w:rsidRPr="00334F18">
              <w:rPr>
                <w:b/>
                <w:bCs/>
                <w:sz w:val="26"/>
                <w:szCs w:val="26"/>
                <w:lang w:eastAsia="lt-LT"/>
              </w:rPr>
              <w:t>Rezultatai</w:t>
            </w:r>
          </w:p>
        </w:tc>
      </w:tr>
      <w:tr w:rsidR="00334F18" w:rsidRPr="00334F18" w14:paraId="319AF392" w14:textId="77777777" w:rsidTr="00BE7489">
        <w:trPr>
          <w:trHeight w:val="267"/>
          <w:jc w:val="center"/>
        </w:trPr>
        <w:tc>
          <w:tcPr>
            <w:tcW w:w="6200" w:type="dxa"/>
            <w:tcBorders>
              <w:left w:val="single" w:sz="4" w:space="0" w:color="auto"/>
            </w:tcBorders>
          </w:tcPr>
          <w:p w14:paraId="44CD8D27" w14:textId="27245A0B" w:rsidR="00BA5DBC" w:rsidRPr="00334F18" w:rsidRDefault="00BA5DBC" w:rsidP="00BA5DBC">
            <w:pPr>
              <w:tabs>
                <w:tab w:val="left" w:pos="567"/>
              </w:tabs>
              <w:jc w:val="right"/>
              <w:rPr>
                <w:iCs/>
                <w:lang w:eastAsia="lt-LT"/>
              </w:rPr>
            </w:pPr>
            <w:r w:rsidRPr="00334F18">
              <w:rPr>
                <w:iCs/>
                <w:lang w:eastAsia="lt-LT"/>
              </w:rPr>
              <w:t>Kaštų skirtumas</w:t>
            </w:r>
          </w:p>
        </w:tc>
        <w:tc>
          <w:tcPr>
            <w:tcW w:w="3238" w:type="dxa"/>
            <w:tcBorders>
              <w:right w:val="single" w:sz="4" w:space="0" w:color="auto"/>
            </w:tcBorders>
          </w:tcPr>
          <w:p w14:paraId="1CACF0B4" w14:textId="619B8AB9" w:rsidR="00BA5DBC" w:rsidRPr="00334F18" w:rsidRDefault="001864D3" w:rsidP="00BA5DBC">
            <w:pPr>
              <w:tabs>
                <w:tab w:val="left" w:pos="567"/>
              </w:tabs>
              <w:jc w:val="both"/>
              <w:rPr>
                <w:i/>
                <w:iCs/>
                <w:lang w:eastAsia="lt-LT"/>
              </w:rPr>
            </w:pPr>
            <w:r>
              <w:rPr>
                <w:rFonts w:eastAsia="Arial"/>
              </w:rPr>
              <w:t>***</w:t>
            </w:r>
            <w:r w:rsidR="00B1366E" w:rsidRPr="00C61BCA">
              <w:rPr>
                <w:rFonts w:eastAsia="Arial"/>
              </w:rPr>
              <w:t xml:space="preserve"> Eur.</w:t>
            </w:r>
          </w:p>
        </w:tc>
      </w:tr>
      <w:tr w:rsidR="00334F18" w:rsidRPr="00334F18" w14:paraId="49F818A3" w14:textId="77777777" w:rsidTr="00BE7489">
        <w:trPr>
          <w:trHeight w:val="267"/>
          <w:jc w:val="center"/>
        </w:trPr>
        <w:tc>
          <w:tcPr>
            <w:tcW w:w="6200" w:type="dxa"/>
            <w:tcBorders>
              <w:left w:val="single" w:sz="4" w:space="0" w:color="auto"/>
            </w:tcBorders>
          </w:tcPr>
          <w:p w14:paraId="021DB925" w14:textId="389F1BF5" w:rsidR="00BA5DBC" w:rsidRPr="00334F18" w:rsidRDefault="00BA5DBC" w:rsidP="00BA5DBC">
            <w:pPr>
              <w:tabs>
                <w:tab w:val="left" w:pos="567"/>
              </w:tabs>
              <w:jc w:val="right"/>
              <w:rPr>
                <w:iCs/>
                <w:lang w:eastAsia="lt-LT"/>
              </w:rPr>
            </w:pPr>
            <w:r w:rsidRPr="00334F18">
              <w:rPr>
                <w:iCs/>
                <w:lang w:eastAsia="lt-LT"/>
              </w:rPr>
              <w:t>Papildomi gyvenimo metai (LY)</w:t>
            </w:r>
          </w:p>
        </w:tc>
        <w:tc>
          <w:tcPr>
            <w:tcW w:w="3238" w:type="dxa"/>
            <w:tcBorders>
              <w:right w:val="single" w:sz="4" w:space="0" w:color="auto"/>
            </w:tcBorders>
          </w:tcPr>
          <w:p w14:paraId="4954817B" w14:textId="7111236A" w:rsidR="00BA5DBC" w:rsidRPr="00334F18" w:rsidRDefault="00B1366E" w:rsidP="00BA5DBC">
            <w:pPr>
              <w:tabs>
                <w:tab w:val="left" w:pos="567"/>
              </w:tabs>
              <w:jc w:val="both"/>
              <w:rPr>
                <w:i/>
                <w:iCs/>
                <w:lang w:eastAsia="lt-LT"/>
              </w:rPr>
            </w:pPr>
            <w:r>
              <w:rPr>
                <w:i/>
                <w:iCs/>
                <w:lang w:eastAsia="lt-LT"/>
              </w:rPr>
              <w:t>-</w:t>
            </w:r>
          </w:p>
        </w:tc>
      </w:tr>
      <w:tr w:rsidR="00334F18" w:rsidRPr="00334F18" w14:paraId="20ADA742" w14:textId="77777777" w:rsidTr="00BE7489">
        <w:trPr>
          <w:trHeight w:val="267"/>
          <w:jc w:val="center"/>
        </w:trPr>
        <w:tc>
          <w:tcPr>
            <w:tcW w:w="6200" w:type="dxa"/>
            <w:tcBorders>
              <w:left w:val="single" w:sz="4" w:space="0" w:color="auto"/>
            </w:tcBorders>
          </w:tcPr>
          <w:p w14:paraId="0F567576" w14:textId="2606A2E9" w:rsidR="00BA5DBC" w:rsidRPr="00334F18" w:rsidRDefault="0058712F" w:rsidP="00BA5DBC">
            <w:pPr>
              <w:tabs>
                <w:tab w:val="left" w:pos="567"/>
              </w:tabs>
              <w:jc w:val="right"/>
              <w:rPr>
                <w:iCs/>
                <w:lang w:eastAsia="lt-LT"/>
              </w:rPr>
            </w:pPr>
            <w:r w:rsidRPr="00334F18">
              <w:rPr>
                <w:iCs/>
                <w:lang w:eastAsia="lt-LT"/>
              </w:rPr>
              <w:t>Papildomi k</w:t>
            </w:r>
            <w:r w:rsidR="00BA5DBC" w:rsidRPr="00334F18">
              <w:rPr>
                <w:iCs/>
                <w:lang w:eastAsia="lt-LT"/>
              </w:rPr>
              <w:t>okybiški gyvenimo metai (QALY)</w:t>
            </w:r>
          </w:p>
        </w:tc>
        <w:tc>
          <w:tcPr>
            <w:tcW w:w="3238" w:type="dxa"/>
            <w:tcBorders>
              <w:right w:val="single" w:sz="4" w:space="0" w:color="auto"/>
            </w:tcBorders>
          </w:tcPr>
          <w:p w14:paraId="02E4DAE1" w14:textId="7D7CEEF4" w:rsidR="00BA5DBC" w:rsidRPr="00334F18" w:rsidRDefault="001864D3" w:rsidP="00BA5DBC">
            <w:pPr>
              <w:tabs>
                <w:tab w:val="left" w:pos="567"/>
              </w:tabs>
              <w:jc w:val="both"/>
              <w:rPr>
                <w:i/>
                <w:iCs/>
                <w:lang w:eastAsia="lt-LT"/>
              </w:rPr>
            </w:pPr>
            <w:r>
              <w:rPr>
                <w:rFonts w:eastAsia="Arial"/>
              </w:rPr>
              <w:t>***</w:t>
            </w:r>
          </w:p>
        </w:tc>
      </w:tr>
      <w:tr w:rsidR="00334F18" w:rsidRPr="00334F18" w14:paraId="1FADA2B3" w14:textId="77777777" w:rsidTr="00BE7489">
        <w:trPr>
          <w:trHeight w:val="267"/>
          <w:jc w:val="center"/>
        </w:trPr>
        <w:tc>
          <w:tcPr>
            <w:tcW w:w="6200" w:type="dxa"/>
            <w:tcBorders>
              <w:left w:val="single" w:sz="4" w:space="0" w:color="auto"/>
            </w:tcBorders>
          </w:tcPr>
          <w:p w14:paraId="13E089E8" w14:textId="0BCEB339" w:rsidR="00BA5DBC" w:rsidRPr="00334F18" w:rsidRDefault="00BA5DBC" w:rsidP="009E44AE">
            <w:pPr>
              <w:tabs>
                <w:tab w:val="left" w:pos="567"/>
              </w:tabs>
              <w:jc w:val="right"/>
              <w:rPr>
                <w:iCs/>
                <w:lang w:eastAsia="lt-LT"/>
              </w:rPr>
            </w:pPr>
            <w:r w:rsidRPr="00334F18">
              <w:rPr>
                <w:iCs/>
                <w:lang w:eastAsia="lt-LT"/>
              </w:rPr>
              <w:t>ICER už LY</w:t>
            </w:r>
          </w:p>
        </w:tc>
        <w:tc>
          <w:tcPr>
            <w:tcW w:w="3238" w:type="dxa"/>
            <w:tcBorders>
              <w:right w:val="single" w:sz="4" w:space="0" w:color="auto"/>
            </w:tcBorders>
          </w:tcPr>
          <w:p w14:paraId="2817448D" w14:textId="578278A5" w:rsidR="00BA5DBC" w:rsidRPr="00334F18" w:rsidRDefault="00B1366E" w:rsidP="009E44AE">
            <w:pPr>
              <w:tabs>
                <w:tab w:val="left" w:pos="567"/>
              </w:tabs>
              <w:jc w:val="both"/>
              <w:rPr>
                <w:i/>
                <w:iCs/>
                <w:lang w:eastAsia="lt-LT"/>
              </w:rPr>
            </w:pPr>
            <w:r>
              <w:rPr>
                <w:i/>
                <w:iCs/>
                <w:lang w:eastAsia="lt-LT"/>
              </w:rPr>
              <w:t>-</w:t>
            </w:r>
          </w:p>
        </w:tc>
      </w:tr>
      <w:tr w:rsidR="00334F18" w:rsidRPr="00334F18" w14:paraId="250DE960" w14:textId="77777777" w:rsidTr="00BE7489">
        <w:trPr>
          <w:trHeight w:val="267"/>
          <w:jc w:val="center"/>
        </w:trPr>
        <w:tc>
          <w:tcPr>
            <w:tcW w:w="6200" w:type="dxa"/>
            <w:tcBorders>
              <w:left w:val="single" w:sz="4" w:space="0" w:color="auto"/>
            </w:tcBorders>
          </w:tcPr>
          <w:p w14:paraId="207EFB23" w14:textId="77777777" w:rsidR="009E44AE" w:rsidRPr="00334F18" w:rsidRDefault="009E44AE" w:rsidP="009E44AE">
            <w:pPr>
              <w:tabs>
                <w:tab w:val="left" w:pos="567"/>
              </w:tabs>
              <w:jc w:val="right"/>
              <w:rPr>
                <w:iCs/>
                <w:lang w:eastAsia="lt-LT"/>
              </w:rPr>
            </w:pPr>
            <w:r w:rsidRPr="00334F18">
              <w:rPr>
                <w:iCs/>
                <w:lang w:eastAsia="lt-LT"/>
              </w:rPr>
              <w:t>ICER už QALY</w:t>
            </w:r>
          </w:p>
        </w:tc>
        <w:tc>
          <w:tcPr>
            <w:tcW w:w="3238" w:type="dxa"/>
            <w:tcBorders>
              <w:right w:val="single" w:sz="4" w:space="0" w:color="auto"/>
            </w:tcBorders>
          </w:tcPr>
          <w:p w14:paraId="4275320D" w14:textId="5EF846D3" w:rsidR="009E44AE" w:rsidRPr="00334F18" w:rsidRDefault="001864D3" w:rsidP="009E44AE">
            <w:pPr>
              <w:tabs>
                <w:tab w:val="left" w:pos="567"/>
              </w:tabs>
              <w:jc w:val="both"/>
              <w:rPr>
                <w:i/>
                <w:iCs/>
                <w:lang w:eastAsia="lt-LT"/>
              </w:rPr>
            </w:pPr>
            <w:r>
              <w:rPr>
                <w:rFonts w:eastAsia="Arial"/>
              </w:rPr>
              <w:t>***</w:t>
            </w:r>
            <w:r w:rsidR="00B1366E">
              <w:rPr>
                <w:rFonts w:eastAsia="Arial"/>
              </w:rPr>
              <w:t xml:space="preserve"> Eur./QALY</w:t>
            </w:r>
          </w:p>
        </w:tc>
      </w:tr>
      <w:tr w:rsidR="00334F18" w:rsidRPr="00334F18" w14:paraId="2C4C68BA" w14:textId="77777777" w:rsidTr="00BE7489">
        <w:trPr>
          <w:trHeight w:val="267"/>
          <w:jc w:val="center"/>
        </w:trPr>
        <w:tc>
          <w:tcPr>
            <w:tcW w:w="6200" w:type="dxa"/>
            <w:tcBorders>
              <w:left w:val="single" w:sz="4" w:space="0" w:color="auto"/>
              <w:bottom w:val="single" w:sz="4" w:space="0" w:color="auto"/>
              <w:right w:val="single" w:sz="4" w:space="0" w:color="auto"/>
            </w:tcBorders>
          </w:tcPr>
          <w:p w14:paraId="21BEDABF" w14:textId="3471AFB3" w:rsidR="009E44AE" w:rsidRPr="00334F18" w:rsidRDefault="00437623" w:rsidP="009E44AE">
            <w:pPr>
              <w:tabs>
                <w:tab w:val="left" w:pos="567"/>
              </w:tabs>
              <w:jc w:val="right"/>
              <w:rPr>
                <w:iCs/>
                <w:lang w:eastAsia="lt-LT"/>
              </w:rPr>
            </w:pPr>
            <w:r w:rsidRPr="00334F18">
              <w:rPr>
                <w:iCs/>
                <w:lang w:eastAsia="lt-LT"/>
              </w:rPr>
              <w:t>Referenc</w:t>
            </w:r>
            <w:r w:rsidR="009E44AE" w:rsidRPr="00334F18">
              <w:rPr>
                <w:iCs/>
                <w:lang w:eastAsia="lt-LT"/>
              </w:rPr>
              <w:t>inė kaštų naudingumo vertė</w:t>
            </w:r>
          </w:p>
        </w:tc>
        <w:tc>
          <w:tcPr>
            <w:tcW w:w="3238" w:type="dxa"/>
            <w:tcBorders>
              <w:left w:val="single" w:sz="4" w:space="0" w:color="auto"/>
              <w:bottom w:val="single" w:sz="4" w:space="0" w:color="auto"/>
              <w:right w:val="single" w:sz="4" w:space="0" w:color="auto"/>
            </w:tcBorders>
          </w:tcPr>
          <w:p w14:paraId="31DAA72E" w14:textId="21DE4E17" w:rsidR="009E44AE" w:rsidRPr="00B1366E" w:rsidRDefault="001864D3" w:rsidP="009E44AE">
            <w:pPr>
              <w:tabs>
                <w:tab w:val="left" w:pos="567"/>
              </w:tabs>
              <w:jc w:val="both"/>
              <w:rPr>
                <w:i/>
                <w:iCs/>
                <w:lang w:eastAsia="lt-LT"/>
              </w:rPr>
            </w:pPr>
            <w:r>
              <w:rPr>
                <w:rFonts w:eastAsia="Arial"/>
                <w:i/>
              </w:rPr>
              <w:t>***</w:t>
            </w:r>
            <w:r w:rsidR="00B1366E" w:rsidRPr="00B1366E">
              <w:rPr>
                <w:rFonts w:eastAsia="Arial"/>
                <w:i/>
              </w:rPr>
              <w:t xml:space="preserve"> Eur</w:t>
            </w:r>
          </w:p>
        </w:tc>
      </w:tr>
    </w:tbl>
    <w:p w14:paraId="5FC8C737" w14:textId="4136B7F4" w:rsidR="0035172D" w:rsidRPr="00334F18" w:rsidRDefault="00E5102E" w:rsidP="0035172D">
      <w:pPr>
        <w:tabs>
          <w:tab w:val="left" w:pos="567"/>
        </w:tabs>
        <w:jc w:val="both"/>
        <w:rPr>
          <w:iCs/>
          <w:sz w:val="20"/>
          <w:lang w:eastAsia="lt-LT"/>
        </w:rPr>
      </w:pPr>
      <w:r w:rsidRPr="00334F18">
        <w:rPr>
          <w:iCs/>
          <w:sz w:val="20"/>
          <w:lang w:eastAsia="lt-LT"/>
        </w:rPr>
        <w:lastRenderedPageBreak/>
        <w:t xml:space="preserve">ICER </w:t>
      </w:r>
      <w:r w:rsidR="00453862" w:rsidRPr="00334F18">
        <w:rPr>
          <w:iCs/>
          <w:sz w:val="20"/>
          <w:lang w:eastAsia="lt-LT"/>
        </w:rPr>
        <w:t>– (</w:t>
      </w:r>
      <w:r w:rsidR="00453862" w:rsidRPr="00334F18">
        <w:rPr>
          <w:i/>
          <w:sz w:val="20"/>
          <w:lang w:eastAsia="lt-LT"/>
        </w:rPr>
        <w:t xml:space="preserve">angl. </w:t>
      </w:r>
      <w:proofErr w:type="spellStart"/>
      <w:r w:rsidR="00453862" w:rsidRPr="00334F18">
        <w:rPr>
          <w:i/>
          <w:sz w:val="20"/>
          <w:lang w:eastAsia="lt-LT"/>
        </w:rPr>
        <w:t>incremental</w:t>
      </w:r>
      <w:proofErr w:type="spellEnd"/>
      <w:r w:rsidR="00453862" w:rsidRPr="00334F18">
        <w:rPr>
          <w:i/>
          <w:sz w:val="20"/>
          <w:lang w:eastAsia="lt-LT"/>
        </w:rPr>
        <w:t xml:space="preserve"> </w:t>
      </w:r>
      <w:proofErr w:type="spellStart"/>
      <w:r w:rsidR="00453862" w:rsidRPr="00334F18">
        <w:rPr>
          <w:i/>
          <w:sz w:val="20"/>
          <w:lang w:eastAsia="lt-LT"/>
        </w:rPr>
        <w:t>cost-effectiveness</w:t>
      </w:r>
      <w:proofErr w:type="spellEnd"/>
      <w:r w:rsidR="00453862" w:rsidRPr="00334F18">
        <w:rPr>
          <w:i/>
          <w:sz w:val="20"/>
          <w:lang w:eastAsia="lt-LT"/>
        </w:rPr>
        <w:t xml:space="preserve"> </w:t>
      </w:r>
      <w:proofErr w:type="spellStart"/>
      <w:r w:rsidR="00453862" w:rsidRPr="00334F18">
        <w:rPr>
          <w:i/>
          <w:sz w:val="20"/>
          <w:lang w:eastAsia="lt-LT"/>
        </w:rPr>
        <w:t>ratio</w:t>
      </w:r>
      <w:proofErr w:type="spellEnd"/>
      <w:r w:rsidR="00453862" w:rsidRPr="00334F18">
        <w:rPr>
          <w:iCs/>
          <w:sz w:val="20"/>
          <w:lang w:eastAsia="lt-LT"/>
        </w:rPr>
        <w:t xml:space="preserve">) </w:t>
      </w:r>
      <w:proofErr w:type="spellStart"/>
      <w:r w:rsidR="00453862" w:rsidRPr="00334F18">
        <w:rPr>
          <w:iCs/>
          <w:sz w:val="20"/>
          <w:lang w:eastAsia="lt-LT"/>
        </w:rPr>
        <w:t>inkrementinis</w:t>
      </w:r>
      <w:proofErr w:type="spellEnd"/>
      <w:r w:rsidR="00453862" w:rsidRPr="00334F18">
        <w:rPr>
          <w:iCs/>
          <w:sz w:val="20"/>
          <w:lang w:eastAsia="lt-LT"/>
        </w:rPr>
        <w:t xml:space="preserve"> kaštų naudingumo koeficientas</w:t>
      </w:r>
      <w:r w:rsidRPr="00334F18">
        <w:rPr>
          <w:iCs/>
          <w:sz w:val="20"/>
          <w:lang w:eastAsia="lt-LT"/>
        </w:rPr>
        <w:t>; LY –</w:t>
      </w:r>
      <w:r w:rsidR="00453862" w:rsidRPr="00334F18">
        <w:rPr>
          <w:iCs/>
          <w:sz w:val="20"/>
          <w:lang w:eastAsia="lt-LT"/>
        </w:rPr>
        <w:t xml:space="preserve"> (</w:t>
      </w:r>
      <w:r w:rsidR="00453862" w:rsidRPr="00334F18">
        <w:rPr>
          <w:i/>
          <w:sz w:val="20"/>
          <w:lang w:eastAsia="lt-LT"/>
        </w:rPr>
        <w:t xml:space="preserve">angl. </w:t>
      </w:r>
      <w:proofErr w:type="spellStart"/>
      <w:r w:rsidR="00453862" w:rsidRPr="00334F18">
        <w:rPr>
          <w:i/>
          <w:sz w:val="20"/>
          <w:lang w:eastAsia="lt-LT"/>
        </w:rPr>
        <w:t>life</w:t>
      </w:r>
      <w:proofErr w:type="spellEnd"/>
      <w:r w:rsidR="00453862" w:rsidRPr="00334F18">
        <w:rPr>
          <w:i/>
          <w:sz w:val="20"/>
          <w:lang w:eastAsia="lt-LT"/>
        </w:rPr>
        <w:t xml:space="preserve"> </w:t>
      </w:r>
      <w:proofErr w:type="spellStart"/>
      <w:r w:rsidR="00453862" w:rsidRPr="00334F18">
        <w:rPr>
          <w:i/>
          <w:sz w:val="20"/>
          <w:lang w:eastAsia="lt-LT"/>
        </w:rPr>
        <w:t>years</w:t>
      </w:r>
      <w:proofErr w:type="spellEnd"/>
      <w:r w:rsidR="00453862" w:rsidRPr="00334F18">
        <w:rPr>
          <w:iCs/>
          <w:sz w:val="20"/>
          <w:lang w:eastAsia="lt-LT"/>
        </w:rPr>
        <w:t>) gyvenimo metai</w:t>
      </w:r>
      <w:r w:rsidRPr="00334F18">
        <w:rPr>
          <w:iCs/>
          <w:sz w:val="20"/>
          <w:lang w:eastAsia="lt-LT"/>
        </w:rPr>
        <w:t xml:space="preserve">; QALY- </w:t>
      </w:r>
      <w:r w:rsidR="00453862" w:rsidRPr="00334F18">
        <w:rPr>
          <w:iCs/>
          <w:sz w:val="20"/>
          <w:lang w:eastAsia="lt-LT"/>
        </w:rPr>
        <w:t>(</w:t>
      </w:r>
      <w:r w:rsidR="00453862" w:rsidRPr="00334F18">
        <w:rPr>
          <w:i/>
          <w:sz w:val="20"/>
          <w:lang w:eastAsia="lt-LT"/>
        </w:rPr>
        <w:t xml:space="preserve">angl. </w:t>
      </w:r>
      <w:proofErr w:type="spellStart"/>
      <w:r w:rsidR="00453862" w:rsidRPr="00334F18">
        <w:rPr>
          <w:i/>
          <w:sz w:val="20"/>
          <w:lang w:eastAsia="lt-LT"/>
        </w:rPr>
        <w:t>quality</w:t>
      </w:r>
      <w:proofErr w:type="spellEnd"/>
      <w:r w:rsidR="00453862" w:rsidRPr="00334F18">
        <w:rPr>
          <w:i/>
          <w:sz w:val="20"/>
          <w:lang w:eastAsia="lt-LT"/>
        </w:rPr>
        <w:t xml:space="preserve"> </w:t>
      </w:r>
      <w:proofErr w:type="spellStart"/>
      <w:r w:rsidR="00453862" w:rsidRPr="00334F18">
        <w:rPr>
          <w:i/>
          <w:sz w:val="20"/>
          <w:lang w:eastAsia="lt-LT"/>
        </w:rPr>
        <w:t>adjusted</w:t>
      </w:r>
      <w:proofErr w:type="spellEnd"/>
      <w:r w:rsidR="00453862" w:rsidRPr="00334F18">
        <w:rPr>
          <w:i/>
          <w:sz w:val="20"/>
          <w:lang w:eastAsia="lt-LT"/>
        </w:rPr>
        <w:t xml:space="preserve"> </w:t>
      </w:r>
      <w:proofErr w:type="spellStart"/>
      <w:r w:rsidR="00453862" w:rsidRPr="00334F18">
        <w:rPr>
          <w:i/>
          <w:sz w:val="20"/>
          <w:lang w:eastAsia="lt-LT"/>
        </w:rPr>
        <w:t>life</w:t>
      </w:r>
      <w:proofErr w:type="spellEnd"/>
      <w:r w:rsidR="00453862" w:rsidRPr="00334F18">
        <w:rPr>
          <w:i/>
          <w:sz w:val="20"/>
          <w:lang w:eastAsia="lt-LT"/>
        </w:rPr>
        <w:t xml:space="preserve"> </w:t>
      </w:r>
      <w:proofErr w:type="spellStart"/>
      <w:r w:rsidR="00453862" w:rsidRPr="00334F18">
        <w:rPr>
          <w:i/>
          <w:sz w:val="20"/>
          <w:lang w:eastAsia="lt-LT"/>
        </w:rPr>
        <w:t>years</w:t>
      </w:r>
      <w:proofErr w:type="spellEnd"/>
      <w:r w:rsidR="00453862" w:rsidRPr="00334F18">
        <w:rPr>
          <w:i/>
          <w:sz w:val="20"/>
          <w:lang w:eastAsia="lt-LT"/>
        </w:rPr>
        <w:t xml:space="preserve">) </w:t>
      </w:r>
      <w:r w:rsidR="00453862" w:rsidRPr="00334F18">
        <w:rPr>
          <w:iCs/>
          <w:sz w:val="20"/>
          <w:lang w:eastAsia="lt-LT"/>
        </w:rPr>
        <w:t>kokybiški gyvenimo metai.</w:t>
      </w:r>
    </w:p>
    <w:p w14:paraId="33875138" w14:textId="3552A38A" w:rsidR="0035172D" w:rsidRDefault="0035172D" w:rsidP="00A93AA6">
      <w:pPr>
        <w:tabs>
          <w:tab w:val="left" w:pos="426"/>
        </w:tabs>
        <w:rPr>
          <w:b/>
          <w:bCs/>
          <w:caps/>
        </w:rPr>
      </w:pPr>
    </w:p>
    <w:p w14:paraId="4404505B" w14:textId="085FEFB7" w:rsidR="001E4F8F" w:rsidRDefault="00B1366E" w:rsidP="001E4F8F">
      <w:pPr>
        <w:spacing w:line="276" w:lineRule="auto"/>
        <w:ind w:firstLine="450"/>
        <w:jc w:val="both"/>
        <w:rPr>
          <w:rFonts w:eastAsia="Arial"/>
        </w:rPr>
      </w:pPr>
      <w:r w:rsidRPr="00C61BCA">
        <w:rPr>
          <w:rFonts w:eastAsia="Arial"/>
        </w:rPr>
        <w:t xml:space="preserve">Iš pagrindinės KNA rezultatų matyti, kad </w:t>
      </w:r>
      <w:proofErr w:type="spellStart"/>
      <w:r w:rsidRPr="00C61BCA">
        <w:rPr>
          <w:rFonts w:eastAsia="Arial"/>
        </w:rPr>
        <w:t>somatropinas</w:t>
      </w:r>
      <w:proofErr w:type="spellEnd"/>
      <w:r w:rsidRPr="00C61BCA">
        <w:rPr>
          <w:rFonts w:eastAsia="Arial"/>
        </w:rPr>
        <w:t xml:space="preserve"> viso gyvenimo laiko perspektyvoje papildomai sukuria 3,09 kokybiškų gyvenimo metų ir papildomai yra brangesnis </w:t>
      </w:r>
      <w:r w:rsidR="00E2204E">
        <w:rPr>
          <w:rFonts w:eastAsia="Arial"/>
        </w:rPr>
        <w:t>***</w:t>
      </w:r>
      <w:r>
        <w:rPr>
          <w:rFonts w:eastAsia="Arial"/>
        </w:rPr>
        <w:t xml:space="preserve"> Eur. Apskaičiuotas ICER – </w:t>
      </w:r>
      <w:r w:rsidR="00E2204E">
        <w:rPr>
          <w:rFonts w:eastAsia="Arial"/>
        </w:rPr>
        <w:t>***</w:t>
      </w:r>
      <w:r w:rsidRPr="00C61BCA">
        <w:rPr>
          <w:rFonts w:eastAsia="Arial"/>
        </w:rPr>
        <w:t xml:space="preserve"> Eur.</w:t>
      </w:r>
      <w:r>
        <w:rPr>
          <w:rFonts w:eastAsia="Arial"/>
        </w:rPr>
        <w:t>/QALY</w:t>
      </w:r>
      <w:r w:rsidRPr="00C61BCA">
        <w:rPr>
          <w:rFonts w:eastAsia="Arial"/>
        </w:rPr>
        <w:t xml:space="preserve"> atitinka ir neviršija lengvai ligos naštai taikomos referencinės kaštų naudingumo vertės (&lt;</w:t>
      </w:r>
      <w:r w:rsidR="00E2204E">
        <w:rPr>
          <w:rFonts w:eastAsia="Arial"/>
        </w:rPr>
        <w:t>***</w:t>
      </w:r>
      <w:r w:rsidRPr="00C61BCA">
        <w:rPr>
          <w:rFonts w:eastAsia="Arial"/>
        </w:rPr>
        <w:t xml:space="preserve"> Eur.).</w:t>
      </w:r>
    </w:p>
    <w:p w14:paraId="7533E95D" w14:textId="2D3E2453" w:rsidR="00B1366E" w:rsidRPr="001E4F8F" w:rsidRDefault="00B1366E" w:rsidP="001E4F8F">
      <w:pPr>
        <w:spacing w:line="276" w:lineRule="auto"/>
        <w:ind w:firstLine="450"/>
        <w:jc w:val="both"/>
        <w:rPr>
          <w:rFonts w:eastAsia="Arial"/>
        </w:rPr>
      </w:pPr>
      <w:r w:rsidRPr="00C61BCA">
        <w:rPr>
          <w:bCs/>
        </w:rPr>
        <w:t xml:space="preserve">Tarnyba pabrėžia, kad pateikta KNA yra itin supaprastinta, nėra įtraukiami paciento lygmens duomenys, prielaidos grindžiamos </w:t>
      </w:r>
      <w:proofErr w:type="spellStart"/>
      <w:r w:rsidRPr="00C61BCA">
        <w:rPr>
          <w:bCs/>
        </w:rPr>
        <w:t>pagrindinai</w:t>
      </w:r>
      <w:proofErr w:type="spellEnd"/>
      <w:r w:rsidRPr="00C61BCA">
        <w:rPr>
          <w:bCs/>
        </w:rPr>
        <w:t xml:space="preserve"> JK atliktos kaštų efektyvumo analizės publikuotais rezultatais (</w:t>
      </w:r>
      <w:r w:rsidRPr="00C61BCA">
        <w:rPr>
          <w:iCs/>
        </w:rPr>
        <w:t>(</w:t>
      </w:r>
      <w:r w:rsidRPr="00C61BCA">
        <w:rPr>
          <w:lang w:val="en-US"/>
        </w:rPr>
        <w:t>Christensen at al. 2010)</w:t>
      </w:r>
      <w:r w:rsidRPr="00C61BCA">
        <w:rPr>
          <w:bCs/>
        </w:rPr>
        <w:t>. Dėl modelio ir jame taikomų prielaidų supaprastinimo, vertinama, kad jautrumo ir scenarijų analizės ribotos, tačiau nė vienu atveju apskaičiuotas ICER neviršija lengvai ligos naštai taikomos referencinės kaštų naudingumo vertės.</w:t>
      </w:r>
    </w:p>
    <w:p w14:paraId="3E58A5CC" w14:textId="77777777" w:rsidR="00B1366E" w:rsidRPr="00334F18" w:rsidRDefault="00B1366E" w:rsidP="00A93AA6">
      <w:pPr>
        <w:tabs>
          <w:tab w:val="left" w:pos="426"/>
        </w:tabs>
        <w:rPr>
          <w:b/>
          <w:bCs/>
          <w:caps/>
        </w:rPr>
      </w:pPr>
    </w:p>
    <w:p w14:paraId="4FC424F9" w14:textId="4E767245" w:rsidR="00C62B36" w:rsidRPr="00334F18" w:rsidRDefault="00C62B36" w:rsidP="00CC09D4">
      <w:pPr>
        <w:pStyle w:val="Sraopastraipa"/>
        <w:numPr>
          <w:ilvl w:val="0"/>
          <w:numId w:val="12"/>
        </w:numPr>
        <w:tabs>
          <w:tab w:val="left" w:pos="567"/>
        </w:tabs>
        <w:ind w:hanging="720"/>
        <w:rPr>
          <w:b/>
          <w:bCs/>
          <w:caps/>
        </w:rPr>
      </w:pPr>
      <w:r w:rsidRPr="00334F18">
        <w:rPr>
          <w:b/>
          <w:bCs/>
          <w:caps/>
        </w:rPr>
        <w:t xml:space="preserve">Pacientų organizacijų pateikti duomenys </w:t>
      </w:r>
    </w:p>
    <w:p w14:paraId="54351841" w14:textId="77777777" w:rsidR="00C9728E" w:rsidRPr="00334F18" w:rsidRDefault="00C9728E" w:rsidP="00C9728E">
      <w:pPr>
        <w:pStyle w:val="Sraopastraipa"/>
        <w:tabs>
          <w:tab w:val="left" w:pos="567"/>
        </w:tabs>
        <w:rPr>
          <w:b/>
          <w:bCs/>
          <w:caps/>
        </w:rPr>
      </w:pPr>
    </w:p>
    <w:p w14:paraId="62992180" w14:textId="5CEA8F3B" w:rsidR="00937907" w:rsidRPr="00334F18" w:rsidRDefault="00937907" w:rsidP="00937907">
      <w:pPr>
        <w:spacing w:after="120"/>
        <w:jc w:val="both"/>
      </w:pPr>
      <w:r w:rsidRPr="00334F18">
        <w:t xml:space="preserve">Pacientų organizacijos pozicija </w:t>
      </w:r>
      <w:r w:rsidR="00880A44" w:rsidRPr="00334F18">
        <w:t>ne</w:t>
      </w:r>
      <w:r w:rsidRPr="00334F18">
        <w:t>pateikta.</w:t>
      </w:r>
    </w:p>
    <w:p w14:paraId="03E73D82" w14:textId="77777777" w:rsidR="00D417D2" w:rsidRPr="00334F18" w:rsidRDefault="00D417D2" w:rsidP="00937907">
      <w:pPr>
        <w:spacing w:after="120"/>
        <w:jc w:val="both"/>
      </w:pPr>
    </w:p>
    <w:p w14:paraId="3D3277FA" w14:textId="09414FFF" w:rsidR="00C62B36" w:rsidRPr="00334F18" w:rsidRDefault="00D67BAF" w:rsidP="00CC09D4">
      <w:pPr>
        <w:pStyle w:val="Sraopastraipa"/>
        <w:numPr>
          <w:ilvl w:val="0"/>
          <w:numId w:val="12"/>
        </w:numPr>
        <w:tabs>
          <w:tab w:val="left" w:pos="567"/>
        </w:tabs>
        <w:ind w:hanging="720"/>
        <w:rPr>
          <w:b/>
          <w:bCs/>
          <w:caps/>
        </w:rPr>
      </w:pPr>
      <w:r w:rsidRPr="00334F18">
        <w:rPr>
          <w:b/>
          <w:bCs/>
          <w:caps/>
        </w:rPr>
        <w:t xml:space="preserve">SVEIKATOS PRIEŽIŪROS SPECIALISTŲ </w:t>
      </w:r>
      <w:r w:rsidR="00C62B36" w:rsidRPr="00334F18">
        <w:rPr>
          <w:b/>
          <w:bCs/>
          <w:caps/>
        </w:rPr>
        <w:t xml:space="preserve"> organizacijų pateikti duomenys</w:t>
      </w:r>
    </w:p>
    <w:p w14:paraId="389A346C" w14:textId="1D0F6D4D" w:rsidR="002C7BF9" w:rsidRPr="00334F18" w:rsidRDefault="002C7BF9" w:rsidP="002C7BF9">
      <w:pPr>
        <w:spacing w:after="120"/>
        <w:jc w:val="both"/>
      </w:pPr>
    </w:p>
    <w:p w14:paraId="5D8CC48C" w14:textId="562F4A15" w:rsidR="00662983" w:rsidRPr="00334F18" w:rsidRDefault="00D67BAF" w:rsidP="00662983">
      <w:pPr>
        <w:spacing w:after="120"/>
        <w:jc w:val="both"/>
      </w:pPr>
      <w:r w:rsidRPr="00334F18">
        <w:t>S</w:t>
      </w:r>
      <w:r w:rsidRPr="00334F18">
        <w:rPr>
          <w:bCs/>
        </w:rPr>
        <w:t>veikatos priežiūros specialistų</w:t>
      </w:r>
      <w:r w:rsidR="00937907" w:rsidRPr="00334F18">
        <w:t xml:space="preserve"> organizacijos pozicija </w:t>
      </w:r>
      <w:r w:rsidR="00880A44" w:rsidRPr="00334F18">
        <w:t>ne</w:t>
      </w:r>
      <w:r w:rsidR="00937907" w:rsidRPr="00334F18">
        <w:t>pateikta.</w:t>
      </w:r>
    </w:p>
    <w:p w14:paraId="3701D46A" w14:textId="77777777" w:rsidR="00A042B9" w:rsidRPr="00334F18" w:rsidRDefault="00A042B9" w:rsidP="00662983">
      <w:pPr>
        <w:spacing w:after="120"/>
        <w:jc w:val="both"/>
      </w:pPr>
    </w:p>
    <w:p w14:paraId="78F23ECB" w14:textId="3ED5BFD5" w:rsidR="002F0E4F" w:rsidRPr="00334F18" w:rsidRDefault="002F0E4F" w:rsidP="00CC09D4">
      <w:pPr>
        <w:pStyle w:val="Sraopastraipa"/>
        <w:numPr>
          <w:ilvl w:val="0"/>
          <w:numId w:val="12"/>
        </w:numPr>
        <w:tabs>
          <w:tab w:val="left" w:pos="567"/>
        </w:tabs>
        <w:ind w:hanging="720"/>
        <w:rPr>
          <w:b/>
          <w:bCs/>
          <w:caps/>
        </w:rPr>
      </w:pPr>
      <w:r w:rsidRPr="00334F18">
        <w:rPr>
          <w:b/>
          <w:bCs/>
          <w:caps/>
        </w:rPr>
        <w:t>Išvad</w:t>
      </w:r>
      <w:r w:rsidR="00B811A4" w:rsidRPr="00334F18">
        <w:rPr>
          <w:b/>
          <w:bCs/>
          <w:caps/>
        </w:rPr>
        <w:t>OS</w:t>
      </w:r>
      <w:r w:rsidRPr="00334F18">
        <w:rPr>
          <w:b/>
          <w:bCs/>
          <w:caps/>
        </w:rPr>
        <w:t xml:space="preserve"> </w:t>
      </w:r>
    </w:p>
    <w:p w14:paraId="30069D85" w14:textId="77777777" w:rsidR="0061611B" w:rsidRPr="00334F18" w:rsidRDefault="0061611B" w:rsidP="0061611B">
      <w:pPr>
        <w:ind w:left="360"/>
        <w:rPr>
          <w:i/>
          <w:szCs w:val="22"/>
        </w:rPr>
      </w:pPr>
    </w:p>
    <w:tbl>
      <w:tblPr>
        <w:tblStyle w:val="Lentelstinklelis"/>
        <w:tblW w:w="0" w:type="auto"/>
        <w:tblInd w:w="-5" w:type="dxa"/>
        <w:tblLook w:val="04A0" w:firstRow="1" w:lastRow="0" w:firstColumn="1" w:lastColumn="0" w:noHBand="0" w:noVBand="1"/>
      </w:tblPr>
      <w:tblGrid>
        <w:gridCol w:w="4820"/>
        <w:gridCol w:w="4814"/>
      </w:tblGrid>
      <w:tr w:rsidR="00334F18" w:rsidRPr="00334F18" w14:paraId="4D5EFB83" w14:textId="77777777" w:rsidTr="007111C4">
        <w:trPr>
          <w:trHeight w:val="510"/>
        </w:trPr>
        <w:tc>
          <w:tcPr>
            <w:tcW w:w="9634" w:type="dxa"/>
            <w:gridSpan w:val="2"/>
            <w:vAlign w:val="center"/>
          </w:tcPr>
          <w:p w14:paraId="294EC16B"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bookmarkStart w:id="2" w:name="_Hlk185430554"/>
            <w:r w:rsidRPr="00334F18">
              <w:rPr>
                <w:rStyle w:val="Style2"/>
                <w:rFonts w:eastAsia="MS Gothic"/>
                <w:b/>
                <w:bCs/>
                <w:sz w:val="23"/>
                <w:szCs w:val="23"/>
              </w:rPr>
              <w:t>Palyginamasis veiksmingumas</w:t>
            </w:r>
          </w:p>
        </w:tc>
      </w:tr>
      <w:tr w:rsidR="00334F18" w:rsidRPr="00334F18" w14:paraId="30B67515" w14:textId="77777777" w:rsidTr="007111C4">
        <w:tc>
          <w:tcPr>
            <w:tcW w:w="4820" w:type="dxa"/>
          </w:tcPr>
          <w:p w14:paraId="4FE3C208" w14:textId="577EA46E" w:rsidR="00B811A4" w:rsidRPr="00334F18" w:rsidRDefault="009632FA"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397324644"/>
                <w15:color w:val="FFCC00"/>
                <w14:checkbox>
                  <w14:checked w14:val="1"/>
                  <w14:checkedState w14:val="2612" w14:font="MS Gothic"/>
                  <w14:uncheckedState w14:val="2610" w14:font="MS Gothic"/>
                </w14:checkbox>
              </w:sdtPr>
              <w:sdtEndPr>
                <w:rPr>
                  <w:rStyle w:val="Style2"/>
                </w:rPr>
              </w:sdtEndPr>
              <w:sdtContent>
                <w:r w:rsidR="00D458B7">
                  <w:rPr>
                    <w:rStyle w:val="Style2"/>
                    <w:rFonts w:ascii="MS Gothic" w:eastAsia="MS Gothic" w:hAnsi="MS Gothic" w:hint="eastAsia"/>
                    <w:sz w:val="23"/>
                    <w:szCs w:val="23"/>
                  </w:rPr>
                  <w:t>☒</w:t>
                </w:r>
              </w:sdtContent>
            </w:sdt>
            <w:r w:rsidR="00B811A4" w:rsidRPr="00334F18">
              <w:rPr>
                <w:rStyle w:val="Style2"/>
                <w:sz w:val="23"/>
                <w:szCs w:val="23"/>
              </w:rPr>
              <w:t xml:space="preserve"> 29</w:t>
            </w:r>
            <w:r w:rsidR="00B811A4" w:rsidRPr="00334F18">
              <w:rPr>
                <w:sz w:val="23"/>
                <w:szCs w:val="23"/>
              </w:rPr>
              <w:t>.1.1 yra didesnis, lyginant su įprasta klinikine praktika</w:t>
            </w:r>
          </w:p>
          <w:p w14:paraId="6F9786E4"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231EDECD" w14:textId="18B117E9" w:rsidR="00B811A4" w:rsidRPr="00334F18" w:rsidRDefault="009632FA"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418297090"/>
                <w15:color w:val="FFCC00"/>
                <w14:checkbox>
                  <w14:checked w14:val="0"/>
                  <w14:checkedState w14:val="2612" w14:font="MS Gothic"/>
                  <w14:uncheckedState w14:val="2610" w14:font="MS Gothic"/>
                </w14:checkbox>
              </w:sdtPr>
              <w:sdtEndPr>
                <w:rPr>
                  <w:rStyle w:val="Style2"/>
                </w:rPr>
              </w:sdtEndPr>
              <w:sdtContent>
                <w:r w:rsidR="00D458B7">
                  <w:rPr>
                    <w:rStyle w:val="Style2"/>
                    <w:rFonts w:ascii="MS Gothic" w:eastAsia="MS Gothic" w:hAnsi="MS Gothic" w:hint="eastAsia"/>
                    <w:sz w:val="23"/>
                    <w:szCs w:val="23"/>
                  </w:rPr>
                  <w:t>☐</w:t>
                </w:r>
              </w:sdtContent>
            </w:sdt>
            <w:r w:rsidR="00B811A4" w:rsidRPr="00334F18">
              <w:rPr>
                <w:sz w:val="23"/>
                <w:szCs w:val="23"/>
              </w:rPr>
              <w:t xml:space="preserve"> </w:t>
            </w:r>
            <w:r w:rsidR="00B811A4" w:rsidRPr="00334F18">
              <w:rPr>
                <w:rStyle w:val="Style2"/>
                <w:sz w:val="23"/>
                <w:szCs w:val="23"/>
              </w:rPr>
              <w:t>29</w:t>
            </w:r>
            <w:r w:rsidR="00B811A4" w:rsidRPr="00334F18">
              <w:rPr>
                <w:sz w:val="23"/>
                <w:szCs w:val="23"/>
              </w:rPr>
              <w:t>.1.2 iš esmės nesiskiria, lyginant su įprasta klinikine praktika</w:t>
            </w:r>
          </w:p>
        </w:tc>
        <w:tc>
          <w:tcPr>
            <w:tcW w:w="4814" w:type="dxa"/>
          </w:tcPr>
          <w:p w14:paraId="72562F9E" w14:textId="77777777" w:rsidR="00B811A4" w:rsidRPr="00334F18" w:rsidRDefault="009632FA"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24755596"/>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w:t>
            </w:r>
            <w:r w:rsidR="00B811A4" w:rsidRPr="00334F18">
              <w:rPr>
                <w:rStyle w:val="Style2"/>
                <w:sz w:val="23"/>
                <w:szCs w:val="23"/>
              </w:rPr>
              <w:t>29</w:t>
            </w:r>
            <w:r w:rsidR="00B811A4" w:rsidRPr="00334F18">
              <w:rPr>
                <w:sz w:val="23"/>
                <w:szCs w:val="23"/>
              </w:rPr>
              <w:t xml:space="preserve">.1.3 yra neįrodytas kaip didesnis  ar iš esmės nesiskiriantis, lyginant su įprasta klinikine praktika  </w:t>
            </w:r>
          </w:p>
          <w:p w14:paraId="6F6DB5BC"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EE1D885" w14:textId="77777777" w:rsidR="00B811A4" w:rsidRPr="00334F18" w:rsidRDefault="009632FA"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62168479"/>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w:t>
            </w:r>
            <w:r w:rsidR="00B811A4" w:rsidRPr="00334F18">
              <w:rPr>
                <w:rStyle w:val="Style2"/>
                <w:sz w:val="23"/>
                <w:szCs w:val="23"/>
              </w:rPr>
              <w:t>29</w:t>
            </w:r>
            <w:r w:rsidR="00B811A4" w:rsidRPr="00334F18">
              <w:rPr>
                <w:sz w:val="23"/>
                <w:szCs w:val="23"/>
              </w:rPr>
              <w:t>.1.4 yra mažesnis, lyginant su įprasta klinikine praktika</w:t>
            </w:r>
          </w:p>
          <w:p w14:paraId="193C3D76"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370E94DC" w14:textId="4EC80DB9" w:rsidR="00B811A4" w:rsidRPr="00334F18" w:rsidRDefault="009632FA"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57960180"/>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w:t>
            </w:r>
            <w:r w:rsidR="00B811A4" w:rsidRPr="00334F18">
              <w:rPr>
                <w:rStyle w:val="Style2"/>
                <w:sz w:val="23"/>
                <w:szCs w:val="23"/>
              </w:rPr>
              <w:t>29</w:t>
            </w:r>
            <w:r w:rsidR="00B811A4" w:rsidRPr="00334F18">
              <w:rPr>
                <w:sz w:val="23"/>
                <w:szCs w:val="23"/>
              </w:rPr>
              <w:t>.1.5 pateikti duomenys apie palyginamąjį veiksmingumą yra netinkami vertinti</w:t>
            </w:r>
          </w:p>
          <w:p w14:paraId="45719037"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bookmarkEnd w:id="2"/>
      <w:tr w:rsidR="00334F18" w:rsidRPr="00334F18" w14:paraId="0E0F5168" w14:textId="77777777" w:rsidTr="00743956">
        <w:trPr>
          <w:trHeight w:val="510"/>
        </w:trPr>
        <w:tc>
          <w:tcPr>
            <w:tcW w:w="9634" w:type="dxa"/>
            <w:gridSpan w:val="2"/>
            <w:vAlign w:val="center"/>
          </w:tcPr>
          <w:p w14:paraId="62B67E12"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r w:rsidRPr="00334F18">
              <w:rPr>
                <w:rStyle w:val="Style2"/>
                <w:rFonts w:eastAsia="MS Gothic"/>
                <w:b/>
                <w:bCs/>
                <w:sz w:val="23"/>
                <w:szCs w:val="23"/>
              </w:rPr>
              <w:t>Kaštų naudingumas</w:t>
            </w:r>
          </w:p>
        </w:tc>
      </w:tr>
      <w:tr w:rsidR="00334F18" w:rsidRPr="00334F18" w14:paraId="6A2F62B2" w14:textId="77777777" w:rsidTr="00743956">
        <w:tc>
          <w:tcPr>
            <w:tcW w:w="4820" w:type="dxa"/>
          </w:tcPr>
          <w:p w14:paraId="7CB2C697" w14:textId="465E7A43" w:rsidR="00B811A4" w:rsidRPr="00334F18" w:rsidRDefault="009632FA"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301657889"/>
                <w15:color w:val="FFCC00"/>
                <w14:checkbox>
                  <w14:checked w14:val="1"/>
                  <w14:checkedState w14:val="2612" w14:font="MS Gothic"/>
                  <w14:uncheckedState w14:val="2610" w14:font="MS Gothic"/>
                </w14:checkbox>
              </w:sdtPr>
              <w:sdtEndPr>
                <w:rPr>
                  <w:rStyle w:val="Style2"/>
                </w:rPr>
              </w:sdtEndPr>
              <w:sdtContent>
                <w:r w:rsidR="00B1366E">
                  <w:rPr>
                    <w:rStyle w:val="Style2"/>
                    <w:rFonts w:ascii="MS Gothic" w:eastAsia="MS Gothic" w:hAnsi="MS Gothic" w:hint="eastAsia"/>
                    <w:sz w:val="23"/>
                    <w:szCs w:val="23"/>
                  </w:rPr>
                  <w:t>☒</w:t>
                </w:r>
              </w:sdtContent>
            </w:sdt>
            <w:r w:rsidR="00B811A4" w:rsidRPr="00334F18">
              <w:rPr>
                <w:sz w:val="23"/>
                <w:szCs w:val="23"/>
              </w:rPr>
              <w:t xml:space="preserve"> 29.2.1 atitinka referencinę naudingumo vertę taikant arba netaikant</w:t>
            </w:r>
            <w:r w:rsidR="00437623" w:rsidRPr="00334F18">
              <w:rPr>
                <w:b/>
                <w:bCs/>
                <w:sz w:val="23"/>
                <w:szCs w:val="23"/>
              </w:rPr>
              <w:t xml:space="preserve"> </w:t>
            </w:r>
            <w:r w:rsidR="00B811A4" w:rsidRPr="00334F18">
              <w:rPr>
                <w:sz w:val="23"/>
                <w:szCs w:val="23"/>
              </w:rPr>
              <w:t>PGS</w:t>
            </w:r>
          </w:p>
          <w:p w14:paraId="71797774"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BE88CDB" w14:textId="60C4FFA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c>
          <w:tcPr>
            <w:tcW w:w="4814" w:type="dxa"/>
          </w:tcPr>
          <w:p w14:paraId="0370A72C" w14:textId="77777777" w:rsidR="00B811A4" w:rsidRPr="00334F18" w:rsidRDefault="009632FA"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91860283"/>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29.2.3 neatitinka referencinės naudingumo vertės taikant arba netaikant PGS</w:t>
            </w:r>
          </w:p>
          <w:p w14:paraId="13C9EEE5"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289E6691"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FD1976C" w14:textId="77777777" w:rsidR="00B811A4" w:rsidRPr="00334F18" w:rsidRDefault="009632FA"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943849855"/>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29.2.5 pateikti duomenys apie kaštų naudingumą yra netinkami vertinti</w:t>
            </w:r>
          </w:p>
          <w:p w14:paraId="06AB06C5"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tr w:rsidR="00334F18" w:rsidRPr="00334F18" w14:paraId="632C9193" w14:textId="77777777" w:rsidTr="00027464">
        <w:tc>
          <w:tcPr>
            <w:tcW w:w="9634" w:type="dxa"/>
            <w:gridSpan w:val="2"/>
          </w:tcPr>
          <w:p w14:paraId="15C289C9" w14:textId="47C5A3CE" w:rsidR="007111C4" w:rsidRPr="00334F18" w:rsidRDefault="009632FA"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1266579562"/>
                <w15:color w:val="FFCC00"/>
                <w14:checkbox>
                  <w14:checked w14:val="0"/>
                  <w14:checkedState w14:val="2612" w14:font="MS Gothic"/>
                  <w14:uncheckedState w14:val="2610" w14:font="MS Gothic"/>
                </w14:checkbox>
              </w:sdtPr>
              <w:sdtEndPr>
                <w:rPr>
                  <w:rStyle w:val="Style2"/>
                </w:rPr>
              </w:sdtEndPr>
              <w:sdtContent>
                <w:r w:rsidR="007111C4" w:rsidRPr="00334F18">
                  <w:rPr>
                    <w:rStyle w:val="Style2"/>
                    <w:rFonts w:ascii="Segoe UI Symbol" w:eastAsia="MS Gothic" w:hAnsi="Segoe UI Symbol" w:cs="Segoe UI Symbol"/>
                    <w:sz w:val="23"/>
                    <w:szCs w:val="23"/>
                  </w:rPr>
                  <w:t>☐</w:t>
                </w:r>
              </w:sdtContent>
            </w:sdt>
            <w:r w:rsidR="007111C4" w:rsidRPr="00334F18">
              <w:rPr>
                <w:sz w:val="23"/>
                <w:szCs w:val="23"/>
              </w:rPr>
              <w:t xml:space="preserve"> Vykdant Aprašo &lt;17</w:t>
            </w:r>
            <w:r w:rsidR="007111C4" w:rsidRPr="00334F18">
              <w:rPr>
                <w:sz w:val="23"/>
                <w:szCs w:val="23"/>
                <w:vertAlign w:val="superscript"/>
              </w:rPr>
              <w:t>3</w:t>
            </w:r>
            <w:r w:rsidR="007111C4" w:rsidRPr="00334F18">
              <w:rPr>
                <w:sz w:val="23"/>
                <w:szCs w:val="23"/>
              </w:rPr>
              <w:t>.1&gt;&lt;17</w:t>
            </w:r>
            <w:r w:rsidR="007111C4" w:rsidRPr="00334F18">
              <w:rPr>
                <w:sz w:val="23"/>
                <w:szCs w:val="23"/>
                <w:vertAlign w:val="superscript"/>
              </w:rPr>
              <w:t>3</w:t>
            </w:r>
            <w:r w:rsidR="007111C4" w:rsidRPr="00334F18">
              <w:rPr>
                <w:sz w:val="23"/>
                <w:szCs w:val="23"/>
              </w:rPr>
              <w:t>.2&gt;&lt;17</w:t>
            </w:r>
            <w:r w:rsidR="007111C4" w:rsidRPr="00334F18">
              <w:rPr>
                <w:sz w:val="23"/>
                <w:szCs w:val="23"/>
                <w:vertAlign w:val="superscript"/>
              </w:rPr>
              <w:t>3</w:t>
            </w:r>
            <w:r w:rsidR="007111C4" w:rsidRPr="00334F18">
              <w:rPr>
                <w:sz w:val="23"/>
                <w:szCs w:val="23"/>
              </w:rPr>
              <w:t>.3&gt; punktą vaistinio (-ų) preparato (-ų) ekonominis vertinimas neatliekamas, išvados dėl kaštų naudingumo neteikiamos</w:t>
            </w:r>
          </w:p>
        </w:tc>
      </w:tr>
    </w:tbl>
    <w:p w14:paraId="08D5B3B6" w14:textId="292D1124" w:rsidR="0061611B" w:rsidRPr="00334F18" w:rsidRDefault="0061611B" w:rsidP="0061611B">
      <w:pPr>
        <w:rPr>
          <w:i/>
          <w:szCs w:val="22"/>
        </w:rPr>
      </w:pPr>
    </w:p>
    <w:p w14:paraId="1B85C083" w14:textId="77777777" w:rsidR="009E44AE" w:rsidRPr="00334F18" w:rsidRDefault="009E44AE" w:rsidP="00381024"/>
    <w:p w14:paraId="3B2D1F25" w14:textId="3A80E19F" w:rsidR="000001B0" w:rsidRPr="00334F18" w:rsidRDefault="000001B0" w:rsidP="00CC09D4">
      <w:pPr>
        <w:pStyle w:val="Sraopastraipa"/>
        <w:numPr>
          <w:ilvl w:val="0"/>
          <w:numId w:val="12"/>
        </w:numPr>
        <w:ind w:left="567" w:hanging="567"/>
      </w:pPr>
      <w:r w:rsidRPr="00334F18">
        <w:rPr>
          <w:b/>
        </w:rPr>
        <w:lastRenderedPageBreak/>
        <w:t>REKOME</w:t>
      </w:r>
      <w:r w:rsidR="00D83182" w:rsidRPr="00334F18">
        <w:rPr>
          <w:b/>
        </w:rPr>
        <w:t>N</w:t>
      </w:r>
      <w:r w:rsidRPr="00334F18">
        <w:rPr>
          <w:b/>
        </w:rPr>
        <w:t>DACIJA</w:t>
      </w:r>
    </w:p>
    <w:p w14:paraId="35E33D78" w14:textId="5649292F" w:rsidR="00B811A4" w:rsidRDefault="00B811A4" w:rsidP="00B811A4">
      <w:pPr>
        <w:pStyle w:val="Sraopastraipa"/>
        <w:ind w:left="567"/>
        <w:rPr>
          <w:b/>
        </w:rPr>
      </w:pPr>
    </w:p>
    <w:p w14:paraId="06070631" w14:textId="77777777" w:rsidR="00CA462C" w:rsidRPr="0014707D" w:rsidRDefault="00CA462C" w:rsidP="00CA462C">
      <w:pPr>
        <w:spacing w:line="276" w:lineRule="auto"/>
        <w:jc w:val="both"/>
        <w:rPr>
          <w:color w:val="000000"/>
          <w:lang w:eastAsia="lt-LT"/>
        </w:rPr>
      </w:pPr>
      <w:r w:rsidRPr="002A024D">
        <w:t>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r>
        <w:t xml:space="preserve"> </w:t>
      </w:r>
      <w:r>
        <w:rPr>
          <w:color w:val="000000"/>
        </w:rPr>
        <w:t>30</w:t>
      </w:r>
      <w:r>
        <w:rPr>
          <w:color w:val="000000"/>
          <w:vertAlign w:val="superscript"/>
        </w:rPr>
        <w:t>1</w:t>
      </w:r>
      <w:r>
        <w:rPr>
          <w:color w:val="000000"/>
        </w:rPr>
        <w:t xml:space="preserve">.1. kai vertinimo išvados atitinka Aprašo 29.1.1 ir 29.2.1 papunkčiuose numatytas sąlygas arba Aprašo 29.1.2 ir 29.2.2 papunkčiuose numatytas sąlygas, teikiama rekomendacija </w:t>
      </w:r>
      <w:r w:rsidRPr="005C6809">
        <w:rPr>
          <w:i/>
          <w:color w:val="000000"/>
        </w:rPr>
        <w:t>kompensuoti</w:t>
      </w:r>
      <w:r>
        <w:rPr>
          <w:color w:val="000000"/>
        </w:rPr>
        <w:t xml:space="preserve"> vaistinį preparatą pagal paraiškoje nurodytą indikaciją (arba jos dalį) su arba be skyrimo sąlygų, taikant ar netaikant PGS</w:t>
      </w:r>
      <w:r>
        <w:rPr>
          <w:color w:val="000000"/>
          <w:lang w:eastAsia="lt-LT"/>
        </w:rPr>
        <w:t>.</w:t>
      </w:r>
    </w:p>
    <w:p w14:paraId="3D60BB06" w14:textId="77777777" w:rsidR="00B811A4" w:rsidRPr="00334F18" w:rsidRDefault="00B811A4" w:rsidP="00B811A4">
      <w:pPr>
        <w:widowControl w:val="0"/>
        <w:tabs>
          <w:tab w:val="left" w:pos="1418"/>
        </w:tabs>
        <w:suppressAutoHyphens/>
        <w:spacing w:line="360" w:lineRule="atLeast"/>
        <w:jc w:val="center"/>
        <w:textAlignment w:val="center"/>
        <w:rPr>
          <w:lang w:eastAsia="lt-LT"/>
        </w:rPr>
      </w:pPr>
    </w:p>
    <w:p w14:paraId="42F3A222" w14:textId="77777777" w:rsidR="00B811A4" w:rsidRPr="00334F18" w:rsidRDefault="00B811A4" w:rsidP="00B811A4">
      <w:pPr>
        <w:tabs>
          <w:tab w:val="left" w:pos="426"/>
        </w:tabs>
        <w:jc w:val="both"/>
        <w:rPr>
          <w:b/>
          <w:lang w:eastAsia="lt-LT"/>
        </w:rPr>
      </w:pPr>
      <w:r w:rsidRPr="00334F18">
        <w:rPr>
          <w:b/>
          <w:lang w:eastAsia="lt-LT"/>
        </w:rPr>
        <w:t>4.3 Siūloma (-</w:t>
      </w:r>
      <w:proofErr w:type="spellStart"/>
      <w:r w:rsidRPr="00334F18">
        <w:rPr>
          <w:b/>
          <w:lang w:eastAsia="lt-LT"/>
        </w:rPr>
        <w:t>os</w:t>
      </w:r>
      <w:proofErr w:type="spellEnd"/>
      <w:r w:rsidRPr="00334F18">
        <w:rPr>
          <w:b/>
          <w:lang w:eastAsia="lt-LT"/>
        </w:rPr>
        <w:t xml:space="preserve">) kompensuoti terapinės indikacijos ir skyrimo sąlygos </w:t>
      </w:r>
    </w:p>
    <w:p w14:paraId="179FBABC" w14:textId="77777777" w:rsidR="00B811A4" w:rsidRPr="00334F18" w:rsidRDefault="00B811A4" w:rsidP="00B811A4">
      <w:pPr>
        <w:tabs>
          <w:tab w:val="left" w:pos="426"/>
        </w:tabs>
        <w:jc w:val="both"/>
        <w:rPr>
          <w:b/>
          <w:lang w:eastAsia="lt-LT"/>
        </w:rPr>
      </w:pPr>
    </w:p>
    <w:p w14:paraId="65CB839B" w14:textId="77777777" w:rsidR="00B811A4" w:rsidRPr="00334F18" w:rsidRDefault="00B811A4" w:rsidP="00B811A4">
      <w:pPr>
        <w:pStyle w:val="Betarp"/>
        <w:rPr>
          <w:rFonts w:ascii="Times New Roman" w:hAnsi="Times New Roman"/>
          <w:b/>
          <w:sz w:val="24"/>
          <w:szCs w:val="24"/>
          <w:lang w:eastAsia="lt-LT"/>
        </w:rPr>
      </w:pPr>
      <w:r w:rsidRPr="00334F18">
        <w:rPr>
          <w:rFonts w:ascii="Times New Roman" w:hAnsi="Times New Roman"/>
          <w:b/>
          <w:sz w:val="24"/>
          <w:szCs w:val="24"/>
          <w:lang w:eastAsia="lt-LT"/>
        </w:rPr>
        <w:t>Terapinės indikacijos</w:t>
      </w:r>
    </w:p>
    <w:p w14:paraId="3BC08150" w14:textId="6F2EBC49" w:rsidR="00B811A4" w:rsidRDefault="00B811A4" w:rsidP="00B811A4">
      <w:pPr>
        <w:pStyle w:val="Betarp"/>
        <w:rPr>
          <w:rFonts w:ascii="Times New Roman" w:hAnsi="Times New Roman"/>
          <w:bCs/>
          <w:i/>
          <w:iCs/>
          <w:sz w:val="24"/>
          <w:szCs w:val="24"/>
          <w:lang w:eastAsia="lt-LT"/>
        </w:rPr>
      </w:pPr>
    </w:p>
    <w:p w14:paraId="2147BA3E" w14:textId="77777777" w:rsidR="0044277F" w:rsidRDefault="0044277F" w:rsidP="0044277F">
      <w:pPr>
        <w:jc w:val="both"/>
        <w:rPr>
          <w:lang w:eastAsia="lt-LT"/>
        </w:rPr>
      </w:pPr>
      <w:r>
        <w:rPr>
          <w:lang w:eastAsia="lt-LT"/>
        </w:rPr>
        <w:t>Siūlomos terapinės indikacijos</w:t>
      </w:r>
    </w:p>
    <w:p w14:paraId="57C09159" w14:textId="77777777" w:rsidR="0044277F" w:rsidRDefault="0044277F" w:rsidP="0044277F">
      <w:pPr>
        <w:jc w:val="both"/>
        <w:rPr>
          <w:lang w:eastAsia="lt-LT"/>
        </w:rPr>
      </w:pPr>
    </w:p>
    <w:p w14:paraId="1194DF59" w14:textId="77777777" w:rsidR="0044277F" w:rsidRPr="00B700C4" w:rsidRDefault="0044277F" w:rsidP="0044277F">
      <w:pPr>
        <w:jc w:val="both"/>
      </w:pPr>
      <w:r w:rsidRPr="00B700C4">
        <w:t xml:space="preserve">Turintiems augimo sutrikimą (esamas ūgis žemesnis nei  -2,5 standartiniai  ūgio nuokrypiai (toliau – SDS) nuo vidurkio (arba &lt; 3 </w:t>
      </w:r>
      <w:proofErr w:type="spellStart"/>
      <w:r w:rsidRPr="00B700C4">
        <w:t>procentilės</w:t>
      </w:r>
      <w:proofErr w:type="spellEnd"/>
      <w:r w:rsidRPr="00B700C4">
        <w:t xml:space="preserve">), o pagal tėvų ūgį koreguotas vaiko ūgis &lt; -1 SDS (2 </w:t>
      </w:r>
      <w:proofErr w:type="spellStart"/>
      <w:r w:rsidRPr="00B700C4">
        <w:t>procentiliniai</w:t>
      </w:r>
      <w:proofErr w:type="spellEnd"/>
      <w:r w:rsidRPr="00B700C4">
        <w:t xml:space="preserve"> tarpai žemesnis nei tėvų ūgio vidurkis)) vaikams / paaugliams, kurie gimė maži pagal savo </w:t>
      </w:r>
      <w:proofErr w:type="spellStart"/>
      <w:r w:rsidRPr="00B700C4">
        <w:t>gestacijos</w:t>
      </w:r>
      <w:proofErr w:type="spellEnd"/>
      <w:r w:rsidRPr="00B700C4">
        <w:t xml:space="preserve"> amžių (</w:t>
      </w:r>
      <w:r w:rsidRPr="00A87DAA">
        <w:rPr>
          <w:bCs/>
        </w:rPr>
        <w:t>SGA</w:t>
      </w:r>
      <w:r w:rsidRPr="00B700C4">
        <w:t xml:space="preserve">), tai yra kurių svoris ir (arba) ūgis gimus nesiekė - 2 standartinio nuokrypio (3 </w:t>
      </w:r>
      <w:proofErr w:type="spellStart"/>
      <w:r w:rsidRPr="00B700C4">
        <w:t>procentilės</w:t>
      </w:r>
      <w:proofErr w:type="spellEnd"/>
      <w:r w:rsidRPr="00B700C4">
        <w:t xml:space="preserve">) ir kurie iki 4 metų ar vėliau neprisivijo ūgiu (augimo greitis (AG) per pastaruosius metus buvo &lt;0 SDS (&lt;50 </w:t>
      </w:r>
      <w:proofErr w:type="spellStart"/>
      <w:r w:rsidRPr="00B700C4">
        <w:t>procentilės</w:t>
      </w:r>
      <w:proofErr w:type="spellEnd"/>
      <w:r w:rsidRPr="00B700C4">
        <w:t>)).</w:t>
      </w:r>
    </w:p>
    <w:p w14:paraId="17490EE9" w14:textId="77777777" w:rsidR="0044277F" w:rsidRDefault="0044277F" w:rsidP="0044277F">
      <w:pPr>
        <w:pStyle w:val="Betarp"/>
        <w:jc w:val="both"/>
        <w:rPr>
          <w:rFonts w:ascii="Times New Roman" w:eastAsia="Times New Roman" w:hAnsi="Times New Roman"/>
          <w:sz w:val="24"/>
          <w:szCs w:val="24"/>
        </w:rPr>
      </w:pPr>
    </w:p>
    <w:p w14:paraId="68CDAF3F" w14:textId="77777777" w:rsidR="0044277F" w:rsidRPr="00B700C4" w:rsidRDefault="0044277F" w:rsidP="0044277F">
      <w:pPr>
        <w:jc w:val="both"/>
      </w:pPr>
      <w:r w:rsidRPr="00B700C4">
        <w:t xml:space="preserve">P05.1 - Per mažas vaisius pagal esamą nėštumo trukmę </w:t>
      </w:r>
    </w:p>
    <w:p w14:paraId="35C90357" w14:textId="77777777" w:rsidR="0044277F" w:rsidRPr="00B700C4" w:rsidRDefault="0044277F" w:rsidP="0044277F">
      <w:pPr>
        <w:jc w:val="both"/>
      </w:pPr>
      <w:r>
        <w:t>ir</w:t>
      </w:r>
    </w:p>
    <w:p w14:paraId="7B91F951" w14:textId="77777777" w:rsidR="0044277F" w:rsidRPr="00B700C4" w:rsidRDefault="0044277F" w:rsidP="0044277F">
      <w:pPr>
        <w:jc w:val="both"/>
      </w:pPr>
      <w:r w:rsidRPr="00B700C4">
        <w:t xml:space="preserve">E34.3 - Mažas ūgis, neklasifikuojamas kitur (žemo ūgio vaikai) </w:t>
      </w:r>
    </w:p>
    <w:p w14:paraId="2A169B07" w14:textId="77777777" w:rsidR="0044277F" w:rsidRPr="00603B3A" w:rsidRDefault="0044277F" w:rsidP="0044277F">
      <w:pPr>
        <w:pStyle w:val="Betarp"/>
        <w:jc w:val="both"/>
        <w:rPr>
          <w:rFonts w:ascii="Times New Roman" w:hAnsi="Times New Roman"/>
          <w:sz w:val="24"/>
          <w:szCs w:val="24"/>
        </w:rPr>
      </w:pPr>
    </w:p>
    <w:p w14:paraId="2CEFB192" w14:textId="77777777" w:rsidR="00D458B7" w:rsidRPr="00603B3A" w:rsidRDefault="00D458B7" w:rsidP="00D458B7">
      <w:pPr>
        <w:pStyle w:val="Betarp"/>
        <w:jc w:val="both"/>
        <w:rPr>
          <w:rFonts w:ascii="Times New Roman" w:hAnsi="Times New Roman"/>
          <w:sz w:val="24"/>
          <w:szCs w:val="24"/>
        </w:rPr>
      </w:pPr>
    </w:p>
    <w:p w14:paraId="027BF59A" w14:textId="77777777" w:rsidR="00D458B7" w:rsidRPr="00603B3A" w:rsidRDefault="00D458B7" w:rsidP="00D458B7">
      <w:pPr>
        <w:pStyle w:val="Betarp"/>
        <w:jc w:val="both"/>
        <w:rPr>
          <w:rFonts w:ascii="Times New Roman" w:hAnsi="Times New Roman"/>
          <w:b/>
          <w:sz w:val="24"/>
          <w:szCs w:val="24"/>
        </w:rPr>
      </w:pPr>
      <w:r w:rsidRPr="00603B3A">
        <w:rPr>
          <w:rFonts w:ascii="Times New Roman" w:hAnsi="Times New Roman"/>
          <w:b/>
          <w:sz w:val="24"/>
          <w:szCs w:val="24"/>
        </w:rPr>
        <w:t>6.2 Skyrimo sąlygos</w:t>
      </w:r>
    </w:p>
    <w:p w14:paraId="6889B3F7" w14:textId="77777777" w:rsidR="00D458B7" w:rsidRPr="00603B3A" w:rsidRDefault="00D458B7" w:rsidP="00D458B7">
      <w:pPr>
        <w:pStyle w:val="Betarp"/>
        <w:jc w:val="both"/>
        <w:rPr>
          <w:rFonts w:ascii="Times New Roman" w:hAnsi="Times New Roman"/>
          <w:i/>
          <w:iCs/>
          <w:sz w:val="24"/>
          <w:szCs w:val="24"/>
        </w:rPr>
      </w:pPr>
    </w:p>
    <w:p w14:paraId="35FCB6E9" w14:textId="77777777" w:rsidR="00D458B7" w:rsidRDefault="00D458B7" w:rsidP="00D458B7">
      <w:pPr>
        <w:pStyle w:val="Betarp"/>
        <w:jc w:val="both"/>
        <w:rPr>
          <w:rFonts w:ascii="Times New Roman" w:hAnsi="Times New Roman"/>
          <w:sz w:val="24"/>
          <w:szCs w:val="24"/>
        </w:rPr>
      </w:pPr>
      <w:r>
        <w:rPr>
          <w:rFonts w:ascii="Times New Roman" w:hAnsi="Times New Roman"/>
          <w:sz w:val="24"/>
          <w:szCs w:val="24"/>
        </w:rPr>
        <w:t>Siūlomos skyrimo sąlygos:</w:t>
      </w:r>
    </w:p>
    <w:p w14:paraId="3B01C689" w14:textId="77777777" w:rsidR="00D458B7" w:rsidRDefault="00D458B7" w:rsidP="00D458B7">
      <w:pPr>
        <w:pStyle w:val="Betarp"/>
        <w:jc w:val="both"/>
        <w:rPr>
          <w:rFonts w:ascii="Times New Roman" w:eastAsia="Times New Roman" w:hAnsi="Times New Roman"/>
          <w:color w:val="000000"/>
          <w:sz w:val="24"/>
          <w:szCs w:val="24"/>
        </w:rPr>
      </w:pPr>
    </w:p>
    <w:p w14:paraId="5E305CA8" w14:textId="77777777" w:rsidR="0044277F" w:rsidRDefault="0044277F" w:rsidP="0044277F">
      <w:pPr>
        <w:pStyle w:val="Betarp"/>
        <w:jc w:val="both"/>
        <w:rPr>
          <w:rFonts w:ascii="Times New Roman" w:eastAsia="Times New Roman" w:hAnsi="Times New Roman"/>
          <w:sz w:val="24"/>
          <w:szCs w:val="24"/>
        </w:rPr>
      </w:pPr>
      <w:r w:rsidRPr="00843BD7">
        <w:rPr>
          <w:rFonts w:ascii="Times New Roman" w:eastAsia="Times New Roman" w:hAnsi="Times New Roman"/>
          <w:sz w:val="24"/>
          <w:szCs w:val="24"/>
        </w:rPr>
        <w:t>Skiria gydytojas endokrinologas ar gydytojas vaikų endokrinologas, teikiantis tretinio lygio endokrinologijos paslaugas, vėliau iki 6 mėnesių gali išrašyti gydytojas vaikų endokrinologas, vaikų ligų ar šeimos gydytojas.</w:t>
      </w:r>
      <w:r w:rsidRPr="00B539ED">
        <w:rPr>
          <w:rFonts w:ascii="Times New Roman" w:eastAsia="Times New Roman" w:hAnsi="Times New Roman"/>
          <w:sz w:val="24"/>
          <w:szCs w:val="24"/>
        </w:rPr>
        <w:t xml:space="preserve"> </w:t>
      </w:r>
      <w:r>
        <w:rPr>
          <w:rFonts w:ascii="Times New Roman" w:eastAsia="Times New Roman" w:hAnsi="Times New Roman"/>
          <w:sz w:val="24"/>
          <w:szCs w:val="24"/>
        </w:rPr>
        <w:t>G</w:t>
      </w:r>
      <w:r w:rsidRPr="00B539ED">
        <w:rPr>
          <w:rFonts w:ascii="Times New Roman" w:eastAsia="Times New Roman" w:hAnsi="Times New Roman"/>
          <w:sz w:val="24"/>
          <w:szCs w:val="24"/>
        </w:rPr>
        <w:t xml:space="preserve">ydymas </w:t>
      </w:r>
      <w:r>
        <w:rPr>
          <w:rFonts w:ascii="Times New Roman" w:eastAsia="Times New Roman" w:hAnsi="Times New Roman"/>
          <w:sz w:val="24"/>
          <w:szCs w:val="24"/>
        </w:rPr>
        <w:t xml:space="preserve">augimo hormonu (AH) </w:t>
      </w:r>
      <w:r w:rsidRPr="00B539ED">
        <w:rPr>
          <w:rFonts w:ascii="Times New Roman" w:eastAsia="Times New Roman" w:hAnsi="Times New Roman"/>
          <w:sz w:val="24"/>
          <w:szCs w:val="24"/>
        </w:rPr>
        <w:t>nutraukiamas, kai pasiekiamas (beveik) suaugusiojo ūgis, apibrėžiamas kaip augimo greit</w:t>
      </w:r>
      <w:r>
        <w:rPr>
          <w:rFonts w:ascii="Times New Roman" w:eastAsia="Times New Roman" w:hAnsi="Times New Roman"/>
          <w:sz w:val="24"/>
          <w:szCs w:val="24"/>
        </w:rPr>
        <w:t>is</w:t>
      </w:r>
      <w:r w:rsidRPr="00B539ED">
        <w:rPr>
          <w:rFonts w:ascii="Times New Roman" w:eastAsia="Times New Roman" w:hAnsi="Times New Roman"/>
          <w:sz w:val="24"/>
          <w:szCs w:val="24"/>
        </w:rPr>
        <w:t xml:space="preserve"> mažesnis nei 1 cm per 6 mėnesius, kartu su </w:t>
      </w:r>
      <w:r w:rsidRPr="00843BD7">
        <w:rPr>
          <w:rFonts w:ascii="Times New Roman" w:eastAsia="Times New Roman" w:hAnsi="Times New Roman"/>
          <w:sz w:val="24"/>
          <w:szCs w:val="24"/>
        </w:rPr>
        <w:t>rentgenogramomis patvirtin</w:t>
      </w:r>
      <w:r>
        <w:rPr>
          <w:rFonts w:ascii="Times New Roman" w:eastAsia="Times New Roman" w:hAnsi="Times New Roman"/>
          <w:sz w:val="24"/>
          <w:szCs w:val="24"/>
        </w:rPr>
        <w:t>tu</w:t>
      </w:r>
      <w:r w:rsidRPr="00843BD7">
        <w:rPr>
          <w:rFonts w:ascii="Times New Roman" w:eastAsia="Times New Roman" w:hAnsi="Times New Roman"/>
          <w:sz w:val="24"/>
          <w:szCs w:val="24"/>
        </w:rPr>
        <w:t xml:space="preserve"> paciento kaulinio augimo zonų užsivėrim</w:t>
      </w:r>
      <w:r>
        <w:rPr>
          <w:rFonts w:ascii="Times New Roman" w:eastAsia="Times New Roman" w:hAnsi="Times New Roman"/>
          <w:sz w:val="24"/>
          <w:szCs w:val="24"/>
        </w:rPr>
        <w:t>u,</w:t>
      </w:r>
      <w:r w:rsidRPr="00B539ED">
        <w:rPr>
          <w:rFonts w:ascii="Times New Roman" w:eastAsia="Times New Roman" w:hAnsi="Times New Roman"/>
          <w:sz w:val="24"/>
          <w:szCs w:val="24"/>
        </w:rPr>
        <w:t xml:space="preserve"> arba kai yra pasikartojančių ir aiškių gydymo</w:t>
      </w:r>
      <w:r>
        <w:rPr>
          <w:rFonts w:ascii="Times New Roman" w:eastAsia="Times New Roman" w:hAnsi="Times New Roman"/>
          <w:sz w:val="24"/>
          <w:szCs w:val="24"/>
        </w:rPr>
        <w:t xml:space="preserve"> A</w:t>
      </w:r>
      <w:r w:rsidRPr="00B539ED">
        <w:rPr>
          <w:rFonts w:ascii="Times New Roman" w:eastAsia="Times New Roman" w:hAnsi="Times New Roman"/>
          <w:sz w:val="24"/>
          <w:szCs w:val="24"/>
        </w:rPr>
        <w:t>H nesilaikymo ar nereagavimo į jį požymių.</w:t>
      </w:r>
    </w:p>
    <w:p w14:paraId="4870A304" w14:textId="77777777" w:rsidR="00D458B7" w:rsidRDefault="00D458B7" w:rsidP="00D458B7">
      <w:pPr>
        <w:pStyle w:val="Betarp"/>
        <w:jc w:val="both"/>
        <w:rPr>
          <w:rFonts w:ascii="Times New Roman" w:eastAsia="Times New Roman" w:hAnsi="Times New Roman"/>
          <w:color w:val="000000"/>
          <w:sz w:val="24"/>
          <w:szCs w:val="24"/>
        </w:rPr>
      </w:pPr>
    </w:p>
    <w:p w14:paraId="33B8DE04" w14:textId="77777777" w:rsidR="00283E59" w:rsidRPr="00334F18" w:rsidRDefault="00283E59" w:rsidP="00283E59">
      <w:pPr>
        <w:widowControl w:val="0"/>
        <w:tabs>
          <w:tab w:val="left" w:pos="1418"/>
        </w:tabs>
        <w:suppressAutoHyphens/>
        <w:spacing w:line="360" w:lineRule="atLeast"/>
        <w:jc w:val="center"/>
        <w:textAlignment w:val="center"/>
      </w:pPr>
      <w:r w:rsidRPr="00334F18">
        <w:rPr>
          <w:lang w:eastAsia="lt-LT"/>
        </w:rPr>
        <w:t>____________________________</w:t>
      </w:r>
    </w:p>
    <w:p w14:paraId="562A1372" w14:textId="77777777" w:rsidR="00283E59" w:rsidRPr="00334F18" w:rsidRDefault="00283E59" w:rsidP="00283E59">
      <w:pPr>
        <w:jc w:val="both"/>
        <w:rPr>
          <w:b/>
          <w:sz w:val="20"/>
        </w:rPr>
      </w:pPr>
    </w:p>
    <w:p w14:paraId="7CDFF220" w14:textId="58191D98" w:rsidR="000723FF" w:rsidRPr="00334F18" w:rsidRDefault="000723FF" w:rsidP="00824B92">
      <w:pPr>
        <w:rPr>
          <w:b/>
        </w:rPr>
      </w:pPr>
    </w:p>
    <w:sectPr w:rsidR="000723FF" w:rsidRPr="00334F18" w:rsidSect="00063A50">
      <w:headerReference w:type="first" r:id="rId7"/>
      <w:footerReference w:type="first" r:id="rId8"/>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65050" w14:textId="77777777" w:rsidR="009632FA" w:rsidRDefault="009632FA">
      <w:r>
        <w:separator/>
      </w:r>
    </w:p>
  </w:endnote>
  <w:endnote w:type="continuationSeparator" w:id="0">
    <w:p w14:paraId="4ADFAECA" w14:textId="77777777" w:rsidR="009632FA" w:rsidRDefault="00963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6524B" w14:textId="77777777" w:rsidR="009632FA" w:rsidRDefault="009632FA">
      <w:r>
        <w:separator/>
      </w:r>
    </w:p>
  </w:footnote>
  <w:footnote w:type="continuationSeparator" w:id="0">
    <w:p w14:paraId="20FEC81A" w14:textId="77777777" w:rsidR="009632FA" w:rsidRDefault="00963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1276250"/>
    <w:multiLevelType w:val="hybridMultilevel"/>
    <w:tmpl w:val="3B6C29F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1A816B09"/>
    <w:multiLevelType w:val="hybridMultilevel"/>
    <w:tmpl w:val="8FBEE17A"/>
    <w:lvl w:ilvl="0" w:tplc="0427000F">
      <w:start w:val="16"/>
      <w:numFmt w:val="decimal"/>
      <w:lvlText w:val="%1."/>
      <w:lvlJc w:val="left"/>
      <w:pPr>
        <w:ind w:left="501" w:hanging="36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6" w15:restartNumberingAfterBreak="0">
    <w:nsid w:val="299E4917"/>
    <w:multiLevelType w:val="hybridMultilevel"/>
    <w:tmpl w:val="8C589998"/>
    <w:lvl w:ilvl="0" w:tplc="04090001">
      <w:start w:val="1"/>
      <w:numFmt w:val="bullet"/>
      <w:lvlText w:val=""/>
      <w:lvlJc w:val="left"/>
      <w:pPr>
        <w:ind w:left="1346" w:hanging="360"/>
      </w:pPr>
      <w:rPr>
        <w:rFonts w:ascii="Symbol" w:hAnsi="Symbol" w:hint="default"/>
      </w:rPr>
    </w:lvl>
    <w:lvl w:ilvl="1" w:tplc="04090003" w:tentative="1">
      <w:start w:val="1"/>
      <w:numFmt w:val="bullet"/>
      <w:lvlText w:val="o"/>
      <w:lvlJc w:val="left"/>
      <w:pPr>
        <w:ind w:left="2066" w:hanging="360"/>
      </w:pPr>
      <w:rPr>
        <w:rFonts w:ascii="Courier New" w:hAnsi="Courier New" w:cs="Courier New" w:hint="default"/>
      </w:rPr>
    </w:lvl>
    <w:lvl w:ilvl="2" w:tplc="04090005" w:tentative="1">
      <w:start w:val="1"/>
      <w:numFmt w:val="bullet"/>
      <w:lvlText w:val=""/>
      <w:lvlJc w:val="left"/>
      <w:pPr>
        <w:ind w:left="2786" w:hanging="360"/>
      </w:pPr>
      <w:rPr>
        <w:rFonts w:ascii="Wingdings" w:hAnsi="Wingdings" w:hint="default"/>
      </w:rPr>
    </w:lvl>
    <w:lvl w:ilvl="3" w:tplc="04090001" w:tentative="1">
      <w:start w:val="1"/>
      <w:numFmt w:val="bullet"/>
      <w:lvlText w:val=""/>
      <w:lvlJc w:val="left"/>
      <w:pPr>
        <w:ind w:left="3506" w:hanging="360"/>
      </w:pPr>
      <w:rPr>
        <w:rFonts w:ascii="Symbol" w:hAnsi="Symbol" w:hint="default"/>
      </w:rPr>
    </w:lvl>
    <w:lvl w:ilvl="4" w:tplc="04090003" w:tentative="1">
      <w:start w:val="1"/>
      <w:numFmt w:val="bullet"/>
      <w:lvlText w:val="o"/>
      <w:lvlJc w:val="left"/>
      <w:pPr>
        <w:ind w:left="4226" w:hanging="360"/>
      </w:pPr>
      <w:rPr>
        <w:rFonts w:ascii="Courier New" w:hAnsi="Courier New" w:cs="Courier New" w:hint="default"/>
      </w:rPr>
    </w:lvl>
    <w:lvl w:ilvl="5" w:tplc="04090005" w:tentative="1">
      <w:start w:val="1"/>
      <w:numFmt w:val="bullet"/>
      <w:lvlText w:val=""/>
      <w:lvlJc w:val="left"/>
      <w:pPr>
        <w:ind w:left="4946" w:hanging="360"/>
      </w:pPr>
      <w:rPr>
        <w:rFonts w:ascii="Wingdings" w:hAnsi="Wingdings" w:hint="default"/>
      </w:rPr>
    </w:lvl>
    <w:lvl w:ilvl="6" w:tplc="04090001" w:tentative="1">
      <w:start w:val="1"/>
      <w:numFmt w:val="bullet"/>
      <w:lvlText w:val=""/>
      <w:lvlJc w:val="left"/>
      <w:pPr>
        <w:ind w:left="5666" w:hanging="360"/>
      </w:pPr>
      <w:rPr>
        <w:rFonts w:ascii="Symbol" w:hAnsi="Symbol" w:hint="default"/>
      </w:rPr>
    </w:lvl>
    <w:lvl w:ilvl="7" w:tplc="04090003" w:tentative="1">
      <w:start w:val="1"/>
      <w:numFmt w:val="bullet"/>
      <w:lvlText w:val="o"/>
      <w:lvlJc w:val="left"/>
      <w:pPr>
        <w:ind w:left="6386" w:hanging="360"/>
      </w:pPr>
      <w:rPr>
        <w:rFonts w:ascii="Courier New" w:hAnsi="Courier New" w:cs="Courier New" w:hint="default"/>
      </w:rPr>
    </w:lvl>
    <w:lvl w:ilvl="8" w:tplc="04090005" w:tentative="1">
      <w:start w:val="1"/>
      <w:numFmt w:val="bullet"/>
      <w:lvlText w:val=""/>
      <w:lvlJc w:val="left"/>
      <w:pPr>
        <w:ind w:left="7106" w:hanging="360"/>
      </w:pPr>
      <w:rPr>
        <w:rFonts w:ascii="Wingdings" w:hAnsi="Wingdings" w:hint="default"/>
      </w:rPr>
    </w:lvl>
  </w:abstractNum>
  <w:abstractNum w:abstractNumId="7"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9"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5F44CC"/>
    <w:multiLevelType w:val="hybridMultilevel"/>
    <w:tmpl w:val="0EEE1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C16F8D"/>
    <w:multiLevelType w:val="hybridMultilevel"/>
    <w:tmpl w:val="A34C090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3"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823337A"/>
    <w:multiLevelType w:val="hybridMultilevel"/>
    <w:tmpl w:val="05B2F4F0"/>
    <w:lvl w:ilvl="0" w:tplc="7B748F7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47558931">
    <w:abstractNumId w:val="9"/>
  </w:num>
  <w:num w:numId="2" w16cid:durableId="1357122500">
    <w:abstractNumId w:val="2"/>
  </w:num>
  <w:num w:numId="3" w16cid:durableId="1349065807">
    <w:abstractNumId w:val="13"/>
  </w:num>
  <w:num w:numId="4" w16cid:durableId="1076173841">
    <w:abstractNumId w:val="10"/>
  </w:num>
  <w:num w:numId="5" w16cid:durableId="121965060">
    <w:abstractNumId w:val="8"/>
  </w:num>
  <w:num w:numId="6" w16cid:durableId="162744393">
    <w:abstractNumId w:val="7"/>
  </w:num>
  <w:num w:numId="7" w16cid:durableId="1851987479">
    <w:abstractNumId w:val="4"/>
  </w:num>
  <w:num w:numId="8" w16cid:durableId="1060128946">
    <w:abstractNumId w:val="16"/>
  </w:num>
  <w:num w:numId="9" w16cid:durableId="1965042255">
    <w:abstractNumId w:val="0"/>
  </w:num>
  <w:num w:numId="10" w16cid:durableId="356542294">
    <w:abstractNumId w:val="14"/>
  </w:num>
  <w:num w:numId="11" w16cid:durableId="1346128434">
    <w:abstractNumId w:val="15"/>
  </w:num>
  <w:num w:numId="12" w16cid:durableId="1471509266">
    <w:abstractNumId w:val="3"/>
  </w:num>
  <w:num w:numId="13" w16cid:durableId="83886660">
    <w:abstractNumId w:val="5"/>
  </w:num>
  <w:num w:numId="14" w16cid:durableId="1723402823">
    <w:abstractNumId w:val="1"/>
  </w:num>
  <w:num w:numId="15" w16cid:durableId="904029803">
    <w:abstractNumId w:val="6"/>
  </w:num>
  <w:num w:numId="16" w16cid:durableId="1356686023">
    <w:abstractNumId w:val="17"/>
  </w:num>
  <w:num w:numId="17" w16cid:durableId="113601424">
    <w:abstractNumId w:val="12"/>
  </w:num>
  <w:num w:numId="18" w16cid:durableId="11596601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03E1"/>
    <w:rsid w:val="0002686C"/>
    <w:rsid w:val="00031D0E"/>
    <w:rsid w:val="000337E6"/>
    <w:rsid w:val="0003402E"/>
    <w:rsid w:val="00034EAE"/>
    <w:rsid w:val="00042924"/>
    <w:rsid w:val="000448C6"/>
    <w:rsid w:val="00052BD8"/>
    <w:rsid w:val="00053975"/>
    <w:rsid w:val="00057A2B"/>
    <w:rsid w:val="000606BE"/>
    <w:rsid w:val="000624FF"/>
    <w:rsid w:val="00063A50"/>
    <w:rsid w:val="000679AA"/>
    <w:rsid w:val="000723FF"/>
    <w:rsid w:val="000736B8"/>
    <w:rsid w:val="0008190F"/>
    <w:rsid w:val="00081D9C"/>
    <w:rsid w:val="00082907"/>
    <w:rsid w:val="0008378D"/>
    <w:rsid w:val="000908A5"/>
    <w:rsid w:val="00092805"/>
    <w:rsid w:val="000A50C9"/>
    <w:rsid w:val="000B2B2C"/>
    <w:rsid w:val="000B76AD"/>
    <w:rsid w:val="000C454C"/>
    <w:rsid w:val="000D5038"/>
    <w:rsid w:val="000E29D4"/>
    <w:rsid w:val="000F3540"/>
    <w:rsid w:val="00100491"/>
    <w:rsid w:val="00104E2E"/>
    <w:rsid w:val="00107287"/>
    <w:rsid w:val="00116BE7"/>
    <w:rsid w:val="00117194"/>
    <w:rsid w:val="00117406"/>
    <w:rsid w:val="00121EF0"/>
    <w:rsid w:val="00124A9E"/>
    <w:rsid w:val="00130703"/>
    <w:rsid w:val="0013153F"/>
    <w:rsid w:val="001408B8"/>
    <w:rsid w:val="001466FE"/>
    <w:rsid w:val="001517E2"/>
    <w:rsid w:val="001521D9"/>
    <w:rsid w:val="001554E2"/>
    <w:rsid w:val="00164146"/>
    <w:rsid w:val="00164D64"/>
    <w:rsid w:val="0017369C"/>
    <w:rsid w:val="00175D57"/>
    <w:rsid w:val="00180C39"/>
    <w:rsid w:val="00180D96"/>
    <w:rsid w:val="00180E85"/>
    <w:rsid w:val="00184BD3"/>
    <w:rsid w:val="001864D3"/>
    <w:rsid w:val="001921F3"/>
    <w:rsid w:val="001A0CAA"/>
    <w:rsid w:val="001B3C5B"/>
    <w:rsid w:val="001C2FC8"/>
    <w:rsid w:val="001C6353"/>
    <w:rsid w:val="001D5B91"/>
    <w:rsid w:val="001D746F"/>
    <w:rsid w:val="001E0B2D"/>
    <w:rsid w:val="001E4BBB"/>
    <w:rsid w:val="001E4F8F"/>
    <w:rsid w:val="001E6304"/>
    <w:rsid w:val="001F115E"/>
    <w:rsid w:val="0020381E"/>
    <w:rsid w:val="00213471"/>
    <w:rsid w:val="00215906"/>
    <w:rsid w:val="00241CD8"/>
    <w:rsid w:val="00244B09"/>
    <w:rsid w:val="002519CB"/>
    <w:rsid w:val="0025697F"/>
    <w:rsid w:val="00260258"/>
    <w:rsid w:val="0026588E"/>
    <w:rsid w:val="00272428"/>
    <w:rsid w:val="00272948"/>
    <w:rsid w:val="00283E59"/>
    <w:rsid w:val="00292392"/>
    <w:rsid w:val="002946C7"/>
    <w:rsid w:val="002B3CC1"/>
    <w:rsid w:val="002C0686"/>
    <w:rsid w:val="002C09E0"/>
    <w:rsid w:val="002C100E"/>
    <w:rsid w:val="002C1BB1"/>
    <w:rsid w:val="002C2786"/>
    <w:rsid w:val="002C3A10"/>
    <w:rsid w:val="002C4A90"/>
    <w:rsid w:val="002C4ED5"/>
    <w:rsid w:val="002C7BF9"/>
    <w:rsid w:val="002D02EF"/>
    <w:rsid w:val="002E0702"/>
    <w:rsid w:val="002E1A83"/>
    <w:rsid w:val="002E57AD"/>
    <w:rsid w:val="002E6F80"/>
    <w:rsid w:val="002F0E4F"/>
    <w:rsid w:val="002F1053"/>
    <w:rsid w:val="00314816"/>
    <w:rsid w:val="00317B0E"/>
    <w:rsid w:val="00334F18"/>
    <w:rsid w:val="00336238"/>
    <w:rsid w:val="00347FAA"/>
    <w:rsid w:val="0035172D"/>
    <w:rsid w:val="0036187D"/>
    <w:rsid w:val="00367EDB"/>
    <w:rsid w:val="003705F0"/>
    <w:rsid w:val="00370935"/>
    <w:rsid w:val="00381024"/>
    <w:rsid w:val="00386307"/>
    <w:rsid w:val="003874DE"/>
    <w:rsid w:val="00393E9F"/>
    <w:rsid w:val="0039696E"/>
    <w:rsid w:val="003B211A"/>
    <w:rsid w:val="003C141F"/>
    <w:rsid w:val="003C6B0E"/>
    <w:rsid w:val="003C7257"/>
    <w:rsid w:val="003C74F5"/>
    <w:rsid w:val="003C7E35"/>
    <w:rsid w:val="003D1E99"/>
    <w:rsid w:val="003D6208"/>
    <w:rsid w:val="003E37FD"/>
    <w:rsid w:val="00404E8A"/>
    <w:rsid w:val="0040622F"/>
    <w:rsid w:val="00413F24"/>
    <w:rsid w:val="00422853"/>
    <w:rsid w:val="00423160"/>
    <w:rsid w:val="00437623"/>
    <w:rsid w:val="0044277F"/>
    <w:rsid w:val="00444A2B"/>
    <w:rsid w:val="00447EFC"/>
    <w:rsid w:val="00453862"/>
    <w:rsid w:val="0045469B"/>
    <w:rsid w:val="00461338"/>
    <w:rsid w:val="004677DB"/>
    <w:rsid w:val="00476256"/>
    <w:rsid w:val="0048630F"/>
    <w:rsid w:val="004947A1"/>
    <w:rsid w:val="0049482A"/>
    <w:rsid w:val="004979D3"/>
    <w:rsid w:val="004A00E7"/>
    <w:rsid w:val="004A12D0"/>
    <w:rsid w:val="004A3A61"/>
    <w:rsid w:val="004B59BA"/>
    <w:rsid w:val="004B5A03"/>
    <w:rsid w:val="004C263A"/>
    <w:rsid w:val="004C6221"/>
    <w:rsid w:val="004D47D1"/>
    <w:rsid w:val="004D48A6"/>
    <w:rsid w:val="004D70B6"/>
    <w:rsid w:val="004D7B8F"/>
    <w:rsid w:val="004E241F"/>
    <w:rsid w:val="004E6458"/>
    <w:rsid w:val="004E6E7D"/>
    <w:rsid w:val="004F1AAC"/>
    <w:rsid w:val="004F1AE2"/>
    <w:rsid w:val="004F34F0"/>
    <w:rsid w:val="004F3B2B"/>
    <w:rsid w:val="004F59E4"/>
    <w:rsid w:val="004F6050"/>
    <w:rsid w:val="005005EF"/>
    <w:rsid w:val="005123C2"/>
    <w:rsid w:val="0052144B"/>
    <w:rsid w:val="00524066"/>
    <w:rsid w:val="00526A0F"/>
    <w:rsid w:val="00534E11"/>
    <w:rsid w:val="005378D8"/>
    <w:rsid w:val="005400D9"/>
    <w:rsid w:val="005401A9"/>
    <w:rsid w:val="005476A4"/>
    <w:rsid w:val="0055019B"/>
    <w:rsid w:val="00556E63"/>
    <w:rsid w:val="005601A4"/>
    <w:rsid w:val="00566DBB"/>
    <w:rsid w:val="0056743F"/>
    <w:rsid w:val="00567B14"/>
    <w:rsid w:val="005767DB"/>
    <w:rsid w:val="005815E6"/>
    <w:rsid w:val="0058712F"/>
    <w:rsid w:val="005976CE"/>
    <w:rsid w:val="005A23D4"/>
    <w:rsid w:val="005A2D1E"/>
    <w:rsid w:val="005A4698"/>
    <w:rsid w:val="005B3756"/>
    <w:rsid w:val="005C493F"/>
    <w:rsid w:val="005C6BF7"/>
    <w:rsid w:val="005C71BF"/>
    <w:rsid w:val="005D002C"/>
    <w:rsid w:val="005D30E1"/>
    <w:rsid w:val="005D6555"/>
    <w:rsid w:val="005D7BDF"/>
    <w:rsid w:val="005E4870"/>
    <w:rsid w:val="005F71D9"/>
    <w:rsid w:val="005F7602"/>
    <w:rsid w:val="006062BE"/>
    <w:rsid w:val="00613143"/>
    <w:rsid w:val="00613501"/>
    <w:rsid w:val="0061611B"/>
    <w:rsid w:val="006166A8"/>
    <w:rsid w:val="006174A1"/>
    <w:rsid w:val="00621D6C"/>
    <w:rsid w:val="00633B49"/>
    <w:rsid w:val="0064297F"/>
    <w:rsid w:val="00645102"/>
    <w:rsid w:val="00646CF3"/>
    <w:rsid w:val="00653D11"/>
    <w:rsid w:val="00662983"/>
    <w:rsid w:val="006834D3"/>
    <w:rsid w:val="00692625"/>
    <w:rsid w:val="00695CD3"/>
    <w:rsid w:val="006A38B6"/>
    <w:rsid w:val="006B1987"/>
    <w:rsid w:val="006B5B71"/>
    <w:rsid w:val="006B5D3E"/>
    <w:rsid w:val="006B6CB0"/>
    <w:rsid w:val="006C2B64"/>
    <w:rsid w:val="006D1BF3"/>
    <w:rsid w:val="006D4C85"/>
    <w:rsid w:val="006D66AC"/>
    <w:rsid w:val="006D7AD1"/>
    <w:rsid w:val="006E33F6"/>
    <w:rsid w:val="006F1251"/>
    <w:rsid w:val="006F1C23"/>
    <w:rsid w:val="00702C18"/>
    <w:rsid w:val="00703166"/>
    <w:rsid w:val="007111C4"/>
    <w:rsid w:val="007127F3"/>
    <w:rsid w:val="00714FA8"/>
    <w:rsid w:val="00721AEA"/>
    <w:rsid w:val="007301CF"/>
    <w:rsid w:val="007316FB"/>
    <w:rsid w:val="00737E2D"/>
    <w:rsid w:val="007424D5"/>
    <w:rsid w:val="00745C63"/>
    <w:rsid w:val="00750A88"/>
    <w:rsid w:val="007523DD"/>
    <w:rsid w:val="00757B7E"/>
    <w:rsid w:val="007656B2"/>
    <w:rsid w:val="0077016F"/>
    <w:rsid w:val="007713AD"/>
    <w:rsid w:val="00772F40"/>
    <w:rsid w:val="00795DC5"/>
    <w:rsid w:val="00797153"/>
    <w:rsid w:val="007A21F7"/>
    <w:rsid w:val="007A2B68"/>
    <w:rsid w:val="007B0DDA"/>
    <w:rsid w:val="007D3347"/>
    <w:rsid w:val="007D654E"/>
    <w:rsid w:val="007E5466"/>
    <w:rsid w:val="007F1949"/>
    <w:rsid w:val="007F2592"/>
    <w:rsid w:val="00800A08"/>
    <w:rsid w:val="00817A84"/>
    <w:rsid w:val="008225A4"/>
    <w:rsid w:val="00824B92"/>
    <w:rsid w:val="00826D5E"/>
    <w:rsid w:val="00832013"/>
    <w:rsid w:val="00832DB7"/>
    <w:rsid w:val="00834732"/>
    <w:rsid w:val="00834C48"/>
    <w:rsid w:val="00844936"/>
    <w:rsid w:val="0085200C"/>
    <w:rsid w:val="00853487"/>
    <w:rsid w:val="00857C52"/>
    <w:rsid w:val="00860D5F"/>
    <w:rsid w:val="00880A44"/>
    <w:rsid w:val="0088345E"/>
    <w:rsid w:val="0088656F"/>
    <w:rsid w:val="008875BC"/>
    <w:rsid w:val="00891EF6"/>
    <w:rsid w:val="00892FF4"/>
    <w:rsid w:val="0089345A"/>
    <w:rsid w:val="008A0303"/>
    <w:rsid w:val="008A5FDD"/>
    <w:rsid w:val="008C3947"/>
    <w:rsid w:val="008E473B"/>
    <w:rsid w:val="008E51A6"/>
    <w:rsid w:val="008E58BC"/>
    <w:rsid w:val="008E7329"/>
    <w:rsid w:val="008F2ED5"/>
    <w:rsid w:val="0090044C"/>
    <w:rsid w:val="00904482"/>
    <w:rsid w:val="0092297E"/>
    <w:rsid w:val="00923292"/>
    <w:rsid w:val="00923651"/>
    <w:rsid w:val="00924DF7"/>
    <w:rsid w:val="00927B56"/>
    <w:rsid w:val="009341BF"/>
    <w:rsid w:val="00937907"/>
    <w:rsid w:val="00941739"/>
    <w:rsid w:val="00951573"/>
    <w:rsid w:val="00963003"/>
    <w:rsid w:val="009632FA"/>
    <w:rsid w:val="00965919"/>
    <w:rsid w:val="00966EEF"/>
    <w:rsid w:val="0097125B"/>
    <w:rsid w:val="00971B28"/>
    <w:rsid w:val="00983471"/>
    <w:rsid w:val="009909AB"/>
    <w:rsid w:val="009B37DB"/>
    <w:rsid w:val="009B58C1"/>
    <w:rsid w:val="009B779A"/>
    <w:rsid w:val="009C7A8C"/>
    <w:rsid w:val="009D23F9"/>
    <w:rsid w:val="009D4FA8"/>
    <w:rsid w:val="009E44AE"/>
    <w:rsid w:val="009E6CD6"/>
    <w:rsid w:val="009F4D66"/>
    <w:rsid w:val="00A00C3C"/>
    <w:rsid w:val="00A01091"/>
    <w:rsid w:val="00A042B9"/>
    <w:rsid w:val="00A06DBB"/>
    <w:rsid w:val="00A22ADF"/>
    <w:rsid w:val="00A2310D"/>
    <w:rsid w:val="00A254A2"/>
    <w:rsid w:val="00A31E86"/>
    <w:rsid w:val="00A54D87"/>
    <w:rsid w:val="00A5553C"/>
    <w:rsid w:val="00A701C9"/>
    <w:rsid w:val="00A81785"/>
    <w:rsid w:val="00A84803"/>
    <w:rsid w:val="00A84C51"/>
    <w:rsid w:val="00A86F2B"/>
    <w:rsid w:val="00A91366"/>
    <w:rsid w:val="00A92F91"/>
    <w:rsid w:val="00A93AA6"/>
    <w:rsid w:val="00AA4E48"/>
    <w:rsid w:val="00AA6202"/>
    <w:rsid w:val="00AA7B57"/>
    <w:rsid w:val="00AB2806"/>
    <w:rsid w:val="00AB2D54"/>
    <w:rsid w:val="00AC26FC"/>
    <w:rsid w:val="00AC4A99"/>
    <w:rsid w:val="00AC5129"/>
    <w:rsid w:val="00AC64D2"/>
    <w:rsid w:val="00AD02E7"/>
    <w:rsid w:val="00AE0FE8"/>
    <w:rsid w:val="00AF60D5"/>
    <w:rsid w:val="00B00959"/>
    <w:rsid w:val="00B04415"/>
    <w:rsid w:val="00B06509"/>
    <w:rsid w:val="00B11D60"/>
    <w:rsid w:val="00B1366E"/>
    <w:rsid w:val="00B13D65"/>
    <w:rsid w:val="00B21805"/>
    <w:rsid w:val="00B3072E"/>
    <w:rsid w:val="00B36E15"/>
    <w:rsid w:val="00B37245"/>
    <w:rsid w:val="00B4017A"/>
    <w:rsid w:val="00B4468D"/>
    <w:rsid w:val="00B71C72"/>
    <w:rsid w:val="00B71F04"/>
    <w:rsid w:val="00B74A62"/>
    <w:rsid w:val="00B811A4"/>
    <w:rsid w:val="00B81E92"/>
    <w:rsid w:val="00B908D7"/>
    <w:rsid w:val="00B935E8"/>
    <w:rsid w:val="00B93B30"/>
    <w:rsid w:val="00B94CB5"/>
    <w:rsid w:val="00BA0DD9"/>
    <w:rsid w:val="00BA5DBC"/>
    <w:rsid w:val="00BA6584"/>
    <w:rsid w:val="00BB6312"/>
    <w:rsid w:val="00BC39C2"/>
    <w:rsid w:val="00BC4D06"/>
    <w:rsid w:val="00BD05E1"/>
    <w:rsid w:val="00BD585E"/>
    <w:rsid w:val="00BD6919"/>
    <w:rsid w:val="00BE1EA7"/>
    <w:rsid w:val="00BE7489"/>
    <w:rsid w:val="00BF2E0D"/>
    <w:rsid w:val="00BF3927"/>
    <w:rsid w:val="00BF3F8B"/>
    <w:rsid w:val="00BF76DA"/>
    <w:rsid w:val="00C00CDB"/>
    <w:rsid w:val="00C07C7B"/>
    <w:rsid w:val="00C16245"/>
    <w:rsid w:val="00C22DC5"/>
    <w:rsid w:val="00C24479"/>
    <w:rsid w:val="00C273F2"/>
    <w:rsid w:val="00C32D13"/>
    <w:rsid w:val="00C37B53"/>
    <w:rsid w:val="00C434EB"/>
    <w:rsid w:val="00C517D2"/>
    <w:rsid w:val="00C5772E"/>
    <w:rsid w:val="00C62B36"/>
    <w:rsid w:val="00C7012C"/>
    <w:rsid w:val="00C712EA"/>
    <w:rsid w:val="00C9728E"/>
    <w:rsid w:val="00CA217D"/>
    <w:rsid w:val="00CA3131"/>
    <w:rsid w:val="00CA462C"/>
    <w:rsid w:val="00CC09D4"/>
    <w:rsid w:val="00CC249D"/>
    <w:rsid w:val="00CC4F5F"/>
    <w:rsid w:val="00CC668D"/>
    <w:rsid w:val="00CC7832"/>
    <w:rsid w:val="00CD488E"/>
    <w:rsid w:val="00CD7D15"/>
    <w:rsid w:val="00CE4B0B"/>
    <w:rsid w:val="00CF0C1C"/>
    <w:rsid w:val="00CF27FD"/>
    <w:rsid w:val="00CF5F12"/>
    <w:rsid w:val="00D00D8F"/>
    <w:rsid w:val="00D12869"/>
    <w:rsid w:val="00D14512"/>
    <w:rsid w:val="00D15ED6"/>
    <w:rsid w:val="00D21F3A"/>
    <w:rsid w:val="00D23808"/>
    <w:rsid w:val="00D3016A"/>
    <w:rsid w:val="00D417D2"/>
    <w:rsid w:val="00D42960"/>
    <w:rsid w:val="00D43BD7"/>
    <w:rsid w:val="00D4485B"/>
    <w:rsid w:val="00D458B7"/>
    <w:rsid w:val="00D46CCD"/>
    <w:rsid w:val="00D4708D"/>
    <w:rsid w:val="00D4744C"/>
    <w:rsid w:val="00D51046"/>
    <w:rsid w:val="00D521DE"/>
    <w:rsid w:val="00D5470B"/>
    <w:rsid w:val="00D63068"/>
    <w:rsid w:val="00D6498C"/>
    <w:rsid w:val="00D67BAF"/>
    <w:rsid w:val="00D76A70"/>
    <w:rsid w:val="00D80989"/>
    <w:rsid w:val="00D83182"/>
    <w:rsid w:val="00D8521E"/>
    <w:rsid w:val="00D9291C"/>
    <w:rsid w:val="00D93A97"/>
    <w:rsid w:val="00DA5602"/>
    <w:rsid w:val="00DB1F64"/>
    <w:rsid w:val="00DC261A"/>
    <w:rsid w:val="00DC2F53"/>
    <w:rsid w:val="00DC5BAC"/>
    <w:rsid w:val="00DC6816"/>
    <w:rsid w:val="00DC76C2"/>
    <w:rsid w:val="00DD1CF2"/>
    <w:rsid w:val="00DE4484"/>
    <w:rsid w:val="00DF41B7"/>
    <w:rsid w:val="00DF4A4A"/>
    <w:rsid w:val="00DF583C"/>
    <w:rsid w:val="00E03C3F"/>
    <w:rsid w:val="00E06FD7"/>
    <w:rsid w:val="00E07417"/>
    <w:rsid w:val="00E2204E"/>
    <w:rsid w:val="00E24D45"/>
    <w:rsid w:val="00E33DB8"/>
    <w:rsid w:val="00E33EFF"/>
    <w:rsid w:val="00E34387"/>
    <w:rsid w:val="00E348BA"/>
    <w:rsid w:val="00E369FE"/>
    <w:rsid w:val="00E37C6F"/>
    <w:rsid w:val="00E475F8"/>
    <w:rsid w:val="00E5102E"/>
    <w:rsid w:val="00E5721C"/>
    <w:rsid w:val="00E619C6"/>
    <w:rsid w:val="00E70CED"/>
    <w:rsid w:val="00E745A1"/>
    <w:rsid w:val="00E76118"/>
    <w:rsid w:val="00E81529"/>
    <w:rsid w:val="00E83A13"/>
    <w:rsid w:val="00EB1151"/>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477"/>
    <w:rsid w:val="00F14B5D"/>
    <w:rsid w:val="00F259FC"/>
    <w:rsid w:val="00F313F4"/>
    <w:rsid w:val="00F36972"/>
    <w:rsid w:val="00F42426"/>
    <w:rsid w:val="00F44F01"/>
    <w:rsid w:val="00F456BC"/>
    <w:rsid w:val="00F50666"/>
    <w:rsid w:val="00F70731"/>
    <w:rsid w:val="00F70C9E"/>
    <w:rsid w:val="00F74A74"/>
    <w:rsid w:val="00F7572C"/>
    <w:rsid w:val="00F8382C"/>
    <w:rsid w:val="00F855D7"/>
    <w:rsid w:val="00F86ED6"/>
    <w:rsid w:val="00F8769F"/>
    <w:rsid w:val="00F92035"/>
    <w:rsid w:val="00F92748"/>
    <w:rsid w:val="00FA4169"/>
    <w:rsid w:val="00FB0D41"/>
    <w:rsid w:val="00FB2030"/>
    <w:rsid w:val="00FD0E46"/>
    <w:rsid w:val="00FD1060"/>
    <w:rsid w:val="00FD1CF2"/>
    <w:rsid w:val="00FD3EDF"/>
    <w:rsid w:val="00FD793C"/>
    <w:rsid w:val="00FE0FD5"/>
    <w:rsid w:val="00FE20E6"/>
    <w:rsid w:val="00FE3E3B"/>
    <w:rsid w:val="00FE5878"/>
    <w:rsid w:val="00FF4032"/>
    <w:rsid w:val="00FF4A2E"/>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Summary Bullets,Bullet 1,Bullet1,Bullet List,Section 5,List Paragraph CCT minutes,Normal: Bullets,Table Legend,List Table,Bullets Points,BulletPoints,hyperlink,Listenabsatz,Numbered Sub-Section,BulletList 1,Bulletlist1,BulletList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Summary Bullets Diagrama,Bullet 1 Diagrama,Bullet1 Diagrama,Bullet List Diagrama,Section 5 Diagrama,List Paragraph CCT minutes Diagrama,Normal: Bullets Diagrama,Table Legend Diagrama,List Table Diagrama,Bullets Points Diagrama"/>
    <w:basedOn w:val="Numatytasispastraiposriftas"/>
    <w:link w:val="Sraopastraipa"/>
    <w:uiPriority w:val="34"/>
    <w:rsid w:val="00F86ED6"/>
    <w:rPr>
      <w:sz w:val="24"/>
      <w:szCs w:val="24"/>
      <w:lang w:eastAsia="en-US"/>
    </w:rPr>
  </w:style>
  <w:style w:type="character" w:customStyle="1" w:styleId="apple-converted-space">
    <w:name w:val="apple-converted-space"/>
    <w:basedOn w:val="Numatytasispastraiposriftas"/>
    <w:rsid w:val="00D458B7"/>
  </w:style>
  <w:style w:type="character" w:styleId="Grietas">
    <w:name w:val="Strong"/>
    <w:basedOn w:val="Numatytasispastraiposriftas"/>
    <w:uiPriority w:val="22"/>
    <w:qFormat/>
    <w:rsid w:val="00D458B7"/>
    <w:rPr>
      <w:b/>
      <w:bCs/>
    </w:rPr>
  </w:style>
  <w:style w:type="paragraph" w:styleId="prastasiniatinklio">
    <w:name w:val="Normal (Web)"/>
    <w:basedOn w:val="prastasis"/>
    <w:uiPriority w:val="99"/>
    <w:unhideWhenUsed/>
    <w:rsid w:val="00B1366E"/>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13300798">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03AA1B603F47D3BD40A45F2A0F7814"/>
        <w:category>
          <w:name w:val="Bendrosios nuostatos"/>
          <w:gallery w:val="placeholder"/>
        </w:category>
        <w:types>
          <w:type w:val="bbPlcHdr"/>
        </w:types>
        <w:behaviors>
          <w:behavior w:val="content"/>
        </w:behaviors>
        <w:guid w:val="{8C4F7D04-3290-49A2-A1A8-CE54E5D88A88}"/>
      </w:docPartPr>
      <w:docPartBody>
        <w:p w:rsidR="00A20D39" w:rsidRDefault="00C66578" w:rsidP="00C66578">
          <w:pPr>
            <w:pStyle w:val="9F03AA1B603F47D3BD40A45F2A0F7814"/>
          </w:pPr>
          <w:r>
            <w:rPr>
              <w:rStyle w:val="Vietosrezervavimoenklotekstas"/>
            </w:rPr>
            <w:t>Click here to enter a date.</w:t>
          </w:r>
        </w:p>
      </w:docPartBody>
    </w:docPart>
    <w:docPart>
      <w:docPartPr>
        <w:name w:val="93D7EBE30A7F432F9AB1114CDC0B27A0"/>
        <w:category>
          <w:name w:val="Bendrosios nuostatos"/>
          <w:gallery w:val="placeholder"/>
        </w:category>
        <w:types>
          <w:type w:val="bbPlcHdr"/>
        </w:types>
        <w:behaviors>
          <w:behavior w:val="content"/>
        </w:behaviors>
        <w:guid w:val="{17F62492-AACD-4837-966A-2DF1151E6A27}"/>
      </w:docPartPr>
      <w:docPartBody>
        <w:p w:rsidR="00A20D39" w:rsidRDefault="00C66578" w:rsidP="00C66578">
          <w:pPr>
            <w:pStyle w:val="93D7EBE30A7F432F9AB1114CDC0B27A0"/>
          </w:pPr>
          <w:r>
            <w:rPr>
              <w:rStyle w:val="Vietosrezervavimoenklotekstas"/>
            </w:rPr>
            <w:t>Click here to enter a date.</w:t>
          </w:r>
        </w:p>
      </w:docPartBody>
    </w:docPart>
    <w:docPart>
      <w:docPartPr>
        <w:name w:val="313EC56AA2FD440FAB92ED675BD36BA0"/>
        <w:category>
          <w:name w:val="Bendrosios nuostatos"/>
          <w:gallery w:val="placeholder"/>
        </w:category>
        <w:types>
          <w:type w:val="bbPlcHdr"/>
        </w:types>
        <w:behaviors>
          <w:behavior w:val="content"/>
        </w:behaviors>
        <w:guid w:val="{930DD3CB-97DE-4BCB-96BE-0677BB5CE856}"/>
      </w:docPartPr>
      <w:docPartBody>
        <w:p w:rsidR="00A20D39" w:rsidRDefault="00C66578" w:rsidP="00C66578">
          <w:pPr>
            <w:pStyle w:val="313EC56AA2FD440FAB92ED675BD36BA0"/>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47C19"/>
    <w:rsid w:val="00061157"/>
    <w:rsid w:val="000624FF"/>
    <w:rsid w:val="000937FE"/>
    <w:rsid w:val="000A50C9"/>
    <w:rsid w:val="000A559A"/>
    <w:rsid w:val="000D24D4"/>
    <w:rsid w:val="000D6217"/>
    <w:rsid w:val="0014006D"/>
    <w:rsid w:val="001B1FC6"/>
    <w:rsid w:val="001C35A9"/>
    <w:rsid w:val="001C4708"/>
    <w:rsid w:val="00237556"/>
    <w:rsid w:val="002C0686"/>
    <w:rsid w:val="0039303B"/>
    <w:rsid w:val="004138DE"/>
    <w:rsid w:val="004144A3"/>
    <w:rsid w:val="004160E7"/>
    <w:rsid w:val="004416C6"/>
    <w:rsid w:val="00456E96"/>
    <w:rsid w:val="004C6221"/>
    <w:rsid w:val="004D038D"/>
    <w:rsid w:val="004F4E20"/>
    <w:rsid w:val="004F5AB2"/>
    <w:rsid w:val="005074B9"/>
    <w:rsid w:val="00563A5F"/>
    <w:rsid w:val="00585FB9"/>
    <w:rsid w:val="00590DC8"/>
    <w:rsid w:val="005C62E5"/>
    <w:rsid w:val="005E40DD"/>
    <w:rsid w:val="00601F4E"/>
    <w:rsid w:val="006D7AD1"/>
    <w:rsid w:val="006E6A2C"/>
    <w:rsid w:val="00714FA8"/>
    <w:rsid w:val="007219C1"/>
    <w:rsid w:val="00721AEA"/>
    <w:rsid w:val="00740371"/>
    <w:rsid w:val="00745C63"/>
    <w:rsid w:val="00753462"/>
    <w:rsid w:val="00772325"/>
    <w:rsid w:val="007A2FE0"/>
    <w:rsid w:val="007C6D1D"/>
    <w:rsid w:val="007D654E"/>
    <w:rsid w:val="00853487"/>
    <w:rsid w:val="00892FF4"/>
    <w:rsid w:val="008C0DC0"/>
    <w:rsid w:val="0090074D"/>
    <w:rsid w:val="009019EA"/>
    <w:rsid w:val="00901A35"/>
    <w:rsid w:val="0097125B"/>
    <w:rsid w:val="009B3BF0"/>
    <w:rsid w:val="009D5E5E"/>
    <w:rsid w:val="009E1F64"/>
    <w:rsid w:val="009F1BB4"/>
    <w:rsid w:val="00A20D39"/>
    <w:rsid w:val="00A254A2"/>
    <w:rsid w:val="00AB2D54"/>
    <w:rsid w:val="00AB6ED4"/>
    <w:rsid w:val="00B14210"/>
    <w:rsid w:val="00B22ED6"/>
    <w:rsid w:val="00B23DC0"/>
    <w:rsid w:val="00B71F04"/>
    <w:rsid w:val="00B96656"/>
    <w:rsid w:val="00B9789F"/>
    <w:rsid w:val="00BA0A8E"/>
    <w:rsid w:val="00BE3364"/>
    <w:rsid w:val="00BE79D1"/>
    <w:rsid w:val="00C2401D"/>
    <w:rsid w:val="00C250D7"/>
    <w:rsid w:val="00C53A68"/>
    <w:rsid w:val="00C66578"/>
    <w:rsid w:val="00CA5BB4"/>
    <w:rsid w:val="00CB4BD1"/>
    <w:rsid w:val="00CD139C"/>
    <w:rsid w:val="00CD7D15"/>
    <w:rsid w:val="00CE2DA9"/>
    <w:rsid w:val="00CE44BE"/>
    <w:rsid w:val="00D008F3"/>
    <w:rsid w:val="00D0142D"/>
    <w:rsid w:val="00D04DFF"/>
    <w:rsid w:val="00D15ED6"/>
    <w:rsid w:val="00D20347"/>
    <w:rsid w:val="00D4356B"/>
    <w:rsid w:val="00D7162F"/>
    <w:rsid w:val="00DA599C"/>
    <w:rsid w:val="00DB4DB5"/>
    <w:rsid w:val="00DE4D10"/>
    <w:rsid w:val="00E44A86"/>
    <w:rsid w:val="00E522EB"/>
    <w:rsid w:val="00E60827"/>
    <w:rsid w:val="00EF6E0C"/>
    <w:rsid w:val="00F14477"/>
    <w:rsid w:val="00F370E5"/>
    <w:rsid w:val="00F55028"/>
    <w:rsid w:val="00F677F0"/>
    <w:rsid w:val="00F77BEF"/>
    <w:rsid w:val="00FC755C"/>
    <w:rsid w:val="00FE0D46"/>
    <w:rsid w:val="00FE7F92"/>
    <w:rsid w:val="00FF0A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901A35"/>
    <w:rPr>
      <w:color w:val="808080"/>
    </w:rPr>
  </w:style>
  <w:style w:type="paragraph" w:customStyle="1" w:styleId="9F03AA1B603F47D3BD40A45F2A0F7814">
    <w:name w:val="9F03AA1B603F47D3BD40A45F2A0F7814"/>
    <w:rsid w:val="00C66578"/>
    <w:pPr>
      <w:spacing w:line="278" w:lineRule="auto"/>
    </w:pPr>
    <w:rPr>
      <w:kern w:val="2"/>
      <w:sz w:val="24"/>
      <w:szCs w:val="24"/>
      <w14:ligatures w14:val="standardContextual"/>
    </w:rPr>
  </w:style>
  <w:style w:type="paragraph" w:customStyle="1" w:styleId="93D7EBE30A7F432F9AB1114CDC0B27A0">
    <w:name w:val="93D7EBE30A7F432F9AB1114CDC0B27A0"/>
    <w:rsid w:val="00C66578"/>
    <w:pPr>
      <w:spacing w:line="278" w:lineRule="auto"/>
    </w:pPr>
    <w:rPr>
      <w:kern w:val="2"/>
      <w:sz w:val="24"/>
      <w:szCs w:val="24"/>
      <w14:ligatures w14:val="standardContextual"/>
    </w:rPr>
  </w:style>
  <w:style w:type="paragraph" w:customStyle="1" w:styleId="313EC56AA2FD440FAB92ED675BD36BA0">
    <w:name w:val="313EC56AA2FD440FAB92ED675BD36BA0"/>
    <w:rsid w:val="00C6657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10684</Words>
  <Characters>6090</Characters>
  <Application>Microsoft Office Word</Application>
  <DocSecurity>0</DocSecurity>
  <Lines>50</Lines>
  <Paragraphs>33</Paragraphs>
  <ScaleCrop>false</ScaleCrop>
  <Company/>
  <LinksUpToDate>false</LinksUpToDate>
  <CharactersWithSpaces>16741</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2026-04-17T05:45:00Z</dcterms:created>
  <dcterms:modified xsi:type="dcterms:W3CDTF">2026-04-23T07:30:00Z</dcterms:modified>
</cp:coreProperties>
</file>