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2568AD57" w14:textId="6C2FB7D2" w:rsidR="0021231B" w:rsidRPr="007F22FD" w:rsidRDefault="0021231B" w:rsidP="0021231B">
      <w:pPr>
        <w:jc w:val="center"/>
        <w:rPr>
          <w:b/>
        </w:rPr>
      </w:pPr>
      <w:r>
        <w:rPr>
          <w:b/>
        </w:rPr>
        <w:t>Mounjaro</w:t>
      </w:r>
      <w:r w:rsidRPr="0073329D">
        <w:rPr>
          <w:b/>
        </w:rPr>
        <w:t xml:space="preserve"> </w:t>
      </w:r>
      <w:r>
        <w:rPr>
          <w:b/>
        </w:rPr>
        <w:t>2,5 mg</w:t>
      </w:r>
      <w:r w:rsidRPr="0073329D">
        <w:rPr>
          <w:b/>
        </w:rPr>
        <w:t xml:space="preserve"> </w:t>
      </w:r>
      <w:r>
        <w:rPr>
          <w:b/>
        </w:rPr>
        <w:t>injekcinis tirpalas užpildytame švirkštiklyje</w:t>
      </w:r>
    </w:p>
    <w:p w14:paraId="62DCEDD4" w14:textId="252DE179" w:rsidR="00DF1A58" w:rsidRPr="007F22FD" w:rsidRDefault="00DF1A58" w:rsidP="00DF1A58">
      <w:pPr>
        <w:jc w:val="center"/>
        <w:rPr>
          <w:b/>
        </w:rPr>
      </w:pPr>
      <w:r>
        <w:rPr>
          <w:b/>
        </w:rPr>
        <w:t>Mounjaro 5 mg injekcinis tirpalas užpildytame švirkštiklyje</w:t>
      </w:r>
    </w:p>
    <w:p w14:paraId="509CBE4C" w14:textId="7DABDD76" w:rsidR="00DF1A58" w:rsidRPr="007F22FD" w:rsidRDefault="00DF1A58" w:rsidP="00DF1A58">
      <w:pPr>
        <w:jc w:val="center"/>
        <w:rPr>
          <w:b/>
        </w:rPr>
      </w:pPr>
      <w:r>
        <w:rPr>
          <w:b/>
        </w:rPr>
        <w:t>Mounjaro</w:t>
      </w:r>
      <w:r w:rsidRPr="0073329D">
        <w:rPr>
          <w:b/>
        </w:rPr>
        <w:t xml:space="preserve"> </w:t>
      </w:r>
      <w:r>
        <w:rPr>
          <w:b/>
        </w:rPr>
        <w:t>7,5 mg</w:t>
      </w:r>
      <w:r w:rsidRPr="0073329D">
        <w:rPr>
          <w:b/>
        </w:rPr>
        <w:t xml:space="preserve"> </w:t>
      </w:r>
      <w:r>
        <w:rPr>
          <w:b/>
        </w:rPr>
        <w:t>injekcinis tirpalas užpildytame švirkštiklyje</w:t>
      </w:r>
    </w:p>
    <w:p w14:paraId="283D531C" w14:textId="17182B60" w:rsidR="00DF1A58" w:rsidRPr="007F22FD" w:rsidRDefault="00DF1A58" w:rsidP="00DF1A58">
      <w:pPr>
        <w:jc w:val="center"/>
        <w:rPr>
          <w:b/>
        </w:rPr>
      </w:pPr>
      <w:r>
        <w:rPr>
          <w:b/>
        </w:rPr>
        <w:t>Mounjaro</w:t>
      </w:r>
      <w:r w:rsidRPr="0073329D">
        <w:rPr>
          <w:b/>
        </w:rPr>
        <w:t xml:space="preserve"> </w:t>
      </w:r>
      <w:r>
        <w:rPr>
          <w:b/>
        </w:rPr>
        <w:t>10 mg,</w:t>
      </w:r>
      <w:r w:rsidRPr="0073329D">
        <w:rPr>
          <w:b/>
        </w:rPr>
        <w:t xml:space="preserve"> </w:t>
      </w:r>
      <w:r>
        <w:rPr>
          <w:b/>
        </w:rPr>
        <w:t>injekcinis tirpalas užpildytame švirkštiklyje</w:t>
      </w:r>
    </w:p>
    <w:p w14:paraId="53AA296B" w14:textId="5E429B35" w:rsidR="00DF1A58" w:rsidRPr="007F22FD" w:rsidRDefault="00DF1A58" w:rsidP="00DF1A58">
      <w:pPr>
        <w:jc w:val="center"/>
        <w:rPr>
          <w:b/>
        </w:rPr>
      </w:pPr>
      <w:r>
        <w:rPr>
          <w:b/>
        </w:rPr>
        <w:t>Mounjaro</w:t>
      </w:r>
      <w:r w:rsidRPr="0073329D">
        <w:rPr>
          <w:b/>
        </w:rPr>
        <w:t xml:space="preserve"> </w:t>
      </w:r>
      <w:r>
        <w:rPr>
          <w:b/>
        </w:rPr>
        <w:t>12,5 mg</w:t>
      </w:r>
      <w:r w:rsidRPr="0073329D">
        <w:rPr>
          <w:b/>
        </w:rPr>
        <w:t xml:space="preserve"> </w:t>
      </w:r>
      <w:r>
        <w:rPr>
          <w:b/>
        </w:rPr>
        <w:t>injekcinis tirpalas užpildytame švirkštiklyje</w:t>
      </w:r>
    </w:p>
    <w:p w14:paraId="4203DC51" w14:textId="3C492E2D" w:rsidR="00DF1A58" w:rsidRPr="007F22FD" w:rsidRDefault="00DF1A58" w:rsidP="00DF1A58">
      <w:pPr>
        <w:jc w:val="center"/>
        <w:rPr>
          <w:b/>
        </w:rPr>
      </w:pPr>
      <w:r>
        <w:rPr>
          <w:b/>
        </w:rPr>
        <w:t>Mounjaro</w:t>
      </w:r>
      <w:r w:rsidRPr="0073329D">
        <w:rPr>
          <w:b/>
        </w:rPr>
        <w:t xml:space="preserve"> </w:t>
      </w:r>
      <w:r>
        <w:rPr>
          <w:b/>
        </w:rPr>
        <w:t>15 mg</w:t>
      </w:r>
      <w:r w:rsidRPr="0073329D">
        <w:rPr>
          <w:b/>
        </w:rPr>
        <w:t xml:space="preserve"> </w:t>
      </w:r>
      <w:r>
        <w:rPr>
          <w:b/>
        </w:rPr>
        <w:t>injekcinis tirpalas užpildytame švirkštiklyje</w:t>
      </w:r>
    </w:p>
    <w:p w14:paraId="3CB4102A" w14:textId="77777777" w:rsidR="00DF1A58" w:rsidRPr="009300B3" w:rsidRDefault="00DF1A58" w:rsidP="0021231B">
      <w:pPr>
        <w:jc w:val="center"/>
      </w:pPr>
    </w:p>
    <w:p w14:paraId="04E0F5EF" w14:textId="77777777" w:rsidR="0021231B" w:rsidRPr="009300B3" w:rsidRDefault="0021231B" w:rsidP="0021231B">
      <w:pPr>
        <w:jc w:val="center"/>
      </w:pPr>
      <w:r>
        <w:rPr>
          <w:b/>
        </w:rPr>
        <w:t>Tirzepatidas</w:t>
      </w:r>
    </w:p>
    <w:p w14:paraId="454792C9" w14:textId="77777777" w:rsidR="0021231B" w:rsidRPr="009300B3" w:rsidRDefault="0021231B" w:rsidP="0021231B">
      <w:pPr>
        <w:jc w:val="center"/>
      </w:pPr>
    </w:p>
    <w:p w14:paraId="65D7155D" w14:textId="77777777" w:rsidR="0021231B" w:rsidRPr="009300B3" w:rsidRDefault="0021231B" w:rsidP="0021231B">
      <w:pPr>
        <w:jc w:val="center"/>
        <w:rPr>
          <w:b/>
        </w:rPr>
      </w:pPr>
      <w:r>
        <w:rPr>
          <w:b/>
        </w:rPr>
        <w:t>STV-248</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21231B" w:rsidRPr="00977D72" w14:paraId="16A7BC7B" w14:textId="77777777" w:rsidTr="003F3FFF">
        <w:trPr>
          <w:trHeight w:val="538"/>
        </w:trPr>
        <w:tc>
          <w:tcPr>
            <w:tcW w:w="632" w:type="dxa"/>
          </w:tcPr>
          <w:p w14:paraId="4572808D" w14:textId="77777777" w:rsidR="0021231B" w:rsidRPr="00977D72" w:rsidRDefault="0021231B" w:rsidP="0021231B">
            <w:pPr>
              <w:rPr>
                <w:rFonts w:eastAsia="Arial"/>
                <w:b/>
                <w:bCs/>
              </w:rPr>
            </w:pPr>
            <w:r w:rsidRPr="00977D72">
              <w:rPr>
                <w:rFonts w:eastAsia="Arial"/>
                <w:b/>
                <w:bCs/>
              </w:rPr>
              <w:t>1.1</w:t>
            </w:r>
          </w:p>
        </w:tc>
        <w:tc>
          <w:tcPr>
            <w:tcW w:w="3899" w:type="dxa"/>
          </w:tcPr>
          <w:p w14:paraId="54BA6EB3" w14:textId="77777777" w:rsidR="0021231B" w:rsidRPr="00977D72" w:rsidRDefault="0021231B" w:rsidP="0021231B">
            <w:pPr>
              <w:rPr>
                <w:rFonts w:eastAsia="Arial"/>
                <w:b/>
                <w:bCs/>
              </w:rPr>
            </w:pPr>
            <w:r w:rsidRPr="00977D72">
              <w:rPr>
                <w:rFonts w:eastAsia="Arial"/>
                <w:b/>
                <w:bCs/>
              </w:rPr>
              <w:t>Pareiškėjas</w:t>
            </w:r>
            <w:r>
              <w:rPr>
                <w:rFonts w:eastAsia="Arial"/>
                <w:b/>
                <w:bCs/>
              </w:rPr>
              <w:t>/ pareiškėjo atstovas</w:t>
            </w:r>
          </w:p>
        </w:tc>
        <w:tc>
          <w:tcPr>
            <w:tcW w:w="4962" w:type="dxa"/>
          </w:tcPr>
          <w:p w14:paraId="0F359BD4" w14:textId="612C7113" w:rsidR="0021231B" w:rsidRPr="00977D72" w:rsidRDefault="0021231B" w:rsidP="0021231B">
            <w:pPr>
              <w:rPr>
                <w:rFonts w:eastAsia="Arial"/>
              </w:rPr>
            </w:pPr>
            <w:r w:rsidRPr="00C77921">
              <w:t>UAB Eli Lilly Lietuva</w:t>
            </w:r>
          </w:p>
        </w:tc>
      </w:tr>
      <w:tr w:rsidR="0021231B" w:rsidRPr="00977D72" w14:paraId="101EA148" w14:textId="77777777" w:rsidTr="003F3FFF">
        <w:trPr>
          <w:trHeight w:val="538"/>
        </w:trPr>
        <w:tc>
          <w:tcPr>
            <w:tcW w:w="632" w:type="dxa"/>
          </w:tcPr>
          <w:p w14:paraId="3BF67175" w14:textId="77777777" w:rsidR="0021231B" w:rsidRPr="00977D72" w:rsidRDefault="0021231B" w:rsidP="0021231B">
            <w:pPr>
              <w:rPr>
                <w:rFonts w:eastAsia="Arial"/>
                <w:b/>
                <w:bCs/>
              </w:rPr>
            </w:pPr>
            <w:r w:rsidRPr="00977D72">
              <w:rPr>
                <w:rFonts w:eastAsia="Arial"/>
                <w:b/>
                <w:bCs/>
              </w:rPr>
              <w:t>1.2</w:t>
            </w:r>
          </w:p>
        </w:tc>
        <w:tc>
          <w:tcPr>
            <w:tcW w:w="3899" w:type="dxa"/>
          </w:tcPr>
          <w:p w14:paraId="786B66DF" w14:textId="77777777" w:rsidR="0021231B" w:rsidRPr="00977D72" w:rsidRDefault="0021231B" w:rsidP="0021231B">
            <w:pPr>
              <w:rPr>
                <w:b/>
                <w:bCs/>
                <w:lang w:eastAsia="lt-LT"/>
              </w:rPr>
            </w:pPr>
            <w:r w:rsidRPr="00977D72">
              <w:rPr>
                <w:b/>
                <w:bCs/>
                <w:lang w:eastAsia="lt-LT"/>
              </w:rPr>
              <w:t xml:space="preserve">Vaistinio preparato registracijos data </w:t>
            </w:r>
          </w:p>
          <w:p w14:paraId="4B568341" w14:textId="77777777" w:rsidR="0021231B" w:rsidRPr="00977D72" w:rsidRDefault="0021231B" w:rsidP="0021231B">
            <w:pPr>
              <w:rPr>
                <w:b/>
                <w:bCs/>
                <w:lang w:eastAsia="lt-LT"/>
              </w:rPr>
            </w:pPr>
          </w:p>
        </w:tc>
        <w:tc>
          <w:tcPr>
            <w:tcW w:w="4962" w:type="dxa"/>
          </w:tcPr>
          <w:p w14:paraId="50F63366" w14:textId="222CEDAA" w:rsidR="0021231B" w:rsidRPr="00977D72" w:rsidRDefault="0021231B" w:rsidP="0021231B">
            <w:pPr>
              <w:rPr>
                <w:rStyle w:val="Style2"/>
              </w:rPr>
            </w:pPr>
            <w:r w:rsidRPr="00C77921">
              <w:t>20</w:t>
            </w:r>
            <w:r>
              <w:t xml:space="preserve">22 </w:t>
            </w:r>
            <w:r w:rsidR="002D5902">
              <w:t xml:space="preserve">m. </w:t>
            </w:r>
            <w:r>
              <w:t>rugsėjo 1</w:t>
            </w:r>
            <w:r w:rsidRPr="00C77921">
              <w:t>5</w:t>
            </w:r>
            <w:r>
              <w:t xml:space="preserve"> d.</w:t>
            </w:r>
          </w:p>
        </w:tc>
      </w:tr>
      <w:tr w:rsidR="00E70CED" w:rsidRPr="00977D72" w14:paraId="3D70E0FA" w14:textId="77777777" w:rsidTr="001F115E">
        <w:trPr>
          <w:trHeight w:val="1643"/>
        </w:trPr>
        <w:tc>
          <w:tcPr>
            <w:tcW w:w="632" w:type="dxa"/>
          </w:tcPr>
          <w:p w14:paraId="021DF6BD" w14:textId="77777777" w:rsidR="00E70CED" w:rsidRPr="00977D72" w:rsidRDefault="00E70CED" w:rsidP="001F115E">
            <w:pPr>
              <w:rPr>
                <w:rFonts w:eastAsia="Arial"/>
                <w:b/>
                <w:bCs/>
              </w:rPr>
            </w:pPr>
            <w:r w:rsidRPr="00977D72">
              <w:rPr>
                <w:rFonts w:eastAsia="Arial"/>
                <w:b/>
                <w:bCs/>
              </w:rPr>
              <w:t>1.3</w:t>
            </w:r>
          </w:p>
        </w:tc>
        <w:tc>
          <w:tcPr>
            <w:tcW w:w="3899" w:type="dxa"/>
          </w:tcPr>
          <w:p w14:paraId="528F713F" w14:textId="77777777" w:rsidR="00E70CED" w:rsidRPr="00977D72" w:rsidRDefault="00E70CED" w:rsidP="001F115E">
            <w:pPr>
              <w:pStyle w:val="Betarp"/>
              <w:rPr>
                <w:rFonts w:ascii="Times New Roman" w:hAnsi="Times New Roman"/>
                <w:b/>
                <w:sz w:val="24"/>
                <w:szCs w:val="24"/>
                <w:shd w:val="clear" w:color="auto" w:fill="FFFFFF"/>
              </w:rPr>
            </w:pPr>
            <w:r w:rsidRPr="00977D72">
              <w:rPr>
                <w:rFonts w:ascii="Times New Roman" w:hAnsi="Times New Roman"/>
                <w:b/>
                <w:sz w:val="24"/>
                <w:szCs w:val="24"/>
              </w:rPr>
              <w:t xml:space="preserve">Vaistinio preparato </w:t>
            </w:r>
            <w:r w:rsidRPr="00977D72">
              <w:rPr>
                <w:rFonts w:ascii="Times New Roman" w:hAnsi="Times New Roman"/>
                <w:b/>
                <w:sz w:val="24"/>
                <w:szCs w:val="24"/>
                <w:shd w:val="clear" w:color="auto" w:fill="FFFFFF"/>
              </w:rPr>
              <w:t>registracijos teisinis pagrindas</w:t>
            </w:r>
          </w:p>
          <w:p w14:paraId="63F86DC1" w14:textId="77777777" w:rsidR="00E70CED" w:rsidRPr="00977D72" w:rsidRDefault="00E70CED" w:rsidP="001F115E">
            <w:pPr>
              <w:pStyle w:val="Betarp"/>
              <w:rPr>
                <w:rFonts w:ascii="Times New Roman" w:hAnsi="Times New Roman"/>
                <w:b/>
                <w:bCs/>
                <w:sz w:val="24"/>
                <w:szCs w:val="24"/>
                <w:lang w:eastAsia="lt-LT"/>
              </w:rPr>
            </w:pPr>
            <w:r w:rsidRPr="00977D72">
              <w:rPr>
                <w:rFonts w:ascii="Times New Roman" w:hAnsi="Times New Roman"/>
                <w:b/>
                <w:sz w:val="24"/>
                <w:szCs w:val="24"/>
                <w:shd w:val="clear" w:color="auto" w:fill="FFFFFF"/>
              </w:rPr>
              <w:t>(</w:t>
            </w:r>
            <w:r w:rsidRPr="00977D72">
              <w:rPr>
                <w:rFonts w:ascii="Times New Roman" w:hAnsi="Times New Roman"/>
                <w:b/>
                <w:sz w:val="24"/>
                <w:szCs w:val="24"/>
              </w:rPr>
              <w:t>Direktyvos 2001/83/EB str.)</w:t>
            </w:r>
          </w:p>
        </w:tc>
        <w:tc>
          <w:tcPr>
            <w:tcW w:w="4962" w:type="dxa"/>
          </w:tcPr>
          <w:p w14:paraId="4C977D39" w14:textId="6E473F22" w:rsidR="00E70CED" w:rsidRPr="001A0CAA"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21231B">
                  <w:rPr>
                    <w:rStyle w:val="Style2"/>
                    <w:rFonts w:ascii="MS Gothic" w:eastAsia="MS Gothic" w:hAnsi="MS Gothic" w:hint="eastAsia"/>
                    <w:sz w:val="24"/>
                  </w:rPr>
                  <w:t>☒</w:t>
                </w:r>
              </w:sdtContent>
            </w:sdt>
            <w:r w:rsidR="00E70CED" w:rsidRPr="001A0CAA">
              <w:t>8.3 str. (pilna byla, pagrįsta savais tyrimais)</w:t>
            </w:r>
          </w:p>
          <w:p w14:paraId="6AABD410" w14:textId="77777777" w:rsidR="00E70CED" w:rsidRPr="001A0CAA"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 a str. (pripažintas medicininis vartojimas)</w:t>
            </w:r>
          </w:p>
          <w:p w14:paraId="5CF35A47" w14:textId="77777777" w:rsidR="00E70CED" w:rsidRPr="001A0CAA"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10.1 str. (generinis)</w:t>
            </w:r>
          </w:p>
          <w:p w14:paraId="0517A1B2" w14:textId="77777777" w:rsidR="00E70CED" w:rsidRPr="00656846"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10.3 str. (hibridinis)</w:t>
            </w:r>
          </w:p>
          <w:p w14:paraId="0F37DDE0" w14:textId="78AF6516" w:rsidR="00063A50" w:rsidRPr="001A0CAA"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1A0CAA">
                  <w:rPr>
                    <w:rStyle w:val="Style2"/>
                    <w:rFonts w:ascii="Segoe UI Symbol" w:eastAsia="MS Gothic" w:hAnsi="Segoe UI Symbol" w:cs="Segoe UI Symbol"/>
                    <w:sz w:val="24"/>
                  </w:rPr>
                  <w:t>☐</w:t>
                </w:r>
              </w:sdtContent>
            </w:sdt>
            <w:r w:rsidR="00063A50" w:rsidRPr="001A0CAA">
              <w:t>10.4 str. (panašus biologinis)</w:t>
            </w:r>
          </w:p>
          <w:p w14:paraId="7EDB4848" w14:textId="77777777" w:rsidR="00063A50" w:rsidRPr="001A0CAA" w:rsidRDefault="00063A50" w:rsidP="001F115E">
            <w:pPr>
              <w:rPr>
                <w:rStyle w:val="Style2"/>
                <w:sz w:val="24"/>
              </w:rPr>
            </w:pPr>
          </w:p>
        </w:tc>
      </w:tr>
      <w:tr w:rsidR="00E70CED" w:rsidRPr="00977D72" w14:paraId="31641941" w14:textId="77777777" w:rsidTr="003F3FFF">
        <w:trPr>
          <w:trHeight w:val="1011"/>
        </w:trPr>
        <w:tc>
          <w:tcPr>
            <w:tcW w:w="632" w:type="dxa"/>
          </w:tcPr>
          <w:p w14:paraId="2E73A32C" w14:textId="77777777" w:rsidR="00E70CED" w:rsidRPr="00977D72" w:rsidRDefault="00E70CED" w:rsidP="001F115E">
            <w:pPr>
              <w:rPr>
                <w:rFonts w:eastAsia="Arial"/>
                <w:b/>
                <w:bCs/>
              </w:rPr>
            </w:pPr>
            <w:r w:rsidRPr="00977D72">
              <w:rPr>
                <w:rFonts w:eastAsia="Arial"/>
                <w:b/>
              </w:rPr>
              <w:t>1.4</w:t>
            </w:r>
          </w:p>
        </w:tc>
        <w:tc>
          <w:tcPr>
            <w:tcW w:w="3899" w:type="dxa"/>
          </w:tcPr>
          <w:p w14:paraId="2547AC59" w14:textId="77777777" w:rsidR="00E70CED" w:rsidRPr="001A0CAA" w:rsidRDefault="00E70CED" w:rsidP="001F115E">
            <w:pPr>
              <w:tabs>
                <w:tab w:val="left" w:pos="284"/>
              </w:tabs>
              <w:rPr>
                <w:b/>
                <w:bCs/>
                <w:lang w:eastAsia="lt-LT"/>
              </w:rPr>
            </w:pPr>
            <w:r w:rsidRPr="001A0CAA">
              <w:rPr>
                <w:b/>
                <w:bCs/>
                <w:lang w:eastAsia="lt-LT"/>
              </w:rPr>
              <w:t>Ar vaistinis preparatas įrašytas į Bendrijos retųjų vaistinių preparatų registrą?</w:t>
            </w:r>
          </w:p>
        </w:tc>
        <w:tc>
          <w:tcPr>
            <w:tcW w:w="4962" w:type="dxa"/>
          </w:tcPr>
          <w:p w14:paraId="49AB923F" w14:textId="7E23966D" w:rsidR="00E70CED" w:rsidRPr="001A0CAA" w:rsidRDefault="00000000" w:rsidP="001F115E">
            <w:sdt>
              <w:sdtPr>
                <w:rPr>
                  <w:rStyle w:val="Style2"/>
                  <w:sz w:val="24"/>
                </w:rPr>
                <w:id w:val="1190730465"/>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 xml:space="preserve"> Taip       </w:t>
            </w:r>
            <w:r w:rsidR="00E70CED" w:rsidRPr="001A0CAA">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21231B">
                  <w:rPr>
                    <w:rStyle w:val="Style2"/>
                    <w:rFonts w:ascii="MS Gothic" w:eastAsia="MS Gothic" w:hAnsi="MS Gothic" w:hint="eastAsia"/>
                    <w:sz w:val="24"/>
                  </w:rPr>
                  <w:t>☒</w:t>
                </w:r>
              </w:sdtContent>
            </w:sdt>
            <w:r w:rsidR="00E70CED" w:rsidRPr="001A0CAA">
              <w:t xml:space="preserve"> Ne</w:t>
            </w:r>
          </w:p>
          <w:p w14:paraId="56165267" w14:textId="77777777" w:rsidR="00E70CED" w:rsidRPr="001A0CAA" w:rsidRDefault="00E70CED" w:rsidP="001F115E">
            <w:pPr>
              <w:rPr>
                <w:rFonts w:eastAsia="Arial"/>
              </w:rPr>
            </w:pPr>
            <w:r w:rsidRPr="001A0CAA">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Content>
                <w:r w:rsidRPr="001A0CAA">
                  <w:rPr>
                    <w:rStyle w:val="Vietosrezervavimoenklotekstas"/>
                  </w:rPr>
                  <w:t>Click here to enter a date.</w:t>
                </w:r>
              </w:sdtContent>
            </w:sdt>
            <w:r w:rsidRPr="001A0CAA">
              <w:t xml:space="preserve"> Nr.</w:t>
            </w:r>
          </w:p>
        </w:tc>
      </w:tr>
      <w:tr w:rsidR="00E70CED" w:rsidRPr="00977D72" w14:paraId="5E0775EB" w14:textId="77777777" w:rsidTr="003F3FFF">
        <w:trPr>
          <w:trHeight w:val="1011"/>
        </w:trPr>
        <w:tc>
          <w:tcPr>
            <w:tcW w:w="632" w:type="dxa"/>
          </w:tcPr>
          <w:p w14:paraId="6829924D" w14:textId="77777777" w:rsidR="00E70CED" w:rsidRPr="00977D72" w:rsidRDefault="00E70CED" w:rsidP="001F115E">
            <w:pPr>
              <w:rPr>
                <w:rFonts w:eastAsia="Arial"/>
                <w:b/>
              </w:rPr>
            </w:pPr>
            <w:r w:rsidRPr="00977D72">
              <w:rPr>
                <w:rFonts w:eastAsia="Arial"/>
                <w:b/>
                <w:bCs/>
              </w:rPr>
              <w:t>1.5</w:t>
            </w:r>
          </w:p>
        </w:tc>
        <w:tc>
          <w:tcPr>
            <w:tcW w:w="3899" w:type="dxa"/>
          </w:tcPr>
          <w:p w14:paraId="1DDE7CF3" w14:textId="2FF7A402" w:rsidR="00E70CED" w:rsidRPr="001A0CAA" w:rsidRDefault="00E70CED" w:rsidP="001F115E">
            <w:pPr>
              <w:tabs>
                <w:tab w:val="left" w:pos="284"/>
              </w:tabs>
              <w:rPr>
                <w:b/>
                <w:bCs/>
                <w:lang w:eastAsia="lt-LT"/>
              </w:rPr>
            </w:pPr>
            <w:r w:rsidRPr="001A0CAA">
              <w:rPr>
                <w:b/>
                <w:bCs/>
                <w:lang w:eastAsia="lt-LT"/>
              </w:rPr>
              <w:t>Ar atliktas bendras klinikinis vertinimas</w:t>
            </w:r>
          </w:p>
          <w:p w14:paraId="0961228D" w14:textId="77777777" w:rsidR="00E70CED" w:rsidRPr="001A0CAA" w:rsidRDefault="00E70CED" w:rsidP="001F115E">
            <w:pPr>
              <w:tabs>
                <w:tab w:val="left" w:pos="284"/>
              </w:tabs>
              <w:rPr>
                <w:b/>
                <w:bCs/>
                <w:lang w:eastAsia="lt-LT"/>
              </w:rPr>
            </w:pPr>
            <w:r w:rsidRPr="001A0CAA">
              <w:rPr>
                <w:b/>
                <w:bCs/>
                <w:lang w:eastAsia="lt-LT"/>
              </w:rPr>
              <w:t>(Europos Parlamento ir Tarybos reglamentas (ES) 2021/2282)</w:t>
            </w:r>
          </w:p>
          <w:p w14:paraId="7B6C3C1B" w14:textId="77777777" w:rsidR="00336238" w:rsidRPr="001A0CAA" w:rsidRDefault="00336238" w:rsidP="001F115E">
            <w:pPr>
              <w:tabs>
                <w:tab w:val="left" w:pos="284"/>
              </w:tabs>
              <w:rPr>
                <w:b/>
                <w:bCs/>
                <w:lang w:eastAsia="lt-LT"/>
              </w:rPr>
            </w:pPr>
          </w:p>
        </w:tc>
        <w:tc>
          <w:tcPr>
            <w:tcW w:w="4962" w:type="dxa"/>
          </w:tcPr>
          <w:p w14:paraId="024AE31B" w14:textId="0662D0C7" w:rsidR="00E70CED" w:rsidRPr="001A0CAA" w:rsidRDefault="00000000" w:rsidP="001F115E">
            <w:sdt>
              <w:sdtPr>
                <w:rPr>
                  <w:rStyle w:val="Style2"/>
                  <w:sz w:val="24"/>
                </w:rPr>
                <w:id w:val="-1171564470"/>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 xml:space="preserve"> Taip       </w:t>
            </w:r>
            <w:r w:rsidR="00E70CED" w:rsidRPr="001A0CAA">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21231B">
                  <w:rPr>
                    <w:rStyle w:val="Style2"/>
                    <w:rFonts w:ascii="MS Gothic" w:eastAsia="MS Gothic" w:hAnsi="MS Gothic" w:hint="eastAsia"/>
                    <w:sz w:val="24"/>
                  </w:rPr>
                  <w:t>☒</w:t>
                </w:r>
              </w:sdtContent>
            </w:sdt>
            <w:r w:rsidR="00E70CED" w:rsidRPr="001A0CAA">
              <w:t xml:space="preserve"> Ne</w:t>
            </w:r>
          </w:p>
          <w:p w14:paraId="0DF729B3" w14:textId="042856F7" w:rsidR="00E70CED" w:rsidRPr="001A0CAA" w:rsidRDefault="00E70CED" w:rsidP="001F115E">
            <w:pPr>
              <w:rPr>
                <w:rStyle w:val="Style2"/>
                <w:sz w:val="24"/>
              </w:rPr>
            </w:pPr>
            <w:r w:rsidRPr="001A0CAA">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1A0CAA">
                  <w:rPr>
                    <w:rStyle w:val="Vietosrezervavimoenklotekstas"/>
                  </w:rPr>
                  <w:t>Click here to enter a date.</w:t>
                </w:r>
              </w:sdtContent>
            </w:sdt>
            <w:r w:rsidRPr="001A0CAA">
              <w:t xml:space="preserve"> </w:t>
            </w:r>
          </w:p>
        </w:tc>
      </w:tr>
      <w:tr w:rsidR="00E70CED" w:rsidRPr="00977D72" w14:paraId="15E36E93" w14:textId="77777777" w:rsidTr="003F3FFF">
        <w:trPr>
          <w:trHeight w:val="1278"/>
        </w:trPr>
        <w:tc>
          <w:tcPr>
            <w:tcW w:w="632" w:type="dxa"/>
          </w:tcPr>
          <w:p w14:paraId="5F43AA8F" w14:textId="77777777" w:rsidR="00E70CED" w:rsidRPr="00977D72" w:rsidRDefault="00E70CED" w:rsidP="001F115E">
            <w:pPr>
              <w:rPr>
                <w:rFonts w:eastAsia="Arial"/>
                <w:b/>
                <w:bCs/>
              </w:rPr>
            </w:pPr>
            <w:r w:rsidRPr="00977D72">
              <w:rPr>
                <w:rFonts w:eastAsia="Arial"/>
                <w:b/>
                <w:bCs/>
              </w:rPr>
              <w:lastRenderedPageBreak/>
              <w:t>1.6</w:t>
            </w:r>
          </w:p>
        </w:tc>
        <w:tc>
          <w:tcPr>
            <w:tcW w:w="3899" w:type="dxa"/>
          </w:tcPr>
          <w:p w14:paraId="41F32942" w14:textId="77777777" w:rsidR="00E70CED" w:rsidRPr="00977D72" w:rsidRDefault="00E70CED" w:rsidP="001F115E">
            <w:pPr>
              <w:rPr>
                <w:b/>
                <w:bCs/>
                <w:lang w:eastAsia="lt-LT"/>
              </w:rPr>
            </w:pPr>
            <w:r w:rsidRPr="00977D72">
              <w:rPr>
                <w:b/>
                <w:bCs/>
                <w:lang w:eastAsia="lt-LT"/>
              </w:rPr>
              <w:t xml:space="preserve">Teikiama kompensuoti terapinė indikacija </w:t>
            </w:r>
          </w:p>
          <w:p w14:paraId="2882A5BD" w14:textId="77777777" w:rsidR="00E70CED" w:rsidRPr="00977D72" w:rsidRDefault="00E70CED" w:rsidP="001F115E">
            <w:pPr>
              <w:rPr>
                <w:b/>
                <w:bCs/>
                <w:lang w:eastAsia="lt-LT"/>
              </w:rPr>
            </w:pPr>
          </w:p>
          <w:p w14:paraId="371D188E" w14:textId="77777777" w:rsidR="00E70CED" w:rsidRPr="00977D72" w:rsidRDefault="00E70CED" w:rsidP="001F115E">
            <w:pPr>
              <w:rPr>
                <w:b/>
                <w:bCs/>
                <w:lang w:eastAsia="lt-LT"/>
              </w:rPr>
            </w:pPr>
            <w:r w:rsidRPr="00977D72">
              <w:rPr>
                <w:b/>
                <w:bCs/>
                <w:lang w:eastAsia="lt-LT"/>
              </w:rPr>
              <w:t>Kodas pagal TLK-10 AM</w:t>
            </w:r>
          </w:p>
        </w:tc>
        <w:tc>
          <w:tcPr>
            <w:tcW w:w="4962" w:type="dxa"/>
          </w:tcPr>
          <w:p w14:paraId="63BC648F" w14:textId="77777777" w:rsidR="0021231B" w:rsidRPr="00B14FB7" w:rsidRDefault="0021231B" w:rsidP="0021231B">
            <w:pPr>
              <w:jc w:val="both"/>
            </w:pPr>
            <w:r w:rsidRPr="00B14FB7">
              <w:t xml:space="preserve">Mounjaro skirtas suaugusiems 2 tipo cukriniu diabetu sergantiems pacientams gydyti kartu su dieta ir fiziniu krūviu: </w:t>
            </w:r>
          </w:p>
          <w:p w14:paraId="4D6A9F02" w14:textId="77777777" w:rsidR="0021231B" w:rsidRDefault="0021231B" w:rsidP="0021231B">
            <w:pPr>
              <w:jc w:val="both"/>
            </w:pPr>
            <w:r w:rsidRPr="00B14FB7">
              <w:t>• papildomai kartu su kitais diabetui gydyti skirtais vaistiniais preparatais.</w:t>
            </w:r>
          </w:p>
          <w:p w14:paraId="0E63007F" w14:textId="77777777" w:rsidR="0021231B" w:rsidRDefault="0021231B" w:rsidP="0021231B">
            <w:pPr>
              <w:jc w:val="both"/>
            </w:pPr>
          </w:p>
          <w:p w14:paraId="10833DB8" w14:textId="710A529D" w:rsidR="00E70CED" w:rsidRPr="00977D72" w:rsidRDefault="0021231B" w:rsidP="001F115E">
            <w:r>
              <w:t>TLK-10 AM kodas: E11.</w:t>
            </w:r>
          </w:p>
        </w:tc>
      </w:tr>
      <w:tr w:rsidR="00E70CED" w:rsidRPr="00977D72" w14:paraId="01C3C4F5" w14:textId="77777777" w:rsidTr="003F3FFF">
        <w:trPr>
          <w:trHeight w:val="378"/>
        </w:trPr>
        <w:tc>
          <w:tcPr>
            <w:tcW w:w="632" w:type="dxa"/>
          </w:tcPr>
          <w:p w14:paraId="5115AFC1" w14:textId="77777777" w:rsidR="00E70CED" w:rsidRPr="00977D72" w:rsidRDefault="00E70CED" w:rsidP="001F115E">
            <w:pPr>
              <w:rPr>
                <w:rFonts w:eastAsia="Arial"/>
                <w:b/>
                <w:bCs/>
              </w:rPr>
            </w:pPr>
            <w:r w:rsidRPr="00977D72">
              <w:rPr>
                <w:rFonts w:eastAsia="Arial"/>
                <w:b/>
                <w:bCs/>
              </w:rPr>
              <w:t>1.7</w:t>
            </w:r>
          </w:p>
        </w:tc>
        <w:tc>
          <w:tcPr>
            <w:tcW w:w="3899" w:type="dxa"/>
          </w:tcPr>
          <w:p w14:paraId="48045B5A" w14:textId="77777777" w:rsidR="00E70CED" w:rsidRPr="00977D72" w:rsidRDefault="00E70CED" w:rsidP="001F115E">
            <w:pPr>
              <w:rPr>
                <w:b/>
                <w:bCs/>
                <w:u w:val="single"/>
                <w:lang w:eastAsia="lt-LT"/>
              </w:rPr>
            </w:pPr>
            <w:r w:rsidRPr="00977D72">
              <w:rPr>
                <w:b/>
                <w:bCs/>
                <w:lang w:eastAsia="lt-LT"/>
              </w:rPr>
              <w:t xml:space="preserve">Teikiamos skyrimo sąlygos </w:t>
            </w:r>
          </w:p>
        </w:tc>
        <w:tc>
          <w:tcPr>
            <w:tcW w:w="4962" w:type="dxa"/>
          </w:tcPr>
          <w:p w14:paraId="6A31562C" w14:textId="084E33EA" w:rsidR="00E70CED" w:rsidRPr="00977D72" w:rsidRDefault="0021231B" w:rsidP="001F115E">
            <w:r w:rsidRPr="008C7C44">
              <w:t>Vaistas skiriamas pagal „Cukrinio diabeto ir tarpinės hiperglikemijos diagnostikos ir gydymo vaistais, kurių įsigijimo išlaidos apmokamos privalomojo sveikatos draudimo fondo biudžeto lėšomis, tvarkos aprašą“ tokiomis pačiomis sąlygomis kaip ir GLP-1 analogai.</w:t>
            </w:r>
          </w:p>
        </w:tc>
      </w:tr>
      <w:tr w:rsidR="00E70CED" w:rsidRPr="00977D72" w14:paraId="3C32C984" w14:textId="77777777" w:rsidTr="003F3FFF">
        <w:trPr>
          <w:trHeight w:val="378"/>
        </w:trPr>
        <w:tc>
          <w:tcPr>
            <w:tcW w:w="632" w:type="dxa"/>
          </w:tcPr>
          <w:p w14:paraId="4E679EDB" w14:textId="77777777" w:rsidR="00E70CED" w:rsidRPr="00977D72" w:rsidRDefault="00E70CED" w:rsidP="001F115E">
            <w:pPr>
              <w:rPr>
                <w:rFonts w:eastAsia="Arial"/>
                <w:b/>
                <w:bCs/>
              </w:rPr>
            </w:pPr>
            <w:r>
              <w:rPr>
                <w:rFonts w:eastAsia="Arial"/>
                <w:b/>
                <w:bCs/>
              </w:rPr>
              <w:t>1.8</w:t>
            </w:r>
          </w:p>
        </w:tc>
        <w:tc>
          <w:tcPr>
            <w:tcW w:w="3899" w:type="dxa"/>
          </w:tcPr>
          <w:p w14:paraId="784605B5" w14:textId="3A924C79" w:rsidR="00E70CED" w:rsidRPr="00977D72" w:rsidRDefault="00E70CED" w:rsidP="001F115E">
            <w:pPr>
              <w:rPr>
                <w:b/>
                <w:bCs/>
                <w:lang w:eastAsia="lt-LT"/>
              </w:rPr>
            </w:pPr>
            <w:r w:rsidRPr="00977D72">
              <w:rPr>
                <w:b/>
                <w:bCs/>
                <w:lang w:eastAsia="lt-LT"/>
              </w:rPr>
              <w:t>Ekonominė analizė</w:t>
            </w:r>
          </w:p>
        </w:tc>
        <w:tc>
          <w:tcPr>
            <w:tcW w:w="4962" w:type="dxa"/>
          </w:tcPr>
          <w:p w14:paraId="3155F2E8" w14:textId="5112541B" w:rsidR="00E70CED" w:rsidRPr="001A0CAA" w:rsidRDefault="00000000" w:rsidP="001F115E">
            <w:sdt>
              <w:sdtPr>
                <w:rPr>
                  <w:rStyle w:val="Style2"/>
                  <w:sz w:val="24"/>
                </w:rPr>
                <w:id w:val="356323367"/>
                <w15:color w:val="FFCC00"/>
                <w14:checkbox>
                  <w14:checked w14:val="1"/>
                  <w14:checkedState w14:val="2612" w14:font="MS Gothic"/>
                  <w14:uncheckedState w14:val="2610" w14:font="MS Gothic"/>
                </w14:checkbox>
              </w:sdtPr>
              <w:sdtContent>
                <w:r w:rsidR="0021231B">
                  <w:rPr>
                    <w:rStyle w:val="Style2"/>
                    <w:rFonts w:ascii="MS Gothic" w:eastAsia="MS Gothic" w:hAnsi="MS Gothic" w:hint="eastAsia"/>
                    <w:sz w:val="24"/>
                  </w:rPr>
                  <w:t>☒</w:t>
                </w:r>
              </w:sdtContent>
            </w:sdt>
            <w:r w:rsidR="00E70CED" w:rsidRPr="001A0CAA">
              <w:t xml:space="preserve"> Kaštų naudingumo analizė</w:t>
            </w:r>
          </w:p>
          <w:p w14:paraId="49547563" w14:textId="77777777" w:rsidR="00E70CED" w:rsidRPr="001A0CAA" w:rsidRDefault="00000000" w:rsidP="001F115E">
            <w:sdt>
              <w:sdtPr>
                <w:rPr>
                  <w:rStyle w:val="Style2"/>
                  <w:sz w:val="24"/>
                </w:rPr>
                <w:id w:val="-250506580"/>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 xml:space="preserve"> Kaštų mažinimo analizė</w:t>
            </w:r>
          </w:p>
          <w:p w14:paraId="42039008" w14:textId="5726D9D8" w:rsidR="00FE5878" w:rsidRDefault="00000000" w:rsidP="00FE5878">
            <w:sdt>
              <w:sdtPr>
                <w:rPr>
                  <w:rStyle w:val="Style2"/>
                  <w:sz w:val="24"/>
                </w:rPr>
                <w:id w:val="-1570647133"/>
                <w15:color w:val="FFCC00"/>
                <w14:checkbox>
                  <w14:checked w14:val="0"/>
                  <w14:checkedState w14:val="2612" w14:font="MS Gothic"/>
                  <w14:uncheckedState w14:val="2610" w14:font="MS Gothic"/>
                </w14:checkbox>
              </w:sdtPr>
              <w:sdtContent>
                <w:r w:rsidR="00FE5878" w:rsidRPr="001A0CAA">
                  <w:rPr>
                    <w:rStyle w:val="Style2"/>
                    <w:rFonts w:ascii="Segoe UI Symbol" w:eastAsia="MS Gothic" w:hAnsi="Segoe UI Symbol" w:cs="Segoe UI Symbol"/>
                    <w:sz w:val="24"/>
                  </w:rPr>
                  <w:t>☐</w:t>
                </w:r>
              </w:sdtContent>
            </w:sdt>
            <w:r w:rsidR="00FE5878" w:rsidRPr="001A0CAA">
              <w:t xml:space="preserve"> </w:t>
            </w:r>
            <w:r w:rsidR="00FE5878">
              <w:t>Neteikiama</w:t>
            </w:r>
          </w:p>
          <w:p w14:paraId="5DC5A0C1" w14:textId="77777777" w:rsidR="00FE5878" w:rsidRPr="001A0CAA" w:rsidRDefault="00FE5878" w:rsidP="001F115E"/>
          <w:p w14:paraId="4B0FE78C" w14:textId="77777777" w:rsidR="00E70CED" w:rsidRPr="00977D72" w:rsidRDefault="00E70CED" w:rsidP="001F115E"/>
        </w:tc>
      </w:tr>
    </w:tbl>
    <w:p w14:paraId="2EB7FD31" w14:textId="5615B363" w:rsidR="007A2B68" w:rsidRPr="000203E1" w:rsidRDefault="00DC261A" w:rsidP="00063A50">
      <w:pPr>
        <w:pStyle w:val="Sraopastraipa"/>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711E5B0C"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3124352C" w14:textId="77777777" w:rsidR="0021231B" w:rsidRDefault="0021231B" w:rsidP="00A93AA6">
      <w:pPr>
        <w:pStyle w:val="Sraopastraipa"/>
        <w:tabs>
          <w:tab w:val="left" w:pos="426"/>
        </w:tabs>
        <w:ind w:left="0"/>
        <w:rPr>
          <w:b/>
          <w:bCs/>
          <w:caps/>
        </w:rPr>
      </w:pPr>
    </w:p>
    <w:p w14:paraId="22740F68" w14:textId="77777777" w:rsidR="0021231B" w:rsidRDefault="0021231B" w:rsidP="001918D7">
      <w:pPr>
        <w:tabs>
          <w:tab w:val="left" w:pos="567"/>
        </w:tabs>
        <w:spacing w:line="276" w:lineRule="auto"/>
        <w:jc w:val="both"/>
      </w:pPr>
      <w:r>
        <w:tab/>
      </w:r>
      <w:r>
        <w:tab/>
        <w:t>Cukrinis diabetas (toliau – CD) – įvairių paveldimų ir (ar) įgytų priežasčių sukeltas medžiagų apykaitos sutrikimas – lėtinė liga, kuria sergant dėl insulino gamybos ir (ar) sekrecijos ir (ar) jo poveikio pakitimų (audinių atsparumo insulinui) organizme sutrinka medžiagų (angliavandenių, baltymų, riebalų) apykaita, atsiranda lėtinė hiperglikemija ir daugelio organų (dažniausiai – akių, inkstų, nervų, širdies ir kraujagyslių) ilgalaikis pažeidimas ir (ar) disfunkcija. Išskiriamas 1 ir 2 tipo CD, gestacinis ir kitos kilmės CD.</w:t>
      </w:r>
    </w:p>
    <w:p w14:paraId="0C7A662C" w14:textId="1C2AFE4D" w:rsidR="006E3968" w:rsidRPr="00A636A3" w:rsidRDefault="0021231B" w:rsidP="001918D7">
      <w:pPr>
        <w:tabs>
          <w:tab w:val="left" w:pos="567"/>
        </w:tabs>
        <w:spacing w:line="276" w:lineRule="auto"/>
        <w:jc w:val="both"/>
      </w:pPr>
      <w:r>
        <w:tab/>
      </w:r>
      <w:r>
        <w:tab/>
      </w:r>
      <w:r w:rsidRPr="00267234">
        <w:rPr>
          <w:rFonts w:eastAsia="Arial"/>
          <w:bCs/>
        </w:rPr>
        <w:t xml:space="preserve">2 tipo CD gydymas skiriamas ir kompensuojamas pagal </w:t>
      </w:r>
      <w:r w:rsidRPr="00267234">
        <w:t>„Cukrinio diabeto ir tarpinės hiperglikemijos diagnostikos ir gydymo vaistais, kurių įsigijimo išlaidos apmokamos privalomojo sveikatos draudimo fondo biudžeto lėšomis, tvarkos aprašą“</w:t>
      </w:r>
      <w:r>
        <w:t xml:space="preserve"> (toliau – Aprašas). Kompensuojamos 7 vaistinių preparatų grupės: biguanidai (metforminas, toliau – Met), sulfanilkarbamidai (toliau – SK), SGLT2 inhibitoriai (toliau – SGLT2i), DPP-4 inhibitoriai (toliau – DPP-4i), GLP-1 agonistai (toliau – GLP-1a), t</w:t>
      </w:r>
      <w:r w:rsidRPr="00AF6077">
        <w:t>iazolidinedionai</w:t>
      </w:r>
      <w:r>
        <w:t xml:space="preserve"> (pioglitazonas), insulinai ir jo analogai. Pareiškėjas siūlo, jog tirzepatidas šiuo metu Lietuvoje taikomoje gydymo schemo turėtų būti skiriamas tiems patiems pacientams, kuriems būtų galima skirti GLP-1a.</w:t>
      </w:r>
      <w:r>
        <w:tab/>
      </w:r>
    </w:p>
    <w:p w14:paraId="66D87018" w14:textId="77777777" w:rsidR="00A636A3" w:rsidRDefault="00A636A3" w:rsidP="001918D7">
      <w:pPr>
        <w:tabs>
          <w:tab w:val="left" w:pos="426"/>
        </w:tabs>
        <w:spacing w:line="276" w:lineRule="auto"/>
        <w:jc w:val="both"/>
        <w:rPr>
          <w:iCs/>
          <w:color w:val="000000"/>
        </w:rPr>
      </w:pPr>
      <w:r>
        <w:rPr>
          <w:rFonts w:eastAsia="Arial"/>
          <w:iCs/>
          <w:color w:val="000000" w:themeColor="text1"/>
        </w:rPr>
        <w:tab/>
      </w:r>
      <w:r>
        <w:rPr>
          <w:rFonts w:eastAsia="Arial"/>
          <w:iCs/>
          <w:color w:val="000000" w:themeColor="text1"/>
        </w:rPr>
        <w:tab/>
      </w:r>
      <w:r w:rsidR="006E3968" w:rsidRPr="00A636A3">
        <w:rPr>
          <w:rFonts w:eastAsia="Arial"/>
          <w:iCs/>
          <w:color w:val="000000" w:themeColor="text1"/>
        </w:rPr>
        <w:t xml:space="preserve">Lietuvoje palyginamasis gydymas priklauso nuo pacientų, sergančių </w:t>
      </w:r>
      <w:r>
        <w:rPr>
          <w:rFonts w:eastAsia="Arial"/>
          <w:iCs/>
          <w:color w:val="000000" w:themeColor="text1"/>
        </w:rPr>
        <w:t>2</w:t>
      </w:r>
      <w:r w:rsidR="006E3968" w:rsidRPr="00A636A3">
        <w:rPr>
          <w:rFonts w:eastAsia="Arial"/>
          <w:iCs/>
          <w:color w:val="000000" w:themeColor="text1"/>
        </w:rPr>
        <w:t xml:space="preserve"> tipo </w:t>
      </w:r>
      <w:r>
        <w:rPr>
          <w:rFonts w:eastAsia="Arial"/>
          <w:iCs/>
          <w:color w:val="000000" w:themeColor="text1"/>
        </w:rPr>
        <w:t>CD</w:t>
      </w:r>
      <w:r w:rsidR="006E3968" w:rsidRPr="00A636A3">
        <w:rPr>
          <w:rFonts w:eastAsia="Arial"/>
          <w:iCs/>
          <w:color w:val="000000" w:themeColor="text1"/>
        </w:rPr>
        <w:t>, populiacijos, t.</w:t>
      </w:r>
      <w:r>
        <w:rPr>
          <w:rFonts w:eastAsia="Arial"/>
          <w:iCs/>
          <w:color w:val="000000" w:themeColor="text1"/>
        </w:rPr>
        <w:t xml:space="preserve"> </w:t>
      </w:r>
      <w:r w:rsidR="006E3968" w:rsidRPr="00A636A3">
        <w:rPr>
          <w:rFonts w:eastAsia="Arial"/>
          <w:iCs/>
          <w:color w:val="000000" w:themeColor="text1"/>
        </w:rPr>
        <w:t xml:space="preserve">y. ar pacientai </w:t>
      </w:r>
      <w:r w:rsidR="006E3968" w:rsidRPr="00A636A3">
        <w:rPr>
          <w:iCs/>
          <w:color w:val="000000"/>
        </w:rPr>
        <w:t xml:space="preserve">serga arba neserga </w:t>
      </w:r>
      <w:r>
        <w:rPr>
          <w:iCs/>
          <w:color w:val="000000"/>
        </w:rPr>
        <w:t xml:space="preserve">širdies ir kraujagyslių liga (toliau – </w:t>
      </w:r>
      <w:r w:rsidR="006E3968" w:rsidRPr="00A636A3">
        <w:rPr>
          <w:iCs/>
          <w:color w:val="000000"/>
        </w:rPr>
        <w:t>ŠKL</w:t>
      </w:r>
      <w:r>
        <w:rPr>
          <w:iCs/>
          <w:color w:val="000000"/>
        </w:rPr>
        <w:t>)</w:t>
      </w:r>
      <w:r w:rsidR="006E3968" w:rsidRPr="00A636A3">
        <w:rPr>
          <w:iCs/>
          <w:color w:val="000000"/>
        </w:rPr>
        <w:t xml:space="preserve">, </w:t>
      </w:r>
      <w:r>
        <w:rPr>
          <w:iCs/>
          <w:color w:val="000000"/>
        </w:rPr>
        <w:t xml:space="preserve">širdies nepakankamumu (toliau – </w:t>
      </w:r>
      <w:r w:rsidR="006E3968" w:rsidRPr="00A636A3">
        <w:rPr>
          <w:iCs/>
          <w:color w:val="000000"/>
        </w:rPr>
        <w:t>ŠN</w:t>
      </w:r>
      <w:r>
        <w:rPr>
          <w:iCs/>
          <w:color w:val="000000"/>
        </w:rPr>
        <w:t>)</w:t>
      </w:r>
      <w:r w:rsidR="006E3968" w:rsidRPr="00A636A3">
        <w:rPr>
          <w:iCs/>
          <w:color w:val="000000"/>
        </w:rPr>
        <w:t xml:space="preserve">, </w:t>
      </w:r>
      <w:r>
        <w:rPr>
          <w:iCs/>
          <w:color w:val="000000"/>
        </w:rPr>
        <w:t xml:space="preserve">lėtinė inkstų liga (toliau – </w:t>
      </w:r>
      <w:r w:rsidR="006E3968" w:rsidRPr="00A636A3">
        <w:rPr>
          <w:iCs/>
          <w:color w:val="000000"/>
        </w:rPr>
        <w:t>LIL</w:t>
      </w:r>
      <w:r>
        <w:rPr>
          <w:iCs/>
          <w:color w:val="000000"/>
        </w:rPr>
        <w:t xml:space="preserve">), </w:t>
      </w:r>
      <w:r w:rsidR="006E3968" w:rsidRPr="00A636A3">
        <w:rPr>
          <w:iCs/>
          <w:color w:val="000000"/>
        </w:rPr>
        <w:t xml:space="preserve">ar </w:t>
      </w:r>
      <w:r>
        <w:rPr>
          <w:iCs/>
          <w:color w:val="000000"/>
        </w:rPr>
        <w:t>jie turi</w:t>
      </w:r>
      <w:r w:rsidR="006E3968" w:rsidRPr="00A636A3">
        <w:rPr>
          <w:iCs/>
          <w:color w:val="000000"/>
        </w:rPr>
        <w:t xml:space="preserve"> </w:t>
      </w:r>
      <w:r>
        <w:rPr>
          <w:iCs/>
          <w:color w:val="000000"/>
        </w:rPr>
        <w:t xml:space="preserve">Aprašo 5 priede nurodytų </w:t>
      </w:r>
      <w:r w:rsidR="006E3968" w:rsidRPr="00A636A3">
        <w:rPr>
          <w:iCs/>
          <w:color w:val="000000"/>
        </w:rPr>
        <w:t>ŠKL rizikos veiksnių</w:t>
      </w:r>
      <w:r>
        <w:rPr>
          <w:iCs/>
          <w:color w:val="000000"/>
        </w:rPr>
        <w:t>.</w:t>
      </w:r>
    </w:p>
    <w:p w14:paraId="0B4CD5C7" w14:textId="5F9F2732" w:rsidR="0021231B" w:rsidRPr="00A636A3" w:rsidRDefault="00A636A3" w:rsidP="001918D7">
      <w:pPr>
        <w:tabs>
          <w:tab w:val="left" w:pos="426"/>
        </w:tabs>
        <w:spacing w:line="276" w:lineRule="auto"/>
        <w:jc w:val="both"/>
        <w:rPr>
          <w:iCs/>
          <w:color w:val="000000"/>
        </w:rPr>
      </w:pPr>
      <w:r>
        <w:rPr>
          <w:iCs/>
          <w:color w:val="000000"/>
        </w:rPr>
        <w:tab/>
      </w:r>
      <w:r>
        <w:rPr>
          <w:iCs/>
          <w:color w:val="000000"/>
        </w:rPr>
        <w:tab/>
      </w:r>
      <w:r w:rsidR="006E3968" w:rsidRPr="00A636A3">
        <w:rPr>
          <w:iCs/>
          <w:color w:val="000000"/>
        </w:rPr>
        <w:t xml:space="preserve">Pacientų, </w:t>
      </w:r>
      <w:r>
        <w:rPr>
          <w:iCs/>
          <w:color w:val="000000"/>
        </w:rPr>
        <w:t>kuriems nenustatyta ŠKL, ŠN ar</w:t>
      </w:r>
      <w:r w:rsidR="006E3968" w:rsidRPr="00A636A3">
        <w:rPr>
          <w:iCs/>
          <w:color w:val="000000"/>
        </w:rPr>
        <w:t xml:space="preserve"> LIL ir </w:t>
      </w:r>
      <w:r>
        <w:rPr>
          <w:iCs/>
          <w:color w:val="000000"/>
        </w:rPr>
        <w:t>neturintiems</w:t>
      </w:r>
      <w:r w:rsidR="006E3968" w:rsidRPr="00A636A3">
        <w:rPr>
          <w:iCs/>
          <w:color w:val="000000"/>
        </w:rPr>
        <w:t xml:space="preserve"> ŠKL rizikos veiksnių, populiacijoje tinkamu palyginamuoju gydymu laikomas Met</w:t>
      </w:r>
      <w:r>
        <w:rPr>
          <w:iCs/>
          <w:color w:val="000000"/>
        </w:rPr>
        <w:t xml:space="preserve">, </w:t>
      </w:r>
      <w:r w:rsidR="006E3968" w:rsidRPr="00A636A3">
        <w:rPr>
          <w:iCs/>
          <w:color w:val="000000"/>
        </w:rPr>
        <w:t>SK</w:t>
      </w:r>
      <w:r>
        <w:rPr>
          <w:iCs/>
          <w:color w:val="000000"/>
        </w:rPr>
        <w:t xml:space="preserve"> ir </w:t>
      </w:r>
      <w:r w:rsidR="006E3968" w:rsidRPr="00A636A3">
        <w:rPr>
          <w:iCs/>
          <w:color w:val="000000"/>
        </w:rPr>
        <w:t xml:space="preserve">GLP1a derinys, kai KMI  ≥ </w:t>
      </w:r>
      <w:r w:rsidR="006E3968" w:rsidRPr="00A636A3">
        <w:rPr>
          <w:iCs/>
          <w:color w:val="000000"/>
          <w:lang w:val="en-GB"/>
        </w:rPr>
        <w:t>32 kg/m</w:t>
      </w:r>
      <w:r w:rsidR="006E3968" w:rsidRPr="00A636A3">
        <w:rPr>
          <w:iCs/>
          <w:color w:val="000000"/>
          <w:vertAlign w:val="superscript"/>
          <w:lang w:val="en-GB"/>
        </w:rPr>
        <w:t>2</w:t>
      </w:r>
      <w:r w:rsidR="006E3968" w:rsidRPr="00A636A3">
        <w:rPr>
          <w:iCs/>
          <w:color w:val="000000"/>
          <w:lang w:val="en-GB"/>
        </w:rPr>
        <w:t>)</w:t>
      </w:r>
      <w:r>
        <w:rPr>
          <w:iCs/>
          <w:color w:val="000000"/>
          <w:lang w:val="en-GB"/>
        </w:rPr>
        <w:t>,</w:t>
      </w:r>
      <w:r w:rsidR="006E3968" w:rsidRPr="00A636A3">
        <w:rPr>
          <w:iCs/>
          <w:color w:val="000000"/>
          <w:lang w:val="en-GB"/>
        </w:rPr>
        <w:t xml:space="preserve"> </w:t>
      </w:r>
      <w:r w:rsidR="006E3968" w:rsidRPr="00A636A3">
        <w:rPr>
          <w:iCs/>
          <w:color w:val="000000"/>
        </w:rPr>
        <w:t>arba Met</w:t>
      </w:r>
      <w:r>
        <w:rPr>
          <w:iCs/>
          <w:color w:val="000000"/>
        </w:rPr>
        <w:t xml:space="preserve">, </w:t>
      </w:r>
      <w:r w:rsidR="006E3968" w:rsidRPr="00A636A3">
        <w:rPr>
          <w:iCs/>
          <w:color w:val="000000"/>
        </w:rPr>
        <w:t>SK</w:t>
      </w:r>
      <w:r>
        <w:rPr>
          <w:iCs/>
          <w:color w:val="000000"/>
        </w:rPr>
        <w:t xml:space="preserve"> ir </w:t>
      </w:r>
      <w:r w:rsidR="006E3968" w:rsidRPr="00A636A3">
        <w:rPr>
          <w:iCs/>
          <w:color w:val="000000"/>
        </w:rPr>
        <w:t>SGLT2i.</w:t>
      </w:r>
      <w:r>
        <w:rPr>
          <w:iCs/>
          <w:color w:val="000000"/>
        </w:rPr>
        <w:t xml:space="preserve"> </w:t>
      </w:r>
      <w:r w:rsidR="0021231B">
        <w:rPr>
          <w:rFonts w:eastAsia="Arial"/>
          <w:color w:val="000000" w:themeColor="text1"/>
        </w:rPr>
        <w:t xml:space="preserve">2 tipo CD gydymas </w:t>
      </w:r>
      <w:r w:rsidR="0021231B" w:rsidRPr="00B274CF">
        <w:t xml:space="preserve">GLP-1 analogais (kartu su kitais peroraliniais antidiabetiniais vaistiniais preparatais) </w:t>
      </w:r>
      <w:r w:rsidR="0021231B">
        <w:t>įvertintas kaip tinkamas palyginamasis gydymas.</w:t>
      </w:r>
    </w:p>
    <w:p w14:paraId="1DB1F8D4" w14:textId="77777777" w:rsidR="0021231B" w:rsidRPr="00823A03" w:rsidRDefault="0021231B" w:rsidP="001918D7">
      <w:pPr>
        <w:tabs>
          <w:tab w:val="left" w:pos="426"/>
        </w:tabs>
        <w:spacing w:line="276" w:lineRule="auto"/>
        <w:jc w:val="both"/>
        <w:rPr>
          <w:rFonts w:eastAsia="Arial"/>
          <w:iCs/>
        </w:rPr>
      </w:pPr>
    </w:p>
    <w:p w14:paraId="4FA3A612" w14:textId="77777777" w:rsidR="0021231B" w:rsidRPr="00D26F19" w:rsidRDefault="0021231B" w:rsidP="001918D7">
      <w:pPr>
        <w:widowControl w:val="0"/>
        <w:spacing w:line="276" w:lineRule="auto"/>
        <w:jc w:val="both"/>
        <w:rPr>
          <w:bCs/>
          <w:i/>
          <w:iCs/>
          <w:color w:val="000000"/>
          <w:lang w:eastAsia="lt-LT"/>
        </w:rPr>
      </w:pPr>
      <w:r>
        <w:rPr>
          <w:bCs/>
          <w:i/>
          <w:iCs/>
          <w:color w:val="000000"/>
          <w:lang w:eastAsia="lt-LT"/>
        </w:rPr>
        <w:t>Tiesioginis</w:t>
      </w:r>
      <w:r w:rsidRPr="00D26F19">
        <w:rPr>
          <w:bCs/>
          <w:i/>
          <w:iCs/>
          <w:color w:val="000000"/>
          <w:lang w:eastAsia="lt-LT"/>
        </w:rPr>
        <w:t xml:space="preserve"> palyginimas</w:t>
      </w:r>
    </w:p>
    <w:p w14:paraId="5426DE33" w14:textId="77777777" w:rsidR="0021231B" w:rsidRDefault="0021231B" w:rsidP="001918D7">
      <w:pPr>
        <w:tabs>
          <w:tab w:val="left" w:pos="567"/>
        </w:tabs>
        <w:spacing w:line="276" w:lineRule="auto"/>
        <w:jc w:val="both"/>
      </w:pPr>
    </w:p>
    <w:p w14:paraId="72272650" w14:textId="77777777" w:rsidR="0021231B" w:rsidRDefault="0021231B" w:rsidP="001918D7">
      <w:pPr>
        <w:tabs>
          <w:tab w:val="left" w:pos="567"/>
        </w:tabs>
        <w:spacing w:line="276" w:lineRule="auto"/>
        <w:jc w:val="both"/>
      </w:pPr>
      <w:r>
        <w:tab/>
      </w:r>
      <w:r>
        <w:tab/>
        <w:t xml:space="preserve">Klinikinis vertinimas buvo atliktas pagal paraiškoje pateiktus klinikinius tyrimus SURPASS-2 ir SURPASS-4. Atlikus detalųjį klinikinį vertinimą nustatyta, jog </w:t>
      </w:r>
      <w:r w:rsidRPr="0041270F">
        <w:t>SURPASS-2 tyrimo populiacija atitinka vertinamą indikaciją, tačiau neatititinka siūlomų skyrimo sąlygų</w:t>
      </w:r>
      <w:r>
        <w:t xml:space="preserve"> ir įprastinės klinikinės praktikos Lietuvoje (</w:t>
      </w:r>
      <w:r w:rsidRPr="0041270F">
        <w:rPr>
          <w:iCs/>
        </w:rPr>
        <w:t>Met ir tirzepatido bei Met ir GLP-1a deriniai lyginami bendrojoje 2 tipo CD sergančių pacientų populiacijoje</w:t>
      </w:r>
      <w:r>
        <w:t xml:space="preserve">, o ne esant padidėjusiai kardiovaskulinei rizikai), o </w:t>
      </w:r>
      <w:r w:rsidRPr="0041270F">
        <w:t>SURPASS-4 tyrimo populiacija atitinka vertinamą indikaciją ir siūlomas skyrimo sąlygas, tačiau šiame tyrime palyginamasis gydymas yra netinkamas (tirzepatidas lyginamas ne su GLP-1a, o su baziniu insulinu, skiriant kartu su kitais antidiabetiniais vaistiniais preparatais).</w:t>
      </w:r>
    </w:p>
    <w:p w14:paraId="62F5B875" w14:textId="77777777" w:rsidR="0021231B" w:rsidRDefault="0021231B" w:rsidP="001918D7">
      <w:pPr>
        <w:tabs>
          <w:tab w:val="left" w:pos="567"/>
        </w:tabs>
        <w:spacing w:line="276" w:lineRule="auto"/>
        <w:jc w:val="both"/>
      </w:pPr>
      <w:r>
        <w:tab/>
      </w:r>
      <w:r>
        <w:tab/>
        <w:t xml:space="preserve">Apibendrinant, </w:t>
      </w:r>
      <w:r w:rsidRPr="0041270F">
        <w:t>SURPASS-2 tyrimo duomenys įrodo, jog pacientų, sergančių 2 tipo CD, turinčių antsvorį ir esant nepadidėjusiai kardiovaskulinei rizikai, metformino ir tirzepatido derinys daugiau sumažina HbA1c reikšmes ir kūno masę, lyginant su metformino ir semaglutido deriniu. Šis derinys šioje populiacijoje neatitinka įprastos klinikinės praktikos Lietuvoje.</w:t>
      </w:r>
      <w:r>
        <w:t xml:space="preserve"> Vertinant semaglutido (GLP-1a) ir tirzepatido palyginamąjį saugumą, reikšmingų problemų nenustatyta.</w:t>
      </w:r>
    </w:p>
    <w:p w14:paraId="07B241D7" w14:textId="77777777" w:rsidR="0021231B" w:rsidRDefault="0021231B" w:rsidP="001918D7">
      <w:pPr>
        <w:tabs>
          <w:tab w:val="left" w:pos="567"/>
        </w:tabs>
        <w:spacing w:line="276" w:lineRule="auto"/>
        <w:jc w:val="both"/>
      </w:pPr>
      <w:r>
        <w:tab/>
      </w:r>
      <w:r>
        <w:tab/>
      </w:r>
      <w:r w:rsidRPr="0041270F">
        <w:t>SURPASS-4 tyrimo duomenys įrodo, jog pacientų, sergančių 2 tipo CD ir esant padidėjusiai kardiovaskulinei rizikai, tirzepatido ir 2-3 peroralinių antidiabetinių vaistų derinys daugiau sumažina HbA1c reikšmes ir kūno masę, lyginant su bazinio insulino ir 2-3 peroralinių antidiabetinių vaistų  deriniu. Atsižvelgiant į pareiškėjo siūlomas skyrimo sąlygas („tokiomis pačiomis sąlygomis kaip ir GLP-1 analogai“), šis tyrimas taip pat nesuteikia duomenų apie tiesioginį tirzepatido bei GLP-1 agonistų palyginamąjį veiksmingumą.</w:t>
      </w:r>
    </w:p>
    <w:p w14:paraId="5C9486B5" w14:textId="77777777" w:rsidR="0021231B" w:rsidRDefault="0021231B" w:rsidP="001918D7">
      <w:pPr>
        <w:tabs>
          <w:tab w:val="left" w:pos="567"/>
        </w:tabs>
        <w:spacing w:line="276" w:lineRule="auto"/>
        <w:jc w:val="both"/>
      </w:pPr>
    </w:p>
    <w:p w14:paraId="4900B109" w14:textId="77777777" w:rsidR="0021231B" w:rsidRPr="00D26F19" w:rsidRDefault="0021231B" w:rsidP="001918D7">
      <w:pPr>
        <w:widowControl w:val="0"/>
        <w:spacing w:line="276" w:lineRule="auto"/>
        <w:jc w:val="both"/>
        <w:rPr>
          <w:bCs/>
          <w:i/>
          <w:iCs/>
          <w:color w:val="000000"/>
          <w:lang w:eastAsia="lt-LT"/>
        </w:rPr>
      </w:pPr>
      <w:r>
        <w:rPr>
          <w:bCs/>
          <w:i/>
          <w:iCs/>
          <w:color w:val="000000"/>
          <w:lang w:eastAsia="lt-LT"/>
        </w:rPr>
        <w:t>Netiesioginis</w:t>
      </w:r>
      <w:r w:rsidRPr="00D26F19">
        <w:rPr>
          <w:bCs/>
          <w:i/>
          <w:iCs/>
          <w:color w:val="000000"/>
          <w:lang w:eastAsia="lt-LT"/>
        </w:rPr>
        <w:t xml:space="preserve"> palyginimas</w:t>
      </w:r>
    </w:p>
    <w:p w14:paraId="3A947399" w14:textId="77777777" w:rsidR="0021231B" w:rsidRPr="00D26F19" w:rsidRDefault="0021231B" w:rsidP="001918D7">
      <w:pPr>
        <w:widowControl w:val="0"/>
        <w:spacing w:line="276" w:lineRule="auto"/>
        <w:jc w:val="both"/>
        <w:rPr>
          <w:bCs/>
          <w:i/>
          <w:iCs/>
          <w:color w:val="000000"/>
          <w:lang w:eastAsia="lt-LT"/>
        </w:rPr>
      </w:pPr>
    </w:p>
    <w:p w14:paraId="6C237970" w14:textId="794F9F4A" w:rsidR="0021231B" w:rsidRDefault="0021231B" w:rsidP="001918D7">
      <w:pPr>
        <w:widowControl w:val="0"/>
        <w:spacing w:line="276" w:lineRule="auto"/>
        <w:ind w:firstLine="720"/>
        <w:jc w:val="both"/>
        <w:rPr>
          <w:rFonts w:eastAsia="Arial"/>
          <w:bCs/>
        </w:rPr>
      </w:pPr>
      <w:r w:rsidRPr="00D26F19">
        <w:rPr>
          <w:bCs/>
          <w:color w:val="000000"/>
          <w:lang w:eastAsia="lt-LT"/>
        </w:rPr>
        <w:t xml:space="preserve">Klinikinis vertinimas buvo atliktas pagal paraiškoje pateiktą </w:t>
      </w:r>
      <w:r>
        <w:rPr>
          <w:rFonts w:eastAsia="Arial"/>
          <w:bCs/>
        </w:rPr>
        <w:t xml:space="preserve">tinklinę meta-analizę, kuriame buvo įtraukiami tirzepatido ir GLP-1a atsitiktinių imčių, placebo kontroliuojami tyrimai. </w:t>
      </w:r>
      <w:r w:rsidRPr="003A0D05">
        <w:rPr>
          <w:bCs/>
          <w:iCs/>
          <w:lang w:eastAsia="lt-LT"/>
        </w:rPr>
        <w:t>Pagrindinės tyrimų atmetimo iš tinklinės meta analizės priežastys buvo tyrimai su kardiovaskulinėmis baigtimis, pacientai su sutrikusia inkstų funkcija, vartojantys daugiau nei 2 kitus peroralinius antidiabetinius vaistinius preparatus ir itin pažengusia ligos stadija</w:t>
      </w:r>
      <w:r>
        <w:rPr>
          <w:bCs/>
          <w:iCs/>
          <w:lang w:eastAsia="lt-LT"/>
        </w:rPr>
        <w:t>.</w:t>
      </w:r>
      <w:r>
        <w:rPr>
          <w:rFonts w:eastAsia="Arial"/>
          <w:bCs/>
        </w:rPr>
        <w:t xml:space="preserve"> Įvertinus į n</w:t>
      </w:r>
      <w:r w:rsidRPr="008845F3">
        <w:rPr>
          <w:rFonts w:eastAsia="Arial"/>
          <w:bCs/>
        </w:rPr>
        <w:t>etiesioginio palyginimo analiz</w:t>
      </w:r>
      <w:r>
        <w:rPr>
          <w:rFonts w:eastAsia="Arial"/>
          <w:bCs/>
        </w:rPr>
        <w:t xml:space="preserve">ę įtrauktus tyrimus, nustatytas reikšmingas įtrauktų tyrimų populiacijų heterogeniškumas dėl skirtingo palyginamojo gydymo geriamaisiais antidiabetiniais vaistai, tačiau </w:t>
      </w:r>
      <w:r w:rsidR="000B313D">
        <w:rPr>
          <w:rFonts w:eastAsia="Arial"/>
          <w:bCs/>
        </w:rPr>
        <w:t>laikoma</w:t>
      </w:r>
      <w:r>
        <w:rPr>
          <w:rFonts w:eastAsia="Arial"/>
          <w:bCs/>
        </w:rPr>
        <w:t xml:space="preserve">, jog </w:t>
      </w:r>
      <w:r w:rsidRPr="008845F3">
        <w:rPr>
          <w:rFonts w:eastAsia="Arial"/>
          <w:bCs/>
        </w:rPr>
        <w:t xml:space="preserve">palyginamasis GLP-1a ir 2 peroralinių antidiabetinių vaistinių preparatų derinys atitinka įprastinę klinikinę praktiką Lietuvoje tarp pacientų, sergančių 2 tipo CD ir </w:t>
      </w:r>
      <w:r w:rsidR="00C42988">
        <w:rPr>
          <w:rFonts w:eastAsia="Arial"/>
          <w:bCs/>
        </w:rPr>
        <w:t>kurių KMI ≥ 25 kg/m</w:t>
      </w:r>
      <w:r w:rsidR="00C42988" w:rsidRPr="00A636A3">
        <w:rPr>
          <w:rFonts w:eastAsia="Arial"/>
          <w:bCs/>
          <w:vertAlign w:val="superscript"/>
          <w:lang w:val="en-US"/>
        </w:rPr>
        <w:t>2</w:t>
      </w:r>
      <w:r>
        <w:rPr>
          <w:rFonts w:eastAsia="Arial"/>
          <w:bCs/>
        </w:rPr>
        <w:t>.</w:t>
      </w:r>
    </w:p>
    <w:p w14:paraId="27F6BB1F" w14:textId="6A9C73C1" w:rsidR="0021231B" w:rsidRPr="00A636A3" w:rsidRDefault="0021231B" w:rsidP="001918D7">
      <w:pPr>
        <w:widowControl w:val="0"/>
        <w:spacing w:line="276" w:lineRule="auto"/>
        <w:ind w:firstLine="720"/>
        <w:jc w:val="both"/>
        <w:rPr>
          <w:bCs/>
          <w:color w:val="000000"/>
          <w:lang w:val="en-US" w:eastAsia="lt-LT"/>
        </w:rPr>
      </w:pPr>
      <w:r>
        <w:rPr>
          <w:bCs/>
          <w:color w:val="000000"/>
          <w:lang w:eastAsia="lt-LT"/>
        </w:rPr>
        <w:t>Atsižvelgiant į a</w:t>
      </w:r>
      <w:r w:rsidRPr="008845F3">
        <w:rPr>
          <w:bCs/>
          <w:color w:val="000000"/>
          <w:lang w:eastAsia="lt-LT"/>
        </w:rPr>
        <w:t>nalizė</w:t>
      </w:r>
      <w:r>
        <w:rPr>
          <w:bCs/>
          <w:color w:val="000000"/>
          <w:lang w:eastAsia="lt-LT"/>
        </w:rPr>
        <w:t>s neapibrėžtumus,</w:t>
      </w:r>
      <w:r w:rsidRPr="008845F3">
        <w:rPr>
          <w:bCs/>
          <w:color w:val="000000"/>
          <w:lang w:eastAsia="lt-LT"/>
        </w:rPr>
        <w:t xml:space="preserve"> pateikti duomenys įrodo, jog pacientų, kuriems nustatytas 2 tipo CD ir </w:t>
      </w:r>
      <w:r w:rsidR="004673EC">
        <w:rPr>
          <w:bCs/>
          <w:color w:val="000000"/>
          <w:lang w:eastAsia="lt-LT"/>
        </w:rPr>
        <w:t>KMI yra ≥</w:t>
      </w:r>
      <w:r w:rsidR="004673EC">
        <w:rPr>
          <w:bCs/>
          <w:color w:val="000000"/>
          <w:lang w:val="en-US" w:eastAsia="lt-LT"/>
        </w:rPr>
        <w:t xml:space="preserve">25 </w:t>
      </w:r>
      <w:r w:rsidR="00C85CF4">
        <w:rPr>
          <w:bCs/>
          <w:color w:val="000000"/>
          <w:lang w:val="en-US" w:eastAsia="lt-LT"/>
        </w:rPr>
        <w:t>kg/m</w:t>
      </w:r>
      <w:r w:rsidR="00C85CF4" w:rsidRPr="00A636A3">
        <w:rPr>
          <w:bCs/>
          <w:color w:val="000000"/>
          <w:vertAlign w:val="superscript"/>
          <w:lang w:val="en-US" w:eastAsia="lt-LT"/>
        </w:rPr>
        <w:t>2</w:t>
      </w:r>
      <w:r w:rsidRPr="008845F3">
        <w:rPr>
          <w:bCs/>
          <w:color w:val="000000"/>
          <w:lang w:eastAsia="lt-LT"/>
        </w:rPr>
        <w:t>, populiacijoje, kai gydant dviem vaistais maksimaliai toleruojamomis dozėmis nepasiekiama individualizuota tikslinė HbA1c reikšmė, tirzepatidas sukuria didesnę klinikinę naudą</w:t>
      </w:r>
      <w:r>
        <w:rPr>
          <w:bCs/>
          <w:color w:val="000000"/>
          <w:lang w:eastAsia="lt-LT"/>
        </w:rPr>
        <w:t xml:space="preserve"> (gerinant glikemijos ir svorio kontrolę)</w:t>
      </w:r>
      <w:r w:rsidRPr="008845F3">
        <w:rPr>
          <w:bCs/>
          <w:color w:val="000000"/>
          <w:lang w:eastAsia="lt-LT"/>
        </w:rPr>
        <w:t>, lyginant su</w:t>
      </w:r>
      <w:r w:rsidR="00C85CF4">
        <w:rPr>
          <w:bCs/>
          <w:color w:val="000000"/>
          <w:lang w:eastAsia="lt-LT"/>
        </w:rPr>
        <w:t xml:space="preserve"> kitais</w:t>
      </w:r>
      <w:r w:rsidRPr="008845F3">
        <w:rPr>
          <w:bCs/>
          <w:color w:val="000000"/>
          <w:lang w:eastAsia="lt-LT"/>
        </w:rPr>
        <w:t xml:space="preserve"> GLP-1a.</w:t>
      </w:r>
      <w:r w:rsidR="00C42988">
        <w:rPr>
          <w:bCs/>
          <w:color w:val="000000"/>
          <w:lang w:eastAsia="lt-LT"/>
        </w:rPr>
        <w:t xml:space="preserve"> Tačiau atsižvelgiant į įprastą </w:t>
      </w:r>
      <w:r w:rsidR="00946DF0">
        <w:rPr>
          <w:bCs/>
          <w:color w:val="000000"/>
          <w:lang w:eastAsia="lt-LT"/>
        </w:rPr>
        <w:t>klinikinę</w:t>
      </w:r>
      <w:r w:rsidR="00C42988">
        <w:rPr>
          <w:bCs/>
          <w:color w:val="000000"/>
          <w:lang w:eastAsia="lt-LT"/>
        </w:rPr>
        <w:t xml:space="preserve"> praktiką Lietuvoje, siūloma apriboti tirzepatido </w:t>
      </w:r>
      <w:r w:rsidR="00946DF0">
        <w:rPr>
          <w:bCs/>
          <w:color w:val="000000"/>
          <w:lang w:eastAsia="lt-LT"/>
        </w:rPr>
        <w:t xml:space="preserve">skyrimą tik pacientams, kuriems KMI ≥ </w:t>
      </w:r>
      <w:r w:rsidR="00946DF0">
        <w:rPr>
          <w:bCs/>
          <w:color w:val="000000"/>
          <w:lang w:val="en-US" w:eastAsia="lt-LT"/>
        </w:rPr>
        <w:t>32 kg/m</w:t>
      </w:r>
      <w:r w:rsidR="00946DF0" w:rsidRPr="00A636A3">
        <w:rPr>
          <w:bCs/>
          <w:color w:val="000000"/>
          <w:vertAlign w:val="superscript"/>
          <w:lang w:val="en-US" w:eastAsia="lt-LT"/>
        </w:rPr>
        <w:t>2</w:t>
      </w:r>
      <w:r w:rsidR="00946DF0">
        <w:rPr>
          <w:bCs/>
          <w:color w:val="000000"/>
          <w:lang w:val="en-US" w:eastAsia="lt-LT"/>
        </w:rPr>
        <w:t>.</w:t>
      </w:r>
    </w:p>
    <w:p w14:paraId="2BE244BF" w14:textId="77777777" w:rsidR="0021231B" w:rsidRDefault="0021231B" w:rsidP="001918D7">
      <w:pPr>
        <w:pStyle w:val="Sraopastraipa"/>
        <w:tabs>
          <w:tab w:val="left" w:pos="426"/>
        </w:tabs>
        <w:spacing w:line="276" w:lineRule="auto"/>
        <w:ind w:left="0"/>
        <w:rPr>
          <w:b/>
          <w:bCs/>
          <w:caps/>
        </w:rPr>
      </w:pPr>
    </w:p>
    <w:p w14:paraId="39C1ADA8" w14:textId="77777777" w:rsidR="00AC5129" w:rsidRPr="000203E1" w:rsidRDefault="00AC5129" w:rsidP="001918D7">
      <w:pPr>
        <w:pStyle w:val="Sraopastraipa"/>
        <w:tabs>
          <w:tab w:val="left" w:pos="426"/>
        </w:tabs>
        <w:spacing w:line="276" w:lineRule="auto"/>
        <w:ind w:left="0"/>
        <w:rPr>
          <w:b/>
          <w:bCs/>
          <w:caps/>
        </w:rPr>
      </w:pPr>
    </w:p>
    <w:p w14:paraId="7DE09EB5" w14:textId="69E9DD74" w:rsidR="00E03C3F" w:rsidRPr="000203E1" w:rsidRDefault="00CC7832" w:rsidP="001918D7">
      <w:pPr>
        <w:pStyle w:val="Sraopastraipa"/>
        <w:numPr>
          <w:ilvl w:val="0"/>
          <w:numId w:val="12"/>
        </w:numPr>
        <w:tabs>
          <w:tab w:val="left" w:pos="567"/>
        </w:tabs>
        <w:spacing w:line="276" w:lineRule="auto"/>
        <w:ind w:hanging="720"/>
        <w:rPr>
          <w:b/>
          <w:bCs/>
          <w:caps/>
        </w:rPr>
      </w:pPr>
      <w:r w:rsidRPr="000203E1">
        <w:rPr>
          <w:b/>
          <w:bCs/>
          <w:caps/>
        </w:rPr>
        <w:t xml:space="preserve">ekonominio vertinimo </w:t>
      </w:r>
      <w:r w:rsidR="002F0E4F" w:rsidRPr="000203E1">
        <w:rPr>
          <w:b/>
          <w:bCs/>
          <w:caps/>
        </w:rPr>
        <w:t>apibendrinimas</w:t>
      </w:r>
    </w:p>
    <w:p w14:paraId="1A900598" w14:textId="4826E5DF" w:rsidR="00C62B36" w:rsidRPr="001918D7" w:rsidRDefault="00C62B36" w:rsidP="001918D7">
      <w:pPr>
        <w:tabs>
          <w:tab w:val="left" w:pos="426"/>
        </w:tabs>
        <w:spacing w:line="276" w:lineRule="auto"/>
        <w:rPr>
          <w:i/>
        </w:rPr>
      </w:pPr>
    </w:p>
    <w:p w14:paraId="1B481A16" w14:textId="77777777" w:rsidR="00AA44E5" w:rsidRPr="0014562C" w:rsidRDefault="00AA44E5" w:rsidP="001918D7">
      <w:pPr>
        <w:spacing w:line="276" w:lineRule="auto"/>
        <w:jc w:val="both"/>
      </w:pPr>
      <w:r w:rsidRPr="0014562C">
        <w:rPr>
          <w:rFonts w:eastAsia="Arial"/>
          <w:bCs/>
        </w:rPr>
        <w:t xml:space="preserve">Vertinimui pateikta kaštų naudingumo analizė, kurioje nagrinėjamas tirzepatido kaštų naudingumas. Nagrinėjami </w:t>
      </w:r>
      <w:r w:rsidRPr="0014562C">
        <w:t>suaugę</w:t>
      </w:r>
      <w:r>
        <w:t>,</w:t>
      </w:r>
      <w:r w:rsidRPr="0014562C">
        <w:t xml:space="preserve"> 2 tipo cukriniu diabetu sergantys pacientai kuriems gydymas tirzepatidu skiriamas kartu su dieta ir fiziniu krūviu</w:t>
      </w:r>
      <w:r>
        <w:t>,</w:t>
      </w:r>
      <w:r w:rsidRPr="0014562C">
        <w:t xml:space="preserve"> papildomai kartu su kitais diabetui gydyti skirtais vaistiniais preparatais. Palyginamajam gydymui naudojamas semaglutidas atitinkantis įprastą Lietuvos klinikinę praktiką, </w:t>
      </w:r>
      <w:r>
        <w:t>o</w:t>
      </w:r>
      <w:r w:rsidRPr="0014562C">
        <w:t xml:space="preserve"> taikomų vaistų dozavimas atitinka preparatų charakteristikų santraukas. </w:t>
      </w:r>
    </w:p>
    <w:p w14:paraId="381D6CAC" w14:textId="77777777" w:rsidR="00AA44E5" w:rsidRPr="0014562C" w:rsidRDefault="00AA44E5" w:rsidP="001918D7">
      <w:pPr>
        <w:spacing w:line="276" w:lineRule="auto"/>
        <w:jc w:val="both"/>
      </w:pPr>
    </w:p>
    <w:p w14:paraId="5BDEE28B" w14:textId="77777777" w:rsidR="00AA44E5" w:rsidRPr="0014562C" w:rsidRDefault="00AA44E5" w:rsidP="001918D7">
      <w:pPr>
        <w:spacing w:line="276" w:lineRule="auto"/>
        <w:jc w:val="both"/>
      </w:pPr>
      <w:r w:rsidRPr="0014562C">
        <w:t>Analizėje taikoma 50 metų, viso gyvenimo</w:t>
      </w:r>
      <w:r>
        <w:t>,</w:t>
      </w:r>
      <w:r w:rsidRPr="0014562C">
        <w:t xml:space="preserve"> laiko perspektyva ir analizė atliekama iš PSDF biudžeto perspektyvos. Tarnybos nuomone ši laiko perspektyva yra per ilga, todėl bazinio atvejo analizei, tarnyba naudoja 30 metų laiko perspektyvą, atsižvelgiant į Lietuvos pacientų išgyvenamumą ir siekiant konservatyvaus analizės rezultato. </w:t>
      </w:r>
    </w:p>
    <w:p w14:paraId="10A5C318" w14:textId="77777777" w:rsidR="00AA44E5" w:rsidRPr="0014562C" w:rsidRDefault="00AA44E5" w:rsidP="001918D7">
      <w:pPr>
        <w:spacing w:line="276" w:lineRule="auto"/>
        <w:jc w:val="both"/>
      </w:pPr>
    </w:p>
    <w:p w14:paraId="423A25F8" w14:textId="77777777" w:rsidR="00AA44E5" w:rsidRPr="0014562C" w:rsidRDefault="00AA44E5" w:rsidP="001918D7">
      <w:pPr>
        <w:spacing w:line="276" w:lineRule="auto"/>
        <w:jc w:val="both"/>
      </w:pPr>
      <w:r w:rsidRPr="0014562C">
        <w:t>Analizėje taikomas pacientų lygio kaštų naudingumo modelis, pagal UKPDS Outcomes Model 2 – tikimybinis diskretinio laiko ligos ir mirties modelis ši modelio struktūra yra laikoma tinkama analizei atlikti</w:t>
      </w:r>
      <w:r>
        <w:t xml:space="preserve"> ir analizės rezultatui apskaičiuoti</w:t>
      </w:r>
      <w:r w:rsidRPr="0014562C">
        <w:t xml:space="preserve">. Ekonominėje analizėje naudojami klinikiniai duomenys sutampa su klinikinėje vertinimo dalyje naudotais duomenimis. Analizė yra grindžiama SURPASS-2 klinikinio tyrimo duomenimis. </w:t>
      </w:r>
    </w:p>
    <w:p w14:paraId="4BCF620D" w14:textId="77777777" w:rsidR="00AA44E5" w:rsidRPr="0014562C" w:rsidRDefault="00AA44E5" w:rsidP="001918D7">
      <w:pPr>
        <w:spacing w:line="276" w:lineRule="auto"/>
        <w:jc w:val="both"/>
      </w:pPr>
    </w:p>
    <w:p w14:paraId="6DF16715" w14:textId="77777777" w:rsidR="00AA44E5" w:rsidRDefault="00AA44E5" w:rsidP="001918D7">
      <w:pPr>
        <w:spacing w:line="276" w:lineRule="auto"/>
        <w:jc w:val="both"/>
        <w:rPr>
          <w:color w:val="000000"/>
        </w:rPr>
      </w:pPr>
      <w:r w:rsidRPr="0014562C">
        <w:t xml:space="preserve">Analizėje naudojami gyvenimo kokybės įverčiai yra grindžiami ADVANCE, SAVOR-TIMI ir LEADER klinikiniais tyrimais. </w:t>
      </w:r>
      <w:r>
        <w:t xml:space="preserve">Pareiškėjas analizėje taikė gyvenimo kokybės pagerėjimą paientams, vartojantiems tirzepatidą dėl vaistinio preparato talpyklės, vis dėlto </w:t>
      </w:r>
      <w:r w:rsidRPr="00237177">
        <w:rPr>
          <w:color w:val="000000"/>
        </w:rPr>
        <w:t>Tarnyba šio gyvenimo kokybės pagerėjimo pagrindinio atvejo analizėje netaiko, nes semaglutidas ir tirzepatidas vartojami po oda, abu vaistiniai preparatai yra tiekiami užpildytame švirkštiklyje – t.y. paruoštos švirkštimo priemonės</w:t>
      </w:r>
      <w:r>
        <w:rPr>
          <w:color w:val="000000"/>
        </w:rPr>
        <w:t>.</w:t>
      </w:r>
    </w:p>
    <w:p w14:paraId="610C9314" w14:textId="77777777" w:rsidR="00AA44E5" w:rsidRPr="009A2D6A" w:rsidRDefault="00AA44E5" w:rsidP="001918D7">
      <w:pPr>
        <w:spacing w:line="276" w:lineRule="auto"/>
        <w:jc w:val="both"/>
        <w:rPr>
          <w:color w:val="000000"/>
          <w:szCs w:val="20"/>
        </w:rPr>
      </w:pPr>
    </w:p>
    <w:p w14:paraId="3A73493F" w14:textId="77777777" w:rsidR="00AA44E5" w:rsidRPr="0014562C" w:rsidRDefault="00AA44E5" w:rsidP="001918D7">
      <w:pPr>
        <w:spacing w:line="276" w:lineRule="auto"/>
        <w:jc w:val="both"/>
      </w:pPr>
      <w:r w:rsidRPr="0014562C">
        <w:lastRenderedPageBreak/>
        <w:t>Ekonominėje analizėje pateikti sekančių eilių gydymai nepilnai</w:t>
      </w:r>
      <w:r>
        <w:t xml:space="preserve"> atitinka</w:t>
      </w:r>
      <w:r w:rsidRPr="0014562C">
        <w:t xml:space="preserve"> standartinės klinikinės praktikos Lietuvoje, tačiau atsižvelgiant į nežymų šios dalies poveikį analizės rezultatui, pareiškėjo daromos prielaidos nebuvo keičiamos. Nei pirminėje paraiškoje, nei po užduotų klausimų pareiškėjas nepateikė svaraus paaiškinimo kaip buvo apskaičiuoti komplikacijų valdymo kaštai, bei kokios prielaidos buvo taikomos apskaičiuoti sekančių metų valdymo kaštams. Taigi, siekiant sumažinti analizės netikslumą, Tarnyba keitė šiuos apskaičiavimus ir taikė, jog komplikacijų valdymo kaštai sekančiais metais krinta 50 proc. nuo šių kaštų pirmais metais. Tačiau, Tarnyba pabrėžia, jog šių kaštų apskaičiavimas yra vienas iš šios analizės netikslumų. </w:t>
      </w:r>
    </w:p>
    <w:p w14:paraId="73CDCDB3" w14:textId="77777777" w:rsidR="00AA44E5" w:rsidRPr="0014562C" w:rsidRDefault="00AA44E5" w:rsidP="001918D7">
      <w:pPr>
        <w:spacing w:line="276" w:lineRule="auto"/>
        <w:jc w:val="both"/>
      </w:pPr>
    </w:p>
    <w:p w14:paraId="395947BC" w14:textId="15C124A1" w:rsidR="00AA44E5" w:rsidRPr="00A861D3" w:rsidRDefault="00AA44E5" w:rsidP="001918D7">
      <w:pPr>
        <w:spacing w:line="276" w:lineRule="auto"/>
        <w:jc w:val="both"/>
      </w:pPr>
      <w:r w:rsidRPr="0014562C">
        <w:t xml:space="preserve">Analizėje ligos našta nustatyta </w:t>
      </w:r>
      <w:r>
        <w:t>lengva</w:t>
      </w:r>
      <w:r w:rsidRPr="0014562C">
        <w:t>, o referen</w:t>
      </w:r>
      <w:r>
        <w:t>c</w:t>
      </w:r>
      <w:r w:rsidRPr="0014562C">
        <w:t xml:space="preserve">inė kaštų naudingumo vertė – </w:t>
      </w:r>
      <w:r w:rsidR="00784AAC">
        <w:t>*</w:t>
      </w:r>
      <w:r w:rsidRPr="0014562C">
        <w:t xml:space="preserve"> BVP </w:t>
      </w:r>
      <w:r w:rsidRPr="001918D7">
        <w:rPr>
          <w:i/>
          <w:iCs/>
        </w:rPr>
        <w:t>per capita</w:t>
      </w:r>
      <w:r w:rsidRPr="0014562C">
        <w:t>. Atsižvelgiant į Tarnybos taikomas prielaidas, įvertinta jog tirzepatidas nėra kaštams naudingas, ir turėtų būti taikoma</w:t>
      </w:r>
      <w:r>
        <w:t xml:space="preserve"> papildoma</w:t>
      </w:r>
      <w:r w:rsidRPr="0014562C">
        <w:t xml:space="preserve"> </w:t>
      </w:r>
      <w:r>
        <w:t xml:space="preserve">bent </w:t>
      </w:r>
      <w:r w:rsidR="00784AAC">
        <w:t>**</w:t>
      </w:r>
      <w:r w:rsidRPr="0014562C">
        <w:t xml:space="preserve"> proc. nuolaida. </w:t>
      </w:r>
    </w:p>
    <w:p w14:paraId="73687C5C" w14:textId="77777777" w:rsidR="0025123C" w:rsidRPr="00164D64" w:rsidRDefault="0025123C"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25123C" w:rsidRPr="000203E1" w14:paraId="319AF392" w14:textId="77777777" w:rsidTr="0025123C">
        <w:trPr>
          <w:trHeight w:val="267"/>
          <w:jc w:val="center"/>
        </w:trPr>
        <w:tc>
          <w:tcPr>
            <w:tcW w:w="6200" w:type="dxa"/>
            <w:tcBorders>
              <w:left w:val="single" w:sz="4" w:space="0" w:color="auto"/>
            </w:tcBorders>
          </w:tcPr>
          <w:p w14:paraId="44CD8D27" w14:textId="27245A0B" w:rsidR="0025123C" w:rsidRPr="000203E1" w:rsidRDefault="0025123C" w:rsidP="0025123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36BF24C1" w:rsidR="0025123C" w:rsidRPr="000203E1" w:rsidRDefault="00784AAC" w:rsidP="0025123C">
            <w:pPr>
              <w:tabs>
                <w:tab w:val="left" w:pos="567"/>
              </w:tabs>
              <w:jc w:val="both"/>
              <w:rPr>
                <w:i/>
                <w:iCs/>
                <w:lang w:eastAsia="lt-LT"/>
              </w:rPr>
            </w:pPr>
            <w:r>
              <w:rPr>
                <w:i/>
                <w:iCs/>
                <w:lang w:eastAsia="lt-LT"/>
              </w:rPr>
              <w:t>***</w:t>
            </w:r>
            <w:r w:rsidR="0025123C">
              <w:rPr>
                <w:i/>
                <w:iCs/>
                <w:lang w:eastAsia="lt-LT"/>
              </w:rPr>
              <w:t xml:space="preserve"> EUR </w:t>
            </w:r>
          </w:p>
        </w:tc>
      </w:tr>
      <w:tr w:rsidR="0025123C" w:rsidRPr="000203E1" w14:paraId="49F818A3" w14:textId="77777777" w:rsidTr="0025123C">
        <w:trPr>
          <w:trHeight w:val="267"/>
          <w:jc w:val="center"/>
        </w:trPr>
        <w:tc>
          <w:tcPr>
            <w:tcW w:w="6200" w:type="dxa"/>
            <w:tcBorders>
              <w:left w:val="single" w:sz="4" w:space="0" w:color="auto"/>
            </w:tcBorders>
          </w:tcPr>
          <w:p w14:paraId="021DB925" w14:textId="389F1BF5" w:rsidR="0025123C" w:rsidRPr="000203E1" w:rsidRDefault="0025123C" w:rsidP="0025123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4954817B" w14:textId="715C0039" w:rsidR="0025123C" w:rsidRPr="000203E1" w:rsidRDefault="0025123C" w:rsidP="0025123C">
            <w:pPr>
              <w:tabs>
                <w:tab w:val="left" w:pos="567"/>
              </w:tabs>
              <w:jc w:val="both"/>
              <w:rPr>
                <w:i/>
                <w:iCs/>
                <w:lang w:eastAsia="lt-LT"/>
              </w:rPr>
            </w:pPr>
            <w:r w:rsidRPr="009300B3">
              <w:rPr>
                <w:lang w:eastAsia="lt-LT"/>
              </w:rPr>
              <w:t>Skirtumas:</w:t>
            </w:r>
            <w:r>
              <w:rPr>
                <w:lang w:eastAsia="lt-LT"/>
              </w:rPr>
              <w:t xml:space="preserve"> </w:t>
            </w:r>
            <w:r w:rsidR="00784AAC">
              <w:rPr>
                <w:i/>
                <w:iCs/>
                <w:lang w:eastAsia="lt-LT"/>
              </w:rPr>
              <w:t>***</w:t>
            </w:r>
          </w:p>
        </w:tc>
      </w:tr>
      <w:tr w:rsidR="0025123C" w:rsidRPr="000203E1" w14:paraId="20ADA742" w14:textId="77777777" w:rsidTr="0025123C">
        <w:trPr>
          <w:trHeight w:val="267"/>
          <w:jc w:val="center"/>
        </w:trPr>
        <w:tc>
          <w:tcPr>
            <w:tcW w:w="6200" w:type="dxa"/>
            <w:tcBorders>
              <w:left w:val="single" w:sz="4" w:space="0" w:color="auto"/>
            </w:tcBorders>
          </w:tcPr>
          <w:p w14:paraId="0F567576" w14:textId="2606A2E9" w:rsidR="0025123C" w:rsidRPr="000203E1" w:rsidRDefault="0025123C" w:rsidP="0025123C">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02E4DAE1" w14:textId="0E0EE89C" w:rsidR="0025123C" w:rsidRPr="000203E1" w:rsidRDefault="0025123C" w:rsidP="0025123C">
            <w:pPr>
              <w:tabs>
                <w:tab w:val="left" w:pos="567"/>
              </w:tabs>
              <w:jc w:val="both"/>
              <w:rPr>
                <w:i/>
                <w:iCs/>
                <w:lang w:eastAsia="lt-LT"/>
              </w:rPr>
            </w:pPr>
            <w:r w:rsidRPr="009300B3">
              <w:rPr>
                <w:lang w:eastAsia="lt-LT"/>
              </w:rPr>
              <w:t xml:space="preserve">Skirtumas: </w:t>
            </w:r>
            <w:r w:rsidR="00784AAC">
              <w:rPr>
                <w:i/>
                <w:iCs/>
                <w:lang w:eastAsia="lt-LT"/>
              </w:rPr>
              <w:t>***</w:t>
            </w:r>
          </w:p>
        </w:tc>
      </w:tr>
      <w:tr w:rsidR="0025123C" w:rsidRPr="000203E1" w14:paraId="1FADA2B3" w14:textId="77777777" w:rsidTr="0025123C">
        <w:trPr>
          <w:trHeight w:val="267"/>
          <w:jc w:val="center"/>
        </w:trPr>
        <w:tc>
          <w:tcPr>
            <w:tcW w:w="6200" w:type="dxa"/>
            <w:tcBorders>
              <w:left w:val="single" w:sz="4" w:space="0" w:color="auto"/>
            </w:tcBorders>
          </w:tcPr>
          <w:p w14:paraId="13E089E8" w14:textId="0BCEB339" w:rsidR="0025123C" w:rsidRPr="000203E1" w:rsidRDefault="0025123C" w:rsidP="0025123C">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2817448D" w14:textId="75CE67B7" w:rsidR="0025123C" w:rsidRPr="000203E1" w:rsidRDefault="00784AAC" w:rsidP="0025123C">
            <w:pPr>
              <w:tabs>
                <w:tab w:val="left" w:pos="567"/>
              </w:tabs>
              <w:rPr>
                <w:i/>
                <w:iCs/>
                <w:lang w:eastAsia="lt-LT"/>
              </w:rPr>
            </w:pPr>
            <w:r>
              <w:rPr>
                <w:i/>
                <w:iCs/>
                <w:lang w:eastAsia="lt-LT"/>
              </w:rPr>
              <w:t xml:space="preserve">*** </w:t>
            </w:r>
            <w:r w:rsidR="0025123C">
              <w:rPr>
                <w:i/>
                <w:iCs/>
                <w:lang w:eastAsia="lt-LT"/>
              </w:rPr>
              <w:t>EUR/LY</w:t>
            </w:r>
          </w:p>
        </w:tc>
      </w:tr>
      <w:tr w:rsidR="0025123C" w:rsidRPr="000203E1" w14:paraId="250DE960" w14:textId="77777777" w:rsidTr="0025123C">
        <w:trPr>
          <w:trHeight w:val="267"/>
          <w:jc w:val="center"/>
        </w:trPr>
        <w:tc>
          <w:tcPr>
            <w:tcW w:w="6200" w:type="dxa"/>
            <w:tcBorders>
              <w:left w:val="single" w:sz="4" w:space="0" w:color="auto"/>
            </w:tcBorders>
          </w:tcPr>
          <w:p w14:paraId="207EFB23" w14:textId="77777777" w:rsidR="0025123C" w:rsidRPr="000203E1" w:rsidRDefault="0025123C" w:rsidP="0025123C">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275320D" w14:textId="305D4453" w:rsidR="0025123C" w:rsidRPr="000203E1" w:rsidRDefault="00784AAC" w:rsidP="0025123C">
            <w:pPr>
              <w:tabs>
                <w:tab w:val="left" w:pos="567"/>
              </w:tabs>
              <w:jc w:val="both"/>
              <w:rPr>
                <w:i/>
                <w:iCs/>
                <w:lang w:eastAsia="lt-LT"/>
              </w:rPr>
            </w:pPr>
            <w:r>
              <w:rPr>
                <w:i/>
                <w:iCs/>
                <w:lang w:eastAsia="lt-LT"/>
              </w:rPr>
              <w:t xml:space="preserve">*** </w:t>
            </w:r>
            <w:r w:rsidR="0025123C">
              <w:rPr>
                <w:i/>
                <w:iCs/>
                <w:lang w:eastAsia="lt-LT"/>
              </w:rPr>
              <w:t>EUR/QALY</w:t>
            </w:r>
          </w:p>
        </w:tc>
      </w:tr>
      <w:tr w:rsidR="0025123C" w:rsidRPr="000203E1" w14:paraId="2C4C68BA" w14:textId="77777777" w:rsidTr="0025123C">
        <w:trPr>
          <w:trHeight w:val="267"/>
          <w:jc w:val="center"/>
        </w:trPr>
        <w:tc>
          <w:tcPr>
            <w:tcW w:w="6200" w:type="dxa"/>
            <w:tcBorders>
              <w:left w:val="single" w:sz="4" w:space="0" w:color="auto"/>
              <w:bottom w:val="single" w:sz="4" w:space="0" w:color="auto"/>
              <w:right w:val="single" w:sz="4" w:space="0" w:color="auto"/>
            </w:tcBorders>
          </w:tcPr>
          <w:p w14:paraId="21BEDABF" w14:textId="3471AFB3" w:rsidR="0025123C" w:rsidRPr="000203E1" w:rsidRDefault="0025123C" w:rsidP="0025123C">
            <w:pPr>
              <w:tabs>
                <w:tab w:val="left" w:pos="567"/>
              </w:tabs>
              <w:jc w:val="right"/>
              <w:rPr>
                <w:iCs/>
                <w:lang w:eastAsia="lt-LT"/>
              </w:rPr>
            </w:pPr>
            <w:r>
              <w:rPr>
                <w:iCs/>
                <w:lang w:eastAsia="lt-LT"/>
              </w:rPr>
              <w:t>Referenc</w:t>
            </w:r>
            <w:r w:rsidRPr="000203E1">
              <w:rPr>
                <w:iCs/>
                <w:lang w:eastAsia="lt-LT"/>
              </w:rPr>
              <w:t>inė kaštų naudingumo vertė</w:t>
            </w:r>
          </w:p>
        </w:tc>
        <w:tc>
          <w:tcPr>
            <w:tcW w:w="3239" w:type="dxa"/>
            <w:tcBorders>
              <w:left w:val="single" w:sz="4" w:space="0" w:color="auto"/>
              <w:bottom w:val="single" w:sz="4" w:space="0" w:color="auto"/>
              <w:right w:val="single" w:sz="4" w:space="0" w:color="auto"/>
            </w:tcBorders>
          </w:tcPr>
          <w:p w14:paraId="31DAA72E" w14:textId="0CB1F02B" w:rsidR="0025123C" w:rsidRPr="000203E1" w:rsidRDefault="00784AAC" w:rsidP="0025123C">
            <w:pPr>
              <w:tabs>
                <w:tab w:val="left" w:pos="567"/>
              </w:tabs>
              <w:rPr>
                <w:i/>
                <w:iCs/>
                <w:lang w:eastAsia="lt-LT"/>
              </w:rPr>
            </w:pPr>
            <w:r>
              <w:rPr>
                <w:i/>
                <w:iCs/>
                <w:lang w:eastAsia="lt-LT"/>
              </w:rPr>
              <w:t xml:space="preserve">*** </w:t>
            </w:r>
            <w:r w:rsidR="0025123C">
              <w:rPr>
                <w:i/>
                <w:iCs/>
                <w:lang w:eastAsia="lt-LT"/>
              </w:rPr>
              <w:t xml:space="preserve"> EUR/QALY</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Sraopastraipa"/>
        <w:tabs>
          <w:tab w:val="left" w:pos="567"/>
        </w:tabs>
        <w:rPr>
          <w:b/>
          <w:bCs/>
          <w:caps/>
        </w:rPr>
      </w:pPr>
    </w:p>
    <w:p w14:paraId="62992180" w14:textId="79943F28"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09414FFF" w:rsidR="00C62B36" w:rsidRDefault="00D67BAF" w:rsidP="00CC09D4">
      <w:pPr>
        <w:pStyle w:val="Sraopastraipa"/>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 xml:space="preserve"> organizacijų pateikti duomenys</w:t>
      </w:r>
    </w:p>
    <w:p w14:paraId="044D5084" w14:textId="77777777" w:rsidR="00C9728E" w:rsidRPr="000203E1" w:rsidRDefault="00C9728E" w:rsidP="00C9728E">
      <w:pPr>
        <w:pStyle w:val="Sraopastraipa"/>
        <w:tabs>
          <w:tab w:val="left" w:pos="567"/>
        </w:tabs>
        <w:rPr>
          <w:b/>
          <w:bCs/>
          <w:caps/>
        </w:rPr>
      </w:pPr>
    </w:p>
    <w:p w14:paraId="5D8CC48C" w14:textId="4707256F" w:rsidR="00662983"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Sraopastraipa"/>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12E68966"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21231B">
                  <w:rPr>
                    <w:rStyle w:val="Style2"/>
                    <w:rFonts w:ascii="MS Gothic" w:eastAsia="MS Gothic" w:hAnsi="MS Gothic" w:hint="eastAsia"/>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lastRenderedPageBreak/>
              <w:t>Kaštų naudingumas</w:t>
            </w:r>
          </w:p>
        </w:tc>
      </w:tr>
      <w:tr w:rsidR="00B811A4" w:rsidRPr="00B811A4" w14:paraId="6A2F62B2" w14:textId="77777777" w:rsidTr="00743956">
        <w:tc>
          <w:tcPr>
            <w:tcW w:w="4820" w:type="dxa"/>
          </w:tcPr>
          <w:p w14:paraId="7CB2C697" w14:textId="44A4E1DF"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6FDF696F"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Content>
                <w:r w:rsidR="0025123C">
                  <w:rPr>
                    <w:rStyle w:val="Style2"/>
                    <w:rFonts w:ascii="MS Gothic" w:eastAsia="MS Gothic" w:hAnsi="MS Gothic" w:hint="eastAsia"/>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47C5A3CE" w:rsidR="007111C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7111C4" w:rsidRPr="009300B3">
                  <w:rPr>
                    <w:rStyle w:val="Style2"/>
                    <w:rFonts w:ascii="Segoe UI Symbol" w:eastAsia="MS Gothic" w:hAnsi="Segoe UI Symbol" w:cs="Segoe UI Symbol"/>
                    <w:sz w:val="23"/>
                    <w:szCs w:val="23"/>
                  </w:rPr>
                  <w:t>☐</w:t>
                </w:r>
              </w:sdtContent>
            </w:sdt>
            <w:r w:rsidR="007111C4">
              <w:rPr>
                <w:sz w:val="23"/>
                <w:szCs w:val="23"/>
              </w:rPr>
              <w:t xml:space="preserve"> </w:t>
            </w:r>
            <w:r w:rsidR="007111C4" w:rsidRPr="007111C4">
              <w:rPr>
                <w:color w:val="000000"/>
                <w:sz w:val="23"/>
                <w:szCs w:val="23"/>
              </w:rPr>
              <w:t>Vykdant Aprašo &lt;17</w:t>
            </w:r>
            <w:r w:rsidR="007111C4" w:rsidRPr="007111C4">
              <w:rPr>
                <w:color w:val="000000"/>
                <w:sz w:val="23"/>
                <w:szCs w:val="23"/>
                <w:vertAlign w:val="superscript"/>
              </w:rPr>
              <w:t>3</w:t>
            </w:r>
            <w:r w:rsidR="007111C4" w:rsidRPr="007111C4">
              <w:rPr>
                <w:color w:val="000000"/>
                <w:sz w:val="23"/>
                <w:szCs w:val="23"/>
              </w:rPr>
              <w:t>.1&gt;&lt;17</w:t>
            </w:r>
            <w:r w:rsidR="007111C4" w:rsidRPr="007111C4">
              <w:rPr>
                <w:color w:val="000000"/>
                <w:sz w:val="23"/>
                <w:szCs w:val="23"/>
                <w:vertAlign w:val="superscript"/>
              </w:rPr>
              <w:t>3</w:t>
            </w:r>
            <w:r w:rsidR="007111C4" w:rsidRPr="007111C4">
              <w:rPr>
                <w:color w:val="000000"/>
                <w:sz w:val="23"/>
                <w:szCs w:val="23"/>
              </w:rPr>
              <w:t>.2&gt;&lt;17</w:t>
            </w:r>
            <w:r w:rsidR="007111C4" w:rsidRPr="007111C4">
              <w:rPr>
                <w:color w:val="000000"/>
                <w:sz w:val="23"/>
                <w:szCs w:val="23"/>
                <w:vertAlign w:val="superscript"/>
              </w:rPr>
              <w:t>3</w:t>
            </w:r>
            <w:r w:rsidR="007111C4" w:rsidRPr="007111C4">
              <w:rPr>
                <w:color w:val="000000"/>
                <w:sz w:val="23"/>
                <w:szCs w:val="23"/>
              </w:rPr>
              <w:t>.3&gt; punktą vaistinio (-ų) preparato (-ų) ekonominis vertinimas neatliekamas, išvados dėl kaštų naudingumo neteikiamos</w:t>
            </w:r>
          </w:p>
        </w:tc>
      </w:tr>
    </w:tbl>
    <w:p w14:paraId="6004A3EE" w14:textId="77777777" w:rsidR="000B5820" w:rsidRPr="000203E1" w:rsidRDefault="000B5820"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Sraopastraipa"/>
        <w:ind w:left="567"/>
        <w:rPr>
          <w:b/>
        </w:rPr>
      </w:pPr>
    </w:p>
    <w:p w14:paraId="4A9EEA9E" w14:textId="77777777" w:rsidR="0025123C" w:rsidRDefault="0025123C" w:rsidP="0025123C">
      <w:pPr>
        <w:jc w:val="both"/>
        <w:rPr>
          <w:color w:val="000000"/>
          <w:lang w:eastAsia="lt-LT"/>
        </w:rPr>
      </w:pPr>
      <w:r w:rsidRPr="009300B3">
        <w:t xml:space="preserve">Vadovaujantis </w:t>
      </w:r>
      <w:r>
        <w:t>Aprašo</w:t>
      </w:r>
      <w:bookmarkStart w:id="2" w:name="_Hlk190784826"/>
      <w:r>
        <w:t xml:space="preserve"> </w:t>
      </w:r>
      <w:r w:rsidRPr="009300B3">
        <w:rPr>
          <w:color w:val="000000"/>
          <w:lang w:eastAsia="lt-LT"/>
        </w:rPr>
        <w:t>30</w:t>
      </w:r>
      <w:r w:rsidRPr="009300B3">
        <w:rPr>
          <w:color w:val="000000"/>
          <w:vertAlign w:val="superscript"/>
          <w:lang w:eastAsia="lt-LT"/>
        </w:rPr>
        <w:t>1</w:t>
      </w:r>
      <w:r w:rsidRPr="009300B3">
        <w:rPr>
          <w:color w:val="000000"/>
          <w:lang w:eastAsia="lt-LT"/>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r>
        <w:rPr>
          <w:color w:val="000000"/>
          <w:lang w:eastAsia="lt-LT"/>
        </w:rPr>
        <w:t>.</w:t>
      </w:r>
      <w:bookmarkEnd w:id="2"/>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77777777" w:rsidR="00B811A4" w:rsidRPr="0073329D" w:rsidRDefault="00B811A4" w:rsidP="00B811A4">
      <w:pPr>
        <w:tabs>
          <w:tab w:val="left" w:pos="426"/>
        </w:tabs>
        <w:jc w:val="both"/>
        <w:rPr>
          <w:b/>
          <w:lang w:eastAsia="lt-LT"/>
        </w:rPr>
      </w:pPr>
      <w:r w:rsidRPr="0089345A">
        <w:rPr>
          <w:b/>
          <w:lang w:eastAsia="lt-LT"/>
        </w:rPr>
        <w:t>4.3 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78883BE5" w14:textId="77777777" w:rsidR="000B5820" w:rsidRPr="009300B3" w:rsidRDefault="000B5820" w:rsidP="000B5820">
      <w:pPr>
        <w:pStyle w:val="Betarp"/>
        <w:jc w:val="both"/>
        <w:rPr>
          <w:rFonts w:ascii="Times New Roman" w:hAnsi="Times New Roman"/>
          <w:b/>
          <w:sz w:val="24"/>
          <w:szCs w:val="24"/>
          <w:lang w:eastAsia="lt-LT"/>
        </w:rPr>
      </w:pPr>
      <w:r w:rsidRPr="009300B3">
        <w:rPr>
          <w:rFonts w:ascii="Times New Roman" w:hAnsi="Times New Roman"/>
          <w:b/>
          <w:sz w:val="24"/>
          <w:szCs w:val="24"/>
          <w:lang w:eastAsia="lt-LT"/>
        </w:rPr>
        <w:t>Terapinės indikacijos</w:t>
      </w:r>
    </w:p>
    <w:p w14:paraId="1D6EBA67" w14:textId="77777777" w:rsidR="000B5820" w:rsidRPr="001918D7" w:rsidRDefault="000B5820" w:rsidP="000B5820">
      <w:pPr>
        <w:pStyle w:val="Betarp"/>
        <w:jc w:val="both"/>
        <w:rPr>
          <w:rFonts w:ascii="Times New Roman" w:hAnsi="Times New Roman"/>
          <w:bCs/>
          <w:i/>
          <w:iCs/>
          <w:sz w:val="24"/>
          <w:szCs w:val="24"/>
          <w:lang w:eastAsia="lt-LT"/>
        </w:rPr>
      </w:pPr>
    </w:p>
    <w:p w14:paraId="3BF1D5B6" w14:textId="77777777" w:rsidR="000B5820" w:rsidRDefault="000B5820" w:rsidP="000B5820">
      <w:pPr>
        <w:pStyle w:val="Betarp"/>
        <w:jc w:val="both"/>
        <w:rPr>
          <w:rFonts w:ascii="Times New Roman" w:hAnsi="Times New Roman"/>
          <w:sz w:val="24"/>
          <w:szCs w:val="24"/>
        </w:rPr>
      </w:pPr>
      <w:r w:rsidRPr="001918D7">
        <w:rPr>
          <w:rFonts w:ascii="Times New Roman" w:hAnsi="Times New Roman"/>
          <w:sz w:val="24"/>
          <w:szCs w:val="24"/>
        </w:rPr>
        <w:t xml:space="preserve">Mounjaro </w:t>
      </w:r>
      <w:r w:rsidRPr="004D0D3C">
        <w:rPr>
          <w:rFonts w:ascii="Times New Roman" w:hAnsi="Times New Roman"/>
          <w:sz w:val="24"/>
          <w:szCs w:val="24"/>
        </w:rPr>
        <w:t xml:space="preserve">skirtas suaugusiems 2 tipo cukriniu diabetu sergantiems pacientams gydyti kartu su dieta ir fiziniu krūviu: </w:t>
      </w:r>
    </w:p>
    <w:p w14:paraId="47A08E38" w14:textId="77777777" w:rsidR="000B5820" w:rsidRPr="004D0D3C" w:rsidRDefault="000B5820" w:rsidP="000B5820">
      <w:pPr>
        <w:pStyle w:val="Betarp"/>
        <w:numPr>
          <w:ilvl w:val="0"/>
          <w:numId w:val="16"/>
        </w:numPr>
        <w:jc w:val="both"/>
        <w:rPr>
          <w:rFonts w:ascii="Times New Roman" w:hAnsi="Times New Roman"/>
          <w:sz w:val="24"/>
          <w:szCs w:val="24"/>
        </w:rPr>
      </w:pPr>
      <w:r w:rsidRPr="004D0D3C">
        <w:rPr>
          <w:rFonts w:ascii="Times New Roman" w:hAnsi="Times New Roman"/>
          <w:sz w:val="24"/>
          <w:szCs w:val="24"/>
        </w:rPr>
        <w:t>papildomai kartu su kitais diabetui gydyti skirtais vaistiniais preparatais.</w:t>
      </w:r>
    </w:p>
    <w:p w14:paraId="757CD1C8" w14:textId="77777777" w:rsidR="000B5820" w:rsidRDefault="000B5820" w:rsidP="000B5820">
      <w:pPr>
        <w:pStyle w:val="Betarp"/>
        <w:jc w:val="both"/>
        <w:rPr>
          <w:rFonts w:ascii="Times New Roman" w:hAnsi="Times New Roman"/>
          <w:sz w:val="24"/>
          <w:szCs w:val="24"/>
        </w:rPr>
      </w:pPr>
    </w:p>
    <w:p w14:paraId="5088E4E2" w14:textId="77777777" w:rsidR="000B5820" w:rsidRPr="009300B3" w:rsidRDefault="000B5820" w:rsidP="000B5820">
      <w:pPr>
        <w:pStyle w:val="Betarp"/>
        <w:jc w:val="both"/>
        <w:rPr>
          <w:rFonts w:ascii="Times New Roman" w:hAnsi="Times New Roman"/>
          <w:sz w:val="24"/>
          <w:szCs w:val="24"/>
        </w:rPr>
      </w:pPr>
      <w:r w:rsidRPr="004D0D3C">
        <w:rPr>
          <w:rFonts w:ascii="Times New Roman" w:hAnsi="Times New Roman"/>
          <w:sz w:val="24"/>
          <w:szCs w:val="24"/>
        </w:rPr>
        <w:t>TLK-10 AM kodas: E11.</w:t>
      </w:r>
    </w:p>
    <w:p w14:paraId="2EC19C6D" w14:textId="77777777" w:rsidR="000B5820" w:rsidRPr="009300B3" w:rsidRDefault="000B5820" w:rsidP="000B5820">
      <w:pPr>
        <w:pStyle w:val="Betarp"/>
        <w:jc w:val="both"/>
        <w:rPr>
          <w:rFonts w:ascii="Times New Roman" w:hAnsi="Times New Roman"/>
          <w:sz w:val="24"/>
          <w:szCs w:val="24"/>
        </w:rPr>
      </w:pPr>
    </w:p>
    <w:p w14:paraId="549AD1C5" w14:textId="77777777" w:rsidR="000B5820" w:rsidRPr="009300B3" w:rsidRDefault="000B5820" w:rsidP="000B5820">
      <w:pPr>
        <w:pStyle w:val="Betarp"/>
        <w:jc w:val="both"/>
        <w:rPr>
          <w:rFonts w:ascii="Times New Roman" w:hAnsi="Times New Roman"/>
          <w:b/>
          <w:sz w:val="24"/>
          <w:szCs w:val="24"/>
        </w:rPr>
      </w:pPr>
      <w:r w:rsidRPr="009300B3">
        <w:rPr>
          <w:rFonts w:ascii="Times New Roman" w:hAnsi="Times New Roman"/>
          <w:b/>
          <w:sz w:val="24"/>
          <w:szCs w:val="24"/>
        </w:rPr>
        <w:t>Skyrimo sąlygos</w:t>
      </w:r>
    </w:p>
    <w:p w14:paraId="526E5A0B" w14:textId="77777777" w:rsidR="000B5820" w:rsidRDefault="000B5820" w:rsidP="000B5820">
      <w:pPr>
        <w:pStyle w:val="Betarp"/>
        <w:jc w:val="both"/>
        <w:rPr>
          <w:rFonts w:ascii="Times New Roman" w:hAnsi="Times New Roman"/>
          <w:bCs/>
          <w:sz w:val="24"/>
          <w:szCs w:val="24"/>
          <w:lang w:eastAsia="lt-LT"/>
        </w:rPr>
      </w:pPr>
      <w:r w:rsidRPr="00804062">
        <w:rPr>
          <w:rFonts w:ascii="Times New Roman" w:hAnsi="Times New Roman"/>
          <w:bCs/>
          <w:sz w:val="24"/>
          <w:szCs w:val="24"/>
          <w:lang w:eastAsia="lt-LT"/>
        </w:rPr>
        <w:t>Skiriamas sveikatos apsaugos ministro nustatyta tvarka.</w:t>
      </w:r>
    </w:p>
    <w:p w14:paraId="6E812BEA" w14:textId="77777777" w:rsidR="000B5820" w:rsidRDefault="000B5820" w:rsidP="000B5820">
      <w:pPr>
        <w:pStyle w:val="Betarp"/>
        <w:jc w:val="both"/>
        <w:rPr>
          <w:rFonts w:ascii="Times New Roman" w:hAnsi="Times New Roman"/>
          <w:bCs/>
          <w:sz w:val="24"/>
          <w:szCs w:val="24"/>
          <w:lang w:eastAsia="lt-LT"/>
        </w:rPr>
      </w:pPr>
    </w:p>
    <w:p w14:paraId="6C7E9AA1" w14:textId="77777777" w:rsidR="000B5820" w:rsidRPr="000157D6" w:rsidRDefault="000B5820" w:rsidP="000B5820">
      <w:pPr>
        <w:pStyle w:val="Betarp"/>
        <w:jc w:val="both"/>
        <w:rPr>
          <w:rFonts w:ascii="Times New Roman" w:hAnsi="Times New Roman"/>
          <w:b/>
          <w:sz w:val="24"/>
          <w:szCs w:val="24"/>
          <w:lang w:eastAsia="lt-LT"/>
        </w:rPr>
      </w:pPr>
      <w:r>
        <w:rPr>
          <w:rFonts w:ascii="Times New Roman" w:hAnsi="Times New Roman"/>
          <w:b/>
          <w:sz w:val="24"/>
          <w:szCs w:val="24"/>
          <w:lang w:eastAsia="lt-LT"/>
        </w:rPr>
        <w:t>Pastaba</w:t>
      </w:r>
    </w:p>
    <w:p w14:paraId="4FFEFE9C" w14:textId="7220582E" w:rsidR="000B5820" w:rsidRPr="000157D6" w:rsidRDefault="000B5820" w:rsidP="000B5820">
      <w:pPr>
        <w:pStyle w:val="Betarp"/>
        <w:jc w:val="both"/>
        <w:rPr>
          <w:rFonts w:ascii="Times New Roman" w:hAnsi="Times New Roman"/>
          <w:bCs/>
          <w:sz w:val="24"/>
          <w:szCs w:val="24"/>
        </w:rPr>
      </w:pPr>
      <w:r>
        <w:rPr>
          <w:rFonts w:ascii="Times New Roman" w:hAnsi="Times New Roman"/>
          <w:bCs/>
          <w:sz w:val="24"/>
          <w:szCs w:val="24"/>
        </w:rPr>
        <w:t>Priėmus sprendimą kompensuoti tirzepatidą,</w:t>
      </w:r>
      <w:r w:rsidRPr="000157D6">
        <w:rPr>
          <w:rFonts w:ascii="Times New Roman" w:hAnsi="Times New Roman"/>
          <w:bCs/>
          <w:sz w:val="24"/>
          <w:szCs w:val="24"/>
        </w:rPr>
        <w:t xml:space="preserve"> </w:t>
      </w:r>
      <w:r>
        <w:rPr>
          <w:rFonts w:ascii="Times New Roman" w:hAnsi="Times New Roman"/>
          <w:bCs/>
          <w:sz w:val="24"/>
          <w:szCs w:val="24"/>
        </w:rPr>
        <w:t xml:space="preserve">reikia </w:t>
      </w:r>
      <w:r w:rsidRPr="000157D6">
        <w:rPr>
          <w:rFonts w:ascii="Times New Roman" w:hAnsi="Times New Roman"/>
          <w:bCs/>
          <w:sz w:val="24"/>
          <w:szCs w:val="24"/>
        </w:rPr>
        <w:t xml:space="preserve">papildyti </w:t>
      </w:r>
      <w:r w:rsidR="001918D7">
        <w:rPr>
          <w:rFonts w:ascii="Times New Roman" w:hAnsi="Times New Roman"/>
          <w:bCs/>
          <w:sz w:val="24"/>
          <w:szCs w:val="24"/>
        </w:rPr>
        <w:t xml:space="preserve">Lietuvos Respublikos Sveikatos apsaugos ministro 2012 m. vasario 28 d. įsakymu </w:t>
      </w:r>
      <w:r w:rsidRPr="000157D6">
        <w:rPr>
          <w:rFonts w:ascii="Times New Roman" w:hAnsi="Times New Roman"/>
          <w:bCs/>
          <w:sz w:val="24"/>
          <w:szCs w:val="24"/>
        </w:rPr>
        <w:t>„</w:t>
      </w:r>
      <w:r w:rsidR="001918D7">
        <w:rPr>
          <w:rFonts w:ascii="Times New Roman" w:hAnsi="Times New Roman"/>
          <w:bCs/>
          <w:sz w:val="24"/>
          <w:szCs w:val="24"/>
        </w:rPr>
        <w:t>Dėl c</w:t>
      </w:r>
      <w:r w:rsidRPr="000157D6">
        <w:rPr>
          <w:rFonts w:ascii="Times New Roman" w:hAnsi="Times New Roman"/>
          <w:bCs/>
          <w:sz w:val="24"/>
          <w:szCs w:val="24"/>
        </w:rPr>
        <w:t>ukrinio diabeto ir tarpinės hiperglikemijos diagnostikos ir gydymo vaistais, kurių įsigijimo išlaidos apmokamos Privalomojo sveikatos draudimo fondo biudžeto lėšomis, tvarkos aprašo</w:t>
      </w:r>
      <w:r w:rsidR="00663EBA">
        <w:rPr>
          <w:rFonts w:ascii="Times New Roman" w:hAnsi="Times New Roman"/>
          <w:bCs/>
          <w:sz w:val="24"/>
          <w:szCs w:val="24"/>
        </w:rPr>
        <w:t xml:space="preserve"> patvirtinimo</w:t>
      </w:r>
      <w:r w:rsidRPr="000157D6">
        <w:rPr>
          <w:rFonts w:ascii="Times New Roman" w:hAnsi="Times New Roman"/>
          <w:bCs/>
          <w:sz w:val="24"/>
          <w:szCs w:val="24"/>
        </w:rPr>
        <w:t>“</w:t>
      </w:r>
      <w:r w:rsidR="00663EBA">
        <w:rPr>
          <w:rFonts w:ascii="Times New Roman" w:hAnsi="Times New Roman"/>
          <w:bCs/>
          <w:sz w:val="24"/>
          <w:szCs w:val="24"/>
        </w:rPr>
        <w:t xml:space="preserve"> Nr.V-159 patvirtinto C</w:t>
      </w:r>
      <w:r w:rsidR="00663EBA" w:rsidRPr="00663EBA">
        <w:rPr>
          <w:rFonts w:ascii="Times New Roman" w:hAnsi="Times New Roman"/>
          <w:sz w:val="24"/>
          <w:szCs w:val="24"/>
        </w:rPr>
        <w:t>ukrinio diabeto ir tarpinės hiperglikemijos diagnostikos ir gydymo vaistais, kurių įsigijimo išlaidos apmokamos privalomojo sveikatos draudimo fondo biudžeto lėšomis, tvarkos apraš</w:t>
      </w:r>
      <w:r w:rsidR="00663EBA">
        <w:rPr>
          <w:rFonts w:ascii="Times New Roman" w:hAnsi="Times New Roman"/>
          <w:sz w:val="24"/>
          <w:szCs w:val="24"/>
        </w:rPr>
        <w:t>o</w:t>
      </w:r>
      <w:r w:rsidRPr="000157D6">
        <w:rPr>
          <w:rFonts w:ascii="Times New Roman" w:hAnsi="Times New Roman"/>
          <w:bCs/>
          <w:sz w:val="24"/>
          <w:szCs w:val="24"/>
        </w:rPr>
        <w:t xml:space="preserve"> 16.6.3.1.1. papunktį:</w:t>
      </w:r>
    </w:p>
    <w:p w14:paraId="047A84B6" w14:textId="77777777" w:rsidR="000B5820" w:rsidRPr="000157D6" w:rsidRDefault="000B5820" w:rsidP="000B5820">
      <w:pPr>
        <w:pStyle w:val="Betarp"/>
        <w:jc w:val="both"/>
        <w:rPr>
          <w:rFonts w:ascii="Times New Roman" w:hAnsi="Times New Roman"/>
          <w:bCs/>
          <w:sz w:val="24"/>
          <w:szCs w:val="24"/>
        </w:rPr>
      </w:pPr>
      <w:r w:rsidRPr="000157D6">
        <w:rPr>
          <w:rFonts w:ascii="Times New Roman" w:hAnsi="Times New Roman"/>
          <w:bCs/>
          <w:sz w:val="24"/>
          <w:szCs w:val="24"/>
        </w:rPr>
        <w:t>„16.6.3. skirti kito etapo gydymą trimis vaistais galima tik tada, jei ne trumpiau kaip 3 mėnesius gydant dviem vaistais maksimaliai toleruojamomis dozėmis nepasiekta individualizuota tikslinė HbA1c reikšmė, nustatyta vadovaujantis Aprašo 1 priedu:</w:t>
      </w:r>
    </w:p>
    <w:p w14:paraId="6B41EC04" w14:textId="77777777" w:rsidR="000B5820" w:rsidRPr="000157D6" w:rsidRDefault="000B5820" w:rsidP="000B5820">
      <w:pPr>
        <w:pStyle w:val="Betarp"/>
        <w:jc w:val="both"/>
        <w:rPr>
          <w:rFonts w:ascii="Times New Roman" w:hAnsi="Times New Roman"/>
          <w:bCs/>
          <w:sz w:val="24"/>
          <w:szCs w:val="24"/>
        </w:rPr>
      </w:pPr>
      <w:r w:rsidRPr="000157D6">
        <w:rPr>
          <w:rFonts w:ascii="Times New Roman" w:hAnsi="Times New Roman"/>
          <w:bCs/>
          <w:sz w:val="24"/>
          <w:szCs w:val="24"/>
        </w:rPr>
        <w:t>16.6.3.1. esant būtinybei stabilizuoti kūno masės didėjimą ar skatinti kūno masės mažėjimą skiriamas papildomas gydymas vienu iš šių vaistų:</w:t>
      </w:r>
    </w:p>
    <w:p w14:paraId="5B08549B" w14:textId="77777777" w:rsidR="000B5820" w:rsidRDefault="000B5820" w:rsidP="000B5820">
      <w:pPr>
        <w:pStyle w:val="Betarp"/>
        <w:jc w:val="both"/>
        <w:rPr>
          <w:rFonts w:ascii="Times New Roman" w:hAnsi="Times New Roman"/>
          <w:bCs/>
          <w:sz w:val="24"/>
          <w:szCs w:val="24"/>
        </w:rPr>
      </w:pPr>
      <w:r w:rsidRPr="000157D6">
        <w:rPr>
          <w:rFonts w:ascii="Times New Roman" w:hAnsi="Times New Roman"/>
          <w:bCs/>
          <w:sz w:val="24"/>
          <w:szCs w:val="24"/>
        </w:rPr>
        <w:t>16.6.3.1.1. GLP-1 analogais ar tirzepatidu, kai KMI lygus 32 kg/m</w:t>
      </w:r>
      <w:r w:rsidRPr="000157D6">
        <w:rPr>
          <w:rFonts w:ascii="Times New Roman" w:hAnsi="Times New Roman"/>
          <w:bCs/>
          <w:sz w:val="24"/>
          <w:szCs w:val="24"/>
          <w:vertAlign w:val="superscript"/>
        </w:rPr>
        <w:t>2</w:t>
      </w:r>
      <w:r w:rsidRPr="000157D6">
        <w:rPr>
          <w:rFonts w:ascii="Times New Roman" w:hAnsi="Times New Roman"/>
          <w:bCs/>
          <w:sz w:val="24"/>
          <w:szCs w:val="24"/>
        </w:rPr>
        <w:t xml:space="preserve"> ar didesnis; &lt;...&gt;“</w:t>
      </w:r>
    </w:p>
    <w:p w14:paraId="69A2A196" w14:textId="77777777" w:rsidR="000B5820" w:rsidRDefault="000B5820" w:rsidP="000B5820">
      <w:pPr>
        <w:pStyle w:val="Betarp"/>
        <w:jc w:val="both"/>
        <w:rPr>
          <w:rFonts w:ascii="Times New Roman" w:hAnsi="Times New Roman"/>
          <w:bCs/>
          <w:sz w:val="24"/>
          <w:szCs w:val="24"/>
        </w:rPr>
      </w:pPr>
    </w:p>
    <w:p w14:paraId="1F1DEB2F" w14:textId="77777777" w:rsidR="000B5820" w:rsidRDefault="000B5820" w:rsidP="000B5820">
      <w:pPr>
        <w:pStyle w:val="Betarp"/>
        <w:jc w:val="both"/>
        <w:rPr>
          <w:rFonts w:ascii="Times New Roman" w:hAnsi="Times New Roman"/>
          <w:bCs/>
          <w:sz w:val="24"/>
          <w:szCs w:val="24"/>
        </w:rPr>
      </w:pPr>
      <w:r>
        <w:rPr>
          <w:rFonts w:ascii="Times New Roman" w:hAnsi="Times New Roman"/>
          <w:bCs/>
          <w:sz w:val="24"/>
          <w:szCs w:val="24"/>
        </w:rPr>
        <w:t>Kol bus atliktos korekcijos tvarkos apraše, siūloma laikinai nustatyti tokias skyrimo sąlygas:</w:t>
      </w:r>
    </w:p>
    <w:p w14:paraId="59D42EEF" w14:textId="77777777" w:rsidR="000B5820" w:rsidRDefault="000B5820" w:rsidP="000B5820">
      <w:pPr>
        <w:pStyle w:val="Betarp"/>
        <w:jc w:val="both"/>
        <w:rPr>
          <w:rFonts w:ascii="Times New Roman" w:hAnsi="Times New Roman"/>
          <w:bCs/>
          <w:sz w:val="24"/>
          <w:szCs w:val="24"/>
        </w:rPr>
      </w:pPr>
    </w:p>
    <w:p w14:paraId="1EAFE839" w14:textId="77777777" w:rsidR="00DF1A58" w:rsidRDefault="000B5820" w:rsidP="00DF1A58">
      <w:pPr>
        <w:pStyle w:val="Betarp"/>
        <w:jc w:val="both"/>
        <w:rPr>
          <w:rFonts w:ascii="Times New Roman" w:hAnsi="Times New Roman"/>
          <w:bCs/>
          <w:sz w:val="24"/>
          <w:szCs w:val="24"/>
        </w:rPr>
      </w:pPr>
      <w:r>
        <w:rPr>
          <w:rFonts w:ascii="Times New Roman" w:hAnsi="Times New Roman"/>
          <w:bCs/>
          <w:sz w:val="24"/>
          <w:szCs w:val="24"/>
        </w:rPr>
        <w:t>Skiriamas 2 tipo cukrinio diabeto gydymui, kai ne trumpiau kaip 3 mėnesius gydant</w:t>
      </w:r>
      <w:r w:rsidRPr="00E63655">
        <w:rPr>
          <w:rFonts w:ascii="Times New Roman" w:hAnsi="Times New Roman"/>
          <w:bCs/>
          <w:sz w:val="24"/>
          <w:szCs w:val="24"/>
        </w:rPr>
        <w:t xml:space="preserve"> </w:t>
      </w:r>
      <w:r w:rsidRPr="000157D6">
        <w:rPr>
          <w:rFonts w:ascii="Times New Roman" w:hAnsi="Times New Roman"/>
          <w:bCs/>
          <w:sz w:val="24"/>
          <w:szCs w:val="24"/>
        </w:rPr>
        <w:t>dviem vaistais maksimaliai toleruojamomis dozėmis nepasiekta individualizuota tikslinė HbA1c reikšmė</w:t>
      </w:r>
      <w:r>
        <w:rPr>
          <w:rFonts w:ascii="Times New Roman" w:hAnsi="Times New Roman"/>
          <w:bCs/>
          <w:sz w:val="24"/>
          <w:szCs w:val="24"/>
        </w:rPr>
        <w:t xml:space="preserve"> ir KMI </w:t>
      </w:r>
      <w:r w:rsidRPr="000157D6">
        <w:rPr>
          <w:rFonts w:ascii="Times New Roman" w:hAnsi="Times New Roman"/>
          <w:bCs/>
          <w:sz w:val="24"/>
          <w:szCs w:val="24"/>
        </w:rPr>
        <w:t>lygus 32 kg/m</w:t>
      </w:r>
      <w:r w:rsidRPr="000157D6">
        <w:rPr>
          <w:rFonts w:ascii="Times New Roman" w:hAnsi="Times New Roman"/>
          <w:bCs/>
          <w:sz w:val="24"/>
          <w:szCs w:val="24"/>
          <w:vertAlign w:val="superscript"/>
        </w:rPr>
        <w:t>2</w:t>
      </w:r>
      <w:r w:rsidRPr="000157D6">
        <w:rPr>
          <w:rFonts w:ascii="Times New Roman" w:hAnsi="Times New Roman"/>
          <w:bCs/>
          <w:sz w:val="24"/>
          <w:szCs w:val="24"/>
        </w:rPr>
        <w:t xml:space="preserve"> ar didesnis</w:t>
      </w:r>
      <w:r>
        <w:rPr>
          <w:rFonts w:ascii="Times New Roman" w:hAnsi="Times New Roman"/>
          <w:bCs/>
          <w:sz w:val="24"/>
          <w:szCs w:val="24"/>
        </w:rPr>
        <w:t>.</w:t>
      </w:r>
    </w:p>
    <w:p w14:paraId="7CDFF220" w14:textId="6BE52A8F" w:rsidR="000723FF" w:rsidRPr="000203E1" w:rsidRDefault="00DF1A58" w:rsidP="00DF1A58">
      <w:pPr>
        <w:pStyle w:val="Betarp"/>
        <w:jc w:val="both"/>
        <w:rPr>
          <w:b/>
        </w:rPr>
      </w:pPr>
      <w:r>
        <w:rPr>
          <w:color w:val="000000"/>
          <w:lang w:eastAsia="lt-LT"/>
        </w:rPr>
        <w:t xml:space="preserve">                                                               </w:t>
      </w:r>
      <w:r w:rsidR="00283E59">
        <w:rPr>
          <w:color w:val="000000"/>
          <w:lang w:eastAsia="lt-LT"/>
        </w:rPr>
        <w:t>____________________________</w:t>
      </w:r>
    </w:p>
    <w:sectPr w:rsidR="000723FF" w:rsidRPr="000203E1"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CFC4" w14:textId="77777777" w:rsidR="00CC5464" w:rsidRDefault="00CC5464">
      <w:r>
        <w:separator/>
      </w:r>
    </w:p>
  </w:endnote>
  <w:endnote w:type="continuationSeparator" w:id="0">
    <w:p w14:paraId="0125C949" w14:textId="77777777" w:rsidR="00CC5464" w:rsidRDefault="00C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7E1D" w14:textId="77777777" w:rsidR="00CC5464" w:rsidRDefault="00CC5464">
      <w:r>
        <w:separator/>
      </w:r>
    </w:p>
  </w:footnote>
  <w:footnote w:type="continuationSeparator" w:id="0">
    <w:p w14:paraId="4798A49A" w14:textId="77777777" w:rsidR="00CC5464" w:rsidRDefault="00CC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0E5544"/>
    <w:multiLevelType w:val="hybridMultilevel"/>
    <w:tmpl w:val="B20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192B8C"/>
    <w:multiLevelType w:val="hybridMultilevel"/>
    <w:tmpl w:val="C9C65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763969">
    <w:abstractNumId w:val="8"/>
  </w:num>
  <w:num w:numId="2" w16cid:durableId="844636936">
    <w:abstractNumId w:val="2"/>
  </w:num>
  <w:num w:numId="3" w16cid:durableId="83651721">
    <w:abstractNumId w:val="10"/>
  </w:num>
  <w:num w:numId="4" w16cid:durableId="920262949">
    <w:abstractNumId w:val="9"/>
  </w:num>
  <w:num w:numId="5" w16cid:durableId="1477524625">
    <w:abstractNumId w:val="7"/>
  </w:num>
  <w:num w:numId="6" w16cid:durableId="540017923">
    <w:abstractNumId w:val="6"/>
  </w:num>
  <w:num w:numId="7" w16cid:durableId="1236479362">
    <w:abstractNumId w:val="4"/>
  </w:num>
  <w:num w:numId="8" w16cid:durableId="824786170">
    <w:abstractNumId w:val="14"/>
  </w:num>
  <w:num w:numId="9" w16cid:durableId="1994337129">
    <w:abstractNumId w:val="0"/>
  </w:num>
  <w:num w:numId="10" w16cid:durableId="1504778719">
    <w:abstractNumId w:val="11"/>
  </w:num>
  <w:num w:numId="11" w16cid:durableId="130634881">
    <w:abstractNumId w:val="13"/>
  </w:num>
  <w:num w:numId="12" w16cid:durableId="2075465105">
    <w:abstractNumId w:val="3"/>
  </w:num>
  <w:num w:numId="13" w16cid:durableId="1779064140">
    <w:abstractNumId w:val="5"/>
  </w:num>
  <w:num w:numId="14" w16cid:durableId="2088065061">
    <w:abstractNumId w:val="1"/>
  </w:num>
  <w:num w:numId="15" w16cid:durableId="1421489091">
    <w:abstractNumId w:val="15"/>
  </w:num>
  <w:num w:numId="16" w16cid:durableId="1512991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0F21"/>
    <w:rsid w:val="000723FF"/>
    <w:rsid w:val="000736B8"/>
    <w:rsid w:val="0008190F"/>
    <w:rsid w:val="00081D9C"/>
    <w:rsid w:val="00082907"/>
    <w:rsid w:val="0008378D"/>
    <w:rsid w:val="000908A5"/>
    <w:rsid w:val="00092805"/>
    <w:rsid w:val="000A50C9"/>
    <w:rsid w:val="000B2B2C"/>
    <w:rsid w:val="000B313D"/>
    <w:rsid w:val="000B5820"/>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66FBB"/>
    <w:rsid w:val="0017369C"/>
    <w:rsid w:val="00175D57"/>
    <w:rsid w:val="00180C39"/>
    <w:rsid w:val="00180D96"/>
    <w:rsid w:val="00184BD3"/>
    <w:rsid w:val="001918D7"/>
    <w:rsid w:val="001921F3"/>
    <w:rsid w:val="001A0CAA"/>
    <w:rsid w:val="001B3C5B"/>
    <w:rsid w:val="001C2FC8"/>
    <w:rsid w:val="001C6353"/>
    <w:rsid w:val="001D5B91"/>
    <w:rsid w:val="001D746F"/>
    <w:rsid w:val="001D7A76"/>
    <w:rsid w:val="001E0B2D"/>
    <w:rsid w:val="001E4BBB"/>
    <w:rsid w:val="001E6304"/>
    <w:rsid w:val="001F115E"/>
    <w:rsid w:val="0020381E"/>
    <w:rsid w:val="0021231B"/>
    <w:rsid w:val="00213471"/>
    <w:rsid w:val="00215906"/>
    <w:rsid w:val="00241CD8"/>
    <w:rsid w:val="00244B09"/>
    <w:rsid w:val="0025123C"/>
    <w:rsid w:val="002519CB"/>
    <w:rsid w:val="0025697F"/>
    <w:rsid w:val="00260258"/>
    <w:rsid w:val="0026588E"/>
    <w:rsid w:val="00272428"/>
    <w:rsid w:val="00272948"/>
    <w:rsid w:val="00283E59"/>
    <w:rsid w:val="00292392"/>
    <w:rsid w:val="002946C7"/>
    <w:rsid w:val="002964B8"/>
    <w:rsid w:val="002B3CC1"/>
    <w:rsid w:val="002C0686"/>
    <w:rsid w:val="002C09E0"/>
    <w:rsid w:val="002C100E"/>
    <w:rsid w:val="002C1BB1"/>
    <w:rsid w:val="002C2786"/>
    <w:rsid w:val="002C3A10"/>
    <w:rsid w:val="002C4A90"/>
    <w:rsid w:val="002C4ED5"/>
    <w:rsid w:val="002D02EF"/>
    <w:rsid w:val="002D5902"/>
    <w:rsid w:val="002E0702"/>
    <w:rsid w:val="002E1A83"/>
    <w:rsid w:val="002E57AD"/>
    <w:rsid w:val="002E6F80"/>
    <w:rsid w:val="002F0E4F"/>
    <w:rsid w:val="002F1053"/>
    <w:rsid w:val="002F44A5"/>
    <w:rsid w:val="00310E1D"/>
    <w:rsid w:val="00314816"/>
    <w:rsid w:val="00317B0E"/>
    <w:rsid w:val="00336238"/>
    <w:rsid w:val="00347FAA"/>
    <w:rsid w:val="0035172D"/>
    <w:rsid w:val="00353C93"/>
    <w:rsid w:val="0036187D"/>
    <w:rsid w:val="0036329E"/>
    <w:rsid w:val="00367EDB"/>
    <w:rsid w:val="003705F0"/>
    <w:rsid w:val="00381024"/>
    <w:rsid w:val="00385951"/>
    <w:rsid w:val="00386307"/>
    <w:rsid w:val="003874DE"/>
    <w:rsid w:val="00393E9F"/>
    <w:rsid w:val="0039696E"/>
    <w:rsid w:val="003B211A"/>
    <w:rsid w:val="003C141F"/>
    <w:rsid w:val="003C6B0E"/>
    <w:rsid w:val="003C7257"/>
    <w:rsid w:val="003C7E35"/>
    <w:rsid w:val="003D1E99"/>
    <w:rsid w:val="003D6208"/>
    <w:rsid w:val="00402895"/>
    <w:rsid w:val="00404E8A"/>
    <w:rsid w:val="0040622F"/>
    <w:rsid w:val="00413F24"/>
    <w:rsid w:val="00422853"/>
    <w:rsid w:val="00422DEA"/>
    <w:rsid w:val="00423160"/>
    <w:rsid w:val="00437623"/>
    <w:rsid w:val="00444A2B"/>
    <w:rsid w:val="00453862"/>
    <w:rsid w:val="0045469B"/>
    <w:rsid w:val="00461338"/>
    <w:rsid w:val="004673EC"/>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909"/>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63EBA"/>
    <w:rsid w:val="006834D3"/>
    <w:rsid w:val="00692625"/>
    <w:rsid w:val="00695CD3"/>
    <w:rsid w:val="006A38B6"/>
    <w:rsid w:val="006B1987"/>
    <w:rsid w:val="006B5B71"/>
    <w:rsid w:val="006B5D3E"/>
    <w:rsid w:val="006B6CB0"/>
    <w:rsid w:val="006C2B64"/>
    <w:rsid w:val="006D1BF3"/>
    <w:rsid w:val="006D4C85"/>
    <w:rsid w:val="006D66AC"/>
    <w:rsid w:val="006E33F6"/>
    <w:rsid w:val="006E3968"/>
    <w:rsid w:val="006F1251"/>
    <w:rsid w:val="006F1C23"/>
    <w:rsid w:val="00702C18"/>
    <w:rsid w:val="00703166"/>
    <w:rsid w:val="00707FDE"/>
    <w:rsid w:val="007111C4"/>
    <w:rsid w:val="007127F3"/>
    <w:rsid w:val="007301CF"/>
    <w:rsid w:val="007316FB"/>
    <w:rsid w:val="00737E2D"/>
    <w:rsid w:val="007424D5"/>
    <w:rsid w:val="00745C63"/>
    <w:rsid w:val="00750A88"/>
    <w:rsid w:val="007523DD"/>
    <w:rsid w:val="00757B7E"/>
    <w:rsid w:val="007656B2"/>
    <w:rsid w:val="0077016F"/>
    <w:rsid w:val="007713AD"/>
    <w:rsid w:val="00784AAC"/>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875BC"/>
    <w:rsid w:val="00891EF6"/>
    <w:rsid w:val="00892FF4"/>
    <w:rsid w:val="0089345A"/>
    <w:rsid w:val="008A0303"/>
    <w:rsid w:val="008A5FDD"/>
    <w:rsid w:val="008C3947"/>
    <w:rsid w:val="008D78DC"/>
    <w:rsid w:val="008E473B"/>
    <w:rsid w:val="008E51A6"/>
    <w:rsid w:val="008E7329"/>
    <w:rsid w:val="008F2ED5"/>
    <w:rsid w:val="0092297E"/>
    <w:rsid w:val="00923292"/>
    <w:rsid w:val="00923651"/>
    <w:rsid w:val="00924DF7"/>
    <w:rsid w:val="00927B56"/>
    <w:rsid w:val="009341BF"/>
    <w:rsid w:val="00937907"/>
    <w:rsid w:val="00941739"/>
    <w:rsid w:val="00946DF0"/>
    <w:rsid w:val="00951573"/>
    <w:rsid w:val="00963003"/>
    <w:rsid w:val="00965919"/>
    <w:rsid w:val="00966EEF"/>
    <w:rsid w:val="00971B28"/>
    <w:rsid w:val="00983471"/>
    <w:rsid w:val="009909AB"/>
    <w:rsid w:val="009967F5"/>
    <w:rsid w:val="009B37DB"/>
    <w:rsid w:val="009C7A8C"/>
    <w:rsid w:val="009D23F9"/>
    <w:rsid w:val="009D4FA8"/>
    <w:rsid w:val="009E44AE"/>
    <w:rsid w:val="009E5636"/>
    <w:rsid w:val="009E6CD6"/>
    <w:rsid w:val="009F4D66"/>
    <w:rsid w:val="00A00C3C"/>
    <w:rsid w:val="00A01091"/>
    <w:rsid w:val="00A042B9"/>
    <w:rsid w:val="00A04A9B"/>
    <w:rsid w:val="00A06DBB"/>
    <w:rsid w:val="00A22ADF"/>
    <w:rsid w:val="00A2304C"/>
    <w:rsid w:val="00A2310D"/>
    <w:rsid w:val="00A254A2"/>
    <w:rsid w:val="00A31E86"/>
    <w:rsid w:val="00A54D87"/>
    <w:rsid w:val="00A5553C"/>
    <w:rsid w:val="00A636A3"/>
    <w:rsid w:val="00A701C9"/>
    <w:rsid w:val="00A81785"/>
    <w:rsid w:val="00A84803"/>
    <w:rsid w:val="00A84C51"/>
    <w:rsid w:val="00A86F2B"/>
    <w:rsid w:val="00A91366"/>
    <w:rsid w:val="00A92F91"/>
    <w:rsid w:val="00A93AA6"/>
    <w:rsid w:val="00AA44E5"/>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27CB"/>
    <w:rsid w:val="00C3644F"/>
    <w:rsid w:val="00C37B53"/>
    <w:rsid w:val="00C42988"/>
    <w:rsid w:val="00C434EB"/>
    <w:rsid w:val="00C517D2"/>
    <w:rsid w:val="00C530F2"/>
    <w:rsid w:val="00C5772E"/>
    <w:rsid w:val="00C62B36"/>
    <w:rsid w:val="00C7012C"/>
    <w:rsid w:val="00C712EA"/>
    <w:rsid w:val="00C76720"/>
    <w:rsid w:val="00C85CF4"/>
    <w:rsid w:val="00C9728E"/>
    <w:rsid w:val="00CA217D"/>
    <w:rsid w:val="00CA3131"/>
    <w:rsid w:val="00CC09D4"/>
    <w:rsid w:val="00CC4F5F"/>
    <w:rsid w:val="00CC5464"/>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35BF1"/>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008A"/>
    <w:rsid w:val="00D9291C"/>
    <w:rsid w:val="00D93A97"/>
    <w:rsid w:val="00DA189E"/>
    <w:rsid w:val="00DA5602"/>
    <w:rsid w:val="00DB1F64"/>
    <w:rsid w:val="00DC261A"/>
    <w:rsid w:val="00DC2F53"/>
    <w:rsid w:val="00DC5BAC"/>
    <w:rsid w:val="00DC6816"/>
    <w:rsid w:val="00DC76C2"/>
    <w:rsid w:val="00DD1CF2"/>
    <w:rsid w:val="00DE4484"/>
    <w:rsid w:val="00DF1A58"/>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17D58"/>
    <w:rsid w:val="00F259FC"/>
    <w:rsid w:val="00F313F4"/>
    <w:rsid w:val="00F36972"/>
    <w:rsid w:val="00F42426"/>
    <w:rsid w:val="00F44F01"/>
    <w:rsid w:val="00F456BC"/>
    <w:rsid w:val="00F50666"/>
    <w:rsid w:val="00F6231C"/>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2123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1D7A76"/>
    <w:rsid w:val="00237556"/>
    <w:rsid w:val="002964B8"/>
    <w:rsid w:val="002C0686"/>
    <w:rsid w:val="002F44A5"/>
    <w:rsid w:val="00353C93"/>
    <w:rsid w:val="0039303B"/>
    <w:rsid w:val="00402895"/>
    <w:rsid w:val="004144A3"/>
    <w:rsid w:val="004160E7"/>
    <w:rsid w:val="004416C6"/>
    <w:rsid w:val="00456E96"/>
    <w:rsid w:val="004C6221"/>
    <w:rsid w:val="004D038D"/>
    <w:rsid w:val="004F4E20"/>
    <w:rsid w:val="004F5AB2"/>
    <w:rsid w:val="005074B9"/>
    <w:rsid w:val="0053130C"/>
    <w:rsid w:val="00563A5F"/>
    <w:rsid w:val="005C62E5"/>
    <w:rsid w:val="005E40DD"/>
    <w:rsid w:val="00601F4E"/>
    <w:rsid w:val="006E6A2C"/>
    <w:rsid w:val="007219C1"/>
    <w:rsid w:val="00745C63"/>
    <w:rsid w:val="00753462"/>
    <w:rsid w:val="00772325"/>
    <w:rsid w:val="007A2FE0"/>
    <w:rsid w:val="007C6D1D"/>
    <w:rsid w:val="007D654E"/>
    <w:rsid w:val="007F2B63"/>
    <w:rsid w:val="00892FF4"/>
    <w:rsid w:val="008C0DC0"/>
    <w:rsid w:val="0090074D"/>
    <w:rsid w:val="00901A35"/>
    <w:rsid w:val="009967F5"/>
    <w:rsid w:val="009B3BF0"/>
    <w:rsid w:val="009D5E5E"/>
    <w:rsid w:val="009F1BB4"/>
    <w:rsid w:val="00A04A9B"/>
    <w:rsid w:val="00A11386"/>
    <w:rsid w:val="00A20D39"/>
    <w:rsid w:val="00A2304C"/>
    <w:rsid w:val="00A254A2"/>
    <w:rsid w:val="00A41090"/>
    <w:rsid w:val="00AB2D54"/>
    <w:rsid w:val="00AB6ED4"/>
    <w:rsid w:val="00AF6D3C"/>
    <w:rsid w:val="00B14210"/>
    <w:rsid w:val="00B22ED6"/>
    <w:rsid w:val="00B23DC0"/>
    <w:rsid w:val="00B71F04"/>
    <w:rsid w:val="00B96656"/>
    <w:rsid w:val="00BA0A8E"/>
    <w:rsid w:val="00BE3364"/>
    <w:rsid w:val="00C16B76"/>
    <w:rsid w:val="00C22B3F"/>
    <w:rsid w:val="00C2401D"/>
    <w:rsid w:val="00C250D7"/>
    <w:rsid w:val="00C327CB"/>
    <w:rsid w:val="00C530F2"/>
    <w:rsid w:val="00C53A68"/>
    <w:rsid w:val="00C66578"/>
    <w:rsid w:val="00CA5BB4"/>
    <w:rsid w:val="00CB4BD1"/>
    <w:rsid w:val="00CD139C"/>
    <w:rsid w:val="00CE2DA9"/>
    <w:rsid w:val="00CE324C"/>
    <w:rsid w:val="00CE44BE"/>
    <w:rsid w:val="00D008F3"/>
    <w:rsid w:val="00D0142D"/>
    <w:rsid w:val="00D04DFF"/>
    <w:rsid w:val="00D15ED6"/>
    <w:rsid w:val="00D20347"/>
    <w:rsid w:val="00D4356B"/>
    <w:rsid w:val="00D7162F"/>
    <w:rsid w:val="00DA189E"/>
    <w:rsid w:val="00DA599C"/>
    <w:rsid w:val="00DB4DB5"/>
    <w:rsid w:val="00DE4D10"/>
    <w:rsid w:val="00E00E79"/>
    <w:rsid w:val="00E44A86"/>
    <w:rsid w:val="00E522EB"/>
    <w:rsid w:val="00E60827"/>
    <w:rsid w:val="00EE6C2E"/>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433E-C2AC-494D-A9BC-8423BECD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8922</Words>
  <Characters>5086</Characters>
  <Application>Microsoft Office Word</Application>
  <DocSecurity>0</DocSecurity>
  <Lines>42</Lines>
  <Paragraphs>27</Paragraphs>
  <ScaleCrop>false</ScaleCrop>
  <Company/>
  <LinksUpToDate>false</LinksUpToDate>
  <CharactersWithSpaces>13981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2026-04-17T10:01:00Z</dcterms:created>
  <dcterms:modified xsi:type="dcterms:W3CDTF">2026-04-23T07:21:00Z</dcterms:modified>
</cp:coreProperties>
</file>