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20E64319" w14:textId="2EE494D8" w:rsidR="00717BEF" w:rsidRPr="00DA5E5D" w:rsidRDefault="00717BEF" w:rsidP="00717BEF">
      <w:pPr>
        <w:jc w:val="center"/>
        <w:rPr>
          <w:b/>
        </w:rPr>
      </w:pPr>
      <w:r w:rsidRPr="00DA5E5D">
        <w:rPr>
          <w:b/>
        </w:rPr>
        <w:t>Darzalex 1800mg injekcinis tirpalas</w:t>
      </w:r>
    </w:p>
    <w:p w14:paraId="3CA8D03A" w14:textId="77777777" w:rsidR="00717BEF" w:rsidRPr="00DA5E5D" w:rsidRDefault="00717BEF" w:rsidP="00717BEF">
      <w:pPr>
        <w:jc w:val="center"/>
      </w:pPr>
    </w:p>
    <w:p w14:paraId="3349191D" w14:textId="77777777" w:rsidR="00717BEF" w:rsidRPr="00DA5E5D" w:rsidRDefault="00717BEF" w:rsidP="00717BEF">
      <w:pPr>
        <w:jc w:val="center"/>
      </w:pPr>
      <w:r w:rsidRPr="00DA5E5D">
        <w:rPr>
          <w:b/>
        </w:rPr>
        <w:t>Daratumumabas</w:t>
      </w:r>
    </w:p>
    <w:p w14:paraId="21CB4AFA" w14:textId="77777777" w:rsidR="00284A47" w:rsidRPr="001C3329" w:rsidRDefault="00284A47" w:rsidP="00284A47">
      <w:pPr>
        <w:jc w:val="center"/>
        <w:rPr>
          <w:b/>
        </w:rPr>
      </w:pPr>
    </w:p>
    <w:p w14:paraId="0F0829BF" w14:textId="0BF54B72" w:rsidR="00284A47" w:rsidRPr="001C3329" w:rsidRDefault="00284A47" w:rsidP="00284A47">
      <w:pPr>
        <w:jc w:val="center"/>
        <w:rPr>
          <w:b/>
        </w:rPr>
      </w:pPr>
      <w:r w:rsidRPr="001C3329">
        <w:rPr>
          <w:b/>
        </w:rPr>
        <w:t xml:space="preserve">Paraiškos numeris </w:t>
      </w:r>
      <w:r w:rsidR="00081566">
        <w:rPr>
          <w:b/>
        </w:rPr>
        <w:t>STV-</w:t>
      </w:r>
      <w:r w:rsidRPr="001C3329">
        <w:rPr>
          <w:b/>
        </w:rPr>
        <w:t>2</w:t>
      </w:r>
      <w:r w:rsidR="00717BEF">
        <w:rPr>
          <w:b/>
        </w:rPr>
        <w:t>64</w:t>
      </w:r>
      <w:r w:rsidRPr="001C3329">
        <w:rPr>
          <w:b/>
        </w:rPr>
        <w:t xml:space="preserve"> </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3DFBB154" w14:textId="77777777" w:rsidR="0012653C" w:rsidRPr="001C3329" w:rsidRDefault="0012653C" w:rsidP="0012653C">
      <w:pPr>
        <w:pStyle w:val="ListParagraph"/>
        <w:numPr>
          <w:ilvl w:val="0"/>
          <w:numId w:val="12"/>
        </w:numPr>
        <w:tabs>
          <w:tab w:val="left" w:pos="284"/>
        </w:tabs>
        <w:spacing w:line="280" w:lineRule="atLeast"/>
        <w:jc w:val="both"/>
        <w:rPr>
          <w:rFonts w:eastAsia="Arial"/>
          <w:b/>
        </w:rPr>
      </w:pPr>
    </w:p>
    <w:tbl>
      <w:tblPr>
        <w:tblStyle w:val="TableGrid"/>
        <w:tblW w:w="9493" w:type="dxa"/>
        <w:tblLook w:val="04A0" w:firstRow="1" w:lastRow="0" w:firstColumn="1" w:lastColumn="0" w:noHBand="0" w:noVBand="1"/>
      </w:tblPr>
      <w:tblGrid>
        <w:gridCol w:w="632"/>
        <w:gridCol w:w="3899"/>
        <w:gridCol w:w="4962"/>
      </w:tblGrid>
      <w:tr w:rsidR="0012653C" w:rsidRPr="001C3329" w14:paraId="02FE7DAE" w14:textId="77777777" w:rsidTr="001642DA">
        <w:trPr>
          <w:trHeight w:val="538"/>
        </w:trPr>
        <w:tc>
          <w:tcPr>
            <w:tcW w:w="632" w:type="dxa"/>
          </w:tcPr>
          <w:p w14:paraId="7BCEA872" w14:textId="77777777" w:rsidR="0012653C" w:rsidRPr="001C3329" w:rsidRDefault="0012653C" w:rsidP="001642DA">
            <w:pPr>
              <w:jc w:val="both"/>
              <w:rPr>
                <w:rFonts w:eastAsia="Arial"/>
                <w:b/>
                <w:bCs/>
              </w:rPr>
            </w:pPr>
            <w:bookmarkStart w:id="1" w:name="_Hlk187088187"/>
            <w:r w:rsidRPr="001C3329">
              <w:rPr>
                <w:rFonts w:eastAsia="Arial"/>
                <w:b/>
                <w:bCs/>
              </w:rPr>
              <w:t>1.1</w:t>
            </w:r>
          </w:p>
        </w:tc>
        <w:tc>
          <w:tcPr>
            <w:tcW w:w="3899" w:type="dxa"/>
          </w:tcPr>
          <w:p w14:paraId="422121D0" w14:textId="77777777" w:rsidR="0012653C" w:rsidRPr="001C3329" w:rsidRDefault="0012653C" w:rsidP="001642DA">
            <w:pPr>
              <w:jc w:val="both"/>
              <w:rPr>
                <w:rFonts w:eastAsia="Arial"/>
                <w:b/>
                <w:bCs/>
              </w:rPr>
            </w:pPr>
            <w:r w:rsidRPr="001C3329">
              <w:rPr>
                <w:rFonts w:eastAsia="Arial"/>
                <w:b/>
                <w:bCs/>
              </w:rPr>
              <w:t>Pareiškėjas/ pareiškėjo atstovas</w:t>
            </w:r>
          </w:p>
        </w:tc>
        <w:tc>
          <w:tcPr>
            <w:tcW w:w="4962" w:type="dxa"/>
          </w:tcPr>
          <w:p w14:paraId="0C1B00E8" w14:textId="15C2F00F" w:rsidR="0012653C" w:rsidRPr="001C3329" w:rsidRDefault="00B64D6D" w:rsidP="001642DA">
            <w:pPr>
              <w:jc w:val="both"/>
              <w:rPr>
                <w:rFonts w:eastAsia="Arial"/>
              </w:rPr>
            </w:pPr>
            <w:r w:rsidRPr="00DA5E5D">
              <w:t>UAB „Johnson &amp; Johnson”</w:t>
            </w:r>
          </w:p>
        </w:tc>
      </w:tr>
      <w:tr w:rsidR="0012653C" w:rsidRPr="001C3329" w14:paraId="2F05578A" w14:textId="77777777" w:rsidTr="001642DA">
        <w:trPr>
          <w:trHeight w:val="538"/>
        </w:trPr>
        <w:tc>
          <w:tcPr>
            <w:tcW w:w="632" w:type="dxa"/>
          </w:tcPr>
          <w:p w14:paraId="782834EE" w14:textId="77777777" w:rsidR="0012653C" w:rsidRPr="001C3329" w:rsidRDefault="0012653C" w:rsidP="001642DA">
            <w:pPr>
              <w:jc w:val="both"/>
              <w:rPr>
                <w:rFonts w:eastAsia="Arial"/>
                <w:b/>
                <w:bCs/>
              </w:rPr>
            </w:pPr>
            <w:r w:rsidRPr="001C3329">
              <w:rPr>
                <w:rFonts w:eastAsia="Arial"/>
                <w:b/>
                <w:bCs/>
              </w:rPr>
              <w:t>1.2</w:t>
            </w:r>
          </w:p>
        </w:tc>
        <w:tc>
          <w:tcPr>
            <w:tcW w:w="3899" w:type="dxa"/>
          </w:tcPr>
          <w:p w14:paraId="39837B8F" w14:textId="77777777" w:rsidR="0012653C" w:rsidRPr="001C3329" w:rsidRDefault="0012653C" w:rsidP="001642DA">
            <w:pPr>
              <w:jc w:val="both"/>
              <w:rPr>
                <w:b/>
                <w:bCs/>
                <w:lang w:eastAsia="lt-LT"/>
              </w:rPr>
            </w:pPr>
            <w:r w:rsidRPr="001C3329">
              <w:rPr>
                <w:b/>
                <w:bCs/>
                <w:lang w:eastAsia="lt-LT"/>
              </w:rPr>
              <w:t xml:space="preserve">Vaistinio preparato registracijos data </w:t>
            </w:r>
          </w:p>
          <w:p w14:paraId="0427F97D" w14:textId="77777777" w:rsidR="0012653C" w:rsidRPr="001C3329" w:rsidRDefault="0012653C" w:rsidP="001642DA">
            <w:pPr>
              <w:jc w:val="both"/>
              <w:rPr>
                <w:b/>
                <w:bCs/>
                <w:lang w:eastAsia="lt-LT"/>
              </w:rPr>
            </w:pPr>
          </w:p>
        </w:tc>
        <w:tc>
          <w:tcPr>
            <w:tcW w:w="4962" w:type="dxa"/>
          </w:tcPr>
          <w:p w14:paraId="0C9AF067" w14:textId="0F3926F0" w:rsidR="0012653C" w:rsidRPr="001C3329" w:rsidRDefault="00094EF6" w:rsidP="001642DA">
            <w:pPr>
              <w:jc w:val="both"/>
              <w:rPr>
                <w:rStyle w:val="Style2"/>
              </w:rPr>
            </w:pPr>
            <w:sdt>
              <w:sdtPr>
                <w:rPr>
                  <w:sz w:val="32"/>
                </w:rPr>
                <w:alias w:val="Nurodykite konkrečią dieną"/>
                <w:tag w:val="Nurodykite pradžios datą"/>
                <w:id w:val="1772196685"/>
                <w:placeholder>
                  <w:docPart w:val="65F4D56B2EF9465085144986D474F378"/>
                </w:placeholder>
                <w15:color w:val="FFCC99"/>
                <w:date>
                  <w:dateFormat w:val="yyyy 'm.' MMMM d 'd.'"/>
                  <w:lid w:val="lt-LT"/>
                  <w:storeMappedDataAs w:val="dateTime"/>
                  <w:calendar w:val="gregorian"/>
                </w:date>
              </w:sdtPr>
              <w:sdtEndPr>
                <w:rPr>
                  <w:sz w:val="24"/>
                </w:rPr>
              </w:sdtEndPr>
              <w:sdtContent>
                <w:r w:rsidR="0040685C" w:rsidRPr="0040685C">
                  <w:t>2016 m. gegužės 20 d.</w:t>
                </w:r>
              </w:sdtContent>
            </w:sdt>
          </w:p>
        </w:tc>
      </w:tr>
      <w:tr w:rsidR="0012653C" w:rsidRPr="001C3329" w14:paraId="2FD9EBFE" w14:textId="77777777" w:rsidTr="001642DA">
        <w:trPr>
          <w:trHeight w:val="1396"/>
        </w:trPr>
        <w:tc>
          <w:tcPr>
            <w:tcW w:w="632" w:type="dxa"/>
          </w:tcPr>
          <w:p w14:paraId="7AFC24D7" w14:textId="77777777" w:rsidR="0012653C" w:rsidRPr="001C3329" w:rsidRDefault="0012653C" w:rsidP="001642DA">
            <w:pPr>
              <w:jc w:val="both"/>
              <w:rPr>
                <w:rFonts w:eastAsia="Arial"/>
                <w:b/>
                <w:bCs/>
              </w:rPr>
            </w:pPr>
            <w:r w:rsidRPr="001C3329">
              <w:rPr>
                <w:rFonts w:eastAsia="Arial"/>
                <w:b/>
                <w:bCs/>
              </w:rPr>
              <w:t>1.3</w:t>
            </w:r>
          </w:p>
        </w:tc>
        <w:tc>
          <w:tcPr>
            <w:tcW w:w="3899" w:type="dxa"/>
          </w:tcPr>
          <w:p w14:paraId="361E58E6" w14:textId="77777777" w:rsidR="0012653C" w:rsidRPr="001C3329" w:rsidRDefault="0012653C" w:rsidP="001642DA">
            <w:pPr>
              <w:pStyle w:val="NoSpacing"/>
              <w:jc w:val="both"/>
              <w:rPr>
                <w:rFonts w:ascii="Times New Roman" w:hAnsi="Times New Roman"/>
                <w:b/>
                <w:sz w:val="24"/>
                <w:szCs w:val="24"/>
                <w:shd w:val="clear" w:color="auto" w:fill="FFFFFF"/>
              </w:rPr>
            </w:pPr>
            <w:r w:rsidRPr="001C3329">
              <w:rPr>
                <w:rFonts w:ascii="Times New Roman" w:hAnsi="Times New Roman"/>
                <w:b/>
                <w:sz w:val="24"/>
                <w:szCs w:val="24"/>
              </w:rPr>
              <w:t xml:space="preserve">Vaistinio preparato </w:t>
            </w:r>
            <w:r w:rsidRPr="001C3329">
              <w:rPr>
                <w:rFonts w:ascii="Times New Roman" w:hAnsi="Times New Roman"/>
                <w:b/>
                <w:sz w:val="24"/>
                <w:szCs w:val="24"/>
                <w:shd w:val="clear" w:color="auto" w:fill="FFFFFF"/>
              </w:rPr>
              <w:t>registracijos teisinis pagrindas</w:t>
            </w:r>
          </w:p>
          <w:p w14:paraId="45452EB8" w14:textId="77777777" w:rsidR="0012653C" w:rsidRPr="001C3329" w:rsidRDefault="0012653C" w:rsidP="001642DA">
            <w:pPr>
              <w:pStyle w:val="NoSpacing"/>
              <w:jc w:val="both"/>
              <w:rPr>
                <w:rFonts w:ascii="Times New Roman" w:hAnsi="Times New Roman"/>
                <w:b/>
                <w:bCs/>
                <w:sz w:val="24"/>
                <w:szCs w:val="24"/>
                <w:lang w:eastAsia="lt-LT"/>
              </w:rPr>
            </w:pPr>
            <w:r w:rsidRPr="001C3329">
              <w:rPr>
                <w:rFonts w:ascii="Times New Roman" w:hAnsi="Times New Roman"/>
                <w:b/>
                <w:sz w:val="24"/>
                <w:szCs w:val="24"/>
                <w:shd w:val="clear" w:color="auto" w:fill="FFFFFF"/>
              </w:rPr>
              <w:t>(</w:t>
            </w:r>
            <w:r w:rsidRPr="001C3329">
              <w:rPr>
                <w:rFonts w:ascii="Times New Roman" w:hAnsi="Times New Roman"/>
                <w:b/>
                <w:sz w:val="24"/>
                <w:szCs w:val="24"/>
              </w:rPr>
              <w:t>Direktyvos 2001/83/EB str.)</w:t>
            </w:r>
          </w:p>
        </w:tc>
        <w:tc>
          <w:tcPr>
            <w:tcW w:w="4962" w:type="dxa"/>
          </w:tcPr>
          <w:p w14:paraId="0A1E2768" w14:textId="77777777" w:rsidR="0012653C" w:rsidRPr="001C3329" w:rsidRDefault="00094EF6" w:rsidP="001642DA">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8.3 str. (pilna byla, pagrįsta savais tyrimais)</w:t>
            </w:r>
          </w:p>
          <w:p w14:paraId="41DA7D19" w14:textId="77777777" w:rsidR="0012653C" w:rsidRPr="001C3329" w:rsidRDefault="00094EF6" w:rsidP="001642DA">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 a str. (pripažintas medicininis vartojimas)</w:t>
            </w:r>
          </w:p>
          <w:p w14:paraId="75FE0A63" w14:textId="77777777" w:rsidR="0012653C" w:rsidRPr="001C3329" w:rsidRDefault="00094EF6" w:rsidP="001642DA">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10.1 str. (generinis)</w:t>
            </w:r>
          </w:p>
          <w:p w14:paraId="2DE15DCB" w14:textId="77777777" w:rsidR="0012653C" w:rsidRPr="001C3329" w:rsidRDefault="00094EF6" w:rsidP="001642DA">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10.3 str. (hibridinis)</w:t>
            </w:r>
          </w:p>
          <w:p w14:paraId="39D808E4" w14:textId="77777777" w:rsidR="0012653C" w:rsidRPr="001C3329" w:rsidRDefault="00094EF6" w:rsidP="001642DA">
            <w:pPr>
              <w:rPr>
                <w:rStyle w:val="Style2"/>
              </w:rPr>
            </w:pPr>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10.4 str. (panašus biologinis)</w:t>
            </w:r>
          </w:p>
        </w:tc>
      </w:tr>
      <w:tr w:rsidR="0012653C" w:rsidRPr="001C3329" w14:paraId="4D88134C" w14:textId="77777777" w:rsidTr="001642DA">
        <w:trPr>
          <w:trHeight w:val="1011"/>
        </w:trPr>
        <w:tc>
          <w:tcPr>
            <w:tcW w:w="632" w:type="dxa"/>
          </w:tcPr>
          <w:p w14:paraId="563F4EF5" w14:textId="77777777" w:rsidR="0012653C" w:rsidRPr="001C3329" w:rsidRDefault="0012653C" w:rsidP="001642DA">
            <w:pPr>
              <w:jc w:val="both"/>
              <w:rPr>
                <w:rFonts w:eastAsia="Arial"/>
                <w:b/>
                <w:bCs/>
              </w:rPr>
            </w:pPr>
            <w:r w:rsidRPr="001C3329">
              <w:rPr>
                <w:rFonts w:eastAsia="Arial"/>
                <w:b/>
              </w:rPr>
              <w:t>1.4</w:t>
            </w:r>
          </w:p>
        </w:tc>
        <w:tc>
          <w:tcPr>
            <w:tcW w:w="3899" w:type="dxa"/>
          </w:tcPr>
          <w:p w14:paraId="55C4E51E"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vaistinis preparatas įrašytas į Bendrijos retųjų vaistinių preparatų registrą?</w:t>
            </w:r>
          </w:p>
        </w:tc>
        <w:tc>
          <w:tcPr>
            <w:tcW w:w="4962" w:type="dxa"/>
          </w:tcPr>
          <w:p w14:paraId="7D96A11D" w14:textId="46BAFEE0" w:rsidR="0012653C" w:rsidRPr="001C3329" w:rsidRDefault="00094EF6" w:rsidP="001642DA">
            <w:pPr>
              <w:jc w:val="both"/>
            </w:pPr>
            <w:sdt>
              <w:sdtPr>
                <w:rPr>
                  <w:rStyle w:val="Style2"/>
                </w:rPr>
                <w:id w:val="1190730465"/>
                <w15:color w:val="FFCC00"/>
                <w14:checkbox>
                  <w14:checked w14:val="1"/>
                  <w14:checkedState w14:val="2612" w14:font="MS Gothic"/>
                  <w14:uncheckedState w14:val="2610" w14:font="MS Gothic"/>
                </w14:checkbox>
              </w:sdtPr>
              <w:sdtEndPr>
                <w:rPr>
                  <w:rStyle w:val="Style2"/>
                </w:rPr>
              </w:sdtEndPr>
              <w:sdtContent>
                <w:r w:rsidR="0040685C">
                  <w:rPr>
                    <w:rStyle w:val="Style2"/>
                    <w:rFonts w:ascii="MS Gothic" w:eastAsia="MS Gothic" w:hAnsi="MS Gothic" w:hint="eastAsia"/>
                  </w:rPr>
                  <w:t>☒</w:t>
                </w:r>
              </w:sdtContent>
            </w:sdt>
            <w:r w:rsidR="0012653C" w:rsidRPr="001C3329">
              <w:t xml:space="preserve"> Taip       </w:t>
            </w:r>
            <w:r w:rsidR="0012653C" w:rsidRPr="001C3329">
              <w:rPr>
                <w:rStyle w:val="Style2"/>
              </w:rPr>
              <w:t xml:space="preserve"> </w:t>
            </w:r>
            <w:sdt>
              <w:sdtPr>
                <w:rPr>
                  <w:rStyle w:val="Style2"/>
                </w:rPr>
                <w:id w:val="-1760283509"/>
                <w15:color w:val="FFCC00"/>
                <w14:checkbox>
                  <w14:checked w14:val="0"/>
                  <w14:checkedState w14:val="2612" w14:font="MS Gothic"/>
                  <w14:uncheckedState w14:val="2610" w14:font="MS Gothic"/>
                </w14:checkbox>
              </w:sdtPr>
              <w:sdtEndPr>
                <w:rPr>
                  <w:rStyle w:val="Style2"/>
                </w:rPr>
              </w:sdtEndPr>
              <w:sdtContent>
                <w:r w:rsidR="0040685C">
                  <w:rPr>
                    <w:rStyle w:val="Style2"/>
                    <w:rFonts w:ascii="MS Gothic" w:eastAsia="MS Gothic" w:hAnsi="MS Gothic" w:hint="eastAsia"/>
                  </w:rPr>
                  <w:t>☐</w:t>
                </w:r>
              </w:sdtContent>
            </w:sdt>
            <w:r w:rsidR="0012653C" w:rsidRPr="001C3329">
              <w:t xml:space="preserve"> Ne</w:t>
            </w:r>
          </w:p>
          <w:p w14:paraId="16AFC0FC" w14:textId="4B73D744" w:rsidR="0012653C" w:rsidRPr="001C3329" w:rsidRDefault="0012653C" w:rsidP="001642DA">
            <w:pPr>
              <w:jc w:val="both"/>
            </w:pPr>
            <w:r w:rsidRPr="001C3329">
              <w:t xml:space="preserve">Data: </w:t>
            </w:r>
            <w:sdt>
              <w:sdtPr>
                <w:alias w:val="Nurodykite konkrečią dieną"/>
                <w:tag w:val="Nurodykite pradžios datą"/>
                <w:id w:val="1784158105"/>
                <w:placeholder>
                  <w:docPart w:val="C9F9030180744FE0B3D679E71F835902"/>
                </w:placeholder>
                <w15:color w:val="FFCC99"/>
                <w:date w:fullDate="2015-03-13T00:00:00Z">
                  <w:dateFormat w:val="yyyy 'm.' MMMM d 'd.'"/>
                  <w:lid w:val="lt-LT"/>
                  <w:storeMappedDataAs w:val="dateTime"/>
                  <w:calendar w:val="gregorian"/>
                </w:date>
              </w:sdtPr>
              <w:sdtEndPr/>
              <w:sdtContent>
                <w:r w:rsidR="00DA542D">
                  <w:t>13 March 2015</w:t>
                </w:r>
              </w:sdtContent>
            </w:sdt>
          </w:p>
          <w:p w14:paraId="6F8B494D" w14:textId="592D2BC5" w:rsidR="0012653C" w:rsidRPr="001C3329" w:rsidRDefault="0012653C" w:rsidP="001642DA">
            <w:pPr>
              <w:jc w:val="both"/>
              <w:rPr>
                <w:rFonts w:eastAsia="Arial"/>
              </w:rPr>
            </w:pPr>
            <w:r w:rsidRPr="001C3329">
              <w:t>Nr.</w:t>
            </w:r>
            <w:r w:rsidR="003C6ABA" w:rsidRPr="00DA5E5D">
              <w:t xml:space="preserve"> EMEA/H/C/4077</w:t>
            </w:r>
          </w:p>
        </w:tc>
      </w:tr>
      <w:tr w:rsidR="0012653C" w:rsidRPr="001C3329" w14:paraId="11AC825B" w14:textId="77777777" w:rsidTr="001642DA">
        <w:trPr>
          <w:trHeight w:val="1011"/>
        </w:trPr>
        <w:tc>
          <w:tcPr>
            <w:tcW w:w="632" w:type="dxa"/>
          </w:tcPr>
          <w:p w14:paraId="78591C0E" w14:textId="77777777" w:rsidR="0012653C" w:rsidRPr="001C3329" w:rsidRDefault="0012653C" w:rsidP="001642DA">
            <w:pPr>
              <w:jc w:val="both"/>
              <w:rPr>
                <w:rFonts w:eastAsia="Arial"/>
                <w:b/>
              </w:rPr>
            </w:pPr>
            <w:r w:rsidRPr="001C3329">
              <w:rPr>
                <w:rFonts w:eastAsia="Arial"/>
                <w:b/>
                <w:bCs/>
              </w:rPr>
              <w:t>1.5</w:t>
            </w:r>
          </w:p>
        </w:tc>
        <w:tc>
          <w:tcPr>
            <w:tcW w:w="3899" w:type="dxa"/>
          </w:tcPr>
          <w:p w14:paraId="0D962FF0"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atliktas bendras klinikinis vertinimas</w:t>
            </w:r>
          </w:p>
          <w:p w14:paraId="55B9BE90" w14:textId="77777777" w:rsidR="0012653C" w:rsidRPr="001C3329" w:rsidRDefault="0012653C" w:rsidP="001642DA">
            <w:pPr>
              <w:tabs>
                <w:tab w:val="left" w:pos="284"/>
              </w:tabs>
              <w:spacing w:line="280" w:lineRule="atLeast"/>
              <w:jc w:val="both"/>
              <w:rPr>
                <w:b/>
                <w:bCs/>
                <w:lang w:eastAsia="lt-LT"/>
              </w:rPr>
            </w:pPr>
            <w:r w:rsidRPr="001C3329">
              <w:rPr>
                <w:b/>
                <w:bCs/>
                <w:lang w:eastAsia="lt-LT"/>
              </w:rPr>
              <w:t>(Europos Parlamento ir Tarybos reglamentas (ES) 2021/2282)</w:t>
            </w:r>
          </w:p>
        </w:tc>
        <w:tc>
          <w:tcPr>
            <w:tcW w:w="4962" w:type="dxa"/>
          </w:tcPr>
          <w:p w14:paraId="51D072E1" w14:textId="77777777" w:rsidR="0012653C" w:rsidRPr="001C3329" w:rsidRDefault="00094EF6" w:rsidP="001642DA">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44D3F00A" w14:textId="77777777" w:rsidR="0012653C" w:rsidRPr="001C3329" w:rsidRDefault="0012653C" w:rsidP="001642DA">
            <w:pPr>
              <w:jc w:val="both"/>
              <w:rPr>
                <w:rStyle w:val="Style2"/>
              </w:rPr>
            </w:pPr>
            <w:r w:rsidRPr="001C3329">
              <w:t xml:space="preserve">Data: </w:t>
            </w:r>
            <w:sdt>
              <w:sdtPr>
                <w:alias w:val="Nurodykite konkrečią dieną"/>
                <w:tag w:val="Nurodykite pradžios datą"/>
                <w:id w:val="1516880001"/>
                <w:placeholder>
                  <w:docPart w:val="6C9752C6CBD84186BBCEF4F37C82054C"/>
                </w:placeholder>
                <w:showingPlcHdr/>
                <w15:color w:val="FFCC99"/>
                <w:date w:fullDate="2022-05-18T00:00:00Z">
                  <w:dateFormat w:val="yyyy 'm.' MMMM d 'd.'"/>
                  <w:lid w:val="lt-LT"/>
                  <w:storeMappedDataAs w:val="dateTime"/>
                  <w:calendar w:val="gregorian"/>
                </w:date>
              </w:sdtPr>
              <w:sdtEndPr/>
              <w:sdtContent>
                <w:r w:rsidRPr="001C3329">
                  <w:rPr>
                    <w:rStyle w:val="PlaceholderText"/>
                  </w:rPr>
                  <w:t>Click here to enter a date.</w:t>
                </w:r>
              </w:sdtContent>
            </w:sdt>
            <w:r w:rsidRPr="001C3329">
              <w:t xml:space="preserve"> </w:t>
            </w:r>
          </w:p>
        </w:tc>
      </w:tr>
      <w:tr w:rsidR="0012653C" w:rsidRPr="001C3329" w14:paraId="75AF80E1" w14:textId="77777777" w:rsidTr="001642DA">
        <w:trPr>
          <w:trHeight w:val="1278"/>
        </w:trPr>
        <w:tc>
          <w:tcPr>
            <w:tcW w:w="632" w:type="dxa"/>
          </w:tcPr>
          <w:p w14:paraId="2211A4EB" w14:textId="77777777" w:rsidR="0012653C" w:rsidRPr="001C3329" w:rsidRDefault="0012653C" w:rsidP="001642DA">
            <w:pPr>
              <w:jc w:val="both"/>
              <w:rPr>
                <w:rFonts w:eastAsia="Arial"/>
                <w:b/>
                <w:bCs/>
              </w:rPr>
            </w:pPr>
            <w:r w:rsidRPr="001C3329">
              <w:rPr>
                <w:rFonts w:eastAsia="Arial"/>
                <w:b/>
                <w:bCs/>
              </w:rPr>
              <w:t>1.6</w:t>
            </w:r>
          </w:p>
        </w:tc>
        <w:tc>
          <w:tcPr>
            <w:tcW w:w="3899" w:type="dxa"/>
          </w:tcPr>
          <w:p w14:paraId="19F08644" w14:textId="77777777" w:rsidR="0012653C" w:rsidRPr="001C3329" w:rsidRDefault="0012653C" w:rsidP="001642DA">
            <w:pPr>
              <w:jc w:val="both"/>
              <w:rPr>
                <w:b/>
                <w:bCs/>
                <w:lang w:eastAsia="lt-LT"/>
              </w:rPr>
            </w:pPr>
            <w:r w:rsidRPr="001C3329">
              <w:rPr>
                <w:b/>
                <w:bCs/>
                <w:lang w:eastAsia="lt-LT"/>
              </w:rPr>
              <w:t xml:space="preserve">Teikiama kompensuoti terapinė indikacija </w:t>
            </w:r>
          </w:p>
          <w:p w14:paraId="3B5BAFB4" w14:textId="77777777" w:rsidR="0012653C" w:rsidRPr="001C3329" w:rsidRDefault="0012653C" w:rsidP="001642DA">
            <w:pPr>
              <w:jc w:val="both"/>
              <w:rPr>
                <w:b/>
                <w:bCs/>
                <w:lang w:eastAsia="lt-LT"/>
              </w:rPr>
            </w:pPr>
          </w:p>
          <w:p w14:paraId="47704D6E" w14:textId="77777777" w:rsidR="0012653C" w:rsidRPr="001C3329" w:rsidRDefault="0012653C" w:rsidP="001642DA">
            <w:pPr>
              <w:jc w:val="both"/>
              <w:rPr>
                <w:b/>
                <w:bCs/>
                <w:lang w:eastAsia="lt-LT"/>
              </w:rPr>
            </w:pPr>
            <w:r w:rsidRPr="001C3329">
              <w:rPr>
                <w:b/>
                <w:bCs/>
                <w:lang w:eastAsia="lt-LT"/>
              </w:rPr>
              <w:t>Kodas pagal TLK-10 AM</w:t>
            </w:r>
          </w:p>
        </w:tc>
        <w:tc>
          <w:tcPr>
            <w:tcW w:w="4962" w:type="dxa"/>
          </w:tcPr>
          <w:p w14:paraId="55666C4B" w14:textId="77777777" w:rsidR="005B3DDA" w:rsidRPr="00DA5E5D" w:rsidRDefault="005B3DDA" w:rsidP="005B3DDA">
            <w:pPr>
              <w:jc w:val="both"/>
            </w:pPr>
            <w:r w:rsidRPr="00DA5E5D">
              <w:t>DARZALEX yra skirtas derinant su ciklofosfamidu, bortezomibu ir deksametazonu suaugusiųjų pacientų, kuriems naujai buvo diagnozuota sisteminė AL amiloidozė, gydymui.</w:t>
            </w:r>
          </w:p>
          <w:p w14:paraId="555564B1" w14:textId="77777777" w:rsidR="005B3DDA" w:rsidRPr="00DA5E5D" w:rsidRDefault="005B3DDA" w:rsidP="005B3DDA">
            <w:pPr>
              <w:jc w:val="both"/>
            </w:pPr>
            <w:r w:rsidRPr="00DA5E5D">
              <w:t>Ligos TLK-10-AM kodai – E85.8 ir E85.9.</w:t>
            </w:r>
          </w:p>
          <w:p w14:paraId="665F6B98" w14:textId="77777777" w:rsidR="0012653C" w:rsidRPr="001C3329" w:rsidRDefault="0012653C" w:rsidP="001642DA">
            <w:pPr>
              <w:jc w:val="both"/>
            </w:pPr>
          </w:p>
        </w:tc>
      </w:tr>
      <w:tr w:rsidR="0012653C" w:rsidRPr="001C3329" w14:paraId="0E52D2EF" w14:textId="77777777" w:rsidTr="001642DA">
        <w:trPr>
          <w:trHeight w:val="378"/>
        </w:trPr>
        <w:tc>
          <w:tcPr>
            <w:tcW w:w="632" w:type="dxa"/>
          </w:tcPr>
          <w:p w14:paraId="68F02FB2" w14:textId="77777777" w:rsidR="0012653C" w:rsidRPr="001C3329" w:rsidRDefault="0012653C" w:rsidP="001642DA">
            <w:pPr>
              <w:jc w:val="both"/>
              <w:rPr>
                <w:rFonts w:eastAsia="Arial"/>
                <w:b/>
                <w:bCs/>
              </w:rPr>
            </w:pPr>
            <w:r w:rsidRPr="001C3329">
              <w:rPr>
                <w:rFonts w:eastAsia="Arial"/>
                <w:b/>
                <w:bCs/>
              </w:rPr>
              <w:lastRenderedPageBreak/>
              <w:t>1.7</w:t>
            </w:r>
          </w:p>
        </w:tc>
        <w:tc>
          <w:tcPr>
            <w:tcW w:w="3899" w:type="dxa"/>
          </w:tcPr>
          <w:p w14:paraId="6162B886" w14:textId="77777777" w:rsidR="0012653C" w:rsidRPr="001C3329" w:rsidRDefault="0012653C" w:rsidP="001642DA">
            <w:pPr>
              <w:jc w:val="both"/>
              <w:rPr>
                <w:b/>
                <w:bCs/>
                <w:u w:val="single"/>
                <w:lang w:eastAsia="lt-LT"/>
              </w:rPr>
            </w:pPr>
            <w:r w:rsidRPr="001C3329">
              <w:rPr>
                <w:b/>
                <w:bCs/>
                <w:lang w:eastAsia="lt-LT"/>
              </w:rPr>
              <w:t xml:space="preserve">Teikiamos skyrimo sąlygos </w:t>
            </w:r>
          </w:p>
        </w:tc>
        <w:tc>
          <w:tcPr>
            <w:tcW w:w="4962" w:type="dxa"/>
          </w:tcPr>
          <w:p w14:paraId="2BC3B711" w14:textId="27FE7972" w:rsidR="00186D01" w:rsidRPr="00186D01" w:rsidRDefault="00186D01" w:rsidP="00186D01">
            <w:pPr>
              <w:jc w:val="both"/>
            </w:pPr>
            <w:r w:rsidRPr="00DA5E5D">
              <w:t>Skyrimo sąlygos - gydymas skiriamas gydytojo hematologo, teikiančio tretinio lygio asmens sveikatos priežiūros paslaugas.</w:t>
            </w:r>
          </w:p>
        </w:tc>
      </w:tr>
      <w:tr w:rsidR="0012653C" w:rsidRPr="001C3329" w14:paraId="20A9E131" w14:textId="77777777" w:rsidTr="001642DA">
        <w:trPr>
          <w:trHeight w:val="378"/>
        </w:trPr>
        <w:tc>
          <w:tcPr>
            <w:tcW w:w="632" w:type="dxa"/>
          </w:tcPr>
          <w:p w14:paraId="1A72C071" w14:textId="77777777" w:rsidR="0012653C" w:rsidRPr="001C3329" w:rsidRDefault="0012653C" w:rsidP="001642DA">
            <w:pPr>
              <w:jc w:val="both"/>
              <w:rPr>
                <w:rFonts w:eastAsia="Arial"/>
                <w:b/>
                <w:bCs/>
              </w:rPr>
            </w:pPr>
            <w:r w:rsidRPr="001C3329">
              <w:rPr>
                <w:rFonts w:eastAsia="Arial"/>
                <w:b/>
                <w:bCs/>
              </w:rPr>
              <w:t>1.8</w:t>
            </w:r>
          </w:p>
        </w:tc>
        <w:tc>
          <w:tcPr>
            <w:tcW w:w="3899" w:type="dxa"/>
          </w:tcPr>
          <w:p w14:paraId="3F4D6992" w14:textId="77777777" w:rsidR="0012653C" w:rsidRPr="001C3329" w:rsidRDefault="0012653C" w:rsidP="001642DA">
            <w:pPr>
              <w:jc w:val="both"/>
              <w:rPr>
                <w:b/>
                <w:bCs/>
                <w:lang w:eastAsia="lt-LT"/>
              </w:rPr>
            </w:pPr>
            <w:r w:rsidRPr="001C3329">
              <w:rPr>
                <w:b/>
                <w:bCs/>
                <w:lang w:eastAsia="lt-LT"/>
              </w:rPr>
              <w:t>Ekonominė analizė</w:t>
            </w:r>
          </w:p>
        </w:tc>
        <w:tc>
          <w:tcPr>
            <w:tcW w:w="4962" w:type="dxa"/>
          </w:tcPr>
          <w:p w14:paraId="17D7DA90" w14:textId="77777777" w:rsidR="0012653C" w:rsidRPr="001C3329" w:rsidRDefault="00094EF6" w:rsidP="001642DA">
            <w:pPr>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Kaštų naudingumo analizė</w:t>
            </w:r>
          </w:p>
          <w:p w14:paraId="4EE87597" w14:textId="77777777" w:rsidR="0012653C" w:rsidRPr="001C3329" w:rsidRDefault="00094EF6" w:rsidP="001642DA">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Kaštų mažinimo analizė</w:t>
            </w:r>
          </w:p>
          <w:p w14:paraId="46F4134C" w14:textId="77777777" w:rsidR="0012653C" w:rsidRPr="001C3329" w:rsidRDefault="00094EF6" w:rsidP="001642DA">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Neteikiama</w:t>
            </w:r>
          </w:p>
          <w:p w14:paraId="1C95249A" w14:textId="77777777" w:rsidR="0012653C" w:rsidRPr="001C3329" w:rsidRDefault="0012653C" w:rsidP="001642DA">
            <w:pPr>
              <w:jc w:val="both"/>
            </w:pPr>
          </w:p>
        </w:tc>
      </w:tr>
    </w:tbl>
    <w:bookmarkEnd w:id="1"/>
    <w:p w14:paraId="2EB7FD31" w14:textId="5615B363" w:rsidR="007A2B68" w:rsidRPr="000203E1" w:rsidRDefault="00DC261A" w:rsidP="00063A50">
      <w:pPr>
        <w:pStyle w:val="ListParagraph"/>
        <w:tabs>
          <w:tab w:val="left" w:pos="426"/>
        </w:tabs>
        <w:ind w:left="0"/>
        <w:jc w:val="center"/>
        <w:rPr>
          <w:b/>
          <w:bCs/>
          <w:caps/>
        </w:rPr>
      </w:pPr>
      <w:r w:rsidRPr="00DC261A">
        <w:rPr>
          <w:b/>
          <w:bCs/>
          <w:caps/>
        </w:rPr>
        <w:t>___________________</w:t>
      </w:r>
    </w:p>
    <w:p w14:paraId="73290081" w14:textId="77777777" w:rsidR="007A2B68" w:rsidRPr="000203E1" w:rsidRDefault="007A2B68">
      <w:pPr>
        <w:rPr>
          <w:b/>
          <w:bCs/>
          <w:caps/>
        </w:rPr>
      </w:pPr>
      <w:r w:rsidRPr="000203E1">
        <w:rPr>
          <w:b/>
          <w:bCs/>
          <w:caps/>
        </w:rPr>
        <w:br w:type="page"/>
      </w:r>
    </w:p>
    <w:p w14:paraId="5055E8A8" w14:textId="6589DEFC" w:rsidR="002E6F80" w:rsidRPr="000203E1" w:rsidRDefault="001E0B2D" w:rsidP="00CC09D4">
      <w:pPr>
        <w:pStyle w:val="ListParagraph"/>
        <w:numPr>
          <w:ilvl w:val="0"/>
          <w:numId w:val="12"/>
        </w:numPr>
        <w:tabs>
          <w:tab w:val="left" w:pos="567"/>
        </w:tabs>
        <w:ind w:hanging="720"/>
        <w:rPr>
          <w:b/>
          <w:bCs/>
          <w:caps/>
        </w:rPr>
      </w:pPr>
      <w:r>
        <w:rPr>
          <w:b/>
          <w:bCs/>
          <w:caps/>
        </w:rPr>
        <w:lastRenderedPageBreak/>
        <w:t xml:space="preserve">BENDRO </w:t>
      </w:r>
      <w:r w:rsidR="00CC7832" w:rsidRPr="000203E1">
        <w:rPr>
          <w:b/>
          <w:bCs/>
          <w:caps/>
        </w:rPr>
        <w:t>Klinikinio vertinimo a</w:t>
      </w:r>
      <w:r w:rsidR="00D4485B" w:rsidRPr="000203E1">
        <w:rPr>
          <w:b/>
          <w:bCs/>
          <w:caps/>
        </w:rPr>
        <w:t>pibendrinimas</w:t>
      </w:r>
    </w:p>
    <w:p w14:paraId="72C78556" w14:textId="77777777" w:rsidR="0012653C" w:rsidRPr="00081566" w:rsidRDefault="0012653C" w:rsidP="00D12869">
      <w:pPr>
        <w:tabs>
          <w:tab w:val="left" w:pos="284"/>
        </w:tabs>
        <w:rPr>
          <w:i/>
        </w:rPr>
      </w:pPr>
    </w:p>
    <w:p w14:paraId="48842C68" w14:textId="77777777" w:rsidR="00A03BE1" w:rsidRPr="00DA5E5D" w:rsidRDefault="00A03BE1" w:rsidP="00A03BE1">
      <w:pPr>
        <w:pStyle w:val="Tekstas"/>
        <w:spacing w:line="360" w:lineRule="auto"/>
        <w:ind w:firstLine="720"/>
        <w:rPr>
          <w:rStyle w:val="TekstasChar"/>
          <w:lang w:val="lt-LT"/>
        </w:rPr>
      </w:pPr>
      <w:r w:rsidRPr="00DA5E5D">
        <w:rPr>
          <w:rStyle w:val="TekstasChar"/>
          <w:lang w:val="lt-LT"/>
        </w:rPr>
        <w:t xml:space="preserve">Amiloidozė priskiriama retų plazminių ląstelių sutrikimų grupei, kuriai būdingas amiloidinių skaidulų susidarymas. Koks konkretus neteisingas baltymas susidaro, priklauso nuo amiloidozės tipo, tačiau visiems tipams būdingas bendras bruožas - ekstraląstelinė agregacija ir amiloido fibrilių kaupimasis organuose, dėl ko sutrinka organų funkcija ir tai sąlygoja ankstyvą pacientų mirtingumą. Amiloidozė gali būti klasifikuojama įvairiai: sisteminė ar lokali, pirminė ar antrinė, paveldima ar įgyta, pagal pažeistą audinį, pvz., širdies amiloidozė. Tačiau dabartinėse Tarptautinės amiloidozės draugijos (ISA) gairėse rekomenduojama amiloidozę pirmiausia klasifikuoti pagal amiloido pirmtaką, atsižvelgiant į tai, kad ši klasifikacija geriau atspindi pagrindinę ligos biologiją nei klinikinės klasifikacijos </w:t>
      </w:r>
      <w:r w:rsidRPr="00DA5E5D">
        <w:rPr>
          <w:rStyle w:val="TekstasChar"/>
          <w:lang w:val="lt-LT"/>
        </w:rPr>
        <w:fldChar w:fldCharType="begin"/>
      </w:r>
      <w:r w:rsidRPr="00DA5E5D">
        <w:rPr>
          <w:rStyle w:val="TekstasChar"/>
          <w:lang w:val="lt-LT"/>
        </w:rPr>
        <w:instrText xml:space="preserve"> ADDIN ZOTERO_ITEM CSL_CITATION {"citationID":"CSPgkIat","properties":{"formattedCitation":"(9,10)","plainCitation":"(9,10)","noteIndex":0},"citationItems":[{"id":19905,"uris":["http://zotero.org/users/5814076/items/TRCDPBYL"],"itemData":{"id":19905,"type":"article-journal","abstract":"&lt;b&gt;&lt;i&gt;Background:&lt;/i&gt;&lt;/b&gt; Amyloidosis has been a mystery for centuries, but research of the last decennia has clarified many of the secrets of this group of diseases. A protein-based classification of amyloidosis helps to understand problems that were part of the obsolete clinical classification in primary, secondary, and familial amyloidosis. All types of amyloid are secondary to some underlying precursor-producing process: each type is caused by a misfolded soluble precursor protein that becomes deposited as insoluble amyloid fibrils. &lt;b&gt;&lt;i&gt;Summary:&lt;/i&gt;&lt;/b&gt; The incidence of amyloidosis is not well documented, but probably falls between 5 and 13 per million per year. Prevalence data are scarce, but one UK study indicates about 20 per million inhabitants. Amyloidosis can be localized (amyloid deposited in the organ or tissue of precursor production) or systemic (amyloid at one or more sites distant from the site of precursor production). The major systemic types of amyloidosis are AL (associated with a light chain-producing plasma cell dyscrasia), AA (associated with longstanding inflammation), wild-type ATTR (associated with normal transthyretin and old age), and hereditary ATTR (associated with a transthyretin mutation) amyloidosis. Imaging techniques, such as cardiac ultrasound, magnetic resonance imaging, bone scintigraphy, and serum amyloid P component scintigraphy, are useful both for diagnosing amyloidosis and for assessing disease severity. Serologic markers are useful for detecting organ disease and disease monitoring during follow-up. Current treatment modalities are directed against the ongoing supply of precursor proteins and thereby aim to stop further accumulation of amyloid. Novel treatment modalities, such as interference with amyloid formation and even removal of amyloid, are being studied. A well-thought and planned monitoring during follow-up helps to assess the effect of treatment and to early detect possible progression of amyloidosis. &lt;b&gt;&lt;i&gt;Key Messages:&lt;/i&gt;&lt;/b&gt; Clinical management comprises histologic proof of amyloid, evidence of systemic deposition, reliable typing, precursor assessment, severity of organ disease, risk assessment and prognosis, choice of treatment, and planned monitoring during follow-up. &lt;b&gt;&lt;i&gt;Facts from East and West:&lt;/i&gt;&lt;/b&gt; (1) AL amyloidosis is the most prevalent type of amyloidosis accounting for 65% of the amyloidosis-diagnosed patients in the UK and for 93% of the amyloidosis-diagnosed patients in China. The predisposition of men over women to develop AL amyloidosis might be higher in China than in Western countries (2:1 vs. 1.3:1). Both in the East and West, incidence increases with age. At the time of diagnosis, edema is twice as frequent and the proportion of renal involvement is higher in Chinese compared to Western patients. (2) Melphalan followed by autologous stem cell transplantation (ASCT) is the current standard therapy but is restricted to eligible patients. The efficacy and safety of bortezomib combined with dexamethasone were proven in Western patients and recently confirmed in a Chinese cohort. Recent studies in China and the US indicate that bortezomib induction prior to ASCT increases the response rate. Thalidomide and lenalidomide have shown benefit, but toxicity and lack of clinical evidence exclude these agents from first-line therapy. The green tea extract epigallocatechin-3-gallate is under investigation as an inhibitor of AL amyloid formation and a compound that might dissolve amyloid.","container-title":"Kidney Diseases","DOI":"10.1159/000444206","ISSN":"2296-9381, 2296-9357","issue":"1","journalAbbreviation":"Kidney Dis","language":"en","page":"10-19","source":"DOI.org (Crossref)","title":"The Prevalence and Management of Systemic Amyloidosis in Western Countries","volume":"2","author":[{"family":"Nienhuis","given":"Hans L.A."},{"family":"Bijzet","given":"Johan"},{"family":"Hazenberg","given":"Bouke P.C."}],"issued":{"date-parts":[["2016"]]}}},{"id":19921,"uris":["http://zotero.org/users/5814076/items/76INNFT3"],"itemData":{"id":19921,"type":"article-journal","abstract":"The Nomenclature Committee of the International Society of Amyloidosis (ISA) met during the XVth Symposium of the Society, 3 July–7 July 2016, Uppsala, Sweden, to assess and formulate recommendations for nomenclature for amyloid fibril proteins and the clinical classification of the amyloidoses. An amyloid fibril must exhibit affinity for Congo red and with green, yellow or orange birefringence when the Congo red-stained deposits are viewed with polarized light. While congophilia and birefringence remain the gold standard for demonstration of amyloid deposits, new staining and imaging techniques are proving useful. To be included in the nomenclature list, in addition to congophilia and birefringence, the chemical identity of the protein must be unambiguously characterized by protein sequence analysis when possible. In general, it is insufficient to identify a mutation in the gene of a candidate amyloid protein without confirming the variant changes in the amyloid fibril protein. Each distinct form of amyloidosis is uniquely characterized by the chemical identity of the amyloid fibril protein that deposits in the extracellular spaces of tissues and organs and gives rise to the disease syndrome. The fibril proteins are designated as protein A followed by a suffix that is an abbreviation of the parent or precursor protein name. To date, there are 36 known extracellular fibril proteins in humans, 2 of which are iatrogenic in nature and 9 of which have also been identified in animals. Two newly recognized fibril proteins, AApoCII derived from apolipoprotein CII and AApoCIII derived from apolipoprotein CIII, have been added. AApoCII amyloidosis and AApoCIII amyloidosis are hereditary systemic amyloidoses. Intracellular protein inclusions displaying some of the properties of amyloid, ‘‘intracellular amyloid’’ have been reported. Two proteins which were previously characterized as intracellular inclusions, tau and a-synuclein, are now recognized to form extracellular deposits upon cell death and thus have been included in Table 1 as ATau and AaSyn.","container-title":"Amyloid","DOI":"10.1080/13506129.2016.1257986","ISSN":"1350-6129, 1744-2818","issue":"4","journalAbbreviation":"Amyloid","language":"en","page":"209-213","source":"DOI.org (Crossref)","title":"Amyloid fibril proteins and amyloidosis: chemical identification and clinical classification International Society of Amyloidosis 2016 Nomenclature Guidelines","title-short":"Amyloid fibril proteins and amyloidosis","volume":"23","author":[{"family":"Sipe","given":"Jean D."},{"family":"Benson","given":"Merrill D."},{"family":"Buxbaum","given":"Joel N."},{"family":"Ikeda","given":"Shu-ichi"},{"family":"Merlini","given":"Giampaolo"},{"family":"Saraiva","given":"Maria J. M."},{"family":"Westermark","given":"Per"}],"issued":{"date-parts":[["2016",10,1]]}}}],"schema":"https://github.com/citation-style-language/schema/raw/master/csl-citation.json"} </w:instrText>
      </w:r>
      <w:r w:rsidRPr="00DA5E5D">
        <w:rPr>
          <w:rStyle w:val="TekstasChar"/>
          <w:lang w:val="lt-LT"/>
        </w:rPr>
        <w:fldChar w:fldCharType="separate"/>
      </w:r>
      <w:r w:rsidRPr="00DA5E5D">
        <w:rPr>
          <w:rStyle w:val="TekstasChar"/>
          <w:lang w:val="lt-LT"/>
        </w:rPr>
        <w:fldChar w:fldCharType="end"/>
      </w:r>
      <w:r w:rsidRPr="00DA5E5D">
        <w:rPr>
          <w:rStyle w:val="TekstasChar"/>
          <w:lang w:val="lt-LT"/>
        </w:rPr>
        <w:t>.</w:t>
      </w:r>
    </w:p>
    <w:p w14:paraId="11A87943" w14:textId="77777777" w:rsidR="00A03BE1" w:rsidRPr="00DA5E5D" w:rsidRDefault="00A03BE1" w:rsidP="00A03BE1">
      <w:pPr>
        <w:pStyle w:val="Tekstas"/>
        <w:spacing w:line="360" w:lineRule="auto"/>
        <w:ind w:firstLine="720"/>
        <w:rPr>
          <w:rStyle w:val="TekstasChar"/>
          <w:lang w:val="lt-LT"/>
        </w:rPr>
      </w:pPr>
      <w:r w:rsidRPr="00DA5E5D">
        <w:rPr>
          <w:rStyle w:val="TekstasChar"/>
          <w:lang w:val="lt-LT"/>
        </w:rPr>
        <w:t>AL (lengvųjų grandinių) amiloidozė yra dažniausiai pasitaikanti ir sunkiausia amiloidozės forma (apie 60 proc. visų amiloidozės atvejų), kuriai būdingas plazminių ląstelių klonas, gaminantis nestabilias lengvąsias grandines. Jos agreguojasi, kaupiasi ir formuoja sankaupas minkštuosiuose audiniuose tiesiogiai pažeisdamos vidaus organus. Dažniausiai pažeidžiami organai yra širdis (75 proc.), inkstai (65 proc.), kepenys (15 proc.), periferiniai nervai (10 proc.), virškinimo traktas (5 proc.).</w:t>
      </w:r>
    </w:p>
    <w:p w14:paraId="0740ACE6" w14:textId="77777777" w:rsidR="00A03BE1" w:rsidRPr="00DA5E5D" w:rsidRDefault="00A03BE1" w:rsidP="00A03BE1">
      <w:pPr>
        <w:pStyle w:val="Tekstas"/>
        <w:spacing w:line="360" w:lineRule="auto"/>
        <w:ind w:firstLine="720"/>
        <w:rPr>
          <w:rStyle w:val="TekstasChar"/>
          <w:lang w:val="lt-LT"/>
        </w:rPr>
      </w:pPr>
      <w:r w:rsidRPr="00DA5E5D">
        <w:rPr>
          <w:rStyle w:val="TekstasChar"/>
          <w:lang w:val="lt-LT"/>
        </w:rPr>
        <w:t>Sergančiųjų AL amiloidoze, prognozė yra bloga: beveik 30 proc. pacientų miršta per pirmuosius metus nuo diagnozės nustatymo, o apytikris ketverių metų išgyvenamumo rodiklis siekia 54 proc.. Širdis ir inkstai yra dažniausiai pažeidžiami organai, o išgyvenamumo prognozės blogesnės pacientams, kuriems amiloidozė pažeidžia daugiau vidaus organų</w:t>
      </w:r>
      <w:r w:rsidRPr="00DA5E5D">
        <w:rPr>
          <w:rStyle w:val="TekstasChar"/>
          <w:lang w:val="lt-LT"/>
        </w:rPr>
        <w:fldChar w:fldCharType="begin"/>
      </w:r>
      <w:r w:rsidRPr="00DA5E5D">
        <w:rPr>
          <w:rStyle w:val="TekstasChar"/>
          <w:lang w:val="lt-LT"/>
        </w:rPr>
        <w:instrText xml:space="preserve"> ADDIN ZOTERO_ITEM CSL_CITATION {"citationID":"nZHO1zqs","properties":{"formattedCitation":"(16\\uc0\\u8211{}18)","plainCitation":"(16–18)","noteIndex":0},"citationItems":[{"id":19840,"uris":["http://zotero.org/users/5814076/items/F34REWGG"],"itemData":{"id":19840,"type":"article-journal","abstract":"Purpose Cardiac involvement predicts poor prognosis in light chain (AL) amyloidosis, and the current prognostic classiﬁcation is based on cardiac biomarkers troponin-T (cTnT) and N-terminal pro–B-type natriuretic peptide (NT-ProBNP). However, long-term outcome is dependent on the underlying plasma cell clone, and incorporation of clonal characteristics may allow for better risk stratiﬁcation. Patients and Methods We developed a prognostic model based on 810 patients with newly diagnosed AL amyloidosis, which was further examined in two other datasets: 303 patients undergoing stem-cell transplantation, and 103 patients enrolled onto different clinical trials.\nResults We examined the prognostic value of plasma cell–related characteristics (ie, difference between involved and uninvolved light chain [FLC-diff], marrow plasma cell percentage, circulating plasma cells, plasma cell labeling index, and </w:instrText>
      </w:r>
      <w:r w:rsidRPr="00DA5E5D">
        <w:rPr>
          <w:rStyle w:val="TekstasChar"/>
          <w:rFonts w:ascii="Segoe UI Symbol" w:hAnsi="Segoe UI Symbol" w:cs="Segoe UI Symbol"/>
          <w:lang w:val="lt-LT"/>
        </w:rPr>
        <w:instrText>␤</w:instrText>
      </w:r>
      <w:r w:rsidRPr="00DA5E5D">
        <w:rPr>
          <w:rStyle w:val="TekstasChar"/>
          <w:lang w:val="lt-LT"/>
        </w:rPr>
        <w:instrText xml:space="preserve">2 microglobulin). In a multivariate model that included these characteristics as well as cTnT and NT-ProBNP, only FLC-diff, cTnT, and NT-ProBNP were independently prognostic for overall survival (OS). Patients were assigned a score of 1 for each of FLC-diff Ն 18 mg/dL, cTnT Ն 0.025 ng/mL, and NT-ProBNP Ն 1,800 pg/mL, creating stages I to IV with scores of 0 to 3 points, respectively. The proportions of patients with stages I, II, III and IV disease were 189 (25%), 206 (27%), 186 (25%) and 177 (23%), and their median OS from diagnosis was 94.1, 40.3, 14, and 5.8 months, respectively (P Ͻ .001). This classiﬁcation system was validated in the other datasets.\nConclusion Incorporation of serum FLC-diff into the current staging system improves risk stratiﬁcation for patients with AL amyloidosis and will help develop risk-adapted therapies for AL amyloidosis.","container-title":"Journal of Clinical Oncology","DOI":"10.1200/JCO.2011.38.5724","ISSN":"0732-183X, 1527-7755","issue":"9","journalAbbreviation":"JCO","language":"en","page":"989-995","source":"DOI.org (Crossref)","title":"Revised Prognostic Staging System for Light Chain Amyloidosis Incorporating Cardiac Biomarkers and Serum Free Light Chain Measurements","volume":"30","author":[{"family":"Kumar","given":"Shaji"},{"family":"Dispenzieri","given":"Angela"},{"family":"Lacy","given":"Martha Q."},{"family":"Hayman","given":"Suzanne R."},{"family":"Buadi","given":"Francis K."},{"family":"Colby","given":"Colin"},{"family":"Laumann","given":"Kristina"},{"family":"Zeldenrust","given":"Steve R."},{"family":"Leung","given":"Nelson"},{"family":"Dingli","given":"David"},{"family":"Greipp","given":"Philip R."},{"family":"Lust","given":"John A."},{"family":"Russell","given":"Stephen J."},{"family":"Kyle","given":"Robert A."},{"family":"Rajkumar","given":"S. Vincent"},{"family":"Gertz","given":"Morie A."}],"issued":{"date-parts":[["2012",3,20]]}}},{"id":19814,"uris":["http://zotero.org/users/5814076/items/9AU9L8DM"],"itemData":{"id":19814,"type":"article-journal","abstract":"Purpose To identify the criteria for hematologic and cardiac response to treatment in immunoglobulin light chain (AL) amyloidosis based on survival analysis of a large patient population. Patients and Methods We gathered for analysis 816 patients with AL amyloidosis from seven referral centers in the European Union and the United States. A different cohort of 374 patients prospectively evaluated at the Pavia Amyloidosis Research and Treatment Center was used for validation. Data was available for all patients before and 3 and/or 6 months after initiation of ﬁrst-line therapy. The prognostic relevance of different criteria for hematologic and cardiac response was assessed.\nResults There was a strong correlation between the extent of reduction of amyloidogenic free light chains (FLCs) and improvement in survival. This allowed the identiﬁcation of four levels of response: amyloid complete response (normal FLC ratio and negative serum and urine immunoﬁxation), very good partial response (difference between involved and uninvolved FLCs [dFLC] Ͻ 40 mg/L), partial response (dFLC decrease Ͼ 50%), and no response. Cardiac involvement is the major determinant of survival, and changes in cardiac function after therapy can be reliably assessed using the cardiac biomarker N-terminal natriuretic peptide type B (NT-proBNP). Changes in FLC and NT-proBNP predicted survival as early as 3 months after treatment initiation.\nConclusion This study identiﬁes and validates new criteria for response to ﬁrst-line treatment in AL amyloidosis, based on their association with survival in large patient populations, and offers surrogate end points for clinical trials.","container-title":"Journal of Clinical Oncology","DOI":"10.1200/JCO.2011.37.7614","ISSN":"0732-183X, 1527-7755","issue":"36","journalAbbreviation":"JCO","language":"en","page":"4541-4549","source":"DOI.org (Crossref)","title":"New Criteria for Response to Treatment in Immunoglobulin Light Chain Amyloidosis Based on Free Light Chain Measurement and Cardiac Biomarkers: Impact on Survival Outcomes","title-short":"New Criteria for Response to Treatment in Immunoglobulin Light Chain Amyloidosis Based on Free Light Chain Measurement and Cardiac Biomarkers","volume":"30","author":[{"family":"Palladini","given":"Giovanni"},{"family":"Dispenzieri","given":"Angela"},{"family":"Gertz","given":"Morie A."},{"family":"Kumar","given":"Shaji"},{"family":"Wechalekar","given":"Ashutosh"},{"family":"Hawkins","given":"Philip N."},{"family":"Schönland","given":"Stefan"},{"family":"Hegenbart","given":"Ute"},{"family":"Comenzo","given":"Raymond"},{"family":"Kastritis","given":"Efstathios"},{"family":"Dimopoulos","given":"Meletios A."},{"family":"Jaccard","given":"Arnaud"},{"family":"Klersy","given":"Catherine"},{"family":"Merlini","given":"Giampaolo"}],"issued":{"date-parts":[["2012",12,20]]}}},{"id":19853,"uris":["http://zotero.org/users/5814076/items/XGQ2JP8G"],"itemData":{"id":19853,"type":"article-journal","abstract":"Disease Overview: Immunoglobulin light chain amyloidosis is a clonal, nonproliferative plasma cell disorder in which fragments of immunoglobulin light or heavy chain are deposited in tissues. Clinical features depend on organs involved but can include restrictive cardiomyopathy, nephrotic syndrome, hepatic dysfunction, peripheral/autonomic neuropathy, and “atypical multiple myeloma.” Diagnosis: Tissue biopsy stained with Congo red demonstrating amyloid deposits with applegreen birefringence is required for diagnosis. Invasive organ biopsy is not required because amyloid deposits can be found in bone marrow, salivary gland, or subcutaneous fat aspirate in 85% of patients. Verification that amyloid is composed of immunoglobulin light chains is mandatory. The gold standard is laser capture mass spectroscopy.","container-title":"American Journal of Hematology","DOI":"10.1002/ajh.25149","ISSN":"03618609","issue":"9","journalAbbreviation":"Am J Hematol","language":"en","page":"1169-1180","source":"DOI.org (Crossref)","title":"Immunoglobulin light chain amyloidosis: 2018 Update on diagnosis, prognosis, and treatment: GERTZ","title-short":"Immunoglobulin light chain amyloidosis","volume":"93","author":[{"family":"Gertz","given":"Morie A."}],"issued":{"date-parts":[["2018",9]]}}}],"schema":"https://github.com/citation-style-language/schema/raw/master/csl-citation.json"} </w:instrText>
      </w:r>
      <w:r w:rsidRPr="00DA5E5D">
        <w:rPr>
          <w:rStyle w:val="TekstasChar"/>
          <w:lang w:val="lt-LT"/>
        </w:rPr>
        <w:fldChar w:fldCharType="separate"/>
      </w:r>
      <w:r w:rsidRPr="00DA5E5D">
        <w:rPr>
          <w:rStyle w:val="TekstasChar"/>
          <w:lang w:val="lt-LT"/>
        </w:rPr>
        <w:fldChar w:fldCharType="end"/>
      </w:r>
      <w:r w:rsidRPr="00DA5E5D">
        <w:rPr>
          <w:rStyle w:val="TekstasChar"/>
          <w:lang w:val="lt-LT"/>
        </w:rPr>
        <w:t>. Pažymėtina, kad širdies nepakankamumas yra pagrindinė pacientų, sergančių AL amiloidoze mirties priežastis, o širdies pažeidimo stadija yra viena iš pagrindinių mirtingumo rizikos indikatorių. Jeigu pacientas, kuriam pažeista širdis nėra gydomas, jis miršta per 6 mėn. nuo širdies funkcijos nepakankamumo išsivystymo.</w:t>
      </w:r>
    </w:p>
    <w:p w14:paraId="5735B7D0" w14:textId="77777777" w:rsidR="00A03BE1" w:rsidRPr="00DA5E5D" w:rsidRDefault="00A03BE1" w:rsidP="00A03BE1">
      <w:pPr>
        <w:pStyle w:val="Tekstas"/>
        <w:spacing w:line="360" w:lineRule="auto"/>
        <w:ind w:firstLine="720"/>
        <w:rPr>
          <w:lang w:val="lt-LT"/>
        </w:rPr>
      </w:pPr>
      <w:r w:rsidRPr="00DA5E5D">
        <w:rPr>
          <w:lang w:val="lt-LT"/>
        </w:rPr>
        <w:t xml:space="preserve">Lietuvos populiacijoje sergamumas AL amiloidoze yra 11,09 atvejo 1 mln. gyventojų, t.y. 32 nauji atvejai kas metai. Apie 10 proc. (2 pac.) pacientų diagnozės nustatymo metu yra terminalinėje organų nepakankamumo stadijoje ir aktyvus gydymas jiems jau netaikomas. Likusiems pirmo pasirinkimo gydymas iki šiol buvo chemoterapijos schema bortezomibo pagrindu –VULSK ir LSMUL KK gydymo centrų duomenimis tokia schema gali būti paskirta 92,9 proc. pacientų (27 pac.). Retai pasitaikančiais atvejais bortezomibo skyrimą gali riboti neuropatijos. </w:t>
      </w:r>
    </w:p>
    <w:p w14:paraId="42D9929C" w14:textId="77777777" w:rsidR="00A03BE1" w:rsidRPr="002C1433" w:rsidRDefault="00A03BE1" w:rsidP="00A03BE1">
      <w:pPr>
        <w:pStyle w:val="Tekstas"/>
        <w:spacing w:line="360" w:lineRule="auto"/>
        <w:ind w:firstLine="720"/>
        <w:rPr>
          <w:rFonts w:eastAsia="Arial"/>
          <w:iCs/>
          <w:lang w:val="lt-LT"/>
        </w:rPr>
      </w:pPr>
      <w:r w:rsidRPr="002C1433">
        <w:rPr>
          <w:rFonts w:eastAsia="Arial"/>
          <w:iCs/>
          <w:lang w:val="lt-LT"/>
        </w:rPr>
        <w:t xml:space="preserve">Daratumumabas (ATC kodas - L01FC01) yra IgG1κ žmogaus monokloninis antikūnas (mAb), kuris prisijungia prie CD38 baltymo, kuris aptinkamas įvairių hematologinių piktybinių navikų ląstelių paviršiuje, įskaitant klonines plazmines ląsteles, esant dauginei mielomai ir AL amiloidozei, o taip pat kitų rūšių ląstelių paviršiuje ir audiniuose. Įrodyta, kad daratumumabas stipriai slopina vėžio ląstelių, kurios ekspresuoja CD38, augimą </w:t>
      </w:r>
      <w:r w:rsidRPr="002C1433">
        <w:rPr>
          <w:rFonts w:eastAsia="Arial"/>
          <w:i/>
          <w:iCs/>
          <w:lang w:val="lt-LT"/>
        </w:rPr>
        <w:t>in vivo</w:t>
      </w:r>
      <w:r w:rsidRPr="002C1433">
        <w:rPr>
          <w:rFonts w:eastAsia="Arial"/>
          <w:iCs/>
          <w:lang w:val="lt-LT"/>
        </w:rPr>
        <w:t>.</w:t>
      </w:r>
    </w:p>
    <w:p w14:paraId="2FDA41AA" w14:textId="77777777" w:rsidR="00A03BE1" w:rsidRPr="002C1433" w:rsidRDefault="00A03BE1" w:rsidP="00A03BE1">
      <w:pPr>
        <w:pStyle w:val="Tekstas"/>
        <w:spacing w:line="360" w:lineRule="auto"/>
        <w:ind w:firstLine="720"/>
        <w:rPr>
          <w:rFonts w:eastAsia="Arial"/>
          <w:iCs/>
          <w:lang w:val="lt-LT"/>
        </w:rPr>
      </w:pPr>
      <w:r w:rsidRPr="002C1433">
        <w:rPr>
          <w:rFonts w:eastAsia="Arial"/>
          <w:iCs/>
          <w:lang w:val="lt-LT"/>
        </w:rPr>
        <w:lastRenderedPageBreak/>
        <w:t>Lietuvoje gydymo schemos pasirinkimas grindžiamas galimybe gydymui skirti schemą proteosomų inhibitorių (bortezomibo) pagrindu. VCd režimas - bortezomibu, ciklofosfamidu ir deksametazonu.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116 - 119 punktais, bortezomibo, ciklofosfamido ir deksametazono derinys laikomas tinkamu palyginamuoju gydymu DVCd veiksmingumui įvertinti.</w:t>
      </w:r>
    </w:p>
    <w:p w14:paraId="6315EC2D" w14:textId="3AEEAF42" w:rsidR="00A03BE1" w:rsidRPr="002C1433" w:rsidRDefault="00A03BE1" w:rsidP="00A03BE1">
      <w:pPr>
        <w:pStyle w:val="Tekstas"/>
        <w:spacing w:line="360" w:lineRule="auto"/>
        <w:ind w:firstLine="720"/>
        <w:rPr>
          <w:lang w:val="lt-LT"/>
        </w:rPr>
      </w:pPr>
      <w:r w:rsidRPr="002C1433">
        <w:rPr>
          <w:iCs/>
          <w:lang w:val="lt-LT" w:eastAsia="lt-LT"/>
        </w:rPr>
        <w:t>Numatoma daratumumabo vieta gydymo schemoje kaip pradinė terapija</w:t>
      </w:r>
      <w:r w:rsidRPr="002C1433">
        <w:rPr>
          <w:lang w:val="lt-LT"/>
        </w:rPr>
        <w:t xml:space="preserve"> suaugusiųjų pacientų, kuriems naujai buvo diagnozuota sisteminė AL amiloidozė, kartu su ciklofosfamidu, bortezomibu ir deksametazonu. Tikėtina, kad šis gydymo režimas bus alternatyva taikomai VCd gydymo schema</w:t>
      </w:r>
      <w:r w:rsidR="00B36EA0">
        <w:rPr>
          <w:lang w:val="lt-LT"/>
        </w:rPr>
        <w:t>i</w:t>
      </w:r>
      <w:r w:rsidRPr="002C1433">
        <w:rPr>
          <w:lang w:val="lt-LT"/>
        </w:rPr>
        <w:t>.</w:t>
      </w:r>
    </w:p>
    <w:p w14:paraId="5B1256E2" w14:textId="77777777" w:rsidR="00A03BE1" w:rsidRDefault="00A03BE1" w:rsidP="00A03BE1">
      <w:pPr>
        <w:pStyle w:val="Tekstas"/>
        <w:spacing w:line="360" w:lineRule="auto"/>
        <w:ind w:firstLine="720"/>
        <w:rPr>
          <w:i/>
          <w:iCs/>
          <w:lang w:val="lt-LT"/>
        </w:rPr>
      </w:pPr>
      <w:r w:rsidRPr="002C1433">
        <w:rPr>
          <w:i/>
          <w:iCs/>
          <w:lang w:val="lt-LT"/>
        </w:rPr>
        <w:t>Tiesioginis palyginimas</w:t>
      </w:r>
    </w:p>
    <w:p w14:paraId="699C0274" w14:textId="77777777" w:rsidR="00A03BE1" w:rsidRDefault="00A03BE1" w:rsidP="00A03BE1">
      <w:pPr>
        <w:pStyle w:val="Tekstas"/>
        <w:spacing w:line="360" w:lineRule="auto"/>
        <w:ind w:firstLine="720"/>
        <w:rPr>
          <w:rFonts w:eastAsia="Arial"/>
          <w:bCs/>
          <w:lang w:val="lt-LT"/>
        </w:rPr>
      </w:pPr>
      <w:r w:rsidRPr="00DA5E5D">
        <w:rPr>
          <w:rFonts w:eastAsia="Arial"/>
          <w:bCs/>
          <w:lang w:val="lt-LT"/>
        </w:rPr>
        <w:t>DVCd derinio klinikinis veiksmingumas grindžiamas klinikiniu tyrimu ANDROMEDA rezultatais. Tai yra yra III fazės atsitiktinių imčių atviras daugiacentris, kuriame gydymas DVCd buvo lyginamas su VCd.</w:t>
      </w:r>
      <w:r w:rsidRPr="00CC38A8">
        <w:t xml:space="preserve"> </w:t>
      </w:r>
      <w:r w:rsidRPr="00CC38A8">
        <w:rPr>
          <w:rFonts w:eastAsia="Arial"/>
          <w:bCs/>
          <w:lang w:val="lt-LT"/>
        </w:rPr>
        <w:t>Įvertinus įtraukimo ir atmetimo kriterijus ANDROMEDA tyrime, pacientų populiacija atitinką siūlomą kompensuoti daratumumamo terapinę indikaciją. Tyrimo populiacija atitinka egzistuojančią Lietuvos pacientų populiaciją. Manoma, kad atmetimo kriterijai neturės įtakos tyrimo rezultatų pritaikomumui Lietuvos populiacijai.</w:t>
      </w:r>
    </w:p>
    <w:p w14:paraId="2116FAA1" w14:textId="2C94D923" w:rsidR="00A03BE1" w:rsidRDefault="00A03BE1" w:rsidP="00081566">
      <w:pPr>
        <w:spacing w:line="360" w:lineRule="auto"/>
        <w:ind w:firstLine="720"/>
        <w:jc w:val="both"/>
        <w:rPr>
          <w:bCs/>
          <w:iCs/>
          <w:color w:val="000000" w:themeColor="text1"/>
        </w:rPr>
      </w:pPr>
      <w:r w:rsidRPr="00DA5E5D">
        <w:rPr>
          <w:rFonts w:eastAsia="Arial"/>
          <w:b/>
          <w:bCs/>
          <w:iCs/>
        </w:rPr>
        <w:t>Visiško hematologinio atsako dažnis bendroje populiacijoje (</w:t>
      </w:r>
      <w:r w:rsidRPr="00DA5E5D">
        <w:rPr>
          <w:rFonts w:eastAsia="Arial"/>
          <w:i/>
        </w:rPr>
        <w:t>angl. Overall hematologic complete response rate</w:t>
      </w:r>
      <w:r w:rsidRPr="00DA5E5D">
        <w:rPr>
          <w:rFonts w:eastAsia="Arial"/>
          <w:b/>
          <w:bCs/>
          <w:iCs/>
        </w:rPr>
        <w:t>)</w:t>
      </w:r>
      <w:r w:rsidRPr="00DA5E5D">
        <w:rPr>
          <w:rFonts w:eastAsia="Arial"/>
          <w:iCs/>
        </w:rPr>
        <w:t>, kuris apibrėžtas kaip – remiantis AL amiloidozės konsensuso gairėmis (EHA-ISA 2022m.) – neaptinkamas monokloninis baltymas serume ir šlapime, normalus laisvųjų grandinių santykis, su išlygą - jeigu normalizuotas patologinės lengvosios grandinės lygis kitų kriterijų nebereikia.</w:t>
      </w:r>
      <w:r w:rsidRPr="00A95F4F">
        <w:rPr>
          <w:rFonts w:eastAsia="Arial"/>
          <w:iCs/>
        </w:rPr>
        <w:t xml:space="preserve"> </w:t>
      </w:r>
      <w:r w:rsidRPr="00DA5E5D">
        <w:rPr>
          <w:rFonts w:eastAsia="Arial"/>
          <w:iCs/>
        </w:rPr>
        <w:t>Visiško hematologinio atsako dažnis</w:t>
      </w:r>
      <w:r>
        <w:rPr>
          <w:rFonts w:eastAsia="Arial"/>
          <w:iCs/>
        </w:rPr>
        <w:t xml:space="preserve"> buvo įvertintas ab</w:t>
      </w:r>
      <w:r w:rsidR="00B36EA0">
        <w:rPr>
          <w:rFonts w:eastAsia="Arial"/>
          <w:iCs/>
        </w:rPr>
        <w:t>ie</w:t>
      </w:r>
      <w:r>
        <w:rPr>
          <w:rFonts w:eastAsia="Arial"/>
          <w:iCs/>
        </w:rPr>
        <w:t>jose grup</w:t>
      </w:r>
      <w:r w:rsidR="00B36EA0">
        <w:rPr>
          <w:rFonts w:eastAsia="Arial"/>
          <w:iCs/>
        </w:rPr>
        <w:t>ė</w:t>
      </w:r>
      <w:r>
        <w:rPr>
          <w:rFonts w:eastAsia="Arial"/>
          <w:iCs/>
        </w:rPr>
        <w:t>se. D</w:t>
      </w:r>
      <w:r w:rsidRPr="00DA5E5D">
        <w:rPr>
          <w:rFonts w:eastAsia="Arial"/>
          <w:iCs/>
        </w:rPr>
        <w:t xml:space="preserve">aratumumabo pridėjimas prie VCd režimo lėmė kliniškai reikšmingą ir statistiškai reikšmingą bendro visiško hematologinio atsako dažnio padidėjimą jau po </w:t>
      </w:r>
      <w:r w:rsidRPr="0010666C">
        <w:rPr>
          <w:rFonts w:eastAsia="Arial"/>
          <w:iCs/>
        </w:rPr>
        <w:t>6 gydymo m</w:t>
      </w:r>
      <w:r w:rsidRPr="00DA5E5D">
        <w:rPr>
          <w:rFonts w:eastAsia="Arial"/>
          <w:iCs/>
        </w:rPr>
        <w:t>ėnesių, palyginti su VCd gydymu: (53,3 proc. ir 18,1 proc. VCd, atitinkamai. Šansų santykis (ŠS)=5,13; 95 proc. PI: 3,22–8,16; p&lt;0,0001) (</w:t>
      </w:r>
      <w:r w:rsidRPr="0010666C">
        <w:rPr>
          <w:rFonts w:eastAsia="Arial"/>
          <w:iCs/>
        </w:rPr>
        <w:t>2 lentel</w:t>
      </w:r>
      <w:r w:rsidRPr="00DA5E5D">
        <w:rPr>
          <w:rFonts w:eastAsia="Arial"/>
          <w:iCs/>
        </w:rPr>
        <w:t xml:space="preserve">ė). Numatytas pagal statistinio plano tikslas – </w:t>
      </w:r>
      <w:r w:rsidRPr="0010666C">
        <w:rPr>
          <w:rFonts w:eastAsia="Arial"/>
          <w:iCs/>
        </w:rPr>
        <w:t>15 proc. skirtumas tarp palyginamųjų grupių DVCd derinio naudai.</w:t>
      </w:r>
      <w:r>
        <w:rPr>
          <w:rFonts w:eastAsia="Arial"/>
          <w:iCs/>
        </w:rPr>
        <w:t xml:space="preserve"> </w:t>
      </w:r>
      <w:r w:rsidRPr="00DA5E5D">
        <w:rPr>
          <w:rFonts w:eastAsia="Arial"/>
          <w:iCs/>
        </w:rPr>
        <w:t xml:space="preserve">Vertinant duomenis po 12 ir 18 mėnesių,  tikėtina, kad žymiai daugiau DVCd gydytų pacientų galėtų pasiekti visišką hematologinį atsaką, palyginus  VCd gydytais pacientais. DVCd schema gydyti pacientai turėjo žymiai daugiau šansų pasiekti labai gerą dalinį hematologinį atsaką negu VCd gydyti pacientai. </w:t>
      </w:r>
      <w:r w:rsidRPr="00DA5E5D">
        <w:rPr>
          <w:iCs/>
        </w:rPr>
        <w:t xml:space="preserve">MOD-PFS rezultatai parodė žymų hematologinio progresavimo, pagrindinių organų pablogėjimo ar mirties atidėjimą DVCd grupėje. </w:t>
      </w:r>
      <w:r>
        <w:rPr>
          <w:iCs/>
        </w:rPr>
        <w:t xml:space="preserve">Vis dėlto </w:t>
      </w:r>
      <w:r w:rsidRPr="00DA5E5D">
        <w:rPr>
          <w:iCs/>
        </w:rPr>
        <w:t>MOD-PFS rezultatai buvo patikimi ir nuoseklūs vertinant laiko perspektyvoje po 6 gydymo mėnesių.</w:t>
      </w:r>
      <w:r>
        <w:rPr>
          <w:iCs/>
        </w:rPr>
        <w:t xml:space="preserve"> </w:t>
      </w:r>
      <w:r w:rsidRPr="00DA5E5D">
        <w:t xml:space="preserve">Atsižvelgiant į Rizikos santykį, gydant daratumumabu derinyje su VCd, 56 proc. didesnė tikimybe, kad daugiau nei pusė pacientų galės išgyventi 5 metus nuo gydymo pradžios be didelio </w:t>
      </w:r>
      <w:r w:rsidRPr="00DA5E5D">
        <w:lastRenderedPageBreak/>
        <w:t>organų pažeidimo ar hematologinės progresijos</w:t>
      </w:r>
      <w:r w:rsidRPr="0010666C">
        <w:t xml:space="preserve">. </w:t>
      </w:r>
      <w:r w:rsidRPr="00DA5E5D">
        <w:rPr>
          <w:bCs/>
          <w:iCs/>
          <w:color w:val="000000" w:themeColor="text1"/>
        </w:rPr>
        <w:t xml:space="preserve">Panašius rezultatus pateikė ir nepriklausomas priežiūros komitetas. </w:t>
      </w:r>
    </w:p>
    <w:p w14:paraId="0999A7D7" w14:textId="77777777" w:rsidR="00A03BE1" w:rsidRDefault="00A03BE1" w:rsidP="00A03BE1">
      <w:pPr>
        <w:spacing w:line="360" w:lineRule="auto"/>
        <w:jc w:val="both"/>
        <w:rPr>
          <w:bCs/>
          <w:iCs/>
          <w:color w:val="000000" w:themeColor="text1"/>
        </w:rPr>
      </w:pPr>
      <w:r>
        <w:rPr>
          <w:bCs/>
          <w:iCs/>
          <w:color w:val="000000" w:themeColor="text1"/>
        </w:rPr>
        <w:t>Svarbiausios antrinės vertinamosios baigtys: MOD-PFS (</w:t>
      </w:r>
      <w:r w:rsidRPr="00DA5E5D">
        <w:rPr>
          <w:rFonts w:eastAsia="Arial"/>
          <w:iCs/>
        </w:rPr>
        <w:t>Bendras išgyvenamumas be didelio organų pažeidimo ar hematologinės progresijos</w:t>
      </w:r>
      <w:r>
        <w:rPr>
          <w:rFonts w:eastAsia="Arial"/>
          <w:iCs/>
        </w:rPr>
        <w:t>) bei bendras išgyvenamumas</w:t>
      </w:r>
      <w:r>
        <w:rPr>
          <w:bCs/>
          <w:iCs/>
          <w:color w:val="000000" w:themeColor="text1"/>
        </w:rPr>
        <w:t>.</w:t>
      </w:r>
    </w:p>
    <w:p w14:paraId="66C8A32B" w14:textId="77777777" w:rsidR="00A03BE1" w:rsidRPr="00DA5E5D" w:rsidRDefault="00A03BE1" w:rsidP="00A03BE1">
      <w:pPr>
        <w:spacing w:line="360" w:lineRule="auto"/>
        <w:ind w:firstLine="720"/>
        <w:jc w:val="both"/>
        <w:rPr>
          <w:rFonts w:eastAsia="Arial"/>
          <w:iCs/>
        </w:rPr>
      </w:pPr>
      <w:r w:rsidRPr="00DA5E5D">
        <w:rPr>
          <w:color w:val="000000" w:themeColor="text1"/>
        </w:rPr>
        <w:t xml:space="preserve">Remiantis tiek nepriklausomo peržiūros komiteto vertinimo (RS=0,58; 95 proc. PI: 0,37–0,92; p=0,0198), tiek tyrėjų vertinimo (RS=0,54; 95 proc. PI: 0,34–0,85; p=0,0063) </w:t>
      </w:r>
      <w:r w:rsidRPr="002C1433">
        <w:rPr>
          <w:b/>
          <w:bCs/>
          <w:i/>
          <w:iCs/>
          <w:color w:val="000000" w:themeColor="text1"/>
        </w:rPr>
        <w:t>MOD-PFS</w:t>
      </w:r>
      <w:r w:rsidRPr="00DA5E5D">
        <w:rPr>
          <w:color w:val="000000" w:themeColor="text1"/>
        </w:rPr>
        <w:t xml:space="preserve"> analizių rezultatais nustatyta, kad </w:t>
      </w:r>
      <w:r w:rsidRPr="00DA5E5D">
        <w:rPr>
          <w:rFonts w:eastAsia="Arial"/>
          <w:iCs/>
        </w:rPr>
        <w:t xml:space="preserve">gydant DVCd deriniu beveik dvigubai daugiau pacientų išgyvens be didelio organų pažeidimo ar hematologinės progresijos palyginus su VCd deriniu per vienodą stebėjimo laikotarpį (t.y. 18 </w:t>
      </w:r>
      <w:r w:rsidRPr="0010666C">
        <w:rPr>
          <w:rFonts w:eastAsia="Arial"/>
          <w:iCs/>
        </w:rPr>
        <w:t>m</w:t>
      </w:r>
      <w:r w:rsidRPr="00DA5E5D">
        <w:rPr>
          <w:rFonts w:eastAsia="Arial"/>
          <w:iCs/>
        </w:rPr>
        <w:t xml:space="preserve">ėn) (pav. </w:t>
      </w:r>
      <w:r w:rsidRPr="0010666C">
        <w:rPr>
          <w:rFonts w:eastAsia="Arial"/>
          <w:iCs/>
        </w:rPr>
        <w:t xml:space="preserve">4). </w:t>
      </w:r>
      <w:r>
        <w:rPr>
          <w:rFonts w:eastAsia="Arial"/>
          <w:iCs/>
        </w:rPr>
        <w:t xml:space="preserve"> </w:t>
      </w:r>
      <w:r w:rsidRPr="00DA5E5D">
        <w:rPr>
          <w:rFonts w:eastAsia="Arial"/>
          <w:iCs/>
        </w:rPr>
        <w:t>Galutinėje MOD-PFS analizėje, atliktoje po 36 mėn., DVCd derinio pranašumas išlieka: ŠS</w:t>
      </w:r>
      <w:r w:rsidRPr="0010666C">
        <w:rPr>
          <w:rFonts w:eastAsia="Arial"/>
          <w:iCs/>
        </w:rPr>
        <w:t>=</w:t>
      </w:r>
      <w:r w:rsidRPr="00DA5E5D">
        <w:rPr>
          <w:rFonts w:eastAsia="Arial"/>
          <w:iCs/>
        </w:rPr>
        <w:t xml:space="preserve"> 6,03; 95 proc. PI: 3,8–9,58; p&lt;0,0001: daugiau pacientų, gydytų DVCd deriniu, išgyveno be ligos progresavimo (MOD-PFS)</w:t>
      </w:r>
    </w:p>
    <w:p w14:paraId="40DF467E" w14:textId="77777777" w:rsidR="00A03BE1" w:rsidRDefault="00A03BE1" w:rsidP="00A03BE1">
      <w:pPr>
        <w:pStyle w:val="Caption"/>
        <w:spacing w:line="360" w:lineRule="auto"/>
        <w:ind w:firstLine="720"/>
        <w:rPr>
          <w:color w:val="auto"/>
          <w:sz w:val="24"/>
          <w:szCs w:val="24"/>
          <w:lang w:val="lt-LT"/>
        </w:rPr>
      </w:pPr>
      <w:r w:rsidRPr="00DA5E5D">
        <w:rPr>
          <w:color w:val="auto"/>
          <w:sz w:val="24"/>
          <w:szCs w:val="24"/>
          <w:lang w:val="lt-LT"/>
        </w:rPr>
        <w:t xml:space="preserve">Stebėjimo trukmės mediana buvo 61,4 mėnesio. Per laikotarpį įvyko 112 mirčių, iš kurių 46 DVCd grupėje ir 66 VCd grupėje. </w:t>
      </w:r>
      <w:r w:rsidRPr="002C1433">
        <w:rPr>
          <w:b/>
          <w:bCs w:val="0"/>
          <w:i/>
          <w:iCs/>
          <w:color w:val="auto"/>
          <w:sz w:val="24"/>
          <w:szCs w:val="24"/>
          <w:lang w:val="lt-LT"/>
        </w:rPr>
        <w:t>Bendro išgyvenamumo</w:t>
      </w:r>
      <w:r w:rsidRPr="0010666C">
        <w:rPr>
          <w:color w:val="auto"/>
          <w:sz w:val="24"/>
          <w:szCs w:val="24"/>
          <w:lang w:val="lt-LT"/>
        </w:rPr>
        <w:t xml:space="preserve"> analizė parodė, kad reikšmingai daugiau pacientų gydomų DVCd lieka gyvi palyginus su VCd per vienodą stebėjimo laikotarpį.  RS= 0,62 (95proc. PI: 0,42, 0,90). 5 metų išgyvenamumas buvo 76,1 proc. DVCd grupėje ir 64,7 proc. VCd grupėje. Šie rezultatai laikomi kliniškai reikšmingais.</w:t>
      </w:r>
    </w:p>
    <w:p w14:paraId="50A03693" w14:textId="77777777" w:rsidR="00A03BE1" w:rsidRDefault="00A03BE1" w:rsidP="00A03BE1">
      <w:pPr>
        <w:spacing w:line="360" w:lineRule="auto"/>
        <w:jc w:val="both"/>
      </w:pPr>
      <w:r>
        <w:tab/>
        <w:t>Vertinant pacientų praneštos baigtis, statistiškai reikšmingų skirtumų pastebėta nebuvo.</w:t>
      </w:r>
    </w:p>
    <w:p w14:paraId="2D5A8756" w14:textId="77777777" w:rsidR="00A03BE1" w:rsidRDefault="00A03BE1" w:rsidP="00A03BE1">
      <w:pPr>
        <w:spacing w:line="360" w:lineRule="auto"/>
        <w:ind w:firstLine="720"/>
        <w:jc w:val="both"/>
      </w:pPr>
      <w:r>
        <w:t xml:space="preserve">Nepageidaujamų reiškinių dažnių analizė neparodė naujų, nežinomų reiškinių atsiradimą. Jie žinomi ir gali būti nuspėjami taikant gydymą  DVCd deriniu šioje pacientų populiacijoje. </w:t>
      </w:r>
      <w:r w:rsidRPr="00990A84">
        <w:t>Išsamesnė informacija apie saugumo duomenis yra pateikta preparato charakteristikos santraukoje EVA puslapyje</w:t>
      </w:r>
      <w:r>
        <w:t xml:space="preserve">. </w:t>
      </w:r>
    </w:p>
    <w:p w14:paraId="0506B13B" w14:textId="77777777" w:rsidR="00A03BE1" w:rsidRDefault="00A03BE1" w:rsidP="00A03BE1">
      <w:pPr>
        <w:spacing w:line="360" w:lineRule="auto"/>
        <w:ind w:firstLine="720"/>
        <w:jc w:val="both"/>
        <w:rPr>
          <w:iCs/>
        </w:rPr>
      </w:pPr>
      <w:r>
        <w:t xml:space="preserve">Pareiškėjas papildomai pateikė </w:t>
      </w:r>
      <w:r w:rsidRPr="00DA5E5D">
        <w:rPr>
          <w:iCs/>
        </w:rPr>
        <w:t>COLUMBA tyrim</w:t>
      </w:r>
      <w:r>
        <w:rPr>
          <w:iCs/>
        </w:rPr>
        <w:t>o duomenys, kurie</w:t>
      </w:r>
      <w:r w:rsidRPr="00C7249B">
        <w:t xml:space="preserve"> </w:t>
      </w:r>
      <w:r w:rsidRPr="00C7249B">
        <w:rPr>
          <w:iCs/>
        </w:rPr>
        <w:t>kad daratumumabo poodinės injekcijos veiksmingumas nesiskiria nuo infuzijos.</w:t>
      </w:r>
      <w:r>
        <w:rPr>
          <w:iCs/>
        </w:rPr>
        <w:t xml:space="preserve"> Pažymėtina, kad ANDRPMEDA klinikiniame tyrime daratumumabas buvo suleidžiamas infuzijos būdu.</w:t>
      </w:r>
    </w:p>
    <w:p w14:paraId="6CC9E6BE" w14:textId="77777777" w:rsidR="00A03BE1" w:rsidRPr="00010967" w:rsidRDefault="00A03BE1" w:rsidP="00A03BE1">
      <w:pPr>
        <w:spacing w:line="360" w:lineRule="auto"/>
        <w:ind w:firstLine="720"/>
        <w:jc w:val="both"/>
        <w:rPr>
          <w:rStyle w:val="TekstasChar"/>
          <w:bCs/>
          <w:sz w:val="23"/>
          <w:szCs w:val="20"/>
        </w:rPr>
      </w:pPr>
      <w:r>
        <w:rPr>
          <w:iCs/>
        </w:rPr>
        <w:t xml:space="preserve">Apibendrinant klinikinio vertinimo rezultatus, daratumumabo veiksmingumas pridėjus prie </w:t>
      </w:r>
      <w:r w:rsidRPr="00DA5E5D">
        <w:t>ciklofosfamid</w:t>
      </w:r>
      <w:r>
        <w:t>o</w:t>
      </w:r>
      <w:r w:rsidRPr="00DA5E5D">
        <w:t>, bortezomib</w:t>
      </w:r>
      <w:r>
        <w:t>o</w:t>
      </w:r>
      <w:r w:rsidRPr="00DA5E5D">
        <w:t xml:space="preserve"> ir deksametazon</w:t>
      </w:r>
      <w:r>
        <w:t>o yra įrodytas kaip didesnis, palyginus su įprasta klinikine praktika Lietuvoje, kai skiriamas</w:t>
      </w:r>
      <w:r w:rsidRPr="00424262">
        <w:t xml:space="preserve"> </w:t>
      </w:r>
      <w:r w:rsidRPr="00DA5E5D">
        <w:t>suaugusi</w:t>
      </w:r>
      <w:r>
        <w:t>ems</w:t>
      </w:r>
      <w:r w:rsidRPr="00DA5E5D">
        <w:t xml:space="preserve"> pacient</w:t>
      </w:r>
      <w:r>
        <w:t>ams</w:t>
      </w:r>
      <w:r w:rsidRPr="00DA5E5D">
        <w:t>, kuriems naujai buvo diagnozuota sisteminė AL amiloidozė</w:t>
      </w:r>
      <w:r>
        <w:t>.</w:t>
      </w:r>
    </w:p>
    <w:p w14:paraId="1AA28D4D" w14:textId="77777777" w:rsidR="00D31B93" w:rsidRPr="00D31B93" w:rsidRDefault="00D31B93" w:rsidP="00D31B93">
      <w:pPr>
        <w:tabs>
          <w:tab w:val="left" w:pos="567"/>
        </w:tabs>
        <w:jc w:val="both"/>
        <w:rPr>
          <w:b/>
          <w:bCs/>
          <w:caps/>
          <w:szCs w:val="20"/>
        </w:rPr>
      </w:pPr>
    </w:p>
    <w:p w14:paraId="7DE09EB5" w14:textId="69E9DD74" w:rsidR="00E03C3F" w:rsidRDefault="00CC7832" w:rsidP="00CC09D4">
      <w:pPr>
        <w:pStyle w:val="ListParagraph"/>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7E03C6F8" w14:textId="77777777" w:rsidR="00081566" w:rsidRPr="000203E1" w:rsidRDefault="00081566" w:rsidP="00081566">
      <w:pPr>
        <w:pStyle w:val="ListParagraph"/>
        <w:tabs>
          <w:tab w:val="left" w:pos="567"/>
        </w:tabs>
        <w:rPr>
          <w:b/>
          <w:bCs/>
          <w:caps/>
        </w:rPr>
      </w:pPr>
    </w:p>
    <w:p w14:paraId="4F534967" w14:textId="77777777" w:rsidR="00A11F27" w:rsidRPr="00067F0C" w:rsidRDefault="00A11F27" w:rsidP="00081566">
      <w:pPr>
        <w:spacing w:line="360" w:lineRule="auto"/>
        <w:ind w:firstLine="720"/>
        <w:jc w:val="both"/>
      </w:pPr>
      <w:r w:rsidRPr="00067F0C">
        <w:rPr>
          <w:rFonts w:eastAsia="Arial"/>
        </w:rPr>
        <w:t xml:space="preserve">Klinikinio vertinimo metu nustačius </w:t>
      </w:r>
      <w:r w:rsidRPr="00067F0C">
        <w:rPr>
          <w:rFonts w:eastAsia="Arial"/>
          <w:i/>
          <w:iCs/>
        </w:rPr>
        <w:t xml:space="preserve">didesnį </w:t>
      </w:r>
      <w:r w:rsidRPr="00067F0C">
        <w:rPr>
          <w:rFonts w:eastAsia="Arial"/>
        </w:rPr>
        <w:t>palyginamąjį veiksmingumą lyginant su įprasta klinikine praktika,</w:t>
      </w:r>
      <w:r w:rsidRPr="00067F0C">
        <w:t xml:space="preserve"> atliekamas </w:t>
      </w:r>
      <w:r w:rsidRPr="00067F0C">
        <w:rPr>
          <w:rFonts w:eastAsia="Arial"/>
          <w:bCs/>
        </w:rPr>
        <w:t xml:space="preserve">kaštų </w:t>
      </w:r>
      <w:r w:rsidRPr="00067F0C">
        <w:rPr>
          <w:rFonts w:eastAsia="Arial"/>
          <w:i/>
          <w:iCs/>
        </w:rPr>
        <w:t>naudingumo</w:t>
      </w:r>
      <w:r w:rsidRPr="00067F0C">
        <w:rPr>
          <w:rFonts w:eastAsia="Arial"/>
          <w:bCs/>
        </w:rPr>
        <w:t xml:space="preserve"> analizės vertinimas</w:t>
      </w:r>
      <w:r w:rsidRPr="00067F0C">
        <w:t>.</w:t>
      </w:r>
    </w:p>
    <w:p w14:paraId="4933E02A" w14:textId="77777777" w:rsidR="00A11F27" w:rsidRPr="00067F0C" w:rsidRDefault="00A11F27" w:rsidP="00081566">
      <w:pPr>
        <w:spacing w:line="360" w:lineRule="auto"/>
        <w:jc w:val="both"/>
      </w:pPr>
      <w:r w:rsidRPr="00067F0C">
        <w:rPr>
          <w:lang w:eastAsia="lt-LT"/>
        </w:rPr>
        <w:t xml:space="preserve">Į ekonominę analizę įtraukti pacientai atitinka kompensacijai teikiamas terapines indikacijas. </w:t>
      </w:r>
      <w:r w:rsidRPr="00067F0C">
        <w:t xml:space="preserve">Analizėje naudojamas pacientų kohorta grįstas modelis. Modelyje generuojama hipotetinė 1000 pacientų  kohorta, kurios pradinės charakteristikos atitinka kompensavimui siūlomą indikaciją, iš </w:t>
      </w:r>
      <w:r w:rsidRPr="00067F0C">
        <w:lastRenderedPageBreak/>
        <w:t xml:space="preserve">ANDROMEDA klinikinio tyrimo. Į klinikinį tyrimą įtraukti vyresni nei 18 metų pacientai, sergantys naujai diagnozuota AL amiloidoze, kuri paveikė bent 1 organą. </w:t>
      </w:r>
      <w:r w:rsidRPr="00067F0C">
        <w:rPr>
          <w:rFonts w:eastAsia="Arial"/>
          <w:bCs/>
        </w:rPr>
        <w:t xml:space="preserve">Ekonominėje analizėje pateiktas palyginamasis gydymas atitinka įprastą Lietuvos Respublikos klinikinę praktiką. Analizėje taikomas palyginimas su </w:t>
      </w:r>
      <w:r w:rsidRPr="00067F0C">
        <w:rPr>
          <w:rFonts w:eastAsia="Arial"/>
          <w:bCs/>
          <w:iCs/>
        </w:rPr>
        <w:t xml:space="preserve">VCd (bortezomibas, ciklofosfamidas, deksametazonas) terapija. </w:t>
      </w:r>
      <w:r w:rsidRPr="00067F0C">
        <w:t xml:space="preserve">Kaštai ir nauda diskontuoti pagal teisės aktuose nustatytus paraiškos rengimo taisyklių reikalavimus. Taikytas 3,5% diskontavimas. Analizė atlikta iš PSDF biudžeto perspektyvos, įtraukti tiesiogiai su sveikatos sistema susiję kaštai. Tai atitinka teisės aktuose nustatytus paraiškos rengimo taisyklių reikalavimus. </w:t>
      </w:r>
      <w:r w:rsidRPr="00067F0C">
        <w:rPr>
          <w:lang w:eastAsia="lt-LT"/>
        </w:rPr>
        <w:t xml:space="preserve">Analizėje taikoma 35 metų, viso gyvenimo, laiko perspektyva. Pasirinkta laiko perspektyva yra tinkama, atsižvelgiant į ligos eigą ir įtaką išgyvenamumui. </w:t>
      </w:r>
      <w:r w:rsidRPr="00067F0C">
        <w:t>Analizėje taikomas sprendimų medžio modeliavimo metodas kartu su Markovo modeliu. Modelyje yra 12 sveikatos būklių. AL amiloidozės pirmos eilės gydymo tikslas yra greitas ir gilus hematologinis atsakas – taip pagerinamas išgyvenamumas ir sumažinama tolimesnė organų pažaida. Sprendimų medis modelyje leidžia stratifikuoti pacientus pagal hematologinį atsaką. Markovo modelyje užfiksuojama tolimesnė pacientų ligos eiga. Modelio struktūra laikoma tinkama analizės rezultato apskaičiavimui.</w:t>
      </w:r>
    </w:p>
    <w:p w14:paraId="662B8CBD" w14:textId="05E52AD8" w:rsidR="00A11F27" w:rsidRPr="00067F0C" w:rsidRDefault="00A11F27" w:rsidP="00081566">
      <w:pPr>
        <w:pStyle w:val="Tekstaspolentele"/>
        <w:spacing w:line="360" w:lineRule="auto"/>
        <w:rPr>
          <w:sz w:val="24"/>
        </w:rPr>
      </w:pPr>
      <w:proofErr w:type="spellStart"/>
      <w:r w:rsidRPr="00067F0C">
        <w:rPr>
          <w:sz w:val="24"/>
        </w:rPr>
        <w:t>Analizėje</w:t>
      </w:r>
      <w:proofErr w:type="spellEnd"/>
      <w:r w:rsidRPr="00067F0C">
        <w:rPr>
          <w:sz w:val="24"/>
        </w:rPr>
        <w:t xml:space="preserve"> </w:t>
      </w:r>
      <w:proofErr w:type="spellStart"/>
      <w:r w:rsidRPr="00067F0C">
        <w:rPr>
          <w:sz w:val="24"/>
        </w:rPr>
        <w:t>kaip</w:t>
      </w:r>
      <w:proofErr w:type="spellEnd"/>
      <w:r w:rsidRPr="00067F0C">
        <w:rPr>
          <w:sz w:val="24"/>
        </w:rPr>
        <w:t xml:space="preserve"> </w:t>
      </w:r>
      <w:proofErr w:type="spellStart"/>
      <w:r w:rsidRPr="00067F0C">
        <w:rPr>
          <w:sz w:val="24"/>
        </w:rPr>
        <w:t>klinikinių</w:t>
      </w:r>
      <w:proofErr w:type="spellEnd"/>
      <w:r w:rsidRPr="00067F0C">
        <w:rPr>
          <w:sz w:val="24"/>
        </w:rPr>
        <w:t xml:space="preserve"> </w:t>
      </w:r>
      <w:proofErr w:type="spellStart"/>
      <w:r w:rsidRPr="00067F0C">
        <w:rPr>
          <w:sz w:val="24"/>
        </w:rPr>
        <w:t>duomenų</w:t>
      </w:r>
      <w:proofErr w:type="spellEnd"/>
      <w:r w:rsidRPr="00067F0C">
        <w:rPr>
          <w:sz w:val="24"/>
        </w:rPr>
        <w:t xml:space="preserve"> </w:t>
      </w:r>
      <w:proofErr w:type="spellStart"/>
      <w:r w:rsidRPr="00067F0C">
        <w:rPr>
          <w:sz w:val="24"/>
        </w:rPr>
        <w:t>šaltinis</w:t>
      </w:r>
      <w:proofErr w:type="spellEnd"/>
      <w:r w:rsidRPr="00067F0C">
        <w:rPr>
          <w:sz w:val="24"/>
        </w:rPr>
        <w:t xml:space="preserve"> </w:t>
      </w:r>
      <w:proofErr w:type="spellStart"/>
      <w:r w:rsidRPr="00067F0C">
        <w:rPr>
          <w:sz w:val="24"/>
        </w:rPr>
        <w:t>naudojamas</w:t>
      </w:r>
      <w:proofErr w:type="spellEnd"/>
      <w:r w:rsidRPr="00067F0C">
        <w:rPr>
          <w:sz w:val="24"/>
        </w:rPr>
        <w:t xml:space="preserve"> ANDROMEDA - 3 </w:t>
      </w:r>
      <w:proofErr w:type="spellStart"/>
      <w:r w:rsidRPr="00067F0C">
        <w:rPr>
          <w:sz w:val="24"/>
        </w:rPr>
        <w:t>fazės</w:t>
      </w:r>
      <w:proofErr w:type="spellEnd"/>
      <w:r w:rsidRPr="00067F0C">
        <w:rPr>
          <w:sz w:val="24"/>
        </w:rPr>
        <w:t xml:space="preserve">, </w:t>
      </w:r>
      <w:proofErr w:type="spellStart"/>
      <w:r w:rsidRPr="00067F0C">
        <w:rPr>
          <w:sz w:val="24"/>
        </w:rPr>
        <w:t>randomizuotas</w:t>
      </w:r>
      <w:proofErr w:type="spellEnd"/>
      <w:r w:rsidRPr="00067F0C">
        <w:rPr>
          <w:sz w:val="24"/>
        </w:rPr>
        <w:t xml:space="preserve">, </w:t>
      </w:r>
      <w:proofErr w:type="spellStart"/>
      <w:r w:rsidRPr="00067F0C">
        <w:rPr>
          <w:sz w:val="24"/>
        </w:rPr>
        <w:t>atvir</w:t>
      </w:r>
      <w:r w:rsidR="00B36EA0">
        <w:rPr>
          <w:sz w:val="24"/>
        </w:rPr>
        <w:t>as</w:t>
      </w:r>
      <w:proofErr w:type="spellEnd"/>
      <w:r w:rsidRPr="00067F0C">
        <w:rPr>
          <w:sz w:val="24"/>
        </w:rPr>
        <w:t xml:space="preserve"> </w:t>
      </w:r>
      <w:proofErr w:type="spellStart"/>
      <w:r w:rsidRPr="00067F0C">
        <w:rPr>
          <w:sz w:val="24"/>
        </w:rPr>
        <w:t>klinikinis</w:t>
      </w:r>
      <w:proofErr w:type="spellEnd"/>
      <w:r w:rsidRPr="00067F0C">
        <w:rPr>
          <w:sz w:val="24"/>
        </w:rPr>
        <w:t xml:space="preserve"> </w:t>
      </w:r>
      <w:proofErr w:type="spellStart"/>
      <w:r w:rsidRPr="00067F0C">
        <w:rPr>
          <w:sz w:val="24"/>
        </w:rPr>
        <w:t>tyrimas</w:t>
      </w:r>
      <w:proofErr w:type="spellEnd"/>
      <w:r w:rsidRPr="00067F0C">
        <w:rPr>
          <w:sz w:val="24"/>
        </w:rPr>
        <w:t xml:space="preserve">. </w:t>
      </w:r>
      <w:proofErr w:type="spellStart"/>
      <w:r w:rsidRPr="00067F0C">
        <w:rPr>
          <w:sz w:val="24"/>
        </w:rPr>
        <w:t>Šiame</w:t>
      </w:r>
      <w:proofErr w:type="spellEnd"/>
      <w:r w:rsidRPr="00067F0C">
        <w:rPr>
          <w:sz w:val="24"/>
        </w:rPr>
        <w:t xml:space="preserve"> </w:t>
      </w:r>
      <w:proofErr w:type="spellStart"/>
      <w:r w:rsidRPr="00067F0C">
        <w:rPr>
          <w:sz w:val="24"/>
        </w:rPr>
        <w:t>tyrime</w:t>
      </w:r>
      <w:proofErr w:type="spellEnd"/>
      <w:r w:rsidRPr="00067F0C">
        <w:rPr>
          <w:sz w:val="24"/>
        </w:rPr>
        <w:t xml:space="preserve"> </w:t>
      </w:r>
      <w:proofErr w:type="spellStart"/>
      <w:r w:rsidRPr="00067F0C">
        <w:rPr>
          <w:sz w:val="24"/>
        </w:rPr>
        <w:t>nagrinėjamas</w:t>
      </w:r>
      <w:proofErr w:type="spellEnd"/>
      <w:r w:rsidRPr="00067F0C">
        <w:rPr>
          <w:sz w:val="24"/>
        </w:rPr>
        <w:t xml:space="preserve"> </w:t>
      </w:r>
      <w:proofErr w:type="spellStart"/>
      <w:r w:rsidRPr="00067F0C">
        <w:rPr>
          <w:sz w:val="24"/>
        </w:rPr>
        <w:t>saugumas</w:t>
      </w:r>
      <w:proofErr w:type="spellEnd"/>
      <w:r w:rsidRPr="00067F0C">
        <w:rPr>
          <w:sz w:val="24"/>
        </w:rPr>
        <w:t xml:space="preserve"> </w:t>
      </w:r>
      <w:proofErr w:type="spellStart"/>
      <w:r w:rsidRPr="00067F0C">
        <w:rPr>
          <w:sz w:val="24"/>
        </w:rPr>
        <w:t>ir</w:t>
      </w:r>
      <w:proofErr w:type="spellEnd"/>
      <w:r w:rsidRPr="00067F0C">
        <w:rPr>
          <w:sz w:val="24"/>
        </w:rPr>
        <w:t xml:space="preserve"> </w:t>
      </w:r>
      <w:proofErr w:type="spellStart"/>
      <w:r w:rsidRPr="00067F0C">
        <w:rPr>
          <w:sz w:val="24"/>
        </w:rPr>
        <w:t>efektyvumas</w:t>
      </w:r>
      <w:proofErr w:type="spellEnd"/>
      <w:r w:rsidRPr="00067F0C">
        <w:rPr>
          <w:sz w:val="24"/>
        </w:rPr>
        <w:t xml:space="preserve"> </w:t>
      </w:r>
      <w:proofErr w:type="spellStart"/>
      <w:r w:rsidRPr="00067F0C">
        <w:rPr>
          <w:sz w:val="24"/>
        </w:rPr>
        <w:t>DVCd</w:t>
      </w:r>
      <w:proofErr w:type="spellEnd"/>
      <w:r w:rsidRPr="00067F0C">
        <w:rPr>
          <w:sz w:val="24"/>
        </w:rPr>
        <w:t xml:space="preserve"> </w:t>
      </w:r>
      <w:proofErr w:type="spellStart"/>
      <w:r w:rsidRPr="00067F0C">
        <w:rPr>
          <w:sz w:val="24"/>
        </w:rPr>
        <w:t>ir</w:t>
      </w:r>
      <w:proofErr w:type="spellEnd"/>
      <w:r w:rsidRPr="00067F0C">
        <w:rPr>
          <w:sz w:val="24"/>
        </w:rPr>
        <w:t xml:space="preserve"> </w:t>
      </w:r>
      <w:proofErr w:type="spellStart"/>
      <w:r w:rsidRPr="00067F0C">
        <w:rPr>
          <w:sz w:val="24"/>
        </w:rPr>
        <w:t>VCd</w:t>
      </w:r>
      <w:proofErr w:type="spellEnd"/>
      <w:r w:rsidRPr="00067F0C">
        <w:rPr>
          <w:sz w:val="24"/>
        </w:rPr>
        <w:t xml:space="preserve"> </w:t>
      </w:r>
      <w:proofErr w:type="spellStart"/>
      <w:r w:rsidRPr="00067F0C">
        <w:rPr>
          <w:sz w:val="24"/>
        </w:rPr>
        <w:t>terapijos</w:t>
      </w:r>
      <w:proofErr w:type="spellEnd"/>
      <w:r w:rsidRPr="00067F0C">
        <w:rPr>
          <w:sz w:val="24"/>
        </w:rPr>
        <w:t xml:space="preserve">, </w:t>
      </w:r>
      <w:proofErr w:type="spellStart"/>
      <w:r w:rsidRPr="00067F0C">
        <w:rPr>
          <w:sz w:val="24"/>
        </w:rPr>
        <w:t>pacientams</w:t>
      </w:r>
      <w:proofErr w:type="spellEnd"/>
      <w:r w:rsidRPr="00067F0C">
        <w:rPr>
          <w:sz w:val="24"/>
        </w:rPr>
        <w:t xml:space="preserve">, </w:t>
      </w:r>
      <w:proofErr w:type="spellStart"/>
      <w:r w:rsidRPr="00067F0C">
        <w:rPr>
          <w:sz w:val="24"/>
        </w:rPr>
        <w:t>sergantiems</w:t>
      </w:r>
      <w:proofErr w:type="spellEnd"/>
      <w:r w:rsidRPr="00067F0C">
        <w:rPr>
          <w:sz w:val="24"/>
        </w:rPr>
        <w:t xml:space="preserve"> AL </w:t>
      </w:r>
      <w:proofErr w:type="spellStart"/>
      <w:r w:rsidRPr="00067F0C">
        <w:rPr>
          <w:sz w:val="24"/>
        </w:rPr>
        <w:t>amiloidoze</w:t>
      </w:r>
      <w:proofErr w:type="spellEnd"/>
      <w:r w:rsidRPr="00067F0C">
        <w:rPr>
          <w:sz w:val="24"/>
        </w:rPr>
        <w:t xml:space="preserve">. ITT </w:t>
      </w:r>
      <w:proofErr w:type="spellStart"/>
      <w:r w:rsidRPr="00067F0C">
        <w:rPr>
          <w:sz w:val="24"/>
        </w:rPr>
        <w:t>populiaciją</w:t>
      </w:r>
      <w:proofErr w:type="spellEnd"/>
      <w:r w:rsidRPr="00067F0C">
        <w:rPr>
          <w:sz w:val="24"/>
        </w:rPr>
        <w:t xml:space="preserve"> </w:t>
      </w:r>
      <w:proofErr w:type="spellStart"/>
      <w:r w:rsidRPr="00067F0C">
        <w:rPr>
          <w:sz w:val="24"/>
        </w:rPr>
        <w:t>sudaro</w:t>
      </w:r>
      <w:proofErr w:type="spellEnd"/>
      <w:r w:rsidRPr="00067F0C">
        <w:rPr>
          <w:sz w:val="24"/>
        </w:rPr>
        <w:t xml:space="preserve"> 388 </w:t>
      </w:r>
      <w:proofErr w:type="spellStart"/>
      <w:r w:rsidRPr="00067F0C">
        <w:rPr>
          <w:sz w:val="24"/>
        </w:rPr>
        <w:t>pacientai</w:t>
      </w:r>
      <w:proofErr w:type="spellEnd"/>
      <w:r w:rsidRPr="00067F0C">
        <w:rPr>
          <w:sz w:val="24"/>
        </w:rPr>
        <w:t xml:space="preserve"> </w:t>
      </w:r>
      <w:proofErr w:type="spellStart"/>
      <w:r w:rsidRPr="00067F0C">
        <w:rPr>
          <w:sz w:val="24"/>
        </w:rPr>
        <w:t>iš</w:t>
      </w:r>
      <w:proofErr w:type="spellEnd"/>
      <w:r w:rsidRPr="00067F0C">
        <w:rPr>
          <w:sz w:val="24"/>
        </w:rPr>
        <w:t xml:space="preserve"> 22 </w:t>
      </w:r>
      <w:proofErr w:type="spellStart"/>
      <w:r w:rsidRPr="00067F0C">
        <w:rPr>
          <w:sz w:val="24"/>
        </w:rPr>
        <w:t>valstybių</w:t>
      </w:r>
      <w:proofErr w:type="spellEnd"/>
      <w:r w:rsidRPr="00067F0C">
        <w:rPr>
          <w:sz w:val="24"/>
        </w:rPr>
        <w:t xml:space="preserve">. </w:t>
      </w:r>
      <w:proofErr w:type="spellStart"/>
      <w:r w:rsidRPr="00067F0C">
        <w:rPr>
          <w:sz w:val="24"/>
        </w:rPr>
        <w:t>Modelio</w:t>
      </w:r>
      <w:proofErr w:type="spellEnd"/>
      <w:r w:rsidRPr="00067F0C">
        <w:rPr>
          <w:sz w:val="24"/>
        </w:rPr>
        <w:t xml:space="preserve"> </w:t>
      </w:r>
      <w:proofErr w:type="spellStart"/>
      <w:r w:rsidRPr="00067F0C">
        <w:rPr>
          <w:sz w:val="24"/>
        </w:rPr>
        <w:t>struktūrą</w:t>
      </w:r>
      <w:proofErr w:type="spellEnd"/>
      <w:r w:rsidRPr="00067F0C">
        <w:rPr>
          <w:sz w:val="24"/>
        </w:rPr>
        <w:t xml:space="preserve"> </w:t>
      </w:r>
      <w:proofErr w:type="spellStart"/>
      <w:r w:rsidRPr="00067F0C">
        <w:rPr>
          <w:sz w:val="24"/>
        </w:rPr>
        <w:t>analizėje</w:t>
      </w:r>
      <w:proofErr w:type="spellEnd"/>
      <w:r w:rsidRPr="00067F0C">
        <w:rPr>
          <w:sz w:val="24"/>
        </w:rPr>
        <w:t xml:space="preserve"> </w:t>
      </w:r>
      <w:proofErr w:type="spellStart"/>
      <w:r w:rsidRPr="00067F0C">
        <w:rPr>
          <w:sz w:val="24"/>
        </w:rPr>
        <w:t>lemia</w:t>
      </w:r>
      <w:proofErr w:type="spellEnd"/>
      <w:r w:rsidRPr="00067F0C">
        <w:rPr>
          <w:sz w:val="24"/>
        </w:rPr>
        <w:t xml:space="preserve"> </w:t>
      </w:r>
      <w:proofErr w:type="spellStart"/>
      <w:r w:rsidRPr="00067F0C">
        <w:rPr>
          <w:sz w:val="24"/>
        </w:rPr>
        <w:t>hematologinis</w:t>
      </w:r>
      <w:proofErr w:type="spellEnd"/>
      <w:r w:rsidRPr="00067F0C">
        <w:rPr>
          <w:sz w:val="24"/>
        </w:rPr>
        <w:t xml:space="preserve"> </w:t>
      </w:r>
      <w:proofErr w:type="spellStart"/>
      <w:r w:rsidRPr="00067F0C">
        <w:rPr>
          <w:sz w:val="24"/>
        </w:rPr>
        <w:t>atsakas</w:t>
      </w:r>
      <w:proofErr w:type="spellEnd"/>
      <w:r w:rsidRPr="00067F0C">
        <w:rPr>
          <w:sz w:val="24"/>
        </w:rPr>
        <w:t xml:space="preserve">. </w:t>
      </w:r>
      <w:proofErr w:type="spellStart"/>
      <w:r w:rsidRPr="00067F0C">
        <w:rPr>
          <w:sz w:val="24"/>
        </w:rPr>
        <w:t>Siekiant</w:t>
      </w:r>
      <w:proofErr w:type="spellEnd"/>
      <w:r w:rsidRPr="00067F0C">
        <w:rPr>
          <w:sz w:val="24"/>
        </w:rPr>
        <w:t xml:space="preserve"> </w:t>
      </w:r>
      <w:proofErr w:type="spellStart"/>
      <w:r w:rsidRPr="00067F0C">
        <w:rPr>
          <w:sz w:val="24"/>
        </w:rPr>
        <w:t>informuoti</w:t>
      </w:r>
      <w:proofErr w:type="spellEnd"/>
      <w:r w:rsidRPr="00067F0C">
        <w:rPr>
          <w:sz w:val="24"/>
        </w:rPr>
        <w:t xml:space="preserve"> </w:t>
      </w:r>
      <w:proofErr w:type="spellStart"/>
      <w:r w:rsidRPr="00067F0C">
        <w:rPr>
          <w:sz w:val="24"/>
        </w:rPr>
        <w:t>modelio</w:t>
      </w:r>
      <w:proofErr w:type="spellEnd"/>
      <w:r w:rsidRPr="00067F0C">
        <w:rPr>
          <w:sz w:val="24"/>
        </w:rPr>
        <w:t xml:space="preserve"> </w:t>
      </w:r>
      <w:proofErr w:type="spellStart"/>
      <w:r w:rsidRPr="00067F0C">
        <w:rPr>
          <w:sz w:val="24"/>
        </w:rPr>
        <w:t>parametrus</w:t>
      </w:r>
      <w:proofErr w:type="spellEnd"/>
      <w:r w:rsidRPr="00067F0C">
        <w:rPr>
          <w:sz w:val="24"/>
        </w:rPr>
        <w:t xml:space="preserve">, BI </w:t>
      </w:r>
      <w:proofErr w:type="spellStart"/>
      <w:r w:rsidRPr="00067F0C">
        <w:rPr>
          <w:sz w:val="24"/>
        </w:rPr>
        <w:t>kreivės</w:t>
      </w:r>
      <w:proofErr w:type="spellEnd"/>
      <w:r w:rsidRPr="00067F0C">
        <w:rPr>
          <w:sz w:val="24"/>
        </w:rPr>
        <w:t xml:space="preserve"> </w:t>
      </w:r>
      <w:proofErr w:type="spellStart"/>
      <w:r w:rsidRPr="00067F0C">
        <w:rPr>
          <w:sz w:val="24"/>
        </w:rPr>
        <w:t>analizėje</w:t>
      </w:r>
      <w:proofErr w:type="spellEnd"/>
      <w:r w:rsidRPr="00067F0C">
        <w:rPr>
          <w:sz w:val="24"/>
        </w:rPr>
        <w:t xml:space="preserve"> </w:t>
      </w:r>
      <w:proofErr w:type="spellStart"/>
      <w:r w:rsidRPr="00067F0C">
        <w:rPr>
          <w:sz w:val="24"/>
        </w:rPr>
        <w:t>yra</w:t>
      </w:r>
      <w:proofErr w:type="spellEnd"/>
      <w:r w:rsidRPr="00067F0C">
        <w:rPr>
          <w:sz w:val="24"/>
        </w:rPr>
        <w:t xml:space="preserve"> </w:t>
      </w:r>
      <w:proofErr w:type="spellStart"/>
      <w:r w:rsidRPr="00067F0C">
        <w:rPr>
          <w:sz w:val="24"/>
        </w:rPr>
        <w:t>stratifikuojamos</w:t>
      </w:r>
      <w:proofErr w:type="spellEnd"/>
      <w:r w:rsidRPr="00067F0C">
        <w:rPr>
          <w:sz w:val="24"/>
        </w:rPr>
        <w:t xml:space="preserve"> </w:t>
      </w:r>
      <w:proofErr w:type="spellStart"/>
      <w:r w:rsidRPr="00067F0C">
        <w:rPr>
          <w:sz w:val="24"/>
        </w:rPr>
        <w:t>pagal</w:t>
      </w:r>
      <w:proofErr w:type="spellEnd"/>
      <w:r w:rsidRPr="00067F0C">
        <w:rPr>
          <w:sz w:val="24"/>
        </w:rPr>
        <w:t xml:space="preserve"> </w:t>
      </w:r>
      <w:proofErr w:type="spellStart"/>
      <w:r w:rsidRPr="00067F0C">
        <w:rPr>
          <w:sz w:val="24"/>
        </w:rPr>
        <w:t>hematologinį</w:t>
      </w:r>
      <w:proofErr w:type="spellEnd"/>
      <w:r w:rsidRPr="00067F0C">
        <w:rPr>
          <w:sz w:val="24"/>
        </w:rPr>
        <w:t xml:space="preserve"> </w:t>
      </w:r>
      <w:proofErr w:type="spellStart"/>
      <w:r w:rsidRPr="00067F0C">
        <w:rPr>
          <w:sz w:val="24"/>
        </w:rPr>
        <w:t>atsaką</w:t>
      </w:r>
      <w:proofErr w:type="spellEnd"/>
      <w:r w:rsidRPr="00067F0C">
        <w:rPr>
          <w:sz w:val="24"/>
        </w:rPr>
        <w:t xml:space="preserve">. ANDROMEDA </w:t>
      </w:r>
      <w:proofErr w:type="spellStart"/>
      <w:r w:rsidRPr="00067F0C">
        <w:rPr>
          <w:sz w:val="24"/>
        </w:rPr>
        <w:t>klinikiniame</w:t>
      </w:r>
      <w:proofErr w:type="spellEnd"/>
      <w:r w:rsidRPr="00067F0C">
        <w:rPr>
          <w:sz w:val="24"/>
        </w:rPr>
        <w:t xml:space="preserve"> </w:t>
      </w:r>
      <w:proofErr w:type="spellStart"/>
      <w:r w:rsidRPr="00067F0C">
        <w:rPr>
          <w:sz w:val="24"/>
        </w:rPr>
        <w:t>tyrime</w:t>
      </w:r>
      <w:proofErr w:type="spellEnd"/>
      <w:r w:rsidRPr="00067F0C">
        <w:rPr>
          <w:sz w:val="24"/>
        </w:rPr>
        <w:t xml:space="preserve"> BI </w:t>
      </w:r>
      <w:proofErr w:type="spellStart"/>
      <w:r w:rsidRPr="00067F0C">
        <w:rPr>
          <w:sz w:val="24"/>
        </w:rPr>
        <w:t>duomenys</w:t>
      </w:r>
      <w:proofErr w:type="spellEnd"/>
      <w:r w:rsidRPr="00067F0C">
        <w:rPr>
          <w:sz w:val="24"/>
        </w:rPr>
        <w:t xml:space="preserve">, </w:t>
      </w:r>
      <w:proofErr w:type="spellStart"/>
      <w:r w:rsidRPr="00067F0C">
        <w:rPr>
          <w:sz w:val="24"/>
        </w:rPr>
        <w:t>pasak</w:t>
      </w:r>
      <w:proofErr w:type="spellEnd"/>
      <w:r w:rsidRPr="00067F0C">
        <w:rPr>
          <w:sz w:val="24"/>
        </w:rPr>
        <w:t xml:space="preserve"> </w:t>
      </w:r>
      <w:proofErr w:type="spellStart"/>
      <w:r w:rsidRPr="00067F0C">
        <w:rPr>
          <w:sz w:val="24"/>
        </w:rPr>
        <w:t>Pareiškėjo</w:t>
      </w:r>
      <w:proofErr w:type="spellEnd"/>
      <w:r w:rsidRPr="00067F0C">
        <w:rPr>
          <w:sz w:val="24"/>
        </w:rPr>
        <w:t xml:space="preserve">, </w:t>
      </w:r>
      <w:proofErr w:type="spellStart"/>
      <w:r w:rsidRPr="00067F0C">
        <w:rPr>
          <w:sz w:val="24"/>
        </w:rPr>
        <w:t>buvo</w:t>
      </w:r>
      <w:proofErr w:type="spellEnd"/>
      <w:r w:rsidRPr="00067F0C">
        <w:rPr>
          <w:sz w:val="24"/>
        </w:rPr>
        <w:t xml:space="preserve"> </w:t>
      </w:r>
      <w:proofErr w:type="spellStart"/>
      <w:r w:rsidRPr="00067F0C">
        <w:rPr>
          <w:sz w:val="24"/>
        </w:rPr>
        <w:t>riboti</w:t>
      </w:r>
      <w:proofErr w:type="spellEnd"/>
      <w:r w:rsidRPr="00067F0C">
        <w:rPr>
          <w:sz w:val="24"/>
        </w:rPr>
        <w:t xml:space="preserve">, </w:t>
      </w:r>
      <w:proofErr w:type="spellStart"/>
      <w:r w:rsidRPr="00067F0C">
        <w:rPr>
          <w:sz w:val="24"/>
        </w:rPr>
        <w:t>todėl</w:t>
      </w:r>
      <w:proofErr w:type="spellEnd"/>
      <w:r w:rsidRPr="00067F0C">
        <w:rPr>
          <w:sz w:val="24"/>
        </w:rPr>
        <w:t xml:space="preserve"> </w:t>
      </w:r>
      <w:proofErr w:type="spellStart"/>
      <w:r w:rsidRPr="00067F0C">
        <w:rPr>
          <w:sz w:val="24"/>
        </w:rPr>
        <w:t>analizėje</w:t>
      </w:r>
      <w:proofErr w:type="spellEnd"/>
      <w:r w:rsidRPr="00067F0C">
        <w:rPr>
          <w:sz w:val="24"/>
        </w:rPr>
        <w:t xml:space="preserve"> </w:t>
      </w:r>
      <w:proofErr w:type="spellStart"/>
      <w:r w:rsidRPr="00067F0C">
        <w:rPr>
          <w:sz w:val="24"/>
        </w:rPr>
        <w:t>naudojami</w:t>
      </w:r>
      <w:proofErr w:type="spellEnd"/>
      <w:r w:rsidRPr="00067F0C">
        <w:rPr>
          <w:sz w:val="24"/>
        </w:rPr>
        <w:t xml:space="preserve"> </w:t>
      </w:r>
      <w:proofErr w:type="spellStart"/>
      <w:r w:rsidRPr="00067F0C">
        <w:rPr>
          <w:sz w:val="24"/>
        </w:rPr>
        <w:t>išoriniai</w:t>
      </w:r>
      <w:proofErr w:type="spellEnd"/>
      <w:r w:rsidRPr="00067F0C">
        <w:rPr>
          <w:sz w:val="24"/>
        </w:rPr>
        <w:t xml:space="preserve"> </w:t>
      </w:r>
      <w:proofErr w:type="spellStart"/>
      <w:r w:rsidRPr="00067F0C">
        <w:rPr>
          <w:sz w:val="24"/>
        </w:rPr>
        <w:t>literatūros</w:t>
      </w:r>
      <w:proofErr w:type="spellEnd"/>
      <w:r w:rsidRPr="00067F0C">
        <w:rPr>
          <w:sz w:val="24"/>
        </w:rPr>
        <w:t xml:space="preserve"> </w:t>
      </w:r>
      <w:proofErr w:type="spellStart"/>
      <w:r w:rsidRPr="00067F0C">
        <w:rPr>
          <w:sz w:val="24"/>
        </w:rPr>
        <w:t>šaltiniai</w:t>
      </w:r>
      <w:proofErr w:type="spellEnd"/>
      <w:r w:rsidRPr="00067F0C">
        <w:rPr>
          <w:sz w:val="24"/>
        </w:rPr>
        <w:t xml:space="preserve">. </w:t>
      </w:r>
      <w:proofErr w:type="spellStart"/>
      <w:r w:rsidRPr="00067F0C">
        <w:rPr>
          <w:spacing w:val="-12"/>
          <w:sz w:val="24"/>
        </w:rPr>
        <w:t>Atliepiant</w:t>
      </w:r>
      <w:proofErr w:type="spellEnd"/>
      <w:r w:rsidRPr="00067F0C">
        <w:rPr>
          <w:spacing w:val="-12"/>
          <w:sz w:val="24"/>
        </w:rPr>
        <w:t xml:space="preserve"> </w:t>
      </w:r>
      <w:proofErr w:type="spellStart"/>
      <w:r w:rsidRPr="00067F0C">
        <w:rPr>
          <w:spacing w:val="-12"/>
          <w:sz w:val="24"/>
        </w:rPr>
        <w:t>modelio</w:t>
      </w:r>
      <w:proofErr w:type="spellEnd"/>
      <w:r w:rsidRPr="00067F0C">
        <w:rPr>
          <w:spacing w:val="-12"/>
          <w:sz w:val="24"/>
        </w:rPr>
        <w:t xml:space="preserve"> </w:t>
      </w:r>
      <w:proofErr w:type="spellStart"/>
      <w:r w:rsidRPr="00067F0C">
        <w:rPr>
          <w:spacing w:val="-12"/>
          <w:sz w:val="24"/>
        </w:rPr>
        <w:t>struktūrą</w:t>
      </w:r>
      <w:proofErr w:type="spellEnd"/>
      <w:r w:rsidRPr="00067F0C">
        <w:rPr>
          <w:spacing w:val="-12"/>
          <w:sz w:val="24"/>
        </w:rPr>
        <w:t xml:space="preserve">, </w:t>
      </w:r>
      <w:proofErr w:type="spellStart"/>
      <w:r w:rsidRPr="00067F0C">
        <w:rPr>
          <w:spacing w:val="-12"/>
          <w:sz w:val="24"/>
        </w:rPr>
        <w:t>pagal</w:t>
      </w:r>
      <w:proofErr w:type="spellEnd"/>
      <w:r w:rsidRPr="00067F0C">
        <w:rPr>
          <w:spacing w:val="-12"/>
          <w:sz w:val="24"/>
        </w:rPr>
        <w:t xml:space="preserve"> </w:t>
      </w:r>
      <w:proofErr w:type="spellStart"/>
      <w:r w:rsidRPr="00067F0C">
        <w:rPr>
          <w:spacing w:val="-12"/>
          <w:sz w:val="24"/>
        </w:rPr>
        <w:t>kurią</w:t>
      </w:r>
      <w:proofErr w:type="spellEnd"/>
      <w:r w:rsidRPr="00067F0C">
        <w:rPr>
          <w:spacing w:val="-12"/>
          <w:sz w:val="24"/>
        </w:rPr>
        <w:t xml:space="preserve"> </w:t>
      </w:r>
      <w:proofErr w:type="spellStart"/>
      <w:r w:rsidRPr="00067F0C">
        <w:rPr>
          <w:spacing w:val="-12"/>
          <w:sz w:val="24"/>
        </w:rPr>
        <w:t>pacientai</w:t>
      </w:r>
      <w:proofErr w:type="spellEnd"/>
      <w:r w:rsidRPr="00067F0C">
        <w:rPr>
          <w:spacing w:val="-12"/>
          <w:sz w:val="24"/>
        </w:rPr>
        <w:t xml:space="preserve"> </w:t>
      </w:r>
      <w:proofErr w:type="spellStart"/>
      <w:r w:rsidRPr="00067F0C">
        <w:rPr>
          <w:spacing w:val="-12"/>
          <w:sz w:val="24"/>
        </w:rPr>
        <w:t>yra</w:t>
      </w:r>
      <w:proofErr w:type="spellEnd"/>
      <w:r w:rsidRPr="00067F0C">
        <w:rPr>
          <w:spacing w:val="-12"/>
          <w:sz w:val="24"/>
        </w:rPr>
        <w:t xml:space="preserve"> </w:t>
      </w:r>
      <w:proofErr w:type="spellStart"/>
      <w:r w:rsidRPr="00067F0C">
        <w:rPr>
          <w:spacing w:val="-12"/>
          <w:sz w:val="24"/>
        </w:rPr>
        <w:t>stratifikuojami</w:t>
      </w:r>
      <w:proofErr w:type="spellEnd"/>
      <w:r w:rsidRPr="00067F0C">
        <w:rPr>
          <w:spacing w:val="-12"/>
          <w:sz w:val="24"/>
        </w:rPr>
        <w:t xml:space="preserve"> po 6 </w:t>
      </w:r>
      <w:proofErr w:type="spellStart"/>
      <w:r w:rsidRPr="00067F0C">
        <w:rPr>
          <w:spacing w:val="-12"/>
          <w:sz w:val="24"/>
        </w:rPr>
        <w:t>mėn</w:t>
      </w:r>
      <w:proofErr w:type="spellEnd"/>
      <w:r w:rsidRPr="00067F0C">
        <w:rPr>
          <w:spacing w:val="-12"/>
          <w:sz w:val="24"/>
        </w:rPr>
        <w:t xml:space="preserve"> </w:t>
      </w:r>
      <w:proofErr w:type="spellStart"/>
      <w:r w:rsidRPr="00067F0C">
        <w:rPr>
          <w:spacing w:val="-12"/>
          <w:sz w:val="24"/>
        </w:rPr>
        <w:t>nuo</w:t>
      </w:r>
      <w:proofErr w:type="spellEnd"/>
      <w:r w:rsidRPr="00067F0C">
        <w:rPr>
          <w:spacing w:val="-12"/>
          <w:sz w:val="24"/>
        </w:rPr>
        <w:t xml:space="preserve"> </w:t>
      </w:r>
      <w:proofErr w:type="spellStart"/>
      <w:r w:rsidRPr="00067F0C">
        <w:rPr>
          <w:spacing w:val="-12"/>
          <w:sz w:val="24"/>
        </w:rPr>
        <w:t>modelio</w:t>
      </w:r>
      <w:proofErr w:type="spellEnd"/>
      <w:r w:rsidRPr="00067F0C">
        <w:rPr>
          <w:spacing w:val="-12"/>
          <w:sz w:val="24"/>
        </w:rPr>
        <w:t xml:space="preserve"> </w:t>
      </w:r>
      <w:proofErr w:type="spellStart"/>
      <w:r w:rsidRPr="00067F0C">
        <w:rPr>
          <w:spacing w:val="-12"/>
          <w:sz w:val="24"/>
        </w:rPr>
        <w:t>pradžios</w:t>
      </w:r>
      <w:proofErr w:type="spellEnd"/>
      <w:r w:rsidRPr="00067F0C">
        <w:rPr>
          <w:spacing w:val="-12"/>
          <w:sz w:val="24"/>
        </w:rPr>
        <w:t xml:space="preserve">, </w:t>
      </w:r>
      <w:proofErr w:type="spellStart"/>
      <w:r w:rsidRPr="00067F0C">
        <w:rPr>
          <w:spacing w:val="-12"/>
          <w:sz w:val="24"/>
        </w:rPr>
        <w:t>Pareiškėjas</w:t>
      </w:r>
      <w:proofErr w:type="spellEnd"/>
      <w:r w:rsidRPr="00067F0C">
        <w:rPr>
          <w:spacing w:val="-12"/>
          <w:sz w:val="24"/>
        </w:rPr>
        <w:t xml:space="preserve"> </w:t>
      </w:r>
      <w:proofErr w:type="spellStart"/>
      <w:r w:rsidRPr="00067F0C">
        <w:rPr>
          <w:spacing w:val="-12"/>
          <w:sz w:val="24"/>
        </w:rPr>
        <w:t>aprašo</w:t>
      </w:r>
      <w:proofErr w:type="spellEnd"/>
      <w:r w:rsidRPr="00067F0C">
        <w:rPr>
          <w:spacing w:val="-12"/>
          <w:sz w:val="24"/>
        </w:rPr>
        <w:t xml:space="preserve"> Palladini et al., 2012 </w:t>
      </w:r>
      <w:proofErr w:type="spellStart"/>
      <w:r w:rsidRPr="00067F0C">
        <w:rPr>
          <w:spacing w:val="-12"/>
          <w:sz w:val="24"/>
        </w:rPr>
        <w:t>šaltinį</w:t>
      </w:r>
      <w:proofErr w:type="spellEnd"/>
      <w:r w:rsidRPr="00067F0C">
        <w:rPr>
          <w:spacing w:val="-12"/>
          <w:sz w:val="24"/>
        </w:rPr>
        <w:t xml:space="preserve">. </w:t>
      </w:r>
      <w:r w:rsidRPr="00067F0C">
        <w:rPr>
          <w:sz w:val="24"/>
        </w:rPr>
        <w:t xml:space="preserve">Tai </w:t>
      </w:r>
      <w:proofErr w:type="spellStart"/>
      <w:r w:rsidRPr="00067F0C">
        <w:rPr>
          <w:sz w:val="24"/>
        </w:rPr>
        <w:t>retrospektyvus</w:t>
      </w:r>
      <w:proofErr w:type="spellEnd"/>
      <w:r w:rsidRPr="00067F0C">
        <w:rPr>
          <w:sz w:val="24"/>
        </w:rPr>
        <w:t xml:space="preserve"> </w:t>
      </w:r>
      <w:proofErr w:type="spellStart"/>
      <w:r w:rsidRPr="00067F0C">
        <w:rPr>
          <w:sz w:val="24"/>
        </w:rPr>
        <w:t>tyrimas</w:t>
      </w:r>
      <w:proofErr w:type="spellEnd"/>
      <w:r w:rsidRPr="00067F0C">
        <w:rPr>
          <w:sz w:val="24"/>
        </w:rPr>
        <w:t xml:space="preserve">, </w:t>
      </w:r>
      <w:proofErr w:type="spellStart"/>
      <w:r w:rsidRPr="00067F0C">
        <w:rPr>
          <w:sz w:val="24"/>
        </w:rPr>
        <w:t>jame</w:t>
      </w:r>
      <w:proofErr w:type="spellEnd"/>
      <w:r w:rsidRPr="00067F0C">
        <w:rPr>
          <w:sz w:val="24"/>
        </w:rPr>
        <w:t xml:space="preserve"> </w:t>
      </w:r>
      <w:proofErr w:type="spellStart"/>
      <w:r w:rsidRPr="00067F0C">
        <w:rPr>
          <w:sz w:val="24"/>
        </w:rPr>
        <w:t>siekiama</w:t>
      </w:r>
      <w:proofErr w:type="spellEnd"/>
      <w:r w:rsidRPr="00067F0C">
        <w:rPr>
          <w:sz w:val="24"/>
        </w:rPr>
        <w:t xml:space="preserve"> </w:t>
      </w:r>
      <w:proofErr w:type="spellStart"/>
      <w:r w:rsidRPr="00067F0C">
        <w:rPr>
          <w:sz w:val="24"/>
        </w:rPr>
        <w:t>identifikuoti</w:t>
      </w:r>
      <w:proofErr w:type="spellEnd"/>
      <w:r w:rsidRPr="00067F0C">
        <w:rPr>
          <w:sz w:val="24"/>
        </w:rPr>
        <w:t xml:space="preserve"> </w:t>
      </w:r>
      <w:proofErr w:type="spellStart"/>
      <w:r w:rsidRPr="00067F0C">
        <w:rPr>
          <w:sz w:val="24"/>
        </w:rPr>
        <w:t>ir</w:t>
      </w:r>
      <w:proofErr w:type="spellEnd"/>
      <w:r w:rsidRPr="00067F0C">
        <w:rPr>
          <w:sz w:val="24"/>
        </w:rPr>
        <w:t xml:space="preserve"> </w:t>
      </w:r>
      <w:proofErr w:type="spellStart"/>
      <w:r w:rsidRPr="00067F0C">
        <w:rPr>
          <w:sz w:val="24"/>
        </w:rPr>
        <w:t>validuoti</w:t>
      </w:r>
      <w:proofErr w:type="spellEnd"/>
      <w:r w:rsidRPr="00067F0C">
        <w:rPr>
          <w:sz w:val="24"/>
        </w:rPr>
        <w:t xml:space="preserve"> AL </w:t>
      </w:r>
      <w:proofErr w:type="spellStart"/>
      <w:r w:rsidRPr="00067F0C">
        <w:rPr>
          <w:sz w:val="24"/>
        </w:rPr>
        <w:t>amiloidozės</w:t>
      </w:r>
      <w:proofErr w:type="spellEnd"/>
      <w:r w:rsidRPr="00067F0C">
        <w:rPr>
          <w:sz w:val="24"/>
        </w:rPr>
        <w:t xml:space="preserve"> </w:t>
      </w:r>
      <w:proofErr w:type="spellStart"/>
      <w:r w:rsidRPr="00067F0C">
        <w:rPr>
          <w:sz w:val="24"/>
        </w:rPr>
        <w:t>atsako</w:t>
      </w:r>
      <w:proofErr w:type="spellEnd"/>
      <w:r w:rsidRPr="00067F0C">
        <w:rPr>
          <w:sz w:val="24"/>
        </w:rPr>
        <w:t xml:space="preserve"> </w:t>
      </w:r>
      <w:proofErr w:type="spellStart"/>
      <w:r w:rsidRPr="00067F0C">
        <w:rPr>
          <w:sz w:val="24"/>
        </w:rPr>
        <w:t>kriterijus</w:t>
      </w:r>
      <w:proofErr w:type="spellEnd"/>
      <w:r w:rsidRPr="00067F0C">
        <w:rPr>
          <w:sz w:val="24"/>
        </w:rPr>
        <w:t xml:space="preserve">. Pasak Pareiškėjo, Palladini et al., 2012 </w:t>
      </w:r>
      <w:proofErr w:type="spellStart"/>
      <w:r w:rsidRPr="00067F0C">
        <w:rPr>
          <w:sz w:val="24"/>
        </w:rPr>
        <w:t>publikacijoje</w:t>
      </w:r>
      <w:proofErr w:type="spellEnd"/>
      <w:r w:rsidRPr="00067F0C">
        <w:rPr>
          <w:sz w:val="24"/>
        </w:rPr>
        <w:t xml:space="preserve"> </w:t>
      </w:r>
      <w:proofErr w:type="spellStart"/>
      <w:r w:rsidRPr="00067F0C">
        <w:rPr>
          <w:sz w:val="24"/>
        </w:rPr>
        <w:t>nagrinėjama</w:t>
      </w:r>
      <w:proofErr w:type="spellEnd"/>
      <w:r w:rsidRPr="00067F0C">
        <w:rPr>
          <w:sz w:val="24"/>
        </w:rPr>
        <w:t xml:space="preserve"> </w:t>
      </w:r>
      <w:proofErr w:type="spellStart"/>
      <w:r w:rsidRPr="00067F0C">
        <w:rPr>
          <w:sz w:val="24"/>
        </w:rPr>
        <w:t>pacientų</w:t>
      </w:r>
      <w:proofErr w:type="spellEnd"/>
      <w:r w:rsidRPr="00067F0C">
        <w:rPr>
          <w:sz w:val="24"/>
        </w:rPr>
        <w:t xml:space="preserve"> </w:t>
      </w:r>
      <w:proofErr w:type="spellStart"/>
      <w:r w:rsidRPr="00067F0C">
        <w:rPr>
          <w:sz w:val="24"/>
        </w:rPr>
        <w:t>populiacija</w:t>
      </w:r>
      <w:proofErr w:type="spellEnd"/>
      <w:r w:rsidRPr="00067F0C">
        <w:rPr>
          <w:sz w:val="24"/>
        </w:rPr>
        <w:t xml:space="preserve"> </w:t>
      </w:r>
      <w:proofErr w:type="spellStart"/>
      <w:r w:rsidRPr="00067F0C">
        <w:rPr>
          <w:sz w:val="24"/>
        </w:rPr>
        <w:t>yra</w:t>
      </w:r>
      <w:proofErr w:type="spellEnd"/>
      <w:r w:rsidRPr="00067F0C">
        <w:rPr>
          <w:sz w:val="24"/>
        </w:rPr>
        <w:t xml:space="preserve"> </w:t>
      </w:r>
      <w:proofErr w:type="spellStart"/>
      <w:r w:rsidRPr="00067F0C">
        <w:rPr>
          <w:sz w:val="24"/>
        </w:rPr>
        <w:t>panaši</w:t>
      </w:r>
      <w:proofErr w:type="spellEnd"/>
      <w:r w:rsidRPr="00067F0C">
        <w:rPr>
          <w:sz w:val="24"/>
        </w:rPr>
        <w:t xml:space="preserve"> į ANDROMEDA </w:t>
      </w:r>
      <w:proofErr w:type="spellStart"/>
      <w:r w:rsidRPr="00067F0C">
        <w:rPr>
          <w:sz w:val="24"/>
        </w:rPr>
        <w:t>klinikiniame</w:t>
      </w:r>
      <w:proofErr w:type="spellEnd"/>
      <w:r w:rsidRPr="00067F0C">
        <w:rPr>
          <w:sz w:val="24"/>
        </w:rPr>
        <w:t xml:space="preserve"> </w:t>
      </w:r>
      <w:proofErr w:type="spellStart"/>
      <w:r w:rsidRPr="00067F0C">
        <w:rPr>
          <w:sz w:val="24"/>
        </w:rPr>
        <w:t>tyrime</w:t>
      </w:r>
      <w:proofErr w:type="spellEnd"/>
      <w:r w:rsidRPr="00067F0C">
        <w:rPr>
          <w:sz w:val="24"/>
        </w:rPr>
        <w:t xml:space="preserve"> </w:t>
      </w:r>
      <w:proofErr w:type="spellStart"/>
      <w:r w:rsidRPr="00067F0C">
        <w:rPr>
          <w:sz w:val="24"/>
        </w:rPr>
        <w:t>nagrinėjamą</w:t>
      </w:r>
      <w:proofErr w:type="spellEnd"/>
      <w:r w:rsidRPr="00067F0C">
        <w:rPr>
          <w:sz w:val="24"/>
        </w:rPr>
        <w:t xml:space="preserve"> </w:t>
      </w:r>
      <w:proofErr w:type="spellStart"/>
      <w:r w:rsidRPr="00067F0C">
        <w:rPr>
          <w:sz w:val="24"/>
        </w:rPr>
        <w:t>populiaciją</w:t>
      </w:r>
      <w:proofErr w:type="spellEnd"/>
      <w:r w:rsidRPr="00067F0C">
        <w:rPr>
          <w:sz w:val="24"/>
        </w:rPr>
        <w:t xml:space="preserve">, </w:t>
      </w:r>
      <w:proofErr w:type="spellStart"/>
      <w:r w:rsidRPr="00067F0C">
        <w:rPr>
          <w:sz w:val="24"/>
        </w:rPr>
        <w:t>todėl</w:t>
      </w:r>
      <w:proofErr w:type="spellEnd"/>
      <w:r w:rsidRPr="00067F0C">
        <w:rPr>
          <w:sz w:val="24"/>
        </w:rPr>
        <w:t xml:space="preserve">, </w:t>
      </w:r>
      <w:proofErr w:type="spellStart"/>
      <w:r w:rsidRPr="00067F0C">
        <w:rPr>
          <w:sz w:val="24"/>
        </w:rPr>
        <w:t>tikėtina</w:t>
      </w:r>
      <w:proofErr w:type="spellEnd"/>
      <w:r w:rsidRPr="00067F0C">
        <w:rPr>
          <w:sz w:val="24"/>
        </w:rPr>
        <w:t xml:space="preserve">, jog </w:t>
      </w:r>
      <w:proofErr w:type="spellStart"/>
      <w:r w:rsidRPr="00067F0C">
        <w:rPr>
          <w:sz w:val="24"/>
        </w:rPr>
        <w:t>jų</w:t>
      </w:r>
      <w:proofErr w:type="spellEnd"/>
      <w:r w:rsidRPr="00067F0C">
        <w:rPr>
          <w:sz w:val="24"/>
        </w:rPr>
        <w:t xml:space="preserve"> </w:t>
      </w:r>
      <w:proofErr w:type="spellStart"/>
      <w:r w:rsidRPr="00067F0C">
        <w:rPr>
          <w:sz w:val="24"/>
        </w:rPr>
        <w:t>išgyvenamumas</w:t>
      </w:r>
      <w:proofErr w:type="spellEnd"/>
      <w:r w:rsidRPr="00067F0C">
        <w:rPr>
          <w:sz w:val="24"/>
        </w:rPr>
        <w:t xml:space="preserve"> bus </w:t>
      </w:r>
      <w:proofErr w:type="spellStart"/>
      <w:r w:rsidRPr="00067F0C">
        <w:rPr>
          <w:sz w:val="24"/>
        </w:rPr>
        <w:t>panašus</w:t>
      </w:r>
      <w:proofErr w:type="spellEnd"/>
      <w:r w:rsidRPr="00067F0C">
        <w:rPr>
          <w:sz w:val="24"/>
        </w:rPr>
        <w:t xml:space="preserve">. </w:t>
      </w:r>
      <w:proofErr w:type="spellStart"/>
      <w:r w:rsidRPr="00067F0C">
        <w:rPr>
          <w:sz w:val="24"/>
        </w:rPr>
        <w:t>Didžiausias</w:t>
      </w:r>
      <w:proofErr w:type="spellEnd"/>
      <w:r w:rsidRPr="00067F0C">
        <w:rPr>
          <w:sz w:val="24"/>
        </w:rPr>
        <w:t xml:space="preserve"> </w:t>
      </w:r>
      <w:proofErr w:type="spellStart"/>
      <w:r w:rsidRPr="00067F0C">
        <w:rPr>
          <w:sz w:val="24"/>
        </w:rPr>
        <w:t>skirtumas</w:t>
      </w:r>
      <w:proofErr w:type="spellEnd"/>
      <w:r w:rsidRPr="00067F0C">
        <w:rPr>
          <w:sz w:val="24"/>
        </w:rPr>
        <w:t xml:space="preserve"> tarp </w:t>
      </w:r>
      <w:proofErr w:type="spellStart"/>
      <w:r w:rsidRPr="00067F0C">
        <w:rPr>
          <w:sz w:val="24"/>
        </w:rPr>
        <w:t>šių</w:t>
      </w:r>
      <w:proofErr w:type="spellEnd"/>
      <w:r w:rsidRPr="00067F0C">
        <w:rPr>
          <w:sz w:val="24"/>
        </w:rPr>
        <w:t xml:space="preserve"> </w:t>
      </w:r>
      <w:proofErr w:type="spellStart"/>
      <w:r w:rsidRPr="00067F0C">
        <w:rPr>
          <w:sz w:val="24"/>
        </w:rPr>
        <w:t>pacientų</w:t>
      </w:r>
      <w:proofErr w:type="spellEnd"/>
      <w:r w:rsidRPr="00067F0C">
        <w:rPr>
          <w:sz w:val="24"/>
        </w:rPr>
        <w:t xml:space="preserve"> </w:t>
      </w:r>
      <w:proofErr w:type="spellStart"/>
      <w:r w:rsidRPr="00067F0C">
        <w:rPr>
          <w:sz w:val="24"/>
        </w:rPr>
        <w:t>populiacijų</w:t>
      </w:r>
      <w:proofErr w:type="spellEnd"/>
      <w:r w:rsidRPr="00067F0C">
        <w:rPr>
          <w:sz w:val="24"/>
        </w:rPr>
        <w:t xml:space="preserve"> </w:t>
      </w:r>
      <w:proofErr w:type="spellStart"/>
      <w:r w:rsidRPr="00067F0C">
        <w:rPr>
          <w:sz w:val="24"/>
        </w:rPr>
        <w:t>yra</w:t>
      </w:r>
      <w:proofErr w:type="spellEnd"/>
      <w:r w:rsidRPr="00067F0C">
        <w:rPr>
          <w:sz w:val="24"/>
        </w:rPr>
        <w:t xml:space="preserve"> </w:t>
      </w:r>
      <w:proofErr w:type="spellStart"/>
      <w:r w:rsidRPr="00067F0C">
        <w:rPr>
          <w:sz w:val="24"/>
        </w:rPr>
        <w:t>pirmos</w:t>
      </w:r>
      <w:proofErr w:type="spellEnd"/>
      <w:r w:rsidRPr="00067F0C">
        <w:rPr>
          <w:sz w:val="24"/>
        </w:rPr>
        <w:t xml:space="preserve"> </w:t>
      </w:r>
      <w:proofErr w:type="spellStart"/>
      <w:r w:rsidRPr="00067F0C">
        <w:rPr>
          <w:sz w:val="24"/>
        </w:rPr>
        <w:t>eilės</w:t>
      </w:r>
      <w:proofErr w:type="spellEnd"/>
      <w:r w:rsidRPr="00067F0C">
        <w:rPr>
          <w:sz w:val="24"/>
        </w:rPr>
        <w:t xml:space="preserve"> </w:t>
      </w:r>
      <w:proofErr w:type="spellStart"/>
      <w:r w:rsidRPr="00067F0C">
        <w:rPr>
          <w:sz w:val="24"/>
        </w:rPr>
        <w:t>gydymas</w:t>
      </w:r>
      <w:proofErr w:type="spellEnd"/>
      <w:r w:rsidRPr="00067F0C">
        <w:rPr>
          <w:sz w:val="24"/>
        </w:rPr>
        <w:t xml:space="preserve">. </w:t>
      </w:r>
      <w:proofErr w:type="spellStart"/>
      <w:r w:rsidRPr="00067F0C">
        <w:rPr>
          <w:sz w:val="24"/>
        </w:rPr>
        <w:t>Tarnyba</w:t>
      </w:r>
      <w:proofErr w:type="spellEnd"/>
      <w:r w:rsidRPr="00067F0C">
        <w:rPr>
          <w:sz w:val="24"/>
        </w:rPr>
        <w:t xml:space="preserve"> </w:t>
      </w:r>
      <w:proofErr w:type="spellStart"/>
      <w:r w:rsidRPr="00067F0C">
        <w:rPr>
          <w:sz w:val="24"/>
        </w:rPr>
        <w:t>vertina</w:t>
      </w:r>
      <w:proofErr w:type="spellEnd"/>
      <w:r w:rsidRPr="00067F0C">
        <w:rPr>
          <w:sz w:val="24"/>
        </w:rPr>
        <w:t xml:space="preserve">, jog Palladini et al., 2012 </w:t>
      </w:r>
      <w:proofErr w:type="spellStart"/>
      <w:r w:rsidRPr="00067F0C">
        <w:rPr>
          <w:sz w:val="24"/>
        </w:rPr>
        <w:t>ir</w:t>
      </w:r>
      <w:proofErr w:type="spellEnd"/>
      <w:r w:rsidRPr="00067F0C">
        <w:rPr>
          <w:sz w:val="24"/>
        </w:rPr>
        <w:t xml:space="preserve"> ANDROMEDA </w:t>
      </w:r>
      <w:proofErr w:type="spellStart"/>
      <w:r w:rsidRPr="00067F0C">
        <w:rPr>
          <w:sz w:val="24"/>
        </w:rPr>
        <w:t>tyrimų</w:t>
      </w:r>
      <w:proofErr w:type="spellEnd"/>
      <w:r w:rsidRPr="00067F0C">
        <w:rPr>
          <w:sz w:val="24"/>
        </w:rPr>
        <w:t xml:space="preserve"> </w:t>
      </w:r>
      <w:proofErr w:type="spellStart"/>
      <w:r w:rsidRPr="00067F0C">
        <w:rPr>
          <w:sz w:val="24"/>
        </w:rPr>
        <w:t>populiacijos</w:t>
      </w:r>
      <w:proofErr w:type="spellEnd"/>
      <w:r w:rsidRPr="00067F0C">
        <w:rPr>
          <w:sz w:val="24"/>
        </w:rPr>
        <w:t xml:space="preserve"> </w:t>
      </w:r>
      <w:proofErr w:type="spellStart"/>
      <w:r w:rsidRPr="00067F0C">
        <w:rPr>
          <w:sz w:val="24"/>
        </w:rPr>
        <w:t>nėra</w:t>
      </w:r>
      <w:proofErr w:type="spellEnd"/>
      <w:r w:rsidRPr="00067F0C">
        <w:rPr>
          <w:sz w:val="24"/>
        </w:rPr>
        <w:t xml:space="preserve"> </w:t>
      </w:r>
      <w:proofErr w:type="spellStart"/>
      <w:r w:rsidRPr="00067F0C">
        <w:rPr>
          <w:sz w:val="24"/>
        </w:rPr>
        <w:t>sugretintos</w:t>
      </w:r>
      <w:proofErr w:type="spellEnd"/>
      <w:r w:rsidRPr="00067F0C">
        <w:rPr>
          <w:sz w:val="24"/>
        </w:rPr>
        <w:t xml:space="preserve">, </w:t>
      </w:r>
      <w:proofErr w:type="spellStart"/>
      <w:r w:rsidRPr="00067F0C">
        <w:rPr>
          <w:sz w:val="24"/>
        </w:rPr>
        <w:t>nes</w:t>
      </w:r>
      <w:proofErr w:type="spellEnd"/>
      <w:r w:rsidRPr="00067F0C">
        <w:rPr>
          <w:sz w:val="24"/>
        </w:rPr>
        <w:t xml:space="preserve"> ANDROMEDA </w:t>
      </w:r>
      <w:proofErr w:type="spellStart"/>
      <w:r w:rsidRPr="00067F0C">
        <w:rPr>
          <w:sz w:val="24"/>
        </w:rPr>
        <w:t>tyrimo</w:t>
      </w:r>
      <w:proofErr w:type="spellEnd"/>
      <w:r w:rsidRPr="00067F0C">
        <w:rPr>
          <w:sz w:val="24"/>
        </w:rPr>
        <w:t xml:space="preserve"> </w:t>
      </w:r>
      <w:proofErr w:type="spellStart"/>
      <w:r w:rsidRPr="00067F0C">
        <w:rPr>
          <w:sz w:val="24"/>
        </w:rPr>
        <w:t>populiaciją</w:t>
      </w:r>
      <w:proofErr w:type="spellEnd"/>
      <w:r w:rsidRPr="00067F0C">
        <w:rPr>
          <w:sz w:val="24"/>
        </w:rPr>
        <w:t xml:space="preserve"> </w:t>
      </w:r>
      <w:proofErr w:type="spellStart"/>
      <w:r w:rsidRPr="00067F0C">
        <w:rPr>
          <w:sz w:val="24"/>
        </w:rPr>
        <w:t>sudaro</w:t>
      </w:r>
      <w:proofErr w:type="spellEnd"/>
      <w:r w:rsidRPr="00067F0C">
        <w:rPr>
          <w:sz w:val="24"/>
        </w:rPr>
        <w:t xml:space="preserve"> </w:t>
      </w:r>
      <w:proofErr w:type="spellStart"/>
      <w:r w:rsidRPr="00067F0C">
        <w:rPr>
          <w:sz w:val="24"/>
        </w:rPr>
        <w:t>naujai</w:t>
      </w:r>
      <w:proofErr w:type="spellEnd"/>
      <w:r w:rsidRPr="00067F0C">
        <w:rPr>
          <w:sz w:val="24"/>
        </w:rPr>
        <w:t xml:space="preserve"> </w:t>
      </w:r>
      <w:proofErr w:type="spellStart"/>
      <w:r w:rsidRPr="00067F0C">
        <w:rPr>
          <w:sz w:val="24"/>
        </w:rPr>
        <w:t>diagnozuoti</w:t>
      </w:r>
      <w:proofErr w:type="spellEnd"/>
      <w:r w:rsidRPr="00067F0C">
        <w:rPr>
          <w:sz w:val="24"/>
        </w:rPr>
        <w:t xml:space="preserve"> </w:t>
      </w:r>
      <w:proofErr w:type="spellStart"/>
      <w:r w:rsidRPr="00067F0C">
        <w:rPr>
          <w:sz w:val="24"/>
        </w:rPr>
        <w:t>pacientai</w:t>
      </w:r>
      <w:proofErr w:type="spellEnd"/>
      <w:r w:rsidRPr="00067F0C">
        <w:rPr>
          <w:sz w:val="24"/>
        </w:rPr>
        <w:t xml:space="preserve">, </w:t>
      </w:r>
      <w:proofErr w:type="spellStart"/>
      <w:r w:rsidRPr="00067F0C">
        <w:rPr>
          <w:sz w:val="24"/>
        </w:rPr>
        <w:t>kuriems</w:t>
      </w:r>
      <w:proofErr w:type="spellEnd"/>
      <w:r w:rsidRPr="00067F0C">
        <w:rPr>
          <w:sz w:val="24"/>
        </w:rPr>
        <w:t xml:space="preserve"> </w:t>
      </w:r>
      <w:proofErr w:type="spellStart"/>
      <w:r w:rsidRPr="00067F0C">
        <w:rPr>
          <w:sz w:val="24"/>
        </w:rPr>
        <w:t>gydymas</w:t>
      </w:r>
      <w:proofErr w:type="spellEnd"/>
      <w:r w:rsidRPr="00067F0C">
        <w:rPr>
          <w:sz w:val="24"/>
        </w:rPr>
        <w:t xml:space="preserve"> </w:t>
      </w:r>
      <w:proofErr w:type="spellStart"/>
      <w:r w:rsidRPr="00067F0C">
        <w:rPr>
          <w:sz w:val="24"/>
        </w:rPr>
        <w:t>dar</w:t>
      </w:r>
      <w:proofErr w:type="spellEnd"/>
      <w:r w:rsidRPr="00067F0C">
        <w:rPr>
          <w:sz w:val="24"/>
        </w:rPr>
        <w:t xml:space="preserve"> </w:t>
      </w:r>
      <w:proofErr w:type="spellStart"/>
      <w:r w:rsidRPr="00067F0C">
        <w:rPr>
          <w:sz w:val="24"/>
        </w:rPr>
        <w:t>nebuvo</w:t>
      </w:r>
      <w:proofErr w:type="spellEnd"/>
      <w:r w:rsidRPr="00067F0C">
        <w:rPr>
          <w:sz w:val="24"/>
        </w:rPr>
        <w:t xml:space="preserve"> </w:t>
      </w:r>
      <w:proofErr w:type="spellStart"/>
      <w:r w:rsidRPr="00067F0C">
        <w:rPr>
          <w:sz w:val="24"/>
        </w:rPr>
        <w:t>taikomas</w:t>
      </w:r>
      <w:proofErr w:type="spellEnd"/>
      <w:r w:rsidRPr="00067F0C">
        <w:rPr>
          <w:sz w:val="24"/>
        </w:rPr>
        <w:t xml:space="preserve">, </w:t>
      </w:r>
      <w:proofErr w:type="spellStart"/>
      <w:r w:rsidRPr="00067F0C">
        <w:rPr>
          <w:sz w:val="24"/>
        </w:rPr>
        <w:t>tuo</w:t>
      </w:r>
      <w:proofErr w:type="spellEnd"/>
      <w:r w:rsidRPr="00067F0C">
        <w:rPr>
          <w:sz w:val="24"/>
        </w:rPr>
        <w:t xml:space="preserve"> </w:t>
      </w:r>
      <w:proofErr w:type="spellStart"/>
      <w:r w:rsidRPr="00067F0C">
        <w:rPr>
          <w:sz w:val="24"/>
        </w:rPr>
        <w:t>tarpu</w:t>
      </w:r>
      <w:proofErr w:type="spellEnd"/>
      <w:r w:rsidRPr="00067F0C">
        <w:rPr>
          <w:sz w:val="24"/>
        </w:rPr>
        <w:t xml:space="preserve"> Palladini et al., 2012 </w:t>
      </w:r>
      <w:proofErr w:type="spellStart"/>
      <w:r w:rsidRPr="00067F0C">
        <w:rPr>
          <w:sz w:val="24"/>
        </w:rPr>
        <w:t>publikacijoje</w:t>
      </w:r>
      <w:proofErr w:type="spellEnd"/>
      <w:r w:rsidRPr="00067F0C">
        <w:rPr>
          <w:sz w:val="24"/>
        </w:rPr>
        <w:t xml:space="preserve"> </w:t>
      </w:r>
      <w:proofErr w:type="spellStart"/>
      <w:r w:rsidRPr="00067F0C">
        <w:rPr>
          <w:sz w:val="24"/>
        </w:rPr>
        <w:t>pacientams</w:t>
      </w:r>
      <w:proofErr w:type="spellEnd"/>
      <w:r w:rsidRPr="00067F0C">
        <w:rPr>
          <w:sz w:val="24"/>
        </w:rPr>
        <w:t xml:space="preserve"> </w:t>
      </w:r>
      <w:proofErr w:type="spellStart"/>
      <w:r w:rsidRPr="00067F0C">
        <w:rPr>
          <w:sz w:val="24"/>
        </w:rPr>
        <w:t>jau</w:t>
      </w:r>
      <w:proofErr w:type="spellEnd"/>
      <w:r w:rsidRPr="00067F0C">
        <w:rPr>
          <w:sz w:val="24"/>
        </w:rPr>
        <w:t xml:space="preserve"> </w:t>
      </w:r>
      <w:proofErr w:type="spellStart"/>
      <w:r w:rsidRPr="00067F0C">
        <w:rPr>
          <w:sz w:val="24"/>
        </w:rPr>
        <w:t>buvo</w:t>
      </w:r>
      <w:proofErr w:type="spellEnd"/>
      <w:r w:rsidRPr="00067F0C">
        <w:rPr>
          <w:sz w:val="24"/>
        </w:rPr>
        <w:t xml:space="preserve"> </w:t>
      </w:r>
      <w:proofErr w:type="spellStart"/>
      <w:r w:rsidRPr="00067F0C">
        <w:rPr>
          <w:sz w:val="24"/>
        </w:rPr>
        <w:t>taikomas</w:t>
      </w:r>
      <w:proofErr w:type="spellEnd"/>
      <w:r w:rsidRPr="00067F0C">
        <w:rPr>
          <w:sz w:val="24"/>
        </w:rPr>
        <w:t xml:space="preserve"> </w:t>
      </w:r>
      <w:proofErr w:type="spellStart"/>
      <w:r w:rsidRPr="00067F0C">
        <w:rPr>
          <w:sz w:val="24"/>
        </w:rPr>
        <w:t>gydymas</w:t>
      </w:r>
      <w:proofErr w:type="spellEnd"/>
      <w:r w:rsidRPr="00067F0C">
        <w:rPr>
          <w:sz w:val="24"/>
        </w:rPr>
        <w:t>.</w:t>
      </w:r>
    </w:p>
    <w:p w14:paraId="2FC31490" w14:textId="77777777" w:rsidR="00A11F27" w:rsidRPr="00067F0C" w:rsidRDefault="00A11F27" w:rsidP="00081566">
      <w:pPr>
        <w:spacing w:line="360" w:lineRule="auto"/>
        <w:jc w:val="both"/>
        <w:rPr>
          <w:lang w:eastAsia="lt-LT"/>
        </w:rPr>
      </w:pPr>
      <w:r w:rsidRPr="00067F0C">
        <w:t xml:space="preserve">Modelyje suteikta galimybė PR/NR pacientams kaip BI duomenų šaltinį taikyti ANDROMEDA tyrimo duomenis. </w:t>
      </w:r>
      <w:r w:rsidRPr="00067F0C">
        <w:rPr>
          <w:lang w:eastAsia="lt-LT"/>
        </w:rPr>
        <w:t xml:space="preserve">Atsižvelgiant į tai, jog: </w:t>
      </w:r>
    </w:p>
    <w:p w14:paraId="69F8B359" w14:textId="77777777" w:rsidR="00A11F27" w:rsidRPr="00067F0C" w:rsidRDefault="00A11F27" w:rsidP="00081566">
      <w:pPr>
        <w:spacing w:line="360" w:lineRule="auto"/>
        <w:ind w:firstLine="720"/>
        <w:jc w:val="both"/>
        <w:rPr>
          <w:lang w:eastAsia="lt-LT"/>
        </w:rPr>
      </w:pPr>
      <w:r w:rsidRPr="00067F0C">
        <w:rPr>
          <w:lang w:eastAsia="lt-LT"/>
        </w:rPr>
        <w:t>- klinikinė vertinimo dalis yra grindžiama tiesioginio palyginimo, ANRDOMEDA tyrimo rezultatais (kuriame nagrinėjama populiacija atitinka kompensavimui siūlomą indikaciją, o palyginamasis gydymas atitinka Lietuvos klinikinę praktiką);</w:t>
      </w:r>
    </w:p>
    <w:p w14:paraId="050551C6" w14:textId="77777777" w:rsidR="00A11F27" w:rsidRPr="00067F0C" w:rsidRDefault="00A11F27" w:rsidP="00081566">
      <w:pPr>
        <w:spacing w:line="360" w:lineRule="auto"/>
        <w:ind w:firstLine="720"/>
        <w:jc w:val="both"/>
        <w:rPr>
          <w:lang w:eastAsia="lt-LT"/>
        </w:rPr>
      </w:pPr>
      <w:r w:rsidRPr="00067F0C">
        <w:rPr>
          <w:lang w:eastAsia="lt-LT"/>
        </w:rPr>
        <w:lastRenderedPageBreak/>
        <w:t>- Palladini et al., 2012 publikacijoje aprašyti pacientai jau gavo gydymą, o modelyje analizuojama naujai diagnozuotų pacientų populiacija;</w:t>
      </w:r>
    </w:p>
    <w:p w14:paraId="381ED6BF" w14:textId="77777777" w:rsidR="00A11F27" w:rsidRPr="00067F0C" w:rsidRDefault="00A11F27" w:rsidP="00081566">
      <w:pPr>
        <w:spacing w:line="360" w:lineRule="auto"/>
        <w:ind w:firstLine="720"/>
        <w:jc w:val="both"/>
        <w:rPr>
          <w:lang w:eastAsia="lt-LT"/>
        </w:rPr>
      </w:pPr>
      <w:r w:rsidRPr="00067F0C">
        <w:rPr>
          <w:lang w:eastAsia="lt-LT"/>
        </w:rPr>
        <w:t>- PR/NR pacientų BI įvertinimui taikant Palladini et al., 2012 duomenis, palyginamojoje grupėje gaunami maždaug 5 LY, tuo tarpu tiesioginio palyginimo tyrime ANDROMEDA po 5 metų stebėjimo medianos, dar apie 64,5 proc. pacientų yra gyvų palyginamojoje grupėje. Manome, jog taikant Palladini et al., 2012 šaltinį Palyginamosios grupės pacientų (kurią sudaro didžioji dalis PR/NR pacientų) ši</w:t>
      </w:r>
      <w:r>
        <w:rPr>
          <w:lang w:eastAsia="lt-LT"/>
        </w:rPr>
        <w:t>ų</w:t>
      </w:r>
      <w:r w:rsidRPr="00067F0C">
        <w:rPr>
          <w:lang w:eastAsia="lt-LT"/>
        </w:rPr>
        <w:t xml:space="preserve"> pacientų bendras išgyvenamumas gali būti nuvertinamas;</w:t>
      </w:r>
    </w:p>
    <w:p w14:paraId="1221319C" w14:textId="77777777" w:rsidR="00A11F27" w:rsidRPr="00067F0C" w:rsidRDefault="00A11F27" w:rsidP="00081566">
      <w:pPr>
        <w:spacing w:line="360" w:lineRule="auto"/>
        <w:ind w:firstLine="720"/>
        <w:jc w:val="both"/>
        <w:rPr>
          <w:lang w:eastAsia="lt-LT"/>
        </w:rPr>
      </w:pPr>
      <w:r w:rsidRPr="00067F0C">
        <w:rPr>
          <w:lang w:eastAsia="lt-LT"/>
        </w:rPr>
        <w:t>- Siekiant pateikti konservatyvesnį analizės rezultatą.</w:t>
      </w:r>
    </w:p>
    <w:p w14:paraId="1E78E772" w14:textId="77777777" w:rsidR="00A11F27" w:rsidRPr="00067F0C" w:rsidRDefault="00A11F27" w:rsidP="00081566">
      <w:pPr>
        <w:pStyle w:val="Tekstaspolentele"/>
        <w:spacing w:line="360" w:lineRule="auto"/>
        <w:rPr>
          <w:sz w:val="24"/>
          <w:lang w:eastAsia="lt-LT"/>
        </w:rPr>
      </w:pPr>
      <w:r w:rsidRPr="00067F0C">
        <w:rPr>
          <w:sz w:val="24"/>
          <w:lang w:eastAsia="lt-LT"/>
        </w:rPr>
        <w:t xml:space="preserve">PR/NR </w:t>
      </w:r>
      <w:proofErr w:type="spellStart"/>
      <w:r w:rsidRPr="00067F0C">
        <w:rPr>
          <w:sz w:val="24"/>
          <w:lang w:eastAsia="lt-LT"/>
        </w:rPr>
        <w:t>pacientų</w:t>
      </w:r>
      <w:proofErr w:type="spellEnd"/>
      <w:r w:rsidRPr="00067F0C">
        <w:rPr>
          <w:sz w:val="24"/>
          <w:lang w:eastAsia="lt-LT"/>
        </w:rPr>
        <w:t xml:space="preserve"> BI </w:t>
      </w:r>
      <w:proofErr w:type="spellStart"/>
      <w:r w:rsidRPr="00067F0C">
        <w:rPr>
          <w:sz w:val="24"/>
          <w:lang w:eastAsia="lt-LT"/>
        </w:rPr>
        <w:t>įvertinimui</w:t>
      </w:r>
      <w:proofErr w:type="spellEnd"/>
      <w:r w:rsidRPr="00067F0C">
        <w:rPr>
          <w:sz w:val="24"/>
          <w:lang w:eastAsia="lt-LT"/>
        </w:rPr>
        <w:t xml:space="preserve"> </w:t>
      </w:r>
      <w:proofErr w:type="spellStart"/>
      <w:r w:rsidRPr="00067F0C">
        <w:rPr>
          <w:sz w:val="24"/>
          <w:lang w:eastAsia="lt-LT"/>
        </w:rPr>
        <w:t>pagrindinio</w:t>
      </w:r>
      <w:proofErr w:type="spellEnd"/>
      <w:r w:rsidRPr="00067F0C">
        <w:rPr>
          <w:sz w:val="24"/>
          <w:lang w:eastAsia="lt-LT"/>
        </w:rPr>
        <w:t xml:space="preserve"> </w:t>
      </w:r>
      <w:proofErr w:type="spellStart"/>
      <w:r w:rsidRPr="00067F0C">
        <w:rPr>
          <w:sz w:val="24"/>
          <w:lang w:eastAsia="lt-LT"/>
        </w:rPr>
        <w:t>atvejo</w:t>
      </w:r>
      <w:proofErr w:type="spellEnd"/>
      <w:r w:rsidRPr="00067F0C">
        <w:rPr>
          <w:sz w:val="24"/>
          <w:lang w:eastAsia="lt-LT"/>
        </w:rPr>
        <w:t xml:space="preserve"> </w:t>
      </w:r>
      <w:proofErr w:type="spellStart"/>
      <w:r w:rsidRPr="00067F0C">
        <w:rPr>
          <w:sz w:val="24"/>
          <w:lang w:eastAsia="lt-LT"/>
        </w:rPr>
        <w:t>analizėje</w:t>
      </w:r>
      <w:proofErr w:type="spellEnd"/>
      <w:r w:rsidRPr="00067F0C">
        <w:rPr>
          <w:sz w:val="24"/>
          <w:lang w:eastAsia="lt-LT"/>
        </w:rPr>
        <w:t xml:space="preserve"> </w:t>
      </w:r>
      <w:proofErr w:type="spellStart"/>
      <w:r w:rsidRPr="00067F0C">
        <w:rPr>
          <w:sz w:val="24"/>
          <w:lang w:eastAsia="lt-LT"/>
        </w:rPr>
        <w:t>naudojamas</w:t>
      </w:r>
      <w:proofErr w:type="spellEnd"/>
      <w:r w:rsidRPr="00067F0C">
        <w:rPr>
          <w:sz w:val="24"/>
          <w:lang w:eastAsia="lt-LT"/>
        </w:rPr>
        <w:t xml:space="preserve"> ANDROMEDA </w:t>
      </w:r>
      <w:proofErr w:type="spellStart"/>
      <w:r w:rsidRPr="00067F0C">
        <w:rPr>
          <w:sz w:val="24"/>
          <w:lang w:eastAsia="lt-LT"/>
        </w:rPr>
        <w:t>tyrimas</w:t>
      </w:r>
      <w:proofErr w:type="spellEnd"/>
      <w:r w:rsidRPr="00067F0C">
        <w:rPr>
          <w:sz w:val="24"/>
          <w:lang w:eastAsia="lt-LT"/>
        </w:rPr>
        <w:t>.</w:t>
      </w:r>
    </w:p>
    <w:p w14:paraId="1F53B59E" w14:textId="77777777" w:rsidR="00A11F27" w:rsidRDefault="00A11F27" w:rsidP="00081566">
      <w:pPr>
        <w:pStyle w:val="Tekstas"/>
        <w:spacing w:line="360" w:lineRule="auto"/>
      </w:pPr>
      <w:r w:rsidRPr="00067F0C">
        <w:t xml:space="preserve">ANDROMEDA </w:t>
      </w:r>
      <w:proofErr w:type="spellStart"/>
      <w:r w:rsidRPr="00067F0C">
        <w:t>tyrime</w:t>
      </w:r>
      <w:proofErr w:type="spellEnd"/>
      <w:r w:rsidRPr="00067F0C">
        <w:t xml:space="preserve"> </w:t>
      </w:r>
      <w:proofErr w:type="spellStart"/>
      <w:r w:rsidRPr="00067F0C">
        <w:t>buvo</w:t>
      </w:r>
      <w:proofErr w:type="spellEnd"/>
      <w:r w:rsidRPr="00067F0C">
        <w:t xml:space="preserve"> </w:t>
      </w:r>
      <w:proofErr w:type="spellStart"/>
      <w:r w:rsidRPr="00067F0C">
        <w:t>vertinami</w:t>
      </w:r>
      <w:proofErr w:type="spellEnd"/>
      <w:r w:rsidRPr="00067F0C">
        <w:t xml:space="preserve"> EQ-5D-5L </w:t>
      </w:r>
      <w:proofErr w:type="spellStart"/>
      <w:r w:rsidRPr="00067F0C">
        <w:t>duomenys</w:t>
      </w:r>
      <w:proofErr w:type="spellEnd"/>
      <w:r w:rsidRPr="00067F0C">
        <w:t xml:space="preserve">. </w:t>
      </w:r>
      <w:proofErr w:type="spellStart"/>
      <w:r w:rsidRPr="00067F0C">
        <w:t>Tyrimo</w:t>
      </w:r>
      <w:proofErr w:type="spellEnd"/>
      <w:r w:rsidRPr="00067F0C">
        <w:t xml:space="preserve"> </w:t>
      </w:r>
      <w:proofErr w:type="spellStart"/>
      <w:r w:rsidRPr="00067F0C">
        <w:t>duomenys</w:t>
      </w:r>
      <w:proofErr w:type="spellEnd"/>
      <w:r w:rsidRPr="00067F0C">
        <w:t xml:space="preserve"> </w:t>
      </w:r>
      <w:proofErr w:type="spellStart"/>
      <w:r w:rsidRPr="00067F0C">
        <w:t>parodė</w:t>
      </w:r>
      <w:proofErr w:type="spellEnd"/>
      <w:r w:rsidRPr="00067F0C">
        <w:t xml:space="preserve">, jog </w:t>
      </w:r>
      <w:proofErr w:type="spellStart"/>
      <w:r w:rsidRPr="00067F0C">
        <w:t>daratumumabo</w:t>
      </w:r>
      <w:proofErr w:type="spellEnd"/>
      <w:r w:rsidRPr="00067F0C">
        <w:t xml:space="preserve"> </w:t>
      </w:r>
      <w:proofErr w:type="spellStart"/>
      <w:r w:rsidRPr="00067F0C">
        <w:t>pridėjimas</w:t>
      </w:r>
      <w:proofErr w:type="spellEnd"/>
      <w:r w:rsidRPr="00067F0C">
        <w:t xml:space="preserve"> </w:t>
      </w:r>
      <w:proofErr w:type="spellStart"/>
      <w:r w:rsidRPr="00067F0C">
        <w:t>prie</w:t>
      </w:r>
      <w:proofErr w:type="spellEnd"/>
      <w:r w:rsidRPr="00067F0C">
        <w:t xml:space="preserve"> </w:t>
      </w:r>
      <w:proofErr w:type="spellStart"/>
      <w:r w:rsidRPr="00067F0C">
        <w:t>VCd</w:t>
      </w:r>
      <w:proofErr w:type="spellEnd"/>
      <w:r w:rsidRPr="00067F0C">
        <w:t xml:space="preserve"> </w:t>
      </w:r>
      <w:proofErr w:type="spellStart"/>
      <w:r w:rsidRPr="00067F0C">
        <w:t>terapijos</w:t>
      </w:r>
      <w:proofErr w:type="spellEnd"/>
      <w:r w:rsidRPr="00067F0C">
        <w:t xml:space="preserve"> </w:t>
      </w:r>
      <w:proofErr w:type="spellStart"/>
      <w:r w:rsidRPr="00067F0C">
        <w:t>nepagerino</w:t>
      </w:r>
      <w:proofErr w:type="spellEnd"/>
      <w:r w:rsidRPr="00067F0C">
        <w:t xml:space="preserve"> </w:t>
      </w:r>
      <w:proofErr w:type="spellStart"/>
      <w:r w:rsidRPr="00067F0C">
        <w:t>pacientų</w:t>
      </w:r>
      <w:proofErr w:type="spellEnd"/>
      <w:r w:rsidRPr="00067F0C">
        <w:t xml:space="preserve"> </w:t>
      </w:r>
      <w:proofErr w:type="spellStart"/>
      <w:r w:rsidRPr="00067F0C">
        <w:t>gyvenimo</w:t>
      </w:r>
      <w:proofErr w:type="spellEnd"/>
      <w:r w:rsidRPr="00067F0C">
        <w:t xml:space="preserve"> </w:t>
      </w:r>
      <w:proofErr w:type="spellStart"/>
      <w:r w:rsidRPr="00067F0C">
        <w:t>kokybės</w:t>
      </w:r>
      <w:proofErr w:type="spellEnd"/>
      <w:r w:rsidRPr="00067F0C">
        <w:t xml:space="preserve"> per 6 </w:t>
      </w:r>
      <w:proofErr w:type="spellStart"/>
      <w:r w:rsidRPr="00067F0C">
        <w:t>gydymo</w:t>
      </w:r>
      <w:proofErr w:type="spellEnd"/>
      <w:r w:rsidRPr="00067F0C">
        <w:t xml:space="preserve"> </w:t>
      </w:r>
      <w:proofErr w:type="spellStart"/>
      <w:r w:rsidRPr="00067F0C">
        <w:t>ciklus</w:t>
      </w:r>
      <w:proofErr w:type="spellEnd"/>
      <w:r w:rsidRPr="00067F0C">
        <w:t xml:space="preserve">. </w:t>
      </w:r>
    </w:p>
    <w:p w14:paraId="696B2086" w14:textId="77777777" w:rsidR="00A11F27" w:rsidRPr="00067F0C" w:rsidRDefault="00A11F27" w:rsidP="00081566">
      <w:pPr>
        <w:pStyle w:val="Tekstas"/>
        <w:spacing w:line="360" w:lineRule="auto"/>
        <w:rPr>
          <w:lang w:eastAsia="lt-LT"/>
        </w:rPr>
      </w:pPr>
      <w:proofErr w:type="spellStart"/>
      <w:r w:rsidRPr="00067F0C">
        <w:rPr>
          <w:lang w:eastAsia="lt-LT"/>
        </w:rPr>
        <w:t>Analizėje</w:t>
      </w:r>
      <w:proofErr w:type="spellEnd"/>
      <w:r w:rsidRPr="00067F0C">
        <w:rPr>
          <w:lang w:eastAsia="lt-LT"/>
        </w:rPr>
        <w:t xml:space="preserve"> </w:t>
      </w:r>
      <w:proofErr w:type="spellStart"/>
      <w:r w:rsidRPr="00067F0C">
        <w:rPr>
          <w:lang w:eastAsia="lt-LT"/>
        </w:rPr>
        <w:t>nepateiktos</w:t>
      </w:r>
      <w:proofErr w:type="spellEnd"/>
      <w:r w:rsidRPr="00067F0C">
        <w:rPr>
          <w:lang w:eastAsia="lt-LT"/>
        </w:rPr>
        <w:t xml:space="preserve"> </w:t>
      </w:r>
      <w:proofErr w:type="spellStart"/>
      <w:r w:rsidRPr="00067F0C">
        <w:rPr>
          <w:lang w:eastAsia="lt-LT"/>
        </w:rPr>
        <w:t>gyvenimo</w:t>
      </w:r>
      <w:proofErr w:type="spellEnd"/>
      <w:r w:rsidRPr="00067F0C">
        <w:rPr>
          <w:lang w:eastAsia="lt-LT"/>
        </w:rPr>
        <w:t xml:space="preserve"> </w:t>
      </w:r>
      <w:proofErr w:type="spellStart"/>
      <w:r w:rsidRPr="00067F0C">
        <w:rPr>
          <w:lang w:eastAsia="lt-LT"/>
        </w:rPr>
        <w:t>kokybės</w:t>
      </w:r>
      <w:proofErr w:type="spellEnd"/>
      <w:r w:rsidRPr="00067F0C">
        <w:rPr>
          <w:lang w:eastAsia="lt-LT"/>
        </w:rPr>
        <w:t xml:space="preserve"> </w:t>
      </w:r>
      <w:proofErr w:type="spellStart"/>
      <w:r w:rsidRPr="00067F0C">
        <w:rPr>
          <w:lang w:eastAsia="lt-LT"/>
        </w:rPr>
        <w:t>įverčių</w:t>
      </w:r>
      <w:proofErr w:type="spellEnd"/>
      <w:r w:rsidRPr="00067F0C">
        <w:rPr>
          <w:lang w:eastAsia="lt-LT"/>
        </w:rPr>
        <w:t xml:space="preserve"> </w:t>
      </w:r>
      <w:proofErr w:type="spellStart"/>
      <w:r w:rsidRPr="00067F0C">
        <w:rPr>
          <w:lang w:eastAsia="lt-LT"/>
        </w:rPr>
        <w:t>alternatyvos</w:t>
      </w:r>
      <w:proofErr w:type="spellEnd"/>
      <w:r w:rsidRPr="00067F0C">
        <w:rPr>
          <w:lang w:eastAsia="lt-LT"/>
        </w:rPr>
        <w:t xml:space="preserve"> </w:t>
      </w:r>
      <w:proofErr w:type="spellStart"/>
      <w:r w:rsidRPr="00067F0C">
        <w:rPr>
          <w:lang w:eastAsia="lt-LT"/>
        </w:rPr>
        <w:t>iš</w:t>
      </w:r>
      <w:proofErr w:type="spellEnd"/>
      <w:r w:rsidRPr="00067F0C">
        <w:rPr>
          <w:lang w:eastAsia="lt-LT"/>
        </w:rPr>
        <w:t xml:space="preserve"> </w:t>
      </w:r>
      <w:proofErr w:type="spellStart"/>
      <w:r w:rsidRPr="00067F0C">
        <w:rPr>
          <w:lang w:eastAsia="lt-LT"/>
        </w:rPr>
        <w:t>mokslinės</w:t>
      </w:r>
      <w:proofErr w:type="spellEnd"/>
      <w:r w:rsidRPr="00067F0C">
        <w:rPr>
          <w:lang w:eastAsia="lt-LT"/>
        </w:rPr>
        <w:t xml:space="preserve"> </w:t>
      </w:r>
      <w:proofErr w:type="spellStart"/>
      <w:r w:rsidRPr="00067F0C">
        <w:rPr>
          <w:lang w:eastAsia="lt-LT"/>
        </w:rPr>
        <w:t>literatūros</w:t>
      </w:r>
      <w:proofErr w:type="spellEnd"/>
      <w:r w:rsidRPr="00067F0C">
        <w:rPr>
          <w:lang w:eastAsia="lt-LT"/>
        </w:rPr>
        <w:t xml:space="preserve"> </w:t>
      </w:r>
      <w:proofErr w:type="spellStart"/>
      <w:r w:rsidRPr="00067F0C">
        <w:rPr>
          <w:lang w:eastAsia="lt-LT"/>
        </w:rPr>
        <w:t>šaltinių</w:t>
      </w:r>
      <w:proofErr w:type="spellEnd"/>
      <w:r w:rsidRPr="00067F0C">
        <w:rPr>
          <w:lang w:eastAsia="lt-LT"/>
        </w:rPr>
        <w:t xml:space="preserve">, </w:t>
      </w:r>
      <w:proofErr w:type="spellStart"/>
      <w:r w:rsidRPr="00067F0C">
        <w:rPr>
          <w:lang w:eastAsia="lt-LT"/>
        </w:rPr>
        <w:t>todėl</w:t>
      </w:r>
      <w:proofErr w:type="spellEnd"/>
      <w:r w:rsidRPr="00067F0C">
        <w:rPr>
          <w:lang w:eastAsia="lt-LT"/>
        </w:rPr>
        <w:t xml:space="preserve"> </w:t>
      </w:r>
      <w:proofErr w:type="spellStart"/>
      <w:r w:rsidRPr="00067F0C">
        <w:rPr>
          <w:lang w:eastAsia="lt-LT"/>
        </w:rPr>
        <w:t>Tarnyba</w:t>
      </w:r>
      <w:proofErr w:type="spellEnd"/>
      <w:r w:rsidRPr="00067F0C">
        <w:rPr>
          <w:lang w:eastAsia="lt-LT"/>
        </w:rPr>
        <w:t xml:space="preserve"> </w:t>
      </w:r>
      <w:proofErr w:type="spellStart"/>
      <w:r w:rsidRPr="00067F0C">
        <w:rPr>
          <w:lang w:eastAsia="lt-LT"/>
        </w:rPr>
        <w:t>pilnai</w:t>
      </w:r>
      <w:proofErr w:type="spellEnd"/>
      <w:r w:rsidRPr="00067F0C">
        <w:rPr>
          <w:lang w:eastAsia="lt-LT"/>
        </w:rPr>
        <w:t xml:space="preserve"> </w:t>
      </w:r>
      <w:proofErr w:type="spellStart"/>
      <w:r w:rsidRPr="00067F0C">
        <w:rPr>
          <w:lang w:eastAsia="lt-LT"/>
        </w:rPr>
        <w:t>negali</w:t>
      </w:r>
      <w:proofErr w:type="spellEnd"/>
      <w:r w:rsidRPr="00067F0C">
        <w:rPr>
          <w:lang w:eastAsia="lt-LT"/>
        </w:rPr>
        <w:t xml:space="preserve"> </w:t>
      </w:r>
      <w:proofErr w:type="spellStart"/>
      <w:r w:rsidRPr="00067F0C">
        <w:rPr>
          <w:lang w:eastAsia="lt-LT"/>
        </w:rPr>
        <w:t>įvertinti</w:t>
      </w:r>
      <w:proofErr w:type="spellEnd"/>
      <w:r w:rsidRPr="00067F0C">
        <w:rPr>
          <w:lang w:eastAsia="lt-LT"/>
        </w:rPr>
        <w:t xml:space="preserve"> </w:t>
      </w:r>
      <w:proofErr w:type="spellStart"/>
      <w:r w:rsidRPr="00067F0C">
        <w:rPr>
          <w:lang w:eastAsia="lt-LT"/>
        </w:rPr>
        <w:t>pagrindinio</w:t>
      </w:r>
      <w:proofErr w:type="spellEnd"/>
      <w:r w:rsidRPr="00067F0C">
        <w:rPr>
          <w:lang w:eastAsia="lt-LT"/>
        </w:rPr>
        <w:t xml:space="preserve"> </w:t>
      </w:r>
      <w:proofErr w:type="spellStart"/>
      <w:r w:rsidRPr="00067F0C">
        <w:rPr>
          <w:lang w:eastAsia="lt-LT"/>
        </w:rPr>
        <w:t>atvejo</w:t>
      </w:r>
      <w:proofErr w:type="spellEnd"/>
      <w:r w:rsidRPr="00067F0C">
        <w:rPr>
          <w:lang w:eastAsia="lt-LT"/>
        </w:rPr>
        <w:t xml:space="preserve"> </w:t>
      </w:r>
      <w:proofErr w:type="spellStart"/>
      <w:r w:rsidRPr="00067F0C">
        <w:rPr>
          <w:lang w:eastAsia="lt-LT"/>
        </w:rPr>
        <w:t>analizėje</w:t>
      </w:r>
      <w:proofErr w:type="spellEnd"/>
      <w:r w:rsidRPr="00067F0C">
        <w:rPr>
          <w:lang w:eastAsia="lt-LT"/>
        </w:rPr>
        <w:t xml:space="preserve"> </w:t>
      </w:r>
      <w:proofErr w:type="spellStart"/>
      <w:r w:rsidRPr="00067F0C">
        <w:rPr>
          <w:lang w:eastAsia="lt-LT"/>
        </w:rPr>
        <w:t>taikomų</w:t>
      </w:r>
      <w:proofErr w:type="spellEnd"/>
      <w:r w:rsidRPr="00067F0C">
        <w:rPr>
          <w:lang w:eastAsia="lt-LT"/>
        </w:rPr>
        <w:t xml:space="preserve"> </w:t>
      </w:r>
      <w:proofErr w:type="spellStart"/>
      <w:r w:rsidRPr="00067F0C">
        <w:rPr>
          <w:lang w:eastAsia="lt-LT"/>
        </w:rPr>
        <w:t>gyvenimo</w:t>
      </w:r>
      <w:proofErr w:type="spellEnd"/>
      <w:r w:rsidRPr="00067F0C">
        <w:rPr>
          <w:lang w:eastAsia="lt-LT"/>
        </w:rPr>
        <w:t xml:space="preserve"> </w:t>
      </w:r>
      <w:proofErr w:type="spellStart"/>
      <w:r w:rsidRPr="00067F0C">
        <w:rPr>
          <w:lang w:eastAsia="lt-LT"/>
        </w:rPr>
        <w:t>kokybės</w:t>
      </w:r>
      <w:proofErr w:type="spellEnd"/>
      <w:r w:rsidRPr="00067F0C">
        <w:rPr>
          <w:lang w:eastAsia="lt-LT"/>
        </w:rPr>
        <w:t xml:space="preserve"> </w:t>
      </w:r>
      <w:proofErr w:type="spellStart"/>
      <w:r w:rsidRPr="00067F0C">
        <w:rPr>
          <w:lang w:eastAsia="lt-LT"/>
        </w:rPr>
        <w:t>įverčių</w:t>
      </w:r>
      <w:proofErr w:type="spellEnd"/>
      <w:r w:rsidRPr="00067F0C">
        <w:rPr>
          <w:lang w:eastAsia="lt-LT"/>
        </w:rPr>
        <w:t xml:space="preserve">. Vis </w:t>
      </w:r>
      <w:proofErr w:type="spellStart"/>
      <w:r w:rsidRPr="00067F0C">
        <w:rPr>
          <w:lang w:eastAsia="lt-LT"/>
        </w:rPr>
        <w:t>dėlto</w:t>
      </w:r>
      <w:proofErr w:type="spellEnd"/>
      <w:r w:rsidRPr="00067F0C">
        <w:rPr>
          <w:lang w:eastAsia="lt-LT"/>
        </w:rPr>
        <w:t xml:space="preserve">, </w:t>
      </w:r>
      <w:proofErr w:type="spellStart"/>
      <w:r w:rsidRPr="00067F0C">
        <w:rPr>
          <w:lang w:eastAsia="lt-LT"/>
        </w:rPr>
        <w:t>laikoma</w:t>
      </w:r>
      <w:proofErr w:type="spellEnd"/>
      <w:r w:rsidRPr="00067F0C">
        <w:rPr>
          <w:lang w:eastAsia="lt-LT"/>
        </w:rPr>
        <w:t xml:space="preserve">, jog </w:t>
      </w:r>
      <w:proofErr w:type="spellStart"/>
      <w:r w:rsidRPr="00067F0C">
        <w:rPr>
          <w:lang w:eastAsia="lt-LT"/>
        </w:rPr>
        <w:t>gaunamas</w:t>
      </w:r>
      <w:proofErr w:type="spellEnd"/>
      <w:r w:rsidRPr="00067F0C">
        <w:rPr>
          <w:lang w:eastAsia="lt-LT"/>
        </w:rPr>
        <w:t xml:space="preserve"> </w:t>
      </w:r>
      <w:proofErr w:type="spellStart"/>
      <w:r w:rsidRPr="00067F0C">
        <w:rPr>
          <w:lang w:eastAsia="lt-LT"/>
        </w:rPr>
        <w:t>analizės</w:t>
      </w:r>
      <w:proofErr w:type="spellEnd"/>
      <w:r w:rsidRPr="00067F0C">
        <w:rPr>
          <w:lang w:eastAsia="lt-LT"/>
        </w:rPr>
        <w:t xml:space="preserve"> </w:t>
      </w:r>
      <w:proofErr w:type="spellStart"/>
      <w:r w:rsidRPr="00067F0C">
        <w:rPr>
          <w:lang w:eastAsia="lt-LT"/>
        </w:rPr>
        <w:t>rezultatas</w:t>
      </w:r>
      <w:proofErr w:type="spellEnd"/>
      <w:r w:rsidRPr="00067F0C">
        <w:rPr>
          <w:lang w:eastAsia="lt-LT"/>
        </w:rPr>
        <w:t xml:space="preserve"> </w:t>
      </w:r>
      <w:proofErr w:type="spellStart"/>
      <w:r w:rsidRPr="00067F0C">
        <w:rPr>
          <w:lang w:eastAsia="lt-LT"/>
        </w:rPr>
        <w:t>yra</w:t>
      </w:r>
      <w:proofErr w:type="spellEnd"/>
      <w:r w:rsidRPr="00067F0C">
        <w:rPr>
          <w:lang w:eastAsia="lt-LT"/>
        </w:rPr>
        <w:t xml:space="preserve"> </w:t>
      </w:r>
      <w:proofErr w:type="spellStart"/>
      <w:r w:rsidRPr="00067F0C">
        <w:rPr>
          <w:lang w:eastAsia="lt-LT"/>
        </w:rPr>
        <w:t>tinkamas</w:t>
      </w:r>
      <w:proofErr w:type="spellEnd"/>
      <w:r w:rsidRPr="00067F0C">
        <w:rPr>
          <w:lang w:eastAsia="lt-LT"/>
        </w:rPr>
        <w:t xml:space="preserve"> </w:t>
      </w:r>
      <w:proofErr w:type="spellStart"/>
      <w:r w:rsidRPr="00067F0C">
        <w:rPr>
          <w:lang w:eastAsia="lt-LT"/>
        </w:rPr>
        <w:t>sprendimo</w:t>
      </w:r>
      <w:proofErr w:type="spellEnd"/>
      <w:r w:rsidRPr="00067F0C">
        <w:rPr>
          <w:lang w:eastAsia="lt-LT"/>
        </w:rPr>
        <w:t xml:space="preserve"> </w:t>
      </w:r>
      <w:proofErr w:type="spellStart"/>
      <w:r w:rsidRPr="00067F0C">
        <w:rPr>
          <w:lang w:eastAsia="lt-LT"/>
        </w:rPr>
        <w:t>priėmimui</w:t>
      </w:r>
      <w:proofErr w:type="spellEnd"/>
      <w:r w:rsidRPr="00067F0C">
        <w:rPr>
          <w:lang w:eastAsia="lt-LT"/>
        </w:rPr>
        <w:t xml:space="preserve">. </w:t>
      </w:r>
      <w:proofErr w:type="spellStart"/>
      <w:r w:rsidRPr="00067F0C">
        <w:rPr>
          <w:lang w:eastAsia="lt-LT"/>
        </w:rPr>
        <w:t>Analizėje</w:t>
      </w:r>
      <w:proofErr w:type="spellEnd"/>
      <w:r w:rsidRPr="00067F0C">
        <w:rPr>
          <w:lang w:eastAsia="lt-LT"/>
        </w:rPr>
        <w:t xml:space="preserve"> </w:t>
      </w:r>
      <w:proofErr w:type="spellStart"/>
      <w:r w:rsidRPr="00067F0C">
        <w:rPr>
          <w:lang w:eastAsia="lt-LT"/>
        </w:rPr>
        <w:t>kaštai</w:t>
      </w:r>
      <w:proofErr w:type="spellEnd"/>
      <w:r w:rsidRPr="00067F0C">
        <w:rPr>
          <w:lang w:eastAsia="lt-LT"/>
        </w:rPr>
        <w:t xml:space="preserve"> </w:t>
      </w:r>
      <w:proofErr w:type="spellStart"/>
      <w:r w:rsidRPr="00067F0C">
        <w:rPr>
          <w:lang w:eastAsia="lt-LT"/>
        </w:rPr>
        <w:t>buvo</w:t>
      </w:r>
      <w:proofErr w:type="spellEnd"/>
      <w:r w:rsidRPr="00067F0C">
        <w:rPr>
          <w:lang w:eastAsia="lt-LT"/>
        </w:rPr>
        <w:t xml:space="preserve"> </w:t>
      </w:r>
      <w:proofErr w:type="spellStart"/>
      <w:r w:rsidRPr="00067F0C">
        <w:rPr>
          <w:lang w:eastAsia="lt-LT"/>
        </w:rPr>
        <w:t>perskaičiuoti</w:t>
      </w:r>
      <w:proofErr w:type="spellEnd"/>
      <w:r w:rsidRPr="00067F0C">
        <w:rPr>
          <w:lang w:eastAsia="lt-LT"/>
        </w:rPr>
        <w:t xml:space="preserve"> </w:t>
      </w:r>
      <w:proofErr w:type="spellStart"/>
      <w:r w:rsidRPr="00067F0C">
        <w:rPr>
          <w:lang w:eastAsia="lt-LT"/>
        </w:rPr>
        <w:t>naudojant</w:t>
      </w:r>
      <w:proofErr w:type="spellEnd"/>
      <w:r w:rsidRPr="00067F0C">
        <w:rPr>
          <w:lang w:eastAsia="lt-LT"/>
        </w:rPr>
        <w:t xml:space="preserve"> 2026 m. I </w:t>
      </w:r>
      <w:proofErr w:type="spellStart"/>
      <w:r w:rsidRPr="00067F0C">
        <w:rPr>
          <w:lang w:eastAsia="lt-LT"/>
        </w:rPr>
        <w:t>pusmečio</w:t>
      </w:r>
      <w:proofErr w:type="spellEnd"/>
      <w:r w:rsidRPr="00067F0C">
        <w:rPr>
          <w:lang w:eastAsia="lt-LT"/>
        </w:rPr>
        <w:t xml:space="preserve"> </w:t>
      </w:r>
      <w:proofErr w:type="spellStart"/>
      <w:r w:rsidRPr="00067F0C">
        <w:rPr>
          <w:lang w:eastAsia="lt-LT"/>
        </w:rPr>
        <w:t>kainas</w:t>
      </w:r>
      <w:proofErr w:type="spellEnd"/>
      <w:r w:rsidRPr="00067F0C">
        <w:rPr>
          <w:lang w:eastAsia="lt-LT"/>
        </w:rPr>
        <w:t xml:space="preserve">. </w:t>
      </w:r>
      <w:proofErr w:type="spellStart"/>
      <w:r w:rsidRPr="00067F0C">
        <w:rPr>
          <w:lang w:eastAsia="lt-LT"/>
        </w:rPr>
        <w:t>Pagrindinio</w:t>
      </w:r>
      <w:proofErr w:type="spellEnd"/>
      <w:r w:rsidRPr="00067F0C">
        <w:rPr>
          <w:lang w:eastAsia="lt-LT"/>
        </w:rPr>
        <w:t xml:space="preserve"> </w:t>
      </w:r>
      <w:proofErr w:type="spellStart"/>
      <w:r w:rsidRPr="00067F0C">
        <w:rPr>
          <w:lang w:eastAsia="lt-LT"/>
        </w:rPr>
        <w:t>atvejo</w:t>
      </w:r>
      <w:proofErr w:type="spellEnd"/>
      <w:r w:rsidRPr="00067F0C">
        <w:rPr>
          <w:lang w:eastAsia="lt-LT"/>
        </w:rPr>
        <w:t xml:space="preserve"> </w:t>
      </w:r>
      <w:proofErr w:type="spellStart"/>
      <w:r w:rsidRPr="00067F0C">
        <w:rPr>
          <w:lang w:eastAsia="lt-LT"/>
        </w:rPr>
        <w:t>analizėje</w:t>
      </w:r>
      <w:proofErr w:type="spellEnd"/>
      <w:r w:rsidRPr="00067F0C">
        <w:rPr>
          <w:lang w:eastAsia="lt-LT"/>
        </w:rPr>
        <w:t xml:space="preserve"> </w:t>
      </w:r>
      <w:proofErr w:type="spellStart"/>
      <w:r w:rsidRPr="00067F0C">
        <w:rPr>
          <w:lang w:eastAsia="lt-LT"/>
        </w:rPr>
        <w:t>taikomas</w:t>
      </w:r>
      <w:proofErr w:type="spellEnd"/>
      <w:r w:rsidRPr="00067F0C">
        <w:rPr>
          <w:lang w:eastAsia="lt-LT"/>
        </w:rPr>
        <w:t xml:space="preserve"> 100 proc. RDI </w:t>
      </w:r>
      <w:proofErr w:type="spellStart"/>
      <w:r w:rsidRPr="00067F0C">
        <w:rPr>
          <w:lang w:eastAsia="lt-LT"/>
        </w:rPr>
        <w:t>visiems</w:t>
      </w:r>
      <w:proofErr w:type="spellEnd"/>
      <w:r w:rsidRPr="00067F0C">
        <w:rPr>
          <w:lang w:eastAsia="lt-LT"/>
        </w:rPr>
        <w:t xml:space="preserve"> </w:t>
      </w:r>
      <w:proofErr w:type="spellStart"/>
      <w:r w:rsidRPr="00067F0C">
        <w:rPr>
          <w:lang w:eastAsia="lt-LT"/>
        </w:rPr>
        <w:t>gydymams</w:t>
      </w:r>
      <w:proofErr w:type="spellEnd"/>
      <w:r w:rsidRPr="00067F0C">
        <w:rPr>
          <w:lang w:eastAsia="lt-LT"/>
        </w:rPr>
        <w:t xml:space="preserve">. </w:t>
      </w:r>
    </w:p>
    <w:p w14:paraId="4DCBA260" w14:textId="5174943F" w:rsidR="00A11F27" w:rsidRPr="00067F0C" w:rsidRDefault="00A11F27" w:rsidP="00081566">
      <w:pPr>
        <w:tabs>
          <w:tab w:val="left" w:pos="567"/>
        </w:tabs>
        <w:spacing w:line="360" w:lineRule="auto"/>
        <w:jc w:val="both"/>
      </w:pPr>
      <w:r w:rsidRPr="00067F0C">
        <w:rPr>
          <w:iCs/>
          <w:lang w:eastAsia="lt-LT"/>
        </w:rPr>
        <w:t xml:space="preserve">Siekiant, jog daratumumabas būtų kaštams naudingas yra reikalinga papildoma maždaug </w:t>
      </w:r>
      <w:r w:rsidR="00E43B7C">
        <w:rPr>
          <w:b/>
          <w:bCs/>
          <w:iCs/>
          <w:lang w:eastAsia="lt-LT"/>
        </w:rPr>
        <w:t>**</w:t>
      </w:r>
      <w:r w:rsidRPr="00081566">
        <w:rPr>
          <w:b/>
          <w:bCs/>
          <w:iCs/>
          <w:lang w:eastAsia="lt-LT"/>
        </w:rPr>
        <w:t xml:space="preserve"> proc. nuolaida</w:t>
      </w:r>
      <w:r w:rsidR="00BB14F1">
        <w:rPr>
          <w:iCs/>
          <w:lang w:eastAsia="lt-LT"/>
        </w:rPr>
        <w:t xml:space="preserve"> </w:t>
      </w:r>
      <w:r w:rsidR="00BB14F1">
        <w:rPr>
          <w:iCs/>
          <w:lang w:val="en-US" w:eastAsia="lt-LT"/>
        </w:rPr>
        <w:t>**************************</w:t>
      </w:r>
      <w:r w:rsidRPr="00067F0C">
        <w:rPr>
          <w:iCs/>
          <w:lang w:eastAsia="lt-LT"/>
        </w:rPr>
        <w:t>.</w:t>
      </w:r>
    </w:p>
    <w:p w14:paraId="604B99AC" w14:textId="77777777" w:rsidR="00A11F27" w:rsidRPr="00164D64" w:rsidRDefault="00A11F27"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A11F27">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1CACF0B4" w14:textId="31D018D8" w:rsidR="00BA5DBC" w:rsidRPr="000203E1" w:rsidRDefault="00913A95" w:rsidP="00BA5DBC">
            <w:pPr>
              <w:tabs>
                <w:tab w:val="left" w:pos="567"/>
              </w:tabs>
              <w:jc w:val="both"/>
              <w:rPr>
                <w:i/>
                <w:iCs/>
                <w:lang w:eastAsia="lt-LT"/>
              </w:rPr>
            </w:pPr>
            <w:r>
              <w:rPr>
                <w:i/>
                <w:iCs/>
                <w:lang w:eastAsia="lt-LT"/>
              </w:rPr>
              <w:t>*******</w:t>
            </w:r>
            <w:r w:rsidR="00A11F27">
              <w:rPr>
                <w:i/>
                <w:iCs/>
                <w:lang w:eastAsia="lt-LT"/>
              </w:rPr>
              <w:t xml:space="preserve"> eur</w:t>
            </w:r>
          </w:p>
        </w:tc>
      </w:tr>
      <w:tr w:rsidR="000203E1" w:rsidRPr="000203E1" w14:paraId="49F818A3" w14:textId="77777777" w:rsidTr="00A11F27">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4954817B" w14:textId="19A994DA" w:rsidR="00BA5DBC" w:rsidRPr="000203E1" w:rsidRDefault="00913A95" w:rsidP="00BA5DBC">
            <w:pPr>
              <w:tabs>
                <w:tab w:val="left" w:pos="567"/>
              </w:tabs>
              <w:jc w:val="both"/>
              <w:rPr>
                <w:i/>
                <w:iCs/>
                <w:lang w:eastAsia="lt-LT"/>
              </w:rPr>
            </w:pPr>
            <w:r>
              <w:rPr>
                <w:i/>
                <w:iCs/>
                <w:lang w:eastAsia="lt-LT"/>
              </w:rPr>
              <w:t>***</w:t>
            </w:r>
            <w:r w:rsidR="00A11F27">
              <w:rPr>
                <w:i/>
                <w:iCs/>
                <w:lang w:eastAsia="lt-LT"/>
              </w:rPr>
              <w:t xml:space="preserve"> LY‘s</w:t>
            </w:r>
          </w:p>
        </w:tc>
      </w:tr>
      <w:tr w:rsidR="000203E1" w:rsidRPr="000203E1" w14:paraId="20ADA742" w14:textId="77777777" w:rsidTr="00A11F27">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9" w:type="dxa"/>
            <w:tcBorders>
              <w:right w:val="single" w:sz="4" w:space="0" w:color="auto"/>
            </w:tcBorders>
          </w:tcPr>
          <w:p w14:paraId="02E4DAE1" w14:textId="7B65C769" w:rsidR="00BA5DBC" w:rsidRPr="000203E1" w:rsidRDefault="00913A95" w:rsidP="00BA5DBC">
            <w:pPr>
              <w:tabs>
                <w:tab w:val="left" w:pos="567"/>
              </w:tabs>
              <w:jc w:val="both"/>
              <w:rPr>
                <w:i/>
                <w:iCs/>
                <w:lang w:eastAsia="lt-LT"/>
              </w:rPr>
            </w:pPr>
            <w:r>
              <w:rPr>
                <w:i/>
                <w:iCs/>
                <w:lang w:eastAsia="lt-LT"/>
              </w:rPr>
              <w:t>***</w:t>
            </w:r>
            <w:r w:rsidR="00A11F27">
              <w:rPr>
                <w:i/>
                <w:iCs/>
                <w:lang w:eastAsia="lt-LT"/>
              </w:rPr>
              <w:t xml:space="preserve"> QALY‘s</w:t>
            </w:r>
          </w:p>
        </w:tc>
      </w:tr>
      <w:tr w:rsidR="00A11F27" w:rsidRPr="000203E1" w14:paraId="1FADA2B3" w14:textId="77777777" w:rsidTr="00A11F27">
        <w:trPr>
          <w:trHeight w:val="267"/>
          <w:jc w:val="center"/>
        </w:trPr>
        <w:tc>
          <w:tcPr>
            <w:tcW w:w="6200" w:type="dxa"/>
            <w:tcBorders>
              <w:left w:val="single" w:sz="4" w:space="0" w:color="auto"/>
            </w:tcBorders>
          </w:tcPr>
          <w:p w14:paraId="13E089E8" w14:textId="0BCEB339" w:rsidR="00A11F27" w:rsidRPr="000203E1" w:rsidRDefault="00A11F27" w:rsidP="00A11F27">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2817448D" w14:textId="7C1FBF02" w:rsidR="00A11F27" w:rsidRPr="000203E1" w:rsidRDefault="00913A95" w:rsidP="00A11F27">
            <w:pPr>
              <w:tabs>
                <w:tab w:val="left" w:pos="567"/>
              </w:tabs>
              <w:jc w:val="both"/>
              <w:rPr>
                <w:i/>
                <w:iCs/>
                <w:lang w:eastAsia="lt-LT"/>
              </w:rPr>
            </w:pPr>
            <w:r>
              <w:rPr>
                <w:i/>
                <w:iCs/>
                <w:lang w:eastAsia="lt-LT"/>
              </w:rPr>
              <w:t>*****</w:t>
            </w:r>
            <w:r w:rsidR="00A11F27">
              <w:rPr>
                <w:i/>
                <w:iCs/>
                <w:lang w:eastAsia="lt-LT"/>
              </w:rPr>
              <w:t xml:space="preserve"> eur/LY</w:t>
            </w:r>
          </w:p>
        </w:tc>
      </w:tr>
      <w:tr w:rsidR="00A11F27" w:rsidRPr="000203E1" w14:paraId="250DE960" w14:textId="77777777" w:rsidTr="00A11F27">
        <w:trPr>
          <w:trHeight w:val="267"/>
          <w:jc w:val="center"/>
        </w:trPr>
        <w:tc>
          <w:tcPr>
            <w:tcW w:w="6200" w:type="dxa"/>
            <w:tcBorders>
              <w:left w:val="single" w:sz="4" w:space="0" w:color="auto"/>
            </w:tcBorders>
          </w:tcPr>
          <w:p w14:paraId="207EFB23" w14:textId="77777777" w:rsidR="00A11F27" w:rsidRPr="000203E1" w:rsidRDefault="00A11F27" w:rsidP="00A11F27">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4275320D" w14:textId="3BEA5C89" w:rsidR="00A11F27" w:rsidRPr="000203E1" w:rsidRDefault="00913A95" w:rsidP="00A11F27">
            <w:pPr>
              <w:tabs>
                <w:tab w:val="left" w:pos="567"/>
              </w:tabs>
              <w:jc w:val="both"/>
              <w:rPr>
                <w:i/>
                <w:iCs/>
                <w:lang w:eastAsia="lt-LT"/>
              </w:rPr>
            </w:pPr>
            <w:r>
              <w:rPr>
                <w:i/>
                <w:iCs/>
                <w:lang w:eastAsia="lt-LT"/>
              </w:rPr>
              <w:t>*****</w:t>
            </w:r>
            <w:r w:rsidR="00A11F27">
              <w:rPr>
                <w:i/>
                <w:iCs/>
                <w:lang w:eastAsia="lt-LT"/>
              </w:rPr>
              <w:t xml:space="preserve"> eur/QALY</w:t>
            </w:r>
          </w:p>
        </w:tc>
      </w:tr>
      <w:tr w:rsidR="00A11F27" w:rsidRPr="000203E1" w14:paraId="2C4C68BA" w14:textId="77777777" w:rsidTr="00A11F27">
        <w:trPr>
          <w:trHeight w:val="267"/>
          <w:jc w:val="center"/>
        </w:trPr>
        <w:tc>
          <w:tcPr>
            <w:tcW w:w="6200" w:type="dxa"/>
            <w:tcBorders>
              <w:left w:val="single" w:sz="4" w:space="0" w:color="auto"/>
              <w:bottom w:val="single" w:sz="4" w:space="0" w:color="auto"/>
              <w:right w:val="single" w:sz="4" w:space="0" w:color="auto"/>
            </w:tcBorders>
          </w:tcPr>
          <w:p w14:paraId="21BEDABF" w14:textId="3471AFB3" w:rsidR="00A11F27" w:rsidRPr="000203E1" w:rsidRDefault="00A11F27" w:rsidP="00A11F27">
            <w:pPr>
              <w:tabs>
                <w:tab w:val="left" w:pos="567"/>
              </w:tabs>
              <w:jc w:val="right"/>
              <w:rPr>
                <w:iCs/>
                <w:lang w:eastAsia="lt-LT"/>
              </w:rPr>
            </w:pPr>
            <w:r>
              <w:rPr>
                <w:iCs/>
                <w:lang w:eastAsia="lt-LT"/>
              </w:rPr>
              <w:t>Referenc</w:t>
            </w:r>
            <w:r w:rsidRPr="000203E1">
              <w:rPr>
                <w:iCs/>
                <w:lang w:eastAsia="lt-LT"/>
              </w:rPr>
              <w:t>inė kaštų naudingumo vertė</w:t>
            </w:r>
          </w:p>
        </w:tc>
        <w:tc>
          <w:tcPr>
            <w:tcW w:w="3239" w:type="dxa"/>
            <w:tcBorders>
              <w:left w:val="single" w:sz="4" w:space="0" w:color="auto"/>
              <w:bottom w:val="single" w:sz="4" w:space="0" w:color="auto"/>
              <w:right w:val="single" w:sz="4" w:space="0" w:color="auto"/>
            </w:tcBorders>
          </w:tcPr>
          <w:p w14:paraId="31DAA72E" w14:textId="0BD7BD98" w:rsidR="00A11F27" w:rsidRPr="000203E1" w:rsidRDefault="00913A95" w:rsidP="00A11F27">
            <w:pPr>
              <w:tabs>
                <w:tab w:val="left" w:pos="567"/>
              </w:tabs>
              <w:jc w:val="both"/>
              <w:rPr>
                <w:i/>
                <w:iCs/>
                <w:lang w:eastAsia="lt-LT"/>
              </w:rPr>
            </w:pPr>
            <w:r>
              <w:rPr>
                <w:i/>
                <w:iCs/>
                <w:lang w:eastAsia="lt-LT"/>
              </w:rPr>
              <w:t>*****</w:t>
            </w:r>
            <w:r w:rsidR="00A11F27">
              <w:rPr>
                <w:i/>
                <w:iCs/>
                <w:lang w:eastAsia="lt-LT"/>
              </w:rPr>
              <w:t xml:space="preserve"> eur/QALY</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ListParagraph"/>
        <w:tabs>
          <w:tab w:val="left" w:pos="567"/>
        </w:tabs>
        <w:rPr>
          <w:b/>
          <w:bCs/>
          <w:caps/>
        </w:rPr>
      </w:pPr>
    </w:p>
    <w:p w14:paraId="62992180" w14:textId="704BE14E"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23C445BF" w:rsidR="00C62B36" w:rsidRDefault="00D67BAF" w:rsidP="00CC09D4">
      <w:pPr>
        <w:pStyle w:val="ListParagraph"/>
        <w:numPr>
          <w:ilvl w:val="0"/>
          <w:numId w:val="12"/>
        </w:numPr>
        <w:tabs>
          <w:tab w:val="left" w:pos="567"/>
        </w:tabs>
        <w:ind w:hanging="720"/>
        <w:rPr>
          <w:b/>
          <w:bCs/>
          <w:caps/>
        </w:rPr>
      </w:pPr>
      <w:r w:rsidRPr="00D67BAF">
        <w:rPr>
          <w:b/>
          <w:bCs/>
          <w:caps/>
        </w:rPr>
        <w:t xml:space="preserve">SVEIKATOS PRIEŽIŪROS SPECIALISTŲ </w:t>
      </w:r>
      <w:r w:rsidR="00C62B36" w:rsidRPr="000203E1">
        <w:rPr>
          <w:b/>
          <w:bCs/>
          <w:caps/>
        </w:rPr>
        <w:t>organizacijų pateikti duomenys</w:t>
      </w:r>
    </w:p>
    <w:p w14:paraId="044D5084" w14:textId="77777777" w:rsidR="00C9728E" w:rsidRPr="000203E1" w:rsidRDefault="00C9728E" w:rsidP="00C9728E">
      <w:pPr>
        <w:pStyle w:val="ListParagraph"/>
        <w:tabs>
          <w:tab w:val="left" w:pos="567"/>
        </w:tabs>
        <w:rPr>
          <w:b/>
          <w:bCs/>
          <w:caps/>
        </w:rPr>
      </w:pPr>
    </w:p>
    <w:p w14:paraId="5D8CC48C" w14:textId="3C220F74" w:rsidR="00662983" w:rsidRPr="000203E1" w:rsidRDefault="00D67BAF" w:rsidP="00662983">
      <w:pPr>
        <w:spacing w:after="120"/>
        <w:jc w:val="both"/>
      </w:pPr>
      <w:r>
        <w:t>S</w:t>
      </w:r>
      <w:r w:rsidRPr="0089345A">
        <w:rPr>
          <w:bCs/>
        </w:rPr>
        <w:t>veikatos priežiūros specialistų</w:t>
      </w:r>
      <w:r w:rsidRPr="00D67BAF">
        <w:rPr>
          <w:b/>
        </w:rPr>
        <w:t xml:space="preserve"> </w:t>
      </w:r>
      <w:r w:rsidR="00937907" w:rsidRPr="000203E1">
        <w:t xml:space="preserve">organizacijos pozicija pateikta. </w:t>
      </w:r>
      <w:r w:rsidR="00662983" w:rsidRPr="000203E1">
        <w:t>Žr. priedą</w:t>
      </w:r>
      <w:r w:rsidR="00B53E5A">
        <w:t xml:space="preserve"> -</w:t>
      </w:r>
      <w:r w:rsidR="00B53E5A" w:rsidRPr="00B53E5A">
        <w:t xml:space="preserve"> </w:t>
      </w:r>
      <w:r w:rsidR="00B53E5A" w:rsidRPr="00B53E5A">
        <w:rPr>
          <w:b/>
          <w:bCs/>
        </w:rPr>
        <w:t>Lietuvos gydytojų hematologų patariamojo susitikimo, vykusio 2023 m. gegužės 25 d., protokolas</w:t>
      </w:r>
      <w:r w:rsidR="00937907" w:rsidRPr="000203E1">
        <w:t>.</w:t>
      </w:r>
      <w:r w:rsidR="0028391A">
        <w:t xml:space="preserve"> </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ListParagraph"/>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0FA394CE"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A14B3A">
                  <w:rPr>
                    <w:rStyle w:val="Style2"/>
                    <w:rFonts w:ascii="MS Gothic" w:eastAsia="MS Gothic" w:hAnsi="MS Gothic" w:hint="eastAsia"/>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t>Kaštų naudingumas</w:t>
            </w:r>
          </w:p>
        </w:tc>
      </w:tr>
      <w:tr w:rsidR="00B811A4" w:rsidRPr="00B811A4" w14:paraId="6A2F62B2" w14:textId="77777777" w:rsidTr="00743956">
        <w:tc>
          <w:tcPr>
            <w:tcW w:w="4820" w:type="dxa"/>
          </w:tcPr>
          <w:p w14:paraId="7CB2C697" w14:textId="44A4E1DF"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3871846A"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A11F27">
                  <w:rPr>
                    <w:rStyle w:val="Style2"/>
                    <w:rFonts w:ascii="MS Gothic" w:eastAsia="MS Gothic" w:hAnsi="MS Gothic" w:hint="eastAsia"/>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47C5A3CE" w:rsidR="007111C4" w:rsidRDefault="00094EF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9300B3">
                  <w:rPr>
                    <w:rStyle w:val="Style2"/>
                    <w:rFonts w:ascii="Segoe UI Symbol" w:eastAsia="MS Gothic" w:hAnsi="Segoe UI Symbol" w:cs="Segoe UI Symbol"/>
                    <w:sz w:val="23"/>
                    <w:szCs w:val="23"/>
                  </w:rPr>
                  <w:t>☐</w:t>
                </w:r>
              </w:sdtContent>
            </w:sdt>
            <w:r w:rsidR="007111C4">
              <w:rPr>
                <w:sz w:val="23"/>
                <w:szCs w:val="23"/>
              </w:rPr>
              <w:t xml:space="preserve"> </w:t>
            </w:r>
            <w:r w:rsidR="007111C4" w:rsidRPr="007111C4">
              <w:rPr>
                <w:color w:val="000000"/>
                <w:sz w:val="23"/>
                <w:szCs w:val="23"/>
              </w:rPr>
              <w:t>Vykdant Aprašo &lt;17</w:t>
            </w:r>
            <w:r w:rsidR="007111C4" w:rsidRPr="007111C4">
              <w:rPr>
                <w:color w:val="000000"/>
                <w:sz w:val="23"/>
                <w:szCs w:val="23"/>
                <w:vertAlign w:val="superscript"/>
              </w:rPr>
              <w:t>3</w:t>
            </w:r>
            <w:r w:rsidR="007111C4" w:rsidRPr="007111C4">
              <w:rPr>
                <w:color w:val="000000"/>
                <w:sz w:val="23"/>
                <w:szCs w:val="23"/>
              </w:rPr>
              <w:t>.1&gt;&lt;17</w:t>
            </w:r>
            <w:r w:rsidR="007111C4" w:rsidRPr="007111C4">
              <w:rPr>
                <w:color w:val="000000"/>
                <w:sz w:val="23"/>
                <w:szCs w:val="23"/>
                <w:vertAlign w:val="superscript"/>
              </w:rPr>
              <w:t>3</w:t>
            </w:r>
            <w:r w:rsidR="007111C4" w:rsidRPr="007111C4">
              <w:rPr>
                <w:color w:val="000000"/>
                <w:sz w:val="23"/>
                <w:szCs w:val="23"/>
              </w:rPr>
              <w:t>.2&gt;&lt;17</w:t>
            </w:r>
            <w:r w:rsidR="007111C4" w:rsidRPr="007111C4">
              <w:rPr>
                <w:color w:val="000000"/>
                <w:sz w:val="23"/>
                <w:szCs w:val="23"/>
                <w:vertAlign w:val="superscript"/>
              </w:rPr>
              <w:t>3</w:t>
            </w:r>
            <w:r w:rsidR="007111C4" w:rsidRPr="007111C4">
              <w:rPr>
                <w:color w:val="000000"/>
                <w:sz w:val="23"/>
                <w:szCs w:val="23"/>
              </w:rPr>
              <w:t>.3&gt; punktą vaistinio (-ų) preparato (-ų) ekonominis vertinimas neatliekamas, išvados dėl kaštų naudingumo neteikiamos</w:t>
            </w:r>
          </w:p>
        </w:tc>
      </w:tr>
    </w:tbl>
    <w:p w14:paraId="08D5B3B6" w14:textId="292D1124" w:rsidR="0061611B" w:rsidRPr="000203E1" w:rsidRDefault="0061611B" w:rsidP="0061611B">
      <w:pPr>
        <w:rPr>
          <w:i/>
          <w:szCs w:val="22"/>
        </w:rPr>
      </w:pPr>
    </w:p>
    <w:p w14:paraId="1B85C083" w14:textId="77777777" w:rsidR="009E44AE" w:rsidRPr="000203E1" w:rsidRDefault="009E44AE"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35E33D78" w14:textId="59232BB3" w:rsidR="00B811A4" w:rsidRPr="00D05364" w:rsidRDefault="00B811A4" w:rsidP="00B811A4">
      <w:pPr>
        <w:pStyle w:val="ListParagraph"/>
        <w:ind w:left="567"/>
        <w:rPr>
          <w:b/>
        </w:rPr>
      </w:pPr>
    </w:p>
    <w:p w14:paraId="48BEE35B" w14:textId="45320872" w:rsidR="00B811A4" w:rsidRDefault="00B811A4" w:rsidP="00081566">
      <w:pPr>
        <w:spacing w:line="360" w:lineRule="auto"/>
        <w:jc w:val="both"/>
        <w:rPr>
          <w:color w:val="000000"/>
          <w:lang w:eastAsia="lt-LT"/>
        </w:rPr>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w:t>
      </w:r>
      <w:r w:rsidR="00A11F27">
        <w:t>3</w:t>
      </w:r>
      <w:r w:rsidR="00A11F27" w:rsidRPr="00603B3A">
        <w:rPr>
          <w:lang w:eastAsia="lt-LT"/>
        </w:rPr>
        <w:t>0</w:t>
      </w:r>
      <w:r w:rsidR="00A11F27" w:rsidRPr="00603B3A">
        <w:rPr>
          <w:vertAlign w:val="superscript"/>
          <w:lang w:eastAsia="lt-LT"/>
        </w:rPr>
        <w:t>1</w:t>
      </w:r>
      <w:r w:rsidR="00A11F27" w:rsidRPr="00603B3A">
        <w:rPr>
          <w:lang w:eastAsia="lt-LT"/>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r w:rsidR="00A11F27">
        <w:rPr>
          <w:lang w:eastAsia="lt-LT"/>
        </w:rPr>
        <w:t>.</w:t>
      </w:r>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2F3A222" w14:textId="77777777" w:rsidR="00B811A4" w:rsidRPr="0073329D" w:rsidRDefault="00B811A4" w:rsidP="00B811A4">
      <w:pPr>
        <w:tabs>
          <w:tab w:val="left" w:pos="426"/>
        </w:tabs>
        <w:jc w:val="both"/>
        <w:rPr>
          <w:b/>
          <w:lang w:eastAsia="lt-LT"/>
        </w:rPr>
      </w:pPr>
      <w:r w:rsidRPr="0089345A">
        <w:rPr>
          <w:b/>
          <w:lang w:eastAsia="lt-LT"/>
        </w:rPr>
        <w:t>4.3 Siūloma (-os) kompensuoti terapinės indikacijos ir skyrimo sąlygos</w:t>
      </w:r>
      <w:r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65CB839B" w14:textId="77777777" w:rsidR="00B811A4" w:rsidRDefault="00B811A4" w:rsidP="00B811A4">
      <w:pPr>
        <w:pStyle w:val="NoSpacing"/>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4B2BD7AB" w14:textId="77777777" w:rsidR="008C59A0" w:rsidRDefault="008C59A0" w:rsidP="00B811A4">
      <w:pPr>
        <w:pStyle w:val="NoSpacing"/>
        <w:rPr>
          <w:rFonts w:ascii="Times New Roman" w:hAnsi="Times New Roman"/>
          <w:b/>
          <w:sz w:val="24"/>
          <w:szCs w:val="24"/>
          <w:lang w:eastAsia="lt-LT"/>
        </w:rPr>
      </w:pPr>
    </w:p>
    <w:p w14:paraId="5E746C06" w14:textId="77777777" w:rsidR="00073864" w:rsidRPr="002C1433" w:rsidRDefault="00073864" w:rsidP="008C59A0">
      <w:pPr>
        <w:spacing w:line="360" w:lineRule="auto"/>
      </w:pPr>
      <w:r w:rsidRPr="002C1433">
        <w:t>Skirtas suaugusiųjų pacientų, kuriems naujai buvo diagnozuota sisteminė AL amiloidozė, gydymui derinant su ciklofosfamidu, bortezomibu ir deksametazonu.</w:t>
      </w:r>
    </w:p>
    <w:p w14:paraId="0731C240" w14:textId="77777777" w:rsidR="009C0030" w:rsidRDefault="009C0030" w:rsidP="00B811A4">
      <w:pPr>
        <w:pStyle w:val="NoSpacing"/>
        <w:rPr>
          <w:rFonts w:ascii="Times New Roman" w:hAnsi="Times New Roman"/>
          <w:b/>
          <w:sz w:val="24"/>
          <w:szCs w:val="24"/>
        </w:rPr>
      </w:pPr>
    </w:p>
    <w:p w14:paraId="632DB4B9" w14:textId="040321BB" w:rsidR="00B811A4" w:rsidRDefault="00B811A4" w:rsidP="00B811A4">
      <w:pPr>
        <w:pStyle w:val="NoSpacing"/>
        <w:rPr>
          <w:rFonts w:ascii="Times New Roman" w:hAnsi="Times New Roman"/>
          <w:b/>
          <w:sz w:val="24"/>
          <w:szCs w:val="24"/>
        </w:rPr>
      </w:pPr>
      <w:r w:rsidRPr="0073329D">
        <w:rPr>
          <w:rFonts w:ascii="Times New Roman" w:hAnsi="Times New Roman"/>
          <w:b/>
          <w:sz w:val="24"/>
          <w:szCs w:val="24"/>
        </w:rPr>
        <w:t>Skyrimo sąlygos</w:t>
      </w:r>
    </w:p>
    <w:p w14:paraId="7D5C6700" w14:textId="04F32FB0" w:rsidR="00D5470B" w:rsidRDefault="00081566" w:rsidP="008C59A0">
      <w:pPr>
        <w:pStyle w:val="NoSpacing"/>
        <w:spacing w:line="360" w:lineRule="auto"/>
        <w:jc w:val="both"/>
      </w:pPr>
      <w:r>
        <w:rPr>
          <w:rFonts w:ascii="Times New Roman" w:hAnsi="Times New Roman"/>
          <w:bCs/>
          <w:sz w:val="24"/>
          <w:szCs w:val="24"/>
          <w:lang w:eastAsia="lt-LT"/>
        </w:rPr>
        <w:lastRenderedPageBreak/>
        <w:t>S</w:t>
      </w:r>
      <w:r w:rsidR="004C2728" w:rsidRPr="00FD7842">
        <w:rPr>
          <w:rFonts w:ascii="Times New Roman" w:hAnsi="Times New Roman"/>
          <w:bCs/>
          <w:sz w:val="24"/>
          <w:szCs w:val="24"/>
          <w:lang w:eastAsia="lt-LT"/>
        </w:rPr>
        <w:t xml:space="preserve">kiriamas derinant su ciklofosfamidu, bortezomibu ir deksametazonu </w:t>
      </w:r>
      <w:r w:rsidR="008C59A0" w:rsidRPr="00FD7842">
        <w:rPr>
          <w:rFonts w:ascii="Times New Roman" w:hAnsi="Times New Roman"/>
          <w:bCs/>
          <w:sz w:val="24"/>
          <w:szCs w:val="24"/>
          <w:lang w:eastAsia="lt-LT"/>
        </w:rPr>
        <w:t>naujai diagnozuota sistemin</w:t>
      </w:r>
      <w:r w:rsidR="008C59A0">
        <w:rPr>
          <w:rFonts w:ascii="Times New Roman" w:hAnsi="Times New Roman"/>
          <w:bCs/>
          <w:sz w:val="24"/>
          <w:szCs w:val="24"/>
          <w:lang w:eastAsia="lt-LT"/>
        </w:rPr>
        <w:t>e</w:t>
      </w:r>
      <w:r w:rsidR="008C59A0" w:rsidRPr="00FD7842">
        <w:rPr>
          <w:rFonts w:ascii="Times New Roman" w:hAnsi="Times New Roman"/>
          <w:bCs/>
          <w:sz w:val="24"/>
          <w:szCs w:val="24"/>
          <w:lang w:eastAsia="lt-LT"/>
        </w:rPr>
        <w:t xml:space="preserve"> </w:t>
      </w:r>
      <w:r w:rsidR="008C59A0">
        <w:rPr>
          <w:rFonts w:ascii="Times New Roman" w:hAnsi="Times New Roman"/>
          <w:bCs/>
          <w:sz w:val="24"/>
          <w:szCs w:val="24"/>
          <w:lang w:eastAsia="lt-LT"/>
        </w:rPr>
        <w:t>lengvų grandinių</w:t>
      </w:r>
      <w:r w:rsidR="008C59A0" w:rsidRPr="00FD7842">
        <w:rPr>
          <w:rFonts w:ascii="Times New Roman" w:hAnsi="Times New Roman"/>
          <w:bCs/>
          <w:sz w:val="24"/>
          <w:szCs w:val="24"/>
          <w:lang w:eastAsia="lt-LT"/>
        </w:rPr>
        <w:t xml:space="preserve"> am</w:t>
      </w:r>
      <w:r w:rsidR="008C59A0">
        <w:rPr>
          <w:rFonts w:ascii="Times New Roman" w:hAnsi="Times New Roman"/>
          <w:bCs/>
          <w:sz w:val="24"/>
          <w:szCs w:val="24"/>
          <w:lang w:eastAsia="lt-LT"/>
        </w:rPr>
        <w:t>i</w:t>
      </w:r>
      <w:r w:rsidR="008C59A0" w:rsidRPr="00FD7842">
        <w:rPr>
          <w:rFonts w:ascii="Times New Roman" w:hAnsi="Times New Roman"/>
          <w:bCs/>
          <w:sz w:val="24"/>
          <w:szCs w:val="24"/>
          <w:lang w:eastAsia="lt-LT"/>
        </w:rPr>
        <w:t>loidoz</w:t>
      </w:r>
      <w:r w:rsidR="008C59A0">
        <w:rPr>
          <w:rFonts w:ascii="Times New Roman" w:hAnsi="Times New Roman"/>
          <w:bCs/>
          <w:sz w:val="24"/>
          <w:szCs w:val="24"/>
          <w:lang w:eastAsia="lt-LT"/>
        </w:rPr>
        <w:t>e</w:t>
      </w:r>
      <w:r w:rsidR="008C59A0" w:rsidRPr="00FD7842">
        <w:rPr>
          <w:rFonts w:ascii="Times New Roman" w:hAnsi="Times New Roman"/>
          <w:bCs/>
          <w:sz w:val="24"/>
          <w:szCs w:val="24"/>
          <w:lang w:eastAsia="lt-LT"/>
        </w:rPr>
        <w:t xml:space="preserve"> </w:t>
      </w:r>
      <w:r w:rsidR="008C59A0">
        <w:rPr>
          <w:rFonts w:ascii="Times New Roman" w:hAnsi="Times New Roman"/>
          <w:bCs/>
          <w:sz w:val="24"/>
          <w:szCs w:val="24"/>
          <w:lang w:eastAsia="lt-LT"/>
        </w:rPr>
        <w:t xml:space="preserve">sergantiems </w:t>
      </w:r>
      <w:r>
        <w:rPr>
          <w:rFonts w:ascii="Times New Roman" w:hAnsi="Times New Roman"/>
          <w:bCs/>
          <w:sz w:val="24"/>
          <w:szCs w:val="24"/>
          <w:lang w:eastAsia="lt-LT"/>
        </w:rPr>
        <w:t xml:space="preserve">suaugusiems </w:t>
      </w:r>
      <w:r w:rsidR="004C2728" w:rsidRPr="00FD7842">
        <w:rPr>
          <w:rFonts w:ascii="Times New Roman" w:hAnsi="Times New Roman"/>
          <w:bCs/>
          <w:sz w:val="24"/>
          <w:szCs w:val="24"/>
          <w:lang w:eastAsia="lt-LT"/>
        </w:rPr>
        <w:t xml:space="preserve">pacientams, </w:t>
      </w:r>
      <w:r w:rsidR="008C59A0">
        <w:rPr>
          <w:rFonts w:ascii="Times New Roman" w:hAnsi="Times New Roman"/>
          <w:bCs/>
          <w:sz w:val="24"/>
          <w:szCs w:val="24"/>
          <w:lang w:eastAsia="lt-LT"/>
        </w:rPr>
        <w:t xml:space="preserve">kurie </w:t>
      </w:r>
      <w:r w:rsidR="008C59A0" w:rsidRPr="00843BD7">
        <w:rPr>
          <w:rFonts w:ascii="Times New Roman" w:eastAsiaTheme="minorHAnsi" w:hAnsi="Times New Roman" w:cstheme="minorBidi"/>
          <w:sz w:val="24"/>
          <w:szCs w:val="24"/>
        </w:rPr>
        <w:t>nėra tinkami transplantacijai, gydymui</w:t>
      </w:r>
      <w:r w:rsidR="008C59A0">
        <w:rPr>
          <w:rFonts w:ascii="Times New Roman" w:eastAsiaTheme="minorHAnsi" w:hAnsi="Times New Roman" w:cstheme="minorBidi"/>
          <w:sz w:val="24"/>
          <w:szCs w:val="24"/>
        </w:rPr>
        <w:t>.</w:t>
      </w:r>
    </w:p>
    <w:p w14:paraId="33B8DE04" w14:textId="77777777"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1A7B" w14:textId="77777777" w:rsidR="00094EF6" w:rsidRDefault="00094EF6">
      <w:r>
        <w:separator/>
      </w:r>
    </w:p>
  </w:endnote>
  <w:endnote w:type="continuationSeparator" w:id="0">
    <w:p w14:paraId="65B29EB0" w14:textId="77777777" w:rsidR="00094EF6" w:rsidRDefault="0009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860F" w14:textId="77777777" w:rsidR="00094EF6" w:rsidRDefault="00094EF6">
      <w:r>
        <w:separator/>
      </w:r>
    </w:p>
  </w:footnote>
  <w:footnote w:type="continuationSeparator" w:id="0">
    <w:p w14:paraId="20F26538" w14:textId="77777777" w:rsidR="00094EF6" w:rsidRDefault="0009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6B6F37"/>
    <w:multiLevelType w:val="hybridMultilevel"/>
    <w:tmpl w:val="28C0B01C"/>
    <w:lvl w:ilvl="0" w:tplc="4D1ED000">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414286">
    <w:abstractNumId w:val="8"/>
  </w:num>
  <w:num w:numId="2" w16cid:durableId="974027046">
    <w:abstractNumId w:val="2"/>
  </w:num>
  <w:num w:numId="3" w16cid:durableId="1473519277">
    <w:abstractNumId w:val="10"/>
  </w:num>
  <w:num w:numId="4" w16cid:durableId="1218511638">
    <w:abstractNumId w:val="9"/>
  </w:num>
  <w:num w:numId="5" w16cid:durableId="2118865422">
    <w:abstractNumId w:val="7"/>
  </w:num>
  <w:num w:numId="6" w16cid:durableId="1017005859">
    <w:abstractNumId w:val="6"/>
  </w:num>
  <w:num w:numId="7" w16cid:durableId="1576932398">
    <w:abstractNumId w:val="4"/>
  </w:num>
  <w:num w:numId="8" w16cid:durableId="369696263">
    <w:abstractNumId w:val="14"/>
  </w:num>
  <w:num w:numId="9" w16cid:durableId="2062628832">
    <w:abstractNumId w:val="0"/>
  </w:num>
  <w:num w:numId="10" w16cid:durableId="1030688407">
    <w:abstractNumId w:val="11"/>
  </w:num>
  <w:num w:numId="11" w16cid:durableId="592932888">
    <w:abstractNumId w:val="12"/>
  </w:num>
  <w:num w:numId="12" w16cid:durableId="887575004">
    <w:abstractNumId w:val="3"/>
  </w:num>
  <w:num w:numId="13" w16cid:durableId="675310411">
    <w:abstractNumId w:val="5"/>
  </w:num>
  <w:num w:numId="14" w16cid:durableId="1590772021">
    <w:abstractNumId w:val="1"/>
  </w:num>
  <w:num w:numId="15" w16cid:durableId="183880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73864"/>
    <w:rsid w:val="00081566"/>
    <w:rsid w:val="0008190F"/>
    <w:rsid w:val="00081D9C"/>
    <w:rsid w:val="00082907"/>
    <w:rsid w:val="0008378D"/>
    <w:rsid w:val="000908A5"/>
    <w:rsid w:val="00092805"/>
    <w:rsid w:val="00094EF6"/>
    <w:rsid w:val="000A50C9"/>
    <w:rsid w:val="000B2B2C"/>
    <w:rsid w:val="000C454C"/>
    <w:rsid w:val="000D5038"/>
    <w:rsid w:val="000E29D4"/>
    <w:rsid w:val="000F3540"/>
    <w:rsid w:val="00100491"/>
    <w:rsid w:val="00104E2E"/>
    <w:rsid w:val="00107287"/>
    <w:rsid w:val="00117194"/>
    <w:rsid w:val="00117406"/>
    <w:rsid w:val="00121EF0"/>
    <w:rsid w:val="00124A9E"/>
    <w:rsid w:val="0012653C"/>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86D01"/>
    <w:rsid w:val="001921F3"/>
    <w:rsid w:val="001A0CAA"/>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91A"/>
    <w:rsid w:val="00283E59"/>
    <w:rsid w:val="00284A47"/>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14816"/>
    <w:rsid w:val="00317B0E"/>
    <w:rsid w:val="00336238"/>
    <w:rsid w:val="00347FAA"/>
    <w:rsid w:val="0035172D"/>
    <w:rsid w:val="0036187D"/>
    <w:rsid w:val="00367EDB"/>
    <w:rsid w:val="003705F0"/>
    <w:rsid w:val="00381024"/>
    <w:rsid w:val="00386307"/>
    <w:rsid w:val="003874DE"/>
    <w:rsid w:val="00393E9F"/>
    <w:rsid w:val="0039696E"/>
    <w:rsid w:val="003B211A"/>
    <w:rsid w:val="003C141F"/>
    <w:rsid w:val="003C2612"/>
    <w:rsid w:val="003C6ABA"/>
    <w:rsid w:val="003C6B0E"/>
    <w:rsid w:val="003C7257"/>
    <w:rsid w:val="003C7E35"/>
    <w:rsid w:val="003D1E99"/>
    <w:rsid w:val="003D6208"/>
    <w:rsid w:val="00404E8A"/>
    <w:rsid w:val="0040622F"/>
    <w:rsid w:val="0040685C"/>
    <w:rsid w:val="00413F24"/>
    <w:rsid w:val="00422853"/>
    <w:rsid w:val="00423160"/>
    <w:rsid w:val="00437623"/>
    <w:rsid w:val="00444A2B"/>
    <w:rsid w:val="00453862"/>
    <w:rsid w:val="0045469B"/>
    <w:rsid w:val="00461338"/>
    <w:rsid w:val="004677DB"/>
    <w:rsid w:val="00476256"/>
    <w:rsid w:val="00483433"/>
    <w:rsid w:val="0048630F"/>
    <w:rsid w:val="004947A1"/>
    <w:rsid w:val="0049482A"/>
    <w:rsid w:val="004979D3"/>
    <w:rsid w:val="004A00E7"/>
    <w:rsid w:val="004A3A61"/>
    <w:rsid w:val="004B59BA"/>
    <w:rsid w:val="004B5A03"/>
    <w:rsid w:val="004C263A"/>
    <w:rsid w:val="004C2728"/>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B3DDA"/>
    <w:rsid w:val="005B46D4"/>
    <w:rsid w:val="005C0D18"/>
    <w:rsid w:val="005C493F"/>
    <w:rsid w:val="005C6BF7"/>
    <w:rsid w:val="005C71BF"/>
    <w:rsid w:val="005D002C"/>
    <w:rsid w:val="005D30E1"/>
    <w:rsid w:val="005D384C"/>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28F"/>
    <w:rsid w:val="006D4C85"/>
    <w:rsid w:val="006D66AC"/>
    <w:rsid w:val="006E33F6"/>
    <w:rsid w:val="006F1251"/>
    <w:rsid w:val="006F1C23"/>
    <w:rsid w:val="00702C18"/>
    <w:rsid w:val="00703166"/>
    <w:rsid w:val="007111C4"/>
    <w:rsid w:val="007127F3"/>
    <w:rsid w:val="00717BEF"/>
    <w:rsid w:val="007301CF"/>
    <w:rsid w:val="007316FB"/>
    <w:rsid w:val="00737E2D"/>
    <w:rsid w:val="007424D5"/>
    <w:rsid w:val="00745C63"/>
    <w:rsid w:val="00750A88"/>
    <w:rsid w:val="00750FAC"/>
    <w:rsid w:val="007523DD"/>
    <w:rsid w:val="00757B7E"/>
    <w:rsid w:val="007656B2"/>
    <w:rsid w:val="0077016F"/>
    <w:rsid w:val="007713AD"/>
    <w:rsid w:val="00774F67"/>
    <w:rsid w:val="00795DC5"/>
    <w:rsid w:val="00797153"/>
    <w:rsid w:val="007A1A81"/>
    <w:rsid w:val="007A21F7"/>
    <w:rsid w:val="007A2B68"/>
    <w:rsid w:val="007B0DDA"/>
    <w:rsid w:val="007C7D78"/>
    <w:rsid w:val="007D3347"/>
    <w:rsid w:val="007D654E"/>
    <w:rsid w:val="007E5466"/>
    <w:rsid w:val="007F1949"/>
    <w:rsid w:val="007F2592"/>
    <w:rsid w:val="00800A08"/>
    <w:rsid w:val="00807D97"/>
    <w:rsid w:val="00817A84"/>
    <w:rsid w:val="008225A4"/>
    <w:rsid w:val="00824B92"/>
    <w:rsid w:val="00826D5E"/>
    <w:rsid w:val="00832013"/>
    <w:rsid w:val="00832DB7"/>
    <w:rsid w:val="00834732"/>
    <w:rsid w:val="0085200C"/>
    <w:rsid w:val="00857C52"/>
    <w:rsid w:val="00860D5F"/>
    <w:rsid w:val="0087188A"/>
    <w:rsid w:val="00880A44"/>
    <w:rsid w:val="0088345E"/>
    <w:rsid w:val="0088656F"/>
    <w:rsid w:val="008875BC"/>
    <w:rsid w:val="00891EF6"/>
    <w:rsid w:val="00892FF4"/>
    <w:rsid w:val="0089345A"/>
    <w:rsid w:val="008A0303"/>
    <w:rsid w:val="008A3A97"/>
    <w:rsid w:val="008A5FDD"/>
    <w:rsid w:val="008C3947"/>
    <w:rsid w:val="008C59A0"/>
    <w:rsid w:val="008E473B"/>
    <w:rsid w:val="008E51A6"/>
    <w:rsid w:val="008E7329"/>
    <w:rsid w:val="008F2ED5"/>
    <w:rsid w:val="00913A9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0030"/>
    <w:rsid w:val="009C7A8C"/>
    <w:rsid w:val="009D23F9"/>
    <w:rsid w:val="009D4FA8"/>
    <w:rsid w:val="009E44AE"/>
    <w:rsid w:val="009E6CD6"/>
    <w:rsid w:val="009F2DC3"/>
    <w:rsid w:val="009F4D66"/>
    <w:rsid w:val="00A00C3C"/>
    <w:rsid w:val="00A01091"/>
    <w:rsid w:val="00A03BE1"/>
    <w:rsid w:val="00A042B9"/>
    <w:rsid w:val="00A06DBB"/>
    <w:rsid w:val="00A11F27"/>
    <w:rsid w:val="00A14B3A"/>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67FF"/>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6EA0"/>
    <w:rsid w:val="00B37245"/>
    <w:rsid w:val="00B4017A"/>
    <w:rsid w:val="00B4468D"/>
    <w:rsid w:val="00B53E5A"/>
    <w:rsid w:val="00B64D6D"/>
    <w:rsid w:val="00B71C72"/>
    <w:rsid w:val="00B71F04"/>
    <w:rsid w:val="00B74A62"/>
    <w:rsid w:val="00B811A4"/>
    <w:rsid w:val="00B81E92"/>
    <w:rsid w:val="00B908D7"/>
    <w:rsid w:val="00B935E8"/>
    <w:rsid w:val="00B93B30"/>
    <w:rsid w:val="00B94CB5"/>
    <w:rsid w:val="00BA0DD9"/>
    <w:rsid w:val="00BA5DBC"/>
    <w:rsid w:val="00BA6584"/>
    <w:rsid w:val="00BB14F1"/>
    <w:rsid w:val="00BB6312"/>
    <w:rsid w:val="00BC39C2"/>
    <w:rsid w:val="00BC4D06"/>
    <w:rsid w:val="00BC5378"/>
    <w:rsid w:val="00BD05E1"/>
    <w:rsid w:val="00BD585E"/>
    <w:rsid w:val="00BD6919"/>
    <w:rsid w:val="00BE08F5"/>
    <w:rsid w:val="00BE11B6"/>
    <w:rsid w:val="00BE1EA7"/>
    <w:rsid w:val="00BE7489"/>
    <w:rsid w:val="00BF2E0D"/>
    <w:rsid w:val="00BF3927"/>
    <w:rsid w:val="00BF3F8B"/>
    <w:rsid w:val="00BF76DA"/>
    <w:rsid w:val="00C00CDB"/>
    <w:rsid w:val="00C07C7B"/>
    <w:rsid w:val="00C1281A"/>
    <w:rsid w:val="00C16245"/>
    <w:rsid w:val="00C22DC5"/>
    <w:rsid w:val="00C24479"/>
    <w:rsid w:val="00C273F2"/>
    <w:rsid w:val="00C37B53"/>
    <w:rsid w:val="00C434EB"/>
    <w:rsid w:val="00C517D2"/>
    <w:rsid w:val="00C5772E"/>
    <w:rsid w:val="00C62B36"/>
    <w:rsid w:val="00C7012C"/>
    <w:rsid w:val="00C712EA"/>
    <w:rsid w:val="00C9728E"/>
    <w:rsid w:val="00CA217D"/>
    <w:rsid w:val="00CA3131"/>
    <w:rsid w:val="00CC09D4"/>
    <w:rsid w:val="00CC4F5F"/>
    <w:rsid w:val="00CC668D"/>
    <w:rsid w:val="00CC7832"/>
    <w:rsid w:val="00CD488E"/>
    <w:rsid w:val="00CE4B0B"/>
    <w:rsid w:val="00CF0C1C"/>
    <w:rsid w:val="00CF27FD"/>
    <w:rsid w:val="00CF5F12"/>
    <w:rsid w:val="00CF75A2"/>
    <w:rsid w:val="00D00D8F"/>
    <w:rsid w:val="00D12869"/>
    <w:rsid w:val="00D14512"/>
    <w:rsid w:val="00D15ED6"/>
    <w:rsid w:val="00D21F3A"/>
    <w:rsid w:val="00D23808"/>
    <w:rsid w:val="00D3016A"/>
    <w:rsid w:val="00D31B93"/>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42D"/>
    <w:rsid w:val="00DA5602"/>
    <w:rsid w:val="00DB1F64"/>
    <w:rsid w:val="00DC261A"/>
    <w:rsid w:val="00DC2F53"/>
    <w:rsid w:val="00DC5BAC"/>
    <w:rsid w:val="00DC6816"/>
    <w:rsid w:val="00DC76C2"/>
    <w:rsid w:val="00DD1CF2"/>
    <w:rsid w:val="00DD73B7"/>
    <w:rsid w:val="00DE4484"/>
    <w:rsid w:val="00DF41B7"/>
    <w:rsid w:val="00DF4A4A"/>
    <w:rsid w:val="00DF583C"/>
    <w:rsid w:val="00E03C3F"/>
    <w:rsid w:val="00E06FD7"/>
    <w:rsid w:val="00E07417"/>
    <w:rsid w:val="00E24D45"/>
    <w:rsid w:val="00E267EF"/>
    <w:rsid w:val="00E33DB8"/>
    <w:rsid w:val="00E33EFF"/>
    <w:rsid w:val="00E34387"/>
    <w:rsid w:val="00E348BA"/>
    <w:rsid w:val="00E369FE"/>
    <w:rsid w:val="00E37C6F"/>
    <w:rsid w:val="00E43B7C"/>
    <w:rsid w:val="00E475F8"/>
    <w:rsid w:val="00E5102E"/>
    <w:rsid w:val="00E5721C"/>
    <w:rsid w:val="00E619C6"/>
    <w:rsid w:val="00E70CED"/>
    <w:rsid w:val="00E745A1"/>
    <w:rsid w:val="00E81529"/>
    <w:rsid w:val="00E83A13"/>
    <w:rsid w:val="00E87B1D"/>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Dossier table,Section 3- footnotes,Summary box"/>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1,Bullet1,List Paragraph CCT minutes,Bullet List,Section 5,Bullets Points,1. Bullet Blank,Bulleted - 2,Dairy Paragraphe,Table Header Row,Bullet Paragraph,Bullet Point,Table Legend,Use Case List Paragraph,List Paragraph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 1 Char,Bullet1 Char,List Paragraph CCT minutes Char,Bullet List Char,Section 5 Char,Bullets Points Char,1. Bullet Blank Char,Bulleted - 2 Char,Dairy Paragraphe Char,Table Header Row Char,Bullet Paragraph Char,Bullet Point Char"/>
    <w:link w:val="ListParagraph"/>
    <w:uiPriority w:val="34"/>
    <w:locked/>
    <w:rsid w:val="0012653C"/>
    <w:rPr>
      <w:sz w:val="24"/>
      <w:szCs w:val="24"/>
      <w:lang w:eastAsia="en-US"/>
    </w:rPr>
  </w:style>
  <w:style w:type="paragraph" w:customStyle="1" w:styleId="Tekstas">
    <w:name w:val="Tekstas"/>
    <w:basedOn w:val="Normal"/>
    <w:link w:val="TekstasChar"/>
    <w:qFormat/>
    <w:rsid w:val="00A03BE1"/>
    <w:pPr>
      <w:jc w:val="both"/>
    </w:pPr>
    <w:rPr>
      <w:color w:val="000000" w:themeColor="text1"/>
      <w:lang w:val="en-US"/>
    </w:rPr>
  </w:style>
  <w:style w:type="paragraph" w:styleId="Caption">
    <w:name w:val="caption"/>
    <w:aliases w:val="Tables and Figures,NICE Caption,Table Caption,- H17,Caption 3,TableCaption,Table caption,Char1,c,fig cadre,Caption Char Char,Caption Char Char Char Char,fig cadre Char2,Caption Char2,fig cadre Char Char,Char,SMC Caption,AW Caption,IB Caption"/>
    <w:basedOn w:val="Normal"/>
    <w:next w:val="Normal"/>
    <w:link w:val="CaptionChar"/>
    <w:uiPriority w:val="35"/>
    <w:unhideWhenUsed/>
    <w:qFormat/>
    <w:rsid w:val="00A03BE1"/>
    <w:pPr>
      <w:keepNext/>
      <w:spacing w:after="60"/>
      <w:jc w:val="both"/>
    </w:pPr>
    <w:rPr>
      <w:bCs/>
      <w:color w:val="365F91" w:themeColor="accent1" w:themeShade="BF"/>
      <w:sz w:val="23"/>
      <w:szCs w:val="18"/>
      <w:lang w:val="en-US"/>
    </w:rPr>
  </w:style>
  <w:style w:type="character" w:customStyle="1" w:styleId="CaptionChar">
    <w:name w:val="Caption Char"/>
    <w:aliases w:val="Tables and Figures Char,NICE Caption Char,Table Caption Char,- H17 Char,Caption 3 Char,TableCaption Char,Table caption Char,Char1 Char,c Char,fig cadre Char,Caption Char Char Char,Caption Char Char Char Char Char,fig cadre Char2 Char"/>
    <w:basedOn w:val="DefaultParagraphFont"/>
    <w:link w:val="Caption"/>
    <w:uiPriority w:val="35"/>
    <w:rsid w:val="00A03BE1"/>
    <w:rPr>
      <w:bCs/>
      <w:color w:val="365F91" w:themeColor="accent1" w:themeShade="BF"/>
      <w:sz w:val="23"/>
      <w:szCs w:val="18"/>
      <w:lang w:val="en-US" w:eastAsia="en-US"/>
    </w:rPr>
  </w:style>
  <w:style w:type="character" w:customStyle="1" w:styleId="TekstasChar">
    <w:name w:val="Tekstas Char"/>
    <w:link w:val="Tekstas"/>
    <w:rsid w:val="00A03BE1"/>
    <w:rPr>
      <w:color w:val="000000" w:themeColor="text1"/>
      <w:sz w:val="24"/>
      <w:szCs w:val="24"/>
      <w:lang w:val="en-US" w:eastAsia="en-US"/>
    </w:rPr>
  </w:style>
  <w:style w:type="paragraph" w:customStyle="1" w:styleId="Tekstaspolentele">
    <w:name w:val="Tekstas po lentele"/>
    <w:basedOn w:val="Normal"/>
    <w:qFormat/>
    <w:locked/>
    <w:rsid w:val="00A11F27"/>
    <w:pPr>
      <w:spacing w:before="20"/>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4D56B2EF9465085144986D474F378"/>
        <w:category>
          <w:name w:val="General"/>
          <w:gallery w:val="placeholder"/>
        </w:category>
        <w:types>
          <w:type w:val="bbPlcHdr"/>
        </w:types>
        <w:behaviors>
          <w:behavior w:val="content"/>
        </w:behaviors>
        <w:guid w:val="{A823B20D-109D-4200-8580-16EDAD0F56A5}"/>
      </w:docPartPr>
      <w:docPartBody>
        <w:p w:rsidR="008231FF" w:rsidRDefault="006D40A2" w:rsidP="006D40A2">
          <w:pPr>
            <w:pStyle w:val="65F4D56B2EF9465085144986D474F378"/>
          </w:pPr>
          <w:r>
            <w:rPr>
              <w:rStyle w:val="PlaceholderText"/>
            </w:rPr>
            <w:t>Click here to enter a date.</w:t>
          </w:r>
        </w:p>
      </w:docPartBody>
    </w:docPart>
    <w:docPart>
      <w:docPartPr>
        <w:name w:val="C9F9030180744FE0B3D679E71F835902"/>
        <w:category>
          <w:name w:val="General"/>
          <w:gallery w:val="placeholder"/>
        </w:category>
        <w:types>
          <w:type w:val="bbPlcHdr"/>
        </w:types>
        <w:behaviors>
          <w:behavior w:val="content"/>
        </w:behaviors>
        <w:guid w:val="{C036638D-EEFE-4D06-9D0E-ACA2ABF63ED4}"/>
      </w:docPartPr>
      <w:docPartBody>
        <w:p w:rsidR="008231FF" w:rsidRDefault="006D40A2" w:rsidP="006D40A2">
          <w:pPr>
            <w:pStyle w:val="C9F9030180744FE0B3D679E71F835902"/>
          </w:pPr>
          <w:r>
            <w:rPr>
              <w:rStyle w:val="PlaceholderText"/>
            </w:rPr>
            <w:t>Click here to enter a date.</w:t>
          </w:r>
        </w:p>
      </w:docPartBody>
    </w:docPart>
    <w:docPart>
      <w:docPartPr>
        <w:name w:val="6C9752C6CBD84186BBCEF4F37C82054C"/>
        <w:category>
          <w:name w:val="General"/>
          <w:gallery w:val="placeholder"/>
        </w:category>
        <w:types>
          <w:type w:val="bbPlcHdr"/>
        </w:types>
        <w:behaviors>
          <w:behavior w:val="content"/>
        </w:behaviors>
        <w:guid w:val="{212B5DF8-B1CF-488D-BDFA-28A50FAC2E23}"/>
      </w:docPartPr>
      <w:docPartBody>
        <w:p w:rsidR="008231FF" w:rsidRDefault="006D40A2" w:rsidP="006D40A2">
          <w:pPr>
            <w:pStyle w:val="6C9752C6CBD84186BBCEF4F37C82054C"/>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52192"/>
    <w:rsid w:val="001C35A9"/>
    <w:rsid w:val="00237556"/>
    <w:rsid w:val="002C0686"/>
    <w:rsid w:val="0039303B"/>
    <w:rsid w:val="003C2612"/>
    <w:rsid w:val="004144A3"/>
    <w:rsid w:val="004160E7"/>
    <w:rsid w:val="004416C6"/>
    <w:rsid w:val="00456E96"/>
    <w:rsid w:val="004C6221"/>
    <w:rsid w:val="004D038D"/>
    <w:rsid w:val="004F4E20"/>
    <w:rsid w:val="004F5AB2"/>
    <w:rsid w:val="005074B9"/>
    <w:rsid w:val="00563A5F"/>
    <w:rsid w:val="005B46D4"/>
    <w:rsid w:val="005C0D18"/>
    <w:rsid w:val="005C62E5"/>
    <w:rsid w:val="005D384C"/>
    <w:rsid w:val="005E40DD"/>
    <w:rsid w:val="00601F4E"/>
    <w:rsid w:val="006D40A2"/>
    <w:rsid w:val="006E6A2C"/>
    <w:rsid w:val="007219C1"/>
    <w:rsid w:val="00745C63"/>
    <w:rsid w:val="00753462"/>
    <w:rsid w:val="00772325"/>
    <w:rsid w:val="00774F67"/>
    <w:rsid w:val="007A1A81"/>
    <w:rsid w:val="007A2FE0"/>
    <w:rsid w:val="007C6D1D"/>
    <w:rsid w:val="007D654E"/>
    <w:rsid w:val="008231FF"/>
    <w:rsid w:val="00892FF4"/>
    <w:rsid w:val="008C0DC0"/>
    <w:rsid w:val="008E175C"/>
    <w:rsid w:val="0090074D"/>
    <w:rsid w:val="00901A35"/>
    <w:rsid w:val="009B3BF0"/>
    <w:rsid w:val="009D5E5E"/>
    <w:rsid w:val="009F1BB4"/>
    <w:rsid w:val="00A20D39"/>
    <w:rsid w:val="00A254A2"/>
    <w:rsid w:val="00AB2D54"/>
    <w:rsid w:val="00AB6ED4"/>
    <w:rsid w:val="00B03BFE"/>
    <w:rsid w:val="00B14210"/>
    <w:rsid w:val="00B22ED6"/>
    <w:rsid w:val="00B23DC0"/>
    <w:rsid w:val="00B71F04"/>
    <w:rsid w:val="00B96656"/>
    <w:rsid w:val="00BA0A8E"/>
    <w:rsid w:val="00BE336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D73B7"/>
    <w:rsid w:val="00DE4D10"/>
    <w:rsid w:val="00E44A86"/>
    <w:rsid w:val="00E522EB"/>
    <w:rsid w:val="00E60827"/>
    <w:rsid w:val="00E715D7"/>
    <w:rsid w:val="00EF6E0C"/>
    <w:rsid w:val="00F14477"/>
    <w:rsid w:val="00F26569"/>
    <w:rsid w:val="00F370E5"/>
    <w:rsid w:val="00F42351"/>
    <w:rsid w:val="00F55028"/>
    <w:rsid w:val="00F61CD9"/>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40A2"/>
    <w:rPr>
      <w:color w:val="808080"/>
    </w:rPr>
  </w:style>
  <w:style w:type="paragraph" w:customStyle="1" w:styleId="65F4D56B2EF9465085144986D474F378">
    <w:name w:val="65F4D56B2EF9465085144986D474F378"/>
    <w:rsid w:val="006D40A2"/>
    <w:pPr>
      <w:spacing w:line="278" w:lineRule="auto"/>
    </w:pPr>
    <w:rPr>
      <w:kern w:val="2"/>
      <w:sz w:val="24"/>
      <w:szCs w:val="24"/>
      <w14:ligatures w14:val="standardContextual"/>
    </w:rPr>
  </w:style>
  <w:style w:type="paragraph" w:customStyle="1" w:styleId="C9F9030180744FE0B3D679E71F835902">
    <w:name w:val="C9F9030180744FE0B3D679E71F835902"/>
    <w:rsid w:val="006D40A2"/>
    <w:pPr>
      <w:spacing w:line="278" w:lineRule="auto"/>
    </w:pPr>
    <w:rPr>
      <w:kern w:val="2"/>
      <w:sz w:val="24"/>
      <w:szCs w:val="24"/>
      <w14:ligatures w14:val="standardContextual"/>
    </w:rPr>
  </w:style>
  <w:style w:type="paragraph" w:customStyle="1" w:styleId="6C9752C6CBD84186BBCEF4F37C82054C">
    <w:name w:val="6C9752C6CBD84186BBCEF4F37C82054C"/>
    <w:rsid w:val="006D40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4085</Words>
  <Characters>29006</Characters>
  <Application>Microsoft Office Word</Application>
  <DocSecurity>4</DocSecurity>
  <Lines>604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2026-06-04T07:56:00Z</dcterms:created>
  <dcterms:modified xsi:type="dcterms:W3CDTF">2026-06-04T07:56:00Z</dcterms:modified>
</cp:coreProperties>
</file>