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Pr="000203E1" w:rsidRDefault="005F7602" w:rsidP="002946C7">
      <w:pPr>
        <w:ind w:left="5529"/>
      </w:pPr>
    </w:p>
    <w:p w14:paraId="12FA4B9E" w14:textId="39AA3336" w:rsidR="001B3C5B" w:rsidRPr="000203E1" w:rsidRDefault="00DC261A" w:rsidP="001B3C5B">
      <w:pPr>
        <w:ind w:left="6096"/>
      </w:pPr>
      <w:bookmarkStart w:id="0" w:name="_Hlk189565243"/>
      <w:r w:rsidRPr="00DC261A">
        <w:t>PATVIRTINTA</w:t>
      </w:r>
    </w:p>
    <w:p w14:paraId="7206970B" w14:textId="70E9BD2E" w:rsidR="004C263A" w:rsidRPr="000203E1" w:rsidRDefault="001B3C5B" w:rsidP="001B3C5B">
      <w:pPr>
        <w:ind w:left="6096"/>
      </w:pPr>
      <w:r w:rsidRPr="000203E1">
        <w:t>Valstybinės vaistų kontrolės tarnybos prie Lietuvos Respublikos sveikatos apsaugos ministerijos viršininko 2021 m</w:t>
      </w:r>
      <w:r w:rsidR="004C263A" w:rsidRPr="000203E1">
        <w:t xml:space="preserve">. lapkričio 12 </w:t>
      </w:r>
      <w:r w:rsidRPr="000203E1">
        <w:t>d. įsakymu Nr.</w:t>
      </w:r>
      <w:r w:rsidR="004C263A" w:rsidRPr="000203E1">
        <w:t xml:space="preserve"> (1.72E)1A-1418</w:t>
      </w:r>
    </w:p>
    <w:p w14:paraId="5B219AA6" w14:textId="3A5D6CB4" w:rsidR="001B3C5B" w:rsidRPr="000203E1" w:rsidRDefault="004C263A" w:rsidP="001B3C5B">
      <w:pPr>
        <w:ind w:left="6096"/>
      </w:pPr>
      <w:r w:rsidRPr="000203E1">
        <w:t>(Valstybinės vaistų kontrolės tarnybos prie Lietuvos Respublikos sveikatos apsaugos ministerijos viršininko 202</w:t>
      </w:r>
      <w:r w:rsidR="00A2310D">
        <w:t>5</w:t>
      </w:r>
      <w:r w:rsidRPr="000203E1">
        <w:t xml:space="preserve"> m.                         d. įsakymo Nr.                    redakcija)</w:t>
      </w:r>
    </w:p>
    <w:p w14:paraId="3336BD74" w14:textId="77777777" w:rsidR="001B3C5B" w:rsidRPr="000203E1" w:rsidRDefault="001B3C5B" w:rsidP="00FA4169"/>
    <w:bookmarkEnd w:id="0"/>
    <w:p w14:paraId="56604434" w14:textId="77777777" w:rsidR="00DC261A" w:rsidRDefault="00DC261A" w:rsidP="003B211A">
      <w:pPr>
        <w:jc w:val="center"/>
        <w:rPr>
          <w:b/>
        </w:rPr>
      </w:pPr>
    </w:p>
    <w:p w14:paraId="77AFB67E" w14:textId="0FB133A2" w:rsidR="00613501" w:rsidRPr="000203E1" w:rsidRDefault="002F0E4F" w:rsidP="003B211A">
      <w:pPr>
        <w:jc w:val="center"/>
        <w:rPr>
          <w:b/>
          <w:bCs/>
          <w:caps/>
        </w:rPr>
      </w:pPr>
      <w:r w:rsidRPr="000203E1">
        <w:rPr>
          <w:b/>
        </w:rPr>
        <w:t xml:space="preserve">REKOMENDACIJA DĖL VAISTINIO PREPARATO </w:t>
      </w:r>
      <w:r w:rsidRPr="000203E1">
        <w:rPr>
          <w:b/>
          <w:bCs/>
          <w:caps/>
        </w:rPr>
        <w:t>Lietuvos Respublikos Sveikatos apsaugos ministerijos vaistinių preparatų ir medicinos pagalbos priemonių kompensavimo komisijai</w:t>
      </w:r>
    </w:p>
    <w:p w14:paraId="34E4395D" w14:textId="15FB10DF" w:rsidR="00B13D65" w:rsidRPr="000203E1" w:rsidRDefault="00B13D65" w:rsidP="003B211A">
      <w:pPr>
        <w:jc w:val="center"/>
        <w:rPr>
          <w:b/>
        </w:rPr>
      </w:pPr>
    </w:p>
    <w:p w14:paraId="446D65ED" w14:textId="77777777" w:rsidR="00284A47" w:rsidRPr="001C3329" w:rsidRDefault="00284A47" w:rsidP="00284A47">
      <w:pPr>
        <w:jc w:val="center"/>
      </w:pPr>
    </w:p>
    <w:p w14:paraId="3A210235" w14:textId="77777777" w:rsidR="008C6507" w:rsidRPr="009300B3" w:rsidRDefault="008C6507" w:rsidP="008C6507">
      <w:pPr>
        <w:jc w:val="center"/>
        <w:rPr>
          <w:b/>
        </w:rPr>
      </w:pPr>
      <w:r w:rsidRPr="00A60FC9">
        <w:rPr>
          <w:b/>
          <w:bCs/>
          <w:color w:val="000000"/>
          <w:lang w:eastAsia="en-GB"/>
        </w:rPr>
        <w:t>TRIMBOW 172 µg/5 µg/9 µg</w:t>
      </w:r>
      <w:r w:rsidRPr="009300B3">
        <w:rPr>
          <w:b/>
        </w:rPr>
        <w:t xml:space="preserve"> </w:t>
      </w:r>
      <w:r w:rsidRPr="008026E7">
        <w:rPr>
          <w:b/>
          <w:bCs/>
          <w:iCs/>
          <w:lang w:bidi="lt-LT"/>
        </w:rPr>
        <w:t>suslėgtasis įkvepiamasis tirpalas</w:t>
      </w:r>
    </w:p>
    <w:p w14:paraId="1F5E8E76" w14:textId="77777777" w:rsidR="008C6507" w:rsidRPr="009300B3" w:rsidRDefault="008C6507" w:rsidP="008C6507">
      <w:pPr>
        <w:jc w:val="center"/>
      </w:pPr>
    </w:p>
    <w:p w14:paraId="098C0B3A" w14:textId="77777777" w:rsidR="008C6507" w:rsidRDefault="008C6507" w:rsidP="008C6507">
      <w:pPr>
        <w:jc w:val="center"/>
        <w:rPr>
          <w:b/>
          <w:bCs/>
          <w:color w:val="000000"/>
          <w:lang w:eastAsia="en-GB"/>
        </w:rPr>
      </w:pPr>
      <w:r w:rsidRPr="00A60FC9">
        <w:rPr>
          <w:b/>
          <w:bCs/>
          <w:color w:val="000000"/>
          <w:lang w:eastAsia="en-GB"/>
        </w:rPr>
        <w:t>Beklometazono dipropionatas/Formoterolio fumaratas dihidratas/Glikopironis</w:t>
      </w:r>
    </w:p>
    <w:p w14:paraId="21CB4AFA" w14:textId="77777777" w:rsidR="00284A47" w:rsidRPr="001C3329" w:rsidRDefault="00284A47" w:rsidP="00284A47">
      <w:pPr>
        <w:jc w:val="center"/>
        <w:rPr>
          <w:b/>
        </w:rPr>
      </w:pPr>
    </w:p>
    <w:p w14:paraId="0F0829BF" w14:textId="30CDD688" w:rsidR="00284A47" w:rsidRPr="001C3329" w:rsidRDefault="00284A47" w:rsidP="00284A47">
      <w:pPr>
        <w:jc w:val="center"/>
        <w:rPr>
          <w:b/>
        </w:rPr>
      </w:pPr>
      <w:r w:rsidRPr="001C3329">
        <w:rPr>
          <w:b/>
        </w:rPr>
        <w:t xml:space="preserve">Paraiškos numeris </w:t>
      </w:r>
      <w:r w:rsidR="00995E1C">
        <w:rPr>
          <w:b/>
        </w:rPr>
        <w:t>STV-</w:t>
      </w:r>
      <w:r w:rsidR="00060E28">
        <w:rPr>
          <w:b/>
        </w:rPr>
        <w:t>272</w:t>
      </w:r>
    </w:p>
    <w:p w14:paraId="453197C8" w14:textId="77777777" w:rsidR="00D4708D" w:rsidRPr="000203E1" w:rsidRDefault="00D4708D" w:rsidP="003B211A">
      <w:pPr>
        <w:jc w:val="center"/>
        <w:rPr>
          <w:b/>
        </w:rPr>
      </w:pPr>
    </w:p>
    <w:p w14:paraId="78C89D1C" w14:textId="0DEFFAA5" w:rsidR="00D4485B" w:rsidRPr="000203E1" w:rsidRDefault="00B13D65" w:rsidP="00CC09D4">
      <w:pPr>
        <w:pStyle w:val="Sraopastraipa"/>
        <w:numPr>
          <w:ilvl w:val="0"/>
          <w:numId w:val="12"/>
        </w:numPr>
        <w:tabs>
          <w:tab w:val="left" w:pos="567"/>
        </w:tabs>
        <w:ind w:left="567" w:hanging="567"/>
        <w:rPr>
          <w:b/>
          <w:bCs/>
          <w:caps/>
        </w:rPr>
      </w:pPr>
      <w:r w:rsidRPr="000203E1">
        <w:rPr>
          <w:b/>
          <w:bCs/>
          <w:caps/>
        </w:rPr>
        <w:t>Bendroji dalis</w:t>
      </w:r>
    </w:p>
    <w:p w14:paraId="3DFBB154" w14:textId="77777777" w:rsidR="0012653C" w:rsidRPr="001C3329" w:rsidRDefault="0012653C" w:rsidP="0012653C">
      <w:pPr>
        <w:pStyle w:val="Sraopastraipa"/>
        <w:numPr>
          <w:ilvl w:val="0"/>
          <w:numId w:val="12"/>
        </w:numPr>
        <w:tabs>
          <w:tab w:val="left" w:pos="284"/>
        </w:tabs>
        <w:spacing w:line="280" w:lineRule="atLeast"/>
        <w:jc w:val="both"/>
        <w:rPr>
          <w:rFonts w:eastAsia="Arial"/>
          <w:b/>
        </w:rPr>
      </w:pPr>
    </w:p>
    <w:tbl>
      <w:tblPr>
        <w:tblStyle w:val="Lentelstinklelis"/>
        <w:tblW w:w="9493" w:type="dxa"/>
        <w:tblLook w:val="04A0" w:firstRow="1" w:lastRow="0" w:firstColumn="1" w:lastColumn="0" w:noHBand="0" w:noVBand="1"/>
      </w:tblPr>
      <w:tblGrid>
        <w:gridCol w:w="632"/>
        <w:gridCol w:w="3899"/>
        <w:gridCol w:w="4962"/>
      </w:tblGrid>
      <w:tr w:rsidR="0012653C" w:rsidRPr="001C3329" w14:paraId="02FE7DAE" w14:textId="77777777" w:rsidTr="001642DA">
        <w:trPr>
          <w:trHeight w:val="538"/>
        </w:trPr>
        <w:tc>
          <w:tcPr>
            <w:tcW w:w="632" w:type="dxa"/>
          </w:tcPr>
          <w:p w14:paraId="7BCEA872" w14:textId="77777777" w:rsidR="0012653C" w:rsidRPr="001C3329" w:rsidRDefault="0012653C" w:rsidP="001642DA">
            <w:pPr>
              <w:jc w:val="both"/>
              <w:rPr>
                <w:rFonts w:eastAsia="Arial"/>
                <w:b/>
                <w:bCs/>
              </w:rPr>
            </w:pPr>
            <w:bookmarkStart w:id="1" w:name="_Hlk187088187"/>
            <w:r w:rsidRPr="001C3329">
              <w:rPr>
                <w:rFonts w:eastAsia="Arial"/>
                <w:b/>
                <w:bCs/>
              </w:rPr>
              <w:t>1.1</w:t>
            </w:r>
          </w:p>
        </w:tc>
        <w:tc>
          <w:tcPr>
            <w:tcW w:w="3899" w:type="dxa"/>
          </w:tcPr>
          <w:p w14:paraId="422121D0" w14:textId="77777777" w:rsidR="0012653C" w:rsidRPr="001C3329" w:rsidRDefault="0012653C" w:rsidP="001642DA">
            <w:pPr>
              <w:jc w:val="both"/>
              <w:rPr>
                <w:rFonts w:eastAsia="Arial"/>
                <w:b/>
                <w:bCs/>
              </w:rPr>
            </w:pPr>
            <w:r w:rsidRPr="001C3329">
              <w:rPr>
                <w:rFonts w:eastAsia="Arial"/>
                <w:b/>
                <w:bCs/>
              </w:rPr>
              <w:t>Pareiškėjas/ pareiškėjo atstovas</w:t>
            </w:r>
          </w:p>
        </w:tc>
        <w:tc>
          <w:tcPr>
            <w:tcW w:w="4962" w:type="dxa"/>
          </w:tcPr>
          <w:p w14:paraId="0C1B00E8" w14:textId="7A0DDE16" w:rsidR="0012653C" w:rsidRPr="001C3329" w:rsidRDefault="00D45F27" w:rsidP="001642DA">
            <w:pPr>
              <w:jc w:val="both"/>
              <w:rPr>
                <w:rFonts w:eastAsia="Arial"/>
              </w:rPr>
            </w:pPr>
            <w:r w:rsidRPr="000470B6">
              <w:t>NORAMEDA, UAB</w:t>
            </w:r>
            <w:r w:rsidRPr="000470B6">
              <w:t> </w:t>
            </w:r>
            <w:r w:rsidRPr="000470B6">
              <w:t> </w:t>
            </w:r>
            <w:r w:rsidRPr="000470B6">
              <w:t> </w:t>
            </w:r>
            <w:r w:rsidRPr="000470B6">
              <w:t> </w:t>
            </w:r>
            <w:r w:rsidRPr="000470B6">
              <w:t> </w:t>
            </w:r>
          </w:p>
        </w:tc>
      </w:tr>
      <w:tr w:rsidR="0012653C" w:rsidRPr="001C3329" w14:paraId="2F05578A" w14:textId="77777777" w:rsidTr="001642DA">
        <w:trPr>
          <w:trHeight w:val="538"/>
        </w:trPr>
        <w:tc>
          <w:tcPr>
            <w:tcW w:w="632" w:type="dxa"/>
          </w:tcPr>
          <w:p w14:paraId="782834EE" w14:textId="77777777" w:rsidR="0012653C" w:rsidRPr="001C3329" w:rsidRDefault="0012653C" w:rsidP="001642DA">
            <w:pPr>
              <w:jc w:val="both"/>
              <w:rPr>
                <w:rFonts w:eastAsia="Arial"/>
                <w:b/>
                <w:bCs/>
              </w:rPr>
            </w:pPr>
            <w:r w:rsidRPr="001C3329">
              <w:rPr>
                <w:rFonts w:eastAsia="Arial"/>
                <w:b/>
                <w:bCs/>
              </w:rPr>
              <w:t>1.2</w:t>
            </w:r>
          </w:p>
        </w:tc>
        <w:tc>
          <w:tcPr>
            <w:tcW w:w="3899" w:type="dxa"/>
          </w:tcPr>
          <w:p w14:paraId="39837B8F" w14:textId="77777777" w:rsidR="0012653C" w:rsidRPr="001C3329" w:rsidRDefault="0012653C" w:rsidP="001642DA">
            <w:pPr>
              <w:jc w:val="both"/>
              <w:rPr>
                <w:b/>
                <w:bCs/>
                <w:lang w:eastAsia="lt-LT"/>
              </w:rPr>
            </w:pPr>
            <w:r w:rsidRPr="001C3329">
              <w:rPr>
                <w:b/>
                <w:bCs/>
                <w:lang w:eastAsia="lt-LT"/>
              </w:rPr>
              <w:t xml:space="preserve">Vaistinio preparato registracijos data </w:t>
            </w:r>
          </w:p>
          <w:p w14:paraId="0427F97D" w14:textId="77777777" w:rsidR="0012653C" w:rsidRPr="001C3329" w:rsidRDefault="0012653C" w:rsidP="001642DA">
            <w:pPr>
              <w:jc w:val="both"/>
              <w:rPr>
                <w:b/>
                <w:bCs/>
                <w:lang w:eastAsia="lt-LT"/>
              </w:rPr>
            </w:pPr>
          </w:p>
        </w:tc>
        <w:tc>
          <w:tcPr>
            <w:tcW w:w="4962" w:type="dxa"/>
          </w:tcPr>
          <w:p w14:paraId="0C9AF067" w14:textId="408D0F3C" w:rsidR="0012653C" w:rsidRPr="001C3329" w:rsidRDefault="0003497F" w:rsidP="001642DA">
            <w:pPr>
              <w:jc w:val="both"/>
              <w:rPr>
                <w:rStyle w:val="Style2"/>
              </w:rPr>
            </w:pPr>
            <w:sdt>
              <w:sdtPr>
                <w:rPr>
                  <w:sz w:val="32"/>
                </w:rPr>
                <w:alias w:val="Nurodykite konkrečią dieną"/>
                <w:tag w:val="Nurodykite pradžios datą"/>
                <w:id w:val="1772196685"/>
                <w:placeholder>
                  <w:docPart w:val="65F4D56B2EF9465085144986D474F378"/>
                </w:placeholder>
                <w15:color w:val="FFCC99"/>
                <w:date>
                  <w:dateFormat w:val="yyyy 'm.' MMMM d 'd.'"/>
                  <w:lid w:val="lt-LT"/>
                  <w:storeMappedDataAs w:val="dateTime"/>
                  <w:calendar w:val="gregorian"/>
                </w:date>
              </w:sdtPr>
              <w:sdtEndPr>
                <w:rPr>
                  <w:sz w:val="24"/>
                </w:rPr>
              </w:sdtEndPr>
              <w:sdtContent>
                <w:r w:rsidR="00060E28" w:rsidRPr="00060E28">
                  <w:t>2017 m. liepos 17 d..</w:t>
                </w:r>
              </w:sdtContent>
            </w:sdt>
          </w:p>
        </w:tc>
      </w:tr>
      <w:tr w:rsidR="0012653C" w:rsidRPr="001C3329" w14:paraId="2FD9EBFE" w14:textId="77777777" w:rsidTr="001642DA">
        <w:trPr>
          <w:trHeight w:val="1396"/>
        </w:trPr>
        <w:tc>
          <w:tcPr>
            <w:tcW w:w="632" w:type="dxa"/>
          </w:tcPr>
          <w:p w14:paraId="7AFC24D7" w14:textId="77777777" w:rsidR="0012653C" w:rsidRPr="001C3329" w:rsidRDefault="0012653C" w:rsidP="001642DA">
            <w:pPr>
              <w:jc w:val="both"/>
              <w:rPr>
                <w:rFonts w:eastAsia="Arial"/>
                <w:b/>
                <w:bCs/>
              </w:rPr>
            </w:pPr>
            <w:r w:rsidRPr="001C3329">
              <w:rPr>
                <w:rFonts w:eastAsia="Arial"/>
                <w:b/>
                <w:bCs/>
              </w:rPr>
              <w:t>1.3</w:t>
            </w:r>
          </w:p>
        </w:tc>
        <w:tc>
          <w:tcPr>
            <w:tcW w:w="3899" w:type="dxa"/>
          </w:tcPr>
          <w:p w14:paraId="361E58E6" w14:textId="77777777" w:rsidR="0012653C" w:rsidRPr="001C3329" w:rsidRDefault="0012653C" w:rsidP="001642DA">
            <w:pPr>
              <w:pStyle w:val="Betarp"/>
              <w:jc w:val="both"/>
              <w:rPr>
                <w:rFonts w:ascii="Times New Roman" w:hAnsi="Times New Roman"/>
                <w:b/>
                <w:sz w:val="24"/>
                <w:szCs w:val="24"/>
                <w:shd w:val="clear" w:color="auto" w:fill="FFFFFF"/>
              </w:rPr>
            </w:pPr>
            <w:r w:rsidRPr="001C3329">
              <w:rPr>
                <w:rFonts w:ascii="Times New Roman" w:hAnsi="Times New Roman"/>
                <w:b/>
                <w:sz w:val="24"/>
                <w:szCs w:val="24"/>
              </w:rPr>
              <w:t xml:space="preserve">Vaistinio preparato </w:t>
            </w:r>
            <w:r w:rsidRPr="001C3329">
              <w:rPr>
                <w:rFonts w:ascii="Times New Roman" w:hAnsi="Times New Roman"/>
                <w:b/>
                <w:sz w:val="24"/>
                <w:szCs w:val="24"/>
                <w:shd w:val="clear" w:color="auto" w:fill="FFFFFF"/>
              </w:rPr>
              <w:t>registracijos teisinis pagrindas</w:t>
            </w:r>
          </w:p>
          <w:p w14:paraId="45452EB8" w14:textId="77777777" w:rsidR="0012653C" w:rsidRPr="001C3329" w:rsidRDefault="0012653C" w:rsidP="001642DA">
            <w:pPr>
              <w:pStyle w:val="Betarp"/>
              <w:jc w:val="both"/>
              <w:rPr>
                <w:rFonts w:ascii="Times New Roman" w:hAnsi="Times New Roman"/>
                <w:b/>
                <w:bCs/>
                <w:sz w:val="24"/>
                <w:szCs w:val="24"/>
                <w:lang w:eastAsia="lt-LT"/>
              </w:rPr>
            </w:pPr>
            <w:r w:rsidRPr="001C3329">
              <w:rPr>
                <w:rFonts w:ascii="Times New Roman" w:hAnsi="Times New Roman"/>
                <w:b/>
                <w:sz w:val="24"/>
                <w:szCs w:val="24"/>
                <w:shd w:val="clear" w:color="auto" w:fill="FFFFFF"/>
              </w:rPr>
              <w:t>(</w:t>
            </w:r>
            <w:r w:rsidRPr="001C3329">
              <w:rPr>
                <w:rFonts w:ascii="Times New Roman" w:hAnsi="Times New Roman"/>
                <w:b/>
                <w:sz w:val="24"/>
                <w:szCs w:val="24"/>
              </w:rPr>
              <w:t>Direktyvos 2001/83/EB str.)</w:t>
            </w:r>
          </w:p>
        </w:tc>
        <w:tc>
          <w:tcPr>
            <w:tcW w:w="4962" w:type="dxa"/>
          </w:tcPr>
          <w:p w14:paraId="0A1E2768" w14:textId="77777777" w:rsidR="0012653C" w:rsidRPr="001C3329" w:rsidRDefault="0003497F" w:rsidP="001642DA">
            <w:pPr>
              <w:jc w:val="both"/>
            </w:pPr>
            <w:sdt>
              <w:sdtPr>
                <w:rPr>
                  <w:rStyle w:val="Style2"/>
                </w:rPr>
                <w:id w:val="526292078"/>
                <w15:color w:val="FFCC00"/>
                <w14:checkbox>
                  <w14:checked w14:val="1"/>
                  <w14:checkedState w14:val="2612" w14:font="MS Gothic"/>
                  <w14:uncheckedState w14:val="2610" w14:font="MS Gothic"/>
                </w14:checkbox>
              </w:sdtPr>
              <w:sdtEndPr>
                <w:rPr>
                  <w:rStyle w:val="Style2"/>
                </w:rPr>
              </w:sdtEndPr>
              <w:sdtContent>
                <w:r w:rsidR="0012653C" w:rsidRPr="001C3329">
                  <w:rPr>
                    <w:rStyle w:val="Style2"/>
                    <w:rFonts w:ascii="MS Gothic" w:eastAsia="MS Gothic" w:hAnsi="MS Gothic"/>
                  </w:rPr>
                  <w:t>☒</w:t>
                </w:r>
              </w:sdtContent>
            </w:sdt>
            <w:r w:rsidR="0012653C" w:rsidRPr="001C3329">
              <w:t>8.3 str. (pilna byla, pagrįsta savais tyrimais)</w:t>
            </w:r>
          </w:p>
          <w:p w14:paraId="41DA7D19" w14:textId="77777777" w:rsidR="0012653C" w:rsidRPr="001C3329" w:rsidRDefault="0003497F" w:rsidP="001642DA">
            <w:pPr>
              <w:jc w:val="both"/>
            </w:pPr>
            <w:sdt>
              <w:sdtPr>
                <w:rPr>
                  <w:rStyle w:val="Style2"/>
                </w:rPr>
                <w:id w:val="-1497953736"/>
                <w15:color w:val="FFCC00"/>
                <w14:checkbox>
                  <w14:checked w14:val="0"/>
                  <w14:checkedState w14:val="2612" w14:font="MS Gothic"/>
                  <w14:uncheckedState w14:val="2610" w14:font="MS Gothic"/>
                </w14:checkbox>
              </w:sdtPr>
              <w:sdtEndPr>
                <w:rPr>
                  <w:rStyle w:val="Style2"/>
                </w:rPr>
              </w:sdtEndPr>
              <w:sdtContent>
                <w:r w:rsidR="0012653C" w:rsidRPr="001C3329">
                  <w:rPr>
                    <w:rStyle w:val="Style2"/>
                    <w:rFonts w:ascii="Segoe UI Symbol" w:eastAsia="MS Gothic" w:hAnsi="Segoe UI Symbol" w:cs="Segoe UI Symbol"/>
                  </w:rPr>
                  <w:t>☐</w:t>
                </w:r>
              </w:sdtContent>
            </w:sdt>
            <w:r w:rsidR="0012653C" w:rsidRPr="001C3329">
              <w:t>10 a str. (pripažintas medicininis vartojimas)</w:t>
            </w:r>
          </w:p>
          <w:p w14:paraId="75FE0A63" w14:textId="77777777" w:rsidR="0012653C" w:rsidRPr="001C3329" w:rsidRDefault="0003497F" w:rsidP="001642DA">
            <w:pPr>
              <w:jc w:val="both"/>
            </w:pPr>
            <w:sdt>
              <w:sdtPr>
                <w:rPr>
                  <w:rStyle w:val="Style2"/>
                </w:rPr>
                <w:id w:val="204142496"/>
                <w15:color w:val="FFCC00"/>
                <w14:checkbox>
                  <w14:checked w14:val="0"/>
                  <w14:checkedState w14:val="2612" w14:font="MS Gothic"/>
                  <w14:uncheckedState w14:val="2610" w14:font="MS Gothic"/>
                </w14:checkbox>
              </w:sdtPr>
              <w:sdtEndPr>
                <w:rPr>
                  <w:rStyle w:val="Style2"/>
                </w:rPr>
              </w:sdtEndPr>
              <w:sdtContent>
                <w:r w:rsidR="0012653C" w:rsidRPr="001C3329">
                  <w:rPr>
                    <w:rStyle w:val="Style2"/>
                    <w:rFonts w:ascii="Segoe UI Symbol" w:eastAsia="MS Gothic" w:hAnsi="Segoe UI Symbol" w:cs="Segoe UI Symbol"/>
                  </w:rPr>
                  <w:t>☐</w:t>
                </w:r>
              </w:sdtContent>
            </w:sdt>
            <w:r w:rsidR="0012653C" w:rsidRPr="001C3329">
              <w:t>10.1 str. (generinis)</w:t>
            </w:r>
          </w:p>
          <w:p w14:paraId="2DE15DCB" w14:textId="77777777" w:rsidR="0012653C" w:rsidRPr="001C3329" w:rsidRDefault="0003497F" w:rsidP="001642DA">
            <w:pPr>
              <w:jc w:val="both"/>
            </w:pPr>
            <w:sdt>
              <w:sdtPr>
                <w:rPr>
                  <w:rStyle w:val="Style2"/>
                </w:rPr>
                <w:id w:val="820305101"/>
                <w15:color w:val="FFCC00"/>
                <w14:checkbox>
                  <w14:checked w14:val="0"/>
                  <w14:checkedState w14:val="2612" w14:font="MS Gothic"/>
                  <w14:uncheckedState w14:val="2610" w14:font="MS Gothic"/>
                </w14:checkbox>
              </w:sdtPr>
              <w:sdtEndPr>
                <w:rPr>
                  <w:rStyle w:val="Style2"/>
                </w:rPr>
              </w:sdtEndPr>
              <w:sdtContent>
                <w:r w:rsidR="0012653C" w:rsidRPr="001C3329">
                  <w:rPr>
                    <w:rStyle w:val="Style2"/>
                    <w:rFonts w:ascii="Segoe UI Symbol" w:eastAsia="MS Gothic" w:hAnsi="Segoe UI Symbol" w:cs="Segoe UI Symbol"/>
                  </w:rPr>
                  <w:t>☐</w:t>
                </w:r>
              </w:sdtContent>
            </w:sdt>
            <w:r w:rsidR="0012653C" w:rsidRPr="001C3329">
              <w:t>10.3 str. (hibridinis)</w:t>
            </w:r>
          </w:p>
          <w:p w14:paraId="39D808E4" w14:textId="77777777" w:rsidR="0012653C" w:rsidRPr="001C3329" w:rsidRDefault="0003497F" w:rsidP="001642DA">
            <w:pPr>
              <w:rPr>
                <w:rStyle w:val="Style2"/>
              </w:rPr>
            </w:pPr>
            <w:sdt>
              <w:sdtPr>
                <w:rPr>
                  <w:rStyle w:val="Style2"/>
                </w:rPr>
                <w:id w:val="-450176040"/>
                <w15:color w:val="FFCC00"/>
                <w14:checkbox>
                  <w14:checked w14:val="0"/>
                  <w14:checkedState w14:val="2612" w14:font="MS Gothic"/>
                  <w14:uncheckedState w14:val="2610" w14:font="MS Gothic"/>
                </w14:checkbox>
              </w:sdtPr>
              <w:sdtEndPr>
                <w:rPr>
                  <w:rStyle w:val="Style2"/>
                </w:rPr>
              </w:sdtEndPr>
              <w:sdtContent>
                <w:r w:rsidR="0012653C" w:rsidRPr="001C3329">
                  <w:rPr>
                    <w:rStyle w:val="Style2"/>
                    <w:rFonts w:ascii="Segoe UI Symbol" w:eastAsia="MS Gothic" w:hAnsi="Segoe UI Symbol" w:cs="Segoe UI Symbol"/>
                  </w:rPr>
                  <w:t>☐</w:t>
                </w:r>
              </w:sdtContent>
            </w:sdt>
            <w:r w:rsidR="0012653C" w:rsidRPr="001C3329">
              <w:t>10.4 str. (panašus biologinis)</w:t>
            </w:r>
          </w:p>
        </w:tc>
      </w:tr>
      <w:tr w:rsidR="0012653C" w:rsidRPr="001C3329" w14:paraId="4D88134C" w14:textId="77777777" w:rsidTr="001642DA">
        <w:trPr>
          <w:trHeight w:val="1011"/>
        </w:trPr>
        <w:tc>
          <w:tcPr>
            <w:tcW w:w="632" w:type="dxa"/>
          </w:tcPr>
          <w:p w14:paraId="563F4EF5" w14:textId="77777777" w:rsidR="0012653C" w:rsidRPr="001C3329" w:rsidRDefault="0012653C" w:rsidP="001642DA">
            <w:pPr>
              <w:jc w:val="both"/>
              <w:rPr>
                <w:rFonts w:eastAsia="Arial"/>
                <w:b/>
                <w:bCs/>
              </w:rPr>
            </w:pPr>
            <w:r w:rsidRPr="001C3329">
              <w:rPr>
                <w:rFonts w:eastAsia="Arial"/>
                <w:b/>
              </w:rPr>
              <w:t>1.4</w:t>
            </w:r>
          </w:p>
        </w:tc>
        <w:tc>
          <w:tcPr>
            <w:tcW w:w="3899" w:type="dxa"/>
          </w:tcPr>
          <w:p w14:paraId="55C4E51E" w14:textId="77777777" w:rsidR="0012653C" w:rsidRPr="001C3329" w:rsidRDefault="0012653C" w:rsidP="001642DA">
            <w:pPr>
              <w:tabs>
                <w:tab w:val="left" w:pos="284"/>
              </w:tabs>
              <w:spacing w:line="280" w:lineRule="atLeast"/>
              <w:jc w:val="both"/>
              <w:rPr>
                <w:b/>
                <w:bCs/>
                <w:lang w:eastAsia="lt-LT"/>
              </w:rPr>
            </w:pPr>
            <w:r w:rsidRPr="001C3329">
              <w:rPr>
                <w:b/>
                <w:bCs/>
                <w:lang w:eastAsia="lt-LT"/>
              </w:rPr>
              <w:t>Ar vaistinis preparatas įrašytas į Bendrijos retųjų vaistinių preparatų registrą?</w:t>
            </w:r>
          </w:p>
        </w:tc>
        <w:tc>
          <w:tcPr>
            <w:tcW w:w="4962" w:type="dxa"/>
          </w:tcPr>
          <w:p w14:paraId="7D96A11D" w14:textId="77777777" w:rsidR="0012653C" w:rsidRPr="001C3329" w:rsidRDefault="0003497F" w:rsidP="001642DA">
            <w:pPr>
              <w:jc w:val="both"/>
            </w:pPr>
            <w:sdt>
              <w:sdtPr>
                <w:rPr>
                  <w:rStyle w:val="Style2"/>
                </w:rPr>
                <w:id w:val="1190730465"/>
                <w15:color w:val="FFCC00"/>
                <w14:checkbox>
                  <w14:checked w14:val="0"/>
                  <w14:checkedState w14:val="2612" w14:font="MS Gothic"/>
                  <w14:uncheckedState w14:val="2610" w14:font="MS Gothic"/>
                </w14:checkbox>
              </w:sdtPr>
              <w:sdtEndPr>
                <w:rPr>
                  <w:rStyle w:val="Style2"/>
                </w:rPr>
              </w:sdtEndPr>
              <w:sdtContent>
                <w:r w:rsidR="0012653C" w:rsidRPr="001C3329">
                  <w:rPr>
                    <w:rStyle w:val="Style2"/>
                    <w:rFonts w:ascii="Segoe UI Symbol" w:eastAsia="MS Gothic" w:hAnsi="Segoe UI Symbol" w:cs="Segoe UI Symbol"/>
                  </w:rPr>
                  <w:t>☐</w:t>
                </w:r>
              </w:sdtContent>
            </w:sdt>
            <w:r w:rsidR="0012653C" w:rsidRPr="001C3329">
              <w:t xml:space="preserve"> Taip       </w:t>
            </w:r>
            <w:r w:rsidR="0012653C" w:rsidRPr="001C3329">
              <w:rPr>
                <w:rStyle w:val="Style2"/>
              </w:rPr>
              <w:t xml:space="preserve"> </w:t>
            </w:r>
            <w:sdt>
              <w:sdtPr>
                <w:rPr>
                  <w:rStyle w:val="Style2"/>
                </w:rPr>
                <w:id w:val="-1760283509"/>
                <w15:color w:val="FFCC00"/>
                <w14:checkbox>
                  <w14:checked w14:val="1"/>
                  <w14:checkedState w14:val="2612" w14:font="MS Gothic"/>
                  <w14:uncheckedState w14:val="2610" w14:font="MS Gothic"/>
                </w14:checkbox>
              </w:sdtPr>
              <w:sdtEndPr>
                <w:rPr>
                  <w:rStyle w:val="Style2"/>
                </w:rPr>
              </w:sdtEndPr>
              <w:sdtContent>
                <w:r w:rsidR="0012653C" w:rsidRPr="001C3329">
                  <w:rPr>
                    <w:rStyle w:val="Style2"/>
                    <w:rFonts w:ascii="MS Gothic" w:eastAsia="MS Gothic" w:hAnsi="MS Gothic"/>
                  </w:rPr>
                  <w:t>☒</w:t>
                </w:r>
              </w:sdtContent>
            </w:sdt>
            <w:r w:rsidR="0012653C" w:rsidRPr="001C3329">
              <w:t xml:space="preserve"> Ne</w:t>
            </w:r>
          </w:p>
          <w:p w14:paraId="16AFC0FC" w14:textId="77777777" w:rsidR="0012653C" w:rsidRPr="001C3329" w:rsidRDefault="0012653C" w:rsidP="001642DA">
            <w:pPr>
              <w:jc w:val="both"/>
            </w:pPr>
            <w:r w:rsidRPr="001C3329">
              <w:t xml:space="preserve">Data: </w:t>
            </w:r>
            <w:sdt>
              <w:sdtPr>
                <w:alias w:val="Nurodykite konkrečią dieną"/>
                <w:tag w:val="Nurodykite pradžios datą"/>
                <w:id w:val="1784158105"/>
                <w:placeholder>
                  <w:docPart w:val="C9F9030180744FE0B3D679E71F835902"/>
                </w:placeholder>
                <w:showingPlcHdr/>
                <w15:color w:val="FFCC99"/>
                <w:date w:fullDate="2022-05-18T00:00:00Z">
                  <w:dateFormat w:val="yyyy 'm.' MMMM d 'd.'"/>
                  <w:lid w:val="lt-LT"/>
                  <w:storeMappedDataAs w:val="dateTime"/>
                  <w:calendar w:val="gregorian"/>
                </w:date>
              </w:sdtPr>
              <w:sdtEndPr/>
              <w:sdtContent>
                <w:r w:rsidRPr="001C3329">
                  <w:rPr>
                    <w:rStyle w:val="Vietosrezervavimoenklotekstas"/>
                  </w:rPr>
                  <w:t>Click here to enter a date.</w:t>
                </w:r>
              </w:sdtContent>
            </w:sdt>
          </w:p>
          <w:p w14:paraId="6F8B494D" w14:textId="77777777" w:rsidR="0012653C" w:rsidRPr="001C3329" w:rsidRDefault="0012653C" w:rsidP="001642DA">
            <w:pPr>
              <w:jc w:val="both"/>
              <w:rPr>
                <w:rFonts w:eastAsia="Arial"/>
              </w:rPr>
            </w:pPr>
            <w:r w:rsidRPr="001C3329">
              <w:t>Nr.</w:t>
            </w:r>
          </w:p>
        </w:tc>
      </w:tr>
      <w:tr w:rsidR="0012653C" w:rsidRPr="001C3329" w14:paraId="11AC825B" w14:textId="77777777" w:rsidTr="001642DA">
        <w:trPr>
          <w:trHeight w:val="1011"/>
        </w:trPr>
        <w:tc>
          <w:tcPr>
            <w:tcW w:w="632" w:type="dxa"/>
          </w:tcPr>
          <w:p w14:paraId="78591C0E" w14:textId="77777777" w:rsidR="0012653C" w:rsidRPr="001C3329" w:rsidRDefault="0012653C" w:rsidP="001642DA">
            <w:pPr>
              <w:jc w:val="both"/>
              <w:rPr>
                <w:rFonts w:eastAsia="Arial"/>
                <w:b/>
              </w:rPr>
            </w:pPr>
            <w:r w:rsidRPr="001C3329">
              <w:rPr>
                <w:rFonts w:eastAsia="Arial"/>
                <w:b/>
                <w:bCs/>
              </w:rPr>
              <w:t>1.5</w:t>
            </w:r>
          </w:p>
        </w:tc>
        <w:tc>
          <w:tcPr>
            <w:tcW w:w="3899" w:type="dxa"/>
          </w:tcPr>
          <w:p w14:paraId="0D962FF0" w14:textId="77777777" w:rsidR="0012653C" w:rsidRPr="001C3329" w:rsidRDefault="0012653C" w:rsidP="001642DA">
            <w:pPr>
              <w:tabs>
                <w:tab w:val="left" w:pos="284"/>
              </w:tabs>
              <w:spacing w:line="280" w:lineRule="atLeast"/>
              <w:jc w:val="both"/>
              <w:rPr>
                <w:b/>
                <w:bCs/>
                <w:lang w:eastAsia="lt-LT"/>
              </w:rPr>
            </w:pPr>
            <w:r w:rsidRPr="001C3329">
              <w:rPr>
                <w:b/>
                <w:bCs/>
                <w:lang w:eastAsia="lt-LT"/>
              </w:rPr>
              <w:t>Ar atliktas bendras klinikinis vertinimas</w:t>
            </w:r>
          </w:p>
          <w:p w14:paraId="55B9BE90" w14:textId="77777777" w:rsidR="0012653C" w:rsidRPr="001C3329" w:rsidRDefault="0012653C" w:rsidP="001642DA">
            <w:pPr>
              <w:tabs>
                <w:tab w:val="left" w:pos="284"/>
              </w:tabs>
              <w:spacing w:line="280" w:lineRule="atLeast"/>
              <w:jc w:val="both"/>
              <w:rPr>
                <w:b/>
                <w:bCs/>
                <w:lang w:eastAsia="lt-LT"/>
              </w:rPr>
            </w:pPr>
            <w:r w:rsidRPr="001C3329">
              <w:rPr>
                <w:b/>
                <w:bCs/>
                <w:lang w:eastAsia="lt-LT"/>
              </w:rPr>
              <w:t>(Europos Parlamento ir Tarybos reglamentas (ES) 2021/2282)</w:t>
            </w:r>
          </w:p>
        </w:tc>
        <w:tc>
          <w:tcPr>
            <w:tcW w:w="4962" w:type="dxa"/>
          </w:tcPr>
          <w:p w14:paraId="51D072E1" w14:textId="77777777" w:rsidR="0012653C" w:rsidRPr="001C3329" w:rsidRDefault="0003497F" w:rsidP="001642DA">
            <w:pPr>
              <w:jc w:val="both"/>
            </w:pPr>
            <w:sdt>
              <w:sdtPr>
                <w:rPr>
                  <w:rStyle w:val="Style2"/>
                </w:rPr>
                <w:id w:val="-1171564470"/>
                <w15:color w:val="FFCC00"/>
                <w14:checkbox>
                  <w14:checked w14:val="0"/>
                  <w14:checkedState w14:val="2612" w14:font="MS Gothic"/>
                  <w14:uncheckedState w14:val="2610" w14:font="MS Gothic"/>
                </w14:checkbox>
              </w:sdtPr>
              <w:sdtEndPr>
                <w:rPr>
                  <w:rStyle w:val="Style2"/>
                </w:rPr>
              </w:sdtEndPr>
              <w:sdtContent>
                <w:r w:rsidR="0012653C" w:rsidRPr="001C3329">
                  <w:rPr>
                    <w:rStyle w:val="Style2"/>
                    <w:rFonts w:ascii="Segoe UI Symbol" w:eastAsia="MS Gothic" w:hAnsi="Segoe UI Symbol" w:cs="Segoe UI Symbol"/>
                  </w:rPr>
                  <w:t>☐</w:t>
                </w:r>
              </w:sdtContent>
            </w:sdt>
            <w:r w:rsidR="0012653C" w:rsidRPr="001C3329">
              <w:t xml:space="preserve"> Taip       </w:t>
            </w:r>
            <w:r w:rsidR="0012653C" w:rsidRPr="001C3329">
              <w:rPr>
                <w:rStyle w:val="Style2"/>
              </w:rPr>
              <w:t xml:space="preserve"> </w:t>
            </w:r>
            <w:sdt>
              <w:sdtPr>
                <w:rPr>
                  <w:rStyle w:val="Style2"/>
                </w:rPr>
                <w:id w:val="1448122567"/>
                <w15:color w:val="FFCC00"/>
                <w14:checkbox>
                  <w14:checked w14:val="1"/>
                  <w14:checkedState w14:val="2612" w14:font="MS Gothic"/>
                  <w14:uncheckedState w14:val="2610" w14:font="MS Gothic"/>
                </w14:checkbox>
              </w:sdtPr>
              <w:sdtEndPr>
                <w:rPr>
                  <w:rStyle w:val="Style2"/>
                </w:rPr>
              </w:sdtEndPr>
              <w:sdtContent>
                <w:r w:rsidR="0012653C" w:rsidRPr="001C3329">
                  <w:rPr>
                    <w:rStyle w:val="Style2"/>
                    <w:rFonts w:ascii="MS Gothic" w:eastAsia="MS Gothic" w:hAnsi="MS Gothic"/>
                  </w:rPr>
                  <w:t>☒</w:t>
                </w:r>
              </w:sdtContent>
            </w:sdt>
            <w:r w:rsidR="0012653C" w:rsidRPr="001C3329">
              <w:t xml:space="preserve"> Ne</w:t>
            </w:r>
          </w:p>
          <w:p w14:paraId="44D3F00A" w14:textId="77777777" w:rsidR="0012653C" w:rsidRPr="001C3329" w:rsidRDefault="0012653C" w:rsidP="001642DA">
            <w:pPr>
              <w:jc w:val="both"/>
              <w:rPr>
                <w:rStyle w:val="Style2"/>
              </w:rPr>
            </w:pPr>
            <w:r w:rsidRPr="001C3329">
              <w:t xml:space="preserve">Data: </w:t>
            </w:r>
            <w:sdt>
              <w:sdtPr>
                <w:alias w:val="Nurodykite konkrečią dieną"/>
                <w:tag w:val="Nurodykite pradžios datą"/>
                <w:id w:val="1516880001"/>
                <w:placeholder>
                  <w:docPart w:val="6C9752C6CBD84186BBCEF4F37C82054C"/>
                </w:placeholder>
                <w:showingPlcHdr/>
                <w15:color w:val="FFCC99"/>
                <w:date w:fullDate="2022-05-18T00:00:00Z">
                  <w:dateFormat w:val="yyyy 'm.' MMMM d 'd.'"/>
                  <w:lid w:val="lt-LT"/>
                  <w:storeMappedDataAs w:val="dateTime"/>
                  <w:calendar w:val="gregorian"/>
                </w:date>
              </w:sdtPr>
              <w:sdtEndPr/>
              <w:sdtContent>
                <w:r w:rsidRPr="001C3329">
                  <w:rPr>
                    <w:rStyle w:val="Vietosrezervavimoenklotekstas"/>
                  </w:rPr>
                  <w:t>Click here to enter a date.</w:t>
                </w:r>
              </w:sdtContent>
            </w:sdt>
            <w:r w:rsidRPr="001C3329">
              <w:t xml:space="preserve"> </w:t>
            </w:r>
          </w:p>
        </w:tc>
      </w:tr>
      <w:tr w:rsidR="0012653C" w:rsidRPr="001C3329" w14:paraId="75AF80E1" w14:textId="77777777" w:rsidTr="001642DA">
        <w:trPr>
          <w:trHeight w:val="1278"/>
        </w:trPr>
        <w:tc>
          <w:tcPr>
            <w:tcW w:w="632" w:type="dxa"/>
          </w:tcPr>
          <w:p w14:paraId="2211A4EB" w14:textId="77777777" w:rsidR="0012653C" w:rsidRPr="001C3329" w:rsidRDefault="0012653C" w:rsidP="001642DA">
            <w:pPr>
              <w:jc w:val="both"/>
              <w:rPr>
                <w:rFonts w:eastAsia="Arial"/>
                <w:b/>
                <w:bCs/>
              </w:rPr>
            </w:pPr>
            <w:r w:rsidRPr="001C3329">
              <w:rPr>
                <w:rFonts w:eastAsia="Arial"/>
                <w:b/>
                <w:bCs/>
              </w:rPr>
              <w:t>1.6</w:t>
            </w:r>
          </w:p>
        </w:tc>
        <w:tc>
          <w:tcPr>
            <w:tcW w:w="3899" w:type="dxa"/>
          </w:tcPr>
          <w:p w14:paraId="19F08644" w14:textId="77777777" w:rsidR="0012653C" w:rsidRPr="001C3329" w:rsidRDefault="0012653C" w:rsidP="001642DA">
            <w:pPr>
              <w:jc w:val="both"/>
              <w:rPr>
                <w:b/>
                <w:bCs/>
                <w:lang w:eastAsia="lt-LT"/>
              </w:rPr>
            </w:pPr>
            <w:r w:rsidRPr="001C3329">
              <w:rPr>
                <w:b/>
                <w:bCs/>
                <w:lang w:eastAsia="lt-LT"/>
              </w:rPr>
              <w:t xml:space="preserve">Teikiama kompensuoti terapinė indikacija </w:t>
            </w:r>
          </w:p>
          <w:p w14:paraId="3B5BAFB4" w14:textId="77777777" w:rsidR="0012653C" w:rsidRPr="001C3329" w:rsidRDefault="0012653C" w:rsidP="001642DA">
            <w:pPr>
              <w:jc w:val="both"/>
              <w:rPr>
                <w:b/>
                <w:bCs/>
                <w:lang w:eastAsia="lt-LT"/>
              </w:rPr>
            </w:pPr>
          </w:p>
          <w:p w14:paraId="47704D6E" w14:textId="77777777" w:rsidR="0012653C" w:rsidRPr="001C3329" w:rsidRDefault="0012653C" w:rsidP="001642DA">
            <w:pPr>
              <w:jc w:val="both"/>
              <w:rPr>
                <w:b/>
                <w:bCs/>
                <w:lang w:eastAsia="lt-LT"/>
              </w:rPr>
            </w:pPr>
            <w:r w:rsidRPr="001C3329">
              <w:rPr>
                <w:b/>
                <w:bCs/>
                <w:lang w:eastAsia="lt-LT"/>
              </w:rPr>
              <w:t>Kodas pagal TLK-10 AM</w:t>
            </w:r>
          </w:p>
        </w:tc>
        <w:tc>
          <w:tcPr>
            <w:tcW w:w="4962" w:type="dxa"/>
          </w:tcPr>
          <w:p w14:paraId="739878FC" w14:textId="77777777" w:rsidR="00D666FC" w:rsidRPr="002C182B" w:rsidRDefault="00D666FC" w:rsidP="00D666FC">
            <w:pPr>
              <w:jc w:val="both"/>
            </w:pPr>
            <w:r w:rsidRPr="002C182B">
              <w:t xml:space="preserve">Palaikomasis astmos gydymas suaugusiesiems, kurių liga nėra pakankamai kontroliuojama, skiriant ilgai veikiančio beta-2 agonisto ir </w:t>
            </w:r>
            <w:r w:rsidRPr="002D694F">
              <w:t xml:space="preserve">didelių </w:t>
            </w:r>
            <w:r w:rsidRPr="002C182B">
              <w:t xml:space="preserve">dozių įkvepiamojo kortikosteroido palaikomąjį </w:t>
            </w:r>
            <w:r w:rsidRPr="002C182B">
              <w:lastRenderedPageBreak/>
              <w:t>derinį ir kuriems per pastaruosius metus buvo vienas ar daugiau astmos pasunkėjimų.</w:t>
            </w:r>
          </w:p>
          <w:p w14:paraId="3B664545" w14:textId="77777777" w:rsidR="00D666FC" w:rsidRDefault="00D666FC" w:rsidP="00D666FC">
            <w:pPr>
              <w:jc w:val="both"/>
            </w:pPr>
          </w:p>
          <w:p w14:paraId="5D7C4D4B" w14:textId="77777777" w:rsidR="00D666FC" w:rsidRDefault="00D666FC" w:rsidP="00D666FC">
            <w:pPr>
              <w:jc w:val="both"/>
            </w:pPr>
          </w:p>
          <w:p w14:paraId="665F6B98" w14:textId="26F3736A" w:rsidR="0012653C" w:rsidRPr="001C3329" w:rsidRDefault="00D666FC" w:rsidP="00D666FC">
            <w:pPr>
              <w:jc w:val="both"/>
            </w:pPr>
            <w:r>
              <w:t xml:space="preserve">Ligos TLK-10 AM kodas </w:t>
            </w:r>
            <w:r w:rsidRPr="002C182B">
              <w:t>J45 -Astma </w:t>
            </w:r>
            <w:r w:rsidRPr="001C3329">
              <w:t xml:space="preserve"> </w:t>
            </w:r>
          </w:p>
        </w:tc>
      </w:tr>
      <w:tr w:rsidR="0012653C" w:rsidRPr="001C3329" w14:paraId="0E52D2EF" w14:textId="77777777" w:rsidTr="001642DA">
        <w:trPr>
          <w:trHeight w:val="378"/>
        </w:trPr>
        <w:tc>
          <w:tcPr>
            <w:tcW w:w="632" w:type="dxa"/>
          </w:tcPr>
          <w:p w14:paraId="68F02FB2" w14:textId="77777777" w:rsidR="0012653C" w:rsidRPr="001C3329" w:rsidRDefault="0012653C" w:rsidP="001642DA">
            <w:pPr>
              <w:jc w:val="both"/>
              <w:rPr>
                <w:rFonts w:eastAsia="Arial"/>
                <w:b/>
                <w:bCs/>
              </w:rPr>
            </w:pPr>
            <w:r w:rsidRPr="001C3329">
              <w:rPr>
                <w:rFonts w:eastAsia="Arial"/>
                <w:b/>
                <w:bCs/>
              </w:rPr>
              <w:lastRenderedPageBreak/>
              <w:t>1.7</w:t>
            </w:r>
          </w:p>
        </w:tc>
        <w:tc>
          <w:tcPr>
            <w:tcW w:w="3899" w:type="dxa"/>
          </w:tcPr>
          <w:p w14:paraId="6162B886" w14:textId="77777777" w:rsidR="0012653C" w:rsidRPr="001C3329" w:rsidRDefault="0012653C" w:rsidP="001642DA">
            <w:pPr>
              <w:jc w:val="both"/>
              <w:rPr>
                <w:b/>
                <w:bCs/>
                <w:u w:val="single"/>
                <w:lang w:eastAsia="lt-LT"/>
              </w:rPr>
            </w:pPr>
            <w:r w:rsidRPr="001C3329">
              <w:rPr>
                <w:b/>
                <w:bCs/>
                <w:lang w:eastAsia="lt-LT"/>
              </w:rPr>
              <w:t xml:space="preserve">Teikiamos skyrimo sąlygos </w:t>
            </w:r>
          </w:p>
        </w:tc>
        <w:tc>
          <w:tcPr>
            <w:tcW w:w="4962" w:type="dxa"/>
          </w:tcPr>
          <w:p w14:paraId="3A55C638" w14:textId="77777777" w:rsidR="00CD166D" w:rsidRDefault="00CD166D" w:rsidP="00CD166D">
            <w:pPr>
              <w:jc w:val="both"/>
            </w:pPr>
          </w:p>
          <w:p w14:paraId="71E50B7F" w14:textId="77777777" w:rsidR="0012653C" w:rsidRDefault="00CD166D" w:rsidP="00CD166D">
            <w:pPr>
              <w:jc w:val="both"/>
            </w:pPr>
            <w:r w:rsidRPr="009300B3">
              <w:t>Neteikiama</w:t>
            </w:r>
          </w:p>
          <w:p w14:paraId="2BC3B711" w14:textId="2735143A" w:rsidR="00CD166D" w:rsidRPr="00CD166D" w:rsidRDefault="00CD166D" w:rsidP="00CD166D">
            <w:pPr>
              <w:jc w:val="both"/>
            </w:pPr>
          </w:p>
        </w:tc>
      </w:tr>
      <w:tr w:rsidR="0012653C" w:rsidRPr="001C3329" w14:paraId="20A9E131" w14:textId="77777777" w:rsidTr="001642DA">
        <w:trPr>
          <w:trHeight w:val="378"/>
        </w:trPr>
        <w:tc>
          <w:tcPr>
            <w:tcW w:w="632" w:type="dxa"/>
          </w:tcPr>
          <w:p w14:paraId="1A72C071" w14:textId="77777777" w:rsidR="0012653C" w:rsidRPr="001C3329" w:rsidRDefault="0012653C" w:rsidP="001642DA">
            <w:pPr>
              <w:jc w:val="both"/>
              <w:rPr>
                <w:rFonts w:eastAsia="Arial"/>
                <w:b/>
                <w:bCs/>
              </w:rPr>
            </w:pPr>
            <w:r w:rsidRPr="001C3329">
              <w:rPr>
                <w:rFonts w:eastAsia="Arial"/>
                <w:b/>
                <w:bCs/>
              </w:rPr>
              <w:t>1.8</w:t>
            </w:r>
          </w:p>
        </w:tc>
        <w:tc>
          <w:tcPr>
            <w:tcW w:w="3899" w:type="dxa"/>
          </w:tcPr>
          <w:p w14:paraId="3F4D6992" w14:textId="77777777" w:rsidR="0012653C" w:rsidRPr="001C3329" w:rsidRDefault="0012653C" w:rsidP="001642DA">
            <w:pPr>
              <w:jc w:val="both"/>
              <w:rPr>
                <w:b/>
                <w:bCs/>
                <w:lang w:eastAsia="lt-LT"/>
              </w:rPr>
            </w:pPr>
            <w:r w:rsidRPr="001C3329">
              <w:rPr>
                <w:b/>
                <w:bCs/>
                <w:lang w:eastAsia="lt-LT"/>
              </w:rPr>
              <w:t>Ekonominė analizė</w:t>
            </w:r>
          </w:p>
        </w:tc>
        <w:tc>
          <w:tcPr>
            <w:tcW w:w="4962" w:type="dxa"/>
          </w:tcPr>
          <w:p w14:paraId="17D7DA90" w14:textId="77777777" w:rsidR="0012653C" w:rsidRPr="001C3329" w:rsidRDefault="0003497F" w:rsidP="001642DA">
            <w:pPr>
              <w:jc w:val="both"/>
            </w:pPr>
            <w:sdt>
              <w:sdtPr>
                <w:rPr>
                  <w:rStyle w:val="Style2"/>
                </w:rPr>
                <w:id w:val="356323367"/>
                <w15:color w:val="FFCC00"/>
                <w14:checkbox>
                  <w14:checked w14:val="1"/>
                  <w14:checkedState w14:val="2612" w14:font="MS Gothic"/>
                  <w14:uncheckedState w14:val="2610" w14:font="MS Gothic"/>
                </w14:checkbox>
              </w:sdtPr>
              <w:sdtEndPr>
                <w:rPr>
                  <w:rStyle w:val="Style2"/>
                </w:rPr>
              </w:sdtEndPr>
              <w:sdtContent>
                <w:r w:rsidR="0012653C" w:rsidRPr="001C3329">
                  <w:rPr>
                    <w:rStyle w:val="Style2"/>
                    <w:rFonts w:ascii="MS Gothic" w:eastAsia="MS Gothic" w:hAnsi="MS Gothic"/>
                  </w:rPr>
                  <w:t>☒</w:t>
                </w:r>
              </w:sdtContent>
            </w:sdt>
            <w:r w:rsidR="0012653C" w:rsidRPr="001C3329">
              <w:t xml:space="preserve"> Kaštų naudingumo analizė</w:t>
            </w:r>
          </w:p>
          <w:p w14:paraId="4EE87597" w14:textId="77777777" w:rsidR="0012653C" w:rsidRPr="001C3329" w:rsidRDefault="0003497F" w:rsidP="001642DA">
            <w:pPr>
              <w:jc w:val="both"/>
            </w:pPr>
            <w:sdt>
              <w:sdtPr>
                <w:rPr>
                  <w:rStyle w:val="Style2"/>
                </w:rPr>
                <w:id w:val="-250506580"/>
                <w15:color w:val="FFCC00"/>
                <w14:checkbox>
                  <w14:checked w14:val="0"/>
                  <w14:checkedState w14:val="2612" w14:font="MS Gothic"/>
                  <w14:uncheckedState w14:val="2610" w14:font="MS Gothic"/>
                </w14:checkbox>
              </w:sdtPr>
              <w:sdtEndPr>
                <w:rPr>
                  <w:rStyle w:val="Style2"/>
                </w:rPr>
              </w:sdtEndPr>
              <w:sdtContent>
                <w:r w:rsidR="0012653C" w:rsidRPr="001C3329">
                  <w:rPr>
                    <w:rStyle w:val="Style2"/>
                    <w:rFonts w:ascii="Segoe UI Symbol" w:eastAsia="MS Gothic" w:hAnsi="Segoe UI Symbol" w:cs="Segoe UI Symbol"/>
                  </w:rPr>
                  <w:t>☐</w:t>
                </w:r>
              </w:sdtContent>
            </w:sdt>
            <w:r w:rsidR="0012653C" w:rsidRPr="001C3329">
              <w:t xml:space="preserve"> Kaštų mažinimo analizė</w:t>
            </w:r>
          </w:p>
          <w:p w14:paraId="46F4134C" w14:textId="77777777" w:rsidR="0012653C" w:rsidRPr="001C3329" w:rsidRDefault="0003497F" w:rsidP="001642DA">
            <w:pPr>
              <w:jc w:val="both"/>
            </w:pPr>
            <w:sdt>
              <w:sdtPr>
                <w:rPr>
                  <w:rStyle w:val="Style2"/>
                </w:rPr>
                <w:id w:val="-1517455044"/>
                <w15:color w:val="FFCC00"/>
                <w14:checkbox>
                  <w14:checked w14:val="0"/>
                  <w14:checkedState w14:val="2612" w14:font="MS Gothic"/>
                  <w14:uncheckedState w14:val="2610" w14:font="MS Gothic"/>
                </w14:checkbox>
              </w:sdtPr>
              <w:sdtEndPr>
                <w:rPr>
                  <w:rStyle w:val="Style2"/>
                </w:rPr>
              </w:sdtEndPr>
              <w:sdtContent>
                <w:r w:rsidR="0012653C" w:rsidRPr="001C3329">
                  <w:rPr>
                    <w:rStyle w:val="Style2"/>
                    <w:rFonts w:ascii="Segoe UI Symbol" w:eastAsia="MS Gothic" w:hAnsi="Segoe UI Symbol" w:cs="Segoe UI Symbol"/>
                  </w:rPr>
                  <w:t>☐</w:t>
                </w:r>
              </w:sdtContent>
            </w:sdt>
            <w:r w:rsidR="0012653C" w:rsidRPr="001C3329">
              <w:t xml:space="preserve"> Neteikiama</w:t>
            </w:r>
          </w:p>
          <w:p w14:paraId="1C95249A" w14:textId="77777777" w:rsidR="0012653C" w:rsidRPr="001C3329" w:rsidRDefault="0012653C" w:rsidP="001642DA">
            <w:pPr>
              <w:jc w:val="both"/>
            </w:pPr>
          </w:p>
        </w:tc>
      </w:tr>
    </w:tbl>
    <w:bookmarkEnd w:id="1"/>
    <w:p w14:paraId="2EB7FD31" w14:textId="5615B363" w:rsidR="007A2B68" w:rsidRPr="000203E1" w:rsidRDefault="00DC261A" w:rsidP="00063A50">
      <w:pPr>
        <w:pStyle w:val="Sraopastraipa"/>
        <w:tabs>
          <w:tab w:val="left" w:pos="426"/>
        </w:tabs>
        <w:ind w:left="0"/>
        <w:jc w:val="center"/>
        <w:rPr>
          <w:b/>
          <w:bCs/>
          <w:caps/>
        </w:rPr>
      </w:pPr>
      <w:r w:rsidRPr="00DC261A">
        <w:rPr>
          <w:b/>
          <w:bCs/>
          <w:caps/>
        </w:rPr>
        <w:t>___________________</w:t>
      </w:r>
    </w:p>
    <w:p w14:paraId="73290081" w14:textId="77777777" w:rsidR="007A2B68" w:rsidRPr="000203E1" w:rsidRDefault="007A2B68">
      <w:pPr>
        <w:rPr>
          <w:b/>
          <w:bCs/>
          <w:caps/>
        </w:rPr>
      </w:pPr>
      <w:r w:rsidRPr="000203E1">
        <w:rPr>
          <w:b/>
          <w:bCs/>
          <w:caps/>
        </w:rPr>
        <w:br w:type="page"/>
      </w:r>
    </w:p>
    <w:p w14:paraId="5055E8A8" w14:textId="7AF6F6A0" w:rsidR="002E6F80" w:rsidRPr="000203E1" w:rsidRDefault="001E0B2D" w:rsidP="00CC09D4">
      <w:pPr>
        <w:pStyle w:val="Sraopastraipa"/>
        <w:numPr>
          <w:ilvl w:val="0"/>
          <w:numId w:val="12"/>
        </w:numPr>
        <w:tabs>
          <w:tab w:val="left" w:pos="567"/>
        </w:tabs>
        <w:ind w:hanging="720"/>
        <w:rPr>
          <w:b/>
          <w:bCs/>
          <w:caps/>
        </w:rPr>
      </w:pPr>
      <w:r>
        <w:rPr>
          <w:b/>
          <w:bCs/>
          <w:caps/>
        </w:rPr>
        <w:lastRenderedPageBreak/>
        <w:t xml:space="preserve">BENDRO </w:t>
      </w:r>
      <w:r w:rsidR="00CC7832" w:rsidRPr="000203E1">
        <w:rPr>
          <w:b/>
          <w:bCs/>
          <w:caps/>
        </w:rPr>
        <w:t>Klinikinio vertinimo a</w:t>
      </w:r>
      <w:r w:rsidR="00D4485B" w:rsidRPr="000203E1">
        <w:rPr>
          <w:b/>
          <w:bCs/>
          <w:caps/>
        </w:rPr>
        <w:t>pibendrinimas</w:t>
      </w:r>
    </w:p>
    <w:p w14:paraId="72C78556" w14:textId="77777777" w:rsidR="0012653C" w:rsidRPr="0040097E" w:rsidRDefault="0012653C" w:rsidP="00D12869">
      <w:pPr>
        <w:tabs>
          <w:tab w:val="left" w:pos="284"/>
        </w:tabs>
        <w:rPr>
          <w:i/>
        </w:rPr>
      </w:pPr>
    </w:p>
    <w:p w14:paraId="1081575A" w14:textId="77777777" w:rsidR="00A4304E" w:rsidRPr="005E4F0C" w:rsidRDefault="00A4304E" w:rsidP="00D574E0">
      <w:pPr>
        <w:spacing w:line="276" w:lineRule="auto"/>
        <w:ind w:firstLine="720"/>
        <w:jc w:val="both"/>
        <w:rPr>
          <w:color w:val="000000"/>
          <w:lang w:eastAsia="en-GB"/>
        </w:rPr>
      </w:pPr>
      <w:r w:rsidRPr="005E4F0C">
        <w:rPr>
          <w:lang w:bidi="lt-LT"/>
        </w:rPr>
        <w:t>Astma yra lėtinė kvėpavimo takų uždegiminė liga. Jai būdingi simptomai yra švokštimas, dusulys, spaudimas krūtinėje ir kosulys, kurių pobūdis, intensyvumas ir trukmė ilgainiui kinta, taip pat kinta iškvepiamo oro srauto apribojimai. Simptomus sukelia bronchų susiaurėjimas (kvėpavimo takų susiaurėjimas), kvėpavimo takų sienelių sustorėjimas ir padidėjusi gleivių gamyba.</w:t>
      </w:r>
    </w:p>
    <w:p w14:paraId="4D00C40D" w14:textId="77777777" w:rsidR="00A4304E" w:rsidRDefault="00A4304E" w:rsidP="00D574E0">
      <w:pPr>
        <w:spacing w:line="276" w:lineRule="auto"/>
        <w:ind w:firstLine="720"/>
        <w:jc w:val="both"/>
        <w:rPr>
          <w:lang w:bidi="lt-LT"/>
        </w:rPr>
      </w:pPr>
      <w:r w:rsidRPr="005E4F0C">
        <w:rPr>
          <w:lang w:bidi="lt-LT"/>
        </w:rPr>
        <w:t>Pradinė astmos diagnozė nustatoma remiantis kvėpavimo simptomų anamneze ir plaučių funkcijos įvertinimu. Plaučių funkcija, matuojama forsuotu iškvėpimo tūriu per pirmąją sekundę (FEV</w:t>
      </w:r>
      <w:r w:rsidRPr="005E4F0C">
        <w:rPr>
          <w:vertAlign w:val="subscript"/>
          <w:lang w:bidi="lt-LT"/>
        </w:rPr>
        <w:t>1</w:t>
      </w:r>
      <w:r w:rsidRPr="005E4F0C">
        <w:rPr>
          <w:lang w:bidi="lt-LT"/>
        </w:rPr>
        <w:t>), yra labai svarbi vertinant galimų nepageidaujamų reiškinių (pavyzdžiui, pasunkėjimų, nuolatinės oro srovės sutrikimų ir šalutinio poveikio) riziką ir turėtų būti vertinama gydymo pradžioje, po 3–6 mėnesių kontrolinio gydymo ir periodiškai vėliau. Mažas FEV</w:t>
      </w:r>
      <w:r w:rsidRPr="005E4F0C">
        <w:rPr>
          <w:vertAlign w:val="subscript"/>
          <w:lang w:bidi="lt-LT"/>
        </w:rPr>
        <w:t>1</w:t>
      </w:r>
      <w:r w:rsidRPr="005E4F0C">
        <w:rPr>
          <w:lang w:bidi="lt-LT"/>
        </w:rPr>
        <w:t xml:space="preserve"> (≤60 proc. numatyto) yra paūmėjimų rizikos veiksnys. Tik maždaug pusės astma sergančių pacientų simptomai yra gerai kontroliuojami.</w:t>
      </w:r>
    </w:p>
    <w:p w14:paraId="316E14F2" w14:textId="77777777" w:rsidR="00A4304E" w:rsidRPr="005E4F0C" w:rsidRDefault="00A4304E" w:rsidP="00D574E0">
      <w:pPr>
        <w:spacing w:line="276" w:lineRule="auto"/>
        <w:ind w:firstLine="720"/>
        <w:jc w:val="both"/>
        <w:rPr>
          <w:color w:val="000000"/>
          <w:lang w:eastAsia="en-GB"/>
        </w:rPr>
      </w:pPr>
      <w:r>
        <w:rPr>
          <w:color w:val="000000"/>
          <w:lang w:eastAsia="en-GB"/>
        </w:rPr>
        <w:t xml:space="preserve">Paskutinio dešimtmečio </w:t>
      </w:r>
      <w:r w:rsidRPr="005E4F0C">
        <w:rPr>
          <w:color w:val="000000"/>
          <w:lang w:eastAsia="en-GB"/>
        </w:rPr>
        <w:t xml:space="preserve">astmos paplitimas Lietuvoje </w:t>
      </w:r>
      <w:r>
        <w:rPr>
          <w:color w:val="000000"/>
          <w:lang w:eastAsia="en-GB"/>
        </w:rPr>
        <w:t>siekė</w:t>
      </w:r>
      <w:r w:rsidRPr="005E4F0C">
        <w:rPr>
          <w:color w:val="000000"/>
          <w:lang w:eastAsia="en-GB"/>
        </w:rPr>
        <w:t xml:space="preserve"> 2,8 </w:t>
      </w:r>
      <w:r>
        <w:rPr>
          <w:color w:val="000000"/>
          <w:lang w:eastAsia="en-GB"/>
        </w:rPr>
        <w:t>proc.</w:t>
      </w:r>
      <w:r w:rsidRPr="005E4F0C">
        <w:rPr>
          <w:color w:val="000000"/>
          <w:lang w:eastAsia="en-GB"/>
        </w:rPr>
        <w:t xml:space="preserve">, o </w:t>
      </w:r>
      <w:r>
        <w:rPr>
          <w:color w:val="000000"/>
          <w:lang w:eastAsia="en-GB"/>
        </w:rPr>
        <w:t xml:space="preserve">susirgimas per metus </w:t>
      </w:r>
      <w:r w:rsidRPr="005E4F0C">
        <w:rPr>
          <w:color w:val="000000"/>
          <w:lang w:eastAsia="en-GB"/>
        </w:rPr>
        <w:t xml:space="preserve"> </w:t>
      </w:r>
      <w:r>
        <w:rPr>
          <w:color w:val="000000"/>
          <w:lang w:eastAsia="en-GB"/>
        </w:rPr>
        <w:t xml:space="preserve">sudaro apie </w:t>
      </w:r>
      <w:r w:rsidRPr="005E4F0C">
        <w:rPr>
          <w:color w:val="000000"/>
          <w:lang w:eastAsia="en-GB"/>
        </w:rPr>
        <w:t>23</w:t>
      </w:r>
      <w:r>
        <w:rPr>
          <w:color w:val="000000"/>
          <w:lang w:eastAsia="en-GB"/>
        </w:rPr>
        <w:t xml:space="preserve"> </w:t>
      </w:r>
      <w:r w:rsidRPr="005E4F0C">
        <w:rPr>
          <w:color w:val="000000"/>
          <w:lang w:eastAsia="en-GB"/>
        </w:rPr>
        <w:t>žmon</w:t>
      </w:r>
      <w:r>
        <w:rPr>
          <w:color w:val="000000"/>
          <w:lang w:eastAsia="en-GB"/>
        </w:rPr>
        <w:t>ių</w:t>
      </w:r>
      <w:r w:rsidRPr="005E4F0C">
        <w:rPr>
          <w:color w:val="000000"/>
          <w:lang w:eastAsia="en-GB"/>
        </w:rPr>
        <w:t xml:space="preserve"> 1000 gyventojų. </w:t>
      </w:r>
    </w:p>
    <w:p w14:paraId="672642CE" w14:textId="77777777" w:rsidR="00A4304E" w:rsidRPr="005E4F0C" w:rsidRDefault="00A4304E" w:rsidP="00D574E0">
      <w:pPr>
        <w:spacing w:line="276" w:lineRule="auto"/>
        <w:ind w:firstLine="720"/>
        <w:jc w:val="both"/>
        <w:rPr>
          <w:color w:val="000000"/>
          <w:lang w:eastAsia="en-GB"/>
        </w:rPr>
      </w:pPr>
      <w:r w:rsidRPr="005E4F0C">
        <w:rPr>
          <w:lang w:bidi="lt-LT"/>
        </w:rPr>
        <w:t>Ilgalaikis astmos gydymo tikslas iš klinikinės perspektyvos yra ilgalaikė simptomų kontrolė ir ilgalaikis astmos keliamos rizikos sumažinimas. Apskritai, pastaruoju metu astmos kontrolei taikomas gydymo metodas apima palaipsniui intensyvinamą kasdienį palaikomąjį gydymą. Šis gydymas apima įkvepiamųjų kortikosteroidų (ĮKS) ir formoterolio arba ĮKS ir ilgo veikimo β2 agonisto (IVBA) derinį, sunkesne astma sergantiems pacientams papildomai skiriant ilgo veikimo muskarino receptorių blokatorių (IVMB).</w:t>
      </w:r>
    </w:p>
    <w:p w14:paraId="7588F590" w14:textId="1E043BB4" w:rsidR="00A4304E" w:rsidRDefault="00A4304E" w:rsidP="00D574E0">
      <w:pPr>
        <w:tabs>
          <w:tab w:val="left" w:pos="426"/>
        </w:tabs>
        <w:spacing w:line="276" w:lineRule="auto"/>
        <w:jc w:val="both"/>
        <w:rPr>
          <w:rFonts w:eastAsia="Arial"/>
          <w:iCs/>
        </w:rPr>
      </w:pPr>
      <w:r>
        <w:rPr>
          <w:rFonts w:eastAsia="Arial"/>
          <w:iCs/>
        </w:rPr>
        <w:tab/>
      </w:r>
      <w:r w:rsidRPr="008E4528">
        <w:rPr>
          <w:rFonts w:eastAsia="Arial"/>
          <w:iCs/>
        </w:rPr>
        <w:t>Trimbow sudėtyje tirpalo pavidalu yra beklometazono dipropionato, formoterolio ir glikopironio (BDP/FF/G).</w:t>
      </w:r>
      <w:r>
        <w:rPr>
          <w:rFonts w:eastAsia="Arial"/>
          <w:iCs/>
        </w:rPr>
        <w:t xml:space="preserve"> </w:t>
      </w:r>
      <w:r w:rsidRPr="008E4528">
        <w:rPr>
          <w:rFonts w:eastAsia="Arial"/>
          <w:i/>
        </w:rPr>
        <w:t xml:space="preserve">Beklometazono dipropionatas </w:t>
      </w:r>
      <w:r>
        <w:rPr>
          <w:rFonts w:eastAsia="Arial"/>
          <w:i/>
        </w:rPr>
        <w:t xml:space="preserve">– </w:t>
      </w:r>
      <w:r w:rsidRPr="00385502">
        <w:rPr>
          <w:rFonts w:eastAsia="Arial"/>
          <w:iCs/>
        </w:rPr>
        <w:t>jam būdingas</w:t>
      </w:r>
      <w:r w:rsidRPr="008E4528">
        <w:rPr>
          <w:rFonts w:eastAsia="Arial"/>
          <w:iCs/>
        </w:rPr>
        <w:t xml:space="preserve"> plaučiuose pasireiškiantis gliukokortikoidinis priešuždegiminis poveikis. </w:t>
      </w:r>
      <w:r w:rsidRPr="00385502">
        <w:rPr>
          <w:rFonts w:eastAsia="Arial"/>
          <w:i/>
        </w:rPr>
        <w:t>Formoterolis</w:t>
      </w:r>
      <w:r w:rsidRPr="008E4528">
        <w:rPr>
          <w:rFonts w:eastAsia="Arial"/>
          <w:iCs/>
        </w:rPr>
        <w:t xml:space="preserve"> yra selektyvus beta-2 adrenerginis agonistas, kuris atpalaiduoja bronchų lygiuosius raumenis. </w:t>
      </w:r>
      <w:r w:rsidRPr="008E4528">
        <w:rPr>
          <w:rFonts w:eastAsia="Arial"/>
          <w:i/>
        </w:rPr>
        <w:t xml:space="preserve">Glikopironis </w:t>
      </w:r>
      <w:r w:rsidRPr="005E4F0C">
        <w:rPr>
          <w:rFonts w:eastAsia="Arial"/>
          <w:iCs/>
        </w:rPr>
        <w:t xml:space="preserve">yra didelio afiniteto, ilgai veikiantis muskarino receptoriaus antagonistas (anticholinerginė medžiaga), vartojamas įkvepiant kaip bronchus plečiantis vaistinis preparatas. </w:t>
      </w:r>
      <w:r>
        <w:rPr>
          <w:rFonts w:eastAsia="Arial"/>
          <w:iCs/>
        </w:rPr>
        <w:t>Šiuo metu Lietuvoje kompensuojamas derinys ĮKS/IVBA, įskaitant beklometazoną ir formoterolį, tačiau glikopironis yra nekompensuojamas astmos gydymui, nei deriniuose, nei kaip atskiras preparatas.</w:t>
      </w:r>
      <w:r w:rsidR="00870E6A">
        <w:rPr>
          <w:rFonts w:eastAsia="Arial"/>
          <w:iCs/>
        </w:rPr>
        <w:t xml:space="preserve"> </w:t>
      </w:r>
      <w:r>
        <w:rPr>
          <w:rFonts w:eastAsia="Arial"/>
          <w:iCs/>
        </w:rPr>
        <w:t>Si</w:t>
      </w:r>
      <w:r w:rsidR="00870E6A">
        <w:rPr>
          <w:rFonts w:eastAsia="Arial"/>
          <w:iCs/>
        </w:rPr>
        <w:t>ū</w:t>
      </w:r>
      <w:r>
        <w:rPr>
          <w:rFonts w:eastAsia="Arial"/>
          <w:iCs/>
        </w:rPr>
        <w:t xml:space="preserve">lomo kompensuoti derinio </w:t>
      </w:r>
      <w:r w:rsidRPr="00755808">
        <w:rPr>
          <w:rFonts w:eastAsia="Arial"/>
          <w:iCs/>
        </w:rPr>
        <w:t>gydymo metodas apima palaipsniui intensyvinamą kasdienį palaikomąjį gydymą</w:t>
      </w:r>
    </w:p>
    <w:p w14:paraId="224188A1" w14:textId="77777777" w:rsidR="00A4304E" w:rsidRPr="005E4F0C" w:rsidRDefault="00A4304E" w:rsidP="00D574E0">
      <w:pPr>
        <w:spacing w:line="276" w:lineRule="auto"/>
        <w:ind w:firstLine="720"/>
        <w:jc w:val="both"/>
        <w:rPr>
          <w:iCs/>
          <w:lang w:eastAsia="lt-LT"/>
        </w:rPr>
      </w:pPr>
      <w:r w:rsidRPr="00F91619">
        <w:t xml:space="preserve">Detaliai įvertinus paraiškos klinikinius duomenis, esama klinikinė praktika Lietuvoje bei vadovaujantis </w:t>
      </w:r>
      <w:r w:rsidRPr="00F91619">
        <w:rPr>
          <w:lang w:eastAsia="lt-LT"/>
        </w:rPr>
        <w:t>P</w:t>
      </w:r>
      <w:r w:rsidRPr="00F91619">
        <w:t xml:space="preserve">araiškos įrašyti vaistinį preparatą į kompensavimo sąrašus rengimo taisyklių, patvirtintų </w:t>
      </w:r>
      <w:r w:rsidRPr="00F91619">
        <w:rPr>
          <w:lang w:eastAsia="lt-LT"/>
        </w:rPr>
        <w:t>Lietuvos Respublikos sveikatos apsaugos ministro 2002 m. balandžio 5 d. įsakymu Nr. V-159 „Dė</w:t>
      </w:r>
      <w:r w:rsidRPr="00F91619">
        <w:t xml:space="preserve">l vaistinių preparatų ir medicinos pagalbos priemonių įrašymo į kompensavimo sąrašus ir jų keitimo tvarkos aprašo patvirtinimo“ </w:t>
      </w:r>
      <w:r w:rsidRPr="00F91619">
        <w:rPr>
          <w:lang w:eastAsia="lt-LT"/>
        </w:rPr>
        <w:t>116 - 119 punktais</w:t>
      </w:r>
      <w:r w:rsidRPr="00F91619">
        <w:t>, beklometazono ir formoterolio derinys laikomas tinkamu palyginamuoju gydymu Trimbow veiksmingumui įvertinti</w:t>
      </w:r>
      <w:r>
        <w:t xml:space="preserve">. </w:t>
      </w:r>
      <w:r w:rsidRPr="005E4F0C">
        <w:rPr>
          <w:iCs/>
          <w:lang w:eastAsia="lt-LT"/>
        </w:rPr>
        <w:t xml:space="preserve">Numatoma, kad </w:t>
      </w:r>
      <w:r>
        <w:rPr>
          <w:iCs/>
          <w:lang w:eastAsia="lt-LT"/>
        </w:rPr>
        <w:t>Trimbow</w:t>
      </w:r>
      <w:r w:rsidRPr="005E4F0C">
        <w:rPr>
          <w:iCs/>
          <w:lang w:eastAsia="lt-LT"/>
        </w:rPr>
        <w:t xml:space="preserve"> būtų skiriamas</w:t>
      </w:r>
      <w:r>
        <w:rPr>
          <w:iCs/>
          <w:lang w:eastAsia="lt-LT"/>
        </w:rPr>
        <w:t xml:space="preserve"> palaikomajam astmos gydymui, </w:t>
      </w:r>
      <w:r w:rsidRPr="005E4F0C">
        <w:rPr>
          <w:iCs/>
          <w:lang w:eastAsia="lt-LT"/>
        </w:rPr>
        <w:t xml:space="preserve">nesant pakankamo dvigubos terapijos </w:t>
      </w:r>
      <w:r>
        <w:rPr>
          <w:iCs/>
          <w:lang w:eastAsia="lt-LT"/>
        </w:rPr>
        <w:t xml:space="preserve">didelių dozių ĮKS ir IVBA </w:t>
      </w:r>
      <w:r w:rsidRPr="005E4F0C">
        <w:rPr>
          <w:iCs/>
          <w:lang w:eastAsia="lt-LT"/>
        </w:rPr>
        <w:t>efekto.</w:t>
      </w:r>
    </w:p>
    <w:p w14:paraId="472350F2" w14:textId="77777777" w:rsidR="00A4304E" w:rsidRPr="00284CAA" w:rsidRDefault="00A4304E" w:rsidP="00D574E0">
      <w:pPr>
        <w:spacing w:line="276" w:lineRule="auto"/>
        <w:ind w:firstLine="720"/>
        <w:jc w:val="both"/>
        <w:rPr>
          <w:iCs/>
          <w:lang w:eastAsia="lt-LT"/>
        </w:rPr>
      </w:pPr>
    </w:p>
    <w:p w14:paraId="30E52031" w14:textId="77777777" w:rsidR="00A4304E" w:rsidRPr="0096606D" w:rsidRDefault="00A4304E" w:rsidP="00D574E0">
      <w:pPr>
        <w:tabs>
          <w:tab w:val="left" w:pos="426"/>
        </w:tabs>
        <w:spacing w:line="276" w:lineRule="auto"/>
        <w:jc w:val="both"/>
        <w:rPr>
          <w:i/>
          <w:lang w:eastAsia="lt-LT"/>
        </w:rPr>
      </w:pPr>
      <w:r w:rsidRPr="0096606D">
        <w:rPr>
          <w:i/>
          <w:lang w:eastAsia="lt-LT"/>
        </w:rPr>
        <w:t>Tiesioginis palyginimas</w:t>
      </w:r>
    </w:p>
    <w:p w14:paraId="6110CE31" w14:textId="68C610A9" w:rsidR="00A4304E" w:rsidRPr="00DA5E5D" w:rsidRDefault="00A4304E" w:rsidP="00D574E0">
      <w:pPr>
        <w:tabs>
          <w:tab w:val="left" w:pos="492"/>
        </w:tabs>
        <w:spacing w:line="276" w:lineRule="auto"/>
        <w:jc w:val="both"/>
        <w:outlineLvl w:val="1"/>
        <w:rPr>
          <w:rFonts w:eastAsia="Arial"/>
          <w:bCs/>
        </w:rPr>
      </w:pPr>
      <w:r>
        <w:rPr>
          <w:rFonts w:eastAsia="Arial"/>
          <w:bCs/>
        </w:rPr>
        <w:tab/>
        <w:t>Didelių dozių beklometazono/formoterolio/glikopironio</w:t>
      </w:r>
      <w:r w:rsidR="0040097E" w:rsidRPr="0040097E">
        <w:rPr>
          <w:rFonts w:eastAsia="Arial"/>
          <w:bCs/>
        </w:rPr>
        <w:t xml:space="preserve"> </w:t>
      </w:r>
      <w:r w:rsidR="0040097E">
        <w:rPr>
          <w:rFonts w:eastAsia="Arial"/>
          <w:bCs/>
        </w:rPr>
        <w:t>(Trimbow</w:t>
      </w:r>
      <w:r>
        <w:rPr>
          <w:rFonts w:eastAsia="Arial"/>
          <w:bCs/>
        </w:rPr>
        <w:t xml:space="preserve">) </w:t>
      </w:r>
      <w:r w:rsidRPr="00DA5E5D">
        <w:rPr>
          <w:rFonts w:eastAsia="Arial"/>
          <w:bCs/>
        </w:rPr>
        <w:t>klinikinis veiksmingumas grindžiamas klinikini</w:t>
      </w:r>
      <w:r>
        <w:rPr>
          <w:rFonts w:eastAsia="Arial"/>
          <w:bCs/>
        </w:rPr>
        <w:t>o</w:t>
      </w:r>
      <w:r w:rsidRPr="00DA5E5D">
        <w:rPr>
          <w:rFonts w:eastAsia="Arial"/>
          <w:bCs/>
        </w:rPr>
        <w:t xml:space="preserve"> tyrim</w:t>
      </w:r>
      <w:r>
        <w:rPr>
          <w:rFonts w:eastAsia="Arial"/>
          <w:bCs/>
        </w:rPr>
        <w:t>o</w:t>
      </w:r>
      <w:r w:rsidRPr="00DA5E5D">
        <w:rPr>
          <w:rFonts w:eastAsia="Arial"/>
          <w:bCs/>
        </w:rPr>
        <w:t xml:space="preserve"> </w:t>
      </w:r>
      <w:r>
        <w:rPr>
          <w:rFonts w:eastAsia="Arial"/>
          <w:bCs/>
        </w:rPr>
        <w:t xml:space="preserve">TRIGGER </w:t>
      </w:r>
      <w:r w:rsidRPr="00DA5E5D">
        <w:rPr>
          <w:rFonts w:eastAsia="Arial"/>
          <w:bCs/>
        </w:rPr>
        <w:t xml:space="preserve">rezultatais. Tai yra III fazės atsitiktinių imčių </w:t>
      </w:r>
      <w:r>
        <w:rPr>
          <w:rFonts w:eastAsia="Arial"/>
          <w:bCs/>
        </w:rPr>
        <w:t>dvigubai aklas, aktyviai kontroliuojamas klinikinis tyrimas,</w:t>
      </w:r>
      <w:r w:rsidRPr="00DA5E5D">
        <w:rPr>
          <w:rFonts w:eastAsia="Arial"/>
          <w:bCs/>
        </w:rPr>
        <w:t xml:space="preserve"> kuriame gydymas </w:t>
      </w:r>
      <w:r>
        <w:rPr>
          <w:rFonts w:eastAsia="Arial"/>
          <w:bCs/>
        </w:rPr>
        <w:t>Trimbow buvo lygintas su didelių dozių beklometazono ir formoterolio deriniu.</w:t>
      </w:r>
      <w:r w:rsidRPr="00DA5E5D">
        <w:rPr>
          <w:rFonts w:eastAsia="Arial"/>
          <w:bCs/>
        </w:rPr>
        <w:t xml:space="preserve"> </w:t>
      </w:r>
      <w:r w:rsidRPr="00233F1E">
        <w:rPr>
          <w:rFonts w:eastAsia="Arial"/>
          <w:bCs/>
        </w:rPr>
        <w:t>Pagrindinis TRIGGER tyrimo tikslas buvo įrodyti, kad pridėjus trečiąjį komponentą (</w:t>
      </w:r>
      <w:r>
        <w:rPr>
          <w:rFonts w:eastAsia="Arial"/>
          <w:bCs/>
        </w:rPr>
        <w:t>IV</w:t>
      </w:r>
      <w:r w:rsidRPr="00233F1E">
        <w:rPr>
          <w:rFonts w:eastAsia="Arial"/>
          <w:bCs/>
        </w:rPr>
        <w:t xml:space="preserve">MA – glikopironį) prie didelių dozių </w:t>
      </w:r>
      <w:r>
        <w:rPr>
          <w:rFonts w:eastAsia="Arial"/>
          <w:bCs/>
        </w:rPr>
        <w:t>ĮK</w:t>
      </w:r>
      <w:r w:rsidRPr="00233F1E">
        <w:rPr>
          <w:rFonts w:eastAsia="Arial"/>
          <w:bCs/>
        </w:rPr>
        <w:t>S</w:t>
      </w:r>
      <w:r>
        <w:rPr>
          <w:rFonts w:eastAsia="Arial"/>
          <w:bCs/>
        </w:rPr>
        <w:t xml:space="preserve"> + IV</w:t>
      </w:r>
      <w:r w:rsidRPr="00233F1E">
        <w:rPr>
          <w:rFonts w:eastAsia="Arial"/>
          <w:bCs/>
        </w:rPr>
        <w:t>BA</w:t>
      </w:r>
      <w:r>
        <w:rPr>
          <w:rFonts w:eastAsia="Arial"/>
          <w:bCs/>
        </w:rPr>
        <w:t xml:space="preserve">  </w:t>
      </w:r>
      <w:r w:rsidRPr="00233F1E">
        <w:rPr>
          <w:rFonts w:eastAsia="Arial"/>
          <w:bCs/>
        </w:rPr>
        <w:lastRenderedPageBreak/>
        <w:t>derinio, pagerėja plaučių funkcija ir sumažėja astmos paūmėjimų dažnis tiems pacientams, kurių liga vis dar nebuvo pakankamai kontroliuojama.</w:t>
      </w:r>
    </w:p>
    <w:p w14:paraId="5CC31833" w14:textId="77777777" w:rsidR="00A4304E" w:rsidRDefault="00A4304E" w:rsidP="00D574E0">
      <w:pPr>
        <w:spacing w:line="276" w:lineRule="auto"/>
        <w:ind w:firstLine="720"/>
        <w:jc w:val="both"/>
        <w:rPr>
          <w:iCs/>
        </w:rPr>
      </w:pPr>
      <w:r w:rsidRPr="00DA5E5D">
        <w:rPr>
          <w:iCs/>
        </w:rPr>
        <w:t xml:space="preserve">Įvertinus įtraukimo ir atmetimo kriterijus </w:t>
      </w:r>
      <w:r>
        <w:rPr>
          <w:iCs/>
        </w:rPr>
        <w:t>TRIGGER</w:t>
      </w:r>
      <w:r w:rsidRPr="00DA5E5D">
        <w:rPr>
          <w:iCs/>
        </w:rPr>
        <w:t xml:space="preserve"> tyrime, pacientų populiacija atitinką siūlomą kompensuoti </w:t>
      </w:r>
      <w:r>
        <w:rPr>
          <w:iCs/>
        </w:rPr>
        <w:t xml:space="preserve">Trimbow </w:t>
      </w:r>
      <w:r>
        <w:rPr>
          <w:rFonts w:eastAsia="Arial"/>
          <w:bCs/>
        </w:rPr>
        <w:t xml:space="preserve">(beklometazono/formoterolio/glikopironio) </w:t>
      </w:r>
      <w:r w:rsidRPr="00DA5E5D">
        <w:rPr>
          <w:iCs/>
        </w:rPr>
        <w:t>terapinę indikaciją</w:t>
      </w:r>
      <w:r>
        <w:rPr>
          <w:iCs/>
        </w:rPr>
        <w:t xml:space="preserve"> ir</w:t>
      </w:r>
      <w:r w:rsidRPr="00DA5E5D">
        <w:rPr>
          <w:iCs/>
        </w:rPr>
        <w:t xml:space="preserve"> egzistuojančią Lietuvos pacientų populiaciją. </w:t>
      </w:r>
      <w:r>
        <w:rPr>
          <w:iCs/>
        </w:rPr>
        <w:t xml:space="preserve">Atmetimo </w:t>
      </w:r>
      <w:r w:rsidRPr="00DA5E5D">
        <w:rPr>
          <w:iCs/>
        </w:rPr>
        <w:t>kriterijai netur</w:t>
      </w:r>
      <w:r>
        <w:rPr>
          <w:iCs/>
        </w:rPr>
        <w:t>ėjo</w:t>
      </w:r>
      <w:r w:rsidRPr="00DA5E5D">
        <w:rPr>
          <w:iCs/>
        </w:rPr>
        <w:t xml:space="preserve"> įtakos tyrimo rezultat</w:t>
      </w:r>
      <w:r>
        <w:rPr>
          <w:iCs/>
        </w:rPr>
        <w:t xml:space="preserve">ams. </w:t>
      </w:r>
    </w:p>
    <w:p w14:paraId="438433AB" w14:textId="77777777" w:rsidR="00A4304E" w:rsidRPr="005F4772" w:rsidRDefault="00A4304E" w:rsidP="00D574E0">
      <w:pPr>
        <w:spacing w:line="276" w:lineRule="auto"/>
        <w:jc w:val="both"/>
        <w:rPr>
          <w:iCs/>
        </w:rPr>
      </w:pPr>
      <w:r>
        <w:rPr>
          <w:iCs/>
        </w:rPr>
        <w:t xml:space="preserve">Pirminės </w:t>
      </w:r>
      <w:r w:rsidRPr="00F82520">
        <w:rPr>
          <w:rFonts w:eastAsia="Arial"/>
        </w:rPr>
        <w:t>vertinamosios baigtys buvo</w:t>
      </w:r>
      <w:r w:rsidRPr="00F82520">
        <w:rPr>
          <w:rFonts w:eastAsia="Arial"/>
          <w:i/>
          <w:iCs/>
        </w:rPr>
        <w:t xml:space="preserve"> </w:t>
      </w:r>
      <w:r w:rsidRPr="00F82520">
        <w:rPr>
          <w:rFonts w:eastAsia="Arial"/>
        </w:rPr>
        <w:t xml:space="preserve">FEV1 pokytis nuo pradinio lygio 26 savaitę ir vidutinio sunkumo ir sunkių paūmėjimų dažnis per 52 savaites. </w:t>
      </w:r>
      <w:r w:rsidRPr="006E2E92">
        <w:rPr>
          <w:rFonts w:eastAsiaTheme="majorEastAsia"/>
          <w:u w:val="single"/>
        </w:rPr>
        <w:t>FEV₁ pokytis prieš vaisto vartojimą 26-ą savaitę</w:t>
      </w:r>
      <w:r>
        <w:rPr>
          <w:rFonts w:eastAsiaTheme="majorEastAsia"/>
          <w:b/>
          <w:bCs/>
        </w:rPr>
        <w:t xml:space="preserve"> -</w:t>
      </w:r>
      <w:r>
        <w:rPr>
          <w:rFonts w:eastAsiaTheme="majorEastAsia"/>
        </w:rPr>
        <w:t xml:space="preserve"> nustatytas statistiškai reikšmingas pokytis BDP/FF/G grupėje lyginant su BDP/FF </w:t>
      </w:r>
      <w:r w:rsidRPr="00F63385">
        <w:rPr>
          <w:rFonts w:eastAsiaTheme="majorEastAsia"/>
        </w:rPr>
        <w:t>73 ml (p = 0,0025)</w:t>
      </w:r>
      <w:r>
        <w:rPr>
          <w:rFonts w:eastAsiaTheme="majorEastAsia"/>
        </w:rPr>
        <w:t xml:space="preserve">. Nors numatytas </w:t>
      </w:r>
      <w:r w:rsidRPr="00713A86">
        <w:rPr>
          <w:rFonts w:eastAsiaTheme="majorEastAsia"/>
        </w:rPr>
        <w:t xml:space="preserve">pokyčio skirtumas tarp palyginamųjų grupių </w:t>
      </w:r>
      <w:r w:rsidRPr="00713A86">
        <w:rPr>
          <w:rFonts w:eastAsia="Arial"/>
        </w:rPr>
        <w:t>BDP/FF/G ir BDP/FF</w:t>
      </w:r>
      <w:r w:rsidRPr="00713A86">
        <w:rPr>
          <w:rFonts w:eastAsiaTheme="majorEastAsia"/>
        </w:rPr>
        <w:t xml:space="preserve"> pasiektas nebuvo: </w:t>
      </w:r>
      <w:r w:rsidRPr="00713A86">
        <w:rPr>
          <w:rFonts w:eastAsia="Arial"/>
        </w:rPr>
        <w:t>+</w:t>
      </w:r>
      <w:r>
        <w:rPr>
          <w:rFonts w:eastAsia="Arial"/>
        </w:rPr>
        <w:t xml:space="preserve"> </w:t>
      </w:r>
      <w:r w:rsidRPr="00713A86">
        <w:rPr>
          <w:rFonts w:eastAsia="Arial"/>
        </w:rPr>
        <w:t>90 ml</w:t>
      </w:r>
      <w:r>
        <w:rPr>
          <w:rFonts w:eastAsia="Arial"/>
        </w:rPr>
        <w:t>, laikoma, kad pasiektas FEV1 skirtumas yra kliniškai reikšmingas</w:t>
      </w:r>
      <w:r w:rsidRPr="00713A86">
        <w:rPr>
          <w:rFonts w:eastAsiaTheme="majorEastAsia"/>
        </w:rPr>
        <w:t>.</w:t>
      </w:r>
      <w:r>
        <w:rPr>
          <w:rFonts w:eastAsiaTheme="majorEastAsia"/>
        </w:rPr>
        <w:t xml:space="preserve"> </w:t>
      </w:r>
      <w:r w:rsidRPr="00AE5808">
        <w:rPr>
          <w:rFonts w:eastAsiaTheme="majorEastAsia"/>
          <w:u w:val="single"/>
        </w:rPr>
        <w:t>Metinis vidutinio sunkumo ir sunkių paūmėjimų dažnio sumažėjimas</w:t>
      </w:r>
      <w:r w:rsidRPr="000A7058">
        <w:rPr>
          <w:rFonts w:eastAsiaTheme="majorEastAsia"/>
        </w:rPr>
        <w:t xml:space="preserve"> - </w:t>
      </w:r>
      <w:r w:rsidRPr="00F63385">
        <w:rPr>
          <w:rFonts w:eastAsiaTheme="majorEastAsia"/>
        </w:rPr>
        <w:t xml:space="preserve">TRIGGER tyrime siekė 12 </w:t>
      </w:r>
      <w:r>
        <w:rPr>
          <w:rFonts w:eastAsiaTheme="majorEastAsia"/>
        </w:rPr>
        <w:t>proc.</w:t>
      </w:r>
      <w:r w:rsidRPr="00F63385">
        <w:rPr>
          <w:rFonts w:eastAsiaTheme="majorEastAsia"/>
        </w:rPr>
        <w:t xml:space="preserve">, šis skirtumas nebuvo statistiškai reikšmingas (0,88; 95 </w:t>
      </w:r>
      <w:r>
        <w:rPr>
          <w:rFonts w:eastAsiaTheme="majorEastAsia"/>
        </w:rPr>
        <w:t>proc.</w:t>
      </w:r>
      <w:r w:rsidRPr="00F63385">
        <w:rPr>
          <w:rFonts w:eastAsiaTheme="majorEastAsia"/>
        </w:rPr>
        <w:t xml:space="preserve"> PI 0,75–1,03; p = 0,11)</w:t>
      </w:r>
      <w:r>
        <w:rPr>
          <w:rFonts w:eastAsiaTheme="majorEastAsia"/>
        </w:rPr>
        <w:t xml:space="preserve">, tačiau </w:t>
      </w:r>
      <w:r w:rsidRPr="00CE2C40">
        <w:rPr>
          <w:iCs/>
        </w:rPr>
        <w:t>vis tiek gali atspindėti teigiamą tendenciją mažesnėje tiriamųjų populiacijoje arba trumpesniame laikotarpyje remiantis FEV1 pokyčiu.</w:t>
      </w:r>
    </w:p>
    <w:p w14:paraId="41BF0A7A" w14:textId="77777777" w:rsidR="00A4304E" w:rsidRPr="0059214A" w:rsidRDefault="00A4304E" w:rsidP="00D574E0">
      <w:pPr>
        <w:spacing w:line="276" w:lineRule="auto"/>
        <w:ind w:firstLine="720"/>
        <w:jc w:val="both"/>
        <w:rPr>
          <w:iCs/>
        </w:rPr>
      </w:pPr>
      <w:r>
        <w:rPr>
          <w:rFonts w:eastAsiaTheme="majorEastAsia"/>
        </w:rPr>
        <w:t>Antrinės vertinamosios baigtys parodė statistiškai ir kliniškai reikšmingus pokyčius pacientų gydytų BDP/FF/G deriniu grupėje.</w:t>
      </w:r>
      <w:r w:rsidRPr="004C375E">
        <w:rPr>
          <w:rFonts w:eastAsiaTheme="majorEastAsia"/>
        </w:rPr>
        <w:t xml:space="preserve"> </w:t>
      </w:r>
      <w:r w:rsidRPr="004C375E">
        <w:rPr>
          <w:rFonts w:eastAsia="Arial"/>
        </w:rPr>
        <w:t>FEV</w:t>
      </w:r>
      <w:r w:rsidRPr="004C375E">
        <w:rPr>
          <w:rFonts w:eastAsia="Arial"/>
          <w:vertAlign w:val="subscript"/>
        </w:rPr>
        <w:t>1</w:t>
      </w:r>
      <w:r w:rsidRPr="004C375E">
        <w:rPr>
          <w:rFonts w:eastAsia="Arial"/>
        </w:rPr>
        <w:t xml:space="preserve"> absoliutus pokytis buvo reikšmingai didesnis BDP/FF/G pacientų grupėje (522ml) nei BDP/FF grupėje (417ml) (</w:t>
      </w:r>
      <w:r w:rsidRPr="004C375E">
        <w:rPr>
          <w:rFonts w:eastAsia="Arial"/>
          <w:lang w:val="en-GB"/>
        </w:rPr>
        <w:t>p</w:t>
      </w:r>
      <w:r w:rsidRPr="004C375E">
        <w:rPr>
          <w:rFonts w:eastAsia="Arial"/>
          <w:vertAlign w:val="subscript"/>
          <w:lang w:val="en-GB"/>
        </w:rPr>
        <w:t>nominal</w:t>
      </w:r>
      <w:r w:rsidRPr="004C375E">
        <w:rPr>
          <w:rFonts w:eastAsia="Arial"/>
          <w:lang w:val="en-GB"/>
        </w:rPr>
        <w:t xml:space="preserve">&lt;0,0001). </w:t>
      </w:r>
      <w:r w:rsidRPr="004C375E">
        <w:rPr>
          <w:rFonts w:eastAsia="Arial"/>
        </w:rPr>
        <w:t>Vidutinis rytinis maksimalus iškvėpimo srovės greitis (angl. PEF – peak expiratory flow) – didžiausias oro srovės greitis, kuris matuojamas forsuoto iškvėpimo pradžioje per pirmas 26 tyrimo savaites, taip pat buvo reikšmingai didesnis BDP/FF/G grupėje (+10,1 l/min), palyginus su BDP/FF grupe (+2,3 l/min) (p</w:t>
      </w:r>
      <w:r w:rsidRPr="004C375E">
        <w:rPr>
          <w:rFonts w:eastAsia="Arial"/>
          <w:vertAlign w:val="subscript"/>
        </w:rPr>
        <w:t>nominal</w:t>
      </w:r>
      <w:r w:rsidRPr="004C375E">
        <w:rPr>
          <w:rFonts w:eastAsia="Arial"/>
          <w:lang w:val="en-GB"/>
        </w:rPr>
        <w:t>=</w:t>
      </w:r>
      <w:r w:rsidRPr="004C375E">
        <w:rPr>
          <w:rFonts w:eastAsia="Arial"/>
        </w:rPr>
        <w:t xml:space="preserve">0,0014). </w:t>
      </w:r>
      <w:r w:rsidRPr="004C375E">
        <w:rPr>
          <w:color w:val="000000"/>
          <w:lang w:eastAsia="en-GB"/>
        </w:rPr>
        <w:t>Laikas iki pirmojo vidutinio sunkumo arba sunkaus paūmėjimo TRIGGER tyrime buvo ilgesnis BDP/FF/G grupėje, palyginti su BDP/FF grupe (0,80; 0,69–0,93; p</w:t>
      </w:r>
      <w:r w:rsidRPr="004C375E">
        <w:rPr>
          <w:color w:val="000000"/>
          <w:vertAlign w:val="subscript"/>
          <w:lang w:eastAsia="en-GB"/>
        </w:rPr>
        <w:t>nominal</w:t>
      </w:r>
      <w:r w:rsidRPr="004C375E">
        <w:rPr>
          <w:color w:val="000000"/>
          <w:lang w:eastAsia="en-GB"/>
        </w:rPr>
        <w:t xml:space="preserve"> = 0,0035). Panašiai ir laikas iki pirmojo vidutinio sunkumo paūmėjimo buvo ilgesnis BDP/FF/G grupėje nei BDP/FF grupėje (TRIGGER: 0,81; 0,69–0,95; p</w:t>
      </w:r>
      <w:r w:rsidRPr="004C375E">
        <w:rPr>
          <w:color w:val="000000"/>
          <w:vertAlign w:val="subscript"/>
          <w:lang w:eastAsia="en-GB"/>
        </w:rPr>
        <w:t>nominal</w:t>
      </w:r>
      <w:r w:rsidRPr="004C375E">
        <w:rPr>
          <w:color w:val="000000"/>
          <w:lang w:eastAsia="en-GB"/>
        </w:rPr>
        <w:t xml:space="preserve"> = 0,0089). </w:t>
      </w:r>
      <w:r>
        <w:rPr>
          <w:color w:val="000000"/>
          <w:lang w:eastAsia="en-GB"/>
        </w:rPr>
        <w:t>Nors statistiškai reikšmingo pagerėjimo pagal</w:t>
      </w:r>
      <w:r w:rsidRPr="004C375E">
        <w:rPr>
          <w:color w:val="000000"/>
          <w:lang w:eastAsia="en-GB"/>
        </w:rPr>
        <w:t xml:space="preserve"> ACQ-7</w:t>
      </w:r>
      <w:r>
        <w:rPr>
          <w:color w:val="000000"/>
          <w:lang w:eastAsia="en-GB"/>
        </w:rPr>
        <w:t xml:space="preserve"> (astmos kontrolės klausimynas), </w:t>
      </w:r>
      <w:r w:rsidRPr="004C375E">
        <w:rPr>
          <w:color w:val="000000"/>
          <w:lang w:eastAsia="en-GB"/>
        </w:rPr>
        <w:t xml:space="preserve"> gelbstinčių vaistų vartojimą ar vidutinius kasdienius simptomus</w:t>
      </w:r>
      <w:r>
        <w:rPr>
          <w:color w:val="000000"/>
          <w:lang w:eastAsia="en-GB"/>
        </w:rPr>
        <w:t xml:space="preserve"> nebuvo pastebėta</w:t>
      </w:r>
      <w:r w:rsidRPr="004C375E">
        <w:rPr>
          <w:color w:val="000000"/>
          <w:lang w:eastAsia="en-GB"/>
        </w:rPr>
        <w:t>, lyginant su BDP/FF bei BDP/FF + tiotropio grupėmis. Tačiau, lyginant su BDP/FF, nustatyta</w:t>
      </w:r>
      <w:r>
        <w:rPr>
          <w:color w:val="000000"/>
          <w:lang w:eastAsia="en-GB"/>
        </w:rPr>
        <w:t xml:space="preserve">, kad pacientai gydomi BDP/FF/G turėjo </w:t>
      </w:r>
      <w:r w:rsidRPr="004C375E">
        <w:rPr>
          <w:color w:val="000000"/>
          <w:lang w:eastAsia="en-GB"/>
        </w:rPr>
        <w:t>didesn</w:t>
      </w:r>
      <w:r>
        <w:rPr>
          <w:color w:val="000000"/>
          <w:lang w:eastAsia="en-GB"/>
        </w:rPr>
        <w:t>ę</w:t>
      </w:r>
      <w:r w:rsidRPr="004C375E">
        <w:rPr>
          <w:color w:val="000000"/>
          <w:lang w:eastAsia="en-GB"/>
        </w:rPr>
        <w:t xml:space="preserve"> dienų dal</w:t>
      </w:r>
      <w:r>
        <w:rPr>
          <w:color w:val="000000"/>
          <w:lang w:eastAsia="en-GB"/>
        </w:rPr>
        <w:t>į</w:t>
      </w:r>
      <w:r w:rsidRPr="004C375E">
        <w:rPr>
          <w:color w:val="000000"/>
          <w:lang w:eastAsia="en-GB"/>
        </w:rPr>
        <w:t xml:space="preserve"> be astmos simptomų ir kontroliuojamos astmos dienų dal</w:t>
      </w:r>
      <w:r>
        <w:rPr>
          <w:color w:val="000000"/>
          <w:lang w:eastAsia="en-GB"/>
        </w:rPr>
        <w:t>į</w:t>
      </w:r>
      <w:r w:rsidRPr="004C375E">
        <w:rPr>
          <w:color w:val="000000"/>
          <w:lang w:eastAsia="en-GB"/>
        </w:rPr>
        <w:t xml:space="preserve"> per 52 savaites, kas rodo klinikinę naudą. </w:t>
      </w:r>
    </w:p>
    <w:p w14:paraId="5901BE9D" w14:textId="77777777" w:rsidR="00A4304E" w:rsidRPr="006B36C9" w:rsidRDefault="00A4304E" w:rsidP="00D574E0">
      <w:pPr>
        <w:pStyle w:val="VVKT"/>
        <w:ind w:firstLine="720"/>
        <w:jc w:val="both"/>
        <w:rPr>
          <w:rFonts w:ascii="Times New Roman" w:eastAsiaTheme="majorEastAsia" w:hAnsi="Times New Roman" w:cs="Times New Roman"/>
          <w:sz w:val="22"/>
          <w:szCs w:val="22"/>
        </w:rPr>
      </w:pPr>
      <w:r w:rsidRPr="006B36C9">
        <w:rPr>
          <w:rFonts w:ascii="Times New Roman" w:eastAsiaTheme="majorEastAsia" w:hAnsi="Times New Roman" w:cs="Times New Roman"/>
          <w:sz w:val="22"/>
          <w:szCs w:val="22"/>
        </w:rPr>
        <w:t xml:space="preserve">Pareiškėjas papildomai pateikė dviejų pagrindinių tyrimų (TRIGGER ir TRIMARAN) suvestinę analizę, kurioje buvo vertintas vidutinių ir sunkių paūmėjimų metinis dažnis. BDP/FF/G grupių pacientams nustatytas mažesnis sunkių paūmėjimų dažnis, palyginti su BDP/FF grupėmis (–23 proc.; p = 0,0076). Pažymėtina, kad BDP/FF/G grupėje buvo mažesnis vidutinio sunkumo paūmėjimų dažnis (–12 proc.; p = 0,043) bei bendras vidutinio sunkumo ir sunkių paūmėjimų dažnis (–14 proc.; p = 0,0083), palyginti su BDP/FF grupe. </w:t>
      </w:r>
      <w:r w:rsidRPr="006B36C9">
        <w:rPr>
          <w:rFonts w:ascii="Times New Roman" w:hAnsi="Times New Roman" w:cs="Times New Roman"/>
          <w:color w:val="000000"/>
          <w:sz w:val="22"/>
          <w:szCs w:val="22"/>
          <w:lang w:eastAsia="en-GB"/>
        </w:rPr>
        <w:t xml:space="preserve">Visi PEF pagrįsti antriniai baigties rodikliai abiejuose tyrimuose buvo statistiškai reikšmingai geresni BDP/FF/G grupėje, palyginti su BDP/FF grupe. </w:t>
      </w:r>
    </w:p>
    <w:p w14:paraId="32FA7423" w14:textId="77777777" w:rsidR="00A4304E" w:rsidRPr="00194F62" w:rsidRDefault="00A4304E" w:rsidP="00D574E0">
      <w:pPr>
        <w:spacing w:line="276" w:lineRule="auto"/>
        <w:ind w:firstLine="720"/>
        <w:jc w:val="both"/>
        <w:rPr>
          <w:color w:val="000000"/>
          <w:lang w:eastAsia="en-GB"/>
        </w:rPr>
      </w:pPr>
      <w:r>
        <w:rPr>
          <w:color w:val="000000"/>
          <w:lang w:eastAsia="en-GB"/>
        </w:rPr>
        <w:t xml:space="preserve">Taip pat atlikta </w:t>
      </w:r>
      <w:r>
        <w:rPr>
          <w:i/>
          <w:iCs/>
          <w:color w:val="000000"/>
          <w:lang w:eastAsia="en-GB"/>
        </w:rPr>
        <w:t>p</w:t>
      </w:r>
      <w:r w:rsidRPr="001715CE">
        <w:rPr>
          <w:i/>
          <w:iCs/>
          <w:color w:val="000000"/>
          <w:lang w:eastAsia="en-GB"/>
        </w:rPr>
        <w:t>ost hoc</w:t>
      </w:r>
      <w:r w:rsidRPr="00194F62">
        <w:rPr>
          <w:color w:val="000000"/>
          <w:lang w:eastAsia="en-GB"/>
        </w:rPr>
        <w:t xml:space="preserve"> analizė</w:t>
      </w:r>
      <w:r>
        <w:rPr>
          <w:color w:val="000000"/>
          <w:lang w:eastAsia="en-GB"/>
        </w:rPr>
        <w:t xml:space="preserve">, remiantis TRIGGER tyrimo duomenimis, parodė, kad </w:t>
      </w:r>
      <w:r w:rsidRPr="00194F62">
        <w:rPr>
          <w:color w:val="000000"/>
          <w:lang w:eastAsia="en-GB"/>
        </w:rPr>
        <w:t>pacientų, turinčių nuolatinę oro srauto ribojimo būklę (AL+),</w:t>
      </w:r>
      <w:r>
        <w:rPr>
          <w:color w:val="000000"/>
          <w:lang w:eastAsia="en-GB"/>
        </w:rPr>
        <w:t xml:space="preserve"> </w:t>
      </w:r>
      <w:r w:rsidRPr="00194F62">
        <w:rPr>
          <w:color w:val="000000"/>
          <w:lang w:eastAsia="en-GB"/>
        </w:rPr>
        <w:t>gydymas beklometazonu, formoteroliu ir gli</w:t>
      </w:r>
      <w:r>
        <w:rPr>
          <w:color w:val="000000"/>
          <w:lang w:eastAsia="en-GB"/>
        </w:rPr>
        <w:t>ko</w:t>
      </w:r>
      <w:r w:rsidRPr="00194F62">
        <w:rPr>
          <w:color w:val="000000"/>
          <w:lang w:eastAsia="en-GB"/>
        </w:rPr>
        <w:t>pironiu, palyginti su beklometazonu ir formoteroliu</w:t>
      </w:r>
      <w:r>
        <w:rPr>
          <w:color w:val="000000"/>
          <w:lang w:eastAsia="en-GB"/>
        </w:rPr>
        <w:t>,</w:t>
      </w:r>
      <w:r w:rsidRPr="00194F62">
        <w:rPr>
          <w:color w:val="000000"/>
          <w:lang w:eastAsia="en-GB"/>
        </w:rPr>
        <w:t xml:space="preserve"> reikšmingai sumažino vidutinio sunkumo paūmėjimus</w:t>
      </w:r>
      <w:r>
        <w:rPr>
          <w:color w:val="000000"/>
          <w:lang w:eastAsia="en-GB"/>
        </w:rPr>
        <w:t xml:space="preserve"> </w:t>
      </w:r>
      <w:r w:rsidRPr="00194F62">
        <w:rPr>
          <w:color w:val="000000"/>
          <w:lang w:eastAsia="en-GB"/>
        </w:rPr>
        <w:t>bei sunkių paūmėjimų dažnį</w:t>
      </w:r>
      <w:r>
        <w:rPr>
          <w:color w:val="000000"/>
          <w:lang w:eastAsia="en-GB"/>
        </w:rPr>
        <w:t xml:space="preserve"> </w:t>
      </w:r>
      <w:r w:rsidRPr="00194F62">
        <w:rPr>
          <w:color w:val="000000"/>
          <w:lang w:eastAsia="en-GB"/>
        </w:rPr>
        <w:t xml:space="preserve"> (25,9 proc.), taip pat reikšmingai pagerino FEV1 prieš vaisto pavartojimą rodiklį (+130 ml), FEV</w:t>
      </w:r>
      <w:r w:rsidRPr="00194F62">
        <w:rPr>
          <w:color w:val="000000"/>
          <w:vertAlign w:val="subscript"/>
          <w:lang w:eastAsia="en-GB"/>
        </w:rPr>
        <w:t>1</w:t>
      </w:r>
      <w:r w:rsidRPr="00194F62">
        <w:rPr>
          <w:color w:val="000000"/>
          <w:lang w:eastAsia="en-GB"/>
        </w:rPr>
        <w:t xml:space="preserve"> </w:t>
      </w:r>
      <w:r w:rsidRPr="00194F62">
        <w:rPr>
          <w:color w:val="000000"/>
          <w:vertAlign w:val="subscript"/>
          <w:lang w:eastAsia="en-GB"/>
        </w:rPr>
        <w:t>max</w:t>
      </w:r>
      <w:r w:rsidRPr="00194F62">
        <w:rPr>
          <w:color w:val="000000"/>
          <w:lang w:eastAsia="en-GB"/>
        </w:rPr>
        <w:t xml:space="preserve"> rodiklį per 0–3 valandas (+154 ml) ir vidutinį rytinį PEF rodiklį (+14,6 l/min), palyginti su beklometazono ir formoterolio grupe </w:t>
      </w:r>
      <w:r>
        <w:rPr>
          <w:color w:val="000000"/>
          <w:lang w:eastAsia="en-GB"/>
        </w:rPr>
        <w:t xml:space="preserve">po </w:t>
      </w:r>
      <w:r w:rsidRPr="00194F62">
        <w:rPr>
          <w:color w:val="000000"/>
          <w:lang w:eastAsia="en-GB"/>
        </w:rPr>
        <w:t>26 savai</w:t>
      </w:r>
      <w:r>
        <w:rPr>
          <w:color w:val="000000"/>
          <w:lang w:eastAsia="en-GB"/>
        </w:rPr>
        <w:t>čių gydymo</w:t>
      </w:r>
      <w:r w:rsidRPr="00194F62">
        <w:rPr>
          <w:color w:val="000000"/>
          <w:lang w:eastAsia="en-GB"/>
        </w:rPr>
        <w:t>.</w:t>
      </w:r>
      <w:r>
        <w:rPr>
          <w:color w:val="000000"/>
          <w:lang w:eastAsia="en-GB"/>
        </w:rPr>
        <w:t xml:space="preserve"> </w:t>
      </w:r>
      <w:r w:rsidRPr="00194F62">
        <w:rPr>
          <w:color w:val="000000"/>
          <w:lang w:eastAsia="en-GB"/>
        </w:rPr>
        <w:t>Po 52 savaičių gydymo nustatyta, kad, BDP/FF/G palyginti su BDP/FF grupe, triguba terapija sumažino sunkių astmos paūmėjimų dažnį 35,8 proc. ir vidutinio sunkumo bei sunkių paūmėjimų dažnį 28,3 proc.</w:t>
      </w:r>
    </w:p>
    <w:p w14:paraId="4D463A28" w14:textId="77777777" w:rsidR="00A4304E" w:rsidRPr="00C27EDE" w:rsidRDefault="00A4304E" w:rsidP="00D574E0">
      <w:pPr>
        <w:tabs>
          <w:tab w:val="num" w:pos="720"/>
        </w:tabs>
        <w:spacing w:line="276" w:lineRule="auto"/>
        <w:jc w:val="both"/>
        <w:rPr>
          <w:i/>
          <w:iCs/>
          <w:color w:val="000000"/>
          <w:lang w:eastAsia="en-GB"/>
        </w:rPr>
      </w:pPr>
      <w:r w:rsidRPr="00C27EDE">
        <w:rPr>
          <w:i/>
          <w:iCs/>
          <w:color w:val="000000"/>
          <w:lang w:eastAsia="en-GB"/>
        </w:rPr>
        <w:t>Netiesioginis palyginimas</w:t>
      </w:r>
    </w:p>
    <w:p w14:paraId="1A31E966" w14:textId="77777777" w:rsidR="00A4304E" w:rsidRPr="001119A2" w:rsidRDefault="00A4304E" w:rsidP="00D574E0">
      <w:pPr>
        <w:tabs>
          <w:tab w:val="left" w:pos="492"/>
        </w:tabs>
        <w:spacing w:line="276" w:lineRule="auto"/>
        <w:jc w:val="both"/>
        <w:outlineLvl w:val="1"/>
        <w:rPr>
          <w:rFonts w:eastAsia="Arial"/>
        </w:rPr>
      </w:pPr>
      <w:r>
        <w:rPr>
          <w:rFonts w:eastAsia="Arial"/>
        </w:rPr>
        <w:lastRenderedPageBreak/>
        <w:t xml:space="preserve">Netiesioginis palyginimas grindžiamas </w:t>
      </w:r>
      <w:r w:rsidRPr="00194F62">
        <w:rPr>
          <w:rFonts w:eastAsia="Arial"/>
        </w:rPr>
        <w:t>tinklin</w:t>
      </w:r>
      <w:r>
        <w:rPr>
          <w:rFonts w:eastAsia="Arial"/>
        </w:rPr>
        <w:t>ės</w:t>
      </w:r>
      <w:r w:rsidRPr="00194F62">
        <w:rPr>
          <w:rFonts w:eastAsia="Arial"/>
        </w:rPr>
        <w:t xml:space="preserve"> meta-analizė</w:t>
      </w:r>
      <w:r>
        <w:rPr>
          <w:rFonts w:eastAsia="Arial"/>
        </w:rPr>
        <w:t>s (TMA) rezultatais.</w:t>
      </w:r>
      <w:r w:rsidRPr="00194F62">
        <w:rPr>
          <w:rFonts w:eastAsia="Arial"/>
        </w:rPr>
        <w:t xml:space="preserve"> </w:t>
      </w:r>
      <w:r>
        <w:rPr>
          <w:rFonts w:eastAsia="Arial"/>
        </w:rPr>
        <w:t>TM analizėje BDP/FF/G</w:t>
      </w:r>
      <w:r w:rsidRPr="00194F62">
        <w:rPr>
          <w:rFonts w:eastAsia="Arial"/>
        </w:rPr>
        <w:t xml:space="preserve"> </w:t>
      </w:r>
      <w:r>
        <w:rPr>
          <w:rFonts w:eastAsia="Arial"/>
        </w:rPr>
        <w:t xml:space="preserve">derinio veiksmingumas buvo </w:t>
      </w:r>
      <w:r w:rsidRPr="00194F62">
        <w:rPr>
          <w:rFonts w:eastAsia="Arial"/>
        </w:rPr>
        <w:t>lyginamas su trijų arba dviejų vaistų deriniu, apimančiu IKA/IVBA ir (arba) ilgai veikiančius muskarino receptorių blokatorius</w:t>
      </w:r>
      <w:r>
        <w:rPr>
          <w:rFonts w:eastAsia="Arial"/>
        </w:rPr>
        <w:t xml:space="preserve">, įskaitant BDP/FF derinį, kuris atitinką įprastą klinikinę praktiką Lietuvoje. </w:t>
      </w:r>
      <w:r w:rsidRPr="00194F62">
        <w:rPr>
          <w:iCs/>
        </w:rPr>
        <w:t xml:space="preserve">Netiesioginio palyginimo analizės populiacija atitinka Lietuvos pacientų sergančių astma populiaciją. </w:t>
      </w:r>
    </w:p>
    <w:p w14:paraId="07D3B1DE" w14:textId="77777777" w:rsidR="00A4304E" w:rsidRDefault="00A4304E" w:rsidP="00D574E0">
      <w:pPr>
        <w:spacing w:line="276" w:lineRule="auto"/>
        <w:ind w:firstLine="720"/>
        <w:jc w:val="both"/>
        <w:rPr>
          <w:color w:val="000000"/>
          <w:lang w:eastAsia="en-GB"/>
        </w:rPr>
      </w:pPr>
      <w:r>
        <w:rPr>
          <w:rFonts w:eastAsia="Arial"/>
        </w:rPr>
        <w:t xml:space="preserve">TMA rezultatai parodė, kad </w:t>
      </w:r>
      <w:r w:rsidRPr="00194F62">
        <w:rPr>
          <w:rFonts w:eastAsia="Arial"/>
        </w:rPr>
        <w:t>BDP/FF/G deriniu gydytų pacientų FEV1 pokytis</w:t>
      </w:r>
      <w:r>
        <w:rPr>
          <w:rFonts w:eastAsia="Arial"/>
        </w:rPr>
        <w:t xml:space="preserve"> po 12 savaičių</w:t>
      </w:r>
      <w:r w:rsidRPr="00194F62">
        <w:rPr>
          <w:rFonts w:eastAsia="Arial"/>
        </w:rPr>
        <w:t xml:space="preserve"> buvo didesnis </w:t>
      </w:r>
      <w:r>
        <w:rPr>
          <w:rFonts w:eastAsia="Arial"/>
        </w:rPr>
        <w:t xml:space="preserve">ir statistiškai reikšmingas </w:t>
      </w:r>
      <w:r w:rsidRPr="00194F62">
        <w:rPr>
          <w:rFonts w:eastAsia="Arial"/>
        </w:rPr>
        <w:t>nei gydytų</w:t>
      </w:r>
      <w:r>
        <w:rPr>
          <w:rFonts w:eastAsia="Arial"/>
        </w:rPr>
        <w:t xml:space="preserve"> </w:t>
      </w:r>
      <w:r w:rsidRPr="001A2ABD">
        <w:rPr>
          <w:rFonts w:eastAsia="Arial"/>
        </w:rPr>
        <w:t>didel</w:t>
      </w:r>
      <w:r>
        <w:rPr>
          <w:rFonts w:eastAsia="Arial"/>
        </w:rPr>
        <w:t>ių</w:t>
      </w:r>
      <w:r w:rsidRPr="001A2ABD">
        <w:rPr>
          <w:rFonts w:eastAsia="Arial"/>
        </w:rPr>
        <w:t xml:space="preserve"> doz</w:t>
      </w:r>
      <w:r>
        <w:rPr>
          <w:rFonts w:eastAsia="Arial"/>
        </w:rPr>
        <w:t>ių</w:t>
      </w:r>
      <w:r w:rsidRPr="001A2ABD">
        <w:rPr>
          <w:rFonts w:eastAsia="Arial"/>
        </w:rPr>
        <w:t xml:space="preserve"> </w:t>
      </w:r>
      <w:r>
        <w:rPr>
          <w:rFonts w:eastAsia="Arial"/>
        </w:rPr>
        <w:t>BDP/FF deriniu</w:t>
      </w:r>
      <w:r w:rsidRPr="001A2ABD">
        <w:rPr>
          <w:rFonts w:eastAsia="Arial"/>
        </w:rPr>
        <w:t>. FEV</w:t>
      </w:r>
      <w:r w:rsidRPr="008B2C79">
        <w:rPr>
          <w:rFonts w:eastAsia="Arial"/>
          <w:vertAlign w:val="subscript"/>
        </w:rPr>
        <w:t>1</w:t>
      </w:r>
      <w:r w:rsidRPr="001A2ABD">
        <w:rPr>
          <w:rFonts w:eastAsia="Arial"/>
        </w:rPr>
        <w:t xml:space="preserve"> </w:t>
      </w:r>
      <w:r>
        <w:rPr>
          <w:rFonts w:eastAsia="Arial"/>
        </w:rPr>
        <w:t>s</w:t>
      </w:r>
      <w:r w:rsidRPr="001A2ABD">
        <w:rPr>
          <w:rFonts w:eastAsia="Arial"/>
        </w:rPr>
        <w:t xml:space="preserve">kirtumas tarp grupių buvo 0,08 litro (95 </w:t>
      </w:r>
      <w:r>
        <w:rPr>
          <w:rFonts w:eastAsia="Arial"/>
        </w:rPr>
        <w:t>proc.</w:t>
      </w:r>
      <w:r w:rsidRPr="001A2ABD">
        <w:rPr>
          <w:rFonts w:eastAsia="Arial"/>
        </w:rPr>
        <w:t xml:space="preserve"> CrI: 0,03–0,12).</w:t>
      </w:r>
      <w:r>
        <w:rPr>
          <w:rFonts w:eastAsia="Arial"/>
        </w:rPr>
        <w:t xml:space="preserve"> Nustatytas </w:t>
      </w:r>
      <w:r w:rsidRPr="001A2ABD">
        <w:rPr>
          <w:rFonts w:eastAsia="Arial"/>
        </w:rPr>
        <w:t>BDP/F</w:t>
      </w:r>
      <w:r>
        <w:rPr>
          <w:rFonts w:eastAsia="Arial"/>
        </w:rPr>
        <w:t>F</w:t>
      </w:r>
      <w:r w:rsidRPr="001A2ABD">
        <w:rPr>
          <w:rFonts w:eastAsia="Arial"/>
        </w:rPr>
        <w:t>/</w:t>
      </w:r>
      <w:r>
        <w:rPr>
          <w:rFonts w:eastAsia="Arial"/>
        </w:rPr>
        <w:t>G</w:t>
      </w:r>
      <w:r w:rsidRPr="001A2ABD">
        <w:rPr>
          <w:rFonts w:eastAsia="Arial"/>
        </w:rPr>
        <w:t xml:space="preserve">  derin</w:t>
      </w:r>
      <w:r>
        <w:rPr>
          <w:rFonts w:eastAsia="Arial"/>
        </w:rPr>
        <w:t xml:space="preserve">io </w:t>
      </w:r>
      <w:r w:rsidRPr="009A765A">
        <w:rPr>
          <w:rFonts w:eastAsia="Arial"/>
        </w:rPr>
        <w:t>pranašumas</w:t>
      </w:r>
      <w:r>
        <w:rPr>
          <w:rFonts w:eastAsia="Arial"/>
        </w:rPr>
        <w:t xml:space="preserve"> po 52 savaičių</w:t>
      </w:r>
      <w:r w:rsidRPr="009A765A">
        <w:rPr>
          <w:rFonts w:eastAsia="Arial"/>
        </w:rPr>
        <w:t xml:space="preserve"> </w:t>
      </w:r>
      <w:r>
        <w:rPr>
          <w:rFonts w:eastAsia="Arial"/>
        </w:rPr>
        <w:t>lyginant su</w:t>
      </w:r>
      <w:r w:rsidRPr="009A765A">
        <w:rPr>
          <w:rFonts w:eastAsia="Arial"/>
        </w:rPr>
        <w:t xml:space="preserve"> didele </w:t>
      </w:r>
      <w:r>
        <w:rPr>
          <w:rFonts w:eastAsia="Arial"/>
        </w:rPr>
        <w:t>BDP/FF</w:t>
      </w:r>
      <w:r w:rsidRPr="009A765A">
        <w:rPr>
          <w:rFonts w:eastAsia="Arial"/>
        </w:rPr>
        <w:t xml:space="preserve"> doze</w:t>
      </w:r>
      <w:r>
        <w:rPr>
          <w:rFonts w:eastAsia="Arial"/>
        </w:rPr>
        <w:t xml:space="preserve">, </w:t>
      </w:r>
      <w:r w:rsidRPr="001A2ABD">
        <w:rPr>
          <w:rFonts w:eastAsia="Arial"/>
        </w:rPr>
        <w:t>FEV</w:t>
      </w:r>
      <w:r w:rsidRPr="008B2C79">
        <w:rPr>
          <w:rFonts w:eastAsia="Arial"/>
          <w:vertAlign w:val="subscript"/>
        </w:rPr>
        <w:t>1</w:t>
      </w:r>
      <w:r w:rsidRPr="001A2ABD">
        <w:rPr>
          <w:rFonts w:eastAsia="Arial"/>
        </w:rPr>
        <w:t xml:space="preserve"> </w:t>
      </w:r>
      <w:r>
        <w:rPr>
          <w:rFonts w:eastAsia="Arial"/>
        </w:rPr>
        <w:t>s</w:t>
      </w:r>
      <w:r w:rsidRPr="001A2ABD">
        <w:rPr>
          <w:rFonts w:eastAsia="Arial"/>
        </w:rPr>
        <w:t xml:space="preserve">kirtumas tarp grupių </w:t>
      </w:r>
      <w:r>
        <w:rPr>
          <w:rFonts w:eastAsia="Arial"/>
        </w:rPr>
        <w:t>išliko</w:t>
      </w:r>
      <w:r w:rsidRPr="001A2ABD">
        <w:rPr>
          <w:rFonts w:eastAsia="Arial"/>
        </w:rPr>
        <w:t xml:space="preserve"> </w:t>
      </w:r>
      <w:r>
        <w:rPr>
          <w:rFonts w:eastAsia="Arial"/>
        </w:rPr>
        <w:t>0,08</w:t>
      </w:r>
      <w:r w:rsidRPr="001A2ABD">
        <w:rPr>
          <w:rFonts w:eastAsia="Arial"/>
        </w:rPr>
        <w:t xml:space="preserve"> litro (95 </w:t>
      </w:r>
      <w:r>
        <w:rPr>
          <w:rFonts w:eastAsia="Arial"/>
        </w:rPr>
        <w:t>proc.</w:t>
      </w:r>
      <w:r w:rsidRPr="001A2ABD">
        <w:rPr>
          <w:rFonts w:eastAsia="Arial"/>
        </w:rPr>
        <w:t xml:space="preserve"> CrI: 0,03–0,1</w:t>
      </w:r>
      <w:r>
        <w:rPr>
          <w:rFonts w:eastAsia="Arial"/>
        </w:rPr>
        <w:t>3</w:t>
      </w:r>
      <w:r w:rsidRPr="001A2ABD">
        <w:rPr>
          <w:rFonts w:eastAsia="Arial"/>
        </w:rPr>
        <w:t>).</w:t>
      </w:r>
      <w:r>
        <w:rPr>
          <w:rFonts w:eastAsia="Arial"/>
        </w:rPr>
        <w:t xml:space="preserve"> </w:t>
      </w:r>
      <w:r>
        <w:rPr>
          <w:color w:val="000000"/>
          <w:lang w:eastAsia="en-GB"/>
        </w:rPr>
        <w:t>Netiesioginės analizės rezultatai parodė, kad atskirai įvertinta sunkaus paūmėjimo dažnio rizika statistiškai reikšmingai sumažėjo 20 proc. gydant pacientus</w:t>
      </w:r>
      <w:r>
        <w:rPr>
          <w:rFonts w:eastAsia="Arial"/>
        </w:rPr>
        <w:t xml:space="preserve"> </w:t>
      </w:r>
      <w:r w:rsidRPr="00155158">
        <w:rPr>
          <w:rFonts w:eastAsia="Arial"/>
        </w:rPr>
        <w:t>BDP/F</w:t>
      </w:r>
      <w:r>
        <w:rPr>
          <w:rFonts w:eastAsia="Arial"/>
        </w:rPr>
        <w:t>F</w:t>
      </w:r>
      <w:r w:rsidRPr="00155158">
        <w:rPr>
          <w:rFonts w:eastAsia="Arial"/>
        </w:rPr>
        <w:t>/G</w:t>
      </w:r>
      <w:r>
        <w:rPr>
          <w:rFonts w:eastAsia="Arial"/>
        </w:rPr>
        <w:t xml:space="preserve"> </w:t>
      </w:r>
      <w:r w:rsidRPr="00155158">
        <w:rPr>
          <w:rFonts w:eastAsia="Arial"/>
        </w:rPr>
        <w:t>derin</w:t>
      </w:r>
      <w:r>
        <w:rPr>
          <w:rFonts w:eastAsia="Arial"/>
        </w:rPr>
        <w:t xml:space="preserve">iu </w:t>
      </w:r>
      <w:r w:rsidRPr="00155158">
        <w:rPr>
          <w:rFonts w:eastAsia="Arial"/>
        </w:rPr>
        <w:t>(</w:t>
      </w:r>
      <w:r>
        <w:rPr>
          <w:rFonts w:eastAsia="Arial"/>
        </w:rPr>
        <w:t>RS</w:t>
      </w:r>
      <w:r w:rsidRPr="00155158">
        <w:rPr>
          <w:rFonts w:eastAsia="Arial"/>
        </w:rPr>
        <w:t xml:space="preserve"> = 0,80; 95 </w:t>
      </w:r>
      <w:r>
        <w:rPr>
          <w:rFonts w:eastAsia="Arial"/>
        </w:rPr>
        <w:t>proc.</w:t>
      </w:r>
      <w:r w:rsidRPr="00155158">
        <w:rPr>
          <w:rFonts w:eastAsia="Arial"/>
        </w:rPr>
        <w:t xml:space="preserve"> </w:t>
      </w:r>
      <w:r w:rsidRPr="001119A2">
        <w:rPr>
          <w:rFonts w:eastAsia="Arial"/>
        </w:rPr>
        <w:t>CrI: 0,66–0,98)</w:t>
      </w:r>
      <w:r>
        <w:rPr>
          <w:rFonts w:eastAsia="Arial"/>
        </w:rPr>
        <w:t xml:space="preserve">. </w:t>
      </w:r>
      <w:r w:rsidRPr="00BE01BD">
        <w:rPr>
          <w:color w:val="000000"/>
          <w:lang w:eastAsia="en-GB"/>
        </w:rPr>
        <w:t>Pacientai, gydomi BDP</w:t>
      </w:r>
      <w:r>
        <w:rPr>
          <w:color w:val="000000"/>
          <w:lang w:eastAsia="en-GB"/>
        </w:rPr>
        <w:t xml:space="preserve">/FF/G </w:t>
      </w:r>
      <w:r w:rsidRPr="00BE01BD">
        <w:rPr>
          <w:color w:val="000000"/>
          <w:lang w:eastAsia="en-GB"/>
        </w:rPr>
        <w:t>deriniu</w:t>
      </w:r>
      <w:r>
        <w:rPr>
          <w:color w:val="000000"/>
          <w:lang w:eastAsia="en-GB"/>
        </w:rPr>
        <w:t xml:space="preserve"> tikėtina turės </w:t>
      </w:r>
      <w:r w:rsidRPr="002F5DD8">
        <w:rPr>
          <w:color w:val="000000"/>
          <w:lang w:eastAsia="en-GB"/>
        </w:rPr>
        <w:t>10 proc. mažesnę</w:t>
      </w:r>
      <w:r>
        <w:rPr>
          <w:color w:val="000000"/>
          <w:lang w:eastAsia="en-GB"/>
        </w:rPr>
        <w:t xml:space="preserve"> vidutinio sunkumo ir sunkių paūmėjimų dažnio</w:t>
      </w:r>
      <w:r w:rsidRPr="002F5DD8">
        <w:rPr>
          <w:color w:val="000000"/>
          <w:lang w:eastAsia="en-GB"/>
        </w:rPr>
        <w:t xml:space="preserve"> riziką</w:t>
      </w:r>
      <w:r w:rsidRPr="00BE01BD">
        <w:rPr>
          <w:color w:val="000000"/>
          <w:lang w:eastAsia="en-GB"/>
        </w:rPr>
        <w:t xml:space="preserve"> nei gydomi didelės dozės ĮKS/+IVBA deriniu (RS = 0,90; 95 </w:t>
      </w:r>
      <w:r>
        <w:rPr>
          <w:color w:val="000000"/>
          <w:lang w:eastAsia="en-GB"/>
        </w:rPr>
        <w:t>proc.</w:t>
      </w:r>
      <w:r w:rsidRPr="00BE01BD">
        <w:rPr>
          <w:color w:val="000000"/>
          <w:lang w:eastAsia="en-GB"/>
        </w:rPr>
        <w:t xml:space="preserve"> CrI: 0,83–0,98), </w:t>
      </w:r>
      <w:r>
        <w:rPr>
          <w:rFonts w:eastAsia="Arial"/>
        </w:rPr>
        <w:t xml:space="preserve"> </w:t>
      </w:r>
      <w:r w:rsidRPr="00D67D2E">
        <w:rPr>
          <w:color w:val="000000"/>
          <w:lang w:eastAsia="en-GB"/>
        </w:rPr>
        <w:t>BDP</w:t>
      </w:r>
      <w:r>
        <w:rPr>
          <w:color w:val="000000"/>
          <w:lang w:eastAsia="en-GB"/>
        </w:rPr>
        <w:t xml:space="preserve">/FF/G </w:t>
      </w:r>
      <w:r w:rsidRPr="00D67D2E">
        <w:rPr>
          <w:color w:val="000000"/>
          <w:lang w:eastAsia="en-GB"/>
        </w:rPr>
        <w:t>derini</w:t>
      </w:r>
      <w:r>
        <w:rPr>
          <w:color w:val="000000"/>
          <w:lang w:eastAsia="en-GB"/>
        </w:rPr>
        <w:t xml:space="preserve">u gydytiems pacientams buvo pastebėta geresnės astmos kontrolės tendencija </w:t>
      </w:r>
      <w:r w:rsidRPr="00591605">
        <w:rPr>
          <w:color w:val="000000"/>
          <w:lang w:eastAsia="en-GB"/>
        </w:rPr>
        <w:t>(pasiektas ACQ-7 atsaką) nei pacienta</w:t>
      </w:r>
      <w:r>
        <w:rPr>
          <w:color w:val="000000"/>
          <w:lang w:eastAsia="en-GB"/>
        </w:rPr>
        <w:t>ms</w:t>
      </w:r>
      <w:r w:rsidRPr="00591605">
        <w:rPr>
          <w:color w:val="000000"/>
          <w:lang w:eastAsia="en-GB"/>
        </w:rPr>
        <w:t>, gydomi</w:t>
      </w:r>
      <w:r>
        <w:rPr>
          <w:color w:val="000000"/>
          <w:lang w:eastAsia="en-GB"/>
        </w:rPr>
        <w:t>ems</w:t>
      </w:r>
      <w:r w:rsidRPr="00591605">
        <w:rPr>
          <w:color w:val="000000"/>
          <w:lang w:eastAsia="en-GB"/>
        </w:rPr>
        <w:t xml:space="preserve"> dviguba terapija (ĮKS/IVBA).</w:t>
      </w:r>
    </w:p>
    <w:p w14:paraId="5F5B53E2" w14:textId="77777777" w:rsidR="00A4304E" w:rsidRPr="001119A2" w:rsidRDefault="00A4304E" w:rsidP="00D574E0">
      <w:pPr>
        <w:spacing w:line="276" w:lineRule="auto"/>
        <w:ind w:firstLine="720"/>
        <w:jc w:val="both"/>
        <w:rPr>
          <w:rFonts w:eastAsia="Arial"/>
        </w:rPr>
      </w:pPr>
      <w:r>
        <w:rPr>
          <w:color w:val="000000"/>
          <w:lang w:eastAsia="en-GB"/>
        </w:rPr>
        <w:t xml:space="preserve"> </w:t>
      </w:r>
      <w:r>
        <w:rPr>
          <w:rFonts w:eastAsia="Arial"/>
        </w:rPr>
        <w:t>Apibendrinant netiesioginio palyginimo rezultatus FEV1 pokytis atitiko TRIGGER tyrimo pirminės baigties rezultatus 26 ir 52 savaitę. Apie 10 proc. sumažėja vidutinio sunkumo ir sunkaus paūmėjimo dažnis ir 20 proc. sumažėja tik sunkaus paūmėjimo dažnis.</w:t>
      </w:r>
    </w:p>
    <w:p w14:paraId="4DADF4D2" w14:textId="77777777" w:rsidR="00A4304E" w:rsidRPr="00DD527D" w:rsidRDefault="00A4304E" w:rsidP="00D574E0">
      <w:pPr>
        <w:spacing w:line="276" w:lineRule="auto"/>
        <w:jc w:val="both"/>
        <w:rPr>
          <w:i/>
          <w:lang w:eastAsia="lt-LT"/>
        </w:rPr>
      </w:pPr>
      <w:r w:rsidRPr="00DD527D">
        <w:rPr>
          <w:i/>
          <w:lang w:eastAsia="lt-LT"/>
        </w:rPr>
        <w:t>Kiti tyrimai</w:t>
      </w:r>
    </w:p>
    <w:p w14:paraId="2595EF76" w14:textId="77777777" w:rsidR="00A4304E" w:rsidRPr="002632D0" w:rsidRDefault="00A4304E" w:rsidP="00D574E0">
      <w:pPr>
        <w:spacing w:line="276" w:lineRule="auto"/>
        <w:ind w:firstLine="720"/>
        <w:jc w:val="both"/>
        <w:rPr>
          <w:bCs/>
          <w:iCs/>
          <w:lang w:eastAsia="lt-LT"/>
        </w:rPr>
      </w:pPr>
      <w:r w:rsidRPr="00753409">
        <w:rPr>
          <w:iCs/>
          <w:lang w:eastAsia="lt-LT"/>
        </w:rPr>
        <w:t xml:space="preserve">TriMaximize </w:t>
      </w:r>
      <w:r w:rsidRPr="002632D0">
        <w:rPr>
          <w:bCs/>
          <w:iCs/>
          <w:lang w:eastAsia="lt-LT"/>
        </w:rPr>
        <w:t>yra</w:t>
      </w:r>
      <w:r>
        <w:rPr>
          <w:bCs/>
          <w:iCs/>
          <w:lang w:eastAsia="lt-LT"/>
        </w:rPr>
        <w:t xml:space="preserve"> realaus gyvenimo stebėjimo</w:t>
      </w:r>
      <w:r w:rsidRPr="002632D0">
        <w:rPr>
          <w:bCs/>
          <w:iCs/>
          <w:lang w:eastAsia="lt-LT"/>
        </w:rPr>
        <w:t xml:space="preserve"> tyrimas, kuriame </w:t>
      </w:r>
      <w:r>
        <w:rPr>
          <w:bCs/>
          <w:iCs/>
          <w:lang w:eastAsia="lt-LT"/>
        </w:rPr>
        <w:t>1-</w:t>
      </w:r>
      <w:r w:rsidRPr="002632D0">
        <w:rPr>
          <w:bCs/>
          <w:iCs/>
          <w:lang w:eastAsia="lt-LT"/>
        </w:rPr>
        <w:t>3 metus steb</w:t>
      </w:r>
      <w:r>
        <w:rPr>
          <w:bCs/>
          <w:iCs/>
          <w:lang w:eastAsia="lt-LT"/>
        </w:rPr>
        <w:t>ėti</w:t>
      </w:r>
      <w:r w:rsidRPr="002632D0">
        <w:rPr>
          <w:bCs/>
          <w:iCs/>
          <w:lang w:eastAsia="lt-LT"/>
        </w:rPr>
        <w:t xml:space="preserve"> astma sergantys pacientai, gydomi BDP/FF/G deriniu.</w:t>
      </w:r>
      <w:r>
        <w:rPr>
          <w:bCs/>
          <w:iCs/>
          <w:lang w:eastAsia="lt-LT"/>
        </w:rPr>
        <w:t xml:space="preserve"> Vertinant tyrimų rezultatus nustatyta, kad p</w:t>
      </w:r>
      <w:r w:rsidRPr="002632D0">
        <w:rPr>
          <w:bCs/>
          <w:iCs/>
          <w:lang w:eastAsia="lt-LT"/>
        </w:rPr>
        <w:t>o gydymo</w:t>
      </w:r>
      <w:r>
        <w:rPr>
          <w:bCs/>
          <w:iCs/>
          <w:lang w:eastAsia="lt-LT"/>
        </w:rPr>
        <w:t xml:space="preserve"> </w:t>
      </w:r>
      <w:r w:rsidRPr="002632D0">
        <w:rPr>
          <w:bCs/>
          <w:iCs/>
          <w:lang w:eastAsia="lt-LT"/>
        </w:rPr>
        <w:t>vidutinis paūmėjimų dažnis sumažėjo 1,7 (p&lt;0,0001)</w:t>
      </w:r>
      <w:r>
        <w:rPr>
          <w:bCs/>
          <w:iCs/>
          <w:lang w:eastAsia="lt-LT"/>
        </w:rPr>
        <w:t xml:space="preserve"> per metus. Vertinant stebėjimo rezultatus po</w:t>
      </w:r>
      <w:r w:rsidRPr="002632D0">
        <w:rPr>
          <w:b/>
          <w:bCs/>
          <w:iCs/>
          <w:lang w:eastAsia="lt-LT"/>
        </w:rPr>
        <w:t xml:space="preserve"> 6 </w:t>
      </w:r>
      <w:r>
        <w:rPr>
          <w:b/>
          <w:bCs/>
          <w:iCs/>
          <w:lang w:eastAsia="lt-LT"/>
        </w:rPr>
        <w:t xml:space="preserve">ir 12 </w:t>
      </w:r>
      <w:r w:rsidRPr="002632D0">
        <w:rPr>
          <w:b/>
          <w:bCs/>
          <w:iCs/>
          <w:lang w:eastAsia="lt-LT"/>
        </w:rPr>
        <w:t>mėnesių</w:t>
      </w:r>
      <w:r>
        <w:rPr>
          <w:b/>
          <w:bCs/>
          <w:iCs/>
          <w:lang w:eastAsia="lt-LT"/>
        </w:rPr>
        <w:t xml:space="preserve"> </w:t>
      </w:r>
      <w:r w:rsidRPr="008C0CE7">
        <w:rPr>
          <w:iCs/>
          <w:lang w:eastAsia="lt-LT"/>
        </w:rPr>
        <w:t>p</w:t>
      </w:r>
      <w:r>
        <w:rPr>
          <w:bCs/>
          <w:iCs/>
          <w:lang w:eastAsia="lt-LT"/>
        </w:rPr>
        <w:t xml:space="preserve">agerėjo plaučių funkcija, </w:t>
      </w:r>
      <w:r w:rsidRPr="002632D0">
        <w:rPr>
          <w:bCs/>
          <w:iCs/>
          <w:lang w:eastAsia="lt-LT"/>
        </w:rPr>
        <w:t xml:space="preserve">astmos </w:t>
      </w:r>
      <w:r>
        <w:rPr>
          <w:bCs/>
          <w:iCs/>
          <w:lang w:eastAsia="lt-LT"/>
        </w:rPr>
        <w:t xml:space="preserve">kontrolė ir </w:t>
      </w:r>
      <w:r w:rsidRPr="002632D0">
        <w:rPr>
          <w:bCs/>
          <w:iCs/>
          <w:lang w:eastAsia="lt-LT"/>
        </w:rPr>
        <w:t>gyvenimo kokybė</w:t>
      </w:r>
      <w:r>
        <w:rPr>
          <w:bCs/>
          <w:iCs/>
          <w:lang w:eastAsia="lt-LT"/>
        </w:rPr>
        <w:t>.</w:t>
      </w:r>
      <w:r>
        <w:rPr>
          <w:b/>
          <w:bCs/>
          <w:iCs/>
          <w:lang w:eastAsia="lt-LT"/>
        </w:rPr>
        <w:t xml:space="preserve"> </w:t>
      </w:r>
      <w:r w:rsidRPr="002632D0">
        <w:rPr>
          <w:bCs/>
          <w:iCs/>
          <w:lang w:eastAsia="lt-LT"/>
        </w:rPr>
        <w:t xml:space="preserve">Poveikis buvo panašus pacientams </w:t>
      </w:r>
      <w:r>
        <w:rPr>
          <w:bCs/>
          <w:iCs/>
          <w:lang w:eastAsia="lt-LT"/>
        </w:rPr>
        <w:t>sergantiems ir nesergantiems</w:t>
      </w:r>
      <w:r w:rsidRPr="002632D0">
        <w:rPr>
          <w:bCs/>
          <w:iCs/>
          <w:lang w:eastAsia="lt-LT"/>
        </w:rPr>
        <w:t xml:space="preserve"> LOPL</w:t>
      </w:r>
      <w:r>
        <w:rPr>
          <w:bCs/>
          <w:iCs/>
          <w:lang w:eastAsia="lt-LT"/>
        </w:rPr>
        <w:t>. Buvo nustatyta, kad stebėjimo pradžioje 50 proc. pacientų turėjo n</w:t>
      </w:r>
      <w:r w:rsidRPr="002632D0">
        <w:rPr>
          <w:bCs/>
          <w:iCs/>
          <w:lang w:eastAsia="lt-LT"/>
        </w:rPr>
        <w:t>ekontroliuojam</w:t>
      </w:r>
      <w:r>
        <w:rPr>
          <w:bCs/>
          <w:iCs/>
          <w:lang w:eastAsia="lt-LT"/>
        </w:rPr>
        <w:t>ą</w:t>
      </w:r>
      <w:r w:rsidRPr="002632D0">
        <w:rPr>
          <w:bCs/>
          <w:iCs/>
          <w:lang w:eastAsia="lt-LT"/>
        </w:rPr>
        <w:t xml:space="preserve"> astm</w:t>
      </w:r>
      <w:r>
        <w:rPr>
          <w:bCs/>
          <w:iCs/>
          <w:lang w:eastAsia="lt-LT"/>
        </w:rPr>
        <w:t>ą</w:t>
      </w:r>
      <w:r w:rsidRPr="002632D0">
        <w:rPr>
          <w:bCs/>
          <w:iCs/>
          <w:lang w:eastAsia="lt-LT"/>
        </w:rPr>
        <w:t xml:space="preserve"> (A</w:t>
      </w:r>
      <w:r>
        <w:rPr>
          <w:bCs/>
          <w:iCs/>
          <w:lang w:eastAsia="lt-LT"/>
        </w:rPr>
        <w:t>K</w:t>
      </w:r>
      <w:r w:rsidRPr="002632D0">
        <w:rPr>
          <w:bCs/>
          <w:iCs/>
          <w:lang w:eastAsia="lt-LT"/>
        </w:rPr>
        <w:t>T ≤1</w:t>
      </w:r>
      <w:r>
        <w:rPr>
          <w:bCs/>
          <w:iCs/>
          <w:lang w:eastAsia="lt-LT"/>
        </w:rPr>
        <w:t>,</w:t>
      </w:r>
      <w:r w:rsidRPr="002632D0">
        <w:rPr>
          <w:bCs/>
          <w:iCs/>
          <w:lang w:eastAsia="lt-LT"/>
        </w:rPr>
        <w:t>5)</w:t>
      </w:r>
      <w:r>
        <w:rPr>
          <w:bCs/>
          <w:iCs/>
          <w:lang w:eastAsia="lt-LT"/>
        </w:rPr>
        <w:t xml:space="preserve">, o </w:t>
      </w:r>
      <w:r w:rsidRPr="00D85D44">
        <w:rPr>
          <w:bCs/>
          <w:iCs/>
          <w:lang w:eastAsia="lt-LT"/>
        </w:rPr>
        <w:t>po 12 mėn.</w:t>
      </w:r>
      <w:r>
        <w:rPr>
          <w:bCs/>
          <w:iCs/>
          <w:lang w:eastAsia="lt-LT"/>
        </w:rPr>
        <w:t xml:space="preserve"> gydymo tokių pacientų liko tik</w:t>
      </w:r>
      <w:r w:rsidRPr="00D85D44">
        <w:rPr>
          <w:bCs/>
          <w:iCs/>
          <w:lang w:eastAsia="lt-LT"/>
        </w:rPr>
        <w:t xml:space="preserve"> 21,9 proc. </w:t>
      </w:r>
      <w:r>
        <w:rPr>
          <w:bCs/>
          <w:iCs/>
          <w:lang w:eastAsia="lt-LT"/>
        </w:rPr>
        <w:t xml:space="preserve"> </w:t>
      </w:r>
      <w:r w:rsidRPr="002632D0">
        <w:rPr>
          <w:bCs/>
          <w:iCs/>
          <w:lang w:eastAsia="lt-LT"/>
        </w:rPr>
        <w:t>TRIMAXIMIZE tyrimo duomenys rodo, kad vieno inhaliatoriaus triguba terapija (BDP/FF/G) realiomis klinikinėmis sąlygomis pagerina astmos kontrolę, gyvenimo kokybę, plaučių funkciją ir gydymo laikymąsi. Poveikis išlieka ilgalaikis ir yra panašus pacientams su gretutine LOPL.</w:t>
      </w:r>
    </w:p>
    <w:p w14:paraId="04104D2D" w14:textId="5A8E59EC" w:rsidR="00A4304E" w:rsidRDefault="00A4304E" w:rsidP="00D574E0">
      <w:pPr>
        <w:spacing w:line="276" w:lineRule="auto"/>
        <w:ind w:firstLine="720"/>
        <w:jc w:val="both"/>
        <w:rPr>
          <w:iCs/>
        </w:rPr>
      </w:pPr>
      <w:r>
        <w:rPr>
          <w:iCs/>
        </w:rPr>
        <w:t xml:space="preserve">Apibendrinant tiesioginių, netiesioginio palyginimo ir realaus gyvenimo tyrimo rezultatus nustatyta, kad BDP/FF/G derinio veiksmingumas </w:t>
      </w:r>
      <w:r w:rsidR="00870E6A">
        <w:rPr>
          <w:iCs/>
        </w:rPr>
        <w:t xml:space="preserve">tikėtina </w:t>
      </w:r>
      <w:r>
        <w:rPr>
          <w:iCs/>
        </w:rPr>
        <w:t>yra didesnis</w:t>
      </w:r>
      <w:r w:rsidR="00E72C8F">
        <w:rPr>
          <w:iCs/>
        </w:rPr>
        <w:t xml:space="preserve"> už įprastinėje Lietuvos klinikinėje praktikoje taikomą gydymą </w:t>
      </w:r>
      <w:r w:rsidR="00870E6A">
        <w:rPr>
          <w:lang w:bidi="lt-LT"/>
        </w:rPr>
        <w:t>beklometazonu ir formoteroliu</w:t>
      </w:r>
      <w:r>
        <w:rPr>
          <w:iCs/>
        </w:rPr>
        <w:t xml:space="preserve">, kai skiriamas pacientams, kurių liga </w:t>
      </w:r>
      <w:r w:rsidRPr="002C182B">
        <w:t xml:space="preserve">nėra pakankamai kontroliuojama, skiriant ilgai veikiančio beta-2 agonisto ir </w:t>
      </w:r>
      <w:r w:rsidRPr="002D694F">
        <w:t xml:space="preserve">didelių </w:t>
      </w:r>
      <w:r w:rsidRPr="002C182B">
        <w:t>dozių įkvepiamojo kortikosteroido palaikomąjį derinį ir kuriems per pastaruosius metus buvo vienas ar daugiau astmos pasunkėjimų</w:t>
      </w:r>
      <w:r w:rsidR="00E72C8F">
        <w:t xml:space="preserve">. </w:t>
      </w:r>
    </w:p>
    <w:p w14:paraId="39C1ADA8" w14:textId="77777777" w:rsidR="00AC5129" w:rsidRPr="000203E1" w:rsidRDefault="00AC5129" w:rsidP="00A93AA6">
      <w:pPr>
        <w:pStyle w:val="Sraopastraipa"/>
        <w:tabs>
          <w:tab w:val="left" w:pos="426"/>
        </w:tabs>
        <w:ind w:left="0"/>
        <w:rPr>
          <w:b/>
          <w:bCs/>
          <w:caps/>
        </w:rPr>
      </w:pPr>
    </w:p>
    <w:p w14:paraId="7DE09EB5" w14:textId="69E9DD74" w:rsidR="00E03C3F" w:rsidRPr="000203E1" w:rsidRDefault="00CC7832" w:rsidP="00CC09D4">
      <w:pPr>
        <w:pStyle w:val="Sraopastraipa"/>
        <w:numPr>
          <w:ilvl w:val="0"/>
          <w:numId w:val="12"/>
        </w:numPr>
        <w:tabs>
          <w:tab w:val="left" w:pos="567"/>
        </w:tabs>
        <w:ind w:hanging="720"/>
        <w:rPr>
          <w:b/>
          <w:bCs/>
          <w:caps/>
        </w:rPr>
      </w:pPr>
      <w:r w:rsidRPr="000203E1">
        <w:rPr>
          <w:b/>
          <w:bCs/>
          <w:caps/>
        </w:rPr>
        <w:t xml:space="preserve">ekonominio vertinimo </w:t>
      </w:r>
      <w:r w:rsidR="002F0E4F" w:rsidRPr="000203E1">
        <w:rPr>
          <w:b/>
          <w:bCs/>
          <w:caps/>
        </w:rPr>
        <w:t>apibendrinimas</w:t>
      </w:r>
    </w:p>
    <w:p w14:paraId="1A900598" w14:textId="5382F4EC" w:rsidR="00C62B36" w:rsidRDefault="00C62B36" w:rsidP="00A93AA6">
      <w:pPr>
        <w:tabs>
          <w:tab w:val="left" w:pos="426"/>
        </w:tabs>
        <w:rPr>
          <w:b/>
          <w:bCs/>
          <w:caps/>
        </w:rPr>
      </w:pPr>
    </w:p>
    <w:p w14:paraId="46FE0892" w14:textId="77777777" w:rsidR="00BC2D33" w:rsidRDefault="00BC2D33" w:rsidP="00BC2D33">
      <w:pPr>
        <w:spacing w:line="276" w:lineRule="auto"/>
        <w:ind w:firstLine="720"/>
        <w:jc w:val="both"/>
      </w:pPr>
      <w:r>
        <w:t>Farmakoekonominė an</w:t>
      </w:r>
      <w:r w:rsidRPr="00633CCA">
        <w:t xml:space="preserve">alizė atliekama populiacijai atitinkančiai </w:t>
      </w:r>
      <w:r w:rsidRPr="00136B32">
        <w:t>TRIGGER</w:t>
      </w:r>
      <w:r w:rsidRPr="00633CCA">
        <w:t xml:space="preserve"> </w:t>
      </w:r>
      <w:r>
        <w:t xml:space="preserve">klinikinio </w:t>
      </w:r>
      <w:r w:rsidRPr="00633CCA">
        <w:t>tyrimo populiaciją, t.y.  astma sergančių suaugusių palaikomajam gydymui, kuriems nepavyksta adekvačiai kontroliuoti ligos taikant ilgalaikio veikimo beta2-agonisto ir inhaliuojamojo kortikosteroido vidutinių dozių palaikomuoju deriniu</w:t>
      </w:r>
      <w:r>
        <w:t xml:space="preserve"> (TLK-10-AM – J45)</w:t>
      </w:r>
      <w:r w:rsidRPr="00633CCA">
        <w:t>. Tai sutampa su vaistinio preparato registruot</w:t>
      </w:r>
      <w:r>
        <w:t>a</w:t>
      </w:r>
      <w:r w:rsidRPr="00633CCA">
        <w:t xml:space="preserve"> </w:t>
      </w:r>
      <w:r>
        <w:t xml:space="preserve">ir vertinimui dėl kompensavimo teikiama </w:t>
      </w:r>
      <w:r w:rsidRPr="00633CCA">
        <w:t>indikacija</w:t>
      </w:r>
      <w:r>
        <w:t>.</w:t>
      </w:r>
    </w:p>
    <w:p w14:paraId="1A9B9BB0" w14:textId="77777777" w:rsidR="00BC2D33" w:rsidRDefault="00BC2D33" w:rsidP="00BC2D33">
      <w:pPr>
        <w:spacing w:line="276" w:lineRule="auto"/>
        <w:ind w:firstLine="720"/>
        <w:jc w:val="both"/>
      </w:pPr>
      <w:r w:rsidRPr="00A6362C">
        <w:rPr>
          <w:lang w:bidi="lt-LT"/>
        </w:rPr>
        <w:t>Palyginamasis gydymas yra didelių dozių įkvepiamieji gliukokortikosteroidai ir ilgai veikiantys β₂ agonistai (IKS/IVBA). KNA atliekama didelių dozių Trimbow (</w:t>
      </w:r>
      <w:r w:rsidRPr="00A6362C">
        <w:t xml:space="preserve">BDP 172 μg/FF 5 μg </w:t>
      </w:r>
      <w:r w:rsidRPr="00A6362C">
        <w:lastRenderedPageBreak/>
        <w:t>/GLY 9 μg</w:t>
      </w:r>
      <w:r w:rsidRPr="00A6362C">
        <w:rPr>
          <w:lang w:bidi="lt-LT"/>
        </w:rPr>
        <w:t xml:space="preserve">) lyginant su didelių dozių Fostair ( </w:t>
      </w:r>
      <w:r w:rsidRPr="00A6362C">
        <w:t xml:space="preserve">BDP 177.7 μg / FF  5.1 μg). </w:t>
      </w:r>
      <w:r w:rsidRPr="00A6362C">
        <w:rPr>
          <w:rFonts w:eastAsia="Arial"/>
          <w:bCs/>
          <w:szCs w:val="22"/>
        </w:rPr>
        <w:t>Ekonominėje analizėje pateiktas palyginamasis gydymas atitinka įprastą Lietuvos Respublikos klinikinę praktiką.</w:t>
      </w:r>
    </w:p>
    <w:p w14:paraId="5EB06FD3" w14:textId="77777777" w:rsidR="00BC2D33" w:rsidRDefault="00BC2D33" w:rsidP="00BC2D33">
      <w:pPr>
        <w:spacing w:line="276" w:lineRule="auto"/>
        <w:ind w:firstLine="720"/>
        <w:jc w:val="both"/>
        <w:rPr>
          <w:lang w:bidi="lt-LT"/>
        </w:rPr>
      </w:pPr>
      <w:r>
        <w:rPr>
          <w:bCs/>
        </w:rPr>
        <w:t>Klinikiniai duomenys pagrįsti tiesioginio ir n</w:t>
      </w:r>
      <w:r w:rsidRPr="00277F51">
        <w:rPr>
          <w:bCs/>
        </w:rPr>
        <w:t>eti</w:t>
      </w:r>
      <w:r>
        <w:rPr>
          <w:bCs/>
        </w:rPr>
        <w:t xml:space="preserve">esioginio palyginimo šaltiniais: </w:t>
      </w:r>
      <w:r w:rsidRPr="00277F51">
        <w:rPr>
          <w:bCs/>
          <w:i/>
        </w:rPr>
        <w:t>Tiesioginis palyginimas:</w:t>
      </w:r>
      <w:r w:rsidRPr="00136B32">
        <w:rPr>
          <w:b/>
          <w:bCs/>
        </w:rPr>
        <w:t xml:space="preserve"> </w:t>
      </w:r>
      <w:r w:rsidRPr="00136B32">
        <w:t>TRIGGER tyrimas -</w:t>
      </w:r>
      <w:r w:rsidRPr="00136B32">
        <w:rPr>
          <w:b/>
          <w:bCs/>
        </w:rPr>
        <w:t xml:space="preserve"> </w:t>
      </w:r>
      <w:r>
        <w:t>didelių dozių Trimbow lygintas su didelių dozių</w:t>
      </w:r>
      <w:r w:rsidRPr="00136B32">
        <w:t xml:space="preserve"> BDP/FF (</w:t>
      </w:r>
      <w:r w:rsidRPr="00136B32">
        <w:rPr>
          <w:rFonts w:asciiTheme="majorBidi" w:hAnsiTheme="majorBidi" w:cstheme="majorBidi"/>
          <w:lang w:eastAsia="et-EE"/>
        </w:rPr>
        <w:t>Beklometazonas / Formoterolis</w:t>
      </w:r>
      <w:r w:rsidRPr="00136B32">
        <w:t>)</w:t>
      </w:r>
      <w:r>
        <w:rPr>
          <w:lang w:bidi="lt-LT"/>
        </w:rPr>
        <w:t>.</w:t>
      </w:r>
      <w:r>
        <w:rPr>
          <w:bCs/>
        </w:rPr>
        <w:t xml:space="preserve"> </w:t>
      </w:r>
      <w:r w:rsidRPr="00277F51">
        <w:rPr>
          <w:bCs/>
          <w:i/>
        </w:rPr>
        <w:t>Netiesioginis palyginimas:</w:t>
      </w:r>
      <w:r w:rsidRPr="00136B32">
        <w:t xml:space="preserve"> Tinklo metaanalizė – Trimbow lyginamas su trijų arba dviejų vaistų deriniu, apimančiu IKA/IVBA ir (arba) </w:t>
      </w:r>
      <w:r w:rsidRPr="00136B32">
        <w:rPr>
          <w:lang w:bidi="lt-LT"/>
        </w:rPr>
        <w:t>ilgai veikiančius muskarino receptorių</w:t>
      </w:r>
      <w:r w:rsidRPr="00731215">
        <w:rPr>
          <w:lang w:bidi="lt-LT"/>
        </w:rPr>
        <w:t xml:space="preserve"> blokatorius (IVMB)</w:t>
      </w:r>
      <w:r>
        <w:rPr>
          <w:lang w:bidi="lt-LT"/>
        </w:rPr>
        <w:t>. KNA klinikiniai duomenys įtraukiami vadovaujantis TRIGGER klinikiniu tyrimu ir papildomais literatūros šaltiniais.</w:t>
      </w:r>
    </w:p>
    <w:p w14:paraId="31BED708" w14:textId="77777777" w:rsidR="00BC2D33" w:rsidRDefault="00BC2D33" w:rsidP="00BC2D33">
      <w:pPr>
        <w:spacing w:line="276" w:lineRule="auto"/>
        <w:ind w:firstLine="720"/>
        <w:jc w:val="both"/>
      </w:pPr>
      <w:r>
        <w:t>Pareiškėjas taiko penkių sveikatos būklių tikimybinį</w:t>
      </w:r>
      <w:r w:rsidRPr="00F02337">
        <w:t xml:space="preserve"> atskir</w:t>
      </w:r>
      <w:r>
        <w:t xml:space="preserve">ų </w:t>
      </w:r>
      <w:r w:rsidRPr="00F02337">
        <w:t>laiko</w:t>
      </w:r>
      <w:r>
        <w:t xml:space="preserve">tarpių Markovo modelį (angl. </w:t>
      </w:r>
      <w:r w:rsidRPr="00473171">
        <w:rPr>
          <w:i/>
        </w:rPr>
        <w:t>probabilistic discrete-time Markov model</w:t>
      </w:r>
      <w:r>
        <w:t>). Sveikatos būklės išskiriamos pagal ligos paūmėjimą: (</w:t>
      </w:r>
      <w:r>
        <w:rPr>
          <w:lang w:val="en-US"/>
        </w:rPr>
        <w:t xml:space="preserve">1) be paūmėjimo,  (2) </w:t>
      </w:r>
      <w:r>
        <w:t>v</w:t>
      </w:r>
      <w:r w:rsidRPr="00F02337">
        <w:t>idutinio paūmėjimo</w:t>
      </w:r>
      <w:r>
        <w:t>, (3) s</w:t>
      </w:r>
      <w:r w:rsidRPr="00F02337">
        <w:t>unk</w:t>
      </w:r>
      <w:r>
        <w:t>ių paūmėjimų be hospitalizavimo, (4) su</w:t>
      </w:r>
      <w:r w:rsidRPr="00F02337">
        <w:t>n</w:t>
      </w:r>
      <w:r>
        <w:t>kių paūmėjimų hospitalizuojant, (5) mirtis.</w:t>
      </w:r>
      <w:r w:rsidRPr="009262A0">
        <w:t xml:space="preserve"> </w:t>
      </w:r>
      <w:r w:rsidRPr="00CF2278">
        <w:t>Modelyje taikoma ilgesnė laiko perspektyva (viso gyvenimo laikotarpio</w:t>
      </w:r>
      <w:r>
        <w:t>, 40 m.</w:t>
      </w:r>
      <w:r w:rsidRPr="00CF2278">
        <w:t xml:space="preserve">), besitęsianti po klinikinio tyrimo stebėsenos pabaigos (po 52 sav.). </w:t>
      </w:r>
      <w:r w:rsidRPr="007D7716">
        <w:t xml:space="preserve">Tarnybos vertinimu, ne visos </w:t>
      </w:r>
      <w:r w:rsidRPr="007D7716">
        <w:rPr>
          <w:lang w:eastAsia="lt-LT"/>
        </w:rPr>
        <w:t xml:space="preserve">Pareiškėjo </w:t>
      </w:r>
      <w:r w:rsidRPr="007D7716">
        <w:t xml:space="preserve">KNA taikomos </w:t>
      </w:r>
      <w:r w:rsidRPr="007D7716">
        <w:rPr>
          <w:lang w:eastAsia="lt-LT"/>
        </w:rPr>
        <w:t xml:space="preserve">prielaidos, vertinant efektyvumo skirtumus tarp siūlomo ir palyginamojo gydymo ilgajame laikotarpyje yra </w:t>
      </w:r>
      <w:r w:rsidRPr="007D7716">
        <w:t>pagrįstos, ypatingai atsižvelgiant, kad alternatyvių prielaidų taikymas lemia reikšmingus kaštų analizės rezultatų pokyčius.</w:t>
      </w:r>
    </w:p>
    <w:p w14:paraId="014C1E89" w14:textId="43F874C4" w:rsidR="00BC2D33" w:rsidRDefault="00BC2D33" w:rsidP="00BC2D33">
      <w:pPr>
        <w:spacing w:line="276" w:lineRule="auto"/>
        <w:ind w:firstLine="720"/>
        <w:jc w:val="both"/>
      </w:pPr>
      <w:r w:rsidRPr="004062E2">
        <w:t xml:space="preserve">Sveikatai sukuriama nauda buvo vertinama pagal su sveikata susijusią gyvenimo kokybę (angl. </w:t>
      </w:r>
      <w:r w:rsidRPr="004062E2">
        <w:rPr>
          <w:i/>
          <w:iCs/>
        </w:rPr>
        <w:t xml:space="preserve">Health realated quality of life, </w:t>
      </w:r>
      <w:r w:rsidRPr="004062E2">
        <w:t>HRQoL)</w:t>
      </w:r>
      <w:r>
        <w:t xml:space="preserve">. </w:t>
      </w:r>
      <w:r w:rsidRPr="00E71AC8">
        <w:rPr>
          <w:bCs/>
        </w:rPr>
        <w:t>Tarnyba vertina, kad pareiškėjo kaštų analizėje taikomų gyvenimo kokybės koeficientų  šaltiniai (</w:t>
      </w:r>
      <w:r w:rsidRPr="00E71AC8">
        <w:rPr>
          <w:iCs/>
        </w:rPr>
        <w:t xml:space="preserve">Lloyd A. et al, </w:t>
      </w:r>
      <w:r w:rsidRPr="00E71AC8">
        <w:rPr>
          <w:iCs/>
          <w:lang w:val="en-US"/>
        </w:rPr>
        <w:t>2007, Willson et al, 2014)</w:t>
      </w:r>
      <w:r w:rsidRPr="00E71AC8">
        <w:rPr>
          <w:bCs/>
        </w:rPr>
        <w:t xml:space="preserve"> yra nepagrįsti, kadangi Pareiškėjas nepateikia sisteminės literatūros apžvalgos dėl kitų gyvenimo kokybės koeficientų reikšmių pagal sveikatos būkles, o Tarnybos pateikiami alternatyvūs įverčiai (pagal dupilumabo paraiškos metu teiktus tai pačiai indikacijai) rodo, kad įverčiai </w:t>
      </w:r>
      <w:r>
        <w:rPr>
          <w:bCs/>
        </w:rPr>
        <w:t xml:space="preserve">skiriasi, ypatingai </w:t>
      </w:r>
      <w:r w:rsidRPr="00E71AC8">
        <w:rPr>
          <w:bCs/>
        </w:rPr>
        <w:t xml:space="preserve">sunkaus paūmėjimo sveikatos būklėje </w:t>
      </w:r>
      <w:r>
        <w:rPr>
          <w:bCs/>
        </w:rPr>
        <w:t xml:space="preserve">– </w:t>
      </w:r>
      <w:r w:rsidR="00E31395">
        <w:rPr>
          <w:bCs/>
          <w:lang w:val="en-US"/>
        </w:rPr>
        <w:t>***</w:t>
      </w:r>
      <w:r>
        <w:rPr>
          <w:bCs/>
        </w:rPr>
        <w:t xml:space="preserve"> k. </w:t>
      </w:r>
      <w:r w:rsidR="00E31395">
        <w:t>(0.33 vs ***</w:t>
      </w:r>
      <w:r w:rsidRPr="00E71AC8">
        <w:t>). Svarbu tai, kad liga nėra siejama su mirtingumu, o su sveikata susijusia gyvenimo kokybe ir KNA taikomi gyvenimo kokybės įverčiais turi esminės įtakos galutiniam ekonominės analizės rezultatui (ICER).</w:t>
      </w:r>
      <w:r>
        <w:t xml:space="preserve"> Šiuos duomenis, kad naudingumo įverčiai turi didžiausią įtaką KNA rezultatui, patvirtina vienveiksnės jautrumo analizės rezultatai.</w:t>
      </w:r>
    </w:p>
    <w:p w14:paraId="603C0BF7" w14:textId="1EE7B729" w:rsidR="00BC2D33" w:rsidRDefault="00BC2D33" w:rsidP="00BC2D33">
      <w:pPr>
        <w:spacing w:line="276" w:lineRule="auto"/>
        <w:ind w:firstLine="720"/>
        <w:jc w:val="both"/>
      </w:pPr>
      <w:r w:rsidRPr="00603B3A">
        <w:t xml:space="preserve">Analizė atlikta iš PSDF biudžeto perspektyvos, įtraukti tiesiogiai su sveikatos sistema susiję kaštai. </w:t>
      </w:r>
      <w:r>
        <w:t xml:space="preserve">Kaštai atnaujinti pagal 2026 m. II pusm. kainyno ir ASPPĮ. </w:t>
      </w:r>
      <w:r w:rsidRPr="00603B3A">
        <w:t>Tai atitinka teisės aktuose nustatytus paraiškos rengimo taisyklių reikalavimus.</w:t>
      </w:r>
      <w:r>
        <w:t xml:space="preserve"> Pagal gautus KNA rezultatus, p</w:t>
      </w:r>
      <w:r w:rsidRPr="00732EE8">
        <w:t xml:space="preserve">acientams skiriant Trimbow astma sergančių suaugusių palaikomajam gydymui, kuriems nepavyksta adekvačiai kontroliuoti ligos taikant ilgalaikio veikimo beta2-agonisto ir inhaliuojamojo kortikosteroido </w:t>
      </w:r>
      <w:r>
        <w:t>didelių</w:t>
      </w:r>
      <w:r w:rsidRPr="00732EE8">
        <w:t xml:space="preserve"> dozių palaikomuoju deriniu, viso gyvenimo laiko perspektyvoje (40 m.) yra papildomai laimima </w:t>
      </w:r>
      <w:r w:rsidR="001D4151">
        <w:t>***</w:t>
      </w:r>
      <w:r w:rsidRPr="00732EE8">
        <w:t xml:space="preserve"> QALY lyginant su Foster, o gydymo Trimbow kaštai yra </w:t>
      </w:r>
      <w:r w:rsidR="001D4151">
        <w:rPr>
          <w:bCs/>
          <w:color w:val="000000"/>
        </w:rPr>
        <w:t>****</w:t>
      </w:r>
      <w:r w:rsidRPr="00732EE8">
        <w:t xml:space="preserve"> Eur didesni nei gydymo Foster. ICER koeficientas </w:t>
      </w:r>
      <w:r w:rsidR="001D4151">
        <w:rPr>
          <w:color w:val="000000"/>
        </w:rPr>
        <w:t>*****</w:t>
      </w:r>
      <w:r w:rsidRPr="00732EE8">
        <w:rPr>
          <w:color w:val="000000"/>
        </w:rPr>
        <w:t xml:space="preserve"> </w:t>
      </w:r>
      <w:r w:rsidRPr="00732EE8">
        <w:t>Eur.</w:t>
      </w:r>
    </w:p>
    <w:p w14:paraId="61FAD979" w14:textId="77777777" w:rsidR="00BC2D33" w:rsidRPr="00164D64" w:rsidRDefault="00BC2D33" w:rsidP="00A93AA6">
      <w:pPr>
        <w:tabs>
          <w:tab w:val="left" w:pos="426"/>
        </w:tabs>
        <w:rPr>
          <w:b/>
          <w:bCs/>
          <w:caps/>
        </w:rPr>
      </w:pPr>
    </w:p>
    <w:p w14:paraId="174D84D7" w14:textId="14699BBB" w:rsidR="0035172D" w:rsidRPr="000203E1" w:rsidRDefault="00D574E0" w:rsidP="00A93AA6">
      <w:pPr>
        <w:tabs>
          <w:tab w:val="left" w:pos="426"/>
        </w:tabs>
        <w:rPr>
          <w:b/>
          <w:lang w:eastAsia="lt-LT"/>
        </w:rPr>
      </w:pPr>
      <w:r>
        <w:rPr>
          <w:b/>
          <w:lang w:eastAsia="lt-LT"/>
        </w:rPr>
        <w:t>4.</w:t>
      </w:r>
      <w:r w:rsidR="00164D64">
        <w:rPr>
          <w:b/>
          <w:lang w:eastAsia="lt-LT"/>
        </w:rPr>
        <w:t xml:space="preserve">1 </w:t>
      </w:r>
      <w:r w:rsidR="0035172D" w:rsidRPr="000203E1">
        <w:rPr>
          <w:b/>
          <w:lang w:eastAsia="lt-LT"/>
        </w:rPr>
        <w:t>Ekonominės analizės rezultatas</w:t>
      </w:r>
    </w:p>
    <w:p w14:paraId="4801D227" w14:textId="77777777" w:rsidR="009E44AE" w:rsidRPr="000203E1" w:rsidRDefault="009E44AE" w:rsidP="00A93AA6">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0203E1" w:rsidRPr="000203E1"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0203E1" w:rsidRDefault="009E44AE" w:rsidP="009E44AE">
            <w:pPr>
              <w:tabs>
                <w:tab w:val="left" w:pos="567"/>
              </w:tabs>
              <w:jc w:val="center"/>
              <w:rPr>
                <w:b/>
                <w:bCs/>
                <w:sz w:val="26"/>
                <w:szCs w:val="26"/>
                <w:lang w:eastAsia="lt-LT"/>
              </w:rPr>
            </w:pPr>
            <w:r w:rsidRPr="000203E1">
              <w:rPr>
                <w:b/>
                <w:bCs/>
                <w:sz w:val="26"/>
                <w:szCs w:val="26"/>
                <w:lang w:eastAsia="lt-LT"/>
              </w:rPr>
              <w:t>Rezultatai</w:t>
            </w:r>
          </w:p>
        </w:tc>
      </w:tr>
      <w:tr w:rsidR="000203E1" w:rsidRPr="000203E1" w14:paraId="319AF392" w14:textId="77777777" w:rsidTr="00BC2D33">
        <w:trPr>
          <w:trHeight w:val="267"/>
          <w:jc w:val="center"/>
        </w:trPr>
        <w:tc>
          <w:tcPr>
            <w:tcW w:w="6200" w:type="dxa"/>
            <w:tcBorders>
              <w:left w:val="single" w:sz="4" w:space="0" w:color="auto"/>
            </w:tcBorders>
          </w:tcPr>
          <w:p w14:paraId="44CD8D27" w14:textId="27245A0B" w:rsidR="00BA5DBC" w:rsidRPr="000203E1" w:rsidRDefault="00BA5DBC" w:rsidP="00BA5DBC">
            <w:pPr>
              <w:tabs>
                <w:tab w:val="left" w:pos="567"/>
              </w:tabs>
              <w:jc w:val="right"/>
              <w:rPr>
                <w:iCs/>
                <w:lang w:eastAsia="lt-LT"/>
              </w:rPr>
            </w:pPr>
            <w:r w:rsidRPr="000203E1">
              <w:rPr>
                <w:iCs/>
                <w:lang w:eastAsia="lt-LT"/>
              </w:rPr>
              <w:t>Kaštų skirtumas</w:t>
            </w:r>
          </w:p>
        </w:tc>
        <w:tc>
          <w:tcPr>
            <w:tcW w:w="3239" w:type="dxa"/>
            <w:tcBorders>
              <w:right w:val="single" w:sz="4" w:space="0" w:color="auto"/>
            </w:tcBorders>
          </w:tcPr>
          <w:p w14:paraId="1CACF0B4" w14:textId="580A0F32" w:rsidR="00BA5DBC" w:rsidRPr="000203E1" w:rsidRDefault="0054534F" w:rsidP="00BA5DBC">
            <w:pPr>
              <w:tabs>
                <w:tab w:val="left" w:pos="567"/>
              </w:tabs>
              <w:jc w:val="both"/>
              <w:rPr>
                <w:i/>
                <w:iCs/>
                <w:lang w:eastAsia="lt-LT"/>
              </w:rPr>
            </w:pPr>
            <w:r>
              <w:rPr>
                <w:bCs/>
                <w:color w:val="000000"/>
              </w:rPr>
              <w:t>****</w:t>
            </w:r>
            <w:r w:rsidR="00BC2D33" w:rsidRPr="00732EE8">
              <w:t xml:space="preserve"> Eur</w:t>
            </w:r>
          </w:p>
        </w:tc>
      </w:tr>
      <w:tr w:rsidR="000203E1" w:rsidRPr="000203E1" w14:paraId="49F818A3" w14:textId="77777777" w:rsidTr="00BC2D33">
        <w:trPr>
          <w:trHeight w:val="267"/>
          <w:jc w:val="center"/>
        </w:trPr>
        <w:tc>
          <w:tcPr>
            <w:tcW w:w="6200" w:type="dxa"/>
            <w:tcBorders>
              <w:left w:val="single" w:sz="4" w:space="0" w:color="auto"/>
            </w:tcBorders>
          </w:tcPr>
          <w:p w14:paraId="021DB925" w14:textId="389F1BF5" w:rsidR="00BA5DBC" w:rsidRPr="000203E1" w:rsidRDefault="00BA5DBC" w:rsidP="00BA5DBC">
            <w:pPr>
              <w:tabs>
                <w:tab w:val="left" w:pos="567"/>
              </w:tabs>
              <w:jc w:val="right"/>
              <w:rPr>
                <w:iCs/>
                <w:lang w:eastAsia="lt-LT"/>
              </w:rPr>
            </w:pPr>
            <w:r w:rsidRPr="000203E1">
              <w:rPr>
                <w:iCs/>
                <w:lang w:eastAsia="lt-LT"/>
              </w:rPr>
              <w:t>Papildomi gyvenimo metai (LY)</w:t>
            </w:r>
          </w:p>
        </w:tc>
        <w:tc>
          <w:tcPr>
            <w:tcW w:w="3239" w:type="dxa"/>
            <w:tcBorders>
              <w:right w:val="single" w:sz="4" w:space="0" w:color="auto"/>
            </w:tcBorders>
          </w:tcPr>
          <w:p w14:paraId="4954817B" w14:textId="4EA8A5B5" w:rsidR="00BA5DBC" w:rsidRPr="000203E1" w:rsidRDefault="00BC2D33" w:rsidP="00BA5DBC">
            <w:pPr>
              <w:tabs>
                <w:tab w:val="left" w:pos="567"/>
              </w:tabs>
              <w:jc w:val="both"/>
              <w:rPr>
                <w:i/>
                <w:iCs/>
                <w:lang w:eastAsia="lt-LT"/>
              </w:rPr>
            </w:pPr>
            <w:r>
              <w:rPr>
                <w:i/>
                <w:iCs/>
                <w:lang w:eastAsia="lt-LT"/>
              </w:rPr>
              <w:t>-</w:t>
            </w:r>
          </w:p>
        </w:tc>
      </w:tr>
      <w:tr w:rsidR="000203E1" w:rsidRPr="000203E1" w14:paraId="20ADA742" w14:textId="77777777" w:rsidTr="00BC2D33">
        <w:trPr>
          <w:trHeight w:val="267"/>
          <w:jc w:val="center"/>
        </w:trPr>
        <w:tc>
          <w:tcPr>
            <w:tcW w:w="6200" w:type="dxa"/>
            <w:tcBorders>
              <w:left w:val="single" w:sz="4" w:space="0" w:color="auto"/>
            </w:tcBorders>
          </w:tcPr>
          <w:p w14:paraId="0F567576" w14:textId="2606A2E9" w:rsidR="00BA5DBC" w:rsidRPr="000203E1" w:rsidRDefault="0058712F" w:rsidP="00BA5DBC">
            <w:pPr>
              <w:tabs>
                <w:tab w:val="left" w:pos="567"/>
              </w:tabs>
              <w:jc w:val="right"/>
              <w:rPr>
                <w:iCs/>
                <w:lang w:eastAsia="lt-LT"/>
              </w:rPr>
            </w:pPr>
            <w:r w:rsidRPr="000203E1">
              <w:rPr>
                <w:iCs/>
                <w:lang w:eastAsia="lt-LT"/>
              </w:rPr>
              <w:t>Papildomi k</w:t>
            </w:r>
            <w:r w:rsidR="00BA5DBC" w:rsidRPr="000203E1">
              <w:rPr>
                <w:iCs/>
                <w:lang w:eastAsia="lt-LT"/>
              </w:rPr>
              <w:t>okybiški gyvenimo metai (QALY)</w:t>
            </w:r>
          </w:p>
        </w:tc>
        <w:tc>
          <w:tcPr>
            <w:tcW w:w="3239" w:type="dxa"/>
            <w:tcBorders>
              <w:right w:val="single" w:sz="4" w:space="0" w:color="auto"/>
            </w:tcBorders>
          </w:tcPr>
          <w:p w14:paraId="02E4DAE1" w14:textId="18B59971" w:rsidR="00BA5DBC" w:rsidRPr="000203E1" w:rsidRDefault="0054534F" w:rsidP="00BA5DBC">
            <w:pPr>
              <w:tabs>
                <w:tab w:val="left" w:pos="567"/>
              </w:tabs>
              <w:jc w:val="both"/>
              <w:rPr>
                <w:i/>
                <w:iCs/>
                <w:lang w:eastAsia="lt-LT"/>
              </w:rPr>
            </w:pPr>
            <w:r>
              <w:rPr>
                <w:i/>
                <w:iCs/>
                <w:lang w:eastAsia="lt-LT"/>
              </w:rPr>
              <w:t>***</w:t>
            </w:r>
          </w:p>
        </w:tc>
      </w:tr>
      <w:tr w:rsidR="000203E1" w:rsidRPr="000203E1" w14:paraId="1FADA2B3" w14:textId="77777777" w:rsidTr="00BC2D33">
        <w:trPr>
          <w:trHeight w:val="267"/>
          <w:jc w:val="center"/>
        </w:trPr>
        <w:tc>
          <w:tcPr>
            <w:tcW w:w="6200" w:type="dxa"/>
            <w:tcBorders>
              <w:left w:val="single" w:sz="4" w:space="0" w:color="auto"/>
            </w:tcBorders>
          </w:tcPr>
          <w:p w14:paraId="13E089E8" w14:textId="0BCEB339" w:rsidR="00BA5DBC" w:rsidRPr="000203E1" w:rsidRDefault="00BA5DBC" w:rsidP="009E44AE">
            <w:pPr>
              <w:tabs>
                <w:tab w:val="left" w:pos="567"/>
              </w:tabs>
              <w:jc w:val="right"/>
              <w:rPr>
                <w:iCs/>
                <w:lang w:eastAsia="lt-LT"/>
              </w:rPr>
            </w:pPr>
            <w:r w:rsidRPr="000203E1">
              <w:rPr>
                <w:iCs/>
                <w:lang w:eastAsia="lt-LT"/>
              </w:rPr>
              <w:t>ICER už LY</w:t>
            </w:r>
          </w:p>
        </w:tc>
        <w:tc>
          <w:tcPr>
            <w:tcW w:w="3239" w:type="dxa"/>
            <w:tcBorders>
              <w:right w:val="single" w:sz="4" w:space="0" w:color="auto"/>
            </w:tcBorders>
          </w:tcPr>
          <w:p w14:paraId="2817448D" w14:textId="41B2CE60" w:rsidR="00BA5DBC" w:rsidRPr="000203E1" w:rsidRDefault="00BC2D33" w:rsidP="009E44AE">
            <w:pPr>
              <w:tabs>
                <w:tab w:val="left" w:pos="567"/>
              </w:tabs>
              <w:jc w:val="both"/>
              <w:rPr>
                <w:i/>
                <w:iCs/>
                <w:lang w:eastAsia="lt-LT"/>
              </w:rPr>
            </w:pPr>
            <w:r>
              <w:rPr>
                <w:i/>
                <w:iCs/>
                <w:lang w:eastAsia="lt-LT"/>
              </w:rPr>
              <w:t>-</w:t>
            </w:r>
          </w:p>
        </w:tc>
      </w:tr>
      <w:tr w:rsidR="00BC2D33" w:rsidRPr="000203E1" w14:paraId="250DE960" w14:textId="77777777" w:rsidTr="00BC2D33">
        <w:trPr>
          <w:trHeight w:val="267"/>
          <w:jc w:val="center"/>
        </w:trPr>
        <w:tc>
          <w:tcPr>
            <w:tcW w:w="6200" w:type="dxa"/>
            <w:tcBorders>
              <w:left w:val="single" w:sz="4" w:space="0" w:color="auto"/>
            </w:tcBorders>
          </w:tcPr>
          <w:p w14:paraId="207EFB23" w14:textId="77777777" w:rsidR="00BC2D33" w:rsidRPr="000203E1" w:rsidRDefault="00BC2D33" w:rsidP="00BC2D33">
            <w:pPr>
              <w:tabs>
                <w:tab w:val="left" w:pos="567"/>
              </w:tabs>
              <w:jc w:val="right"/>
              <w:rPr>
                <w:iCs/>
                <w:lang w:eastAsia="lt-LT"/>
              </w:rPr>
            </w:pPr>
            <w:r w:rsidRPr="000203E1">
              <w:rPr>
                <w:iCs/>
                <w:lang w:eastAsia="lt-LT"/>
              </w:rPr>
              <w:t>ICER už QALY</w:t>
            </w:r>
          </w:p>
        </w:tc>
        <w:tc>
          <w:tcPr>
            <w:tcW w:w="3239" w:type="dxa"/>
            <w:tcBorders>
              <w:right w:val="single" w:sz="4" w:space="0" w:color="auto"/>
            </w:tcBorders>
          </w:tcPr>
          <w:p w14:paraId="4275320D" w14:textId="463DDE51" w:rsidR="00BC2D33" w:rsidRPr="000203E1" w:rsidRDefault="0054534F" w:rsidP="00BC2D33">
            <w:pPr>
              <w:tabs>
                <w:tab w:val="left" w:pos="567"/>
              </w:tabs>
              <w:jc w:val="both"/>
              <w:rPr>
                <w:i/>
                <w:iCs/>
                <w:lang w:eastAsia="lt-LT"/>
              </w:rPr>
            </w:pPr>
            <w:r>
              <w:rPr>
                <w:color w:val="000000"/>
              </w:rPr>
              <w:t>*****</w:t>
            </w:r>
            <w:r w:rsidR="00BC2D33" w:rsidRPr="00732EE8">
              <w:rPr>
                <w:color w:val="000000"/>
              </w:rPr>
              <w:t xml:space="preserve"> Eur.</w:t>
            </w:r>
          </w:p>
        </w:tc>
      </w:tr>
      <w:tr w:rsidR="00BC2D33" w:rsidRPr="000203E1" w14:paraId="2C4C68BA" w14:textId="77777777" w:rsidTr="00BC2D33">
        <w:trPr>
          <w:trHeight w:val="267"/>
          <w:jc w:val="center"/>
        </w:trPr>
        <w:tc>
          <w:tcPr>
            <w:tcW w:w="6200" w:type="dxa"/>
            <w:tcBorders>
              <w:left w:val="single" w:sz="4" w:space="0" w:color="auto"/>
              <w:bottom w:val="single" w:sz="4" w:space="0" w:color="auto"/>
              <w:right w:val="single" w:sz="4" w:space="0" w:color="auto"/>
            </w:tcBorders>
          </w:tcPr>
          <w:p w14:paraId="21BEDABF" w14:textId="3471AFB3" w:rsidR="00BC2D33" w:rsidRPr="000203E1" w:rsidRDefault="00BC2D33" w:rsidP="00BC2D33">
            <w:pPr>
              <w:tabs>
                <w:tab w:val="left" w:pos="567"/>
              </w:tabs>
              <w:jc w:val="right"/>
              <w:rPr>
                <w:iCs/>
                <w:lang w:eastAsia="lt-LT"/>
              </w:rPr>
            </w:pPr>
            <w:r>
              <w:rPr>
                <w:iCs/>
                <w:lang w:eastAsia="lt-LT"/>
              </w:rPr>
              <w:t>Referenc</w:t>
            </w:r>
            <w:r w:rsidRPr="000203E1">
              <w:rPr>
                <w:iCs/>
                <w:lang w:eastAsia="lt-LT"/>
              </w:rPr>
              <w:t>inė kaštų naudingumo vertė</w:t>
            </w:r>
          </w:p>
        </w:tc>
        <w:tc>
          <w:tcPr>
            <w:tcW w:w="3239" w:type="dxa"/>
            <w:tcBorders>
              <w:left w:val="single" w:sz="4" w:space="0" w:color="auto"/>
              <w:bottom w:val="single" w:sz="4" w:space="0" w:color="auto"/>
              <w:right w:val="single" w:sz="4" w:space="0" w:color="auto"/>
            </w:tcBorders>
          </w:tcPr>
          <w:p w14:paraId="31DAA72E" w14:textId="58EDF273" w:rsidR="00BC2D33" w:rsidRPr="000203E1" w:rsidRDefault="0054534F" w:rsidP="00BC2D33">
            <w:pPr>
              <w:tabs>
                <w:tab w:val="left" w:pos="567"/>
              </w:tabs>
              <w:jc w:val="both"/>
              <w:rPr>
                <w:i/>
                <w:iCs/>
                <w:lang w:eastAsia="lt-LT"/>
              </w:rPr>
            </w:pPr>
            <w:r>
              <w:rPr>
                <w:b/>
                <w:i/>
              </w:rPr>
              <w:t>******</w:t>
            </w:r>
            <w:r w:rsidR="00BC2D33" w:rsidRPr="007613E2">
              <w:rPr>
                <w:b/>
                <w:i/>
              </w:rPr>
              <w:t xml:space="preserve"> </w:t>
            </w:r>
            <w:r w:rsidR="00BC2D33" w:rsidRPr="007613E2">
              <w:rPr>
                <w:b/>
                <w:i/>
                <w:iCs/>
              </w:rPr>
              <w:t>Eur.</w:t>
            </w:r>
          </w:p>
        </w:tc>
      </w:tr>
    </w:tbl>
    <w:p w14:paraId="5FC8C737" w14:textId="4136B7F4" w:rsidR="0035172D" w:rsidRPr="000203E1" w:rsidRDefault="00E5102E" w:rsidP="0035172D">
      <w:pPr>
        <w:tabs>
          <w:tab w:val="left" w:pos="567"/>
        </w:tabs>
        <w:jc w:val="both"/>
        <w:rPr>
          <w:iCs/>
          <w:sz w:val="20"/>
          <w:lang w:eastAsia="lt-LT"/>
        </w:rPr>
      </w:pPr>
      <w:r w:rsidRPr="000203E1">
        <w:rPr>
          <w:iCs/>
          <w:sz w:val="20"/>
          <w:lang w:eastAsia="lt-LT"/>
        </w:rPr>
        <w:t xml:space="preserve">ICER </w:t>
      </w:r>
      <w:r w:rsidR="00453862" w:rsidRPr="000203E1">
        <w:rPr>
          <w:iCs/>
          <w:sz w:val="20"/>
          <w:lang w:eastAsia="lt-LT"/>
        </w:rPr>
        <w:t>– (</w:t>
      </w:r>
      <w:r w:rsidR="00453862" w:rsidRPr="000203E1">
        <w:rPr>
          <w:i/>
          <w:sz w:val="20"/>
          <w:lang w:eastAsia="lt-LT"/>
        </w:rPr>
        <w:t>angl. incremental cost-effectiveness ratio</w:t>
      </w:r>
      <w:r w:rsidR="00453862" w:rsidRPr="000203E1">
        <w:rPr>
          <w:iCs/>
          <w:sz w:val="20"/>
          <w:lang w:eastAsia="lt-LT"/>
        </w:rPr>
        <w:t>) inkrementinis kaštų naudingumo koeficientas</w:t>
      </w:r>
      <w:r w:rsidRPr="000203E1">
        <w:rPr>
          <w:iCs/>
          <w:sz w:val="20"/>
          <w:lang w:eastAsia="lt-LT"/>
        </w:rPr>
        <w:t>; LY –</w:t>
      </w:r>
      <w:r w:rsidR="00453862" w:rsidRPr="000203E1">
        <w:rPr>
          <w:iCs/>
          <w:sz w:val="20"/>
          <w:lang w:eastAsia="lt-LT"/>
        </w:rPr>
        <w:t xml:space="preserve"> (</w:t>
      </w:r>
      <w:r w:rsidR="00453862" w:rsidRPr="000203E1">
        <w:rPr>
          <w:i/>
          <w:sz w:val="20"/>
          <w:lang w:eastAsia="lt-LT"/>
        </w:rPr>
        <w:t>angl. life years</w:t>
      </w:r>
      <w:r w:rsidR="00453862" w:rsidRPr="000203E1">
        <w:rPr>
          <w:iCs/>
          <w:sz w:val="20"/>
          <w:lang w:eastAsia="lt-LT"/>
        </w:rPr>
        <w:t>) gyvenimo metai</w:t>
      </w:r>
      <w:r w:rsidRPr="000203E1">
        <w:rPr>
          <w:iCs/>
          <w:sz w:val="20"/>
          <w:lang w:eastAsia="lt-LT"/>
        </w:rPr>
        <w:t xml:space="preserve">; QALY- </w:t>
      </w:r>
      <w:r w:rsidR="00453862" w:rsidRPr="000203E1">
        <w:rPr>
          <w:iCs/>
          <w:sz w:val="20"/>
          <w:lang w:eastAsia="lt-LT"/>
        </w:rPr>
        <w:t>(</w:t>
      </w:r>
      <w:r w:rsidR="00453862" w:rsidRPr="000203E1">
        <w:rPr>
          <w:i/>
          <w:sz w:val="20"/>
          <w:lang w:eastAsia="lt-LT"/>
        </w:rPr>
        <w:t xml:space="preserve">angl. quality adjusted life years) </w:t>
      </w:r>
      <w:r w:rsidR="00453862" w:rsidRPr="000203E1">
        <w:rPr>
          <w:iCs/>
          <w:sz w:val="20"/>
          <w:lang w:eastAsia="lt-LT"/>
        </w:rPr>
        <w:t>kokybiški gyvenimo metai.</w:t>
      </w:r>
    </w:p>
    <w:p w14:paraId="33875138" w14:textId="7BFBFDD7" w:rsidR="0035172D" w:rsidRDefault="0035172D" w:rsidP="00A93AA6">
      <w:pPr>
        <w:tabs>
          <w:tab w:val="left" w:pos="426"/>
        </w:tabs>
        <w:rPr>
          <w:b/>
          <w:bCs/>
          <w:caps/>
        </w:rPr>
      </w:pPr>
    </w:p>
    <w:p w14:paraId="4D9B825C" w14:textId="32A1CB27" w:rsidR="00BC2D33" w:rsidRDefault="00BC2D33" w:rsidP="00BC2D33">
      <w:pPr>
        <w:spacing w:line="276" w:lineRule="auto"/>
        <w:ind w:firstLine="720"/>
        <w:jc w:val="both"/>
        <w:rPr>
          <w:iCs/>
          <w:lang w:eastAsia="lt-LT"/>
        </w:rPr>
      </w:pPr>
      <w:r w:rsidRPr="00196B8D">
        <w:rPr>
          <w:iCs/>
          <w:lang w:eastAsia="lt-LT"/>
        </w:rPr>
        <w:t>Tarnyba atkreipia dėmesį, k</w:t>
      </w:r>
      <w:r>
        <w:rPr>
          <w:iCs/>
          <w:lang w:eastAsia="lt-LT"/>
        </w:rPr>
        <w:t xml:space="preserve">ad išskyrus vienodų tikimybių perėjimo tarp sveikatos būklių apskaičiavimo, kai trūksta empirinių duomenų prielaidą, visos kitos KNA scenarijų analizėje vertinamos alternatyvios prielaidos  lemia </w:t>
      </w:r>
      <w:r w:rsidR="0054534F">
        <w:rPr>
          <w:iCs/>
          <w:lang w:eastAsia="lt-LT"/>
        </w:rPr>
        <w:t>*</w:t>
      </w:r>
      <w:r w:rsidRPr="00196B8D">
        <w:rPr>
          <w:iCs/>
          <w:lang w:eastAsia="lt-LT"/>
        </w:rPr>
        <w:t xml:space="preserve">, </w:t>
      </w:r>
      <w:r w:rsidR="0054534F">
        <w:rPr>
          <w:iCs/>
          <w:lang w:eastAsia="lt-LT"/>
        </w:rPr>
        <w:t>*</w:t>
      </w:r>
      <w:r w:rsidRPr="00196B8D">
        <w:rPr>
          <w:iCs/>
          <w:lang w:eastAsia="lt-LT"/>
        </w:rPr>
        <w:t xml:space="preserve"> ir daugiau kartų didesnius (ar mažesnius) KNA rezultatus. Tai, kad rezultatai modelyje priklausomai nuo taikomos prielaidos varijuoja (nuo – </w:t>
      </w:r>
      <w:r w:rsidR="0054534F">
        <w:rPr>
          <w:iCs/>
          <w:lang w:eastAsia="lt-LT"/>
        </w:rPr>
        <w:t>*****</w:t>
      </w:r>
      <w:r w:rsidRPr="00196B8D">
        <w:rPr>
          <w:iCs/>
          <w:lang w:eastAsia="lt-LT"/>
        </w:rPr>
        <w:t xml:space="preserve"> iki </w:t>
      </w:r>
      <w:r w:rsidR="0054534F">
        <w:rPr>
          <w:iCs/>
          <w:lang w:eastAsia="lt-LT"/>
        </w:rPr>
        <w:t>******</w:t>
      </w:r>
      <w:r w:rsidRPr="00196B8D">
        <w:rPr>
          <w:iCs/>
          <w:lang w:eastAsia="lt-LT"/>
        </w:rPr>
        <w:t>) rodo, kad modelis nėra tvarus ir pasižymi dideliais trūkumais (mažas rezultatų patikimumas).</w:t>
      </w:r>
    </w:p>
    <w:p w14:paraId="32DC6FEF" w14:textId="51939332" w:rsidR="006B36C9" w:rsidRPr="001B3E52" w:rsidRDefault="006B36C9" w:rsidP="006B36C9">
      <w:pPr>
        <w:spacing w:line="276" w:lineRule="auto"/>
        <w:ind w:firstLine="446"/>
        <w:jc w:val="both"/>
        <w:rPr>
          <w:i/>
          <w:lang w:eastAsia="lt-LT"/>
        </w:rPr>
      </w:pPr>
      <w:r w:rsidRPr="001B3E52">
        <w:rPr>
          <w:i/>
          <w:lang w:eastAsia="lt-LT"/>
        </w:rPr>
        <w:t>Siekiant, kad apskaičiuotas ICER atitiktų lengvai ligos naštai taikomą referencinę kaštų naudingumo vertę (&lt;</w:t>
      </w:r>
      <w:r w:rsidR="0054534F">
        <w:rPr>
          <w:i/>
          <w:color w:val="000000"/>
          <w:lang w:eastAsia="lt-LT"/>
        </w:rPr>
        <w:t>******</w:t>
      </w:r>
      <w:r w:rsidRPr="001B3E52">
        <w:rPr>
          <w:i/>
          <w:color w:val="000000"/>
          <w:lang w:eastAsia="lt-LT"/>
        </w:rPr>
        <w:t xml:space="preserve"> Eur./QALY), Trimbow (didelių dozių pakuotės)</w:t>
      </w:r>
      <w:r w:rsidRPr="001B3E52">
        <w:rPr>
          <w:i/>
          <w:lang w:eastAsia="lt-LT"/>
        </w:rPr>
        <w:t xml:space="preserve"> kainą reikalinga sumažinti ~</w:t>
      </w:r>
      <w:r w:rsidR="0054534F">
        <w:rPr>
          <w:i/>
          <w:lang w:eastAsia="lt-LT"/>
        </w:rPr>
        <w:t>**</w:t>
      </w:r>
      <w:r w:rsidRPr="001B3E52">
        <w:rPr>
          <w:i/>
          <w:lang w:eastAsia="lt-LT"/>
        </w:rPr>
        <w:t xml:space="preserve"> proc. (</w:t>
      </w:r>
      <w:r w:rsidR="0054534F">
        <w:rPr>
          <w:i/>
          <w:lang w:eastAsia="lt-LT"/>
        </w:rPr>
        <w:t>****</w:t>
      </w:r>
      <w:r w:rsidRPr="001B3E52">
        <w:rPr>
          <w:i/>
          <w:lang w:eastAsia="lt-LT"/>
        </w:rPr>
        <w:t xml:space="preserve"> Eur. už pakuotę) nuo KNA taikytos (</w:t>
      </w:r>
      <w:r w:rsidR="0054534F">
        <w:rPr>
          <w:i/>
          <w:lang w:val="en-US"/>
        </w:rPr>
        <w:t>****</w:t>
      </w:r>
      <w:r w:rsidRPr="001B3E52">
        <w:rPr>
          <w:i/>
          <w:lang w:val="en-US"/>
        </w:rPr>
        <w:t xml:space="preserve"> Eur. (su PGS)).</w:t>
      </w:r>
    </w:p>
    <w:p w14:paraId="0D460956" w14:textId="77777777" w:rsidR="00BC2D33" w:rsidRPr="000203E1" w:rsidRDefault="00BC2D33" w:rsidP="00A93AA6">
      <w:pPr>
        <w:tabs>
          <w:tab w:val="left" w:pos="426"/>
        </w:tabs>
        <w:rPr>
          <w:b/>
          <w:bCs/>
          <w:caps/>
        </w:rPr>
      </w:pPr>
    </w:p>
    <w:p w14:paraId="4FC424F9" w14:textId="4E767245" w:rsidR="00C62B36" w:rsidRDefault="00C62B36" w:rsidP="00CC09D4">
      <w:pPr>
        <w:pStyle w:val="Sraopastraipa"/>
        <w:numPr>
          <w:ilvl w:val="0"/>
          <w:numId w:val="12"/>
        </w:numPr>
        <w:tabs>
          <w:tab w:val="left" w:pos="567"/>
        </w:tabs>
        <w:ind w:hanging="720"/>
        <w:rPr>
          <w:b/>
          <w:bCs/>
          <w:caps/>
        </w:rPr>
      </w:pPr>
      <w:r w:rsidRPr="000203E1">
        <w:rPr>
          <w:b/>
          <w:bCs/>
          <w:caps/>
        </w:rPr>
        <w:t xml:space="preserve">Pacientų organizacijų pateikti duomenys </w:t>
      </w:r>
    </w:p>
    <w:p w14:paraId="54351841" w14:textId="77777777" w:rsidR="00C9728E" w:rsidRPr="000203E1" w:rsidRDefault="00C9728E" w:rsidP="00C9728E">
      <w:pPr>
        <w:pStyle w:val="Sraopastraipa"/>
        <w:tabs>
          <w:tab w:val="left" w:pos="567"/>
        </w:tabs>
        <w:rPr>
          <w:b/>
          <w:bCs/>
          <w:caps/>
        </w:rPr>
      </w:pPr>
    </w:p>
    <w:p w14:paraId="62992180" w14:textId="4F685909" w:rsidR="00937907" w:rsidRPr="000203E1" w:rsidRDefault="00937907" w:rsidP="00937907">
      <w:pPr>
        <w:spacing w:after="120"/>
        <w:jc w:val="both"/>
      </w:pPr>
      <w:r w:rsidRPr="000203E1">
        <w:t xml:space="preserve">Pacientų organizacijos pozicija </w:t>
      </w:r>
      <w:r w:rsidR="00880A44" w:rsidRPr="000203E1">
        <w:t>ne</w:t>
      </w:r>
      <w:r w:rsidRPr="000203E1">
        <w:t>pateikta.</w:t>
      </w:r>
    </w:p>
    <w:p w14:paraId="03E73D82" w14:textId="77777777" w:rsidR="00D417D2" w:rsidRPr="000203E1" w:rsidRDefault="00D417D2" w:rsidP="00937907">
      <w:pPr>
        <w:spacing w:after="120"/>
        <w:jc w:val="both"/>
      </w:pPr>
    </w:p>
    <w:p w14:paraId="3D3277FA" w14:textId="221CA2C1" w:rsidR="00C62B36" w:rsidRDefault="00D67BAF" w:rsidP="00CC09D4">
      <w:pPr>
        <w:pStyle w:val="Sraopastraipa"/>
        <w:numPr>
          <w:ilvl w:val="0"/>
          <w:numId w:val="12"/>
        </w:numPr>
        <w:tabs>
          <w:tab w:val="left" w:pos="567"/>
        </w:tabs>
        <w:ind w:hanging="720"/>
        <w:rPr>
          <w:b/>
          <w:bCs/>
          <w:caps/>
        </w:rPr>
      </w:pPr>
      <w:r w:rsidRPr="00D67BAF">
        <w:rPr>
          <w:b/>
          <w:bCs/>
          <w:caps/>
        </w:rPr>
        <w:t xml:space="preserve">SVEIKATOS PRIEŽIŪROS SPECIALISTŲ </w:t>
      </w:r>
      <w:r w:rsidR="00C62B36" w:rsidRPr="000203E1">
        <w:rPr>
          <w:b/>
          <w:bCs/>
          <w:caps/>
        </w:rPr>
        <w:t>organizacijų pateikti duomenys</w:t>
      </w:r>
    </w:p>
    <w:p w14:paraId="117ED7F0" w14:textId="77777777" w:rsidR="00BC2D33" w:rsidRDefault="00BC2D33" w:rsidP="00662983">
      <w:pPr>
        <w:spacing w:after="120"/>
        <w:jc w:val="both"/>
      </w:pPr>
    </w:p>
    <w:p w14:paraId="5D8CC48C" w14:textId="17D996E7" w:rsidR="00662983" w:rsidRPr="000203E1" w:rsidRDefault="00D67BAF" w:rsidP="00662983">
      <w:pPr>
        <w:spacing w:after="120"/>
        <w:jc w:val="both"/>
      </w:pPr>
      <w:r>
        <w:t>S</w:t>
      </w:r>
      <w:r w:rsidRPr="00E16035">
        <w:rPr>
          <w:bCs/>
        </w:rPr>
        <w:t>veikatos priežiūros specialistų</w:t>
      </w:r>
      <w:r w:rsidR="00937907" w:rsidRPr="000203E1">
        <w:t xml:space="preserve"> organizacijos pozicija </w:t>
      </w:r>
      <w:r w:rsidR="00880A44" w:rsidRPr="000203E1">
        <w:t>ne</w:t>
      </w:r>
      <w:r w:rsidR="00937907" w:rsidRPr="000203E1">
        <w:t>pateikta.</w:t>
      </w:r>
    </w:p>
    <w:p w14:paraId="3701D46A" w14:textId="77777777" w:rsidR="00A042B9" w:rsidRPr="000203E1" w:rsidRDefault="00A042B9" w:rsidP="00662983">
      <w:pPr>
        <w:spacing w:after="120"/>
        <w:jc w:val="both"/>
      </w:pPr>
    </w:p>
    <w:p w14:paraId="78F23ECB" w14:textId="3ED5BFD5" w:rsidR="002F0E4F" w:rsidRPr="000203E1" w:rsidRDefault="002F0E4F" w:rsidP="00CC09D4">
      <w:pPr>
        <w:pStyle w:val="Sraopastraipa"/>
        <w:numPr>
          <w:ilvl w:val="0"/>
          <w:numId w:val="12"/>
        </w:numPr>
        <w:tabs>
          <w:tab w:val="left" w:pos="567"/>
        </w:tabs>
        <w:ind w:hanging="720"/>
        <w:rPr>
          <w:b/>
          <w:bCs/>
          <w:caps/>
        </w:rPr>
      </w:pPr>
      <w:r w:rsidRPr="000203E1">
        <w:rPr>
          <w:b/>
          <w:bCs/>
          <w:caps/>
        </w:rPr>
        <w:t>Išvad</w:t>
      </w:r>
      <w:r w:rsidR="00B811A4">
        <w:rPr>
          <w:b/>
          <w:bCs/>
          <w:caps/>
        </w:rPr>
        <w:t>OS</w:t>
      </w:r>
      <w:r w:rsidRPr="000203E1">
        <w:rPr>
          <w:b/>
          <w:bCs/>
          <w:caps/>
        </w:rPr>
        <w:t xml:space="preserve"> </w:t>
      </w:r>
    </w:p>
    <w:p w14:paraId="30069D85" w14:textId="77777777" w:rsidR="0061611B" w:rsidRPr="000203E1" w:rsidRDefault="0061611B" w:rsidP="0061611B">
      <w:pPr>
        <w:ind w:left="360"/>
        <w:rPr>
          <w:i/>
          <w:szCs w:val="22"/>
        </w:rPr>
      </w:pPr>
    </w:p>
    <w:tbl>
      <w:tblPr>
        <w:tblStyle w:val="Lentelstinklelis"/>
        <w:tblW w:w="0" w:type="auto"/>
        <w:tblInd w:w="-5" w:type="dxa"/>
        <w:tblLook w:val="04A0" w:firstRow="1" w:lastRow="0" w:firstColumn="1" w:lastColumn="0" w:noHBand="0" w:noVBand="1"/>
      </w:tblPr>
      <w:tblGrid>
        <w:gridCol w:w="4820"/>
        <w:gridCol w:w="4814"/>
      </w:tblGrid>
      <w:tr w:rsidR="00B811A4" w:rsidRPr="00B811A4" w14:paraId="4D5EFB83" w14:textId="77777777" w:rsidTr="007111C4">
        <w:trPr>
          <w:trHeight w:val="510"/>
        </w:trPr>
        <w:tc>
          <w:tcPr>
            <w:tcW w:w="9634" w:type="dxa"/>
            <w:gridSpan w:val="2"/>
            <w:vAlign w:val="center"/>
          </w:tcPr>
          <w:p w14:paraId="294EC16B"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bookmarkStart w:id="2" w:name="_Hlk185430554"/>
            <w:r w:rsidRPr="00B811A4">
              <w:rPr>
                <w:rStyle w:val="Style2"/>
                <w:rFonts w:eastAsia="MS Gothic"/>
                <w:b/>
                <w:bCs/>
                <w:sz w:val="23"/>
                <w:szCs w:val="23"/>
              </w:rPr>
              <w:t>Palyginamasis veiksmingumas</w:t>
            </w:r>
          </w:p>
        </w:tc>
      </w:tr>
      <w:tr w:rsidR="00B811A4" w:rsidRPr="00B811A4" w14:paraId="30B67515" w14:textId="77777777" w:rsidTr="007111C4">
        <w:tc>
          <w:tcPr>
            <w:tcW w:w="4820" w:type="dxa"/>
          </w:tcPr>
          <w:p w14:paraId="4FE3C208" w14:textId="3B1A0B5E" w:rsidR="00B811A4" w:rsidRPr="00B811A4" w:rsidRDefault="0003497F"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397324644"/>
                <w15:color w:val="FFCC00"/>
                <w14:checkbox>
                  <w14:checked w14:val="1"/>
                  <w14:checkedState w14:val="2612" w14:font="MS Gothic"/>
                  <w14:uncheckedState w14:val="2610" w14:font="MS Gothic"/>
                </w14:checkbox>
              </w:sdtPr>
              <w:sdtEndPr>
                <w:rPr>
                  <w:rStyle w:val="Style2"/>
                </w:rPr>
              </w:sdtEndPr>
              <w:sdtContent>
                <w:r w:rsidR="00BF735B">
                  <w:rPr>
                    <w:rStyle w:val="Style2"/>
                    <w:rFonts w:ascii="MS Gothic" w:eastAsia="MS Gothic" w:hAnsi="MS Gothic" w:hint="eastAsia"/>
                    <w:sz w:val="23"/>
                    <w:szCs w:val="23"/>
                  </w:rPr>
                  <w:t>☒</w:t>
                </w:r>
              </w:sdtContent>
            </w:sdt>
            <w:r w:rsidR="00B811A4" w:rsidRPr="00B811A4">
              <w:rPr>
                <w:rStyle w:val="Style2"/>
                <w:sz w:val="23"/>
                <w:szCs w:val="23"/>
              </w:rPr>
              <w:t xml:space="preserve"> 29</w:t>
            </w:r>
            <w:r w:rsidR="00B811A4" w:rsidRPr="00B811A4">
              <w:rPr>
                <w:sz w:val="23"/>
                <w:szCs w:val="23"/>
              </w:rPr>
              <w:t>.1.1 yra didesnis, lyginant su įprasta klinikine praktika</w:t>
            </w:r>
          </w:p>
          <w:p w14:paraId="6F9786E4"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231EDECD" w14:textId="77777777" w:rsidR="00B811A4" w:rsidRPr="00B811A4" w:rsidRDefault="0003497F"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418297090"/>
                <w15:color w:val="FFCC00"/>
                <w14:checkbox>
                  <w14:checked w14:val="0"/>
                  <w14:checkedState w14:val="2612" w14:font="MS Gothic"/>
                  <w14:uncheckedState w14:val="2610" w14:font="MS Gothic"/>
                </w14:checkbox>
              </w:sdtPr>
              <w:sdtEndPr>
                <w:rPr>
                  <w:rStyle w:val="Style2"/>
                </w:rPr>
              </w:sdtEndPr>
              <w:sdtContent>
                <w:r w:rsidR="00B811A4" w:rsidRPr="00B811A4">
                  <w:rPr>
                    <w:rStyle w:val="Style2"/>
                    <w:rFonts w:ascii="Segoe UI Symbol" w:eastAsia="MS Gothic" w:hAnsi="Segoe UI Symbol" w:cs="Segoe UI Symbol"/>
                    <w:sz w:val="23"/>
                    <w:szCs w:val="23"/>
                  </w:rPr>
                  <w:t>☐</w:t>
                </w:r>
              </w:sdtContent>
            </w:sdt>
            <w:r w:rsidR="00B811A4" w:rsidRPr="00B811A4">
              <w:rPr>
                <w:sz w:val="23"/>
                <w:szCs w:val="23"/>
              </w:rPr>
              <w:t xml:space="preserve"> </w:t>
            </w:r>
            <w:r w:rsidR="00B811A4" w:rsidRPr="00B811A4">
              <w:rPr>
                <w:rStyle w:val="Style2"/>
                <w:sz w:val="23"/>
                <w:szCs w:val="23"/>
              </w:rPr>
              <w:t>29</w:t>
            </w:r>
            <w:r w:rsidR="00B811A4" w:rsidRPr="00B811A4">
              <w:rPr>
                <w:sz w:val="23"/>
                <w:szCs w:val="23"/>
              </w:rPr>
              <w:t>.1.2 iš esmės nesiskiria, lyginant su įprasta klinikine praktika</w:t>
            </w:r>
          </w:p>
        </w:tc>
        <w:tc>
          <w:tcPr>
            <w:tcW w:w="4814" w:type="dxa"/>
          </w:tcPr>
          <w:p w14:paraId="72562F9E" w14:textId="77777777" w:rsidR="00B811A4" w:rsidRPr="00B811A4" w:rsidRDefault="0003497F"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24755596"/>
                <w15:color w:val="FFCC00"/>
                <w14:checkbox>
                  <w14:checked w14:val="0"/>
                  <w14:checkedState w14:val="2612" w14:font="MS Gothic"/>
                  <w14:uncheckedState w14:val="2610" w14:font="MS Gothic"/>
                </w14:checkbox>
              </w:sdtPr>
              <w:sdtEndPr>
                <w:rPr>
                  <w:rStyle w:val="Style2"/>
                </w:rPr>
              </w:sdtEndPr>
              <w:sdtContent>
                <w:r w:rsidR="00B811A4" w:rsidRPr="00B811A4">
                  <w:rPr>
                    <w:rStyle w:val="Style2"/>
                    <w:rFonts w:ascii="Segoe UI Symbol" w:eastAsia="MS Gothic" w:hAnsi="Segoe UI Symbol" w:cs="Segoe UI Symbol"/>
                    <w:sz w:val="23"/>
                    <w:szCs w:val="23"/>
                  </w:rPr>
                  <w:t>☐</w:t>
                </w:r>
              </w:sdtContent>
            </w:sdt>
            <w:r w:rsidR="00B811A4" w:rsidRPr="00B811A4">
              <w:rPr>
                <w:sz w:val="23"/>
                <w:szCs w:val="23"/>
              </w:rPr>
              <w:t xml:space="preserve"> </w:t>
            </w:r>
            <w:r w:rsidR="00B811A4" w:rsidRPr="00B811A4">
              <w:rPr>
                <w:rStyle w:val="Style2"/>
                <w:sz w:val="23"/>
                <w:szCs w:val="23"/>
              </w:rPr>
              <w:t>29</w:t>
            </w:r>
            <w:r w:rsidR="00B811A4" w:rsidRPr="00B811A4">
              <w:rPr>
                <w:sz w:val="23"/>
                <w:szCs w:val="23"/>
              </w:rPr>
              <w:t xml:space="preserve">.1.3 yra neįrodytas kaip didesnis  ar iš esmės nesiskiriantis, lyginant su įprasta klinikine praktika  </w:t>
            </w:r>
          </w:p>
          <w:p w14:paraId="6F6DB5BC"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EE1D885" w14:textId="77777777" w:rsidR="00B811A4" w:rsidRPr="00B811A4" w:rsidRDefault="0003497F"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62168479"/>
                <w15:color w:val="FFCC00"/>
                <w14:checkbox>
                  <w14:checked w14:val="0"/>
                  <w14:checkedState w14:val="2612" w14:font="MS Gothic"/>
                  <w14:uncheckedState w14:val="2610" w14:font="MS Gothic"/>
                </w14:checkbox>
              </w:sdtPr>
              <w:sdtEndPr>
                <w:rPr>
                  <w:rStyle w:val="Style2"/>
                </w:rPr>
              </w:sdtEndPr>
              <w:sdtContent>
                <w:r w:rsidR="00B811A4" w:rsidRPr="00B811A4">
                  <w:rPr>
                    <w:rStyle w:val="Style2"/>
                    <w:rFonts w:ascii="Segoe UI Symbol" w:eastAsia="MS Gothic" w:hAnsi="Segoe UI Symbol" w:cs="Segoe UI Symbol"/>
                    <w:sz w:val="23"/>
                    <w:szCs w:val="23"/>
                  </w:rPr>
                  <w:t>☐</w:t>
                </w:r>
              </w:sdtContent>
            </w:sdt>
            <w:r w:rsidR="00B811A4" w:rsidRPr="00B811A4">
              <w:rPr>
                <w:sz w:val="23"/>
                <w:szCs w:val="23"/>
              </w:rPr>
              <w:t xml:space="preserve"> </w:t>
            </w:r>
            <w:r w:rsidR="00B811A4" w:rsidRPr="00B811A4">
              <w:rPr>
                <w:rStyle w:val="Style2"/>
                <w:sz w:val="23"/>
                <w:szCs w:val="23"/>
              </w:rPr>
              <w:t>29</w:t>
            </w:r>
            <w:r w:rsidR="00B811A4" w:rsidRPr="00B811A4">
              <w:rPr>
                <w:sz w:val="23"/>
                <w:szCs w:val="23"/>
              </w:rPr>
              <w:t>.1.4 yra mažesnis, lyginant su įprasta klinikine praktika</w:t>
            </w:r>
          </w:p>
          <w:p w14:paraId="193C3D76"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370E94DC" w14:textId="4EC80DB9" w:rsidR="00B811A4" w:rsidRPr="00B811A4" w:rsidRDefault="0003497F"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57960180"/>
                <w15:color w:val="FFCC00"/>
                <w14:checkbox>
                  <w14:checked w14:val="0"/>
                  <w14:checkedState w14:val="2612" w14:font="MS Gothic"/>
                  <w14:uncheckedState w14:val="2610" w14:font="MS Gothic"/>
                </w14:checkbox>
              </w:sdtPr>
              <w:sdtEndPr>
                <w:rPr>
                  <w:rStyle w:val="Style2"/>
                </w:rPr>
              </w:sdtEndPr>
              <w:sdtContent>
                <w:r w:rsidR="00B811A4" w:rsidRPr="00B811A4">
                  <w:rPr>
                    <w:rStyle w:val="Style2"/>
                    <w:rFonts w:ascii="Segoe UI Symbol" w:eastAsia="MS Gothic" w:hAnsi="Segoe UI Symbol" w:cs="Segoe UI Symbol"/>
                    <w:sz w:val="23"/>
                    <w:szCs w:val="23"/>
                  </w:rPr>
                  <w:t>☐</w:t>
                </w:r>
              </w:sdtContent>
            </w:sdt>
            <w:r w:rsidR="00B811A4" w:rsidRPr="00B811A4">
              <w:rPr>
                <w:sz w:val="23"/>
                <w:szCs w:val="23"/>
              </w:rPr>
              <w:t xml:space="preserve"> </w:t>
            </w:r>
            <w:r w:rsidR="00B811A4" w:rsidRPr="00B811A4">
              <w:rPr>
                <w:rStyle w:val="Style2"/>
                <w:sz w:val="23"/>
                <w:szCs w:val="23"/>
              </w:rPr>
              <w:t>29</w:t>
            </w:r>
            <w:r w:rsidR="00B811A4" w:rsidRPr="00B811A4">
              <w:rPr>
                <w:sz w:val="23"/>
                <w:szCs w:val="23"/>
              </w:rPr>
              <w:t>.1.5 pateikti duomenys apie palyginamąjį veiksmingumą yra netinkami vertinti</w:t>
            </w:r>
          </w:p>
          <w:p w14:paraId="45719037"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bookmarkEnd w:id="2"/>
      <w:tr w:rsidR="00B811A4" w:rsidRPr="00B811A4" w14:paraId="0E0F5168" w14:textId="77777777" w:rsidTr="00743956">
        <w:trPr>
          <w:trHeight w:val="510"/>
        </w:trPr>
        <w:tc>
          <w:tcPr>
            <w:tcW w:w="9634" w:type="dxa"/>
            <w:gridSpan w:val="2"/>
            <w:vAlign w:val="center"/>
          </w:tcPr>
          <w:p w14:paraId="62B67E12"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r w:rsidRPr="00B811A4">
              <w:rPr>
                <w:rStyle w:val="Style2"/>
                <w:rFonts w:eastAsia="MS Gothic"/>
                <w:b/>
                <w:bCs/>
                <w:sz w:val="23"/>
                <w:szCs w:val="23"/>
              </w:rPr>
              <w:t>Kaštų naudingumas</w:t>
            </w:r>
          </w:p>
        </w:tc>
      </w:tr>
      <w:tr w:rsidR="00B811A4" w:rsidRPr="00B811A4" w14:paraId="6A2F62B2" w14:textId="77777777" w:rsidTr="00743956">
        <w:tc>
          <w:tcPr>
            <w:tcW w:w="4820" w:type="dxa"/>
          </w:tcPr>
          <w:p w14:paraId="7CB2C697" w14:textId="44A4E1DF" w:rsidR="00B811A4" w:rsidRPr="00B811A4" w:rsidRDefault="0003497F"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301657889"/>
                <w15:color w:val="FFCC00"/>
                <w14:checkbox>
                  <w14:checked w14:val="0"/>
                  <w14:checkedState w14:val="2612" w14:font="MS Gothic"/>
                  <w14:uncheckedState w14:val="2610" w14:font="MS Gothic"/>
                </w14:checkbox>
              </w:sdtPr>
              <w:sdtEndPr>
                <w:rPr>
                  <w:rStyle w:val="Style2"/>
                </w:rPr>
              </w:sdtEndPr>
              <w:sdtContent>
                <w:r w:rsidR="00B811A4" w:rsidRPr="00B811A4">
                  <w:rPr>
                    <w:rStyle w:val="Style2"/>
                    <w:rFonts w:ascii="Segoe UI Symbol" w:eastAsia="MS Gothic" w:hAnsi="Segoe UI Symbol" w:cs="Segoe UI Symbol"/>
                    <w:sz w:val="23"/>
                    <w:szCs w:val="23"/>
                  </w:rPr>
                  <w:t>☐</w:t>
                </w:r>
              </w:sdtContent>
            </w:sdt>
            <w:r w:rsidR="00B811A4" w:rsidRPr="00B811A4">
              <w:rPr>
                <w:sz w:val="23"/>
                <w:szCs w:val="23"/>
              </w:rPr>
              <w:t xml:space="preserve"> 29.2.1 atitinka referencinę naudingumo vertę taikant arba netaikant</w:t>
            </w:r>
            <w:r w:rsidR="00437623">
              <w:rPr>
                <w:b/>
                <w:bCs/>
                <w:sz w:val="23"/>
                <w:szCs w:val="23"/>
              </w:rPr>
              <w:t xml:space="preserve"> </w:t>
            </w:r>
            <w:r w:rsidR="00B811A4" w:rsidRPr="00B811A4">
              <w:rPr>
                <w:sz w:val="23"/>
                <w:szCs w:val="23"/>
              </w:rPr>
              <w:t>PGS</w:t>
            </w:r>
          </w:p>
          <w:p w14:paraId="71797774"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BE88CDB" w14:textId="60C4FFA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c>
          <w:tcPr>
            <w:tcW w:w="4814" w:type="dxa"/>
          </w:tcPr>
          <w:p w14:paraId="0370A72C" w14:textId="49E0C8BE" w:rsidR="00B811A4" w:rsidRPr="00B811A4" w:rsidRDefault="0003497F"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91860283"/>
                <w15:color w:val="FFCC00"/>
                <w14:checkbox>
                  <w14:checked w14:val="1"/>
                  <w14:checkedState w14:val="2612" w14:font="MS Gothic"/>
                  <w14:uncheckedState w14:val="2610" w14:font="MS Gothic"/>
                </w14:checkbox>
              </w:sdtPr>
              <w:sdtEndPr>
                <w:rPr>
                  <w:rStyle w:val="Style2"/>
                </w:rPr>
              </w:sdtEndPr>
              <w:sdtContent>
                <w:r w:rsidR="00E72C8F">
                  <w:rPr>
                    <w:rStyle w:val="Style2"/>
                    <w:rFonts w:ascii="MS Gothic" w:eastAsia="MS Gothic" w:hAnsi="MS Gothic" w:hint="eastAsia"/>
                    <w:sz w:val="23"/>
                    <w:szCs w:val="23"/>
                  </w:rPr>
                  <w:t>☒</w:t>
                </w:r>
              </w:sdtContent>
            </w:sdt>
            <w:r w:rsidR="00B811A4" w:rsidRPr="00B811A4">
              <w:rPr>
                <w:sz w:val="23"/>
                <w:szCs w:val="23"/>
              </w:rPr>
              <w:t xml:space="preserve"> 29.2.3 neatitinka referencinės naudingumo vertės taikant arba netaikant PGS</w:t>
            </w:r>
          </w:p>
          <w:p w14:paraId="13C9EEE5"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289E6691"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FD1976C" w14:textId="77777777" w:rsidR="00B811A4" w:rsidRPr="00B811A4" w:rsidRDefault="0003497F"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943849855"/>
                <w15:color w:val="FFCC00"/>
                <w14:checkbox>
                  <w14:checked w14:val="0"/>
                  <w14:checkedState w14:val="2612" w14:font="MS Gothic"/>
                  <w14:uncheckedState w14:val="2610" w14:font="MS Gothic"/>
                </w14:checkbox>
              </w:sdtPr>
              <w:sdtEndPr>
                <w:rPr>
                  <w:rStyle w:val="Style2"/>
                </w:rPr>
              </w:sdtEndPr>
              <w:sdtContent>
                <w:r w:rsidR="00B811A4" w:rsidRPr="00B811A4">
                  <w:rPr>
                    <w:rStyle w:val="Style2"/>
                    <w:rFonts w:ascii="Segoe UI Symbol" w:eastAsia="MS Gothic" w:hAnsi="Segoe UI Symbol" w:cs="Segoe UI Symbol"/>
                    <w:sz w:val="23"/>
                    <w:szCs w:val="23"/>
                  </w:rPr>
                  <w:t>☐</w:t>
                </w:r>
              </w:sdtContent>
            </w:sdt>
            <w:r w:rsidR="00B811A4" w:rsidRPr="00B811A4">
              <w:rPr>
                <w:sz w:val="23"/>
                <w:szCs w:val="23"/>
              </w:rPr>
              <w:t xml:space="preserve"> 29.2.5 pateikti duomenys apie kaštų naudingumą yra netinkami vertinti</w:t>
            </w:r>
          </w:p>
          <w:p w14:paraId="06AB06C5"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tr w:rsidR="007111C4" w:rsidRPr="00B811A4" w14:paraId="632C9193" w14:textId="77777777" w:rsidTr="00027464">
        <w:tc>
          <w:tcPr>
            <w:tcW w:w="9634" w:type="dxa"/>
            <w:gridSpan w:val="2"/>
          </w:tcPr>
          <w:p w14:paraId="15C289C9" w14:textId="47C5A3CE" w:rsidR="007111C4" w:rsidRDefault="0003497F"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1266579562"/>
                <w15:color w:val="FFCC00"/>
                <w14:checkbox>
                  <w14:checked w14:val="0"/>
                  <w14:checkedState w14:val="2612" w14:font="MS Gothic"/>
                  <w14:uncheckedState w14:val="2610" w14:font="MS Gothic"/>
                </w14:checkbox>
              </w:sdtPr>
              <w:sdtEndPr>
                <w:rPr>
                  <w:rStyle w:val="Style2"/>
                </w:rPr>
              </w:sdtEndPr>
              <w:sdtContent>
                <w:r w:rsidR="007111C4" w:rsidRPr="009300B3">
                  <w:rPr>
                    <w:rStyle w:val="Style2"/>
                    <w:rFonts w:ascii="Segoe UI Symbol" w:eastAsia="MS Gothic" w:hAnsi="Segoe UI Symbol" w:cs="Segoe UI Symbol"/>
                    <w:sz w:val="23"/>
                    <w:szCs w:val="23"/>
                  </w:rPr>
                  <w:t>☐</w:t>
                </w:r>
              </w:sdtContent>
            </w:sdt>
            <w:r w:rsidR="007111C4">
              <w:rPr>
                <w:sz w:val="23"/>
                <w:szCs w:val="23"/>
              </w:rPr>
              <w:t xml:space="preserve"> </w:t>
            </w:r>
            <w:r w:rsidR="007111C4" w:rsidRPr="007111C4">
              <w:rPr>
                <w:color w:val="000000"/>
                <w:sz w:val="23"/>
                <w:szCs w:val="23"/>
              </w:rPr>
              <w:t>Vykdant Aprašo &lt;17</w:t>
            </w:r>
            <w:r w:rsidR="007111C4" w:rsidRPr="007111C4">
              <w:rPr>
                <w:color w:val="000000"/>
                <w:sz w:val="23"/>
                <w:szCs w:val="23"/>
                <w:vertAlign w:val="superscript"/>
              </w:rPr>
              <w:t>3</w:t>
            </w:r>
            <w:r w:rsidR="007111C4" w:rsidRPr="007111C4">
              <w:rPr>
                <w:color w:val="000000"/>
                <w:sz w:val="23"/>
                <w:szCs w:val="23"/>
              </w:rPr>
              <w:t>.1&gt;&lt;17</w:t>
            </w:r>
            <w:r w:rsidR="007111C4" w:rsidRPr="007111C4">
              <w:rPr>
                <w:color w:val="000000"/>
                <w:sz w:val="23"/>
                <w:szCs w:val="23"/>
                <w:vertAlign w:val="superscript"/>
              </w:rPr>
              <w:t>3</w:t>
            </w:r>
            <w:r w:rsidR="007111C4" w:rsidRPr="007111C4">
              <w:rPr>
                <w:color w:val="000000"/>
                <w:sz w:val="23"/>
                <w:szCs w:val="23"/>
              </w:rPr>
              <w:t>.2&gt;&lt;17</w:t>
            </w:r>
            <w:r w:rsidR="007111C4" w:rsidRPr="007111C4">
              <w:rPr>
                <w:color w:val="000000"/>
                <w:sz w:val="23"/>
                <w:szCs w:val="23"/>
                <w:vertAlign w:val="superscript"/>
              </w:rPr>
              <w:t>3</w:t>
            </w:r>
            <w:r w:rsidR="007111C4" w:rsidRPr="007111C4">
              <w:rPr>
                <w:color w:val="000000"/>
                <w:sz w:val="23"/>
                <w:szCs w:val="23"/>
              </w:rPr>
              <w:t>.3&gt; punktą vaistinio (-ų) preparato (-ų) ekonominis vertinimas neatliekamas, išvados dėl kaštų naudingumo neteikiamos</w:t>
            </w:r>
          </w:p>
        </w:tc>
      </w:tr>
    </w:tbl>
    <w:p w14:paraId="08D5B3B6" w14:textId="292D1124" w:rsidR="0061611B" w:rsidRPr="000203E1" w:rsidRDefault="0061611B" w:rsidP="0061611B">
      <w:pPr>
        <w:rPr>
          <w:i/>
          <w:szCs w:val="22"/>
        </w:rPr>
      </w:pPr>
    </w:p>
    <w:p w14:paraId="1B85C083" w14:textId="77777777" w:rsidR="009E44AE" w:rsidRPr="000203E1" w:rsidRDefault="009E44AE" w:rsidP="00381024"/>
    <w:p w14:paraId="3B2D1F25" w14:textId="3A80E19F" w:rsidR="000001B0" w:rsidRPr="000203E1" w:rsidRDefault="000001B0" w:rsidP="00CC09D4">
      <w:pPr>
        <w:pStyle w:val="Sraopastraipa"/>
        <w:numPr>
          <w:ilvl w:val="0"/>
          <w:numId w:val="12"/>
        </w:numPr>
        <w:ind w:left="567" w:hanging="567"/>
      </w:pPr>
      <w:r w:rsidRPr="000203E1">
        <w:rPr>
          <w:b/>
        </w:rPr>
        <w:t>REKOME</w:t>
      </w:r>
      <w:r w:rsidR="00D83182" w:rsidRPr="000203E1">
        <w:rPr>
          <w:b/>
        </w:rPr>
        <w:t>N</w:t>
      </w:r>
      <w:r w:rsidRPr="000203E1">
        <w:rPr>
          <w:b/>
        </w:rPr>
        <w:t>DACIJA</w:t>
      </w:r>
    </w:p>
    <w:p w14:paraId="35E33D78" w14:textId="2A9688D5" w:rsidR="00B811A4" w:rsidRDefault="00B811A4" w:rsidP="00BC2D33">
      <w:pPr>
        <w:pStyle w:val="Sraopastraipa"/>
        <w:ind w:left="567" w:firstLine="720"/>
        <w:rPr>
          <w:b/>
        </w:rPr>
      </w:pPr>
    </w:p>
    <w:p w14:paraId="2A05B731" w14:textId="77777777" w:rsidR="00BC2D33" w:rsidRPr="00BB1CF1" w:rsidRDefault="00BC2D33" w:rsidP="00BC2D33">
      <w:pPr>
        <w:spacing w:line="276" w:lineRule="auto"/>
        <w:ind w:firstLine="567"/>
        <w:jc w:val="both"/>
        <w:rPr>
          <w:i/>
          <w:lang w:eastAsia="lt-LT"/>
        </w:rPr>
      </w:pPr>
      <w:r w:rsidRPr="00603B3A">
        <w:lastRenderedPageBreak/>
        <w:t>Vadovaujantis Aprašo</w:t>
      </w:r>
      <w:bookmarkStart w:id="3" w:name="_Hlk190784826"/>
      <w:r>
        <w:rPr>
          <w:i/>
          <w:lang w:eastAsia="lt-LT"/>
        </w:rPr>
        <w:t xml:space="preserve"> </w:t>
      </w:r>
      <w:r w:rsidRPr="00603B3A">
        <w:rPr>
          <w:lang w:eastAsia="lt-LT"/>
        </w:rPr>
        <w:t>30</w:t>
      </w:r>
      <w:r w:rsidRPr="00603B3A">
        <w:rPr>
          <w:vertAlign w:val="superscript"/>
          <w:lang w:eastAsia="lt-LT"/>
        </w:rPr>
        <w:t>1</w:t>
      </w:r>
      <w:r w:rsidRPr="00603B3A">
        <w:rPr>
          <w:lang w:eastAsia="lt-LT"/>
        </w:rPr>
        <w:t>.2. papunkčiu rekomenduojama kompensuoti vaistinį preparatą pagal paraiškoje nurodytą indikaciją (arba jos dalį) su arba be skyrimo sąlygų, jei, pateikus naują ar atnaujintą PGS, kaštų naudingumas atitinka referencinę naudingumo vertę, kai vertinimo išvados atitinka Aprašo 29.1.1 ir 29.2.3 papunkčiuose numatytas sąlygas</w:t>
      </w:r>
      <w:r>
        <w:rPr>
          <w:lang w:eastAsia="lt-LT"/>
        </w:rPr>
        <w:t>.</w:t>
      </w:r>
    </w:p>
    <w:bookmarkEnd w:id="3"/>
    <w:p w14:paraId="3D60BB06" w14:textId="77777777" w:rsidR="00B811A4" w:rsidRPr="0089345A" w:rsidRDefault="00B811A4" w:rsidP="00B811A4">
      <w:pPr>
        <w:widowControl w:val="0"/>
        <w:tabs>
          <w:tab w:val="left" w:pos="1418"/>
        </w:tabs>
        <w:suppressAutoHyphens/>
        <w:spacing w:line="360" w:lineRule="atLeast"/>
        <w:jc w:val="center"/>
        <w:textAlignment w:val="center"/>
        <w:rPr>
          <w:color w:val="000000"/>
          <w:lang w:eastAsia="lt-LT"/>
        </w:rPr>
      </w:pPr>
    </w:p>
    <w:p w14:paraId="42F3A222" w14:textId="36EF27CB" w:rsidR="00B811A4" w:rsidRPr="0073329D" w:rsidRDefault="00C120B8" w:rsidP="00B811A4">
      <w:pPr>
        <w:tabs>
          <w:tab w:val="left" w:pos="426"/>
        </w:tabs>
        <w:jc w:val="both"/>
        <w:rPr>
          <w:b/>
          <w:lang w:eastAsia="lt-LT"/>
        </w:rPr>
      </w:pPr>
      <w:r>
        <w:rPr>
          <w:b/>
          <w:lang w:eastAsia="lt-LT"/>
        </w:rPr>
        <w:t>8.1</w:t>
      </w:r>
      <w:r w:rsidR="00D574E0">
        <w:rPr>
          <w:b/>
          <w:lang w:eastAsia="lt-LT"/>
        </w:rPr>
        <w:t>.</w:t>
      </w:r>
      <w:r w:rsidR="00B811A4" w:rsidRPr="0089345A">
        <w:rPr>
          <w:b/>
          <w:lang w:eastAsia="lt-LT"/>
        </w:rPr>
        <w:t xml:space="preserve"> Siūloma (-os) kompensuoti terapinės indikacijos ir skyrimo sąlygos</w:t>
      </w:r>
      <w:r w:rsidR="00B811A4" w:rsidRPr="0073329D">
        <w:rPr>
          <w:b/>
          <w:lang w:eastAsia="lt-LT"/>
        </w:rPr>
        <w:t xml:space="preserve"> </w:t>
      </w:r>
    </w:p>
    <w:p w14:paraId="179FBABC" w14:textId="77777777" w:rsidR="00B811A4" w:rsidRPr="0073329D" w:rsidRDefault="00B811A4" w:rsidP="00B811A4">
      <w:pPr>
        <w:tabs>
          <w:tab w:val="left" w:pos="426"/>
        </w:tabs>
        <w:jc w:val="both"/>
        <w:rPr>
          <w:b/>
          <w:lang w:eastAsia="lt-LT"/>
        </w:rPr>
      </w:pPr>
    </w:p>
    <w:p w14:paraId="65CB839B" w14:textId="77777777" w:rsidR="00B811A4" w:rsidRDefault="00B811A4" w:rsidP="00BC2D33">
      <w:pPr>
        <w:pStyle w:val="Betarp"/>
        <w:spacing w:line="276" w:lineRule="auto"/>
        <w:rPr>
          <w:rFonts w:ascii="Times New Roman" w:hAnsi="Times New Roman"/>
          <w:b/>
          <w:sz w:val="24"/>
          <w:szCs w:val="24"/>
          <w:lang w:eastAsia="lt-LT"/>
        </w:rPr>
      </w:pPr>
      <w:r w:rsidRPr="0073329D">
        <w:rPr>
          <w:rFonts w:ascii="Times New Roman" w:hAnsi="Times New Roman"/>
          <w:b/>
          <w:sz w:val="24"/>
          <w:szCs w:val="24"/>
          <w:lang w:eastAsia="lt-LT"/>
        </w:rPr>
        <w:t>Terapinės indikacijos</w:t>
      </w:r>
    </w:p>
    <w:p w14:paraId="4D4B26AC" w14:textId="77777777" w:rsidR="006915A1" w:rsidRPr="009300B3" w:rsidRDefault="006915A1" w:rsidP="00BC2D33">
      <w:pPr>
        <w:spacing w:line="276" w:lineRule="auto"/>
        <w:ind w:firstLine="720"/>
        <w:jc w:val="both"/>
      </w:pPr>
      <w:r w:rsidRPr="002C182B">
        <w:t xml:space="preserve">Palaikomasis astmos gydymas suaugusiesiems, kurių liga nėra pakankamai kontroliuojama, skiriant ilgai veikiančio beta-2 agonisto ir </w:t>
      </w:r>
      <w:r w:rsidRPr="002D694F">
        <w:t xml:space="preserve">didelių </w:t>
      </w:r>
      <w:r w:rsidRPr="002C182B">
        <w:t>dozių įkvepiamojo kortikosteroido palaikomąjį derinį ir kuriems per pastaruosius metus buvo vienas ar daugiau astmos pasunkėjimų.</w:t>
      </w:r>
    </w:p>
    <w:p w14:paraId="3BC08150" w14:textId="77777777" w:rsidR="00B811A4" w:rsidRPr="0073329D" w:rsidRDefault="00B811A4" w:rsidP="00BC2D33">
      <w:pPr>
        <w:pStyle w:val="Betarp"/>
        <w:spacing w:line="276" w:lineRule="auto"/>
        <w:rPr>
          <w:rFonts w:ascii="Times New Roman" w:hAnsi="Times New Roman"/>
          <w:sz w:val="24"/>
          <w:szCs w:val="24"/>
        </w:rPr>
      </w:pPr>
    </w:p>
    <w:p w14:paraId="632DB4B9" w14:textId="77777777" w:rsidR="00B811A4" w:rsidRDefault="00B811A4" w:rsidP="00BC2D33">
      <w:pPr>
        <w:pStyle w:val="Betarp"/>
        <w:spacing w:line="276" w:lineRule="auto"/>
        <w:rPr>
          <w:rFonts w:ascii="Times New Roman" w:hAnsi="Times New Roman"/>
          <w:b/>
          <w:sz w:val="24"/>
          <w:szCs w:val="24"/>
        </w:rPr>
      </w:pPr>
      <w:r w:rsidRPr="0073329D">
        <w:rPr>
          <w:rFonts w:ascii="Times New Roman" w:hAnsi="Times New Roman"/>
          <w:b/>
          <w:sz w:val="24"/>
          <w:szCs w:val="24"/>
        </w:rPr>
        <w:t>Skyrimo sąlygos</w:t>
      </w:r>
    </w:p>
    <w:p w14:paraId="7A618A36" w14:textId="5D8D1629" w:rsidR="0040097E" w:rsidRPr="0009054D" w:rsidRDefault="0040097E" w:rsidP="0040097E">
      <w:pPr>
        <w:spacing w:line="276" w:lineRule="auto"/>
        <w:ind w:firstLine="720"/>
        <w:jc w:val="both"/>
        <w:rPr>
          <w:iCs/>
        </w:rPr>
      </w:pPr>
      <w:r w:rsidRPr="0009054D">
        <w:rPr>
          <w:iCs/>
        </w:rPr>
        <w:t xml:space="preserve">Skiriamas </w:t>
      </w:r>
      <w:r w:rsidR="00E72C8F">
        <w:rPr>
          <w:iCs/>
        </w:rPr>
        <w:t xml:space="preserve">suaugusiems </w:t>
      </w:r>
      <w:r w:rsidRPr="0009054D">
        <w:rPr>
          <w:rFonts w:eastAsia="Arial"/>
          <w:bCs/>
          <w:iCs/>
        </w:rPr>
        <w:t>pacientams, kuri</w:t>
      </w:r>
      <w:r>
        <w:rPr>
          <w:rFonts w:eastAsia="Arial"/>
          <w:bCs/>
          <w:iCs/>
        </w:rPr>
        <w:t>ems</w:t>
      </w:r>
      <w:r w:rsidRPr="0009054D">
        <w:rPr>
          <w:rFonts w:eastAsia="Arial"/>
          <w:bCs/>
          <w:iCs/>
        </w:rPr>
        <w:t xml:space="preserve"> </w:t>
      </w:r>
      <w:r>
        <w:rPr>
          <w:rFonts w:eastAsia="Arial"/>
          <w:bCs/>
          <w:iCs/>
        </w:rPr>
        <w:t>didelė įkvepiamųjų</w:t>
      </w:r>
      <w:r w:rsidRPr="0009054D">
        <w:rPr>
          <w:rFonts w:eastAsia="Arial"/>
          <w:bCs/>
          <w:iCs/>
        </w:rPr>
        <w:t xml:space="preserve"> kortikosteroid</w:t>
      </w:r>
      <w:r>
        <w:rPr>
          <w:rFonts w:eastAsia="Arial"/>
          <w:bCs/>
          <w:iCs/>
        </w:rPr>
        <w:t>ų</w:t>
      </w:r>
      <w:r w:rsidRPr="0009054D">
        <w:rPr>
          <w:rFonts w:eastAsia="Arial"/>
          <w:bCs/>
          <w:iCs/>
        </w:rPr>
        <w:t xml:space="preserve"> </w:t>
      </w:r>
      <w:r>
        <w:rPr>
          <w:rFonts w:eastAsia="Arial"/>
          <w:bCs/>
          <w:iCs/>
        </w:rPr>
        <w:t xml:space="preserve">dozė </w:t>
      </w:r>
      <w:r w:rsidRPr="0009054D">
        <w:rPr>
          <w:rFonts w:eastAsia="Arial"/>
          <w:bCs/>
          <w:iCs/>
        </w:rPr>
        <w:t>ir ilgai veikian</w:t>
      </w:r>
      <w:r>
        <w:rPr>
          <w:rFonts w:eastAsia="Arial"/>
          <w:bCs/>
          <w:iCs/>
        </w:rPr>
        <w:t>tys</w:t>
      </w:r>
      <w:r w:rsidRPr="0009054D">
        <w:rPr>
          <w:rFonts w:eastAsia="Arial"/>
          <w:bCs/>
          <w:iCs/>
        </w:rPr>
        <w:t xml:space="preserve"> β₂ agonist</w:t>
      </w:r>
      <w:r>
        <w:rPr>
          <w:rFonts w:eastAsia="Arial"/>
          <w:bCs/>
          <w:iCs/>
        </w:rPr>
        <w:t>ai yra nepakankamai veik</w:t>
      </w:r>
      <w:r w:rsidR="00E72C8F">
        <w:rPr>
          <w:rFonts w:eastAsia="Arial"/>
          <w:bCs/>
          <w:iCs/>
        </w:rPr>
        <w:t>s</w:t>
      </w:r>
      <w:r>
        <w:rPr>
          <w:rFonts w:eastAsia="Arial"/>
          <w:bCs/>
          <w:iCs/>
        </w:rPr>
        <w:t>mingi</w:t>
      </w:r>
      <w:r w:rsidRPr="0009054D">
        <w:rPr>
          <w:rFonts w:eastAsia="Arial"/>
          <w:bCs/>
          <w:iCs/>
        </w:rPr>
        <w:t>.</w:t>
      </w:r>
    </w:p>
    <w:p w14:paraId="12EFADC1" w14:textId="0AC9CA46" w:rsidR="0040097E" w:rsidRDefault="0040097E" w:rsidP="00BC2D33">
      <w:pPr>
        <w:pStyle w:val="Sraopastraipa"/>
        <w:spacing w:line="276" w:lineRule="auto"/>
        <w:ind w:left="426"/>
        <w:rPr>
          <w:iCs/>
        </w:rPr>
      </w:pPr>
    </w:p>
    <w:p w14:paraId="22FD746F" w14:textId="2AA5B89B" w:rsidR="00870E6A" w:rsidRPr="006B36C9" w:rsidRDefault="00870E6A" w:rsidP="006B36C9">
      <w:pPr>
        <w:spacing w:line="276" w:lineRule="auto"/>
        <w:rPr>
          <w:b/>
          <w:bCs/>
          <w:iCs/>
        </w:rPr>
      </w:pPr>
      <w:r w:rsidRPr="006B36C9">
        <w:rPr>
          <w:b/>
          <w:bCs/>
          <w:iCs/>
        </w:rPr>
        <w:t>Pastaba</w:t>
      </w:r>
    </w:p>
    <w:p w14:paraId="1A73E20B" w14:textId="5756885C" w:rsidR="00870E6A" w:rsidRPr="006B36C9" w:rsidRDefault="00870E6A" w:rsidP="006B36C9">
      <w:pPr>
        <w:jc w:val="both"/>
      </w:pPr>
      <w:r>
        <w:rPr>
          <w:iCs/>
        </w:rPr>
        <w:t xml:space="preserve">Jei būtų priimtas sprendimas </w:t>
      </w:r>
      <w:r w:rsidRPr="006B36C9">
        <w:rPr>
          <w:iCs/>
        </w:rPr>
        <w:t xml:space="preserve">kompensuoti vaistinį preparatą </w:t>
      </w:r>
      <w:r w:rsidRPr="006B36C9">
        <w:rPr>
          <w:color w:val="000000"/>
          <w:lang w:eastAsia="en-GB"/>
        </w:rPr>
        <w:t>TRIMBOW 172 µg/5 µg/9 µg</w:t>
      </w:r>
      <w:r w:rsidRPr="006B36C9">
        <w:t xml:space="preserve"> </w:t>
      </w:r>
      <w:r w:rsidRPr="006B36C9">
        <w:rPr>
          <w:iCs/>
          <w:lang w:bidi="lt-LT"/>
        </w:rPr>
        <w:t>suslėgtasis įkvepiamasis tirpalas</w:t>
      </w:r>
      <w:r>
        <w:rPr>
          <w:iCs/>
          <w:lang w:bidi="lt-LT"/>
        </w:rPr>
        <w:t xml:space="preserve">, būtina atnaujinti </w:t>
      </w:r>
      <w:r w:rsidR="00330177" w:rsidRPr="006B36C9">
        <w:t xml:space="preserve">Sveikatos apsaugos ministro </w:t>
      </w:r>
      <w:r w:rsidR="00330177" w:rsidRPr="006B36C9">
        <w:rPr>
          <w:color w:val="000000"/>
          <w:lang w:eastAsia="lt-LT"/>
        </w:rPr>
        <w:t>2011 m. gruodžio 22 d.</w:t>
      </w:r>
      <w:r w:rsidR="00330177" w:rsidRPr="006B36C9">
        <w:t xml:space="preserve"> įsakymas Nr. </w:t>
      </w:r>
      <w:r w:rsidR="00330177" w:rsidRPr="006B36C9">
        <w:rPr>
          <w:color w:val="000000"/>
          <w:lang w:eastAsia="lt-LT"/>
        </w:rPr>
        <w:t>V-1088 „</w:t>
      </w:r>
      <w:r w:rsidR="00330177" w:rsidRPr="006B36C9">
        <w:t>Dėl astmos ambulatorinio gydymo kompensuojamaisiais vaistais tvarkos aprašo patvirtinimo“</w:t>
      </w:r>
      <w:r w:rsidR="00330177">
        <w:t>.</w:t>
      </w:r>
    </w:p>
    <w:p w14:paraId="12B983EF" w14:textId="235B3637" w:rsidR="00870E6A" w:rsidRPr="00870E6A" w:rsidRDefault="00870E6A" w:rsidP="006B36C9">
      <w:pPr>
        <w:spacing w:line="276" w:lineRule="auto"/>
        <w:ind w:firstLine="426"/>
        <w:rPr>
          <w:iCs/>
        </w:rPr>
      </w:pPr>
    </w:p>
    <w:p w14:paraId="33B8DE04" w14:textId="77777777" w:rsidR="00283E59" w:rsidRPr="0009054D" w:rsidRDefault="00283E59" w:rsidP="00BC2D33">
      <w:pPr>
        <w:widowControl w:val="0"/>
        <w:tabs>
          <w:tab w:val="left" w:pos="1418"/>
        </w:tabs>
        <w:suppressAutoHyphens/>
        <w:spacing w:line="276" w:lineRule="auto"/>
        <w:jc w:val="center"/>
        <w:textAlignment w:val="center"/>
        <w:rPr>
          <w:iCs/>
        </w:rPr>
      </w:pPr>
      <w:r w:rsidRPr="0009054D">
        <w:rPr>
          <w:iCs/>
          <w:color w:val="000000"/>
          <w:lang w:eastAsia="lt-LT"/>
        </w:rPr>
        <w:t>____________________________</w:t>
      </w:r>
    </w:p>
    <w:p w14:paraId="562A1372" w14:textId="77777777" w:rsidR="00283E59" w:rsidRDefault="00283E59" w:rsidP="00283E59">
      <w:pPr>
        <w:jc w:val="both"/>
        <w:rPr>
          <w:b/>
          <w:sz w:val="20"/>
        </w:rPr>
      </w:pPr>
    </w:p>
    <w:sectPr w:rsidR="00283E59" w:rsidSect="00063A50">
      <w:headerReference w:type="first" r:id="rId7"/>
      <w:footerReference w:type="first" r:id="rId8"/>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90479" w14:textId="77777777" w:rsidR="0003497F" w:rsidRDefault="0003497F">
      <w:r>
        <w:separator/>
      </w:r>
    </w:p>
  </w:endnote>
  <w:endnote w:type="continuationSeparator" w:id="0">
    <w:p w14:paraId="3D2B9EDF" w14:textId="77777777" w:rsidR="0003497F" w:rsidRDefault="00034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D2193" w14:textId="77777777" w:rsidR="0003497F" w:rsidRDefault="0003497F">
      <w:r>
        <w:separator/>
      </w:r>
    </w:p>
  </w:footnote>
  <w:footnote w:type="continuationSeparator" w:id="0">
    <w:p w14:paraId="6540ECBA" w14:textId="77777777" w:rsidR="0003497F" w:rsidRDefault="00034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1276250"/>
    <w:multiLevelType w:val="hybridMultilevel"/>
    <w:tmpl w:val="3B6C29F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1A816B09"/>
    <w:multiLevelType w:val="hybridMultilevel"/>
    <w:tmpl w:val="8FBEE17A"/>
    <w:lvl w:ilvl="0" w:tplc="0427000F">
      <w:start w:val="16"/>
      <w:numFmt w:val="decimal"/>
      <w:lvlText w:val="%1."/>
      <w:lvlJc w:val="left"/>
      <w:pPr>
        <w:ind w:left="501" w:hanging="36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6"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8"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D6B6F37"/>
    <w:multiLevelType w:val="hybridMultilevel"/>
    <w:tmpl w:val="28C0B01C"/>
    <w:lvl w:ilvl="0" w:tplc="4D1ED000">
      <w:start w:val="1"/>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10706451">
    <w:abstractNumId w:val="8"/>
  </w:num>
  <w:num w:numId="2" w16cid:durableId="1218126278">
    <w:abstractNumId w:val="2"/>
  </w:num>
  <w:num w:numId="3" w16cid:durableId="30495898">
    <w:abstractNumId w:val="10"/>
  </w:num>
  <w:num w:numId="4" w16cid:durableId="2024355089">
    <w:abstractNumId w:val="9"/>
  </w:num>
  <w:num w:numId="5" w16cid:durableId="1720745171">
    <w:abstractNumId w:val="7"/>
  </w:num>
  <w:num w:numId="6" w16cid:durableId="235097122">
    <w:abstractNumId w:val="6"/>
  </w:num>
  <w:num w:numId="7" w16cid:durableId="1171988233">
    <w:abstractNumId w:val="4"/>
  </w:num>
  <w:num w:numId="8" w16cid:durableId="71050840">
    <w:abstractNumId w:val="14"/>
  </w:num>
  <w:num w:numId="9" w16cid:durableId="649987119">
    <w:abstractNumId w:val="0"/>
  </w:num>
  <w:num w:numId="10" w16cid:durableId="19360369">
    <w:abstractNumId w:val="11"/>
  </w:num>
  <w:num w:numId="11" w16cid:durableId="1890338459">
    <w:abstractNumId w:val="12"/>
  </w:num>
  <w:num w:numId="12" w16cid:durableId="964579312">
    <w:abstractNumId w:val="3"/>
  </w:num>
  <w:num w:numId="13" w16cid:durableId="2115904102">
    <w:abstractNumId w:val="5"/>
  </w:num>
  <w:num w:numId="14" w16cid:durableId="211383188">
    <w:abstractNumId w:val="1"/>
  </w:num>
  <w:num w:numId="15" w16cid:durableId="14041784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03E1"/>
    <w:rsid w:val="000252D6"/>
    <w:rsid w:val="0002686C"/>
    <w:rsid w:val="00031D0E"/>
    <w:rsid w:val="000337E6"/>
    <w:rsid w:val="0003402E"/>
    <w:rsid w:val="0003497F"/>
    <w:rsid w:val="00034EAE"/>
    <w:rsid w:val="00042924"/>
    <w:rsid w:val="000448C6"/>
    <w:rsid w:val="00052BD8"/>
    <w:rsid w:val="00053975"/>
    <w:rsid w:val="00057A2B"/>
    <w:rsid w:val="000606BE"/>
    <w:rsid w:val="00060E28"/>
    <w:rsid w:val="000624FF"/>
    <w:rsid w:val="00063A50"/>
    <w:rsid w:val="000723FF"/>
    <w:rsid w:val="000736B8"/>
    <w:rsid w:val="0008190F"/>
    <w:rsid w:val="00081D9C"/>
    <w:rsid w:val="00082907"/>
    <w:rsid w:val="0008378D"/>
    <w:rsid w:val="0009054D"/>
    <w:rsid w:val="000908A5"/>
    <w:rsid w:val="00092805"/>
    <w:rsid w:val="000A50C9"/>
    <w:rsid w:val="000B2B2C"/>
    <w:rsid w:val="000C454C"/>
    <w:rsid w:val="000D5038"/>
    <w:rsid w:val="000E29D4"/>
    <w:rsid w:val="000F3540"/>
    <w:rsid w:val="00100491"/>
    <w:rsid w:val="00104E2E"/>
    <w:rsid w:val="00107287"/>
    <w:rsid w:val="00117194"/>
    <w:rsid w:val="00117406"/>
    <w:rsid w:val="00121EF0"/>
    <w:rsid w:val="00124A9E"/>
    <w:rsid w:val="0012653C"/>
    <w:rsid w:val="00130703"/>
    <w:rsid w:val="0013153F"/>
    <w:rsid w:val="001408B8"/>
    <w:rsid w:val="001466FE"/>
    <w:rsid w:val="001517E2"/>
    <w:rsid w:val="001521D9"/>
    <w:rsid w:val="001554E2"/>
    <w:rsid w:val="00164146"/>
    <w:rsid w:val="00164D64"/>
    <w:rsid w:val="0017369C"/>
    <w:rsid w:val="00175D57"/>
    <w:rsid w:val="00180C39"/>
    <w:rsid w:val="00180D96"/>
    <w:rsid w:val="00184BD3"/>
    <w:rsid w:val="001921F3"/>
    <w:rsid w:val="00196E48"/>
    <w:rsid w:val="001A0CAA"/>
    <w:rsid w:val="001B3C5B"/>
    <w:rsid w:val="001C2FC8"/>
    <w:rsid w:val="001C514F"/>
    <w:rsid w:val="001C6353"/>
    <w:rsid w:val="001D348C"/>
    <w:rsid w:val="001D4151"/>
    <w:rsid w:val="001D5B91"/>
    <w:rsid w:val="001D746F"/>
    <w:rsid w:val="001E0B2D"/>
    <w:rsid w:val="001E4BBB"/>
    <w:rsid w:val="001E6304"/>
    <w:rsid w:val="001F115E"/>
    <w:rsid w:val="0020381E"/>
    <w:rsid w:val="00213471"/>
    <w:rsid w:val="00215906"/>
    <w:rsid w:val="00241CD8"/>
    <w:rsid w:val="00244B09"/>
    <w:rsid w:val="002519CB"/>
    <w:rsid w:val="0025697F"/>
    <w:rsid w:val="00260258"/>
    <w:rsid w:val="0026588E"/>
    <w:rsid w:val="00272428"/>
    <w:rsid w:val="00272948"/>
    <w:rsid w:val="00283E59"/>
    <w:rsid w:val="00284A47"/>
    <w:rsid w:val="00292392"/>
    <w:rsid w:val="002946C7"/>
    <w:rsid w:val="002A16E1"/>
    <w:rsid w:val="002A5EBC"/>
    <w:rsid w:val="002B3CC1"/>
    <w:rsid w:val="002C0686"/>
    <w:rsid w:val="002C09E0"/>
    <w:rsid w:val="002C100E"/>
    <w:rsid w:val="002C1BB1"/>
    <w:rsid w:val="002C2786"/>
    <w:rsid w:val="002C3A10"/>
    <w:rsid w:val="002C4A90"/>
    <w:rsid w:val="002C4ED5"/>
    <w:rsid w:val="002D02EF"/>
    <w:rsid w:val="002E0702"/>
    <w:rsid w:val="002E1A83"/>
    <w:rsid w:val="002E57AD"/>
    <w:rsid w:val="002E6F80"/>
    <w:rsid w:val="002F0E4F"/>
    <w:rsid w:val="002F1053"/>
    <w:rsid w:val="00314816"/>
    <w:rsid w:val="00317B0E"/>
    <w:rsid w:val="00326EDF"/>
    <w:rsid w:val="00330177"/>
    <w:rsid w:val="00336238"/>
    <w:rsid w:val="00347FAA"/>
    <w:rsid w:val="0035172D"/>
    <w:rsid w:val="00360EF9"/>
    <w:rsid w:val="0036187D"/>
    <w:rsid w:val="00367EDB"/>
    <w:rsid w:val="003705F0"/>
    <w:rsid w:val="00381024"/>
    <w:rsid w:val="00381259"/>
    <w:rsid w:val="00386307"/>
    <w:rsid w:val="003874DE"/>
    <w:rsid w:val="00393E9F"/>
    <w:rsid w:val="0039696E"/>
    <w:rsid w:val="003B211A"/>
    <w:rsid w:val="003C141F"/>
    <w:rsid w:val="003C4D5D"/>
    <w:rsid w:val="003C6B0E"/>
    <w:rsid w:val="003C7257"/>
    <w:rsid w:val="003C7E35"/>
    <w:rsid w:val="003D1E99"/>
    <w:rsid w:val="003D6208"/>
    <w:rsid w:val="003F1A4E"/>
    <w:rsid w:val="0040097E"/>
    <w:rsid w:val="00404E8A"/>
    <w:rsid w:val="0040622F"/>
    <w:rsid w:val="00413F24"/>
    <w:rsid w:val="00422853"/>
    <w:rsid w:val="00423160"/>
    <w:rsid w:val="00435907"/>
    <w:rsid w:val="00437623"/>
    <w:rsid w:val="00444A2B"/>
    <w:rsid w:val="00453862"/>
    <w:rsid w:val="0045469B"/>
    <w:rsid w:val="00461338"/>
    <w:rsid w:val="004677DB"/>
    <w:rsid w:val="00476256"/>
    <w:rsid w:val="004817C9"/>
    <w:rsid w:val="0048630F"/>
    <w:rsid w:val="004947A1"/>
    <w:rsid w:val="0049482A"/>
    <w:rsid w:val="004979D3"/>
    <w:rsid w:val="004A00E7"/>
    <w:rsid w:val="004A3A61"/>
    <w:rsid w:val="004B59BA"/>
    <w:rsid w:val="004B5A03"/>
    <w:rsid w:val="004C263A"/>
    <w:rsid w:val="004C6221"/>
    <w:rsid w:val="004D48A6"/>
    <w:rsid w:val="004D70B6"/>
    <w:rsid w:val="004D7B8F"/>
    <w:rsid w:val="004E241F"/>
    <w:rsid w:val="004E6458"/>
    <w:rsid w:val="004E6E7D"/>
    <w:rsid w:val="004F1AAC"/>
    <w:rsid w:val="004F1AE2"/>
    <w:rsid w:val="004F34F0"/>
    <w:rsid w:val="004F3B2B"/>
    <w:rsid w:val="004F6050"/>
    <w:rsid w:val="005005EF"/>
    <w:rsid w:val="005123C2"/>
    <w:rsid w:val="0052144B"/>
    <w:rsid w:val="00524066"/>
    <w:rsid w:val="00526A0F"/>
    <w:rsid w:val="00534E11"/>
    <w:rsid w:val="005378D8"/>
    <w:rsid w:val="005400D9"/>
    <w:rsid w:val="0054534F"/>
    <w:rsid w:val="005476A4"/>
    <w:rsid w:val="0055019B"/>
    <w:rsid w:val="00556E63"/>
    <w:rsid w:val="005601A4"/>
    <w:rsid w:val="00566DBB"/>
    <w:rsid w:val="00567B14"/>
    <w:rsid w:val="005767DB"/>
    <w:rsid w:val="005815E6"/>
    <w:rsid w:val="0058712F"/>
    <w:rsid w:val="005976CE"/>
    <w:rsid w:val="005A23D4"/>
    <w:rsid w:val="005A2D1E"/>
    <w:rsid w:val="005A4698"/>
    <w:rsid w:val="005B3756"/>
    <w:rsid w:val="005C0D18"/>
    <w:rsid w:val="005C493F"/>
    <w:rsid w:val="005C6BF7"/>
    <w:rsid w:val="005C71BF"/>
    <w:rsid w:val="005D002C"/>
    <w:rsid w:val="005D0EE6"/>
    <w:rsid w:val="005D30E1"/>
    <w:rsid w:val="005D6555"/>
    <w:rsid w:val="005D7BDF"/>
    <w:rsid w:val="005E4870"/>
    <w:rsid w:val="005F71D9"/>
    <w:rsid w:val="005F7602"/>
    <w:rsid w:val="006062BE"/>
    <w:rsid w:val="00613143"/>
    <w:rsid w:val="00613501"/>
    <w:rsid w:val="00615D77"/>
    <w:rsid w:val="0061611B"/>
    <w:rsid w:val="006166A8"/>
    <w:rsid w:val="006174A1"/>
    <w:rsid w:val="00621D6C"/>
    <w:rsid w:val="00633B49"/>
    <w:rsid w:val="0064297F"/>
    <w:rsid w:val="00645102"/>
    <w:rsid w:val="00646CF3"/>
    <w:rsid w:val="00653D11"/>
    <w:rsid w:val="00662983"/>
    <w:rsid w:val="006834D3"/>
    <w:rsid w:val="006915A1"/>
    <w:rsid w:val="00692625"/>
    <w:rsid w:val="00695CD3"/>
    <w:rsid w:val="006A38B6"/>
    <w:rsid w:val="006B1987"/>
    <w:rsid w:val="006B36C9"/>
    <w:rsid w:val="006B5B71"/>
    <w:rsid w:val="006B5D3E"/>
    <w:rsid w:val="006B6CB0"/>
    <w:rsid w:val="006C2B64"/>
    <w:rsid w:val="006D1BF3"/>
    <w:rsid w:val="006D4C85"/>
    <w:rsid w:val="006D66AC"/>
    <w:rsid w:val="006D77B0"/>
    <w:rsid w:val="006E33F6"/>
    <w:rsid w:val="006F1251"/>
    <w:rsid w:val="006F1C23"/>
    <w:rsid w:val="00702C18"/>
    <w:rsid w:val="00703166"/>
    <w:rsid w:val="007111C4"/>
    <w:rsid w:val="00712567"/>
    <w:rsid w:val="007127F3"/>
    <w:rsid w:val="007301CF"/>
    <w:rsid w:val="007316FB"/>
    <w:rsid w:val="00737E2D"/>
    <w:rsid w:val="007424D5"/>
    <w:rsid w:val="00745C63"/>
    <w:rsid w:val="00750A88"/>
    <w:rsid w:val="007523DD"/>
    <w:rsid w:val="00756D79"/>
    <w:rsid w:val="00757B7E"/>
    <w:rsid w:val="007656B2"/>
    <w:rsid w:val="0077016F"/>
    <w:rsid w:val="007713AD"/>
    <w:rsid w:val="00774F67"/>
    <w:rsid w:val="00795DC5"/>
    <w:rsid w:val="00797153"/>
    <w:rsid w:val="007A21F7"/>
    <w:rsid w:val="007A2B68"/>
    <w:rsid w:val="007B0DDA"/>
    <w:rsid w:val="007D3347"/>
    <w:rsid w:val="007D654E"/>
    <w:rsid w:val="007E5466"/>
    <w:rsid w:val="007F1949"/>
    <w:rsid w:val="007F2592"/>
    <w:rsid w:val="00800A08"/>
    <w:rsid w:val="00817A84"/>
    <w:rsid w:val="008225A4"/>
    <w:rsid w:val="00824B92"/>
    <w:rsid w:val="00826D5E"/>
    <w:rsid w:val="00832013"/>
    <w:rsid w:val="00832DB7"/>
    <w:rsid w:val="00834732"/>
    <w:rsid w:val="0085200C"/>
    <w:rsid w:val="00857C52"/>
    <w:rsid w:val="00860D5F"/>
    <w:rsid w:val="00870E6A"/>
    <w:rsid w:val="0087188A"/>
    <w:rsid w:val="00880A44"/>
    <w:rsid w:val="0088345E"/>
    <w:rsid w:val="0088656F"/>
    <w:rsid w:val="008875BC"/>
    <w:rsid w:val="00891EF6"/>
    <w:rsid w:val="00892FF4"/>
    <w:rsid w:val="0089345A"/>
    <w:rsid w:val="008A0303"/>
    <w:rsid w:val="008A5FDD"/>
    <w:rsid w:val="008C3947"/>
    <w:rsid w:val="008C6507"/>
    <w:rsid w:val="008E473B"/>
    <w:rsid w:val="008E51A6"/>
    <w:rsid w:val="008E7329"/>
    <w:rsid w:val="008F2ED5"/>
    <w:rsid w:val="0092297E"/>
    <w:rsid w:val="00923292"/>
    <w:rsid w:val="0092348A"/>
    <w:rsid w:val="00923651"/>
    <w:rsid w:val="00924DF7"/>
    <w:rsid w:val="00927B56"/>
    <w:rsid w:val="009341BF"/>
    <w:rsid w:val="00937907"/>
    <w:rsid w:val="00941739"/>
    <w:rsid w:val="00951573"/>
    <w:rsid w:val="00963003"/>
    <w:rsid w:val="00965919"/>
    <w:rsid w:val="00966EEF"/>
    <w:rsid w:val="00971B28"/>
    <w:rsid w:val="00983471"/>
    <w:rsid w:val="009909AB"/>
    <w:rsid w:val="00995E1C"/>
    <w:rsid w:val="009B37DB"/>
    <w:rsid w:val="009C7A8C"/>
    <w:rsid w:val="009D23F9"/>
    <w:rsid w:val="009D4FA8"/>
    <w:rsid w:val="009E44AE"/>
    <w:rsid w:val="009E6CD6"/>
    <w:rsid w:val="009F4D66"/>
    <w:rsid w:val="009F7A37"/>
    <w:rsid w:val="00A00C3C"/>
    <w:rsid w:val="00A01091"/>
    <w:rsid w:val="00A042B9"/>
    <w:rsid w:val="00A06DBB"/>
    <w:rsid w:val="00A22ADF"/>
    <w:rsid w:val="00A2310D"/>
    <w:rsid w:val="00A254A2"/>
    <w:rsid w:val="00A31E86"/>
    <w:rsid w:val="00A4304E"/>
    <w:rsid w:val="00A54D87"/>
    <w:rsid w:val="00A5553C"/>
    <w:rsid w:val="00A701C9"/>
    <w:rsid w:val="00A81785"/>
    <w:rsid w:val="00A84803"/>
    <w:rsid w:val="00A84C51"/>
    <w:rsid w:val="00A86F2B"/>
    <w:rsid w:val="00A91366"/>
    <w:rsid w:val="00A92F91"/>
    <w:rsid w:val="00A93AA6"/>
    <w:rsid w:val="00AA4E48"/>
    <w:rsid w:val="00AA6202"/>
    <w:rsid w:val="00AA7B57"/>
    <w:rsid w:val="00AB2806"/>
    <w:rsid w:val="00AB2D54"/>
    <w:rsid w:val="00AC26FC"/>
    <w:rsid w:val="00AC31A0"/>
    <w:rsid w:val="00AC4A99"/>
    <w:rsid w:val="00AC5129"/>
    <w:rsid w:val="00AC64D2"/>
    <w:rsid w:val="00AD02E7"/>
    <w:rsid w:val="00AE0FE8"/>
    <w:rsid w:val="00AF60D5"/>
    <w:rsid w:val="00B00959"/>
    <w:rsid w:val="00B04415"/>
    <w:rsid w:val="00B06509"/>
    <w:rsid w:val="00B11D60"/>
    <w:rsid w:val="00B13D65"/>
    <w:rsid w:val="00B21805"/>
    <w:rsid w:val="00B22CE3"/>
    <w:rsid w:val="00B3072E"/>
    <w:rsid w:val="00B36E15"/>
    <w:rsid w:val="00B37245"/>
    <w:rsid w:val="00B4017A"/>
    <w:rsid w:val="00B4468D"/>
    <w:rsid w:val="00B71C72"/>
    <w:rsid w:val="00B71F04"/>
    <w:rsid w:val="00B74A62"/>
    <w:rsid w:val="00B811A4"/>
    <w:rsid w:val="00B81E92"/>
    <w:rsid w:val="00B908D7"/>
    <w:rsid w:val="00B935E8"/>
    <w:rsid w:val="00B93B30"/>
    <w:rsid w:val="00B94CB5"/>
    <w:rsid w:val="00BA0DD9"/>
    <w:rsid w:val="00BA5DBC"/>
    <w:rsid w:val="00BA6584"/>
    <w:rsid w:val="00BB6312"/>
    <w:rsid w:val="00BC2D33"/>
    <w:rsid w:val="00BC39C2"/>
    <w:rsid w:val="00BC4D06"/>
    <w:rsid w:val="00BD05E1"/>
    <w:rsid w:val="00BD585E"/>
    <w:rsid w:val="00BD6919"/>
    <w:rsid w:val="00BE1EA7"/>
    <w:rsid w:val="00BE7489"/>
    <w:rsid w:val="00BF2E0D"/>
    <w:rsid w:val="00BF3927"/>
    <w:rsid w:val="00BF3F8B"/>
    <w:rsid w:val="00BF735B"/>
    <w:rsid w:val="00BF76DA"/>
    <w:rsid w:val="00C00CDB"/>
    <w:rsid w:val="00C07C7B"/>
    <w:rsid w:val="00C120B8"/>
    <w:rsid w:val="00C16245"/>
    <w:rsid w:val="00C22DC5"/>
    <w:rsid w:val="00C24479"/>
    <w:rsid w:val="00C26C52"/>
    <w:rsid w:val="00C273F2"/>
    <w:rsid w:val="00C37B53"/>
    <w:rsid w:val="00C434EB"/>
    <w:rsid w:val="00C517D2"/>
    <w:rsid w:val="00C53BAD"/>
    <w:rsid w:val="00C5772E"/>
    <w:rsid w:val="00C62B36"/>
    <w:rsid w:val="00C7012C"/>
    <w:rsid w:val="00C712EA"/>
    <w:rsid w:val="00C9728E"/>
    <w:rsid w:val="00CA217D"/>
    <w:rsid w:val="00CA3131"/>
    <w:rsid w:val="00CC09D4"/>
    <w:rsid w:val="00CC4F5F"/>
    <w:rsid w:val="00CC668D"/>
    <w:rsid w:val="00CC7832"/>
    <w:rsid w:val="00CD166D"/>
    <w:rsid w:val="00CD488E"/>
    <w:rsid w:val="00CE4A38"/>
    <w:rsid w:val="00CE4B0B"/>
    <w:rsid w:val="00CF0C1C"/>
    <w:rsid w:val="00CF27FD"/>
    <w:rsid w:val="00CF5F12"/>
    <w:rsid w:val="00D00D8F"/>
    <w:rsid w:val="00D12869"/>
    <w:rsid w:val="00D14512"/>
    <w:rsid w:val="00D15ED6"/>
    <w:rsid w:val="00D21F3A"/>
    <w:rsid w:val="00D23808"/>
    <w:rsid w:val="00D3016A"/>
    <w:rsid w:val="00D31B93"/>
    <w:rsid w:val="00D417D2"/>
    <w:rsid w:val="00D42960"/>
    <w:rsid w:val="00D43BD7"/>
    <w:rsid w:val="00D4485B"/>
    <w:rsid w:val="00D45F27"/>
    <w:rsid w:val="00D46CCD"/>
    <w:rsid w:val="00D4708D"/>
    <w:rsid w:val="00D4744C"/>
    <w:rsid w:val="00D51046"/>
    <w:rsid w:val="00D521DE"/>
    <w:rsid w:val="00D5470B"/>
    <w:rsid w:val="00D574E0"/>
    <w:rsid w:val="00D63068"/>
    <w:rsid w:val="00D6498C"/>
    <w:rsid w:val="00D666FC"/>
    <w:rsid w:val="00D67BAF"/>
    <w:rsid w:val="00D76A70"/>
    <w:rsid w:val="00D83182"/>
    <w:rsid w:val="00D8521E"/>
    <w:rsid w:val="00D9291C"/>
    <w:rsid w:val="00D93A97"/>
    <w:rsid w:val="00DA5602"/>
    <w:rsid w:val="00DB1F64"/>
    <w:rsid w:val="00DC261A"/>
    <w:rsid w:val="00DC2F53"/>
    <w:rsid w:val="00DC5BAC"/>
    <w:rsid w:val="00DC6816"/>
    <w:rsid w:val="00DC76C2"/>
    <w:rsid w:val="00DD1CF2"/>
    <w:rsid w:val="00DD5DED"/>
    <w:rsid w:val="00DE4484"/>
    <w:rsid w:val="00DF41B7"/>
    <w:rsid w:val="00DF4A4A"/>
    <w:rsid w:val="00DF4F5A"/>
    <w:rsid w:val="00DF583C"/>
    <w:rsid w:val="00E03C3F"/>
    <w:rsid w:val="00E06FD7"/>
    <w:rsid w:val="00E07417"/>
    <w:rsid w:val="00E24D45"/>
    <w:rsid w:val="00E31395"/>
    <w:rsid w:val="00E33DB8"/>
    <w:rsid w:val="00E33EFF"/>
    <w:rsid w:val="00E34387"/>
    <w:rsid w:val="00E348BA"/>
    <w:rsid w:val="00E369FE"/>
    <w:rsid w:val="00E37C6F"/>
    <w:rsid w:val="00E475F8"/>
    <w:rsid w:val="00E5102E"/>
    <w:rsid w:val="00E5721C"/>
    <w:rsid w:val="00E619C6"/>
    <w:rsid w:val="00E70CED"/>
    <w:rsid w:val="00E72C8F"/>
    <w:rsid w:val="00E745A1"/>
    <w:rsid w:val="00E81529"/>
    <w:rsid w:val="00E83A13"/>
    <w:rsid w:val="00EB1151"/>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477"/>
    <w:rsid w:val="00F14B5D"/>
    <w:rsid w:val="00F259FC"/>
    <w:rsid w:val="00F313F4"/>
    <w:rsid w:val="00F36972"/>
    <w:rsid w:val="00F42426"/>
    <w:rsid w:val="00F44F01"/>
    <w:rsid w:val="00F456BC"/>
    <w:rsid w:val="00F50666"/>
    <w:rsid w:val="00F70731"/>
    <w:rsid w:val="00F70C9E"/>
    <w:rsid w:val="00F74A74"/>
    <w:rsid w:val="00F7572C"/>
    <w:rsid w:val="00F8382C"/>
    <w:rsid w:val="00F855D7"/>
    <w:rsid w:val="00F92035"/>
    <w:rsid w:val="00F92748"/>
    <w:rsid w:val="00FA4169"/>
    <w:rsid w:val="00FB0D41"/>
    <w:rsid w:val="00FB2030"/>
    <w:rsid w:val="00FB5CE2"/>
    <w:rsid w:val="00FD0E46"/>
    <w:rsid w:val="00FD1060"/>
    <w:rsid w:val="00FD1CF2"/>
    <w:rsid w:val="00FD3EDF"/>
    <w:rsid w:val="00FD793C"/>
    <w:rsid w:val="00FE0FD5"/>
    <w:rsid w:val="00FE20E6"/>
    <w:rsid w:val="00FE3E3B"/>
    <w:rsid w:val="00FE5878"/>
    <w:rsid w:val="00FF4032"/>
    <w:rsid w:val="00FF4A2E"/>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aliases w:val="Dossier table,Section 3- footnotes,Summary box"/>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 1,Bullet1,List Paragraph CCT minutes,Bullet List,Section 5,Bullets Points,1. Bullet Blank,Bulleted - 2,Dairy Paragraphe,Table Header Row,Bullet Paragraph,Bullet Point,Table Legend,Use Case List Paragraph,List Paragraph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Bullet 1 Diagrama,Bullet1 Diagrama,List Paragraph CCT minutes Diagrama,Bullet List Diagrama,Section 5 Diagrama,Bullets Points Diagrama,1. Bullet Blank Diagrama,Bulleted - 2 Diagrama,Dairy Paragraphe Diagrama"/>
    <w:link w:val="Sraopastraipa"/>
    <w:uiPriority w:val="34"/>
    <w:locked/>
    <w:rsid w:val="0012653C"/>
    <w:rPr>
      <w:sz w:val="24"/>
      <w:szCs w:val="24"/>
      <w:lang w:eastAsia="en-US"/>
    </w:rPr>
  </w:style>
  <w:style w:type="character" w:customStyle="1" w:styleId="VVKTChar">
    <w:name w:val="VVKT Char"/>
    <w:basedOn w:val="Numatytasispastraiposriftas"/>
    <w:link w:val="VVKT"/>
    <w:locked/>
    <w:rsid w:val="0092348A"/>
    <w:rPr>
      <w:rFonts w:ascii="Arial" w:hAnsi="Arial" w:cs="Arial"/>
    </w:rPr>
  </w:style>
  <w:style w:type="paragraph" w:customStyle="1" w:styleId="VVKT">
    <w:name w:val="VVKT"/>
    <w:basedOn w:val="prastasis"/>
    <w:link w:val="VVKTChar"/>
    <w:qFormat/>
    <w:rsid w:val="0092348A"/>
    <w:pPr>
      <w:spacing w:line="276" w:lineRule="auto"/>
    </w:pPr>
    <w:rPr>
      <w:rFonts w:ascii="Arial" w:hAnsi="Arial" w:cs="Arial"/>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F4D56B2EF9465085144986D474F378"/>
        <w:category>
          <w:name w:val="General"/>
          <w:gallery w:val="placeholder"/>
        </w:category>
        <w:types>
          <w:type w:val="bbPlcHdr"/>
        </w:types>
        <w:behaviors>
          <w:behavior w:val="content"/>
        </w:behaviors>
        <w:guid w:val="{A823B20D-109D-4200-8580-16EDAD0F56A5}"/>
      </w:docPartPr>
      <w:docPartBody>
        <w:p w:rsidR="00AA7AF7" w:rsidRDefault="006D40A2" w:rsidP="006D40A2">
          <w:pPr>
            <w:pStyle w:val="65F4D56B2EF9465085144986D474F378"/>
          </w:pPr>
          <w:r>
            <w:rPr>
              <w:rStyle w:val="Vietosrezervavimoenklotekstas"/>
            </w:rPr>
            <w:t>Click here to enter a date.</w:t>
          </w:r>
        </w:p>
      </w:docPartBody>
    </w:docPart>
    <w:docPart>
      <w:docPartPr>
        <w:name w:val="C9F9030180744FE0B3D679E71F835902"/>
        <w:category>
          <w:name w:val="General"/>
          <w:gallery w:val="placeholder"/>
        </w:category>
        <w:types>
          <w:type w:val="bbPlcHdr"/>
        </w:types>
        <w:behaviors>
          <w:behavior w:val="content"/>
        </w:behaviors>
        <w:guid w:val="{C036638D-EEFE-4D06-9D0E-ACA2ABF63ED4}"/>
      </w:docPartPr>
      <w:docPartBody>
        <w:p w:rsidR="00AA7AF7" w:rsidRDefault="006D40A2" w:rsidP="006D40A2">
          <w:pPr>
            <w:pStyle w:val="C9F9030180744FE0B3D679E71F835902"/>
          </w:pPr>
          <w:r>
            <w:rPr>
              <w:rStyle w:val="Vietosrezervavimoenklotekstas"/>
            </w:rPr>
            <w:t>Click here to enter a date.</w:t>
          </w:r>
        </w:p>
      </w:docPartBody>
    </w:docPart>
    <w:docPart>
      <w:docPartPr>
        <w:name w:val="6C9752C6CBD84186BBCEF4F37C82054C"/>
        <w:category>
          <w:name w:val="General"/>
          <w:gallery w:val="placeholder"/>
        </w:category>
        <w:types>
          <w:type w:val="bbPlcHdr"/>
        </w:types>
        <w:behaviors>
          <w:behavior w:val="content"/>
        </w:behaviors>
        <w:guid w:val="{212B5DF8-B1CF-488D-BDFA-28A50FAC2E23}"/>
      </w:docPartPr>
      <w:docPartBody>
        <w:p w:rsidR="00AA7AF7" w:rsidRDefault="006D40A2" w:rsidP="006D40A2">
          <w:pPr>
            <w:pStyle w:val="6C9752C6CBD84186BBCEF4F37C82054C"/>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47C19"/>
    <w:rsid w:val="00061157"/>
    <w:rsid w:val="000624FF"/>
    <w:rsid w:val="00085422"/>
    <w:rsid w:val="000937FE"/>
    <w:rsid w:val="000A50C9"/>
    <w:rsid w:val="000A559A"/>
    <w:rsid w:val="000D24D4"/>
    <w:rsid w:val="000D6217"/>
    <w:rsid w:val="0014006D"/>
    <w:rsid w:val="00196E48"/>
    <w:rsid w:val="001C35A9"/>
    <w:rsid w:val="00227BD3"/>
    <w:rsid w:val="00237556"/>
    <w:rsid w:val="002C0686"/>
    <w:rsid w:val="00360EF9"/>
    <w:rsid w:val="0039303B"/>
    <w:rsid w:val="004144A3"/>
    <w:rsid w:val="004160E7"/>
    <w:rsid w:val="004217F9"/>
    <w:rsid w:val="00435907"/>
    <w:rsid w:val="004416C6"/>
    <w:rsid w:val="00456E96"/>
    <w:rsid w:val="004817C9"/>
    <w:rsid w:val="004C6221"/>
    <w:rsid w:val="004D038D"/>
    <w:rsid w:val="004F4E20"/>
    <w:rsid w:val="004F5AB2"/>
    <w:rsid w:val="005074B9"/>
    <w:rsid w:val="00563A5F"/>
    <w:rsid w:val="005C0D18"/>
    <w:rsid w:val="005C62E5"/>
    <w:rsid w:val="005E40DD"/>
    <w:rsid w:val="005F44B2"/>
    <w:rsid w:val="00601F4E"/>
    <w:rsid w:val="006D40A2"/>
    <w:rsid w:val="006E6A2C"/>
    <w:rsid w:val="007219C1"/>
    <w:rsid w:val="00745C63"/>
    <w:rsid w:val="00753462"/>
    <w:rsid w:val="00754AA8"/>
    <w:rsid w:val="00772325"/>
    <w:rsid w:val="00774F67"/>
    <w:rsid w:val="007A2FE0"/>
    <w:rsid w:val="007C6D1D"/>
    <w:rsid w:val="007D654E"/>
    <w:rsid w:val="00892FF4"/>
    <w:rsid w:val="008A6AB3"/>
    <w:rsid w:val="008C0DC0"/>
    <w:rsid w:val="0090074D"/>
    <w:rsid w:val="00901A35"/>
    <w:rsid w:val="009B3BF0"/>
    <w:rsid w:val="009D5E5E"/>
    <w:rsid w:val="009F1BB4"/>
    <w:rsid w:val="00A20D39"/>
    <w:rsid w:val="00A254A2"/>
    <w:rsid w:val="00AA7AF7"/>
    <w:rsid w:val="00AB2D54"/>
    <w:rsid w:val="00AB6ED4"/>
    <w:rsid w:val="00B14210"/>
    <w:rsid w:val="00B213AA"/>
    <w:rsid w:val="00B22ED6"/>
    <w:rsid w:val="00B23DC0"/>
    <w:rsid w:val="00B71F04"/>
    <w:rsid w:val="00B96656"/>
    <w:rsid w:val="00BA0A8E"/>
    <w:rsid w:val="00BE3364"/>
    <w:rsid w:val="00C2401D"/>
    <w:rsid w:val="00C250D7"/>
    <w:rsid w:val="00C53A68"/>
    <w:rsid w:val="00C66578"/>
    <w:rsid w:val="00CA5BB4"/>
    <w:rsid w:val="00CB4BD1"/>
    <w:rsid w:val="00CD139C"/>
    <w:rsid w:val="00CE2DA9"/>
    <w:rsid w:val="00CE44BE"/>
    <w:rsid w:val="00D008F3"/>
    <w:rsid w:val="00D0142D"/>
    <w:rsid w:val="00D04DFF"/>
    <w:rsid w:val="00D15ED6"/>
    <w:rsid w:val="00D20347"/>
    <w:rsid w:val="00D4356B"/>
    <w:rsid w:val="00D7162F"/>
    <w:rsid w:val="00DA599C"/>
    <w:rsid w:val="00DB4DB5"/>
    <w:rsid w:val="00DD1B1D"/>
    <w:rsid w:val="00DD5DED"/>
    <w:rsid w:val="00DE4D10"/>
    <w:rsid w:val="00E44A86"/>
    <w:rsid w:val="00E522EB"/>
    <w:rsid w:val="00E60827"/>
    <w:rsid w:val="00ED0759"/>
    <w:rsid w:val="00EF6E0C"/>
    <w:rsid w:val="00F14477"/>
    <w:rsid w:val="00F370E5"/>
    <w:rsid w:val="00F42351"/>
    <w:rsid w:val="00F55028"/>
    <w:rsid w:val="00F677F0"/>
    <w:rsid w:val="00F77BEF"/>
    <w:rsid w:val="00FA2E07"/>
    <w:rsid w:val="00FB5CE2"/>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6D40A2"/>
    <w:rPr>
      <w:color w:val="808080"/>
    </w:rPr>
  </w:style>
  <w:style w:type="paragraph" w:customStyle="1" w:styleId="65F4D56B2EF9465085144986D474F378">
    <w:name w:val="65F4D56B2EF9465085144986D474F378"/>
    <w:rsid w:val="006D40A2"/>
    <w:pPr>
      <w:spacing w:line="278" w:lineRule="auto"/>
    </w:pPr>
    <w:rPr>
      <w:kern w:val="2"/>
      <w:sz w:val="24"/>
      <w:szCs w:val="24"/>
      <w14:ligatures w14:val="standardContextual"/>
    </w:rPr>
  </w:style>
  <w:style w:type="paragraph" w:customStyle="1" w:styleId="C9F9030180744FE0B3D679E71F835902">
    <w:name w:val="C9F9030180744FE0B3D679E71F835902"/>
    <w:rsid w:val="006D40A2"/>
    <w:pPr>
      <w:spacing w:line="278" w:lineRule="auto"/>
    </w:pPr>
    <w:rPr>
      <w:kern w:val="2"/>
      <w:sz w:val="24"/>
      <w:szCs w:val="24"/>
      <w14:ligatures w14:val="standardContextual"/>
    </w:rPr>
  </w:style>
  <w:style w:type="paragraph" w:customStyle="1" w:styleId="6C9752C6CBD84186BBCEF4F37C82054C">
    <w:name w:val="6C9752C6CBD84186BBCEF4F37C82054C"/>
    <w:rsid w:val="006D40A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12666</Words>
  <Characters>7221</Characters>
  <Application>Microsoft Office Word</Application>
  <DocSecurity>0</DocSecurity>
  <Lines>60</Lines>
  <Paragraphs>39</Paragraphs>
  <ScaleCrop>false</ScaleCrop>
  <Company/>
  <LinksUpToDate>false</LinksUpToDate>
  <CharactersWithSpaces>19848</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2026-06-01T09:54:00Z</dcterms:created>
  <dcterms:modified xsi:type="dcterms:W3CDTF">2026-06-04T05:53:00Z</dcterms:modified>
</cp:coreProperties>
</file>