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F31CC0" w:rsidRDefault="005F7602" w:rsidP="002946C7">
      <w:pPr>
        <w:ind w:left="5529"/>
      </w:pPr>
    </w:p>
    <w:p w14:paraId="12FA4B9E" w14:textId="39AA3336" w:rsidR="001B3C5B" w:rsidRPr="00F31CC0" w:rsidRDefault="00DC261A" w:rsidP="001B3C5B">
      <w:pPr>
        <w:ind w:left="6096"/>
      </w:pPr>
      <w:bookmarkStart w:id="0" w:name="_Hlk189565243"/>
      <w:r w:rsidRPr="00F31CC0">
        <w:t>PATVIRTINTA</w:t>
      </w:r>
    </w:p>
    <w:p w14:paraId="7206970B" w14:textId="70E9BD2E" w:rsidR="004C263A" w:rsidRPr="00F31CC0" w:rsidRDefault="001B3C5B" w:rsidP="001B3C5B">
      <w:pPr>
        <w:ind w:left="6096"/>
      </w:pPr>
      <w:r w:rsidRPr="00F31CC0">
        <w:t>Valstybinės vaistų kontrolės tarnybos prie Lietuvos Respublikos sveikatos apsaugos ministerijos viršininko 2021 m</w:t>
      </w:r>
      <w:r w:rsidR="004C263A" w:rsidRPr="00F31CC0">
        <w:t xml:space="preserve">. lapkričio 12 </w:t>
      </w:r>
      <w:r w:rsidRPr="00F31CC0">
        <w:t>d. įsakymu Nr.</w:t>
      </w:r>
      <w:r w:rsidR="004C263A" w:rsidRPr="00F31CC0">
        <w:t xml:space="preserve"> (1.72E)1A-1418</w:t>
      </w:r>
    </w:p>
    <w:p w14:paraId="5B219AA6" w14:textId="3A5D6CB4" w:rsidR="001B3C5B" w:rsidRPr="00F31CC0" w:rsidRDefault="004C263A" w:rsidP="001B3C5B">
      <w:pPr>
        <w:ind w:left="6096"/>
      </w:pPr>
      <w:r w:rsidRPr="00F31CC0">
        <w:t>(Valstybinės vaistų kontrolės tarnybos prie Lietuvos Respublikos sveikatos apsaugos ministerijos viršininko 202</w:t>
      </w:r>
      <w:r w:rsidR="00A2310D" w:rsidRPr="00F31CC0">
        <w:t>5</w:t>
      </w:r>
      <w:r w:rsidRPr="00F31CC0">
        <w:t xml:space="preserve"> m.                         d. įsakymo Nr.                    redakcija)</w:t>
      </w:r>
    </w:p>
    <w:p w14:paraId="3336BD74" w14:textId="77777777" w:rsidR="001B3C5B" w:rsidRPr="00F31CC0" w:rsidRDefault="001B3C5B" w:rsidP="00FA4169"/>
    <w:bookmarkEnd w:id="0"/>
    <w:p w14:paraId="56604434" w14:textId="77777777" w:rsidR="00DC261A" w:rsidRPr="00F31CC0" w:rsidRDefault="00DC261A" w:rsidP="003B211A">
      <w:pPr>
        <w:jc w:val="center"/>
        <w:rPr>
          <w:b/>
        </w:rPr>
      </w:pPr>
    </w:p>
    <w:p w14:paraId="77AFB67E" w14:textId="0FB133A2" w:rsidR="00613501" w:rsidRPr="00F31CC0" w:rsidRDefault="002F0E4F" w:rsidP="003B211A">
      <w:pPr>
        <w:jc w:val="center"/>
        <w:rPr>
          <w:b/>
          <w:bCs/>
          <w:caps/>
        </w:rPr>
      </w:pPr>
      <w:r w:rsidRPr="00F31CC0">
        <w:rPr>
          <w:b/>
        </w:rPr>
        <w:t xml:space="preserve">REKOMENDACIJA DĖL VAISTINIO PREPARATO </w:t>
      </w:r>
      <w:r w:rsidRPr="00F31CC0">
        <w:rPr>
          <w:b/>
          <w:bCs/>
          <w:caps/>
        </w:rPr>
        <w:t>Lietuvos Respublikos Sveikatos apsaugos ministerijos vaistinių preparatų ir medicinos pagalbos priemonių kompensavimo komisijai</w:t>
      </w:r>
    </w:p>
    <w:p w14:paraId="34E4395D" w14:textId="15FB10DF" w:rsidR="00B13D65" w:rsidRPr="00F31CC0" w:rsidRDefault="00B13D65" w:rsidP="003B211A">
      <w:pPr>
        <w:jc w:val="center"/>
        <w:rPr>
          <w:b/>
        </w:rPr>
      </w:pPr>
    </w:p>
    <w:p w14:paraId="1E123555" w14:textId="61FB9EAD" w:rsidR="00262D73" w:rsidRPr="00F31CC0" w:rsidRDefault="00262D73" w:rsidP="00262D73">
      <w:pPr>
        <w:jc w:val="center"/>
        <w:rPr>
          <w:b/>
        </w:rPr>
      </w:pPr>
      <w:r w:rsidRPr="00F31CC0">
        <w:rPr>
          <w:b/>
        </w:rPr>
        <w:t xml:space="preserve">NILEMDO 180 mg </w:t>
      </w:r>
      <w:r w:rsidRPr="00F31CC0">
        <w:rPr>
          <w:b/>
          <w:bCs/>
        </w:rPr>
        <w:t>plėvele dengtos tabletės</w:t>
      </w:r>
    </w:p>
    <w:p w14:paraId="3B94CD74" w14:textId="77777777" w:rsidR="00262D73" w:rsidRPr="00F31CC0" w:rsidRDefault="00262D73" w:rsidP="00262D73">
      <w:pPr>
        <w:jc w:val="center"/>
      </w:pPr>
    </w:p>
    <w:p w14:paraId="569AB13B" w14:textId="77777777" w:rsidR="00262D73" w:rsidRPr="00F31CC0" w:rsidRDefault="00262D73" w:rsidP="00262D73">
      <w:pPr>
        <w:jc w:val="center"/>
        <w:rPr>
          <w:b/>
          <w:bCs/>
        </w:rPr>
      </w:pPr>
      <w:proofErr w:type="spellStart"/>
      <w:r w:rsidRPr="00F31CC0">
        <w:rPr>
          <w:b/>
          <w:bCs/>
        </w:rPr>
        <w:t>Bempedono</w:t>
      </w:r>
      <w:proofErr w:type="spellEnd"/>
      <w:r w:rsidRPr="00F31CC0">
        <w:rPr>
          <w:b/>
          <w:bCs/>
        </w:rPr>
        <w:t xml:space="preserve"> rūgštis</w:t>
      </w:r>
    </w:p>
    <w:p w14:paraId="078E1953" w14:textId="77777777" w:rsidR="00262D73" w:rsidRPr="00F31CC0" w:rsidRDefault="00262D73" w:rsidP="00262D73">
      <w:pPr>
        <w:jc w:val="center"/>
      </w:pPr>
    </w:p>
    <w:p w14:paraId="716E466A" w14:textId="77777777" w:rsidR="00262D73" w:rsidRPr="00F31CC0" w:rsidRDefault="00262D73" w:rsidP="00262D73">
      <w:pPr>
        <w:jc w:val="center"/>
        <w:rPr>
          <w:b/>
        </w:rPr>
      </w:pPr>
      <w:r w:rsidRPr="00F31CC0">
        <w:rPr>
          <w:b/>
        </w:rPr>
        <w:t>STV-260</w:t>
      </w:r>
    </w:p>
    <w:p w14:paraId="453197C8" w14:textId="77777777" w:rsidR="00D4708D" w:rsidRPr="00F31CC0" w:rsidRDefault="00D4708D" w:rsidP="003B211A">
      <w:pPr>
        <w:jc w:val="center"/>
        <w:rPr>
          <w:b/>
        </w:rPr>
      </w:pPr>
    </w:p>
    <w:p w14:paraId="78C89D1C" w14:textId="0DEFFAA5" w:rsidR="00D4485B" w:rsidRPr="00F31CC0" w:rsidRDefault="00B13D65" w:rsidP="00CC09D4">
      <w:pPr>
        <w:pStyle w:val="Sraopastraipa"/>
        <w:numPr>
          <w:ilvl w:val="0"/>
          <w:numId w:val="12"/>
        </w:numPr>
        <w:tabs>
          <w:tab w:val="left" w:pos="567"/>
        </w:tabs>
        <w:ind w:left="567" w:hanging="567"/>
        <w:rPr>
          <w:b/>
          <w:bCs/>
          <w:caps/>
        </w:rPr>
      </w:pPr>
      <w:r w:rsidRPr="00F31CC0">
        <w:rPr>
          <w:b/>
          <w:bCs/>
          <w:caps/>
        </w:rPr>
        <w:t>Bendroji dalis</w:t>
      </w:r>
    </w:p>
    <w:p w14:paraId="04A7C7A7" w14:textId="77777777" w:rsidR="00B13D65" w:rsidRPr="00F31CC0"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899"/>
        <w:gridCol w:w="4962"/>
      </w:tblGrid>
      <w:tr w:rsidR="006601F2" w:rsidRPr="00F31CC0" w14:paraId="16A7BC7B" w14:textId="77777777" w:rsidTr="003F3FFF">
        <w:trPr>
          <w:trHeight w:val="538"/>
        </w:trPr>
        <w:tc>
          <w:tcPr>
            <w:tcW w:w="632" w:type="dxa"/>
          </w:tcPr>
          <w:p w14:paraId="4572808D" w14:textId="77777777" w:rsidR="006601F2" w:rsidRPr="00F31CC0" w:rsidRDefault="006601F2" w:rsidP="006601F2">
            <w:pPr>
              <w:rPr>
                <w:rFonts w:eastAsia="Arial"/>
                <w:b/>
                <w:bCs/>
              </w:rPr>
            </w:pPr>
            <w:r w:rsidRPr="00F31CC0">
              <w:rPr>
                <w:rFonts w:eastAsia="Arial"/>
                <w:b/>
                <w:bCs/>
              </w:rPr>
              <w:t>1.1</w:t>
            </w:r>
          </w:p>
        </w:tc>
        <w:tc>
          <w:tcPr>
            <w:tcW w:w="3899" w:type="dxa"/>
          </w:tcPr>
          <w:p w14:paraId="54BA6EB3" w14:textId="77777777" w:rsidR="006601F2" w:rsidRPr="00F31CC0" w:rsidRDefault="006601F2" w:rsidP="006601F2">
            <w:pPr>
              <w:rPr>
                <w:rFonts w:eastAsia="Arial"/>
                <w:b/>
                <w:bCs/>
              </w:rPr>
            </w:pPr>
            <w:r w:rsidRPr="00F31CC0">
              <w:rPr>
                <w:rFonts w:eastAsia="Arial"/>
                <w:b/>
                <w:bCs/>
              </w:rPr>
              <w:t>Pareiškėjas/ pareiškėjo atstovas</w:t>
            </w:r>
          </w:p>
        </w:tc>
        <w:tc>
          <w:tcPr>
            <w:tcW w:w="4962" w:type="dxa"/>
          </w:tcPr>
          <w:p w14:paraId="0F359BD4" w14:textId="721B058A" w:rsidR="006601F2" w:rsidRPr="00F31CC0" w:rsidRDefault="006601F2" w:rsidP="006601F2">
            <w:pPr>
              <w:rPr>
                <w:rFonts w:eastAsia="Arial"/>
              </w:rPr>
            </w:pPr>
            <w:proofErr w:type="spellStart"/>
            <w:r w:rsidRPr="00F31CC0">
              <w:t>Zentiva</w:t>
            </w:r>
            <w:proofErr w:type="spellEnd"/>
            <w:r w:rsidRPr="00F31CC0">
              <w:t xml:space="preserve"> Group </w:t>
            </w:r>
            <w:proofErr w:type="spellStart"/>
            <w:r w:rsidRPr="00F31CC0">
              <w:t>a.s</w:t>
            </w:r>
            <w:proofErr w:type="spellEnd"/>
            <w:r w:rsidRPr="00F31CC0">
              <w:t>.</w:t>
            </w:r>
          </w:p>
        </w:tc>
      </w:tr>
      <w:tr w:rsidR="006601F2" w:rsidRPr="00F31CC0" w14:paraId="101EA148" w14:textId="77777777" w:rsidTr="003F3FFF">
        <w:trPr>
          <w:trHeight w:val="538"/>
        </w:trPr>
        <w:tc>
          <w:tcPr>
            <w:tcW w:w="632" w:type="dxa"/>
          </w:tcPr>
          <w:p w14:paraId="3BF67175" w14:textId="77777777" w:rsidR="006601F2" w:rsidRPr="00F31CC0" w:rsidRDefault="006601F2" w:rsidP="006601F2">
            <w:pPr>
              <w:rPr>
                <w:rFonts w:eastAsia="Arial"/>
                <w:b/>
                <w:bCs/>
              </w:rPr>
            </w:pPr>
            <w:r w:rsidRPr="00F31CC0">
              <w:rPr>
                <w:rFonts w:eastAsia="Arial"/>
                <w:b/>
                <w:bCs/>
              </w:rPr>
              <w:t>1.2</w:t>
            </w:r>
          </w:p>
        </w:tc>
        <w:tc>
          <w:tcPr>
            <w:tcW w:w="3899" w:type="dxa"/>
          </w:tcPr>
          <w:p w14:paraId="786B66DF" w14:textId="77777777" w:rsidR="006601F2" w:rsidRPr="00F31CC0" w:rsidRDefault="006601F2" w:rsidP="006601F2">
            <w:pPr>
              <w:rPr>
                <w:b/>
                <w:bCs/>
                <w:lang w:eastAsia="lt-LT"/>
              </w:rPr>
            </w:pPr>
            <w:r w:rsidRPr="00F31CC0">
              <w:rPr>
                <w:b/>
                <w:bCs/>
                <w:lang w:eastAsia="lt-LT"/>
              </w:rPr>
              <w:t xml:space="preserve">Vaistinio preparato registracijos data </w:t>
            </w:r>
          </w:p>
          <w:p w14:paraId="4B568341" w14:textId="77777777" w:rsidR="006601F2" w:rsidRPr="00F31CC0" w:rsidRDefault="006601F2" w:rsidP="006601F2">
            <w:pPr>
              <w:rPr>
                <w:b/>
                <w:bCs/>
                <w:lang w:eastAsia="lt-LT"/>
              </w:rPr>
            </w:pPr>
          </w:p>
        </w:tc>
        <w:tc>
          <w:tcPr>
            <w:tcW w:w="4962" w:type="dxa"/>
          </w:tcPr>
          <w:p w14:paraId="50F63366" w14:textId="37B37ECA" w:rsidR="006601F2" w:rsidRPr="00F31CC0" w:rsidRDefault="00000000" w:rsidP="006601F2">
            <w:pPr>
              <w:rPr>
                <w:rStyle w:val="Style2"/>
              </w:rPr>
            </w:pPr>
            <w:sdt>
              <w:sdtPr>
                <w:rPr>
                  <w:sz w:val="32"/>
                </w:rPr>
                <w:alias w:val="Nurodykite konkrečią dieną"/>
                <w:tag w:val="Nurodykite pradžios datą"/>
                <w:id w:val="1772196685"/>
                <w:placeholder>
                  <w:docPart w:val="3F4ABFC19F9843E0BC8C07DADFC1701C"/>
                </w:placeholder>
                <w15:color w:val="FFCC99"/>
                <w:date>
                  <w:dateFormat w:val="yyyy 'm.' MMMM d 'd.'"/>
                  <w:lid w:val="lt-LT"/>
                  <w:storeMappedDataAs w:val="dateTime"/>
                  <w:calendar w:val="gregorian"/>
                </w:date>
              </w:sdtPr>
              <w:sdtContent>
                <w:r w:rsidR="006601F2" w:rsidRPr="00F31CC0">
                  <w:t>2020 m. balandžio 1 d.</w:t>
                </w:r>
              </w:sdtContent>
            </w:sdt>
          </w:p>
        </w:tc>
      </w:tr>
      <w:tr w:rsidR="00E70CED" w:rsidRPr="00F31CC0" w14:paraId="3D70E0FA" w14:textId="77777777" w:rsidTr="001F115E">
        <w:trPr>
          <w:trHeight w:val="1643"/>
        </w:trPr>
        <w:tc>
          <w:tcPr>
            <w:tcW w:w="632" w:type="dxa"/>
          </w:tcPr>
          <w:p w14:paraId="021DF6BD" w14:textId="77777777" w:rsidR="00E70CED" w:rsidRPr="00F31CC0" w:rsidRDefault="00E70CED" w:rsidP="001F115E">
            <w:pPr>
              <w:rPr>
                <w:rFonts w:eastAsia="Arial"/>
                <w:b/>
                <w:bCs/>
              </w:rPr>
            </w:pPr>
            <w:r w:rsidRPr="00F31CC0">
              <w:rPr>
                <w:rFonts w:eastAsia="Arial"/>
                <w:b/>
                <w:bCs/>
              </w:rPr>
              <w:t>1.3</w:t>
            </w:r>
          </w:p>
        </w:tc>
        <w:tc>
          <w:tcPr>
            <w:tcW w:w="3899" w:type="dxa"/>
          </w:tcPr>
          <w:p w14:paraId="528F713F" w14:textId="77777777" w:rsidR="00E70CED" w:rsidRPr="00F31CC0" w:rsidRDefault="00E70CED" w:rsidP="001F115E">
            <w:pPr>
              <w:pStyle w:val="Betarp"/>
              <w:rPr>
                <w:rFonts w:ascii="Times New Roman" w:hAnsi="Times New Roman"/>
                <w:b/>
                <w:sz w:val="24"/>
                <w:szCs w:val="24"/>
                <w:shd w:val="clear" w:color="auto" w:fill="FFFFFF"/>
              </w:rPr>
            </w:pPr>
            <w:r w:rsidRPr="00F31CC0">
              <w:rPr>
                <w:rFonts w:ascii="Times New Roman" w:hAnsi="Times New Roman"/>
                <w:b/>
                <w:sz w:val="24"/>
                <w:szCs w:val="24"/>
              </w:rPr>
              <w:t xml:space="preserve">Vaistinio preparato </w:t>
            </w:r>
            <w:r w:rsidRPr="00F31CC0">
              <w:rPr>
                <w:rFonts w:ascii="Times New Roman" w:hAnsi="Times New Roman"/>
                <w:b/>
                <w:sz w:val="24"/>
                <w:szCs w:val="24"/>
                <w:shd w:val="clear" w:color="auto" w:fill="FFFFFF"/>
              </w:rPr>
              <w:t>registracijos teisinis pagrindas</w:t>
            </w:r>
          </w:p>
          <w:p w14:paraId="63F86DC1" w14:textId="77777777" w:rsidR="00E70CED" w:rsidRPr="00F31CC0" w:rsidRDefault="00E70CED" w:rsidP="001F115E">
            <w:pPr>
              <w:pStyle w:val="Betarp"/>
              <w:rPr>
                <w:rFonts w:ascii="Times New Roman" w:hAnsi="Times New Roman"/>
                <w:b/>
                <w:bCs/>
                <w:sz w:val="24"/>
                <w:szCs w:val="24"/>
                <w:lang w:eastAsia="lt-LT"/>
              </w:rPr>
            </w:pPr>
            <w:r w:rsidRPr="00F31CC0">
              <w:rPr>
                <w:rFonts w:ascii="Times New Roman" w:hAnsi="Times New Roman"/>
                <w:b/>
                <w:sz w:val="24"/>
                <w:szCs w:val="24"/>
                <w:shd w:val="clear" w:color="auto" w:fill="FFFFFF"/>
              </w:rPr>
              <w:t>(</w:t>
            </w:r>
            <w:r w:rsidRPr="00F31CC0">
              <w:rPr>
                <w:rFonts w:ascii="Times New Roman" w:hAnsi="Times New Roman"/>
                <w:b/>
                <w:sz w:val="24"/>
                <w:szCs w:val="24"/>
              </w:rPr>
              <w:t>Direktyvos 2001/83/EB str.)</w:t>
            </w:r>
          </w:p>
        </w:tc>
        <w:tc>
          <w:tcPr>
            <w:tcW w:w="4962" w:type="dxa"/>
          </w:tcPr>
          <w:p w14:paraId="4C977D39" w14:textId="3FA3234F" w:rsidR="00E70CED" w:rsidRPr="00F31CC0" w:rsidRDefault="00000000" w:rsidP="001F115E">
            <w:sdt>
              <w:sdtPr>
                <w:rPr>
                  <w:rStyle w:val="Style2"/>
                  <w:sz w:val="24"/>
                </w:rPr>
                <w:id w:val="526292078"/>
                <w15:color w:val="FFCC00"/>
                <w14:checkbox>
                  <w14:checked w14:val="1"/>
                  <w14:checkedState w14:val="2612" w14:font="MS Gothic"/>
                  <w14:uncheckedState w14:val="2610" w14:font="MS Gothic"/>
                </w14:checkbox>
              </w:sdtPr>
              <w:sdtContent>
                <w:r w:rsidR="006601F2" w:rsidRPr="00F31CC0">
                  <w:rPr>
                    <w:rStyle w:val="Style2"/>
                    <w:rFonts w:ascii="MS Gothic" w:eastAsia="MS Gothic" w:hAnsi="MS Gothic"/>
                    <w:sz w:val="24"/>
                  </w:rPr>
                  <w:t>☒</w:t>
                </w:r>
              </w:sdtContent>
            </w:sdt>
            <w:r w:rsidR="00E70CED" w:rsidRPr="00F31CC0">
              <w:t>8.3 str. (pilna byla, pagrįsta savais tyrimais)</w:t>
            </w:r>
          </w:p>
          <w:p w14:paraId="6AABD410" w14:textId="77777777" w:rsidR="00E70CED" w:rsidRPr="00F31CC0" w:rsidRDefault="00000000" w:rsidP="001F115E">
            <w:sdt>
              <w:sdtPr>
                <w:rPr>
                  <w:rStyle w:val="Style2"/>
                  <w:sz w:val="24"/>
                </w:rPr>
                <w:id w:val="-1497953736"/>
                <w15:color w:val="FFCC00"/>
                <w14:checkbox>
                  <w14:checked w14:val="0"/>
                  <w14:checkedState w14:val="2612" w14:font="MS Gothic"/>
                  <w14:uncheckedState w14:val="2610" w14:font="MS Gothic"/>
                </w14:checkbox>
              </w:sdtPr>
              <w:sdtContent>
                <w:r w:rsidR="00E70CED" w:rsidRPr="00F31CC0">
                  <w:rPr>
                    <w:rStyle w:val="Style2"/>
                    <w:rFonts w:ascii="Segoe UI Symbol" w:eastAsia="MS Gothic" w:hAnsi="Segoe UI Symbol" w:cs="Segoe UI Symbol"/>
                    <w:sz w:val="24"/>
                  </w:rPr>
                  <w:t>☐</w:t>
                </w:r>
              </w:sdtContent>
            </w:sdt>
            <w:r w:rsidR="00E70CED" w:rsidRPr="00F31CC0">
              <w:t>10 a str. (pripažintas medicininis vartojimas)</w:t>
            </w:r>
          </w:p>
          <w:p w14:paraId="5CF35A47" w14:textId="77777777" w:rsidR="00E70CED" w:rsidRPr="00F31CC0" w:rsidRDefault="00000000" w:rsidP="001F115E">
            <w:sdt>
              <w:sdtPr>
                <w:rPr>
                  <w:rStyle w:val="Style2"/>
                  <w:sz w:val="24"/>
                </w:rPr>
                <w:id w:val="204142496"/>
                <w15:color w:val="FFCC00"/>
                <w14:checkbox>
                  <w14:checked w14:val="0"/>
                  <w14:checkedState w14:val="2612" w14:font="MS Gothic"/>
                  <w14:uncheckedState w14:val="2610" w14:font="MS Gothic"/>
                </w14:checkbox>
              </w:sdtPr>
              <w:sdtContent>
                <w:r w:rsidR="00E70CED" w:rsidRPr="00F31CC0">
                  <w:rPr>
                    <w:rStyle w:val="Style2"/>
                    <w:rFonts w:ascii="Segoe UI Symbol" w:eastAsia="MS Gothic" w:hAnsi="Segoe UI Symbol" w:cs="Segoe UI Symbol"/>
                    <w:sz w:val="24"/>
                  </w:rPr>
                  <w:t>☐</w:t>
                </w:r>
              </w:sdtContent>
            </w:sdt>
            <w:r w:rsidR="00E70CED" w:rsidRPr="00F31CC0">
              <w:t>10.1 str. (</w:t>
            </w:r>
            <w:proofErr w:type="spellStart"/>
            <w:r w:rsidR="00E70CED" w:rsidRPr="00F31CC0">
              <w:t>generinis</w:t>
            </w:r>
            <w:proofErr w:type="spellEnd"/>
            <w:r w:rsidR="00E70CED" w:rsidRPr="00F31CC0">
              <w:t>)</w:t>
            </w:r>
          </w:p>
          <w:p w14:paraId="0517A1B2" w14:textId="77777777" w:rsidR="00E70CED" w:rsidRPr="00F31CC0" w:rsidRDefault="00000000" w:rsidP="001F115E">
            <w:sdt>
              <w:sdtPr>
                <w:rPr>
                  <w:rStyle w:val="Style2"/>
                  <w:sz w:val="24"/>
                </w:rPr>
                <w:id w:val="820305101"/>
                <w15:color w:val="FFCC00"/>
                <w14:checkbox>
                  <w14:checked w14:val="0"/>
                  <w14:checkedState w14:val="2612" w14:font="MS Gothic"/>
                  <w14:uncheckedState w14:val="2610" w14:font="MS Gothic"/>
                </w14:checkbox>
              </w:sdtPr>
              <w:sdtContent>
                <w:r w:rsidR="00E70CED" w:rsidRPr="00F31CC0">
                  <w:rPr>
                    <w:rStyle w:val="Style2"/>
                    <w:rFonts w:ascii="Segoe UI Symbol" w:eastAsia="MS Gothic" w:hAnsi="Segoe UI Symbol" w:cs="Segoe UI Symbol"/>
                    <w:sz w:val="24"/>
                  </w:rPr>
                  <w:t>☐</w:t>
                </w:r>
              </w:sdtContent>
            </w:sdt>
            <w:r w:rsidR="00E70CED" w:rsidRPr="00F31CC0">
              <w:t>10.3 str. (hibridinis)</w:t>
            </w:r>
          </w:p>
          <w:p w14:paraId="0F37DDE0" w14:textId="78AF6516" w:rsidR="00063A50" w:rsidRPr="00F31CC0" w:rsidRDefault="00000000" w:rsidP="00063A50">
            <w:sdt>
              <w:sdtPr>
                <w:rPr>
                  <w:rStyle w:val="Style2"/>
                  <w:sz w:val="24"/>
                </w:rPr>
                <w:id w:val="1800953328"/>
                <w15:color w:val="FFCC00"/>
                <w14:checkbox>
                  <w14:checked w14:val="0"/>
                  <w14:checkedState w14:val="2612" w14:font="MS Gothic"/>
                  <w14:uncheckedState w14:val="2610" w14:font="MS Gothic"/>
                </w14:checkbox>
              </w:sdtPr>
              <w:sdtContent>
                <w:r w:rsidR="00063A50" w:rsidRPr="00F31CC0">
                  <w:rPr>
                    <w:rStyle w:val="Style2"/>
                    <w:rFonts w:ascii="Segoe UI Symbol" w:eastAsia="MS Gothic" w:hAnsi="Segoe UI Symbol" w:cs="Segoe UI Symbol"/>
                    <w:sz w:val="24"/>
                  </w:rPr>
                  <w:t>☐</w:t>
                </w:r>
              </w:sdtContent>
            </w:sdt>
            <w:r w:rsidR="00063A50" w:rsidRPr="00F31CC0">
              <w:t>10.4 str. (panašus biologinis)</w:t>
            </w:r>
          </w:p>
          <w:p w14:paraId="7EDB4848" w14:textId="77777777" w:rsidR="00063A50" w:rsidRPr="00F31CC0" w:rsidRDefault="00063A50" w:rsidP="001F115E">
            <w:pPr>
              <w:rPr>
                <w:rStyle w:val="Style2"/>
                <w:sz w:val="24"/>
              </w:rPr>
            </w:pPr>
          </w:p>
        </w:tc>
      </w:tr>
      <w:tr w:rsidR="00E70CED" w:rsidRPr="00F31CC0" w14:paraId="31641941" w14:textId="77777777" w:rsidTr="003F3FFF">
        <w:trPr>
          <w:trHeight w:val="1011"/>
        </w:trPr>
        <w:tc>
          <w:tcPr>
            <w:tcW w:w="632" w:type="dxa"/>
          </w:tcPr>
          <w:p w14:paraId="2E73A32C" w14:textId="77777777" w:rsidR="00E70CED" w:rsidRPr="00F31CC0" w:rsidRDefault="00E70CED" w:rsidP="001F115E">
            <w:pPr>
              <w:rPr>
                <w:rFonts w:eastAsia="Arial"/>
                <w:b/>
                <w:bCs/>
              </w:rPr>
            </w:pPr>
            <w:r w:rsidRPr="00F31CC0">
              <w:rPr>
                <w:rFonts w:eastAsia="Arial"/>
                <w:b/>
              </w:rPr>
              <w:t>1.4</w:t>
            </w:r>
          </w:p>
        </w:tc>
        <w:tc>
          <w:tcPr>
            <w:tcW w:w="3899" w:type="dxa"/>
          </w:tcPr>
          <w:p w14:paraId="2547AC59" w14:textId="77777777" w:rsidR="00E70CED" w:rsidRPr="00F31CC0" w:rsidRDefault="00E70CED" w:rsidP="001F115E">
            <w:pPr>
              <w:tabs>
                <w:tab w:val="left" w:pos="284"/>
              </w:tabs>
              <w:rPr>
                <w:b/>
                <w:bCs/>
                <w:lang w:eastAsia="lt-LT"/>
              </w:rPr>
            </w:pPr>
            <w:r w:rsidRPr="00F31CC0">
              <w:rPr>
                <w:b/>
                <w:bCs/>
                <w:lang w:eastAsia="lt-LT"/>
              </w:rPr>
              <w:t>Ar vaistinis preparatas įrašytas į Bendrijos retųjų vaistinių preparatų registrą?</w:t>
            </w:r>
          </w:p>
        </w:tc>
        <w:tc>
          <w:tcPr>
            <w:tcW w:w="4962" w:type="dxa"/>
          </w:tcPr>
          <w:p w14:paraId="49AB923F" w14:textId="66B933B7" w:rsidR="00E70CED" w:rsidRPr="00F31CC0" w:rsidRDefault="00000000" w:rsidP="001F115E">
            <w:sdt>
              <w:sdtPr>
                <w:rPr>
                  <w:rStyle w:val="Style2"/>
                  <w:sz w:val="24"/>
                </w:rPr>
                <w:id w:val="1190730465"/>
                <w15:color w:val="FFCC00"/>
                <w14:checkbox>
                  <w14:checked w14:val="0"/>
                  <w14:checkedState w14:val="2612" w14:font="MS Gothic"/>
                  <w14:uncheckedState w14:val="2610" w14:font="MS Gothic"/>
                </w14:checkbox>
              </w:sdtPr>
              <w:sdtContent>
                <w:r w:rsidR="00E70CED" w:rsidRPr="00F31CC0">
                  <w:rPr>
                    <w:rStyle w:val="Style2"/>
                    <w:rFonts w:ascii="Segoe UI Symbol" w:eastAsia="MS Gothic" w:hAnsi="Segoe UI Symbol" w:cs="Segoe UI Symbol"/>
                    <w:sz w:val="24"/>
                  </w:rPr>
                  <w:t>☐</w:t>
                </w:r>
              </w:sdtContent>
            </w:sdt>
            <w:r w:rsidR="00E70CED" w:rsidRPr="00F31CC0">
              <w:t xml:space="preserve"> Taip       </w:t>
            </w:r>
            <w:r w:rsidR="00E70CED" w:rsidRPr="00F31CC0">
              <w:rPr>
                <w:rStyle w:val="Style2"/>
                <w:sz w:val="24"/>
              </w:rPr>
              <w:t xml:space="preserve"> </w:t>
            </w:r>
            <w:sdt>
              <w:sdtPr>
                <w:rPr>
                  <w:rStyle w:val="Style2"/>
                  <w:sz w:val="24"/>
                </w:rPr>
                <w:id w:val="-1760283509"/>
                <w15:color w:val="FFCC00"/>
                <w14:checkbox>
                  <w14:checked w14:val="1"/>
                  <w14:checkedState w14:val="2612" w14:font="MS Gothic"/>
                  <w14:uncheckedState w14:val="2610" w14:font="MS Gothic"/>
                </w14:checkbox>
              </w:sdtPr>
              <w:sdtContent>
                <w:r w:rsidR="006601F2" w:rsidRPr="00F31CC0">
                  <w:rPr>
                    <w:rStyle w:val="Style2"/>
                    <w:rFonts w:ascii="MS Gothic" w:eastAsia="MS Gothic" w:hAnsi="MS Gothic"/>
                    <w:sz w:val="24"/>
                  </w:rPr>
                  <w:t>☒</w:t>
                </w:r>
              </w:sdtContent>
            </w:sdt>
            <w:r w:rsidR="00E70CED" w:rsidRPr="00F31CC0">
              <w:t xml:space="preserve"> Ne</w:t>
            </w:r>
          </w:p>
          <w:p w14:paraId="56165267" w14:textId="77777777" w:rsidR="00E70CED" w:rsidRPr="00F31CC0" w:rsidRDefault="00E70CED" w:rsidP="001F115E">
            <w:pPr>
              <w:rPr>
                <w:rFonts w:eastAsia="Arial"/>
              </w:rPr>
            </w:pPr>
            <w:r w:rsidRPr="00F31CC0">
              <w:t xml:space="preserve">Data: </w:t>
            </w:r>
            <w:sdt>
              <w:sdtPr>
                <w:alias w:val="Nurodykite konkrečią dieną"/>
                <w:tag w:val="Nurodykite pradžios datą"/>
                <w:id w:val="1784158105"/>
                <w:placeholder>
                  <w:docPart w:val="93D7EBE30A7F432F9AB1114CDC0B27A0"/>
                </w:placeholder>
                <w:showingPlcHdr/>
                <w15:color w:val="FFCC99"/>
                <w:date w:fullDate="2022-05-18T00:00:00Z">
                  <w:dateFormat w:val="yyyy 'm.' MMMM d 'd.'"/>
                  <w:lid w:val="lt-LT"/>
                  <w:storeMappedDataAs w:val="dateTime"/>
                  <w:calendar w:val="gregorian"/>
                </w:date>
              </w:sdtPr>
              <w:sdtContent>
                <w:r w:rsidRPr="00F31CC0">
                  <w:rPr>
                    <w:rStyle w:val="Vietosrezervavimoenklotekstas"/>
                  </w:rPr>
                  <w:t>Click here to enter a date.</w:t>
                </w:r>
              </w:sdtContent>
            </w:sdt>
            <w:r w:rsidRPr="00F31CC0">
              <w:t xml:space="preserve"> Nr.</w:t>
            </w:r>
          </w:p>
        </w:tc>
      </w:tr>
      <w:tr w:rsidR="00E70CED" w:rsidRPr="00F31CC0" w14:paraId="5E0775EB" w14:textId="77777777" w:rsidTr="003F3FFF">
        <w:trPr>
          <w:trHeight w:val="1011"/>
        </w:trPr>
        <w:tc>
          <w:tcPr>
            <w:tcW w:w="632" w:type="dxa"/>
          </w:tcPr>
          <w:p w14:paraId="6829924D" w14:textId="77777777" w:rsidR="00E70CED" w:rsidRPr="00F31CC0" w:rsidRDefault="00E70CED" w:rsidP="001F115E">
            <w:pPr>
              <w:rPr>
                <w:rFonts w:eastAsia="Arial"/>
                <w:b/>
              </w:rPr>
            </w:pPr>
            <w:r w:rsidRPr="00F31CC0">
              <w:rPr>
                <w:rFonts w:eastAsia="Arial"/>
                <w:b/>
                <w:bCs/>
              </w:rPr>
              <w:t>1.5</w:t>
            </w:r>
          </w:p>
        </w:tc>
        <w:tc>
          <w:tcPr>
            <w:tcW w:w="3899" w:type="dxa"/>
          </w:tcPr>
          <w:p w14:paraId="1DDE7CF3" w14:textId="2FF7A402" w:rsidR="00E70CED" w:rsidRPr="00F31CC0" w:rsidRDefault="00E70CED" w:rsidP="001F115E">
            <w:pPr>
              <w:tabs>
                <w:tab w:val="left" w:pos="284"/>
              </w:tabs>
              <w:rPr>
                <w:b/>
                <w:bCs/>
                <w:lang w:eastAsia="lt-LT"/>
              </w:rPr>
            </w:pPr>
            <w:r w:rsidRPr="00F31CC0">
              <w:rPr>
                <w:b/>
                <w:bCs/>
                <w:lang w:eastAsia="lt-LT"/>
              </w:rPr>
              <w:t>Ar atliktas bendras klinikinis vertinimas</w:t>
            </w:r>
          </w:p>
          <w:p w14:paraId="0961228D" w14:textId="77777777" w:rsidR="00E70CED" w:rsidRPr="00F31CC0" w:rsidRDefault="00E70CED" w:rsidP="001F115E">
            <w:pPr>
              <w:tabs>
                <w:tab w:val="left" w:pos="284"/>
              </w:tabs>
              <w:rPr>
                <w:b/>
                <w:bCs/>
                <w:lang w:eastAsia="lt-LT"/>
              </w:rPr>
            </w:pPr>
            <w:r w:rsidRPr="00F31CC0">
              <w:rPr>
                <w:b/>
                <w:bCs/>
                <w:lang w:eastAsia="lt-LT"/>
              </w:rPr>
              <w:t>(Europos Parlamento ir Tarybos reglamentas (ES) 2021/2282)</w:t>
            </w:r>
          </w:p>
          <w:p w14:paraId="7B6C3C1B" w14:textId="77777777" w:rsidR="00336238" w:rsidRPr="00F31CC0" w:rsidRDefault="00336238" w:rsidP="001F115E">
            <w:pPr>
              <w:tabs>
                <w:tab w:val="left" w:pos="284"/>
              </w:tabs>
              <w:rPr>
                <w:b/>
                <w:bCs/>
                <w:lang w:eastAsia="lt-LT"/>
              </w:rPr>
            </w:pPr>
          </w:p>
        </w:tc>
        <w:tc>
          <w:tcPr>
            <w:tcW w:w="4962" w:type="dxa"/>
          </w:tcPr>
          <w:p w14:paraId="024AE31B" w14:textId="673EFA22" w:rsidR="00E70CED" w:rsidRPr="00F31CC0" w:rsidRDefault="00000000" w:rsidP="001F115E">
            <w:sdt>
              <w:sdtPr>
                <w:rPr>
                  <w:rStyle w:val="Style2"/>
                  <w:sz w:val="24"/>
                </w:rPr>
                <w:id w:val="-1171564470"/>
                <w15:color w:val="FFCC00"/>
                <w14:checkbox>
                  <w14:checked w14:val="0"/>
                  <w14:checkedState w14:val="2612" w14:font="MS Gothic"/>
                  <w14:uncheckedState w14:val="2610" w14:font="MS Gothic"/>
                </w14:checkbox>
              </w:sdtPr>
              <w:sdtContent>
                <w:r w:rsidR="00E70CED" w:rsidRPr="00F31CC0">
                  <w:rPr>
                    <w:rStyle w:val="Style2"/>
                    <w:rFonts w:ascii="Segoe UI Symbol" w:eastAsia="MS Gothic" w:hAnsi="Segoe UI Symbol" w:cs="Segoe UI Symbol"/>
                    <w:sz w:val="24"/>
                  </w:rPr>
                  <w:t>☐</w:t>
                </w:r>
              </w:sdtContent>
            </w:sdt>
            <w:r w:rsidR="00E70CED" w:rsidRPr="00F31CC0">
              <w:t xml:space="preserve"> Taip       </w:t>
            </w:r>
            <w:r w:rsidR="00E70CED" w:rsidRPr="00F31CC0">
              <w:rPr>
                <w:rStyle w:val="Style2"/>
                <w:sz w:val="24"/>
              </w:rPr>
              <w:t xml:space="preserve"> </w:t>
            </w:r>
            <w:sdt>
              <w:sdtPr>
                <w:rPr>
                  <w:rStyle w:val="Style2"/>
                  <w:sz w:val="24"/>
                </w:rPr>
                <w:id w:val="1448122567"/>
                <w15:color w:val="FFCC00"/>
                <w14:checkbox>
                  <w14:checked w14:val="1"/>
                  <w14:checkedState w14:val="2612" w14:font="MS Gothic"/>
                  <w14:uncheckedState w14:val="2610" w14:font="MS Gothic"/>
                </w14:checkbox>
              </w:sdtPr>
              <w:sdtContent>
                <w:r w:rsidR="006601F2" w:rsidRPr="00F31CC0">
                  <w:rPr>
                    <w:rStyle w:val="Style2"/>
                    <w:rFonts w:ascii="MS Gothic" w:eastAsia="MS Gothic" w:hAnsi="MS Gothic"/>
                    <w:sz w:val="24"/>
                  </w:rPr>
                  <w:t>☒</w:t>
                </w:r>
              </w:sdtContent>
            </w:sdt>
            <w:r w:rsidR="00E70CED" w:rsidRPr="00F31CC0">
              <w:t xml:space="preserve"> Ne</w:t>
            </w:r>
          </w:p>
          <w:p w14:paraId="0DF729B3" w14:textId="042856F7" w:rsidR="00E70CED" w:rsidRPr="00F31CC0" w:rsidRDefault="00E70CED" w:rsidP="001F115E">
            <w:pPr>
              <w:rPr>
                <w:rStyle w:val="Style2"/>
                <w:sz w:val="24"/>
              </w:rPr>
            </w:pPr>
            <w:r w:rsidRPr="00F31CC0">
              <w:t xml:space="preserve">Data: </w:t>
            </w:r>
            <w:sdt>
              <w:sdtPr>
                <w:alias w:val="Nurodykite konkrečią dieną"/>
                <w:tag w:val="Nurodykite pradžios datą"/>
                <w:id w:val="1516880001"/>
                <w:placeholder>
                  <w:docPart w:val="313EC56AA2FD440FAB92ED675BD36BA0"/>
                </w:placeholder>
                <w:showingPlcHdr/>
                <w15:color w:val="FFCC99"/>
                <w:date w:fullDate="2022-05-18T00:00:00Z">
                  <w:dateFormat w:val="yyyy 'm.' MMMM d 'd.'"/>
                  <w:lid w:val="lt-LT"/>
                  <w:storeMappedDataAs w:val="dateTime"/>
                  <w:calendar w:val="gregorian"/>
                </w:date>
              </w:sdtPr>
              <w:sdtContent>
                <w:r w:rsidRPr="00F31CC0">
                  <w:rPr>
                    <w:rStyle w:val="Vietosrezervavimoenklotekstas"/>
                  </w:rPr>
                  <w:t>Click here to enter a date.</w:t>
                </w:r>
              </w:sdtContent>
            </w:sdt>
            <w:r w:rsidRPr="00F31CC0">
              <w:t xml:space="preserve"> </w:t>
            </w:r>
          </w:p>
        </w:tc>
      </w:tr>
      <w:tr w:rsidR="00AC0C4B" w:rsidRPr="00F31CC0" w14:paraId="15E36E93" w14:textId="77777777" w:rsidTr="003F3FFF">
        <w:trPr>
          <w:trHeight w:val="1278"/>
        </w:trPr>
        <w:tc>
          <w:tcPr>
            <w:tcW w:w="632" w:type="dxa"/>
          </w:tcPr>
          <w:p w14:paraId="5F43AA8F" w14:textId="77777777" w:rsidR="00AC0C4B" w:rsidRPr="00F31CC0" w:rsidRDefault="00AC0C4B" w:rsidP="00AC0C4B">
            <w:pPr>
              <w:rPr>
                <w:rFonts w:eastAsia="Arial"/>
                <w:b/>
                <w:bCs/>
              </w:rPr>
            </w:pPr>
            <w:r w:rsidRPr="00F31CC0">
              <w:rPr>
                <w:rFonts w:eastAsia="Arial"/>
                <w:b/>
                <w:bCs/>
              </w:rPr>
              <w:t>1.6</w:t>
            </w:r>
          </w:p>
        </w:tc>
        <w:tc>
          <w:tcPr>
            <w:tcW w:w="3899" w:type="dxa"/>
          </w:tcPr>
          <w:p w14:paraId="41F32942" w14:textId="77777777" w:rsidR="00AC0C4B" w:rsidRPr="00F31CC0" w:rsidRDefault="00AC0C4B" w:rsidP="00AC0C4B">
            <w:pPr>
              <w:rPr>
                <w:b/>
                <w:bCs/>
                <w:lang w:eastAsia="lt-LT"/>
              </w:rPr>
            </w:pPr>
            <w:r w:rsidRPr="00F31CC0">
              <w:rPr>
                <w:b/>
                <w:bCs/>
                <w:lang w:eastAsia="lt-LT"/>
              </w:rPr>
              <w:t xml:space="preserve">Teikiama kompensuoti terapinė indikacija </w:t>
            </w:r>
          </w:p>
          <w:p w14:paraId="2882A5BD" w14:textId="77777777" w:rsidR="00AC0C4B" w:rsidRPr="00F31CC0" w:rsidRDefault="00AC0C4B" w:rsidP="00AC0C4B">
            <w:pPr>
              <w:rPr>
                <w:b/>
                <w:bCs/>
                <w:lang w:eastAsia="lt-LT"/>
              </w:rPr>
            </w:pPr>
          </w:p>
          <w:p w14:paraId="371D188E" w14:textId="77777777" w:rsidR="00AC0C4B" w:rsidRPr="00F31CC0" w:rsidRDefault="00AC0C4B" w:rsidP="00AC0C4B">
            <w:pPr>
              <w:rPr>
                <w:b/>
                <w:bCs/>
                <w:lang w:eastAsia="lt-LT"/>
              </w:rPr>
            </w:pPr>
            <w:r w:rsidRPr="00F31CC0">
              <w:rPr>
                <w:b/>
                <w:bCs/>
                <w:lang w:eastAsia="lt-LT"/>
              </w:rPr>
              <w:t>Kodas pagal TLK-10 AM</w:t>
            </w:r>
          </w:p>
        </w:tc>
        <w:tc>
          <w:tcPr>
            <w:tcW w:w="4962" w:type="dxa"/>
          </w:tcPr>
          <w:p w14:paraId="586B9DD5" w14:textId="77777777" w:rsidR="00AC0C4B" w:rsidRPr="00F31CC0" w:rsidRDefault="00AC0C4B" w:rsidP="00AC0C4B">
            <w:pPr>
              <w:jc w:val="both"/>
            </w:pPr>
            <w:proofErr w:type="spellStart"/>
            <w:r w:rsidRPr="00F31CC0">
              <w:t>Nilemdo</w:t>
            </w:r>
            <w:proofErr w:type="spellEnd"/>
            <w:r w:rsidRPr="00F31CC0">
              <w:t xml:space="preserve"> skirtas suaugusiųjų, sergančių pirmine</w:t>
            </w:r>
            <w:r w:rsidRPr="00F31CC0">
              <w:rPr>
                <w:b/>
                <w:bCs/>
              </w:rPr>
              <w:t xml:space="preserve"> (</w:t>
            </w:r>
            <w:proofErr w:type="spellStart"/>
            <w:r w:rsidRPr="00F31CC0">
              <w:t>heterozigotine</w:t>
            </w:r>
            <w:proofErr w:type="spellEnd"/>
            <w:r w:rsidRPr="00F31CC0">
              <w:t xml:space="preserve"> šeimine ir nešeimine)</w:t>
            </w:r>
          </w:p>
          <w:p w14:paraId="3392D377" w14:textId="77777777" w:rsidR="00AC0C4B" w:rsidRPr="00F31CC0" w:rsidRDefault="00AC0C4B" w:rsidP="00AC0C4B">
            <w:pPr>
              <w:jc w:val="both"/>
            </w:pPr>
            <w:proofErr w:type="spellStart"/>
            <w:r w:rsidRPr="00F31CC0">
              <w:t>hipercholesterolemija</w:t>
            </w:r>
            <w:proofErr w:type="spellEnd"/>
            <w:r w:rsidRPr="00F31CC0">
              <w:t xml:space="preserve"> arba mišria </w:t>
            </w:r>
            <w:proofErr w:type="spellStart"/>
            <w:r w:rsidRPr="00F31CC0">
              <w:t>dislipidemija</w:t>
            </w:r>
            <w:proofErr w:type="spellEnd"/>
            <w:r w:rsidRPr="00F31CC0">
              <w:t>, papildomam gydymui kartu su dieta:</w:t>
            </w:r>
          </w:p>
          <w:p w14:paraId="22C742F7" w14:textId="77777777" w:rsidR="00AC0C4B" w:rsidRPr="00F31CC0" w:rsidRDefault="00AC0C4B" w:rsidP="00AC0C4B">
            <w:pPr>
              <w:jc w:val="both"/>
            </w:pPr>
            <w:r w:rsidRPr="00F31CC0">
              <w:t xml:space="preserve">o derinyje su </w:t>
            </w:r>
            <w:proofErr w:type="spellStart"/>
            <w:r w:rsidRPr="00F31CC0">
              <w:t>statinų</w:t>
            </w:r>
            <w:proofErr w:type="spellEnd"/>
            <w:r w:rsidRPr="00F31CC0">
              <w:t xml:space="preserve"> grupės vaistiniu preparatu arba derinyje su </w:t>
            </w:r>
            <w:proofErr w:type="spellStart"/>
            <w:r w:rsidRPr="00F31CC0">
              <w:t>statinų</w:t>
            </w:r>
            <w:proofErr w:type="spellEnd"/>
            <w:r w:rsidRPr="00F31CC0">
              <w:t xml:space="preserve"> grupės</w:t>
            </w:r>
          </w:p>
          <w:p w14:paraId="5160C330" w14:textId="77777777" w:rsidR="00AC0C4B" w:rsidRPr="00F31CC0" w:rsidRDefault="00AC0C4B" w:rsidP="00AC0C4B">
            <w:pPr>
              <w:jc w:val="both"/>
            </w:pPr>
            <w:r w:rsidRPr="00F31CC0">
              <w:lastRenderedPageBreak/>
              <w:t>vaistiniu preparatu ir kitais lipidų kiekį mažinančiais vaistiniais preparatais –</w:t>
            </w:r>
          </w:p>
          <w:p w14:paraId="082CF0E4" w14:textId="77777777" w:rsidR="00AC0C4B" w:rsidRPr="00F31CC0" w:rsidRDefault="00AC0C4B" w:rsidP="00AC0C4B">
            <w:pPr>
              <w:jc w:val="both"/>
            </w:pPr>
            <w:r w:rsidRPr="00F31CC0">
              <w:t>pacientams, kuriems nepavyksta pakankamai sumažinti mažo tankio lipoproteinų</w:t>
            </w:r>
          </w:p>
          <w:p w14:paraId="3F22163F" w14:textId="77777777" w:rsidR="00AC0C4B" w:rsidRPr="00F31CC0" w:rsidRDefault="00AC0C4B" w:rsidP="00AC0C4B">
            <w:pPr>
              <w:jc w:val="both"/>
            </w:pPr>
            <w:r w:rsidRPr="00F31CC0">
              <w:t xml:space="preserve">cholesterolio (MTL-C) koncentracijos vartojant didžiausią toleruojamą </w:t>
            </w:r>
            <w:proofErr w:type="spellStart"/>
            <w:r w:rsidRPr="00F31CC0">
              <w:t>statinų</w:t>
            </w:r>
            <w:proofErr w:type="spellEnd"/>
            <w:r w:rsidRPr="00F31CC0">
              <w:t xml:space="preserve"> grupės vaistinio preparato dozę, arba</w:t>
            </w:r>
          </w:p>
          <w:p w14:paraId="19BC4A4D" w14:textId="77777777" w:rsidR="00AC0C4B" w:rsidRPr="00F31CC0" w:rsidRDefault="00AC0C4B" w:rsidP="00AC0C4B">
            <w:pPr>
              <w:jc w:val="both"/>
            </w:pPr>
            <w:r w:rsidRPr="00F31CC0">
              <w:t xml:space="preserve">o </w:t>
            </w:r>
            <w:proofErr w:type="spellStart"/>
            <w:r w:rsidRPr="00F31CC0">
              <w:t>monoterapija</w:t>
            </w:r>
            <w:proofErr w:type="spellEnd"/>
            <w:r w:rsidRPr="00F31CC0">
              <w:t xml:space="preserve"> arba derinyje su kitais lipidų koncentraciją mažinančiais vaistiniais</w:t>
            </w:r>
          </w:p>
          <w:p w14:paraId="677B3686" w14:textId="77777777" w:rsidR="00AC0C4B" w:rsidRPr="00F31CC0" w:rsidRDefault="00AC0C4B" w:rsidP="00AC0C4B">
            <w:pPr>
              <w:jc w:val="both"/>
            </w:pPr>
            <w:r w:rsidRPr="00F31CC0">
              <w:t xml:space="preserve">preparatais – pacientams, kurie netoleruoja arba kuriems draudžiama vartoti </w:t>
            </w:r>
            <w:proofErr w:type="spellStart"/>
            <w:r w:rsidRPr="00F31CC0">
              <w:t>statinų</w:t>
            </w:r>
            <w:proofErr w:type="spellEnd"/>
            <w:r w:rsidRPr="00F31CC0">
              <w:t>.</w:t>
            </w:r>
          </w:p>
          <w:p w14:paraId="7CE7A89D" w14:textId="77777777" w:rsidR="00AC0C4B" w:rsidRPr="00F31CC0" w:rsidRDefault="00AC0C4B" w:rsidP="00AC0C4B">
            <w:pPr>
              <w:jc w:val="both"/>
            </w:pPr>
          </w:p>
          <w:p w14:paraId="5E3C8B7D" w14:textId="77777777" w:rsidR="00AC0C4B" w:rsidRPr="00F31CC0" w:rsidRDefault="00AC0C4B" w:rsidP="00AC0C4B">
            <w:pPr>
              <w:jc w:val="both"/>
            </w:pPr>
            <w:r w:rsidRPr="00F31CC0">
              <w:t xml:space="preserve">• </w:t>
            </w:r>
            <w:proofErr w:type="spellStart"/>
            <w:r w:rsidRPr="00F31CC0">
              <w:t>Nilemdo</w:t>
            </w:r>
            <w:proofErr w:type="spellEnd"/>
            <w:r w:rsidRPr="00F31CC0">
              <w:t xml:space="preserve"> skirtas suaugusiesiems, kuriems nustatyta aterosklerozinės širdies ir</w:t>
            </w:r>
          </w:p>
          <w:p w14:paraId="53C02F5F" w14:textId="77777777" w:rsidR="00AC0C4B" w:rsidRPr="00F31CC0" w:rsidRDefault="00AC0C4B" w:rsidP="00AC0C4B">
            <w:pPr>
              <w:jc w:val="both"/>
            </w:pPr>
            <w:r w:rsidRPr="00F31CC0">
              <w:t>kraujagyslių sistemos liga arba yra didelė jos rizika, siekiant sumažinti širdies ir</w:t>
            </w:r>
          </w:p>
          <w:p w14:paraId="0EE63E1C" w14:textId="77777777" w:rsidR="00AC0C4B" w:rsidRPr="00F31CC0" w:rsidRDefault="00AC0C4B" w:rsidP="00AC0C4B">
            <w:pPr>
              <w:jc w:val="both"/>
            </w:pPr>
            <w:r w:rsidRPr="00F31CC0">
              <w:t>kraujagyslių sistemos ligų riziką mažinant MTL-C koncentraciją, tuo pat metu koreguojant</w:t>
            </w:r>
          </w:p>
          <w:p w14:paraId="31E96F8C" w14:textId="77777777" w:rsidR="00AC0C4B" w:rsidRPr="00F31CC0" w:rsidRDefault="00AC0C4B" w:rsidP="00AC0C4B">
            <w:pPr>
              <w:jc w:val="both"/>
            </w:pPr>
            <w:r w:rsidRPr="00F31CC0">
              <w:t>kitus rizikos veiksnius:</w:t>
            </w:r>
          </w:p>
          <w:p w14:paraId="63690A40" w14:textId="77777777" w:rsidR="00AC0C4B" w:rsidRPr="00F31CC0" w:rsidRDefault="00AC0C4B" w:rsidP="00AC0C4B">
            <w:pPr>
              <w:jc w:val="both"/>
            </w:pPr>
            <w:r w:rsidRPr="00F31CC0">
              <w:t xml:space="preserve">pacientams, kurie vartoja didžiausią toleruojamą </w:t>
            </w:r>
            <w:proofErr w:type="spellStart"/>
            <w:r w:rsidRPr="00F31CC0">
              <w:t>statinų</w:t>
            </w:r>
            <w:proofErr w:type="spellEnd"/>
            <w:r w:rsidRPr="00F31CC0">
              <w:t xml:space="preserve"> grupės vaistinio preparato</w:t>
            </w:r>
          </w:p>
          <w:p w14:paraId="4FBB2286" w14:textId="77777777" w:rsidR="00AC0C4B" w:rsidRPr="00F31CC0" w:rsidRDefault="00AC0C4B" w:rsidP="00AC0C4B">
            <w:pPr>
              <w:jc w:val="both"/>
            </w:pPr>
            <w:r w:rsidRPr="00F31CC0">
              <w:t xml:space="preserve">dozę kartu su </w:t>
            </w:r>
            <w:proofErr w:type="spellStart"/>
            <w:r w:rsidRPr="00F31CC0">
              <w:t>ezetimibu</w:t>
            </w:r>
            <w:proofErr w:type="spellEnd"/>
            <w:r w:rsidRPr="00F31CC0">
              <w:t xml:space="preserve"> arba be jo arba</w:t>
            </w:r>
          </w:p>
          <w:p w14:paraId="59285063" w14:textId="77777777" w:rsidR="00AC0C4B" w:rsidRPr="00F31CC0" w:rsidRDefault="00AC0C4B" w:rsidP="00AC0C4B">
            <w:pPr>
              <w:jc w:val="both"/>
            </w:pPr>
            <w:proofErr w:type="spellStart"/>
            <w:r w:rsidRPr="00F31CC0">
              <w:t>monoterapija</w:t>
            </w:r>
            <w:proofErr w:type="spellEnd"/>
            <w:r w:rsidRPr="00F31CC0">
              <w:t xml:space="preserve"> arba derinyje su </w:t>
            </w:r>
            <w:proofErr w:type="spellStart"/>
            <w:r w:rsidRPr="00F31CC0">
              <w:t>ezetimibu</w:t>
            </w:r>
            <w:proofErr w:type="spellEnd"/>
            <w:r w:rsidRPr="00F31CC0">
              <w:t xml:space="preserve"> – pacientams, kurie netoleruoja arba</w:t>
            </w:r>
          </w:p>
          <w:p w14:paraId="7AA0BA68" w14:textId="77777777" w:rsidR="00AC0C4B" w:rsidRPr="00F31CC0" w:rsidRDefault="00AC0C4B" w:rsidP="00AC0C4B">
            <w:pPr>
              <w:jc w:val="both"/>
            </w:pPr>
            <w:r w:rsidRPr="00F31CC0">
              <w:t xml:space="preserve">kuriems draudžiama vartoti </w:t>
            </w:r>
            <w:proofErr w:type="spellStart"/>
            <w:r w:rsidRPr="00F31CC0">
              <w:t>statinų</w:t>
            </w:r>
            <w:proofErr w:type="spellEnd"/>
            <w:r w:rsidRPr="00F31CC0">
              <w:t>.</w:t>
            </w:r>
          </w:p>
          <w:p w14:paraId="031C1CD3" w14:textId="77777777" w:rsidR="00AC0C4B" w:rsidRPr="00F31CC0" w:rsidRDefault="00AC0C4B" w:rsidP="00AC0C4B">
            <w:pPr>
              <w:jc w:val="both"/>
            </w:pPr>
          </w:p>
          <w:p w14:paraId="688A73A3" w14:textId="77777777" w:rsidR="00AC0C4B" w:rsidRPr="00F31CC0" w:rsidRDefault="00AC0C4B" w:rsidP="00AC0C4B">
            <w:pPr>
              <w:jc w:val="both"/>
            </w:pPr>
            <w:r w:rsidRPr="00F31CC0">
              <w:t>TLK-10-AM kodai:</w:t>
            </w:r>
          </w:p>
          <w:p w14:paraId="22831BC5" w14:textId="77777777" w:rsidR="00AC0C4B" w:rsidRPr="00F31CC0" w:rsidRDefault="00AC0C4B" w:rsidP="00AC0C4B">
            <w:pPr>
              <w:jc w:val="both"/>
            </w:pPr>
            <w:r w:rsidRPr="00F31CC0">
              <w:t>• E78 – Lipoproteinų apykaitos sutrikimai ir kitos</w:t>
            </w:r>
          </w:p>
          <w:p w14:paraId="1ACD2019" w14:textId="77777777" w:rsidR="00AC0C4B" w:rsidRPr="00F31CC0" w:rsidRDefault="00AC0C4B" w:rsidP="00AC0C4B">
            <w:pPr>
              <w:jc w:val="both"/>
            </w:pPr>
            <w:proofErr w:type="spellStart"/>
            <w:r w:rsidRPr="00F31CC0">
              <w:t>lipidemijos</w:t>
            </w:r>
            <w:proofErr w:type="spellEnd"/>
            <w:r w:rsidRPr="00F31CC0">
              <w:t>,</w:t>
            </w:r>
          </w:p>
          <w:p w14:paraId="4A551627" w14:textId="77777777" w:rsidR="00AC0C4B" w:rsidRPr="00F31CC0" w:rsidRDefault="00AC0C4B" w:rsidP="00AC0C4B">
            <w:pPr>
              <w:jc w:val="both"/>
            </w:pPr>
            <w:r w:rsidRPr="00F31CC0">
              <w:t>• I21 – Ūminis miokardo infarktas,</w:t>
            </w:r>
          </w:p>
          <w:p w14:paraId="3D3FC36A" w14:textId="77777777" w:rsidR="00AC0C4B" w:rsidRPr="00F31CC0" w:rsidRDefault="00AC0C4B" w:rsidP="00AC0C4B">
            <w:pPr>
              <w:jc w:val="both"/>
            </w:pPr>
            <w:r w:rsidRPr="00F31CC0">
              <w:t>• I22 – Pakartotinis miokardo infarktas,</w:t>
            </w:r>
          </w:p>
          <w:p w14:paraId="52388CE7" w14:textId="77777777" w:rsidR="00AC0C4B" w:rsidRPr="00F31CC0" w:rsidRDefault="00AC0C4B" w:rsidP="00AC0C4B">
            <w:pPr>
              <w:jc w:val="both"/>
            </w:pPr>
            <w:r w:rsidRPr="00F31CC0">
              <w:t>• I25 – Lėtinė išeminė širdies liga,</w:t>
            </w:r>
          </w:p>
          <w:p w14:paraId="5E825A20" w14:textId="77777777" w:rsidR="00AC0C4B" w:rsidRPr="00F31CC0" w:rsidRDefault="00AC0C4B" w:rsidP="00AC0C4B">
            <w:pPr>
              <w:jc w:val="both"/>
            </w:pPr>
            <w:r w:rsidRPr="00F31CC0">
              <w:t>• I63 – Smegenų infarktas,</w:t>
            </w:r>
          </w:p>
          <w:p w14:paraId="49C86028" w14:textId="77777777" w:rsidR="00AC0C4B" w:rsidRPr="00F31CC0" w:rsidRDefault="00AC0C4B" w:rsidP="00AC0C4B">
            <w:pPr>
              <w:jc w:val="both"/>
            </w:pPr>
            <w:r w:rsidRPr="00F31CC0">
              <w:t>• I70.2 – Galūnių arterijų aterosklerozė,</w:t>
            </w:r>
          </w:p>
          <w:p w14:paraId="271DB2E7" w14:textId="77777777" w:rsidR="00AC0C4B" w:rsidRPr="00F31CC0" w:rsidRDefault="00AC0C4B" w:rsidP="00AC0C4B">
            <w:pPr>
              <w:jc w:val="both"/>
            </w:pPr>
            <w:r w:rsidRPr="00F31CC0">
              <w:t xml:space="preserve">• I65-I66 – </w:t>
            </w:r>
            <w:proofErr w:type="spellStart"/>
            <w:r w:rsidRPr="00F31CC0">
              <w:t>Precerebrinių</w:t>
            </w:r>
            <w:proofErr w:type="spellEnd"/>
            <w:r w:rsidRPr="00F31CC0">
              <w:t xml:space="preserve"> arterijų užsikimšimas ir</w:t>
            </w:r>
          </w:p>
          <w:p w14:paraId="39650FA0" w14:textId="77777777" w:rsidR="00AC0C4B" w:rsidRPr="00F31CC0" w:rsidRDefault="00AC0C4B" w:rsidP="00AC0C4B">
            <w:pPr>
              <w:jc w:val="both"/>
            </w:pPr>
            <w:r w:rsidRPr="00F31CC0">
              <w:t>susiaurėjimas, nesukėlęs smegenų infarkto. Smegenų arterijų užsikimšimas ir susiaurėjimas, nesukėlę smegenų infarkto.</w:t>
            </w:r>
          </w:p>
          <w:p w14:paraId="10833DB8" w14:textId="68D18697" w:rsidR="00AC0C4B" w:rsidRPr="00F31CC0" w:rsidRDefault="00AC0C4B" w:rsidP="00AC0C4B">
            <w:pPr>
              <w:jc w:val="both"/>
            </w:pPr>
            <w:r w:rsidRPr="00F31CC0">
              <w:t xml:space="preserve">• Z95.1 – </w:t>
            </w:r>
            <w:proofErr w:type="spellStart"/>
            <w:r w:rsidRPr="00F31CC0">
              <w:t>Aortokoronarinė</w:t>
            </w:r>
            <w:proofErr w:type="spellEnd"/>
            <w:r w:rsidRPr="00F31CC0">
              <w:t xml:space="preserve"> jungtis.</w:t>
            </w:r>
          </w:p>
        </w:tc>
      </w:tr>
      <w:tr w:rsidR="00EA052A" w:rsidRPr="00F31CC0" w14:paraId="01C3C4F5" w14:textId="77777777" w:rsidTr="003F3FFF">
        <w:trPr>
          <w:trHeight w:val="378"/>
        </w:trPr>
        <w:tc>
          <w:tcPr>
            <w:tcW w:w="632" w:type="dxa"/>
          </w:tcPr>
          <w:p w14:paraId="5115AFC1" w14:textId="77777777" w:rsidR="00EA052A" w:rsidRPr="00F31CC0" w:rsidRDefault="00EA052A" w:rsidP="00EA052A">
            <w:pPr>
              <w:rPr>
                <w:rFonts w:eastAsia="Arial"/>
                <w:b/>
                <w:bCs/>
              </w:rPr>
            </w:pPr>
            <w:r w:rsidRPr="00F31CC0">
              <w:rPr>
                <w:rFonts w:eastAsia="Arial"/>
                <w:b/>
                <w:bCs/>
              </w:rPr>
              <w:lastRenderedPageBreak/>
              <w:t>1.7</w:t>
            </w:r>
          </w:p>
        </w:tc>
        <w:tc>
          <w:tcPr>
            <w:tcW w:w="3899" w:type="dxa"/>
          </w:tcPr>
          <w:p w14:paraId="48045B5A" w14:textId="77777777" w:rsidR="00EA052A" w:rsidRPr="00F31CC0" w:rsidRDefault="00EA052A" w:rsidP="00EA052A">
            <w:pPr>
              <w:rPr>
                <w:b/>
                <w:bCs/>
                <w:u w:val="single"/>
                <w:lang w:eastAsia="lt-LT"/>
              </w:rPr>
            </w:pPr>
            <w:r w:rsidRPr="00F31CC0">
              <w:rPr>
                <w:b/>
                <w:bCs/>
                <w:lang w:eastAsia="lt-LT"/>
              </w:rPr>
              <w:t xml:space="preserve">Teikiamos skyrimo sąlygos </w:t>
            </w:r>
          </w:p>
        </w:tc>
        <w:tc>
          <w:tcPr>
            <w:tcW w:w="4962" w:type="dxa"/>
          </w:tcPr>
          <w:p w14:paraId="6A31562C" w14:textId="140209EA" w:rsidR="00EA052A" w:rsidRPr="00F31CC0" w:rsidRDefault="00EA052A" w:rsidP="00EA052A">
            <w:r w:rsidRPr="00F31CC0">
              <w:t>Jei mažo tankio lipoproteinų cholesterolio (MTL-</w:t>
            </w:r>
            <w:proofErr w:type="spellStart"/>
            <w:r w:rsidRPr="00F31CC0">
              <w:t>Ch</w:t>
            </w:r>
            <w:proofErr w:type="spellEnd"/>
            <w:r w:rsidRPr="00F31CC0">
              <w:t xml:space="preserve">) tikslinės koncentracijos nepavyksta pasiekti vartojant didžiausią toleruojamą </w:t>
            </w:r>
            <w:proofErr w:type="spellStart"/>
            <w:r w:rsidRPr="00F31CC0">
              <w:t>statino</w:t>
            </w:r>
            <w:proofErr w:type="spellEnd"/>
            <w:r w:rsidRPr="00F31CC0">
              <w:t xml:space="preserve"> dozę kartu su </w:t>
            </w:r>
            <w:proofErr w:type="spellStart"/>
            <w:r w:rsidRPr="00F31CC0">
              <w:t>ezetimibu</w:t>
            </w:r>
            <w:proofErr w:type="spellEnd"/>
            <w:r w:rsidRPr="00F31CC0">
              <w:t xml:space="preserve">, arba jei </w:t>
            </w:r>
            <w:proofErr w:type="spellStart"/>
            <w:r w:rsidRPr="00F31CC0">
              <w:t>statinų</w:t>
            </w:r>
            <w:proofErr w:type="spellEnd"/>
            <w:r w:rsidRPr="00F31CC0">
              <w:t xml:space="preserve"> grupės vaistiniai netoleruojami arba juos vartoti draudžiama</w:t>
            </w:r>
          </w:p>
        </w:tc>
      </w:tr>
      <w:tr w:rsidR="00E70CED" w:rsidRPr="00F31CC0" w14:paraId="3C32C984" w14:textId="77777777" w:rsidTr="003F3FFF">
        <w:trPr>
          <w:trHeight w:val="378"/>
        </w:trPr>
        <w:tc>
          <w:tcPr>
            <w:tcW w:w="632" w:type="dxa"/>
          </w:tcPr>
          <w:p w14:paraId="4E679EDB" w14:textId="77777777" w:rsidR="00E70CED" w:rsidRPr="00F31CC0" w:rsidRDefault="00E70CED" w:rsidP="001F115E">
            <w:pPr>
              <w:rPr>
                <w:rFonts w:eastAsia="Arial"/>
                <w:b/>
                <w:bCs/>
              </w:rPr>
            </w:pPr>
            <w:r w:rsidRPr="00F31CC0">
              <w:rPr>
                <w:rFonts w:eastAsia="Arial"/>
                <w:b/>
                <w:bCs/>
              </w:rPr>
              <w:t>1.8</w:t>
            </w:r>
          </w:p>
        </w:tc>
        <w:tc>
          <w:tcPr>
            <w:tcW w:w="3899" w:type="dxa"/>
          </w:tcPr>
          <w:p w14:paraId="784605B5" w14:textId="3A924C79" w:rsidR="00E70CED" w:rsidRPr="00F31CC0" w:rsidRDefault="00E70CED" w:rsidP="001F115E">
            <w:pPr>
              <w:rPr>
                <w:b/>
                <w:bCs/>
                <w:lang w:eastAsia="lt-LT"/>
              </w:rPr>
            </w:pPr>
            <w:r w:rsidRPr="00F31CC0">
              <w:rPr>
                <w:b/>
                <w:bCs/>
                <w:lang w:eastAsia="lt-LT"/>
              </w:rPr>
              <w:t>Ekonominė analizė</w:t>
            </w:r>
          </w:p>
        </w:tc>
        <w:tc>
          <w:tcPr>
            <w:tcW w:w="4962" w:type="dxa"/>
          </w:tcPr>
          <w:p w14:paraId="3155F2E8" w14:textId="33BD3A30" w:rsidR="00E70CED" w:rsidRPr="00F31CC0" w:rsidRDefault="00000000" w:rsidP="001F115E">
            <w:sdt>
              <w:sdtPr>
                <w:rPr>
                  <w:rStyle w:val="Style2"/>
                  <w:sz w:val="24"/>
                </w:rPr>
                <w:id w:val="356323367"/>
                <w15:color w:val="FFCC00"/>
                <w14:checkbox>
                  <w14:checked w14:val="1"/>
                  <w14:checkedState w14:val="2612" w14:font="MS Gothic"/>
                  <w14:uncheckedState w14:val="2610" w14:font="MS Gothic"/>
                </w14:checkbox>
              </w:sdtPr>
              <w:sdtContent>
                <w:r w:rsidR="00EA052A" w:rsidRPr="00F31CC0">
                  <w:rPr>
                    <w:rStyle w:val="Style2"/>
                    <w:rFonts w:ascii="MS Gothic" w:eastAsia="MS Gothic" w:hAnsi="MS Gothic"/>
                    <w:sz w:val="24"/>
                  </w:rPr>
                  <w:t>☒</w:t>
                </w:r>
              </w:sdtContent>
            </w:sdt>
            <w:r w:rsidR="00E70CED" w:rsidRPr="00F31CC0">
              <w:t xml:space="preserve"> Kaštų naudingumo analizė</w:t>
            </w:r>
          </w:p>
          <w:p w14:paraId="49547563" w14:textId="77777777" w:rsidR="00E70CED" w:rsidRPr="00F31CC0" w:rsidRDefault="00000000" w:rsidP="001F115E">
            <w:sdt>
              <w:sdtPr>
                <w:rPr>
                  <w:rStyle w:val="Style2"/>
                  <w:sz w:val="24"/>
                </w:rPr>
                <w:id w:val="-250506580"/>
                <w15:color w:val="FFCC00"/>
                <w14:checkbox>
                  <w14:checked w14:val="0"/>
                  <w14:checkedState w14:val="2612" w14:font="MS Gothic"/>
                  <w14:uncheckedState w14:val="2610" w14:font="MS Gothic"/>
                </w14:checkbox>
              </w:sdtPr>
              <w:sdtContent>
                <w:r w:rsidR="00E70CED" w:rsidRPr="00F31CC0">
                  <w:rPr>
                    <w:rStyle w:val="Style2"/>
                    <w:rFonts w:ascii="Segoe UI Symbol" w:eastAsia="MS Gothic" w:hAnsi="Segoe UI Symbol" w:cs="Segoe UI Symbol"/>
                    <w:sz w:val="24"/>
                  </w:rPr>
                  <w:t>☐</w:t>
                </w:r>
              </w:sdtContent>
            </w:sdt>
            <w:r w:rsidR="00E70CED" w:rsidRPr="00F31CC0">
              <w:t xml:space="preserve"> Kaštų mažinimo analizė</w:t>
            </w:r>
          </w:p>
          <w:p w14:paraId="42039008" w14:textId="5726D9D8" w:rsidR="00FE5878" w:rsidRPr="00F31CC0" w:rsidRDefault="00000000" w:rsidP="00FE5878">
            <w:sdt>
              <w:sdtPr>
                <w:rPr>
                  <w:rStyle w:val="Style2"/>
                  <w:sz w:val="24"/>
                </w:rPr>
                <w:id w:val="-1570647133"/>
                <w15:color w:val="FFCC00"/>
                <w14:checkbox>
                  <w14:checked w14:val="0"/>
                  <w14:checkedState w14:val="2612" w14:font="MS Gothic"/>
                  <w14:uncheckedState w14:val="2610" w14:font="MS Gothic"/>
                </w14:checkbox>
              </w:sdtPr>
              <w:sdtContent>
                <w:r w:rsidR="00FE5878" w:rsidRPr="00F31CC0">
                  <w:rPr>
                    <w:rStyle w:val="Style2"/>
                    <w:rFonts w:ascii="Segoe UI Symbol" w:eastAsia="MS Gothic" w:hAnsi="Segoe UI Symbol" w:cs="Segoe UI Symbol"/>
                    <w:sz w:val="24"/>
                  </w:rPr>
                  <w:t>☐</w:t>
                </w:r>
              </w:sdtContent>
            </w:sdt>
            <w:r w:rsidR="00FE5878" w:rsidRPr="00F31CC0">
              <w:t xml:space="preserve"> Neteikiama</w:t>
            </w:r>
          </w:p>
          <w:p w14:paraId="5DC5A0C1" w14:textId="77777777" w:rsidR="00FE5878" w:rsidRPr="00F31CC0" w:rsidRDefault="00FE5878" w:rsidP="001F115E"/>
          <w:p w14:paraId="4B0FE78C" w14:textId="77777777" w:rsidR="00E70CED" w:rsidRPr="00F31CC0" w:rsidRDefault="00E70CED" w:rsidP="001F115E"/>
        </w:tc>
      </w:tr>
    </w:tbl>
    <w:p w14:paraId="2EB7FD31" w14:textId="5615B363" w:rsidR="007A2B68" w:rsidRPr="00F31CC0" w:rsidRDefault="00DC261A" w:rsidP="00063A50">
      <w:pPr>
        <w:pStyle w:val="Sraopastraipa"/>
        <w:tabs>
          <w:tab w:val="left" w:pos="426"/>
        </w:tabs>
        <w:ind w:left="0"/>
        <w:jc w:val="center"/>
        <w:rPr>
          <w:b/>
          <w:bCs/>
          <w:caps/>
        </w:rPr>
      </w:pPr>
      <w:r w:rsidRPr="00F31CC0">
        <w:rPr>
          <w:b/>
          <w:bCs/>
          <w:caps/>
        </w:rPr>
        <w:t>___________________</w:t>
      </w:r>
    </w:p>
    <w:p w14:paraId="73290081" w14:textId="77777777" w:rsidR="007A2B68" w:rsidRPr="00F31CC0" w:rsidRDefault="007A2B68">
      <w:pPr>
        <w:rPr>
          <w:b/>
          <w:bCs/>
          <w:caps/>
        </w:rPr>
      </w:pPr>
      <w:r w:rsidRPr="00F31CC0">
        <w:rPr>
          <w:b/>
          <w:bCs/>
          <w:caps/>
        </w:rPr>
        <w:br w:type="page"/>
      </w:r>
    </w:p>
    <w:p w14:paraId="5055E8A8" w14:textId="7D6E18DA" w:rsidR="002E6F80" w:rsidRPr="00F31CC0" w:rsidRDefault="00CC7832" w:rsidP="00F31CC0">
      <w:pPr>
        <w:pStyle w:val="Sraopastraipa"/>
        <w:numPr>
          <w:ilvl w:val="0"/>
          <w:numId w:val="12"/>
        </w:numPr>
        <w:tabs>
          <w:tab w:val="left" w:pos="567"/>
        </w:tabs>
        <w:spacing w:line="276" w:lineRule="auto"/>
        <w:ind w:hanging="720"/>
        <w:rPr>
          <w:b/>
          <w:bCs/>
          <w:caps/>
        </w:rPr>
      </w:pPr>
      <w:r w:rsidRPr="00F31CC0">
        <w:rPr>
          <w:b/>
          <w:bCs/>
          <w:caps/>
        </w:rPr>
        <w:lastRenderedPageBreak/>
        <w:t>Klinikinio vertinimo a</w:t>
      </w:r>
      <w:r w:rsidR="00D4485B" w:rsidRPr="00F31CC0">
        <w:rPr>
          <w:b/>
          <w:bCs/>
          <w:caps/>
        </w:rPr>
        <w:t>pibendrinimas</w:t>
      </w:r>
    </w:p>
    <w:p w14:paraId="39C1ADA8" w14:textId="77777777" w:rsidR="00AC5129" w:rsidRPr="00F31CC0" w:rsidRDefault="00AC5129" w:rsidP="00F31CC0">
      <w:pPr>
        <w:pStyle w:val="Sraopastraipa"/>
        <w:tabs>
          <w:tab w:val="left" w:pos="426"/>
        </w:tabs>
        <w:spacing w:line="276" w:lineRule="auto"/>
        <w:ind w:left="0"/>
        <w:rPr>
          <w:b/>
          <w:bCs/>
          <w:caps/>
        </w:rPr>
      </w:pPr>
    </w:p>
    <w:p w14:paraId="253D112D" w14:textId="7CC0FC52" w:rsidR="00320278" w:rsidRPr="00F31CC0" w:rsidRDefault="00320278" w:rsidP="00F31CC0">
      <w:pPr>
        <w:tabs>
          <w:tab w:val="left" w:pos="567"/>
        </w:tabs>
        <w:spacing w:line="276" w:lineRule="auto"/>
        <w:jc w:val="both"/>
        <w:rPr>
          <w:sz w:val="23"/>
          <w:szCs w:val="23"/>
        </w:rPr>
      </w:pPr>
      <w:r w:rsidRPr="00F31CC0">
        <w:rPr>
          <w:rFonts w:eastAsia="Arial"/>
          <w:iCs/>
        </w:rPr>
        <w:tab/>
      </w:r>
      <w:r w:rsidRPr="00F31CC0">
        <w:rPr>
          <w:rFonts w:eastAsia="Arial"/>
          <w:iCs/>
        </w:rPr>
        <w:tab/>
        <w:t>Širdies ir kraujagyslių ligos (toliau – ŠKL) yra</w:t>
      </w:r>
      <w:r w:rsidRPr="00F31CC0">
        <w:rPr>
          <w:sz w:val="23"/>
          <w:szCs w:val="23"/>
        </w:rPr>
        <w:t xml:space="preserve"> pagrindinė mirties priežastis visame pasaulyje, nuo kurių miršta maždaug 17,9 mln. žmonių per metus (32% visų mirčių). Keturios iš penkių mirčių nuo ŠKL įvyksta dėl aterosklerozinės ŠKL. Po pirmojo ŠKL įvykio mirtingumas siekia 5,5% per metus. Pacientams, kuriems nustatyta ŠKL, vėlesnių įvykių rizika padidėja 7 kartus, lyginant su pacientais, kuriems nebuvo ŠKL įvykio. Pagal Pasaulio sveikatos organizacijos statistinę klasifikaciją, Lietuva priskiriama labai didelės ŠKL rizikos regionui. </w:t>
      </w:r>
      <w:proofErr w:type="spellStart"/>
      <w:r w:rsidRPr="00F31CC0">
        <w:rPr>
          <w:sz w:val="23"/>
          <w:szCs w:val="23"/>
        </w:rPr>
        <w:t>Dislipidemija</w:t>
      </w:r>
      <w:proofErr w:type="spellEnd"/>
      <w:r w:rsidRPr="00F31CC0">
        <w:rPr>
          <w:sz w:val="23"/>
          <w:szCs w:val="23"/>
        </w:rPr>
        <w:t xml:space="preserve"> yra vienas iš ŠKL rizikos veiksnių ir jos gydymo strategija ir tikslai aptariami </w:t>
      </w:r>
      <w:proofErr w:type="spellStart"/>
      <w:r w:rsidRPr="00F31CC0">
        <w:rPr>
          <w:sz w:val="23"/>
          <w:szCs w:val="23"/>
        </w:rPr>
        <w:t>Eurpos</w:t>
      </w:r>
      <w:proofErr w:type="spellEnd"/>
      <w:r w:rsidRPr="00F31CC0">
        <w:rPr>
          <w:sz w:val="23"/>
          <w:szCs w:val="23"/>
        </w:rPr>
        <w:t xml:space="preserve"> kardiologų draugijos gairėse.</w:t>
      </w:r>
    </w:p>
    <w:p w14:paraId="32C8B5C1" w14:textId="77777777" w:rsidR="00320278" w:rsidRPr="00F31CC0" w:rsidRDefault="00320278" w:rsidP="00F31CC0">
      <w:pPr>
        <w:tabs>
          <w:tab w:val="left" w:pos="567"/>
        </w:tabs>
        <w:spacing w:line="276" w:lineRule="auto"/>
        <w:jc w:val="both"/>
        <w:rPr>
          <w:sz w:val="23"/>
          <w:szCs w:val="23"/>
        </w:rPr>
      </w:pPr>
      <w:r w:rsidRPr="00F31CC0">
        <w:rPr>
          <w:sz w:val="23"/>
          <w:szCs w:val="23"/>
        </w:rPr>
        <w:tab/>
      </w:r>
      <w:r w:rsidRPr="00F31CC0">
        <w:rPr>
          <w:sz w:val="23"/>
          <w:szCs w:val="23"/>
        </w:rPr>
        <w:tab/>
      </w:r>
      <w:proofErr w:type="spellStart"/>
      <w:r w:rsidRPr="00F31CC0">
        <w:rPr>
          <w:sz w:val="23"/>
          <w:szCs w:val="23"/>
        </w:rPr>
        <w:t>Dislipidemijos</w:t>
      </w:r>
      <w:proofErr w:type="spellEnd"/>
      <w:r w:rsidRPr="00F31CC0">
        <w:rPr>
          <w:sz w:val="23"/>
          <w:szCs w:val="23"/>
        </w:rPr>
        <w:t xml:space="preserve"> gydymą rekomenduojama pradėti nuo </w:t>
      </w:r>
      <w:r w:rsidRPr="00F31CC0">
        <w:rPr>
          <w:bCs/>
          <w:sz w:val="23"/>
          <w:szCs w:val="23"/>
        </w:rPr>
        <w:t xml:space="preserve">didelio intensyvumo </w:t>
      </w:r>
      <w:proofErr w:type="spellStart"/>
      <w:r w:rsidRPr="00F31CC0">
        <w:rPr>
          <w:bCs/>
          <w:sz w:val="23"/>
          <w:szCs w:val="23"/>
        </w:rPr>
        <w:t>statino</w:t>
      </w:r>
      <w:proofErr w:type="spellEnd"/>
      <w:r w:rsidRPr="00F31CC0">
        <w:rPr>
          <w:bCs/>
          <w:sz w:val="23"/>
          <w:szCs w:val="23"/>
        </w:rPr>
        <w:t xml:space="preserve"> dozės (atitinka 40-80 mg </w:t>
      </w:r>
      <w:proofErr w:type="spellStart"/>
      <w:r w:rsidRPr="00F31CC0">
        <w:rPr>
          <w:bCs/>
          <w:sz w:val="23"/>
          <w:szCs w:val="23"/>
        </w:rPr>
        <w:t>atorvastatino</w:t>
      </w:r>
      <w:proofErr w:type="spellEnd"/>
      <w:r w:rsidRPr="00F31CC0">
        <w:rPr>
          <w:bCs/>
          <w:sz w:val="23"/>
          <w:szCs w:val="23"/>
        </w:rPr>
        <w:t xml:space="preserve"> ar lygiavertės kito </w:t>
      </w:r>
      <w:proofErr w:type="spellStart"/>
      <w:r w:rsidRPr="00F31CC0">
        <w:rPr>
          <w:bCs/>
          <w:sz w:val="23"/>
          <w:szCs w:val="23"/>
        </w:rPr>
        <w:t>statino</w:t>
      </w:r>
      <w:proofErr w:type="spellEnd"/>
      <w:r w:rsidRPr="00F31CC0">
        <w:rPr>
          <w:bCs/>
          <w:sz w:val="23"/>
          <w:szCs w:val="23"/>
        </w:rPr>
        <w:t xml:space="preserve"> dozės)</w:t>
      </w:r>
      <w:r w:rsidRPr="00F31CC0">
        <w:rPr>
          <w:sz w:val="23"/>
          <w:szCs w:val="23"/>
        </w:rPr>
        <w:t xml:space="preserve">, dozę po 4-6 savaičių koreguojant pagal MTL-C reikšmes (IA klasės rekomendacija). Pacientui skiriant maksimalias toleruojamas </w:t>
      </w:r>
      <w:proofErr w:type="spellStart"/>
      <w:r w:rsidRPr="00F31CC0">
        <w:rPr>
          <w:sz w:val="23"/>
          <w:szCs w:val="23"/>
        </w:rPr>
        <w:t>statino</w:t>
      </w:r>
      <w:proofErr w:type="spellEnd"/>
      <w:r w:rsidRPr="00F31CC0">
        <w:rPr>
          <w:sz w:val="23"/>
          <w:szCs w:val="23"/>
        </w:rPr>
        <w:t xml:space="preserve"> dozes nepasiekus numatytų tikslinių MTL-C reikšmių arba netoleruojant </w:t>
      </w:r>
      <w:proofErr w:type="spellStart"/>
      <w:r w:rsidRPr="00F31CC0">
        <w:rPr>
          <w:sz w:val="23"/>
          <w:szCs w:val="23"/>
        </w:rPr>
        <w:t>statinų</w:t>
      </w:r>
      <w:proofErr w:type="spellEnd"/>
      <w:r w:rsidRPr="00F31CC0">
        <w:rPr>
          <w:sz w:val="23"/>
          <w:szCs w:val="23"/>
        </w:rPr>
        <w:t xml:space="preserve">, rekomenduojama papildomai (IB klasės rekomendacija) arba vietoj </w:t>
      </w:r>
      <w:proofErr w:type="spellStart"/>
      <w:r w:rsidRPr="00F31CC0">
        <w:rPr>
          <w:sz w:val="23"/>
          <w:szCs w:val="23"/>
        </w:rPr>
        <w:t>statino</w:t>
      </w:r>
      <w:proofErr w:type="spellEnd"/>
      <w:r w:rsidRPr="00F31CC0">
        <w:rPr>
          <w:sz w:val="23"/>
          <w:szCs w:val="23"/>
        </w:rPr>
        <w:t xml:space="preserve"> (</w:t>
      </w:r>
      <w:proofErr w:type="spellStart"/>
      <w:r w:rsidRPr="00F31CC0">
        <w:rPr>
          <w:sz w:val="23"/>
          <w:szCs w:val="23"/>
        </w:rPr>
        <w:t>IIaB</w:t>
      </w:r>
      <w:proofErr w:type="spellEnd"/>
      <w:r w:rsidRPr="00F31CC0">
        <w:rPr>
          <w:sz w:val="23"/>
          <w:szCs w:val="23"/>
        </w:rPr>
        <w:t xml:space="preserve"> klasės rekomendacija) skirti </w:t>
      </w:r>
      <w:proofErr w:type="spellStart"/>
      <w:r w:rsidRPr="00F31CC0">
        <w:rPr>
          <w:bCs/>
          <w:sz w:val="23"/>
          <w:szCs w:val="23"/>
        </w:rPr>
        <w:t>ezetimibą</w:t>
      </w:r>
      <w:proofErr w:type="spellEnd"/>
      <w:r w:rsidRPr="00F31CC0">
        <w:rPr>
          <w:sz w:val="23"/>
          <w:szCs w:val="23"/>
        </w:rPr>
        <w:t xml:space="preserve">. Toliau nepasiekiant numatytų tikslinių MTL-C reikšmių skiriant maksimaliai toleruojamą </w:t>
      </w:r>
      <w:proofErr w:type="spellStart"/>
      <w:r w:rsidRPr="00F31CC0">
        <w:rPr>
          <w:sz w:val="23"/>
          <w:szCs w:val="23"/>
        </w:rPr>
        <w:t>statino</w:t>
      </w:r>
      <w:proofErr w:type="spellEnd"/>
      <w:r w:rsidRPr="00F31CC0">
        <w:rPr>
          <w:sz w:val="23"/>
          <w:szCs w:val="23"/>
        </w:rPr>
        <w:t xml:space="preserve"> dozę ir </w:t>
      </w:r>
      <w:proofErr w:type="spellStart"/>
      <w:r w:rsidRPr="00F31CC0">
        <w:rPr>
          <w:sz w:val="23"/>
          <w:szCs w:val="23"/>
        </w:rPr>
        <w:t>ezetimibą</w:t>
      </w:r>
      <w:proofErr w:type="spellEnd"/>
      <w:r w:rsidRPr="00F31CC0">
        <w:rPr>
          <w:sz w:val="23"/>
          <w:szCs w:val="23"/>
        </w:rPr>
        <w:t xml:space="preserve">, rekomenduojama prie šios kombinacijos pridėti </w:t>
      </w:r>
      <w:proofErr w:type="spellStart"/>
      <w:r w:rsidRPr="00F31CC0">
        <w:t>proproteino</w:t>
      </w:r>
      <w:proofErr w:type="spellEnd"/>
      <w:r w:rsidRPr="00F31CC0">
        <w:t xml:space="preserve"> </w:t>
      </w:r>
      <w:proofErr w:type="spellStart"/>
      <w:r w:rsidRPr="00F31CC0">
        <w:t>konvertazės</w:t>
      </w:r>
      <w:proofErr w:type="spellEnd"/>
      <w:r w:rsidRPr="00F31CC0">
        <w:t xml:space="preserve"> </w:t>
      </w:r>
      <w:proofErr w:type="spellStart"/>
      <w:r w:rsidRPr="00F31CC0">
        <w:t>subtilizino</w:t>
      </w:r>
      <w:proofErr w:type="spellEnd"/>
      <w:r w:rsidRPr="00F31CC0">
        <w:t xml:space="preserve">/9 tipo </w:t>
      </w:r>
      <w:proofErr w:type="spellStart"/>
      <w:r w:rsidRPr="00F31CC0">
        <w:t>keksino</w:t>
      </w:r>
      <w:proofErr w:type="spellEnd"/>
      <w:r w:rsidRPr="00F31CC0">
        <w:t xml:space="preserve"> (angl. </w:t>
      </w:r>
      <w:r w:rsidRPr="00F31CC0">
        <w:rPr>
          <w:bCs/>
          <w:sz w:val="23"/>
          <w:szCs w:val="23"/>
        </w:rPr>
        <w:t>PCSK9) slopinančius vaistinius preparatus</w:t>
      </w:r>
      <w:r w:rsidRPr="00F31CC0">
        <w:rPr>
          <w:sz w:val="23"/>
          <w:szCs w:val="23"/>
        </w:rPr>
        <w:t xml:space="preserve"> (šiai vaistinių preparatų grupei priklauso ir </w:t>
      </w:r>
      <w:proofErr w:type="spellStart"/>
      <w:r w:rsidRPr="00F31CC0">
        <w:rPr>
          <w:bCs/>
          <w:sz w:val="23"/>
          <w:szCs w:val="23"/>
        </w:rPr>
        <w:t>evolokumabas</w:t>
      </w:r>
      <w:proofErr w:type="spellEnd"/>
      <w:r w:rsidRPr="00F31CC0">
        <w:rPr>
          <w:sz w:val="23"/>
          <w:szCs w:val="23"/>
        </w:rPr>
        <w:t xml:space="preserve">). Prie </w:t>
      </w:r>
      <w:proofErr w:type="spellStart"/>
      <w:r w:rsidRPr="00F31CC0">
        <w:rPr>
          <w:sz w:val="23"/>
          <w:szCs w:val="23"/>
        </w:rPr>
        <w:t>ezetimibo</w:t>
      </w:r>
      <w:proofErr w:type="spellEnd"/>
      <w:r w:rsidRPr="00F31CC0">
        <w:rPr>
          <w:sz w:val="23"/>
          <w:szCs w:val="23"/>
        </w:rPr>
        <w:t xml:space="preserve"> pridėti PCSK9 inhibitorių taip pat galima svarstyti, kai pacientas netoleruoja </w:t>
      </w:r>
      <w:proofErr w:type="spellStart"/>
      <w:r w:rsidRPr="00F31CC0">
        <w:rPr>
          <w:sz w:val="23"/>
          <w:szCs w:val="23"/>
        </w:rPr>
        <w:t>statinų</w:t>
      </w:r>
      <w:proofErr w:type="spellEnd"/>
      <w:r w:rsidRPr="00F31CC0">
        <w:rPr>
          <w:sz w:val="23"/>
          <w:szCs w:val="23"/>
        </w:rPr>
        <w:t xml:space="preserve"> (</w:t>
      </w:r>
      <w:proofErr w:type="spellStart"/>
      <w:r w:rsidRPr="00F31CC0">
        <w:rPr>
          <w:sz w:val="23"/>
          <w:szCs w:val="23"/>
        </w:rPr>
        <w:t>IIbC</w:t>
      </w:r>
      <w:proofErr w:type="spellEnd"/>
      <w:r w:rsidRPr="00F31CC0">
        <w:rPr>
          <w:sz w:val="23"/>
          <w:szCs w:val="23"/>
        </w:rPr>
        <w:t xml:space="preserve"> klasės rekomendacija).</w:t>
      </w:r>
    </w:p>
    <w:p w14:paraId="58F16EC0" w14:textId="77777777" w:rsidR="00320278" w:rsidRPr="00F31CC0" w:rsidRDefault="00320278" w:rsidP="00F31CC0">
      <w:pPr>
        <w:tabs>
          <w:tab w:val="left" w:pos="567"/>
        </w:tabs>
        <w:spacing w:line="276" w:lineRule="auto"/>
        <w:jc w:val="both"/>
        <w:rPr>
          <w:sz w:val="23"/>
          <w:szCs w:val="23"/>
        </w:rPr>
      </w:pPr>
      <w:r w:rsidRPr="00F31CC0">
        <w:rPr>
          <w:sz w:val="23"/>
          <w:szCs w:val="23"/>
        </w:rPr>
        <w:tab/>
      </w:r>
      <w:r w:rsidRPr="00F31CC0">
        <w:rPr>
          <w:sz w:val="23"/>
          <w:szCs w:val="23"/>
        </w:rPr>
        <w:tab/>
        <w:t xml:space="preserve">2025 m. išpublikuotame Europos kardiologų draugijos </w:t>
      </w:r>
      <w:proofErr w:type="spellStart"/>
      <w:r w:rsidRPr="00F31CC0">
        <w:rPr>
          <w:sz w:val="23"/>
          <w:szCs w:val="23"/>
        </w:rPr>
        <w:t>dislipidemijos</w:t>
      </w:r>
      <w:proofErr w:type="spellEnd"/>
      <w:r w:rsidRPr="00F31CC0">
        <w:rPr>
          <w:sz w:val="23"/>
          <w:szCs w:val="23"/>
        </w:rPr>
        <w:t xml:space="preserve"> gydymo gairių atnaujinime nurodoma, jog </w:t>
      </w:r>
      <w:proofErr w:type="spellStart"/>
      <w:r w:rsidRPr="00F31CC0">
        <w:rPr>
          <w:sz w:val="23"/>
          <w:szCs w:val="23"/>
        </w:rPr>
        <w:t>statinus</w:t>
      </w:r>
      <w:proofErr w:type="spellEnd"/>
      <w:r w:rsidRPr="00F31CC0">
        <w:rPr>
          <w:sz w:val="23"/>
          <w:szCs w:val="23"/>
        </w:rPr>
        <w:t xml:space="preserve"> netoleruojančių pacientų populiacijos rekomenduojama skirti vaistinius preparatus, kurie turi įrodytą kardiovaskulinių įvykių riziką mažinantį poveikį (IA klasės rekomendacija). </w:t>
      </w:r>
      <w:proofErr w:type="spellStart"/>
      <w:r w:rsidRPr="00F31CC0">
        <w:rPr>
          <w:sz w:val="23"/>
          <w:szCs w:val="23"/>
        </w:rPr>
        <w:t>Bempedono</w:t>
      </w:r>
      <w:proofErr w:type="spellEnd"/>
      <w:r w:rsidRPr="00F31CC0">
        <w:rPr>
          <w:sz w:val="23"/>
          <w:szCs w:val="23"/>
        </w:rPr>
        <w:t xml:space="preserve"> rūgšties </w:t>
      </w:r>
      <w:proofErr w:type="spellStart"/>
      <w:r w:rsidRPr="00F31CC0">
        <w:rPr>
          <w:sz w:val="23"/>
          <w:szCs w:val="23"/>
        </w:rPr>
        <w:t>monoterapija</w:t>
      </w:r>
      <w:proofErr w:type="spellEnd"/>
      <w:r w:rsidRPr="00F31CC0">
        <w:rPr>
          <w:sz w:val="23"/>
          <w:szCs w:val="23"/>
        </w:rPr>
        <w:t xml:space="preserve"> rekomenduojama </w:t>
      </w:r>
      <w:proofErr w:type="spellStart"/>
      <w:r w:rsidRPr="00F31CC0">
        <w:rPr>
          <w:sz w:val="23"/>
          <w:szCs w:val="23"/>
        </w:rPr>
        <w:t>statinų</w:t>
      </w:r>
      <w:proofErr w:type="spellEnd"/>
      <w:r w:rsidRPr="00F31CC0">
        <w:rPr>
          <w:sz w:val="23"/>
          <w:szCs w:val="23"/>
        </w:rPr>
        <w:t xml:space="preserve"> netoleruojantiems pacientams (IB klasės rekomendacija). Kartu su maksimaliomis toleruojamomis </w:t>
      </w:r>
      <w:proofErr w:type="spellStart"/>
      <w:r w:rsidRPr="00F31CC0">
        <w:rPr>
          <w:sz w:val="23"/>
          <w:szCs w:val="23"/>
        </w:rPr>
        <w:t>statino</w:t>
      </w:r>
      <w:proofErr w:type="spellEnd"/>
      <w:r w:rsidRPr="00F31CC0">
        <w:rPr>
          <w:sz w:val="23"/>
          <w:szCs w:val="23"/>
        </w:rPr>
        <w:t xml:space="preserve"> dozėmis su arba be </w:t>
      </w:r>
      <w:proofErr w:type="spellStart"/>
      <w:r w:rsidRPr="00F31CC0">
        <w:rPr>
          <w:sz w:val="23"/>
          <w:szCs w:val="23"/>
        </w:rPr>
        <w:t>ezetimibo</w:t>
      </w:r>
      <w:proofErr w:type="spellEnd"/>
      <w:r w:rsidRPr="00F31CC0">
        <w:rPr>
          <w:sz w:val="23"/>
          <w:szCs w:val="23"/>
        </w:rPr>
        <w:t xml:space="preserve"> </w:t>
      </w:r>
      <w:proofErr w:type="spellStart"/>
      <w:r w:rsidRPr="00F31CC0">
        <w:rPr>
          <w:sz w:val="23"/>
          <w:szCs w:val="23"/>
        </w:rPr>
        <w:t>bempedono</w:t>
      </w:r>
      <w:proofErr w:type="spellEnd"/>
      <w:r w:rsidRPr="00F31CC0">
        <w:rPr>
          <w:sz w:val="23"/>
          <w:szCs w:val="23"/>
        </w:rPr>
        <w:t xml:space="preserve"> rūgštis turėtų būti svarstoma didelės arba labai didelės rizikos pacientams nepasiekus tikslinių MTL-C reikšmių (</w:t>
      </w:r>
      <w:proofErr w:type="spellStart"/>
      <w:r w:rsidRPr="00F31CC0">
        <w:rPr>
          <w:sz w:val="23"/>
          <w:szCs w:val="23"/>
        </w:rPr>
        <w:t>IIaC</w:t>
      </w:r>
      <w:proofErr w:type="spellEnd"/>
      <w:r w:rsidRPr="00F31CC0">
        <w:rPr>
          <w:sz w:val="23"/>
          <w:szCs w:val="23"/>
        </w:rPr>
        <w:t xml:space="preserve"> rekomendacija).</w:t>
      </w:r>
    </w:p>
    <w:p w14:paraId="41329A16" w14:textId="77777777" w:rsidR="00320278" w:rsidRPr="00F31CC0" w:rsidRDefault="00320278" w:rsidP="00F31CC0">
      <w:pPr>
        <w:tabs>
          <w:tab w:val="left" w:pos="567"/>
        </w:tabs>
        <w:spacing w:line="276" w:lineRule="auto"/>
        <w:jc w:val="both"/>
        <w:rPr>
          <w:bCs/>
        </w:rPr>
      </w:pPr>
      <w:r w:rsidRPr="00F31CC0">
        <w:rPr>
          <w:sz w:val="23"/>
          <w:szCs w:val="23"/>
        </w:rPr>
        <w:tab/>
      </w:r>
      <w:r w:rsidRPr="00F31CC0">
        <w:rPr>
          <w:sz w:val="23"/>
          <w:szCs w:val="23"/>
        </w:rPr>
        <w:tab/>
      </w:r>
      <w:r w:rsidRPr="00F31CC0">
        <w:t xml:space="preserve">Lietuvoje </w:t>
      </w:r>
      <w:proofErr w:type="spellStart"/>
      <w:r w:rsidRPr="00F31CC0">
        <w:t>dislipidemijos</w:t>
      </w:r>
      <w:proofErr w:type="spellEnd"/>
      <w:r w:rsidRPr="00F31CC0">
        <w:t xml:space="preserve"> (TLK – 10 kodas E78) gydymui kompensuojami </w:t>
      </w:r>
      <w:proofErr w:type="spellStart"/>
      <w:r w:rsidRPr="00F31CC0">
        <w:rPr>
          <w:bCs/>
        </w:rPr>
        <w:t>statinai</w:t>
      </w:r>
      <w:proofErr w:type="spellEnd"/>
      <w:r w:rsidRPr="00F31CC0">
        <w:t xml:space="preserve"> (</w:t>
      </w:r>
      <w:proofErr w:type="spellStart"/>
      <w:r w:rsidRPr="00F31CC0">
        <w:t>atorvastatinas</w:t>
      </w:r>
      <w:proofErr w:type="spellEnd"/>
      <w:r w:rsidRPr="00F31CC0">
        <w:t xml:space="preserve">, </w:t>
      </w:r>
      <w:proofErr w:type="spellStart"/>
      <w:r w:rsidRPr="00F31CC0">
        <w:t>rozuvastatinas</w:t>
      </w:r>
      <w:proofErr w:type="spellEnd"/>
      <w:r w:rsidRPr="00F31CC0">
        <w:t xml:space="preserve">, </w:t>
      </w:r>
      <w:proofErr w:type="spellStart"/>
      <w:r w:rsidRPr="00F31CC0">
        <w:t>fluvastatinas</w:t>
      </w:r>
      <w:proofErr w:type="spellEnd"/>
      <w:r w:rsidRPr="00F31CC0">
        <w:t xml:space="preserve">, </w:t>
      </w:r>
      <w:proofErr w:type="spellStart"/>
      <w:r w:rsidRPr="00F31CC0">
        <w:t>simvastatinas</w:t>
      </w:r>
      <w:proofErr w:type="spellEnd"/>
      <w:r w:rsidRPr="00F31CC0">
        <w:t xml:space="preserve">) ir </w:t>
      </w:r>
      <w:proofErr w:type="spellStart"/>
      <w:r w:rsidRPr="00F31CC0">
        <w:rPr>
          <w:bCs/>
        </w:rPr>
        <w:t>ezetimibas</w:t>
      </w:r>
      <w:proofErr w:type="spellEnd"/>
      <w:r w:rsidRPr="00F31CC0">
        <w:rPr>
          <w:bCs/>
        </w:rPr>
        <w:t>, 2025 m. priimtas teigiamas sprendimas kompensuoti ir į rezervinį vaistų sąrašą įtraukti PCSK9 grandį veikiantys vaistiniai preparatai (</w:t>
      </w:r>
      <w:proofErr w:type="spellStart"/>
      <w:r w:rsidRPr="00F31CC0">
        <w:rPr>
          <w:bCs/>
        </w:rPr>
        <w:t>evolokumabas</w:t>
      </w:r>
      <w:proofErr w:type="spellEnd"/>
      <w:r w:rsidRPr="00F31CC0">
        <w:rPr>
          <w:bCs/>
        </w:rPr>
        <w:t xml:space="preserve">, </w:t>
      </w:r>
      <w:proofErr w:type="spellStart"/>
      <w:r w:rsidRPr="00F31CC0">
        <w:rPr>
          <w:bCs/>
        </w:rPr>
        <w:t>inklisiranas</w:t>
      </w:r>
      <w:proofErr w:type="spellEnd"/>
      <w:r w:rsidRPr="00F31CC0">
        <w:rPr>
          <w:bCs/>
        </w:rPr>
        <w:t>).</w:t>
      </w:r>
    </w:p>
    <w:p w14:paraId="4D4E0BC4" w14:textId="77777777" w:rsidR="00320278" w:rsidRPr="00F31CC0" w:rsidRDefault="00320278" w:rsidP="00F31CC0">
      <w:pPr>
        <w:tabs>
          <w:tab w:val="left" w:pos="567"/>
        </w:tabs>
        <w:spacing w:line="276" w:lineRule="auto"/>
        <w:jc w:val="both"/>
      </w:pPr>
      <w:r w:rsidRPr="00F31CC0">
        <w:rPr>
          <w:bCs/>
        </w:rPr>
        <w:tab/>
      </w:r>
      <w:r w:rsidRPr="00F31CC0">
        <w:rPr>
          <w:bCs/>
        </w:rPr>
        <w:tab/>
      </w:r>
      <w:proofErr w:type="spellStart"/>
      <w:r w:rsidRPr="00F31CC0">
        <w:t>Bempedono</w:t>
      </w:r>
      <w:proofErr w:type="spellEnd"/>
      <w:r w:rsidRPr="00F31CC0">
        <w:t xml:space="preserve"> rūgštis (toliau – BR) yra </w:t>
      </w:r>
      <w:proofErr w:type="spellStart"/>
      <w:r w:rsidRPr="00F31CC0">
        <w:t>adenozintrifosfato</w:t>
      </w:r>
      <w:proofErr w:type="spellEnd"/>
      <w:r w:rsidRPr="00F31CC0">
        <w:t xml:space="preserve"> citrato </w:t>
      </w:r>
      <w:proofErr w:type="spellStart"/>
      <w:r w:rsidRPr="00F31CC0">
        <w:t>liazės</w:t>
      </w:r>
      <w:proofErr w:type="spellEnd"/>
      <w:r w:rsidRPr="00F31CC0">
        <w:t xml:space="preserve"> (ATCL) inhibitorius, kuris mažina MTL-C kiekį slopindamas cholesterolio sintezę kepenyse. </w:t>
      </w:r>
      <w:proofErr w:type="spellStart"/>
      <w:r w:rsidRPr="00F31CC0">
        <w:t>Statinai</w:t>
      </w:r>
      <w:proofErr w:type="spellEnd"/>
      <w:r w:rsidRPr="00F31CC0">
        <w:t xml:space="preserve"> slopina cholesterolio sintezę toje pačioje biocheminėje grandinėje.</w:t>
      </w:r>
    </w:p>
    <w:p w14:paraId="46264CDF" w14:textId="77777777" w:rsidR="00320278" w:rsidRPr="00F31CC0" w:rsidRDefault="00320278" w:rsidP="00F31CC0">
      <w:pPr>
        <w:tabs>
          <w:tab w:val="left" w:pos="567"/>
        </w:tabs>
        <w:spacing w:line="276" w:lineRule="auto"/>
        <w:jc w:val="both"/>
        <w:rPr>
          <w:bCs/>
        </w:rPr>
      </w:pPr>
      <w:r w:rsidRPr="00F31CC0">
        <w:tab/>
      </w:r>
      <w:r w:rsidRPr="00F31CC0">
        <w:tab/>
        <w:t xml:space="preserve">Pareiškėjas siūlo, jog BR </w:t>
      </w:r>
      <w:r w:rsidRPr="00F31CC0">
        <w:rPr>
          <w:bCs/>
        </w:rPr>
        <w:t xml:space="preserve">šiuo metu Lietuvoje taikomoje gydymo schemoje turėtų papildyti gydymą </w:t>
      </w:r>
      <w:proofErr w:type="spellStart"/>
      <w:r w:rsidRPr="00F31CC0">
        <w:rPr>
          <w:bCs/>
        </w:rPr>
        <w:t>statino</w:t>
      </w:r>
      <w:proofErr w:type="spellEnd"/>
      <w:r w:rsidRPr="00F31CC0">
        <w:rPr>
          <w:bCs/>
        </w:rPr>
        <w:t xml:space="preserve"> (maksimaliomis toleruojamomis dozėmis) ir </w:t>
      </w:r>
      <w:proofErr w:type="spellStart"/>
      <w:r w:rsidRPr="00F31CC0">
        <w:rPr>
          <w:bCs/>
        </w:rPr>
        <w:t>ezetimibo</w:t>
      </w:r>
      <w:proofErr w:type="spellEnd"/>
      <w:r w:rsidRPr="00F31CC0">
        <w:rPr>
          <w:bCs/>
        </w:rPr>
        <w:t xml:space="preserve"> deriniu arba būti alternatyva </w:t>
      </w:r>
      <w:proofErr w:type="spellStart"/>
      <w:r w:rsidRPr="00F31CC0">
        <w:rPr>
          <w:bCs/>
        </w:rPr>
        <w:t>statinams</w:t>
      </w:r>
      <w:proofErr w:type="spellEnd"/>
      <w:r w:rsidRPr="00F31CC0">
        <w:rPr>
          <w:bCs/>
        </w:rPr>
        <w:t xml:space="preserve"> esant kontraindikacijoms juos vartoti ar jų netoleruojant. </w:t>
      </w:r>
      <w:proofErr w:type="spellStart"/>
      <w:r w:rsidRPr="00F31CC0">
        <w:rPr>
          <w:bCs/>
        </w:rPr>
        <w:t>Statinų</w:t>
      </w:r>
      <w:proofErr w:type="spellEnd"/>
      <w:r w:rsidRPr="00F31CC0">
        <w:rPr>
          <w:bCs/>
        </w:rPr>
        <w:t xml:space="preserve"> toleruojančių pacientų populiacijoje tinkamas palyginamasis gydymas yra </w:t>
      </w:r>
      <w:proofErr w:type="spellStart"/>
      <w:r w:rsidRPr="00F31CC0">
        <w:rPr>
          <w:bCs/>
        </w:rPr>
        <w:t>statino</w:t>
      </w:r>
      <w:proofErr w:type="spellEnd"/>
      <w:r w:rsidRPr="00F31CC0">
        <w:rPr>
          <w:bCs/>
        </w:rPr>
        <w:t xml:space="preserve"> ir </w:t>
      </w:r>
      <w:proofErr w:type="spellStart"/>
      <w:r w:rsidRPr="00F31CC0">
        <w:rPr>
          <w:bCs/>
        </w:rPr>
        <w:t>ezetimibo</w:t>
      </w:r>
      <w:proofErr w:type="spellEnd"/>
      <w:r w:rsidRPr="00F31CC0">
        <w:rPr>
          <w:bCs/>
        </w:rPr>
        <w:t xml:space="preserve"> derinys, netoleruojančiųjų – </w:t>
      </w:r>
      <w:proofErr w:type="spellStart"/>
      <w:r w:rsidRPr="00F31CC0">
        <w:rPr>
          <w:bCs/>
        </w:rPr>
        <w:t>ezetimibo</w:t>
      </w:r>
      <w:proofErr w:type="spellEnd"/>
      <w:r w:rsidRPr="00F31CC0">
        <w:rPr>
          <w:bCs/>
        </w:rPr>
        <w:t xml:space="preserve"> </w:t>
      </w:r>
      <w:proofErr w:type="spellStart"/>
      <w:r w:rsidRPr="00F31CC0">
        <w:rPr>
          <w:bCs/>
        </w:rPr>
        <w:t>monoterapija</w:t>
      </w:r>
      <w:proofErr w:type="spellEnd"/>
      <w:r w:rsidRPr="00F31CC0">
        <w:rPr>
          <w:bCs/>
        </w:rPr>
        <w:t>.</w:t>
      </w:r>
    </w:p>
    <w:p w14:paraId="465FEBB7" w14:textId="77777777" w:rsidR="00320278" w:rsidRPr="00F31CC0" w:rsidRDefault="00320278" w:rsidP="00F31CC0">
      <w:pPr>
        <w:tabs>
          <w:tab w:val="left" w:pos="567"/>
        </w:tabs>
        <w:spacing w:line="276" w:lineRule="auto"/>
        <w:jc w:val="both"/>
        <w:rPr>
          <w:bCs/>
        </w:rPr>
      </w:pPr>
      <w:r w:rsidRPr="00F31CC0">
        <w:rPr>
          <w:bCs/>
        </w:rPr>
        <w:tab/>
      </w:r>
      <w:r w:rsidRPr="00F31CC0">
        <w:rPr>
          <w:bCs/>
        </w:rPr>
        <w:tab/>
        <w:t xml:space="preserve">Pagal Europos komisijos išleistas lipidų apykaitos sutrikimų gydymui skirtų vaistinių preparatų vertinimo gaires (EMA/CHMP/748108/2013), izoliuotas MTL-C ir kitų lipidų koncentracijos sumažėjimas laikomas tinkama baigtimi esant pirminei </w:t>
      </w:r>
      <w:proofErr w:type="spellStart"/>
      <w:r w:rsidRPr="00F31CC0">
        <w:rPr>
          <w:bCs/>
        </w:rPr>
        <w:t>hipercholesterolemijai</w:t>
      </w:r>
      <w:proofErr w:type="spellEnd"/>
      <w:r w:rsidRPr="00F31CC0">
        <w:rPr>
          <w:bCs/>
        </w:rPr>
        <w:t>, likusiais atvejais privalu įrodyti, jog vaistinis preparatas ne tik sumažina lipidų koncentraciją, tačiau mažina mirties ar kardiovaskulinių įvykių riziką.</w:t>
      </w:r>
    </w:p>
    <w:p w14:paraId="68E2AA1D" w14:textId="77777777" w:rsidR="00320278" w:rsidRPr="00F31CC0" w:rsidRDefault="00320278" w:rsidP="00F31CC0">
      <w:pPr>
        <w:widowControl w:val="0"/>
        <w:spacing w:line="276" w:lineRule="auto"/>
        <w:jc w:val="both"/>
        <w:rPr>
          <w:bCs/>
        </w:rPr>
      </w:pPr>
    </w:p>
    <w:p w14:paraId="5AA5042F" w14:textId="77777777" w:rsidR="00320278" w:rsidRPr="00F31CC0" w:rsidRDefault="00320278" w:rsidP="00F31CC0">
      <w:pPr>
        <w:widowControl w:val="0"/>
        <w:spacing w:line="276" w:lineRule="auto"/>
        <w:jc w:val="both"/>
        <w:rPr>
          <w:bCs/>
          <w:i/>
          <w:iCs/>
          <w:color w:val="000000"/>
          <w:lang w:eastAsia="lt-LT"/>
        </w:rPr>
      </w:pPr>
      <w:r w:rsidRPr="00F31CC0">
        <w:rPr>
          <w:bCs/>
          <w:i/>
          <w:iCs/>
          <w:color w:val="000000"/>
          <w:lang w:eastAsia="lt-LT"/>
        </w:rPr>
        <w:t>Tiesioginis palyginimas</w:t>
      </w:r>
    </w:p>
    <w:p w14:paraId="079E5D43" w14:textId="77777777" w:rsidR="00320278" w:rsidRPr="00F31CC0" w:rsidRDefault="00320278" w:rsidP="00F31CC0">
      <w:pPr>
        <w:widowControl w:val="0"/>
        <w:spacing w:line="276" w:lineRule="auto"/>
        <w:jc w:val="both"/>
        <w:rPr>
          <w:bCs/>
          <w:i/>
          <w:iCs/>
          <w:color w:val="000000"/>
          <w:highlight w:val="yellow"/>
          <w:lang w:eastAsia="lt-LT"/>
        </w:rPr>
      </w:pPr>
    </w:p>
    <w:p w14:paraId="616C932D" w14:textId="77777777" w:rsidR="00320278" w:rsidRPr="00F31CC0" w:rsidRDefault="00320278" w:rsidP="00F31CC0">
      <w:pPr>
        <w:widowControl w:val="0"/>
        <w:spacing w:line="276" w:lineRule="auto"/>
        <w:ind w:firstLine="720"/>
        <w:jc w:val="both"/>
        <w:rPr>
          <w:bCs/>
          <w:color w:val="000000"/>
          <w:lang w:eastAsia="lt-LT"/>
        </w:rPr>
      </w:pPr>
      <w:r w:rsidRPr="00F31CC0">
        <w:rPr>
          <w:bCs/>
          <w:color w:val="000000"/>
          <w:lang w:eastAsia="lt-LT"/>
        </w:rPr>
        <w:lastRenderedPageBreak/>
        <w:t xml:space="preserve">Palyginamasis veiksmingumas grindžiamas klinikinių tyrimų </w:t>
      </w:r>
      <w:r w:rsidRPr="00F31CC0">
        <w:rPr>
          <w:rFonts w:eastAsia="Arial"/>
        </w:rPr>
        <w:t xml:space="preserve">CLEAR </w:t>
      </w:r>
      <w:proofErr w:type="spellStart"/>
      <w:r w:rsidRPr="00F31CC0">
        <w:rPr>
          <w:rFonts w:eastAsia="Arial"/>
        </w:rPr>
        <w:t>Wisdom</w:t>
      </w:r>
      <w:proofErr w:type="spellEnd"/>
      <w:r w:rsidRPr="00F31CC0">
        <w:rPr>
          <w:rFonts w:eastAsia="Arial"/>
        </w:rPr>
        <w:t xml:space="preserve">, CLEAR </w:t>
      </w:r>
      <w:proofErr w:type="spellStart"/>
      <w:r w:rsidRPr="00F31CC0">
        <w:rPr>
          <w:rFonts w:eastAsia="Arial"/>
        </w:rPr>
        <w:t>Harmony</w:t>
      </w:r>
      <w:proofErr w:type="spellEnd"/>
      <w:r w:rsidRPr="00F31CC0">
        <w:rPr>
          <w:rFonts w:eastAsia="Arial"/>
        </w:rPr>
        <w:t xml:space="preserve">, CLEAR </w:t>
      </w:r>
      <w:proofErr w:type="spellStart"/>
      <w:r w:rsidRPr="00F31CC0">
        <w:rPr>
          <w:rFonts w:eastAsia="Arial"/>
        </w:rPr>
        <w:t>Tranquility</w:t>
      </w:r>
      <w:proofErr w:type="spellEnd"/>
      <w:r w:rsidRPr="00F31CC0">
        <w:rPr>
          <w:rFonts w:eastAsia="Arial"/>
        </w:rPr>
        <w:t xml:space="preserve">, CLEAR </w:t>
      </w:r>
      <w:proofErr w:type="spellStart"/>
      <w:r w:rsidRPr="00F31CC0">
        <w:rPr>
          <w:rFonts w:eastAsia="Arial"/>
        </w:rPr>
        <w:t>Serenity</w:t>
      </w:r>
      <w:proofErr w:type="spellEnd"/>
      <w:r w:rsidRPr="00F31CC0">
        <w:rPr>
          <w:rFonts w:eastAsia="Arial"/>
        </w:rPr>
        <w:t xml:space="preserve"> ir CLEAR </w:t>
      </w:r>
      <w:proofErr w:type="spellStart"/>
      <w:r w:rsidRPr="00F31CC0">
        <w:rPr>
          <w:rFonts w:eastAsia="Arial"/>
        </w:rPr>
        <w:t>Outcomes</w:t>
      </w:r>
      <w:proofErr w:type="spellEnd"/>
      <w:r w:rsidRPr="00F31CC0">
        <w:rPr>
          <w:bCs/>
          <w:color w:val="000000"/>
          <w:lang w:eastAsia="lt-LT"/>
        </w:rPr>
        <w:t xml:space="preserve"> duomenimis. Įvertinus tyrimų įtraukimo ir atmetimo kriterijus bei pradines pacientų demografines ir klinikines charakteristikas, </w:t>
      </w:r>
      <w:proofErr w:type="spellStart"/>
      <w:r w:rsidRPr="00F31CC0">
        <w:rPr>
          <w:bCs/>
          <w:color w:val="000000"/>
          <w:lang w:eastAsia="lt-LT"/>
        </w:rPr>
        <w:t>statinų</w:t>
      </w:r>
      <w:proofErr w:type="spellEnd"/>
      <w:r w:rsidRPr="00F31CC0">
        <w:rPr>
          <w:bCs/>
          <w:color w:val="000000"/>
          <w:lang w:eastAsia="lt-LT"/>
        </w:rPr>
        <w:t xml:space="preserve"> toleruojančių pacientų, kuriems nustatyta ŠKL, populiaciją geriausiai atitinka CLEAR </w:t>
      </w:r>
      <w:proofErr w:type="spellStart"/>
      <w:r w:rsidRPr="00F31CC0">
        <w:rPr>
          <w:bCs/>
          <w:color w:val="000000"/>
          <w:lang w:eastAsia="lt-LT"/>
        </w:rPr>
        <w:t>Wisdom</w:t>
      </w:r>
      <w:proofErr w:type="spellEnd"/>
      <w:r w:rsidRPr="00F31CC0">
        <w:rPr>
          <w:bCs/>
          <w:color w:val="000000"/>
          <w:lang w:eastAsia="lt-LT"/>
        </w:rPr>
        <w:t xml:space="preserve"> ir CLEAR </w:t>
      </w:r>
      <w:proofErr w:type="spellStart"/>
      <w:r w:rsidRPr="00F31CC0">
        <w:rPr>
          <w:bCs/>
          <w:color w:val="000000"/>
          <w:lang w:eastAsia="lt-LT"/>
        </w:rPr>
        <w:t>Harmony</w:t>
      </w:r>
      <w:proofErr w:type="spellEnd"/>
      <w:r w:rsidRPr="00F31CC0">
        <w:rPr>
          <w:bCs/>
          <w:color w:val="000000"/>
          <w:lang w:eastAsia="lt-LT"/>
        </w:rPr>
        <w:t xml:space="preserve"> tyrimų populiacijos. </w:t>
      </w:r>
      <w:proofErr w:type="spellStart"/>
      <w:r w:rsidRPr="00F31CC0">
        <w:rPr>
          <w:bCs/>
          <w:color w:val="000000"/>
          <w:lang w:eastAsia="lt-LT"/>
        </w:rPr>
        <w:t>Statinų</w:t>
      </w:r>
      <w:proofErr w:type="spellEnd"/>
      <w:r w:rsidRPr="00F31CC0">
        <w:rPr>
          <w:bCs/>
          <w:color w:val="000000"/>
          <w:lang w:eastAsia="lt-LT"/>
        </w:rPr>
        <w:t xml:space="preserve"> netoleruojančių pacientų populiacijoje, pacientus, kuriems nustatyta ŠKL, geriausiai atitinka CLEAR </w:t>
      </w:r>
      <w:proofErr w:type="spellStart"/>
      <w:r w:rsidRPr="00F31CC0">
        <w:rPr>
          <w:bCs/>
          <w:color w:val="000000"/>
          <w:lang w:eastAsia="lt-LT"/>
        </w:rPr>
        <w:t>Outcomes</w:t>
      </w:r>
      <w:proofErr w:type="spellEnd"/>
      <w:r w:rsidRPr="00F31CC0">
        <w:rPr>
          <w:bCs/>
          <w:color w:val="000000"/>
          <w:lang w:eastAsia="lt-LT"/>
        </w:rPr>
        <w:t xml:space="preserve">, kuriems nenustatyta – CLEAR </w:t>
      </w:r>
      <w:proofErr w:type="spellStart"/>
      <w:r w:rsidRPr="00F31CC0">
        <w:rPr>
          <w:bCs/>
          <w:color w:val="000000"/>
          <w:lang w:eastAsia="lt-LT"/>
        </w:rPr>
        <w:t>Tranquility</w:t>
      </w:r>
      <w:proofErr w:type="spellEnd"/>
      <w:r w:rsidRPr="00F31CC0">
        <w:rPr>
          <w:bCs/>
          <w:color w:val="000000"/>
          <w:lang w:eastAsia="lt-LT"/>
        </w:rPr>
        <w:t xml:space="preserve"> ir CLEAR </w:t>
      </w:r>
      <w:proofErr w:type="spellStart"/>
      <w:r w:rsidRPr="00F31CC0">
        <w:rPr>
          <w:bCs/>
          <w:color w:val="000000"/>
          <w:lang w:eastAsia="lt-LT"/>
        </w:rPr>
        <w:t>Serenity</w:t>
      </w:r>
      <w:proofErr w:type="spellEnd"/>
      <w:r w:rsidRPr="00F31CC0">
        <w:rPr>
          <w:bCs/>
          <w:color w:val="000000"/>
          <w:lang w:eastAsia="lt-LT"/>
        </w:rPr>
        <w:t xml:space="preserve"> tyrimų populiacijos.</w:t>
      </w:r>
    </w:p>
    <w:p w14:paraId="1D571C43" w14:textId="77777777" w:rsidR="00320278" w:rsidRPr="00F31CC0" w:rsidRDefault="00320278" w:rsidP="00F31CC0">
      <w:pPr>
        <w:widowControl w:val="0"/>
        <w:spacing w:line="276" w:lineRule="auto"/>
        <w:ind w:firstLine="720"/>
        <w:jc w:val="both"/>
        <w:rPr>
          <w:bCs/>
          <w:color w:val="000000"/>
          <w:lang w:eastAsia="lt-LT"/>
        </w:rPr>
      </w:pPr>
      <w:r w:rsidRPr="00F31CC0">
        <w:rPr>
          <w:bCs/>
          <w:color w:val="000000"/>
          <w:lang w:eastAsia="lt-LT"/>
        </w:rPr>
        <w:t xml:space="preserve">Vertinant tyrimų palyginamojo gydymo tinkamumą </w:t>
      </w:r>
      <w:proofErr w:type="spellStart"/>
      <w:r w:rsidRPr="00F31CC0">
        <w:rPr>
          <w:bCs/>
          <w:color w:val="000000"/>
          <w:lang w:eastAsia="lt-LT"/>
        </w:rPr>
        <w:t>statinus</w:t>
      </w:r>
      <w:proofErr w:type="spellEnd"/>
      <w:r w:rsidRPr="00F31CC0">
        <w:rPr>
          <w:bCs/>
          <w:color w:val="000000"/>
          <w:lang w:eastAsia="lt-LT"/>
        </w:rPr>
        <w:t xml:space="preserve"> toleruojančių pacientų populiacijoje, CLEAR </w:t>
      </w:r>
      <w:proofErr w:type="spellStart"/>
      <w:r w:rsidRPr="00F31CC0">
        <w:rPr>
          <w:bCs/>
          <w:color w:val="000000"/>
          <w:lang w:eastAsia="lt-LT"/>
        </w:rPr>
        <w:t>Wisdom</w:t>
      </w:r>
      <w:proofErr w:type="spellEnd"/>
      <w:r w:rsidRPr="00F31CC0">
        <w:rPr>
          <w:bCs/>
          <w:color w:val="000000"/>
          <w:lang w:eastAsia="lt-LT"/>
        </w:rPr>
        <w:t xml:space="preserve"> ir CLEAR </w:t>
      </w:r>
      <w:proofErr w:type="spellStart"/>
      <w:r w:rsidRPr="00F31CC0">
        <w:rPr>
          <w:bCs/>
          <w:color w:val="000000"/>
          <w:lang w:eastAsia="lt-LT"/>
        </w:rPr>
        <w:t>Harmony</w:t>
      </w:r>
      <w:proofErr w:type="spellEnd"/>
      <w:r w:rsidRPr="00F31CC0">
        <w:rPr>
          <w:bCs/>
          <w:color w:val="000000"/>
          <w:lang w:eastAsia="lt-LT"/>
        </w:rPr>
        <w:t xml:space="preserve"> tyrimuose itin mažos dalies pacientų vartotas gydymas </w:t>
      </w:r>
      <w:proofErr w:type="spellStart"/>
      <w:r w:rsidRPr="00F31CC0">
        <w:rPr>
          <w:bCs/>
          <w:color w:val="000000"/>
          <w:lang w:eastAsia="lt-LT"/>
        </w:rPr>
        <w:t>statino</w:t>
      </w:r>
      <w:proofErr w:type="spellEnd"/>
      <w:r w:rsidRPr="00F31CC0">
        <w:rPr>
          <w:bCs/>
          <w:color w:val="000000"/>
          <w:lang w:eastAsia="lt-LT"/>
        </w:rPr>
        <w:t xml:space="preserve"> ir </w:t>
      </w:r>
      <w:proofErr w:type="spellStart"/>
      <w:r w:rsidRPr="00F31CC0">
        <w:rPr>
          <w:bCs/>
          <w:color w:val="000000"/>
          <w:lang w:eastAsia="lt-LT"/>
        </w:rPr>
        <w:t>ezetimibo</w:t>
      </w:r>
      <w:proofErr w:type="spellEnd"/>
      <w:r w:rsidRPr="00F31CC0">
        <w:rPr>
          <w:bCs/>
          <w:color w:val="000000"/>
          <w:lang w:eastAsia="lt-LT"/>
        </w:rPr>
        <w:t xml:space="preserve"> deriniu (CLEAR </w:t>
      </w:r>
      <w:proofErr w:type="spellStart"/>
      <w:r w:rsidRPr="00F31CC0">
        <w:rPr>
          <w:bCs/>
          <w:color w:val="000000"/>
          <w:lang w:eastAsia="lt-LT"/>
        </w:rPr>
        <w:t>Wisdom</w:t>
      </w:r>
      <w:proofErr w:type="spellEnd"/>
      <w:r w:rsidRPr="00F31CC0">
        <w:rPr>
          <w:bCs/>
          <w:color w:val="000000"/>
          <w:lang w:eastAsia="lt-LT"/>
        </w:rPr>
        <w:t xml:space="preserve"> tyrime nėra aiškus </w:t>
      </w:r>
      <w:proofErr w:type="spellStart"/>
      <w:r w:rsidRPr="00F31CC0">
        <w:rPr>
          <w:bCs/>
          <w:color w:val="000000"/>
          <w:lang w:eastAsia="lt-LT"/>
        </w:rPr>
        <w:t>statino</w:t>
      </w:r>
      <w:proofErr w:type="spellEnd"/>
      <w:r w:rsidRPr="00F31CC0">
        <w:rPr>
          <w:bCs/>
          <w:color w:val="000000"/>
          <w:lang w:eastAsia="lt-LT"/>
        </w:rPr>
        <w:t xml:space="preserve"> ir </w:t>
      </w:r>
      <w:proofErr w:type="spellStart"/>
      <w:r w:rsidRPr="00F31CC0">
        <w:rPr>
          <w:bCs/>
          <w:color w:val="000000"/>
          <w:lang w:eastAsia="lt-LT"/>
        </w:rPr>
        <w:t>ezetimibo</w:t>
      </w:r>
      <w:proofErr w:type="spellEnd"/>
      <w:r w:rsidRPr="00F31CC0">
        <w:rPr>
          <w:bCs/>
          <w:color w:val="000000"/>
          <w:lang w:eastAsia="lt-LT"/>
        </w:rPr>
        <w:t xml:space="preserve"> derinio vartojimo dažnis, CLEAR </w:t>
      </w:r>
      <w:proofErr w:type="spellStart"/>
      <w:r w:rsidRPr="00F31CC0">
        <w:rPr>
          <w:bCs/>
          <w:color w:val="000000"/>
          <w:lang w:eastAsia="lt-LT"/>
        </w:rPr>
        <w:t>Harmony</w:t>
      </w:r>
      <w:proofErr w:type="spellEnd"/>
      <w:r w:rsidRPr="00F31CC0">
        <w:rPr>
          <w:bCs/>
          <w:color w:val="000000"/>
          <w:lang w:eastAsia="lt-LT"/>
        </w:rPr>
        <w:t xml:space="preserve"> – 7,7%, 172 iš 2230) atitinka įprastinę klinikinę praktiką, tačiau bendrosiose tyrimų populiacijose</w:t>
      </w:r>
      <w:r w:rsidRPr="00F31CC0">
        <w:t xml:space="preserve"> </w:t>
      </w:r>
      <w:r w:rsidRPr="00F31CC0">
        <w:rPr>
          <w:bCs/>
          <w:color w:val="000000"/>
          <w:lang w:eastAsia="lt-LT"/>
        </w:rPr>
        <w:t>vyraujantis gydymas (</w:t>
      </w:r>
      <w:proofErr w:type="spellStart"/>
      <w:r w:rsidRPr="00F31CC0">
        <w:rPr>
          <w:bCs/>
          <w:color w:val="000000"/>
          <w:lang w:eastAsia="lt-LT"/>
        </w:rPr>
        <w:t>statino</w:t>
      </w:r>
      <w:proofErr w:type="spellEnd"/>
      <w:r w:rsidRPr="00F31CC0">
        <w:rPr>
          <w:bCs/>
          <w:color w:val="000000"/>
          <w:lang w:eastAsia="lt-LT"/>
        </w:rPr>
        <w:t xml:space="preserve"> </w:t>
      </w:r>
      <w:proofErr w:type="spellStart"/>
      <w:r w:rsidRPr="00F31CC0">
        <w:rPr>
          <w:bCs/>
          <w:color w:val="000000"/>
          <w:lang w:eastAsia="lt-LT"/>
        </w:rPr>
        <w:t>monoterapija</w:t>
      </w:r>
      <w:proofErr w:type="spellEnd"/>
      <w:r w:rsidRPr="00F31CC0">
        <w:rPr>
          <w:bCs/>
          <w:color w:val="000000"/>
          <w:lang w:eastAsia="lt-LT"/>
        </w:rPr>
        <w:t>) neatitinka įprastinės klinikinės praktikos Lietuvoje.</w:t>
      </w:r>
    </w:p>
    <w:p w14:paraId="31E3F3EF" w14:textId="77777777" w:rsidR="00320278" w:rsidRPr="00F31CC0" w:rsidRDefault="00320278" w:rsidP="00F31CC0">
      <w:pPr>
        <w:widowControl w:val="0"/>
        <w:spacing w:line="276" w:lineRule="auto"/>
        <w:ind w:firstLine="720"/>
        <w:jc w:val="both"/>
        <w:rPr>
          <w:bCs/>
          <w:color w:val="000000"/>
          <w:lang w:eastAsia="lt-LT"/>
        </w:rPr>
      </w:pPr>
      <w:r w:rsidRPr="00F31CC0">
        <w:rPr>
          <w:bCs/>
          <w:color w:val="000000"/>
          <w:lang w:eastAsia="lt-LT"/>
        </w:rPr>
        <w:t xml:space="preserve">Vertinant pareiškėjo siūlomas skyrimo sąlygas </w:t>
      </w:r>
      <w:proofErr w:type="spellStart"/>
      <w:r w:rsidRPr="00F31CC0">
        <w:rPr>
          <w:bCs/>
          <w:color w:val="000000"/>
          <w:lang w:eastAsia="lt-LT"/>
        </w:rPr>
        <w:t>statinus</w:t>
      </w:r>
      <w:proofErr w:type="spellEnd"/>
      <w:r w:rsidRPr="00F31CC0">
        <w:rPr>
          <w:bCs/>
          <w:color w:val="000000"/>
          <w:lang w:eastAsia="lt-LT"/>
        </w:rPr>
        <w:t xml:space="preserve"> netoleruojančių pacientų populiacijoje („</w:t>
      </w:r>
      <w:r w:rsidRPr="00F31CC0">
        <w:rPr>
          <w:bCs/>
          <w:lang w:eastAsia="lt-LT"/>
        </w:rPr>
        <w:t xml:space="preserve">jei </w:t>
      </w:r>
      <w:proofErr w:type="spellStart"/>
      <w:r w:rsidRPr="00F31CC0">
        <w:rPr>
          <w:bCs/>
          <w:lang w:eastAsia="lt-LT"/>
        </w:rPr>
        <w:t>statinų</w:t>
      </w:r>
      <w:proofErr w:type="spellEnd"/>
      <w:r w:rsidRPr="00F31CC0">
        <w:rPr>
          <w:bCs/>
          <w:lang w:eastAsia="lt-LT"/>
        </w:rPr>
        <w:t xml:space="preserve"> grupės vaistiniai preparatai netoleruojami ar juos vartoti draudžiama“ nenurodant jokios informacijos apie </w:t>
      </w:r>
      <w:proofErr w:type="spellStart"/>
      <w:r w:rsidRPr="00F31CC0">
        <w:rPr>
          <w:bCs/>
          <w:lang w:eastAsia="lt-LT"/>
        </w:rPr>
        <w:t>ezetimibo</w:t>
      </w:r>
      <w:proofErr w:type="spellEnd"/>
      <w:r w:rsidRPr="00F31CC0">
        <w:rPr>
          <w:bCs/>
          <w:lang w:eastAsia="lt-LT"/>
        </w:rPr>
        <w:t xml:space="preserve"> vartojimą), CLEAR </w:t>
      </w:r>
      <w:proofErr w:type="spellStart"/>
      <w:r w:rsidRPr="00F31CC0">
        <w:rPr>
          <w:bCs/>
          <w:color w:val="000000"/>
          <w:lang w:eastAsia="lt-LT"/>
        </w:rPr>
        <w:t>Outcomes</w:t>
      </w:r>
      <w:proofErr w:type="spellEnd"/>
      <w:r w:rsidRPr="00F31CC0">
        <w:rPr>
          <w:bCs/>
          <w:color w:val="000000"/>
          <w:lang w:eastAsia="lt-LT"/>
        </w:rPr>
        <w:t xml:space="preserve"> tyrime dalies pacientų vartota </w:t>
      </w:r>
      <w:proofErr w:type="spellStart"/>
      <w:r w:rsidRPr="00F31CC0">
        <w:rPr>
          <w:bCs/>
          <w:color w:val="000000"/>
          <w:lang w:eastAsia="lt-LT"/>
        </w:rPr>
        <w:t>ezetimibo</w:t>
      </w:r>
      <w:proofErr w:type="spellEnd"/>
      <w:r w:rsidRPr="00F31CC0">
        <w:rPr>
          <w:bCs/>
          <w:color w:val="000000"/>
          <w:lang w:eastAsia="lt-LT"/>
        </w:rPr>
        <w:t xml:space="preserve"> </w:t>
      </w:r>
      <w:proofErr w:type="spellStart"/>
      <w:r w:rsidRPr="00F31CC0">
        <w:rPr>
          <w:bCs/>
          <w:color w:val="000000"/>
          <w:lang w:eastAsia="lt-LT"/>
        </w:rPr>
        <w:t>monoterapija</w:t>
      </w:r>
      <w:proofErr w:type="spellEnd"/>
      <w:r w:rsidRPr="00F31CC0">
        <w:rPr>
          <w:bCs/>
          <w:color w:val="000000"/>
          <w:lang w:eastAsia="lt-LT"/>
        </w:rPr>
        <w:t xml:space="preserve"> (placebo grupėje) atitiktų įprastinę klinikinę praktiką Lietuvoje. Jei pareiškėjas siūlytų </w:t>
      </w:r>
      <w:proofErr w:type="spellStart"/>
      <w:r w:rsidRPr="00F31CC0">
        <w:rPr>
          <w:bCs/>
          <w:color w:val="000000"/>
          <w:lang w:eastAsia="lt-LT"/>
        </w:rPr>
        <w:t>bempedono</w:t>
      </w:r>
      <w:proofErr w:type="spellEnd"/>
      <w:r w:rsidRPr="00F31CC0">
        <w:rPr>
          <w:bCs/>
          <w:color w:val="000000"/>
          <w:lang w:eastAsia="lt-LT"/>
        </w:rPr>
        <w:t xml:space="preserve"> rūgštį skirti kaip pirmos eilės gydymą, CLEAR </w:t>
      </w:r>
      <w:proofErr w:type="spellStart"/>
      <w:r w:rsidRPr="00F31CC0">
        <w:rPr>
          <w:bCs/>
          <w:color w:val="000000"/>
          <w:lang w:eastAsia="lt-LT"/>
        </w:rPr>
        <w:t>Tranqulity</w:t>
      </w:r>
      <w:proofErr w:type="spellEnd"/>
      <w:r w:rsidRPr="00F31CC0">
        <w:rPr>
          <w:bCs/>
          <w:color w:val="000000"/>
          <w:lang w:eastAsia="lt-LT"/>
        </w:rPr>
        <w:t xml:space="preserve">, CLEAR </w:t>
      </w:r>
      <w:proofErr w:type="spellStart"/>
      <w:r w:rsidRPr="00F31CC0">
        <w:rPr>
          <w:bCs/>
          <w:color w:val="000000"/>
          <w:lang w:eastAsia="lt-LT"/>
        </w:rPr>
        <w:t>Serenity</w:t>
      </w:r>
      <w:proofErr w:type="spellEnd"/>
      <w:r w:rsidRPr="00F31CC0">
        <w:rPr>
          <w:bCs/>
          <w:color w:val="000000"/>
          <w:lang w:eastAsia="lt-LT"/>
        </w:rPr>
        <w:t xml:space="preserve"> ir CLEAR </w:t>
      </w:r>
      <w:proofErr w:type="spellStart"/>
      <w:r w:rsidRPr="00F31CC0">
        <w:rPr>
          <w:bCs/>
          <w:color w:val="000000"/>
          <w:lang w:eastAsia="lt-LT"/>
        </w:rPr>
        <w:t>Outcomes</w:t>
      </w:r>
      <w:proofErr w:type="spellEnd"/>
      <w:r w:rsidRPr="00F31CC0">
        <w:rPr>
          <w:bCs/>
          <w:color w:val="000000"/>
          <w:lang w:eastAsia="lt-LT"/>
        </w:rPr>
        <w:t xml:space="preserve"> tyrimų palyginamasis gydymas yra netinkamas, nes </w:t>
      </w:r>
      <w:proofErr w:type="spellStart"/>
      <w:r w:rsidRPr="00F31CC0">
        <w:rPr>
          <w:bCs/>
          <w:color w:val="000000"/>
          <w:lang w:eastAsia="lt-LT"/>
        </w:rPr>
        <w:t>bempedono</w:t>
      </w:r>
      <w:proofErr w:type="spellEnd"/>
      <w:r w:rsidRPr="00F31CC0">
        <w:rPr>
          <w:bCs/>
          <w:color w:val="000000"/>
          <w:lang w:eastAsia="lt-LT"/>
        </w:rPr>
        <w:t xml:space="preserve"> rūgštis turėtų būti lyginama su </w:t>
      </w:r>
      <w:proofErr w:type="spellStart"/>
      <w:r w:rsidRPr="00F31CC0">
        <w:rPr>
          <w:bCs/>
          <w:color w:val="000000"/>
          <w:lang w:eastAsia="lt-LT"/>
        </w:rPr>
        <w:t>ezetimibu</w:t>
      </w:r>
      <w:proofErr w:type="spellEnd"/>
      <w:r w:rsidRPr="00F31CC0">
        <w:rPr>
          <w:bCs/>
          <w:color w:val="000000"/>
          <w:lang w:eastAsia="lt-LT"/>
        </w:rPr>
        <w:t>.</w:t>
      </w:r>
    </w:p>
    <w:p w14:paraId="1111D724" w14:textId="77777777" w:rsidR="00320278" w:rsidRPr="00F31CC0" w:rsidRDefault="00320278" w:rsidP="00F31CC0">
      <w:pPr>
        <w:widowControl w:val="0"/>
        <w:spacing w:line="276" w:lineRule="auto"/>
        <w:ind w:firstLine="720"/>
        <w:jc w:val="both"/>
        <w:rPr>
          <w:i/>
        </w:rPr>
      </w:pPr>
      <w:r w:rsidRPr="00F31CC0">
        <w:rPr>
          <w:bCs/>
          <w:color w:val="000000"/>
          <w:lang w:eastAsia="lt-LT"/>
        </w:rPr>
        <w:t xml:space="preserve">Vertinant tyrimų duomenis </w:t>
      </w:r>
      <w:proofErr w:type="spellStart"/>
      <w:r w:rsidRPr="00F31CC0">
        <w:rPr>
          <w:bCs/>
          <w:color w:val="000000"/>
          <w:lang w:eastAsia="lt-LT"/>
        </w:rPr>
        <w:t>statinus</w:t>
      </w:r>
      <w:proofErr w:type="spellEnd"/>
      <w:r w:rsidRPr="00F31CC0">
        <w:rPr>
          <w:bCs/>
          <w:color w:val="000000"/>
          <w:lang w:eastAsia="lt-LT"/>
        </w:rPr>
        <w:t xml:space="preserve"> netoleruojančių pacientų populiacijoje,</w:t>
      </w:r>
      <w:r w:rsidRPr="00F31CC0">
        <w:t xml:space="preserve"> </w:t>
      </w:r>
      <w:r w:rsidRPr="00F31CC0">
        <w:rPr>
          <w:bCs/>
          <w:color w:val="000000"/>
          <w:lang w:eastAsia="lt-LT"/>
        </w:rPr>
        <w:t xml:space="preserve">BR gebėjimą reikšmingai mažinti lipidų kiekį skiriant gydymą kartu su </w:t>
      </w:r>
      <w:proofErr w:type="spellStart"/>
      <w:r w:rsidRPr="00F31CC0">
        <w:rPr>
          <w:bCs/>
          <w:color w:val="000000"/>
          <w:lang w:eastAsia="lt-LT"/>
        </w:rPr>
        <w:t>ezetimibu</w:t>
      </w:r>
      <w:proofErr w:type="spellEnd"/>
      <w:r w:rsidRPr="00F31CC0">
        <w:rPr>
          <w:bCs/>
          <w:color w:val="000000"/>
          <w:lang w:eastAsia="lt-LT"/>
        </w:rPr>
        <w:t xml:space="preserve"> patvirtina CLEAR </w:t>
      </w:r>
      <w:proofErr w:type="spellStart"/>
      <w:r w:rsidRPr="00F31CC0">
        <w:rPr>
          <w:bCs/>
          <w:color w:val="000000"/>
          <w:lang w:eastAsia="lt-LT"/>
        </w:rPr>
        <w:t>Tranquility</w:t>
      </w:r>
      <w:proofErr w:type="spellEnd"/>
      <w:r w:rsidRPr="00F31CC0">
        <w:rPr>
          <w:bCs/>
          <w:color w:val="000000"/>
          <w:lang w:eastAsia="lt-LT"/>
        </w:rPr>
        <w:t xml:space="preserve"> tyrimas, kuriame BR MTL-C koncentraciją sumažino beveik 28,5% (95% PI 34,4 – 22,5).</w:t>
      </w:r>
      <w:r w:rsidRPr="00F31CC0">
        <w:rPr>
          <w:i/>
        </w:rPr>
        <w:t xml:space="preserve"> </w:t>
      </w:r>
      <w:r w:rsidRPr="00F31CC0">
        <w:rPr>
          <w:iCs/>
        </w:rPr>
        <w:t xml:space="preserve">CLEAR </w:t>
      </w:r>
      <w:proofErr w:type="spellStart"/>
      <w:r w:rsidRPr="00F31CC0">
        <w:rPr>
          <w:iCs/>
        </w:rPr>
        <w:t>Outcomes</w:t>
      </w:r>
      <w:proofErr w:type="spellEnd"/>
      <w:r w:rsidRPr="00F31CC0">
        <w:rPr>
          <w:iCs/>
        </w:rPr>
        <w:t xml:space="preserve"> tyrimas buvo vienintelis tyrimas, kuriame buvo vertiname kardiovaskulinių įvykių duomenys. Jame įrodyta, jog BR </w:t>
      </w:r>
      <w:proofErr w:type="spellStart"/>
      <w:r w:rsidRPr="00F31CC0">
        <w:rPr>
          <w:iCs/>
        </w:rPr>
        <w:t>monoterapija</w:t>
      </w:r>
      <w:proofErr w:type="spellEnd"/>
      <w:r w:rsidRPr="00F31CC0">
        <w:rPr>
          <w:iCs/>
        </w:rPr>
        <w:t xml:space="preserve"> 13% </w:t>
      </w:r>
      <w:r w:rsidRPr="00F31CC0">
        <w:rPr>
          <w:rFonts w:eastAsia="Arial"/>
          <w:bCs/>
        </w:rPr>
        <w:t>(RS 0,87; 95% PI 0,79 – 0,96; p=0,004)</w:t>
      </w:r>
      <w:r w:rsidRPr="00F31CC0">
        <w:rPr>
          <w:iCs/>
        </w:rPr>
        <w:t xml:space="preserve"> sumažino bet kokio vertinto kardiovaskulinio įvykio (mirties nuo ŠKL, nemirtino miokardo infarkto ar insulto, vainikinių arterijų </w:t>
      </w:r>
      <w:proofErr w:type="spellStart"/>
      <w:r w:rsidRPr="00F31CC0">
        <w:rPr>
          <w:iCs/>
        </w:rPr>
        <w:t>revaskuliarizacijos</w:t>
      </w:r>
      <w:proofErr w:type="spellEnd"/>
      <w:r w:rsidRPr="00F31CC0">
        <w:rPr>
          <w:iCs/>
        </w:rPr>
        <w:t xml:space="preserve">) riziką, </w:t>
      </w:r>
      <w:r w:rsidRPr="00F31CC0">
        <w:rPr>
          <w:rFonts w:eastAsia="Arial"/>
          <w:bCs/>
        </w:rPr>
        <w:t>lyginant su placebo.</w:t>
      </w:r>
    </w:p>
    <w:p w14:paraId="74774635" w14:textId="77777777" w:rsidR="00320278" w:rsidRPr="00F31CC0" w:rsidRDefault="00320278" w:rsidP="00F31CC0">
      <w:pPr>
        <w:widowControl w:val="0"/>
        <w:spacing w:line="276" w:lineRule="auto"/>
        <w:ind w:firstLine="720"/>
        <w:jc w:val="both"/>
        <w:rPr>
          <w:iCs/>
        </w:rPr>
      </w:pPr>
      <w:r w:rsidRPr="00F31CC0">
        <w:rPr>
          <w:iCs/>
        </w:rPr>
        <w:t xml:space="preserve">Nors CLEAR </w:t>
      </w:r>
      <w:proofErr w:type="spellStart"/>
      <w:r w:rsidRPr="00F31CC0">
        <w:rPr>
          <w:iCs/>
        </w:rPr>
        <w:t>Outcomes</w:t>
      </w:r>
      <w:proofErr w:type="spellEnd"/>
      <w:r w:rsidRPr="00F31CC0">
        <w:rPr>
          <w:iCs/>
        </w:rPr>
        <w:t xml:space="preserve"> tyrime dvigubą gydymą (</w:t>
      </w:r>
      <w:proofErr w:type="spellStart"/>
      <w:r w:rsidRPr="00F31CC0">
        <w:rPr>
          <w:iCs/>
        </w:rPr>
        <w:t>ezetimibo</w:t>
      </w:r>
      <w:proofErr w:type="spellEnd"/>
      <w:r w:rsidRPr="00F31CC0">
        <w:rPr>
          <w:iCs/>
        </w:rPr>
        <w:t xml:space="preserve"> ir BR/placebo derinį) gavusių pacientų buvo nedaug (11,5%; 1612 iš 13970 pacientų), klinikinėje praktikoje išlieka nepatenkintas gydymo poreikis (angl. </w:t>
      </w:r>
      <w:proofErr w:type="spellStart"/>
      <w:r w:rsidRPr="00F31CC0">
        <w:rPr>
          <w:i/>
        </w:rPr>
        <w:t>unmet</w:t>
      </w:r>
      <w:proofErr w:type="spellEnd"/>
      <w:r w:rsidRPr="00F31CC0">
        <w:rPr>
          <w:i/>
        </w:rPr>
        <w:t xml:space="preserve"> </w:t>
      </w:r>
      <w:proofErr w:type="spellStart"/>
      <w:r w:rsidRPr="00F31CC0">
        <w:rPr>
          <w:i/>
        </w:rPr>
        <w:t>medical</w:t>
      </w:r>
      <w:proofErr w:type="spellEnd"/>
      <w:r w:rsidRPr="00F31CC0">
        <w:rPr>
          <w:i/>
        </w:rPr>
        <w:t xml:space="preserve"> </w:t>
      </w:r>
      <w:proofErr w:type="spellStart"/>
      <w:r w:rsidRPr="00F31CC0">
        <w:rPr>
          <w:i/>
        </w:rPr>
        <w:t>need</w:t>
      </w:r>
      <w:proofErr w:type="spellEnd"/>
      <w:r w:rsidRPr="00F31CC0">
        <w:rPr>
          <w:iCs/>
        </w:rPr>
        <w:t xml:space="preserve">) šioje populiacijoje, kuriems nepaisant gydymo </w:t>
      </w:r>
      <w:proofErr w:type="spellStart"/>
      <w:r w:rsidRPr="00F31CC0">
        <w:rPr>
          <w:iCs/>
        </w:rPr>
        <w:t>ezetimibu</w:t>
      </w:r>
      <w:proofErr w:type="spellEnd"/>
      <w:r w:rsidRPr="00F31CC0">
        <w:rPr>
          <w:iCs/>
        </w:rPr>
        <w:t xml:space="preserve"> nepasiekiamos rekomenduojamos MTL-C reikšmės. Įvertinus šių tyrimų duomenis ir atsižvelgiant į jų neapibrėžtumą, daroma prielaida, kad gydymo </w:t>
      </w:r>
      <w:proofErr w:type="spellStart"/>
      <w:r w:rsidRPr="00F31CC0">
        <w:rPr>
          <w:iCs/>
        </w:rPr>
        <w:t>ezetimibu</w:t>
      </w:r>
      <w:proofErr w:type="spellEnd"/>
      <w:r w:rsidRPr="00F31CC0">
        <w:rPr>
          <w:iCs/>
        </w:rPr>
        <w:t xml:space="preserve"> papildymas BR labai didelės rizikos </w:t>
      </w:r>
      <w:proofErr w:type="spellStart"/>
      <w:r w:rsidRPr="00F31CC0">
        <w:rPr>
          <w:iCs/>
        </w:rPr>
        <w:t>statinų</w:t>
      </w:r>
      <w:proofErr w:type="spellEnd"/>
      <w:r w:rsidRPr="00F31CC0">
        <w:rPr>
          <w:iCs/>
        </w:rPr>
        <w:t xml:space="preserve"> netoleruojantiems pacientams, kuriems nepasiekiamos tikslinės MTL-C reikšmės, sukuriama papildoma klinikinė nauda.</w:t>
      </w:r>
    </w:p>
    <w:p w14:paraId="1ECD600F" w14:textId="77777777" w:rsidR="00320278" w:rsidRPr="00F31CC0" w:rsidRDefault="00320278" w:rsidP="00F31CC0">
      <w:pPr>
        <w:widowControl w:val="0"/>
        <w:spacing w:line="276" w:lineRule="auto"/>
        <w:ind w:firstLine="720"/>
        <w:jc w:val="both"/>
        <w:rPr>
          <w:bCs/>
          <w:color w:val="000000"/>
          <w:lang w:eastAsia="lt-LT"/>
        </w:rPr>
      </w:pPr>
      <w:r w:rsidRPr="00F31CC0">
        <w:rPr>
          <w:bCs/>
          <w:color w:val="000000"/>
          <w:lang w:eastAsia="lt-LT"/>
        </w:rPr>
        <w:t xml:space="preserve">Vertinant duomenis </w:t>
      </w:r>
      <w:proofErr w:type="spellStart"/>
      <w:r w:rsidRPr="00F31CC0">
        <w:rPr>
          <w:bCs/>
          <w:color w:val="000000"/>
          <w:lang w:eastAsia="lt-LT"/>
        </w:rPr>
        <w:t>statinus</w:t>
      </w:r>
      <w:proofErr w:type="spellEnd"/>
      <w:r w:rsidRPr="00F31CC0">
        <w:rPr>
          <w:bCs/>
          <w:color w:val="000000"/>
          <w:lang w:eastAsia="lt-LT"/>
        </w:rPr>
        <w:t xml:space="preserve"> toleruojančių pacientų populiacijoje, </w:t>
      </w:r>
      <w:proofErr w:type="spellStart"/>
      <w:r w:rsidRPr="00F31CC0">
        <w:rPr>
          <w:bCs/>
          <w:color w:val="000000"/>
          <w:lang w:eastAsia="lt-LT"/>
        </w:rPr>
        <w:t>statino</w:t>
      </w:r>
      <w:proofErr w:type="spellEnd"/>
      <w:r w:rsidRPr="00F31CC0">
        <w:rPr>
          <w:bCs/>
          <w:color w:val="000000"/>
          <w:lang w:eastAsia="lt-LT"/>
        </w:rPr>
        <w:t xml:space="preserve"> </w:t>
      </w:r>
      <w:proofErr w:type="spellStart"/>
      <w:r w:rsidRPr="00F31CC0">
        <w:rPr>
          <w:bCs/>
          <w:color w:val="000000"/>
          <w:lang w:eastAsia="lt-LT"/>
        </w:rPr>
        <w:t>monoterapijos</w:t>
      </w:r>
      <w:proofErr w:type="spellEnd"/>
      <w:r w:rsidRPr="00F31CC0">
        <w:rPr>
          <w:bCs/>
          <w:color w:val="000000"/>
          <w:lang w:eastAsia="lt-LT"/>
        </w:rPr>
        <w:t xml:space="preserve"> (daliai pacientų – su kitais </w:t>
      </w:r>
      <w:proofErr w:type="spellStart"/>
      <w:r w:rsidRPr="00F31CC0">
        <w:rPr>
          <w:bCs/>
          <w:color w:val="000000"/>
          <w:lang w:eastAsia="lt-LT"/>
        </w:rPr>
        <w:t>antilipidiniais</w:t>
      </w:r>
      <w:proofErr w:type="spellEnd"/>
      <w:r w:rsidRPr="00F31CC0">
        <w:rPr>
          <w:bCs/>
          <w:color w:val="000000"/>
          <w:lang w:eastAsia="lt-LT"/>
        </w:rPr>
        <w:t xml:space="preserve"> vaistiniais preparatais) papildymas BR mažina MTL-C koncentraciją prasčiau (mažiau nei 20%) nei pridėjus jį prie </w:t>
      </w:r>
      <w:proofErr w:type="spellStart"/>
      <w:r w:rsidRPr="00F31CC0">
        <w:rPr>
          <w:bCs/>
          <w:color w:val="000000"/>
          <w:lang w:eastAsia="lt-LT"/>
        </w:rPr>
        <w:t>ezetimibo</w:t>
      </w:r>
      <w:proofErr w:type="spellEnd"/>
      <w:r w:rsidRPr="00F31CC0">
        <w:rPr>
          <w:bCs/>
          <w:color w:val="000000"/>
          <w:lang w:eastAsia="lt-LT"/>
        </w:rPr>
        <w:t xml:space="preserve"> (tai dalinai paaiškina ir vaistinio preparato veikimo mechanizmas – </w:t>
      </w:r>
      <w:proofErr w:type="spellStart"/>
      <w:r w:rsidRPr="00F31CC0">
        <w:rPr>
          <w:bCs/>
          <w:color w:val="000000"/>
          <w:lang w:eastAsia="lt-LT"/>
        </w:rPr>
        <w:t>statinai</w:t>
      </w:r>
      <w:proofErr w:type="spellEnd"/>
      <w:r w:rsidRPr="00F31CC0">
        <w:rPr>
          <w:bCs/>
          <w:color w:val="000000"/>
          <w:lang w:eastAsia="lt-LT"/>
        </w:rPr>
        <w:t xml:space="preserve"> ir BR slopina cholesterolio sintezę toje pačioje biocheminėje grandyje). Atsižvelgiant į pareiškėjo teikiamas skyrimo sąlygas („vartojant didžiausią toleruojamą </w:t>
      </w:r>
      <w:proofErr w:type="spellStart"/>
      <w:r w:rsidRPr="00F31CC0">
        <w:rPr>
          <w:bCs/>
          <w:color w:val="000000"/>
          <w:lang w:eastAsia="lt-LT"/>
        </w:rPr>
        <w:t>statino</w:t>
      </w:r>
      <w:proofErr w:type="spellEnd"/>
      <w:r w:rsidRPr="00F31CC0">
        <w:rPr>
          <w:bCs/>
          <w:color w:val="000000"/>
          <w:lang w:eastAsia="lt-LT"/>
        </w:rPr>
        <w:t xml:space="preserve"> dozę kartu su </w:t>
      </w:r>
      <w:proofErr w:type="spellStart"/>
      <w:r w:rsidRPr="00F31CC0">
        <w:rPr>
          <w:bCs/>
          <w:color w:val="000000"/>
          <w:lang w:eastAsia="lt-LT"/>
        </w:rPr>
        <w:t>ezetimibu</w:t>
      </w:r>
      <w:proofErr w:type="spellEnd"/>
      <w:r w:rsidRPr="00F31CC0">
        <w:rPr>
          <w:bCs/>
          <w:color w:val="000000"/>
          <w:lang w:eastAsia="lt-LT"/>
        </w:rPr>
        <w:t xml:space="preserve">“), iš pateiktų duomenų taip pat nėra aišku, kaip atrodys </w:t>
      </w:r>
      <w:proofErr w:type="spellStart"/>
      <w:r w:rsidRPr="00F31CC0">
        <w:rPr>
          <w:bCs/>
          <w:color w:val="000000"/>
          <w:lang w:eastAsia="lt-LT"/>
        </w:rPr>
        <w:t>statino</w:t>
      </w:r>
      <w:proofErr w:type="spellEnd"/>
      <w:r w:rsidRPr="00F31CC0">
        <w:rPr>
          <w:bCs/>
          <w:color w:val="000000"/>
          <w:lang w:eastAsia="lt-LT"/>
        </w:rPr>
        <w:t xml:space="preserve">, </w:t>
      </w:r>
      <w:proofErr w:type="spellStart"/>
      <w:r w:rsidRPr="00F31CC0">
        <w:rPr>
          <w:bCs/>
          <w:color w:val="000000"/>
          <w:lang w:eastAsia="lt-LT"/>
        </w:rPr>
        <w:t>ezetimibo</w:t>
      </w:r>
      <w:proofErr w:type="spellEnd"/>
      <w:r w:rsidRPr="00F31CC0">
        <w:rPr>
          <w:bCs/>
          <w:color w:val="000000"/>
          <w:lang w:eastAsia="lt-LT"/>
        </w:rPr>
        <w:t xml:space="preserve"> ir BR derinio </w:t>
      </w:r>
      <w:proofErr w:type="spellStart"/>
      <w:r w:rsidRPr="00F31CC0">
        <w:rPr>
          <w:bCs/>
          <w:color w:val="000000"/>
          <w:lang w:eastAsia="lt-LT"/>
        </w:rPr>
        <w:t>antilipidinis</w:t>
      </w:r>
      <w:proofErr w:type="spellEnd"/>
      <w:r w:rsidRPr="00F31CC0">
        <w:rPr>
          <w:bCs/>
          <w:color w:val="000000"/>
          <w:lang w:eastAsia="lt-LT"/>
        </w:rPr>
        <w:t xml:space="preserve"> poveikis, lyginant su </w:t>
      </w:r>
      <w:proofErr w:type="spellStart"/>
      <w:r w:rsidRPr="00F31CC0">
        <w:rPr>
          <w:bCs/>
          <w:color w:val="000000"/>
          <w:lang w:eastAsia="lt-LT"/>
        </w:rPr>
        <w:t>statino</w:t>
      </w:r>
      <w:proofErr w:type="spellEnd"/>
      <w:r w:rsidRPr="00F31CC0">
        <w:rPr>
          <w:bCs/>
          <w:color w:val="000000"/>
          <w:lang w:eastAsia="lt-LT"/>
        </w:rPr>
        <w:t xml:space="preserve"> ir </w:t>
      </w:r>
      <w:proofErr w:type="spellStart"/>
      <w:r w:rsidRPr="00F31CC0">
        <w:rPr>
          <w:bCs/>
          <w:color w:val="000000"/>
          <w:lang w:eastAsia="lt-LT"/>
        </w:rPr>
        <w:t>ezetimibo</w:t>
      </w:r>
      <w:proofErr w:type="spellEnd"/>
      <w:r w:rsidRPr="00F31CC0">
        <w:rPr>
          <w:bCs/>
          <w:color w:val="000000"/>
          <w:lang w:eastAsia="lt-LT"/>
        </w:rPr>
        <w:t xml:space="preserve"> deriniu. Priešingai nei </w:t>
      </w:r>
      <w:proofErr w:type="spellStart"/>
      <w:r w:rsidRPr="00F31CC0">
        <w:rPr>
          <w:bCs/>
          <w:color w:val="000000"/>
          <w:lang w:eastAsia="lt-LT"/>
        </w:rPr>
        <w:t>statinų</w:t>
      </w:r>
      <w:proofErr w:type="spellEnd"/>
      <w:r w:rsidRPr="00F31CC0">
        <w:rPr>
          <w:bCs/>
          <w:color w:val="000000"/>
          <w:lang w:eastAsia="lt-LT"/>
        </w:rPr>
        <w:t xml:space="preserve"> netoleruojančių pacientų populiacijoje, </w:t>
      </w:r>
      <w:proofErr w:type="spellStart"/>
      <w:r w:rsidRPr="00F31CC0">
        <w:rPr>
          <w:bCs/>
          <w:color w:val="000000"/>
          <w:lang w:eastAsia="lt-LT"/>
        </w:rPr>
        <w:t>statinus</w:t>
      </w:r>
      <w:proofErr w:type="spellEnd"/>
      <w:r w:rsidRPr="00F31CC0">
        <w:rPr>
          <w:bCs/>
          <w:color w:val="000000"/>
          <w:lang w:eastAsia="lt-LT"/>
        </w:rPr>
        <w:t xml:space="preserve"> toleruojančių pacientų </w:t>
      </w:r>
      <w:proofErr w:type="spellStart"/>
      <w:r w:rsidRPr="00F31CC0">
        <w:rPr>
          <w:bCs/>
          <w:color w:val="000000"/>
          <w:lang w:eastAsia="lt-LT"/>
        </w:rPr>
        <w:t>populiacije</w:t>
      </w:r>
      <w:proofErr w:type="spellEnd"/>
      <w:r w:rsidRPr="00F31CC0">
        <w:rPr>
          <w:bCs/>
          <w:color w:val="000000"/>
          <w:lang w:eastAsia="lt-LT"/>
        </w:rPr>
        <w:t xml:space="preserve"> nėra kardiovaskulinių baigčių duomenų. Apibendrinant tai, kas išdėstyta, CLEAR </w:t>
      </w:r>
      <w:proofErr w:type="spellStart"/>
      <w:r w:rsidRPr="00F31CC0">
        <w:rPr>
          <w:bCs/>
          <w:color w:val="000000"/>
          <w:lang w:eastAsia="lt-LT"/>
        </w:rPr>
        <w:t>Wisdom</w:t>
      </w:r>
      <w:proofErr w:type="spellEnd"/>
      <w:r w:rsidRPr="00F31CC0">
        <w:rPr>
          <w:bCs/>
          <w:color w:val="000000"/>
          <w:lang w:eastAsia="lt-LT"/>
        </w:rPr>
        <w:t xml:space="preserve"> ir CLEAR </w:t>
      </w:r>
      <w:proofErr w:type="spellStart"/>
      <w:r w:rsidRPr="00F31CC0">
        <w:rPr>
          <w:bCs/>
          <w:color w:val="000000"/>
          <w:lang w:eastAsia="lt-LT"/>
        </w:rPr>
        <w:t>Harmony</w:t>
      </w:r>
      <w:proofErr w:type="spellEnd"/>
      <w:r w:rsidRPr="00F31CC0">
        <w:rPr>
          <w:bCs/>
          <w:color w:val="000000"/>
          <w:lang w:eastAsia="lt-LT"/>
        </w:rPr>
        <w:t xml:space="preserve"> tyrimų duomenys nepagrindžia papildomos gydymo </w:t>
      </w:r>
      <w:proofErr w:type="spellStart"/>
      <w:r w:rsidRPr="00F31CC0">
        <w:rPr>
          <w:bCs/>
          <w:color w:val="000000"/>
          <w:lang w:eastAsia="lt-LT"/>
        </w:rPr>
        <w:t>statinu</w:t>
      </w:r>
      <w:proofErr w:type="spellEnd"/>
      <w:r w:rsidRPr="00F31CC0">
        <w:rPr>
          <w:bCs/>
          <w:color w:val="000000"/>
          <w:lang w:eastAsia="lt-LT"/>
        </w:rPr>
        <w:t xml:space="preserve"> ir </w:t>
      </w:r>
      <w:proofErr w:type="spellStart"/>
      <w:r w:rsidRPr="00F31CC0">
        <w:rPr>
          <w:bCs/>
          <w:color w:val="000000"/>
          <w:lang w:eastAsia="lt-LT"/>
        </w:rPr>
        <w:t>ezetimibu</w:t>
      </w:r>
      <w:proofErr w:type="spellEnd"/>
      <w:r w:rsidRPr="00F31CC0">
        <w:rPr>
          <w:bCs/>
          <w:color w:val="000000"/>
          <w:lang w:eastAsia="lt-LT"/>
        </w:rPr>
        <w:t xml:space="preserve"> papildymo BR klinikinės naudos.</w:t>
      </w:r>
    </w:p>
    <w:p w14:paraId="47EADC37" w14:textId="77777777" w:rsidR="00320278" w:rsidRPr="00F31CC0" w:rsidRDefault="00320278" w:rsidP="00F31CC0">
      <w:pPr>
        <w:widowControl w:val="0"/>
        <w:spacing w:line="276" w:lineRule="auto"/>
        <w:jc w:val="both"/>
        <w:rPr>
          <w:bCs/>
          <w:color w:val="000000"/>
          <w:lang w:eastAsia="lt-LT"/>
        </w:rPr>
      </w:pPr>
      <w:r w:rsidRPr="00F31CC0">
        <w:rPr>
          <w:bCs/>
          <w:color w:val="000000"/>
          <w:lang w:eastAsia="lt-LT"/>
        </w:rPr>
        <w:tab/>
        <w:t>Vertinant saugumo duomenis, reikšmingų problemų nenustatyta.</w:t>
      </w:r>
    </w:p>
    <w:p w14:paraId="180F0FBC" w14:textId="77777777" w:rsidR="00320278" w:rsidRPr="00F31CC0" w:rsidRDefault="00320278" w:rsidP="00F31CC0">
      <w:pPr>
        <w:widowControl w:val="0"/>
        <w:spacing w:line="276" w:lineRule="auto"/>
        <w:jc w:val="both"/>
        <w:rPr>
          <w:bCs/>
          <w:color w:val="000000"/>
          <w:lang w:eastAsia="lt-LT"/>
        </w:rPr>
      </w:pPr>
    </w:p>
    <w:p w14:paraId="14DB6C67" w14:textId="77777777" w:rsidR="00320278" w:rsidRPr="00F31CC0" w:rsidRDefault="00320278" w:rsidP="00F31CC0">
      <w:pPr>
        <w:widowControl w:val="0"/>
        <w:spacing w:line="276" w:lineRule="auto"/>
        <w:jc w:val="both"/>
        <w:rPr>
          <w:bCs/>
          <w:i/>
          <w:iCs/>
          <w:color w:val="000000"/>
          <w:lang w:eastAsia="lt-LT"/>
        </w:rPr>
      </w:pPr>
      <w:r w:rsidRPr="00F31CC0">
        <w:rPr>
          <w:bCs/>
          <w:i/>
          <w:iCs/>
          <w:color w:val="000000"/>
          <w:lang w:eastAsia="lt-LT"/>
        </w:rPr>
        <w:t>Netiesioginis palyginimas</w:t>
      </w:r>
    </w:p>
    <w:p w14:paraId="40DA5B5F" w14:textId="77777777" w:rsidR="00320278" w:rsidRPr="00F31CC0" w:rsidRDefault="00320278" w:rsidP="00F31CC0">
      <w:pPr>
        <w:spacing w:line="276" w:lineRule="auto"/>
        <w:contextualSpacing/>
        <w:jc w:val="both"/>
      </w:pPr>
    </w:p>
    <w:p w14:paraId="13F02EF2" w14:textId="77777777" w:rsidR="00320278" w:rsidRPr="00F31CC0" w:rsidRDefault="00320278" w:rsidP="00F31CC0">
      <w:pPr>
        <w:spacing w:line="276" w:lineRule="auto"/>
        <w:ind w:firstLine="720"/>
        <w:contextualSpacing/>
        <w:jc w:val="both"/>
        <w:rPr>
          <w:rFonts w:eastAsia="Arial"/>
          <w:bCs/>
        </w:rPr>
      </w:pPr>
      <w:r w:rsidRPr="00F31CC0">
        <w:rPr>
          <w:bCs/>
          <w:color w:val="000000"/>
          <w:lang w:eastAsia="lt-LT"/>
        </w:rPr>
        <w:t xml:space="preserve">Palyginamasis veiksmingumas grindžiamas trimis BR, </w:t>
      </w:r>
      <w:proofErr w:type="spellStart"/>
      <w:r w:rsidRPr="00F31CC0">
        <w:rPr>
          <w:bCs/>
          <w:color w:val="000000"/>
          <w:lang w:eastAsia="lt-LT"/>
        </w:rPr>
        <w:t>ezetimibo</w:t>
      </w:r>
      <w:proofErr w:type="spellEnd"/>
      <w:r w:rsidRPr="00F31CC0">
        <w:rPr>
          <w:bCs/>
          <w:color w:val="000000"/>
          <w:lang w:eastAsia="lt-LT"/>
        </w:rPr>
        <w:t xml:space="preserve">, PCSK9 grandį veikiančių vaistinių preparatų tinklinėmis meta-analizėmis skirtingose pacientų populiacijose – pacientų, kuriems nustatyta padidėjusi ŠKL išsivystymo rizika, </w:t>
      </w:r>
      <w:proofErr w:type="spellStart"/>
      <w:r w:rsidRPr="00F31CC0">
        <w:rPr>
          <w:bCs/>
          <w:color w:val="000000"/>
          <w:lang w:eastAsia="lt-LT"/>
        </w:rPr>
        <w:t>statinų</w:t>
      </w:r>
      <w:proofErr w:type="spellEnd"/>
      <w:r w:rsidRPr="00F31CC0">
        <w:rPr>
          <w:bCs/>
          <w:color w:val="000000"/>
          <w:lang w:eastAsia="lt-LT"/>
        </w:rPr>
        <w:t xml:space="preserve"> toleruojančių ir netoleruojančių pacientų, kuriems nenustatyta ŠKL</w:t>
      </w:r>
      <w:r w:rsidRPr="00F31CC0">
        <w:rPr>
          <w:rFonts w:eastAsia="Arial"/>
          <w:bCs/>
        </w:rPr>
        <w:t xml:space="preserve">. Pasirinktos populiacijos įvertintos kaip atitinkančios Lietuvos pacientų, kuriems nustatyta </w:t>
      </w:r>
      <w:proofErr w:type="spellStart"/>
      <w:r w:rsidRPr="00F31CC0">
        <w:rPr>
          <w:rFonts w:eastAsia="Arial"/>
          <w:bCs/>
        </w:rPr>
        <w:t>dislipidemija</w:t>
      </w:r>
      <w:proofErr w:type="spellEnd"/>
      <w:r w:rsidRPr="00F31CC0">
        <w:rPr>
          <w:rFonts w:eastAsia="Arial"/>
          <w:bCs/>
        </w:rPr>
        <w:t xml:space="preserve">, populiaciją. Atkreiptinas dėmesys, jog netiesioginio palyginimo duomenys su PCSK9 grandį veikiančiais preparatais nėra aktualūs šios paraiškos vertinimui, todėl didžiausias dėmesys buvo skiriamas BR ir </w:t>
      </w:r>
      <w:proofErr w:type="spellStart"/>
      <w:r w:rsidRPr="00F31CC0">
        <w:rPr>
          <w:rFonts w:eastAsia="Arial"/>
          <w:bCs/>
        </w:rPr>
        <w:t>ezetimibo</w:t>
      </w:r>
      <w:proofErr w:type="spellEnd"/>
      <w:r w:rsidRPr="00F31CC0">
        <w:rPr>
          <w:rFonts w:eastAsia="Arial"/>
          <w:bCs/>
        </w:rPr>
        <w:t xml:space="preserve"> netiesioginio palyginimo duomenims.</w:t>
      </w:r>
    </w:p>
    <w:p w14:paraId="0045AED1" w14:textId="77777777" w:rsidR="00320278" w:rsidRPr="00F31CC0" w:rsidRDefault="00320278" w:rsidP="00F31CC0">
      <w:pPr>
        <w:spacing w:line="276" w:lineRule="auto"/>
        <w:ind w:firstLine="720"/>
        <w:contextualSpacing/>
        <w:jc w:val="both"/>
        <w:rPr>
          <w:rFonts w:eastAsia="Arial"/>
          <w:bCs/>
        </w:rPr>
      </w:pPr>
      <w:r w:rsidRPr="00F31CC0">
        <w:rPr>
          <w:rFonts w:eastAsia="Arial"/>
          <w:bCs/>
        </w:rPr>
        <w:t xml:space="preserve">Pirmojoje tinklinėje meta-analizėje (pacientai, kuriems nustatyta padidėjusi ŠKL išsivystymo rizika) netiesioginis </w:t>
      </w:r>
      <w:proofErr w:type="spellStart"/>
      <w:r w:rsidRPr="00F31CC0">
        <w:rPr>
          <w:rFonts w:eastAsia="Arial"/>
          <w:bCs/>
        </w:rPr>
        <w:t>ezetimibo</w:t>
      </w:r>
      <w:proofErr w:type="spellEnd"/>
      <w:r w:rsidRPr="00F31CC0">
        <w:rPr>
          <w:rFonts w:eastAsia="Arial"/>
          <w:bCs/>
        </w:rPr>
        <w:t xml:space="preserve"> ir BR palyginimas buvo atliekamas naudojant IMPROVE-IT (vidutinio intensyvumo </w:t>
      </w:r>
      <w:proofErr w:type="spellStart"/>
      <w:r w:rsidRPr="00F31CC0">
        <w:rPr>
          <w:rFonts w:eastAsia="Arial"/>
          <w:bCs/>
        </w:rPr>
        <w:t>statino</w:t>
      </w:r>
      <w:proofErr w:type="spellEnd"/>
      <w:r w:rsidRPr="00F31CC0">
        <w:rPr>
          <w:rFonts w:eastAsia="Arial"/>
          <w:bCs/>
        </w:rPr>
        <w:t xml:space="preserve"> ir placebo derinys lyginamas su </w:t>
      </w:r>
      <w:proofErr w:type="spellStart"/>
      <w:r w:rsidRPr="00F31CC0">
        <w:rPr>
          <w:rFonts w:eastAsia="Arial"/>
          <w:bCs/>
        </w:rPr>
        <w:t>statino</w:t>
      </w:r>
      <w:proofErr w:type="spellEnd"/>
      <w:r w:rsidRPr="00F31CC0">
        <w:rPr>
          <w:rFonts w:eastAsia="Arial"/>
          <w:bCs/>
        </w:rPr>
        <w:t xml:space="preserve"> ir </w:t>
      </w:r>
      <w:proofErr w:type="spellStart"/>
      <w:r w:rsidRPr="00F31CC0">
        <w:rPr>
          <w:rFonts w:eastAsia="Arial"/>
          <w:bCs/>
        </w:rPr>
        <w:t>ezetimibo</w:t>
      </w:r>
      <w:proofErr w:type="spellEnd"/>
      <w:r w:rsidRPr="00F31CC0">
        <w:rPr>
          <w:rFonts w:eastAsia="Arial"/>
          <w:bCs/>
        </w:rPr>
        <w:t xml:space="preserve"> deriniu) ir CLEAR </w:t>
      </w:r>
      <w:proofErr w:type="spellStart"/>
      <w:r w:rsidRPr="00F31CC0">
        <w:rPr>
          <w:rFonts w:eastAsia="Arial"/>
          <w:bCs/>
        </w:rPr>
        <w:t>Outcomes</w:t>
      </w:r>
      <w:proofErr w:type="spellEnd"/>
      <w:r w:rsidRPr="00F31CC0">
        <w:rPr>
          <w:rFonts w:eastAsia="Arial"/>
          <w:bCs/>
        </w:rPr>
        <w:t xml:space="preserve"> (placebo lyginamas su BR) tyrimus. Analizė atlikta darant prielaidą, jog CLEAR </w:t>
      </w:r>
      <w:proofErr w:type="spellStart"/>
      <w:r w:rsidRPr="00F31CC0">
        <w:rPr>
          <w:rFonts w:eastAsia="Arial"/>
          <w:bCs/>
        </w:rPr>
        <w:t>Outcomes</w:t>
      </w:r>
      <w:proofErr w:type="spellEnd"/>
      <w:r w:rsidRPr="00F31CC0">
        <w:rPr>
          <w:rFonts w:eastAsia="Arial"/>
          <w:bCs/>
        </w:rPr>
        <w:t xml:space="preserve"> tyrimo placebo grupė atitinka kitų tyrimų </w:t>
      </w:r>
      <w:proofErr w:type="spellStart"/>
      <w:r w:rsidRPr="00F31CC0">
        <w:rPr>
          <w:rFonts w:eastAsia="Arial"/>
          <w:bCs/>
        </w:rPr>
        <w:t>statinų</w:t>
      </w:r>
      <w:proofErr w:type="spellEnd"/>
      <w:r w:rsidRPr="00F31CC0">
        <w:rPr>
          <w:rFonts w:eastAsia="Arial"/>
          <w:bCs/>
        </w:rPr>
        <w:t xml:space="preserve"> </w:t>
      </w:r>
      <w:proofErr w:type="spellStart"/>
      <w:r w:rsidRPr="00F31CC0">
        <w:rPr>
          <w:rFonts w:eastAsia="Arial"/>
          <w:bCs/>
        </w:rPr>
        <w:t>monoterapijos</w:t>
      </w:r>
      <w:proofErr w:type="spellEnd"/>
      <w:r w:rsidRPr="00F31CC0">
        <w:rPr>
          <w:rFonts w:eastAsia="Arial"/>
          <w:bCs/>
        </w:rPr>
        <w:t xml:space="preserve"> grupę. Tai traktuota kaip reikšmingas metodologinis analizės neapibrėžtumas, itin ribojantis šių duomenų patikimumą, nes BR </w:t>
      </w:r>
      <w:proofErr w:type="spellStart"/>
      <w:r w:rsidRPr="00F31CC0">
        <w:rPr>
          <w:rFonts w:eastAsia="Arial"/>
          <w:bCs/>
        </w:rPr>
        <w:t>monoterapija</w:t>
      </w:r>
      <w:proofErr w:type="spellEnd"/>
      <w:r w:rsidRPr="00F31CC0">
        <w:rPr>
          <w:rFonts w:eastAsia="Arial"/>
          <w:bCs/>
        </w:rPr>
        <w:t xml:space="preserve"> iš esmės buvo lyginama su </w:t>
      </w:r>
      <w:proofErr w:type="spellStart"/>
      <w:r w:rsidRPr="00F31CC0">
        <w:rPr>
          <w:rFonts w:eastAsia="Arial"/>
          <w:bCs/>
        </w:rPr>
        <w:t>statino</w:t>
      </w:r>
      <w:proofErr w:type="spellEnd"/>
      <w:r w:rsidRPr="00F31CC0">
        <w:rPr>
          <w:rFonts w:eastAsia="Arial"/>
          <w:bCs/>
        </w:rPr>
        <w:t xml:space="preserve"> ir </w:t>
      </w:r>
      <w:proofErr w:type="spellStart"/>
      <w:r w:rsidRPr="00F31CC0">
        <w:rPr>
          <w:rFonts w:eastAsia="Arial"/>
          <w:bCs/>
        </w:rPr>
        <w:t>ezetimibo</w:t>
      </w:r>
      <w:proofErr w:type="spellEnd"/>
      <w:r w:rsidRPr="00F31CC0">
        <w:rPr>
          <w:rFonts w:eastAsia="Arial"/>
          <w:bCs/>
        </w:rPr>
        <w:t xml:space="preserve"> deriniu. Šioje analizėje nustatyta, jog kardiovaskulinių įvykių rizika tarp </w:t>
      </w:r>
      <w:proofErr w:type="spellStart"/>
      <w:r w:rsidRPr="00F31CC0">
        <w:rPr>
          <w:rFonts w:eastAsia="Arial"/>
          <w:bCs/>
        </w:rPr>
        <w:t>ezetimibo</w:t>
      </w:r>
      <w:proofErr w:type="spellEnd"/>
      <w:r w:rsidRPr="00F31CC0">
        <w:rPr>
          <w:rFonts w:eastAsia="Arial"/>
          <w:bCs/>
        </w:rPr>
        <w:t xml:space="preserve"> ir „placebo“ derinio bei BR nesiskiria.</w:t>
      </w:r>
    </w:p>
    <w:p w14:paraId="0C50448C" w14:textId="161A7CFF" w:rsidR="00320278" w:rsidRPr="00F31CC0" w:rsidRDefault="00320278" w:rsidP="00F31CC0">
      <w:pPr>
        <w:tabs>
          <w:tab w:val="left" w:pos="492"/>
        </w:tabs>
        <w:spacing w:line="276" w:lineRule="auto"/>
        <w:jc w:val="both"/>
        <w:outlineLvl w:val="1"/>
        <w:rPr>
          <w:rFonts w:eastAsia="Arial"/>
          <w:bCs/>
        </w:rPr>
      </w:pPr>
      <w:r w:rsidRPr="00F31CC0">
        <w:rPr>
          <w:rFonts w:eastAsia="Arial"/>
          <w:bCs/>
        </w:rPr>
        <w:tab/>
      </w:r>
      <w:r w:rsidRPr="00F31CC0">
        <w:rPr>
          <w:rFonts w:eastAsia="Arial"/>
          <w:bCs/>
        </w:rPr>
        <w:tab/>
        <w:t xml:space="preserve">Antroje tinklinėje meta-analizėje (pacientai, kurie toleruoja </w:t>
      </w:r>
      <w:proofErr w:type="spellStart"/>
      <w:r w:rsidRPr="00F31CC0">
        <w:rPr>
          <w:rFonts w:eastAsia="Arial"/>
          <w:bCs/>
        </w:rPr>
        <w:t>statinus</w:t>
      </w:r>
      <w:proofErr w:type="spellEnd"/>
      <w:r w:rsidRPr="00F31CC0">
        <w:rPr>
          <w:rFonts w:eastAsia="Arial"/>
          <w:bCs/>
        </w:rPr>
        <w:t>, nenustatyta ŠKL ar padidėjusi jos išsivystymo rizika) tyrimų heterogeniškumas įvertintas kaip vidutinio – didelio laipsnio (I</w:t>
      </w:r>
      <w:r w:rsidRPr="00F31CC0">
        <w:rPr>
          <w:rFonts w:eastAsia="Arial"/>
          <w:bCs/>
          <w:vertAlign w:val="superscript"/>
        </w:rPr>
        <w:t>2</w:t>
      </w:r>
      <w:r w:rsidRPr="00F31CC0">
        <w:rPr>
          <w:rFonts w:eastAsia="Arial"/>
          <w:bCs/>
        </w:rPr>
        <w:t xml:space="preserve"> 56,5%), kas reikšmingai riboja šių duomenų patikimumą. Apskaičiuotas MTL-C koncentracijos pokytis vartojant maksimaliai toleruojamą </w:t>
      </w:r>
      <w:proofErr w:type="spellStart"/>
      <w:r w:rsidRPr="00F31CC0">
        <w:rPr>
          <w:rFonts w:eastAsia="Arial"/>
          <w:bCs/>
        </w:rPr>
        <w:t>statino</w:t>
      </w:r>
      <w:proofErr w:type="spellEnd"/>
      <w:r w:rsidRPr="00F31CC0">
        <w:rPr>
          <w:rFonts w:eastAsia="Arial"/>
          <w:bCs/>
        </w:rPr>
        <w:t xml:space="preserve"> dozę, </w:t>
      </w:r>
      <w:proofErr w:type="spellStart"/>
      <w:r w:rsidRPr="00F31CC0">
        <w:rPr>
          <w:rFonts w:eastAsia="Arial"/>
          <w:bCs/>
        </w:rPr>
        <w:t>ezetimibo</w:t>
      </w:r>
      <w:proofErr w:type="spellEnd"/>
      <w:r w:rsidRPr="00F31CC0">
        <w:rPr>
          <w:rFonts w:eastAsia="Arial"/>
          <w:bCs/>
        </w:rPr>
        <w:t xml:space="preserve"> ir BR derinį buvo statistiškai ir kliniškai nereikšmingas, lyginant su </w:t>
      </w:r>
      <w:proofErr w:type="spellStart"/>
      <w:r w:rsidRPr="00F31CC0">
        <w:rPr>
          <w:rFonts w:eastAsia="Arial"/>
          <w:bCs/>
        </w:rPr>
        <w:t>statino</w:t>
      </w:r>
      <w:proofErr w:type="spellEnd"/>
      <w:r w:rsidRPr="00F31CC0">
        <w:rPr>
          <w:rFonts w:eastAsia="Arial"/>
          <w:bCs/>
        </w:rPr>
        <w:t xml:space="preserve"> ir </w:t>
      </w:r>
      <w:proofErr w:type="spellStart"/>
      <w:r w:rsidRPr="00F31CC0">
        <w:rPr>
          <w:rFonts w:eastAsia="Arial"/>
          <w:bCs/>
        </w:rPr>
        <w:t>ezetimibo</w:t>
      </w:r>
      <w:proofErr w:type="spellEnd"/>
      <w:r w:rsidRPr="00F31CC0">
        <w:rPr>
          <w:rFonts w:eastAsia="Arial"/>
          <w:bCs/>
        </w:rPr>
        <w:t xml:space="preserve"> deriniu (</w:t>
      </w:r>
      <w:r w:rsidR="00A7396E">
        <w:rPr>
          <w:rFonts w:eastAsia="Arial"/>
          <w:bCs/>
        </w:rPr>
        <w:t>***</w:t>
      </w:r>
      <w:r w:rsidRPr="00F31CC0">
        <w:rPr>
          <w:rFonts w:eastAsia="Arial"/>
          <w:bCs/>
        </w:rPr>
        <w:t xml:space="preserve"> PI </w:t>
      </w:r>
      <w:r w:rsidR="00F87371">
        <w:rPr>
          <w:rFonts w:eastAsia="Arial"/>
          <w:bCs/>
        </w:rPr>
        <w:t>****</w:t>
      </w:r>
      <w:r w:rsidRPr="00F31CC0">
        <w:rPr>
          <w:rFonts w:eastAsia="Arial"/>
          <w:bCs/>
        </w:rPr>
        <w:t xml:space="preserve">; p </w:t>
      </w:r>
      <w:r w:rsidR="00F87371">
        <w:rPr>
          <w:rFonts w:eastAsia="Arial"/>
          <w:bCs/>
        </w:rPr>
        <w:t>**</w:t>
      </w:r>
      <w:r w:rsidRPr="00F31CC0">
        <w:rPr>
          <w:rFonts w:eastAsia="Arial"/>
          <w:bCs/>
        </w:rPr>
        <w:t xml:space="preserve">). Tai iš esmės atitinka CLEAR </w:t>
      </w:r>
      <w:proofErr w:type="spellStart"/>
      <w:r w:rsidRPr="00F31CC0">
        <w:rPr>
          <w:rFonts w:eastAsia="Arial"/>
          <w:bCs/>
        </w:rPr>
        <w:t>Wisdom</w:t>
      </w:r>
      <w:proofErr w:type="spellEnd"/>
      <w:r w:rsidRPr="00F31CC0">
        <w:rPr>
          <w:rFonts w:eastAsia="Arial"/>
          <w:bCs/>
        </w:rPr>
        <w:t xml:space="preserve"> ir CLEAR </w:t>
      </w:r>
      <w:proofErr w:type="spellStart"/>
      <w:r w:rsidRPr="00F31CC0">
        <w:rPr>
          <w:rFonts w:eastAsia="Arial"/>
          <w:bCs/>
        </w:rPr>
        <w:t>Harmony</w:t>
      </w:r>
      <w:proofErr w:type="spellEnd"/>
      <w:r w:rsidRPr="00F31CC0">
        <w:rPr>
          <w:rFonts w:eastAsia="Arial"/>
          <w:bCs/>
        </w:rPr>
        <w:t xml:space="preserve"> tyrimuose gautus rezultatus (</w:t>
      </w:r>
      <w:proofErr w:type="spellStart"/>
      <w:r w:rsidRPr="00F31CC0">
        <w:rPr>
          <w:rFonts w:eastAsia="Arial"/>
          <w:bCs/>
        </w:rPr>
        <w:t>statinus</w:t>
      </w:r>
      <w:proofErr w:type="spellEnd"/>
      <w:r w:rsidRPr="00F31CC0">
        <w:rPr>
          <w:rFonts w:eastAsia="Arial"/>
          <w:bCs/>
        </w:rPr>
        <w:t xml:space="preserve"> toleruojančių pacientų populiacijoje MTL-C koncentracija sumažėjo 17,8%; 95% PI – 19,5 – – 16,0).</w:t>
      </w:r>
    </w:p>
    <w:p w14:paraId="7E62604F" w14:textId="62E0BE41" w:rsidR="00320278" w:rsidRPr="00F31CC0" w:rsidRDefault="00320278" w:rsidP="00F31CC0">
      <w:pPr>
        <w:tabs>
          <w:tab w:val="left" w:pos="492"/>
        </w:tabs>
        <w:spacing w:line="276" w:lineRule="auto"/>
        <w:jc w:val="both"/>
        <w:outlineLvl w:val="1"/>
        <w:rPr>
          <w:rFonts w:eastAsia="Arial"/>
          <w:bCs/>
        </w:rPr>
      </w:pPr>
      <w:r w:rsidRPr="00F31CC0">
        <w:rPr>
          <w:rFonts w:eastAsia="Arial"/>
          <w:bCs/>
        </w:rPr>
        <w:tab/>
      </w:r>
      <w:r w:rsidRPr="00F31CC0">
        <w:rPr>
          <w:rFonts w:eastAsia="Arial"/>
          <w:bCs/>
        </w:rPr>
        <w:tab/>
        <w:t xml:space="preserve">Trečioje tinklinėje meta-analizėje (pacientai, kurie netoleruoja </w:t>
      </w:r>
      <w:proofErr w:type="spellStart"/>
      <w:r w:rsidRPr="00F31CC0">
        <w:rPr>
          <w:rFonts w:eastAsia="Arial"/>
          <w:bCs/>
        </w:rPr>
        <w:t>statinų</w:t>
      </w:r>
      <w:proofErr w:type="spellEnd"/>
      <w:r w:rsidRPr="00F31CC0">
        <w:rPr>
          <w:rFonts w:eastAsia="Arial"/>
          <w:bCs/>
        </w:rPr>
        <w:t>, nenustatyta ŠKL ar padidėjusi jos išsivystymo rizika), tyrimų heterogeniškumas įvertintas kaip mažas (I</w:t>
      </w:r>
      <w:r w:rsidRPr="00F31CC0">
        <w:rPr>
          <w:rFonts w:eastAsia="Arial"/>
          <w:bCs/>
          <w:vertAlign w:val="superscript"/>
        </w:rPr>
        <w:t>2</w:t>
      </w:r>
      <w:r w:rsidRPr="00F31CC0">
        <w:rPr>
          <w:rFonts w:eastAsia="Arial"/>
          <w:bCs/>
        </w:rPr>
        <w:t xml:space="preserve"> 20,3%). Apskaičiuotas MTL-C koncentracijos pokytis vartojant </w:t>
      </w:r>
      <w:proofErr w:type="spellStart"/>
      <w:r w:rsidRPr="00F31CC0">
        <w:rPr>
          <w:rFonts w:eastAsia="Arial"/>
          <w:bCs/>
        </w:rPr>
        <w:t>ezetimibo</w:t>
      </w:r>
      <w:proofErr w:type="spellEnd"/>
      <w:r w:rsidRPr="00F31CC0">
        <w:rPr>
          <w:rFonts w:eastAsia="Arial"/>
          <w:bCs/>
        </w:rPr>
        <w:t xml:space="preserve"> ir BR derinį buvo statistiškai ir kliniškai reikšmingas, lyginant su </w:t>
      </w:r>
      <w:proofErr w:type="spellStart"/>
      <w:r w:rsidRPr="00F31CC0">
        <w:rPr>
          <w:rFonts w:eastAsia="Arial"/>
          <w:bCs/>
        </w:rPr>
        <w:t>ezetimibo</w:t>
      </w:r>
      <w:proofErr w:type="spellEnd"/>
      <w:r w:rsidRPr="00F31CC0">
        <w:rPr>
          <w:rFonts w:eastAsia="Arial"/>
          <w:bCs/>
        </w:rPr>
        <w:t xml:space="preserve"> </w:t>
      </w:r>
      <w:proofErr w:type="spellStart"/>
      <w:r w:rsidRPr="00F31CC0">
        <w:rPr>
          <w:rFonts w:eastAsia="Arial"/>
          <w:bCs/>
        </w:rPr>
        <w:t>monoterapija</w:t>
      </w:r>
      <w:proofErr w:type="spellEnd"/>
      <w:r w:rsidRPr="00F31CC0">
        <w:rPr>
          <w:rFonts w:eastAsia="Arial"/>
          <w:bCs/>
        </w:rPr>
        <w:t xml:space="preserve"> (</w:t>
      </w:r>
      <w:r w:rsidR="00882BDA">
        <w:rPr>
          <w:rFonts w:eastAsia="Arial"/>
          <w:bCs/>
        </w:rPr>
        <w:t>***</w:t>
      </w:r>
      <w:r w:rsidRPr="00F31CC0">
        <w:rPr>
          <w:rFonts w:eastAsia="Arial"/>
          <w:bCs/>
        </w:rPr>
        <w:t xml:space="preserve">PI </w:t>
      </w:r>
      <w:r w:rsidR="00882BDA">
        <w:rPr>
          <w:rFonts w:eastAsia="Arial"/>
          <w:bCs/>
        </w:rPr>
        <w:t>****</w:t>
      </w:r>
      <w:r w:rsidRPr="00F31CC0">
        <w:rPr>
          <w:rFonts w:eastAsia="Arial"/>
          <w:bCs/>
        </w:rPr>
        <w:t xml:space="preserve">; p </w:t>
      </w:r>
      <w:r w:rsidR="00882BDA">
        <w:rPr>
          <w:rFonts w:eastAsia="Arial"/>
          <w:bCs/>
        </w:rPr>
        <w:t>**</w:t>
      </w:r>
      <w:r w:rsidRPr="00F31CC0">
        <w:rPr>
          <w:rFonts w:eastAsia="Arial"/>
          <w:bCs/>
        </w:rPr>
        <w:t xml:space="preserve">). Tai iš esmės atitinka CLEAR </w:t>
      </w:r>
      <w:proofErr w:type="spellStart"/>
      <w:r w:rsidRPr="00F31CC0">
        <w:rPr>
          <w:rFonts w:eastAsia="Arial"/>
          <w:bCs/>
        </w:rPr>
        <w:t>Wisdom</w:t>
      </w:r>
      <w:proofErr w:type="spellEnd"/>
      <w:r w:rsidRPr="00F31CC0">
        <w:rPr>
          <w:rFonts w:eastAsia="Arial"/>
          <w:bCs/>
        </w:rPr>
        <w:t xml:space="preserve"> ir CLEAR </w:t>
      </w:r>
      <w:proofErr w:type="spellStart"/>
      <w:r w:rsidRPr="00F31CC0">
        <w:rPr>
          <w:rFonts w:eastAsia="Arial"/>
          <w:bCs/>
        </w:rPr>
        <w:t>Tranquility</w:t>
      </w:r>
      <w:proofErr w:type="spellEnd"/>
      <w:r w:rsidRPr="00F31CC0">
        <w:rPr>
          <w:rFonts w:eastAsia="Arial"/>
          <w:bCs/>
        </w:rPr>
        <w:t xml:space="preserve"> ir CLEAR </w:t>
      </w:r>
      <w:proofErr w:type="spellStart"/>
      <w:r w:rsidRPr="00F31CC0">
        <w:rPr>
          <w:rFonts w:eastAsia="Arial"/>
          <w:bCs/>
        </w:rPr>
        <w:t>Outcomes</w:t>
      </w:r>
      <w:proofErr w:type="spellEnd"/>
      <w:r w:rsidRPr="00F31CC0">
        <w:rPr>
          <w:rFonts w:eastAsia="Arial"/>
          <w:bCs/>
        </w:rPr>
        <w:t xml:space="preserve"> tyrimuose gautus rezultatus (</w:t>
      </w:r>
      <w:proofErr w:type="spellStart"/>
      <w:r w:rsidRPr="00F31CC0">
        <w:rPr>
          <w:rFonts w:eastAsia="Arial"/>
          <w:bCs/>
        </w:rPr>
        <w:t>statinus</w:t>
      </w:r>
      <w:proofErr w:type="spellEnd"/>
      <w:r w:rsidRPr="00F31CC0">
        <w:rPr>
          <w:rFonts w:eastAsia="Arial"/>
          <w:bCs/>
        </w:rPr>
        <w:t xml:space="preserve"> netoleruojančių pacientų populiacijoje MTL-C koncentracija sumažėjo 24,5%; 95% PI – 27,8 – – 21,1).</w:t>
      </w:r>
    </w:p>
    <w:p w14:paraId="1F15C0C9" w14:textId="77777777" w:rsidR="00320278" w:rsidRPr="00F31CC0" w:rsidRDefault="00320278" w:rsidP="00F31CC0">
      <w:pPr>
        <w:tabs>
          <w:tab w:val="left" w:pos="492"/>
        </w:tabs>
        <w:spacing w:line="276" w:lineRule="auto"/>
        <w:jc w:val="both"/>
        <w:outlineLvl w:val="1"/>
        <w:rPr>
          <w:rFonts w:eastAsia="Arial"/>
          <w:bCs/>
        </w:rPr>
      </w:pPr>
      <w:r w:rsidRPr="00F31CC0">
        <w:rPr>
          <w:rFonts w:eastAsia="Arial"/>
          <w:bCs/>
        </w:rPr>
        <w:tab/>
      </w:r>
      <w:r w:rsidRPr="00F31CC0">
        <w:rPr>
          <w:rFonts w:eastAsia="Arial"/>
          <w:bCs/>
        </w:rPr>
        <w:tab/>
        <w:t xml:space="preserve">Apibendrinant tai, kas išdėstyta, netiesioginio palyginimo analizėje pateikti duomenys papildomai pagrindžia, jog gydymo </w:t>
      </w:r>
      <w:proofErr w:type="spellStart"/>
      <w:r w:rsidRPr="00F31CC0">
        <w:rPr>
          <w:rFonts w:eastAsia="Arial"/>
          <w:bCs/>
        </w:rPr>
        <w:t>ezetimibu</w:t>
      </w:r>
      <w:proofErr w:type="spellEnd"/>
      <w:r w:rsidRPr="00F31CC0">
        <w:rPr>
          <w:rFonts w:eastAsia="Arial"/>
          <w:bCs/>
        </w:rPr>
        <w:t xml:space="preserve"> papildymas BR </w:t>
      </w:r>
      <w:proofErr w:type="spellStart"/>
      <w:r w:rsidRPr="00F31CC0">
        <w:rPr>
          <w:rFonts w:eastAsia="Arial"/>
          <w:bCs/>
        </w:rPr>
        <w:t>statinų</w:t>
      </w:r>
      <w:proofErr w:type="spellEnd"/>
      <w:r w:rsidRPr="00F31CC0">
        <w:rPr>
          <w:rFonts w:eastAsia="Arial"/>
          <w:bCs/>
        </w:rPr>
        <w:t xml:space="preserve"> netoleruojantiems pacientams, kuriems nepasiekiamos tikslinės MTL-C reikšmės, sukuria papildomą klinikinę naudą.</w:t>
      </w:r>
      <w:r w:rsidRPr="00F31CC0">
        <w:t xml:space="preserve"> </w:t>
      </w:r>
      <w:proofErr w:type="spellStart"/>
      <w:r w:rsidRPr="00F31CC0">
        <w:rPr>
          <w:rFonts w:eastAsia="Arial"/>
          <w:bCs/>
        </w:rPr>
        <w:t>Statinų</w:t>
      </w:r>
      <w:proofErr w:type="spellEnd"/>
      <w:r w:rsidRPr="00F31CC0">
        <w:rPr>
          <w:rFonts w:eastAsia="Arial"/>
          <w:bCs/>
        </w:rPr>
        <w:t xml:space="preserve"> toleruojančių pacientų populiacijoje pateikti netiesioginio palyginimo analizės duomenys pasižymi itin reikšmingais neapibrėžtumais (placebo prilyginamas </w:t>
      </w:r>
      <w:proofErr w:type="spellStart"/>
      <w:r w:rsidRPr="00F31CC0">
        <w:rPr>
          <w:rFonts w:eastAsia="Arial"/>
          <w:bCs/>
        </w:rPr>
        <w:t>statino</w:t>
      </w:r>
      <w:proofErr w:type="spellEnd"/>
      <w:r w:rsidRPr="00F31CC0">
        <w:rPr>
          <w:rFonts w:eastAsia="Arial"/>
          <w:bCs/>
        </w:rPr>
        <w:t xml:space="preserve"> </w:t>
      </w:r>
      <w:proofErr w:type="spellStart"/>
      <w:r w:rsidRPr="00F31CC0">
        <w:rPr>
          <w:rFonts w:eastAsia="Arial"/>
          <w:bCs/>
        </w:rPr>
        <w:t>monoterapijai</w:t>
      </w:r>
      <w:proofErr w:type="spellEnd"/>
      <w:r w:rsidRPr="00F31CC0">
        <w:rPr>
          <w:rFonts w:eastAsia="Arial"/>
          <w:bCs/>
        </w:rPr>
        <w:t xml:space="preserve">, reikšmingas tinklinės meta-analizės heterogeniškumas, prie maksimaliai toleruojamos </w:t>
      </w:r>
      <w:proofErr w:type="spellStart"/>
      <w:r w:rsidRPr="00F31CC0">
        <w:rPr>
          <w:rFonts w:eastAsia="Arial"/>
          <w:bCs/>
        </w:rPr>
        <w:t>statino</w:t>
      </w:r>
      <w:proofErr w:type="spellEnd"/>
      <w:r w:rsidRPr="00F31CC0">
        <w:rPr>
          <w:rFonts w:eastAsia="Arial"/>
          <w:bCs/>
        </w:rPr>
        <w:t xml:space="preserve"> dozės ir </w:t>
      </w:r>
      <w:proofErr w:type="spellStart"/>
      <w:r w:rsidRPr="00F31CC0">
        <w:rPr>
          <w:rFonts w:eastAsia="Arial"/>
          <w:bCs/>
        </w:rPr>
        <w:t>ezetimibo</w:t>
      </w:r>
      <w:proofErr w:type="spellEnd"/>
      <w:r w:rsidRPr="00F31CC0">
        <w:rPr>
          <w:rFonts w:eastAsia="Arial"/>
          <w:bCs/>
        </w:rPr>
        <w:t xml:space="preserve"> derinio pridėjus BR gaunamas statistiškai ir kliniškai nereikšmingas MTL-C koncentracijos pokytis), todėl įvertinta, jog jie nepagrindžia papildomos sukuriamas klinikinės naudos pridėjus BR prie </w:t>
      </w:r>
      <w:proofErr w:type="spellStart"/>
      <w:r w:rsidRPr="00F31CC0">
        <w:rPr>
          <w:rFonts w:eastAsia="Arial"/>
          <w:bCs/>
        </w:rPr>
        <w:t>statino</w:t>
      </w:r>
      <w:proofErr w:type="spellEnd"/>
      <w:r w:rsidRPr="00F31CC0">
        <w:rPr>
          <w:rFonts w:eastAsia="Arial"/>
          <w:bCs/>
        </w:rPr>
        <w:t xml:space="preserve"> ir </w:t>
      </w:r>
      <w:proofErr w:type="spellStart"/>
      <w:r w:rsidRPr="00F31CC0">
        <w:rPr>
          <w:rFonts w:eastAsia="Arial"/>
          <w:bCs/>
        </w:rPr>
        <w:t>ezetimibo</w:t>
      </w:r>
      <w:proofErr w:type="spellEnd"/>
      <w:r w:rsidRPr="00F31CC0">
        <w:rPr>
          <w:rFonts w:eastAsia="Arial"/>
          <w:bCs/>
        </w:rPr>
        <w:t xml:space="preserve"> derinio.</w:t>
      </w:r>
    </w:p>
    <w:p w14:paraId="24D921EA" w14:textId="2091A096" w:rsidR="00320278" w:rsidRPr="00F31CC0" w:rsidRDefault="00320278" w:rsidP="00F31CC0">
      <w:pPr>
        <w:pStyle w:val="Sraopastraipa"/>
        <w:tabs>
          <w:tab w:val="left" w:pos="426"/>
        </w:tabs>
        <w:spacing w:line="276" w:lineRule="auto"/>
        <w:ind w:left="0"/>
        <w:rPr>
          <w:b/>
          <w:bCs/>
          <w:caps/>
        </w:rPr>
      </w:pPr>
      <w:r w:rsidRPr="00F31CC0">
        <w:t xml:space="preserve">Apibendrinant tiesioginio ir netiesioginio palyginimo analizės duomenis, jie pagrindžia gydymo </w:t>
      </w:r>
      <w:proofErr w:type="spellStart"/>
      <w:r w:rsidRPr="00F31CC0">
        <w:t>ezetimibu</w:t>
      </w:r>
      <w:proofErr w:type="spellEnd"/>
      <w:r w:rsidRPr="00F31CC0">
        <w:t xml:space="preserve"> papildymą BR gydant didelės ar labai didelės širdies ir kraujagyslių ligų rizikos, kurie netoleruoja </w:t>
      </w:r>
      <w:proofErr w:type="spellStart"/>
      <w:r w:rsidRPr="00F31CC0">
        <w:t>statinų</w:t>
      </w:r>
      <w:proofErr w:type="spellEnd"/>
      <w:r w:rsidRPr="00F31CC0">
        <w:t xml:space="preserve"> (ar jų vartoti negali), kai nepasiekiamos tikslinės MTL-C reikšmės. </w:t>
      </w:r>
      <w:r w:rsidRPr="00F31CC0">
        <w:rPr>
          <w:rFonts w:eastAsia="Arial"/>
        </w:rPr>
        <w:t xml:space="preserve">Dėl šios </w:t>
      </w:r>
      <w:r w:rsidRPr="00F31CC0">
        <w:rPr>
          <w:rFonts w:eastAsia="Arial"/>
        </w:rPr>
        <w:lastRenderedPageBreak/>
        <w:t>priežasties</w:t>
      </w:r>
      <w:r w:rsidRPr="00F31CC0">
        <w:rPr>
          <w:rFonts w:eastAsia="Arial"/>
          <w:bCs/>
        </w:rPr>
        <w:t xml:space="preserve"> </w:t>
      </w:r>
      <w:proofErr w:type="spellStart"/>
      <w:r w:rsidRPr="00F31CC0">
        <w:rPr>
          <w:rFonts w:eastAsia="Arial"/>
          <w:bCs/>
        </w:rPr>
        <w:t>bempedono</w:t>
      </w:r>
      <w:proofErr w:type="spellEnd"/>
      <w:r w:rsidRPr="00F31CC0">
        <w:rPr>
          <w:rFonts w:eastAsia="Arial"/>
          <w:bCs/>
        </w:rPr>
        <w:t xml:space="preserve"> rūgšties palyginamasis veiksmingumas vertinamas kaip didesnis, palyginus su įprasta klinikine praktika.</w:t>
      </w:r>
    </w:p>
    <w:p w14:paraId="6E71F7D1" w14:textId="77777777" w:rsidR="00320278" w:rsidRPr="00F31CC0" w:rsidRDefault="00320278" w:rsidP="00F31CC0">
      <w:pPr>
        <w:pStyle w:val="Sraopastraipa"/>
        <w:tabs>
          <w:tab w:val="left" w:pos="426"/>
        </w:tabs>
        <w:spacing w:line="276" w:lineRule="auto"/>
        <w:ind w:left="0"/>
        <w:rPr>
          <w:b/>
          <w:bCs/>
          <w:caps/>
        </w:rPr>
      </w:pPr>
    </w:p>
    <w:p w14:paraId="7DE09EB5" w14:textId="69E9DD74" w:rsidR="00E03C3F" w:rsidRPr="00F31CC0" w:rsidRDefault="00CC7832" w:rsidP="00F31CC0">
      <w:pPr>
        <w:pStyle w:val="Sraopastraipa"/>
        <w:numPr>
          <w:ilvl w:val="0"/>
          <w:numId w:val="12"/>
        </w:numPr>
        <w:tabs>
          <w:tab w:val="left" w:pos="567"/>
        </w:tabs>
        <w:spacing w:line="276" w:lineRule="auto"/>
        <w:ind w:hanging="720"/>
        <w:rPr>
          <w:b/>
          <w:bCs/>
          <w:caps/>
        </w:rPr>
      </w:pPr>
      <w:r w:rsidRPr="00F31CC0">
        <w:rPr>
          <w:b/>
          <w:bCs/>
          <w:caps/>
        </w:rPr>
        <w:t xml:space="preserve">ekonominio vertinimo </w:t>
      </w:r>
      <w:r w:rsidR="002F0E4F" w:rsidRPr="00F31CC0">
        <w:rPr>
          <w:b/>
          <w:bCs/>
          <w:caps/>
        </w:rPr>
        <w:t>apibendrinimas</w:t>
      </w:r>
    </w:p>
    <w:p w14:paraId="1A900598" w14:textId="4826E5DF" w:rsidR="00C62B36" w:rsidRPr="00F31CC0" w:rsidRDefault="00C62B36" w:rsidP="00F31CC0">
      <w:pPr>
        <w:tabs>
          <w:tab w:val="left" w:pos="426"/>
        </w:tabs>
        <w:spacing w:line="276" w:lineRule="auto"/>
        <w:rPr>
          <w:i/>
        </w:rPr>
      </w:pPr>
    </w:p>
    <w:p w14:paraId="058BFE39" w14:textId="77777777" w:rsidR="008A572E" w:rsidRPr="00F31CC0" w:rsidRDefault="008A572E" w:rsidP="00F31CC0">
      <w:pPr>
        <w:spacing w:line="276" w:lineRule="auto"/>
        <w:ind w:firstLine="720"/>
        <w:jc w:val="both"/>
      </w:pPr>
      <w:r w:rsidRPr="00F31CC0">
        <w:rPr>
          <w:rFonts w:eastAsia="Arial"/>
        </w:rPr>
        <w:t xml:space="preserve">Klinikinio vertinimo metu nustačius </w:t>
      </w:r>
      <w:r w:rsidRPr="00F31CC0">
        <w:rPr>
          <w:rFonts w:eastAsia="Arial"/>
          <w:i/>
          <w:iCs/>
        </w:rPr>
        <w:t xml:space="preserve">didesnį </w:t>
      </w:r>
      <w:r w:rsidRPr="00F31CC0">
        <w:rPr>
          <w:rFonts w:eastAsia="Arial"/>
        </w:rPr>
        <w:t>palyginamąjį veiksmingumą lyginant su įprasta klinikine praktika,</w:t>
      </w:r>
      <w:r w:rsidRPr="00F31CC0">
        <w:t xml:space="preserve"> atliekamas </w:t>
      </w:r>
      <w:r w:rsidRPr="00F31CC0">
        <w:rPr>
          <w:rFonts w:eastAsia="Arial"/>
          <w:bCs/>
          <w:szCs w:val="22"/>
        </w:rPr>
        <w:t xml:space="preserve">kaštų </w:t>
      </w:r>
      <w:r w:rsidRPr="00F31CC0">
        <w:rPr>
          <w:rFonts w:eastAsia="Arial"/>
          <w:i/>
          <w:iCs/>
          <w:szCs w:val="22"/>
        </w:rPr>
        <w:t>naudingumo</w:t>
      </w:r>
      <w:r w:rsidRPr="00F31CC0">
        <w:rPr>
          <w:rFonts w:eastAsia="Arial"/>
          <w:bCs/>
          <w:szCs w:val="22"/>
        </w:rPr>
        <w:t xml:space="preserve"> analizės vertinimas</w:t>
      </w:r>
      <w:r w:rsidRPr="00F31CC0">
        <w:t xml:space="preserve">. </w:t>
      </w:r>
      <w:r w:rsidRPr="00F31CC0">
        <w:rPr>
          <w:lang w:eastAsia="lt-LT"/>
        </w:rPr>
        <w:t xml:space="preserve">Į ekonominę analizę įtraukti pacientai atitinka kompensacijai teikiamas terapines indikacijas. </w:t>
      </w:r>
      <w:r w:rsidRPr="00F31CC0">
        <w:t xml:space="preserve">Modelyje analizuojama populiacija atitinka 3 </w:t>
      </w:r>
      <w:proofErr w:type="spellStart"/>
      <w:r w:rsidRPr="00F31CC0">
        <w:t>bempedoinės</w:t>
      </w:r>
      <w:proofErr w:type="spellEnd"/>
      <w:r w:rsidRPr="00F31CC0">
        <w:t xml:space="preserve"> rūgšties tyrimų populiacijas: suaugę pacientai su pirmine (</w:t>
      </w:r>
      <w:proofErr w:type="spellStart"/>
      <w:r w:rsidRPr="00F31CC0">
        <w:t>heterozigotine</w:t>
      </w:r>
      <w:proofErr w:type="spellEnd"/>
      <w:r w:rsidRPr="00F31CC0">
        <w:t xml:space="preserve"> šeimine ar ne šeimine) </w:t>
      </w:r>
      <w:proofErr w:type="spellStart"/>
      <w:r w:rsidRPr="00F31CC0">
        <w:t>hipercholesterolemija</w:t>
      </w:r>
      <w:proofErr w:type="spellEnd"/>
      <w:r w:rsidRPr="00F31CC0">
        <w:t xml:space="preserve"> ar mišria </w:t>
      </w:r>
      <w:proofErr w:type="spellStart"/>
      <w:r w:rsidRPr="00F31CC0">
        <w:t>dislipidemija</w:t>
      </w:r>
      <w:proofErr w:type="spellEnd"/>
      <w:r w:rsidRPr="00F31CC0">
        <w:t>:</w:t>
      </w:r>
    </w:p>
    <w:p w14:paraId="66A47A84" w14:textId="77777777" w:rsidR="008A572E" w:rsidRPr="00F31CC0" w:rsidRDefault="008A572E" w:rsidP="00F31CC0">
      <w:pPr>
        <w:spacing w:line="276" w:lineRule="auto"/>
        <w:jc w:val="both"/>
      </w:pPr>
    </w:p>
    <w:p w14:paraId="4EFD016E" w14:textId="77777777" w:rsidR="008A572E" w:rsidRPr="00F31CC0" w:rsidRDefault="008A572E" w:rsidP="00F31CC0">
      <w:pPr>
        <w:numPr>
          <w:ilvl w:val="0"/>
          <w:numId w:val="15"/>
        </w:numPr>
        <w:spacing w:line="276" w:lineRule="auto"/>
        <w:jc w:val="both"/>
      </w:pPr>
      <w:r w:rsidRPr="00F31CC0">
        <w:t xml:space="preserve">Kai </w:t>
      </w:r>
      <w:proofErr w:type="spellStart"/>
      <w:r w:rsidRPr="00F31CC0">
        <w:t>statinai</w:t>
      </w:r>
      <w:proofErr w:type="spellEnd"/>
      <w:r w:rsidRPr="00F31CC0">
        <w:t xml:space="preserve"> yra </w:t>
      </w:r>
      <w:proofErr w:type="spellStart"/>
      <w:r w:rsidRPr="00F31CC0">
        <w:t>kontraindikuotini</w:t>
      </w:r>
      <w:proofErr w:type="spellEnd"/>
      <w:r w:rsidRPr="00F31CC0">
        <w:t xml:space="preserve"> ar netoleruojami </w:t>
      </w:r>
    </w:p>
    <w:p w14:paraId="5B2CACE1" w14:textId="77777777" w:rsidR="008A572E" w:rsidRPr="00F31CC0" w:rsidRDefault="008A572E" w:rsidP="00F31CC0">
      <w:pPr>
        <w:numPr>
          <w:ilvl w:val="0"/>
          <w:numId w:val="15"/>
        </w:numPr>
        <w:spacing w:line="276" w:lineRule="auto"/>
        <w:jc w:val="both"/>
      </w:pPr>
      <w:r w:rsidRPr="00F31CC0">
        <w:t xml:space="preserve">Kai </w:t>
      </w:r>
      <w:proofErr w:type="spellStart"/>
      <w:r w:rsidRPr="00F31CC0">
        <w:t>statinai</w:t>
      </w:r>
      <w:proofErr w:type="spellEnd"/>
      <w:r w:rsidRPr="00F31CC0">
        <w:t xml:space="preserve"> yra </w:t>
      </w:r>
      <w:proofErr w:type="spellStart"/>
      <w:r w:rsidRPr="00F31CC0">
        <w:t>kontraindikuotini</w:t>
      </w:r>
      <w:proofErr w:type="spellEnd"/>
      <w:r w:rsidRPr="00F31CC0">
        <w:t xml:space="preserve"> ar netoleruojami, o terapija </w:t>
      </w:r>
      <w:proofErr w:type="spellStart"/>
      <w:r w:rsidRPr="00F31CC0">
        <w:t>ezetimibu</w:t>
      </w:r>
      <w:proofErr w:type="spellEnd"/>
      <w:r w:rsidRPr="00F31CC0">
        <w:t xml:space="preserve"> nepakankamai sukontroliuoja LDL-C koncentraciją </w:t>
      </w:r>
    </w:p>
    <w:p w14:paraId="5BF11E5C" w14:textId="77777777" w:rsidR="008A572E" w:rsidRPr="00F31CC0" w:rsidRDefault="008A572E" w:rsidP="00F31CC0">
      <w:pPr>
        <w:numPr>
          <w:ilvl w:val="0"/>
          <w:numId w:val="15"/>
        </w:numPr>
        <w:spacing w:line="276" w:lineRule="auto"/>
        <w:jc w:val="both"/>
      </w:pPr>
      <w:r w:rsidRPr="00F31CC0">
        <w:t xml:space="preserve">Kai maksimaliai toleruojamos </w:t>
      </w:r>
      <w:proofErr w:type="spellStart"/>
      <w:r w:rsidRPr="00F31CC0">
        <w:t>statinų</w:t>
      </w:r>
      <w:proofErr w:type="spellEnd"/>
      <w:r w:rsidRPr="00F31CC0">
        <w:t xml:space="preserve"> dozės su </w:t>
      </w:r>
      <w:proofErr w:type="spellStart"/>
      <w:r w:rsidRPr="00F31CC0">
        <w:t>ezetimibu</w:t>
      </w:r>
      <w:proofErr w:type="spellEnd"/>
      <w:r w:rsidRPr="00F31CC0">
        <w:t xml:space="preserve"> </w:t>
      </w:r>
      <w:proofErr w:type="spellStart"/>
      <w:r w:rsidRPr="00F31CC0">
        <w:t>nepakanakamai</w:t>
      </w:r>
      <w:proofErr w:type="spellEnd"/>
      <w:r w:rsidRPr="00F31CC0">
        <w:t xml:space="preserve"> sukontroliuoja LDL-C koncentraciją.</w:t>
      </w:r>
    </w:p>
    <w:p w14:paraId="4C269B78" w14:textId="77777777" w:rsidR="008A572E" w:rsidRPr="00F31CC0" w:rsidRDefault="008A572E" w:rsidP="00F31CC0">
      <w:pPr>
        <w:spacing w:line="276" w:lineRule="auto"/>
        <w:ind w:firstLine="720"/>
        <w:jc w:val="both"/>
        <w:rPr>
          <w:lang w:eastAsia="lt-LT"/>
        </w:rPr>
      </w:pPr>
      <w:r w:rsidRPr="00F31CC0">
        <w:rPr>
          <w:lang w:eastAsia="lt-LT"/>
        </w:rPr>
        <w:t xml:space="preserve">Atsižvelgiant į klinikinio vertinimo išvadą, ekonominėje analizėje nagrinėjama pacientų, netoleruojančių </w:t>
      </w:r>
      <w:proofErr w:type="spellStart"/>
      <w:r w:rsidRPr="00F31CC0">
        <w:rPr>
          <w:lang w:eastAsia="lt-LT"/>
        </w:rPr>
        <w:t>statinų</w:t>
      </w:r>
      <w:proofErr w:type="spellEnd"/>
      <w:r w:rsidRPr="00F31CC0">
        <w:rPr>
          <w:lang w:eastAsia="lt-LT"/>
        </w:rPr>
        <w:t xml:space="preserve">, populiacija. </w:t>
      </w:r>
    </w:p>
    <w:p w14:paraId="00272197" w14:textId="77777777" w:rsidR="008A572E" w:rsidRPr="00F31CC0" w:rsidRDefault="008A572E" w:rsidP="00F31CC0">
      <w:pPr>
        <w:spacing w:line="276" w:lineRule="auto"/>
        <w:jc w:val="both"/>
      </w:pPr>
      <w:r w:rsidRPr="00F31CC0">
        <w:rPr>
          <w:rFonts w:eastAsia="Arial"/>
          <w:bCs/>
          <w:szCs w:val="22"/>
        </w:rPr>
        <w:t xml:space="preserve">Ekonominėje analizėje pateiktas palyginamasis gydymas atitinka įprastą Lietuvos Respublikos klinikinę praktiką. </w:t>
      </w:r>
      <w:r w:rsidRPr="00F31CC0">
        <w:rPr>
          <w:rFonts w:eastAsia="Arial"/>
          <w:bCs/>
          <w:iCs/>
          <w:szCs w:val="22"/>
        </w:rPr>
        <w:t xml:space="preserve">Modelyje analizuojama intervencija: </w:t>
      </w:r>
      <w:proofErr w:type="spellStart"/>
      <w:r w:rsidRPr="00F31CC0">
        <w:rPr>
          <w:rFonts w:eastAsia="Arial"/>
          <w:bCs/>
          <w:iCs/>
          <w:szCs w:val="22"/>
        </w:rPr>
        <w:t>bempedoinė</w:t>
      </w:r>
      <w:proofErr w:type="spellEnd"/>
      <w:r w:rsidRPr="00F31CC0">
        <w:rPr>
          <w:rFonts w:eastAsia="Arial"/>
          <w:bCs/>
          <w:iCs/>
          <w:szCs w:val="22"/>
        </w:rPr>
        <w:t xml:space="preserve"> rūgštis (BA), kuri yra vartojama kartu su </w:t>
      </w:r>
      <w:proofErr w:type="spellStart"/>
      <w:r w:rsidRPr="00F31CC0">
        <w:rPr>
          <w:rFonts w:eastAsia="Arial"/>
          <w:bCs/>
          <w:iCs/>
          <w:szCs w:val="22"/>
        </w:rPr>
        <w:t>ezetimibu</w:t>
      </w:r>
      <w:proofErr w:type="spellEnd"/>
      <w:r w:rsidRPr="00F31CC0">
        <w:rPr>
          <w:rFonts w:eastAsia="Arial"/>
          <w:bCs/>
          <w:iCs/>
          <w:szCs w:val="22"/>
        </w:rPr>
        <w:t xml:space="preserve"> +/-</w:t>
      </w:r>
      <w:proofErr w:type="spellStart"/>
      <w:r w:rsidRPr="00F31CC0">
        <w:rPr>
          <w:rFonts w:eastAsia="Arial"/>
          <w:bCs/>
          <w:iCs/>
          <w:szCs w:val="22"/>
        </w:rPr>
        <w:t>statinai</w:t>
      </w:r>
      <w:proofErr w:type="spellEnd"/>
      <w:r w:rsidRPr="00F31CC0">
        <w:rPr>
          <w:rFonts w:eastAsia="Arial"/>
          <w:bCs/>
          <w:iCs/>
          <w:szCs w:val="22"/>
        </w:rPr>
        <w:t xml:space="preserve"> (</w:t>
      </w:r>
      <w:proofErr w:type="spellStart"/>
      <w:r w:rsidRPr="00F31CC0">
        <w:rPr>
          <w:rFonts w:eastAsia="Arial"/>
          <w:bCs/>
          <w:iCs/>
          <w:szCs w:val="22"/>
        </w:rPr>
        <w:t>statinus</w:t>
      </w:r>
      <w:proofErr w:type="spellEnd"/>
      <w:r w:rsidRPr="00F31CC0">
        <w:rPr>
          <w:rFonts w:eastAsia="Arial"/>
          <w:bCs/>
          <w:iCs/>
          <w:szCs w:val="22"/>
        </w:rPr>
        <w:t xml:space="preserve"> vartoja tik tie pacientai, kurie toleruoja </w:t>
      </w:r>
      <w:proofErr w:type="spellStart"/>
      <w:r w:rsidRPr="00F31CC0">
        <w:rPr>
          <w:rFonts w:eastAsia="Arial"/>
          <w:bCs/>
          <w:iCs/>
          <w:szCs w:val="22"/>
        </w:rPr>
        <w:t>statinų</w:t>
      </w:r>
      <w:proofErr w:type="spellEnd"/>
      <w:r w:rsidRPr="00F31CC0">
        <w:rPr>
          <w:rFonts w:eastAsia="Arial"/>
          <w:bCs/>
          <w:iCs/>
          <w:szCs w:val="22"/>
        </w:rPr>
        <w:t xml:space="preserve"> terapiją). </w:t>
      </w:r>
      <w:proofErr w:type="spellStart"/>
      <w:r w:rsidRPr="00F31CC0">
        <w:rPr>
          <w:rFonts w:eastAsia="Arial"/>
          <w:bCs/>
          <w:iCs/>
          <w:szCs w:val="22"/>
        </w:rPr>
        <w:t>Atsižvlegiant</w:t>
      </w:r>
      <w:proofErr w:type="spellEnd"/>
      <w:r w:rsidRPr="00F31CC0">
        <w:rPr>
          <w:rFonts w:eastAsia="Arial"/>
          <w:bCs/>
          <w:iCs/>
          <w:szCs w:val="22"/>
        </w:rPr>
        <w:t xml:space="preserve"> į tai, jog analizuojama </w:t>
      </w:r>
      <w:proofErr w:type="spellStart"/>
      <w:r w:rsidRPr="00F31CC0">
        <w:rPr>
          <w:rFonts w:eastAsia="Arial"/>
          <w:bCs/>
          <w:iCs/>
          <w:szCs w:val="22"/>
        </w:rPr>
        <w:t>statinų</w:t>
      </w:r>
      <w:proofErr w:type="spellEnd"/>
      <w:r w:rsidRPr="00F31CC0">
        <w:rPr>
          <w:rFonts w:eastAsia="Arial"/>
          <w:bCs/>
          <w:iCs/>
          <w:szCs w:val="22"/>
        </w:rPr>
        <w:t xml:space="preserve"> netoleruojančių pacientų populiacija, palyginamasis gydymas analizėje yra terapija </w:t>
      </w:r>
      <w:proofErr w:type="spellStart"/>
      <w:r w:rsidRPr="00F31CC0">
        <w:rPr>
          <w:rFonts w:eastAsia="Arial"/>
          <w:bCs/>
          <w:iCs/>
          <w:szCs w:val="22"/>
        </w:rPr>
        <w:t>ezetimibu</w:t>
      </w:r>
      <w:proofErr w:type="spellEnd"/>
      <w:r w:rsidRPr="00F31CC0">
        <w:rPr>
          <w:rFonts w:eastAsia="Arial"/>
          <w:bCs/>
          <w:iCs/>
          <w:szCs w:val="22"/>
        </w:rPr>
        <w:t xml:space="preserve">. </w:t>
      </w:r>
      <w:r w:rsidRPr="00F31CC0">
        <w:t>Vaistų dozavimas ir gydymo trukmė ekonominėje analizėje atitinka klinikiniuose įrodymuose pateiktą informaciją.</w:t>
      </w:r>
    </w:p>
    <w:p w14:paraId="78404CE8" w14:textId="77777777" w:rsidR="008A572E" w:rsidRPr="00F31CC0" w:rsidRDefault="008A572E" w:rsidP="00F31CC0">
      <w:pPr>
        <w:spacing w:line="276" w:lineRule="auto"/>
        <w:jc w:val="both"/>
      </w:pPr>
      <w:r w:rsidRPr="00F31CC0">
        <w:t xml:space="preserve">Analizė atlikta iš PSDF biudžeto perspektyvos, įtraukti tiesiogiai su sveikatos sistema susiję kaštai. Tai atitinka teisės aktuose nustatytus paraiškos rengimo taisyklių reikalavimus. Kaštai ir nauda diskontuoti pagal teisės aktuose nustatytus paraiškos rengimo taisyklių reikalavimus. Taikytas 3,5% diskontavimas. </w:t>
      </w:r>
      <w:r w:rsidRPr="00F31CC0">
        <w:rPr>
          <w:color w:val="000000"/>
          <w:lang w:eastAsia="lt-LT"/>
        </w:rPr>
        <w:t>Analizėje taikoma, 35 metų, viso gyvenimo</w:t>
      </w:r>
      <w:r w:rsidRPr="00F31CC0">
        <w:rPr>
          <w:color w:val="00B050"/>
          <w:lang w:eastAsia="lt-LT"/>
        </w:rPr>
        <w:t xml:space="preserve"> </w:t>
      </w:r>
      <w:r w:rsidRPr="00F31CC0">
        <w:rPr>
          <w:color w:val="000000"/>
          <w:lang w:eastAsia="lt-LT"/>
        </w:rPr>
        <w:t xml:space="preserve">laiko perspektyva. Pasirinkta laiko perspektyva yra </w:t>
      </w:r>
      <w:r w:rsidRPr="00F31CC0">
        <w:rPr>
          <w:lang w:eastAsia="lt-LT"/>
        </w:rPr>
        <w:t xml:space="preserve">tinkama. </w:t>
      </w:r>
      <w:r w:rsidRPr="00F31CC0">
        <w:t xml:space="preserve">Analizėje taikomas modeliavimas. Modelio struktūra yra grindžiama </w:t>
      </w:r>
      <w:proofErr w:type="spellStart"/>
      <w:r w:rsidRPr="00F31CC0">
        <w:t>Markovo</w:t>
      </w:r>
      <w:proofErr w:type="spellEnd"/>
      <w:r w:rsidRPr="00F31CC0">
        <w:t xml:space="preserve"> modeliu. Taikoma viso gyvenimo laiko perspektyva ir 1 metų ciklo trukmė. Modelyje yra šios sveikatos būklės, atitinkamiems kardiovaskuliniams įvykiams: </w:t>
      </w:r>
    </w:p>
    <w:p w14:paraId="55D3632E" w14:textId="77777777" w:rsidR="008A572E" w:rsidRPr="00F31CC0" w:rsidRDefault="008A572E" w:rsidP="00F31CC0">
      <w:pPr>
        <w:pStyle w:val="Sraopastraipa"/>
        <w:numPr>
          <w:ilvl w:val="0"/>
          <w:numId w:val="17"/>
        </w:numPr>
        <w:spacing w:line="276" w:lineRule="auto"/>
        <w:jc w:val="both"/>
      </w:pPr>
      <w:r w:rsidRPr="00F31CC0">
        <w:t>Pirminiai kardiovaskuliniai įvykiai: ne mirtinas miokardo infarktas, nestabili krūtinės angina, ne mirtinas išeminis insultas;</w:t>
      </w:r>
    </w:p>
    <w:p w14:paraId="2990D087" w14:textId="77777777" w:rsidR="008A572E" w:rsidRPr="00F31CC0" w:rsidRDefault="008A572E" w:rsidP="00F31CC0">
      <w:pPr>
        <w:numPr>
          <w:ilvl w:val="0"/>
          <w:numId w:val="16"/>
        </w:numPr>
        <w:spacing w:line="276" w:lineRule="auto"/>
        <w:jc w:val="both"/>
      </w:pPr>
      <w:r w:rsidRPr="00F31CC0">
        <w:t xml:space="preserve">Antriniai ar tretiniai kardiovaskuliniai įvykiai: ne mirtinas MI, ne mirtinas insultas ir Krūtinės angina.  </w:t>
      </w:r>
    </w:p>
    <w:p w14:paraId="339C8557" w14:textId="77777777" w:rsidR="008A572E" w:rsidRPr="00F31CC0" w:rsidRDefault="008A572E" w:rsidP="00F31CC0">
      <w:pPr>
        <w:spacing w:line="276" w:lineRule="auto"/>
        <w:ind w:firstLine="720"/>
        <w:jc w:val="both"/>
      </w:pPr>
      <w:r w:rsidRPr="00F31CC0">
        <w:t xml:space="preserve">Modelio struktūra laikoma tinkama analizės rezultato apskaičiavimui. </w:t>
      </w:r>
    </w:p>
    <w:p w14:paraId="16B41A39" w14:textId="77777777" w:rsidR="008A572E" w:rsidRPr="00F31CC0" w:rsidRDefault="008A572E" w:rsidP="00F31CC0">
      <w:pPr>
        <w:spacing w:line="276" w:lineRule="auto"/>
        <w:jc w:val="both"/>
      </w:pPr>
      <w:r w:rsidRPr="00F31CC0">
        <w:t xml:space="preserve">Pirminis duomenų šaltinis analizėje yra CLEAR klinikinis tyrimas bei 4, 3 fazės tyrimai. CLEAR tyrimas naudojamas netiesioginiame palyginime, </w:t>
      </w:r>
      <w:proofErr w:type="spellStart"/>
      <w:r w:rsidRPr="00F31CC0">
        <w:t>statinų</w:t>
      </w:r>
      <w:proofErr w:type="spellEnd"/>
      <w:r w:rsidRPr="00F31CC0">
        <w:t xml:space="preserve"> netoleruojančių pacientų populiacijoje. KV įvykių rizikos duomenys gaunami iš CLEAR klinikinio tyrimo, </w:t>
      </w:r>
      <w:proofErr w:type="spellStart"/>
      <w:r w:rsidRPr="00F31CC0">
        <w:t>statinus</w:t>
      </w:r>
      <w:proofErr w:type="spellEnd"/>
      <w:r w:rsidRPr="00F31CC0">
        <w:t xml:space="preserve"> netoleruojančių pacientų populiacijoje. Modelyje naudojami rizikos santykiai iš šio klinikinio tyrimo. Kasmetinė KV įvykių rizika yra pritaikoma skirtingoms sveikatos būklėms pagal pacientų charakteristikas toje sveikatos būklėje. Rizika antrinės prevencijos kohortoje buvo pakoreguota pagal </w:t>
      </w:r>
      <w:proofErr w:type="spellStart"/>
      <w:r w:rsidRPr="00F31CC0">
        <w:t>heterozigotinės</w:t>
      </w:r>
      <w:proofErr w:type="spellEnd"/>
      <w:r w:rsidRPr="00F31CC0">
        <w:t xml:space="preserve"> šeiminės </w:t>
      </w:r>
      <w:proofErr w:type="spellStart"/>
      <w:r w:rsidRPr="00F31CC0">
        <w:t>hipercholesterolemijos</w:t>
      </w:r>
      <w:proofErr w:type="spellEnd"/>
      <w:r w:rsidRPr="00F31CC0">
        <w:t xml:space="preserve"> dažnį. </w:t>
      </w:r>
      <w:proofErr w:type="spellStart"/>
      <w:r w:rsidRPr="00F31CC0">
        <w:t>Statinus</w:t>
      </w:r>
      <w:proofErr w:type="spellEnd"/>
      <w:r w:rsidRPr="00F31CC0">
        <w:t xml:space="preserve"> netoleruojančių pacientų populiacijoje, MTL-C koncentracijos sumažėjimas BA buvo gautas iš CLEAR </w:t>
      </w:r>
      <w:proofErr w:type="spellStart"/>
      <w:r w:rsidRPr="00F31CC0">
        <w:t>Outcomes</w:t>
      </w:r>
      <w:proofErr w:type="spellEnd"/>
      <w:r w:rsidRPr="00F31CC0">
        <w:t xml:space="preserve"> tyrimo. Pareiškėjas teigia, jog yra tyrimų, kurie įrodo, jog MTL-C koncentracijos sumažėjimas mažina ir kardiovaskulinių įvykių riziką. Dėl šios </w:t>
      </w:r>
      <w:r w:rsidRPr="00F31CC0">
        <w:lastRenderedPageBreak/>
        <w:t>priežasties MTL-C koncentracijos sumažėjimas analizėje taikomas kaip surogatinė baigtis, siekiant modeliuoti KV išeitis. Laikoma, jog analizėje taikomos prielaidos yra pagrįstos.</w:t>
      </w:r>
    </w:p>
    <w:p w14:paraId="165EB85A" w14:textId="77777777" w:rsidR="008A572E" w:rsidRPr="00F31CC0" w:rsidRDefault="008A572E" w:rsidP="00F31CC0">
      <w:pPr>
        <w:spacing w:line="276" w:lineRule="auto"/>
        <w:jc w:val="both"/>
        <w:rPr>
          <w:lang w:eastAsia="lt-LT"/>
        </w:rPr>
      </w:pPr>
      <w:r w:rsidRPr="00F31CC0">
        <w:t xml:space="preserve">Modelyje naudojami ūmūs gyvenimo kokybės įverčių pakeitimai ir nusistovėję. Siekiant įvertinti gyvenimo kokybę iškart po įvykio taikomi gyvenimo kokybės įverčių sumažėjimai, o po stabilizacijos – taikomas fiksuotas gyvenimo kokybės įvertis atitinkamoje būklėje. Modelio gyvenimo kokybės įverčiai yra grindžiami </w:t>
      </w:r>
      <w:proofErr w:type="spellStart"/>
      <w:r w:rsidRPr="00F31CC0">
        <w:t>Ara</w:t>
      </w:r>
      <w:proofErr w:type="spellEnd"/>
      <w:r w:rsidRPr="00F31CC0">
        <w:t xml:space="preserve"> ir </w:t>
      </w:r>
      <w:proofErr w:type="spellStart"/>
      <w:r w:rsidRPr="00F31CC0">
        <w:t>Brazier</w:t>
      </w:r>
      <w:proofErr w:type="spellEnd"/>
      <w:r w:rsidRPr="00F31CC0">
        <w:t xml:space="preserve"> 2010 </w:t>
      </w:r>
      <w:proofErr w:type="spellStart"/>
      <w:r w:rsidRPr="00F31CC0">
        <w:t>algortimu</w:t>
      </w:r>
      <w:proofErr w:type="spellEnd"/>
      <w:r w:rsidRPr="00F31CC0">
        <w:t xml:space="preserve">. Analizėje naudojami kardiovaskuliniai daugikliai, sveikatos būklių įverčiai gauti iš </w:t>
      </w:r>
      <w:proofErr w:type="spellStart"/>
      <w:r w:rsidRPr="00F31CC0">
        <w:t>Luengo-Fernandez</w:t>
      </w:r>
      <w:proofErr w:type="spellEnd"/>
      <w:r w:rsidRPr="00F31CC0">
        <w:t xml:space="preserve"> et al., 2013. </w:t>
      </w:r>
      <w:r w:rsidRPr="00F31CC0">
        <w:rPr>
          <w:lang w:eastAsia="lt-LT"/>
        </w:rPr>
        <w:t>Tarnyba negali pilnai įvertinti Pareiškėjo pasirinkto gyvenimo kokybės įvertinimo metodo, nes jo aprašymas yra neišsamus, nepateiktos gyvenimo kokybės įverčių alternatyvos.</w:t>
      </w:r>
    </w:p>
    <w:p w14:paraId="4AD31EA6" w14:textId="77777777" w:rsidR="008A572E" w:rsidRPr="00F31CC0" w:rsidRDefault="008A572E" w:rsidP="00F31CC0">
      <w:pPr>
        <w:spacing w:line="276" w:lineRule="auto"/>
        <w:ind w:firstLine="720"/>
        <w:jc w:val="both"/>
        <w:rPr>
          <w:lang w:eastAsia="lt-LT"/>
        </w:rPr>
      </w:pPr>
      <w:r w:rsidRPr="00F31CC0">
        <w:rPr>
          <w:lang w:eastAsia="lt-LT"/>
        </w:rPr>
        <w:t>Tarnybai yra neaišku ar analizėje taikomi kaštai ir asmens sveikatos priežiūros paslaugų poreikis atitinka Lietuvos klinikinę praktiką, nes pareiškėjas nepatikslino, kaip buvo įvertintas asmens sveikatos priežiūros paslaugų poreikis, o dalis paslaugų kaštų buvo įvertinti ne Lietuvos sistemos įkainiais, Tarnyba daro prielaidą, jog kaštai buvo apskaičiuojami PPP metodu, o tai yra nepriimtina tomis situacijomis, kai kaštai gali būti apskaičiuojami remiantis ASPP įkainiais ar DRG metodu. Tarnyba, kur įmanoma, atnaujinti kainas pagal 2026 m. I pusmečio duomenis, pakoregavo kai kurių paslaugų įverčius. Šiuo atveju, atsižvelgiant į galutinę šių paslaugų įtaką analizės rezultatui, Tarnyba sutinka interpretuoti analizės rezultatą pagal Pareiškėjo pateiktas kainas kai kurioms paslaugoms.</w:t>
      </w:r>
    </w:p>
    <w:p w14:paraId="1F675336" w14:textId="3283F601" w:rsidR="00F31CC0" w:rsidRPr="00F31CC0" w:rsidRDefault="008A572E" w:rsidP="00F31CC0">
      <w:pPr>
        <w:spacing w:line="276" w:lineRule="auto"/>
        <w:ind w:firstLine="720"/>
        <w:jc w:val="both"/>
        <w:rPr>
          <w:b/>
        </w:rPr>
      </w:pPr>
      <w:r w:rsidRPr="00F31CC0">
        <w:rPr>
          <w:lang w:eastAsia="lt-LT"/>
        </w:rPr>
        <w:t xml:space="preserve">Laikant, jog ligos našta yra lengva ir referencinės kaštų naudingumo slenkstis yra 1BVP </w:t>
      </w:r>
      <w:r w:rsidRPr="00F31CC0">
        <w:rPr>
          <w:bCs/>
          <w:i/>
          <w:iCs/>
          <w:color w:val="000000"/>
          <w:lang w:eastAsia="lt-LT"/>
        </w:rPr>
        <w:t xml:space="preserve">per </w:t>
      </w:r>
      <w:proofErr w:type="spellStart"/>
      <w:r w:rsidRPr="00F31CC0">
        <w:rPr>
          <w:bCs/>
          <w:i/>
          <w:iCs/>
          <w:color w:val="000000"/>
          <w:lang w:eastAsia="lt-LT"/>
        </w:rPr>
        <w:t>capita</w:t>
      </w:r>
      <w:proofErr w:type="spellEnd"/>
      <w:r w:rsidRPr="00F31CC0">
        <w:rPr>
          <w:bCs/>
          <w:color w:val="000000"/>
          <w:lang w:eastAsia="lt-LT"/>
        </w:rPr>
        <w:t xml:space="preserve"> (</w:t>
      </w:r>
      <w:r w:rsidR="00F47481">
        <w:rPr>
          <w:lang w:eastAsia="lt-LT"/>
        </w:rPr>
        <w:t>*****</w:t>
      </w:r>
      <w:r w:rsidRPr="00F31CC0">
        <w:rPr>
          <w:lang w:eastAsia="lt-LT"/>
        </w:rPr>
        <w:t xml:space="preserve"> </w:t>
      </w:r>
      <w:proofErr w:type="spellStart"/>
      <w:r w:rsidRPr="00F31CC0">
        <w:rPr>
          <w:lang w:eastAsia="lt-LT"/>
        </w:rPr>
        <w:t>eur</w:t>
      </w:r>
      <w:proofErr w:type="spellEnd"/>
      <w:r w:rsidRPr="00F31CC0">
        <w:rPr>
          <w:lang w:eastAsia="lt-LT"/>
        </w:rPr>
        <w:t xml:space="preserve">/QALY) </w:t>
      </w:r>
      <w:proofErr w:type="spellStart"/>
      <w:r w:rsidR="00F31CC0" w:rsidRPr="00F31CC0">
        <w:rPr>
          <w:lang w:eastAsia="lt-LT"/>
        </w:rPr>
        <w:t>bempedono</w:t>
      </w:r>
      <w:proofErr w:type="spellEnd"/>
      <w:r w:rsidR="00F31CC0" w:rsidRPr="00F31CC0">
        <w:rPr>
          <w:lang w:eastAsia="lt-LT"/>
        </w:rPr>
        <w:t xml:space="preserve"> r.</w:t>
      </w:r>
      <w:r w:rsidRPr="00F31CC0">
        <w:rPr>
          <w:lang w:eastAsia="lt-LT"/>
        </w:rPr>
        <w:t xml:space="preserve"> ir </w:t>
      </w:r>
      <w:proofErr w:type="spellStart"/>
      <w:r w:rsidRPr="00F31CC0">
        <w:rPr>
          <w:lang w:eastAsia="lt-LT"/>
        </w:rPr>
        <w:t>ezetimibo</w:t>
      </w:r>
      <w:proofErr w:type="spellEnd"/>
      <w:r w:rsidRPr="00F31CC0">
        <w:rPr>
          <w:lang w:eastAsia="lt-LT"/>
        </w:rPr>
        <w:t xml:space="preserve"> derinys gali būti laikomas kaštams naudingu. Vis dėlto, interpretuojant vienkryptės jautrumo analizės rezultatus, T</w:t>
      </w:r>
      <w:r w:rsidRPr="00F31CC0">
        <w:t xml:space="preserve">arnyba vertina, jog </w:t>
      </w:r>
      <w:proofErr w:type="spellStart"/>
      <w:r w:rsidR="00F31CC0" w:rsidRPr="00F31CC0">
        <w:rPr>
          <w:lang w:eastAsia="lt-LT"/>
        </w:rPr>
        <w:t>bempedono</w:t>
      </w:r>
      <w:proofErr w:type="spellEnd"/>
      <w:r w:rsidR="00F31CC0" w:rsidRPr="00F31CC0">
        <w:rPr>
          <w:lang w:eastAsia="lt-LT"/>
        </w:rPr>
        <w:t xml:space="preserve"> r.</w:t>
      </w:r>
      <w:r w:rsidRPr="00F31CC0">
        <w:t xml:space="preserve"> ir </w:t>
      </w:r>
      <w:proofErr w:type="spellStart"/>
      <w:r w:rsidRPr="00F31CC0">
        <w:t>ezetimibo</w:t>
      </w:r>
      <w:proofErr w:type="spellEnd"/>
      <w:r w:rsidRPr="00F31CC0">
        <w:t xml:space="preserve"> kaštų naudingumas yra ribinis, nes ICER ir referencinė kaštų naudingumo vertė skiriasi maždaug </w:t>
      </w:r>
      <w:r w:rsidR="00F47481">
        <w:t>****</w:t>
      </w:r>
      <w:r w:rsidRPr="00F31CC0">
        <w:t xml:space="preserve"> </w:t>
      </w:r>
      <w:proofErr w:type="spellStart"/>
      <w:r w:rsidRPr="00F31CC0">
        <w:t>eur</w:t>
      </w:r>
      <w:proofErr w:type="spellEnd"/>
      <w:r w:rsidRPr="00F31CC0">
        <w:t xml:space="preserve">/QALY, o jautrumo analizėje yra prielaidų, kurias taikant yra viršijama referencinė kaštų naudingumo vertė. Siekiant pagerinti </w:t>
      </w:r>
      <w:proofErr w:type="spellStart"/>
      <w:r w:rsidR="00F31CC0" w:rsidRPr="00F31CC0">
        <w:rPr>
          <w:lang w:eastAsia="lt-LT"/>
        </w:rPr>
        <w:t>bempedono</w:t>
      </w:r>
      <w:proofErr w:type="spellEnd"/>
      <w:r w:rsidR="00F31CC0" w:rsidRPr="00F31CC0">
        <w:rPr>
          <w:lang w:eastAsia="lt-LT"/>
        </w:rPr>
        <w:t xml:space="preserve"> r.</w:t>
      </w:r>
      <w:r w:rsidRPr="00F31CC0">
        <w:t xml:space="preserve"> kaštų naudingumą galima svarstyti papildomos nuolaidos teikimą vaistiniam preparatui </w:t>
      </w:r>
      <w:proofErr w:type="spellStart"/>
      <w:r w:rsidR="00F31CC0" w:rsidRPr="00F31CC0">
        <w:t>N</w:t>
      </w:r>
      <w:r w:rsidRPr="00F31CC0">
        <w:t>ilemdo</w:t>
      </w:r>
      <w:proofErr w:type="spellEnd"/>
      <w:r w:rsidR="00F31CC0" w:rsidRPr="00F31CC0">
        <w:t xml:space="preserve"> 180 mg plėvele dengtos tabletės.</w:t>
      </w:r>
    </w:p>
    <w:p w14:paraId="25818050" w14:textId="77777777" w:rsidR="008A572E" w:rsidRPr="00F31CC0" w:rsidRDefault="008A572E" w:rsidP="00A93AA6">
      <w:pPr>
        <w:tabs>
          <w:tab w:val="left" w:pos="426"/>
        </w:tabs>
        <w:rPr>
          <w:b/>
          <w:bCs/>
          <w:caps/>
        </w:rPr>
      </w:pPr>
    </w:p>
    <w:p w14:paraId="174D84D7" w14:textId="09C7BC2B" w:rsidR="0035172D" w:rsidRPr="00F31CC0" w:rsidRDefault="00164D64" w:rsidP="00A93AA6">
      <w:pPr>
        <w:tabs>
          <w:tab w:val="left" w:pos="426"/>
        </w:tabs>
        <w:rPr>
          <w:b/>
          <w:lang w:eastAsia="lt-LT"/>
        </w:rPr>
      </w:pPr>
      <w:r w:rsidRPr="00F31CC0">
        <w:rPr>
          <w:b/>
          <w:lang w:eastAsia="lt-LT"/>
        </w:rPr>
        <w:t xml:space="preserve">3.1 </w:t>
      </w:r>
      <w:r w:rsidR="0035172D" w:rsidRPr="00F31CC0">
        <w:rPr>
          <w:b/>
          <w:lang w:eastAsia="lt-LT"/>
        </w:rPr>
        <w:t>Ekonominės analizės rezultatas</w:t>
      </w:r>
    </w:p>
    <w:p w14:paraId="4801D227" w14:textId="77777777" w:rsidR="009E44AE" w:rsidRPr="00F31CC0"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0203E1" w:rsidRPr="00F31CC0"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F31CC0" w:rsidRDefault="009E44AE" w:rsidP="009E44AE">
            <w:pPr>
              <w:tabs>
                <w:tab w:val="left" w:pos="567"/>
              </w:tabs>
              <w:jc w:val="center"/>
              <w:rPr>
                <w:b/>
                <w:bCs/>
                <w:sz w:val="26"/>
                <w:szCs w:val="26"/>
                <w:lang w:eastAsia="lt-LT"/>
              </w:rPr>
            </w:pPr>
            <w:r w:rsidRPr="00F31CC0">
              <w:rPr>
                <w:b/>
                <w:bCs/>
                <w:sz w:val="26"/>
                <w:szCs w:val="26"/>
                <w:lang w:eastAsia="lt-LT"/>
              </w:rPr>
              <w:t>Rezultatai</w:t>
            </w:r>
          </w:p>
        </w:tc>
      </w:tr>
      <w:tr w:rsidR="000203E1" w:rsidRPr="00F31CC0" w14:paraId="319AF392" w14:textId="77777777" w:rsidTr="008A572E">
        <w:trPr>
          <w:trHeight w:val="267"/>
          <w:jc w:val="center"/>
        </w:trPr>
        <w:tc>
          <w:tcPr>
            <w:tcW w:w="6200" w:type="dxa"/>
            <w:tcBorders>
              <w:left w:val="single" w:sz="4" w:space="0" w:color="auto"/>
            </w:tcBorders>
          </w:tcPr>
          <w:p w14:paraId="44CD8D27" w14:textId="27245A0B" w:rsidR="00BA5DBC" w:rsidRPr="00F31CC0" w:rsidRDefault="00BA5DBC" w:rsidP="00BA5DBC">
            <w:pPr>
              <w:tabs>
                <w:tab w:val="left" w:pos="567"/>
              </w:tabs>
              <w:jc w:val="right"/>
              <w:rPr>
                <w:iCs/>
                <w:lang w:eastAsia="lt-LT"/>
              </w:rPr>
            </w:pPr>
            <w:r w:rsidRPr="00F31CC0">
              <w:rPr>
                <w:iCs/>
                <w:lang w:eastAsia="lt-LT"/>
              </w:rPr>
              <w:t>Kaštų skirtumas</w:t>
            </w:r>
          </w:p>
        </w:tc>
        <w:tc>
          <w:tcPr>
            <w:tcW w:w="3239" w:type="dxa"/>
            <w:tcBorders>
              <w:right w:val="single" w:sz="4" w:space="0" w:color="auto"/>
            </w:tcBorders>
          </w:tcPr>
          <w:p w14:paraId="1CACF0B4" w14:textId="3910682B" w:rsidR="00BA5DBC" w:rsidRPr="00F31CC0" w:rsidRDefault="00F47481" w:rsidP="00BA5DBC">
            <w:pPr>
              <w:tabs>
                <w:tab w:val="left" w:pos="567"/>
              </w:tabs>
              <w:jc w:val="both"/>
              <w:rPr>
                <w:i/>
                <w:iCs/>
                <w:lang w:eastAsia="lt-LT"/>
              </w:rPr>
            </w:pPr>
            <w:r>
              <w:rPr>
                <w:i/>
                <w:iCs/>
                <w:lang w:eastAsia="lt-LT"/>
              </w:rPr>
              <w:t>****</w:t>
            </w:r>
            <w:r w:rsidR="008A572E" w:rsidRPr="00F31CC0">
              <w:rPr>
                <w:i/>
                <w:iCs/>
                <w:lang w:eastAsia="lt-LT"/>
              </w:rPr>
              <w:t xml:space="preserve"> </w:t>
            </w:r>
            <w:proofErr w:type="spellStart"/>
            <w:r w:rsidR="008A572E" w:rsidRPr="00F31CC0">
              <w:rPr>
                <w:i/>
                <w:iCs/>
                <w:lang w:eastAsia="lt-LT"/>
              </w:rPr>
              <w:t>eur</w:t>
            </w:r>
            <w:proofErr w:type="spellEnd"/>
          </w:p>
        </w:tc>
      </w:tr>
      <w:tr w:rsidR="000203E1" w:rsidRPr="00F31CC0" w14:paraId="49F818A3" w14:textId="77777777" w:rsidTr="008A572E">
        <w:trPr>
          <w:trHeight w:val="267"/>
          <w:jc w:val="center"/>
        </w:trPr>
        <w:tc>
          <w:tcPr>
            <w:tcW w:w="6200" w:type="dxa"/>
            <w:tcBorders>
              <w:left w:val="single" w:sz="4" w:space="0" w:color="auto"/>
            </w:tcBorders>
          </w:tcPr>
          <w:p w14:paraId="021DB925" w14:textId="389F1BF5" w:rsidR="00BA5DBC" w:rsidRPr="00F31CC0" w:rsidRDefault="00BA5DBC" w:rsidP="00BA5DBC">
            <w:pPr>
              <w:tabs>
                <w:tab w:val="left" w:pos="567"/>
              </w:tabs>
              <w:jc w:val="right"/>
              <w:rPr>
                <w:iCs/>
                <w:lang w:eastAsia="lt-LT"/>
              </w:rPr>
            </w:pPr>
            <w:r w:rsidRPr="00F31CC0">
              <w:rPr>
                <w:iCs/>
                <w:lang w:eastAsia="lt-LT"/>
              </w:rPr>
              <w:t>Papildomi gyvenimo metai (LY)</w:t>
            </w:r>
          </w:p>
        </w:tc>
        <w:tc>
          <w:tcPr>
            <w:tcW w:w="3239" w:type="dxa"/>
            <w:tcBorders>
              <w:right w:val="single" w:sz="4" w:space="0" w:color="auto"/>
            </w:tcBorders>
          </w:tcPr>
          <w:p w14:paraId="4954817B" w14:textId="695CF723" w:rsidR="00BA5DBC" w:rsidRPr="00F31CC0" w:rsidRDefault="00F47481" w:rsidP="00BA5DBC">
            <w:pPr>
              <w:tabs>
                <w:tab w:val="left" w:pos="567"/>
              </w:tabs>
              <w:jc w:val="both"/>
              <w:rPr>
                <w:i/>
                <w:iCs/>
                <w:lang w:eastAsia="lt-LT"/>
              </w:rPr>
            </w:pPr>
            <w:r>
              <w:rPr>
                <w:i/>
                <w:iCs/>
                <w:lang w:eastAsia="lt-LT"/>
              </w:rPr>
              <w:t>***</w:t>
            </w:r>
            <w:r w:rsidR="008A572E" w:rsidRPr="00F31CC0">
              <w:rPr>
                <w:i/>
                <w:iCs/>
                <w:lang w:eastAsia="lt-LT"/>
              </w:rPr>
              <w:t xml:space="preserve"> </w:t>
            </w:r>
            <w:proofErr w:type="spellStart"/>
            <w:r w:rsidR="008A572E" w:rsidRPr="00F31CC0">
              <w:rPr>
                <w:i/>
                <w:iCs/>
                <w:lang w:eastAsia="lt-LT"/>
              </w:rPr>
              <w:t>LY‘s</w:t>
            </w:r>
            <w:proofErr w:type="spellEnd"/>
          </w:p>
        </w:tc>
      </w:tr>
      <w:tr w:rsidR="000203E1" w:rsidRPr="00F31CC0" w14:paraId="20ADA742" w14:textId="77777777" w:rsidTr="008A572E">
        <w:trPr>
          <w:trHeight w:val="267"/>
          <w:jc w:val="center"/>
        </w:trPr>
        <w:tc>
          <w:tcPr>
            <w:tcW w:w="6200" w:type="dxa"/>
            <w:tcBorders>
              <w:left w:val="single" w:sz="4" w:space="0" w:color="auto"/>
            </w:tcBorders>
          </w:tcPr>
          <w:p w14:paraId="0F567576" w14:textId="2606A2E9" w:rsidR="00BA5DBC" w:rsidRPr="00F31CC0" w:rsidRDefault="0058712F" w:rsidP="00BA5DBC">
            <w:pPr>
              <w:tabs>
                <w:tab w:val="left" w:pos="567"/>
              </w:tabs>
              <w:jc w:val="right"/>
              <w:rPr>
                <w:iCs/>
                <w:lang w:eastAsia="lt-LT"/>
              </w:rPr>
            </w:pPr>
            <w:r w:rsidRPr="00F31CC0">
              <w:rPr>
                <w:iCs/>
                <w:lang w:eastAsia="lt-LT"/>
              </w:rPr>
              <w:t>Papildomi k</w:t>
            </w:r>
            <w:r w:rsidR="00BA5DBC" w:rsidRPr="00F31CC0">
              <w:rPr>
                <w:iCs/>
                <w:lang w:eastAsia="lt-LT"/>
              </w:rPr>
              <w:t>okybiški gyvenimo metai (QALY)</w:t>
            </w:r>
          </w:p>
        </w:tc>
        <w:tc>
          <w:tcPr>
            <w:tcW w:w="3239" w:type="dxa"/>
            <w:tcBorders>
              <w:right w:val="single" w:sz="4" w:space="0" w:color="auto"/>
            </w:tcBorders>
          </w:tcPr>
          <w:p w14:paraId="02E4DAE1" w14:textId="6ABB17E8" w:rsidR="00BA5DBC" w:rsidRPr="00F31CC0" w:rsidRDefault="00F47481" w:rsidP="008A572E">
            <w:pPr>
              <w:tabs>
                <w:tab w:val="left" w:pos="567"/>
              </w:tabs>
              <w:jc w:val="both"/>
              <w:rPr>
                <w:i/>
                <w:iCs/>
                <w:lang w:eastAsia="lt-LT"/>
              </w:rPr>
            </w:pPr>
            <w:r>
              <w:rPr>
                <w:i/>
                <w:iCs/>
                <w:lang w:eastAsia="lt-LT"/>
              </w:rPr>
              <w:t>***</w:t>
            </w:r>
            <w:r w:rsidR="008A572E" w:rsidRPr="00F31CC0">
              <w:rPr>
                <w:i/>
                <w:iCs/>
                <w:lang w:eastAsia="lt-LT"/>
              </w:rPr>
              <w:t xml:space="preserve"> </w:t>
            </w:r>
            <w:proofErr w:type="spellStart"/>
            <w:r w:rsidR="008A572E" w:rsidRPr="00F31CC0">
              <w:rPr>
                <w:i/>
                <w:iCs/>
                <w:lang w:eastAsia="lt-LT"/>
              </w:rPr>
              <w:t>QALY‘s</w:t>
            </w:r>
            <w:proofErr w:type="spellEnd"/>
          </w:p>
        </w:tc>
      </w:tr>
      <w:tr w:rsidR="008A572E" w:rsidRPr="00F31CC0" w14:paraId="1FADA2B3" w14:textId="77777777" w:rsidTr="008A572E">
        <w:trPr>
          <w:trHeight w:val="267"/>
          <w:jc w:val="center"/>
        </w:trPr>
        <w:tc>
          <w:tcPr>
            <w:tcW w:w="6200" w:type="dxa"/>
            <w:tcBorders>
              <w:left w:val="single" w:sz="4" w:space="0" w:color="auto"/>
            </w:tcBorders>
          </w:tcPr>
          <w:p w14:paraId="13E089E8" w14:textId="0BCEB339" w:rsidR="008A572E" w:rsidRPr="00F31CC0" w:rsidRDefault="008A572E" w:rsidP="008A572E">
            <w:pPr>
              <w:tabs>
                <w:tab w:val="left" w:pos="567"/>
              </w:tabs>
              <w:jc w:val="right"/>
              <w:rPr>
                <w:iCs/>
                <w:lang w:eastAsia="lt-LT"/>
              </w:rPr>
            </w:pPr>
            <w:r w:rsidRPr="00F31CC0">
              <w:rPr>
                <w:iCs/>
                <w:lang w:eastAsia="lt-LT"/>
              </w:rPr>
              <w:t>ICER už LY</w:t>
            </w:r>
          </w:p>
        </w:tc>
        <w:tc>
          <w:tcPr>
            <w:tcW w:w="3239" w:type="dxa"/>
            <w:tcBorders>
              <w:right w:val="single" w:sz="4" w:space="0" w:color="auto"/>
            </w:tcBorders>
          </w:tcPr>
          <w:p w14:paraId="2817448D" w14:textId="44BB6CDA" w:rsidR="008A572E" w:rsidRPr="00F31CC0" w:rsidRDefault="00F47481" w:rsidP="008A572E">
            <w:pPr>
              <w:tabs>
                <w:tab w:val="left" w:pos="567"/>
              </w:tabs>
              <w:jc w:val="both"/>
              <w:rPr>
                <w:i/>
                <w:iCs/>
                <w:lang w:eastAsia="lt-LT"/>
              </w:rPr>
            </w:pPr>
            <w:r>
              <w:rPr>
                <w:i/>
                <w:iCs/>
                <w:lang w:eastAsia="lt-LT"/>
              </w:rPr>
              <w:t>*****</w:t>
            </w:r>
            <w:r w:rsidR="008A572E" w:rsidRPr="00F31CC0">
              <w:rPr>
                <w:i/>
                <w:iCs/>
                <w:lang w:eastAsia="lt-LT"/>
              </w:rPr>
              <w:t xml:space="preserve"> </w:t>
            </w:r>
            <w:proofErr w:type="spellStart"/>
            <w:r w:rsidR="008A572E" w:rsidRPr="00F31CC0">
              <w:rPr>
                <w:i/>
                <w:iCs/>
                <w:lang w:eastAsia="lt-LT"/>
              </w:rPr>
              <w:t>eur</w:t>
            </w:r>
            <w:proofErr w:type="spellEnd"/>
            <w:r w:rsidR="008A572E" w:rsidRPr="00F31CC0">
              <w:rPr>
                <w:i/>
                <w:iCs/>
                <w:lang w:eastAsia="lt-LT"/>
              </w:rPr>
              <w:t>/LY</w:t>
            </w:r>
          </w:p>
        </w:tc>
      </w:tr>
      <w:tr w:rsidR="008A572E" w:rsidRPr="00F31CC0" w14:paraId="250DE960" w14:textId="77777777" w:rsidTr="008A572E">
        <w:trPr>
          <w:trHeight w:val="267"/>
          <w:jc w:val="center"/>
        </w:trPr>
        <w:tc>
          <w:tcPr>
            <w:tcW w:w="6200" w:type="dxa"/>
            <w:tcBorders>
              <w:left w:val="single" w:sz="4" w:space="0" w:color="auto"/>
            </w:tcBorders>
          </w:tcPr>
          <w:p w14:paraId="207EFB23" w14:textId="77777777" w:rsidR="008A572E" w:rsidRPr="00F31CC0" w:rsidRDefault="008A572E" w:rsidP="008A572E">
            <w:pPr>
              <w:tabs>
                <w:tab w:val="left" w:pos="567"/>
              </w:tabs>
              <w:jc w:val="right"/>
              <w:rPr>
                <w:iCs/>
                <w:lang w:eastAsia="lt-LT"/>
              </w:rPr>
            </w:pPr>
            <w:r w:rsidRPr="00F31CC0">
              <w:rPr>
                <w:iCs/>
                <w:lang w:eastAsia="lt-LT"/>
              </w:rPr>
              <w:t>ICER už QALY</w:t>
            </w:r>
          </w:p>
        </w:tc>
        <w:tc>
          <w:tcPr>
            <w:tcW w:w="3239" w:type="dxa"/>
            <w:tcBorders>
              <w:right w:val="single" w:sz="4" w:space="0" w:color="auto"/>
            </w:tcBorders>
          </w:tcPr>
          <w:p w14:paraId="4275320D" w14:textId="03122C41" w:rsidR="008A572E" w:rsidRPr="00F31CC0" w:rsidRDefault="00F47481" w:rsidP="008A572E">
            <w:pPr>
              <w:tabs>
                <w:tab w:val="left" w:pos="567"/>
              </w:tabs>
              <w:jc w:val="both"/>
              <w:rPr>
                <w:i/>
                <w:iCs/>
                <w:lang w:eastAsia="lt-LT"/>
              </w:rPr>
            </w:pPr>
            <w:r>
              <w:rPr>
                <w:i/>
                <w:iCs/>
                <w:lang w:eastAsia="lt-LT"/>
              </w:rPr>
              <w:t>*****</w:t>
            </w:r>
            <w:r w:rsidR="008A572E" w:rsidRPr="00F31CC0">
              <w:rPr>
                <w:i/>
                <w:iCs/>
                <w:lang w:eastAsia="lt-LT"/>
              </w:rPr>
              <w:t xml:space="preserve"> </w:t>
            </w:r>
            <w:proofErr w:type="spellStart"/>
            <w:r w:rsidR="008A572E" w:rsidRPr="00F31CC0">
              <w:rPr>
                <w:i/>
                <w:iCs/>
                <w:lang w:eastAsia="lt-LT"/>
              </w:rPr>
              <w:t>eur</w:t>
            </w:r>
            <w:proofErr w:type="spellEnd"/>
            <w:r w:rsidR="008A572E" w:rsidRPr="00F31CC0">
              <w:rPr>
                <w:i/>
                <w:iCs/>
                <w:lang w:eastAsia="lt-LT"/>
              </w:rPr>
              <w:t>/QALY</w:t>
            </w:r>
          </w:p>
        </w:tc>
      </w:tr>
      <w:tr w:rsidR="008A572E" w:rsidRPr="00F31CC0" w14:paraId="2C4C68BA" w14:textId="77777777" w:rsidTr="008A572E">
        <w:trPr>
          <w:trHeight w:val="267"/>
          <w:jc w:val="center"/>
        </w:trPr>
        <w:tc>
          <w:tcPr>
            <w:tcW w:w="6200" w:type="dxa"/>
            <w:tcBorders>
              <w:left w:val="single" w:sz="4" w:space="0" w:color="auto"/>
              <w:bottom w:val="single" w:sz="4" w:space="0" w:color="auto"/>
              <w:right w:val="single" w:sz="4" w:space="0" w:color="auto"/>
            </w:tcBorders>
          </w:tcPr>
          <w:p w14:paraId="21BEDABF" w14:textId="3471AFB3" w:rsidR="008A572E" w:rsidRPr="00F31CC0" w:rsidRDefault="008A572E" w:rsidP="008A572E">
            <w:pPr>
              <w:tabs>
                <w:tab w:val="left" w:pos="567"/>
              </w:tabs>
              <w:jc w:val="right"/>
              <w:rPr>
                <w:iCs/>
                <w:lang w:eastAsia="lt-LT"/>
              </w:rPr>
            </w:pPr>
            <w:r w:rsidRPr="00F31CC0">
              <w:rPr>
                <w:iCs/>
                <w:lang w:eastAsia="lt-LT"/>
              </w:rPr>
              <w:t>Referencinė kaštų naudingumo vertė</w:t>
            </w:r>
          </w:p>
        </w:tc>
        <w:tc>
          <w:tcPr>
            <w:tcW w:w="3239" w:type="dxa"/>
            <w:tcBorders>
              <w:left w:val="single" w:sz="4" w:space="0" w:color="auto"/>
              <w:bottom w:val="single" w:sz="4" w:space="0" w:color="auto"/>
              <w:right w:val="single" w:sz="4" w:space="0" w:color="auto"/>
            </w:tcBorders>
          </w:tcPr>
          <w:p w14:paraId="31DAA72E" w14:textId="136137BC" w:rsidR="008A572E" w:rsidRPr="00F31CC0" w:rsidRDefault="00F47481" w:rsidP="008A572E">
            <w:pPr>
              <w:tabs>
                <w:tab w:val="left" w:pos="567"/>
              </w:tabs>
              <w:jc w:val="both"/>
              <w:rPr>
                <w:i/>
                <w:iCs/>
                <w:lang w:eastAsia="lt-LT"/>
              </w:rPr>
            </w:pPr>
            <w:r>
              <w:rPr>
                <w:i/>
                <w:iCs/>
                <w:lang w:eastAsia="lt-LT"/>
              </w:rPr>
              <w:t>*****</w:t>
            </w:r>
            <w:r w:rsidR="008A572E" w:rsidRPr="00F31CC0">
              <w:rPr>
                <w:i/>
                <w:iCs/>
                <w:lang w:eastAsia="lt-LT"/>
              </w:rPr>
              <w:t xml:space="preserve"> </w:t>
            </w:r>
            <w:proofErr w:type="spellStart"/>
            <w:r w:rsidR="008A572E" w:rsidRPr="00F31CC0">
              <w:rPr>
                <w:i/>
                <w:iCs/>
                <w:lang w:eastAsia="lt-LT"/>
              </w:rPr>
              <w:t>eur</w:t>
            </w:r>
            <w:proofErr w:type="spellEnd"/>
            <w:r w:rsidR="008A572E" w:rsidRPr="00F31CC0">
              <w:rPr>
                <w:i/>
                <w:iCs/>
                <w:lang w:eastAsia="lt-LT"/>
              </w:rPr>
              <w:t>/QALY</w:t>
            </w:r>
          </w:p>
        </w:tc>
      </w:tr>
    </w:tbl>
    <w:p w14:paraId="5FC8C737" w14:textId="4136B7F4" w:rsidR="0035172D" w:rsidRPr="00F31CC0" w:rsidRDefault="00E5102E" w:rsidP="0035172D">
      <w:pPr>
        <w:tabs>
          <w:tab w:val="left" w:pos="567"/>
        </w:tabs>
        <w:jc w:val="both"/>
        <w:rPr>
          <w:iCs/>
          <w:sz w:val="20"/>
          <w:lang w:eastAsia="lt-LT"/>
        </w:rPr>
      </w:pPr>
      <w:r w:rsidRPr="00F31CC0">
        <w:rPr>
          <w:iCs/>
          <w:sz w:val="20"/>
          <w:lang w:eastAsia="lt-LT"/>
        </w:rPr>
        <w:t xml:space="preserve">ICER </w:t>
      </w:r>
      <w:r w:rsidR="00453862" w:rsidRPr="00F31CC0">
        <w:rPr>
          <w:iCs/>
          <w:sz w:val="20"/>
          <w:lang w:eastAsia="lt-LT"/>
        </w:rPr>
        <w:t>– (</w:t>
      </w:r>
      <w:r w:rsidR="00453862" w:rsidRPr="00F31CC0">
        <w:rPr>
          <w:i/>
          <w:sz w:val="20"/>
          <w:lang w:eastAsia="lt-LT"/>
        </w:rPr>
        <w:t xml:space="preserve">angl. </w:t>
      </w:r>
      <w:proofErr w:type="spellStart"/>
      <w:r w:rsidR="00453862" w:rsidRPr="00F31CC0">
        <w:rPr>
          <w:i/>
          <w:sz w:val="20"/>
          <w:lang w:eastAsia="lt-LT"/>
        </w:rPr>
        <w:t>incremental</w:t>
      </w:r>
      <w:proofErr w:type="spellEnd"/>
      <w:r w:rsidR="00453862" w:rsidRPr="00F31CC0">
        <w:rPr>
          <w:i/>
          <w:sz w:val="20"/>
          <w:lang w:eastAsia="lt-LT"/>
        </w:rPr>
        <w:t xml:space="preserve"> </w:t>
      </w:r>
      <w:proofErr w:type="spellStart"/>
      <w:r w:rsidR="00453862" w:rsidRPr="00F31CC0">
        <w:rPr>
          <w:i/>
          <w:sz w:val="20"/>
          <w:lang w:eastAsia="lt-LT"/>
        </w:rPr>
        <w:t>cost-effectiveness</w:t>
      </w:r>
      <w:proofErr w:type="spellEnd"/>
      <w:r w:rsidR="00453862" w:rsidRPr="00F31CC0">
        <w:rPr>
          <w:i/>
          <w:sz w:val="20"/>
          <w:lang w:eastAsia="lt-LT"/>
        </w:rPr>
        <w:t xml:space="preserve"> </w:t>
      </w:r>
      <w:proofErr w:type="spellStart"/>
      <w:r w:rsidR="00453862" w:rsidRPr="00F31CC0">
        <w:rPr>
          <w:i/>
          <w:sz w:val="20"/>
          <w:lang w:eastAsia="lt-LT"/>
        </w:rPr>
        <w:t>ratio</w:t>
      </w:r>
      <w:proofErr w:type="spellEnd"/>
      <w:r w:rsidR="00453862" w:rsidRPr="00F31CC0">
        <w:rPr>
          <w:iCs/>
          <w:sz w:val="20"/>
          <w:lang w:eastAsia="lt-LT"/>
        </w:rPr>
        <w:t xml:space="preserve">) </w:t>
      </w:r>
      <w:proofErr w:type="spellStart"/>
      <w:r w:rsidR="00453862" w:rsidRPr="00F31CC0">
        <w:rPr>
          <w:iCs/>
          <w:sz w:val="20"/>
          <w:lang w:eastAsia="lt-LT"/>
        </w:rPr>
        <w:t>inkrementinis</w:t>
      </w:r>
      <w:proofErr w:type="spellEnd"/>
      <w:r w:rsidR="00453862" w:rsidRPr="00F31CC0">
        <w:rPr>
          <w:iCs/>
          <w:sz w:val="20"/>
          <w:lang w:eastAsia="lt-LT"/>
        </w:rPr>
        <w:t xml:space="preserve"> kaštų naudingumo koeficientas</w:t>
      </w:r>
      <w:r w:rsidRPr="00F31CC0">
        <w:rPr>
          <w:iCs/>
          <w:sz w:val="20"/>
          <w:lang w:eastAsia="lt-LT"/>
        </w:rPr>
        <w:t>; LY –</w:t>
      </w:r>
      <w:r w:rsidR="00453862" w:rsidRPr="00F31CC0">
        <w:rPr>
          <w:iCs/>
          <w:sz w:val="20"/>
          <w:lang w:eastAsia="lt-LT"/>
        </w:rPr>
        <w:t xml:space="preserve"> (</w:t>
      </w:r>
      <w:r w:rsidR="00453862" w:rsidRPr="00F31CC0">
        <w:rPr>
          <w:i/>
          <w:sz w:val="20"/>
          <w:lang w:eastAsia="lt-LT"/>
        </w:rPr>
        <w:t xml:space="preserve">angl. </w:t>
      </w:r>
      <w:proofErr w:type="spellStart"/>
      <w:r w:rsidR="00453862" w:rsidRPr="00F31CC0">
        <w:rPr>
          <w:i/>
          <w:sz w:val="20"/>
          <w:lang w:eastAsia="lt-LT"/>
        </w:rPr>
        <w:t>life</w:t>
      </w:r>
      <w:proofErr w:type="spellEnd"/>
      <w:r w:rsidR="00453862" w:rsidRPr="00F31CC0">
        <w:rPr>
          <w:i/>
          <w:sz w:val="20"/>
          <w:lang w:eastAsia="lt-LT"/>
        </w:rPr>
        <w:t xml:space="preserve"> </w:t>
      </w:r>
      <w:proofErr w:type="spellStart"/>
      <w:r w:rsidR="00453862" w:rsidRPr="00F31CC0">
        <w:rPr>
          <w:i/>
          <w:sz w:val="20"/>
          <w:lang w:eastAsia="lt-LT"/>
        </w:rPr>
        <w:t>years</w:t>
      </w:r>
      <w:proofErr w:type="spellEnd"/>
      <w:r w:rsidR="00453862" w:rsidRPr="00F31CC0">
        <w:rPr>
          <w:iCs/>
          <w:sz w:val="20"/>
          <w:lang w:eastAsia="lt-LT"/>
        </w:rPr>
        <w:t>) gyvenimo metai</w:t>
      </w:r>
      <w:r w:rsidRPr="00F31CC0">
        <w:rPr>
          <w:iCs/>
          <w:sz w:val="20"/>
          <w:lang w:eastAsia="lt-LT"/>
        </w:rPr>
        <w:t xml:space="preserve">; QALY- </w:t>
      </w:r>
      <w:r w:rsidR="00453862" w:rsidRPr="00F31CC0">
        <w:rPr>
          <w:iCs/>
          <w:sz w:val="20"/>
          <w:lang w:eastAsia="lt-LT"/>
        </w:rPr>
        <w:t>(</w:t>
      </w:r>
      <w:r w:rsidR="00453862" w:rsidRPr="00F31CC0">
        <w:rPr>
          <w:i/>
          <w:sz w:val="20"/>
          <w:lang w:eastAsia="lt-LT"/>
        </w:rPr>
        <w:t xml:space="preserve">angl. </w:t>
      </w:r>
      <w:proofErr w:type="spellStart"/>
      <w:r w:rsidR="00453862" w:rsidRPr="00F31CC0">
        <w:rPr>
          <w:i/>
          <w:sz w:val="20"/>
          <w:lang w:eastAsia="lt-LT"/>
        </w:rPr>
        <w:t>quality</w:t>
      </w:r>
      <w:proofErr w:type="spellEnd"/>
      <w:r w:rsidR="00453862" w:rsidRPr="00F31CC0">
        <w:rPr>
          <w:i/>
          <w:sz w:val="20"/>
          <w:lang w:eastAsia="lt-LT"/>
        </w:rPr>
        <w:t xml:space="preserve"> </w:t>
      </w:r>
      <w:proofErr w:type="spellStart"/>
      <w:r w:rsidR="00453862" w:rsidRPr="00F31CC0">
        <w:rPr>
          <w:i/>
          <w:sz w:val="20"/>
          <w:lang w:eastAsia="lt-LT"/>
        </w:rPr>
        <w:t>adjusted</w:t>
      </w:r>
      <w:proofErr w:type="spellEnd"/>
      <w:r w:rsidR="00453862" w:rsidRPr="00F31CC0">
        <w:rPr>
          <w:i/>
          <w:sz w:val="20"/>
          <w:lang w:eastAsia="lt-LT"/>
        </w:rPr>
        <w:t xml:space="preserve"> </w:t>
      </w:r>
      <w:proofErr w:type="spellStart"/>
      <w:r w:rsidR="00453862" w:rsidRPr="00F31CC0">
        <w:rPr>
          <w:i/>
          <w:sz w:val="20"/>
          <w:lang w:eastAsia="lt-LT"/>
        </w:rPr>
        <w:t>life</w:t>
      </w:r>
      <w:proofErr w:type="spellEnd"/>
      <w:r w:rsidR="00453862" w:rsidRPr="00F31CC0">
        <w:rPr>
          <w:i/>
          <w:sz w:val="20"/>
          <w:lang w:eastAsia="lt-LT"/>
        </w:rPr>
        <w:t xml:space="preserve"> </w:t>
      </w:r>
      <w:proofErr w:type="spellStart"/>
      <w:r w:rsidR="00453862" w:rsidRPr="00F31CC0">
        <w:rPr>
          <w:i/>
          <w:sz w:val="20"/>
          <w:lang w:eastAsia="lt-LT"/>
        </w:rPr>
        <w:t>years</w:t>
      </w:r>
      <w:proofErr w:type="spellEnd"/>
      <w:r w:rsidR="00453862" w:rsidRPr="00F31CC0">
        <w:rPr>
          <w:i/>
          <w:sz w:val="20"/>
          <w:lang w:eastAsia="lt-LT"/>
        </w:rPr>
        <w:t xml:space="preserve">) </w:t>
      </w:r>
      <w:r w:rsidR="00453862" w:rsidRPr="00F31CC0">
        <w:rPr>
          <w:iCs/>
          <w:sz w:val="20"/>
          <w:lang w:eastAsia="lt-LT"/>
        </w:rPr>
        <w:t>kokybiški gyvenimo metai.</w:t>
      </w:r>
    </w:p>
    <w:p w14:paraId="33875138" w14:textId="77777777" w:rsidR="0035172D" w:rsidRPr="00F31CC0" w:rsidRDefault="0035172D" w:rsidP="00A93AA6">
      <w:pPr>
        <w:tabs>
          <w:tab w:val="left" w:pos="426"/>
        </w:tabs>
        <w:rPr>
          <w:b/>
          <w:bCs/>
          <w:caps/>
        </w:rPr>
      </w:pPr>
    </w:p>
    <w:p w14:paraId="4FC424F9" w14:textId="4E767245" w:rsidR="00C62B36" w:rsidRPr="00F31CC0" w:rsidRDefault="00C62B36" w:rsidP="00CC09D4">
      <w:pPr>
        <w:pStyle w:val="Sraopastraipa"/>
        <w:numPr>
          <w:ilvl w:val="0"/>
          <w:numId w:val="12"/>
        </w:numPr>
        <w:tabs>
          <w:tab w:val="left" w:pos="567"/>
        </w:tabs>
        <w:ind w:hanging="720"/>
        <w:rPr>
          <w:b/>
          <w:bCs/>
          <w:caps/>
        </w:rPr>
      </w:pPr>
      <w:r w:rsidRPr="00F31CC0">
        <w:rPr>
          <w:b/>
          <w:bCs/>
          <w:caps/>
        </w:rPr>
        <w:t xml:space="preserve">Pacientų organizacijų pateikti duomenys </w:t>
      </w:r>
    </w:p>
    <w:p w14:paraId="54351841" w14:textId="77777777" w:rsidR="00C9728E" w:rsidRPr="00F31CC0" w:rsidRDefault="00C9728E" w:rsidP="00C9728E">
      <w:pPr>
        <w:pStyle w:val="Sraopastraipa"/>
        <w:tabs>
          <w:tab w:val="left" w:pos="567"/>
        </w:tabs>
        <w:rPr>
          <w:b/>
          <w:bCs/>
          <w:caps/>
        </w:rPr>
      </w:pPr>
    </w:p>
    <w:p w14:paraId="62992180" w14:textId="6A92BEAD" w:rsidR="00937907" w:rsidRPr="00F31CC0" w:rsidRDefault="00937907" w:rsidP="00937907">
      <w:pPr>
        <w:spacing w:after="120"/>
        <w:jc w:val="both"/>
      </w:pPr>
      <w:r w:rsidRPr="00F31CC0">
        <w:t xml:space="preserve">Pacientų organizacijos pozicija </w:t>
      </w:r>
      <w:r w:rsidR="00880A44" w:rsidRPr="00F31CC0">
        <w:t>ne</w:t>
      </w:r>
      <w:r w:rsidRPr="00F31CC0">
        <w:t>pateikta.</w:t>
      </w:r>
    </w:p>
    <w:p w14:paraId="03E73D82" w14:textId="77777777" w:rsidR="00D417D2" w:rsidRPr="00F31CC0" w:rsidRDefault="00D417D2" w:rsidP="00937907">
      <w:pPr>
        <w:spacing w:after="120"/>
        <w:jc w:val="both"/>
      </w:pPr>
    </w:p>
    <w:p w14:paraId="3D3277FA" w14:textId="09414FFF" w:rsidR="00C62B36" w:rsidRPr="00F31CC0" w:rsidRDefault="00D67BAF" w:rsidP="00CC09D4">
      <w:pPr>
        <w:pStyle w:val="Sraopastraipa"/>
        <w:numPr>
          <w:ilvl w:val="0"/>
          <w:numId w:val="12"/>
        </w:numPr>
        <w:tabs>
          <w:tab w:val="left" w:pos="567"/>
        </w:tabs>
        <w:ind w:hanging="720"/>
        <w:rPr>
          <w:b/>
          <w:bCs/>
          <w:caps/>
        </w:rPr>
      </w:pPr>
      <w:r w:rsidRPr="00F31CC0">
        <w:rPr>
          <w:b/>
          <w:bCs/>
          <w:caps/>
        </w:rPr>
        <w:t xml:space="preserve">SVEIKATOS PRIEŽIŪROS SPECIALISTŲ </w:t>
      </w:r>
      <w:r w:rsidR="00C62B36" w:rsidRPr="00F31CC0">
        <w:rPr>
          <w:b/>
          <w:bCs/>
          <w:caps/>
        </w:rPr>
        <w:t xml:space="preserve"> organizacijų pateikti duomenys</w:t>
      </w:r>
    </w:p>
    <w:p w14:paraId="044D5084" w14:textId="77777777" w:rsidR="00C9728E" w:rsidRPr="00F31CC0" w:rsidRDefault="00C9728E" w:rsidP="00C9728E">
      <w:pPr>
        <w:pStyle w:val="Sraopastraipa"/>
        <w:tabs>
          <w:tab w:val="left" w:pos="567"/>
        </w:tabs>
        <w:rPr>
          <w:b/>
          <w:bCs/>
          <w:caps/>
        </w:rPr>
      </w:pPr>
    </w:p>
    <w:p w14:paraId="5D8CC48C" w14:textId="023172FD" w:rsidR="00662983" w:rsidRPr="00F31CC0" w:rsidRDefault="00D67BAF" w:rsidP="00662983">
      <w:pPr>
        <w:spacing w:after="120"/>
        <w:jc w:val="both"/>
      </w:pPr>
      <w:r w:rsidRPr="00F31CC0">
        <w:t>S</w:t>
      </w:r>
      <w:r w:rsidRPr="00F31CC0">
        <w:rPr>
          <w:bCs/>
        </w:rPr>
        <w:t>veikatos priežiūros specialistų</w:t>
      </w:r>
      <w:r w:rsidR="00937907" w:rsidRPr="00F31CC0">
        <w:t xml:space="preserve"> organizacijos pozicija </w:t>
      </w:r>
      <w:r w:rsidR="00880A44" w:rsidRPr="00F31CC0">
        <w:t>ne</w:t>
      </w:r>
      <w:r w:rsidR="00937907" w:rsidRPr="00F31CC0">
        <w:t>pateikta.</w:t>
      </w:r>
    </w:p>
    <w:p w14:paraId="3701D46A" w14:textId="77777777" w:rsidR="00A042B9" w:rsidRPr="00F31CC0" w:rsidRDefault="00A042B9" w:rsidP="00662983">
      <w:pPr>
        <w:spacing w:after="120"/>
        <w:jc w:val="both"/>
      </w:pPr>
    </w:p>
    <w:p w14:paraId="78F23ECB" w14:textId="3ED5BFD5" w:rsidR="002F0E4F" w:rsidRPr="00F31CC0" w:rsidRDefault="002F0E4F" w:rsidP="00CC09D4">
      <w:pPr>
        <w:pStyle w:val="Sraopastraipa"/>
        <w:numPr>
          <w:ilvl w:val="0"/>
          <w:numId w:val="12"/>
        </w:numPr>
        <w:tabs>
          <w:tab w:val="left" w:pos="567"/>
        </w:tabs>
        <w:ind w:hanging="720"/>
        <w:rPr>
          <w:b/>
          <w:bCs/>
          <w:caps/>
        </w:rPr>
      </w:pPr>
      <w:r w:rsidRPr="00F31CC0">
        <w:rPr>
          <w:b/>
          <w:bCs/>
          <w:caps/>
        </w:rPr>
        <w:lastRenderedPageBreak/>
        <w:t>Išvad</w:t>
      </w:r>
      <w:r w:rsidR="00B811A4" w:rsidRPr="00F31CC0">
        <w:rPr>
          <w:b/>
          <w:bCs/>
          <w:caps/>
        </w:rPr>
        <w:t>OS</w:t>
      </w:r>
      <w:r w:rsidRPr="00F31CC0">
        <w:rPr>
          <w:b/>
          <w:bCs/>
          <w:caps/>
        </w:rPr>
        <w:t xml:space="preserve"> </w:t>
      </w:r>
    </w:p>
    <w:p w14:paraId="30069D85" w14:textId="77777777" w:rsidR="0061611B" w:rsidRPr="00F31CC0" w:rsidRDefault="0061611B" w:rsidP="0061611B">
      <w:pPr>
        <w:ind w:left="360"/>
        <w:rPr>
          <w:i/>
          <w:szCs w:val="22"/>
        </w:rPr>
      </w:pPr>
    </w:p>
    <w:tbl>
      <w:tblPr>
        <w:tblStyle w:val="Lentelstinklelis"/>
        <w:tblW w:w="0" w:type="auto"/>
        <w:tblInd w:w="-5" w:type="dxa"/>
        <w:tblLook w:val="04A0" w:firstRow="1" w:lastRow="0" w:firstColumn="1" w:lastColumn="0" w:noHBand="0" w:noVBand="1"/>
      </w:tblPr>
      <w:tblGrid>
        <w:gridCol w:w="4820"/>
        <w:gridCol w:w="4814"/>
      </w:tblGrid>
      <w:tr w:rsidR="00B811A4" w:rsidRPr="00F31CC0" w14:paraId="4D5EFB83" w14:textId="77777777" w:rsidTr="007111C4">
        <w:trPr>
          <w:trHeight w:val="510"/>
        </w:trPr>
        <w:tc>
          <w:tcPr>
            <w:tcW w:w="9634" w:type="dxa"/>
            <w:gridSpan w:val="2"/>
            <w:vAlign w:val="center"/>
          </w:tcPr>
          <w:p w14:paraId="294EC16B" w14:textId="77777777" w:rsidR="00B811A4" w:rsidRPr="00F31CC0"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bookmarkStart w:id="1" w:name="_Hlk185430554"/>
            <w:r w:rsidRPr="00F31CC0">
              <w:rPr>
                <w:rStyle w:val="Style2"/>
                <w:rFonts w:eastAsia="MS Gothic"/>
                <w:b/>
                <w:bCs/>
                <w:sz w:val="23"/>
                <w:szCs w:val="23"/>
              </w:rPr>
              <w:t>Palyginamasis veiksmingumas</w:t>
            </w:r>
          </w:p>
        </w:tc>
      </w:tr>
      <w:tr w:rsidR="00B811A4" w:rsidRPr="00F31CC0" w14:paraId="30B67515" w14:textId="77777777" w:rsidTr="007111C4">
        <w:tc>
          <w:tcPr>
            <w:tcW w:w="4820" w:type="dxa"/>
          </w:tcPr>
          <w:p w14:paraId="4FE3C208" w14:textId="46EA6CA9" w:rsidR="00B811A4" w:rsidRPr="00F31CC0"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1"/>
                  <w14:checkedState w14:val="2612" w14:font="MS Gothic"/>
                  <w14:uncheckedState w14:val="2610" w14:font="MS Gothic"/>
                </w14:checkbox>
              </w:sdtPr>
              <w:sdtContent>
                <w:r w:rsidR="00320278" w:rsidRPr="00F31CC0">
                  <w:rPr>
                    <w:rStyle w:val="Style2"/>
                    <w:rFonts w:ascii="MS Gothic" w:eastAsia="MS Gothic" w:hAnsi="MS Gothic"/>
                    <w:sz w:val="23"/>
                    <w:szCs w:val="23"/>
                  </w:rPr>
                  <w:t>☒</w:t>
                </w:r>
              </w:sdtContent>
            </w:sdt>
            <w:r w:rsidR="00B811A4" w:rsidRPr="00F31CC0">
              <w:rPr>
                <w:rStyle w:val="Style2"/>
                <w:sz w:val="23"/>
                <w:szCs w:val="23"/>
              </w:rPr>
              <w:t xml:space="preserve"> 29</w:t>
            </w:r>
            <w:r w:rsidR="00B811A4" w:rsidRPr="00F31CC0">
              <w:rPr>
                <w:sz w:val="23"/>
                <w:szCs w:val="23"/>
              </w:rPr>
              <w:t>.1.1 yra didesnis, lyginant su įprasta klinikine praktika</w:t>
            </w:r>
          </w:p>
          <w:p w14:paraId="6F9786E4" w14:textId="77777777" w:rsidR="00B811A4" w:rsidRPr="00F31CC0"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31EDECD" w14:textId="77777777" w:rsidR="00B811A4" w:rsidRPr="00F31CC0"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0"/>
                  <w14:checkedState w14:val="2612" w14:font="MS Gothic"/>
                  <w14:uncheckedState w14:val="2610" w14:font="MS Gothic"/>
                </w14:checkbox>
              </w:sdtPr>
              <w:sdtContent>
                <w:r w:rsidR="00B811A4" w:rsidRPr="00F31CC0">
                  <w:rPr>
                    <w:rStyle w:val="Style2"/>
                    <w:rFonts w:ascii="Segoe UI Symbol" w:eastAsia="MS Gothic" w:hAnsi="Segoe UI Symbol" w:cs="Segoe UI Symbol"/>
                    <w:sz w:val="23"/>
                    <w:szCs w:val="23"/>
                  </w:rPr>
                  <w:t>☐</w:t>
                </w:r>
              </w:sdtContent>
            </w:sdt>
            <w:r w:rsidR="00B811A4" w:rsidRPr="00F31CC0">
              <w:rPr>
                <w:sz w:val="23"/>
                <w:szCs w:val="23"/>
              </w:rPr>
              <w:t xml:space="preserve"> </w:t>
            </w:r>
            <w:r w:rsidR="00B811A4" w:rsidRPr="00F31CC0">
              <w:rPr>
                <w:rStyle w:val="Style2"/>
                <w:sz w:val="23"/>
                <w:szCs w:val="23"/>
              </w:rPr>
              <w:t>29</w:t>
            </w:r>
            <w:r w:rsidR="00B811A4" w:rsidRPr="00F31CC0">
              <w:rPr>
                <w:sz w:val="23"/>
                <w:szCs w:val="23"/>
              </w:rPr>
              <w:t>.1.2 iš esmės nesiskiria, lyginant su įprasta klinikine praktika</w:t>
            </w:r>
          </w:p>
        </w:tc>
        <w:tc>
          <w:tcPr>
            <w:tcW w:w="4814" w:type="dxa"/>
          </w:tcPr>
          <w:p w14:paraId="72562F9E" w14:textId="77777777" w:rsidR="00B811A4" w:rsidRPr="00F31CC0"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Content>
                <w:r w:rsidR="00B811A4" w:rsidRPr="00F31CC0">
                  <w:rPr>
                    <w:rStyle w:val="Style2"/>
                    <w:rFonts w:ascii="Segoe UI Symbol" w:eastAsia="MS Gothic" w:hAnsi="Segoe UI Symbol" w:cs="Segoe UI Symbol"/>
                    <w:sz w:val="23"/>
                    <w:szCs w:val="23"/>
                  </w:rPr>
                  <w:t>☐</w:t>
                </w:r>
              </w:sdtContent>
            </w:sdt>
            <w:r w:rsidR="00B811A4" w:rsidRPr="00F31CC0">
              <w:rPr>
                <w:sz w:val="23"/>
                <w:szCs w:val="23"/>
              </w:rPr>
              <w:t xml:space="preserve"> </w:t>
            </w:r>
            <w:r w:rsidR="00B811A4" w:rsidRPr="00F31CC0">
              <w:rPr>
                <w:rStyle w:val="Style2"/>
                <w:sz w:val="23"/>
                <w:szCs w:val="23"/>
              </w:rPr>
              <w:t>29</w:t>
            </w:r>
            <w:r w:rsidR="00B811A4" w:rsidRPr="00F31CC0">
              <w:rPr>
                <w:sz w:val="23"/>
                <w:szCs w:val="23"/>
              </w:rPr>
              <w:t xml:space="preserve">.1.3 yra neįrodytas kaip didesnis  ar iš esmės nesiskiriantis, lyginant su įprasta klinikine praktika  </w:t>
            </w:r>
          </w:p>
          <w:p w14:paraId="6F6DB5BC" w14:textId="77777777" w:rsidR="00B811A4" w:rsidRPr="00F31CC0"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EE1D885" w14:textId="77777777" w:rsidR="00B811A4" w:rsidRPr="00F31CC0"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Content>
                <w:r w:rsidR="00B811A4" w:rsidRPr="00F31CC0">
                  <w:rPr>
                    <w:rStyle w:val="Style2"/>
                    <w:rFonts w:ascii="Segoe UI Symbol" w:eastAsia="MS Gothic" w:hAnsi="Segoe UI Symbol" w:cs="Segoe UI Symbol"/>
                    <w:sz w:val="23"/>
                    <w:szCs w:val="23"/>
                  </w:rPr>
                  <w:t>☐</w:t>
                </w:r>
              </w:sdtContent>
            </w:sdt>
            <w:r w:rsidR="00B811A4" w:rsidRPr="00F31CC0">
              <w:rPr>
                <w:sz w:val="23"/>
                <w:szCs w:val="23"/>
              </w:rPr>
              <w:t xml:space="preserve"> </w:t>
            </w:r>
            <w:r w:rsidR="00B811A4" w:rsidRPr="00F31CC0">
              <w:rPr>
                <w:rStyle w:val="Style2"/>
                <w:sz w:val="23"/>
                <w:szCs w:val="23"/>
              </w:rPr>
              <w:t>29</w:t>
            </w:r>
            <w:r w:rsidR="00B811A4" w:rsidRPr="00F31CC0">
              <w:rPr>
                <w:sz w:val="23"/>
                <w:szCs w:val="23"/>
              </w:rPr>
              <w:t>.1.4 yra mažesnis, lyginant su įprasta klinikine praktika</w:t>
            </w:r>
          </w:p>
          <w:p w14:paraId="193C3D76" w14:textId="77777777" w:rsidR="00B811A4" w:rsidRPr="00F31CC0"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70E94DC" w14:textId="4EC80DB9" w:rsidR="00B811A4" w:rsidRPr="00F31CC0"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Content>
                <w:r w:rsidR="00B811A4" w:rsidRPr="00F31CC0">
                  <w:rPr>
                    <w:rStyle w:val="Style2"/>
                    <w:rFonts w:ascii="Segoe UI Symbol" w:eastAsia="MS Gothic" w:hAnsi="Segoe UI Symbol" w:cs="Segoe UI Symbol"/>
                    <w:sz w:val="23"/>
                    <w:szCs w:val="23"/>
                  </w:rPr>
                  <w:t>☐</w:t>
                </w:r>
              </w:sdtContent>
            </w:sdt>
            <w:r w:rsidR="00B811A4" w:rsidRPr="00F31CC0">
              <w:rPr>
                <w:sz w:val="23"/>
                <w:szCs w:val="23"/>
              </w:rPr>
              <w:t xml:space="preserve"> </w:t>
            </w:r>
            <w:r w:rsidR="00B811A4" w:rsidRPr="00F31CC0">
              <w:rPr>
                <w:rStyle w:val="Style2"/>
                <w:sz w:val="23"/>
                <w:szCs w:val="23"/>
              </w:rPr>
              <w:t>29</w:t>
            </w:r>
            <w:r w:rsidR="00B811A4" w:rsidRPr="00F31CC0">
              <w:rPr>
                <w:sz w:val="23"/>
                <w:szCs w:val="23"/>
              </w:rPr>
              <w:t>.1.5 pateikti duomenys apie palyginamąjį veiksmingumą yra netinkami vertinti</w:t>
            </w:r>
          </w:p>
          <w:p w14:paraId="45719037" w14:textId="77777777" w:rsidR="00B811A4" w:rsidRPr="00F31CC0"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1"/>
      <w:tr w:rsidR="00B811A4" w:rsidRPr="00F31CC0" w14:paraId="0E0F5168" w14:textId="77777777" w:rsidTr="00743956">
        <w:trPr>
          <w:trHeight w:val="510"/>
        </w:trPr>
        <w:tc>
          <w:tcPr>
            <w:tcW w:w="9634" w:type="dxa"/>
            <w:gridSpan w:val="2"/>
            <w:vAlign w:val="center"/>
          </w:tcPr>
          <w:p w14:paraId="62B67E12" w14:textId="77777777" w:rsidR="00B811A4" w:rsidRPr="00F31CC0"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F31CC0">
              <w:rPr>
                <w:rStyle w:val="Style2"/>
                <w:rFonts w:eastAsia="MS Gothic"/>
                <w:b/>
                <w:bCs/>
                <w:sz w:val="23"/>
                <w:szCs w:val="23"/>
              </w:rPr>
              <w:t>Kaštų naudingumas</w:t>
            </w:r>
          </w:p>
        </w:tc>
      </w:tr>
      <w:tr w:rsidR="00B811A4" w:rsidRPr="00F31CC0" w14:paraId="6A2F62B2" w14:textId="77777777" w:rsidTr="00743956">
        <w:tc>
          <w:tcPr>
            <w:tcW w:w="4820" w:type="dxa"/>
          </w:tcPr>
          <w:p w14:paraId="7CB2C697" w14:textId="3AA33163" w:rsidR="00B811A4" w:rsidRPr="00F31CC0"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1"/>
                  <w14:checkedState w14:val="2612" w14:font="MS Gothic"/>
                  <w14:uncheckedState w14:val="2610" w14:font="MS Gothic"/>
                </w14:checkbox>
              </w:sdtPr>
              <w:sdtContent>
                <w:r w:rsidR="008A572E" w:rsidRPr="00F31CC0">
                  <w:rPr>
                    <w:rStyle w:val="Style2"/>
                    <w:rFonts w:ascii="MS Gothic" w:eastAsia="MS Gothic" w:hAnsi="MS Gothic"/>
                    <w:sz w:val="23"/>
                    <w:szCs w:val="23"/>
                  </w:rPr>
                  <w:t>☒</w:t>
                </w:r>
              </w:sdtContent>
            </w:sdt>
            <w:r w:rsidR="00B811A4" w:rsidRPr="00F31CC0">
              <w:rPr>
                <w:sz w:val="23"/>
                <w:szCs w:val="23"/>
              </w:rPr>
              <w:t xml:space="preserve"> 29.2.1 atitinka referencinę naudingumo vertę taikant arba netaikant</w:t>
            </w:r>
            <w:r w:rsidR="00437623" w:rsidRPr="00F31CC0">
              <w:rPr>
                <w:b/>
                <w:bCs/>
                <w:sz w:val="23"/>
                <w:szCs w:val="23"/>
              </w:rPr>
              <w:t xml:space="preserve"> </w:t>
            </w:r>
            <w:r w:rsidR="00B811A4" w:rsidRPr="00F31CC0">
              <w:rPr>
                <w:sz w:val="23"/>
                <w:szCs w:val="23"/>
              </w:rPr>
              <w:t>PGS</w:t>
            </w:r>
          </w:p>
          <w:p w14:paraId="71797774" w14:textId="77777777" w:rsidR="00B811A4" w:rsidRPr="00F31CC0"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BE88CDB" w14:textId="60C4FFA7" w:rsidR="00B811A4" w:rsidRPr="00F31CC0"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0370A72C" w14:textId="77777777" w:rsidR="00B811A4" w:rsidRPr="00F31CC0"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0"/>
                  <w14:checkedState w14:val="2612" w14:font="MS Gothic"/>
                  <w14:uncheckedState w14:val="2610" w14:font="MS Gothic"/>
                </w14:checkbox>
              </w:sdtPr>
              <w:sdtContent>
                <w:r w:rsidR="00B811A4" w:rsidRPr="00F31CC0">
                  <w:rPr>
                    <w:rStyle w:val="Style2"/>
                    <w:rFonts w:ascii="Segoe UI Symbol" w:eastAsia="MS Gothic" w:hAnsi="Segoe UI Symbol" w:cs="Segoe UI Symbol"/>
                    <w:sz w:val="23"/>
                    <w:szCs w:val="23"/>
                  </w:rPr>
                  <w:t>☐</w:t>
                </w:r>
              </w:sdtContent>
            </w:sdt>
            <w:r w:rsidR="00B811A4" w:rsidRPr="00F31CC0">
              <w:rPr>
                <w:sz w:val="23"/>
                <w:szCs w:val="23"/>
              </w:rPr>
              <w:t xml:space="preserve"> 29.2.3 neatitinka referencinės naudingumo vertės taikant arba netaikant PGS</w:t>
            </w:r>
          </w:p>
          <w:p w14:paraId="13C9EEE5" w14:textId="77777777" w:rsidR="00B811A4" w:rsidRPr="00F31CC0"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89E6691" w14:textId="77777777" w:rsidR="00B811A4" w:rsidRPr="00F31CC0"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FD1976C" w14:textId="77777777" w:rsidR="00B811A4" w:rsidRPr="00F31CC0"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Content>
                <w:r w:rsidR="00B811A4" w:rsidRPr="00F31CC0">
                  <w:rPr>
                    <w:rStyle w:val="Style2"/>
                    <w:rFonts w:ascii="Segoe UI Symbol" w:eastAsia="MS Gothic" w:hAnsi="Segoe UI Symbol" w:cs="Segoe UI Symbol"/>
                    <w:sz w:val="23"/>
                    <w:szCs w:val="23"/>
                  </w:rPr>
                  <w:t>☐</w:t>
                </w:r>
              </w:sdtContent>
            </w:sdt>
            <w:r w:rsidR="00B811A4" w:rsidRPr="00F31CC0">
              <w:rPr>
                <w:sz w:val="23"/>
                <w:szCs w:val="23"/>
              </w:rPr>
              <w:t xml:space="preserve"> 29.2.5 pateikti duomenys apie kaštų naudingumą yra netinkami vertinti</w:t>
            </w:r>
          </w:p>
          <w:p w14:paraId="06AB06C5" w14:textId="77777777" w:rsidR="00B811A4" w:rsidRPr="00F31CC0"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7111C4" w:rsidRPr="00F31CC0" w14:paraId="632C9193" w14:textId="77777777" w:rsidTr="00027464">
        <w:tc>
          <w:tcPr>
            <w:tcW w:w="9634" w:type="dxa"/>
            <w:gridSpan w:val="2"/>
          </w:tcPr>
          <w:p w14:paraId="15C289C9" w14:textId="47C5A3CE" w:rsidR="007111C4" w:rsidRPr="00F31CC0"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0"/>
                  <w14:checkedState w14:val="2612" w14:font="MS Gothic"/>
                  <w14:uncheckedState w14:val="2610" w14:font="MS Gothic"/>
                </w14:checkbox>
              </w:sdtPr>
              <w:sdtContent>
                <w:r w:rsidR="007111C4" w:rsidRPr="00F31CC0">
                  <w:rPr>
                    <w:rStyle w:val="Style2"/>
                    <w:rFonts w:ascii="Segoe UI Symbol" w:eastAsia="MS Gothic" w:hAnsi="Segoe UI Symbol" w:cs="Segoe UI Symbol"/>
                    <w:sz w:val="23"/>
                    <w:szCs w:val="23"/>
                  </w:rPr>
                  <w:t>☐</w:t>
                </w:r>
              </w:sdtContent>
            </w:sdt>
            <w:r w:rsidR="007111C4" w:rsidRPr="00F31CC0">
              <w:rPr>
                <w:sz w:val="23"/>
                <w:szCs w:val="23"/>
              </w:rPr>
              <w:t xml:space="preserve"> </w:t>
            </w:r>
            <w:r w:rsidR="007111C4" w:rsidRPr="00F31CC0">
              <w:rPr>
                <w:color w:val="000000"/>
                <w:sz w:val="23"/>
                <w:szCs w:val="23"/>
              </w:rPr>
              <w:t>Vykdant Aprašo &lt;17</w:t>
            </w:r>
            <w:r w:rsidR="007111C4" w:rsidRPr="00F31CC0">
              <w:rPr>
                <w:color w:val="000000"/>
                <w:sz w:val="23"/>
                <w:szCs w:val="23"/>
                <w:vertAlign w:val="superscript"/>
              </w:rPr>
              <w:t>3</w:t>
            </w:r>
            <w:r w:rsidR="007111C4" w:rsidRPr="00F31CC0">
              <w:rPr>
                <w:color w:val="000000"/>
                <w:sz w:val="23"/>
                <w:szCs w:val="23"/>
              </w:rPr>
              <w:t>.1&gt;&lt;17</w:t>
            </w:r>
            <w:r w:rsidR="007111C4" w:rsidRPr="00F31CC0">
              <w:rPr>
                <w:color w:val="000000"/>
                <w:sz w:val="23"/>
                <w:szCs w:val="23"/>
                <w:vertAlign w:val="superscript"/>
              </w:rPr>
              <w:t>3</w:t>
            </w:r>
            <w:r w:rsidR="007111C4" w:rsidRPr="00F31CC0">
              <w:rPr>
                <w:color w:val="000000"/>
                <w:sz w:val="23"/>
                <w:szCs w:val="23"/>
              </w:rPr>
              <w:t>.2&gt;&lt;17</w:t>
            </w:r>
            <w:r w:rsidR="007111C4" w:rsidRPr="00F31CC0">
              <w:rPr>
                <w:color w:val="000000"/>
                <w:sz w:val="23"/>
                <w:szCs w:val="23"/>
                <w:vertAlign w:val="superscript"/>
              </w:rPr>
              <w:t>3</w:t>
            </w:r>
            <w:r w:rsidR="007111C4" w:rsidRPr="00F31CC0">
              <w:rPr>
                <w:color w:val="000000"/>
                <w:sz w:val="23"/>
                <w:szCs w:val="23"/>
              </w:rPr>
              <w:t>.3&gt; punktą vaistinio (-ų) preparato (-ų) ekonominis vertinimas neatliekamas, išvados dėl kaštų naudingumo neteikiamos</w:t>
            </w:r>
          </w:p>
        </w:tc>
      </w:tr>
    </w:tbl>
    <w:p w14:paraId="08D5B3B6" w14:textId="292D1124" w:rsidR="0061611B" w:rsidRPr="00F31CC0" w:rsidRDefault="0061611B" w:rsidP="0061611B">
      <w:pPr>
        <w:rPr>
          <w:i/>
          <w:szCs w:val="22"/>
        </w:rPr>
      </w:pPr>
    </w:p>
    <w:p w14:paraId="1B85C083" w14:textId="77777777" w:rsidR="009E44AE" w:rsidRPr="00F31CC0" w:rsidRDefault="009E44AE" w:rsidP="00381024"/>
    <w:p w14:paraId="3B2D1F25" w14:textId="3A80E19F" w:rsidR="000001B0" w:rsidRPr="00F31CC0" w:rsidRDefault="000001B0" w:rsidP="00CC09D4">
      <w:pPr>
        <w:pStyle w:val="Sraopastraipa"/>
        <w:numPr>
          <w:ilvl w:val="0"/>
          <w:numId w:val="12"/>
        </w:numPr>
        <w:ind w:left="567" w:hanging="567"/>
      </w:pPr>
      <w:r w:rsidRPr="00F31CC0">
        <w:rPr>
          <w:b/>
        </w:rPr>
        <w:t>REKOME</w:t>
      </w:r>
      <w:r w:rsidR="00D83182" w:rsidRPr="00F31CC0">
        <w:rPr>
          <w:b/>
        </w:rPr>
        <w:t>N</w:t>
      </w:r>
      <w:r w:rsidRPr="00F31CC0">
        <w:rPr>
          <w:b/>
        </w:rPr>
        <w:t>DACIJA</w:t>
      </w:r>
    </w:p>
    <w:p w14:paraId="35E33D78" w14:textId="59232BB3" w:rsidR="00B811A4" w:rsidRPr="00F31CC0" w:rsidRDefault="00B811A4" w:rsidP="00B811A4">
      <w:pPr>
        <w:pStyle w:val="Sraopastraipa"/>
        <w:ind w:left="567"/>
        <w:rPr>
          <w:b/>
        </w:rPr>
      </w:pPr>
    </w:p>
    <w:p w14:paraId="1D465250" w14:textId="77777777" w:rsidR="00B811A4" w:rsidRPr="00F31CC0" w:rsidRDefault="00B811A4" w:rsidP="00F31CC0">
      <w:pPr>
        <w:spacing w:line="276" w:lineRule="auto"/>
        <w:jc w:val="both"/>
      </w:pPr>
      <w:r w:rsidRPr="00F31CC0">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p>
    <w:p w14:paraId="2DD08195" w14:textId="77777777" w:rsidR="00B811A4" w:rsidRPr="00F31CC0" w:rsidRDefault="00B811A4" w:rsidP="00F31CC0">
      <w:pPr>
        <w:spacing w:line="276" w:lineRule="auto"/>
        <w:jc w:val="both"/>
      </w:pPr>
    </w:p>
    <w:p w14:paraId="55CD86F2" w14:textId="7FB4D3AE" w:rsidR="00B811A4" w:rsidRPr="00F31CC0" w:rsidRDefault="00B811A4" w:rsidP="00F31CC0">
      <w:pPr>
        <w:spacing w:line="276" w:lineRule="auto"/>
        <w:jc w:val="both"/>
        <w:rPr>
          <w:color w:val="000000"/>
          <w:lang w:eastAsia="lt-LT"/>
        </w:rPr>
      </w:pPr>
      <w:bookmarkStart w:id="2" w:name="part_2e1d9dd50ec54141ab7a1b19970b9847"/>
      <w:bookmarkEnd w:id="2"/>
      <w:r w:rsidRPr="00F31CC0">
        <w:rPr>
          <w:color w:val="000000"/>
          <w:lang w:eastAsia="lt-LT"/>
        </w:rPr>
        <w:t>30</w:t>
      </w:r>
      <w:r w:rsidRPr="00F31CC0">
        <w:rPr>
          <w:color w:val="000000"/>
          <w:vertAlign w:val="superscript"/>
          <w:lang w:eastAsia="lt-LT"/>
        </w:rPr>
        <w:t>1</w:t>
      </w:r>
      <w:r w:rsidRPr="00F31CC0">
        <w:rPr>
          <w:color w:val="000000"/>
          <w:lang w:eastAsia="lt-LT"/>
        </w:rPr>
        <w:t>.1. rekomenduojama kompensuoti vaistinį preparatą pagal paraiškoje nurodytą indikaciją (arba jos dalį) su arba be skyrimo sąlygų, taikant ar netaikant PGS, kai vertinimo išvados atitinka</w:t>
      </w:r>
      <w:r w:rsidR="00280024" w:rsidRPr="00F31CC0">
        <w:rPr>
          <w:color w:val="000000"/>
          <w:lang w:eastAsia="lt-LT"/>
        </w:rPr>
        <w:t xml:space="preserve"> </w:t>
      </w:r>
      <w:r w:rsidRPr="00F31CC0">
        <w:rPr>
          <w:color w:val="000000"/>
          <w:lang w:eastAsia="lt-LT"/>
        </w:rPr>
        <w:t>Aprašo 29.1.1 ir 29.2.1 papunkčiuose numatytas sąlygas</w:t>
      </w:r>
      <w:r w:rsidR="00280024" w:rsidRPr="00F31CC0">
        <w:rPr>
          <w:color w:val="000000"/>
          <w:lang w:eastAsia="lt-LT"/>
        </w:rPr>
        <w:t>.</w:t>
      </w:r>
    </w:p>
    <w:p w14:paraId="3D60BB06" w14:textId="77777777" w:rsidR="00B811A4" w:rsidRPr="00F31CC0" w:rsidRDefault="00B811A4" w:rsidP="00F31CC0">
      <w:pPr>
        <w:widowControl w:val="0"/>
        <w:tabs>
          <w:tab w:val="left" w:pos="1418"/>
        </w:tabs>
        <w:suppressAutoHyphens/>
        <w:spacing w:line="276" w:lineRule="auto"/>
        <w:textAlignment w:val="center"/>
        <w:rPr>
          <w:color w:val="000000"/>
          <w:lang w:eastAsia="lt-LT"/>
        </w:rPr>
      </w:pPr>
    </w:p>
    <w:p w14:paraId="42F3A222" w14:textId="77777777" w:rsidR="00B811A4" w:rsidRPr="00F31CC0" w:rsidRDefault="00B811A4" w:rsidP="00F31CC0">
      <w:pPr>
        <w:tabs>
          <w:tab w:val="left" w:pos="426"/>
        </w:tabs>
        <w:spacing w:line="276" w:lineRule="auto"/>
        <w:jc w:val="both"/>
        <w:rPr>
          <w:b/>
          <w:lang w:eastAsia="lt-LT"/>
        </w:rPr>
      </w:pPr>
      <w:r w:rsidRPr="00F31CC0">
        <w:rPr>
          <w:b/>
          <w:lang w:eastAsia="lt-LT"/>
        </w:rPr>
        <w:t>4.3 Siūloma (-</w:t>
      </w:r>
      <w:proofErr w:type="spellStart"/>
      <w:r w:rsidRPr="00F31CC0">
        <w:rPr>
          <w:b/>
          <w:lang w:eastAsia="lt-LT"/>
        </w:rPr>
        <w:t>os</w:t>
      </w:r>
      <w:proofErr w:type="spellEnd"/>
      <w:r w:rsidRPr="00F31CC0">
        <w:rPr>
          <w:b/>
          <w:lang w:eastAsia="lt-LT"/>
        </w:rPr>
        <w:t xml:space="preserve">) kompensuoti terapinės indikacijos ir skyrimo sąlygos </w:t>
      </w:r>
    </w:p>
    <w:p w14:paraId="179FBABC" w14:textId="77777777" w:rsidR="00B811A4" w:rsidRPr="00F31CC0" w:rsidRDefault="00B811A4" w:rsidP="00F31CC0">
      <w:pPr>
        <w:tabs>
          <w:tab w:val="left" w:pos="426"/>
        </w:tabs>
        <w:spacing w:line="276" w:lineRule="auto"/>
        <w:jc w:val="both"/>
        <w:rPr>
          <w:b/>
          <w:lang w:eastAsia="lt-LT"/>
        </w:rPr>
      </w:pPr>
    </w:p>
    <w:p w14:paraId="438F78D4" w14:textId="77777777" w:rsidR="0088346A" w:rsidRPr="00F31CC0" w:rsidRDefault="0088346A" w:rsidP="00F31CC0">
      <w:pPr>
        <w:pStyle w:val="Betarp"/>
        <w:spacing w:line="276" w:lineRule="auto"/>
        <w:jc w:val="both"/>
        <w:rPr>
          <w:rFonts w:ascii="Times New Roman" w:hAnsi="Times New Roman"/>
          <w:b/>
          <w:sz w:val="24"/>
          <w:szCs w:val="24"/>
          <w:lang w:eastAsia="lt-LT"/>
        </w:rPr>
      </w:pPr>
      <w:r w:rsidRPr="00F31CC0">
        <w:rPr>
          <w:rFonts w:ascii="Times New Roman" w:hAnsi="Times New Roman"/>
          <w:b/>
          <w:sz w:val="24"/>
          <w:szCs w:val="24"/>
          <w:lang w:eastAsia="lt-LT"/>
        </w:rPr>
        <w:t>Terapinės indikacijos</w:t>
      </w:r>
    </w:p>
    <w:p w14:paraId="721B2BD6" w14:textId="77777777" w:rsidR="0088346A" w:rsidRPr="00F31CC0" w:rsidRDefault="0088346A" w:rsidP="00F31CC0">
      <w:pPr>
        <w:pStyle w:val="Betarp"/>
        <w:spacing w:line="276" w:lineRule="auto"/>
        <w:jc w:val="both"/>
        <w:rPr>
          <w:rFonts w:ascii="Times New Roman" w:hAnsi="Times New Roman"/>
          <w:bCs/>
          <w:sz w:val="24"/>
          <w:szCs w:val="24"/>
          <w:lang w:eastAsia="lt-LT"/>
        </w:rPr>
      </w:pPr>
      <w:proofErr w:type="spellStart"/>
      <w:r w:rsidRPr="00F31CC0">
        <w:rPr>
          <w:rFonts w:ascii="Times New Roman" w:hAnsi="Times New Roman"/>
          <w:bCs/>
          <w:sz w:val="24"/>
          <w:szCs w:val="24"/>
          <w:lang w:eastAsia="lt-LT"/>
        </w:rPr>
        <w:t>Nilemdo</w:t>
      </w:r>
      <w:proofErr w:type="spellEnd"/>
      <w:r w:rsidRPr="00F31CC0">
        <w:rPr>
          <w:rFonts w:ascii="Times New Roman" w:hAnsi="Times New Roman"/>
          <w:bCs/>
          <w:sz w:val="24"/>
          <w:szCs w:val="24"/>
          <w:lang w:eastAsia="lt-LT"/>
        </w:rPr>
        <w:t xml:space="preserve"> skirtas suaugusiųjų, sergančių pirmine (</w:t>
      </w:r>
      <w:proofErr w:type="spellStart"/>
      <w:r w:rsidRPr="00F31CC0">
        <w:rPr>
          <w:rFonts w:ascii="Times New Roman" w:hAnsi="Times New Roman"/>
          <w:bCs/>
          <w:sz w:val="24"/>
          <w:szCs w:val="24"/>
          <w:lang w:eastAsia="lt-LT"/>
        </w:rPr>
        <w:t>heterozigotine</w:t>
      </w:r>
      <w:proofErr w:type="spellEnd"/>
      <w:r w:rsidRPr="00F31CC0">
        <w:rPr>
          <w:rFonts w:ascii="Times New Roman" w:hAnsi="Times New Roman"/>
          <w:bCs/>
          <w:sz w:val="24"/>
          <w:szCs w:val="24"/>
          <w:lang w:eastAsia="lt-LT"/>
        </w:rPr>
        <w:t xml:space="preserve"> šeimine ir nešeimine) </w:t>
      </w:r>
      <w:proofErr w:type="spellStart"/>
      <w:r w:rsidRPr="00F31CC0">
        <w:rPr>
          <w:rFonts w:ascii="Times New Roman" w:hAnsi="Times New Roman"/>
          <w:bCs/>
          <w:sz w:val="24"/>
          <w:szCs w:val="24"/>
          <w:lang w:eastAsia="lt-LT"/>
        </w:rPr>
        <w:t>hipercholesterolemija</w:t>
      </w:r>
      <w:proofErr w:type="spellEnd"/>
      <w:r w:rsidRPr="00F31CC0">
        <w:rPr>
          <w:rFonts w:ascii="Times New Roman" w:hAnsi="Times New Roman"/>
          <w:bCs/>
          <w:sz w:val="24"/>
          <w:szCs w:val="24"/>
          <w:lang w:eastAsia="lt-LT"/>
        </w:rPr>
        <w:t xml:space="preserve"> arba mišria </w:t>
      </w:r>
      <w:proofErr w:type="spellStart"/>
      <w:r w:rsidRPr="00F31CC0">
        <w:rPr>
          <w:rFonts w:ascii="Times New Roman" w:hAnsi="Times New Roman"/>
          <w:bCs/>
          <w:sz w:val="24"/>
          <w:szCs w:val="24"/>
          <w:lang w:eastAsia="lt-LT"/>
        </w:rPr>
        <w:t>dislipidemija</w:t>
      </w:r>
      <w:proofErr w:type="spellEnd"/>
      <w:r w:rsidRPr="00F31CC0">
        <w:rPr>
          <w:rFonts w:ascii="Times New Roman" w:hAnsi="Times New Roman"/>
          <w:bCs/>
          <w:sz w:val="24"/>
          <w:szCs w:val="24"/>
          <w:lang w:eastAsia="lt-LT"/>
        </w:rPr>
        <w:t>, papildomam gydymui kartu su dieta:</w:t>
      </w:r>
    </w:p>
    <w:p w14:paraId="176DB43F" w14:textId="77777777" w:rsidR="0088346A" w:rsidRPr="00F31CC0" w:rsidRDefault="0088346A" w:rsidP="00F31CC0">
      <w:pPr>
        <w:pStyle w:val="Betarp"/>
        <w:spacing w:line="276" w:lineRule="auto"/>
        <w:jc w:val="both"/>
        <w:rPr>
          <w:rFonts w:ascii="Times New Roman" w:hAnsi="Times New Roman"/>
          <w:bCs/>
          <w:sz w:val="24"/>
          <w:szCs w:val="24"/>
          <w:lang w:eastAsia="lt-LT"/>
        </w:rPr>
      </w:pPr>
      <w:r w:rsidRPr="00F31CC0">
        <w:rPr>
          <w:rFonts w:ascii="Times New Roman" w:hAnsi="Times New Roman"/>
          <w:bCs/>
          <w:sz w:val="24"/>
          <w:szCs w:val="24"/>
          <w:lang w:eastAsia="lt-LT"/>
        </w:rPr>
        <w:t>•</w:t>
      </w:r>
      <w:r w:rsidRPr="00F31CC0">
        <w:rPr>
          <w:rFonts w:ascii="Times New Roman" w:hAnsi="Times New Roman"/>
          <w:bCs/>
          <w:sz w:val="24"/>
          <w:szCs w:val="24"/>
          <w:lang w:eastAsia="lt-LT"/>
        </w:rPr>
        <w:tab/>
      </w:r>
      <w:proofErr w:type="spellStart"/>
      <w:r w:rsidRPr="00F31CC0">
        <w:rPr>
          <w:rFonts w:ascii="Times New Roman" w:hAnsi="Times New Roman"/>
          <w:bCs/>
          <w:sz w:val="24"/>
          <w:szCs w:val="24"/>
          <w:lang w:eastAsia="lt-LT"/>
        </w:rPr>
        <w:t>monoterapija</w:t>
      </w:r>
      <w:proofErr w:type="spellEnd"/>
      <w:r w:rsidRPr="00F31CC0">
        <w:rPr>
          <w:rFonts w:ascii="Times New Roman" w:hAnsi="Times New Roman"/>
          <w:bCs/>
          <w:sz w:val="24"/>
          <w:szCs w:val="24"/>
          <w:lang w:eastAsia="lt-LT"/>
        </w:rPr>
        <w:t xml:space="preserve"> arba derinyje su kitais lipidų koncentraciją mažinančiais vaistiniais preparatais – pacientams, kurie netoleruoja arba kuriems draudžiama vartoti </w:t>
      </w:r>
      <w:proofErr w:type="spellStart"/>
      <w:r w:rsidRPr="00F31CC0">
        <w:rPr>
          <w:rFonts w:ascii="Times New Roman" w:hAnsi="Times New Roman"/>
          <w:bCs/>
          <w:sz w:val="24"/>
          <w:szCs w:val="24"/>
          <w:lang w:eastAsia="lt-LT"/>
        </w:rPr>
        <w:t>statinų</w:t>
      </w:r>
      <w:proofErr w:type="spellEnd"/>
      <w:r w:rsidRPr="00F31CC0">
        <w:rPr>
          <w:rFonts w:ascii="Times New Roman" w:hAnsi="Times New Roman"/>
          <w:bCs/>
          <w:sz w:val="24"/>
          <w:szCs w:val="24"/>
          <w:lang w:eastAsia="lt-LT"/>
        </w:rPr>
        <w:t>.</w:t>
      </w:r>
    </w:p>
    <w:p w14:paraId="66A87FF8" w14:textId="77777777" w:rsidR="0088346A" w:rsidRPr="00F31CC0" w:rsidRDefault="0088346A" w:rsidP="00F31CC0">
      <w:pPr>
        <w:pStyle w:val="Betarp"/>
        <w:spacing w:line="276" w:lineRule="auto"/>
        <w:jc w:val="both"/>
        <w:rPr>
          <w:rFonts w:ascii="Times New Roman" w:hAnsi="Times New Roman"/>
          <w:bCs/>
          <w:sz w:val="24"/>
          <w:szCs w:val="24"/>
          <w:lang w:eastAsia="lt-LT"/>
        </w:rPr>
      </w:pPr>
    </w:p>
    <w:p w14:paraId="694237F0" w14:textId="77777777" w:rsidR="0088346A" w:rsidRPr="00F31CC0" w:rsidRDefault="0088346A" w:rsidP="00F31CC0">
      <w:pPr>
        <w:pStyle w:val="Betarp"/>
        <w:spacing w:line="276" w:lineRule="auto"/>
        <w:jc w:val="both"/>
        <w:rPr>
          <w:rFonts w:ascii="Times New Roman" w:hAnsi="Times New Roman"/>
          <w:bCs/>
          <w:sz w:val="24"/>
          <w:szCs w:val="24"/>
          <w:lang w:eastAsia="lt-LT"/>
        </w:rPr>
      </w:pPr>
      <w:proofErr w:type="spellStart"/>
      <w:r w:rsidRPr="00F31CC0">
        <w:rPr>
          <w:rFonts w:ascii="Times New Roman" w:hAnsi="Times New Roman"/>
          <w:bCs/>
          <w:sz w:val="24"/>
          <w:szCs w:val="24"/>
          <w:lang w:eastAsia="lt-LT"/>
        </w:rPr>
        <w:t>Nilemdo</w:t>
      </w:r>
      <w:proofErr w:type="spellEnd"/>
      <w:r w:rsidRPr="00F31CC0">
        <w:rPr>
          <w:rFonts w:ascii="Times New Roman" w:hAnsi="Times New Roman"/>
          <w:bCs/>
          <w:sz w:val="24"/>
          <w:szCs w:val="24"/>
          <w:lang w:eastAsia="lt-LT"/>
        </w:rPr>
        <w:t xml:space="preserve"> skirtas suaugusiesiems, kuriems nustatyta aterosklerozinės širdies ir kraujagyslių sistemos liga arba yra didelė jos rizika, siekiant sumažinti širdies ir kraujagyslių sistemos ligų riziką mažinant MTL-C koncentraciją, tuo pat metu koreguojant kitus rizikos veiksnius:</w:t>
      </w:r>
    </w:p>
    <w:p w14:paraId="2C68F324" w14:textId="77777777" w:rsidR="0088346A" w:rsidRPr="00F31CC0" w:rsidRDefault="0088346A" w:rsidP="00F31CC0">
      <w:pPr>
        <w:pStyle w:val="Betarp"/>
        <w:spacing w:line="276" w:lineRule="auto"/>
        <w:jc w:val="both"/>
        <w:rPr>
          <w:rFonts w:ascii="Times New Roman" w:hAnsi="Times New Roman"/>
          <w:bCs/>
          <w:sz w:val="24"/>
          <w:szCs w:val="24"/>
          <w:lang w:eastAsia="lt-LT"/>
        </w:rPr>
      </w:pPr>
      <w:r w:rsidRPr="00F31CC0">
        <w:rPr>
          <w:rFonts w:ascii="Times New Roman" w:hAnsi="Times New Roman"/>
          <w:bCs/>
          <w:sz w:val="24"/>
          <w:szCs w:val="24"/>
          <w:lang w:eastAsia="lt-LT"/>
        </w:rPr>
        <w:lastRenderedPageBreak/>
        <w:t>•</w:t>
      </w:r>
      <w:r w:rsidRPr="00F31CC0">
        <w:rPr>
          <w:rFonts w:ascii="Times New Roman" w:hAnsi="Times New Roman"/>
          <w:bCs/>
          <w:sz w:val="24"/>
          <w:szCs w:val="24"/>
          <w:lang w:eastAsia="lt-LT"/>
        </w:rPr>
        <w:tab/>
      </w:r>
      <w:proofErr w:type="spellStart"/>
      <w:r w:rsidRPr="00F31CC0">
        <w:rPr>
          <w:rFonts w:ascii="Times New Roman" w:hAnsi="Times New Roman"/>
          <w:bCs/>
          <w:sz w:val="24"/>
          <w:szCs w:val="24"/>
          <w:lang w:eastAsia="lt-LT"/>
        </w:rPr>
        <w:t>monoterapija</w:t>
      </w:r>
      <w:proofErr w:type="spellEnd"/>
      <w:r w:rsidRPr="00F31CC0">
        <w:rPr>
          <w:rFonts w:ascii="Times New Roman" w:hAnsi="Times New Roman"/>
          <w:bCs/>
          <w:sz w:val="24"/>
          <w:szCs w:val="24"/>
          <w:lang w:eastAsia="lt-LT"/>
        </w:rPr>
        <w:t xml:space="preserve"> arba derinyje su </w:t>
      </w:r>
      <w:proofErr w:type="spellStart"/>
      <w:r w:rsidRPr="00F31CC0">
        <w:rPr>
          <w:rFonts w:ascii="Times New Roman" w:hAnsi="Times New Roman"/>
          <w:bCs/>
          <w:sz w:val="24"/>
          <w:szCs w:val="24"/>
          <w:lang w:eastAsia="lt-LT"/>
        </w:rPr>
        <w:t>ezetimibu</w:t>
      </w:r>
      <w:proofErr w:type="spellEnd"/>
      <w:r w:rsidRPr="00F31CC0">
        <w:rPr>
          <w:rFonts w:ascii="Times New Roman" w:hAnsi="Times New Roman"/>
          <w:bCs/>
          <w:sz w:val="24"/>
          <w:szCs w:val="24"/>
          <w:lang w:eastAsia="lt-LT"/>
        </w:rPr>
        <w:t xml:space="preserve"> – pacientams, kurie netoleruoja arba kuriems draudžiama vartoti </w:t>
      </w:r>
      <w:proofErr w:type="spellStart"/>
      <w:r w:rsidRPr="00F31CC0">
        <w:rPr>
          <w:rFonts w:ascii="Times New Roman" w:hAnsi="Times New Roman"/>
          <w:bCs/>
          <w:sz w:val="24"/>
          <w:szCs w:val="24"/>
          <w:lang w:eastAsia="lt-LT"/>
        </w:rPr>
        <w:t>statinų</w:t>
      </w:r>
      <w:proofErr w:type="spellEnd"/>
      <w:r w:rsidRPr="00F31CC0">
        <w:rPr>
          <w:rFonts w:ascii="Times New Roman" w:hAnsi="Times New Roman"/>
          <w:bCs/>
          <w:sz w:val="24"/>
          <w:szCs w:val="24"/>
          <w:lang w:eastAsia="lt-LT"/>
        </w:rPr>
        <w:t>.</w:t>
      </w:r>
    </w:p>
    <w:p w14:paraId="514476B5" w14:textId="77777777" w:rsidR="0088346A" w:rsidRPr="00F31CC0" w:rsidRDefault="0088346A" w:rsidP="00F31CC0">
      <w:pPr>
        <w:pStyle w:val="Betarp"/>
        <w:spacing w:line="276" w:lineRule="auto"/>
        <w:jc w:val="both"/>
        <w:rPr>
          <w:rFonts w:ascii="Times New Roman" w:hAnsi="Times New Roman"/>
          <w:bCs/>
          <w:sz w:val="24"/>
          <w:szCs w:val="24"/>
          <w:lang w:eastAsia="lt-LT"/>
        </w:rPr>
      </w:pPr>
    </w:p>
    <w:p w14:paraId="4A8AD44C" w14:textId="77777777" w:rsidR="0088346A" w:rsidRPr="00F31CC0" w:rsidRDefault="0088346A" w:rsidP="00F31CC0">
      <w:pPr>
        <w:spacing w:line="276" w:lineRule="auto"/>
        <w:jc w:val="both"/>
      </w:pPr>
      <w:r w:rsidRPr="00F31CC0">
        <w:t>TLK-10-AM kodas: E78.</w:t>
      </w:r>
    </w:p>
    <w:p w14:paraId="4AFF3995" w14:textId="77777777" w:rsidR="0088346A" w:rsidRPr="00F31CC0" w:rsidRDefault="0088346A" w:rsidP="00F31CC0">
      <w:pPr>
        <w:pStyle w:val="Betarp"/>
        <w:spacing w:line="276" w:lineRule="auto"/>
        <w:jc w:val="both"/>
        <w:rPr>
          <w:rFonts w:ascii="Times New Roman" w:hAnsi="Times New Roman"/>
          <w:sz w:val="24"/>
          <w:szCs w:val="24"/>
        </w:rPr>
      </w:pPr>
    </w:p>
    <w:p w14:paraId="3C50D807" w14:textId="77777777" w:rsidR="0088346A" w:rsidRPr="00F31CC0" w:rsidRDefault="0088346A" w:rsidP="00F31CC0">
      <w:pPr>
        <w:pStyle w:val="Betarp"/>
        <w:spacing w:line="276" w:lineRule="auto"/>
        <w:jc w:val="both"/>
        <w:rPr>
          <w:rFonts w:ascii="Times New Roman" w:hAnsi="Times New Roman"/>
          <w:b/>
          <w:sz w:val="24"/>
          <w:szCs w:val="24"/>
        </w:rPr>
      </w:pPr>
      <w:r w:rsidRPr="00F31CC0">
        <w:rPr>
          <w:rFonts w:ascii="Times New Roman" w:hAnsi="Times New Roman"/>
          <w:b/>
          <w:sz w:val="24"/>
          <w:szCs w:val="24"/>
        </w:rPr>
        <w:t>Skyrimo sąlygos</w:t>
      </w:r>
    </w:p>
    <w:p w14:paraId="047C68A7" w14:textId="77777777" w:rsidR="0088346A" w:rsidRPr="00F31CC0" w:rsidRDefault="0088346A" w:rsidP="00F31CC0">
      <w:pPr>
        <w:pStyle w:val="Betarp"/>
        <w:spacing w:line="276" w:lineRule="auto"/>
        <w:jc w:val="both"/>
        <w:rPr>
          <w:rFonts w:ascii="Times New Roman" w:hAnsi="Times New Roman"/>
          <w:b/>
          <w:sz w:val="24"/>
          <w:szCs w:val="24"/>
        </w:rPr>
      </w:pPr>
    </w:p>
    <w:p w14:paraId="33C7758F" w14:textId="77777777" w:rsidR="0088346A" w:rsidRPr="00F31CC0" w:rsidRDefault="0088346A" w:rsidP="00F31CC0">
      <w:pPr>
        <w:pStyle w:val="Betarp"/>
        <w:spacing w:line="276" w:lineRule="auto"/>
        <w:jc w:val="both"/>
        <w:rPr>
          <w:rFonts w:ascii="Times New Roman" w:hAnsi="Times New Roman"/>
          <w:bCs/>
          <w:sz w:val="24"/>
          <w:szCs w:val="24"/>
        </w:rPr>
      </w:pPr>
      <w:r w:rsidRPr="00F31CC0">
        <w:rPr>
          <w:rFonts w:ascii="Times New Roman" w:hAnsi="Times New Roman"/>
          <w:bCs/>
          <w:sz w:val="24"/>
          <w:szCs w:val="24"/>
        </w:rPr>
        <w:t xml:space="preserve">Skiriamas didelės ar labai didelės širdies ir kraujagyslių ligų rizikos pacientams, netoleruojantiems </w:t>
      </w:r>
      <w:proofErr w:type="spellStart"/>
      <w:r w:rsidRPr="00F31CC0">
        <w:rPr>
          <w:rFonts w:ascii="Times New Roman" w:hAnsi="Times New Roman"/>
          <w:bCs/>
          <w:sz w:val="24"/>
          <w:szCs w:val="24"/>
        </w:rPr>
        <w:t>statinų</w:t>
      </w:r>
      <w:proofErr w:type="spellEnd"/>
      <w:r w:rsidRPr="00F31CC0">
        <w:rPr>
          <w:rFonts w:ascii="Times New Roman" w:hAnsi="Times New Roman"/>
          <w:bCs/>
          <w:sz w:val="24"/>
          <w:szCs w:val="24"/>
        </w:rPr>
        <w:t xml:space="preserve"> ar jie yra </w:t>
      </w:r>
      <w:proofErr w:type="spellStart"/>
      <w:r w:rsidRPr="00F31CC0">
        <w:rPr>
          <w:rFonts w:ascii="Times New Roman" w:hAnsi="Times New Roman"/>
          <w:bCs/>
          <w:sz w:val="24"/>
          <w:szCs w:val="24"/>
        </w:rPr>
        <w:t>kontraindikuotini</w:t>
      </w:r>
      <w:proofErr w:type="spellEnd"/>
      <w:r w:rsidRPr="00F31CC0">
        <w:rPr>
          <w:rFonts w:ascii="Times New Roman" w:hAnsi="Times New Roman"/>
          <w:bCs/>
          <w:sz w:val="24"/>
          <w:szCs w:val="24"/>
        </w:rPr>
        <w:t xml:space="preserve">, jei vartojant </w:t>
      </w:r>
      <w:proofErr w:type="spellStart"/>
      <w:r w:rsidRPr="00F31CC0">
        <w:rPr>
          <w:rFonts w:ascii="Times New Roman" w:hAnsi="Times New Roman"/>
          <w:bCs/>
          <w:sz w:val="24"/>
          <w:szCs w:val="24"/>
        </w:rPr>
        <w:t>ezetimibą</w:t>
      </w:r>
      <w:proofErr w:type="spellEnd"/>
      <w:r w:rsidRPr="00F31CC0">
        <w:rPr>
          <w:rFonts w:ascii="Times New Roman" w:hAnsi="Times New Roman"/>
          <w:bCs/>
          <w:sz w:val="24"/>
          <w:szCs w:val="24"/>
        </w:rPr>
        <w:t xml:space="preserve"> 4 savaites arba ilgiau pacientų MTL cholesterolio koncentracija išlieka ≥ 2,6 </w:t>
      </w:r>
      <w:proofErr w:type="spellStart"/>
      <w:r w:rsidRPr="00F31CC0">
        <w:rPr>
          <w:rFonts w:ascii="Times New Roman" w:hAnsi="Times New Roman"/>
          <w:bCs/>
          <w:sz w:val="24"/>
          <w:szCs w:val="24"/>
        </w:rPr>
        <w:t>mmol</w:t>
      </w:r>
      <w:proofErr w:type="spellEnd"/>
      <w:r w:rsidRPr="00F31CC0">
        <w:rPr>
          <w:rFonts w:ascii="Times New Roman" w:hAnsi="Times New Roman"/>
          <w:bCs/>
          <w:sz w:val="24"/>
          <w:szCs w:val="24"/>
        </w:rPr>
        <w:t>/l.</w:t>
      </w:r>
    </w:p>
    <w:p w14:paraId="7D5C6700" w14:textId="77777777" w:rsidR="00D5470B" w:rsidRPr="00F31CC0" w:rsidRDefault="00D5470B" w:rsidP="0087234D"/>
    <w:p w14:paraId="33B8DE04" w14:textId="77777777" w:rsidR="00283E59" w:rsidRPr="00F31CC0" w:rsidRDefault="00283E59" w:rsidP="00283E59">
      <w:pPr>
        <w:widowControl w:val="0"/>
        <w:tabs>
          <w:tab w:val="left" w:pos="1418"/>
        </w:tabs>
        <w:suppressAutoHyphens/>
        <w:spacing w:line="360" w:lineRule="atLeast"/>
        <w:jc w:val="center"/>
        <w:textAlignment w:val="center"/>
      </w:pPr>
      <w:r w:rsidRPr="00F31CC0">
        <w:rPr>
          <w:color w:val="000000"/>
          <w:lang w:eastAsia="lt-LT"/>
        </w:rPr>
        <w:t>____________________________</w:t>
      </w:r>
    </w:p>
    <w:p w14:paraId="562A1372" w14:textId="77777777" w:rsidR="00283E59" w:rsidRPr="00F31CC0" w:rsidRDefault="00283E59" w:rsidP="00283E59">
      <w:pPr>
        <w:jc w:val="both"/>
        <w:rPr>
          <w:b/>
          <w:sz w:val="20"/>
        </w:rPr>
      </w:pPr>
    </w:p>
    <w:sectPr w:rsidR="00283E59" w:rsidRPr="00F31CC0" w:rsidSect="00063A50">
      <w:headerReference w:type="even" r:id="rId7"/>
      <w:headerReference w:type="default" r:id="rId8"/>
      <w:headerReference w:type="first" r:id="rId9"/>
      <w:footerReference w:type="first" r:id="rId10"/>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1B3CA" w14:textId="77777777" w:rsidR="001C205D" w:rsidRDefault="001C205D">
      <w:r>
        <w:separator/>
      </w:r>
    </w:p>
  </w:endnote>
  <w:endnote w:type="continuationSeparator" w:id="0">
    <w:p w14:paraId="691C0953" w14:textId="77777777" w:rsidR="001C205D" w:rsidRDefault="001C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FF49E" w14:textId="77777777" w:rsidR="001C205D" w:rsidRDefault="001C205D">
      <w:r>
        <w:separator/>
      </w:r>
    </w:p>
  </w:footnote>
  <w:footnote w:type="continuationSeparator" w:id="0">
    <w:p w14:paraId="7752C592" w14:textId="77777777" w:rsidR="001C205D" w:rsidRDefault="001C2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4945" w14:textId="25B76DDF" w:rsidR="00547CF9" w:rsidRDefault="00547CF9">
    <w:pPr>
      <w:pStyle w:val="Antrats"/>
    </w:pPr>
    <w:r>
      <w:rPr>
        <w:noProof/>
      </w:rPr>
      <mc:AlternateContent>
        <mc:Choice Requires="wps">
          <w:drawing>
            <wp:anchor distT="0" distB="0" distL="0" distR="0" simplePos="0" relativeHeight="251659264" behindDoc="0" locked="0" layoutInCell="1" allowOverlap="1" wp14:anchorId="08FEBA6A" wp14:editId="1B52C359">
              <wp:simplePos x="635" y="635"/>
              <wp:positionH relativeFrom="page">
                <wp:align>right</wp:align>
              </wp:positionH>
              <wp:positionV relativeFrom="page">
                <wp:align>top</wp:align>
              </wp:positionV>
              <wp:extent cx="877570" cy="345440"/>
              <wp:effectExtent l="0" t="0" r="0" b="16510"/>
              <wp:wrapNone/>
              <wp:docPr id="133118177" name="Text Box 2" descr="C2-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7570" cy="345440"/>
                      </a:xfrm>
                      <a:prstGeom prst="rect">
                        <a:avLst/>
                      </a:prstGeom>
                      <a:noFill/>
                      <a:ln>
                        <a:noFill/>
                      </a:ln>
                    </wps:spPr>
                    <wps:txbx>
                      <w:txbxContent>
                        <w:p w14:paraId="1B27B0F4" w14:textId="5CBC3623" w:rsidR="00547CF9" w:rsidRPr="00547CF9" w:rsidRDefault="00547CF9" w:rsidP="00547CF9">
                          <w:pPr>
                            <w:rPr>
                              <w:rFonts w:ascii="Aptos" w:eastAsia="Aptos" w:hAnsi="Aptos" w:cs="Aptos"/>
                              <w:noProof/>
                              <w:color w:val="000000"/>
                              <w:sz w:val="20"/>
                              <w:szCs w:val="20"/>
                            </w:rPr>
                          </w:pPr>
                          <w:r w:rsidRPr="00547CF9">
                            <w:rPr>
                              <w:rFonts w:ascii="Aptos" w:eastAsia="Aptos" w:hAnsi="Aptos" w:cs="Aptos"/>
                              <w:noProof/>
                              <w:color w:val="000000"/>
                              <w:sz w:val="20"/>
                              <w:szCs w:val="2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FEBA6A" id="_x0000_t202" coordsize="21600,21600" o:spt="202" path="m,l,21600r21600,l21600,xe">
              <v:stroke joinstyle="miter"/>
              <v:path gradientshapeok="t" o:connecttype="rect"/>
            </v:shapetype>
            <v:shape id="Text Box 2" o:spid="_x0000_s1026" type="#_x0000_t202" alt="C2-Internal" style="position:absolute;margin-left:17.9pt;margin-top:0;width:69.1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" filled="f" stroked="f">
              <v:fill o:detectmouseclick="t"/>
              <v:textbox style="mso-fit-shape-to-text:t" inset="0,15pt,20pt,0">
                <w:txbxContent>
                  <w:p w14:paraId="1B27B0F4" w14:textId="5CBC3623" w:rsidR="00547CF9" w:rsidRPr="00547CF9" w:rsidRDefault="00547CF9" w:rsidP="00547CF9">
                    <w:pPr>
                      <w:rPr>
                        <w:rFonts w:ascii="Aptos" w:eastAsia="Aptos" w:hAnsi="Aptos" w:cs="Aptos"/>
                        <w:noProof/>
                        <w:color w:val="000000"/>
                        <w:sz w:val="20"/>
                        <w:szCs w:val="20"/>
                      </w:rPr>
                    </w:pPr>
                    <w:r w:rsidRPr="00547CF9">
                      <w:rPr>
                        <w:rFonts w:ascii="Aptos" w:eastAsia="Aptos" w:hAnsi="Aptos" w:cs="Aptos"/>
                        <w:noProof/>
                        <w:color w:val="000000"/>
                        <w:sz w:val="20"/>
                        <w:szCs w:val="20"/>
                      </w:rPr>
                      <w:t>C2-Internal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91ED" w14:textId="5E9B17D5" w:rsidR="00547CF9" w:rsidRDefault="00547CF9">
    <w:pPr>
      <w:pStyle w:val="Antrats"/>
    </w:pPr>
    <w:r>
      <w:rPr>
        <w:noProof/>
      </w:rPr>
      <mc:AlternateContent>
        <mc:Choice Requires="wps">
          <w:drawing>
            <wp:anchor distT="0" distB="0" distL="0" distR="0" simplePos="0" relativeHeight="251660288" behindDoc="0" locked="0" layoutInCell="1" allowOverlap="1" wp14:anchorId="7EEE2828" wp14:editId="59668474">
              <wp:simplePos x="1076325" y="409575"/>
              <wp:positionH relativeFrom="page">
                <wp:align>right</wp:align>
              </wp:positionH>
              <wp:positionV relativeFrom="page">
                <wp:align>top</wp:align>
              </wp:positionV>
              <wp:extent cx="877570" cy="345440"/>
              <wp:effectExtent l="0" t="0" r="0" b="16510"/>
              <wp:wrapNone/>
              <wp:docPr id="1471232768" name="Text Box 3" descr="C2-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7570" cy="345440"/>
                      </a:xfrm>
                      <a:prstGeom prst="rect">
                        <a:avLst/>
                      </a:prstGeom>
                      <a:noFill/>
                      <a:ln>
                        <a:noFill/>
                      </a:ln>
                    </wps:spPr>
                    <wps:txbx>
                      <w:txbxContent>
                        <w:p w14:paraId="65C0D22F" w14:textId="314C5188" w:rsidR="00547CF9" w:rsidRPr="00547CF9" w:rsidRDefault="00547CF9" w:rsidP="00547CF9">
                          <w:pPr>
                            <w:rPr>
                              <w:rFonts w:ascii="Aptos" w:eastAsia="Aptos" w:hAnsi="Aptos" w:cs="Aptos"/>
                              <w:noProof/>
                              <w:color w:val="000000"/>
                              <w:sz w:val="20"/>
                              <w:szCs w:val="20"/>
                            </w:rPr>
                          </w:pPr>
                          <w:r w:rsidRPr="00547CF9">
                            <w:rPr>
                              <w:rFonts w:ascii="Aptos" w:eastAsia="Aptos" w:hAnsi="Aptos" w:cs="Aptos"/>
                              <w:noProof/>
                              <w:color w:val="000000"/>
                              <w:sz w:val="20"/>
                              <w:szCs w:val="2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EEE2828" id="_x0000_t202" coordsize="21600,21600" o:spt="202" path="m,l,21600r21600,l21600,xe">
              <v:stroke joinstyle="miter"/>
              <v:path gradientshapeok="t" o:connecttype="rect"/>
            </v:shapetype>
            <v:shape id="Text Box 3" o:spid="_x0000_s1027" type="#_x0000_t202" alt="C2-Internal" style="position:absolute;margin-left:17.9pt;margin-top:0;width:69.1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" filled="f" stroked="f">
              <v:fill o:detectmouseclick="t"/>
              <v:textbox style="mso-fit-shape-to-text:t" inset="0,15pt,20pt,0">
                <w:txbxContent>
                  <w:p w14:paraId="65C0D22F" w14:textId="314C5188" w:rsidR="00547CF9" w:rsidRPr="00547CF9" w:rsidRDefault="00547CF9" w:rsidP="00547CF9">
                    <w:pPr>
                      <w:rPr>
                        <w:rFonts w:ascii="Aptos" w:eastAsia="Aptos" w:hAnsi="Aptos" w:cs="Aptos"/>
                        <w:noProof/>
                        <w:color w:val="000000"/>
                        <w:sz w:val="20"/>
                        <w:szCs w:val="20"/>
                      </w:rPr>
                    </w:pPr>
                    <w:r w:rsidRPr="00547CF9">
                      <w:rPr>
                        <w:rFonts w:ascii="Aptos" w:eastAsia="Aptos" w:hAnsi="Aptos" w:cs="Aptos"/>
                        <w:noProof/>
                        <w:color w:val="000000"/>
                        <w:sz w:val="20"/>
                        <w:szCs w:val="20"/>
                      </w:rPr>
                      <w:t>C2-Internal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610A88D7" w:rsidR="00347FAA" w:rsidRDefault="00547CF9" w:rsidP="00FD793C">
    <w:pPr>
      <w:pStyle w:val="Antrats"/>
      <w:ind w:left="612"/>
      <w:rPr>
        <w:sz w:val="2"/>
        <w:szCs w:val="2"/>
      </w:rPr>
    </w:pPr>
    <w:r>
      <w:rPr>
        <w:noProof/>
        <w:sz w:val="2"/>
        <w:szCs w:val="2"/>
      </w:rPr>
      <mc:AlternateContent>
        <mc:Choice Requires="wps">
          <w:drawing>
            <wp:anchor distT="0" distB="0" distL="0" distR="0" simplePos="0" relativeHeight="251658240" behindDoc="0" locked="0" layoutInCell="1" allowOverlap="1" wp14:anchorId="6C308F72" wp14:editId="30E3B3A8">
              <wp:simplePos x="1076325" y="409575"/>
              <wp:positionH relativeFrom="page">
                <wp:align>right</wp:align>
              </wp:positionH>
              <wp:positionV relativeFrom="page">
                <wp:align>top</wp:align>
              </wp:positionV>
              <wp:extent cx="877570" cy="345440"/>
              <wp:effectExtent l="0" t="0" r="0" b="16510"/>
              <wp:wrapNone/>
              <wp:docPr id="225478968" name="Text Box 1" descr="C2-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7570" cy="345440"/>
                      </a:xfrm>
                      <a:prstGeom prst="rect">
                        <a:avLst/>
                      </a:prstGeom>
                      <a:noFill/>
                      <a:ln>
                        <a:noFill/>
                      </a:ln>
                    </wps:spPr>
                    <wps:txbx>
                      <w:txbxContent>
                        <w:p w14:paraId="5F6B7764" w14:textId="38D01810" w:rsidR="00547CF9" w:rsidRPr="00547CF9" w:rsidRDefault="00547CF9" w:rsidP="00547CF9">
                          <w:pPr>
                            <w:rPr>
                              <w:rFonts w:ascii="Aptos" w:eastAsia="Aptos" w:hAnsi="Aptos" w:cs="Aptos"/>
                              <w:noProof/>
                              <w:color w:val="000000"/>
                              <w:sz w:val="20"/>
                              <w:szCs w:val="20"/>
                            </w:rPr>
                          </w:pPr>
                          <w:r w:rsidRPr="00547CF9">
                            <w:rPr>
                              <w:rFonts w:ascii="Aptos" w:eastAsia="Aptos" w:hAnsi="Aptos" w:cs="Aptos"/>
                              <w:noProof/>
                              <w:color w:val="000000"/>
                              <w:sz w:val="20"/>
                              <w:szCs w:val="2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C308F72" id="_x0000_t202" coordsize="21600,21600" o:spt="202" path="m,l,21600r21600,l21600,xe">
              <v:stroke joinstyle="miter"/>
              <v:path gradientshapeok="t" o:connecttype="rect"/>
            </v:shapetype>
            <v:shape id="Text Box 1" o:spid="_x0000_s1028" type="#_x0000_t202" alt="C2-Internal" style="position:absolute;left:0;text-align:left;margin-left:17.9pt;margin-top:0;width:69.1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" filled="f" stroked="f">
              <v:fill o:detectmouseclick="t"/>
              <v:textbox style="mso-fit-shape-to-text:t" inset="0,15pt,20pt,0">
                <w:txbxContent>
                  <w:p w14:paraId="5F6B7764" w14:textId="38D01810" w:rsidR="00547CF9" w:rsidRPr="00547CF9" w:rsidRDefault="00547CF9" w:rsidP="00547CF9">
                    <w:pPr>
                      <w:rPr>
                        <w:rFonts w:ascii="Aptos" w:eastAsia="Aptos" w:hAnsi="Aptos" w:cs="Aptos"/>
                        <w:noProof/>
                        <w:color w:val="000000"/>
                        <w:sz w:val="20"/>
                        <w:szCs w:val="20"/>
                      </w:rPr>
                    </w:pPr>
                    <w:r w:rsidRPr="00547CF9">
                      <w:rPr>
                        <w:rFonts w:ascii="Aptos" w:eastAsia="Aptos" w:hAnsi="Aptos" w:cs="Aptos"/>
                        <w:noProof/>
                        <w:color w:val="000000"/>
                        <w:sz w:val="20"/>
                        <w:szCs w:val="20"/>
                      </w:rPr>
                      <w:t>C2-Internal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276250"/>
    <w:multiLevelType w:val="hybridMultilevel"/>
    <w:tmpl w:val="3B6C2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4259D1"/>
    <w:multiLevelType w:val="hybridMultilevel"/>
    <w:tmpl w:val="CAA25F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1A816B09"/>
    <w:multiLevelType w:val="hybridMultilevel"/>
    <w:tmpl w:val="8FBEE17A"/>
    <w:lvl w:ilvl="0" w:tplc="0427000F">
      <w:start w:val="16"/>
      <w:numFmt w:val="decimal"/>
      <w:lvlText w:val="%1."/>
      <w:lvlJc w:val="left"/>
      <w:pPr>
        <w:ind w:left="50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7" w15:restartNumberingAfterBreak="0">
    <w:nsid w:val="29217F59"/>
    <w:multiLevelType w:val="hybridMultilevel"/>
    <w:tmpl w:val="BA82A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0"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49A15C3"/>
    <w:multiLevelType w:val="hybridMultilevel"/>
    <w:tmpl w:val="381E4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30763969">
    <w:abstractNumId w:val="10"/>
  </w:num>
  <w:num w:numId="2" w16cid:durableId="844636936">
    <w:abstractNumId w:val="3"/>
  </w:num>
  <w:num w:numId="3" w16cid:durableId="83651721">
    <w:abstractNumId w:val="12"/>
  </w:num>
  <w:num w:numId="4" w16cid:durableId="920262949">
    <w:abstractNumId w:val="11"/>
  </w:num>
  <w:num w:numId="5" w16cid:durableId="1477524625">
    <w:abstractNumId w:val="9"/>
  </w:num>
  <w:num w:numId="6" w16cid:durableId="540017923">
    <w:abstractNumId w:val="8"/>
  </w:num>
  <w:num w:numId="7" w16cid:durableId="1236479362">
    <w:abstractNumId w:val="5"/>
  </w:num>
  <w:num w:numId="8" w16cid:durableId="824786170">
    <w:abstractNumId w:val="15"/>
  </w:num>
  <w:num w:numId="9" w16cid:durableId="1994337129">
    <w:abstractNumId w:val="0"/>
  </w:num>
  <w:num w:numId="10" w16cid:durableId="1504778719">
    <w:abstractNumId w:val="13"/>
  </w:num>
  <w:num w:numId="11" w16cid:durableId="130634881">
    <w:abstractNumId w:val="14"/>
  </w:num>
  <w:num w:numId="12" w16cid:durableId="2075465105">
    <w:abstractNumId w:val="4"/>
  </w:num>
  <w:num w:numId="13" w16cid:durableId="1779064140">
    <w:abstractNumId w:val="6"/>
  </w:num>
  <w:num w:numId="14" w16cid:durableId="2088065061">
    <w:abstractNumId w:val="1"/>
  </w:num>
  <w:num w:numId="15" w16cid:durableId="19816127">
    <w:abstractNumId w:val="7"/>
  </w:num>
  <w:num w:numId="16" w16cid:durableId="326057128">
    <w:abstractNumId w:val="16"/>
  </w:num>
  <w:num w:numId="17" w16cid:durableId="1968731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31D0E"/>
    <w:rsid w:val="000337E6"/>
    <w:rsid w:val="0003402E"/>
    <w:rsid w:val="00034EAE"/>
    <w:rsid w:val="00042924"/>
    <w:rsid w:val="000448C6"/>
    <w:rsid w:val="00052BD8"/>
    <w:rsid w:val="00053975"/>
    <w:rsid w:val="00057A2B"/>
    <w:rsid w:val="000606BE"/>
    <w:rsid w:val="000624FF"/>
    <w:rsid w:val="00063A50"/>
    <w:rsid w:val="000723FF"/>
    <w:rsid w:val="000736B8"/>
    <w:rsid w:val="0008190F"/>
    <w:rsid w:val="00081D9C"/>
    <w:rsid w:val="00082907"/>
    <w:rsid w:val="0008378D"/>
    <w:rsid w:val="000908A5"/>
    <w:rsid w:val="00092805"/>
    <w:rsid w:val="000A50C9"/>
    <w:rsid w:val="000B2B2C"/>
    <w:rsid w:val="000C454C"/>
    <w:rsid w:val="000D5038"/>
    <w:rsid w:val="000E29D4"/>
    <w:rsid w:val="000F3540"/>
    <w:rsid w:val="00100491"/>
    <w:rsid w:val="00104E2E"/>
    <w:rsid w:val="00107287"/>
    <w:rsid w:val="00117194"/>
    <w:rsid w:val="00117406"/>
    <w:rsid w:val="00121EF0"/>
    <w:rsid w:val="00124A9E"/>
    <w:rsid w:val="00130703"/>
    <w:rsid w:val="0013153F"/>
    <w:rsid w:val="001408B8"/>
    <w:rsid w:val="001466FE"/>
    <w:rsid w:val="001517E2"/>
    <w:rsid w:val="001521D9"/>
    <w:rsid w:val="001554E2"/>
    <w:rsid w:val="00161448"/>
    <w:rsid w:val="00164146"/>
    <w:rsid w:val="00164D64"/>
    <w:rsid w:val="00166FBB"/>
    <w:rsid w:val="0017369C"/>
    <w:rsid w:val="00175D57"/>
    <w:rsid w:val="00180C39"/>
    <w:rsid w:val="00180D96"/>
    <w:rsid w:val="00184BD3"/>
    <w:rsid w:val="001921F3"/>
    <w:rsid w:val="001A0CAA"/>
    <w:rsid w:val="001B3C5B"/>
    <w:rsid w:val="001C205D"/>
    <w:rsid w:val="001C2FC8"/>
    <w:rsid w:val="001C6353"/>
    <w:rsid w:val="001D5B91"/>
    <w:rsid w:val="001D746F"/>
    <w:rsid w:val="001E0B2D"/>
    <w:rsid w:val="001E4BBB"/>
    <w:rsid w:val="001E6304"/>
    <w:rsid w:val="001F115E"/>
    <w:rsid w:val="0020381E"/>
    <w:rsid w:val="00213471"/>
    <w:rsid w:val="00215906"/>
    <w:rsid w:val="00241CD8"/>
    <w:rsid w:val="00244B09"/>
    <w:rsid w:val="002519CB"/>
    <w:rsid w:val="0025697F"/>
    <w:rsid w:val="00260258"/>
    <w:rsid w:val="00262D73"/>
    <w:rsid w:val="0026588E"/>
    <w:rsid w:val="00272428"/>
    <w:rsid w:val="00272948"/>
    <w:rsid w:val="00280024"/>
    <w:rsid w:val="00283E59"/>
    <w:rsid w:val="00292392"/>
    <w:rsid w:val="002946C7"/>
    <w:rsid w:val="002B3CC1"/>
    <w:rsid w:val="002C0686"/>
    <w:rsid w:val="002C09E0"/>
    <w:rsid w:val="002C100E"/>
    <w:rsid w:val="002C1BB1"/>
    <w:rsid w:val="002C2786"/>
    <w:rsid w:val="002C3A10"/>
    <w:rsid w:val="002C4A90"/>
    <w:rsid w:val="002C4ED5"/>
    <w:rsid w:val="002D02EF"/>
    <w:rsid w:val="002E0702"/>
    <w:rsid w:val="002E1A83"/>
    <w:rsid w:val="002E57AD"/>
    <w:rsid w:val="002E6F80"/>
    <w:rsid w:val="002F0E4F"/>
    <w:rsid w:val="002F1053"/>
    <w:rsid w:val="00314816"/>
    <w:rsid w:val="00317B0E"/>
    <w:rsid w:val="00320278"/>
    <w:rsid w:val="00336238"/>
    <w:rsid w:val="00347FAA"/>
    <w:rsid w:val="0035172D"/>
    <w:rsid w:val="0036187D"/>
    <w:rsid w:val="00367EDB"/>
    <w:rsid w:val="003705F0"/>
    <w:rsid w:val="00381024"/>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22853"/>
    <w:rsid w:val="00423160"/>
    <w:rsid w:val="00437623"/>
    <w:rsid w:val="00444A2B"/>
    <w:rsid w:val="00453862"/>
    <w:rsid w:val="0045469B"/>
    <w:rsid w:val="00461338"/>
    <w:rsid w:val="004677DB"/>
    <w:rsid w:val="00476256"/>
    <w:rsid w:val="0048284C"/>
    <w:rsid w:val="0048630F"/>
    <w:rsid w:val="004947A1"/>
    <w:rsid w:val="0049482A"/>
    <w:rsid w:val="004979D3"/>
    <w:rsid w:val="004A00E7"/>
    <w:rsid w:val="004A3A61"/>
    <w:rsid w:val="004B59BA"/>
    <w:rsid w:val="004B5A03"/>
    <w:rsid w:val="004C263A"/>
    <w:rsid w:val="004C446E"/>
    <w:rsid w:val="004C6221"/>
    <w:rsid w:val="004D48A6"/>
    <w:rsid w:val="004D70B6"/>
    <w:rsid w:val="004D7B8F"/>
    <w:rsid w:val="004E241F"/>
    <w:rsid w:val="004E6458"/>
    <w:rsid w:val="004E6E7D"/>
    <w:rsid w:val="004F1AAC"/>
    <w:rsid w:val="004F1AE2"/>
    <w:rsid w:val="004F34F0"/>
    <w:rsid w:val="004F3B2B"/>
    <w:rsid w:val="004F6050"/>
    <w:rsid w:val="005005EF"/>
    <w:rsid w:val="00504B13"/>
    <w:rsid w:val="005123C2"/>
    <w:rsid w:val="0052144B"/>
    <w:rsid w:val="00524066"/>
    <w:rsid w:val="00526A0F"/>
    <w:rsid w:val="00534E11"/>
    <w:rsid w:val="005378D8"/>
    <w:rsid w:val="005400D9"/>
    <w:rsid w:val="005476A4"/>
    <w:rsid w:val="00547CF9"/>
    <w:rsid w:val="0055019B"/>
    <w:rsid w:val="00556E63"/>
    <w:rsid w:val="005601A4"/>
    <w:rsid w:val="00566DBB"/>
    <w:rsid w:val="00567B14"/>
    <w:rsid w:val="005767DB"/>
    <w:rsid w:val="005815E6"/>
    <w:rsid w:val="0058712F"/>
    <w:rsid w:val="005976CE"/>
    <w:rsid w:val="005A23D4"/>
    <w:rsid w:val="005A2D1E"/>
    <w:rsid w:val="005A4698"/>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4DCF"/>
    <w:rsid w:val="00645102"/>
    <w:rsid w:val="00646CF3"/>
    <w:rsid w:val="00653D11"/>
    <w:rsid w:val="006601F2"/>
    <w:rsid w:val="00662983"/>
    <w:rsid w:val="006834D3"/>
    <w:rsid w:val="00692625"/>
    <w:rsid w:val="00695CD3"/>
    <w:rsid w:val="006A38B6"/>
    <w:rsid w:val="006B1987"/>
    <w:rsid w:val="006B5B71"/>
    <w:rsid w:val="006B5D3E"/>
    <w:rsid w:val="006B6CB0"/>
    <w:rsid w:val="006C2B64"/>
    <w:rsid w:val="006D1BF3"/>
    <w:rsid w:val="006D4C85"/>
    <w:rsid w:val="006D66AC"/>
    <w:rsid w:val="006E33F6"/>
    <w:rsid w:val="006F1251"/>
    <w:rsid w:val="006F1C23"/>
    <w:rsid w:val="00702C18"/>
    <w:rsid w:val="00703166"/>
    <w:rsid w:val="007111C4"/>
    <w:rsid w:val="007127F3"/>
    <w:rsid w:val="007301CF"/>
    <w:rsid w:val="007316FB"/>
    <w:rsid w:val="00737E2D"/>
    <w:rsid w:val="007424D5"/>
    <w:rsid w:val="00745C63"/>
    <w:rsid w:val="00750A88"/>
    <w:rsid w:val="007523DD"/>
    <w:rsid w:val="00757B7E"/>
    <w:rsid w:val="007656B2"/>
    <w:rsid w:val="0077016F"/>
    <w:rsid w:val="007713AD"/>
    <w:rsid w:val="00774F67"/>
    <w:rsid w:val="00795DC5"/>
    <w:rsid w:val="00797153"/>
    <w:rsid w:val="007A21F7"/>
    <w:rsid w:val="007A2B68"/>
    <w:rsid w:val="007B0DDA"/>
    <w:rsid w:val="007D3347"/>
    <w:rsid w:val="007D654E"/>
    <w:rsid w:val="007E5466"/>
    <w:rsid w:val="007F1949"/>
    <w:rsid w:val="007F2592"/>
    <w:rsid w:val="00800A08"/>
    <w:rsid w:val="00817A84"/>
    <w:rsid w:val="008225A4"/>
    <w:rsid w:val="00824B92"/>
    <w:rsid w:val="00826D5E"/>
    <w:rsid w:val="00832013"/>
    <w:rsid w:val="00832DB7"/>
    <w:rsid w:val="00834732"/>
    <w:rsid w:val="0085200C"/>
    <w:rsid w:val="00857C52"/>
    <w:rsid w:val="00860D5F"/>
    <w:rsid w:val="0087234D"/>
    <w:rsid w:val="00880A44"/>
    <w:rsid w:val="00882BDA"/>
    <w:rsid w:val="0088345E"/>
    <w:rsid w:val="0088346A"/>
    <w:rsid w:val="0088656F"/>
    <w:rsid w:val="008875BC"/>
    <w:rsid w:val="00891EF6"/>
    <w:rsid w:val="00892FF4"/>
    <w:rsid w:val="0089345A"/>
    <w:rsid w:val="008A0303"/>
    <w:rsid w:val="008A572E"/>
    <w:rsid w:val="008A5FDD"/>
    <w:rsid w:val="008C3947"/>
    <w:rsid w:val="008E473B"/>
    <w:rsid w:val="008E51A6"/>
    <w:rsid w:val="008E7329"/>
    <w:rsid w:val="008F2ED5"/>
    <w:rsid w:val="008F679F"/>
    <w:rsid w:val="00906B74"/>
    <w:rsid w:val="0092297E"/>
    <w:rsid w:val="00923292"/>
    <w:rsid w:val="00923651"/>
    <w:rsid w:val="00924DF7"/>
    <w:rsid w:val="00927B56"/>
    <w:rsid w:val="00932CB6"/>
    <w:rsid w:val="009341BF"/>
    <w:rsid w:val="00937907"/>
    <w:rsid w:val="00941739"/>
    <w:rsid w:val="00951573"/>
    <w:rsid w:val="00963003"/>
    <w:rsid w:val="00965919"/>
    <w:rsid w:val="00966EEF"/>
    <w:rsid w:val="00971B28"/>
    <w:rsid w:val="00972A81"/>
    <w:rsid w:val="00983471"/>
    <w:rsid w:val="009909AB"/>
    <w:rsid w:val="009B37DB"/>
    <w:rsid w:val="009C7A8C"/>
    <w:rsid w:val="009D23F9"/>
    <w:rsid w:val="009D4FA8"/>
    <w:rsid w:val="009E44AE"/>
    <w:rsid w:val="009E6CD6"/>
    <w:rsid w:val="009F4D66"/>
    <w:rsid w:val="00A00C3C"/>
    <w:rsid w:val="00A01091"/>
    <w:rsid w:val="00A042B9"/>
    <w:rsid w:val="00A04AF5"/>
    <w:rsid w:val="00A06DBB"/>
    <w:rsid w:val="00A22ADF"/>
    <w:rsid w:val="00A2310D"/>
    <w:rsid w:val="00A254A2"/>
    <w:rsid w:val="00A31E86"/>
    <w:rsid w:val="00A54D87"/>
    <w:rsid w:val="00A5553C"/>
    <w:rsid w:val="00A701C9"/>
    <w:rsid w:val="00A7396E"/>
    <w:rsid w:val="00A81785"/>
    <w:rsid w:val="00A84803"/>
    <w:rsid w:val="00A84C51"/>
    <w:rsid w:val="00A86F2B"/>
    <w:rsid w:val="00A91366"/>
    <w:rsid w:val="00A92F91"/>
    <w:rsid w:val="00A93AA6"/>
    <w:rsid w:val="00AA4E48"/>
    <w:rsid w:val="00AA6202"/>
    <w:rsid w:val="00AA7B57"/>
    <w:rsid w:val="00AB2806"/>
    <w:rsid w:val="00AB2D54"/>
    <w:rsid w:val="00AC0C4B"/>
    <w:rsid w:val="00AC26FC"/>
    <w:rsid w:val="00AC4A99"/>
    <w:rsid w:val="00AC5129"/>
    <w:rsid w:val="00AC64D2"/>
    <w:rsid w:val="00AD02E7"/>
    <w:rsid w:val="00AE0FE8"/>
    <w:rsid w:val="00AF60D5"/>
    <w:rsid w:val="00B00959"/>
    <w:rsid w:val="00B04415"/>
    <w:rsid w:val="00B06509"/>
    <w:rsid w:val="00B11D60"/>
    <w:rsid w:val="00B13D65"/>
    <w:rsid w:val="00B1698B"/>
    <w:rsid w:val="00B21805"/>
    <w:rsid w:val="00B3072E"/>
    <w:rsid w:val="00B36E15"/>
    <w:rsid w:val="00B37245"/>
    <w:rsid w:val="00B4017A"/>
    <w:rsid w:val="00B4468D"/>
    <w:rsid w:val="00B71C72"/>
    <w:rsid w:val="00B71F04"/>
    <w:rsid w:val="00B74A62"/>
    <w:rsid w:val="00B811A4"/>
    <w:rsid w:val="00B81E92"/>
    <w:rsid w:val="00B908D7"/>
    <w:rsid w:val="00B935E8"/>
    <w:rsid w:val="00B93B30"/>
    <w:rsid w:val="00B94CB5"/>
    <w:rsid w:val="00BA0DD9"/>
    <w:rsid w:val="00BA5DBC"/>
    <w:rsid w:val="00BA6584"/>
    <w:rsid w:val="00BB6312"/>
    <w:rsid w:val="00BC39C2"/>
    <w:rsid w:val="00BC4D06"/>
    <w:rsid w:val="00BC5FD9"/>
    <w:rsid w:val="00BD05E1"/>
    <w:rsid w:val="00BD585E"/>
    <w:rsid w:val="00BD6919"/>
    <w:rsid w:val="00BE1EA7"/>
    <w:rsid w:val="00BE7489"/>
    <w:rsid w:val="00BF2E0D"/>
    <w:rsid w:val="00BF3927"/>
    <w:rsid w:val="00BF3F8B"/>
    <w:rsid w:val="00BF76DA"/>
    <w:rsid w:val="00C00CDB"/>
    <w:rsid w:val="00C07C7B"/>
    <w:rsid w:val="00C16245"/>
    <w:rsid w:val="00C22DC5"/>
    <w:rsid w:val="00C24479"/>
    <w:rsid w:val="00C273F2"/>
    <w:rsid w:val="00C327CB"/>
    <w:rsid w:val="00C37B53"/>
    <w:rsid w:val="00C434EB"/>
    <w:rsid w:val="00C517D2"/>
    <w:rsid w:val="00C5772E"/>
    <w:rsid w:val="00C62B36"/>
    <w:rsid w:val="00C7012C"/>
    <w:rsid w:val="00C712EA"/>
    <w:rsid w:val="00C9728E"/>
    <w:rsid w:val="00CA217D"/>
    <w:rsid w:val="00CA3131"/>
    <w:rsid w:val="00CC09D4"/>
    <w:rsid w:val="00CC4F5F"/>
    <w:rsid w:val="00CC668D"/>
    <w:rsid w:val="00CC7832"/>
    <w:rsid w:val="00CD488E"/>
    <w:rsid w:val="00CE4B0B"/>
    <w:rsid w:val="00CF0C1C"/>
    <w:rsid w:val="00CF27FD"/>
    <w:rsid w:val="00CF5F12"/>
    <w:rsid w:val="00D00D8F"/>
    <w:rsid w:val="00D12869"/>
    <w:rsid w:val="00D14512"/>
    <w:rsid w:val="00D15A34"/>
    <w:rsid w:val="00D15ED6"/>
    <w:rsid w:val="00D21F3A"/>
    <w:rsid w:val="00D23808"/>
    <w:rsid w:val="00D3016A"/>
    <w:rsid w:val="00D417D2"/>
    <w:rsid w:val="00D42960"/>
    <w:rsid w:val="00D43BD7"/>
    <w:rsid w:val="00D4485B"/>
    <w:rsid w:val="00D46CCD"/>
    <w:rsid w:val="00D4708D"/>
    <w:rsid w:val="00D4744C"/>
    <w:rsid w:val="00D51046"/>
    <w:rsid w:val="00D521DE"/>
    <w:rsid w:val="00D5470B"/>
    <w:rsid w:val="00D63068"/>
    <w:rsid w:val="00D6498C"/>
    <w:rsid w:val="00D67BAF"/>
    <w:rsid w:val="00D76A70"/>
    <w:rsid w:val="00D83182"/>
    <w:rsid w:val="00D8521E"/>
    <w:rsid w:val="00D9291C"/>
    <w:rsid w:val="00D93A97"/>
    <w:rsid w:val="00DA5602"/>
    <w:rsid w:val="00DB1F64"/>
    <w:rsid w:val="00DC261A"/>
    <w:rsid w:val="00DC2F53"/>
    <w:rsid w:val="00DC5BAC"/>
    <w:rsid w:val="00DC6816"/>
    <w:rsid w:val="00DC76C2"/>
    <w:rsid w:val="00DD1CF2"/>
    <w:rsid w:val="00DE4484"/>
    <w:rsid w:val="00DF3BFE"/>
    <w:rsid w:val="00DF41B7"/>
    <w:rsid w:val="00DF4A4A"/>
    <w:rsid w:val="00DF543E"/>
    <w:rsid w:val="00DF583C"/>
    <w:rsid w:val="00E03C3F"/>
    <w:rsid w:val="00E06FD7"/>
    <w:rsid w:val="00E07417"/>
    <w:rsid w:val="00E24D45"/>
    <w:rsid w:val="00E33DB8"/>
    <w:rsid w:val="00E33EFF"/>
    <w:rsid w:val="00E34387"/>
    <w:rsid w:val="00E348BA"/>
    <w:rsid w:val="00E35F47"/>
    <w:rsid w:val="00E369FE"/>
    <w:rsid w:val="00E37C6F"/>
    <w:rsid w:val="00E475F8"/>
    <w:rsid w:val="00E5102E"/>
    <w:rsid w:val="00E5721C"/>
    <w:rsid w:val="00E619C6"/>
    <w:rsid w:val="00E70CED"/>
    <w:rsid w:val="00E745A1"/>
    <w:rsid w:val="00E81529"/>
    <w:rsid w:val="00E83A13"/>
    <w:rsid w:val="00E93567"/>
    <w:rsid w:val="00EA052A"/>
    <w:rsid w:val="00EB1151"/>
    <w:rsid w:val="00EB6FC5"/>
    <w:rsid w:val="00EC2356"/>
    <w:rsid w:val="00EC2582"/>
    <w:rsid w:val="00EC337C"/>
    <w:rsid w:val="00EC4510"/>
    <w:rsid w:val="00ED0CFF"/>
    <w:rsid w:val="00ED31D2"/>
    <w:rsid w:val="00EE0EAC"/>
    <w:rsid w:val="00EE3322"/>
    <w:rsid w:val="00EE33CB"/>
    <w:rsid w:val="00F0061A"/>
    <w:rsid w:val="00F02834"/>
    <w:rsid w:val="00F04EEB"/>
    <w:rsid w:val="00F05467"/>
    <w:rsid w:val="00F055D2"/>
    <w:rsid w:val="00F07CD7"/>
    <w:rsid w:val="00F127E9"/>
    <w:rsid w:val="00F14477"/>
    <w:rsid w:val="00F14B5D"/>
    <w:rsid w:val="00F259FC"/>
    <w:rsid w:val="00F313F4"/>
    <w:rsid w:val="00F31CC0"/>
    <w:rsid w:val="00F36972"/>
    <w:rsid w:val="00F42426"/>
    <w:rsid w:val="00F44F01"/>
    <w:rsid w:val="00F456BC"/>
    <w:rsid w:val="00F47481"/>
    <w:rsid w:val="00F50666"/>
    <w:rsid w:val="00F70731"/>
    <w:rsid w:val="00F70C9E"/>
    <w:rsid w:val="00F74A74"/>
    <w:rsid w:val="00F7572C"/>
    <w:rsid w:val="00F8382C"/>
    <w:rsid w:val="00F855D7"/>
    <w:rsid w:val="00F87371"/>
    <w:rsid w:val="00F92035"/>
    <w:rsid w:val="00F92748"/>
    <w:rsid w:val="00FA4169"/>
    <w:rsid w:val="00FB0D41"/>
    <w:rsid w:val="00FB2030"/>
    <w:rsid w:val="00FD0E46"/>
    <w:rsid w:val="00FD1060"/>
    <w:rsid w:val="00FD1CF2"/>
    <w:rsid w:val="00FD3EDF"/>
    <w:rsid w:val="00FD793C"/>
    <w:rsid w:val="00FE0FD5"/>
    <w:rsid w:val="00FE20E6"/>
    <w:rsid w:val="00FE3E3B"/>
    <w:rsid w:val="00FE5878"/>
    <w:rsid w:val="00FF4032"/>
    <w:rsid w:val="00FF4A2E"/>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15:docId w15:val="{73343C9E-F021-4FAA-A852-83EACA68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1,Bullet 1,Bullet List,1. Bullet Blank,Bulleted - 2,Dairy Paragraphe,Bullets Points,Table Header Row,Bullet Paragraph,Bullet Point,Table Legend,List Paragraph CCT minutes,Section 5,FooterText,List Paragraph1,numbered,列出段落"/>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1 Diagrama,Bullet 1 Diagrama,Bullet List Diagrama,1. Bullet Blank Diagrama,Bulleted - 2 Diagrama,Dairy Paragraphe Diagrama,Bullets Points Diagrama,Table Header Row Diagrama,Bullet Paragraph Diagrama,Bullet Point Diagrama"/>
    <w:link w:val="Sraopastraipa"/>
    <w:uiPriority w:val="34"/>
    <w:locked/>
    <w:rsid w:val="008A572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D7EBE30A7F432F9AB1114CDC0B27A0"/>
        <w:category>
          <w:name w:val="Bendrosios nuostatos"/>
          <w:gallery w:val="placeholder"/>
        </w:category>
        <w:types>
          <w:type w:val="bbPlcHdr"/>
        </w:types>
        <w:behaviors>
          <w:behavior w:val="content"/>
        </w:behaviors>
        <w:guid w:val="{17F62492-AACD-4837-966A-2DF1151E6A27}"/>
      </w:docPartPr>
      <w:docPartBody>
        <w:p w:rsidR="00A20D39" w:rsidRDefault="00C66578" w:rsidP="00C66578">
          <w:pPr>
            <w:pStyle w:val="93D7EBE30A7F432F9AB1114CDC0B27A0"/>
          </w:pPr>
          <w:r>
            <w:rPr>
              <w:rStyle w:val="Vietosrezervavimoenklotekstas"/>
            </w:rPr>
            <w:t>Click here to enter a date.</w:t>
          </w:r>
        </w:p>
      </w:docPartBody>
    </w:docPart>
    <w:docPart>
      <w:docPartPr>
        <w:name w:val="313EC56AA2FD440FAB92ED675BD36BA0"/>
        <w:category>
          <w:name w:val="Bendrosios nuostatos"/>
          <w:gallery w:val="placeholder"/>
        </w:category>
        <w:types>
          <w:type w:val="bbPlcHdr"/>
        </w:types>
        <w:behaviors>
          <w:behavior w:val="content"/>
        </w:behaviors>
        <w:guid w:val="{930DD3CB-97DE-4BCB-96BE-0677BB5CE856}"/>
      </w:docPartPr>
      <w:docPartBody>
        <w:p w:rsidR="00A20D39" w:rsidRDefault="00C66578" w:rsidP="00C66578">
          <w:pPr>
            <w:pStyle w:val="313EC56AA2FD440FAB92ED675BD36BA0"/>
          </w:pPr>
          <w:r>
            <w:rPr>
              <w:rStyle w:val="Vietosrezervavimoenklotekstas"/>
            </w:rPr>
            <w:t>Click here to enter a date.</w:t>
          </w:r>
        </w:p>
      </w:docPartBody>
    </w:docPart>
    <w:docPart>
      <w:docPartPr>
        <w:name w:val="3F4ABFC19F9843E0BC8C07DADFC1701C"/>
        <w:category>
          <w:name w:val="Bendrosios nuostatos"/>
          <w:gallery w:val="placeholder"/>
        </w:category>
        <w:types>
          <w:type w:val="bbPlcHdr"/>
        </w:types>
        <w:behaviors>
          <w:behavior w:val="content"/>
        </w:behaviors>
        <w:guid w:val="{1A4552A2-B5E9-45EC-ADC6-14FC58A2304C}"/>
      </w:docPartPr>
      <w:docPartBody>
        <w:p w:rsidR="00927BCB" w:rsidRDefault="00D50C30" w:rsidP="00D50C30">
          <w:pPr>
            <w:pStyle w:val="3F4ABFC19F9843E0BC8C07DADFC1701C"/>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7C19"/>
    <w:rsid w:val="00061157"/>
    <w:rsid w:val="000624FF"/>
    <w:rsid w:val="000937FE"/>
    <w:rsid w:val="000A50C9"/>
    <w:rsid w:val="000A559A"/>
    <w:rsid w:val="000D24D4"/>
    <w:rsid w:val="000D6217"/>
    <w:rsid w:val="0014006D"/>
    <w:rsid w:val="001C35A9"/>
    <w:rsid w:val="00237556"/>
    <w:rsid w:val="002C0686"/>
    <w:rsid w:val="0039303B"/>
    <w:rsid w:val="004144A3"/>
    <w:rsid w:val="004160E7"/>
    <w:rsid w:val="00432102"/>
    <w:rsid w:val="004416C6"/>
    <w:rsid w:val="00456E96"/>
    <w:rsid w:val="004C6221"/>
    <w:rsid w:val="004D038D"/>
    <w:rsid w:val="004F4E20"/>
    <w:rsid w:val="004F5AB2"/>
    <w:rsid w:val="005074B9"/>
    <w:rsid w:val="00563A5F"/>
    <w:rsid w:val="005C62E5"/>
    <w:rsid w:val="005E40DD"/>
    <w:rsid w:val="00601F4E"/>
    <w:rsid w:val="00666B59"/>
    <w:rsid w:val="006E6A2C"/>
    <w:rsid w:val="00721398"/>
    <w:rsid w:val="007219C1"/>
    <w:rsid w:val="00745C63"/>
    <w:rsid w:val="00753462"/>
    <w:rsid w:val="00772325"/>
    <w:rsid w:val="00774F67"/>
    <w:rsid w:val="007A2FE0"/>
    <w:rsid w:val="007B4267"/>
    <w:rsid w:val="007C48AD"/>
    <w:rsid w:val="007C6D1D"/>
    <w:rsid w:val="007D654E"/>
    <w:rsid w:val="00892FF4"/>
    <w:rsid w:val="008C0DC0"/>
    <w:rsid w:val="008F679F"/>
    <w:rsid w:val="0090074D"/>
    <w:rsid w:val="00901A35"/>
    <w:rsid w:val="00927BCB"/>
    <w:rsid w:val="00932CB6"/>
    <w:rsid w:val="009B3BF0"/>
    <w:rsid w:val="009D5E5E"/>
    <w:rsid w:val="009F1BB4"/>
    <w:rsid w:val="00A04AF5"/>
    <w:rsid w:val="00A15F33"/>
    <w:rsid w:val="00A20D39"/>
    <w:rsid w:val="00A254A2"/>
    <w:rsid w:val="00AB2D54"/>
    <w:rsid w:val="00AB6ED4"/>
    <w:rsid w:val="00B14210"/>
    <w:rsid w:val="00B22ED6"/>
    <w:rsid w:val="00B23DC0"/>
    <w:rsid w:val="00B71F04"/>
    <w:rsid w:val="00B96656"/>
    <w:rsid w:val="00BA0A8E"/>
    <w:rsid w:val="00BC5FD9"/>
    <w:rsid w:val="00BE3364"/>
    <w:rsid w:val="00C2401D"/>
    <w:rsid w:val="00C250D7"/>
    <w:rsid w:val="00C327CB"/>
    <w:rsid w:val="00C53A68"/>
    <w:rsid w:val="00C66578"/>
    <w:rsid w:val="00CA5BB4"/>
    <w:rsid w:val="00CB4BD1"/>
    <w:rsid w:val="00CD139C"/>
    <w:rsid w:val="00CE2DA9"/>
    <w:rsid w:val="00CE44BE"/>
    <w:rsid w:val="00D008F3"/>
    <w:rsid w:val="00D0142D"/>
    <w:rsid w:val="00D04DFF"/>
    <w:rsid w:val="00D15ED6"/>
    <w:rsid w:val="00D20347"/>
    <w:rsid w:val="00D4356B"/>
    <w:rsid w:val="00D50C30"/>
    <w:rsid w:val="00D7162F"/>
    <w:rsid w:val="00DA599C"/>
    <w:rsid w:val="00DB4DB5"/>
    <w:rsid w:val="00DE4D10"/>
    <w:rsid w:val="00DF3BFE"/>
    <w:rsid w:val="00E44A86"/>
    <w:rsid w:val="00E522EB"/>
    <w:rsid w:val="00E60827"/>
    <w:rsid w:val="00E93567"/>
    <w:rsid w:val="00ED4CFB"/>
    <w:rsid w:val="00EF6E0C"/>
    <w:rsid w:val="00F14477"/>
    <w:rsid w:val="00F370E5"/>
    <w:rsid w:val="00F55028"/>
    <w:rsid w:val="00F677F0"/>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D50C30"/>
    <w:rPr>
      <w:color w:val="808080"/>
    </w:rPr>
  </w:style>
  <w:style w:type="paragraph" w:customStyle="1" w:styleId="93D7EBE30A7F432F9AB1114CDC0B27A0">
    <w:name w:val="93D7EBE30A7F432F9AB1114CDC0B27A0"/>
    <w:rsid w:val="00C66578"/>
    <w:pPr>
      <w:spacing w:line="278" w:lineRule="auto"/>
    </w:pPr>
    <w:rPr>
      <w:kern w:val="2"/>
      <w:sz w:val="24"/>
      <w:szCs w:val="24"/>
      <w14:ligatures w14:val="standardContextual"/>
    </w:rPr>
  </w:style>
  <w:style w:type="paragraph" w:customStyle="1" w:styleId="313EC56AA2FD440FAB92ED675BD36BA0">
    <w:name w:val="313EC56AA2FD440FAB92ED675BD36BA0"/>
    <w:rsid w:val="00C66578"/>
    <w:pPr>
      <w:spacing w:line="278" w:lineRule="auto"/>
    </w:pPr>
    <w:rPr>
      <w:kern w:val="2"/>
      <w:sz w:val="24"/>
      <w:szCs w:val="24"/>
      <w14:ligatures w14:val="standardContextual"/>
    </w:rPr>
  </w:style>
  <w:style w:type="paragraph" w:customStyle="1" w:styleId="3F4ABFC19F9843E0BC8C07DADFC1701C">
    <w:name w:val="3F4ABFC19F9843E0BC8C07DADFC1701C"/>
    <w:rsid w:val="00D50C3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15226</Words>
  <Characters>8680</Characters>
  <Application>Microsoft Office Word</Application>
  <DocSecurity>0</DocSecurity>
  <Lines>72</Lines>
  <Paragraphs>47</Paragraphs>
  <ScaleCrop>false</ScaleCrop>
  <Company/>
  <LinksUpToDate>false</LinksUpToDate>
  <CharactersWithSpaces>23859</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Kamilė Reinikienė</cp:lastModifiedBy>
  <cp:revision>2</cp:revision>
  <dcterms:created xsi:type="dcterms:W3CDTF">2026-06-10T06:13:00Z</dcterms:created>
  <dcterms:modified xsi:type="dcterms:W3CDTF">2026-06-10T06:24:00Z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d708938,7ef38e1,57b13b00</vt:lpwstr>
  </property>
  <property fmtid="{D5CDD505-2E9C-101B-9397-08002B2CF9AE}" pid="3" name="ClassificationContentMarkingHeaderFontProps">
    <vt:lpwstr>#000000,10,Aptos</vt:lpwstr>
  </property>
  <property fmtid="{D5CDD505-2E9C-101B-9397-08002B2CF9AE}" pid="4" name="ClassificationContentMarkingHeaderText">
    <vt:lpwstr>C2-Internal</vt:lpwstr>
  </property>
  <property fmtid="{D5CDD505-2E9C-101B-9397-08002B2CF9AE}" pid="5" name="MSIP_Label_e67a70be-9428-4198-8dbd-5dd218ff11f4_Enabled">
    <vt:lpwstr>true</vt:lpwstr>
  </property>
  <property fmtid="{D5CDD505-2E9C-101B-9397-08002B2CF9AE}" pid="6" name="MSIP_Label_e67a70be-9428-4198-8dbd-5dd218ff11f4_SetDate">
    <vt:lpwstr>2026-06-10T06:13:47Z</vt:lpwstr>
  </property>
  <property fmtid="{D5CDD505-2E9C-101B-9397-08002B2CF9AE}" pid="7" name="MSIP_Label_e67a70be-9428-4198-8dbd-5dd218ff11f4_Method">
    <vt:lpwstr>Standard</vt:lpwstr>
  </property>
  <property fmtid="{D5CDD505-2E9C-101B-9397-08002B2CF9AE}" pid="8" name="MSIP_Label_e67a70be-9428-4198-8dbd-5dd218ff11f4_Name">
    <vt:lpwstr>L002S001</vt:lpwstr>
  </property>
  <property fmtid="{D5CDD505-2E9C-101B-9397-08002B2CF9AE}" pid="9" name="MSIP_Label_e67a70be-9428-4198-8dbd-5dd218ff11f4_SiteId">
    <vt:lpwstr>2c0d789f-2311-4d29-83c5-395a89052a25</vt:lpwstr>
  </property>
  <property fmtid="{D5CDD505-2E9C-101B-9397-08002B2CF9AE}" pid="10" name="MSIP_Label_e67a70be-9428-4198-8dbd-5dd218ff11f4_ActionId">
    <vt:lpwstr>53d16bfd-69d3-43ac-ae55-f1c9040de4a5</vt:lpwstr>
  </property>
  <property fmtid="{D5CDD505-2E9C-101B-9397-08002B2CF9AE}" pid="11" name="MSIP_Label_e67a70be-9428-4198-8dbd-5dd218ff11f4_ContentBits">
    <vt:lpwstr>1</vt:lpwstr>
  </property>
  <property fmtid="{D5CDD505-2E9C-101B-9397-08002B2CF9AE}" pid="12" name="MSIP_Label_e67a70be-9428-4198-8dbd-5dd218ff11f4_Tag">
    <vt:lpwstr>10, 3, 0, 1</vt:lpwstr>
  </property>
</Properties>
</file>