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E5EB3" w14:textId="1955ADE3" w:rsidR="005F7602" w:rsidRPr="00334F18" w:rsidRDefault="005F7602" w:rsidP="002946C7">
      <w:pPr>
        <w:ind w:left="5529"/>
      </w:pPr>
    </w:p>
    <w:p w14:paraId="12FA4B9E" w14:textId="39AA3336" w:rsidR="001B3C5B" w:rsidRPr="00334F18" w:rsidRDefault="00DC261A" w:rsidP="001B3C5B">
      <w:pPr>
        <w:ind w:left="6096"/>
      </w:pPr>
      <w:bookmarkStart w:id="0" w:name="_Hlk189565243"/>
      <w:r w:rsidRPr="00334F18">
        <w:t>PATVIRTINTA</w:t>
      </w:r>
    </w:p>
    <w:p w14:paraId="7206970B" w14:textId="70E9BD2E" w:rsidR="004C263A" w:rsidRPr="00334F18" w:rsidRDefault="001B3C5B" w:rsidP="001B3C5B">
      <w:pPr>
        <w:ind w:left="6096"/>
      </w:pPr>
      <w:r w:rsidRPr="00334F18">
        <w:t>Valstybinės vaistų kontrolės tarnybos prie Lietuvos Respublikos sveikatos apsaugos ministerijos viršininko 2021 m</w:t>
      </w:r>
      <w:r w:rsidR="004C263A" w:rsidRPr="00334F18">
        <w:t xml:space="preserve">. lapkričio 12 </w:t>
      </w:r>
      <w:r w:rsidRPr="00334F18">
        <w:t>d. įsakymu Nr.</w:t>
      </w:r>
      <w:r w:rsidR="004C263A" w:rsidRPr="00334F18">
        <w:t xml:space="preserve"> (1.72E)1A-1418</w:t>
      </w:r>
    </w:p>
    <w:p w14:paraId="5B219AA6" w14:textId="3A5D6CB4" w:rsidR="001B3C5B" w:rsidRPr="00334F18" w:rsidRDefault="004C263A" w:rsidP="001B3C5B">
      <w:pPr>
        <w:ind w:left="6096"/>
      </w:pPr>
      <w:r w:rsidRPr="00334F18">
        <w:t>(Valstybinės vaistų kontrolės tarnybos prie Lietuvos Respublikos sveikatos apsaugos ministerijos viršininko 202</w:t>
      </w:r>
      <w:r w:rsidR="00A2310D" w:rsidRPr="00334F18">
        <w:t>5</w:t>
      </w:r>
      <w:r w:rsidRPr="00334F18">
        <w:t xml:space="preserve"> m.                         d. įsakymo Nr.                    redakcija)</w:t>
      </w:r>
    </w:p>
    <w:p w14:paraId="3336BD74" w14:textId="77777777" w:rsidR="001B3C5B" w:rsidRPr="00334F18" w:rsidRDefault="001B3C5B" w:rsidP="00FA4169"/>
    <w:bookmarkEnd w:id="0"/>
    <w:p w14:paraId="56604434" w14:textId="77777777" w:rsidR="00DC261A" w:rsidRPr="00334F18" w:rsidRDefault="00DC261A" w:rsidP="003B211A">
      <w:pPr>
        <w:jc w:val="center"/>
        <w:rPr>
          <w:b/>
        </w:rPr>
      </w:pPr>
    </w:p>
    <w:p w14:paraId="77AFB67E" w14:textId="0FB133A2" w:rsidR="00613501" w:rsidRPr="00334F18" w:rsidRDefault="002F0E4F" w:rsidP="003B211A">
      <w:pPr>
        <w:jc w:val="center"/>
        <w:rPr>
          <w:b/>
          <w:bCs/>
          <w:caps/>
        </w:rPr>
      </w:pPr>
      <w:r w:rsidRPr="00334F18">
        <w:rPr>
          <w:b/>
        </w:rPr>
        <w:t xml:space="preserve">REKOMENDACIJA DĖL VAISTINIO PREPARATO </w:t>
      </w:r>
      <w:r w:rsidRPr="00334F18">
        <w:rPr>
          <w:b/>
          <w:bCs/>
          <w:caps/>
        </w:rPr>
        <w:t>Lietuvos Respublikos Sveikatos apsaugos ministerijos vaistinių preparatų ir medicinos pagalbos priemonių kompensavimo komisijai</w:t>
      </w:r>
    </w:p>
    <w:p w14:paraId="34E4395D" w14:textId="15FB10DF" w:rsidR="00B13D65" w:rsidRPr="00334F18" w:rsidRDefault="00B13D65" w:rsidP="003B211A">
      <w:pPr>
        <w:jc w:val="center"/>
        <w:rPr>
          <w:b/>
        </w:rPr>
      </w:pPr>
    </w:p>
    <w:p w14:paraId="0C035497" w14:textId="486E17EE" w:rsidR="00DA51BF" w:rsidRPr="009300B3" w:rsidRDefault="00DA51BF" w:rsidP="00DA51BF">
      <w:pPr>
        <w:jc w:val="center"/>
        <w:rPr>
          <w:b/>
        </w:rPr>
      </w:pPr>
      <w:r>
        <w:rPr>
          <w:b/>
        </w:rPr>
        <w:t>IMFINZI</w:t>
      </w:r>
      <w:r w:rsidRPr="009300B3">
        <w:rPr>
          <w:b/>
        </w:rPr>
        <w:t xml:space="preserve"> </w:t>
      </w:r>
      <w:r>
        <w:rPr>
          <w:b/>
        </w:rPr>
        <w:t>50 mg/ml koncentratas infuziniam tirpalui</w:t>
      </w:r>
    </w:p>
    <w:p w14:paraId="76D0DE8C" w14:textId="77777777" w:rsidR="00DA51BF" w:rsidRPr="009300B3" w:rsidRDefault="00DA51BF" w:rsidP="00DA51BF">
      <w:pPr>
        <w:jc w:val="center"/>
      </w:pPr>
    </w:p>
    <w:p w14:paraId="45F69BD1" w14:textId="77777777" w:rsidR="00DA51BF" w:rsidRPr="009300B3" w:rsidRDefault="00DA51BF" w:rsidP="00DA51BF">
      <w:pPr>
        <w:jc w:val="center"/>
      </w:pPr>
      <w:r>
        <w:rPr>
          <w:b/>
        </w:rPr>
        <w:t>Durvalumabas</w:t>
      </w:r>
    </w:p>
    <w:p w14:paraId="20C47D9D" w14:textId="77777777" w:rsidR="00DA51BF" w:rsidRPr="009300B3" w:rsidRDefault="00DA51BF" w:rsidP="00DA51BF">
      <w:pPr>
        <w:jc w:val="center"/>
      </w:pPr>
    </w:p>
    <w:p w14:paraId="2D13BDF6" w14:textId="77777777" w:rsidR="00DA51BF" w:rsidRPr="009300B3" w:rsidRDefault="00DA51BF" w:rsidP="00DA51BF">
      <w:pPr>
        <w:jc w:val="center"/>
        <w:rPr>
          <w:b/>
        </w:rPr>
      </w:pPr>
      <w:r>
        <w:rPr>
          <w:b/>
        </w:rPr>
        <w:t>STV-266</w:t>
      </w:r>
    </w:p>
    <w:p w14:paraId="696B5C9C" w14:textId="77777777" w:rsidR="00DA51BF" w:rsidRPr="009300B3" w:rsidRDefault="00DA51BF" w:rsidP="00DA51BF">
      <w:pPr>
        <w:spacing w:line="280" w:lineRule="atLeast"/>
        <w:jc w:val="center"/>
        <w:rPr>
          <w:rFonts w:eastAsia="Arial"/>
        </w:rPr>
      </w:pPr>
    </w:p>
    <w:p w14:paraId="56CCA922" w14:textId="77777777" w:rsidR="00DA51BF" w:rsidRPr="009300B3" w:rsidRDefault="00DA51BF" w:rsidP="00DA51BF">
      <w:pPr>
        <w:pStyle w:val="ListParagraph"/>
        <w:numPr>
          <w:ilvl w:val="0"/>
          <w:numId w:val="15"/>
        </w:numPr>
        <w:tabs>
          <w:tab w:val="left" w:pos="284"/>
        </w:tabs>
        <w:spacing w:line="280" w:lineRule="atLeast"/>
        <w:jc w:val="center"/>
        <w:rPr>
          <w:rFonts w:eastAsia="Arial"/>
          <w:b/>
        </w:rPr>
      </w:pPr>
      <w:r w:rsidRPr="009300B3">
        <w:rPr>
          <w:rFonts w:eastAsia="Arial"/>
          <w:b/>
        </w:rPr>
        <w:t>BENDROJI DALIS</w:t>
      </w:r>
    </w:p>
    <w:p w14:paraId="04815CBD" w14:textId="77777777" w:rsidR="00DA51BF" w:rsidRPr="009300B3" w:rsidRDefault="00DA51BF" w:rsidP="00DA51BF">
      <w:pPr>
        <w:pStyle w:val="ListParagraph"/>
        <w:tabs>
          <w:tab w:val="left" w:pos="284"/>
        </w:tabs>
        <w:spacing w:line="280" w:lineRule="atLeast"/>
        <w:ind w:left="1080"/>
        <w:jc w:val="both"/>
        <w:rPr>
          <w:rFonts w:eastAsia="Arial"/>
          <w:b/>
        </w:rPr>
      </w:pPr>
    </w:p>
    <w:tbl>
      <w:tblPr>
        <w:tblStyle w:val="TableGrid"/>
        <w:tblW w:w="9493" w:type="dxa"/>
        <w:tblLook w:val="04A0" w:firstRow="1" w:lastRow="0" w:firstColumn="1" w:lastColumn="0" w:noHBand="0" w:noVBand="1"/>
      </w:tblPr>
      <w:tblGrid>
        <w:gridCol w:w="632"/>
        <w:gridCol w:w="3899"/>
        <w:gridCol w:w="4962"/>
      </w:tblGrid>
      <w:tr w:rsidR="00DA51BF" w:rsidRPr="009300B3" w14:paraId="592255E0" w14:textId="77777777" w:rsidTr="000E4CA1">
        <w:trPr>
          <w:trHeight w:val="538"/>
        </w:trPr>
        <w:tc>
          <w:tcPr>
            <w:tcW w:w="632" w:type="dxa"/>
          </w:tcPr>
          <w:p w14:paraId="71CF7AE6" w14:textId="77777777" w:rsidR="00DA51BF" w:rsidRPr="009300B3" w:rsidRDefault="00DA51BF" w:rsidP="000E4CA1">
            <w:pPr>
              <w:jc w:val="both"/>
              <w:rPr>
                <w:rFonts w:eastAsia="Arial"/>
                <w:b/>
                <w:bCs/>
              </w:rPr>
            </w:pPr>
            <w:bookmarkStart w:id="1" w:name="_Hlk187088187"/>
            <w:r w:rsidRPr="009300B3">
              <w:rPr>
                <w:rFonts w:eastAsia="Arial"/>
                <w:b/>
                <w:bCs/>
              </w:rPr>
              <w:t>1.1</w:t>
            </w:r>
          </w:p>
        </w:tc>
        <w:tc>
          <w:tcPr>
            <w:tcW w:w="3899" w:type="dxa"/>
          </w:tcPr>
          <w:p w14:paraId="3FAACB42" w14:textId="77777777" w:rsidR="00DA51BF" w:rsidRPr="009300B3" w:rsidRDefault="00DA51BF" w:rsidP="000E4CA1">
            <w:pPr>
              <w:jc w:val="both"/>
              <w:rPr>
                <w:rFonts w:eastAsia="Arial"/>
                <w:b/>
                <w:bCs/>
              </w:rPr>
            </w:pPr>
            <w:r w:rsidRPr="009300B3">
              <w:rPr>
                <w:rFonts w:eastAsia="Arial"/>
                <w:b/>
                <w:bCs/>
              </w:rPr>
              <w:t>Pareiškėjas/ pareiškėjo atstovas</w:t>
            </w:r>
          </w:p>
        </w:tc>
        <w:tc>
          <w:tcPr>
            <w:tcW w:w="4962" w:type="dxa"/>
          </w:tcPr>
          <w:p w14:paraId="164466A4" w14:textId="77777777" w:rsidR="00DA51BF" w:rsidRPr="009300B3" w:rsidRDefault="00DA51BF" w:rsidP="000E4CA1">
            <w:pPr>
              <w:jc w:val="both"/>
              <w:rPr>
                <w:rFonts w:eastAsia="Arial"/>
              </w:rPr>
            </w:pPr>
            <w:r>
              <w:t>Astra Zeneca UAB</w:t>
            </w:r>
          </w:p>
        </w:tc>
      </w:tr>
      <w:tr w:rsidR="00DA51BF" w:rsidRPr="009300B3" w14:paraId="1283DAF1" w14:textId="77777777" w:rsidTr="000E4CA1">
        <w:trPr>
          <w:trHeight w:val="538"/>
        </w:trPr>
        <w:tc>
          <w:tcPr>
            <w:tcW w:w="632" w:type="dxa"/>
          </w:tcPr>
          <w:p w14:paraId="15456A57" w14:textId="77777777" w:rsidR="00DA51BF" w:rsidRPr="009300B3" w:rsidRDefault="00DA51BF" w:rsidP="000E4CA1">
            <w:pPr>
              <w:jc w:val="both"/>
              <w:rPr>
                <w:rFonts w:eastAsia="Arial"/>
                <w:b/>
                <w:bCs/>
              </w:rPr>
            </w:pPr>
            <w:r w:rsidRPr="009300B3">
              <w:rPr>
                <w:rFonts w:eastAsia="Arial"/>
                <w:b/>
                <w:bCs/>
              </w:rPr>
              <w:t>1.2</w:t>
            </w:r>
          </w:p>
        </w:tc>
        <w:tc>
          <w:tcPr>
            <w:tcW w:w="3899" w:type="dxa"/>
          </w:tcPr>
          <w:p w14:paraId="230D37AA" w14:textId="77777777" w:rsidR="00DA51BF" w:rsidRPr="009300B3" w:rsidRDefault="00DA51BF" w:rsidP="000E4CA1">
            <w:pPr>
              <w:jc w:val="both"/>
              <w:rPr>
                <w:b/>
                <w:bCs/>
                <w:lang w:eastAsia="lt-LT"/>
              </w:rPr>
            </w:pPr>
            <w:r w:rsidRPr="009300B3">
              <w:rPr>
                <w:b/>
                <w:bCs/>
                <w:lang w:eastAsia="lt-LT"/>
              </w:rPr>
              <w:t xml:space="preserve">Vaistinio preparato registracijos data </w:t>
            </w:r>
          </w:p>
          <w:p w14:paraId="4D1D471B" w14:textId="77777777" w:rsidR="00DA51BF" w:rsidRPr="009300B3" w:rsidRDefault="00DA51BF" w:rsidP="000E4CA1">
            <w:pPr>
              <w:jc w:val="both"/>
              <w:rPr>
                <w:b/>
                <w:bCs/>
                <w:lang w:eastAsia="lt-LT"/>
              </w:rPr>
            </w:pPr>
          </w:p>
        </w:tc>
        <w:tc>
          <w:tcPr>
            <w:tcW w:w="4962" w:type="dxa"/>
          </w:tcPr>
          <w:p w14:paraId="773DA22F" w14:textId="77777777" w:rsidR="00DA51BF" w:rsidRPr="00B4727F" w:rsidRDefault="00000000" w:rsidP="000E4CA1">
            <w:pPr>
              <w:jc w:val="both"/>
              <w:rPr>
                <w:rStyle w:val="Style2"/>
                <w:sz w:val="24"/>
              </w:rPr>
            </w:pPr>
            <w:sdt>
              <w:sdtPr>
                <w:rPr>
                  <w:sz w:val="32"/>
                </w:rPr>
                <w:alias w:val="Nurodykite konkrečią dieną"/>
                <w:tag w:val="Nurodykite pradžios datą"/>
                <w:id w:val="1772196685"/>
                <w:placeholder>
                  <w:docPart w:val="28B525CF601542E89D0919F1C286A8A4"/>
                </w:placeholder>
                <w15:color w:val="FFCC99"/>
                <w:date>
                  <w:dateFormat w:val="yyyy 'm.' MMMM d 'd.'"/>
                  <w:lid w:val="lt-LT"/>
                  <w:storeMappedDataAs w:val="dateTime"/>
                  <w:calendar w:val="gregorian"/>
                </w:date>
              </w:sdtPr>
              <w:sdtEndPr>
                <w:rPr>
                  <w:sz w:val="24"/>
                </w:rPr>
              </w:sdtEndPr>
              <w:sdtContent>
                <w:r w:rsidR="00DA51BF" w:rsidRPr="00B4727F">
                  <w:t>2018 m. rugsėjo 21 d.</w:t>
                </w:r>
              </w:sdtContent>
            </w:sdt>
          </w:p>
        </w:tc>
      </w:tr>
      <w:tr w:rsidR="00DA51BF" w:rsidRPr="009300B3" w14:paraId="055BCED7" w14:textId="77777777" w:rsidTr="000E4CA1">
        <w:trPr>
          <w:trHeight w:val="1396"/>
        </w:trPr>
        <w:tc>
          <w:tcPr>
            <w:tcW w:w="632" w:type="dxa"/>
          </w:tcPr>
          <w:p w14:paraId="6772F862" w14:textId="77777777" w:rsidR="00DA51BF" w:rsidRPr="009300B3" w:rsidRDefault="00DA51BF" w:rsidP="000E4CA1">
            <w:pPr>
              <w:jc w:val="both"/>
              <w:rPr>
                <w:rFonts w:eastAsia="Arial"/>
                <w:b/>
                <w:bCs/>
              </w:rPr>
            </w:pPr>
            <w:r w:rsidRPr="009300B3">
              <w:rPr>
                <w:rFonts w:eastAsia="Arial"/>
                <w:b/>
                <w:bCs/>
              </w:rPr>
              <w:t>1.3</w:t>
            </w:r>
          </w:p>
        </w:tc>
        <w:tc>
          <w:tcPr>
            <w:tcW w:w="3899" w:type="dxa"/>
          </w:tcPr>
          <w:p w14:paraId="40AFC794" w14:textId="77777777" w:rsidR="00DA51BF" w:rsidRPr="009300B3" w:rsidRDefault="00DA51BF" w:rsidP="000E4CA1">
            <w:pPr>
              <w:pStyle w:val="NoSpacing"/>
              <w:jc w:val="both"/>
              <w:rPr>
                <w:rFonts w:ascii="Times New Roman" w:hAnsi="Times New Roman"/>
                <w:b/>
                <w:sz w:val="24"/>
                <w:szCs w:val="24"/>
                <w:shd w:val="clear" w:color="auto" w:fill="FFFFFF"/>
              </w:rPr>
            </w:pPr>
            <w:r w:rsidRPr="009300B3">
              <w:rPr>
                <w:rFonts w:ascii="Times New Roman" w:hAnsi="Times New Roman"/>
                <w:b/>
                <w:sz w:val="24"/>
                <w:szCs w:val="24"/>
              </w:rPr>
              <w:t xml:space="preserve">Vaistinio preparato </w:t>
            </w:r>
            <w:r w:rsidRPr="009300B3">
              <w:rPr>
                <w:rFonts w:ascii="Times New Roman" w:hAnsi="Times New Roman"/>
                <w:b/>
                <w:sz w:val="24"/>
                <w:szCs w:val="24"/>
                <w:shd w:val="clear" w:color="auto" w:fill="FFFFFF"/>
              </w:rPr>
              <w:t>registracijos teisinis pagrindas</w:t>
            </w:r>
          </w:p>
          <w:p w14:paraId="32885BE6" w14:textId="77777777" w:rsidR="00DA51BF" w:rsidRPr="009300B3" w:rsidRDefault="00DA51BF" w:rsidP="000E4CA1">
            <w:pPr>
              <w:pStyle w:val="NoSpacing"/>
              <w:jc w:val="both"/>
              <w:rPr>
                <w:rFonts w:ascii="Times New Roman" w:hAnsi="Times New Roman"/>
                <w:b/>
                <w:bCs/>
                <w:sz w:val="24"/>
                <w:szCs w:val="24"/>
                <w:lang w:eastAsia="lt-LT"/>
              </w:rPr>
            </w:pPr>
            <w:r w:rsidRPr="009300B3">
              <w:rPr>
                <w:rFonts w:ascii="Times New Roman" w:hAnsi="Times New Roman"/>
                <w:b/>
                <w:sz w:val="24"/>
                <w:szCs w:val="24"/>
                <w:shd w:val="clear" w:color="auto" w:fill="FFFFFF"/>
              </w:rPr>
              <w:t>(</w:t>
            </w:r>
            <w:r w:rsidRPr="009300B3">
              <w:rPr>
                <w:rFonts w:ascii="Times New Roman" w:hAnsi="Times New Roman"/>
                <w:b/>
                <w:sz w:val="24"/>
                <w:szCs w:val="24"/>
              </w:rPr>
              <w:t>Direktyvos 2001/83/EB str.)</w:t>
            </w:r>
          </w:p>
        </w:tc>
        <w:tc>
          <w:tcPr>
            <w:tcW w:w="4962" w:type="dxa"/>
          </w:tcPr>
          <w:p w14:paraId="343A45F2" w14:textId="77777777" w:rsidR="00DA51BF" w:rsidRPr="00DB5616" w:rsidRDefault="00000000" w:rsidP="000E4CA1">
            <w:pPr>
              <w:jc w:val="both"/>
            </w:pPr>
            <w:sdt>
              <w:sdtPr>
                <w:rPr>
                  <w:rStyle w:val="Style2"/>
                  <w:sz w:val="24"/>
                </w:rPr>
                <w:id w:val="526292078"/>
                <w15:color w:val="FFCC00"/>
                <w14:checkbox>
                  <w14:checked w14:val="1"/>
                  <w14:checkedState w14:val="2612" w14:font="MS Gothic"/>
                  <w14:uncheckedState w14:val="2610" w14:font="MS Gothic"/>
                </w14:checkbox>
              </w:sdtPr>
              <w:sdtContent>
                <w:r w:rsidR="00DA51BF">
                  <w:rPr>
                    <w:rStyle w:val="Style2"/>
                    <w:rFonts w:ascii="MS Gothic" w:eastAsia="MS Gothic" w:hAnsi="MS Gothic" w:hint="eastAsia"/>
                    <w:sz w:val="24"/>
                  </w:rPr>
                  <w:t>☒</w:t>
                </w:r>
              </w:sdtContent>
            </w:sdt>
            <w:r w:rsidR="00DA51BF" w:rsidRPr="00DB5616">
              <w:t>8.3 str. (pilna byla, pagrįsta savais tyrimais)</w:t>
            </w:r>
          </w:p>
          <w:p w14:paraId="3A9A2204" w14:textId="77777777" w:rsidR="00DA51BF" w:rsidRPr="00DB5616" w:rsidRDefault="00000000" w:rsidP="000E4CA1">
            <w:pPr>
              <w:jc w:val="both"/>
            </w:pPr>
            <w:sdt>
              <w:sdtPr>
                <w:rPr>
                  <w:rStyle w:val="Style2"/>
                  <w:sz w:val="24"/>
                </w:rPr>
                <w:id w:val="-1497953736"/>
                <w15:color w:val="FFCC00"/>
                <w14:checkbox>
                  <w14:checked w14:val="0"/>
                  <w14:checkedState w14:val="2612" w14:font="MS Gothic"/>
                  <w14:uncheckedState w14:val="2610" w14:font="MS Gothic"/>
                </w14:checkbox>
              </w:sdtPr>
              <w:sdtContent>
                <w:r w:rsidR="00DA51BF" w:rsidRPr="00DB5616">
                  <w:rPr>
                    <w:rStyle w:val="Style2"/>
                    <w:rFonts w:ascii="Segoe UI Symbol" w:eastAsia="MS Gothic" w:hAnsi="Segoe UI Symbol" w:cs="Segoe UI Symbol"/>
                    <w:sz w:val="24"/>
                  </w:rPr>
                  <w:t>☐</w:t>
                </w:r>
              </w:sdtContent>
            </w:sdt>
            <w:r w:rsidR="00DA51BF" w:rsidRPr="00DB5616">
              <w:t>10 a str. (pripažintas medicininis vartojimas)</w:t>
            </w:r>
          </w:p>
          <w:p w14:paraId="4617C9C5" w14:textId="77777777" w:rsidR="00DA51BF" w:rsidRPr="00DB5616" w:rsidRDefault="00000000" w:rsidP="000E4CA1">
            <w:pPr>
              <w:jc w:val="both"/>
            </w:pPr>
            <w:sdt>
              <w:sdtPr>
                <w:rPr>
                  <w:rStyle w:val="Style2"/>
                  <w:sz w:val="24"/>
                </w:rPr>
                <w:id w:val="204142496"/>
                <w15:color w:val="FFCC00"/>
                <w14:checkbox>
                  <w14:checked w14:val="0"/>
                  <w14:checkedState w14:val="2612" w14:font="MS Gothic"/>
                  <w14:uncheckedState w14:val="2610" w14:font="MS Gothic"/>
                </w14:checkbox>
              </w:sdtPr>
              <w:sdtContent>
                <w:r w:rsidR="00DA51BF" w:rsidRPr="00DB5616">
                  <w:rPr>
                    <w:rStyle w:val="Style2"/>
                    <w:rFonts w:ascii="Segoe UI Symbol" w:eastAsia="MS Gothic" w:hAnsi="Segoe UI Symbol" w:cs="Segoe UI Symbol"/>
                    <w:sz w:val="24"/>
                  </w:rPr>
                  <w:t>☐</w:t>
                </w:r>
              </w:sdtContent>
            </w:sdt>
            <w:r w:rsidR="00DA51BF" w:rsidRPr="00DB5616">
              <w:t>10.1 str. (generinis)</w:t>
            </w:r>
          </w:p>
          <w:p w14:paraId="19A46E00" w14:textId="77777777" w:rsidR="00DA51BF" w:rsidRPr="00DB5616" w:rsidRDefault="00000000" w:rsidP="000E4CA1">
            <w:pPr>
              <w:jc w:val="both"/>
            </w:pPr>
            <w:sdt>
              <w:sdtPr>
                <w:rPr>
                  <w:rStyle w:val="Style2"/>
                  <w:sz w:val="24"/>
                </w:rPr>
                <w:id w:val="820305101"/>
                <w15:color w:val="FFCC00"/>
                <w14:checkbox>
                  <w14:checked w14:val="0"/>
                  <w14:checkedState w14:val="2612" w14:font="MS Gothic"/>
                  <w14:uncheckedState w14:val="2610" w14:font="MS Gothic"/>
                </w14:checkbox>
              </w:sdtPr>
              <w:sdtContent>
                <w:r w:rsidR="00DA51BF" w:rsidRPr="00DB5616">
                  <w:rPr>
                    <w:rStyle w:val="Style2"/>
                    <w:rFonts w:ascii="Segoe UI Symbol" w:eastAsia="MS Gothic" w:hAnsi="Segoe UI Symbol" w:cs="Segoe UI Symbol"/>
                    <w:sz w:val="24"/>
                  </w:rPr>
                  <w:t>☐</w:t>
                </w:r>
              </w:sdtContent>
            </w:sdt>
            <w:r w:rsidR="00DA51BF" w:rsidRPr="00DB5616">
              <w:t>10.3 str. (hibridinis)</w:t>
            </w:r>
          </w:p>
          <w:p w14:paraId="541CAAE6" w14:textId="77777777" w:rsidR="00DA51BF" w:rsidRPr="00DB5616" w:rsidRDefault="00000000" w:rsidP="000E4CA1">
            <w:sdt>
              <w:sdtPr>
                <w:rPr>
                  <w:rStyle w:val="Style2"/>
                  <w:sz w:val="24"/>
                </w:rPr>
                <w:id w:val="-450176040"/>
                <w15:color w:val="FFCC00"/>
                <w14:checkbox>
                  <w14:checked w14:val="0"/>
                  <w14:checkedState w14:val="2612" w14:font="MS Gothic"/>
                  <w14:uncheckedState w14:val="2610" w14:font="MS Gothic"/>
                </w14:checkbox>
              </w:sdtPr>
              <w:sdtContent>
                <w:r w:rsidR="00DA51BF" w:rsidRPr="00DB5616">
                  <w:rPr>
                    <w:rStyle w:val="Style2"/>
                    <w:rFonts w:ascii="Segoe UI Symbol" w:eastAsia="MS Gothic" w:hAnsi="Segoe UI Symbol" w:cs="Segoe UI Symbol"/>
                    <w:sz w:val="24"/>
                  </w:rPr>
                  <w:t>☐</w:t>
                </w:r>
              </w:sdtContent>
            </w:sdt>
            <w:r w:rsidR="00DA51BF" w:rsidRPr="00DB5616">
              <w:t>10.</w:t>
            </w:r>
            <w:r w:rsidR="00DA51BF">
              <w:t>4</w:t>
            </w:r>
            <w:r w:rsidR="00DA51BF" w:rsidRPr="00DB5616">
              <w:t xml:space="preserve"> str. (</w:t>
            </w:r>
            <w:r w:rsidR="00DA51BF" w:rsidRPr="001A0CAA">
              <w:t>panašus biologinis</w:t>
            </w:r>
            <w:r w:rsidR="00DA51BF" w:rsidRPr="00DB5616">
              <w:t>)</w:t>
            </w:r>
          </w:p>
          <w:p w14:paraId="6AD51C88" w14:textId="77777777" w:rsidR="00DA51BF" w:rsidRDefault="00DA51BF" w:rsidP="000E4CA1">
            <w:pPr>
              <w:jc w:val="both"/>
            </w:pPr>
          </w:p>
          <w:p w14:paraId="0CB48B97" w14:textId="77777777" w:rsidR="00DA51BF" w:rsidRPr="009300B3" w:rsidRDefault="00DA51BF" w:rsidP="000E4CA1">
            <w:pPr>
              <w:jc w:val="both"/>
              <w:rPr>
                <w:rStyle w:val="Style2"/>
                <w:sz w:val="24"/>
              </w:rPr>
            </w:pPr>
          </w:p>
        </w:tc>
      </w:tr>
      <w:tr w:rsidR="00DA51BF" w:rsidRPr="009300B3" w14:paraId="7BCBB26D" w14:textId="77777777" w:rsidTr="000E4CA1">
        <w:trPr>
          <w:trHeight w:val="1011"/>
        </w:trPr>
        <w:tc>
          <w:tcPr>
            <w:tcW w:w="632" w:type="dxa"/>
          </w:tcPr>
          <w:p w14:paraId="2E1ABD50" w14:textId="77777777" w:rsidR="00DA51BF" w:rsidRPr="009300B3" w:rsidRDefault="00DA51BF" w:rsidP="000E4CA1">
            <w:pPr>
              <w:jc w:val="both"/>
              <w:rPr>
                <w:rFonts w:eastAsia="Arial"/>
                <w:b/>
                <w:bCs/>
              </w:rPr>
            </w:pPr>
            <w:r w:rsidRPr="009300B3">
              <w:rPr>
                <w:rFonts w:eastAsia="Arial"/>
                <w:b/>
              </w:rPr>
              <w:t>1.4</w:t>
            </w:r>
          </w:p>
        </w:tc>
        <w:tc>
          <w:tcPr>
            <w:tcW w:w="3899" w:type="dxa"/>
          </w:tcPr>
          <w:p w14:paraId="52DD6A2C" w14:textId="77777777" w:rsidR="00DA51BF" w:rsidRPr="00577D0A" w:rsidRDefault="00DA51BF" w:rsidP="000E4CA1">
            <w:pPr>
              <w:tabs>
                <w:tab w:val="left" w:pos="284"/>
              </w:tabs>
              <w:spacing w:line="280" w:lineRule="atLeast"/>
              <w:jc w:val="both"/>
              <w:rPr>
                <w:b/>
                <w:bCs/>
                <w:lang w:val="en-US" w:eastAsia="lt-LT"/>
              </w:rPr>
            </w:pPr>
            <w:r w:rsidRPr="009300B3">
              <w:rPr>
                <w:b/>
                <w:bCs/>
                <w:lang w:eastAsia="lt-LT"/>
              </w:rPr>
              <w:t>Ar vaistinis preparatas įrašytas į Bendrijos retųjų vaistinių preparatų registrą?</w:t>
            </w:r>
          </w:p>
        </w:tc>
        <w:tc>
          <w:tcPr>
            <w:tcW w:w="4962" w:type="dxa"/>
          </w:tcPr>
          <w:p w14:paraId="133EF819" w14:textId="77777777" w:rsidR="00DA51BF" w:rsidRPr="009300B3" w:rsidRDefault="00000000" w:rsidP="000E4CA1">
            <w:pPr>
              <w:jc w:val="both"/>
            </w:pPr>
            <w:sdt>
              <w:sdtPr>
                <w:rPr>
                  <w:rStyle w:val="Style2"/>
                  <w:sz w:val="24"/>
                </w:rPr>
                <w:id w:val="1190730465"/>
                <w15:color w:val="FFCC00"/>
                <w14:checkbox>
                  <w14:checked w14:val="0"/>
                  <w14:checkedState w14:val="2612" w14:font="MS Gothic"/>
                  <w14:uncheckedState w14:val="2610" w14:font="MS Gothic"/>
                </w14:checkbox>
              </w:sdtPr>
              <w:sdtContent>
                <w:r w:rsidR="00DA51BF" w:rsidRPr="009300B3">
                  <w:rPr>
                    <w:rStyle w:val="Style2"/>
                    <w:rFonts w:ascii="Segoe UI Symbol" w:eastAsia="MS Gothic" w:hAnsi="Segoe UI Symbol" w:cs="Segoe UI Symbol"/>
                    <w:sz w:val="24"/>
                  </w:rPr>
                  <w:t>☐</w:t>
                </w:r>
              </w:sdtContent>
            </w:sdt>
            <w:r w:rsidR="00DA51BF" w:rsidRPr="009300B3">
              <w:t xml:space="preserve"> Taip       </w:t>
            </w:r>
            <w:r w:rsidR="00DA51BF" w:rsidRPr="009300B3">
              <w:rPr>
                <w:rStyle w:val="Style2"/>
                <w:sz w:val="24"/>
              </w:rPr>
              <w:t xml:space="preserve"> </w:t>
            </w:r>
            <w:sdt>
              <w:sdtPr>
                <w:rPr>
                  <w:rStyle w:val="Style2"/>
                  <w:sz w:val="24"/>
                </w:rPr>
                <w:id w:val="-1760283509"/>
                <w15:color w:val="FFCC00"/>
                <w14:checkbox>
                  <w14:checked w14:val="1"/>
                  <w14:checkedState w14:val="2612" w14:font="MS Gothic"/>
                  <w14:uncheckedState w14:val="2610" w14:font="MS Gothic"/>
                </w14:checkbox>
              </w:sdtPr>
              <w:sdtContent>
                <w:r w:rsidR="00DA51BF">
                  <w:rPr>
                    <w:rStyle w:val="Style2"/>
                    <w:rFonts w:ascii="MS Gothic" w:eastAsia="MS Gothic" w:hAnsi="MS Gothic" w:hint="eastAsia"/>
                    <w:sz w:val="24"/>
                  </w:rPr>
                  <w:t>☒</w:t>
                </w:r>
              </w:sdtContent>
            </w:sdt>
            <w:r w:rsidR="00DA51BF" w:rsidRPr="009300B3">
              <w:t xml:space="preserve"> Ne</w:t>
            </w:r>
          </w:p>
          <w:p w14:paraId="71C08FF3" w14:textId="77777777" w:rsidR="00DA51BF" w:rsidRPr="009300B3" w:rsidRDefault="00DA51BF" w:rsidP="000E4CA1">
            <w:pPr>
              <w:jc w:val="both"/>
            </w:pPr>
            <w:r w:rsidRPr="009300B3">
              <w:t xml:space="preserve">Data: </w:t>
            </w:r>
            <w:sdt>
              <w:sdtPr>
                <w:alias w:val="Nurodykite konkrečią dieną"/>
                <w:tag w:val="Nurodykite pradžios datą"/>
                <w:id w:val="1784158105"/>
                <w:placeholder>
                  <w:docPart w:val="3434101AB2A24837981B1F57F71B580C"/>
                </w:placeholder>
                <w:showingPlcHdr/>
                <w15:color w:val="FFCC99"/>
                <w:date w:fullDate="2022-05-18T00:00:00Z">
                  <w:dateFormat w:val="yyyy 'm.' MMMM d 'd.'"/>
                  <w:lid w:val="lt-LT"/>
                  <w:storeMappedDataAs w:val="dateTime"/>
                  <w:calendar w:val="gregorian"/>
                </w:date>
              </w:sdtPr>
              <w:sdtContent>
                <w:r w:rsidRPr="009300B3">
                  <w:rPr>
                    <w:rStyle w:val="PlaceholderText"/>
                    <w:color w:val="auto"/>
                  </w:rPr>
                  <w:t>Click here to enter a date.</w:t>
                </w:r>
              </w:sdtContent>
            </w:sdt>
          </w:p>
          <w:p w14:paraId="035F5850" w14:textId="77777777" w:rsidR="00DA51BF" w:rsidRPr="009300B3" w:rsidRDefault="00DA51BF" w:rsidP="000E4CA1">
            <w:pPr>
              <w:jc w:val="both"/>
              <w:rPr>
                <w:rFonts w:eastAsia="Arial"/>
              </w:rPr>
            </w:pPr>
            <w:r w:rsidRPr="009300B3">
              <w:t>Nr.</w:t>
            </w:r>
          </w:p>
        </w:tc>
      </w:tr>
      <w:tr w:rsidR="00DA51BF" w:rsidRPr="009300B3" w14:paraId="475040B8" w14:textId="77777777" w:rsidTr="000E4CA1">
        <w:trPr>
          <w:trHeight w:val="1011"/>
        </w:trPr>
        <w:tc>
          <w:tcPr>
            <w:tcW w:w="632" w:type="dxa"/>
          </w:tcPr>
          <w:p w14:paraId="5088F6BC" w14:textId="77777777" w:rsidR="00DA51BF" w:rsidRPr="009300B3" w:rsidRDefault="00DA51BF" w:rsidP="000E4CA1">
            <w:pPr>
              <w:jc w:val="both"/>
              <w:rPr>
                <w:rFonts w:eastAsia="Arial"/>
                <w:b/>
              </w:rPr>
            </w:pPr>
            <w:r w:rsidRPr="009300B3">
              <w:rPr>
                <w:rFonts w:eastAsia="Arial"/>
                <w:b/>
                <w:bCs/>
              </w:rPr>
              <w:t>1.5</w:t>
            </w:r>
          </w:p>
        </w:tc>
        <w:tc>
          <w:tcPr>
            <w:tcW w:w="3899" w:type="dxa"/>
          </w:tcPr>
          <w:p w14:paraId="316E5CF2" w14:textId="77777777" w:rsidR="00DA51BF" w:rsidRPr="009300B3" w:rsidRDefault="00DA51BF" w:rsidP="000E4CA1">
            <w:pPr>
              <w:tabs>
                <w:tab w:val="left" w:pos="284"/>
              </w:tabs>
              <w:spacing w:line="280" w:lineRule="atLeast"/>
              <w:jc w:val="both"/>
              <w:rPr>
                <w:b/>
                <w:bCs/>
                <w:lang w:eastAsia="lt-LT"/>
              </w:rPr>
            </w:pPr>
            <w:r w:rsidRPr="009300B3">
              <w:rPr>
                <w:b/>
                <w:bCs/>
                <w:lang w:eastAsia="lt-LT"/>
              </w:rPr>
              <w:t>Ar atliktas bendras klinikinis vertinimas</w:t>
            </w:r>
          </w:p>
          <w:p w14:paraId="71F070CD" w14:textId="77777777" w:rsidR="00DA51BF" w:rsidRPr="009300B3" w:rsidRDefault="00DA51BF" w:rsidP="000E4CA1">
            <w:pPr>
              <w:tabs>
                <w:tab w:val="left" w:pos="284"/>
              </w:tabs>
              <w:spacing w:line="280" w:lineRule="atLeast"/>
              <w:jc w:val="both"/>
              <w:rPr>
                <w:b/>
                <w:bCs/>
                <w:lang w:eastAsia="lt-LT"/>
              </w:rPr>
            </w:pPr>
            <w:r w:rsidRPr="009300B3">
              <w:rPr>
                <w:b/>
                <w:bCs/>
                <w:lang w:eastAsia="lt-LT"/>
              </w:rPr>
              <w:t>(Europos Parlamento ir Tarybos reglamentas (ES) 2021/2282)</w:t>
            </w:r>
          </w:p>
        </w:tc>
        <w:tc>
          <w:tcPr>
            <w:tcW w:w="4962" w:type="dxa"/>
          </w:tcPr>
          <w:p w14:paraId="30244DDA" w14:textId="77777777" w:rsidR="00DA51BF" w:rsidRPr="009300B3" w:rsidRDefault="00000000" w:rsidP="000E4CA1">
            <w:pPr>
              <w:jc w:val="both"/>
            </w:pPr>
            <w:sdt>
              <w:sdtPr>
                <w:rPr>
                  <w:rStyle w:val="Style2"/>
                  <w:sz w:val="24"/>
                </w:rPr>
                <w:id w:val="-1171564470"/>
                <w15:color w:val="FFCC00"/>
                <w14:checkbox>
                  <w14:checked w14:val="0"/>
                  <w14:checkedState w14:val="2612" w14:font="MS Gothic"/>
                  <w14:uncheckedState w14:val="2610" w14:font="MS Gothic"/>
                </w14:checkbox>
              </w:sdtPr>
              <w:sdtContent>
                <w:r w:rsidR="00DA51BF" w:rsidRPr="009300B3">
                  <w:rPr>
                    <w:rStyle w:val="Style2"/>
                    <w:rFonts w:ascii="Segoe UI Symbol" w:eastAsia="MS Gothic" w:hAnsi="Segoe UI Symbol" w:cs="Segoe UI Symbol"/>
                    <w:sz w:val="24"/>
                  </w:rPr>
                  <w:t>☐</w:t>
                </w:r>
              </w:sdtContent>
            </w:sdt>
            <w:r w:rsidR="00DA51BF" w:rsidRPr="009300B3">
              <w:t xml:space="preserve"> Taip       </w:t>
            </w:r>
            <w:r w:rsidR="00DA51BF" w:rsidRPr="009300B3">
              <w:rPr>
                <w:rStyle w:val="Style2"/>
                <w:sz w:val="24"/>
              </w:rPr>
              <w:t xml:space="preserve"> </w:t>
            </w:r>
            <w:sdt>
              <w:sdtPr>
                <w:rPr>
                  <w:rStyle w:val="Style2"/>
                  <w:sz w:val="24"/>
                </w:rPr>
                <w:id w:val="1448122567"/>
                <w15:color w:val="FFCC00"/>
                <w14:checkbox>
                  <w14:checked w14:val="1"/>
                  <w14:checkedState w14:val="2612" w14:font="MS Gothic"/>
                  <w14:uncheckedState w14:val="2610" w14:font="MS Gothic"/>
                </w14:checkbox>
              </w:sdtPr>
              <w:sdtContent>
                <w:r w:rsidR="00DA51BF">
                  <w:rPr>
                    <w:rStyle w:val="Style2"/>
                    <w:rFonts w:ascii="MS Gothic" w:eastAsia="MS Gothic" w:hAnsi="MS Gothic" w:hint="eastAsia"/>
                    <w:sz w:val="24"/>
                  </w:rPr>
                  <w:t>☒</w:t>
                </w:r>
              </w:sdtContent>
            </w:sdt>
            <w:r w:rsidR="00DA51BF" w:rsidRPr="009300B3">
              <w:t xml:space="preserve"> Ne</w:t>
            </w:r>
          </w:p>
          <w:p w14:paraId="7BCB74E4" w14:textId="77777777" w:rsidR="00DA51BF" w:rsidRPr="009300B3" w:rsidRDefault="00DA51BF" w:rsidP="000E4CA1">
            <w:pPr>
              <w:jc w:val="both"/>
              <w:rPr>
                <w:rStyle w:val="Style2"/>
                <w:sz w:val="24"/>
              </w:rPr>
            </w:pPr>
            <w:r w:rsidRPr="009300B3">
              <w:t xml:space="preserve">Data: </w:t>
            </w:r>
            <w:sdt>
              <w:sdtPr>
                <w:alias w:val="Nurodykite konkrečią dieną"/>
                <w:tag w:val="Nurodykite pradžios datą"/>
                <w:id w:val="1516880001"/>
                <w:placeholder>
                  <w:docPart w:val="9208CBAB9BAF45F4BC3259BE48BE75C1"/>
                </w:placeholder>
                <w:showingPlcHdr/>
                <w15:color w:val="FFCC99"/>
                <w:date w:fullDate="2022-05-18T00:00:00Z">
                  <w:dateFormat w:val="yyyy 'm.' MMMM d 'd.'"/>
                  <w:lid w:val="lt-LT"/>
                  <w:storeMappedDataAs w:val="dateTime"/>
                  <w:calendar w:val="gregorian"/>
                </w:date>
              </w:sdtPr>
              <w:sdtContent>
                <w:r w:rsidRPr="009300B3">
                  <w:rPr>
                    <w:rStyle w:val="PlaceholderText"/>
                    <w:color w:val="auto"/>
                  </w:rPr>
                  <w:t>Click here to enter a date.</w:t>
                </w:r>
              </w:sdtContent>
            </w:sdt>
            <w:r w:rsidRPr="009300B3">
              <w:t xml:space="preserve"> </w:t>
            </w:r>
          </w:p>
        </w:tc>
      </w:tr>
      <w:tr w:rsidR="00DA51BF" w:rsidRPr="009300B3" w14:paraId="57C61BC4" w14:textId="77777777" w:rsidTr="000E4CA1">
        <w:trPr>
          <w:trHeight w:val="1278"/>
        </w:trPr>
        <w:tc>
          <w:tcPr>
            <w:tcW w:w="632" w:type="dxa"/>
          </w:tcPr>
          <w:p w14:paraId="6CCFB047" w14:textId="77777777" w:rsidR="00DA51BF" w:rsidRPr="009300B3" w:rsidRDefault="00DA51BF" w:rsidP="000E4CA1">
            <w:pPr>
              <w:jc w:val="both"/>
              <w:rPr>
                <w:rFonts w:eastAsia="Arial"/>
                <w:b/>
                <w:bCs/>
              </w:rPr>
            </w:pPr>
            <w:r w:rsidRPr="009300B3">
              <w:rPr>
                <w:rFonts w:eastAsia="Arial"/>
                <w:b/>
                <w:bCs/>
              </w:rPr>
              <w:t>1.6</w:t>
            </w:r>
          </w:p>
        </w:tc>
        <w:tc>
          <w:tcPr>
            <w:tcW w:w="3899" w:type="dxa"/>
          </w:tcPr>
          <w:p w14:paraId="76AA8109" w14:textId="77777777" w:rsidR="00DA51BF" w:rsidRPr="009300B3" w:rsidRDefault="00DA51BF" w:rsidP="000E4CA1">
            <w:pPr>
              <w:jc w:val="both"/>
              <w:rPr>
                <w:b/>
                <w:bCs/>
                <w:lang w:eastAsia="lt-LT"/>
              </w:rPr>
            </w:pPr>
            <w:r w:rsidRPr="009300B3">
              <w:rPr>
                <w:b/>
                <w:bCs/>
                <w:lang w:eastAsia="lt-LT"/>
              </w:rPr>
              <w:t xml:space="preserve">Teikiama kompensuoti terapinė indikacija </w:t>
            </w:r>
          </w:p>
          <w:p w14:paraId="0625302F" w14:textId="77777777" w:rsidR="00DA51BF" w:rsidRPr="009300B3" w:rsidRDefault="00DA51BF" w:rsidP="000E4CA1">
            <w:pPr>
              <w:jc w:val="both"/>
              <w:rPr>
                <w:b/>
                <w:bCs/>
                <w:lang w:eastAsia="lt-LT"/>
              </w:rPr>
            </w:pPr>
          </w:p>
          <w:p w14:paraId="5BB61C91" w14:textId="77777777" w:rsidR="00DA51BF" w:rsidRPr="009300B3" w:rsidRDefault="00DA51BF" w:rsidP="000E4CA1">
            <w:pPr>
              <w:jc w:val="both"/>
              <w:rPr>
                <w:b/>
                <w:bCs/>
                <w:lang w:eastAsia="lt-LT"/>
              </w:rPr>
            </w:pPr>
            <w:r w:rsidRPr="009300B3">
              <w:rPr>
                <w:b/>
                <w:bCs/>
                <w:lang w:eastAsia="lt-LT"/>
              </w:rPr>
              <w:t>Kodas pagal TLK-10 AM</w:t>
            </w:r>
          </w:p>
        </w:tc>
        <w:tc>
          <w:tcPr>
            <w:tcW w:w="4962" w:type="dxa"/>
          </w:tcPr>
          <w:p w14:paraId="7472C7EE" w14:textId="77777777" w:rsidR="00DA51BF" w:rsidRPr="00F365DA" w:rsidRDefault="00DA51BF" w:rsidP="000E4CA1">
            <w:pPr>
              <w:jc w:val="both"/>
            </w:pPr>
            <w:r w:rsidRPr="00F365DA">
              <w:t>Neoadjuvantinis gydymas IMFINZI deriniu su gemcitabinu ir cisplatina, po kurio skiriamas adjuvantinis gydymas monoterapija IMFINZI, yra skirtas suaugusiesiems, sergantiems rezekuotinu raumenis infiltruojančiu šlapimo pūslės vėžiu (MIBC).</w:t>
            </w:r>
          </w:p>
          <w:p w14:paraId="726CECD2" w14:textId="77777777" w:rsidR="00DA51BF" w:rsidRPr="009300B3" w:rsidRDefault="00DA51BF" w:rsidP="000E4CA1">
            <w:pPr>
              <w:jc w:val="both"/>
            </w:pPr>
            <w:r w:rsidRPr="00F365DA">
              <w:lastRenderedPageBreak/>
              <w:t>TLK-10 AM kodas – C67.</w:t>
            </w:r>
          </w:p>
        </w:tc>
      </w:tr>
      <w:tr w:rsidR="00DA51BF" w:rsidRPr="009300B3" w14:paraId="1EFA8C00" w14:textId="77777777" w:rsidTr="000E4CA1">
        <w:trPr>
          <w:trHeight w:val="378"/>
        </w:trPr>
        <w:tc>
          <w:tcPr>
            <w:tcW w:w="632" w:type="dxa"/>
          </w:tcPr>
          <w:p w14:paraId="66240232" w14:textId="77777777" w:rsidR="00DA51BF" w:rsidRPr="009300B3" w:rsidRDefault="00DA51BF" w:rsidP="000E4CA1">
            <w:pPr>
              <w:jc w:val="both"/>
              <w:rPr>
                <w:rFonts w:eastAsia="Arial"/>
                <w:b/>
                <w:bCs/>
              </w:rPr>
            </w:pPr>
            <w:r w:rsidRPr="009300B3">
              <w:rPr>
                <w:rFonts w:eastAsia="Arial"/>
                <w:b/>
                <w:bCs/>
              </w:rPr>
              <w:lastRenderedPageBreak/>
              <w:t>1.7</w:t>
            </w:r>
          </w:p>
        </w:tc>
        <w:tc>
          <w:tcPr>
            <w:tcW w:w="3899" w:type="dxa"/>
          </w:tcPr>
          <w:p w14:paraId="0E7529C2" w14:textId="77777777" w:rsidR="00DA51BF" w:rsidRPr="009300B3" w:rsidRDefault="00DA51BF" w:rsidP="000E4CA1">
            <w:pPr>
              <w:jc w:val="both"/>
              <w:rPr>
                <w:b/>
                <w:bCs/>
                <w:u w:val="single"/>
                <w:lang w:eastAsia="lt-LT"/>
              </w:rPr>
            </w:pPr>
            <w:r w:rsidRPr="009300B3">
              <w:rPr>
                <w:b/>
                <w:bCs/>
                <w:lang w:eastAsia="lt-LT"/>
              </w:rPr>
              <w:t xml:space="preserve">Teikiamos skyrimo sąlygos </w:t>
            </w:r>
          </w:p>
        </w:tc>
        <w:tc>
          <w:tcPr>
            <w:tcW w:w="4962" w:type="dxa"/>
          </w:tcPr>
          <w:p w14:paraId="3FCFB90A" w14:textId="77777777" w:rsidR="00DA51BF" w:rsidRPr="009300B3" w:rsidRDefault="00DA51BF" w:rsidP="000E4CA1">
            <w:pPr>
              <w:jc w:val="both"/>
            </w:pPr>
            <w:r w:rsidRPr="009300B3">
              <w:t>Neteikiama</w:t>
            </w:r>
            <w:r>
              <w:t>.</w:t>
            </w:r>
          </w:p>
        </w:tc>
      </w:tr>
      <w:tr w:rsidR="00DA51BF" w:rsidRPr="009300B3" w14:paraId="26EFE9DF" w14:textId="77777777" w:rsidTr="000E4CA1">
        <w:trPr>
          <w:trHeight w:val="378"/>
        </w:trPr>
        <w:tc>
          <w:tcPr>
            <w:tcW w:w="632" w:type="dxa"/>
          </w:tcPr>
          <w:p w14:paraId="0CD9ADE6" w14:textId="77777777" w:rsidR="00DA51BF" w:rsidRPr="009300B3" w:rsidRDefault="00DA51BF" w:rsidP="000E4CA1">
            <w:pPr>
              <w:jc w:val="both"/>
              <w:rPr>
                <w:rFonts w:eastAsia="Arial"/>
                <w:b/>
                <w:bCs/>
              </w:rPr>
            </w:pPr>
            <w:r w:rsidRPr="009300B3">
              <w:rPr>
                <w:rFonts w:eastAsia="Arial"/>
                <w:b/>
                <w:bCs/>
              </w:rPr>
              <w:t>1.8</w:t>
            </w:r>
          </w:p>
        </w:tc>
        <w:tc>
          <w:tcPr>
            <w:tcW w:w="3899" w:type="dxa"/>
          </w:tcPr>
          <w:p w14:paraId="15F1187D" w14:textId="77777777" w:rsidR="00DA51BF" w:rsidRPr="009300B3" w:rsidRDefault="00DA51BF" w:rsidP="000E4CA1">
            <w:pPr>
              <w:jc w:val="both"/>
              <w:rPr>
                <w:b/>
                <w:bCs/>
                <w:lang w:eastAsia="lt-LT"/>
              </w:rPr>
            </w:pPr>
            <w:r w:rsidRPr="009300B3">
              <w:rPr>
                <w:b/>
                <w:bCs/>
                <w:lang w:eastAsia="lt-LT"/>
              </w:rPr>
              <w:t>Ekonominė analizė</w:t>
            </w:r>
          </w:p>
        </w:tc>
        <w:tc>
          <w:tcPr>
            <w:tcW w:w="4962" w:type="dxa"/>
          </w:tcPr>
          <w:p w14:paraId="5D453545" w14:textId="77777777" w:rsidR="00DA51BF" w:rsidRPr="009300B3" w:rsidRDefault="00000000" w:rsidP="000E4CA1">
            <w:pPr>
              <w:jc w:val="both"/>
            </w:pPr>
            <w:sdt>
              <w:sdtPr>
                <w:rPr>
                  <w:rStyle w:val="Style2"/>
                  <w:sz w:val="24"/>
                </w:rPr>
                <w:id w:val="356323367"/>
                <w15:color w:val="FFCC00"/>
                <w14:checkbox>
                  <w14:checked w14:val="1"/>
                  <w14:checkedState w14:val="2612" w14:font="MS Gothic"/>
                  <w14:uncheckedState w14:val="2610" w14:font="MS Gothic"/>
                </w14:checkbox>
              </w:sdtPr>
              <w:sdtContent>
                <w:r w:rsidR="00DA51BF">
                  <w:rPr>
                    <w:rStyle w:val="Style2"/>
                    <w:rFonts w:ascii="MS Gothic" w:eastAsia="MS Gothic" w:hAnsi="MS Gothic" w:hint="eastAsia"/>
                    <w:sz w:val="24"/>
                  </w:rPr>
                  <w:t>☒</w:t>
                </w:r>
              </w:sdtContent>
            </w:sdt>
            <w:r w:rsidR="00DA51BF" w:rsidRPr="009300B3">
              <w:t xml:space="preserve"> Kaštų naudingumo analizė</w:t>
            </w:r>
          </w:p>
          <w:p w14:paraId="43198B4E" w14:textId="77777777" w:rsidR="00DA51BF" w:rsidRDefault="00000000" w:rsidP="000E4CA1">
            <w:pPr>
              <w:jc w:val="both"/>
            </w:pPr>
            <w:sdt>
              <w:sdtPr>
                <w:rPr>
                  <w:rStyle w:val="Style2"/>
                  <w:sz w:val="24"/>
                </w:rPr>
                <w:id w:val="-250506580"/>
                <w15:color w:val="FFCC00"/>
                <w14:checkbox>
                  <w14:checked w14:val="0"/>
                  <w14:checkedState w14:val="2612" w14:font="MS Gothic"/>
                  <w14:uncheckedState w14:val="2610" w14:font="MS Gothic"/>
                </w14:checkbox>
              </w:sdtPr>
              <w:sdtContent>
                <w:r w:rsidR="00DA51BF" w:rsidRPr="009300B3">
                  <w:rPr>
                    <w:rStyle w:val="Style2"/>
                    <w:rFonts w:ascii="Segoe UI Symbol" w:eastAsia="MS Gothic" w:hAnsi="Segoe UI Symbol" w:cs="Segoe UI Symbol"/>
                    <w:sz w:val="24"/>
                  </w:rPr>
                  <w:t>☐</w:t>
                </w:r>
              </w:sdtContent>
            </w:sdt>
            <w:r w:rsidR="00DA51BF" w:rsidRPr="009300B3">
              <w:t xml:space="preserve"> Kaštų mažinimo analizė</w:t>
            </w:r>
          </w:p>
          <w:p w14:paraId="4602171D" w14:textId="77777777" w:rsidR="00DA51BF" w:rsidRPr="009300B3" w:rsidRDefault="00000000" w:rsidP="000E4CA1">
            <w:pPr>
              <w:jc w:val="both"/>
            </w:pPr>
            <w:sdt>
              <w:sdtPr>
                <w:rPr>
                  <w:rStyle w:val="Style2"/>
                  <w:sz w:val="24"/>
                </w:rPr>
                <w:id w:val="-1517455044"/>
                <w15:color w:val="FFCC00"/>
                <w14:checkbox>
                  <w14:checked w14:val="0"/>
                  <w14:checkedState w14:val="2612" w14:font="MS Gothic"/>
                  <w14:uncheckedState w14:val="2610" w14:font="MS Gothic"/>
                </w14:checkbox>
              </w:sdtPr>
              <w:sdtContent>
                <w:r w:rsidR="00DA51BF" w:rsidRPr="009300B3">
                  <w:rPr>
                    <w:rStyle w:val="Style2"/>
                    <w:rFonts w:ascii="Segoe UI Symbol" w:eastAsia="MS Gothic" w:hAnsi="Segoe UI Symbol" w:cs="Segoe UI Symbol"/>
                    <w:sz w:val="24"/>
                  </w:rPr>
                  <w:t>☐</w:t>
                </w:r>
              </w:sdtContent>
            </w:sdt>
            <w:r w:rsidR="00DA51BF">
              <w:t xml:space="preserve"> Neteikiama</w:t>
            </w:r>
          </w:p>
          <w:p w14:paraId="593D7CF7" w14:textId="77777777" w:rsidR="00DA51BF" w:rsidRPr="009300B3" w:rsidRDefault="00DA51BF" w:rsidP="000E4CA1">
            <w:pPr>
              <w:jc w:val="both"/>
            </w:pPr>
          </w:p>
        </w:tc>
      </w:tr>
      <w:bookmarkEnd w:id="1"/>
    </w:tbl>
    <w:p w14:paraId="5CEBD731" w14:textId="77777777" w:rsidR="00DA51BF" w:rsidRDefault="00DA51BF" w:rsidP="00DA51BF">
      <w:pPr>
        <w:tabs>
          <w:tab w:val="left" w:pos="426"/>
        </w:tabs>
        <w:jc w:val="both"/>
        <w:rPr>
          <w:rFonts w:eastAsia="Arial"/>
          <w:b/>
          <w:bCs/>
        </w:rPr>
      </w:pPr>
    </w:p>
    <w:p w14:paraId="5EAB6211" w14:textId="77777777" w:rsidR="00DA51BF" w:rsidRDefault="00DA51BF" w:rsidP="00DA51BF">
      <w:pPr>
        <w:rPr>
          <w:rFonts w:eastAsia="Arial"/>
          <w:b/>
          <w:bCs/>
        </w:rPr>
      </w:pPr>
      <w:r>
        <w:rPr>
          <w:rFonts w:eastAsia="Arial"/>
          <w:b/>
          <w:bCs/>
        </w:rPr>
        <w:br w:type="page"/>
      </w:r>
    </w:p>
    <w:p w14:paraId="528D2540" w14:textId="77777777" w:rsidR="007A2B68" w:rsidRPr="00334F18" w:rsidRDefault="007A2B68">
      <w:pPr>
        <w:rPr>
          <w:b/>
          <w:bCs/>
          <w:caps/>
        </w:rPr>
      </w:pPr>
    </w:p>
    <w:p w14:paraId="5055E8A8" w14:textId="028C0486" w:rsidR="002E6F80" w:rsidRPr="00334F18" w:rsidRDefault="001E0B2D" w:rsidP="00CC09D4">
      <w:pPr>
        <w:pStyle w:val="ListParagraph"/>
        <w:numPr>
          <w:ilvl w:val="0"/>
          <w:numId w:val="12"/>
        </w:numPr>
        <w:tabs>
          <w:tab w:val="left" w:pos="567"/>
        </w:tabs>
        <w:ind w:hanging="720"/>
        <w:rPr>
          <w:b/>
          <w:bCs/>
          <w:caps/>
        </w:rPr>
      </w:pPr>
      <w:r w:rsidRPr="00334F18">
        <w:rPr>
          <w:b/>
          <w:bCs/>
          <w:caps/>
        </w:rPr>
        <w:t xml:space="preserve"> </w:t>
      </w:r>
      <w:r w:rsidR="00CC7832" w:rsidRPr="00334F18">
        <w:rPr>
          <w:b/>
          <w:bCs/>
          <w:caps/>
        </w:rPr>
        <w:t>Klinikinio vertinimo a</w:t>
      </w:r>
      <w:r w:rsidR="00D4485B" w:rsidRPr="00334F18">
        <w:rPr>
          <w:b/>
          <w:bCs/>
          <w:caps/>
        </w:rPr>
        <w:t>pibendrinimas</w:t>
      </w:r>
    </w:p>
    <w:p w14:paraId="429969B4" w14:textId="77777777" w:rsidR="00EB3D2A" w:rsidRDefault="00EB3D2A" w:rsidP="00D12869">
      <w:pPr>
        <w:tabs>
          <w:tab w:val="left" w:pos="284"/>
        </w:tabs>
        <w:rPr>
          <w:i/>
        </w:rPr>
      </w:pPr>
    </w:p>
    <w:p w14:paraId="41FCADE7" w14:textId="77777777" w:rsidR="00DA51BF" w:rsidRPr="008C0869" w:rsidRDefault="00EB3D2A" w:rsidP="00DA51BF">
      <w:pPr>
        <w:tabs>
          <w:tab w:val="left" w:pos="426"/>
        </w:tabs>
        <w:spacing w:line="276" w:lineRule="auto"/>
        <w:jc w:val="both"/>
        <w:rPr>
          <w:iCs/>
        </w:rPr>
      </w:pPr>
      <w:r>
        <w:rPr>
          <w:bCs/>
          <w:lang w:eastAsia="lt-LT"/>
        </w:rPr>
        <w:tab/>
      </w:r>
      <w:r w:rsidR="00DA51BF">
        <w:rPr>
          <w:iCs/>
        </w:rPr>
        <w:t>Šlapimo pūslės vėžys – dešimtas dažniausias onkologinis susirgimas pasaulyje. Dažniausia histologinė forma – urotelio karcinoma (sudaro apie 90% visų atvejų), plokščiųjų ar smulkiųjų ląstelių karcinoma, adenokarcinoma nustatomos rečiau.  Išskiriamos trys klinikinės ligos stadijos: raumeninį sluoksnį neinfiltruojantis navikas, infiltruojantis navikas ir lokaliai išplitusi ar metastazavusi liga.</w:t>
      </w:r>
    </w:p>
    <w:p w14:paraId="15A85854" w14:textId="77777777" w:rsidR="00DA51BF" w:rsidRDefault="00DA51BF" w:rsidP="00DA51BF">
      <w:pPr>
        <w:tabs>
          <w:tab w:val="left" w:pos="426"/>
        </w:tabs>
        <w:spacing w:line="276" w:lineRule="auto"/>
        <w:jc w:val="both"/>
        <w:rPr>
          <w:rFonts w:eastAsia="Arial"/>
          <w:iCs/>
        </w:rPr>
      </w:pPr>
      <w:r>
        <w:tab/>
      </w:r>
      <w:r>
        <w:tab/>
      </w:r>
      <w:r w:rsidRPr="004E457A">
        <w:t>202</w:t>
      </w:r>
      <w:r>
        <w:t>0</w:t>
      </w:r>
      <w:r w:rsidRPr="004E457A">
        <w:t xml:space="preserve"> m. ESMO (angl. </w:t>
      </w:r>
      <w:r w:rsidRPr="004E457A">
        <w:rPr>
          <w:i/>
          <w:iCs/>
        </w:rPr>
        <w:t xml:space="preserve">European Society of Medical </w:t>
      </w:r>
      <w:r w:rsidRPr="004E457A">
        <w:t xml:space="preserve">Oncology) </w:t>
      </w:r>
      <w:r>
        <w:t>šlapimo pūslės</w:t>
      </w:r>
      <w:r w:rsidRPr="004E457A">
        <w:t xml:space="preserve"> vėžio diagnostikos ir gydymo gairėse </w:t>
      </w:r>
      <w:r>
        <w:t>gydymo taktika priklauso nuo klinikinės ligos stadijos.</w:t>
      </w:r>
      <w:r w:rsidRPr="00497876">
        <w:rPr>
          <w:rFonts w:eastAsia="Arial"/>
          <w:iCs/>
        </w:rPr>
        <w:t xml:space="preserve"> </w:t>
      </w:r>
      <w:r>
        <w:rPr>
          <w:rFonts w:eastAsia="Arial"/>
          <w:iCs/>
        </w:rPr>
        <w:t>Raumeninį šlapimo pūslės sluoksnį neinfiltruojantys navikai gydomi priklausomai nuo rizikos grupės: mažos rizikos navikams rekomenduojama stebėjimo taktika atliekant periodines cistoskopijas, tarpinės ir didelės rizikos navikams – intravezikinės instiliacijos (12 – 36 mėn.) ir periodinės cistoskopijos, itin didelės rizikos navikams siūloma apsvarstyti radikalią cistektomiją.</w:t>
      </w:r>
    </w:p>
    <w:p w14:paraId="76514715" w14:textId="77777777" w:rsidR="00DA51BF" w:rsidRPr="0084747F" w:rsidRDefault="00DA51BF" w:rsidP="00DA51BF">
      <w:pPr>
        <w:tabs>
          <w:tab w:val="left" w:pos="426"/>
        </w:tabs>
        <w:spacing w:line="276" w:lineRule="auto"/>
        <w:jc w:val="both"/>
        <w:rPr>
          <w:rFonts w:eastAsia="Arial"/>
          <w:iCs/>
        </w:rPr>
      </w:pPr>
      <w:r>
        <w:rPr>
          <w:rFonts w:eastAsia="Arial"/>
          <w:iCs/>
        </w:rPr>
        <w:tab/>
      </w:r>
      <w:r>
        <w:rPr>
          <w:rFonts w:eastAsia="Arial"/>
          <w:iCs/>
        </w:rPr>
        <w:tab/>
        <w:t>Raumeninį šlapimo pūslės sluoksnį infiltruojantys navikai (toliau – MIBC) gydomi atliekant radikalią cistektomiją su arba be mažojo dubens limfadektomijos. Geros funkcinės būklės pacientams prieš operaciją skiriamą neoadjuvantinė chemoterapija cisplatinos pagrindus (3-4 kursai). Išplitusios ar metastazavusios ligos atveju priklausomai nuo PD-L1 raiškos siūloma skirti chemoterapiją platinos pagrindu arba imunoterapiją.</w:t>
      </w:r>
    </w:p>
    <w:p w14:paraId="2720F627" w14:textId="77777777" w:rsidR="00DA51BF" w:rsidRDefault="00DA51BF" w:rsidP="00DA51BF">
      <w:pPr>
        <w:tabs>
          <w:tab w:val="left" w:pos="426"/>
        </w:tabs>
        <w:spacing w:line="276" w:lineRule="auto"/>
        <w:jc w:val="both"/>
      </w:pPr>
      <w:r>
        <w:rPr>
          <w:rFonts w:eastAsia="Arial"/>
          <w:iCs/>
        </w:rPr>
        <w:tab/>
      </w:r>
      <w:r>
        <w:rPr>
          <w:rFonts w:eastAsia="Arial"/>
          <w:iCs/>
        </w:rPr>
        <w:tab/>
      </w:r>
      <w:r>
        <w:t xml:space="preserve">Pareiškėjas siūlo, jog durvalumabas šiuo metu Lietuvoje kompensuojamoje ir įrodymus atitinkančioje gydymo schemoje turėtų papildyti neoadjuvantinį </w:t>
      </w:r>
      <w:r w:rsidRPr="00212419">
        <w:t>gydymą cisplatina ir gemcitabinu</w:t>
      </w:r>
      <w:r>
        <w:t xml:space="preserve"> ir būti pirmasis vaistinis preparatas skiriamas adjuvantiniam gydymui po radikalios cistektomijos. Cisplatinos</w:t>
      </w:r>
      <w:r w:rsidRPr="00127956">
        <w:t xml:space="preserve"> ir </w:t>
      </w:r>
      <w:r>
        <w:t>gemcitabino</w:t>
      </w:r>
      <w:r w:rsidRPr="00127956">
        <w:t xml:space="preserve"> deriniu</w:t>
      </w:r>
      <w:r>
        <w:t xml:space="preserve"> iki operacinio gydymo ir stebėjimo taktika po operacinio gydymo įvertintas kaip tinkamas palyginamasis gydymas, tai patvirtino </w:t>
      </w:r>
      <w:r w:rsidRPr="00D344BB">
        <w:t>Lietuvoje onkologinių ligų gydyme besispecializuojantis specialistas</w:t>
      </w:r>
      <w:r>
        <w:t>.</w:t>
      </w:r>
    </w:p>
    <w:p w14:paraId="36900405" w14:textId="77777777" w:rsidR="00DA51BF" w:rsidRDefault="00DA51BF" w:rsidP="00DA51BF">
      <w:pPr>
        <w:tabs>
          <w:tab w:val="left" w:pos="426"/>
        </w:tabs>
        <w:spacing w:line="276" w:lineRule="auto"/>
        <w:jc w:val="both"/>
        <w:rPr>
          <w:rFonts w:eastAsia="Arial"/>
          <w:iCs/>
          <w:highlight w:val="yellow"/>
        </w:rPr>
      </w:pPr>
    </w:p>
    <w:p w14:paraId="4DF70317" w14:textId="77777777" w:rsidR="00DA51BF" w:rsidRDefault="00DA51BF" w:rsidP="00DA51BF">
      <w:pPr>
        <w:widowControl w:val="0"/>
        <w:jc w:val="both"/>
        <w:rPr>
          <w:bCs/>
          <w:i/>
          <w:iCs/>
          <w:color w:val="000000"/>
          <w:lang w:eastAsia="lt-LT"/>
        </w:rPr>
      </w:pPr>
      <w:r>
        <w:rPr>
          <w:bCs/>
          <w:i/>
          <w:iCs/>
          <w:color w:val="000000"/>
          <w:lang w:eastAsia="lt-LT"/>
        </w:rPr>
        <w:t>Tiesioginis palyginimas</w:t>
      </w:r>
    </w:p>
    <w:p w14:paraId="183E69F1" w14:textId="77777777" w:rsidR="00DA51BF" w:rsidRDefault="00DA51BF" w:rsidP="00DA51BF">
      <w:pPr>
        <w:widowControl w:val="0"/>
        <w:jc w:val="both"/>
        <w:rPr>
          <w:bCs/>
          <w:i/>
          <w:iCs/>
          <w:color w:val="000000"/>
          <w:highlight w:val="yellow"/>
          <w:lang w:eastAsia="lt-LT"/>
        </w:rPr>
      </w:pPr>
    </w:p>
    <w:p w14:paraId="2D72FB33" w14:textId="77777777" w:rsidR="00DA51BF" w:rsidRDefault="00DA51BF" w:rsidP="00DA51BF">
      <w:pPr>
        <w:widowControl w:val="0"/>
        <w:spacing w:line="276" w:lineRule="auto"/>
        <w:ind w:firstLine="720"/>
        <w:jc w:val="both"/>
        <w:rPr>
          <w:rFonts w:eastAsia="Arial"/>
          <w:bCs/>
        </w:rPr>
      </w:pPr>
      <w:r>
        <w:rPr>
          <w:bCs/>
          <w:color w:val="000000"/>
          <w:lang w:eastAsia="lt-LT"/>
        </w:rPr>
        <w:t xml:space="preserve">Palyginamasis veiksmingumas grindžiamas klinikinio tyrimo NIAGARA duomenimis. Jame įrodyta, jog 18 metų ir vyresniems geros funkcinės būklės (ECOG 0 arba 1) pacientams, kuriems </w:t>
      </w:r>
      <w:r>
        <w:rPr>
          <w:rFonts w:eastAsia="Arial"/>
          <w:bCs/>
        </w:rPr>
        <w:t xml:space="preserve">nustatyta anksčiau negydyta </w:t>
      </w:r>
      <w:r>
        <w:rPr>
          <w:bCs/>
        </w:rPr>
        <w:t>rezekuotina urotelio karcinoma, neoadjuvantinės chemoterapijos papildymas durvalumabu ir adjuvantinis gydymas durvalumabu (D+Chemo grupė)</w:t>
      </w:r>
      <w:r>
        <w:rPr>
          <w:rFonts w:eastAsia="Arial"/>
          <w:bCs/>
        </w:rPr>
        <w:t xml:space="preserve"> ITT populiacijoje 30% (RS 1,30; 95% PI 1,09 – 1,56; p=0,004) padidino tikimybę gauti pilną gydymo atsaką, lyginant su  </w:t>
      </w:r>
      <w:r>
        <w:rPr>
          <w:rFonts w:eastAsia="Arial"/>
        </w:rPr>
        <w:t xml:space="preserve"> kontroline grupe</w:t>
      </w:r>
      <w:r>
        <w:rPr>
          <w:rFonts w:eastAsia="Arial"/>
          <w:bCs/>
        </w:rPr>
        <w:t xml:space="preserve"> (gydymas cisplatinos ir gemcitabino deriniu; Chemo grupė). Ligos progresavimo, ligos atsinaujinimo ar mirties nuo bet kokios priežasties rizika D+Chemo grupėje buvo 32% mažesnė (RS 0,68; 95% PI 0,56 – 0,82; p &lt; 0,001; 2 pav.), lyginant su Chemo grupe. Panašios tendencijos išliko ir iš anksto numatytuose pacientų pogrupiuose.</w:t>
      </w:r>
    </w:p>
    <w:p w14:paraId="2F1B934B" w14:textId="77777777" w:rsidR="00DA51BF" w:rsidRPr="00053A1E" w:rsidRDefault="00DA51BF" w:rsidP="00DA51BF">
      <w:pPr>
        <w:widowControl w:val="0"/>
        <w:spacing w:line="276" w:lineRule="auto"/>
        <w:ind w:firstLine="720"/>
        <w:jc w:val="both"/>
        <w:rPr>
          <w:rFonts w:eastAsia="Arial"/>
          <w:bCs/>
          <w:highlight w:val="yellow"/>
        </w:rPr>
      </w:pPr>
      <w:r>
        <w:rPr>
          <w:rFonts w:eastAsia="Arial"/>
          <w:bCs/>
        </w:rPr>
        <w:t xml:space="preserve">Vertinant pacientų </w:t>
      </w:r>
      <w:r>
        <w:rPr>
          <w:rFonts w:eastAsia="Arial"/>
        </w:rPr>
        <w:t>bendrą išgyvenamumą</w:t>
      </w:r>
      <w:r>
        <w:rPr>
          <w:rFonts w:eastAsia="Arial"/>
          <w:bCs/>
        </w:rPr>
        <w:t xml:space="preserve"> ITT populiacijoje, mirties nuo bet kokios priežasties rizika D+Chemo grupėje metu buvo 25% mažesnė (RS 0,75; 95% PI 0,59 – 0,93; p=</w:t>
      </w:r>
      <w:r>
        <w:rPr>
          <w:rFonts w:eastAsia="Arial"/>
          <w:bCs/>
        </w:rPr>
        <w:softHyphen/>
        <w:t>0,01), lyginant su Chemo grupe. Panašios tendencijos išliko ir iš anksto numatytuose pacientų pogrupiuose.</w:t>
      </w:r>
    </w:p>
    <w:p w14:paraId="4FEE6DD3" w14:textId="77777777" w:rsidR="00DA51BF" w:rsidRDefault="00DA51BF" w:rsidP="00DA51BF">
      <w:pPr>
        <w:tabs>
          <w:tab w:val="left" w:pos="492"/>
        </w:tabs>
        <w:spacing w:line="276" w:lineRule="auto"/>
        <w:jc w:val="both"/>
        <w:outlineLvl w:val="1"/>
        <w:rPr>
          <w:rFonts w:eastAsia="Arial"/>
          <w:bCs/>
        </w:rPr>
      </w:pPr>
      <w:r>
        <w:rPr>
          <w:rFonts w:eastAsia="Arial"/>
          <w:bCs/>
        </w:rPr>
        <w:tab/>
      </w:r>
      <w:r>
        <w:rPr>
          <w:rFonts w:eastAsia="Arial"/>
          <w:bCs/>
        </w:rPr>
        <w:tab/>
      </w:r>
      <w:r>
        <w:rPr>
          <w:rFonts w:eastAsia="Arial"/>
          <w:iCs/>
        </w:rPr>
        <w:t xml:space="preserve">Pacientų gyvenimo kokybė ir funkcinės būklės rodikliai tarp tiriamųjų grupių iš esmės nesiskyrė. </w:t>
      </w:r>
      <w:r>
        <w:rPr>
          <w:iCs/>
        </w:rPr>
        <w:t>Reikšmingų</w:t>
      </w:r>
      <w:r>
        <w:rPr>
          <w:bCs/>
          <w:iCs/>
          <w:lang w:eastAsia="lt-LT"/>
        </w:rPr>
        <w:t xml:space="preserve"> saugumo problemų ar įvykių nenustatyta</w:t>
      </w:r>
      <w:r>
        <w:rPr>
          <w:bCs/>
          <w:color w:val="000000"/>
          <w:lang w:eastAsia="lt-LT"/>
        </w:rPr>
        <w:t>.</w:t>
      </w:r>
    </w:p>
    <w:p w14:paraId="08F81FBB" w14:textId="77777777" w:rsidR="00DA51BF" w:rsidRDefault="00DA51BF" w:rsidP="00DA51BF">
      <w:pPr>
        <w:widowControl w:val="0"/>
        <w:spacing w:line="276" w:lineRule="auto"/>
        <w:ind w:firstLine="720"/>
        <w:jc w:val="both"/>
        <w:rPr>
          <w:rFonts w:eastAsia="Arial"/>
          <w:bCs/>
        </w:rPr>
      </w:pPr>
      <w:r>
        <w:rPr>
          <w:rFonts w:eastAsia="Arial"/>
          <w:bCs/>
        </w:rPr>
        <w:t xml:space="preserve">Apibendrinant pateiktus duomenis, </w:t>
      </w:r>
      <w:r>
        <w:rPr>
          <w:rFonts w:eastAsia="Arial"/>
        </w:rPr>
        <w:t xml:space="preserve">NIAGARA tyrimo duomenų pakanka įrodyti didesnę </w:t>
      </w:r>
      <w:r>
        <w:rPr>
          <w:lang w:eastAsia="lt-LT"/>
        </w:rPr>
        <w:t xml:space="preserve">pirmos eilės neoadjuvantinio gydymo – </w:t>
      </w:r>
      <w:r>
        <w:rPr>
          <w:rFonts w:eastAsia="Arial"/>
          <w:bCs/>
        </w:rPr>
        <w:t>cisplatinos ir gemcitabino derinio – papildymo</w:t>
      </w:r>
      <w:r>
        <w:rPr>
          <w:rFonts w:eastAsia="Arial"/>
        </w:rPr>
        <w:t xml:space="preserve"> durvalumabu ir adjuvantinio gydymo durvalumabu naudą gydant pacientus, kuriems nustatyta anksčiau negydyta rezekuotina </w:t>
      </w:r>
      <w:r w:rsidRPr="008F5E06">
        <w:rPr>
          <w:bCs/>
          <w:lang w:eastAsia="lt-LT"/>
        </w:rPr>
        <w:t>raumenis infiltruojan</w:t>
      </w:r>
      <w:r>
        <w:rPr>
          <w:bCs/>
          <w:lang w:eastAsia="lt-LT"/>
        </w:rPr>
        <w:t>ti</w:t>
      </w:r>
      <w:r w:rsidRPr="008F5E06">
        <w:rPr>
          <w:bCs/>
          <w:lang w:eastAsia="lt-LT"/>
        </w:rPr>
        <w:t xml:space="preserve"> urotelio karcinom</w:t>
      </w:r>
      <w:r>
        <w:rPr>
          <w:bCs/>
          <w:lang w:eastAsia="lt-LT"/>
        </w:rPr>
        <w:t>a</w:t>
      </w:r>
      <w:r>
        <w:rPr>
          <w:rFonts w:eastAsia="Arial"/>
        </w:rPr>
        <w:t>, lyginant su chemoterapija. Dėl šios priežasties</w:t>
      </w:r>
      <w:r>
        <w:rPr>
          <w:rFonts w:eastAsia="Arial"/>
          <w:bCs/>
        </w:rPr>
        <w:t xml:space="preserve"> durvalumabo, gemcitabino ir cisplatinos derinio (neoadjuvantiniam gydymui) ir durvalumabo </w:t>
      </w:r>
      <w:r>
        <w:rPr>
          <w:rFonts w:eastAsia="Arial"/>
          <w:bCs/>
        </w:rPr>
        <w:lastRenderedPageBreak/>
        <w:t>monoterapijos (adjuvantiniam gydymui) palyginamasis veiksmingumas vertinamas kaip didesnis, palyginus su įprasta klinikine praktika.</w:t>
      </w:r>
    </w:p>
    <w:p w14:paraId="475EAF84" w14:textId="31E607E0" w:rsidR="00EB3D2A" w:rsidRPr="00EB3D2A" w:rsidRDefault="00EB3D2A" w:rsidP="00DA51BF">
      <w:pPr>
        <w:tabs>
          <w:tab w:val="left" w:pos="567"/>
        </w:tabs>
        <w:spacing w:line="360" w:lineRule="auto"/>
        <w:jc w:val="both"/>
        <w:rPr>
          <w:bCs/>
          <w:iCs/>
          <w:caps/>
        </w:rPr>
      </w:pPr>
    </w:p>
    <w:p w14:paraId="7DE09EB5" w14:textId="69E9DD74" w:rsidR="00E03C3F" w:rsidRPr="00334F18" w:rsidRDefault="00CC7832" w:rsidP="00CC09D4">
      <w:pPr>
        <w:pStyle w:val="ListParagraph"/>
        <w:numPr>
          <w:ilvl w:val="0"/>
          <w:numId w:val="12"/>
        </w:numPr>
        <w:tabs>
          <w:tab w:val="left" w:pos="567"/>
        </w:tabs>
        <w:ind w:hanging="720"/>
        <w:rPr>
          <w:b/>
          <w:bCs/>
          <w:caps/>
        </w:rPr>
      </w:pPr>
      <w:r w:rsidRPr="00334F18">
        <w:rPr>
          <w:b/>
          <w:bCs/>
          <w:caps/>
        </w:rPr>
        <w:t xml:space="preserve">ekonominio vertinimo </w:t>
      </w:r>
      <w:r w:rsidR="002F0E4F" w:rsidRPr="00334F18">
        <w:rPr>
          <w:b/>
          <w:bCs/>
          <w:caps/>
        </w:rPr>
        <w:t>apibendrinimas</w:t>
      </w:r>
    </w:p>
    <w:p w14:paraId="1A900598" w14:textId="4826E5DF" w:rsidR="00C62B36" w:rsidRDefault="00C62B36" w:rsidP="00A93AA6">
      <w:pPr>
        <w:tabs>
          <w:tab w:val="left" w:pos="426"/>
        </w:tabs>
        <w:rPr>
          <w:i/>
        </w:rPr>
      </w:pPr>
    </w:p>
    <w:p w14:paraId="58570216" w14:textId="77777777" w:rsidR="00DA51BF" w:rsidRDefault="00DA51BF" w:rsidP="00DA51BF">
      <w:pPr>
        <w:shd w:val="clear" w:color="auto" w:fill="FFFFFF"/>
        <w:spacing w:line="276" w:lineRule="auto"/>
        <w:jc w:val="both"/>
        <w:rPr>
          <w:rFonts w:eastAsia="Arial"/>
          <w:bCs/>
        </w:rPr>
      </w:pPr>
      <w:r>
        <w:rPr>
          <w:rFonts w:eastAsia="Arial"/>
          <w:bCs/>
        </w:rPr>
        <w:t xml:space="preserve">Vertinimui pateikta kaštų naudingumo analizė, kurioje nagrinėjamas durvalumabo kaštų naudingumas. Nagrinėjami pacientai kuriems durvalumabas skiriamas kartu su gemcitabinu ir cisplatina kaip neoadjuvantinis gydymas, po kurio skiriamas adjuvantinis gydymas monoterapija durvalumabo, kuris yra skiriamas suaugusiems, sergantiems rezektuotiniu raumenis infiltruojančiu šlapimo pūslės vėžiu (MIBC). Palyginamajam gydymui naudojamas gemcitabino ir cisplatinos derinys atitinka įprastą Lietuvos klinikinę praktiką, bei taikomų vaistų dozavimas atitinka preparatų charakteristikų santraukas. </w:t>
      </w:r>
    </w:p>
    <w:p w14:paraId="1CF7F1E4" w14:textId="77777777" w:rsidR="00DA51BF" w:rsidRDefault="00DA51BF" w:rsidP="00DA51BF">
      <w:pPr>
        <w:shd w:val="clear" w:color="auto" w:fill="FFFFFF"/>
        <w:spacing w:line="276" w:lineRule="auto"/>
        <w:jc w:val="both"/>
        <w:rPr>
          <w:rFonts w:eastAsia="Arial"/>
          <w:bCs/>
        </w:rPr>
      </w:pPr>
    </w:p>
    <w:p w14:paraId="6F0780E1" w14:textId="3D67BD4C" w:rsidR="00DA51BF" w:rsidRDefault="00DA51BF" w:rsidP="00DA51BF">
      <w:pPr>
        <w:shd w:val="clear" w:color="auto" w:fill="FFFFFF"/>
        <w:spacing w:line="276" w:lineRule="auto"/>
        <w:jc w:val="both"/>
        <w:rPr>
          <w:rFonts w:eastAsia="Arial"/>
          <w:bCs/>
        </w:rPr>
      </w:pPr>
      <w:r>
        <w:rPr>
          <w:rFonts w:eastAsia="Arial"/>
          <w:bCs/>
        </w:rPr>
        <w:t xml:space="preserve">Analizėje taikoma </w:t>
      </w:r>
      <w:r w:rsidR="00BB241A">
        <w:rPr>
          <w:rFonts w:eastAsia="Arial"/>
          <w:bCs/>
        </w:rPr>
        <w:t>***</w:t>
      </w:r>
      <w:r>
        <w:rPr>
          <w:rFonts w:eastAsia="Arial"/>
          <w:bCs/>
        </w:rPr>
        <w:t xml:space="preserve"> laiko perspektyva ir analizė atliekama iš PSDF biudžeto perspektyvos. Tarnybos nuomone ši perspektyva yra per ilga, todėl bazinio atvejo analizei, tarnyba naudoja </w:t>
      </w:r>
      <w:r w:rsidR="00BB241A">
        <w:rPr>
          <w:rFonts w:eastAsia="Arial"/>
          <w:bCs/>
        </w:rPr>
        <w:t>***</w:t>
      </w:r>
      <w:r>
        <w:rPr>
          <w:rFonts w:eastAsia="Arial"/>
          <w:bCs/>
        </w:rPr>
        <w:t xml:space="preserve"> metų laiko perspektyvą, atsižvelgiant į Lietuvos pacientų išgyvenamumą ir siekiant konservatyvaus analizės rezultato. </w:t>
      </w:r>
    </w:p>
    <w:p w14:paraId="0DE83BC4" w14:textId="77777777" w:rsidR="00DA51BF" w:rsidRDefault="00DA51BF" w:rsidP="00DA51BF">
      <w:pPr>
        <w:shd w:val="clear" w:color="auto" w:fill="FFFFFF"/>
        <w:spacing w:line="276" w:lineRule="auto"/>
        <w:jc w:val="both"/>
        <w:rPr>
          <w:rFonts w:eastAsia="Arial"/>
          <w:bCs/>
        </w:rPr>
      </w:pPr>
    </w:p>
    <w:p w14:paraId="214983C7" w14:textId="6BDD1C30" w:rsidR="00DA51BF" w:rsidRDefault="00DA51BF" w:rsidP="00DA51BF">
      <w:pPr>
        <w:shd w:val="clear" w:color="auto" w:fill="FFFFFF"/>
        <w:spacing w:line="276" w:lineRule="auto"/>
        <w:jc w:val="both"/>
        <w:rPr>
          <w:rFonts w:eastAsia="Arial"/>
          <w:bCs/>
        </w:rPr>
      </w:pPr>
      <w:r>
        <w:rPr>
          <w:rFonts w:eastAsia="Arial"/>
          <w:bCs/>
        </w:rPr>
        <w:t xml:space="preserve">Analizėje taikomas pusiau Markovo modelis, apimantis tris tarpusavyje nesuderinamas sveikatos būsenas, atspindinčia ligos eigą ir išgyvenamumą tarp MIBC pacientų. Modelį sudaro trys būsenos – ER, RD, bei absorbuojanti mirties būsena. Ekonominėje analizėje naudojami klinikiniai duomenys sutampa su klinikinėje vertinimo dalyje naudotais duomenimis. Analizė yra grindžiama NIAGARA tyrimo duomenimis. Tarnyba vertina, jog pasirenkant parametrines funkcijas bazinio atvejo analizei pareiškėjas kai kuriais atvejais renkasi optimistines kreives, kurios ne visuomet statistiškai geriausiai atitinka Kaplano-Mėjerio kreivę. Taigi pagrindinio atvejo analizėje Tarnyba taiko šias kreives – TTR (SoC grupėje – </w:t>
      </w:r>
      <w:r w:rsidR="00BB241A">
        <w:rPr>
          <w:rFonts w:eastAsia="Arial"/>
          <w:bCs/>
        </w:rPr>
        <w:t>***</w:t>
      </w:r>
      <w:r>
        <w:rPr>
          <w:rFonts w:eastAsia="Arial"/>
          <w:bCs/>
        </w:rPr>
        <w:t>, durvalumabo grupėje –</w:t>
      </w:r>
      <w:r w:rsidR="00BB241A">
        <w:rPr>
          <w:rFonts w:eastAsia="Arial"/>
          <w:bCs/>
        </w:rPr>
        <w:t>***</w:t>
      </w:r>
      <w:r>
        <w:rPr>
          <w:rFonts w:eastAsia="Arial"/>
          <w:bCs/>
        </w:rPr>
        <w:t xml:space="preserve">), TTD (SoC grupėje – </w:t>
      </w:r>
      <w:r w:rsidR="00BB241A">
        <w:rPr>
          <w:rFonts w:eastAsia="Arial"/>
          <w:bCs/>
        </w:rPr>
        <w:t>***</w:t>
      </w:r>
      <w:r>
        <w:rPr>
          <w:rFonts w:eastAsia="Arial"/>
          <w:bCs/>
        </w:rPr>
        <w:t>, durvalumabo grupėje –</w:t>
      </w:r>
      <w:r w:rsidR="00BB241A">
        <w:rPr>
          <w:rFonts w:eastAsia="Arial"/>
          <w:bCs/>
        </w:rPr>
        <w:t>***</w:t>
      </w:r>
      <w:r>
        <w:rPr>
          <w:rFonts w:eastAsia="Arial"/>
          <w:bCs/>
        </w:rPr>
        <w:t xml:space="preserve">), PRS (SoC grupėje – </w:t>
      </w:r>
      <w:r w:rsidR="00BB241A">
        <w:rPr>
          <w:rFonts w:eastAsia="Arial"/>
          <w:bCs/>
        </w:rPr>
        <w:t>***</w:t>
      </w:r>
      <w:r>
        <w:rPr>
          <w:rFonts w:eastAsia="Arial"/>
          <w:bCs/>
        </w:rPr>
        <w:t xml:space="preserve">, durvalumabo grupėje – </w:t>
      </w:r>
      <w:r w:rsidR="00BB241A">
        <w:rPr>
          <w:rFonts w:eastAsia="Arial"/>
          <w:bCs/>
        </w:rPr>
        <w:t>***</w:t>
      </w:r>
      <w:r>
        <w:rPr>
          <w:rFonts w:eastAsia="Arial"/>
          <w:bCs/>
        </w:rPr>
        <w:t xml:space="preserve">). Šios funkcijos buvo pasirinktos pagal AIC/BIC įverčius. </w:t>
      </w:r>
    </w:p>
    <w:p w14:paraId="1C513E44" w14:textId="77777777" w:rsidR="00DA51BF" w:rsidRDefault="00DA51BF" w:rsidP="00DA51BF">
      <w:pPr>
        <w:shd w:val="clear" w:color="auto" w:fill="FFFFFF"/>
        <w:spacing w:line="276" w:lineRule="auto"/>
        <w:jc w:val="both"/>
        <w:rPr>
          <w:rFonts w:eastAsia="Arial"/>
          <w:bCs/>
        </w:rPr>
      </w:pPr>
    </w:p>
    <w:p w14:paraId="73CE696D" w14:textId="77777777" w:rsidR="00DA51BF" w:rsidRDefault="00DA51BF" w:rsidP="00DA51BF">
      <w:pPr>
        <w:shd w:val="clear" w:color="auto" w:fill="FFFFFF"/>
        <w:spacing w:line="276" w:lineRule="auto"/>
        <w:jc w:val="both"/>
        <w:rPr>
          <w:rFonts w:eastAsia="Arial"/>
          <w:bCs/>
        </w:rPr>
      </w:pPr>
      <w:r>
        <w:rPr>
          <w:rFonts w:eastAsia="Arial"/>
          <w:bCs/>
        </w:rPr>
        <w:t>Analizėje naudojami gyvenimo kokybės įverčiai yra grindžiami NIAGARA tyrimo duomenimis, pagal pacientų pildytą EQ-5D-5L klausimyną. Su nepageidaujamu poveikiu susiję gyvenimo kokybės įverčiai buvo naudojami iš literatūros šaltinių. Taip pat, pareiškėjas taikė su amžiumi susijusius gyvenimo kokybės įverčius. Tarnyba laiko, kad pareiškėjo taikomos prielaidos apskaičiuojant gyvenimo kokybės įverčius yra tinkamos analizės rezultato apskaičiavimui.</w:t>
      </w:r>
    </w:p>
    <w:p w14:paraId="50AF79AD" w14:textId="77777777" w:rsidR="00DA51BF" w:rsidRDefault="00DA51BF" w:rsidP="00DA51BF">
      <w:pPr>
        <w:shd w:val="clear" w:color="auto" w:fill="FFFFFF"/>
        <w:spacing w:line="276" w:lineRule="auto"/>
        <w:jc w:val="both"/>
        <w:rPr>
          <w:rFonts w:eastAsia="Arial"/>
          <w:bCs/>
        </w:rPr>
      </w:pPr>
    </w:p>
    <w:p w14:paraId="76DBBE15" w14:textId="77777777" w:rsidR="00DA51BF" w:rsidRDefault="00DA51BF" w:rsidP="00DA51BF">
      <w:pPr>
        <w:shd w:val="clear" w:color="auto" w:fill="FFFFFF"/>
        <w:spacing w:line="276" w:lineRule="auto"/>
        <w:jc w:val="both"/>
        <w:rPr>
          <w:rFonts w:eastAsia="Arial"/>
          <w:bCs/>
        </w:rPr>
      </w:pPr>
      <w:r>
        <w:rPr>
          <w:rFonts w:eastAsia="Arial"/>
          <w:bCs/>
        </w:rPr>
        <w:t xml:space="preserve">Siekiant pateikti konservatyvesnį analizės rezultatą, atsižvelgiant į tai, jog nėra žinoma koks RDI būtų Lietuvos pacientų populiacijoje, bei siekdama vienodumo su ankstesniais vertinimais, Tarnyba taiko prielaidą, jog abiejose gydymo grupėse yra taikoma 100 proc. RDI. Taip pat, buvo atnaujinti visi kaštai pagal 2026 metų kainyno duomenis. </w:t>
      </w:r>
    </w:p>
    <w:p w14:paraId="67181C78" w14:textId="77777777" w:rsidR="00DA51BF" w:rsidRDefault="00DA51BF" w:rsidP="00DA51BF">
      <w:pPr>
        <w:shd w:val="clear" w:color="auto" w:fill="FFFFFF"/>
        <w:spacing w:line="276" w:lineRule="auto"/>
        <w:jc w:val="both"/>
        <w:rPr>
          <w:rFonts w:eastAsia="Arial"/>
          <w:bCs/>
        </w:rPr>
      </w:pPr>
    </w:p>
    <w:p w14:paraId="230916B7" w14:textId="19789FDB" w:rsidR="00DA51BF" w:rsidRDefault="00DA51BF" w:rsidP="00DA51BF">
      <w:pPr>
        <w:shd w:val="clear" w:color="auto" w:fill="FFFFFF"/>
        <w:spacing w:line="276" w:lineRule="auto"/>
        <w:jc w:val="both"/>
        <w:rPr>
          <w:rFonts w:eastAsia="Arial"/>
          <w:bCs/>
        </w:rPr>
      </w:pPr>
      <w:r>
        <w:rPr>
          <w:rFonts w:eastAsia="Arial"/>
          <w:bCs/>
        </w:rPr>
        <w:t xml:space="preserve">Analizėje ligos našta nustatyta </w:t>
      </w:r>
      <w:r w:rsidR="00BB241A">
        <w:rPr>
          <w:rFonts w:eastAsia="Arial"/>
          <w:bCs/>
        </w:rPr>
        <w:t>***</w:t>
      </w:r>
      <w:r>
        <w:rPr>
          <w:rFonts w:eastAsia="Arial"/>
          <w:bCs/>
        </w:rPr>
        <w:t xml:space="preserve">, o referentinė kaštų naudingumo vertė – </w:t>
      </w:r>
      <w:r w:rsidR="00BB241A">
        <w:rPr>
          <w:rFonts w:eastAsia="Arial"/>
          <w:bCs/>
        </w:rPr>
        <w:t>***</w:t>
      </w:r>
      <w:r>
        <w:rPr>
          <w:rFonts w:eastAsia="Arial"/>
          <w:bCs/>
        </w:rPr>
        <w:t xml:space="preserve"> BVP per capita. Atsižvelgiant į Tarnybos taikomas prielaidas, įvertinta jog durvalumabas yra kaštams naudingas. </w:t>
      </w:r>
    </w:p>
    <w:p w14:paraId="6061098E" w14:textId="77777777" w:rsidR="00E52E2C" w:rsidRDefault="00E52E2C" w:rsidP="00A93AA6">
      <w:pPr>
        <w:tabs>
          <w:tab w:val="left" w:pos="426"/>
        </w:tabs>
        <w:rPr>
          <w:b/>
          <w:bCs/>
          <w:iCs/>
          <w:caps/>
        </w:rPr>
      </w:pPr>
    </w:p>
    <w:p w14:paraId="4D24CD76" w14:textId="77777777" w:rsidR="00DA51BF" w:rsidRDefault="00DA51BF" w:rsidP="00A93AA6">
      <w:pPr>
        <w:tabs>
          <w:tab w:val="left" w:pos="426"/>
        </w:tabs>
        <w:rPr>
          <w:b/>
          <w:bCs/>
          <w:iCs/>
          <w:caps/>
        </w:rPr>
      </w:pPr>
    </w:p>
    <w:p w14:paraId="301192E1" w14:textId="77777777" w:rsidR="00DA51BF" w:rsidRPr="00E52E2C" w:rsidRDefault="00DA51BF" w:rsidP="00A93AA6">
      <w:pPr>
        <w:tabs>
          <w:tab w:val="left" w:pos="426"/>
        </w:tabs>
        <w:rPr>
          <w:b/>
          <w:bCs/>
          <w:iCs/>
          <w:caps/>
        </w:rPr>
      </w:pPr>
    </w:p>
    <w:p w14:paraId="174D84D7" w14:textId="09C7BC2B" w:rsidR="0035172D" w:rsidRPr="00334F18" w:rsidRDefault="00164D64" w:rsidP="00A93AA6">
      <w:pPr>
        <w:tabs>
          <w:tab w:val="left" w:pos="426"/>
        </w:tabs>
        <w:rPr>
          <w:b/>
          <w:lang w:eastAsia="lt-LT"/>
        </w:rPr>
      </w:pPr>
      <w:r w:rsidRPr="00334F18">
        <w:rPr>
          <w:b/>
          <w:lang w:eastAsia="lt-LT"/>
        </w:rPr>
        <w:t xml:space="preserve">3.1 </w:t>
      </w:r>
      <w:r w:rsidR="0035172D" w:rsidRPr="00334F18">
        <w:rPr>
          <w:b/>
          <w:lang w:eastAsia="lt-LT"/>
        </w:rPr>
        <w:t>Ekonominės analizės rezultatas</w:t>
      </w:r>
    </w:p>
    <w:p w14:paraId="4801D227" w14:textId="77777777" w:rsidR="009E44AE" w:rsidRPr="00334F18" w:rsidRDefault="009E44AE" w:rsidP="00A93AA6">
      <w:pPr>
        <w:tabs>
          <w:tab w:val="left" w:pos="426"/>
        </w:tabs>
        <w:rPr>
          <w:b/>
          <w:lang w:eastAsia="lt-LT"/>
        </w:rPr>
      </w:pPr>
    </w:p>
    <w:tbl>
      <w:tblPr>
        <w:tblStyle w:val="Lentelstinklelis1"/>
        <w:tblW w:w="9439"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200"/>
        <w:gridCol w:w="3239"/>
      </w:tblGrid>
      <w:tr w:rsidR="00334F18" w:rsidRPr="00334F18" w14:paraId="42D6C843" w14:textId="77777777" w:rsidTr="00BE7489">
        <w:trPr>
          <w:trHeight w:val="344"/>
          <w:jc w:val="center"/>
        </w:trPr>
        <w:tc>
          <w:tcPr>
            <w:tcW w:w="9439" w:type="dxa"/>
            <w:gridSpan w:val="2"/>
            <w:tcBorders>
              <w:top w:val="single" w:sz="12" w:space="0" w:color="auto"/>
              <w:left w:val="single" w:sz="4" w:space="0" w:color="auto"/>
              <w:right w:val="single" w:sz="4" w:space="0" w:color="auto"/>
            </w:tcBorders>
            <w:vAlign w:val="center"/>
          </w:tcPr>
          <w:p w14:paraId="39FD3B40" w14:textId="77777777" w:rsidR="009E44AE" w:rsidRPr="00334F18" w:rsidRDefault="009E44AE" w:rsidP="009E44AE">
            <w:pPr>
              <w:tabs>
                <w:tab w:val="left" w:pos="567"/>
              </w:tabs>
              <w:jc w:val="center"/>
              <w:rPr>
                <w:b/>
                <w:bCs/>
                <w:sz w:val="26"/>
                <w:szCs w:val="26"/>
                <w:lang w:eastAsia="lt-LT"/>
              </w:rPr>
            </w:pPr>
            <w:r w:rsidRPr="00334F18">
              <w:rPr>
                <w:b/>
                <w:bCs/>
                <w:sz w:val="26"/>
                <w:szCs w:val="26"/>
                <w:lang w:eastAsia="lt-LT"/>
              </w:rPr>
              <w:t>Rezultatai</w:t>
            </w:r>
          </w:p>
        </w:tc>
      </w:tr>
      <w:tr w:rsidR="00E52E2C" w:rsidRPr="00334F18" w14:paraId="319AF392" w14:textId="77777777" w:rsidTr="00E52E2C">
        <w:trPr>
          <w:trHeight w:val="267"/>
          <w:jc w:val="center"/>
        </w:trPr>
        <w:tc>
          <w:tcPr>
            <w:tcW w:w="6200" w:type="dxa"/>
            <w:tcBorders>
              <w:left w:val="single" w:sz="4" w:space="0" w:color="auto"/>
            </w:tcBorders>
          </w:tcPr>
          <w:p w14:paraId="44CD8D27" w14:textId="27245A0B" w:rsidR="00E52E2C" w:rsidRPr="00334F18" w:rsidRDefault="00E52E2C" w:rsidP="00E52E2C">
            <w:pPr>
              <w:tabs>
                <w:tab w:val="left" w:pos="567"/>
              </w:tabs>
              <w:jc w:val="right"/>
              <w:rPr>
                <w:iCs/>
                <w:lang w:eastAsia="lt-LT"/>
              </w:rPr>
            </w:pPr>
            <w:r w:rsidRPr="00334F18">
              <w:rPr>
                <w:iCs/>
                <w:lang w:eastAsia="lt-LT"/>
              </w:rPr>
              <w:t>Kaštų skirtumas</w:t>
            </w:r>
          </w:p>
        </w:tc>
        <w:tc>
          <w:tcPr>
            <w:tcW w:w="3239" w:type="dxa"/>
            <w:tcBorders>
              <w:right w:val="single" w:sz="4" w:space="0" w:color="auto"/>
            </w:tcBorders>
          </w:tcPr>
          <w:p w14:paraId="1CACF0B4" w14:textId="099A5F8B" w:rsidR="00E52E2C" w:rsidRPr="00334F18" w:rsidRDefault="00D81F40" w:rsidP="00E52E2C">
            <w:pPr>
              <w:tabs>
                <w:tab w:val="left" w:pos="567"/>
              </w:tabs>
              <w:jc w:val="both"/>
              <w:rPr>
                <w:i/>
                <w:iCs/>
                <w:lang w:eastAsia="lt-LT"/>
              </w:rPr>
            </w:pPr>
            <w:r>
              <w:rPr>
                <w:i/>
                <w:iCs/>
                <w:lang w:eastAsia="lt-LT"/>
              </w:rPr>
              <w:t>*****</w:t>
            </w:r>
            <w:r w:rsidR="00E52E2C" w:rsidRPr="00001448">
              <w:rPr>
                <w:i/>
                <w:iCs/>
                <w:lang w:eastAsia="lt-LT"/>
              </w:rPr>
              <w:t xml:space="preserve"> €</w:t>
            </w:r>
          </w:p>
        </w:tc>
      </w:tr>
      <w:tr w:rsidR="00E52E2C" w:rsidRPr="00334F18" w14:paraId="49F818A3" w14:textId="77777777" w:rsidTr="00E52E2C">
        <w:trPr>
          <w:trHeight w:val="267"/>
          <w:jc w:val="center"/>
        </w:trPr>
        <w:tc>
          <w:tcPr>
            <w:tcW w:w="6200" w:type="dxa"/>
            <w:tcBorders>
              <w:left w:val="single" w:sz="4" w:space="0" w:color="auto"/>
            </w:tcBorders>
          </w:tcPr>
          <w:p w14:paraId="021DB925" w14:textId="389F1BF5" w:rsidR="00E52E2C" w:rsidRPr="00334F18" w:rsidRDefault="00E52E2C" w:rsidP="00E52E2C">
            <w:pPr>
              <w:tabs>
                <w:tab w:val="left" w:pos="567"/>
              </w:tabs>
              <w:jc w:val="right"/>
              <w:rPr>
                <w:iCs/>
                <w:lang w:eastAsia="lt-LT"/>
              </w:rPr>
            </w:pPr>
            <w:r w:rsidRPr="00334F18">
              <w:rPr>
                <w:iCs/>
                <w:lang w:eastAsia="lt-LT"/>
              </w:rPr>
              <w:t>Papildomi gyvenimo metai (LY)</w:t>
            </w:r>
          </w:p>
        </w:tc>
        <w:tc>
          <w:tcPr>
            <w:tcW w:w="3239" w:type="dxa"/>
            <w:tcBorders>
              <w:right w:val="single" w:sz="4" w:space="0" w:color="auto"/>
            </w:tcBorders>
          </w:tcPr>
          <w:p w14:paraId="4954817B" w14:textId="786F3B41" w:rsidR="00E52E2C" w:rsidRPr="00334F18" w:rsidRDefault="00D81F40" w:rsidP="00E52E2C">
            <w:pPr>
              <w:tabs>
                <w:tab w:val="left" w:pos="567"/>
              </w:tabs>
              <w:jc w:val="both"/>
              <w:rPr>
                <w:i/>
                <w:iCs/>
                <w:lang w:eastAsia="lt-LT"/>
              </w:rPr>
            </w:pPr>
            <w:r>
              <w:rPr>
                <w:i/>
                <w:iCs/>
                <w:lang w:eastAsia="lt-LT"/>
              </w:rPr>
              <w:t>***</w:t>
            </w:r>
          </w:p>
        </w:tc>
      </w:tr>
      <w:tr w:rsidR="00E52E2C" w:rsidRPr="00334F18" w14:paraId="20ADA742" w14:textId="77777777" w:rsidTr="00E52E2C">
        <w:trPr>
          <w:trHeight w:val="267"/>
          <w:jc w:val="center"/>
        </w:trPr>
        <w:tc>
          <w:tcPr>
            <w:tcW w:w="6200" w:type="dxa"/>
            <w:tcBorders>
              <w:left w:val="single" w:sz="4" w:space="0" w:color="auto"/>
            </w:tcBorders>
          </w:tcPr>
          <w:p w14:paraId="0F567576" w14:textId="2606A2E9" w:rsidR="00E52E2C" w:rsidRPr="00334F18" w:rsidRDefault="00E52E2C" w:rsidP="00E52E2C">
            <w:pPr>
              <w:tabs>
                <w:tab w:val="left" w:pos="567"/>
              </w:tabs>
              <w:jc w:val="right"/>
              <w:rPr>
                <w:iCs/>
                <w:lang w:eastAsia="lt-LT"/>
              </w:rPr>
            </w:pPr>
            <w:r w:rsidRPr="00334F18">
              <w:rPr>
                <w:iCs/>
                <w:lang w:eastAsia="lt-LT"/>
              </w:rPr>
              <w:t>Papildomi kokybiški gyvenimo metai (QALY)</w:t>
            </w:r>
          </w:p>
        </w:tc>
        <w:tc>
          <w:tcPr>
            <w:tcW w:w="3239" w:type="dxa"/>
            <w:tcBorders>
              <w:right w:val="single" w:sz="4" w:space="0" w:color="auto"/>
            </w:tcBorders>
          </w:tcPr>
          <w:p w14:paraId="02E4DAE1" w14:textId="36AA016F" w:rsidR="00E52E2C" w:rsidRPr="00334F18" w:rsidRDefault="00D81F40" w:rsidP="00E52E2C">
            <w:pPr>
              <w:tabs>
                <w:tab w:val="left" w:pos="567"/>
              </w:tabs>
              <w:jc w:val="both"/>
              <w:rPr>
                <w:i/>
                <w:iCs/>
                <w:lang w:eastAsia="lt-LT"/>
              </w:rPr>
            </w:pPr>
            <w:r>
              <w:rPr>
                <w:i/>
                <w:iCs/>
                <w:lang w:eastAsia="lt-LT"/>
              </w:rPr>
              <w:t>***</w:t>
            </w:r>
          </w:p>
        </w:tc>
      </w:tr>
      <w:tr w:rsidR="00E52E2C" w:rsidRPr="00334F18" w14:paraId="1FADA2B3" w14:textId="77777777" w:rsidTr="00E52E2C">
        <w:trPr>
          <w:trHeight w:val="267"/>
          <w:jc w:val="center"/>
        </w:trPr>
        <w:tc>
          <w:tcPr>
            <w:tcW w:w="6200" w:type="dxa"/>
            <w:tcBorders>
              <w:left w:val="single" w:sz="4" w:space="0" w:color="auto"/>
            </w:tcBorders>
          </w:tcPr>
          <w:p w14:paraId="13E089E8" w14:textId="0BCEB339" w:rsidR="00E52E2C" w:rsidRPr="00334F18" w:rsidRDefault="00E52E2C" w:rsidP="00E52E2C">
            <w:pPr>
              <w:tabs>
                <w:tab w:val="left" w:pos="567"/>
              </w:tabs>
              <w:jc w:val="right"/>
              <w:rPr>
                <w:iCs/>
                <w:lang w:eastAsia="lt-LT"/>
              </w:rPr>
            </w:pPr>
            <w:r w:rsidRPr="00334F18">
              <w:rPr>
                <w:iCs/>
                <w:lang w:eastAsia="lt-LT"/>
              </w:rPr>
              <w:t>ICER už LY</w:t>
            </w:r>
          </w:p>
        </w:tc>
        <w:tc>
          <w:tcPr>
            <w:tcW w:w="3239" w:type="dxa"/>
            <w:tcBorders>
              <w:right w:val="single" w:sz="4" w:space="0" w:color="auto"/>
            </w:tcBorders>
          </w:tcPr>
          <w:p w14:paraId="2817448D" w14:textId="6FD95AF9" w:rsidR="00E52E2C" w:rsidRPr="00334F18" w:rsidRDefault="00D81F40" w:rsidP="00E52E2C">
            <w:pPr>
              <w:tabs>
                <w:tab w:val="left" w:pos="567"/>
              </w:tabs>
              <w:jc w:val="both"/>
              <w:rPr>
                <w:i/>
                <w:iCs/>
                <w:lang w:eastAsia="lt-LT"/>
              </w:rPr>
            </w:pPr>
            <w:r>
              <w:rPr>
                <w:i/>
                <w:iCs/>
                <w:lang w:eastAsia="lt-LT"/>
              </w:rPr>
              <w:t>*****</w:t>
            </w:r>
            <w:r w:rsidR="00E52E2C" w:rsidRPr="00BC4D15">
              <w:rPr>
                <w:i/>
                <w:iCs/>
                <w:lang w:eastAsia="lt-LT"/>
              </w:rPr>
              <w:t xml:space="preserve"> </w:t>
            </w:r>
            <w:r w:rsidR="00E52E2C">
              <w:rPr>
                <w:i/>
                <w:iCs/>
                <w:lang w:eastAsia="lt-LT"/>
              </w:rPr>
              <w:t>€/LY</w:t>
            </w:r>
          </w:p>
        </w:tc>
      </w:tr>
      <w:tr w:rsidR="00E52E2C" w:rsidRPr="00334F18" w14:paraId="250DE960" w14:textId="77777777" w:rsidTr="00E52E2C">
        <w:trPr>
          <w:trHeight w:val="267"/>
          <w:jc w:val="center"/>
        </w:trPr>
        <w:tc>
          <w:tcPr>
            <w:tcW w:w="6200" w:type="dxa"/>
            <w:tcBorders>
              <w:left w:val="single" w:sz="4" w:space="0" w:color="auto"/>
            </w:tcBorders>
          </w:tcPr>
          <w:p w14:paraId="207EFB23" w14:textId="77777777" w:rsidR="00E52E2C" w:rsidRPr="00334F18" w:rsidRDefault="00E52E2C" w:rsidP="00E52E2C">
            <w:pPr>
              <w:tabs>
                <w:tab w:val="left" w:pos="567"/>
              </w:tabs>
              <w:jc w:val="right"/>
              <w:rPr>
                <w:iCs/>
                <w:lang w:eastAsia="lt-LT"/>
              </w:rPr>
            </w:pPr>
            <w:r w:rsidRPr="00334F18">
              <w:rPr>
                <w:iCs/>
                <w:lang w:eastAsia="lt-LT"/>
              </w:rPr>
              <w:t>ICER už QALY</w:t>
            </w:r>
          </w:p>
        </w:tc>
        <w:tc>
          <w:tcPr>
            <w:tcW w:w="3239" w:type="dxa"/>
            <w:tcBorders>
              <w:right w:val="single" w:sz="4" w:space="0" w:color="auto"/>
            </w:tcBorders>
          </w:tcPr>
          <w:p w14:paraId="4275320D" w14:textId="0D355488" w:rsidR="00E52E2C" w:rsidRPr="00334F18" w:rsidRDefault="00D81F40" w:rsidP="00E52E2C">
            <w:pPr>
              <w:tabs>
                <w:tab w:val="left" w:pos="567"/>
              </w:tabs>
              <w:jc w:val="both"/>
              <w:rPr>
                <w:i/>
                <w:iCs/>
                <w:lang w:eastAsia="lt-LT"/>
              </w:rPr>
            </w:pPr>
            <w:r>
              <w:rPr>
                <w:i/>
                <w:iCs/>
                <w:lang w:eastAsia="lt-LT"/>
              </w:rPr>
              <w:t>*****</w:t>
            </w:r>
            <w:r w:rsidR="00E52E2C" w:rsidRPr="00BC4D15">
              <w:rPr>
                <w:i/>
                <w:iCs/>
                <w:lang w:eastAsia="lt-LT"/>
              </w:rPr>
              <w:t xml:space="preserve"> </w:t>
            </w:r>
            <w:r w:rsidR="00E52E2C">
              <w:rPr>
                <w:i/>
                <w:iCs/>
                <w:lang w:eastAsia="lt-LT"/>
              </w:rPr>
              <w:t>€/QALY</w:t>
            </w:r>
          </w:p>
        </w:tc>
      </w:tr>
      <w:tr w:rsidR="00E52E2C" w:rsidRPr="00334F18" w14:paraId="2C4C68BA" w14:textId="77777777" w:rsidTr="00E52E2C">
        <w:trPr>
          <w:trHeight w:val="267"/>
          <w:jc w:val="center"/>
        </w:trPr>
        <w:tc>
          <w:tcPr>
            <w:tcW w:w="6200" w:type="dxa"/>
            <w:tcBorders>
              <w:left w:val="single" w:sz="4" w:space="0" w:color="auto"/>
              <w:bottom w:val="single" w:sz="4" w:space="0" w:color="auto"/>
              <w:right w:val="single" w:sz="4" w:space="0" w:color="auto"/>
            </w:tcBorders>
          </w:tcPr>
          <w:p w14:paraId="21BEDABF" w14:textId="3471AFB3" w:rsidR="00E52E2C" w:rsidRPr="00334F18" w:rsidRDefault="00E52E2C" w:rsidP="00E52E2C">
            <w:pPr>
              <w:tabs>
                <w:tab w:val="left" w:pos="567"/>
              </w:tabs>
              <w:jc w:val="right"/>
              <w:rPr>
                <w:iCs/>
                <w:lang w:eastAsia="lt-LT"/>
              </w:rPr>
            </w:pPr>
            <w:r w:rsidRPr="00334F18">
              <w:rPr>
                <w:iCs/>
                <w:lang w:eastAsia="lt-LT"/>
              </w:rPr>
              <w:t>Referencinė kaštų naudingumo vertė</w:t>
            </w:r>
          </w:p>
        </w:tc>
        <w:tc>
          <w:tcPr>
            <w:tcW w:w="3239" w:type="dxa"/>
            <w:tcBorders>
              <w:left w:val="single" w:sz="4" w:space="0" w:color="auto"/>
              <w:bottom w:val="single" w:sz="4" w:space="0" w:color="auto"/>
              <w:right w:val="single" w:sz="4" w:space="0" w:color="auto"/>
            </w:tcBorders>
          </w:tcPr>
          <w:p w14:paraId="31DAA72E" w14:textId="5EE8DB2E" w:rsidR="00E52E2C" w:rsidRPr="00334F18" w:rsidRDefault="00512773" w:rsidP="00E52E2C">
            <w:pPr>
              <w:tabs>
                <w:tab w:val="left" w:pos="567"/>
              </w:tabs>
              <w:jc w:val="both"/>
              <w:rPr>
                <w:i/>
                <w:iCs/>
                <w:lang w:eastAsia="lt-LT"/>
              </w:rPr>
            </w:pPr>
            <w:r>
              <w:rPr>
                <w:i/>
                <w:iCs/>
                <w:lang w:eastAsia="lt-LT"/>
              </w:rPr>
              <w:t>******</w:t>
            </w:r>
            <w:r w:rsidR="00E52E2C">
              <w:rPr>
                <w:i/>
                <w:iCs/>
                <w:lang w:eastAsia="lt-LT"/>
              </w:rPr>
              <w:t xml:space="preserve"> €/QALY</w:t>
            </w:r>
          </w:p>
        </w:tc>
      </w:tr>
    </w:tbl>
    <w:p w14:paraId="5FC8C737" w14:textId="4136B7F4" w:rsidR="0035172D" w:rsidRPr="00334F18" w:rsidRDefault="00E5102E" w:rsidP="0035172D">
      <w:pPr>
        <w:tabs>
          <w:tab w:val="left" w:pos="567"/>
        </w:tabs>
        <w:jc w:val="both"/>
        <w:rPr>
          <w:iCs/>
          <w:sz w:val="20"/>
          <w:lang w:eastAsia="lt-LT"/>
        </w:rPr>
      </w:pPr>
      <w:r w:rsidRPr="00334F18">
        <w:rPr>
          <w:iCs/>
          <w:sz w:val="20"/>
          <w:lang w:eastAsia="lt-LT"/>
        </w:rPr>
        <w:t xml:space="preserve">ICER </w:t>
      </w:r>
      <w:r w:rsidR="00453862" w:rsidRPr="00334F18">
        <w:rPr>
          <w:iCs/>
          <w:sz w:val="20"/>
          <w:lang w:eastAsia="lt-LT"/>
        </w:rPr>
        <w:t>– (</w:t>
      </w:r>
      <w:r w:rsidR="00453862" w:rsidRPr="00334F18">
        <w:rPr>
          <w:i/>
          <w:sz w:val="20"/>
          <w:lang w:eastAsia="lt-LT"/>
        </w:rPr>
        <w:t>angl. incremental cost-effectiveness ratio</w:t>
      </w:r>
      <w:r w:rsidR="00453862" w:rsidRPr="00334F18">
        <w:rPr>
          <w:iCs/>
          <w:sz w:val="20"/>
          <w:lang w:eastAsia="lt-LT"/>
        </w:rPr>
        <w:t>) inkrementinis kaštų naudingumo koeficientas</w:t>
      </w:r>
      <w:r w:rsidRPr="00334F18">
        <w:rPr>
          <w:iCs/>
          <w:sz w:val="20"/>
          <w:lang w:eastAsia="lt-LT"/>
        </w:rPr>
        <w:t>; LY –</w:t>
      </w:r>
      <w:r w:rsidR="00453862" w:rsidRPr="00334F18">
        <w:rPr>
          <w:iCs/>
          <w:sz w:val="20"/>
          <w:lang w:eastAsia="lt-LT"/>
        </w:rPr>
        <w:t xml:space="preserve"> (</w:t>
      </w:r>
      <w:r w:rsidR="00453862" w:rsidRPr="00334F18">
        <w:rPr>
          <w:i/>
          <w:sz w:val="20"/>
          <w:lang w:eastAsia="lt-LT"/>
        </w:rPr>
        <w:t>angl. life years</w:t>
      </w:r>
      <w:r w:rsidR="00453862" w:rsidRPr="00334F18">
        <w:rPr>
          <w:iCs/>
          <w:sz w:val="20"/>
          <w:lang w:eastAsia="lt-LT"/>
        </w:rPr>
        <w:t>) gyvenimo metai</w:t>
      </w:r>
      <w:r w:rsidRPr="00334F18">
        <w:rPr>
          <w:iCs/>
          <w:sz w:val="20"/>
          <w:lang w:eastAsia="lt-LT"/>
        </w:rPr>
        <w:t xml:space="preserve">; QALY- </w:t>
      </w:r>
      <w:r w:rsidR="00453862" w:rsidRPr="00334F18">
        <w:rPr>
          <w:iCs/>
          <w:sz w:val="20"/>
          <w:lang w:eastAsia="lt-LT"/>
        </w:rPr>
        <w:t>(</w:t>
      </w:r>
      <w:r w:rsidR="00453862" w:rsidRPr="00334F18">
        <w:rPr>
          <w:i/>
          <w:sz w:val="20"/>
          <w:lang w:eastAsia="lt-LT"/>
        </w:rPr>
        <w:t xml:space="preserve">angl. quality adjusted life years) </w:t>
      </w:r>
      <w:r w:rsidR="00453862" w:rsidRPr="00334F18">
        <w:rPr>
          <w:iCs/>
          <w:sz w:val="20"/>
          <w:lang w:eastAsia="lt-LT"/>
        </w:rPr>
        <w:t>kokybiški gyvenimo metai.</w:t>
      </w:r>
    </w:p>
    <w:p w14:paraId="33875138" w14:textId="77777777" w:rsidR="0035172D" w:rsidRPr="00334F18" w:rsidRDefault="0035172D" w:rsidP="00A93AA6">
      <w:pPr>
        <w:tabs>
          <w:tab w:val="left" w:pos="426"/>
        </w:tabs>
        <w:rPr>
          <w:b/>
          <w:bCs/>
          <w:caps/>
        </w:rPr>
      </w:pPr>
    </w:p>
    <w:p w14:paraId="4FC424F9" w14:textId="4E767245" w:rsidR="00C62B36" w:rsidRPr="00334F18" w:rsidRDefault="00C62B36" w:rsidP="00CC09D4">
      <w:pPr>
        <w:pStyle w:val="ListParagraph"/>
        <w:numPr>
          <w:ilvl w:val="0"/>
          <w:numId w:val="12"/>
        </w:numPr>
        <w:tabs>
          <w:tab w:val="left" w:pos="567"/>
        </w:tabs>
        <w:ind w:hanging="720"/>
        <w:rPr>
          <w:b/>
          <w:bCs/>
          <w:caps/>
        </w:rPr>
      </w:pPr>
      <w:r w:rsidRPr="00334F18">
        <w:rPr>
          <w:b/>
          <w:bCs/>
          <w:caps/>
        </w:rPr>
        <w:t xml:space="preserve">Pacientų organizacijų pateikti duomenys </w:t>
      </w:r>
    </w:p>
    <w:p w14:paraId="54351841" w14:textId="77777777" w:rsidR="00C9728E" w:rsidRPr="00334F18" w:rsidRDefault="00C9728E" w:rsidP="00C9728E">
      <w:pPr>
        <w:pStyle w:val="ListParagraph"/>
        <w:tabs>
          <w:tab w:val="left" w:pos="567"/>
        </w:tabs>
        <w:rPr>
          <w:b/>
          <w:bCs/>
          <w:caps/>
        </w:rPr>
      </w:pPr>
    </w:p>
    <w:p w14:paraId="62992180" w14:textId="3D6BAD94" w:rsidR="00937907" w:rsidRPr="00334F18" w:rsidRDefault="00937907" w:rsidP="00937907">
      <w:pPr>
        <w:spacing w:after="120"/>
        <w:jc w:val="both"/>
      </w:pPr>
      <w:r w:rsidRPr="00334F18">
        <w:t xml:space="preserve">Pacientų organizacijos pozicija </w:t>
      </w:r>
      <w:r w:rsidR="00880A44" w:rsidRPr="00334F18">
        <w:t>ne</w:t>
      </w:r>
      <w:r w:rsidRPr="00334F18">
        <w:t>pateikta.</w:t>
      </w:r>
    </w:p>
    <w:p w14:paraId="03E73D82" w14:textId="77777777" w:rsidR="00D417D2" w:rsidRPr="00334F18" w:rsidRDefault="00D417D2" w:rsidP="00937907">
      <w:pPr>
        <w:spacing w:after="120"/>
        <w:jc w:val="both"/>
      </w:pPr>
    </w:p>
    <w:p w14:paraId="3D3277FA" w14:textId="09414FFF" w:rsidR="00C62B36" w:rsidRPr="00334F18" w:rsidRDefault="00D67BAF" w:rsidP="00CC09D4">
      <w:pPr>
        <w:pStyle w:val="ListParagraph"/>
        <w:numPr>
          <w:ilvl w:val="0"/>
          <w:numId w:val="12"/>
        </w:numPr>
        <w:tabs>
          <w:tab w:val="left" w:pos="567"/>
        </w:tabs>
        <w:ind w:hanging="720"/>
        <w:rPr>
          <w:b/>
          <w:bCs/>
          <w:caps/>
        </w:rPr>
      </w:pPr>
      <w:r w:rsidRPr="00334F18">
        <w:rPr>
          <w:b/>
          <w:bCs/>
          <w:caps/>
        </w:rPr>
        <w:t xml:space="preserve">SVEIKATOS PRIEŽIŪROS SPECIALISTŲ </w:t>
      </w:r>
      <w:r w:rsidR="00C62B36" w:rsidRPr="00334F18">
        <w:rPr>
          <w:b/>
          <w:bCs/>
          <w:caps/>
        </w:rPr>
        <w:t xml:space="preserve"> organizacijų pateikti duomenys</w:t>
      </w:r>
    </w:p>
    <w:p w14:paraId="044D5084" w14:textId="77777777" w:rsidR="00C9728E" w:rsidRPr="00334F18" w:rsidRDefault="00C9728E" w:rsidP="00C9728E">
      <w:pPr>
        <w:pStyle w:val="ListParagraph"/>
        <w:tabs>
          <w:tab w:val="left" w:pos="567"/>
        </w:tabs>
        <w:rPr>
          <w:b/>
          <w:bCs/>
          <w:caps/>
        </w:rPr>
      </w:pPr>
    </w:p>
    <w:p w14:paraId="5D8CC48C" w14:textId="390AB437" w:rsidR="00662983" w:rsidRPr="00334F18" w:rsidRDefault="00D67BAF" w:rsidP="00662983">
      <w:pPr>
        <w:spacing w:after="120"/>
        <w:jc w:val="both"/>
      </w:pPr>
      <w:r w:rsidRPr="00334F18">
        <w:t>S</w:t>
      </w:r>
      <w:r w:rsidRPr="00334F18">
        <w:rPr>
          <w:bCs/>
        </w:rPr>
        <w:t>veikatos priežiūros specialistų</w:t>
      </w:r>
      <w:r w:rsidR="00937907" w:rsidRPr="00334F18">
        <w:t xml:space="preserve"> organizacijos pozicija </w:t>
      </w:r>
      <w:r w:rsidR="00880A44" w:rsidRPr="00334F18">
        <w:t>ne</w:t>
      </w:r>
      <w:r w:rsidR="00937907" w:rsidRPr="00334F18">
        <w:t>pateikta.</w:t>
      </w:r>
    </w:p>
    <w:p w14:paraId="3701D46A" w14:textId="77777777" w:rsidR="00A042B9" w:rsidRPr="00334F18" w:rsidRDefault="00A042B9" w:rsidP="00662983">
      <w:pPr>
        <w:spacing w:after="120"/>
        <w:jc w:val="both"/>
      </w:pPr>
    </w:p>
    <w:p w14:paraId="78F23ECB" w14:textId="3ED5BFD5" w:rsidR="002F0E4F" w:rsidRPr="00334F18" w:rsidRDefault="002F0E4F" w:rsidP="00CC09D4">
      <w:pPr>
        <w:pStyle w:val="ListParagraph"/>
        <w:numPr>
          <w:ilvl w:val="0"/>
          <w:numId w:val="12"/>
        </w:numPr>
        <w:tabs>
          <w:tab w:val="left" w:pos="567"/>
        </w:tabs>
        <w:ind w:hanging="720"/>
        <w:rPr>
          <w:b/>
          <w:bCs/>
          <w:caps/>
        </w:rPr>
      </w:pPr>
      <w:r w:rsidRPr="00334F18">
        <w:rPr>
          <w:b/>
          <w:bCs/>
          <w:caps/>
        </w:rPr>
        <w:t>Išvad</w:t>
      </w:r>
      <w:r w:rsidR="00B811A4" w:rsidRPr="00334F18">
        <w:rPr>
          <w:b/>
          <w:bCs/>
          <w:caps/>
        </w:rPr>
        <w:t>OS</w:t>
      </w:r>
      <w:r w:rsidRPr="00334F18">
        <w:rPr>
          <w:b/>
          <w:bCs/>
          <w:caps/>
        </w:rPr>
        <w:t xml:space="preserve"> </w:t>
      </w:r>
    </w:p>
    <w:p w14:paraId="30069D85" w14:textId="77777777" w:rsidR="0061611B" w:rsidRPr="00334F18" w:rsidRDefault="0061611B" w:rsidP="0061611B">
      <w:pPr>
        <w:ind w:left="360"/>
        <w:rPr>
          <w:i/>
          <w:szCs w:val="22"/>
        </w:rPr>
      </w:pPr>
    </w:p>
    <w:tbl>
      <w:tblPr>
        <w:tblStyle w:val="TableGrid"/>
        <w:tblW w:w="0" w:type="auto"/>
        <w:tblInd w:w="-5" w:type="dxa"/>
        <w:tblLook w:val="04A0" w:firstRow="1" w:lastRow="0" w:firstColumn="1" w:lastColumn="0" w:noHBand="0" w:noVBand="1"/>
      </w:tblPr>
      <w:tblGrid>
        <w:gridCol w:w="4820"/>
        <w:gridCol w:w="4814"/>
      </w:tblGrid>
      <w:tr w:rsidR="00334F18" w:rsidRPr="00334F18" w14:paraId="4D5EFB83" w14:textId="77777777" w:rsidTr="007111C4">
        <w:trPr>
          <w:trHeight w:val="510"/>
        </w:trPr>
        <w:tc>
          <w:tcPr>
            <w:tcW w:w="9634" w:type="dxa"/>
            <w:gridSpan w:val="2"/>
            <w:vAlign w:val="center"/>
          </w:tcPr>
          <w:p w14:paraId="294EC16B"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Style2"/>
                <w:rFonts w:eastAsia="MS Gothic"/>
                <w:b/>
                <w:bCs/>
                <w:sz w:val="23"/>
                <w:szCs w:val="23"/>
              </w:rPr>
            </w:pPr>
            <w:bookmarkStart w:id="2" w:name="_Hlk185430554"/>
            <w:r w:rsidRPr="00334F18">
              <w:rPr>
                <w:rStyle w:val="Style2"/>
                <w:rFonts w:eastAsia="MS Gothic"/>
                <w:b/>
                <w:bCs/>
                <w:sz w:val="23"/>
                <w:szCs w:val="23"/>
              </w:rPr>
              <w:t>Palyginamasis veiksmingumas</w:t>
            </w:r>
          </w:p>
        </w:tc>
      </w:tr>
      <w:tr w:rsidR="00334F18" w:rsidRPr="00334F18" w14:paraId="30B67515" w14:textId="77777777" w:rsidTr="007111C4">
        <w:tc>
          <w:tcPr>
            <w:tcW w:w="4820" w:type="dxa"/>
          </w:tcPr>
          <w:p w14:paraId="4FE3C208" w14:textId="337B8FAD" w:rsidR="00B811A4" w:rsidRPr="00334F18"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1397324644"/>
                <w15:color w:val="FFCC00"/>
                <w14:checkbox>
                  <w14:checked w14:val="1"/>
                  <w14:checkedState w14:val="2612" w14:font="MS Gothic"/>
                  <w14:uncheckedState w14:val="2610" w14:font="MS Gothic"/>
                </w14:checkbox>
              </w:sdtPr>
              <w:sdtContent>
                <w:r w:rsidR="008F53C4">
                  <w:rPr>
                    <w:rStyle w:val="Style2"/>
                    <w:rFonts w:ascii="MS Gothic" w:eastAsia="MS Gothic" w:hAnsi="MS Gothic" w:hint="eastAsia"/>
                    <w:sz w:val="23"/>
                    <w:szCs w:val="23"/>
                  </w:rPr>
                  <w:t>☒</w:t>
                </w:r>
              </w:sdtContent>
            </w:sdt>
            <w:r w:rsidR="00B811A4" w:rsidRPr="00334F18">
              <w:rPr>
                <w:rStyle w:val="Style2"/>
                <w:sz w:val="23"/>
                <w:szCs w:val="23"/>
              </w:rPr>
              <w:t xml:space="preserve"> 29</w:t>
            </w:r>
            <w:r w:rsidR="00B811A4" w:rsidRPr="00334F18">
              <w:rPr>
                <w:sz w:val="23"/>
                <w:szCs w:val="23"/>
              </w:rPr>
              <w:t>.1.1 yra didesnis, lyginant su įprasta klinikine praktika</w:t>
            </w:r>
          </w:p>
          <w:p w14:paraId="6F9786E4"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231EDECD" w14:textId="77777777" w:rsidR="00B811A4" w:rsidRPr="00334F18"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sz w:val="23"/>
                <w:szCs w:val="23"/>
              </w:rPr>
            </w:pPr>
            <w:sdt>
              <w:sdtPr>
                <w:rPr>
                  <w:rStyle w:val="Style2"/>
                  <w:sz w:val="23"/>
                  <w:szCs w:val="23"/>
                </w:rPr>
                <w:id w:val="418297090"/>
                <w15:color w:val="FFCC00"/>
                <w14:checkbox>
                  <w14:checked w14:val="0"/>
                  <w14:checkedState w14:val="2612" w14:font="MS Gothic"/>
                  <w14:uncheckedState w14:val="2610" w14:font="MS Gothic"/>
                </w14:checkbox>
              </w:sdt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w:t>
            </w:r>
            <w:r w:rsidR="00B811A4" w:rsidRPr="00334F18">
              <w:rPr>
                <w:rStyle w:val="Style2"/>
                <w:sz w:val="23"/>
                <w:szCs w:val="23"/>
              </w:rPr>
              <w:t>29</w:t>
            </w:r>
            <w:r w:rsidR="00B811A4" w:rsidRPr="00334F18">
              <w:rPr>
                <w:sz w:val="23"/>
                <w:szCs w:val="23"/>
              </w:rPr>
              <w:t>.1.2 iš esmės nesiskiria, lyginant su įprasta klinikine praktika</w:t>
            </w:r>
          </w:p>
        </w:tc>
        <w:tc>
          <w:tcPr>
            <w:tcW w:w="4814" w:type="dxa"/>
          </w:tcPr>
          <w:p w14:paraId="72562F9E" w14:textId="77777777" w:rsidR="00B811A4" w:rsidRPr="00334F18"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724755596"/>
                <w15:color w:val="FFCC00"/>
                <w14:checkbox>
                  <w14:checked w14:val="0"/>
                  <w14:checkedState w14:val="2612" w14:font="MS Gothic"/>
                  <w14:uncheckedState w14:val="2610" w14:font="MS Gothic"/>
                </w14:checkbox>
              </w:sdt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w:t>
            </w:r>
            <w:r w:rsidR="00B811A4" w:rsidRPr="00334F18">
              <w:rPr>
                <w:rStyle w:val="Style2"/>
                <w:sz w:val="23"/>
                <w:szCs w:val="23"/>
              </w:rPr>
              <w:t>29</w:t>
            </w:r>
            <w:r w:rsidR="00B811A4" w:rsidRPr="00334F18">
              <w:rPr>
                <w:sz w:val="23"/>
                <w:szCs w:val="23"/>
              </w:rPr>
              <w:t xml:space="preserve">.1.3 yra neįrodytas kaip didesnis  ar iš esmės nesiskiriantis, lyginant su įprasta klinikine praktika  </w:t>
            </w:r>
          </w:p>
          <w:p w14:paraId="6F6DB5BC"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5EE1D885" w14:textId="77777777" w:rsidR="00B811A4" w:rsidRPr="00334F18"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1862168479"/>
                <w15:color w:val="FFCC00"/>
                <w14:checkbox>
                  <w14:checked w14:val="0"/>
                  <w14:checkedState w14:val="2612" w14:font="MS Gothic"/>
                  <w14:uncheckedState w14:val="2610" w14:font="MS Gothic"/>
                </w14:checkbox>
              </w:sdt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w:t>
            </w:r>
            <w:r w:rsidR="00B811A4" w:rsidRPr="00334F18">
              <w:rPr>
                <w:rStyle w:val="Style2"/>
                <w:sz w:val="23"/>
                <w:szCs w:val="23"/>
              </w:rPr>
              <w:t>29</w:t>
            </w:r>
            <w:r w:rsidR="00B811A4" w:rsidRPr="00334F18">
              <w:rPr>
                <w:sz w:val="23"/>
                <w:szCs w:val="23"/>
              </w:rPr>
              <w:t>.1.4 yra mažesnis, lyginant su įprasta klinikine praktika</w:t>
            </w:r>
          </w:p>
          <w:p w14:paraId="193C3D76"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370E94DC" w14:textId="4EC80DB9" w:rsidR="00B811A4" w:rsidRPr="00334F18"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1857960180"/>
                <w15:color w:val="FFCC00"/>
                <w14:checkbox>
                  <w14:checked w14:val="0"/>
                  <w14:checkedState w14:val="2612" w14:font="MS Gothic"/>
                  <w14:uncheckedState w14:val="2610" w14:font="MS Gothic"/>
                </w14:checkbox>
              </w:sdt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w:t>
            </w:r>
            <w:r w:rsidR="00B811A4" w:rsidRPr="00334F18">
              <w:rPr>
                <w:rStyle w:val="Style2"/>
                <w:sz w:val="23"/>
                <w:szCs w:val="23"/>
              </w:rPr>
              <w:t>29</w:t>
            </w:r>
            <w:r w:rsidR="00B811A4" w:rsidRPr="00334F18">
              <w:rPr>
                <w:sz w:val="23"/>
                <w:szCs w:val="23"/>
              </w:rPr>
              <w:t>.1.5 pateikti duomenys apie palyginamąjį veiksmingumą yra netinkami vertinti</w:t>
            </w:r>
          </w:p>
          <w:p w14:paraId="45719037"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rFonts w:eastAsia="MS Gothic"/>
                <w:sz w:val="23"/>
                <w:szCs w:val="23"/>
              </w:rPr>
            </w:pPr>
          </w:p>
        </w:tc>
      </w:tr>
      <w:bookmarkEnd w:id="2"/>
      <w:tr w:rsidR="00334F18" w:rsidRPr="00334F18" w14:paraId="0E0F5168" w14:textId="77777777" w:rsidTr="00743956">
        <w:trPr>
          <w:trHeight w:val="510"/>
        </w:trPr>
        <w:tc>
          <w:tcPr>
            <w:tcW w:w="9634" w:type="dxa"/>
            <w:gridSpan w:val="2"/>
            <w:vAlign w:val="center"/>
          </w:tcPr>
          <w:p w14:paraId="62B67E12"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Style2"/>
                <w:rFonts w:eastAsia="MS Gothic"/>
                <w:b/>
                <w:bCs/>
                <w:sz w:val="23"/>
                <w:szCs w:val="23"/>
              </w:rPr>
            </w:pPr>
            <w:r w:rsidRPr="00334F18">
              <w:rPr>
                <w:rStyle w:val="Style2"/>
                <w:rFonts w:eastAsia="MS Gothic"/>
                <w:b/>
                <w:bCs/>
                <w:sz w:val="23"/>
                <w:szCs w:val="23"/>
              </w:rPr>
              <w:t>Kaštų naudingumas</w:t>
            </w:r>
          </w:p>
        </w:tc>
      </w:tr>
      <w:tr w:rsidR="00334F18" w:rsidRPr="00334F18" w14:paraId="6A2F62B2" w14:textId="77777777" w:rsidTr="00743956">
        <w:tc>
          <w:tcPr>
            <w:tcW w:w="4820" w:type="dxa"/>
          </w:tcPr>
          <w:p w14:paraId="7CB2C697" w14:textId="09E44E50" w:rsidR="00B811A4" w:rsidRPr="00334F18"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301657889"/>
                <w15:color w:val="FFCC00"/>
                <w14:checkbox>
                  <w14:checked w14:val="1"/>
                  <w14:checkedState w14:val="2612" w14:font="MS Gothic"/>
                  <w14:uncheckedState w14:val="2610" w14:font="MS Gothic"/>
                </w14:checkbox>
              </w:sdtPr>
              <w:sdtContent>
                <w:r w:rsidR="00E52E2C">
                  <w:rPr>
                    <w:rStyle w:val="Style2"/>
                    <w:rFonts w:ascii="MS Gothic" w:eastAsia="MS Gothic" w:hAnsi="MS Gothic" w:hint="eastAsia"/>
                    <w:sz w:val="23"/>
                    <w:szCs w:val="23"/>
                  </w:rPr>
                  <w:t>☒</w:t>
                </w:r>
              </w:sdtContent>
            </w:sdt>
            <w:r w:rsidR="00B811A4" w:rsidRPr="00334F18">
              <w:rPr>
                <w:sz w:val="23"/>
                <w:szCs w:val="23"/>
              </w:rPr>
              <w:t xml:space="preserve"> 29.2.1 atitinka referencinę naudingumo vertę taikant arba netaikant</w:t>
            </w:r>
            <w:r w:rsidR="00437623" w:rsidRPr="00334F18">
              <w:rPr>
                <w:b/>
                <w:bCs/>
                <w:sz w:val="23"/>
                <w:szCs w:val="23"/>
              </w:rPr>
              <w:t xml:space="preserve"> </w:t>
            </w:r>
            <w:r w:rsidR="00B811A4" w:rsidRPr="00334F18">
              <w:rPr>
                <w:sz w:val="23"/>
                <w:szCs w:val="23"/>
              </w:rPr>
              <w:t>PGS</w:t>
            </w:r>
          </w:p>
          <w:p w14:paraId="71797774"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5BE88CDB" w14:textId="60C4FFA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rFonts w:eastAsia="MS Gothic"/>
                <w:sz w:val="23"/>
                <w:szCs w:val="23"/>
              </w:rPr>
            </w:pPr>
          </w:p>
        </w:tc>
        <w:tc>
          <w:tcPr>
            <w:tcW w:w="4814" w:type="dxa"/>
          </w:tcPr>
          <w:p w14:paraId="0370A72C" w14:textId="77777777" w:rsidR="00B811A4" w:rsidRPr="00334F18"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791860283"/>
                <w15:color w:val="FFCC00"/>
                <w14:checkbox>
                  <w14:checked w14:val="0"/>
                  <w14:checkedState w14:val="2612" w14:font="MS Gothic"/>
                  <w14:uncheckedState w14:val="2610" w14:font="MS Gothic"/>
                </w14:checkbox>
              </w:sdt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29.2.3 neatitinka referencinės naudingumo vertės taikant arba netaikant PGS</w:t>
            </w:r>
          </w:p>
          <w:p w14:paraId="13C9EEE5"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289E6691"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5FD1976C" w14:textId="77777777" w:rsidR="00B811A4" w:rsidRPr="00334F18"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3"/>
                <w:szCs w:val="23"/>
              </w:rPr>
            </w:pPr>
            <w:sdt>
              <w:sdtPr>
                <w:rPr>
                  <w:rStyle w:val="Style2"/>
                  <w:sz w:val="23"/>
                  <w:szCs w:val="23"/>
                </w:rPr>
                <w:id w:val="-943849855"/>
                <w15:color w:val="FFCC00"/>
                <w14:checkbox>
                  <w14:checked w14:val="0"/>
                  <w14:checkedState w14:val="2612" w14:font="MS Gothic"/>
                  <w14:uncheckedState w14:val="2610" w14:font="MS Gothic"/>
                </w14:checkbox>
              </w:sdt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29.2.5 pateikti duomenys apie kaštų naudingumą yra netinkami vertinti</w:t>
            </w:r>
          </w:p>
          <w:p w14:paraId="06AB06C5"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rFonts w:eastAsia="MS Gothic"/>
                <w:sz w:val="23"/>
                <w:szCs w:val="23"/>
              </w:rPr>
            </w:pPr>
          </w:p>
        </w:tc>
      </w:tr>
      <w:tr w:rsidR="00334F18" w:rsidRPr="00334F18" w14:paraId="632C9193" w14:textId="77777777" w:rsidTr="00027464">
        <w:tc>
          <w:tcPr>
            <w:tcW w:w="9634" w:type="dxa"/>
            <w:gridSpan w:val="2"/>
          </w:tcPr>
          <w:p w14:paraId="15C289C9" w14:textId="47C5A3CE" w:rsidR="007111C4" w:rsidRPr="00334F18"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sz w:val="23"/>
                <w:szCs w:val="23"/>
              </w:rPr>
            </w:pPr>
            <w:sdt>
              <w:sdtPr>
                <w:rPr>
                  <w:rStyle w:val="Style2"/>
                  <w:sz w:val="23"/>
                  <w:szCs w:val="23"/>
                </w:rPr>
                <w:id w:val="1266579562"/>
                <w15:color w:val="FFCC00"/>
                <w14:checkbox>
                  <w14:checked w14:val="0"/>
                  <w14:checkedState w14:val="2612" w14:font="MS Gothic"/>
                  <w14:uncheckedState w14:val="2610" w14:font="MS Gothic"/>
                </w14:checkbox>
              </w:sdtPr>
              <w:sdtContent>
                <w:r w:rsidR="007111C4" w:rsidRPr="00334F18">
                  <w:rPr>
                    <w:rStyle w:val="Style2"/>
                    <w:rFonts w:ascii="Segoe UI Symbol" w:eastAsia="MS Gothic" w:hAnsi="Segoe UI Symbol" w:cs="Segoe UI Symbol"/>
                    <w:sz w:val="23"/>
                    <w:szCs w:val="23"/>
                  </w:rPr>
                  <w:t>☐</w:t>
                </w:r>
              </w:sdtContent>
            </w:sdt>
            <w:r w:rsidR="007111C4" w:rsidRPr="00334F18">
              <w:rPr>
                <w:sz w:val="23"/>
                <w:szCs w:val="23"/>
              </w:rPr>
              <w:t xml:space="preserve"> Vykdant Aprašo &lt;17</w:t>
            </w:r>
            <w:r w:rsidR="007111C4" w:rsidRPr="00334F18">
              <w:rPr>
                <w:sz w:val="23"/>
                <w:szCs w:val="23"/>
                <w:vertAlign w:val="superscript"/>
              </w:rPr>
              <w:t>3</w:t>
            </w:r>
            <w:r w:rsidR="007111C4" w:rsidRPr="00334F18">
              <w:rPr>
                <w:sz w:val="23"/>
                <w:szCs w:val="23"/>
              </w:rPr>
              <w:t>.1&gt;&lt;17</w:t>
            </w:r>
            <w:r w:rsidR="007111C4" w:rsidRPr="00334F18">
              <w:rPr>
                <w:sz w:val="23"/>
                <w:szCs w:val="23"/>
                <w:vertAlign w:val="superscript"/>
              </w:rPr>
              <w:t>3</w:t>
            </w:r>
            <w:r w:rsidR="007111C4" w:rsidRPr="00334F18">
              <w:rPr>
                <w:sz w:val="23"/>
                <w:szCs w:val="23"/>
              </w:rPr>
              <w:t>.2&gt;&lt;17</w:t>
            </w:r>
            <w:r w:rsidR="007111C4" w:rsidRPr="00334F18">
              <w:rPr>
                <w:sz w:val="23"/>
                <w:szCs w:val="23"/>
                <w:vertAlign w:val="superscript"/>
              </w:rPr>
              <w:t>3</w:t>
            </w:r>
            <w:r w:rsidR="007111C4" w:rsidRPr="00334F18">
              <w:rPr>
                <w:sz w:val="23"/>
                <w:szCs w:val="23"/>
              </w:rPr>
              <w:t>.3&gt; punktą vaistinio (-ų) preparato (-ų) ekonominis vertinimas neatliekamas, išvados dėl kaštų naudingumo neteikiamos</w:t>
            </w:r>
          </w:p>
        </w:tc>
      </w:tr>
    </w:tbl>
    <w:p w14:paraId="08D5B3B6" w14:textId="292D1124" w:rsidR="0061611B" w:rsidRPr="00334F18" w:rsidRDefault="0061611B" w:rsidP="0061611B">
      <w:pPr>
        <w:rPr>
          <w:i/>
          <w:szCs w:val="22"/>
        </w:rPr>
      </w:pPr>
    </w:p>
    <w:p w14:paraId="18BAD153" w14:textId="77777777" w:rsidR="00772D8C" w:rsidRPr="00334F18" w:rsidRDefault="00772D8C" w:rsidP="00381024"/>
    <w:p w14:paraId="3B2D1F25" w14:textId="3A80E19F" w:rsidR="000001B0" w:rsidRPr="00334F18" w:rsidRDefault="000001B0" w:rsidP="00CC09D4">
      <w:pPr>
        <w:pStyle w:val="ListParagraph"/>
        <w:numPr>
          <w:ilvl w:val="0"/>
          <w:numId w:val="12"/>
        </w:numPr>
        <w:ind w:left="567" w:hanging="567"/>
      </w:pPr>
      <w:r w:rsidRPr="00334F18">
        <w:rPr>
          <w:b/>
        </w:rPr>
        <w:t>REKOME</w:t>
      </w:r>
      <w:r w:rsidR="00D83182" w:rsidRPr="00334F18">
        <w:rPr>
          <w:b/>
        </w:rPr>
        <w:t>N</w:t>
      </w:r>
      <w:r w:rsidRPr="00334F18">
        <w:rPr>
          <w:b/>
        </w:rPr>
        <w:t>DACIJA</w:t>
      </w:r>
    </w:p>
    <w:p w14:paraId="35E33D78" w14:textId="59232BB3" w:rsidR="00B811A4" w:rsidRPr="00334F18" w:rsidRDefault="00B811A4" w:rsidP="00B811A4">
      <w:pPr>
        <w:pStyle w:val="ListParagraph"/>
        <w:ind w:left="567"/>
        <w:rPr>
          <w:b/>
        </w:rPr>
      </w:pPr>
    </w:p>
    <w:p w14:paraId="224ADAB2" w14:textId="1B770703" w:rsidR="00E52E2C" w:rsidRDefault="00DA51BF" w:rsidP="00DA51BF">
      <w:pPr>
        <w:spacing w:line="276" w:lineRule="auto"/>
        <w:jc w:val="both"/>
        <w:rPr>
          <w:lang w:eastAsia="lt-LT"/>
        </w:rPr>
      </w:pPr>
      <w:bookmarkStart w:id="3" w:name="part_e5da10a7dd3c4954a51a4cfadcc5dca9"/>
      <w:bookmarkStart w:id="4" w:name="part_cfcc6837026a4f778099b76920d1102e"/>
      <w:bookmarkEnd w:id="3"/>
      <w:bookmarkEnd w:id="4"/>
      <w:r w:rsidRPr="00964D7B">
        <w:lastRenderedPageBreak/>
        <w:t xml:space="preserve">Vadovaujantis Aprašo </w:t>
      </w:r>
      <w:r w:rsidRPr="00964D7B">
        <w:rPr>
          <w:lang w:eastAsia="lt-LT"/>
        </w:rPr>
        <w:t>30</w:t>
      </w:r>
      <w:r w:rsidRPr="00964D7B">
        <w:rPr>
          <w:vertAlign w:val="superscript"/>
          <w:lang w:eastAsia="lt-LT"/>
        </w:rPr>
        <w:t>1</w:t>
      </w:r>
      <w:r w:rsidRPr="00964D7B">
        <w:rPr>
          <w:lang w:eastAsia="lt-LT"/>
        </w:rPr>
        <w:t>.1. papunkčiu rekomenduojama kompensuoti vaistinį preparatą pagal paraiškoje nurodytą indikaciją (arba jos dalį) su arba be skyrimo sąlygų, taikant PGS, kai vertinimo išvados atitinka Aprašo 29.1.1 ir 29.2.1 papunkčiuose numatytas sąlygas.</w:t>
      </w:r>
    </w:p>
    <w:p w14:paraId="3D60BB06" w14:textId="77777777" w:rsidR="00B811A4" w:rsidRPr="00334F18" w:rsidRDefault="00B811A4" w:rsidP="00DA51BF">
      <w:pPr>
        <w:widowControl w:val="0"/>
        <w:tabs>
          <w:tab w:val="left" w:pos="1418"/>
        </w:tabs>
        <w:suppressAutoHyphens/>
        <w:spacing w:line="360" w:lineRule="atLeast"/>
        <w:textAlignment w:val="center"/>
        <w:rPr>
          <w:lang w:eastAsia="lt-LT"/>
        </w:rPr>
      </w:pPr>
    </w:p>
    <w:p w14:paraId="42F3A222" w14:textId="77777777" w:rsidR="00B811A4" w:rsidRPr="00334F18" w:rsidRDefault="00B811A4" w:rsidP="00B811A4">
      <w:pPr>
        <w:tabs>
          <w:tab w:val="left" w:pos="426"/>
        </w:tabs>
        <w:jc w:val="both"/>
        <w:rPr>
          <w:b/>
          <w:lang w:eastAsia="lt-LT"/>
        </w:rPr>
      </w:pPr>
      <w:r w:rsidRPr="00334F18">
        <w:rPr>
          <w:b/>
          <w:lang w:eastAsia="lt-LT"/>
        </w:rPr>
        <w:t xml:space="preserve">4.3 Siūloma (-os) kompensuoti terapinės indikacijos ir skyrimo sąlygos </w:t>
      </w:r>
    </w:p>
    <w:p w14:paraId="425A8CDA" w14:textId="77777777" w:rsidR="00DA51BF" w:rsidRDefault="00DA51BF" w:rsidP="00DA51BF">
      <w:pPr>
        <w:pStyle w:val="NoSpacing"/>
        <w:jc w:val="both"/>
        <w:rPr>
          <w:rFonts w:ascii="Times New Roman" w:hAnsi="Times New Roman"/>
          <w:sz w:val="24"/>
          <w:szCs w:val="24"/>
        </w:rPr>
      </w:pPr>
    </w:p>
    <w:p w14:paraId="26DA5918" w14:textId="77777777" w:rsidR="00DA51BF" w:rsidRPr="009300B3" w:rsidRDefault="00DA51BF" w:rsidP="00DA51BF">
      <w:pPr>
        <w:pStyle w:val="NoSpacing"/>
        <w:jc w:val="both"/>
        <w:rPr>
          <w:rFonts w:ascii="Times New Roman" w:hAnsi="Times New Roman"/>
          <w:b/>
          <w:sz w:val="24"/>
          <w:szCs w:val="24"/>
          <w:lang w:eastAsia="lt-LT"/>
        </w:rPr>
      </w:pPr>
      <w:r w:rsidRPr="009300B3">
        <w:rPr>
          <w:rFonts w:ascii="Times New Roman" w:hAnsi="Times New Roman"/>
          <w:b/>
          <w:sz w:val="24"/>
          <w:szCs w:val="24"/>
          <w:lang w:eastAsia="lt-LT"/>
        </w:rPr>
        <w:t>Terapinės indikacijos</w:t>
      </w:r>
    </w:p>
    <w:p w14:paraId="2198B5A7" w14:textId="77777777" w:rsidR="00DA51BF" w:rsidRPr="000472E7" w:rsidRDefault="00DA51BF" w:rsidP="00DA51BF">
      <w:pPr>
        <w:pStyle w:val="NoSpacing"/>
        <w:jc w:val="both"/>
        <w:rPr>
          <w:rFonts w:ascii="Times New Roman" w:hAnsi="Times New Roman"/>
          <w:sz w:val="24"/>
          <w:szCs w:val="24"/>
        </w:rPr>
      </w:pPr>
      <w:r w:rsidRPr="000472E7">
        <w:rPr>
          <w:rFonts w:ascii="Times New Roman" w:hAnsi="Times New Roman"/>
          <w:sz w:val="24"/>
          <w:szCs w:val="24"/>
        </w:rPr>
        <w:t>Neoadjuvantinis gydymas IMFINZI deriniu su gemcitabinu ir cisplatina, po kurio skiriamas adjuvantinis gydymas monoterapija IMFINZI, yra skirtas suaugusiesiems, sergantiems rezekuotinu raumenis infiltruojančiu šlapimo pūslės vėžiu (MIBC).</w:t>
      </w:r>
    </w:p>
    <w:p w14:paraId="7A7D8987" w14:textId="77777777" w:rsidR="00DA51BF" w:rsidRDefault="00DA51BF" w:rsidP="00DA51BF">
      <w:pPr>
        <w:pStyle w:val="NoSpacing"/>
        <w:jc w:val="both"/>
        <w:rPr>
          <w:rFonts w:ascii="Times New Roman" w:hAnsi="Times New Roman"/>
          <w:sz w:val="24"/>
          <w:szCs w:val="24"/>
        </w:rPr>
      </w:pPr>
      <w:r w:rsidRPr="000472E7">
        <w:rPr>
          <w:rFonts w:ascii="Times New Roman" w:hAnsi="Times New Roman"/>
          <w:sz w:val="24"/>
          <w:szCs w:val="24"/>
        </w:rPr>
        <w:t>TLK-10 AM kodas – C67</w:t>
      </w:r>
      <w:r>
        <w:rPr>
          <w:rFonts w:ascii="Times New Roman" w:hAnsi="Times New Roman"/>
          <w:sz w:val="24"/>
          <w:szCs w:val="24"/>
        </w:rPr>
        <w:t>.</w:t>
      </w:r>
    </w:p>
    <w:p w14:paraId="3D11F348" w14:textId="77777777" w:rsidR="00DA51BF" w:rsidRPr="009300B3" w:rsidRDefault="00DA51BF" w:rsidP="00DA51BF">
      <w:pPr>
        <w:pStyle w:val="NoSpacing"/>
        <w:jc w:val="both"/>
        <w:rPr>
          <w:rFonts w:ascii="Times New Roman" w:hAnsi="Times New Roman"/>
          <w:sz w:val="24"/>
          <w:szCs w:val="24"/>
        </w:rPr>
      </w:pPr>
    </w:p>
    <w:p w14:paraId="74AEF914" w14:textId="77777777" w:rsidR="00DA51BF" w:rsidRPr="009300B3" w:rsidRDefault="00DA51BF" w:rsidP="00DA51BF">
      <w:pPr>
        <w:pStyle w:val="NoSpacing"/>
        <w:jc w:val="both"/>
        <w:rPr>
          <w:rFonts w:ascii="Times New Roman" w:hAnsi="Times New Roman"/>
          <w:b/>
          <w:sz w:val="24"/>
          <w:szCs w:val="24"/>
        </w:rPr>
      </w:pPr>
      <w:r w:rsidRPr="009300B3">
        <w:rPr>
          <w:rFonts w:ascii="Times New Roman" w:hAnsi="Times New Roman"/>
          <w:b/>
          <w:sz w:val="24"/>
          <w:szCs w:val="24"/>
        </w:rPr>
        <w:t>Skyrimo sąlygos</w:t>
      </w:r>
    </w:p>
    <w:p w14:paraId="08CC85EF" w14:textId="61F9CBC7" w:rsidR="00FF72F2" w:rsidRPr="00FF72F2" w:rsidRDefault="00FF72F2" w:rsidP="00FF72F2">
      <w:pPr>
        <w:pStyle w:val="NoSpacing"/>
        <w:jc w:val="both"/>
        <w:rPr>
          <w:rFonts w:ascii="Times New Roman" w:hAnsi="Times New Roman"/>
          <w:bCs/>
          <w:sz w:val="24"/>
          <w:szCs w:val="24"/>
        </w:rPr>
      </w:pPr>
      <w:r w:rsidRPr="00FF72F2">
        <w:rPr>
          <w:rFonts w:ascii="Times New Roman" w:hAnsi="Times New Roman"/>
          <w:bCs/>
          <w:sz w:val="24"/>
          <w:szCs w:val="24"/>
        </w:rPr>
        <w:t>Skiriamas operuotinos raumenis infiltruojančios urotelio karcinomos neoadjuvantiniam gydymui derinant su gemcitabinu ir cisplatina ne daugiau kaip 4 gydymo ciklams, vėliau adjuvantiniam gydymui kaip monoterapija ne daugiau kaip 8 gydymo cikl</w:t>
      </w:r>
      <w:r>
        <w:rPr>
          <w:rFonts w:ascii="Times New Roman" w:hAnsi="Times New Roman"/>
          <w:bCs/>
          <w:sz w:val="24"/>
          <w:szCs w:val="24"/>
        </w:rPr>
        <w:t>us</w:t>
      </w:r>
      <w:r w:rsidRPr="00FF72F2">
        <w:rPr>
          <w:rFonts w:ascii="Times New Roman" w:hAnsi="Times New Roman"/>
          <w:bCs/>
          <w:sz w:val="24"/>
          <w:szCs w:val="24"/>
        </w:rPr>
        <w:t xml:space="preserve">. </w:t>
      </w:r>
    </w:p>
    <w:p w14:paraId="7D5C6700" w14:textId="77777777" w:rsidR="00D5470B" w:rsidRPr="00334F18" w:rsidRDefault="00D5470B" w:rsidP="00C712EA">
      <w:pPr>
        <w:pStyle w:val="ListParagraph"/>
        <w:ind w:left="426"/>
      </w:pPr>
    </w:p>
    <w:p w14:paraId="7CDFF220" w14:textId="0B3C8DD0" w:rsidR="000723FF" w:rsidRPr="00611315" w:rsidRDefault="00283E59" w:rsidP="00611315">
      <w:pPr>
        <w:widowControl w:val="0"/>
        <w:tabs>
          <w:tab w:val="left" w:pos="1418"/>
        </w:tabs>
        <w:suppressAutoHyphens/>
        <w:spacing w:line="360" w:lineRule="atLeast"/>
        <w:jc w:val="center"/>
        <w:textAlignment w:val="center"/>
      </w:pPr>
      <w:r w:rsidRPr="00334F18">
        <w:rPr>
          <w:lang w:eastAsia="lt-LT"/>
        </w:rPr>
        <w:t>____________________________</w:t>
      </w:r>
    </w:p>
    <w:sectPr w:rsidR="000723FF" w:rsidRPr="00611315" w:rsidSect="00063A50">
      <w:headerReference w:type="first" r:id="rId8"/>
      <w:footerReference w:type="first" r:id="rId9"/>
      <w:pgSz w:w="11907" w:h="16840" w:code="9"/>
      <w:pgMar w:top="1134" w:right="567" w:bottom="1134" w:left="1701" w:header="646"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A5A56" w14:textId="77777777" w:rsidR="005A7769" w:rsidRDefault="005A7769">
      <w:r>
        <w:separator/>
      </w:r>
    </w:p>
  </w:endnote>
  <w:endnote w:type="continuationSeparator" w:id="0">
    <w:p w14:paraId="6FD49B1C" w14:textId="77777777" w:rsidR="005A7769" w:rsidRDefault="005A7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D3368" w14:textId="77777777" w:rsidR="00347FAA" w:rsidRDefault="00347FAA">
    <w:pPr>
      <w:pStyle w:val="Footer"/>
      <w:jc w:val="right"/>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BA86B" w14:textId="77777777" w:rsidR="005A7769" w:rsidRDefault="005A7769">
      <w:r>
        <w:separator/>
      </w:r>
    </w:p>
  </w:footnote>
  <w:footnote w:type="continuationSeparator" w:id="0">
    <w:p w14:paraId="5BCBB551" w14:textId="77777777" w:rsidR="005A7769" w:rsidRDefault="005A77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E1C8F" w14:textId="77777777" w:rsidR="00347FAA" w:rsidRDefault="00347FAA" w:rsidP="00FD793C">
    <w:pPr>
      <w:pStyle w:val="Header"/>
      <w:ind w:left="612"/>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7D8E"/>
    <w:multiLevelType w:val="hybridMultilevel"/>
    <w:tmpl w:val="10FAC1C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1276250"/>
    <w:multiLevelType w:val="hybridMultilevel"/>
    <w:tmpl w:val="3B6C29F4"/>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9E0081E"/>
    <w:multiLevelType w:val="multilevel"/>
    <w:tmpl w:val="0427001F"/>
    <w:lvl w:ilvl="0">
      <w:start w:val="1"/>
      <w:numFmt w:val="decimal"/>
      <w:lvlText w:val="%1."/>
      <w:lvlJc w:val="left"/>
      <w:pPr>
        <w:ind w:left="360" w:hanging="360"/>
      </w:pPr>
      <w:rPr>
        <w:rFonts w:hint="default"/>
        <w:b w:val="0"/>
        <w:bCs w:val="0"/>
      </w:rPr>
    </w:lvl>
    <w:lvl w:ilvl="1">
      <w:start w:val="1"/>
      <w:numFmt w:val="decimal"/>
      <w:lvlText w:val="%1.%2."/>
      <w:lvlJc w:val="left"/>
      <w:pPr>
        <w:ind w:left="28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B56BED"/>
    <w:multiLevelType w:val="hybridMultilevel"/>
    <w:tmpl w:val="03368D8C"/>
    <w:lvl w:ilvl="0" w:tplc="02445FC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2AD2E58"/>
    <w:multiLevelType w:val="hybridMultilevel"/>
    <w:tmpl w:val="F6943F7A"/>
    <w:lvl w:ilvl="0" w:tplc="AB64BC8E">
      <w:start w:val="1"/>
      <w:numFmt w:val="decimal"/>
      <w:lvlText w:val="%1."/>
      <w:lvlJc w:val="left"/>
      <w:pPr>
        <w:ind w:left="720" w:hanging="360"/>
      </w:pPr>
      <w:rPr>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A101C59"/>
    <w:multiLevelType w:val="hybridMultilevel"/>
    <w:tmpl w:val="64544F3A"/>
    <w:lvl w:ilvl="0" w:tplc="04270001">
      <w:start w:val="1"/>
      <w:numFmt w:val="bullet"/>
      <w:lvlText w:val=""/>
      <w:lvlJc w:val="left"/>
      <w:pPr>
        <w:ind w:left="2160" w:hanging="360"/>
      </w:pPr>
      <w:rPr>
        <w:rFonts w:ascii="Symbol" w:hAnsi="Symbol"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6" w15:restartNumberingAfterBreak="0">
    <w:nsid w:val="1A816B09"/>
    <w:multiLevelType w:val="hybridMultilevel"/>
    <w:tmpl w:val="8FBEE17A"/>
    <w:lvl w:ilvl="0" w:tplc="0427000F">
      <w:start w:val="16"/>
      <w:numFmt w:val="decimal"/>
      <w:lvlText w:val="%1."/>
      <w:lvlJc w:val="left"/>
      <w:pPr>
        <w:ind w:left="501" w:hanging="360"/>
      </w:pPr>
      <w:rPr>
        <w:rFonts w:hint="default"/>
      </w:rPr>
    </w:lvl>
    <w:lvl w:ilvl="1" w:tplc="04270019" w:tentative="1">
      <w:start w:val="1"/>
      <w:numFmt w:val="lowerLetter"/>
      <w:lvlText w:val="%2."/>
      <w:lvlJc w:val="left"/>
      <w:pPr>
        <w:ind w:left="1581" w:hanging="360"/>
      </w:pPr>
    </w:lvl>
    <w:lvl w:ilvl="2" w:tplc="0427001B" w:tentative="1">
      <w:start w:val="1"/>
      <w:numFmt w:val="lowerRoman"/>
      <w:lvlText w:val="%3."/>
      <w:lvlJc w:val="right"/>
      <w:pPr>
        <w:ind w:left="2301" w:hanging="180"/>
      </w:pPr>
    </w:lvl>
    <w:lvl w:ilvl="3" w:tplc="0427000F" w:tentative="1">
      <w:start w:val="1"/>
      <w:numFmt w:val="decimal"/>
      <w:lvlText w:val="%4."/>
      <w:lvlJc w:val="left"/>
      <w:pPr>
        <w:ind w:left="3021" w:hanging="360"/>
      </w:pPr>
    </w:lvl>
    <w:lvl w:ilvl="4" w:tplc="04270019" w:tentative="1">
      <w:start w:val="1"/>
      <w:numFmt w:val="lowerLetter"/>
      <w:lvlText w:val="%5."/>
      <w:lvlJc w:val="left"/>
      <w:pPr>
        <w:ind w:left="3741" w:hanging="360"/>
      </w:pPr>
    </w:lvl>
    <w:lvl w:ilvl="5" w:tplc="0427001B" w:tentative="1">
      <w:start w:val="1"/>
      <w:numFmt w:val="lowerRoman"/>
      <w:lvlText w:val="%6."/>
      <w:lvlJc w:val="right"/>
      <w:pPr>
        <w:ind w:left="4461" w:hanging="180"/>
      </w:pPr>
    </w:lvl>
    <w:lvl w:ilvl="6" w:tplc="0427000F" w:tentative="1">
      <w:start w:val="1"/>
      <w:numFmt w:val="decimal"/>
      <w:lvlText w:val="%7."/>
      <w:lvlJc w:val="left"/>
      <w:pPr>
        <w:ind w:left="5181" w:hanging="360"/>
      </w:pPr>
    </w:lvl>
    <w:lvl w:ilvl="7" w:tplc="04270019" w:tentative="1">
      <w:start w:val="1"/>
      <w:numFmt w:val="lowerLetter"/>
      <w:lvlText w:val="%8."/>
      <w:lvlJc w:val="left"/>
      <w:pPr>
        <w:ind w:left="5901" w:hanging="360"/>
      </w:pPr>
    </w:lvl>
    <w:lvl w:ilvl="8" w:tplc="0427001B" w:tentative="1">
      <w:start w:val="1"/>
      <w:numFmt w:val="lowerRoman"/>
      <w:lvlText w:val="%9."/>
      <w:lvlJc w:val="right"/>
      <w:pPr>
        <w:ind w:left="6621" w:hanging="180"/>
      </w:pPr>
    </w:lvl>
  </w:abstractNum>
  <w:abstractNum w:abstractNumId="7" w15:restartNumberingAfterBreak="0">
    <w:nsid w:val="3975004F"/>
    <w:multiLevelType w:val="hybridMultilevel"/>
    <w:tmpl w:val="13E4607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8" w15:restartNumberingAfterBreak="0">
    <w:nsid w:val="3BCC4222"/>
    <w:multiLevelType w:val="multilevel"/>
    <w:tmpl w:val="C9C6278E"/>
    <w:lvl w:ilvl="0">
      <w:start w:val="2"/>
      <w:numFmt w:val="decimal"/>
      <w:lvlText w:val="%1."/>
      <w:lvlJc w:val="left"/>
      <w:pPr>
        <w:ind w:left="360" w:hanging="360"/>
      </w:pPr>
      <w:rPr>
        <w:rFonts w:eastAsia="Arial Unicode MS" w:hint="default"/>
      </w:rPr>
    </w:lvl>
    <w:lvl w:ilvl="1">
      <w:start w:val="7"/>
      <w:numFmt w:val="decimal"/>
      <w:lvlText w:val="%1.%2."/>
      <w:lvlJc w:val="left"/>
      <w:pPr>
        <w:ind w:left="720" w:hanging="360"/>
      </w:pPr>
      <w:rPr>
        <w:rFonts w:eastAsia="Arial Unicode MS" w:hint="default"/>
      </w:rPr>
    </w:lvl>
    <w:lvl w:ilvl="2">
      <w:start w:val="1"/>
      <w:numFmt w:val="decimal"/>
      <w:lvlText w:val="%1.%2.%3."/>
      <w:lvlJc w:val="left"/>
      <w:pPr>
        <w:ind w:left="1440" w:hanging="720"/>
      </w:pPr>
      <w:rPr>
        <w:rFonts w:eastAsia="Arial Unicode MS" w:hint="default"/>
      </w:rPr>
    </w:lvl>
    <w:lvl w:ilvl="3">
      <w:start w:val="1"/>
      <w:numFmt w:val="decimal"/>
      <w:lvlText w:val="%1.%2.%3.%4."/>
      <w:lvlJc w:val="left"/>
      <w:pPr>
        <w:ind w:left="1800" w:hanging="720"/>
      </w:pPr>
      <w:rPr>
        <w:rFonts w:eastAsia="Arial Unicode MS" w:hint="default"/>
      </w:rPr>
    </w:lvl>
    <w:lvl w:ilvl="4">
      <w:start w:val="1"/>
      <w:numFmt w:val="decimal"/>
      <w:lvlText w:val="%1.%2.%3.%4.%5."/>
      <w:lvlJc w:val="left"/>
      <w:pPr>
        <w:ind w:left="2520" w:hanging="1080"/>
      </w:pPr>
      <w:rPr>
        <w:rFonts w:eastAsia="Arial Unicode MS" w:hint="default"/>
      </w:rPr>
    </w:lvl>
    <w:lvl w:ilvl="5">
      <w:start w:val="1"/>
      <w:numFmt w:val="decimal"/>
      <w:lvlText w:val="%1.%2.%3.%4.%5.%6."/>
      <w:lvlJc w:val="left"/>
      <w:pPr>
        <w:ind w:left="2880" w:hanging="1080"/>
      </w:pPr>
      <w:rPr>
        <w:rFonts w:eastAsia="Arial Unicode MS" w:hint="default"/>
      </w:rPr>
    </w:lvl>
    <w:lvl w:ilvl="6">
      <w:start w:val="1"/>
      <w:numFmt w:val="decimal"/>
      <w:lvlText w:val="%1.%2.%3.%4.%5.%6.%7."/>
      <w:lvlJc w:val="left"/>
      <w:pPr>
        <w:ind w:left="3600" w:hanging="1440"/>
      </w:pPr>
      <w:rPr>
        <w:rFonts w:eastAsia="Arial Unicode MS" w:hint="default"/>
      </w:rPr>
    </w:lvl>
    <w:lvl w:ilvl="7">
      <w:start w:val="1"/>
      <w:numFmt w:val="decimal"/>
      <w:lvlText w:val="%1.%2.%3.%4.%5.%6.%7.%8."/>
      <w:lvlJc w:val="left"/>
      <w:pPr>
        <w:ind w:left="3960" w:hanging="1440"/>
      </w:pPr>
      <w:rPr>
        <w:rFonts w:eastAsia="Arial Unicode MS" w:hint="default"/>
      </w:rPr>
    </w:lvl>
    <w:lvl w:ilvl="8">
      <w:start w:val="1"/>
      <w:numFmt w:val="decimal"/>
      <w:lvlText w:val="%1.%2.%3.%4.%5.%6.%7.%8.%9."/>
      <w:lvlJc w:val="left"/>
      <w:pPr>
        <w:ind w:left="4680" w:hanging="1800"/>
      </w:pPr>
      <w:rPr>
        <w:rFonts w:eastAsia="Arial Unicode MS" w:hint="default"/>
      </w:rPr>
    </w:lvl>
  </w:abstractNum>
  <w:abstractNum w:abstractNumId="9" w15:restartNumberingAfterBreak="0">
    <w:nsid w:val="41953EAB"/>
    <w:multiLevelType w:val="hybridMultilevel"/>
    <w:tmpl w:val="D0F01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9B0191"/>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83C1B"/>
    <w:multiLevelType w:val="multilevel"/>
    <w:tmpl w:val="5F3843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2" w15:restartNumberingAfterBreak="0">
    <w:nsid w:val="5A0D73F3"/>
    <w:multiLevelType w:val="hybridMultilevel"/>
    <w:tmpl w:val="CA9A2AC8"/>
    <w:lvl w:ilvl="0" w:tplc="0427000F">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AB27E1E"/>
    <w:multiLevelType w:val="hybridMultilevel"/>
    <w:tmpl w:val="3D568A5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2266018"/>
    <w:multiLevelType w:val="hybridMultilevel"/>
    <w:tmpl w:val="AA9C98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E943885"/>
    <w:multiLevelType w:val="multilevel"/>
    <w:tmpl w:val="F7D8A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9035017">
    <w:abstractNumId w:val="9"/>
  </w:num>
  <w:num w:numId="2" w16cid:durableId="985162166">
    <w:abstractNumId w:val="2"/>
  </w:num>
  <w:num w:numId="3" w16cid:durableId="480578891">
    <w:abstractNumId w:val="11"/>
  </w:num>
  <w:num w:numId="4" w16cid:durableId="442387534">
    <w:abstractNumId w:val="10"/>
  </w:num>
  <w:num w:numId="5" w16cid:durableId="823667834">
    <w:abstractNumId w:val="8"/>
  </w:num>
  <w:num w:numId="6" w16cid:durableId="417020125">
    <w:abstractNumId w:val="7"/>
  </w:num>
  <w:num w:numId="7" w16cid:durableId="1843550031">
    <w:abstractNumId w:val="5"/>
  </w:num>
  <w:num w:numId="8" w16cid:durableId="580068462">
    <w:abstractNumId w:val="14"/>
  </w:num>
  <w:num w:numId="9" w16cid:durableId="257183606">
    <w:abstractNumId w:val="0"/>
  </w:num>
  <w:num w:numId="10" w16cid:durableId="131410136">
    <w:abstractNumId w:val="12"/>
  </w:num>
  <w:num w:numId="11" w16cid:durableId="1133251921">
    <w:abstractNumId w:val="13"/>
  </w:num>
  <w:num w:numId="12" w16cid:durableId="700133012">
    <w:abstractNumId w:val="4"/>
  </w:num>
  <w:num w:numId="13" w16cid:durableId="373774129">
    <w:abstractNumId w:val="6"/>
  </w:num>
  <w:num w:numId="14" w16cid:durableId="1004668447">
    <w:abstractNumId w:val="1"/>
  </w:num>
  <w:num w:numId="15" w16cid:durableId="102849949">
    <w:abstractNumId w:val="3"/>
  </w:num>
  <w:num w:numId="16" w16cid:durableId="4343743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0E7"/>
    <w:rsid w:val="000001B0"/>
    <w:rsid w:val="00003F5B"/>
    <w:rsid w:val="000114DD"/>
    <w:rsid w:val="000136F7"/>
    <w:rsid w:val="000203E1"/>
    <w:rsid w:val="0002686C"/>
    <w:rsid w:val="00031D0E"/>
    <w:rsid w:val="000337E6"/>
    <w:rsid w:val="0003402E"/>
    <w:rsid w:val="00034EAE"/>
    <w:rsid w:val="00042924"/>
    <w:rsid w:val="000448C6"/>
    <w:rsid w:val="00052BD8"/>
    <w:rsid w:val="00053975"/>
    <w:rsid w:val="00057A2B"/>
    <w:rsid w:val="000606BE"/>
    <w:rsid w:val="000624FF"/>
    <w:rsid w:val="00063A50"/>
    <w:rsid w:val="000723FF"/>
    <w:rsid w:val="000736B8"/>
    <w:rsid w:val="0008190F"/>
    <w:rsid w:val="00081D9C"/>
    <w:rsid w:val="00082907"/>
    <w:rsid w:val="0008378D"/>
    <w:rsid w:val="000908A5"/>
    <w:rsid w:val="00092805"/>
    <w:rsid w:val="000A50C9"/>
    <w:rsid w:val="000B2B2C"/>
    <w:rsid w:val="000B76AD"/>
    <w:rsid w:val="000C454C"/>
    <w:rsid w:val="000D5038"/>
    <w:rsid w:val="000E29D4"/>
    <w:rsid w:val="000F3540"/>
    <w:rsid w:val="00100491"/>
    <w:rsid w:val="00104E2E"/>
    <w:rsid w:val="00107287"/>
    <w:rsid w:val="00117194"/>
    <w:rsid w:val="00117406"/>
    <w:rsid w:val="00121EF0"/>
    <w:rsid w:val="00124A9E"/>
    <w:rsid w:val="00130703"/>
    <w:rsid w:val="0013153F"/>
    <w:rsid w:val="001408B8"/>
    <w:rsid w:val="001466FE"/>
    <w:rsid w:val="001517E2"/>
    <w:rsid w:val="001521D9"/>
    <w:rsid w:val="001554E2"/>
    <w:rsid w:val="00164146"/>
    <w:rsid w:val="00164D64"/>
    <w:rsid w:val="0017369C"/>
    <w:rsid w:val="00175D57"/>
    <w:rsid w:val="00180C39"/>
    <w:rsid w:val="00180D96"/>
    <w:rsid w:val="00184BD3"/>
    <w:rsid w:val="001921F3"/>
    <w:rsid w:val="001A0CAA"/>
    <w:rsid w:val="001B3C5B"/>
    <w:rsid w:val="001C2FC8"/>
    <w:rsid w:val="001C6353"/>
    <w:rsid w:val="001D5B91"/>
    <w:rsid w:val="001D746F"/>
    <w:rsid w:val="001E0B2D"/>
    <w:rsid w:val="001E4BBB"/>
    <w:rsid w:val="001E6304"/>
    <w:rsid w:val="001F115E"/>
    <w:rsid w:val="0020381E"/>
    <w:rsid w:val="00213471"/>
    <w:rsid w:val="00215906"/>
    <w:rsid w:val="00241CD8"/>
    <w:rsid w:val="00244B09"/>
    <w:rsid w:val="002519CB"/>
    <w:rsid w:val="0025697F"/>
    <w:rsid w:val="00260258"/>
    <w:rsid w:val="0026588E"/>
    <w:rsid w:val="00272428"/>
    <w:rsid w:val="00272948"/>
    <w:rsid w:val="00283E59"/>
    <w:rsid w:val="00292392"/>
    <w:rsid w:val="002946C7"/>
    <w:rsid w:val="002B3CC1"/>
    <w:rsid w:val="002C0686"/>
    <w:rsid w:val="002C09E0"/>
    <w:rsid w:val="002C100E"/>
    <w:rsid w:val="002C1BB1"/>
    <w:rsid w:val="002C2786"/>
    <w:rsid w:val="002C3A10"/>
    <w:rsid w:val="002C4A90"/>
    <w:rsid w:val="002C4ED5"/>
    <w:rsid w:val="002D02EF"/>
    <w:rsid w:val="002E0702"/>
    <w:rsid w:val="002E1A83"/>
    <w:rsid w:val="002E57AD"/>
    <w:rsid w:val="002E6F80"/>
    <w:rsid w:val="002F0E4F"/>
    <w:rsid w:val="002F1053"/>
    <w:rsid w:val="00314816"/>
    <w:rsid w:val="00317B0E"/>
    <w:rsid w:val="00334F18"/>
    <w:rsid w:val="00336238"/>
    <w:rsid w:val="00347FAA"/>
    <w:rsid w:val="0035172D"/>
    <w:rsid w:val="0036187D"/>
    <w:rsid w:val="00367EDB"/>
    <w:rsid w:val="003705F0"/>
    <w:rsid w:val="00381024"/>
    <w:rsid w:val="00386307"/>
    <w:rsid w:val="003874DE"/>
    <w:rsid w:val="00393E9F"/>
    <w:rsid w:val="0039696E"/>
    <w:rsid w:val="003B211A"/>
    <w:rsid w:val="003C141F"/>
    <w:rsid w:val="003C6B0E"/>
    <w:rsid w:val="003C7257"/>
    <w:rsid w:val="003C7E35"/>
    <w:rsid w:val="003D1E99"/>
    <w:rsid w:val="003D6208"/>
    <w:rsid w:val="00404E8A"/>
    <w:rsid w:val="0040622F"/>
    <w:rsid w:val="00413F24"/>
    <w:rsid w:val="00422853"/>
    <w:rsid w:val="00423160"/>
    <w:rsid w:val="00437623"/>
    <w:rsid w:val="00444A2B"/>
    <w:rsid w:val="00453862"/>
    <w:rsid w:val="0045469B"/>
    <w:rsid w:val="00461338"/>
    <w:rsid w:val="004677DB"/>
    <w:rsid w:val="00476256"/>
    <w:rsid w:val="0048630F"/>
    <w:rsid w:val="004947A1"/>
    <w:rsid w:val="0049482A"/>
    <w:rsid w:val="004979D3"/>
    <w:rsid w:val="004A00E7"/>
    <w:rsid w:val="004A3A61"/>
    <w:rsid w:val="004B59BA"/>
    <w:rsid w:val="004B5A03"/>
    <w:rsid w:val="004C263A"/>
    <w:rsid w:val="004C6221"/>
    <w:rsid w:val="004D48A6"/>
    <w:rsid w:val="004D70B6"/>
    <w:rsid w:val="004D7B8F"/>
    <w:rsid w:val="004E241F"/>
    <w:rsid w:val="004E6458"/>
    <w:rsid w:val="004E6E7D"/>
    <w:rsid w:val="004F1AAC"/>
    <w:rsid w:val="004F1AE2"/>
    <w:rsid w:val="004F34F0"/>
    <w:rsid w:val="004F3B2B"/>
    <w:rsid w:val="004F6050"/>
    <w:rsid w:val="005005EF"/>
    <w:rsid w:val="005123C2"/>
    <w:rsid w:val="00512773"/>
    <w:rsid w:val="005133C6"/>
    <w:rsid w:val="0052144B"/>
    <w:rsid w:val="00524066"/>
    <w:rsid w:val="00526A0F"/>
    <w:rsid w:val="00534E11"/>
    <w:rsid w:val="005378D8"/>
    <w:rsid w:val="005400D9"/>
    <w:rsid w:val="005476A4"/>
    <w:rsid w:val="0055019B"/>
    <w:rsid w:val="00556E63"/>
    <w:rsid w:val="005601A4"/>
    <w:rsid w:val="00566DBB"/>
    <w:rsid w:val="00567B14"/>
    <w:rsid w:val="005767DB"/>
    <w:rsid w:val="005815E6"/>
    <w:rsid w:val="0058712F"/>
    <w:rsid w:val="005976CE"/>
    <w:rsid w:val="005A23D4"/>
    <w:rsid w:val="005A2D1E"/>
    <w:rsid w:val="005A4698"/>
    <w:rsid w:val="005A7769"/>
    <w:rsid w:val="005B3756"/>
    <w:rsid w:val="005C493F"/>
    <w:rsid w:val="005C6BF7"/>
    <w:rsid w:val="005C71BF"/>
    <w:rsid w:val="005D002C"/>
    <w:rsid w:val="005D30E1"/>
    <w:rsid w:val="005D6555"/>
    <w:rsid w:val="005D7BDF"/>
    <w:rsid w:val="005E4870"/>
    <w:rsid w:val="005F71D9"/>
    <w:rsid w:val="005F7602"/>
    <w:rsid w:val="006062BE"/>
    <w:rsid w:val="00611315"/>
    <w:rsid w:val="00613143"/>
    <w:rsid w:val="00613501"/>
    <w:rsid w:val="0061611B"/>
    <w:rsid w:val="006166A8"/>
    <w:rsid w:val="006174A1"/>
    <w:rsid w:val="00621D6C"/>
    <w:rsid w:val="00633B49"/>
    <w:rsid w:val="0064297F"/>
    <w:rsid w:val="00645102"/>
    <w:rsid w:val="00646CF3"/>
    <w:rsid w:val="00653D11"/>
    <w:rsid w:val="00662983"/>
    <w:rsid w:val="00680371"/>
    <w:rsid w:val="006834D3"/>
    <w:rsid w:val="00692625"/>
    <w:rsid w:val="00695CD3"/>
    <w:rsid w:val="006A38B6"/>
    <w:rsid w:val="006B1987"/>
    <w:rsid w:val="006B5B71"/>
    <w:rsid w:val="006B5D3E"/>
    <w:rsid w:val="006B6CB0"/>
    <w:rsid w:val="006C2B64"/>
    <w:rsid w:val="006D1BF3"/>
    <w:rsid w:val="006D4C85"/>
    <w:rsid w:val="006D66AC"/>
    <w:rsid w:val="006E33F6"/>
    <w:rsid w:val="006F1251"/>
    <w:rsid w:val="006F1C23"/>
    <w:rsid w:val="00702C18"/>
    <w:rsid w:val="00703166"/>
    <w:rsid w:val="007111C4"/>
    <w:rsid w:val="007127F3"/>
    <w:rsid w:val="007301CF"/>
    <w:rsid w:val="007316FB"/>
    <w:rsid w:val="00737E2D"/>
    <w:rsid w:val="007424D5"/>
    <w:rsid w:val="00745C63"/>
    <w:rsid w:val="00750A88"/>
    <w:rsid w:val="007523DD"/>
    <w:rsid w:val="00757B7E"/>
    <w:rsid w:val="007656B2"/>
    <w:rsid w:val="0077016F"/>
    <w:rsid w:val="007713AD"/>
    <w:rsid w:val="00772D8C"/>
    <w:rsid w:val="00774F67"/>
    <w:rsid w:val="00795DC5"/>
    <w:rsid w:val="00797153"/>
    <w:rsid w:val="007A21F7"/>
    <w:rsid w:val="007A2B68"/>
    <w:rsid w:val="007B0DDA"/>
    <w:rsid w:val="007D3347"/>
    <w:rsid w:val="007D654E"/>
    <w:rsid w:val="007E5466"/>
    <w:rsid w:val="007F1949"/>
    <w:rsid w:val="007F2592"/>
    <w:rsid w:val="00800A08"/>
    <w:rsid w:val="00817A84"/>
    <w:rsid w:val="008225A4"/>
    <w:rsid w:val="00824B92"/>
    <w:rsid w:val="00826D5E"/>
    <w:rsid w:val="00832013"/>
    <w:rsid w:val="00832DB7"/>
    <w:rsid w:val="00834732"/>
    <w:rsid w:val="0085200C"/>
    <w:rsid w:val="00853487"/>
    <w:rsid w:val="00857C52"/>
    <w:rsid w:val="00860D5F"/>
    <w:rsid w:val="00880A44"/>
    <w:rsid w:val="0088345E"/>
    <w:rsid w:val="0088656F"/>
    <w:rsid w:val="008875BC"/>
    <w:rsid w:val="00891EF6"/>
    <w:rsid w:val="00892FF4"/>
    <w:rsid w:val="0089345A"/>
    <w:rsid w:val="008A0303"/>
    <w:rsid w:val="008A5FDD"/>
    <w:rsid w:val="008C3947"/>
    <w:rsid w:val="008E473B"/>
    <w:rsid w:val="008E4912"/>
    <w:rsid w:val="008E51A6"/>
    <w:rsid w:val="008E7329"/>
    <w:rsid w:val="008F2ED5"/>
    <w:rsid w:val="008F53C4"/>
    <w:rsid w:val="009132D2"/>
    <w:rsid w:val="0092297E"/>
    <w:rsid w:val="00923292"/>
    <w:rsid w:val="00923651"/>
    <w:rsid w:val="00924DF7"/>
    <w:rsid w:val="00927B56"/>
    <w:rsid w:val="009341BF"/>
    <w:rsid w:val="00937907"/>
    <w:rsid w:val="00941739"/>
    <w:rsid w:val="00951573"/>
    <w:rsid w:val="00963003"/>
    <w:rsid w:val="00965919"/>
    <w:rsid w:val="00966EEF"/>
    <w:rsid w:val="00971B28"/>
    <w:rsid w:val="00983471"/>
    <w:rsid w:val="009909AB"/>
    <w:rsid w:val="009B37DB"/>
    <w:rsid w:val="009C7A8C"/>
    <w:rsid w:val="009D23F9"/>
    <w:rsid w:val="009D4FA8"/>
    <w:rsid w:val="009E44AE"/>
    <w:rsid w:val="009E6849"/>
    <w:rsid w:val="009E6CD6"/>
    <w:rsid w:val="009F4D66"/>
    <w:rsid w:val="00A00C3C"/>
    <w:rsid w:val="00A01091"/>
    <w:rsid w:val="00A042B9"/>
    <w:rsid w:val="00A06DBB"/>
    <w:rsid w:val="00A22ADF"/>
    <w:rsid w:val="00A2310D"/>
    <w:rsid w:val="00A254A2"/>
    <w:rsid w:val="00A31E86"/>
    <w:rsid w:val="00A54D87"/>
    <w:rsid w:val="00A5553C"/>
    <w:rsid w:val="00A701C9"/>
    <w:rsid w:val="00A81785"/>
    <w:rsid w:val="00A84803"/>
    <w:rsid w:val="00A84C51"/>
    <w:rsid w:val="00A86F2B"/>
    <w:rsid w:val="00A91366"/>
    <w:rsid w:val="00A92F91"/>
    <w:rsid w:val="00A93AA6"/>
    <w:rsid w:val="00AA4E48"/>
    <w:rsid w:val="00AA6202"/>
    <w:rsid w:val="00AA7B57"/>
    <w:rsid w:val="00AB1874"/>
    <w:rsid w:val="00AB2806"/>
    <w:rsid w:val="00AB2D54"/>
    <w:rsid w:val="00AC26FC"/>
    <w:rsid w:val="00AC4A99"/>
    <w:rsid w:val="00AC5129"/>
    <w:rsid w:val="00AC64D2"/>
    <w:rsid w:val="00AD02E7"/>
    <w:rsid w:val="00AE0FE8"/>
    <w:rsid w:val="00AF60D5"/>
    <w:rsid w:val="00AF7067"/>
    <w:rsid w:val="00B00959"/>
    <w:rsid w:val="00B04415"/>
    <w:rsid w:val="00B06509"/>
    <w:rsid w:val="00B11D60"/>
    <w:rsid w:val="00B13D65"/>
    <w:rsid w:val="00B21805"/>
    <w:rsid w:val="00B3072E"/>
    <w:rsid w:val="00B36E15"/>
    <w:rsid w:val="00B37245"/>
    <w:rsid w:val="00B4017A"/>
    <w:rsid w:val="00B4468D"/>
    <w:rsid w:val="00B71C72"/>
    <w:rsid w:val="00B71F04"/>
    <w:rsid w:val="00B71F83"/>
    <w:rsid w:val="00B74A62"/>
    <w:rsid w:val="00B811A4"/>
    <w:rsid w:val="00B81E92"/>
    <w:rsid w:val="00B908D7"/>
    <w:rsid w:val="00B935E8"/>
    <w:rsid w:val="00B93B30"/>
    <w:rsid w:val="00B94CB5"/>
    <w:rsid w:val="00BA0DD9"/>
    <w:rsid w:val="00BA5DBC"/>
    <w:rsid w:val="00BA6584"/>
    <w:rsid w:val="00BB241A"/>
    <w:rsid w:val="00BB6312"/>
    <w:rsid w:val="00BC39C2"/>
    <w:rsid w:val="00BC4D06"/>
    <w:rsid w:val="00BD05E1"/>
    <w:rsid w:val="00BD585E"/>
    <w:rsid w:val="00BD6919"/>
    <w:rsid w:val="00BE1EA7"/>
    <w:rsid w:val="00BE7489"/>
    <w:rsid w:val="00BF2E0D"/>
    <w:rsid w:val="00BF3927"/>
    <w:rsid w:val="00BF3F8B"/>
    <w:rsid w:val="00BF76DA"/>
    <w:rsid w:val="00C00CDB"/>
    <w:rsid w:val="00C07C7B"/>
    <w:rsid w:val="00C16245"/>
    <w:rsid w:val="00C22DC5"/>
    <w:rsid w:val="00C24479"/>
    <w:rsid w:val="00C273F2"/>
    <w:rsid w:val="00C37B53"/>
    <w:rsid w:val="00C434EB"/>
    <w:rsid w:val="00C517D2"/>
    <w:rsid w:val="00C5772E"/>
    <w:rsid w:val="00C62B36"/>
    <w:rsid w:val="00C7012C"/>
    <w:rsid w:val="00C712EA"/>
    <w:rsid w:val="00C73BF9"/>
    <w:rsid w:val="00C87033"/>
    <w:rsid w:val="00C9728E"/>
    <w:rsid w:val="00CA217D"/>
    <w:rsid w:val="00CA3131"/>
    <w:rsid w:val="00CC09D4"/>
    <w:rsid w:val="00CC4F5F"/>
    <w:rsid w:val="00CC668D"/>
    <w:rsid w:val="00CC7832"/>
    <w:rsid w:val="00CD488E"/>
    <w:rsid w:val="00CE4B0B"/>
    <w:rsid w:val="00CF0C1C"/>
    <w:rsid w:val="00CF27FD"/>
    <w:rsid w:val="00CF5F12"/>
    <w:rsid w:val="00D00D8F"/>
    <w:rsid w:val="00D12869"/>
    <w:rsid w:val="00D14512"/>
    <w:rsid w:val="00D15ED6"/>
    <w:rsid w:val="00D21F3A"/>
    <w:rsid w:val="00D23808"/>
    <w:rsid w:val="00D3016A"/>
    <w:rsid w:val="00D36094"/>
    <w:rsid w:val="00D417D2"/>
    <w:rsid w:val="00D42960"/>
    <w:rsid w:val="00D43BD7"/>
    <w:rsid w:val="00D4485B"/>
    <w:rsid w:val="00D46CCD"/>
    <w:rsid w:val="00D4708D"/>
    <w:rsid w:val="00D4744C"/>
    <w:rsid w:val="00D51046"/>
    <w:rsid w:val="00D521DE"/>
    <w:rsid w:val="00D5470B"/>
    <w:rsid w:val="00D63068"/>
    <w:rsid w:val="00D6498C"/>
    <w:rsid w:val="00D67BAF"/>
    <w:rsid w:val="00D76A70"/>
    <w:rsid w:val="00D81F40"/>
    <w:rsid w:val="00D83182"/>
    <w:rsid w:val="00D8521E"/>
    <w:rsid w:val="00D9291C"/>
    <w:rsid w:val="00D93A97"/>
    <w:rsid w:val="00DA51BF"/>
    <w:rsid w:val="00DA5602"/>
    <w:rsid w:val="00DB1F64"/>
    <w:rsid w:val="00DC261A"/>
    <w:rsid w:val="00DC2F53"/>
    <w:rsid w:val="00DC5BAC"/>
    <w:rsid w:val="00DC6816"/>
    <w:rsid w:val="00DC76C2"/>
    <w:rsid w:val="00DD1CF2"/>
    <w:rsid w:val="00DE4484"/>
    <w:rsid w:val="00DF41B7"/>
    <w:rsid w:val="00DF4A4A"/>
    <w:rsid w:val="00DF583C"/>
    <w:rsid w:val="00E03C3F"/>
    <w:rsid w:val="00E06FD7"/>
    <w:rsid w:val="00E07417"/>
    <w:rsid w:val="00E24D45"/>
    <w:rsid w:val="00E33DB8"/>
    <w:rsid w:val="00E33EFF"/>
    <w:rsid w:val="00E34387"/>
    <w:rsid w:val="00E348BA"/>
    <w:rsid w:val="00E369FE"/>
    <w:rsid w:val="00E37C6F"/>
    <w:rsid w:val="00E475F8"/>
    <w:rsid w:val="00E5102E"/>
    <w:rsid w:val="00E52E2C"/>
    <w:rsid w:val="00E5721C"/>
    <w:rsid w:val="00E605A2"/>
    <w:rsid w:val="00E619C6"/>
    <w:rsid w:val="00E70CED"/>
    <w:rsid w:val="00E745A1"/>
    <w:rsid w:val="00E81529"/>
    <w:rsid w:val="00E83A13"/>
    <w:rsid w:val="00EA67A2"/>
    <w:rsid w:val="00EB1151"/>
    <w:rsid w:val="00EB3D2A"/>
    <w:rsid w:val="00EB6FC5"/>
    <w:rsid w:val="00EC2356"/>
    <w:rsid w:val="00EC2582"/>
    <w:rsid w:val="00EC337C"/>
    <w:rsid w:val="00ED0CFF"/>
    <w:rsid w:val="00ED31D2"/>
    <w:rsid w:val="00EE0EAC"/>
    <w:rsid w:val="00EE3322"/>
    <w:rsid w:val="00EE33CB"/>
    <w:rsid w:val="00EE6816"/>
    <w:rsid w:val="00F0061A"/>
    <w:rsid w:val="00F02834"/>
    <w:rsid w:val="00F04EEB"/>
    <w:rsid w:val="00F05467"/>
    <w:rsid w:val="00F055D2"/>
    <w:rsid w:val="00F07CD7"/>
    <w:rsid w:val="00F127E9"/>
    <w:rsid w:val="00F12F99"/>
    <w:rsid w:val="00F14477"/>
    <w:rsid w:val="00F14B5D"/>
    <w:rsid w:val="00F259FC"/>
    <w:rsid w:val="00F313F4"/>
    <w:rsid w:val="00F36972"/>
    <w:rsid w:val="00F42426"/>
    <w:rsid w:val="00F44F01"/>
    <w:rsid w:val="00F456BC"/>
    <w:rsid w:val="00F50666"/>
    <w:rsid w:val="00F70731"/>
    <w:rsid w:val="00F70C9E"/>
    <w:rsid w:val="00F74A74"/>
    <w:rsid w:val="00F7572C"/>
    <w:rsid w:val="00F8382C"/>
    <w:rsid w:val="00F855D7"/>
    <w:rsid w:val="00F92035"/>
    <w:rsid w:val="00F92748"/>
    <w:rsid w:val="00FA4169"/>
    <w:rsid w:val="00FB0D41"/>
    <w:rsid w:val="00FB2030"/>
    <w:rsid w:val="00FD0E46"/>
    <w:rsid w:val="00FD1060"/>
    <w:rsid w:val="00FD1CF2"/>
    <w:rsid w:val="00FD3EDF"/>
    <w:rsid w:val="00FD793C"/>
    <w:rsid w:val="00FE0FD5"/>
    <w:rsid w:val="00FE20E6"/>
    <w:rsid w:val="00FE3E3B"/>
    <w:rsid w:val="00FE5878"/>
    <w:rsid w:val="00FF162F"/>
    <w:rsid w:val="00FF4032"/>
    <w:rsid w:val="00FF4A2E"/>
    <w:rsid w:val="00FF6469"/>
    <w:rsid w:val="00FF72F2"/>
    <w:rsid w:val="00FF7E4A"/>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FE6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1529"/>
    <w:rPr>
      <w:sz w:val="24"/>
      <w:szCs w:val="24"/>
      <w:lang w:eastAsia="en-US"/>
    </w:rPr>
  </w:style>
  <w:style w:type="paragraph" w:styleId="Heading1">
    <w:name w:val="heading 1"/>
    <w:basedOn w:val="Normal"/>
    <w:next w:val="Normal"/>
    <w:qFormat/>
    <w:rsid w:val="00A84C51"/>
    <w:pPr>
      <w:keepNext/>
      <w:jc w:val="center"/>
      <w:outlineLvl w:val="0"/>
    </w:pPr>
    <w:rPr>
      <w:b/>
      <w:bCs/>
      <w:caps/>
    </w:rPr>
  </w:style>
  <w:style w:type="paragraph" w:styleId="Heading2">
    <w:name w:val="heading 2"/>
    <w:basedOn w:val="Normal"/>
    <w:next w:val="Normal"/>
    <w:qFormat/>
    <w:rsid w:val="00A84C51"/>
    <w:pPr>
      <w:keepNext/>
      <w:jc w:val="center"/>
      <w:outlineLvl w:val="1"/>
    </w:pPr>
    <w:rPr>
      <w:b/>
      <w:bCs/>
      <w: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84C51"/>
    <w:pPr>
      <w:tabs>
        <w:tab w:val="center" w:pos="4986"/>
        <w:tab w:val="right" w:pos="9972"/>
      </w:tabs>
    </w:pPr>
  </w:style>
  <w:style w:type="paragraph" w:styleId="Footer">
    <w:name w:val="footer"/>
    <w:basedOn w:val="Normal"/>
    <w:link w:val="FooterChar"/>
    <w:rsid w:val="00A84C51"/>
    <w:pPr>
      <w:tabs>
        <w:tab w:val="center" w:pos="4986"/>
        <w:tab w:val="right" w:pos="9972"/>
      </w:tabs>
    </w:pPr>
  </w:style>
  <w:style w:type="character" w:styleId="PageNumber">
    <w:name w:val="page number"/>
    <w:basedOn w:val="DefaultParagraphFont"/>
    <w:rsid w:val="00A84C51"/>
  </w:style>
  <w:style w:type="character" w:styleId="Hyperlink">
    <w:name w:val="Hyperlink"/>
    <w:basedOn w:val="DefaultParagraphFont"/>
    <w:rsid w:val="00A84C51"/>
    <w:rPr>
      <w:color w:val="0000FF"/>
      <w:u w:val="single"/>
    </w:rPr>
  </w:style>
  <w:style w:type="paragraph" w:styleId="BalloonText">
    <w:name w:val="Balloon Text"/>
    <w:basedOn w:val="Normal"/>
    <w:semiHidden/>
    <w:rsid w:val="00EC2356"/>
    <w:rPr>
      <w:rFonts w:ascii="Tahoma" w:hAnsi="Tahoma" w:cs="Tahoma"/>
      <w:sz w:val="16"/>
      <w:szCs w:val="16"/>
    </w:rPr>
  </w:style>
  <w:style w:type="character" w:customStyle="1" w:styleId="FooterChar">
    <w:name w:val="Footer Char"/>
    <w:basedOn w:val="DefaultParagraphFont"/>
    <w:link w:val="Footer"/>
    <w:rsid w:val="00737E2D"/>
    <w:rPr>
      <w:sz w:val="24"/>
      <w:szCs w:val="24"/>
      <w:lang w:eastAsia="en-US"/>
    </w:rPr>
  </w:style>
  <w:style w:type="character" w:customStyle="1" w:styleId="Neapdorotaspaminjimas1">
    <w:name w:val="Neapdorotas paminėjimas1"/>
    <w:basedOn w:val="DefaultParagraphFont"/>
    <w:uiPriority w:val="99"/>
    <w:semiHidden/>
    <w:unhideWhenUsed/>
    <w:rsid w:val="00A31E86"/>
    <w:rPr>
      <w:color w:val="605E5C"/>
      <w:shd w:val="clear" w:color="auto" w:fill="E1DFDD"/>
    </w:rPr>
  </w:style>
  <w:style w:type="character" w:styleId="FollowedHyperlink">
    <w:name w:val="FollowedHyperlink"/>
    <w:basedOn w:val="DefaultParagraphFont"/>
    <w:semiHidden/>
    <w:unhideWhenUsed/>
    <w:rsid w:val="00A31E86"/>
    <w:rPr>
      <w:color w:val="800080" w:themeColor="followedHyperlink"/>
      <w:u w:val="single"/>
    </w:rPr>
  </w:style>
  <w:style w:type="table" w:styleId="TableGrid">
    <w:name w:val="Table Grid"/>
    <w:aliases w:val="Table Grid nm,Dossier table,Section 3- footnotes,Summary box,Dossier Table,Legemiddelverket 3,Summary Table,ASD Table,Key messages box,YHEC table,Lash Style Table,GW Pharma 2,Table Grid No Line"/>
    <w:basedOn w:val="TableNormal"/>
    <w:uiPriority w:val="39"/>
    <w:rsid w:val="00D42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C7012C"/>
    <w:rPr>
      <w:sz w:val="16"/>
      <w:szCs w:val="16"/>
    </w:rPr>
  </w:style>
  <w:style w:type="paragraph" w:styleId="CommentText">
    <w:name w:val="annotation text"/>
    <w:basedOn w:val="Normal"/>
    <w:link w:val="CommentTextChar"/>
    <w:unhideWhenUsed/>
    <w:rsid w:val="00C7012C"/>
    <w:rPr>
      <w:sz w:val="20"/>
      <w:szCs w:val="20"/>
    </w:rPr>
  </w:style>
  <w:style w:type="character" w:customStyle="1" w:styleId="CommentTextChar">
    <w:name w:val="Comment Text Char"/>
    <w:basedOn w:val="DefaultParagraphFont"/>
    <w:link w:val="CommentText"/>
    <w:rsid w:val="00C7012C"/>
    <w:rPr>
      <w:lang w:eastAsia="en-US"/>
    </w:rPr>
  </w:style>
  <w:style w:type="paragraph" w:styleId="CommentSubject">
    <w:name w:val="annotation subject"/>
    <w:basedOn w:val="CommentText"/>
    <w:next w:val="CommentText"/>
    <w:link w:val="CommentSubjectChar"/>
    <w:semiHidden/>
    <w:unhideWhenUsed/>
    <w:rsid w:val="00C7012C"/>
    <w:rPr>
      <w:b/>
      <w:bCs/>
    </w:rPr>
  </w:style>
  <w:style w:type="character" w:customStyle="1" w:styleId="CommentSubjectChar">
    <w:name w:val="Comment Subject Char"/>
    <w:basedOn w:val="CommentTextChar"/>
    <w:link w:val="CommentSubject"/>
    <w:semiHidden/>
    <w:rsid w:val="00C7012C"/>
    <w:rPr>
      <w:b/>
      <w:bCs/>
      <w:lang w:eastAsia="en-US"/>
    </w:rPr>
  </w:style>
  <w:style w:type="paragraph" w:styleId="ListParagraph">
    <w:name w:val="List Paragraph"/>
    <w:aliases w:val="Bullets Points,Table Header Row,Bullet Paragraph,Bullet Point,Dairy Paragraphe,Table Legend,Bullet List,Bullet1,Bullet 1,1. Bullet Blank,Bulleted - 2,List Paragraph CCT minutes,Section 5,Bullet List 2,Colorful List - Accent 11"/>
    <w:basedOn w:val="Normal"/>
    <w:link w:val="ListParagraphChar"/>
    <w:uiPriority w:val="34"/>
    <w:qFormat/>
    <w:rsid w:val="00104E2E"/>
    <w:pPr>
      <w:ind w:left="720"/>
      <w:contextualSpacing/>
    </w:pPr>
  </w:style>
  <w:style w:type="character" w:customStyle="1" w:styleId="Style2">
    <w:name w:val="Style2"/>
    <w:basedOn w:val="DefaultParagraphFont"/>
    <w:uiPriority w:val="1"/>
    <w:rsid w:val="00D6498C"/>
    <w:rPr>
      <w:sz w:val="32"/>
    </w:rPr>
  </w:style>
  <w:style w:type="character" w:styleId="PlaceholderText">
    <w:name w:val="Placeholder Text"/>
    <w:basedOn w:val="DefaultParagraphFont"/>
    <w:uiPriority w:val="99"/>
    <w:rsid w:val="00B13D65"/>
    <w:rPr>
      <w:color w:val="808080"/>
    </w:rPr>
  </w:style>
  <w:style w:type="paragraph" w:styleId="NoSpacing">
    <w:name w:val="No Spacing"/>
    <w:uiPriority w:val="1"/>
    <w:qFormat/>
    <w:rsid w:val="00B13D65"/>
    <w:rPr>
      <w:rFonts w:ascii="Calibri" w:eastAsia="Calibri" w:hAnsi="Calibri"/>
      <w:sz w:val="22"/>
      <w:szCs w:val="22"/>
      <w:lang w:eastAsia="en-US"/>
    </w:rPr>
  </w:style>
  <w:style w:type="table" w:customStyle="1" w:styleId="Lentelstinklelis1">
    <w:name w:val="Lentelės tinklelis1"/>
    <w:basedOn w:val="TableNormal"/>
    <w:next w:val="TableGrid"/>
    <w:rsid w:val="009E44AE"/>
    <w:rPr>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76256"/>
    <w:rPr>
      <w:sz w:val="24"/>
      <w:szCs w:val="24"/>
      <w:lang w:eastAsia="en-US"/>
    </w:rPr>
  </w:style>
  <w:style w:type="character" w:customStyle="1" w:styleId="ListParagraphChar">
    <w:name w:val="List Paragraph Char"/>
    <w:aliases w:val="Bullets Points Char,Table Header Row Char,Bullet Paragraph Char,Bullet Point Char,Dairy Paragraphe Char,Table Legend Char,Bullet List Char,Bullet1 Char,Bullet 1 Char,1. Bullet Blank Char,Bulleted - 2 Char,Section 5 Char"/>
    <w:link w:val="ListParagraph"/>
    <w:uiPriority w:val="34"/>
    <w:qFormat/>
    <w:rsid w:val="00E605A2"/>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802146">
      <w:bodyDiv w:val="1"/>
      <w:marLeft w:val="0"/>
      <w:marRight w:val="0"/>
      <w:marTop w:val="0"/>
      <w:marBottom w:val="0"/>
      <w:divBdr>
        <w:top w:val="none" w:sz="0" w:space="0" w:color="auto"/>
        <w:left w:val="none" w:sz="0" w:space="0" w:color="auto"/>
        <w:bottom w:val="none" w:sz="0" w:space="0" w:color="auto"/>
        <w:right w:val="none" w:sz="0" w:space="0" w:color="auto"/>
      </w:divBdr>
    </w:div>
    <w:div w:id="159778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B525CF601542E89D0919F1C286A8A4"/>
        <w:category>
          <w:name w:val="General"/>
          <w:gallery w:val="placeholder"/>
        </w:category>
        <w:types>
          <w:type w:val="bbPlcHdr"/>
        </w:types>
        <w:behaviors>
          <w:behavior w:val="content"/>
        </w:behaviors>
        <w:guid w:val="{AA845C96-CAE6-426A-BEC0-82A0EADC4732}"/>
      </w:docPartPr>
      <w:docPartBody>
        <w:p w:rsidR="00144074" w:rsidRDefault="0078069C" w:rsidP="0078069C">
          <w:pPr>
            <w:pStyle w:val="28B525CF601542E89D0919F1C286A8A4"/>
          </w:pPr>
          <w:r>
            <w:rPr>
              <w:rStyle w:val="PlaceholderText"/>
            </w:rPr>
            <w:t>Click here to enter a date.</w:t>
          </w:r>
        </w:p>
      </w:docPartBody>
    </w:docPart>
    <w:docPart>
      <w:docPartPr>
        <w:name w:val="3434101AB2A24837981B1F57F71B580C"/>
        <w:category>
          <w:name w:val="General"/>
          <w:gallery w:val="placeholder"/>
        </w:category>
        <w:types>
          <w:type w:val="bbPlcHdr"/>
        </w:types>
        <w:behaviors>
          <w:behavior w:val="content"/>
        </w:behaviors>
        <w:guid w:val="{8E9A6261-5AA7-4151-9F41-7815B03D457D}"/>
      </w:docPartPr>
      <w:docPartBody>
        <w:p w:rsidR="00144074" w:rsidRDefault="0078069C" w:rsidP="0078069C">
          <w:pPr>
            <w:pStyle w:val="3434101AB2A24837981B1F57F71B580C"/>
          </w:pPr>
          <w:r>
            <w:rPr>
              <w:rStyle w:val="PlaceholderText"/>
            </w:rPr>
            <w:t>Click here to enter a date.</w:t>
          </w:r>
        </w:p>
      </w:docPartBody>
    </w:docPart>
    <w:docPart>
      <w:docPartPr>
        <w:name w:val="9208CBAB9BAF45F4BC3259BE48BE75C1"/>
        <w:category>
          <w:name w:val="General"/>
          <w:gallery w:val="placeholder"/>
        </w:category>
        <w:types>
          <w:type w:val="bbPlcHdr"/>
        </w:types>
        <w:behaviors>
          <w:behavior w:val="content"/>
        </w:behaviors>
        <w:guid w:val="{A2CB690F-16F6-4B5E-9132-4246B42FEA91}"/>
      </w:docPartPr>
      <w:docPartBody>
        <w:p w:rsidR="00144074" w:rsidRDefault="0078069C" w:rsidP="0078069C">
          <w:pPr>
            <w:pStyle w:val="9208CBAB9BAF45F4BC3259BE48BE75C1"/>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0DD"/>
    <w:rsid w:val="0001247F"/>
    <w:rsid w:val="000152E9"/>
    <w:rsid w:val="00047C19"/>
    <w:rsid w:val="00061157"/>
    <w:rsid w:val="000624FF"/>
    <w:rsid w:val="000937FE"/>
    <w:rsid w:val="000A50C9"/>
    <w:rsid w:val="000A559A"/>
    <w:rsid w:val="000D24D4"/>
    <w:rsid w:val="000D6217"/>
    <w:rsid w:val="0014006D"/>
    <w:rsid w:val="00144074"/>
    <w:rsid w:val="001C35A9"/>
    <w:rsid w:val="00237556"/>
    <w:rsid w:val="002C0686"/>
    <w:rsid w:val="00301286"/>
    <w:rsid w:val="0039303B"/>
    <w:rsid w:val="004144A3"/>
    <w:rsid w:val="004160E7"/>
    <w:rsid w:val="004416C6"/>
    <w:rsid w:val="00456E96"/>
    <w:rsid w:val="00466A4E"/>
    <w:rsid w:val="004C6221"/>
    <w:rsid w:val="004D038D"/>
    <w:rsid w:val="004F4E20"/>
    <w:rsid w:val="004F5AB2"/>
    <w:rsid w:val="005074B9"/>
    <w:rsid w:val="005133C6"/>
    <w:rsid w:val="00563A5F"/>
    <w:rsid w:val="005C62E5"/>
    <w:rsid w:val="005E40DD"/>
    <w:rsid w:val="00601F4E"/>
    <w:rsid w:val="00631B2C"/>
    <w:rsid w:val="00680371"/>
    <w:rsid w:val="0068150C"/>
    <w:rsid w:val="006D075F"/>
    <w:rsid w:val="006E6A2C"/>
    <w:rsid w:val="007219C1"/>
    <w:rsid w:val="00745C63"/>
    <w:rsid w:val="00753462"/>
    <w:rsid w:val="00772325"/>
    <w:rsid w:val="00774F67"/>
    <w:rsid w:val="0078069C"/>
    <w:rsid w:val="007A2FE0"/>
    <w:rsid w:val="007C6D1D"/>
    <w:rsid w:val="007D654E"/>
    <w:rsid w:val="00853487"/>
    <w:rsid w:val="00892FF4"/>
    <w:rsid w:val="008C0DC0"/>
    <w:rsid w:val="0090074D"/>
    <w:rsid w:val="009019EA"/>
    <w:rsid w:val="00901A35"/>
    <w:rsid w:val="009132D2"/>
    <w:rsid w:val="009B3BF0"/>
    <w:rsid w:val="009D5E5E"/>
    <w:rsid w:val="009F1BB4"/>
    <w:rsid w:val="00A20D39"/>
    <w:rsid w:val="00A254A2"/>
    <w:rsid w:val="00AB1874"/>
    <w:rsid w:val="00AB2D54"/>
    <w:rsid w:val="00AB6ED4"/>
    <w:rsid w:val="00AF5A59"/>
    <w:rsid w:val="00B14210"/>
    <w:rsid w:val="00B22ED6"/>
    <w:rsid w:val="00B23DC0"/>
    <w:rsid w:val="00B71F04"/>
    <w:rsid w:val="00B96656"/>
    <w:rsid w:val="00BA0A8E"/>
    <w:rsid w:val="00BE3364"/>
    <w:rsid w:val="00C2401D"/>
    <w:rsid w:val="00C250D7"/>
    <w:rsid w:val="00C53A68"/>
    <w:rsid w:val="00C66578"/>
    <w:rsid w:val="00C73BF9"/>
    <w:rsid w:val="00C87033"/>
    <w:rsid w:val="00CA5BB4"/>
    <w:rsid w:val="00CB4BD1"/>
    <w:rsid w:val="00CD139C"/>
    <w:rsid w:val="00CE2DA9"/>
    <w:rsid w:val="00CE44BE"/>
    <w:rsid w:val="00D008F3"/>
    <w:rsid w:val="00D0142D"/>
    <w:rsid w:val="00D04DFF"/>
    <w:rsid w:val="00D15ED6"/>
    <w:rsid w:val="00D20347"/>
    <w:rsid w:val="00D4356B"/>
    <w:rsid w:val="00D7162F"/>
    <w:rsid w:val="00DA599C"/>
    <w:rsid w:val="00DB4DB5"/>
    <w:rsid w:val="00DE4D10"/>
    <w:rsid w:val="00E44A86"/>
    <w:rsid w:val="00E522EB"/>
    <w:rsid w:val="00E60827"/>
    <w:rsid w:val="00EF6E0C"/>
    <w:rsid w:val="00F14477"/>
    <w:rsid w:val="00F370E5"/>
    <w:rsid w:val="00F55028"/>
    <w:rsid w:val="00F6044E"/>
    <w:rsid w:val="00F677F0"/>
    <w:rsid w:val="00F77BEF"/>
    <w:rsid w:val="00FC755C"/>
    <w:rsid w:val="00FE0D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8069C"/>
    <w:rPr>
      <w:color w:val="808080"/>
    </w:rPr>
  </w:style>
  <w:style w:type="paragraph" w:customStyle="1" w:styleId="28B525CF601542E89D0919F1C286A8A4">
    <w:name w:val="28B525CF601542E89D0919F1C286A8A4"/>
    <w:rsid w:val="0078069C"/>
    <w:pPr>
      <w:spacing w:line="278" w:lineRule="auto"/>
    </w:pPr>
    <w:rPr>
      <w:kern w:val="2"/>
      <w:sz w:val="24"/>
      <w:szCs w:val="24"/>
      <w14:ligatures w14:val="standardContextual"/>
    </w:rPr>
  </w:style>
  <w:style w:type="paragraph" w:customStyle="1" w:styleId="3434101AB2A24837981B1F57F71B580C">
    <w:name w:val="3434101AB2A24837981B1F57F71B580C"/>
    <w:rsid w:val="0078069C"/>
    <w:pPr>
      <w:spacing w:line="278" w:lineRule="auto"/>
    </w:pPr>
    <w:rPr>
      <w:kern w:val="2"/>
      <w:sz w:val="24"/>
      <w:szCs w:val="24"/>
      <w14:ligatures w14:val="standardContextual"/>
    </w:rPr>
  </w:style>
  <w:style w:type="paragraph" w:customStyle="1" w:styleId="9208CBAB9BAF45F4BC3259BE48BE75C1">
    <w:name w:val="9208CBAB9BAF45F4BC3259BE48BE75C1"/>
    <w:rsid w:val="0078069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9B498-4FD0-4258-BFEA-5FC4D63F2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1621</Words>
  <Characters>9242</Characters>
  <Application>Microsoft Office Word</Application>
  <DocSecurity>0</DocSecurity>
  <Lines>77</Lines>
  <Paragraphs>21</Paragraphs>
  <ScaleCrop>false</ScaleCrop>
  <Company/>
  <LinksUpToDate>false</LinksUpToDate>
  <CharactersWithSpaces>10842</CharactersWithSpaces>
  <SharedDoc>false</SharedDoc>
  <HLinks>
    <vt:vector size="6" baseType="variant">
      <vt:variant>
        <vt:i4>5308539</vt:i4>
      </vt:variant>
      <vt:variant>
        <vt:i4>6</vt:i4>
      </vt:variant>
      <vt:variant>
        <vt:i4>0</vt:i4>
      </vt:variant>
      <vt:variant>
        <vt:i4>5</vt:i4>
      </vt:variant>
      <vt:variant>
        <vt:lpwstr>mailto:vvkt@vvkt.lt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2026-06-01T11:05:00Z</dcterms:created>
  <dcterms:modified xsi:type="dcterms:W3CDTF">2026-06-15T16:05:00Z</dcterms:modified>
</cp:coreProperties>
</file>