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5EB3" w14:textId="1955ADE3" w:rsidR="005F7602" w:rsidRPr="000203E1" w:rsidRDefault="005F7602" w:rsidP="002946C7">
      <w:pPr>
        <w:ind w:left="5529"/>
      </w:pPr>
    </w:p>
    <w:p w14:paraId="12FA4B9E" w14:textId="39AA3336" w:rsidR="001B3C5B" w:rsidRPr="000203E1" w:rsidRDefault="00DC261A" w:rsidP="001B3C5B">
      <w:pPr>
        <w:ind w:left="6096"/>
      </w:pPr>
      <w:bookmarkStart w:id="0" w:name="_Hlk189565243"/>
      <w:r w:rsidRPr="00DC261A">
        <w:t>PATVIRTINTA</w:t>
      </w:r>
    </w:p>
    <w:p w14:paraId="7206970B" w14:textId="70E9BD2E" w:rsidR="004C263A" w:rsidRPr="000203E1" w:rsidRDefault="001B3C5B" w:rsidP="001B3C5B">
      <w:pPr>
        <w:ind w:left="6096"/>
      </w:pPr>
      <w:r w:rsidRPr="000203E1">
        <w:t>Valstybinės vaistų kontrolės tarnybos prie Lietuvos Respublikos sveikatos apsaugos ministerijos viršininko 2021 m</w:t>
      </w:r>
      <w:r w:rsidR="004C263A" w:rsidRPr="000203E1">
        <w:t xml:space="preserve">. lapkričio 12 </w:t>
      </w:r>
      <w:r w:rsidRPr="000203E1">
        <w:t>d. įsakymu Nr.</w:t>
      </w:r>
      <w:r w:rsidR="004C263A" w:rsidRPr="000203E1">
        <w:t xml:space="preserve"> (1.72E)1A-1418</w:t>
      </w:r>
    </w:p>
    <w:p w14:paraId="5B219AA6" w14:textId="3A5D6CB4" w:rsidR="001B3C5B" w:rsidRPr="000203E1" w:rsidRDefault="004C263A" w:rsidP="001B3C5B">
      <w:pPr>
        <w:ind w:left="6096"/>
      </w:pPr>
      <w:r w:rsidRPr="000203E1">
        <w:t>(Valstybinės vaistų kontrolės tarnybos prie Lietuvos Respublikos sveikatos apsaugos ministerijos viršininko 202</w:t>
      </w:r>
      <w:r w:rsidR="00A2310D">
        <w:t>5</w:t>
      </w:r>
      <w:r w:rsidRPr="000203E1">
        <w:t xml:space="preserve"> m.                         d. įsakymo Nr.                    redakcija)</w:t>
      </w:r>
    </w:p>
    <w:p w14:paraId="3336BD74" w14:textId="77777777" w:rsidR="001B3C5B" w:rsidRPr="000203E1" w:rsidRDefault="001B3C5B" w:rsidP="00FA4169"/>
    <w:bookmarkEnd w:id="0"/>
    <w:p w14:paraId="56604434" w14:textId="77777777" w:rsidR="00DC261A" w:rsidRDefault="00DC261A" w:rsidP="003B211A">
      <w:pPr>
        <w:jc w:val="center"/>
        <w:rPr>
          <w:b/>
        </w:rPr>
      </w:pPr>
    </w:p>
    <w:p w14:paraId="77AFB67E" w14:textId="0FB133A2" w:rsidR="00613501" w:rsidRPr="000203E1" w:rsidRDefault="002F0E4F" w:rsidP="003B211A">
      <w:pPr>
        <w:jc w:val="center"/>
        <w:rPr>
          <w:b/>
          <w:bCs/>
          <w:caps/>
        </w:rPr>
      </w:pPr>
      <w:r w:rsidRPr="000203E1">
        <w:rPr>
          <w:b/>
        </w:rPr>
        <w:t xml:space="preserve">REKOMENDACIJA DĖL VAISTINIO PREPARATO </w:t>
      </w:r>
      <w:r w:rsidRPr="000203E1">
        <w:rPr>
          <w:b/>
          <w:bCs/>
          <w:caps/>
        </w:rPr>
        <w:t>Lietuvos Respublikos Sveikatos apsaugos ministerijos vaistinių preparatų ir medicinos pagalbos priemonių kompensavimo komisijai</w:t>
      </w:r>
    </w:p>
    <w:p w14:paraId="34E4395D" w14:textId="15FB10DF" w:rsidR="00B13D65" w:rsidRPr="000203E1" w:rsidRDefault="00B13D65" w:rsidP="003B211A">
      <w:pPr>
        <w:jc w:val="center"/>
        <w:rPr>
          <w:b/>
        </w:rPr>
      </w:pPr>
    </w:p>
    <w:p w14:paraId="1927E26A" w14:textId="1F478E3F" w:rsidR="00C62B41" w:rsidRPr="009300B3" w:rsidRDefault="00C62B41" w:rsidP="00C62B41">
      <w:pPr>
        <w:jc w:val="center"/>
        <w:rPr>
          <w:b/>
        </w:rPr>
      </w:pPr>
      <w:r>
        <w:rPr>
          <w:b/>
        </w:rPr>
        <w:t>Calquence</w:t>
      </w:r>
      <w:r w:rsidRPr="009300B3">
        <w:rPr>
          <w:b/>
        </w:rPr>
        <w:t xml:space="preserve"> </w:t>
      </w:r>
      <w:r>
        <w:rPr>
          <w:b/>
        </w:rPr>
        <w:t>100 mg plėvele dengtos tabletės</w:t>
      </w:r>
    </w:p>
    <w:p w14:paraId="2A25C21E" w14:textId="77777777" w:rsidR="00C62B41" w:rsidRPr="009300B3" w:rsidRDefault="00C62B41" w:rsidP="00C62B41">
      <w:pPr>
        <w:jc w:val="center"/>
      </w:pPr>
    </w:p>
    <w:p w14:paraId="0594C8ED" w14:textId="77777777" w:rsidR="00C62B41" w:rsidRPr="009300B3" w:rsidRDefault="00C62B41" w:rsidP="00C62B41">
      <w:pPr>
        <w:jc w:val="center"/>
      </w:pPr>
      <w:r>
        <w:rPr>
          <w:b/>
        </w:rPr>
        <w:t>Akalabrutinibas</w:t>
      </w:r>
    </w:p>
    <w:p w14:paraId="37ECDF46" w14:textId="77777777" w:rsidR="00C62B41" w:rsidRPr="009300B3" w:rsidRDefault="00C62B41" w:rsidP="00C62B41">
      <w:pPr>
        <w:jc w:val="center"/>
      </w:pPr>
    </w:p>
    <w:p w14:paraId="153E5C98" w14:textId="77777777" w:rsidR="00C62B41" w:rsidRPr="009300B3" w:rsidRDefault="00C62B41" w:rsidP="00C62B41">
      <w:pPr>
        <w:jc w:val="center"/>
        <w:rPr>
          <w:b/>
        </w:rPr>
      </w:pPr>
      <w:r>
        <w:rPr>
          <w:b/>
        </w:rPr>
        <w:t>STV-268</w:t>
      </w:r>
    </w:p>
    <w:p w14:paraId="453197C8" w14:textId="77777777" w:rsidR="00D4708D" w:rsidRPr="000203E1" w:rsidRDefault="00D4708D" w:rsidP="003B211A">
      <w:pPr>
        <w:jc w:val="center"/>
        <w:rPr>
          <w:b/>
        </w:rPr>
      </w:pPr>
    </w:p>
    <w:p w14:paraId="78C89D1C" w14:textId="0DEFFAA5" w:rsidR="00D4485B" w:rsidRPr="000203E1" w:rsidRDefault="00B13D65" w:rsidP="00CC09D4">
      <w:pPr>
        <w:pStyle w:val="ListParagraph"/>
        <w:numPr>
          <w:ilvl w:val="0"/>
          <w:numId w:val="12"/>
        </w:numPr>
        <w:tabs>
          <w:tab w:val="left" w:pos="567"/>
        </w:tabs>
        <w:ind w:left="567" w:hanging="567"/>
        <w:rPr>
          <w:b/>
          <w:bCs/>
          <w:caps/>
        </w:rPr>
      </w:pPr>
      <w:r w:rsidRPr="000203E1">
        <w:rPr>
          <w:b/>
          <w:bCs/>
          <w:caps/>
        </w:rPr>
        <w:t>Bendroji dalis</w:t>
      </w:r>
    </w:p>
    <w:p w14:paraId="04A7C7A7" w14:textId="77777777" w:rsidR="00B13D65" w:rsidRPr="000203E1" w:rsidRDefault="00B13D65" w:rsidP="00E03C3F">
      <w:pPr>
        <w:pStyle w:val="ListParagraph"/>
        <w:tabs>
          <w:tab w:val="left" w:pos="284"/>
        </w:tabs>
        <w:ind w:left="0"/>
        <w:rPr>
          <w:b/>
          <w:bCs/>
          <w:cap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32"/>
        <w:gridCol w:w="3899"/>
        <w:gridCol w:w="4962"/>
      </w:tblGrid>
      <w:tr w:rsidR="00AE62D9" w:rsidRPr="00977D72" w14:paraId="16A7BC7B" w14:textId="77777777" w:rsidTr="003F3FFF">
        <w:trPr>
          <w:trHeight w:val="538"/>
        </w:trPr>
        <w:tc>
          <w:tcPr>
            <w:tcW w:w="632" w:type="dxa"/>
          </w:tcPr>
          <w:p w14:paraId="4572808D" w14:textId="77777777" w:rsidR="00AE62D9" w:rsidRPr="00977D72" w:rsidRDefault="00AE62D9" w:rsidP="00AE62D9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t>1.1</w:t>
            </w:r>
          </w:p>
        </w:tc>
        <w:tc>
          <w:tcPr>
            <w:tcW w:w="3899" w:type="dxa"/>
          </w:tcPr>
          <w:p w14:paraId="54BA6EB3" w14:textId="77777777" w:rsidR="00AE62D9" w:rsidRPr="00977D72" w:rsidRDefault="00AE62D9" w:rsidP="00AE62D9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t>Pareiškėjas</w:t>
            </w:r>
            <w:r>
              <w:rPr>
                <w:rFonts w:eastAsia="Arial"/>
                <w:b/>
                <w:bCs/>
              </w:rPr>
              <w:t>/ pareiškėjo atstovas</w:t>
            </w:r>
          </w:p>
        </w:tc>
        <w:tc>
          <w:tcPr>
            <w:tcW w:w="4962" w:type="dxa"/>
          </w:tcPr>
          <w:p w14:paraId="0F359BD4" w14:textId="462E633E" w:rsidR="00AE62D9" w:rsidRPr="00977D72" w:rsidRDefault="00AE62D9" w:rsidP="00AE62D9">
            <w:pPr>
              <w:rPr>
                <w:rFonts w:eastAsia="Arial"/>
              </w:rPr>
            </w:pPr>
            <w:r>
              <w:rPr>
                <w:rFonts w:eastAsia="Arial"/>
              </w:rPr>
              <w:t>Astra Zeneca UAB</w:t>
            </w:r>
          </w:p>
        </w:tc>
      </w:tr>
      <w:tr w:rsidR="00AE62D9" w:rsidRPr="00977D72" w14:paraId="101EA148" w14:textId="77777777" w:rsidTr="003F3FFF">
        <w:trPr>
          <w:trHeight w:val="538"/>
        </w:trPr>
        <w:tc>
          <w:tcPr>
            <w:tcW w:w="632" w:type="dxa"/>
          </w:tcPr>
          <w:p w14:paraId="3BF67175" w14:textId="77777777" w:rsidR="00AE62D9" w:rsidRPr="00977D72" w:rsidRDefault="00AE62D9" w:rsidP="00AE62D9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t>1.2</w:t>
            </w:r>
          </w:p>
        </w:tc>
        <w:tc>
          <w:tcPr>
            <w:tcW w:w="3899" w:type="dxa"/>
          </w:tcPr>
          <w:p w14:paraId="786B66DF" w14:textId="77777777" w:rsidR="00AE62D9" w:rsidRPr="00977D72" w:rsidRDefault="00AE62D9" w:rsidP="00AE62D9">
            <w:pPr>
              <w:rPr>
                <w:b/>
                <w:bCs/>
                <w:lang w:eastAsia="lt-LT"/>
              </w:rPr>
            </w:pPr>
            <w:r w:rsidRPr="00977D72">
              <w:rPr>
                <w:b/>
                <w:bCs/>
                <w:lang w:eastAsia="lt-LT"/>
              </w:rPr>
              <w:t xml:space="preserve">Vaistinio preparato registracijos data </w:t>
            </w:r>
          </w:p>
          <w:p w14:paraId="4B568341" w14:textId="77777777" w:rsidR="00AE62D9" w:rsidRPr="00977D72" w:rsidRDefault="00AE62D9" w:rsidP="00AE62D9">
            <w:pPr>
              <w:rPr>
                <w:b/>
                <w:bCs/>
                <w:lang w:eastAsia="lt-LT"/>
              </w:rPr>
            </w:pPr>
          </w:p>
        </w:tc>
        <w:tc>
          <w:tcPr>
            <w:tcW w:w="4962" w:type="dxa"/>
          </w:tcPr>
          <w:p w14:paraId="50F63366" w14:textId="7353C132" w:rsidR="00AE62D9" w:rsidRPr="00977D72" w:rsidRDefault="00000000" w:rsidP="00AE62D9">
            <w:pPr>
              <w:rPr>
                <w:rStyle w:val="Style2"/>
              </w:rPr>
            </w:pPr>
            <w:sdt>
              <w:sdtPr>
                <w:rPr>
                  <w:sz w:val="32"/>
                </w:rPr>
                <w:alias w:val="Nurodykite konkrečią dieną"/>
                <w:tag w:val="Nurodykite pradžios datą"/>
                <w:id w:val="1772196685"/>
                <w:placeholder>
                  <w:docPart w:val="891C7C6E198E4AB0A8C940674B4A42F8"/>
                </w:placeholder>
                <w15:color w:val="FFCC99"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EndPr>
                <w:rPr>
                  <w:sz w:val="24"/>
                </w:rPr>
              </w:sdtEndPr>
              <w:sdtContent>
                <w:r w:rsidR="00AE62D9" w:rsidRPr="00C22D40">
                  <w:t>2020 m. lapkričio 5 d.</w:t>
                </w:r>
              </w:sdtContent>
            </w:sdt>
          </w:p>
        </w:tc>
      </w:tr>
      <w:tr w:rsidR="00E70CED" w:rsidRPr="00977D72" w14:paraId="3D70E0FA" w14:textId="77777777" w:rsidTr="001F115E">
        <w:trPr>
          <w:trHeight w:val="1643"/>
        </w:trPr>
        <w:tc>
          <w:tcPr>
            <w:tcW w:w="632" w:type="dxa"/>
          </w:tcPr>
          <w:p w14:paraId="021DF6BD" w14:textId="77777777" w:rsidR="00E70CED" w:rsidRPr="00977D72" w:rsidRDefault="00E70CED" w:rsidP="001F115E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t>1.3</w:t>
            </w:r>
          </w:p>
        </w:tc>
        <w:tc>
          <w:tcPr>
            <w:tcW w:w="3899" w:type="dxa"/>
          </w:tcPr>
          <w:p w14:paraId="528F713F" w14:textId="77777777" w:rsidR="00E70CED" w:rsidRPr="00977D72" w:rsidRDefault="00E70CED" w:rsidP="001F115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977D72">
              <w:rPr>
                <w:rFonts w:ascii="Times New Roman" w:hAnsi="Times New Roman"/>
                <w:b/>
                <w:sz w:val="24"/>
                <w:szCs w:val="24"/>
              </w:rPr>
              <w:t xml:space="preserve">Vaistinio preparato </w:t>
            </w:r>
            <w:r w:rsidRPr="00977D7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registracijos teisinis pagrindas</w:t>
            </w:r>
          </w:p>
          <w:p w14:paraId="63F86DC1" w14:textId="77777777" w:rsidR="00E70CED" w:rsidRPr="00977D72" w:rsidRDefault="00E70CED" w:rsidP="001F115E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  <w:lang w:eastAsia="lt-LT"/>
              </w:rPr>
            </w:pPr>
            <w:r w:rsidRPr="00977D7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(</w:t>
            </w:r>
            <w:r w:rsidRPr="00977D72">
              <w:rPr>
                <w:rFonts w:ascii="Times New Roman" w:hAnsi="Times New Roman"/>
                <w:b/>
                <w:sz w:val="24"/>
                <w:szCs w:val="24"/>
              </w:rPr>
              <w:t>Direktyvos 2001/83/EB str.)</w:t>
            </w:r>
          </w:p>
        </w:tc>
        <w:tc>
          <w:tcPr>
            <w:tcW w:w="4962" w:type="dxa"/>
          </w:tcPr>
          <w:p w14:paraId="4C977D39" w14:textId="00A37DAB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526292078"/>
                <w15:color w:val="FFCC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62D9">
                  <w:rPr>
                    <w:rStyle w:val="Style2"/>
                    <w:rFonts w:ascii="MS Gothic" w:eastAsia="MS Gothic" w:hAnsi="MS Gothic" w:hint="eastAsia"/>
                    <w:sz w:val="24"/>
                  </w:rPr>
                  <w:t>☒</w:t>
                </w:r>
              </w:sdtContent>
            </w:sdt>
            <w:r w:rsidR="00E70CED" w:rsidRPr="001A0CAA">
              <w:t>8.3 str. (pilna byla, pagrįsta savais tyrimais)</w:t>
            </w:r>
          </w:p>
          <w:p w14:paraId="6AABD410" w14:textId="77777777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-149795373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>10 a str. (pripažintas medicininis vartojimas)</w:t>
            </w:r>
          </w:p>
          <w:p w14:paraId="5CF35A47" w14:textId="77777777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20414249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>10.1 str. (generinis)</w:t>
            </w:r>
          </w:p>
          <w:p w14:paraId="0517A1B2" w14:textId="77777777" w:rsidR="00E70CED" w:rsidRPr="00656846" w:rsidRDefault="00000000" w:rsidP="001F115E">
            <w:sdt>
              <w:sdtPr>
                <w:rPr>
                  <w:rStyle w:val="Style2"/>
                  <w:sz w:val="24"/>
                </w:rPr>
                <w:id w:val="82030510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>10.3 str. (hibridinis)</w:t>
            </w:r>
          </w:p>
          <w:p w14:paraId="0F37DDE0" w14:textId="78AF6516" w:rsidR="00063A50" w:rsidRPr="001A0CAA" w:rsidRDefault="00000000" w:rsidP="00063A50">
            <w:sdt>
              <w:sdtPr>
                <w:rPr>
                  <w:rStyle w:val="Style2"/>
                  <w:sz w:val="24"/>
                </w:rPr>
                <w:id w:val="180095332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3A50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063A50" w:rsidRPr="001A0CAA">
              <w:t>10.4 str. (panašus biologinis)</w:t>
            </w:r>
          </w:p>
          <w:p w14:paraId="7EDB4848" w14:textId="77777777" w:rsidR="00063A50" w:rsidRPr="001A0CAA" w:rsidRDefault="00063A50" w:rsidP="001F115E">
            <w:pPr>
              <w:rPr>
                <w:rStyle w:val="Style2"/>
                <w:sz w:val="24"/>
              </w:rPr>
            </w:pPr>
          </w:p>
        </w:tc>
      </w:tr>
      <w:tr w:rsidR="00E70CED" w:rsidRPr="00977D72" w14:paraId="31641941" w14:textId="77777777" w:rsidTr="003F3FFF">
        <w:trPr>
          <w:trHeight w:val="1011"/>
        </w:trPr>
        <w:tc>
          <w:tcPr>
            <w:tcW w:w="632" w:type="dxa"/>
          </w:tcPr>
          <w:p w14:paraId="2E73A32C" w14:textId="77777777" w:rsidR="00E70CED" w:rsidRPr="00977D72" w:rsidRDefault="00E70CED" w:rsidP="001F115E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</w:rPr>
              <w:t>1.4</w:t>
            </w:r>
          </w:p>
        </w:tc>
        <w:tc>
          <w:tcPr>
            <w:tcW w:w="3899" w:type="dxa"/>
          </w:tcPr>
          <w:p w14:paraId="2547AC59" w14:textId="77777777" w:rsidR="00E70CED" w:rsidRPr="001A0CAA" w:rsidRDefault="00E70CED" w:rsidP="001F115E">
            <w:pPr>
              <w:tabs>
                <w:tab w:val="left" w:pos="284"/>
              </w:tabs>
              <w:rPr>
                <w:b/>
                <w:bCs/>
                <w:lang w:eastAsia="lt-LT"/>
              </w:rPr>
            </w:pPr>
            <w:r w:rsidRPr="001A0CAA">
              <w:rPr>
                <w:b/>
                <w:bCs/>
                <w:lang w:eastAsia="lt-LT"/>
              </w:rPr>
              <w:t>Ar vaistinis preparatas įrašytas į Bendrijos retųjų vaistinių preparatų registrą?</w:t>
            </w:r>
          </w:p>
        </w:tc>
        <w:tc>
          <w:tcPr>
            <w:tcW w:w="4962" w:type="dxa"/>
          </w:tcPr>
          <w:p w14:paraId="49AB923F" w14:textId="0CA7934F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119073046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 xml:space="preserve"> Taip       </w:t>
            </w:r>
            <w:r w:rsidR="00E70CED" w:rsidRPr="001A0CAA">
              <w:rPr>
                <w:rStyle w:val="Style2"/>
                <w:sz w:val="24"/>
              </w:rPr>
              <w:t xml:space="preserve"> </w:t>
            </w:r>
            <w:sdt>
              <w:sdtPr>
                <w:rPr>
                  <w:rStyle w:val="Style2"/>
                  <w:sz w:val="24"/>
                </w:rPr>
                <w:id w:val="-1760283509"/>
                <w15:color w:val="FFCC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62D9">
                  <w:rPr>
                    <w:rStyle w:val="Style2"/>
                    <w:rFonts w:ascii="MS Gothic" w:eastAsia="MS Gothic" w:hAnsi="MS Gothic" w:hint="eastAsia"/>
                    <w:sz w:val="24"/>
                  </w:rPr>
                  <w:t>☒</w:t>
                </w:r>
              </w:sdtContent>
            </w:sdt>
            <w:r w:rsidR="00E70CED" w:rsidRPr="001A0CAA">
              <w:t xml:space="preserve"> Ne</w:t>
            </w:r>
          </w:p>
          <w:p w14:paraId="56165267" w14:textId="77777777" w:rsidR="00E70CED" w:rsidRPr="001A0CAA" w:rsidRDefault="00E70CED" w:rsidP="001F115E">
            <w:pPr>
              <w:rPr>
                <w:rFonts w:eastAsia="Arial"/>
              </w:rPr>
            </w:pPr>
            <w:r w:rsidRPr="001A0CAA">
              <w:t xml:space="preserve">Data: </w:t>
            </w:r>
            <w:sdt>
              <w:sdtPr>
                <w:alias w:val="Nurodykite konkrečią dieną"/>
                <w:tag w:val="Nurodykite pradžios datą"/>
                <w:id w:val="1784158105"/>
                <w:placeholder>
                  <w:docPart w:val="93D7EBE30A7F432F9AB1114CDC0B27A0"/>
                </w:placeholder>
                <w:showingPlcHdr/>
                <w15:color w:val="FFCC99"/>
                <w:date w:fullDate="2022-05-18T00:00:00Z"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Pr="001A0CAA">
                  <w:rPr>
                    <w:rStyle w:val="PlaceholderText"/>
                  </w:rPr>
                  <w:t>Click here to enter a date.</w:t>
                </w:r>
              </w:sdtContent>
            </w:sdt>
            <w:r w:rsidRPr="001A0CAA">
              <w:t xml:space="preserve"> Nr.</w:t>
            </w:r>
          </w:p>
        </w:tc>
      </w:tr>
      <w:tr w:rsidR="00E70CED" w:rsidRPr="00977D72" w14:paraId="5E0775EB" w14:textId="77777777" w:rsidTr="003F3FFF">
        <w:trPr>
          <w:trHeight w:val="1011"/>
        </w:trPr>
        <w:tc>
          <w:tcPr>
            <w:tcW w:w="632" w:type="dxa"/>
          </w:tcPr>
          <w:p w14:paraId="6829924D" w14:textId="77777777" w:rsidR="00E70CED" w:rsidRPr="00977D72" w:rsidRDefault="00E70CED" w:rsidP="001F115E">
            <w:pPr>
              <w:rPr>
                <w:rFonts w:eastAsia="Arial"/>
                <w:b/>
              </w:rPr>
            </w:pPr>
            <w:r w:rsidRPr="00977D72">
              <w:rPr>
                <w:rFonts w:eastAsia="Arial"/>
                <w:b/>
                <w:bCs/>
              </w:rPr>
              <w:t>1.5</w:t>
            </w:r>
          </w:p>
        </w:tc>
        <w:tc>
          <w:tcPr>
            <w:tcW w:w="3899" w:type="dxa"/>
          </w:tcPr>
          <w:p w14:paraId="1DDE7CF3" w14:textId="2FF7A402" w:rsidR="00E70CED" w:rsidRPr="001A0CAA" w:rsidRDefault="00E70CED" w:rsidP="001F115E">
            <w:pPr>
              <w:tabs>
                <w:tab w:val="left" w:pos="284"/>
              </w:tabs>
              <w:rPr>
                <w:b/>
                <w:bCs/>
                <w:lang w:eastAsia="lt-LT"/>
              </w:rPr>
            </w:pPr>
            <w:r w:rsidRPr="001A0CAA">
              <w:rPr>
                <w:b/>
                <w:bCs/>
                <w:lang w:eastAsia="lt-LT"/>
              </w:rPr>
              <w:t>Ar atliktas bendras klinikinis vertinimas</w:t>
            </w:r>
          </w:p>
          <w:p w14:paraId="0961228D" w14:textId="77777777" w:rsidR="00E70CED" w:rsidRPr="001A0CAA" w:rsidRDefault="00E70CED" w:rsidP="001F115E">
            <w:pPr>
              <w:tabs>
                <w:tab w:val="left" w:pos="284"/>
              </w:tabs>
              <w:rPr>
                <w:b/>
                <w:bCs/>
                <w:lang w:eastAsia="lt-LT"/>
              </w:rPr>
            </w:pPr>
            <w:r w:rsidRPr="001A0CAA">
              <w:rPr>
                <w:b/>
                <w:bCs/>
                <w:lang w:eastAsia="lt-LT"/>
              </w:rPr>
              <w:t>(Europos Parlamento ir Tarybos reglamentas (ES) 2021/2282)</w:t>
            </w:r>
          </w:p>
          <w:p w14:paraId="7B6C3C1B" w14:textId="77777777" w:rsidR="00336238" w:rsidRPr="001A0CAA" w:rsidRDefault="00336238" w:rsidP="001F115E">
            <w:pPr>
              <w:tabs>
                <w:tab w:val="left" w:pos="284"/>
              </w:tabs>
              <w:rPr>
                <w:b/>
                <w:bCs/>
                <w:lang w:eastAsia="lt-LT"/>
              </w:rPr>
            </w:pPr>
          </w:p>
        </w:tc>
        <w:tc>
          <w:tcPr>
            <w:tcW w:w="4962" w:type="dxa"/>
          </w:tcPr>
          <w:p w14:paraId="024AE31B" w14:textId="6B98DCC2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-117156447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 xml:space="preserve"> Taip       </w:t>
            </w:r>
            <w:r w:rsidR="00E70CED" w:rsidRPr="001A0CAA">
              <w:rPr>
                <w:rStyle w:val="Style2"/>
                <w:sz w:val="24"/>
              </w:rPr>
              <w:t xml:space="preserve"> </w:t>
            </w:r>
            <w:sdt>
              <w:sdtPr>
                <w:rPr>
                  <w:rStyle w:val="Style2"/>
                  <w:sz w:val="24"/>
                </w:rPr>
                <w:id w:val="1448122567"/>
                <w15:color w:val="FFCC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62D9">
                  <w:rPr>
                    <w:rStyle w:val="Style2"/>
                    <w:rFonts w:ascii="MS Gothic" w:eastAsia="MS Gothic" w:hAnsi="MS Gothic" w:hint="eastAsia"/>
                    <w:sz w:val="24"/>
                  </w:rPr>
                  <w:t>☒</w:t>
                </w:r>
              </w:sdtContent>
            </w:sdt>
            <w:r w:rsidR="00E70CED" w:rsidRPr="001A0CAA">
              <w:t xml:space="preserve"> Ne</w:t>
            </w:r>
          </w:p>
          <w:p w14:paraId="0DF729B3" w14:textId="042856F7" w:rsidR="00E70CED" w:rsidRPr="001A0CAA" w:rsidRDefault="00E70CED" w:rsidP="001F115E">
            <w:pPr>
              <w:rPr>
                <w:rStyle w:val="Style2"/>
                <w:sz w:val="24"/>
              </w:rPr>
            </w:pPr>
            <w:r w:rsidRPr="001A0CAA">
              <w:t xml:space="preserve">Data: </w:t>
            </w:r>
            <w:sdt>
              <w:sdtPr>
                <w:alias w:val="Nurodykite konkrečią dieną"/>
                <w:tag w:val="Nurodykite pradžios datą"/>
                <w:id w:val="1516880001"/>
                <w:placeholder>
                  <w:docPart w:val="313EC56AA2FD440FAB92ED675BD36BA0"/>
                </w:placeholder>
                <w:showingPlcHdr/>
                <w15:color w:val="FFCC99"/>
                <w:date w:fullDate="2022-05-18T00:00:00Z"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Content>
                <w:r w:rsidRPr="001A0CAA">
                  <w:rPr>
                    <w:rStyle w:val="PlaceholderText"/>
                  </w:rPr>
                  <w:t>Click here to enter a date.</w:t>
                </w:r>
              </w:sdtContent>
            </w:sdt>
            <w:r w:rsidRPr="001A0CAA">
              <w:t xml:space="preserve"> </w:t>
            </w:r>
          </w:p>
        </w:tc>
      </w:tr>
      <w:tr w:rsidR="00D05877" w:rsidRPr="00977D72" w14:paraId="15E36E93" w14:textId="77777777" w:rsidTr="003F3FFF">
        <w:trPr>
          <w:trHeight w:val="1278"/>
        </w:trPr>
        <w:tc>
          <w:tcPr>
            <w:tcW w:w="632" w:type="dxa"/>
          </w:tcPr>
          <w:p w14:paraId="5F43AA8F" w14:textId="77777777" w:rsidR="00D05877" w:rsidRPr="00977D72" w:rsidRDefault="00D05877" w:rsidP="00D05877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t>1.6</w:t>
            </w:r>
          </w:p>
        </w:tc>
        <w:tc>
          <w:tcPr>
            <w:tcW w:w="3899" w:type="dxa"/>
          </w:tcPr>
          <w:p w14:paraId="41F32942" w14:textId="77777777" w:rsidR="00D05877" w:rsidRPr="00977D72" w:rsidRDefault="00D05877" w:rsidP="00D05877">
            <w:pPr>
              <w:rPr>
                <w:b/>
                <w:bCs/>
                <w:lang w:eastAsia="lt-LT"/>
              </w:rPr>
            </w:pPr>
            <w:r w:rsidRPr="00977D72">
              <w:rPr>
                <w:b/>
                <w:bCs/>
                <w:lang w:eastAsia="lt-LT"/>
              </w:rPr>
              <w:t xml:space="preserve">Teikiama kompensuoti terapinė indikacija </w:t>
            </w:r>
          </w:p>
          <w:p w14:paraId="2882A5BD" w14:textId="77777777" w:rsidR="00D05877" w:rsidRPr="00977D72" w:rsidRDefault="00D05877" w:rsidP="00D05877">
            <w:pPr>
              <w:rPr>
                <w:b/>
                <w:bCs/>
                <w:lang w:eastAsia="lt-LT"/>
              </w:rPr>
            </w:pPr>
          </w:p>
          <w:p w14:paraId="371D188E" w14:textId="77777777" w:rsidR="00D05877" w:rsidRPr="00977D72" w:rsidRDefault="00D05877" w:rsidP="00D05877">
            <w:pPr>
              <w:rPr>
                <w:b/>
                <w:bCs/>
                <w:lang w:eastAsia="lt-LT"/>
              </w:rPr>
            </w:pPr>
            <w:r w:rsidRPr="00977D72">
              <w:rPr>
                <w:b/>
                <w:bCs/>
                <w:lang w:eastAsia="lt-LT"/>
              </w:rPr>
              <w:t>Kodas pagal TLK-10 AM</w:t>
            </w:r>
          </w:p>
        </w:tc>
        <w:tc>
          <w:tcPr>
            <w:tcW w:w="4962" w:type="dxa"/>
          </w:tcPr>
          <w:p w14:paraId="798FF474" w14:textId="77777777" w:rsidR="00D05877" w:rsidRDefault="00D05877" w:rsidP="00D05877">
            <w:pPr>
              <w:tabs>
                <w:tab w:val="left" w:pos="1418"/>
                <w:tab w:val="left" w:pos="5245"/>
              </w:tabs>
              <w:jc w:val="both"/>
            </w:pPr>
            <w:r w:rsidRPr="005134C0">
              <w:t>Calquence vienas (monoterapija) skirtas gydyti suaugusiems pacientams, sergantiems recidyvuojančia arba atsparia mantijos ląstelių limfoma (MLL), kurie anksčiau nebuvo gydyti Brutono kinazės (BTK) inhibitoriumi.</w:t>
            </w:r>
          </w:p>
          <w:p w14:paraId="22A205BF" w14:textId="77777777" w:rsidR="00D05877" w:rsidRDefault="00D05877" w:rsidP="00D05877">
            <w:pPr>
              <w:tabs>
                <w:tab w:val="left" w:pos="1418"/>
                <w:tab w:val="left" w:pos="5245"/>
              </w:tabs>
            </w:pPr>
          </w:p>
          <w:p w14:paraId="10833DB8" w14:textId="3CC330C0" w:rsidR="00D05877" w:rsidRPr="00977D72" w:rsidRDefault="00D05877" w:rsidP="00D05877">
            <w:r w:rsidRPr="00AB2B21">
              <w:lastRenderedPageBreak/>
              <w:t>TLK kodas:</w:t>
            </w:r>
            <w:r>
              <w:rPr>
                <w:b/>
                <w:bCs/>
              </w:rPr>
              <w:t xml:space="preserve"> </w:t>
            </w:r>
            <w:r w:rsidRPr="002B02E9">
              <w:t>C</w:t>
            </w:r>
            <w:r>
              <w:t>83</w:t>
            </w:r>
            <w:r w:rsidRPr="002B02E9">
              <w:t>.1</w:t>
            </w:r>
            <w:r>
              <w:t>.</w:t>
            </w:r>
          </w:p>
        </w:tc>
      </w:tr>
      <w:tr w:rsidR="00D05877" w:rsidRPr="00977D72" w14:paraId="01C3C4F5" w14:textId="77777777" w:rsidTr="003F3FFF">
        <w:trPr>
          <w:trHeight w:val="378"/>
        </w:trPr>
        <w:tc>
          <w:tcPr>
            <w:tcW w:w="632" w:type="dxa"/>
          </w:tcPr>
          <w:p w14:paraId="5115AFC1" w14:textId="77777777" w:rsidR="00D05877" w:rsidRPr="00977D72" w:rsidRDefault="00D05877" w:rsidP="00D05877">
            <w:pPr>
              <w:rPr>
                <w:rFonts w:eastAsia="Arial"/>
                <w:b/>
                <w:bCs/>
              </w:rPr>
            </w:pPr>
            <w:r w:rsidRPr="00977D72">
              <w:rPr>
                <w:rFonts w:eastAsia="Arial"/>
                <w:b/>
                <w:bCs/>
              </w:rPr>
              <w:lastRenderedPageBreak/>
              <w:t>1.7</w:t>
            </w:r>
          </w:p>
        </w:tc>
        <w:tc>
          <w:tcPr>
            <w:tcW w:w="3899" w:type="dxa"/>
          </w:tcPr>
          <w:p w14:paraId="48045B5A" w14:textId="77777777" w:rsidR="00D05877" w:rsidRPr="00977D72" w:rsidRDefault="00D05877" w:rsidP="00D05877">
            <w:pPr>
              <w:rPr>
                <w:b/>
                <w:bCs/>
                <w:u w:val="single"/>
                <w:lang w:eastAsia="lt-LT"/>
              </w:rPr>
            </w:pPr>
            <w:r w:rsidRPr="00977D72">
              <w:rPr>
                <w:b/>
                <w:bCs/>
                <w:lang w:eastAsia="lt-LT"/>
              </w:rPr>
              <w:t xml:space="preserve">Teikiamos skyrimo sąlygos </w:t>
            </w:r>
          </w:p>
        </w:tc>
        <w:tc>
          <w:tcPr>
            <w:tcW w:w="4962" w:type="dxa"/>
          </w:tcPr>
          <w:p w14:paraId="273210B7" w14:textId="77777777" w:rsidR="00D05877" w:rsidRPr="009300B3" w:rsidRDefault="00D05877" w:rsidP="00D05877">
            <w:pPr>
              <w:jc w:val="both"/>
            </w:pPr>
            <w:r>
              <w:t>Pagal registruotą indikaciją.</w:t>
            </w:r>
          </w:p>
          <w:p w14:paraId="6A31562C" w14:textId="77777777" w:rsidR="00D05877" w:rsidRPr="00977D72" w:rsidRDefault="00D05877" w:rsidP="00D05877"/>
        </w:tc>
      </w:tr>
      <w:tr w:rsidR="00E70CED" w:rsidRPr="00977D72" w14:paraId="3C32C984" w14:textId="77777777" w:rsidTr="003F3FFF">
        <w:trPr>
          <w:trHeight w:val="378"/>
        </w:trPr>
        <w:tc>
          <w:tcPr>
            <w:tcW w:w="632" w:type="dxa"/>
          </w:tcPr>
          <w:p w14:paraId="4E679EDB" w14:textId="77777777" w:rsidR="00E70CED" w:rsidRPr="00977D72" w:rsidRDefault="00E70CED" w:rsidP="001F115E">
            <w:pPr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1.8</w:t>
            </w:r>
          </w:p>
        </w:tc>
        <w:tc>
          <w:tcPr>
            <w:tcW w:w="3899" w:type="dxa"/>
          </w:tcPr>
          <w:p w14:paraId="784605B5" w14:textId="3A924C79" w:rsidR="00E70CED" w:rsidRPr="00977D72" w:rsidRDefault="00E70CED" w:rsidP="001F115E">
            <w:pPr>
              <w:rPr>
                <w:b/>
                <w:bCs/>
                <w:lang w:eastAsia="lt-LT"/>
              </w:rPr>
            </w:pPr>
            <w:r w:rsidRPr="00977D72">
              <w:rPr>
                <w:b/>
                <w:bCs/>
                <w:lang w:eastAsia="lt-LT"/>
              </w:rPr>
              <w:t>Ekonominė analizė</w:t>
            </w:r>
          </w:p>
        </w:tc>
        <w:tc>
          <w:tcPr>
            <w:tcW w:w="4962" w:type="dxa"/>
          </w:tcPr>
          <w:p w14:paraId="3155F2E8" w14:textId="77777777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35632336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0CED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E70CED" w:rsidRPr="001A0CAA">
              <w:t xml:space="preserve"> Kaštų naudingumo analizė</w:t>
            </w:r>
          </w:p>
          <w:p w14:paraId="49547563" w14:textId="75BD22D2" w:rsidR="00E70CED" w:rsidRPr="001A0CAA" w:rsidRDefault="00000000" w:rsidP="001F115E">
            <w:sdt>
              <w:sdtPr>
                <w:rPr>
                  <w:rStyle w:val="Style2"/>
                  <w:sz w:val="24"/>
                </w:rPr>
                <w:id w:val="-250506580"/>
                <w15:color w:val="FFCC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05877">
                  <w:rPr>
                    <w:rStyle w:val="Style2"/>
                    <w:rFonts w:ascii="MS Gothic" w:eastAsia="MS Gothic" w:hAnsi="MS Gothic" w:hint="eastAsia"/>
                    <w:sz w:val="24"/>
                  </w:rPr>
                  <w:t>☒</w:t>
                </w:r>
              </w:sdtContent>
            </w:sdt>
            <w:r w:rsidR="00E70CED" w:rsidRPr="001A0CAA">
              <w:t xml:space="preserve"> Kaštų mažinimo analizė</w:t>
            </w:r>
          </w:p>
          <w:p w14:paraId="42039008" w14:textId="5726D9D8" w:rsidR="00FE5878" w:rsidRDefault="00000000" w:rsidP="00FE5878">
            <w:sdt>
              <w:sdtPr>
                <w:rPr>
                  <w:rStyle w:val="Style2"/>
                  <w:sz w:val="24"/>
                </w:rPr>
                <w:id w:val="-157064713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878" w:rsidRPr="001A0CAA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E5878" w:rsidRPr="001A0CAA">
              <w:t xml:space="preserve"> </w:t>
            </w:r>
            <w:r w:rsidR="00FE5878">
              <w:t>Neteikiama</w:t>
            </w:r>
          </w:p>
          <w:p w14:paraId="5DC5A0C1" w14:textId="77777777" w:rsidR="00FE5878" w:rsidRPr="001A0CAA" w:rsidRDefault="00FE5878" w:rsidP="001F115E"/>
          <w:p w14:paraId="4B0FE78C" w14:textId="77777777" w:rsidR="00E70CED" w:rsidRPr="00977D72" w:rsidRDefault="00E70CED" w:rsidP="001F115E"/>
        </w:tc>
      </w:tr>
    </w:tbl>
    <w:p w14:paraId="2EB7FD31" w14:textId="5615B363" w:rsidR="007A2B68" w:rsidRPr="000203E1" w:rsidRDefault="00DC261A" w:rsidP="00063A50">
      <w:pPr>
        <w:pStyle w:val="ListParagraph"/>
        <w:tabs>
          <w:tab w:val="left" w:pos="426"/>
        </w:tabs>
        <w:ind w:left="0"/>
        <w:jc w:val="center"/>
        <w:rPr>
          <w:b/>
          <w:bCs/>
          <w:caps/>
        </w:rPr>
      </w:pPr>
      <w:r w:rsidRPr="00DC261A">
        <w:rPr>
          <w:b/>
          <w:bCs/>
          <w:caps/>
        </w:rPr>
        <w:t>___________________</w:t>
      </w:r>
    </w:p>
    <w:p w14:paraId="73290081" w14:textId="77777777" w:rsidR="007A2B68" w:rsidRPr="000203E1" w:rsidRDefault="007A2B68">
      <w:pPr>
        <w:rPr>
          <w:b/>
          <w:bCs/>
          <w:caps/>
        </w:rPr>
      </w:pPr>
      <w:r w:rsidRPr="000203E1">
        <w:rPr>
          <w:b/>
          <w:bCs/>
          <w:caps/>
        </w:rPr>
        <w:br w:type="page"/>
      </w:r>
    </w:p>
    <w:p w14:paraId="650150A2" w14:textId="4FA6FEE1" w:rsidR="00D12869" w:rsidRDefault="00CC7832" w:rsidP="00D476AB">
      <w:pPr>
        <w:pStyle w:val="ListParagraph"/>
        <w:numPr>
          <w:ilvl w:val="0"/>
          <w:numId w:val="12"/>
        </w:numPr>
        <w:tabs>
          <w:tab w:val="left" w:pos="567"/>
        </w:tabs>
        <w:ind w:hanging="720"/>
        <w:rPr>
          <w:b/>
          <w:bCs/>
          <w:caps/>
        </w:rPr>
      </w:pPr>
      <w:r w:rsidRPr="000203E1">
        <w:rPr>
          <w:b/>
          <w:bCs/>
          <w:caps/>
        </w:rPr>
        <w:lastRenderedPageBreak/>
        <w:t>Klinikinio vertinimo a</w:t>
      </w:r>
      <w:r w:rsidR="00D4485B" w:rsidRPr="000203E1">
        <w:rPr>
          <w:b/>
          <w:bCs/>
          <w:caps/>
        </w:rPr>
        <w:t>pibendrinimas</w:t>
      </w:r>
    </w:p>
    <w:p w14:paraId="41CD359C" w14:textId="77777777" w:rsidR="00D476AB" w:rsidRDefault="00D476AB" w:rsidP="00D476AB">
      <w:pPr>
        <w:tabs>
          <w:tab w:val="left" w:pos="567"/>
        </w:tabs>
        <w:rPr>
          <w:b/>
          <w:bCs/>
          <w:caps/>
        </w:rPr>
      </w:pPr>
    </w:p>
    <w:p w14:paraId="0F6D289F" w14:textId="77777777" w:rsidR="00A85243" w:rsidRDefault="00A85243" w:rsidP="00A85243">
      <w:pPr>
        <w:tabs>
          <w:tab w:val="left" w:pos="567"/>
        </w:tabs>
        <w:spacing w:line="276" w:lineRule="auto"/>
        <w:jc w:val="both"/>
      </w:pPr>
      <w:r>
        <w:rPr>
          <w:i/>
          <w:color w:val="00B050"/>
        </w:rPr>
        <w:tab/>
      </w:r>
      <w:r>
        <w:rPr>
          <w:i/>
          <w:color w:val="00B050"/>
        </w:rPr>
        <w:tab/>
      </w:r>
      <w:r w:rsidRPr="00A05029">
        <w:t>Mantijos ląstelių limfoma (</w:t>
      </w:r>
      <w:r>
        <w:t xml:space="preserve">angl. </w:t>
      </w:r>
      <w:r w:rsidRPr="003D50C4">
        <w:rPr>
          <w:i/>
          <w:iCs/>
        </w:rPr>
        <w:t>Mantle Cell Lymphoma</w:t>
      </w:r>
      <w:r>
        <w:t>,</w:t>
      </w:r>
      <w:r w:rsidRPr="0081123C">
        <w:t xml:space="preserve"> </w:t>
      </w:r>
      <w:r>
        <w:t>toliau – MLL</w:t>
      </w:r>
      <w:r w:rsidRPr="00A05029">
        <w:t xml:space="preserve">) yra agresyvi ne Hodžkino limfoma (NHL), išsivystanti dėl </w:t>
      </w:r>
      <w:r>
        <w:t>piktybinės</w:t>
      </w:r>
      <w:r w:rsidRPr="00A05029">
        <w:t xml:space="preserve"> subrendusių B limfocitų transformacijos sutrikus ląstelės ciklui.</w:t>
      </w:r>
      <w:r>
        <w:t xml:space="preserve"> </w:t>
      </w:r>
      <w:r w:rsidRPr="0024646D">
        <w:t xml:space="preserve">Ligos prognozei </w:t>
      </w:r>
      <w:r>
        <w:t>nustatyti naudojamas</w:t>
      </w:r>
      <w:r w:rsidRPr="0024646D">
        <w:t xml:space="preserve"> Tarptautinis MLL prognostinis indeksas (angl. </w:t>
      </w:r>
      <w:r w:rsidRPr="00431494">
        <w:rPr>
          <w:i/>
          <w:iCs/>
        </w:rPr>
        <w:t>MCL International Prognostic Index</w:t>
      </w:r>
      <w:r w:rsidRPr="0024646D">
        <w:t>, MIPI)</w:t>
      </w:r>
      <w:r>
        <w:t>. Esant mažai rizikai pagal MIPI, pacientų 5-ių metų išgyvenamumas yra apie 60%, esant vidutinei rizikai išgyvenamumo mediana yra 51 mėn., didelei –  29 mėn.</w:t>
      </w:r>
    </w:p>
    <w:p w14:paraId="69BC227E" w14:textId="77777777" w:rsidR="00A85243" w:rsidRDefault="00A85243" w:rsidP="00A85243">
      <w:pPr>
        <w:tabs>
          <w:tab w:val="left" w:pos="426"/>
        </w:tabs>
        <w:spacing w:line="276" w:lineRule="auto"/>
        <w:jc w:val="both"/>
      </w:pPr>
      <w:r>
        <w:tab/>
      </w:r>
      <w:r>
        <w:tab/>
      </w:r>
      <w:r w:rsidRPr="004E457A">
        <w:t>202</w:t>
      </w:r>
      <w:r>
        <w:t>5</w:t>
      </w:r>
      <w:r w:rsidRPr="004E457A">
        <w:t xml:space="preserve"> m. ESMO (angl. </w:t>
      </w:r>
      <w:r w:rsidRPr="004E457A">
        <w:rPr>
          <w:i/>
          <w:iCs/>
        </w:rPr>
        <w:t xml:space="preserve">European Society of Medical </w:t>
      </w:r>
      <w:r w:rsidRPr="004E457A">
        <w:t xml:space="preserve">Oncology) </w:t>
      </w:r>
      <w:r>
        <w:t>limfomų</w:t>
      </w:r>
      <w:r w:rsidRPr="004E457A">
        <w:t xml:space="preserve"> diagnostikos ir gydymo gairėse</w:t>
      </w:r>
      <w:r>
        <w:t xml:space="preserve"> recidyvuojančios ar refrakterinės MLL</w:t>
      </w:r>
      <w:r w:rsidRPr="004E457A">
        <w:t xml:space="preserve"> </w:t>
      </w:r>
      <w:r>
        <w:t>gydymo taktika priklauso nuo pirmos eilės gydymo. Jei pirmos eilės gydymui buvo skirti Brutono tirozinkinazės (BTK) inhibitoriai (pvz., ibrutinibas, akalabrutinibas), antros eilės gydymui siūloma skirti CAR-T ląstelių terapiją (IIIA rekomendacija), pirtobrutinibą (IIIA rekomendacija), imunochemoterapiją (IVB rekomendacija) arba BTK inhibitorių monoterapiją su ar be venetoklakso (VC rekomendacija; rekomendacijoje minima, jog Europoje šiai patvirtintas tik ibrutinibas). Jei pirmos eilės gydymui buvo skirta imunochemoterapija, rekomenduojama skirti BTK inhibitorių su ar be venetoklakso (IIIB rekomendacija).</w:t>
      </w:r>
    </w:p>
    <w:p w14:paraId="71842798" w14:textId="77777777" w:rsidR="00A85243" w:rsidRDefault="00A85243" w:rsidP="00A85243">
      <w:pPr>
        <w:spacing w:line="276" w:lineRule="auto"/>
        <w:ind w:firstLine="720"/>
        <w:contextualSpacing/>
        <w:jc w:val="both"/>
      </w:pPr>
      <w:r>
        <w:t xml:space="preserve">Pareiškėjas siūlo, jog akalabrutinibas šiuo metu Lietuvoje kompensuojamoje ir įrodymus atitinkančioje gydymo schemoje turėtų būti alternatyva ibrutinibo monoterapijai, gydant </w:t>
      </w:r>
      <w:r w:rsidRPr="005134C0">
        <w:t>recidyvuojanči</w:t>
      </w:r>
      <w:r>
        <w:t xml:space="preserve">as arba atsparias ligos formas. Lietuvoje ibrutinibas </w:t>
      </w:r>
      <w:r w:rsidRPr="00DA7B54">
        <w:t>MLL (TLK-10 AM kod</w:t>
      </w:r>
      <w:r>
        <w:t xml:space="preserve">as </w:t>
      </w:r>
      <w:r w:rsidRPr="00DA7B54">
        <w:t>C83.1) gydymui Lietuvoje kompensuojamas be skyrimo sąlygų.</w:t>
      </w:r>
      <w:r>
        <w:t xml:space="preserve"> Įvertinus ibrutinibo ir akalabrutinibo Europos medicinos agentūros preparatų charakteristikų santraukoje nurodytas terapines indikacijas, ibrutinibas patvirtintas pacientų, sergančių MLL, tiek pirmos eilės gydymui (derinyje su </w:t>
      </w:r>
      <w:r w:rsidRPr="00615C91">
        <w:t>rituksimabu, ciklofosfamidu, doksorubicinu, vinkristinu ir prednizolonu</w:t>
      </w:r>
      <w:r>
        <w:t xml:space="preserve">), tiek esant refrakterinei ar recidyvuojančiai ligos formai nepriklausomai, ar pacientai anksčiau vartojo BTK inhibitorius (monoterapija), akalabrutinibas – tik esant refrakterinei ar recidyvuojančiai ligos formai (monoterapija) ir jei anksčiau nebuvo gydymui skirtas BTK inhibitorius. Atsižvelgiant į standartinę praktiką Lietuvoje, įvertinta, jog pacientų, kuriems </w:t>
      </w:r>
      <w:r w:rsidRPr="00F807C7">
        <w:t>nustatyta recidyvuojanti arba atspari MLL ir jie anksčiau nebuvo gydyti BTK inhibitoriumi</w:t>
      </w:r>
      <w:r>
        <w:t>, populiacijoje ibrutinibas yra tinkamas palyginamasis gydymas.</w:t>
      </w:r>
    </w:p>
    <w:p w14:paraId="75EFDAAA" w14:textId="77777777" w:rsidR="00A85243" w:rsidRDefault="00A85243" w:rsidP="00A85243">
      <w:pPr>
        <w:spacing w:line="276" w:lineRule="auto"/>
        <w:ind w:firstLine="720"/>
        <w:contextualSpacing/>
        <w:jc w:val="both"/>
      </w:pPr>
    </w:p>
    <w:p w14:paraId="0DA4B40E" w14:textId="77777777" w:rsidR="00A85243" w:rsidRDefault="00A85243" w:rsidP="00A85243">
      <w:pPr>
        <w:widowControl w:val="0"/>
        <w:jc w:val="both"/>
        <w:rPr>
          <w:bCs/>
          <w:i/>
          <w:iCs/>
          <w:color w:val="000000"/>
          <w:lang w:eastAsia="lt-LT"/>
        </w:rPr>
      </w:pPr>
      <w:r>
        <w:rPr>
          <w:bCs/>
          <w:i/>
          <w:iCs/>
          <w:color w:val="000000"/>
          <w:lang w:eastAsia="lt-LT"/>
        </w:rPr>
        <w:t>Tiesioginis palyginimas</w:t>
      </w:r>
    </w:p>
    <w:p w14:paraId="029C4027" w14:textId="77777777" w:rsidR="00A85243" w:rsidRDefault="00A85243" w:rsidP="00A85243">
      <w:pPr>
        <w:widowControl w:val="0"/>
        <w:jc w:val="both"/>
        <w:rPr>
          <w:bCs/>
          <w:i/>
          <w:iCs/>
          <w:color w:val="000000"/>
          <w:highlight w:val="yellow"/>
          <w:lang w:eastAsia="lt-LT"/>
        </w:rPr>
      </w:pPr>
    </w:p>
    <w:p w14:paraId="3F55BB16" w14:textId="77777777" w:rsidR="00A85243" w:rsidRDefault="00A85243" w:rsidP="00A85243">
      <w:pPr>
        <w:tabs>
          <w:tab w:val="left" w:pos="492"/>
        </w:tabs>
        <w:spacing w:line="276" w:lineRule="auto"/>
        <w:jc w:val="both"/>
        <w:outlineLvl w:val="1"/>
        <w:rPr>
          <w:rFonts w:eastAsia="Arial"/>
        </w:rPr>
      </w:pPr>
      <w:r>
        <w:rPr>
          <w:rFonts w:eastAsia="Arial"/>
        </w:rPr>
        <w:tab/>
      </w:r>
      <w:r>
        <w:rPr>
          <w:rFonts w:eastAsia="Arial"/>
        </w:rPr>
        <w:tab/>
        <w:t>Pareiškėjas tiesioginio palyginimo tyrimų nepateikė, tačiau pateikė klinikinio tyrimo ACE-LY-004 duomenis, kuriuos naudojo netiesioginio palyginimo su ibrutinibu analizėje. ACE-LY-004 yra II fazės, daugiacentrinis, atviras vienos grupės tyrimas, kuriame buvo vertinamas pacientų, sergančių recidyvuojančia ar atsparia MLL, kuriems skirtos 1 – 5 gydymo eilės.</w:t>
      </w:r>
    </w:p>
    <w:p w14:paraId="56F70732" w14:textId="77777777" w:rsidR="00A85243" w:rsidRDefault="00A85243" w:rsidP="00A85243">
      <w:pPr>
        <w:tabs>
          <w:tab w:val="left" w:pos="492"/>
        </w:tabs>
        <w:spacing w:line="276" w:lineRule="auto"/>
        <w:jc w:val="both"/>
        <w:outlineLvl w:val="1"/>
        <w:rPr>
          <w:bCs/>
          <w:lang w:eastAsia="lt-LT"/>
        </w:rPr>
      </w:pPr>
      <w:r>
        <w:rPr>
          <w:rFonts w:eastAsia="Arial"/>
        </w:rPr>
        <w:tab/>
      </w:r>
      <w:r>
        <w:rPr>
          <w:rFonts w:eastAsia="Arial"/>
        </w:rPr>
        <w:tab/>
        <w:t>Įvertinus įtraukimo ir atmetimo kriterijus bei pradines pacientų klinikines charakteristikas, t</w:t>
      </w:r>
      <w:r w:rsidRPr="006B1362">
        <w:rPr>
          <w:rFonts w:eastAsia="Arial"/>
        </w:rPr>
        <w:t>yrimo populiacija atitinka Lietuvos pacientų, sergančių recidyvuojančia ir atsparia MLL ir negydytų BTK inhibitoriais, pacientų populiaciją.</w:t>
      </w:r>
      <w:r>
        <w:rPr>
          <w:rFonts w:eastAsia="Arial"/>
        </w:rPr>
        <w:t xml:space="preserve"> Tyrimo vertinamosios baigtys pasirinktos tinkamos. </w:t>
      </w:r>
      <w:r>
        <w:rPr>
          <w:bCs/>
          <w:lang w:eastAsia="lt-LT"/>
        </w:rPr>
        <w:t>A</w:t>
      </w:r>
      <w:r w:rsidRPr="005105FC">
        <w:rPr>
          <w:bCs/>
          <w:lang w:eastAsia="lt-LT"/>
        </w:rPr>
        <w:t>tviras, vienos grupės tyrimas be palyginamosios grupės</w:t>
      </w:r>
      <w:r>
        <w:rPr>
          <w:bCs/>
          <w:lang w:eastAsia="lt-LT"/>
        </w:rPr>
        <w:t xml:space="preserve"> yra reikšmingiausias metodologinis tyrimo trūkumas.</w:t>
      </w:r>
    </w:p>
    <w:p w14:paraId="5DDBEF97" w14:textId="77777777" w:rsidR="00A85243" w:rsidRDefault="00A85243" w:rsidP="00A85243">
      <w:pPr>
        <w:tabs>
          <w:tab w:val="left" w:pos="492"/>
        </w:tabs>
        <w:spacing w:line="276" w:lineRule="auto"/>
        <w:jc w:val="both"/>
        <w:outlineLvl w:val="1"/>
        <w:rPr>
          <w:bCs/>
          <w:color w:val="000000"/>
          <w:lang w:eastAsia="lt-LT"/>
        </w:rPr>
      </w:pPr>
      <w:r>
        <w:rPr>
          <w:bCs/>
          <w:lang w:eastAsia="lt-LT"/>
        </w:rPr>
        <w:tab/>
      </w:r>
      <w:r>
        <w:rPr>
          <w:bCs/>
          <w:lang w:eastAsia="lt-LT"/>
        </w:rPr>
        <w:tab/>
        <w:t xml:space="preserve">Bet kokį atsaką į gydymą (dalinį ar pilną) po 54 mėn. pasiekė 101 (81,5%; 95% PI 73,5 – 87,9), pilną – 59 (47,6%; 95% PI 38,5 – 56,7), dalinį – 42 (33,9%; 95% PI 25,6 – 42,9) pacientai. Atsako trukmės mediana </w:t>
      </w:r>
      <w:r>
        <w:rPr>
          <w:rFonts w:eastAsia="Arial"/>
          <w:bCs/>
        </w:rPr>
        <w:t xml:space="preserve">28,6 mėn. (95% PI 17,5 – 39,1; 3 pav.), išgyvenamumo be ligos progresavimo mediana – 22,0 mėn. (95% PI 16,6 – 33,3; 4 pav.), bendro išgyvenamumo mediana – </w:t>
      </w:r>
      <w:r>
        <w:rPr>
          <w:rFonts w:eastAsia="Arial"/>
          <w:bCs/>
        </w:rPr>
        <w:lastRenderedPageBreak/>
        <w:t>59,2 mėn. (95% PI 36,5 – neįvertinama). Pacientų 5 metų išgyvenamumo tikimybė buvo 49,5% (95% 40,1 – 58,2).</w:t>
      </w:r>
      <w:r>
        <w:rPr>
          <w:rFonts w:eastAsia="Arial"/>
        </w:rPr>
        <w:t xml:space="preserve"> R</w:t>
      </w:r>
      <w:r>
        <w:rPr>
          <w:iCs/>
        </w:rPr>
        <w:t>eikšmingų</w:t>
      </w:r>
      <w:r>
        <w:rPr>
          <w:bCs/>
          <w:iCs/>
          <w:lang w:eastAsia="lt-LT"/>
        </w:rPr>
        <w:t xml:space="preserve"> saugumo problemų ar įvykių nenustatyta</w:t>
      </w:r>
      <w:r>
        <w:rPr>
          <w:bCs/>
          <w:color w:val="000000"/>
          <w:lang w:eastAsia="lt-LT"/>
        </w:rPr>
        <w:t>.</w:t>
      </w:r>
    </w:p>
    <w:p w14:paraId="5983594F" w14:textId="77777777" w:rsidR="00A85243" w:rsidRPr="006B1362" w:rsidRDefault="00A85243" w:rsidP="00A85243">
      <w:pPr>
        <w:tabs>
          <w:tab w:val="left" w:pos="492"/>
        </w:tabs>
        <w:spacing w:line="276" w:lineRule="auto"/>
        <w:jc w:val="both"/>
        <w:outlineLvl w:val="1"/>
        <w:rPr>
          <w:rFonts w:eastAsia="Arial"/>
        </w:rPr>
      </w:pPr>
      <w:r>
        <w:rPr>
          <w:bCs/>
          <w:color w:val="000000"/>
          <w:lang w:eastAsia="lt-LT"/>
        </w:rPr>
        <w:tab/>
      </w:r>
      <w:r>
        <w:rPr>
          <w:bCs/>
          <w:color w:val="000000"/>
          <w:lang w:eastAsia="lt-LT"/>
        </w:rPr>
        <w:tab/>
        <w:t xml:space="preserve">Apibendrinant ACE-LY-004 tyrimo duomenis, jų nepakanka </w:t>
      </w:r>
      <w:r w:rsidRPr="00B61A16">
        <w:rPr>
          <w:bCs/>
          <w:color w:val="000000"/>
          <w:lang w:eastAsia="lt-LT"/>
        </w:rPr>
        <w:t>siekiant palyginti akalabrutinibo ir ibrutinibo veiksmingumą pacientų, kuriems nustatyta recidyvuojanti arba atspari MLL ir jie anksčiau nebuvo gydyti Brutono kinazės (BTK) inhibitoriumi, populiacijoje.</w:t>
      </w:r>
    </w:p>
    <w:p w14:paraId="1F06034B" w14:textId="77777777" w:rsidR="00A85243" w:rsidRDefault="00A85243" w:rsidP="00A85243">
      <w:pPr>
        <w:spacing w:line="276" w:lineRule="auto"/>
        <w:contextualSpacing/>
        <w:jc w:val="both"/>
      </w:pPr>
    </w:p>
    <w:p w14:paraId="44B914AF" w14:textId="77777777" w:rsidR="00A85243" w:rsidRDefault="00A85243" w:rsidP="00A85243">
      <w:pPr>
        <w:widowControl w:val="0"/>
        <w:spacing w:line="276" w:lineRule="auto"/>
        <w:jc w:val="both"/>
        <w:rPr>
          <w:bCs/>
          <w:i/>
          <w:iCs/>
          <w:color w:val="000000"/>
          <w:lang w:eastAsia="lt-LT"/>
        </w:rPr>
      </w:pPr>
      <w:r>
        <w:rPr>
          <w:bCs/>
          <w:i/>
          <w:iCs/>
          <w:color w:val="000000"/>
          <w:lang w:eastAsia="lt-LT"/>
        </w:rPr>
        <w:t>Netiesioginis palyginimas</w:t>
      </w:r>
    </w:p>
    <w:p w14:paraId="0B5B5F82" w14:textId="77777777" w:rsidR="00A85243" w:rsidRDefault="00A85243" w:rsidP="00A85243">
      <w:pPr>
        <w:spacing w:line="276" w:lineRule="auto"/>
        <w:contextualSpacing/>
        <w:jc w:val="both"/>
      </w:pPr>
    </w:p>
    <w:p w14:paraId="4B6BC136" w14:textId="77777777" w:rsidR="00A85243" w:rsidRDefault="00A85243" w:rsidP="00A85243">
      <w:pPr>
        <w:spacing w:line="276" w:lineRule="auto"/>
        <w:ind w:firstLine="720"/>
        <w:contextualSpacing/>
        <w:jc w:val="both"/>
        <w:rPr>
          <w:rFonts w:eastAsia="Arial"/>
          <w:bCs/>
        </w:rPr>
      </w:pPr>
      <w:r>
        <w:rPr>
          <w:bCs/>
          <w:color w:val="000000"/>
          <w:lang w:eastAsia="lt-LT"/>
        </w:rPr>
        <w:t xml:space="preserve">Palyginamasis veiksmingumas grindžiamas </w:t>
      </w:r>
      <w:r>
        <w:rPr>
          <w:rFonts w:eastAsia="Arial"/>
        </w:rPr>
        <w:t xml:space="preserve">koreguota nesutvirtinta (angl. </w:t>
      </w:r>
      <w:r>
        <w:rPr>
          <w:rFonts w:eastAsia="Arial"/>
          <w:i/>
          <w:iCs/>
        </w:rPr>
        <w:t>unanchored</w:t>
      </w:r>
      <w:r>
        <w:rPr>
          <w:rFonts w:eastAsia="Arial"/>
        </w:rPr>
        <w:t xml:space="preserve">) netiesioginio akalabrutinibo ir ibrutinibo palyginimo analizę (angl. </w:t>
      </w:r>
      <w:r>
        <w:rPr>
          <w:rFonts w:eastAsia="Arial"/>
          <w:i/>
          <w:iCs/>
        </w:rPr>
        <w:t>matching adjusted indirect comparison</w:t>
      </w:r>
      <w:r>
        <w:rPr>
          <w:rFonts w:eastAsia="Arial"/>
        </w:rPr>
        <w:t>). Į analizę įtraukti vienas akalabrutinibo (ACE-LY-004) ir trys ibrutinibo (</w:t>
      </w:r>
      <w:r>
        <w:rPr>
          <w:rFonts w:eastAsia="Arial"/>
          <w:bCs/>
        </w:rPr>
        <w:t>vienas III fazės – MCL3001, du II fazės – PCYC-1104, MCL2001) tyrimai.</w:t>
      </w:r>
    </w:p>
    <w:p w14:paraId="7FE01D4A" w14:textId="77777777" w:rsidR="00A85243" w:rsidRDefault="00A85243" w:rsidP="00A85243">
      <w:pPr>
        <w:spacing w:line="276" w:lineRule="auto"/>
        <w:ind w:firstLine="720"/>
        <w:contextualSpacing/>
        <w:jc w:val="both"/>
        <w:rPr>
          <w:rFonts w:eastAsia="Arial"/>
          <w:bCs/>
          <w:lang w:val="en-US"/>
        </w:rPr>
      </w:pPr>
      <w:proofErr w:type="spellStart"/>
      <w:r>
        <w:rPr>
          <w:rFonts w:eastAsia="Arial"/>
          <w:bCs/>
          <w:lang w:val="en-US"/>
        </w:rPr>
        <w:t>Prieš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populiacijų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sutapatinimą</w:t>
      </w:r>
      <w:proofErr w:type="spellEnd"/>
      <w:r>
        <w:rPr>
          <w:rFonts w:eastAsia="Arial"/>
          <w:bCs/>
          <w:lang w:val="en-US"/>
        </w:rPr>
        <w:t xml:space="preserve">, </w:t>
      </w:r>
      <w:proofErr w:type="spellStart"/>
      <w:r>
        <w:rPr>
          <w:rFonts w:eastAsia="Arial"/>
          <w:bCs/>
          <w:lang w:val="en-US"/>
        </w:rPr>
        <w:t>akalabrutinibo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tyrime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buvo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daugiau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mažos</w:t>
      </w:r>
      <w:proofErr w:type="spellEnd"/>
      <w:r>
        <w:rPr>
          <w:rFonts w:eastAsia="Arial"/>
          <w:bCs/>
          <w:lang w:val="en-US"/>
        </w:rPr>
        <w:t xml:space="preserve"> (p&lt;</w:t>
      </w:r>
      <w:r>
        <w:rPr>
          <w:rFonts w:eastAsia="Arial"/>
          <w:bCs/>
          <w:lang w:val="en-US"/>
        </w:rPr>
        <w:softHyphen/>
        <w:t xml:space="preserve">0,01) ir </w:t>
      </w:r>
      <w:proofErr w:type="spellStart"/>
      <w:r>
        <w:rPr>
          <w:rFonts w:eastAsia="Arial"/>
          <w:bCs/>
          <w:lang w:val="en-US"/>
        </w:rPr>
        <w:t>mažiau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didelės</w:t>
      </w:r>
      <w:proofErr w:type="spellEnd"/>
      <w:r>
        <w:rPr>
          <w:rFonts w:eastAsia="Arial"/>
          <w:bCs/>
          <w:lang w:val="en-US"/>
        </w:rPr>
        <w:t xml:space="preserve"> (p&lt;0,01) </w:t>
      </w:r>
      <w:proofErr w:type="spellStart"/>
      <w:r>
        <w:rPr>
          <w:rFonts w:eastAsia="Arial"/>
          <w:bCs/>
          <w:lang w:val="en-US"/>
        </w:rPr>
        <w:t>rizikos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grupės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pacientų</w:t>
      </w:r>
      <w:proofErr w:type="spellEnd"/>
      <w:r>
        <w:rPr>
          <w:rFonts w:eastAsia="Arial"/>
          <w:bCs/>
          <w:lang w:val="en-US"/>
        </w:rPr>
        <w:t xml:space="preserve">, </w:t>
      </w:r>
      <w:proofErr w:type="spellStart"/>
      <w:r>
        <w:rPr>
          <w:rFonts w:eastAsia="Arial"/>
          <w:bCs/>
          <w:lang w:val="en-US"/>
        </w:rPr>
        <w:t>jų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navikai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apimtis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mažesnė</w:t>
      </w:r>
      <w:proofErr w:type="spellEnd"/>
      <w:r>
        <w:rPr>
          <w:rFonts w:eastAsia="Arial"/>
          <w:bCs/>
          <w:lang w:val="en-US"/>
        </w:rPr>
        <w:t xml:space="preserve"> (p&lt;0,05), </w:t>
      </w:r>
      <w:proofErr w:type="spellStart"/>
      <w:r>
        <w:rPr>
          <w:rFonts w:eastAsia="Arial"/>
          <w:bCs/>
          <w:lang w:val="en-US"/>
        </w:rPr>
        <w:t>mažiau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pacientų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nustatyta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didelė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laktato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dehidrogenazės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koncentracija</w:t>
      </w:r>
      <w:proofErr w:type="spellEnd"/>
      <w:r>
        <w:rPr>
          <w:rFonts w:eastAsia="Arial"/>
          <w:bCs/>
          <w:lang w:val="en-US"/>
        </w:rPr>
        <w:t xml:space="preserve"> (p&lt;0,001), </w:t>
      </w:r>
      <w:proofErr w:type="spellStart"/>
      <w:r>
        <w:rPr>
          <w:rFonts w:eastAsia="Arial"/>
          <w:bCs/>
          <w:lang w:val="en-US"/>
        </w:rPr>
        <w:t>jiems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skirta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mažiau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gydymo</w:t>
      </w:r>
      <w:proofErr w:type="spellEnd"/>
      <w:r>
        <w:rPr>
          <w:rFonts w:eastAsia="Arial"/>
          <w:bCs/>
          <w:lang w:val="en-US"/>
        </w:rPr>
        <w:t xml:space="preserve"> </w:t>
      </w:r>
      <w:proofErr w:type="spellStart"/>
      <w:r>
        <w:rPr>
          <w:rFonts w:eastAsia="Arial"/>
          <w:bCs/>
          <w:lang w:val="en-US"/>
        </w:rPr>
        <w:t>eilių</w:t>
      </w:r>
      <w:proofErr w:type="spellEnd"/>
      <w:r>
        <w:rPr>
          <w:rFonts w:eastAsia="Arial"/>
          <w:bCs/>
          <w:lang w:val="en-US"/>
        </w:rPr>
        <w:t xml:space="preserve"> (p&lt;0,001).</w:t>
      </w:r>
    </w:p>
    <w:p w14:paraId="53D09691" w14:textId="77777777" w:rsidR="00A85243" w:rsidRDefault="00A85243" w:rsidP="00A85243">
      <w:pPr>
        <w:tabs>
          <w:tab w:val="left" w:pos="492"/>
        </w:tabs>
        <w:spacing w:line="276" w:lineRule="auto"/>
        <w:jc w:val="both"/>
        <w:outlineLvl w:val="1"/>
      </w:pPr>
      <w:r w:rsidRPr="009D1450">
        <w:t xml:space="preserve">Nors tarp akalabrutinibo ir ibrutinibo tyrimų nustatyti reikšmingi klinikiniai skirtumai (PCYC-1104 ir MCL2001 šališkumas nukreiptas prieš ibrutinibą, MCL3001 – prieš akalabrutinibą), nuspręsta, jog jungtinei analizei pasirinkti ibrutinibo ir akalabrutinibo tyrimai laikomi tinkamais. Populiacijų sutapatinimo kintamieji pasirinkti tinkami, įvertinus pacientų populiacijų pradines charakteristikas po jų sutapatinimo, populiacijos </w:t>
      </w:r>
      <w:r>
        <w:t>įvertintos kaip</w:t>
      </w:r>
      <w:r w:rsidRPr="009D1450">
        <w:t xml:space="preserve"> iš esmės subalansuo</w:t>
      </w:r>
      <w:r>
        <w:t>tos</w:t>
      </w:r>
      <w:r w:rsidRPr="009D1450">
        <w:t>.</w:t>
      </w:r>
    </w:p>
    <w:p w14:paraId="042D2E18" w14:textId="082CE60C" w:rsidR="00A85243" w:rsidRPr="009C1748" w:rsidRDefault="00A85243" w:rsidP="00A85243">
      <w:pPr>
        <w:tabs>
          <w:tab w:val="left" w:pos="492"/>
        </w:tabs>
        <w:spacing w:line="276" w:lineRule="auto"/>
        <w:jc w:val="both"/>
        <w:outlineLvl w:val="1"/>
        <w:rPr>
          <w:rFonts w:eastAsia="Arial"/>
          <w:bCs/>
        </w:rPr>
      </w:pPr>
      <w:r>
        <w:tab/>
      </w:r>
      <w:r>
        <w:tab/>
        <w:t>A</w:t>
      </w:r>
      <w:r w:rsidRPr="00EF73EA">
        <w:t>nalizėje pasirinktos vertinamosios baigtys</w:t>
      </w:r>
      <w:r>
        <w:t xml:space="preserve"> taip pat</w:t>
      </w:r>
      <w:r w:rsidRPr="00EF73EA">
        <w:t xml:space="preserve"> tinkamos.</w:t>
      </w:r>
      <w:r>
        <w:t xml:space="preserve"> </w:t>
      </w:r>
      <w:r>
        <w:rPr>
          <w:rFonts w:eastAsia="Arial"/>
          <w:bCs/>
        </w:rPr>
        <w:t xml:space="preserve">Akalabrutinibo grupėje bet koks ir pilnas atsakas gautas dažniau, lyginant su ibrutinibu (bet koks atsakas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% [95% PI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]; pilnas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% [95% PI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] dažniau. Ligos progresavimo ar mirties nuo bet kokios priežasties (RS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; 95% PI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) ir mirties nuo bet kokios priežasties (RS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; 95% PI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 – </w:t>
      </w:r>
      <w:r w:rsidR="00A35C04">
        <w:rPr>
          <w:rFonts w:eastAsia="Arial"/>
          <w:bCs/>
        </w:rPr>
        <w:t>***</w:t>
      </w:r>
      <w:r>
        <w:rPr>
          <w:rFonts w:eastAsia="Arial"/>
          <w:bCs/>
        </w:rPr>
        <w:t xml:space="preserve">) rizika tarp akalabrutinibo ir ibrutinibo nesiskyrė. Vertinant akalabrutinibo </w:t>
      </w:r>
      <w:r w:rsidRPr="006544E7">
        <w:rPr>
          <w:rFonts w:eastAsia="Arial"/>
          <w:bCs/>
        </w:rPr>
        <w:t>saugumo profilį</w:t>
      </w:r>
      <w:r>
        <w:rPr>
          <w:rFonts w:eastAsia="Arial"/>
          <w:bCs/>
        </w:rPr>
        <w:t xml:space="preserve">, jo </w:t>
      </w:r>
      <w:r w:rsidRPr="006544E7">
        <w:rPr>
          <w:rFonts w:eastAsia="Arial"/>
          <w:bCs/>
        </w:rPr>
        <w:t xml:space="preserve">saugumas </w:t>
      </w:r>
      <w:r>
        <w:rPr>
          <w:rFonts w:eastAsia="Arial"/>
          <w:bCs/>
        </w:rPr>
        <w:t>įvertintas kaip</w:t>
      </w:r>
      <w:r w:rsidRPr="006544E7">
        <w:rPr>
          <w:rFonts w:eastAsia="Arial"/>
          <w:bCs/>
        </w:rPr>
        <w:t xml:space="preserve"> šiek palankesnis, lyginant su ibrutinibu.</w:t>
      </w:r>
    </w:p>
    <w:p w14:paraId="544DF408" w14:textId="77777777" w:rsidR="00A85243" w:rsidRPr="00926BAC" w:rsidRDefault="00A85243" w:rsidP="00A85243">
      <w:pPr>
        <w:spacing w:line="276" w:lineRule="auto"/>
        <w:ind w:firstLine="720"/>
        <w:contextualSpacing/>
        <w:jc w:val="both"/>
      </w:pPr>
      <w:r>
        <w:t>Apibendrinant netiesioginio palyginimo analizės duomenis, jų pakanka įrodyti nesiskiriantį akalabrutinibo ir ibrutinibo monoterapijų klinikinį veiksmingumą,</w:t>
      </w:r>
      <w:r w:rsidRPr="00C16022">
        <w:t xml:space="preserve"> gydant pacientus, kuriems nustatyta recidyvuojanti arba atspari MLL ir jie anksčiau nebuvo gydyti BTK inhibitoriumi.</w:t>
      </w:r>
      <w:r>
        <w:t xml:space="preserve"> </w:t>
      </w:r>
      <w:r>
        <w:rPr>
          <w:rFonts w:eastAsia="Arial"/>
        </w:rPr>
        <w:t>Dėl šios priežasties</w:t>
      </w:r>
      <w:r>
        <w:rPr>
          <w:rFonts w:eastAsia="Arial"/>
          <w:bCs/>
        </w:rPr>
        <w:t xml:space="preserve"> akalabrutinibo palyginamasis veiksmingumas vertinamas kaip iš esmės nesiskiriantis, palyginus su įprasta klinikine praktika.</w:t>
      </w:r>
    </w:p>
    <w:p w14:paraId="39C1ADA8" w14:textId="77777777" w:rsidR="00AC5129" w:rsidRPr="000203E1" w:rsidRDefault="00AC5129" w:rsidP="00A93AA6">
      <w:pPr>
        <w:pStyle w:val="ListParagraph"/>
        <w:tabs>
          <w:tab w:val="left" w:pos="426"/>
        </w:tabs>
        <w:ind w:left="0"/>
        <w:rPr>
          <w:b/>
          <w:bCs/>
          <w:caps/>
        </w:rPr>
      </w:pPr>
    </w:p>
    <w:p w14:paraId="7DE09EB5" w14:textId="69E9DD74" w:rsidR="00E03C3F" w:rsidRPr="000203E1" w:rsidRDefault="00CC7832" w:rsidP="00CC09D4">
      <w:pPr>
        <w:pStyle w:val="ListParagraph"/>
        <w:numPr>
          <w:ilvl w:val="0"/>
          <w:numId w:val="12"/>
        </w:numPr>
        <w:tabs>
          <w:tab w:val="left" w:pos="567"/>
        </w:tabs>
        <w:ind w:hanging="720"/>
        <w:rPr>
          <w:b/>
          <w:bCs/>
          <w:caps/>
        </w:rPr>
      </w:pPr>
      <w:r w:rsidRPr="000203E1">
        <w:rPr>
          <w:b/>
          <w:bCs/>
          <w:caps/>
        </w:rPr>
        <w:t xml:space="preserve">ekonominio vertinimo </w:t>
      </w:r>
      <w:r w:rsidR="002F0E4F" w:rsidRPr="000203E1">
        <w:rPr>
          <w:b/>
          <w:bCs/>
          <w:caps/>
        </w:rPr>
        <w:t>apibendrinimas</w:t>
      </w:r>
    </w:p>
    <w:p w14:paraId="4F0AC00E" w14:textId="77777777" w:rsidR="00C660AB" w:rsidRDefault="00C660AB" w:rsidP="00A93AA6">
      <w:pPr>
        <w:tabs>
          <w:tab w:val="left" w:pos="426"/>
        </w:tabs>
        <w:rPr>
          <w:b/>
          <w:bCs/>
          <w:iCs/>
          <w:caps/>
        </w:rPr>
      </w:pPr>
    </w:p>
    <w:p w14:paraId="6E1BAB29" w14:textId="337884F8" w:rsidR="00C660AB" w:rsidRDefault="00DD50EB" w:rsidP="00DD50EB">
      <w:pPr>
        <w:tabs>
          <w:tab w:val="left" w:pos="426"/>
        </w:tabs>
        <w:jc w:val="both"/>
        <w:rPr>
          <w:b/>
          <w:bCs/>
          <w:iCs/>
          <w:caps/>
        </w:rPr>
      </w:pPr>
      <w:r>
        <w:rPr>
          <w:rFonts w:eastAsia="Arial"/>
        </w:rPr>
        <w:tab/>
      </w:r>
      <w:r>
        <w:rPr>
          <w:rFonts w:eastAsia="Arial"/>
        </w:rPr>
        <w:tab/>
      </w:r>
      <w:r w:rsidRPr="009300B3">
        <w:rPr>
          <w:rFonts w:eastAsia="Arial"/>
        </w:rPr>
        <w:t>V</w:t>
      </w:r>
      <w:r>
        <w:rPr>
          <w:rFonts w:eastAsia="Arial"/>
        </w:rPr>
        <w:t>ykdant</w:t>
      </w:r>
      <w:r w:rsidRPr="009300B3">
        <w:rPr>
          <w:rFonts w:eastAsia="Arial"/>
        </w:rPr>
        <w:t xml:space="preserve"> </w:t>
      </w:r>
      <w:r>
        <w:t>V</w:t>
      </w:r>
      <w:r w:rsidRPr="009300B3">
        <w:t>aistinių preparatų ir medicinos pagalbos priemonių įrašymo į kompensavimo sąrašus ir jų keitimo tvarkos aprašo</w:t>
      </w:r>
      <w:r>
        <w:t>, patvirtinto</w:t>
      </w:r>
      <w:r w:rsidRPr="009300B3">
        <w:t xml:space="preserve"> Lietuvos Respublikos sveikatos apsaugos ministro 2002 m. balandžio 5 d. įsakym</w:t>
      </w:r>
      <w:r>
        <w:t>u</w:t>
      </w:r>
      <w:r w:rsidRPr="009300B3">
        <w:t xml:space="preserve"> Nr. V-159 „Dėl vaistinių preparatų ir medicinos pagalbos priemonių įrašymo į kompensavimo sąrašus ir jų keitimo tvarkos aprašo patvirtinimo“ </w:t>
      </w:r>
      <w:r>
        <w:t xml:space="preserve">(toliau – Aprašas) </w:t>
      </w:r>
      <w:r w:rsidRPr="009300B3">
        <w:t>17</w:t>
      </w:r>
      <w:r>
        <w:rPr>
          <w:vertAlign w:val="superscript"/>
        </w:rPr>
        <w:t>3</w:t>
      </w:r>
      <w:r w:rsidR="00167625">
        <w:t>.1</w:t>
      </w:r>
      <w:r w:rsidRPr="009300B3">
        <w:t xml:space="preserve"> punkt</w:t>
      </w:r>
      <w:r>
        <w:t>ą</w:t>
      </w:r>
      <w:r w:rsidRPr="009300B3">
        <w:t>, ekonomin</w:t>
      </w:r>
      <w:r>
        <w:t>is vertinimas</w:t>
      </w:r>
      <w:r w:rsidRPr="009300B3">
        <w:t xml:space="preserve"> neatliekama</w:t>
      </w:r>
      <w:r>
        <w:t xml:space="preserve">s </w:t>
      </w:r>
      <w:r>
        <w:rPr>
          <w:rFonts w:eastAsia="Arial"/>
        </w:rPr>
        <w:t>k</w:t>
      </w:r>
      <w:r w:rsidRPr="009300B3">
        <w:rPr>
          <w:rFonts w:eastAsia="Arial"/>
        </w:rPr>
        <w:t xml:space="preserve">linikinio vertinimo metu nustačius </w:t>
      </w:r>
      <w:r w:rsidRPr="009300B3">
        <w:rPr>
          <w:bCs/>
          <w:i/>
          <w:iCs/>
          <w:lang w:eastAsia="lt-LT"/>
        </w:rPr>
        <w:t>iš esmės nesiskiriantį</w:t>
      </w:r>
      <w:r w:rsidRPr="009300B3">
        <w:rPr>
          <w:rFonts w:eastAsia="Arial"/>
        </w:rPr>
        <w:t xml:space="preserve"> palyginamąjį veiksmingumą lyginant su įprasta klinikine praktika (atitinka </w:t>
      </w:r>
      <w:r>
        <w:t>V</w:t>
      </w:r>
      <w:r w:rsidRPr="009300B3">
        <w:t>aistinių preparatų ir medicinos pagalbos priemonių įrašymo į kompensavimo sąrašus ir jų keitimo tvarkos aprašo</w:t>
      </w:r>
      <w:r>
        <w:t>, patvirtinto</w:t>
      </w:r>
      <w:r w:rsidRPr="009300B3">
        <w:t xml:space="preserve"> Lietuvos Respublikos sveikatos apsaugos ministro 2002 m. balandžio 5 d. įsakym</w:t>
      </w:r>
      <w:r>
        <w:t>u</w:t>
      </w:r>
      <w:r w:rsidRPr="009300B3">
        <w:t xml:space="preserve"> Nr. V-159 „Dėl vaistinių preparatų ir medicinos pagalbos priemonių įrašymo į kompensavimo sąrašus ir jų keitimo tvarkos aprašo patvirtinimo“ 29.1.2 papunktį)</w:t>
      </w:r>
      <w:r>
        <w:t>.</w:t>
      </w:r>
    </w:p>
    <w:p w14:paraId="5FC8C737" w14:textId="22BFD09B" w:rsidR="0035172D" w:rsidRDefault="0035172D" w:rsidP="0035172D">
      <w:pPr>
        <w:tabs>
          <w:tab w:val="left" w:pos="567"/>
        </w:tabs>
        <w:jc w:val="both"/>
        <w:rPr>
          <w:b/>
          <w:bCs/>
          <w:iCs/>
          <w:caps/>
        </w:rPr>
      </w:pPr>
    </w:p>
    <w:p w14:paraId="5AF537BB" w14:textId="77777777" w:rsidR="00DD50EB" w:rsidRPr="000203E1" w:rsidRDefault="00DD50EB" w:rsidP="0035172D">
      <w:pPr>
        <w:tabs>
          <w:tab w:val="left" w:pos="567"/>
        </w:tabs>
        <w:jc w:val="both"/>
        <w:rPr>
          <w:iCs/>
          <w:sz w:val="20"/>
          <w:lang w:eastAsia="lt-LT"/>
        </w:rPr>
      </w:pPr>
    </w:p>
    <w:p w14:paraId="33875138" w14:textId="77777777" w:rsidR="0035172D" w:rsidRPr="000203E1" w:rsidRDefault="0035172D" w:rsidP="00A93AA6">
      <w:pPr>
        <w:tabs>
          <w:tab w:val="left" w:pos="426"/>
        </w:tabs>
        <w:rPr>
          <w:b/>
          <w:bCs/>
          <w:caps/>
        </w:rPr>
      </w:pPr>
    </w:p>
    <w:p w14:paraId="4FC424F9" w14:textId="4E767245" w:rsidR="00C62B36" w:rsidRDefault="00C62B36" w:rsidP="00CC09D4">
      <w:pPr>
        <w:pStyle w:val="ListParagraph"/>
        <w:numPr>
          <w:ilvl w:val="0"/>
          <w:numId w:val="12"/>
        </w:numPr>
        <w:tabs>
          <w:tab w:val="left" w:pos="567"/>
        </w:tabs>
        <w:ind w:hanging="720"/>
        <w:rPr>
          <w:b/>
          <w:bCs/>
          <w:caps/>
        </w:rPr>
      </w:pPr>
      <w:r w:rsidRPr="000203E1">
        <w:rPr>
          <w:b/>
          <w:bCs/>
          <w:caps/>
        </w:rPr>
        <w:lastRenderedPageBreak/>
        <w:t xml:space="preserve">Pacientų organizacijų pateikti duomenys </w:t>
      </w:r>
    </w:p>
    <w:p w14:paraId="54351841" w14:textId="77777777" w:rsidR="00C9728E" w:rsidRPr="000203E1" w:rsidRDefault="00C9728E" w:rsidP="00C9728E">
      <w:pPr>
        <w:pStyle w:val="ListParagraph"/>
        <w:tabs>
          <w:tab w:val="left" w:pos="567"/>
        </w:tabs>
        <w:rPr>
          <w:b/>
          <w:bCs/>
          <w:caps/>
        </w:rPr>
      </w:pPr>
    </w:p>
    <w:p w14:paraId="62992180" w14:textId="237A00E9" w:rsidR="00937907" w:rsidRPr="000203E1" w:rsidRDefault="00937907" w:rsidP="00937907">
      <w:pPr>
        <w:spacing w:after="120"/>
        <w:jc w:val="both"/>
      </w:pPr>
      <w:r w:rsidRPr="000203E1">
        <w:t xml:space="preserve">Pacientų organizacijos pozicija </w:t>
      </w:r>
      <w:r w:rsidR="00880A44" w:rsidRPr="000203E1">
        <w:t>ne</w:t>
      </w:r>
      <w:r w:rsidRPr="000203E1">
        <w:t>pateikta.</w:t>
      </w:r>
    </w:p>
    <w:p w14:paraId="03E73D82" w14:textId="77777777" w:rsidR="00D417D2" w:rsidRPr="000203E1" w:rsidRDefault="00D417D2" w:rsidP="00937907">
      <w:pPr>
        <w:spacing w:after="120"/>
        <w:jc w:val="both"/>
      </w:pPr>
    </w:p>
    <w:p w14:paraId="3D3277FA" w14:textId="09414FFF" w:rsidR="00C62B36" w:rsidRDefault="00D67BAF" w:rsidP="00CC09D4">
      <w:pPr>
        <w:pStyle w:val="ListParagraph"/>
        <w:numPr>
          <w:ilvl w:val="0"/>
          <w:numId w:val="12"/>
        </w:numPr>
        <w:tabs>
          <w:tab w:val="left" w:pos="567"/>
        </w:tabs>
        <w:ind w:hanging="720"/>
        <w:rPr>
          <w:b/>
          <w:bCs/>
          <w:caps/>
        </w:rPr>
      </w:pPr>
      <w:r w:rsidRPr="00D67BAF">
        <w:rPr>
          <w:b/>
          <w:bCs/>
          <w:caps/>
        </w:rPr>
        <w:t xml:space="preserve">SVEIKATOS PRIEŽIŪROS SPECIALISTŲ </w:t>
      </w:r>
      <w:r w:rsidR="00C62B36" w:rsidRPr="000203E1">
        <w:rPr>
          <w:b/>
          <w:bCs/>
          <w:caps/>
        </w:rPr>
        <w:t xml:space="preserve"> organizacijų pateikti duomenys</w:t>
      </w:r>
    </w:p>
    <w:p w14:paraId="044D5084" w14:textId="77777777" w:rsidR="00C9728E" w:rsidRPr="00DD50EB" w:rsidRDefault="00C9728E" w:rsidP="00C9728E">
      <w:pPr>
        <w:tabs>
          <w:tab w:val="left" w:pos="567"/>
        </w:tabs>
        <w:rPr>
          <w:b/>
          <w:bCs/>
          <w:caps/>
        </w:rPr>
      </w:pPr>
    </w:p>
    <w:p w14:paraId="5D8CC48C" w14:textId="0625331F" w:rsidR="00662983" w:rsidRPr="000203E1" w:rsidRDefault="00D67BAF" w:rsidP="00662983">
      <w:pPr>
        <w:spacing w:after="120"/>
        <w:jc w:val="both"/>
      </w:pPr>
      <w:r>
        <w:t>S</w:t>
      </w:r>
      <w:r w:rsidRPr="00E16035">
        <w:rPr>
          <w:bCs/>
        </w:rPr>
        <w:t>veikatos priežiūros specialistų</w:t>
      </w:r>
      <w:r w:rsidR="00937907" w:rsidRPr="000203E1">
        <w:t xml:space="preserve"> organizacijos pozicija </w:t>
      </w:r>
      <w:r w:rsidR="00880A44" w:rsidRPr="000203E1">
        <w:t>ne</w:t>
      </w:r>
      <w:r w:rsidR="00937907" w:rsidRPr="000203E1">
        <w:t>pateikta.</w:t>
      </w:r>
    </w:p>
    <w:p w14:paraId="3701D46A" w14:textId="77777777" w:rsidR="00A042B9" w:rsidRPr="000203E1" w:rsidRDefault="00A042B9" w:rsidP="00662983">
      <w:pPr>
        <w:spacing w:after="120"/>
        <w:jc w:val="both"/>
      </w:pPr>
    </w:p>
    <w:p w14:paraId="78F23ECB" w14:textId="3ED5BFD5" w:rsidR="002F0E4F" w:rsidRPr="000203E1" w:rsidRDefault="002F0E4F" w:rsidP="00CC09D4">
      <w:pPr>
        <w:pStyle w:val="ListParagraph"/>
        <w:numPr>
          <w:ilvl w:val="0"/>
          <w:numId w:val="12"/>
        </w:numPr>
        <w:tabs>
          <w:tab w:val="left" w:pos="567"/>
        </w:tabs>
        <w:ind w:hanging="720"/>
        <w:rPr>
          <w:b/>
          <w:bCs/>
          <w:caps/>
        </w:rPr>
      </w:pPr>
      <w:r w:rsidRPr="000203E1">
        <w:rPr>
          <w:b/>
          <w:bCs/>
          <w:caps/>
        </w:rPr>
        <w:t>Išvad</w:t>
      </w:r>
      <w:r w:rsidR="00B811A4">
        <w:rPr>
          <w:b/>
          <w:bCs/>
          <w:caps/>
        </w:rPr>
        <w:t>OS</w:t>
      </w:r>
      <w:r w:rsidRPr="000203E1">
        <w:rPr>
          <w:b/>
          <w:bCs/>
          <w:caps/>
        </w:rPr>
        <w:t xml:space="preserve"> </w:t>
      </w:r>
    </w:p>
    <w:p w14:paraId="30069D85" w14:textId="77777777" w:rsidR="0061611B" w:rsidRPr="000203E1" w:rsidRDefault="0061611B" w:rsidP="0061611B">
      <w:pPr>
        <w:ind w:left="360"/>
        <w:rPr>
          <w:i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B811A4" w:rsidRPr="00B811A4" w14:paraId="4D5EFB83" w14:textId="77777777" w:rsidTr="007111C4">
        <w:trPr>
          <w:trHeight w:val="510"/>
        </w:trPr>
        <w:tc>
          <w:tcPr>
            <w:tcW w:w="9634" w:type="dxa"/>
            <w:gridSpan w:val="2"/>
            <w:vAlign w:val="center"/>
          </w:tcPr>
          <w:p w14:paraId="294EC16B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Style2"/>
                <w:rFonts w:eastAsia="MS Gothic"/>
                <w:b/>
                <w:bCs/>
                <w:sz w:val="23"/>
                <w:szCs w:val="23"/>
              </w:rPr>
            </w:pPr>
            <w:bookmarkStart w:id="1" w:name="_Hlk185430554"/>
            <w:r w:rsidRPr="00B811A4">
              <w:rPr>
                <w:rStyle w:val="Style2"/>
                <w:rFonts w:eastAsia="MS Gothic"/>
                <w:b/>
                <w:bCs/>
                <w:sz w:val="23"/>
                <w:szCs w:val="23"/>
              </w:rPr>
              <w:t>Palyginamasis veiksmingumas</w:t>
            </w:r>
          </w:p>
        </w:tc>
      </w:tr>
      <w:tr w:rsidR="00B811A4" w:rsidRPr="00B811A4" w14:paraId="30B67515" w14:textId="77777777" w:rsidTr="007111C4">
        <w:tc>
          <w:tcPr>
            <w:tcW w:w="4820" w:type="dxa"/>
          </w:tcPr>
          <w:p w14:paraId="4FE3C208" w14:textId="77777777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139732464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rStyle w:val="Style2"/>
                <w:sz w:val="23"/>
                <w:szCs w:val="23"/>
              </w:rPr>
              <w:t xml:space="preserve"> 29</w:t>
            </w:r>
            <w:r w:rsidR="00B811A4" w:rsidRPr="00B811A4">
              <w:rPr>
                <w:sz w:val="23"/>
                <w:szCs w:val="23"/>
              </w:rPr>
              <w:t>.1.1 yra didesnis, lyginant su įprasta klinikine praktika</w:t>
            </w:r>
          </w:p>
          <w:p w14:paraId="6F9786E4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231EDECD" w14:textId="766847AB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tyle2"/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418297090"/>
                <w15:color w:val="FFCC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72E33">
                  <w:rPr>
                    <w:rStyle w:val="Style2"/>
                    <w:rFonts w:ascii="MS Gothic" w:eastAsia="MS Gothic" w:hAnsi="MS Gothic" w:hint="eastAsia"/>
                    <w:sz w:val="23"/>
                    <w:szCs w:val="23"/>
                  </w:rPr>
                  <w:t>☒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</w:t>
            </w:r>
            <w:r w:rsidR="00B811A4" w:rsidRPr="00B811A4">
              <w:rPr>
                <w:rStyle w:val="Style2"/>
                <w:sz w:val="23"/>
                <w:szCs w:val="23"/>
              </w:rPr>
              <w:t>29</w:t>
            </w:r>
            <w:r w:rsidR="00B811A4" w:rsidRPr="00B811A4">
              <w:rPr>
                <w:sz w:val="23"/>
                <w:szCs w:val="23"/>
              </w:rPr>
              <w:t>.1.2 iš esmės nesiskiria, lyginant su įprasta klinikine praktika</w:t>
            </w:r>
          </w:p>
        </w:tc>
        <w:tc>
          <w:tcPr>
            <w:tcW w:w="4814" w:type="dxa"/>
          </w:tcPr>
          <w:p w14:paraId="72562F9E" w14:textId="77777777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-724755596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</w:t>
            </w:r>
            <w:r w:rsidR="00B811A4" w:rsidRPr="00B811A4">
              <w:rPr>
                <w:rStyle w:val="Style2"/>
                <w:sz w:val="23"/>
                <w:szCs w:val="23"/>
              </w:rPr>
              <w:t>29</w:t>
            </w:r>
            <w:r w:rsidR="00B811A4" w:rsidRPr="00B811A4">
              <w:rPr>
                <w:sz w:val="23"/>
                <w:szCs w:val="23"/>
              </w:rPr>
              <w:t xml:space="preserve">.1.3 yra neįrodytas kaip didesnis  ar iš esmės nesiskiriantis, lyginant su įprasta klinikine praktika  </w:t>
            </w:r>
          </w:p>
          <w:p w14:paraId="6F6DB5BC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5EE1D885" w14:textId="77777777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1862168479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</w:t>
            </w:r>
            <w:r w:rsidR="00B811A4" w:rsidRPr="00B811A4">
              <w:rPr>
                <w:rStyle w:val="Style2"/>
                <w:sz w:val="23"/>
                <w:szCs w:val="23"/>
              </w:rPr>
              <w:t>29</w:t>
            </w:r>
            <w:r w:rsidR="00B811A4" w:rsidRPr="00B811A4">
              <w:rPr>
                <w:sz w:val="23"/>
                <w:szCs w:val="23"/>
              </w:rPr>
              <w:t>.1.4 yra mažesnis, lyginant su įprasta klinikine praktika</w:t>
            </w:r>
          </w:p>
          <w:p w14:paraId="193C3D76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370E94DC" w14:textId="4EC80DB9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-185796018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</w:t>
            </w:r>
            <w:r w:rsidR="00B811A4" w:rsidRPr="00B811A4">
              <w:rPr>
                <w:rStyle w:val="Style2"/>
                <w:sz w:val="23"/>
                <w:szCs w:val="23"/>
              </w:rPr>
              <w:t>29</w:t>
            </w:r>
            <w:r w:rsidR="00B811A4" w:rsidRPr="00B811A4">
              <w:rPr>
                <w:sz w:val="23"/>
                <w:szCs w:val="23"/>
              </w:rPr>
              <w:t>.1.5 pateikti duomenys apie palyginamąjį veiksmingumą yra netinkami vertinti</w:t>
            </w:r>
          </w:p>
          <w:p w14:paraId="45719037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tyle2"/>
                <w:rFonts w:eastAsia="MS Gothic"/>
                <w:sz w:val="23"/>
                <w:szCs w:val="23"/>
              </w:rPr>
            </w:pPr>
          </w:p>
        </w:tc>
      </w:tr>
      <w:bookmarkEnd w:id="1"/>
      <w:tr w:rsidR="00B811A4" w:rsidRPr="00B811A4" w14:paraId="0E0F5168" w14:textId="77777777" w:rsidTr="00743956">
        <w:trPr>
          <w:trHeight w:val="510"/>
        </w:trPr>
        <w:tc>
          <w:tcPr>
            <w:tcW w:w="9634" w:type="dxa"/>
            <w:gridSpan w:val="2"/>
            <w:vAlign w:val="center"/>
          </w:tcPr>
          <w:p w14:paraId="62B67E12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Style2"/>
                <w:rFonts w:eastAsia="MS Gothic"/>
                <w:b/>
                <w:bCs/>
                <w:sz w:val="23"/>
                <w:szCs w:val="23"/>
              </w:rPr>
            </w:pPr>
            <w:r w:rsidRPr="00B811A4">
              <w:rPr>
                <w:rStyle w:val="Style2"/>
                <w:rFonts w:eastAsia="MS Gothic"/>
                <w:b/>
                <w:bCs/>
                <w:sz w:val="23"/>
                <w:szCs w:val="23"/>
              </w:rPr>
              <w:t>Kaštų naudingumas</w:t>
            </w:r>
          </w:p>
        </w:tc>
      </w:tr>
      <w:tr w:rsidR="00B811A4" w:rsidRPr="00B811A4" w14:paraId="6A2F62B2" w14:textId="77777777" w:rsidTr="00743956">
        <w:tc>
          <w:tcPr>
            <w:tcW w:w="4820" w:type="dxa"/>
          </w:tcPr>
          <w:p w14:paraId="7CB2C697" w14:textId="44A4E1DF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301657889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29.2.1 atitinka referencinę naudingumo vertę taikant arba netaikant</w:t>
            </w:r>
            <w:r w:rsidR="00437623">
              <w:rPr>
                <w:b/>
                <w:bCs/>
                <w:sz w:val="23"/>
                <w:szCs w:val="23"/>
              </w:rPr>
              <w:t xml:space="preserve"> </w:t>
            </w:r>
            <w:r w:rsidR="00B811A4" w:rsidRPr="00B811A4">
              <w:rPr>
                <w:sz w:val="23"/>
                <w:szCs w:val="23"/>
              </w:rPr>
              <w:t>PGS</w:t>
            </w:r>
          </w:p>
          <w:p w14:paraId="71797774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5BE88CDB" w14:textId="60C4FFA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tyle2"/>
                <w:rFonts w:eastAsia="MS Gothic"/>
                <w:sz w:val="23"/>
                <w:szCs w:val="23"/>
              </w:rPr>
            </w:pPr>
          </w:p>
        </w:tc>
        <w:tc>
          <w:tcPr>
            <w:tcW w:w="4814" w:type="dxa"/>
          </w:tcPr>
          <w:p w14:paraId="0370A72C" w14:textId="77777777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79186028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29.2.3 neatitinka referencinės naudingumo vertės taikant arba netaikant PGS</w:t>
            </w:r>
          </w:p>
          <w:p w14:paraId="13C9EEE5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289E6691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3"/>
                <w:szCs w:val="23"/>
              </w:rPr>
            </w:pPr>
          </w:p>
          <w:p w14:paraId="5FD1976C" w14:textId="77777777" w:rsidR="00B811A4" w:rsidRPr="00B811A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-94384985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1A4" w:rsidRPr="00B811A4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B811A4" w:rsidRPr="00B811A4">
              <w:rPr>
                <w:sz w:val="23"/>
                <w:szCs w:val="23"/>
              </w:rPr>
              <w:t xml:space="preserve"> 29.2.5 pateikti duomenys apie kaštų naudingumą yra netinkami vertinti</w:t>
            </w:r>
          </w:p>
          <w:p w14:paraId="06AB06C5" w14:textId="77777777" w:rsidR="00B811A4" w:rsidRPr="00B811A4" w:rsidRDefault="00B811A4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tyle2"/>
                <w:rFonts w:eastAsia="MS Gothic"/>
                <w:sz w:val="23"/>
                <w:szCs w:val="23"/>
              </w:rPr>
            </w:pPr>
          </w:p>
        </w:tc>
      </w:tr>
      <w:tr w:rsidR="007111C4" w:rsidRPr="00B811A4" w14:paraId="632C9193" w14:textId="77777777" w:rsidTr="00027464">
        <w:tc>
          <w:tcPr>
            <w:tcW w:w="9634" w:type="dxa"/>
            <w:gridSpan w:val="2"/>
          </w:tcPr>
          <w:p w14:paraId="15C289C9" w14:textId="1C17C002" w:rsidR="007111C4" w:rsidRDefault="00000000" w:rsidP="00743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Style2"/>
                <w:sz w:val="23"/>
                <w:szCs w:val="23"/>
              </w:rPr>
            </w:pPr>
            <w:sdt>
              <w:sdtPr>
                <w:rPr>
                  <w:rStyle w:val="Style2"/>
                  <w:sz w:val="23"/>
                  <w:szCs w:val="23"/>
                </w:rPr>
                <w:id w:val="126657956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11C4" w:rsidRPr="009300B3">
                  <w:rPr>
                    <w:rStyle w:val="Style2"/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7111C4">
              <w:rPr>
                <w:sz w:val="23"/>
                <w:szCs w:val="23"/>
              </w:rPr>
              <w:t xml:space="preserve"> </w:t>
            </w:r>
            <w:r w:rsidR="007111C4" w:rsidRPr="007111C4">
              <w:rPr>
                <w:color w:val="000000"/>
                <w:sz w:val="23"/>
                <w:szCs w:val="23"/>
              </w:rPr>
              <w:t>Vykdant Aprašo 17</w:t>
            </w:r>
            <w:r w:rsidR="007111C4" w:rsidRPr="007111C4">
              <w:rPr>
                <w:color w:val="000000"/>
                <w:sz w:val="23"/>
                <w:szCs w:val="23"/>
                <w:vertAlign w:val="superscript"/>
              </w:rPr>
              <w:t>3</w:t>
            </w:r>
            <w:r w:rsidR="007111C4" w:rsidRPr="007111C4">
              <w:rPr>
                <w:color w:val="000000"/>
                <w:sz w:val="23"/>
                <w:szCs w:val="23"/>
              </w:rPr>
              <w:t>.1 punktą vaistinio (-ų) preparato (-ų) ekonominis vertinimas neatliekamas, išvados dėl kaštų naudingumo neteikiamos</w:t>
            </w:r>
          </w:p>
        </w:tc>
      </w:tr>
    </w:tbl>
    <w:p w14:paraId="08D5B3B6" w14:textId="292D1124" w:rsidR="0061611B" w:rsidRPr="000203E1" w:rsidRDefault="0061611B" w:rsidP="0061611B">
      <w:pPr>
        <w:rPr>
          <w:i/>
          <w:szCs w:val="22"/>
        </w:rPr>
      </w:pPr>
    </w:p>
    <w:p w14:paraId="1B85C083" w14:textId="77777777" w:rsidR="009E44AE" w:rsidRPr="000203E1" w:rsidRDefault="009E44AE" w:rsidP="00381024"/>
    <w:p w14:paraId="3B2D1F25" w14:textId="3A80E19F" w:rsidR="000001B0" w:rsidRPr="000203E1" w:rsidRDefault="000001B0" w:rsidP="00CC09D4">
      <w:pPr>
        <w:pStyle w:val="ListParagraph"/>
        <w:numPr>
          <w:ilvl w:val="0"/>
          <w:numId w:val="12"/>
        </w:numPr>
        <w:ind w:left="567" w:hanging="567"/>
      </w:pPr>
      <w:r w:rsidRPr="000203E1">
        <w:rPr>
          <w:b/>
        </w:rPr>
        <w:t>REKOME</w:t>
      </w:r>
      <w:r w:rsidR="00D83182" w:rsidRPr="000203E1">
        <w:rPr>
          <w:b/>
        </w:rPr>
        <w:t>N</w:t>
      </w:r>
      <w:r w:rsidRPr="000203E1">
        <w:rPr>
          <w:b/>
        </w:rPr>
        <w:t>DACIJA</w:t>
      </w:r>
    </w:p>
    <w:p w14:paraId="35E33D78" w14:textId="59232BB3" w:rsidR="00B811A4" w:rsidRPr="00D05364" w:rsidRDefault="00B811A4" w:rsidP="00B811A4">
      <w:pPr>
        <w:pStyle w:val="ListParagraph"/>
        <w:ind w:left="567"/>
        <w:rPr>
          <w:b/>
        </w:rPr>
      </w:pPr>
    </w:p>
    <w:p w14:paraId="3D60BB06" w14:textId="1736517D" w:rsidR="00B811A4" w:rsidRDefault="00B811A4" w:rsidP="00B66D0C">
      <w:pPr>
        <w:jc w:val="both"/>
      </w:pPr>
      <w:r w:rsidRPr="00E33EFF">
        <w:t xml:space="preserve">Vadovaujantis </w:t>
      </w:r>
      <w:r>
        <w:t>V</w:t>
      </w:r>
      <w:r w:rsidRPr="00E33EFF">
        <w:t>aistinių preparatų ir medicinos pagalbos priemonių įrašymo į kompensavimo sąrašus ir jų keitimo tvarkos aprašo</w:t>
      </w:r>
      <w:r>
        <w:t>, patvirtinto</w:t>
      </w:r>
      <w:r w:rsidRPr="00E33EFF">
        <w:t xml:space="preserve"> Lietuvos Respublikos sveikatos apsaugos ministro 2002 m. balandžio 5 d. įsakymu Nr. V-159 „Dėl vaistinių preparatų ir medicinos pagalbos priemonių įrašymo į kompensavimo sąrašus ir jų keitimo tvarkos aprašo patvirtinimo“</w:t>
      </w:r>
      <w:r>
        <w:t>,</w:t>
      </w:r>
      <w:r w:rsidRPr="00E33EFF">
        <w:t xml:space="preserve"> </w:t>
      </w:r>
      <w:r w:rsidR="00E72E33">
        <w:t>papunkčiu</w:t>
      </w:r>
      <w:r w:rsidR="001D1D50">
        <w:t xml:space="preserve"> </w:t>
      </w:r>
      <w:r w:rsidRPr="00471EC6">
        <w:rPr>
          <w:color w:val="000000"/>
          <w:lang w:eastAsia="lt-LT"/>
        </w:rPr>
        <w:t>30</w:t>
      </w:r>
      <w:r w:rsidRPr="00471EC6">
        <w:rPr>
          <w:color w:val="000000"/>
          <w:vertAlign w:val="superscript"/>
          <w:lang w:eastAsia="lt-LT"/>
        </w:rPr>
        <w:t>1</w:t>
      </w:r>
      <w:r w:rsidRPr="00471EC6">
        <w:rPr>
          <w:color w:val="000000"/>
          <w:lang w:eastAsia="lt-LT"/>
        </w:rPr>
        <w:t xml:space="preserve">.1. </w:t>
      </w:r>
      <w:r>
        <w:rPr>
          <w:color w:val="000000"/>
          <w:lang w:eastAsia="lt-LT"/>
        </w:rPr>
        <w:t xml:space="preserve">rekomenduojama kompensuoti vaistinį preparatą </w:t>
      </w:r>
      <w:r w:rsidRPr="00471EC6">
        <w:rPr>
          <w:color w:val="000000"/>
          <w:lang w:eastAsia="lt-LT"/>
        </w:rPr>
        <w:t>pagal paraiškoje nurodytą indikaciją (arba jos dalį) su arba be skyrimo sąlygų, taikant ar netaikant PGS</w:t>
      </w:r>
      <w:r>
        <w:rPr>
          <w:color w:val="000000"/>
          <w:lang w:eastAsia="lt-LT"/>
        </w:rPr>
        <w:t xml:space="preserve">, </w:t>
      </w:r>
      <w:r w:rsidRPr="00471EC6">
        <w:rPr>
          <w:color w:val="000000"/>
          <w:lang w:eastAsia="lt-LT"/>
        </w:rPr>
        <w:t>kai vertinimo išvados atitinka Aprašo 29.1.2 ir 29.2.2 papunkčiuose numatytas sąlygas</w:t>
      </w:r>
      <w:r>
        <w:rPr>
          <w:color w:val="000000"/>
          <w:lang w:eastAsia="lt-LT"/>
        </w:rPr>
        <w:t>.</w:t>
      </w:r>
    </w:p>
    <w:p w14:paraId="67B93957" w14:textId="77777777" w:rsidR="00B66D0C" w:rsidRDefault="00B66D0C" w:rsidP="00B66D0C">
      <w:pPr>
        <w:jc w:val="both"/>
      </w:pPr>
    </w:p>
    <w:p w14:paraId="3F1B9736" w14:textId="77777777" w:rsidR="00FD3CA9" w:rsidRPr="00B66D0C" w:rsidRDefault="00FD3CA9" w:rsidP="00B66D0C">
      <w:pPr>
        <w:jc w:val="both"/>
      </w:pPr>
    </w:p>
    <w:p w14:paraId="04076DFB" w14:textId="77777777" w:rsidR="00FD3CA9" w:rsidRPr="009300B3" w:rsidRDefault="00FD3CA9" w:rsidP="00FD3CA9">
      <w:pPr>
        <w:tabs>
          <w:tab w:val="left" w:pos="426"/>
        </w:tabs>
        <w:jc w:val="both"/>
        <w:rPr>
          <w:b/>
          <w:lang w:eastAsia="lt-LT"/>
        </w:rPr>
      </w:pPr>
      <w:r w:rsidRPr="009300B3">
        <w:rPr>
          <w:b/>
          <w:lang w:eastAsia="lt-LT"/>
        </w:rPr>
        <w:t xml:space="preserve">4.1 Siūloma (-os) kompensuoti terapinės indikacijos ir skyrimo sąlygos </w:t>
      </w:r>
    </w:p>
    <w:p w14:paraId="2C12D85A" w14:textId="77777777" w:rsidR="00FD3CA9" w:rsidRPr="009300B3" w:rsidRDefault="00FD3CA9" w:rsidP="00FD3CA9">
      <w:pPr>
        <w:tabs>
          <w:tab w:val="left" w:pos="426"/>
        </w:tabs>
        <w:jc w:val="both"/>
        <w:rPr>
          <w:b/>
          <w:lang w:eastAsia="lt-LT"/>
        </w:rPr>
      </w:pPr>
    </w:p>
    <w:p w14:paraId="6A02C7F0" w14:textId="77777777" w:rsidR="00FD3CA9" w:rsidRPr="009300B3" w:rsidRDefault="00FD3CA9" w:rsidP="00FD3CA9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9300B3">
        <w:rPr>
          <w:rFonts w:ascii="Times New Roman" w:hAnsi="Times New Roman"/>
          <w:b/>
          <w:sz w:val="24"/>
          <w:szCs w:val="24"/>
          <w:lang w:eastAsia="lt-LT"/>
        </w:rPr>
        <w:t>Terapinės indikacijos</w:t>
      </w:r>
    </w:p>
    <w:p w14:paraId="07BD3AD3" w14:textId="77777777" w:rsidR="00FD3CA9" w:rsidRPr="007E7840" w:rsidRDefault="00FD3CA9" w:rsidP="00FD3CA9">
      <w:pPr>
        <w:pStyle w:val="NoSpacing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</w:pPr>
      <w:r w:rsidRPr="007E7840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lastRenderedPageBreak/>
        <w:t>Calquence vienas (monoterapija) skirtas gydyti suaugusiems pacientams, sergantiems recidyvuojančia arba atsparia mantijos ląstelių limfoma (MLL), kurie anksčiau nebuvo gydyti Brutono kinazės (BTK) inhibitoriumi.</w:t>
      </w:r>
    </w:p>
    <w:p w14:paraId="01867511" w14:textId="77777777" w:rsidR="00FD3CA9" w:rsidRPr="007E7840" w:rsidRDefault="00FD3CA9" w:rsidP="00FD3CA9">
      <w:pPr>
        <w:pStyle w:val="NoSpacing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</w:pPr>
    </w:p>
    <w:p w14:paraId="1E45BA6F" w14:textId="77777777" w:rsidR="00FD3CA9" w:rsidRDefault="00FD3CA9" w:rsidP="00FD3CA9">
      <w:pPr>
        <w:pStyle w:val="NoSpacing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</w:pPr>
      <w:r w:rsidRPr="007E7840"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  <w:t>TLK kodas: C83.1</w:t>
      </w:r>
    </w:p>
    <w:p w14:paraId="740E0312" w14:textId="77777777" w:rsidR="00FD3CA9" w:rsidRPr="007E7840" w:rsidRDefault="00FD3CA9" w:rsidP="00FD3CA9">
      <w:pPr>
        <w:pStyle w:val="NoSpacing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t-LT"/>
        </w:rPr>
      </w:pPr>
    </w:p>
    <w:p w14:paraId="5898D192" w14:textId="77777777" w:rsidR="00FD3CA9" w:rsidRDefault="00FD3CA9" w:rsidP="00FD3CA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9300B3">
        <w:rPr>
          <w:rFonts w:ascii="Times New Roman" w:hAnsi="Times New Roman"/>
          <w:b/>
          <w:sz w:val="24"/>
          <w:szCs w:val="24"/>
        </w:rPr>
        <w:t>Skyrimo sąlygos</w:t>
      </w:r>
    </w:p>
    <w:p w14:paraId="79ACB237" w14:textId="77777777" w:rsidR="00FD3CA9" w:rsidRDefault="00FD3CA9" w:rsidP="00FD3CA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713DE28F" w14:textId="77777777" w:rsidR="00FD3CA9" w:rsidRPr="009F48B3" w:rsidRDefault="00FD3CA9" w:rsidP="00FD3CA9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Skiriamas kaip monoterapija suaugusiems pacientams, sergantiems recidyvuojančia arba atsparia mantijos ląstelių limfoma, kurie anksčiau nebuvo gydyti Brutono kinazės (BTK) inhibitoriumi.</w:t>
      </w:r>
    </w:p>
    <w:p w14:paraId="33B8DE04" w14:textId="77777777" w:rsidR="00283E59" w:rsidRDefault="00283E59" w:rsidP="00283E59">
      <w:pPr>
        <w:widowControl w:val="0"/>
        <w:tabs>
          <w:tab w:val="left" w:pos="1418"/>
        </w:tabs>
        <w:suppressAutoHyphens/>
        <w:spacing w:line="360" w:lineRule="atLeast"/>
        <w:jc w:val="center"/>
        <w:textAlignment w:val="center"/>
      </w:pPr>
      <w:r>
        <w:rPr>
          <w:color w:val="000000"/>
          <w:lang w:eastAsia="lt-LT"/>
        </w:rPr>
        <w:t>____________________________</w:t>
      </w:r>
    </w:p>
    <w:p w14:paraId="562A1372" w14:textId="77777777" w:rsidR="00283E59" w:rsidRDefault="00283E59" w:rsidP="00283E59">
      <w:pPr>
        <w:jc w:val="both"/>
        <w:rPr>
          <w:b/>
          <w:sz w:val="20"/>
        </w:rPr>
      </w:pPr>
    </w:p>
    <w:p w14:paraId="7CDFF220" w14:textId="58191D98" w:rsidR="000723FF" w:rsidRPr="000203E1" w:rsidRDefault="000723FF" w:rsidP="00824B92">
      <w:pPr>
        <w:rPr>
          <w:b/>
        </w:rPr>
      </w:pPr>
    </w:p>
    <w:sectPr w:rsidR="000723FF" w:rsidRPr="000203E1" w:rsidSect="00063A50">
      <w:headerReference w:type="first" r:id="rId7"/>
      <w:footerReference w:type="first" r:id="rId8"/>
      <w:pgSz w:w="11907" w:h="16840" w:code="9"/>
      <w:pgMar w:top="1134" w:right="567" w:bottom="1134" w:left="1701" w:header="646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D453C" w14:textId="77777777" w:rsidR="003C6654" w:rsidRDefault="003C6654">
      <w:r>
        <w:separator/>
      </w:r>
    </w:p>
  </w:endnote>
  <w:endnote w:type="continuationSeparator" w:id="0">
    <w:p w14:paraId="75659464" w14:textId="77777777" w:rsidR="003C6654" w:rsidRDefault="003C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3368" w14:textId="77777777" w:rsidR="00347FAA" w:rsidRDefault="00347FAA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6777" w14:textId="77777777" w:rsidR="003C6654" w:rsidRDefault="003C6654">
      <w:r>
        <w:separator/>
      </w:r>
    </w:p>
  </w:footnote>
  <w:footnote w:type="continuationSeparator" w:id="0">
    <w:p w14:paraId="711ABD40" w14:textId="77777777" w:rsidR="003C6654" w:rsidRDefault="003C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1C8F" w14:textId="77777777" w:rsidR="00347FAA" w:rsidRDefault="00347FAA" w:rsidP="00FD793C">
    <w:pPr>
      <w:pStyle w:val="Header"/>
      <w:ind w:left="612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D8E"/>
    <w:multiLevelType w:val="hybridMultilevel"/>
    <w:tmpl w:val="10FAC1C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76250"/>
    <w:multiLevelType w:val="hybridMultilevel"/>
    <w:tmpl w:val="3B6C29F4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08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8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AD2E58"/>
    <w:multiLevelType w:val="hybridMultilevel"/>
    <w:tmpl w:val="F6943F7A"/>
    <w:lvl w:ilvl="0" w:tplc="AB64BC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01C59"/>
    <w:multiLevelType w:val="hybridMultilevel"/>
    <w:tmpl w:val="64544F3A"/>
    <w:lvl w:ilvl="0" w:tplc="042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816B09"/>
    <w:multiLevelType w:val="hybridMultilevel"/>
    <w:tmpl w:val="8FBEE17A"/>
    <w:lvl w:ilvl="0" w:tplc="0427000F">
      <w:start w:val="1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1" w:hanging="360"/>
      </w:pPr>
    </w:lvl>
    <w:lvl w:ilvl="2" w:tplc="0427001B" w:tentative="1">
      <w:start w:val="1"/>
      <w:numFmt w:val="lowerRoman"/>
      <w:lvlText w:val="%3."/>
      <w:lvlJc w:val="right"/>
      <w:pPr>
        <w:ind w:left="2301" w:hanging="180"/>
      </w:pPr>
    </w:lvl>
    <w:lvl w:ilvl="3" w:tplc="0427000F" w:tentative="1">
      <w:start w:val="1"/>
      <w:numFmt w:val="decimal"/>
      <w:lvlText w:val="%4."/>
      <w:lvlJc w:val="left"/>
      <w:pPr>
        <w:ind w:left="3021" w:hanging="360"/>
      </w:pPr>
    </w:lvl>
    <w:lvl w:ilvl="4" w:tplc="04270019" w:tentative="1">
      <w:start w:val="1"/>
      <w:numFmt w:val="lowerLetter"/>
      <w:lvlText w:val="%5."/>
      <w:lvlJc w:val="left"/>
      <w:pPr>
        <w:ind w:left="3741" w:hanging="360"/>
      </w:pPr>
    </w:lvl>
    <w:lvl w:ilvl="5" w:tplc="0427001B" w:tentative="1">
      <w:start w:val="1"/>
      <w:numFmt w:val="lowerRoman"/>
      <w:lvlText w:val="%6."/>
      <w:lvlJc w:val="right"/>
      <w:pPr>
        <w:ind w:left="4461" w:hanging="180"/>
      </w:pPr>
    </w:lvl>
    <w:lvl w:ilvl="6" w:tplc="0427000F" w:tentative="1">
      <w:start w:val="1"/>
      <w:numFmt w:val="decimal"/>
      <w:lvlText w:val="%7."/>
      <w:lvlJc w:val="left"/>
      <w:pPr>
        <w:ind w:left="5181" w:hanging="360"/>
      </w:pPr>
    </w:lvl>
    <w:lvl w:ilvl="7" w:tplc="04270019" w:tentative="1">
      <w:start w:val="1"/>
      <w:numFmt w:val="lowerLetter"/>
      <w:lvlText w:val="%8."/>
      <w:lvlJc w:val="left"/>
      <w:pPr>
        <w:ind w:left="5901" w:hanging="360"/>
      </w:pPr>
    </w:lvl>
    <w:lvl w:ilvl="8" w:tplc="0427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3975004F"/>
    <w:multiLevelType w:val="hybridMultilevel"/>
    <w:tmpl w:val="13E4607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CC4222"/>
    <w:multiLevelType w:val="multilevel"/>
    <w:tmpl w:val="C9C6278E"/>
    <w:lvl w:ilvl="0">
      <w:start w:val="2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Arial Unicode MS" w:hint="default"/>
      </w:rPr>
    </w:lvl>
  </w:abstractNum>
  <w:abstractNum w:abstractNumId="8" w15:restartNumberingAfterBreak="0">
    <w:nsid w:val="41953EAB"/>
    <w:multiLevelType w:val="hybridMultilevel"/>
    <w:tmpl w:val="D0F01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B019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B83C1B"/>
    <w:multiLevelType w:val="multilevel"/>
    <w:tmpl w:val="5F3843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1" w15:restartNumberingAfterBreak="0">
    <w:nsid w:val="5A0D73F3"/>
    <w:multiLevelType w:val="hybridMultilevel"/>
    <w:tmpl w:val="CA9A2AC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27E1E"/>
    <w:multiLevelType w:val="hybridMultilevel"/>
    <w:tmpl w:val="3D568A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66018"/>
    <w:multiLevelType w:val="hybridMultilevel"/>
    <w:tmpl w:val="AA9C9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763969">
    <w:abstractNumId w:val="8"/>
  </w:num>
  <w:num w:numId="2" w16cid:durableId="844636936">
    <w:abstractNumId w:val="2"/>
  </w:num>
  <w:num w:numId="3" w16cid:durableId="83651721">
    <w:abstractNumId w:val="10"/>
  </w:num>
  <w:num w:numId="4" w16cid:durableId="920262949">
    <w:abstractNumId w:val="9"/>
  </w:num>
  <w:num w:numId="5" w16cid:durableId="1477524625">
    <w:abstractNumId w:val="7"/>
  </w:num>
  <w:num w:numId="6" w16cid:durableId="540017923">
    <w:abstractNumId w:val="6"/>
  </w:num>
  <w:num w:numId="7" w16cid:durableId="1236479362">
    <w:abstractNumId w:val="4"/>
  </w:num>
  <w:num w:numId="8" w16cid:durableId="824786170">
    <w:abstractNumId w:val="13"/>
  </w:num>
  <w:num w:numId="9" w16cid:durableId="1994337129">
    <w:abstractNumId w:val="0"/>
  </w:num>
  <w:num w:numId="10" w16cid:durableId="1504778719">
    <w:abstractNumId w:val="11"/>
  </w:num>
  <w:num w:numId="11" w16cid:durableId="130634881">
    <w:abstractNumId w:val="12"/>
  </w:num>
  <w:num w:numId="12" w16cid:durableId="2075465105">
    <w:abstractNumId w:val="3"/>
  </w:num>
  <w:num w:numId="13" w16cid:durableId="1779064140">
    <w:abstractNumId w:val="5"/>
  </w:num>
  <w:num w:numId="14" w16cid:durableId="208806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E7"/>
    <w:rsid w:val="000001B0"/>
    <w:rsid w:val="00003F5B"/>
    <w:rsid w:val="000114DD"/>
    <w:rsid w:val="000136F7"/>
    <w:rsid w:val="000203E1"/>
    <w:rsid w:val="0002686C"/>
    <w:rsid w:val="00031D0E"/>
    <w:rsid w:val="000337E6"/>
    <w:rsid w:val="0003402E"/>
    <w:rsid w:val="00034EAE"/>
    <w:rsid w:val="00042924"/>
    <w:rsid w:val="000448C6"/>
    <w:rsid w:val="00052BD8"/>
    <w:rsid w:val="00053975"/>
    <w:rsid w:val="00057A2B"/>
    <w:rsid w:val="000606BE"/>
    <w:rsid w:val="000624FF"/>
    <w:rsid w:val="00063A50"/>
    <w:rsid w:val="000723FF"/>
    <w:rsid w:val="000736B8"/>
    <w:rsid w:val="00075F6F"/>
    <w:rsid w:val="0008190F"/>
    <w:rsid w:val="00081D9C"/>
    <w:rsid w:val="00082907"/>
    <w:rsid w:val="0008378D"/>
    <w:rsid w:val="000908A5"/>
    <w:rsid w:val="00092805"/>
    <w:rsid w:val="000A50C9"/>
    <w:rsid w:val="000B2B2C"/>
    <w:rsid w:val="000C454C"/>
    <w:rsid w:val="000D5038"/>
    <w:rsid w:val="000E29D4"/>
    <w:rsid w:val="000F3540"/>
    <w:rsid w:val="00100491"/>
    <w:rsid w:val="00104E2E"/>
    <w:rsid w:val="00107287"/>
    <w:rsid w:val="00117194"/>
    <w:rsid w:val="00117406"/>
    <w:rsid w:val="00121EF0"/>
    <w:rsid w:val="00124A9E"/>
    <w:rsid w:val="00130703"/>
    <w:rsid w:val="0013153F"/>
    <w:rsid w:val="001408B8"/>
    <w:rsid w:val="001466FE"/>
    <w:rsid w:val="001517E2"/>
    <w:rsid w:val="001521D9"/>
    <w:rsid w:val="001554E2"/>
    <w:rsid w:val="00164146"/>
    <w:rsid w:val="00164D64"/>
    <w:rsid w:val="00166FBB"/>
    <w:rsid w:val="00167625"/>
    <w:rsid w:val="0017369C"/>
    <w:rsid w:val="00175D57"/>
    <w:rsid w:val="00180C39"/>
    <w:rsid w:val="00180D96"/>
    <w:rsid w:val="00184BD3"/>
    <w:rsid w:val="001921F3"/>
    <w:rsid w:val="001A0CAA"/>
    <w:rsid w:val="001B3C5B"/>
    <w:rsid w:val="001C2FC8"/>
    <w:rsid w:val="001C6353"/>
    <w:rsid w:val="001D1D50"/>
    <w:rsid w:val="001D5B91"/>
    <w:rsid w:val="001D746F"/>
    <w:rsid w:val="001E0B2D"/>
    <w:rsid w:val="001E4BBB"/>
    <w:rsid w:val="001E6304"/>
    <w:rsid w:val="001F115E"/>
    <w:rsid w:val="0020381E"/>
    <w:rsid w:val="00213471"/>
    <w:rsid w:val="00215906"/>
    <w:rsid w:val="00241CD8"/>
    <w:rsid w:val="00244B09"/>
    <w:rsid w:val="002519CB"/>
    <w:rsid w:val="0025697F"/>
    <w:rsid w:val="00260258"/>
    <w:rsid w:val="0026588E"/>
    <w:rsid w:val="00272428"/>
    <w:rsid w:val="00272948"/>
    <w:rsid w:val="00283E59"/>
    <w:rsid w:val="00292392"/>
    <w:rsid w:val="002946C7"/>
    <w:rsid w:val="002B3CC1"/>
    <w:rsid w:val="002C0686"/>
    <w:rsid w:val="002C09E0"/>
    <w:rsid w:val="002C100E"/>
    <w:rsid w:val="002C1BB1"/>
    <w:rsid w:val="002C2786"/>
    <w:rsid w:val="002C3A10"/>
    <w:rsid w:val="002C4A90"/>
    <w:rsid w:val="002C4ED5"/>
    <w:rsid w:val="002D02EF"/>
    <w:rsid w:val="002E0702"/>
    <w:rsid w:val="002E1A83"/>
    <w:rsid w:val="002E57AD"/>
    <w:rsid w:val="002E6F80"/>
    <w:rsid w:val="002F0E4F"/>
    <w:rsid w:val="002F1053"/>
    <w:rsid w:val="00314816"/>
    <w:rsid w:val="00317B0E"/>
    <w:rsid w:val="00336238"/>
    <w:rsid w:val="00347FAA"/>
    <w:rsid w:val="0035172D"/>
    <w:rsid w:val="0036187D"/>
    <w:rsid w:val="00367EDB"/>
    <w:rsid w:val="003705F0"/>
    <w:rsid w:val="00381024"/>
    <w:rsid w:val="00386307"/>
    <w:rsid w:val="003874DE"/>
    <w:rsid w:val="00393E9F"/>
    <w:rsid w:val="0039696E"/>
    <w:rsid w:val="003B211A"/>
    <w:rsid w:val="003C141F"/>
    <w:rsid w:val="003C6654"/>
    <w:rsid w:val="003C6B0E"/>
    <w:rsid w:val="003C7257"/>
    <w:rsid w:val="003C7E35"/>
    <w:rsid w:val="003D1E99"/>
    <w:rsid w:val="003D6208"/>
    <w:rsid w:val="00404E8A"/>
    <w:rsid w:val="0040622F"/>
    <w:rsid w:val="00413F24"/>
    <w:rsid w:val="00422853"/>
    <w:rsid w:val="00423160"/>
    <w:rsid w:val="00437623"/>
    <w:rsid w:val="00444A2B"/>
    <w:rsid w:val="00453862"/>
    <w:rsid w:val="0045469B"/>
    <w:rsid w:val="00461338"/>
    <w:rsid w:val="004677DB"/>
    <w:rsid w:val="00476256"/>
    <w:rsid w:val="0048630F"/>
    <w:rsid w:val="004947A1"/>
    <w:rsid w:val="0049482A"/>
    <w:rsid w:val="004979D3"/>
    <w:rsid w:val="004A00E7"/>
    <w:rsid w:val="004A3A61"/>
    <w:rsid w:val="004B59BA"/>
    <w:rsid w:val="004B5A03"/>
    <w:rsid w:val="004C263A"/>
    <w:rsid w:val="004C6221"/>
    <w:rsid w:val="004D48A6"/>
    <w:rsid w:val="004D70B6"/>
    <w:rsid w:val="004D7B8F"/>
    <w:rsid w:val="004E241F"/>
    <w:rsid w:val="004E6458"/>
    <w:rsid w:val="004E6E7D"/>
    <w:rsid w:val="004F1AAC"/>
    <w:rsid w:val="004F1AE2"/>
    <w:rsid w:val="004F34F0"/>
    <w:rsid w:val="004F3B2B"/>
    <w:rsid w:val="004F6050"/>
    <w:rsid w:val="005005EF"/>
    <w:rsid w:val="005123C2"/>
    <w:rsid w:val="0052144B"/>
    <w:rsid w:val="00524066"/>
    <w:rsid w:val="00526A0F"/>
    <w:rsid w:val="00534E11"/>
    <w:rsid w:val="005378D8"/>
    <w:rsid w:val="005400D9"/>
    <w:rsid w:val="005476A4"/>
    <w:rsid w:val="0055019B"/>
    <w:rsid w:val="00556E63"/>
    <w:rsid w:val="005601A4"/>
    <w:rsid w:val="00566DBB"/>
    <w:rsid w:val="00567B14"/>
    <w:rsid w:val="005767DB"/>
    <w:rsid w:val="005815E6"/>
    <w:rsid w:val="0058712F"/>
    <w:rsid w:val="005976CE"/>
    <w:rsid w:val="005A23D4"/>
    <w:rsid w:val="005A2D1E"/>
    <w:rsid w:val="005A4698"/>
    <w:rsid w:val="005B3756"/>
    <w:rsid w:val="005C493F"/>
    <w:rsid w:val="005C6BF7"/>
    <w:rsid w:val="005C71BF"/>
    <w:rsid w:val="005D002C"/>
    <w:rsid w:val="005D30E1"/>
    <w:rsid w:val="005D6555"/>
    <w:rsid w:val="005D7BDF"/>
    <w:rsid w:val="005E4870"/>
    <w:rsid w:val="005F71D9"/>
    <w:rsid w:val="005F7602"/>
    <w:rsid w:val="006062BE"/>
    <w:rsid w:val="00613143"/>
    <w:rsid w:val="00613501"/>
    <w:rsid w:val="0061611B"/>
    <w:rsid w:val="006166A8"/>
    <w:rsid w:val="006174A1"/>
    <w:rsid w:val="00621D6C"/>
    <w:rsid w:val="00633B49"/>
    <w:rsid w:val="0064297F"/>
    <w:rsid w:val="00645102"/>
    <w:rsid w:val="00646CF3"/>
    <w:rsid w:val="00653D11"/>
    <w:rsid w:val="00662983"/>
    <w:rsid w:val="006834D3"/>
    <w:rsid w:val="00692625"/>
    <w:rsid w:val="00695CD3"/>
    <w:rsid w:val="006A38B6"/>
    <w:rsid w:val="006B1987"/>
    <w:rsid w:val="006B5B71"/>
    <w:rsid w:val="006B5D3E"/>
    <w:rsid w:val="006B6CB0"/>
    <w:rsid w:val="006C2B64"/>
    <w:rsid w:val="006D1BF3"/>
    <w:rsid w:val="006D4C85"/>
    <w:rsid w:val="006D66AC"/>
    <w:rsid w:val="006E33F6"/>
    <w:rsid w:val="006E3ABD"/>
    <w:rsid w:val="006F1251"/>
    <w:rsid w:val="006F1C23"/>
    <w:rsid w:val="00702C18"/>
    <w:rsid w:val="00703166"/>
    <w:rsid w:val="007111C4"/>
    <w:rsid w:val="007127F3"/>
    <w:rsid w:val="007301CF"/>
    <w:rsid w:val="007316FB"/>
    <w:rsid w:val="00737E2D"/>
    <w:rsid w:val="007424D5"/>
    <w:rsid w:val="00745C63"/>
    <w:rsid w:val="00750A88"/>
    <w:rsid w:val="007523DD"/>
    <w:rsid w:val="00757B7E"/>
    <w:rsid w:val="007656B2"/>
    <w:rsid w:val="0077016F"/>
    <w:rsid w:val="007713AD"/>
    <w:rsid w:val="00774F67"/>
    <w:rsid w:val="00795DC5"/>
    <w:rsid w:val="00797153"/>
    <w:rsid w:val="007A21F7"/>
    <w:rsid w:val="007A2B68"/>
    <w:rsid w:val="007B0DDA"/>
    <w:rsid w:val="007D3347"/>
    <w:rsid w:val="007D654E"/>
    <w:rsid w:val="007E5466"/>
    <w:rsid w:val="007F1949"/>
    <w:rsid w:val="007F2592"/>
    <w:rsid w:val="00800A08"/>
    <w:rsid w:val="00817A84"/>
    <w:rsid w:val="008225A4"/>
    <w:rsid w:val="00824B92"/>
    <w:rsid w:val="00826D5E"/>
    <w:rsid w:val="00832013"/>
    <w:rsid w:val="00832DB7"/>
    <w:rsid w:val="00834732"/>
    <w:rsid w:val="0085200C"/>
    <w:rsid w:val="00857C52"/>
    <w:rsid w:val="00860D5F"/>
    <w:rsid w:val="00880A44"/>
    <w:rsid w:val="0088345E"/>
    <w:rsid w:val="0088656F"/>
    <w:rsid w:val="008875BC"/>
    <w:rsid w:val="00891EF6"/>
    <w:rsid w:val="00892FF4"/>
    <w:rsid w:val="0089345A"/>
    <w:rsid w:val="008A0303"/>
    <w:rsid w:val="008A5FDD"/>
    <w:rsid w:val="008C3947"/>
    <w:rsid w:val="008E473B"/>
    <w:rsid w:val="008E51A6"/>
    <w:rsid w:val="008E7329"/>
    <w:rsid w:val="008F2ED5"/>
    <w:rsid w:val="0092297E"/>
    <w:rsid w:val="00923292"/>
    <w:rsid w:val="00923651"/>
    <w:rsid w:val="00924DF7"/>
    <w:rsid w:val="00927B56"/>
    <w:rsid w:val="009341BF"/>
    <w:rsid w:val="00937907"/>
    <w:rsid w:val="00941739"/>
    <w:rsid w:val="00951573"/>
    <w:rsid w:val="00963003"/>
    <w:rsid w:val="00965919"/>
    <w:rsid w:val="00966EEF"/>
    <w:rsid w:val="00971B28"/>
    <w:rsid w:val="00983471"/>
    <w:rsid w:val="009909AB"/>
    <w:rsid w:val="009B37DB"/>
    <w:rsid w:val="009C7A8C"/>
    <w:rsid w:val="009D23F9"/>
    <w:rsid w:val="009D4FA8"/>
    <w:rsid w:val="009E44AE"/>
    <w:rsid w:val="009E6CD6"/>
    <w:rsid w:val="009F4D66"/>
    <w:rsid w:val="00A00C3C"/>
    <w:rsid w:val="00A01091"/>
    <w:rsid w:val="00A042B9"/>
    <w:rsid w:val="00A06DBB"/>
    <w:rsid w:val="00A22ADF"/>
    <w:rsid w:val="00A2310D"/>
    <w:rsid w:val="00A254A2"/>
    <w:rsid w:val="00A31E86"/>
    <w:rsid w:val="00A35C04"/>
    <w:rsid w:val="00A54D87"/>
    <w:rsid w:val="00A5553C"/>
    <w:rsid w:val="00A701C9"/>
    <w:rsid w:val="00A81785"/>
    <w:rsid w:val="00A84803"/>
    <w:rsid w:val="00A84C51"/>
    <w:rsid w:val="00A85243"/>
    <w:rsid w:val="00A86F2B"/>
    <w:rsid w:val="00A91366"/>
    <w:rsid w:val="00A92F91"/>
    <w:rsid w:val="00A93AA6"/>
    <w:rsid w:val="00AA4E48"/>
    <w:rsid w:val="00AA6202"/>
    <w:rsid w:val="00AA7B57"/>
    <w:rsid w:val="00AB2806"/>
    <w:rsid w:val="00AB2D54"/>
    <w:rsid w:val="00AC26FC"/>
    <w:rsid w:val="00AC4A99"/>
    <w:rsid w:val="00AC5129"/>
    <w:rsid w:val="00AC64D2"/>
    <w:rsid w:val="00AD02E7"/>
    <w:rsid w:val="00AE0FE8"/>
    <w:rsid w:val="00AE62D9"/>
    <w:rsid w:val="00AF60D5"/>
    <w:rsid w:val="00B00959"/>
    <w:rsid w:val="00B04415"/>
    <w:rsid w:val="00B06509"/>
    <w:rsid w:val="00B11D60"/>
    <w:rsid w:val="00B13D65"/>
    <w:rsid w:val="00B21805"/>
    <w:rsid w:val="00B3072E"/>
    <w:rsid w:val="00B36E15"/>
    <w:rsid w:val="00B37245"/>
    <w:rsid w:val="00B4017A"/>
    <w:rsid w:val="00B4468D"/>
    <w:rsid w:val="00B66D0C"/>
    <w:rsid w:val="00B71C72"/>
    <w:rsid w:val="00B71F04"/>
    <w:rsid w:val="00B74A62"/>
    <w:rsid w:val="00B811A4"/>
    <w:rsid w:val="00B81E92"/>
    <w:rsid w:val="00B908D7"/>
    <w:rsid w:val="00B935E8"/>
    <w:rsid w:val="00B93B30"/>
    <w:rsid w:val="00B94CB5"/>
    <w:rsid w:val="00BA0DD9"/>
    <w:rsid w:val="00BA5DBC"/>
    <w:rsid w:val="00BA6584"/>
    <w:rsid w:val="00BB6312"/>
    <w:rsid w:val="00BC39C2"/>
    <w:rsid w:val="00BC4D06"/>
    <w:rsid w:val="00BD05E1"/>
    <w:rsid w:val="00BD585E"/>
    <w:rsid w:val="00BD6919"/>
    <w:rsid w:val="00BE1EA7"/>
    <w:rsid w:val="00BE7489"/>
    <w:rsid w:val="00BF2E0D"/>
    <w:rsid w:val="00BF3927"/>
    <w:rsid w:val="00BF3F8B"/>
    <w:rsid w:val="00BF76DA"/>
    <w:rsid w:val="00C00CDB"/>
    <w:rsid w:val="00C07C7B"/>
    <w:rsid w:val="00C16245"/>
    <w:rsid w:val="00C22DC5"/>
    <w:rsid w:val="00C24479"/>
    <w:rsid w:val="00C273F2"/>
    <w:rsid w:val="00C327CB"/>
    <w:rsid w:val="00C37B53"/>
    <w:rsid w:val="00C434EB"/>
    <w:rsid w:val="00C517D2"/>
    <w:rsid w:val="00C5772E"/>
    <w:rsid w:val="00C62B36"/>
    <w:rsid w:val="00C62B41"/>
    <w:rsid w:val="00C660AB"/>
    <w:rsid w:val="00C7012C"/>
    <w:rsid w:val="00C712EA"/>
    <w:rsid w:val="00C87033"/>
    <w:rsid w:val="00C9728E"/>
    <w:rsid w:val="00CA217D"/>
    <w:rsid w:val="00CA3131"/>
    <w:rsid w:val="00CC09D4"/>
    <w:rsid w:val="00CC4F5F"/>
    <w:rsid w:val="00CC668D"/>
    <w:rsid w:val="00CC7832"/>
    <w:rsid w:val="00CD488E"/>
    <w:rsid w:val="00CE4B0B"/>
    <w:rsid w:val="00CF0C1C"/>
    <w:rsid w:val="00CF27FD"/>
    <w:rsid w:val="00CF5F12"/>
    <w:rsid w:val="00D00D8F"/>
    <w:rsid w:val="00D05877"/>
    <w:rsid w:val="00D12869"/>
    <w:rsid w:val="00D14512"/>
    <w:rsid w:val="00D15ED6"/>
    <w:rsid w:val="00D21F3A"/>
    <w:rsid w:val="00D23808"/>
    <w:rsid w:val="00D3016A"/>
    <w:rsid w:val="00D417D2"/>
    <w:rsid w:val="00D42960"/>
    <w:rsid w:val="00D43BD7"/>
    <w:rsid w:val="00D4485B"/>
    <w:rsid w:val="00D46CCD"/>
    <w:rsid w:val="00D4708D"/>
    <w:rsid w:val="00D4744C"/>
    <w:rsid w:val="00D476AB"/>
    <w:rsid w:val="00D51046"/>
    <w:rsid w:val="00D521DE"/>
    <w:rsid w:val="00D5470B"/>
    <w:rsid w:val="00D63068"/>
    <w:rsid w:val="00D6498C"/>
    <w:rsid w:val="00D67BAF"/>
    <w:rsid w:val="00D7451E"/>
    <w:rsid w:val="00D76A70"/>
    <w:rsid w:val="00D83182"/>
    <w:rsid w:val="00D8521E"/>
    <w:rsid w:val="00D9291C"/>
    <w:rsid w:val="00D93A97"/>
    <w:rsid w:val="00DA5602"/>
    <w:rsid w:val="00DB1F64"/>
    <w:rsid w:val="00DC261A"/>
    <w:rsid w:val="00DC2F53"/>
    <w:rsid w:val="00DC5BAC"/>
    <w:rsid w:val="00DC6816"/>
    <w:rsid w:val="00DC76C2"/>
    <w:rsid w:val="00DD1CF2"/>
    <w:rsid w:val="00DD50EB"/>
    <w:rsid w:val="00DE4484"/>
    <w:rsid w:val="00DF41B7"/>
    <w:rsid w:val="00DF4A4A"/>
    <w:rsid w:val="00DF583C"/>
    <w:rsid w:val="00E03C3F"/>
    <w:rsid w:val="00E06FD7"/>
    <w:rsid w:val="00E07417"/>
    <w:rsid w:val="00E167F1"/>
    <w:rsid w:val="00E24D45"/>
    <w:rsid w:val="00E33DB8"/>
    <w:rsid w:val="00E33EFF"/>
    <w:rsid w:val="00E34387"/>
    <w:rsid w:val="00E348BA"/>
    <w:rsid w:val="00E369FE"/>
    <w:rsid w:val="00E37C6F"/>
    <w:rsid w:val="00E475F8"/>
    <w:rsid w:val="00E5102E"/>
    <w:rsid w:val="00E5721C"/>
    <w:rsid w:val="00E619C6"/>
    <w:rsid w:val="00E70CED"/>
    <w:rsid w:val="00E72E33"/>
    <w:rsid w:val="00E734F3"/>
    <w:rsid w:val="00E745A1"/>
    <w:rsid w:val="00E81529"/>
    <w:rsid w:val="00E83A13"/>
    <w:rsid w:val="00EB1151"/>
    <w:rsid w:val="00EB6FC5"/>
    <w:rsid w:val="00EC2356"/>
    <w:rsid w:val="00EC2582"/>
    <w:rsid w:val="00EC337C"/>
    <w:rsid w:val="00ED0CFF"/>
    <w:rsid w:val="00ED31D2"/>
    <w:rsid w:val="00EE0EAC"/>
    <w:rsid w:val="00EE3322"/>
    <w:rsid w:val="00EE33CB"/>
    <w:rsid w:val="00F0061A"/>
    <w:rsid w:val="00F02834"/>
    <w:rsid w:val="00F04EEB"/>
    <w:rsid w:val="00F05467"/>
    <w:rsid w:val="00F055D2"/>
    <w:rsid w:val="00F07CD7"/>
    <w:rsid w:val="00F127E9"/>
    <w:rsid w:val="00F14477"/>
    <w:rsid w:val="00F14B5D"/>
    <w:rsid w:val="00F259FC"/>
    <w:rsid w:val="00F313F4"/>
    <w:rsid w:val="00F36972"/>
    <w:rsid w:val="00F42426"/>
    <w:rsid w:val="00F44F01"/>
    <w:rsid w:val="00F456BC"/>
    <w:rsid w:val="00F50666"/>
    <w:rsid w:val="00F66771"/>
    <w:rsid w:val="00F70731"/>
    <w:rsid w:val="00F70C9E"/>
    <w:rsid w:val="00F74A74"/>
    <w:rsid w:val="00F7572C"/>
    <w:rsid w:val="00F8382C"/>
    <w:rsid w:val="00F855D7"/>
    <w:rsid w:val="00F92035"/>
    <w:rsid w:val="00F92748"/>
    <w:rsid w:val="00FA4169"/>
    <w:rsid w:val="00FB0D41"/>
    <w:rsid w:val="00FB2030"/>
    <w:rsid w:val="00FD0E46"/>
    <w:rsid w:val="00FD1060"/>
    <w:rsid w:val="00FD1CF2"/>
    <w:rsid w:val="00FD3CA9"/>
    <w:rsid w:val="00FD3EDF"/>
    <w:rsid w:val="00FD793C"/>
    <w:rsid w:val="00FE0FD5"/>
    <w:rsid w:val="00FE20E6"/>
    <w:rsid w:val="00FE3E3B"/>
    <w:rsid w:val="00FE5878"/>
    <w:rsid w:val="00FF4032"/>
    <w:rsid w:val="00FF4A2E"/>
    <w:rsid w:val="00FF6469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FE6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52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84C51"/>
    <w:pPr>
      <w:keepNext/>
      <w:jc w:val="center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A84C51"/>
    <w:pPr>
      <w:keepNext/>
      <w:jc w:val="center"/>
      <w:outlineLvl w:val="1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4C51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rsid w:val="00A84C51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A84C51"/>
  </w:style>
  <w:style w:type="character" w:styleId="Hyperlink">
    <w:name w:val="Hyperlink"/>
    <w:basedOn w:val="DefaultParagraphFont"/>
    <w:rsid w:val="00A84C51"/>
    <w:rPr>
      <w:color w:val="0000FF"/>
      <w:u w:val="single"/>
    </w:rPr>
  </w:style>
  <w:style w:type="paragraph" w:styleId="BalloonText">
    <w:name w:val="Balloon Text"/>
    <w:basedOn w:val="Normal"/>
    <w:semiHidden/>
    <w:rsid w:val="00EC235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37E2D"/>
    <w:rPr>
      <w:sz w:val="24"/>
      <w:szCs w:val="24"/>
      <w:lang w:eastAsia="en-US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A31E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31E86"/>
    <w:rPr>
      <w:color w:val="800080" w:themeColor="followedHyperlink"/>
      <w:u w:val="single"/>
    </w:rPr>
  </w:style>
  <w:style w:type="table" w:styleId="TableGrid">
    <w:name w:val="Table Grid"/>
    <w:basedOn w:val="TableNormal"/>
    <w:rsid w:val="00D42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C7012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01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012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0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012C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04E2E"/>
    <w:pPr>
      <w:ind w:left="720"/>
      <w:contextualSpacing/>
    </w:pPr>
  </w:style>
  <w:style w:type="character" w:customStyle="1" w:styleId="Style2">
    <w:name w:val="Style2"/>
    <w:basedOn w:val="DefaultParagraphFont"/>
    <w:uiPriority w:val="1"/>
    <w:rsid w:val="00D6498C"/>
    <w:rPr>
      <w:sz w:val="32"/>
    </w:rPr>
  </w:style>
  <w:style w:type="character" w:styleId="PlaceholderText">
    <w:name w:val="Placeholder Text"/>
    <w:basedOn w:val="DefaultParagraphFont"/>
    <w:uiPriority w:val="99"/>
    <w:rsid w:val="00B13D65"/>
    <w:rPr>
      <w:color w:val="808080"/>
    </w:rPr>
  </w:style>
  <w:style w:type="paragraph" w:styleId="NoSpacing">
    <w:name w:val="No Spacing"/>
    <w:uiPriority w:val="1"/>
    <w:qFormat/>
    <w:rsid w:val="00B13D65"/>
    <w:rPr>
      <w:rFonts w:ascii="Calibri" w:eastAsia="Calibri" w:hAnsi="Calibri"/>
      <w:sz w:val="22"/>
      <w:szCs w:val="22"/>
      <w:lang w:eastAsia="en-US"/>
    </w:rPr>
  </w:style>
  <w:style w:type="table" w:customStyle="1" w:styleId="Lentelstinklelis1">
    <w:name w:val="Lentelės tinklelis1"/>
    <w:basedOn w:val="TableNormal"/>
    <w:next w:val="TableGrid"/>
    <w:rsid w:val="009E44AE"/>
    <w:rPr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625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D7EBE30A7F432F9AB1114CDC0B27A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7F62492-AACD-4837-966A-2DF1151E6A27}"/>
      </w:docPartPr>
      <w:docPartBody>
        <w:p w:rsidR="00A20D39" w:rsidRDefault="00C66578" w:rsidP="00C66578">
          <w:pPr>
            <w:pStyle w:val="93D7EBE30A7F432F9AB1114CDC0B27A0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313EC56AA2FD440FAB92ED675BD36BA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30DD3CB-97DE-4BCB-96BE-0677BB5CE856}"/>
      </w:docPartPr>
      <w:docPartBody>
        <w:p w:rsidR="00A20D39" w:rsidRDefault="00C66578" w:rsidP="00C66578">
          <w:pPr>
            <w:pStyle w:val="313EC56AA2FD440FAB92ED675BD36BA0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891C7C6E198E4AB0A8C940674B4A42F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FEA5C9F1-42D1-4DDF-83E3-28F61C2919BC}"/>
      </w:docPartPr>
      <w:docPartBody>
        <w:p w:rsidR="007C7254" w:rsidRDefault="00596762" w:rsidP="00596762">
          <w:pPr>
            <w:pStyle w:val="891C7C6E198E4AB0A8C940674B4A42F8"/>
          </w:pPr>
          <w:r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0DD"/>
    <w:rsid w:val="0001247F"/>
    <w:rsid w:val="00047C19"/>
    <w:rsid w:val="00061157"/>
    <w:rsid w:val="000624FF"/>
    <w:rsid w:val="000846EA"/>
    <w:rsid w:val="000937FE"/>
    <w:rsid w:val="000A50C9"/>
    <w:rsid w:val="000A559A"/>
    <w:rsid w:val="000D24D4"/>
    <w:rsid w:val="000D6217"/>
    <w:rsid w:val="0014006D"/>
    <w:rsid w:val="001C35A9"/>
    <w:rsid w:val="00237556"/>
    <w:rsid w:val="002C0686"/>
    <w:rsid w:val="0039303B"/>
    <w:rsid w:val="004144A3"/>
    <w:rsid w:val="004160E7"/>
    <w:rsid w:val="004416C6"/>
    <w:rsid w:val="00456E96"/>
    <w:rsid w:val="004C6221"/>
    <w:rsid w:val="004D038D"/>
    <w:rsid w:val="004F4E20"/>
    <w:rsid w:val="004F5AB2"/>
    <w:rsid w:val="005074B9"/>
    <w:rsid w:val="00563A5F"/>
    <w:rsid w:val="00596762"/>
    <w:rsid w:val="00596842"/>
    <w:rsid w:val="005C62E5"/>
    <w:rsid w:val="005E40DD"/>
    <w:rsid w:val="00601F4E"/>
    <w:rsid w:val="006E6A2C"/>
    <w:rsid w:val="007219C1"/>
    <w:rsid w:val="00745C63"/>
    <w:rsid w:val="00753462"/>
    <w:rsid w:val="00772325"/>
    <w:rsid w:val="00774F67"/>
    <w:rsid w:val="007A2FE0"/>
    <w:rsid w:val="007C6D1D"/>
    <w:rsid w:val="007C7254"/>
    <w:rsid w:val="007D654E"/>
    <w:rsid w:val="00892FF4"/>
    <w:rsid w:val="008C0DC0"/>
    <w:rsid w:val="0090074D"/>
    <w:rsid w:val="00901A35"/>
    <w:rsid w:val="009B3BF0"/>
    <w:rsid w:val="009D5E5E"/>
    <w:rsid w:val="009D7DFB"/>
    <w:rsid w:val="009F1BB4"/>
    <w:rsid w:val="00A20D39"/>
    <w:rsid w:val="00A254A2"/>
    <w:rsid w:val="00AB2D54"/>
    <w:rsid w:val="00AB6ED4"/>
    <w:rsid w:val="00B14210"/>
    <w:rsid w:val="00B22ED6"/>
    <w:rsid w:val="00B23DC0"/>
    <w:rsid w:val="00B71F04"/>
    <w:rsid w:val="00B96656"/>
    <w:rsid w:val="00BA0A8E"/>
    <w:rsid w:val="00BE3364"/>
    <w:rsid w:val="00C2401D"/>
    <w:rsid w:val="00C250D7"/>
    <w:rsid w:val="00C327CB"/>
    <w:rsid w:val="00C53A68"/>
    <w:rsid w:val="00C66578"/>
    <w:rsid w:val="00C87033"/>
    <w:rsid w:val="00CA5BB4"/>
    <w:rsid w:val="00CB4BD1"/>
    <w:rsid w:val="00CD139C"/>
    <w:rsid w:val="00CE2DA9"/>
    <w:rsid w:val="00CE44BE"/>
    <w:rsid w:val="00D008F3"/>
    <w:rsid w:val="00D0142D"/>
    <w:rsid w:val="00D04DFF"/>
    <w:rsid w:val="00D15ED6"/>
    <w:rsid w:val="00D20347"/>
    <w:rsid w:val="00D4356B"/>
    <w:rsid w:val="00D7162F"/>
    <w:rsid w:val="00D7451E"/>
    <w:rsid w:val="00DA599C"/>
    <w:rsid w:val="00DB4DB5"/>
    <w:rsid w:val="00DE4D10"/>
    <w:rsid w:val="00E167F1"/>
    <w:rsid w:val="00E44A86"/>
    <w:rsid w:val="00E522EB"/>
    <w:rsid w:val="00E60827"/>
    <w:rsid w:val="00EF6E0C"/>
    <w:rsid w:val="00F14477"/>
    <w:rsid w:val="00F370E5"/>
    <w:rsid w:val="00F55028"/>
    <w:rsid w:val="00F677F0"/>
    <w:rsid w:val="00F77BEF"/>
    <w:rsid w:val="00FC755C"/>
    <w:rsid w:val="00FE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96762"/>
    <w:rPr>
      <w:color w:val="808080"/>
    </w:rPr>
  </w:style>
  <w:style w:type="paragraph" w:customStyle="1" w:styleId="93D7EBE30A7F432F9AB1114CDC0B27A0">
    <w:name w:val="93D7EBE30A7F432F9AB1114CDC0B27A0"/>
    <w:rsid w:val="00C665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3EC56AA2FD440FAB92ED675BD36BA0">
    <w:name w:val="313EC56AA2FD440FAB92ED675BD36BA0"/>
    <w:rsid w:val="00C6657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C7C6E198E4AB0A8C940674B4A42F8">
    <w:name w:val="891C7C6E198E4AB0A8C940674B4A42F8"/>
    <w:rsid w:val="005967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1658</Words>
  <Characters>9455</Characters>
  <Application>Microsoft Office Word</Application>
  <DocSecurity>0</DocSecurity>
  <Lines>78</Lines>
  <Paragraphs>22</Paragraphs>
  <ScaleCrop>false</ScaleCrop>
  <Company/>
  <LinksUpToDate>false</LinksUpToDate>
  <CharactersWithSpaces>11091</CharactersWithSpaces>
  <SharedDoc>false</SharedDoc>
  <HLinks>
    <vt:vector size="6" baseType="variant">
      <vt:variant>
        <vt:i4>5308539</vt:i4>
      </vt:variant>
      <vt:variant>
        <vt:i4>6</vt:i4>
      </vt:variant>
      <vt:variant>
        <vt:i4>0</vt:i4>
      </vt:variant>
      <vt:variant>
        <vt:i4>5</vt:i4>
      </vt:variant>
      <vt:variant>
        <vt:lpwstr>mailto:vvkt@vvkt.lt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2026-06-01T10:31:00Z</dcterms:created>
  <dcterms:modified xsi:type="dcterms:W3CDTF">2026-06-15T16:17:00Z</dcterms:modified>
</cp:coreProperties>
</file>