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E5EB3" w14:textId="1955ADE3" w:rsidR="005F7602" w:rsidRPr="00334F18" w:rsidRDefault="005F7602" w:rsidP="002946C7">
      <w:pPr>
        <w:ind w:left="5529"/>
      </w:pPr>
    </w:p>
    <w:p w14:paraId="12FA4B9E" w14:textId="39AA3336" w:rsidR="001B3C5B" w:rsidRPr="00334F18" w:rsidRDefault="00DC261A" w:rsidP="001B3C5B">
      <w:pPr>
        <w:ind w:left="6096"/>
      </w:pPr>
      <w:bookmarkStart w:id="0" w:name="_Hlk189565243"/>
      <w:r w:rsidRPr="00334F18">
        <w:t>PATVIRTINTA</w:t>
      </w:r>
    </w:p>
    <w:p w14:paraId="7206970B" w14:textId="70E9BD2E" w:rsidR="004C263A" w:rsidRPr="00334F18" w:rsidRDefault="001B3C5B" w:rsidP="001B3C5B">
      <w:pPr>
        <w:ind w:left="6096"/>
      </w:pPr>
      <w:r w:rsidRPr="00334F18">
        <w:t>Valstybinės vaistų kontrolės tarnybos prie Lietuvos Respublikos sveikatos apsaugos ministerijos viršininko 2021 m</w:t>
      </w:r>
      <w:r w:rsidR="004C263A" w:rsidRPr="00334F18">
        <w:t xml:space="preserve">. lapkričio 12 </w:t>
      </w:r>
      <w:r w:rsidRPr="00334F18">
        <w:t>d. įsakymu Nr.</w:t>
      </w:r>
      <w:r w:rsidR="004C263A" w:rsidRPr="00334F18">
        <w:t xml:space="preserve"> (1.72E)1A-1418</w:t>
      </w:r>
    </w:p>
    <w:p w14:paraId="5B219AA6" w14:textId="3A5D6CB4" w:rsidR="001B3C5B" w:rsidRPr="00334F18" w:rsidRDefault="004C263A" w:rsidP="001B3C5B">
      <w:pPr>
        <w:ind w:left="6096"/>
      </w:pPr>
      <w:r w:rsidRPr="00334F18">
        <w:t>(Valstybinės vaistų kontrolės tarnybos prie Lietuvos Respublikos sveikatos apsaugos ministerijos viršininko 202</w:t>
      </w:r>
      <w:r w:rsidR="00A2310D" w:rsidRPr="00334F18">
        <w:t>5</w:t>
      </w:r>
      <w:r w:rsidRPr="00334F18">
        <w:t xml:space="preserve"> m.                         d. įsakymo Nr.                    redakcija)</w:t>
      </w:r>
    </w:p>
    <w:p w14:paraId="3336BD74" w14:textId="77777777" w:rsidR="001B3C5B" w:rsidRPr="00334F18" w:rsidRDefault="001B3C5B" w:rsidP="00FA4169"/>
    <w:bookmarkEnd w:id="0"/>
    <w:p w14:paraId="56604434" w14:textId="77777777" w:rsidR="00DC261A" w:rsidRPr="00334F18" w:rsidRDefault="00DC261A" w:rsidP="003B211A">
      <w:pPr>
        <w:jc w:val="center"/>
        <w:rPr>
          <w:b/>
        </w:rPr>
      </w:pPr>
    </w:p>
    <w:p w14:paraId="77AFB67E" w14:textId="0FB133A2" w:rsidR="00613501" w:rsidRPr="00334F18" w:rsidRDefault="002F0E4F" w:rsidP="003B211A">
      <w:pPr>
        <w:jc w:val="center"/>
        <w:rPr>
          <w:b/>
          <w:bCs/>
          <w:caps/>
        </w:rPr>
      </w:pPr>
      <w:r w:rsidRPr="00334F18">
        <w:rPr>
          <w:b/>
        </w:rPr>
        <w:t xml:space="preserve">REKOMENDACIJA DĖL VAISTINIO PREPARATO </w:t>
      </w:r>
      <w:r w:rsidRPr="00334F18">
        <w:rPr>
          <w:b/>
          <w:bCs/>
          <w:caps/>
        </w:rPr>
        <w:t>Lietuvos Respublikos Sveikatos apsaugos ministerijos vaistinių preparatų ir medicinos pagalbos priemonių kompensavimo komisijai</w:t>
      </w:r>
    </w:p>
    <w:p w14:paraId="34E4395D" w14:textId="15FB10DF" w:rsidR="00B13D65" w:rsidRPr="00334F18" w:rsidRDefault="00B13D65" w:rsidP="003B211A">
      <w:pPr>
        <w:jc w:val="center"/>
        <w:rPr>
          <w:b/>
        </w:rPr>
      </w:pPr>
    </w:p>
    <w:p w14:paraId="206A7839" w14:textId="77777777" w:rsidR="007C3789" w:rsidRPr="009F635A" w:rsidRDefault="007C3789" w:rsidP="007C3789">
      <w:pPr>
        <w:jc w:val="center"/>
        <w:rPr>
          <w:b/>
        </w:rPr>
      </w:pPr>
      <w:r w:rsidRPr="009F635A">
        <w:rPr>
          <w:b/>
        </w:rPr>
        <w:t>TAGRISSO 40</w:t>
      </w:r>
      <w:r>
        <w:rPr>
          <w:b/>
        </w:rPr>
        <w:t xml:space="preserve"> mg</w:t>
      </w:r>
      <w:r w:rsidRPr="009F635A">
        <w:rPr>
          <w:b/>
        </w:rPr>
        <w:t xml:space="preserve"> plėvele dengtos tabletės</w:t>
      </w:r>
    </w:p>
    <w:p w14:paraId="2F92E4F2" w14:textId="77777777" w:rsidR="007C3789" w:rsidRPr="009F635A" w:rsidRDefault="007C3789" w:rsidP="007C3789">
      <w:pPr>
        <w:jc w:val="center"/>
        <w:rPr>
          <w:b/>
        </w:rPr>
      </w:pPr>
      <w:r w:rsidRPr="009F635A">
        <w:rPr>
          <w:b/>
        </w:rPr>
        <w:t>TAGRISSO 80 mg plėvele dengtos tabletės</w:t>
      </w:r>
    </w:p>
    <w:p w14:paraId="73C52AF4" w14:textId="77777777" w:rsidR="00EC4FB5" w:rsidRPr="009F635A" w:rsidRDefault="00EC4FB5" w:rsidP="00EC4FB5">
      <w:pPr>
        <w:jc w:val="center"/>
      </w:pPr>
    </w:p>
    <w:p w14:paraId="6E0DD6A9" w14:textId="77777777" w:rsidR="00EC4FB5" w:rsidRPr="009F635A" w:rsidRDefault="00EC4FB5" w:rsidP="00EC4FB5">
      <w:pPr>
        <w:jc w:val="center"/>
        <w:rPr>
          <w:b/>
        </w:rPr>
      </w:pPr>
      <w:r w:rsidRPr="009F635A">
        <w:rPr>
          <w:b/>
        </w:rPr>
        <w:t>Osimertinibas</w:t>
      </w:r>
    </w:p>
    <w:p w14:paraId="23F113B2" w14:textId="77777777" w:rsidR="00EC4FB5" w:rsidRPr="009F635A" w:rsidRDefault="00EC4FB5" w:rsidP="00EC4FB5">
      <w:pPr>
        <w:jc w:val="center"/>
      </w:pPr>
    </w:p>
    <w:p w14:paraId="728D68B4" w14:textId="77777777" w:rsidR="00EC4FB5" w:rsidRPr="009F635A" w:rsidRDefault="00EC4FB5" w:rsidP="00EC4FB5">
      <w:pPr>
        <w:jc w:val="center"/>
        <w:rPr>
          <w:b/>
        </w:rPr>
      </w:pPr>
      <w:r w:rsidRPr="009F635A">
        <w:rPr>
          <w:b/>
        </w:rPr>
        <w:t>STV-269</w:t>
      </w:r>
    </w:p>
    <w:p w14:paraId="528FB1CA" w14:textId="77777777" w:rsidR="00E605A2" w:rsidRPr="00603B3A" w:rsidRDefault="00E605A2" w:rsidP="00E605A2">
      <w:pPr>
        <w:spacing w:line="280" w:lineRule="atLeast"/>
        <w:jc w:val="center"/>
        <w:rPr>
          <w:rFonts w:eastAsia="Arial"/>
        </w:rPr>
      </w:pPr>
    </w:p>
    <w:p w14:paraId="6DA47EE0" w14:textId="77777777" w:rsidR="00E605A2" w:rsidRPr="00603B3A" w:rsidRDefault="00E605A2" w:rsidP="00E605A2">
      <w:pPr>
        <w:pStyle w:val="ListParagraph"/>
        <w:numPr>
          <w:ilvl w:val="0"/>
          <w:numId w:val="15"/>
        </w:numPr>
        <w:tabs>
          <w:tab w:val="left" w:pos="284"/>
        </w:tabs>
        <w:spacing w:line="280" w:lineRule="atLeast"/>
        <w:jc w:val="center"/>
        <w:rPr>
          <w:rFonts w:eastAsia="Arial"/>
          <w:b/>
        </w:rPr>
      </w:pPr>
      <w:r w:rsidRPr="00603B3A">
        <w:rPr>
          <w:rFonts w:eastAsia="Arial"/>
          <w:b/>
        </w:rPr>
        <w:t>BENDROJI DALIS</w:t>
      </w:r>
    </w:p>
    <w:p w14:paraId="5AA4582D" w14:textId="77777777" w:rsidR="00E605A2" w:rsidRPr="00603B3A" w:rsidRDefault="00E605A2" w:rsidP="00E605A2">
      <w:pPr>
        <w:pStyle w:val="ListParagraph"/>
        <w:tabs>
          <w:tab w:val="left" w:pos="284"/>
        </w:tabs>
        <w:spacing w:line="280" w:lineRule="atLeast"/>
        <w:ind w:left="1080"/>
        <w:jc w:val="both"/>
        <w:rPr>
          <w:rFonts w:eastAsia="Arial"/>
          <w:b/>
        </w:rPr>
      </w:pPr>
    </w:p>
    <w:tbl>
      <w:tblPr>
        <w:tblStyle w:val="TableGrid"/>
        <w:tblW w:w="9493" w:type="dxa"/>
        <w:tblLook w:val="04A0" w:firstRow="1" w:lastRow="0" w:firstColumn="1" w:lastColumn="0" w:noHBand="0" w:noVBand="1"/>
      </w:tblPr>
      <w:tblGrid>
        <w:gridCol w:w="632"/>
        <w:gridCol w:w="3899"/>
        <w:gridCol w:w="4962"/>
      </w:tblGrid>
      <w:tr w:rsidR="00EC4FB5" w:rsidRPr="00603B3A" w14:paraId="1495256D" w14:textId="77777777" w:rsidTr="00A5391E">
        <w:trPr>
          <w:trHeight w:val="538"/>
        </w:trPr>
        <w:tc>
          <w:tcPr>
            <w:tcW w:w="632" w:type="dxa"/>
          </w:tcPr>
          <w:p w14:paraId="6DD7997A" w14:textId="77777777" w:rsidR="00EC4FB5" w:rsidRPr="00603B3A" w:rsidRDefault="00EC4FB5" w:rsidP="00EC4FB5">
            <w:pPr>
              <w:jc w:val="both"/>
              <w:rPr>
                <w:rFonts w:eastAsia="Arial"/>
                <w:b/>
                <w:bCs/>
              </w:rPr>
            </w:pPr>
            <w:bookmarkStart w:id="1" w:name="_Hlk187088187"/>
            <w:r w:rsidRPr="00603B3A">
              <w:rPr>
                <w:rFonts w:eastAsia="Arial"/>
                <w:b/>
                <w:bCs/>
              </w:rPr>
              <w:t>1.1</w:t>
            </w:r>
          </w:p>
        </w:tc>
        <w:tc>
          <w:tcPr>
            <w:tcW w:w="3899" w:type="dxa"/>
          </w:tcPr>
          <w:p w14:paraId="0327C314" w14:textId="77777777" w:rsidR="00EC4FB5" w:rsidRPr="00603B3A" w:rsidRDefault="00EC4FB5" w:rsidP="00EC4FB5">
            <w:pPr>
              <w:jc w:val="both"/>
              <w:rPr>
                <w:rFonts w:eastAsia="Arial"/>
                <w:b/>
                <w:bCs/>
              </w:rPr>
            </w:pPr>
            <w:r w:rsidRPr="00603B3A">
              <w:rPr>
                <w:rFonts w:eastAsia="Arial"/>
                <w:b/>
                <w:bCs/>
              </w:rPr>
              <w:t>Pareiškėjas/ pareiškėjo atstovas</w:t>
            </w:r>
          </w:p>
        </w:tc>
        <w:tc>
          <w:tcPr>
            <w:tcW w:w="4962" w:type="dxa"/>
          </w:tcPr>
          <w:p w14:paraId="27737D28" w14:textId="38D1E4D3" w:rsidR="00EC4FB5" w:rsidRPr="00603B3A" w:rsidRDefault="00EC4FB5" w:rsidP="00EC4FB5">
            <w:pPr>
              <w:jc w:val="both"/>
              <w:rPr>
                <w:rFonts w:eastAsia="Arial"/>
              </w:rPr>
            </w:pPr>
            <w:r w:rsidRPr="009F635A">
              <w:t>UAB „AstraZeneca Lietuva“</w:t>
            </w:r>
          </w:p>
        </w:tc>
      </w:tr>
      <w:tr w:rsidR="00EC4FB5" w:rsidRPr="00603B3A" w14:paraId="0B000823" w14:textId="77777777" w:rsidTr="00A5391E">
        <w:trPr>
          <w:trHeight w:val="538"/>
        </w:trPr>
        <w:tc>
          <w:tcPr>
            <w:tcW w:w="632" w:type="dxa"/>
          </w:tcPr>
          <w:p w14:paraId="38C9926D" w14:textId="77777777" w:rsidR="00EC4FB5" w:rsidRPr="00603B3A" w:rsidRDefault="00EC4FB5" w:rsidP="00EC4FB5">
            <w:pPr>
              <w:jc w:val="both"/>
              <w:rPr>
                <w:rFonts w:eastAsia="Arial"/>
                <w:b/>
                <w:bCs/>
              </w:rPr>
            </w:pPr>
            <w:r w:rsidRPr="00603B3A">
              <w:rPr>
                <w:rFonts w:eastAsia="Arial"/>
                <w:b/>
                <w:bCs/>
              </w:rPr>
              <w:t>1.2</w:t>
            </w:r>
          </w:p>
        </w:tc>
        <w:tc>
          <w:tcPr>
            <w:tcW w:w="3899" w:type="dxa"/>
          </w:tcPr>
          <w:p w14:paraId="2803328C" w14:textId="77777777" w:rsidR="00EC4FB5" w:rsidRPr="00603B3A" w:rsidRDefault="00EC4FB5" w:rsidP="00EC4FB5">
            <w:pPr>
              <w:jc w:val="both"/>
              <w:rPr>
                <w:b/>
                <w:bCs/>
                <w:lang w:eastAsia="lt-LT"/>
              </w:rPr>
            </w:pPr>
            <w:r w:rsidRPr="00603B3A">
              <w:rPr>
                <w:b/>
                <w:bCs/>
                <w:lang w:eastAsia="lt-LT"/>
              </w:rPr>
              <w:t xml:space="preserve">Vaistinio preparato registracijos data </w:t>
            </w:r>
          </w:p>
          <w:p w14:paraId="1DB6DB42" w14:textId="77777777" w:rsidR="00EC4FB5" w:rsidRPr="00603B3A" w:rsidRDefault="00EC4FB5" w:rsidP="00EC4FB5">
            <w:pPr>
              <w:jc w:val="both"/>
              <w:rPr>
                <w:b/>
                <w:bCs/>
                <w:lang w:eastAsia="lt-LT"/>
              </w:rPr>
            </w:pPr>
          </w:p>
        </w:tc>
        <w:tc>
          <w:tcPr>
            <w:tcW w:w="4962" w:type="dxa"/>
          </w:tcPr>
          <w:p w14:paraId="0B0647E0" w14:textId="3FCA6B61" w:rsidR="00EC4FB5" w:rsidRPr="00603B3A" w:rsidRDefault="00EC4FB5" w:rsidP="00EC4FB5">
            <w:pPr>
              <w:jc w:val="both"/>
              <w:rPr>
                <w:rStyle w:val="Style2"/>
                <w:sz w:val="24"/>
              </w:rPr>
            </w:pPr>
            <w:r w:rsidRPr="009F635A">
              <w:t>2016 m. vasario 2 d.</w:t>
            </w:r>
          </w:p>
        </w:tc>
      </w:tr>
      <w:tr w:rsidR="00EC4FB5" w:rsidRPr="00603B3A" w14:paraId="1B1B4B2F" w14:textId="77777777" w:rsidTr="00A5391E">
        <w:trPr>
          <w:trHeight w:val="1396"/>
        </w:trPr>
        <w:tc>
          <w:tcPr>
            <w:tcW w:w="632" w:type="dxa"/>
          </w:tcPr>
          <w:p w14:paraId="1B44DD31" w14:textId="77777777" w:rsidR="00EC4FB5" w:rsidRPr="00603B3A" w:rsidRDefault="00EC4FB5" w:rsidP="00EC4FB5">
            <w:pPr>
              <w:jc w:val="both"/>
              <w:rPr>
                <w:rFonts w:eastAsia="Arial"/>
                <w:b/>
                <w:bCs/>
              </w:rPr>
            </w:pPr>
            <w:r w:rsidRPr="00603B3A">
              <w:rPr>
                <w:rFonts w:eastAsia="Arial"/>
                <w:b/>
                <w:bCs/>
              </w:rPr>
              <w:t>1.3</w:t>
            </w:r>
          </w:p>
        </w:tc>
        <w:tc>
          <w:tcPr>
            <w:tcW w:w="3899" w:type="dxa"/>
          </w:tcPr>
          <w:p w14:paraId="3BE6564D" w14:textId="77777777" w:rsidR="00EC4FB5" w:rsidRPr="00603B3A" w:rsidRDefault="00EC4FB5" w:rsidP="00EC4FB5">
            <w:pPr>
              <w:pStyle w:val="NoSpacing"/>
              <w:jc w:val="both"/>
              <w:rPr>
                <w:rFonts w:ascii="Times New Roman" w:hAnsi="Times New Roman"/>
                <w:b/>
                <w:sz w:val="24"/>
                <w:szCs w:val="24"/>
                <w:shd w:val="clear" w:color="auto" w:fill="FFFFFF"/>
              </w:rPr>
            </w:pPr>
            <w:r w:rsidRPr="00603B3A">
              <w:rPr>
                <w:rFonts w:ascii="Times New Roman" w:hAnsi="Times New Roman"/>
                <w:b/>
                <w:sz w:val="24"/>
                <w:szCs w:val="24"/>
              </w:rPr>
              <w:t xml:space="preserve">Vaistinio preparato </w:t>
            </w:r>
            <w:r w:rsidRPr="00603B3A">
              <w:rPr>
                <w:rFonts w:ascii="Times New Roman" w:hAnsi="Times New Roman"/>
                <w:b/>
                <w:sz w:val="24"/>
                <w:szCs w:val="24"/>
                <w:shd w:val="clear" w:color="auto" w:fill="FFFFFF"/>
              </w:rPr>
              <w:t>registracijos teisinis pagrindas</w:t>
            </w:r>
          </w:p>
          <w:p w14:paraId="0E8995FA" w14:textId="77777777" w:rsidR="00EC4FB5" w:rsidRPr="00603B3A" w:rsidRDefault="00EC4FB5" w:rsidP="00EC4FB5">
            <w:pPr>
              <w:pStyle w:val="NoSpacing"/>
              <w:jc w:val="both"/>
              <w:rPr>
                <w:rFonts w:ascii="Times New Roman" w:hAnsi="Times New Roman"/>
                <w:b/>
                <w:bCs/>
                <w:sz w:val="24"/>
                <w:szCs w:val="24"/>
                <w:lang w:eastAsia="lt-LT"/>
              </w:rPr>
            </w:pPr>
            <w:r w:rsidRPr="00603B3A">
              <w:rPr>
                <w:rFonts w:ascii="Times New Roman" w:hAnsi="Times New Roman"/>
                <w:b/>
                <w:sz w:val="24"/>
                <w:szCs w:val="24"/>
                <w:shd w:val="clear" w:color="auto" w:fill="FFFFFF"/>
              </w:rPr>
              <w:t>(</w:t>
            </w:r>
            <w:r w:rsidRPr="00603B3A">
              <w:rPr>
                <w:rFonts w:ascii="Times New Roman" w:hAnsi="Times New Roman"/>
                <w:b/>
                <w:sz w:val="24"/>
                <w:szCs w:val="24"/>
              </w:rPr>
              <w:t>Direktyvos 2001/83/EB str.)</w:t>
            </w:r>
          </w:p>
        </w:tc>
        <w:tc>
          <w:tcPr>
            <w:tcW w:w="4962" w:type="dxa"/>
          </w:tcPr>
          <w:p w14:paraId="5386496B" w14:textId="77777777" w:rsidR="00EC4FB5" w:rsidRPr="009F635A" w:rsidRDefault="00000000" w:rsidP="00EC4FB5">
            <w:pPr>
              <w:jc w:val="both"/>
            </w:pPr>
            <w:sdt>
              <w:sdtPr>
                <w:rPr>
                  <w:rStyle w:val="Style2"/>
                  <w:sz w:val="24"/>
                </w:rPr>
                <w:id w:val="-366596377"/>
                <w15:color w:val="FFCC00"/>
                <w14:checkbox>
                  <w14:checked w14:val="1"/>
                  <w14:checkedState w14:val="2612" w14:font="MS Gothic"/>
                  <w14:uncheckedState w14:val="2610" w14:font="MS Gothic"/>
                </w14:checkbox>
              </w:sdtPr>
              <w:sdtContent>
                <w:r w:rsidR="00EC4FB5" w:rsidRPr="009F635A">
                  <w:rPr>
                    <w:rStyle w:val="Style2"/>
                    <w:rFonts w:ascii="Segoe UI Symbol" w:eastAsia="MS Gothic" w:hAnsi="Segoe UI Symbol" w:cs="Segoe UI Symbol"/>
                    <w:sz w:val="24"/>
                  </w:rPr>
                  <w:t>☒</w:t>
                </w:r>
              </w:sdtContent>
            </w:sdt>
            <w:r w:rsidR="00EC4FB5" w:rsidRPr="009F635A">
              <w:t xml:space="preserve"> 8.3 str. (pilna byla, pagrįsta savais tyrimais) </w:t>
            </w:r>
          </w:p>
          <w:p w14:paraId="61BB7E43" w14:textId="77777777" w:rsidR="00EC4FB5" w:rsidRPr="009F635A" w:rsidRDefault="00000000" w:rsidP="00EC4FB5">
            <w:pPr>
              <w:jc w:val="both"/>
            </w:pPr>
            <w:sdt>
              <w:sdtPr>
                <w:rPr>
                  <w:rStyle w:val="Style2"/>
                  <w:sz w:val="24"/>
                </w:rPr>
                <w:id w:val="675462298"/>
                <w15:color w:val="FFCC00"/>
                <w14:checkbox>
                  <w14:checked w14:val="0"/>
                  <w14:checkedState w14:val="2612" w14:font="MS Gothic"/>
                  <w14:uncheckedState w14:val="2610" w14:font="MS Gothic"/>
                </w14:checkbox>
              </w:sdtPr>
              <w:sdtContent>
                <w:r w:rsidR="00EC4FB5" w:rsidRPr="009F635A">
                  <w:rPr>
                    <w:rStyle w:val="Style2"/>
                    <w:rFonts w:ascii="Segoe UI Symbol" w:eastAsia="MS Gothic" w:hAnsi="Segoe UI Symbol" w:cs="Segoe UI Symbol"/>
                    <w:sz w:val="24"/>
                  </w:rPr>
                  <w:t>☐</w:t>
                </w:r>
              </w:sdtContent>
            </w:sdt>
            <w:r w:rsidR="00EC4FB5" w:rsidRPr="009F635A">
              <w:t xml:space="preserve"> 10 a str. (pripažintas medicininis vartojimas) </w:t>
            </w:r>
          </w:p>
          <w:p w14:paraId="70E7BBDC" w14:textId="77777777" w:rsidR="00EC4FB5" w:rsidRPr="009F635A" w:rsidRDefault="00000000" w:rsidP="00EC4FB5">
            <w:pPr>
              <w:jc w:val="both"/>
            </w:pPr>
            <w:sdt>
              <w:sdtPr>
                <w:rPr>
                  <w:rStyle w:val="Style2"/>
                  <w:sz w:val="24"/>
                </w:rPr>
                <w:id w:val="-1290435890"/>
                <w15:color w:val="FFCC00"/>
                <w14:checkbox>
                  <w14:checked w14:val="0"/>
                  <w14:checkedState w14:val="2612" w14:font="MS Gothic"/>
                  <w14:uncheckedState w14:val="2610" w14:font="MS Gothic"/>
                </w14:checkbox>
              </w:sdtPr>
              <w:sdtContent>
                <w:r w:rsidR="00EC4FB5" w:rsidRPr="009F635A">
                  <w:rPr>
                    <w:rStyle w:val="Style2"/>
                    <w:rFonts w:ascii="Segoe UI Symbol" w:eastAsia="MS Gothic" w:hAnsi="Segoe UI Symbol" w:cs="Segoe UI Symbol"/>
                    <w:sz w:val="24"/>
                  </w:rPr>
                  <w:t>☐</w:t>
                </w:r>
              </w:sdtContent>
            </w:sdt>
            <w:r w:rsidR="00EC4FB5" w:rsidRPr="009F635A">
              <w:t xml:space="preserve"> 10.1 str. (generinis)</w:t>
            </w:r>
          </w:p>
          <w:p w14:paraId="687CE99E" w14:textId="051ED9DE" w:rsidR="00EC4FB5" w:rsidRPr="00603B3A" w:rsidRDefault="00000000" w:rsidP="00EC4FB5">
            <w:pPr>
              <w:jc w:val="both"/>
              <w:rPr>
                <w:rStyle w:val="Style2"/>
                <w:sz w:val="24"/>
              </w:rPr>
            </w:pPr>
            <w:sdt>
              <w:sdtPr>
                <w:rPr>
                  <w:rStyle w:val="Style2"/>
                  <w:sz w:val="24"/>
                </w:rPr>
                <w:id w:val="-124545030"/>
                <w15:color w:val="FFCC00"/>
                <w14:checkbox>
                  <w14:checked w14:val="0"/>
                  <w14:checkedState w14:val="2612" w14:font="MS Gothic"/>
                  <w14:uncheckedState w14:val="2610" w14:font="MS Gothic"/>
                </w14:checkbox>
              </w:sdtPr>
              <w:sdtContent>
                <w:r w:rsidR="00EC4FB5" w:rsidRPr="009F635A">
                  <w:rPr>
                    <w:rStyle w:val="Style2"/>
                    <w:rFonts w:ascii="Segoe UI Symbol" w:eastAsia="MS Gothic" w:hAnsi="Segoe UI Symbol" w:cs="Segoe UI Symbol"/>
                    <w:sz w:val="24"/>
                  </w:rPr>
                  <w:t>☐</w:t>
                </w:r>
              </w:sdtContent>
            </w:sdt>
            <w:r w:rsidR="00EC4FB5" w:rsidRPr="009F635A">
              <w:t xml:space="preserve"> 10.3 str. (hibridinis)</w:t>
            </w:r>
          </w:p>
        </w:tc>
      </w:tr>
      <w:tr w:rsidR="00E605A2" w:rsidRPr="00603B3A" w14:paraId="4728720D" w14:textId="77777777" w:rsidTr="00A5391E">
        <w:trPr>
          <w:trHeight w:val="1011"/>
        </w:trPr>
        <w:tc>
          <w:tcPr>
            <w:tcW w:w="632" w:type="dxa"/>
          </w:tcPr>
          <w:p w14:paraId="01201C6D" w14:textId="77777777" w:rsidR="00E605A2" w:rsidRPr="00603B3A" w:rsidRDefault="00E605A2" w:rsidP="00A5391E">
            <w:pPr>
              <w:jc w:val="both"/>
              <w:rPr>
                <w:rFonts w:eastAsia="Arial"/>
                <w:b/>
                <w:bCs/>
              </w:rPr>
            </w:pPr>
            <w:r w:rsidRPr="00603B3A">
              <w:rPr>
                <w:rFonts w:eastAsia="Arial"/>
                <w:b/>
              </w:rPr>
              <w:t>1.4</w:t>
            </w:r>
          </w:p>
        </w:tc>
        <w:tc>
          <w:tcPr>
            <w:tcW w:w="3899" w:type="dxa"/>
          </w:tcPr>
          <w:p w14:paraId="47EF269D" w14:textId="77777777" w:rsidR="00E605A2" w:rsidRPr="00603B3A" w:rsidRDefault="00E605A2" w:rsidP="00A5391E">
            <w:pPr>
              <w:tabs>
                <w:tab w:val="left" w:pos="284"/>
              </w:tabs>
              <w:spacing w:line="280" w:lineRule="atLeast"/>
              <w:jc w:val="both"/>
              <w:rPr>
                <w:b/>
                <w:bCs/>
                <w:lang w:eastAsia="lt-LT"/>
              </w:rPr>
            </w:pPr>
            <w:r w:rsidRPr="00603B3A">
              <w:rPr>
                <w:b/>
                <w:bCs/>
                <w:lang w:eastAsia="lt-LT"/>
              </w:rPr>
              <w:t>Ar vaistinis preparatas įrašytas į Bendrijos retųjų vaistinių preparatų registrą?</w:t>
            </w:r>
          </w:p>
        </w:tc>
        <w:tc>
          <w:tcPr>
            <w:tcW w:w="4962" w:type="dxa"/>
          </w:tcPr>
          <w:p w14:paraId="3CA92489" w14:textId="77777777" w:rsidR="00E605A2" w:rsidRPr="00603B3A" w:rsidRDefault="00000000" w:rsidP="00A5391E">
            <w:pPr>
              <w:jc w:val="both"/>
            </w:pPr>
            <w:sdt>
              <w:sdtPr>
                <w:rPr>
                  <w:rStyle w:val="Style2"/>
                  <w:sz w:val="24"/>
                </w:rPr>
                <w:id w:val="1190730465"/>
                <w15:color w:val="FFCC00"/>
                <w14:checkbox>
                  <w14:checked w14:val="0"/>
                  <w14:checkedState w14:val="2612" w14:font="MS Gothic"/>
                  <w14:uncheckedState w14:val="2610" w14:font="MS Gothic"/>
                </w14:checkbox>
              </w:sdtPr>
              <w:sdtContent>
                <w:r w:rsidR="00E605A2" w:rsidRPr="00603B3A">
                  <w:rPr>
                    <w:rStyle w:val="Style2"/>
                    <w:rFonts w:ascii="Segoe UI Symbol" w:eastAsia="MS Gothic" w:hAnsi="Segoe UI Symbol" w:cs="Segoe UI Symbol"/>
                    <w:sz w:val="24"/>
                  </w:rPr>
                  <w:t>☐</w:t>
                </w:r>
              </w:sdtContent>
            </w:sdt>
            <w:r w:rsidR="00E605A2" w:rsidRPr="00603B3A">
              <w:t xml:space="preserve"> Taip       </w:t>
            </w:r>
            <w:r w:rsidR="00E605A2" w:rsidRPr="00603B3A">
              <w:rPr>
                <w:rStyle w:val="Style2"/>
                <w:sz w:val="24"/>
              </w:rPr>
              <w:t xml:space="preserve"> </w:t>
            </w:r>
            <w:sdt>
              <w:sdtPr>
                <w:rPr>
                  <w:rStyle w:val="Style2"/>
                  <w:sz w:val="24"/>
                </w:rPr>
                <w:id w:val="-1760283509"/>
                <w15:color w:val="FFCC00"/>
                <w14:checkbox>
                  <w14:checked w14:val="1"/>
                  <w14:checkedState w14:val="2612" w14:font="MS Gothic"/>
                  <w14:uncheckedState w14:val="2610" w14:font="MS Gothic"/>
                </w14:checkbox>
              </w:sdtPr>
              <w:sdtContent>
                <w:r w:rsidR="00E605A2">
                  <w:rPr>
                    <w:rStyle w:val="Style2"/>
                    <w:rFonts w:ascii="MS Gothic" w:eastAsia="MS Gothic" w:hAnsi="MS Gothic" w:hint="eastAsia"/>
                    <w:sz w:val="24"/>
                  </w:rPr>
                  <w:t>☒</w:t>
                </w:r>
              </w:sdtContent>
            </w:sdt>
            <w:r w:rsidR="00E605A2" w:rsidRPr="00603B3A">
              <w:t xml:space="preserve"> Ne</w:t>
            </w:r>
          </w:p>
          <w:p w14:paraId="3FEB765C" w14:textId="77777777" w:rsidR="00E605A2" w:rsidRPr="00603B3A" w:rsidRDefault="00E605A2" w:rsidP="00A5391E">
            <w:pPr>
              <w:jc w:val="both"/>
              <w:rPr>
                <w:rFonts w:eastAsia="Arial"/>
              </w:rPr>
            </w:pPr>
          </w:p>
        </w:tc>
      </w:tr>
      <w:tr w:rsidR="00E605A2" w:rsidRPr="00603B3A" w14:paraId="00C71896" w14:textId="77777777" w:rsidTr="00A5391E">
        <w:trPr>
          <w:trHeight w:val="1011"/>
        </w:trPr>
        <w:tc>
          <w:tcPr>
            <w:tcW w:w="632" w:type="dxa"/>
          </w:tcPr>
          <w:p w14:paraId="75AC3343" w14:textId="77777777" w:rsidR="00E605A2" w:rsidRPr="00603B3A" w:rsidRDefault="00E605A2" w:rsidP="00A5391E">
            <w:pPr>
              <w:jc w:val="both"/>
              <w:rPr>
                <w:rFonts w:eastAsia="Arial"/>
                <w:b/>
              </w:rPr>
            </w:pPr>
            <w:r w:rsidRPr="00603B3A">
              <w:rPr>
                <w:rFonts w:eastAsia="Arial"/>
                <w:b/>
                <w:bCs/>
              </w:rPr>
              <w:t>1.5</w:t>
            </w:r>
          </w:p>
        </w:tc>
        <w:tc>
          <w:tcPr>
            <w:tcW w:w="3899" w:type="dxa"/>
          </w:tcPr>
          <w:p w14:paraId="6A3789AC" w14:textId="77777777" w:rsidR="00E605A2" w:rsidRPr="00603B3A" w:rsidRDefault="00E605A2" w:rsidP="00A5391E">
            <w:pPr>
              <w:tabs>
                <w:tab w:val="left" w:pos="284"/>
              </w:tabs>
              <w:spacing w:line="280" w:lineRule="atLeast"/>
              <w:jc w:val="both"/>
              <w:rPr>
                <w:b/>
                <w:bCs/>
                <w:lang w:eastAsia="lt-LT"/>
              </w:rPr>
            </w:pPr>
            <w:r w:rsidRPr="00603B3A">
              <w:rPr>
                <w:b/>
                <w:bCs/>
                <w:lang w:eastAsia="lt-LT"/>
              </w:rPr>
              <w:t>Ar atliktas bendras klinikinis vertinimas</w:t>
            </w:r>
          </w:p>
          <w:p w14:paraId="6FA980E5" w14:textId="77777777" w:rsidR="00E605A2" w:rsidRPr="00603B3A" w:rsidRDefault="00E605A2" w:rsidP="00A5391E">
            <w:pPr>
              <w:tabs>
                <w:tab w:val="left" w:pos="284"/>
              </w:tabs>
              <w:spacing w:line="280" w:lineRule="atLeast"/>
              <w:jc w:val="both"/>
              <w:rPr>
                <w:b/>
                <w:bCs/>
                <w:lang w:eastAsia="lt-LT"/>
              </w:rPr>
            </w:pPr>
            <w:r w:rsidRPr="00603B3A">
              <w:rPr>
                <w:b/>
                <w:bCs/>
                <w:lang w:eastAsia="lt-LT"/>
              </w:rPr>
              <w:t>(Europos Parlamento ir Tarybos reglamentas (ES) 2021/2282)</w:t>
            </w:r>
          </w:p>
        </w:tc>
        <w:tc>
          <w:tcPr>
            <w:tcW w:w="4962" w:type="dxa"/>
          </w:tcPr>
          <w:p w14:paraId="54C2C33B" w14:textId="77777777" w:rsidR="00E605A2" w:rsidRPr="00603B3A" w:rsidRDefault="00000000" w:rsidP="00A5391E">
            <w:pPr>
              <w:jc w:val="both"/>
            </w:pPr>
            <w:sdt>
              <w:sdtPr>
                <w:rPr>
                  <w:rStyle w:val="Style2"/>
                  <w:sz w:val="24"/>
                </w:rPr>
                <w:id w:val="-1171564470"/>
                <w15:color w:val="FFCC00"/>
                <w14:checkbox>
                  <w14:checked w14:val="0"/>
                  <w14:checkedState w14:val="2612" w14:font="MS Gothic"/>
                  <w14:uncheckedState w14:val="2610" w14:font="MS Gothic"/>
                </w14:checkbox>
              </w:sdtPr>
              <w:sdtContent>
                <w:r w:rsidR="00E605A2" w:rsidRPr="00603B3A">
                  <w:rPr>
                    <w:rStyle w:val="Style2"/>
                    <w:rFonts w:ascii="Segoe UI Symbol" w:eastAsia="MS Gothic" w:hAnsi="Segoe UI Symbol" w:cs="Segoe UI Symbol"/>
                    <w:sz w:val="24"/>
                  </w:rPr>
                  <w:t>☐</w:t>
                </w:r>
              </w:sdtContent>
            </w:sdt>
            <w:r w:rsidR="00E605A2" w:rsidRPr="00603B3A">
              <w:t xml:space="preserve"> Taip       </w:t>
            </w:r>
            <w:r w:rsidR="00E605A2" w:rsidRPr="00603B3A">
              <w:rPr>
                <w:rStyle w:val="Style2"/>
                <w:sz w:val="24"/>
              </w:rPr>
              <w:t xml:space="preserve"> </w:t>
            </w:r>
            <w:sdt>
              <w:sdtPr>
                <w:rPr>
                  <w:rStyle w:val="Style2"/>
                  <w:sz w:val="24"/>
                </w:rPr>
                <w:id w:val="1448122567"/>
                <w15:color w:val="FFCC00"/>
                <w14:checkbox>
                  <w14:checked w14:val="1"/>
                  <w14:checkedState w14:val="2612" w14:font="MS Gothic"/>
                  <w14:uncheckedState w14:val="2610" w14:font="MS Gothic"/>
                </w14:checkbox>
              </w:sdtPr>
              <w:sdtContent>
                <w:r w:rsidR="00E605A2">
                  <w:rPr>
                    <w:rStyle w:val="Style2"/>
                    <w:rFonts w:ascii="MS Gothic" w:eastAsia="MS Gothic" w:hAnsi="MS Gothic" w:hint="eastAsia"/>
                    <w:sz w:val="24"/>
                  </w:rPr>
                  <w:t>☒</w:t>
                </w:r>
              </w:sdtContent>
            </w:sdt>
            <w:r w:rsidR="00E605A2" w:rsidRPr="00603B3A">
              <w:t xml:space="preserve"> Ne</w:t>
            </w:r>
          </w:p>
          <w:p w14:paraId="4EC899F5" w14:textId="77777777" w:rsidR="00E605A2" w:rsidRPr="00603B3A" w:rsidRDefault="00E605A2" w:rsidP="00A5391E">
            <w:pPr>
              <w:jc w:val="both"/>
              <w:rPr>
                <w:rStyle w:val="Style2"/>
                <w:sz w:val="24"/>
              </w:rPr>
            </w:pPr>
          </w:p>
        </w:tc>
      </w:tr>
      <w:tr w:rsidR="00EC4FB5" w:rsidRPr="00603B3A" w14:paraId="78992EA4" w14:textId="77777777" w:rsidTr="00EC4FB5">
        <w:trPr>
          <w:trHeight w:val="77"/>
        </w:trPr>
        <w:tc>
          <w:tcPr>
            <w:tcW w:w="632" w:type="dxa"/>
          </w:tcPr>
          <w:p w14:paraId="7106D807" w14:textId="77777777" w:rsidR="00EC4FB5" w:rsidRPr="00603B3A" w:rsidRDefault="00EC4FB5" w:rsidP="00EC4FB5">
            <w:pPr>
              <w:jc w:val="both"/>
              <w:rPr>
                <w:rFonts w:eastAsia="Arial"/>
                <w:b/>
                <w:bCs/>
              </w:rPr>
            </w:pPr>
            <w:r w:rsidRPr="00603B3A">
              <w:rPr>
                <w:rFonts w:eastAsia="Arial"/>
                <w:b/>
                <w:bCs/>
              </w:rPr>
              <w:t>1.6</w:t>
            </w:r>
          </w:p>
        </w:tc>
        <w:tc>
          <w:tcPr>
            <w:tcW w:w="3899" w:type="dxa"/>
          </w:tcPr>
          <w:p w14:paraId="2E9A84D3" w14:textId="77777777" w:rsidR="00EC4FB5" w:rsidRPr="00603B3A" w:rsidRDefault="00EC4FB5" w:rsidP="00EC4FB5">
            <w:pPr>
              <w:jc w:val="both"/>
              <w:rPr>
                <w:b/>
                <w:bCs/>
                <w:lang w:eastAsia="lt-LT"/>
              </w:rPr>
            </w:pPr>
            <w:r w:rsidRPr="00603B3A">
              <w:rPr>
                <w:b/>
                <w:bCs/>
                <w:lang w:eastAsia="lt-LT"/>
              </w:rPr>
              <w:t xml:space="preserve">Teikiama kompensuoti terapinė indikacija </w:t>
            </w:r>
          </w:p>
          <w:p w14:paraId="78E65077" w14:textId="77777777" w:rsidR="00EC4FB5" w:rsidRDefault="00EC4FB5" w:rsidP="00EC4FB5">
            <w:pPr>
              <w:jc w:val="both"/>
              <w:rPr>
                <w:b/>
                <w:bCs/>
                <w:lang w:eastAsia="lt-LT"/>
              </w:rPr>
            </w:pPr>
          </w:p>
          <w:p w14:paraId="766D5171" w14:textId="77777777" w:rsidR="00EC4FB5" w:rsidRDefault="00EC4FB5" w:rsidP="00EC4FB5">
            <w:pPr>
              <w:jc w:val="both"/>
              <w:rPr>
                <w:b/>
                <w:bCs/>
                <w:lang w:eastAsia="lt-LT"/>
              </w:rPr>
            </w:pPr>
          </w:p>
          <w:p w14:paraId="5A7C76C0" w14:textId="77777777" w:rsidR="00EC4FB5" w:rsidRDefault="00EC4FB5" w:rsidP="00EC4FB5">
            <w:pPr>
              <w:jc w:val="both"/>
              <w:rPr>
                <w:b/>
                <w:bCs/>
                <w:lang w:eastAsia="lt-LT"/>
              </w:rPr>
            </w:pPr>
          </w:p>
          <w:p w14:paraId="21F4A189" w14:textId="77777777" w:rsidR="00EC4FB5" w:rsidRPr="00603B3A" w:rsidRDefault="00EC4FB5" w:rsidP="00EC4FB5">
            <w:pPr>
              <w:jc w:val="both"/>
              <w:rPr>
                <w:b/>
                <w:bCs/>
                <w:lang w:eastAsia="lt-LT"/>
              </w:rPr>
            </w:pPr>
          </w:p>
          <w:p w14:paraId="36A9DFD0" w14:textId="77777777" w:rsidR="00EC4FB5" w:rsidRPr="00603B3A" w:rsidRDefault="00EC4FB5" w:rsidP="00EC4FB5">
            <w:pPr>
              <w:jc w:val="both"/>
              <w:rPr>
                <w:b/>
                <w:bCs/>
                <w:lang w:eastAsia="lt-LT"/>
              </w:rPr>
            </w:pPr>
            <w:r w:rsidRPr="00603B3A">
              <w:rPr>
                <w:b/>
                <w:bCs/>
                <w:lang w:eastAsia="lt-LT"/>
              </w:rPr>
              <w:t>Kodas pagal TLK-10 AM</w:t>
            </w:r>
          </w:p>
        </w:tc>
        <w:tc>
          <w:tcPr>
            <w:tcW w:w="4962" w:type="dxa"/>
          </w:tcPr>
          <w:p w14:paraId="4EC94EFF" w14:textId="77777777" w:rsidR="00EC4FB5" w:rsidRPr="009F635A" w:rsidRDefault="00EC4FB5" w:rsidP="00EC4FB5">
            <w:pPr>
              <w:pStyle w:val="Tekstas"/>
              <w:spacing w:after="0"/>
              <w:rPr>
                <w:lang w:val="lt-LT" w:eastAsia="lt-LT"/>
              </w:rPr>
            </w:pPr>
            <w:r w:rsidRPr="009F635A">
              <w:rPr>
                <w:lang w:val="lt-LT" w:eastAsia="lt-LT"/>
              </w:rPr>
              <w:t>Suaugusių pacientų, sergančių vietiškai išplitusiu, neoperuotinu NSCLC, turinčių EGFR 19 egzono delecijų arba 21 egzono (L858R) substitucijos mutacijų, kurių liga neprogresavo chemospindulinio gydymo platinos pagrindu metu arba po jo, gydymui.</w:t>
            </w:r>
          </w:p>
          <w:p w14:paraId="79DEEF8F" w14:textId="6CF62E1B" w:rsidR="00EC4FB5" w:rsidRPr="00EC4FB5" w:rsidRDefault="00EC4FB5" w:rsidP="00EC4FB5">
            <w:pPr>
              <w:pStyle w:val="Tekstas"/>
              <w:spacing w:after="0"/>
              <w:rPr>
                <w:lang w:val="lt-LT" w:eastAsia="lt-LT"/>
              </w:rPr>
            </w:pPr>
            <w:r w:rsidRPr="009F635A">
              <w:rPr>
                <w:lang w:val="lt-LT" w:eastAsia="lt-LT"/>
              </w:rPr>
              <w:t>C34 - broncho ir plaučio piktybinis navikas</w:t>
            </w:r>
            <w:r>
              <w:rPr>
                <w:lang w:val="lt-LT" w:eastAsia="lt-LT"/>
              </w:rPr>
              <w:t>.</w:t>
            </w:r>
          </w:p>
        </w:tc>
      </w:tr>
      <w:tr w:rsidR="00EC4FB5" w:rsidRPr="00603B3A" w14:paraId="281FCE4A" w14:textId="77777777" w:rsidTr="00A5391E">
        <w:trPr>
          <w:trHeight w:val="378"/>
        </w:trPr>
        <w:tc>
          <w:tcPr>
            <w:tcW w:w="632" w:type="dxa"/>
          </w:tcPr>
          <w:p w14:paraId="279F46C9" w14:textId="77777777" w:rsidR="00EC4FB5" w:rsidRPr="00603B3A" w:rsidRDefault="00EC4FB5" w:rsidP="00EC4FB5">
            <w:pPr>
              <w:jc w:val="both"/>
              <w:rPr>
                <w:rFonts w:eastAsia="Arial"/>
                <w:b/>
                <w:bCs/>
              </w:rPr>
            </w:pPr>
            <w:r w:rsidRPr="00603B3A">
              <w:rPr>
                <w:rFonts w:eastAsia="Arial"/>
                <w:b/>
                <w:bCs/>
              </w:rPr>
              <w:lastRenderedPageBreak/>
              <w:t>1.7</w:t>
            </w:r>
          </w:p>
        </w:tc>
        <w:tc>
          <w:tcPr>
            <w:tcW w:w="3899" w:type="dxa"/>
          </w:tcPr>
          <w:p w14:paraId="246B5494" w14:textId="77777777" w:rsidR="00EC4FB5" w:rsidRPr="00603B3A" w:rsidRDefault="00EC4FB5" w:rsidP="00EC4FB5">
            <w:pPr>
              <w:jc w:val="both"/>
              <w:rPr>
                <w:b/>
                <w:bCs/>
                <w:u w:val="single"/>
                <w:lang w:eastAsia="lt-LT"/>
              </w:rPr>
            </w:pPr>
            <w:r w:rsidRPr="00603B3A">
              <w:rPr>
                <w:b/>
                <w:bCs/>
                <w:lang w:eastAsia="lt-LT"/>
              </w:rPr>
              <w:t xml:space="preserve">Teikiamos skyrimo sąlygos </w:t>
            </w:r>
          </w:p>
        </w:tc>
        <w:tc>
          <w:tcPr>
            <w:tcW w:w="4962" w:type="dxa"/>
          </w:tcPr>
          <w:p w14:paraId="44987726" w14:textId="355EDD04" w:rsidR="00EC4FB5" w:rsidRPr="00603B3A" w:rsidRDefault="00EC4FB5" w:rsidP="00EC4FB5">
            <w:pPr>
              <w:jc w:val="both"/>
            </w:pPr>
            <w:r w:rsidRPr="009F635A">
              <w:rPr>
                <w:lang w:eastAsia="lt-LT"/>
              </w:rPr>
              <w:t>Neteikiamos.</w:t>
            </w:r>
          </w:p>
        </w:tc>
      </w:tr>
      <w:tr w:rsidR="00E605A2" w:rsidRPr="00603B3A" w14:paraId="1A974A1A" w14:textId="77777777" w:rsidTr="00A5391E">
        <w:trPr>
          <w:trHeight w:val="378"/>
        </w:trPr>
        <w:tc>
          <w:tcPr>
            <w:tcW w:w="632" w:type="dxa"/>
          </w:tcPr>
          <w:p w14:paraId="6739AC6C" w14:textId="77777777" w:rsidR="00E605A2" w:rsidRPr="00603B3A" w:rsidRDefault="00E605A2" w:rsidP="00A5391E">
            <w:pPr>
              <w:jc w:val="both"/>
              <w:rPr>
                <w:rFonts w:eastAsia="Arial"/>
                <w:b/>
                <w:bCs/>
              </w:rPr>
            </w:pPr>
            <w:r w:rsidRPr="00603B3A">
              <w:rPr>
                <w:rFonts w:eastAsia="Arial"/>
                <w:b/>
                <w:bCs/>
              </w:rPr>
              <w:t>1.8</w:t>
            </w:r>
          </w:p>
        </w:tc>
        <w:tc>
          <w:tcPr>
            <w:tcW w:w="3899" w:type="dxa"/>
          </w:tcPr>
          <w:p w14:paraId="2A988646" w14:textId="77777777" w:rsidR="00E605A2" w:rsidRPr="00603B3A" w:rsidRDefault="00E605A2" w:rsidP="00A5391E">
            <w:pPr>
              <w:jc w:val="both"/>
              <w:rPr>
                <w:b/>
                <w:bCs/>
                <w:lang w:eastAsia="lt-LT"/>
              </w:rPr>
            </w:pPr>
            <w:r w:rsidRPr="00603B3A">
              <w:rPr>
                <w:b/>
                <w:bCs/>
                <w:lang w:eastAsia="lt-LT"/>
              </w:rPr>
              <w:t>Ekonominė analizė</w:t>
            </w:r>
          </w:p>
        </w:tc>
        <w:tc>
          <w:tcPr>
            <w:tcW w:w="4962" w:type="dxa"/>
          </w:tcPr>
          <w:p w14:paraId="3863F981" w14:textId="77777777" w:rsidR="00E605A2" w:rsidRPr="00603B3A" w:rsidRDefault="00000000" w:rsidP="00A5391E">
            <w:pPr>
              <w:jc w:val="both"/>
            </w:pPr>
            <w:sdt>
              <w:sdtPr>
                <w:rPr>
                  <w:rStyle w:val="Style2"/>
                  <w:sz w:val="24"/>
                </w:rPr>
                <w:id w:val="356323367"/>
                <w15:color w:val="FFCC00"/>
                <w14:checkbox>
                  <w14:checked w14:val="1"/>
                  <w14:checkedState w14:val="2612" w14:font="MS Gothic"/>
                  <w14:uncheckedState w14:val="2610" w14:font="MS Gothic"/>
                </w14:checkbox>
              </w:sdtPr>
              <w:sdtContent>
                <w:r w:rsidR="00E605A2">
                  <w:rPr>
                    <w:rStyle w:val="Style2"/>
                    <w:rFonts w:ascii="MS Gothic" w:eastAsia="MS Gothic" w:hAnsi="MS Gothic" w:hint="eastAsia"/>
                    <w:sz w:val="24"/>
                  </w:rPr>
                  <w:t>☒</w:t>
                </w:r>
              </w:sdtContent>
            </w:sdt>
            <w:r w:rsidR="00E605A2" w:rsidRPr="00603B3A">
              <w:t xml:space="preserve"> Kaštų naudingumo analizė</w:t>
            </w:r>
          </w:p>
          <w:p w14:paraId="6E67AE0A" w14:textId="77777777" w:rsidR="00E605A2" w:rsidRPr="00603B3A" w:rsidRDefault="00000000" w:rsidP="00A5391E">
            <w:pPr>
              <w:jc w:val="both"/>
            </w:pPr>
            <w:sdt>
              <w:sdtPr>
                <w:rPr>
                  <w:rStyle w:val="Style2"/>
                  <w:sz w:val="24"/>
                </w:rPr>
                <w:id w:val="-250506580"/>
                <w15:color w:val="FFCC00"/>
                <w14:checkbox>
                  <w14:checked w14:val="0"/>
                  <w14:checkedState w14:val="2612" w14:font="MS Gothic"/>
                  <w14:uncheckedState w14:val="2610" w14:font="MS Gothic"/>
                </w14:checkbox>
              </w:sdtPr>
              <w:sdtContent>
                <w:r w:rsidR="00E605A2" w:rsidRPr="00603B3A">
                  <w:rPr>
                    <w:rStyle w:val="Style2"/>
                    <w:rFonts w:ascii="Segoe UI Symbol" w:eastAsia="MS Gothic" w:hAnsi="Segoe UI Symbol" w:cs="Segoe UI Symbol"/>
                    <w:sz w:val="24"/>
                  </w:rPr>
                  <w:t>☐</w:t>
                </w:r>
              </w:sdtContent>
            </w:sdt>
            <w:r w:rsidR="00E605A2" w:rsidRPr="00603B3A">
              <w:t xml:space="preserve"> Kaštų mažinimo analizė</w:t>
            </w:r>
          </w:p>
          <w:p w14:paraId="22510E1E" w14:textId="3B53BA12" w:rsidR="00E605A2" w:rsidRPr="00603B3A" w:rsidRDefault="00000000" w:rsidP="00A5391E">
            <w:pPr>
              <w:jc w:val="both"/>
            </w:pPr>
            <w:sdt>
              <w:sdtPr>
                <w:rPr>
                  <w:rStyle w:val="Style2"/>
                  <w:sz w:val="24"/>
                </w:rPr>
                <w:id w:val="-1517455044"/>
                <w15:color w:val="FFCC00"/>
                <w14:checkbox>
                  <w14:checked w14:val="0"/>
                  <w14:checkedState w14:val="2612" w14:font="MS Gothic"/>
                  <w14:uncheckedState w14:val="2610" w14:font="MS Gothic"/>
                </w14:checkbox>
              </w:sdtPr>
              <w:sdtContent>
                <w:r w:rsidR="00E605A2" w:rsidRPr="00603B3A">
                  <w:rPr>
                    <w:rStyle w:val="Style2"/>
                    <w:rFonts w:ascii="Segoe UI Symbol" w:eastAsia="MS Gothic" w:hAnsi="Segoe UI Symbol" w:cs="Segoe UI Symbol"/>
                    <w:sz w:val="24"/>
                  </w:rPr>
                  <w:t>☐</w:t>
                </w:r>
              </w:sdtContent>
            </w:sdt>
            <w:r w:rsidR="00E605A2" w:rsidRPr="00603B3A">
              <w:t xml:space="preserve"> Neteikiama</w:t>
            </w:r>
          </w:p>
        </w:tc>
      </w:tr>
      <w:bookmarkEnd w:id="1"/>
    </w:tbl>
    <w:p w14:paraId="39027993" w14:textId="77777777" w:rsidR="00E605A2" w:rsidRPr="00603B3A" w:rsidRDefault="00E605A2" w:rsidP="00E605A2">
      <w:pPr>
        <w:tabs>
          <w:tab w:val="left" w:pos="426"/>
        </w:tabs>
        <w:jc w:val="both"/>
        <w:rPr>
          <w:rFonts w:eastAsia="Arial"/>
          <w:b/>
          <w:bCs/>
        </w:rPr>
      </w:pPr>
    </w:p>
    <w:p w14:paraId="73290081" w14:textId="79D7455E" w:rsidR="00E605A2" w:rsidRDefault="00E605A2" w:rsidP="00EC4FB5">
      <w:pPr>
        <w:spacing w:line="360" w:lineRule="auto"/>
        <w:rPr>
          <w:b/>
          <w:bCs/>
          <w:caps/>
        </w:rPr>
      </w:pPr>
      <w:r>
        <w:rPr>
          <w:b/>
          <w:bCs/>
          <w:caps/>
        </w:rPr>
        <w:br w:type="page"/>
      </w:r>
    </w:p>
    <w:p w14:paraId="5055E8A8" w14:textId="028C0486" w:rsidR="002E6F80" w:rsidRPr="00334F18" w:rsidRDefault="001E0B2D" w:rsidP="00EC4FB5">
      <w:pPr>
        <w:pStyle w:val="ListParagraph"/>
        <w:numPr>
          <w:ilvl w:val="0"/>
          <w:numId w:val="12"/>
        </w:numPr>
        <w:tabs>
          <w:tab w:val="left" w:pos="567"/>
        </w:tabs>
        <w:spacing w:line="360" w:lineRule="auto"/>
        <w:ind w:hanging="720"/>
        <w:rPr>
          <w:b/>
          <w:bCs/>
          <w:caps/>
        </w:rPr>
      </w:pPr>
      <w:r w:rsidRPr="00334F18">
        <w:rPr>
          <w:b/>
          <w:bCs/>
          <w:caps/>
        </w:rPr>
        <w:lastRenderedPageBreak/>
        <w:t xml:space="preserve"> </w:t>
      </w:r>
      <w:r w:rsidR="00CC7832" w:rsidRPr="00334F18">
        <w:rPr>
          <w:b/>
          <w:bCs/>
          <w:caps/>
        </w:rPr>
        <w:t>Klinikinio vertinimo a</w:t>
      </w:r>
      <w:r w:rsidR="00D4485B" w:rsidRPr="00334F18">
        <w:rPr>
          <w:b/>
          <w:bCs/>
          <w:caps/>
        </w:rPr>
        <w:t>pibendrinimas</w:t>
      </w:r>
    </w:p>
    <w:p w14:paraId="475EAF84" w14:textId="77777777" w:rsidR="00EB3D2A" w:rsidRDefault="00EB3D2A" w:rsidP="00EC4FB5">
      <w:pPr>
        <w:tabs>
          <w:tab w:val="left" w:pos="284"/>
        </w:tabs>
        <w:rPr>
          <w:bCs/>
          <w:lang w:eastAsia="lt-LT"/>
        </w:rPr>
      </w:pPr>
    </w:p>
    <w:p w14:paraId="23BABB8C" w14:textId="77777777" w:rsidR="00EC4FB5" w:rsidRPr="009F635A" w:rsidRDefault="00EC4FB5" w:rsidP="007C3789">
      <w:pPr>
        <w:spacing w:line="276" w:lineRule="auto"/>
        <w:ind w:firstLine="645"/>
        <w:jc w:val="both"/>
      </w:pPr>
      <w:r w:rsidRPr="009F635A">
        <w:t>Plaučių vėžys (PV) (broncho ir plaučio piktybinis navikas, ligos kodas pagal TLK-10-AM C34) tai plaučių piktybinis navikas. PV yra nekontroliuojamas ląstelių dauginimasis plaučių audiniuose. Tai gali sąlygoti vėžinio audinio metastazę į gretimus organus. PV yra dažniausia mirties nuo vėžio priežastis.</w:t>
      </w:r>
      <w:r>
        <w:t xml:space="preserve"> </w:t>
      </w:r>
      <w:r w:rsidRPr="009F635A">
        <w:t>Išskiriamos dvi pagrindinės PV grupės: nesmulkių ląstelių plaučių vėžys (NSLPV) ir smulkių ląstelių PV. NSLPV yra dažniausia PV rūšis, sudaranti apie 85% visų PV atvejų.</w:t>
      </w:r>
    </w:p>
    <w:p w14:paraId="4DB9BB4E" w14:textId="77777777" w:rsidR="00EC4FB5" w:rsidRPr="009F635A" w:rsidRDefault="00EC4FB5" w:rsidP="007C3789">
      <w:pPr>
        <w:spacing w:line="276" w:lineRule="auto"/>
        <w:ind w:firstLine="720"/>
        <w:jc w:val="both"/>
      </w:pPr>
      <w:r w:rsidRPr="009F635A">
        <w:t>Lietuvoje Higienos instituto sveikatos statistinių duomenų portalo duomenimis 2023 m. buvo 4756 sergantys bronchų ir plaučių vėžiu (C34; ligotumas), diagnozuota 2196 nauji brochų ir plaučių (C34) vėžio atvejai ir 1076 mirė nuo trachėjos, bronchų ir plaučių vėžio (C33-C34).</w:t>
      </w:r>
    </w:p>
    <w:p w14:paraId="69538A2E" w14:textId="77777777" w:rsidR="00EC4FB5" w:rsidRPr="009F635A" w:rsidRDefault="00EC4FB5" w:rsidP="007C3789">
      <w:pPr>
        <w:spacing w:line="276" w:lineRule="auto"/>
        <w:ind w:firstLine="645"/>
        <w:jc w:val="both"/>
      </w:pPr>
      <w:r w:rsidRPr="009F635A">
        <w:t>Molekulinių pažaidų nustatymas vis plačiau taikomas molekulinei PV diagnostikai. Nustatyta, kad molekulinės pažaidos yra tiesiogiai susijusios su plaučių kancerogeneze, jos gali daryti įtaką klinikinei ligos eigai, lemti gydymo veiksmingumą. PV molekulinio genetinio tyrimo gairėse rekomenduojama ištirti EGFR geno mutacijas, ALK geno translokacijas ir ROS1 geno translokacijas visiems ligoniams</w:t>
      </w:r>
      <w:r w:rsidRPr="009F635A">
        <w:rPr>
          <w:color w:val="000000"/>
          <w:szCs w:val="20"/>
        </w:rPr>
        <w:t>.</w:t>
      </w:r>
    </w:p>
    <w:p w14:paraId="44E907AA" w14:textId="77777777" w:rsidR="00EC4FB5" w:rsidRPr="009F635A" w:rsidRDefault="00EC4FB5" w:rsidP="007C3789">
      <w:pPr>
        <w:spacing w:line="276" w:lineRule="auto"/>
        <w:ind w:firstLine="645"/>
        <w:jc w:val="both"/>
        <w:rPr>
          <w:color w:val="000000"/>
          <w:szCs w:val="20"/>
        </w:rPr>
      </w:pPr>
      <w:r w:rsidRPr="009F635A">
        <w:t xml:space="preserve">Pacientų su NSLPV tarpe EGFR mutacijos nustatomos 10-30% pacientų. EGFR mutacijų dažnis Europoje remiantis MELOSKY metaanalizės duomenimis yra 12,8%. </w:t>
      </w:r>
      <w:r w:rsidRPr="009F635A">
        <w:rPr>
          <w:color w:val="000000"/>
          <w:szCs w:val="20"/>
        </w:rPr>
        <w:t xml:space="preserve">EGFR mutacijų dažnis Lietuvoje koreliuoja su kitų tyrimų duomenimis Europoje. Lietuvoje atlikta retrospektyvinė kohortinė duomenų analizė parodė, kad EGFR mutacijos nustatytos apie 14% visų pacientų.Lietuvoje EGFR mutacijos nustatytos apie 10% visų pacientų su NSLPV. </w:t>
      </w:r>
      <w:r w:rsidRPr="009F635A">
        <w:t xml:space="preserve">Dažniausiai </w:t>
      </w:r>
      <w:r w:rsidRPr="009F635A">
        <w:rPr>
          <w:color w:val="000000"/>
          <w:szCs w:val="20"/>
        </w:rPr>
        <w:t>tai yra 19 egzono delecija (mutacija, dėl kurios netenkama dalies chromosomos arba pakinta DNR seka) ar 21 egzono L858R taškinė mutacija. EGFR geno mutacijos gali būti randamos tiriant pirminio naviko ar metastazės audinį, periferinį kraują ar serozinį skystį (pleuros, perikardo, likvoro). NSLPV sergančių pacientų su EGFR geno mutacijomis tarpe apie 45-49% pacientų turi mutacijas (delecijas) 19 egzone ir 35-40 % 21 egzone (L858R substitucija).</w:t>
      </w:r>
    </w:p>
    <w:p w14:paraId="3AD7CF63" w14:textId="77777777" w:rsidR="00EC4FB5" w:rsidRPr="000E6BA3" w:rsidRDefault="00EC4FB5" w:rsidP="007C3789">
      <w:pPr>
        <w:spacing w:line="276" w:lineRule="auto"/>
        <w:ind w:firstLine="645"/>
        <w:jc w:val="both"/>
      </w:pPr>
      <w:r w:rsidRPr="009F635A">
        <w:t xml:space="preserve">Pacientai su vietiškai išplitusiu neoperuotinu EGFR mutuotu NSLPV turi didelę metastazavimo riziką. Apie 70% pacientų su neoperuotinu III stadijos EGFR mutuotu NSLPV patiria ligos atsinaujinimą ar metastazavimą per 2 metus nuo chemospindulinio gydymo, pusei iš jų progresavimo metu išsivysto tolimosios metastazės. Tyrimų rezultatai rodo, kad EGFR mutacijos lemia blogesnę PFS medianą lyginant su laukinio tipo EGFR navikais (rizikos santykis [RS] = 1,68-3,23,0p&lt;0,05) ir didesnę tolimųjų metastazių riziką. III stadijos NSLPV progresavimas į metastatinę ligą siejamas su 5 metų išgyvenamumo dažnio dramatišku sumažėjimu (35,9% vs 9,2%). </w:t>
      </w:r>
      <w:r w:rsidRPr="000E6BA3">
        <w:t>CNS yra būdinga tolimųjų metastazių vieta neoperuotino III stadijos NSLPV populiacijai, ten susidaro iki 70% tolimųjų metastazių. NSLPV sergantiems pacientams su EGFR mutacijomis metastazių atsiradimo CNS rizika yra beveik dvigubai didesnė lyginant su nemutavusiu (70% vs 38%), kas lemia greitą gyvenimo kokybės mažėjimą.</w:t>
      </w:r>
    </w:p>
    <w:p w14:paraId="043BDF83" w14:textId="77777777" w:rsidR="00EC4FB5" w:rsidRPr="000E6BA3" w:rsidRDefault="00EC4FB5" w:rsidP="007C3789">
      <w:pPr>
        <w:spacing w:line="276" w:lineRule="auto"/>
        <w:ind w:firstLine="645"/>
        <w:jc w:val="both"/>
        <w:rPr>
          <w:color w:val="000000"/>
        </w:rPr>
      </w:pPr>
      <w:r w:rsidRPr="000E6BA3">
        <w:rPr>
          <w:color w:val="000000"/>
        </w:rPr>
        <w:t xml:space="preserve">Standartinė terapija pacientams su neoperuotinu vietiškai išplitusiu NSLPV yra chemospindulinis gydymas (platinos preparatų pagrindu). Jei liga neprogresuoja, gali būti skiriamas durvalumabas, jei PD-L1 raiška lygi 1 proc. ar didesnė, bet esant EGFR mutacijai specifinio gydymo nebuvo. </w:t>
      </w:r>
    </w:p>
    <w:p w14:paraId="07FA5034" w14:textId="77777777" w:rsidR="00EC4FB5" w:rsidRPr="000E6BA3" w:rsidRDefault="00EC4FB5" w:rsidP="007C3789">
      <w:pPr>
        <w:spacing w:line="276" w:lineRule="auto"/>
        <w:ind w:firstLine="645"/>
        <w:jc w:val="both"/>
        <w:rPr>
          <w:color w:val="000000"/>
        </w:rPr>
      </w:pPr>
      <w:r w:rsidRPr="000E6BA3">
        <w:rPr>
          <w:color w:val="000000"/>
        </w:rPr>
        <w:t xml:space="preserve">Paraiškos vertinimo metu Lietuvos Respublikos sveikatos apsaugos ministro 2000 m. sausio 28 d. įsakyme Nr.49 „Dėl kompensuojamųjų vaistų sąrašų patvirtinimo“ pateiktame ligų ir kompensuojamųjų vaistų joms gydyti sąraše (toliau – A sąrašas) bei Lietuvos Respublikos sveikatos apsaugos ministro 2014 m. rugpjūčio 28 d. įsakyme Nr. V-910 „Dėl centralizuotai apmokamų vaistinių preparatų sąrašo patvirtinimo“ pateiktame centralizuotai apmokamų vaistinių preparatų </w:t>
      </w:r>
      <w:r w:rsidRPr="000E6BA3">
        <w:rPr>
          <w:color w:val="000000"/>
        </w:rPr>
        <w:lastRenderedPageBreak/>
        <w:t>sąraše (toliau - Centralizuotai apmokamų vaistinių preparatų sąrašas) kompensuojamųjų vaistų sąraše šiai indikacijai kompensuojamų vaistinių preparatų nėra.</w:t>
      </w:r>
    </w:p>
    <w:p w14:paraId="28E3836E" w14:textId="77777777" w:rsidR="00EC4FB5" w:rsidRPr="000E6BA3" w:rsidRDefault="00EC4FB5" w:rsidP="007C3789">
      <w:pPr>
        <w:spacing w:line="276" w:lineRule="auto"/>
        <w:ind w:firstLine="645"/>
        <w:jc w:val="both"/>
      </w:pPr>
      <w:r w:rsidRPr="000E6BA3">
        <w:t xml:space="preserve">ESMO 2025 m. paskelbtose NSLPV gydymo rekomendacijose nurodoma, kad </w:t>
      </w:r>
      <w:r w:rsidRPr="000E6BA3">
        <w:rPr>
          <w:i/>
          <w:iCs/>
        </w:rPr>
        <w:t xml:space="preserve">Osimertinibo konsolidacinis gydymas rekomenduojamas pacientams, sergantiems EGFR mutacija teigiamu, nerezektabiliu III stadijos NSLPV, kuriems po kartu taikytos chemospindulinės terapijos liga neprogresavo. </w:t>
      </w:r>
      <w:r w:rsidRPr="000E6BA3">
        <w:t xml:space="preserve">Remiantis Jungtinių Amerikos Valstijų Nacionalinėmis vispusiško vėžio tinklo 2026 m. (angl. </w:t>
      </w:r>
      <w:r w:rsidRPr="000E6BA3">
        <w:rPr>
          <w:i/>
          <w:iCs/>
        </w:rPr>
        <w:t>National Comprehensive Cancer Network</w:t>
      </w:r>
      <w:r w:rsidRPr="000E6BA3">
        <w:t>) PV diagnostikos ir gydymo gairėmis, prašomai kompensuoti indikacijos daliai – suaugusių pacientų, sergančių vietiškai išplitusiu, neoperuotinu NSCLC, turinčių EGFR 19 egzono delecijų arba 21 egzono (L858R) substitucijos mutacijų, kurių liga neprogresavo chemospindulinio gydymo platinos pagrindu metu arba po jo, gydymui, osimertinibas yra rekomenduojamas (category 1).</w:t>
      </w:r>
    </w:p>
    <w:p w14:paraId="3B35D0B4" w14:textId="77777777" w:rsidR="00EC4FB5" w:rsidRPr="000E6BA3" w:rsidRDefault="00EC4FB5" w:rsidP="007C3789">
      <w:pPr>
        <w:tabs>
          <w:tab w:val="left" w:pos="426"/>
        </w:tabs>
        <w:spacing w:line="276" w:lineRule="auto"/>
        <w:jc w:val="both"/>
        <w:rPr>
          <w:rFonts w:eastAsia="Arial"/>
        </w:rPr>
      </w:pPr>
      <w:r w:rsidRPr="000E6BA3">
        <w:rPr>
          <w:rFonts w:eastAsia="Arial"/>
        </w:rPr>
        <w:tab/>
      </w:r>
      <w:r w:rsidRPr="000E6BA3">
        <w:rPr>
          <w:rFonts w:eastAsia="Arial"/>
        </w:rPr>
        <w:tab/>
        <w:t>Osimertinibas yra tirozinkinazės inhibitorius (TKI). Jis laikinai slopina epiderminio augimo faktoriaus receptorius (EGFR), turinčius jautrumo mutacijų (EGFRm) ir atsparumo TKI mutaciją T790M.</w:t>
      </w:r>
    </w:p>
    <w:p w14:paraId="1A9456A5" w14:textId="77777777" w:rsidR="00EC4FB5" w:rsidRPr="000E6BA3" w:rsidRDefault="00EC4FB5" w:rsidP="007C3789">
      <w:pPr>
        <w:tabs>
          <w:tab w:val="left" w:pos="426"/>
        </w:tabs>
        <w:spacing w:line="276" w:lineRule="auto"/>
        <w:jc w:val="both"/>
        <w:rPr>
          <w:szCs w:val="20"/>
          <w:lang w:eastAsia="lt-LT"/>
        </w:rPr>
      </w:pPr>
      <w:r w:rsidRPr="000E6BA3">
        <w:rPr>
          <w:rFonts w:eastAsia="Arial"/>
        </w:rPr>
        <w:tab/>
      </w:r>
      <w:r w:rsidRPr="000E6BA3">
        <w:rPr>
          <w:rFonts w:eastAsia="Arial"/>
        </w:rPr>
        <w:tab/>
        <w:t xml:space="preserve">Pagal Respublikos sveikatos apsaugos ministro 2000 m. sausio 28 d. įsakyme Nr. 49 „Dėl kompensuojamųjų vaistų sąrašų patvirtinimo“ pateiktą ligų ir kompensuojamųjų vaistų joms gydyti sąrašą palyginamasis gydymas atitinka Lietuvos Respublikos sveikatos apsaugos ministro 2002 m. balandžio 5 d. įsakymo Nr. V-159 „Dėl vaistinių preparatų ir medicinos pagalbos priemonių įrašymo į kompensavimo sąrašus ir jų keitimo tvarkos aprašo patvirtinimo“ 116.1 punkto, nes </w:t>
      </w:r>
      <w:r w:rsidRPr="000E6BA3">
        <w:rPr>
          <w:lang w:eastAsia="lt-LT"/>
        </w:rPr>
        <w:t>suaugusių pacientų, sergančių vietiškai išplitusiu, neoperuotinu NSCLC, turinčių EGFR 19 egzono delecijų arba 21 egzono (L858R) substitucijos mutacijų, kurių liga neprogresavo chemospindulinio gydymo platinos pagrindu metu arba po jo, gydymui, stebėjimas yra</w:t>
      </w:r>
      <w:r w:rsidRPr="000E6BA3">
        <w:rPr>
          <w:rFonts w:eastAsia="Arial"/>
        </w:rPr>
        <w:t xml:space="preserve"> „</w:t>
      </w:r>
      <w:r w:rsidRPr="000E6BA3">
        <w:rPr>
          <w:rFonts w:eastAsia="Arial"/>
          <w:i/>
          <w:iCs/>
        </w:rPr>
        <w:t>paraiškos vertinimo metu atitinkantis įprastą klinikinę praktiką ir pagrįstai laikomas atitinkančiu pripažintas konkrečios ligos gydymo gaires</w:t>
      </w:r>
      <w:r w:rsidRPr="000E6BA3">
        <w:rPr>
          <w:rFonts w:eastAsia="Arial"/>
        </w:rPr>
        <w:t>“.</w:t>
      </w:r>
    </w:p>
    <w:p w14:paraId="13688792" w14:textId="77777777" w:rsidR="00EC4FB5" w:rsidRPr="000E6BA3" w:rsidRDefault="00EC4FB5" w:rsidP="007C3789">
      <w:pPr>
        <w:tabs>
          <w:tab w:val="left" w:pos="426"/>
        </w:tabs>
        <w:spacing w:line="276" w:lineRule="auto"/>
        <w:jc w:val="both"/>
        <w:rPr>
          <w:rFonts w:eastAsia="Arial"/>
          <w:i/>
          <w:iCs/>
        </w:rPr>
      </w:pPr>
      <w:r w:rsidRPr="000E6BA3">
        <w:rPr>
          <w:rFonts w:eastAsia="Arial"/>
          <w:i/>
          <w:iCs/>
        </w:rPr>
        <w:t>Tiesioginis palyginamasis tyrimas</w:t>
      </w:r>
    </w:p>
    <w:p w14:paraId="2C25A1B0" w14:textId="77777777" w:rsidR="00EC4FB5" w:rsidRPr="000E6BA3" w:rsidRDefault="00EC4FB5" w:rsidP="007C3789">
      <w:pPr>
        <w:tabs>
          <w:tab w:val="left" w:pos="426"/>
        </w:tabs>
        <w:spacing w:line="276" w:lineRule="auto"/>
        <w:jc w:val="both"/>
      </w:pPr>
      <w:r w:rsidRPr="000E6BA3">
        <w:tab/>
      </w:r>
      <w:r w:rsidRPr="000E6BA3">
        <w:tab/>
        <w:t>LAURA – tai atsitiktinių imčių, dvigubai koduotas, placebu kontroliuojamas III fazės tyrimas, kuriame vertintas osimertinibo veiksmingumas ir saugumas suaugusiems pacientams, sergantiems EGFR mutacija teigiamu, vietiškai išplitusiu, neoperuotinu NSLPV, kurių liga neprogresavo radikalaus chemospindulinio gydymo platinos pagrindu metu arba po jo. Tyrimo pacientų populiacija atitinka Lietuvos pacientų populiaciją, kuriai gydymas galėtų būti skiriamas pagal numatomą osimertinibo kompensavimo indikaciją.</w:t>
      </w:r>
    </w:p>
    <w:p w14:paraId="3AB8B8E0" w14:textId="77777777" w:rsidR="00EC4FB5" w:rsidRPr="000E6BA3" w:rsidRDefault="00EC4FB5" w:rsidP="007C3789">
      <w:pPr>
        <w:tabs>
          <w:tab w:val="left" w:pos="426"/>
        </w:tabs>
        <w:spacing w:line="276" w:lineRule="auto"/>
        <w:jc w:val="both"/>
      </w:pPr>
      <w:r w:rsidRPr="000E6BA3">
        <w:tab/>
      </w:r>
      <w:r w:rsidRPr="000E6BA3">
        <w:tab/>
        <w:t>Pacientai atsitiktinės atrankos būdu santykiu 2:1 buvo priskirti gauti osimertinibą 80 mg per burną vieną kartą per parą arba placebą. Gydymas buvo tęsiamas iki nepriimtino toksinio poveikio arba patvirtinto ligos progresavimo. Ligai progresavus, placebo grupės pacientams buvo leidžiama pereiti prie atviro gydymo osimertinibu, todėl bendrojo išgyvenamumo rezultatai turi būti vertinami atsižvelgiant į reikšmingą „crossover“ poveikį.</w:t>
      </w:r>
    </w:p>
    <w:p w14:paraId="5B993E58" w14:textId="77777777" w:rsidR="00EC4FB5" w:rsidRPr="000E6BA3" w:rsidRDefault="00EC4FB5" w:rsidP="007C3789">
      <w:pPr>
        <w:tabs>
          <w:tab w:val="left" w:pos="426"/>
        </w:tabs>
        <w:spacing w:line="276" w:lineRule="auto"/>
        <w:jc w:val="both"/>
      </w:pPr>
      <w:r w:rsidRPr="000E6BA3">
        <w:tab/>
      </w:r>
      <w:r w:rsidRPr="000E6BA3">
        <w:tab/>
        <w:t>Svarbiausia vertinamoji baigtis buvo išgyvenamumas be ligos progresavimo (PFS), įvertintas pagal RECIST 1.1 atliekant nepriklausomą centrinę peržiūrą (BICR). Antrinės vertinamosios baigtys buvo bendrasis išgyvenamumas (OS), CNS PFS ir pacientų praneštos baigtys. LAURA tyrime dalyvavo 216 pacientų: 143 buvo priskirti osimertinibo grupei ir 73 – placebo grupei. Abi gydymo grupės buvo gerai subalansuotos pagal pagrindinius demografinius ir klinikinius parametrus.</w:t>
      </w:r>
    </w:p>
    <w:p w14:paraId="20F98F10" w14:textId="77777777" w:rsidR="00EC4FB5" w:rsidRPr="000E6BA3" w:rsidRDefault="00EC4FB5" w:rsidP="007C3789">
      <w:pPr>
        <w:tabs>
          <w:tab w:val="left" w:pos="426"/>
        </w:tabs>
        <w:spacing w:line="276" w:lineRule="auto"/>
        <w:jc w:val="both"/>
      </w:pPr>
      <w:r w:rsidRPr="000E6BA3">
        <w:tab/>
      </w:r>
      <w:r w:rsidRPr="000E6BA3">
        <w:tab/>
        <w:t xml:space="preserve">Tyrimo duomenys patvirtina ryškų osimertinibo veiksmingumą šioje pacientų populiacijoje, ypač vertinant PFS. Pirminės analizės metu osimertinibas lėmė 84 % mažesnę ligos progresavimo ar mirties riziką, palyginti su placebu (RS 0,16; 95 % PI 0,10–0,24; p &lt; 0,001). PFS mediana osimertinibo grupėje siekė 39,1 mėn., palyginti su 5,6 mėn. placebo grupėje, t. y. buvo pailginta maždaug 33,5 mėn. Kaplan–Meier kreivės išsiskyrė anksti – jau nuo pirmojo vertinimo po </w:t>
      </w:r>
      <w:r w:rsidRPr="000E6BA3">
        <w:lastRenderedPageBreak/>
        <w:t>randomizacijos – ir išliko aiškiai atskirtos viso stebėjimo metu. PFS nauda buvo nuosekli iš anksto suplanuotuose pogrupiuose, įskaitant amžių, lytį, rūkymo statusą, EGFR mutacijos tipą, ligos stadiją ir taikytą chemospindulinio gydymo strategiją. Tai rodo, kad osimertinibo poveikis nėra apribotas siauru pacientų pogrupiu, o yra kliniškai reikšmingas visoje tiriamojoje populiacijoje.</w:t>
      </w:r>
    </w:p>
    <w:p w14:paraId="20F20B2B" w14:textId="77777777" w:rsidR="00EC4FB5" w:rsidRPr="000E6BA3" w:rsidRDefault="00EC4FB5" w:rsidP="007C3789">
      <w:pPr>
        <w:tabs>
          <w:tab w:val="left" w:pos="426"/>
        </w:tabs>
        <w:spacing w:line="276" w:lineRule="auto"/>
        <w:jc w:val="both"/>
      </w:pPr>
      <w:r w:rsidRPr="000E6BA3">
        <w:tab/>
      </w:r>
      <w:r w:rsidRPr="000E6BA3">
        <w:tab/>
        <w:t>Antrinės baigtys taip pat patvirtina osimertinibo klinikinę naudą. CNS PFS analizėje osimertinibas lėmė 83 % mažesnę CNS progresavimo ar mirties riziką (RS 0,17; 95 % PI 0,09–0,32; p &lt; 0,001), o naujų CNS metastazių dažnis buvo maždaug tris kartus mažesnis nei placebo grupėje. Pacientų praneštos baigtys parodė, kad osimertinibas nepablogino bendros gyvenimo kokybės ar funkcinės būklės, palyginti su placebu.</w:t>
      </w:r>
    </w:p>
    <w:p w14:paraId="00A32680" w14:textId="77777777" w:rsidR="00EC4FB5" w:rsidRPr="000E6BA3" w:rsidRDefault="00EC4FB5" w:rsidP="007C3789">
      <w:pPr>
        <w:tabs>
          <w:tab w:val="left" w:pos="426"/>
        </w:tabs>
        <w:spacing w:line="276" w:lineRule="auto"/>
        <w:jc w:val="both"/>
      </w:pPr>
      <w:r w:rsidRPr="000E6BA3">
        <w:tab/>
      </w:r>
      <w:r w:rsidRPr="000E6BA3">
        <w:tab/>
        <w:t>OS analizės metu rezultatai buvo palankūs osimertinibo grupei, tačiau dėl riboto duomenų brandumo ir „crossover“ statistinio reikšmingumo nepasiekė. Pirminės tarpinės analizės metu nustatyta palanki tendencija (RS 0,81), o atnaujintoje, 2024 m. lapkričio 29 d. analizėje, stebėtas kliniškai reikšmingesnis efektas – 33 % mažesnė mirties rizika osimertinibo grupėje (RS 0,67; 95 % PI 0,40–1,14). OS Kaplan–Meier kreivės aiškiau išsiskyrė nuo maždaug 30 mėnesio, o 48 mėn. išgyvenamumas buvo 70,4 % osimertinibo grupėje ir 51,5 % placebo grupėje.</w:t>
      </w:r>
    </w:p>
    <w:p w14:paraId="1038F0D6" w14:textId="77777777" w:rsidR="00EC4FB5" w:rsidRDefault="00EC4FB5" w:rsidP="007C3789">
      <w:pPr>
        <w:pStyle w:val="NoSpacing"/>
        <w:spacing w:line="276" w:lineRule="auto"/>
        <w:jc w:val="both"/>
        <w:rPr>
          <w:rFonts w:ascii="Times New Roman" w:hAnsi="Times New Roman"/>
          <w:iCs/>
          <w:sz w:val="24"/>
          <w:szCs w:val="24"/>
        </w:rPr>
      </w:pPr>
    </w:p>
    <w:p w14:paraId="7C069600" w14:textId="5B817381" w:rsidR="00EC4FB5" w:rsidRPr="009F635A" w:rsidRDefault="00EC4FB5" w:rsidP="007C3789">
      <w:pPr>
        <w:pStyle w:val="NoSpacing"/>
        <w:spacing w:line="276" w:lineRule="auto"/>
        <w:jc w:val="both"/>
        <w:rPr>
          <w:rFonts w:eastAsia="Arial"/>
          <w:color w:val="000000" w:themeColor="text1"/>
        </w:rPr>
      </w:pPr>
      <w:r w:rsidRPr="000E6BA3">
        <w:rPr>
          <w:rFonts w:ascii="Times New Roman" w:hAnsi="Times New Roman"/>
          <w:iCs/>
          <w:sz w:val="24"/>
          <w:szCs w:val="24"/>
        </w:rPr>
        <w:tab/>
        <w:t>Atsižvelgiant į veiksmingumo</w:t>
      </w:r>
      <w:r w:rsidRPr="00F30606">
        <w:rPr>
          <w:rFonts w:ascii="Times New Roman" w:hAnsi="Times New Roman"/>
          <w:iCs/>
          <w:sz w:val="24"/>
          <w:szCs w:val="24"/>
        </w:rPr>
        <w:t xml:space="preserve"> ir saugumo rezultatus, osimertinibo palyginamasis veiksmingumas yra didesnis, lyginant su įprasta klinikine praktika </w:t>
      </w:r>
      <w:r w:rsidRPr="00F30606">
        <w:rPr>
          <w:rFonts w:ascii="Times New Roman" w:hAnsi="Times New Roman"/>
          <w:sz w:val="24"/>
          <w:szCs w:val="24"/>
        </w:rPr>
        <w:t>suaugusiems pacientams, sergantiems vietiškai išplitusiu, neoperuotinu NSCLC, turinčių EGFR 19 egzono delecijų arba 21 egzono (L858R) substitucijos mutacijų, kurių liga neprogresavo chemospindulinio gydymo platinos pagrindu metu arba po jo, gydymui</w:t>
      </w:r>
      <w:r w:rsidRPr="00F30606">
        <w:rPr>
          <w:rFonts w:ascii="Times New Roman" w:hAnsi="Times New Roman"/>
          <w:lang w:eastAsia="lt-LT"/>
        </w:rPr>
        <w:t>.</w:t>
      </w:r>
    </w:p>
    <w:p w14:paraId="4130B7AD" w14:textId="77777777" w:rsidR="00EC4FB5" w:rsidRPr="00EB3D2A" w:rsidRDefault="00EC4FB5" w:rsidP="007C3789">
      <w:pPr>
        <w:tabs>
          <w:tab w:val="left" w:pos="284"/>
        </w:tabs>
        <w:spacing w:line="276" w:lineRule="auto"/>
        <w:rPr>
          <w:bCs/>
          <w:iCs/>
          <w:caps/>
        </w:rPr>
      </w:pPr>
    </w:p>
    <w:p w14:paraId="30F7E39C" w14:textId="6F52F639" w:rsidR="006C7E71" w:rsidRPr="006C7E71" w:rsidRDefault="00CC7832" w:rsidP="007C3789">
      <w:pPr>
        <w:pStyle w:val="ListParagraph"/>
        <w:numPr>
          <w:ilvl w:val="0"/>
          <w:numId w:val="12"/>
        </w:numPr>
        <w:tabs>
          <w:tab w:val="left" w:pos="567"/>
        </w:tabs>
        <w:spacing w:line="276" w:lineRule="auto"/>
        <w:ind w:hanging="720"/>
        <w:rPr>
          <w:b/>
          <w:bCs/>
          <w:caps/>
        </w:rPr>
      </w:pPr>
      <w:r w:rsidRPr="006C7E71">
        <w:rPr>
          <w:b/>
          <w:bCs/>
          <w:caps/>
        </w:rPr>
        <w:t xml:space="preserve">ekonominio vertinimo </w:t>
      </w:r>
      <w:r w:rsidR="002F0E4F" w:rsidRPr="006C7E71">
        <w:rPr>
          <w:b/>
          <w:bCs/>
          <w:caps/>
        </w:rPr>
        <w:t>apibendrinimas</w:t>
      </w:r>
    </w:p>
    <w:p w14:paraId="03267652" w14:textId="5D38E3B0" w:rsidR="006C7E71" w:rsidRDefault="006C7E71" w:rsidP="007C3789">
      <w:pPr>
        <w:spacing w:line="276" w:lineRule="auto"/>
        <w:jc w:val="both"/>
        <w:rPr>
          <w:lang w:eastAsia="lt-LT"/>
        </w:rPr>
      </w:pPr>
      <w:r w:rsidRPr="006C7E71">
        <w:rPr>
          <w:rFonts w:eastAsia="Arial"/>
        </w:rPr>
        <w:t xml:space="preserve">Klinikinio vertinimo metu nustačius </w:t>
      </w:r>
      <w:r w:rsidRPr="006C7E71">
        <w:rPr>
          <w:rFonts w:eastAsia="Arial"/>
          <w:i/>
          <w:iCs/>
        </w:rPr>
        <w:t xml:space="preserve">didesnį </w:t>
      </w:r>
      <w:r w:rsidRPr="006C7E71">
        <w:rPr>
          <w:rFonts w:eastAsia="Arial"/>
        </w:rPr>
        <w:t>palyginamąjį veiksmingumą lyginant su įprasta klinikine praktika,</w:t>
      </w:r>
      <w:r w:rsidRPr="00603B3A">
        <w:t xml:space="preserve"> atliekamas </w:t>
      </w:r>
      <w:r w:rsidRPr="006C7E71">
        <w:rPr>
          <w:rFonts w:eastAsia="Arial"/>
          <w:bCs/>
          <w:szCs w:val="22"/>
        </w:rPr>
        <w:t xml:space="preserve">kaštų </w:t>
      </w:r>
      <w:r w:rsidRPr="006C7E71">
        <w:rPr>
          <w:rFonts w:eastAsia="Arial"/>
          <w:i/>
          <w:iCs/>
          <w:szCs w:val="22"/>
        </w:rPr>
        <w:t>naudingumo</w:t>
      </w:r>
      <w:r w:rsidRPr="006C7E71">
        <w:rPr>
          <w:rFonts w:eastAsia="Arial"/>
          <w:bCs/>
          <w:szCs w:val="22"/>
        </w:rPr>
        <w:t xml:space="preserve"> analizės vertinimas</w:t>
      </w:r>
      <w:r w:rsidRPr="00603B3A">
        <w:t>.</w:t>
      </w:r>
      <w:r>
        <w:t xml:space="preserve"> </w:t>
      </w:r>
      <w:r>
        <w:rPr>
          <w:lang w:eastAsia="lt-LT"/>
        </w:rPr>
        <w:t xml:space="preserve">Analizuojamą populiaciją sudaro pacientai iš LAURA klinikinio tyrimo – </w:t>
      </w:r>
      <w:r w:rsidRPr="003266A1">
        <w:t>suaugusių pacientų, sergančių vietiškai išplitusiu, neoperuotinu NSCLC, turinčių EGFR 19 egzono delecijų arba 21 egzono (L858R) substitucijos mutacijų, kurių liga neprogresavo chemospindulinio gydymo platinos pagrindu metu arba po jo, gydymui.</w:t>
      </w:r>
      <w:r>
        <w:t xml:space="preserve"> </w:t>
      </w:r>
      <w:r w:rsidRPr="00603B3A">
        <w:rPr>
          <w:lang w:eastAsia="lt-LT"/>
        </w:rPr>
        <w:t>Į ekonominę analizę įtraukti pacientai atitinka kompensacijai teikiamas terapines indikacijas.</w:t>
      </w:r>
      <w:r>
        <w:rPr>
          <w:lang w:eastAsia="lt-LT"/>
        </w:rPr>
        <w:t xml:space="preserve"> </w:t>
      </w:r>
      <w:r w:rsidRPr="006C7E71">
        <w:rPr>
          <w:rFonts w:eastAsia="Arial"/>
          <w:bCs/>
          <w:szCs w:val="22"/>
        </w:rPr>
        <w:t xml:space="preserve">Modelyje osimertinibas lyginamas su placebu (BSC), kaip ir LAURA klinikiniame tyrime. Ekonominėje analizėje pateiktas palyginamasis gydymas atitinka įprastą Lietuvos Respublikos klinikinę praktiką. </w:t>
      </w:r>
      <w:r w:rsidRPr="00603B3A">
        <w:t>Kaštai ir nauda diskontuoti pagal teisės aktuose nustatytus paraiškos rengimo taisyklių reikalavimus. Taikytas 3,5% diskontavimas.</w:t>
      </w:r>
      <w:r>
        <w:t xml:space="preserve"> </w:t>
      </w:r>
      <w:r w:rsidRPr="00603B3A">
        <w:t>Analizė atlikta iš PSDF biudžeto perspektyvos, įtraukti tiesiogiai su sveikatos sistema susiję kaštai. Tai atitinka teisės aktuose nustatytus paraiškos rengimo taisyklių reikalavimus.</w:t>
      </w:r>
      <w:r>
        <w:t xml:space="preserve"> </w:t>
      </w:r>
      <w:r w:rsidRPr="00603B3A">
        <w:rPr>
          <w:lang w:eastAsia="lt-LT"/>
        </w:rPr>
        <w:t>Analizėje taikoma</w:t>
      </w:r>
      <w:r>
        <w:rPr>
          <w:lang w:eastAsia="lt-LT"/>
        </w:rPr>
        <w:t xml:space="preserve"> </w:t>
      </w:r>
      <w:r w:rsidR="000B643D">
        <w:rPr>
          <w:lang w:eastAsia="lt-LT"/>
        </w:rPr>
        <w:t>***</w:t>
      </w:r>
      <w:r>
        <w:rPr>
          <w:lang w:eastAsia="lt-LT"/>
        </w:rPr>
        <w:t xml:space="preserve"> </w:t>
      </w:r>
      <w:r w:rsidRPr="00603B3A">
        <w:rPr>
          <w:lang w:eastAsia="lt-LT"/>
        </w:rPr>
        <w:t>metų</w:t>
      </w:r>
      <w:r>
        <w:rPr>
          <w:lang w:eastAsia="lt-LT"/>
        </w:rPr>
        <w:t xml:space="preserve">, </w:t>
      </w:r>
      <w:r w:rsidRPr="00603B3A">
        <w:rPr>
          <w:lang w:eastAsia="lt-LT"/>
        </w:rPr>
        <w:t>viso gyvenimo</w:t>
      </w:r>
      <w:r>
        <w:rPr>
          <w:lang w:eastAsia="lt-LT"/>
        </w:rPr>
        <w:t>,</w:t>
      </w:r>
      <w:r w:rsidRPr="00603B3A">
        <w:rPr>
          <w:lang w:eastAsia="lt-LT"/>
        </w:rPr>
        <w:t xml:space="preserve"> laiko perspektyva. Pasirinkta laiko perspektyva </w:t>
      </w:r>
      <w:r>
        <w:rPr>
          <w:lang w:eastAsia="lt-LT"/>
        </w:rPr>
        <w:t>gali būti laikoma per ilga, todėl pagrindinio atvejo analizėje modeliuojama laiko perspektyva yra trumpinama.</w:t>
      </w:r>
    </w:p>
    <w:p w14:paraId="7595E3F4" w14:textId="77777777" w:rsidR="006C7E71" w:rsidRDefault="006C7E71" w:rsidP="007C3789">
      <w:pPr>
        <w:spacing w:line="276" w:lineRule="auto"/>
        <w:jc w:val="both"/>
        <w:rPr>
          <w:lang w:eastAsia="lt-LT"/>
        </w:rPr>
      </w:pPr>
      <w:r>
        <w:rPr>
          <w:lang w:eastAsia="lt-LT"/>
        </w:rPr>
        <w:t xml:space="preserve">Analizėje taikomas modeliavimas, grįstas Markovo modeliu. </w:t>
      </w:r>
      <w:r>
        <w:t xml:space="preserve">Pacientai į modelį patenka sveikatos būklėje iki ligos progresavimo. Šioje sveikatos būklėje gaunamas gydymas – osimertinibas arba placebo. Iš šios sveikatos būklės pacientai gali pereiti į progresavusios ligos būklę arba mirtį. Iš progresavusios ligos būklės, pacientai gali patekti į mirties būklę. Vertinama, jog </w:t>
      </w:r>
      <w:r w:rsidRPr="003266A1">
        <w:rPr>
          <w:lang w:eastAsia="lt-LT"/>
        </w:rPr>
        <w:t xml:space="preserve">modelio struktūra yra tinkama analizės rezultato apskaičiavimui. </w:t>
      </w:r>
    </w:p>
    <w:p w14:paraId="12570261" w14:textId="4CAF97FE" w:rsidR="006C7E71" w:rsidRDefault="006C7E71" w:rsidP="007C3789">
      <w:pPr>
        <w:spacing w:line="276" w:lineRule="auto"/>
        <w:jc w:val="both"/>
      </w:pPr>
      <w:r>
        <w:rPr>
          <w:lang w:eastAsia="lt-LT"/>
        </w:rPr>
        <w:t xml:space="preserve">Klinikiniai duomenys analizėje buvo gauti iš III fazės klinikinio tyrimo LAURA. Klinikiniai duomenys ekstrapoliuojami laikotarpyje po klinikinio tyrimo trukmės. </w:t>
      </w:r>
      <w:r w:rsidRPr="001C2F49">
        <w:rPr>
          <w:lang w:eastAsia="lt-LT"/>
        </w:rPr>
        <w:t xml:space="preserve">Tarnyba vertina, jog šiuo metu PPS duomenys pasižymi neapibrėžtumu, o BI duomenų branda yra sąlyginai nedidelė. Pacientai, placebo grupėje, po ligos progresijos gali gauti Osimertinibą – kas atitinka sekančių eilių klinikinę </w:t>
      </w:r>
      <w:r w:rsidRPr="001C2F49">
        <w:rPr>
          <w:lang w:eastAsia="lt-LT"/>
        </w:rPr>
        <w:lastRenderedPageBreak/>
        <w:t>praktiką Lietuvoje, todėl placebo grupės pacientų PPS yra geresnis nei osimertinibo grupės. Placebo grupei pasirinkus kitas parametrines funkcijas, inkrementinių QALY‘s skaičius kinta žymiai. Pareiškėjas pagrindinio atvejo analizėje PPS ekstrapoliavimui placebo grupėje pasirinko Gompertz funkciją – kuri pateikia Pareiškėjui palankiausią rezultatą. Atitinkamai renkantis kitas funkcijas gaunama scenarijų su ženkliai sumažėjusiais inkrementinių QALY‘s įverčiais ar net gaunama scenarijų, kai placebo grupės pacientai, vėlesnėse eilėse gydomi osimertinibu, sugeneruoja didesnę naudą už pacientus, osimertinibu gydytus anksčiau. Tarnyba pabrėžia, jog PPS įvertinimas placebo grupėje lemia analizės rezultatą, tačiau pasižymi nea</w:t>
      </w:r>
      <w:r>
        <w:rPr>
          <w:lang w:eastAsia="lt-LT"/>
        </w:rPr>
        <w:t>p</w:t>
      </w:r>
      <w:r w:rsidRPr="001C2F49">
        <w:rPr>
          <w:lang w:eastAsia="lt-LT"/>
        </w:rPr>
        <w:t>ibrėžtumu.</w:t>
      </w:r>
      <w:r>
        <w:rPr>
          <w:lang w:eastAsia="lt-LT"/>
        </w:rPr>
        <w:t xml:space="preserve"> </w:t>
      </w:r>
      <w:r>
        <w:t xml:space="preserve">AIC ir BIC įverčiai tarp skirtingų parametrinių funkcijų skiriasi nedaug (AIC – </w:t>
      </w:r>
      <w:r w:rsidR="000B643D">
        <w:t>***</w:t>
      </w:r>
      <w:r>
        <w:t xml:space="preserve"> Gompertz ir </w:t>
      </w:r>
      <w:r w:rsidR="00B207F1">
        <w:t>***</w:t>
      </w:r>
      <w:r>
        <w:t xml:space="preserve"> Log normal; BIC – </w:t>
      </w:r>
      <w:r w:rsidR="00B207F1">
        <w:t>***</w:t>
      </w:r>
      <w:r>
        <w:t xml:space="preserve"> Exponential ir </w:t>
      </w:r>
      <w:r w:rsidR="00B207F1">
        <w:t>***</w:t>
      </w:r>
      <w:r>
        <w:t xml:space="preserve"> Log-normal), todėl funkcijos pasirinkimas pagal AIC ir BIC įverčius negarantuoja tiksliausio įvertinimo. Dėl anksčiau išdėstytų priežasčių, taip pat – siekiant konservatyvesnio analizės rezultato, Tarnyba vietoj Pareiškėjo taikomos Gompertz funkcijos placebo grupėje, renkasi parametrinę funkciją, sugeneruojančią antrą didžiausią inkrementinių QALY‘s skaičių – </w:t>
      </w:r>
      <w:r w:rsidR="004458BC">
        <w:t>***</w:t>
      </w:r>
      <w:r>
        <w:t>(Gen Gamma).</w:t>
      </w:r>
    </w:p>
    <w:p w14:paraId="2F02FBA9" w14:textId="77777777" w:rsidR="006C7E71" w:rsidRDefault="006C7E71" w:rsidP="007C3789">
      <w:pPr>
        <w:spacing w:line="276" w:lineRule="auto"/>
        <w:jc w:val="both"/>
        <w:rPr>
          <w:lang w:eastAsia="lt-LT"/>
        </w:rPr>
      </w:pPr>
      <w:r>
        <w:t xml:space="preserve">Analizėje buvo naudojami gyvenimo kokybės įverčiai iš LAURA tyrimo. Papildomai, analizėje naudojami gyvenimo kokybės įverčių korektoriai pagal lytį ir amžių bei gyvenimo kokybės įverčių sumažėjimas dėl nepageidaujamų reiškinių. EQ-5D-5L sveikatos būklių įverčiai buvo apskaičiuoti naudojant regresinę analizę. EQ-5D-5L įverčiai buvo konvertuojami į 3L naudojant Hernandez et al. Algoritmą. </w:t>
      </w:r>
      <w:r w:rsidRPr="001A4B99">
        <w:rPr>
          <w:lang w:eastAsia="lt-LT"/>
        </w:rPr>
        <w:t>Tarnyba negali pilnai įvertinti gyvenimo kokybės įverčių tinkamumo analizėje, nes Pareiškėjas nepateikė gyvenimo kokybės įverčių alternatyvų ir Tarnyba negali įvertinti gyvenimo kokybės įverčių įtakos analizės rezultatui.</w:t>
      </w:r>
      <w:r>
        <w:rPr>
          <w:lang w:eastAsia="lt-LT"/>
        </w:rPr>
        <w:t xml:space="preserve"> </w:t>
      </w:r>
    </w:p>
    <w:p w14:paraId="207D539E" w14:textId="77777777" w:rsidR="006C7E71" w:rsidRDefault="006C7E71" w:rsidP="007C3789">
      <w:pPr>
        <w:tabs>
          <w:tab w:val="left" w:pos="567"/>
        </w:tabs>
        <w:spacing w:line="276" w:lineRule="auto"/>
        <w:jc w:val="both"/>
        <w:rPr>
          <w:lang w:eastAsia="lt-LT"/>
        </w:rPr>
      </w:pPr>
      <w:r>
        <w:t xml:space="preserve">Pagal PCS, osimertinibo gydymo trukmė nėra apribota ir vaistas skiriamas iki nepriimtino toksinio poveikio ar ligos progresavimo ir gydymo trukmės apribojimas modelyje gali nuvertinti osimertinibo kaštus. Dėl šios priežasties Tarnyba netaiko gydymo trukmės apribojimo ekonominiame modelyje osimertinibui. </w:t>
      </w:r>
      <w:r w:rsidRPr="001A4B99">
        <w:rPr>
          <w:lang w:eastAsia="lt-LT"/>
        </w:rPr>
        <w:t>Tarnybai neaišku, ar modelyje apskaičiuoti ligos stebėjimo kaštai ir asmens sveikatos priežiūros paslaugų poreikis atitinka Lietuvos praktiką, tačiau atsižvelgiant į šių kaštų įtaką analizės rezultatui, laikoma, jog analizės rezultatas gali būti interpretuojamas.</w:t>
      </w:r>
    </w:p>
    <w:p w14:paraId="02FDAA58" w14:textId="1559329E" w:rsidR="006C7E71" w:rsidRPr="00603B3A" w:rsidRDefault="006C7E71" w:rsidP="007C3789">
      <w:pPr>
        <w:tabs>
          <w:tab w:val="left" w:pos="567"/>
        </w:tabs>
        <w:spacing w:line="276" w:lineRule="auto"/>
        <w:jc w:val="both"/>
      </w:pPr>
      <w:r>
        <w:rPr>
          <w:lang w:eastAsia="lt-LT"/>
        </w:rPr>
        <w:t xml:space="preserve">Pagrindinio atvejo analizėje, osimertinibas sugeneruoja papildomus </w:t>
      </w:r>
      <w:r w:rsidR="004458BC">
        <w:rPr>
          <w:lang w:eastAsia="lt-LT"/>
        </w:rPr>
        <w:t>***</w:t>
      </w:r>
      <w:r>
        <w:rPr>
          <w:lang w:eastAsia="lt-LT"/>
        </w:rPr>
        <w:t xml:space="preserve"> QALY‘s, tačiau ligos naštą laikant vidutinio sunkumo (referencinė kaštų naudingumo vertė: </w:t>
      </w:r>
      <w:r w:rsidR="00BD1C10">
        <w:rPr>
          <w:lang w:eastAsia="lt-LT"/>
        </w:rPr>
        <w:t>***</w:t>
      </w:r>
      <w:r>
        <w:rPr>
          <w:lang w:eastAsia="lt-LT"/>
        </w:rPr>
        <w:t xml:space="preserve"> eur/QALY), gydymas osimertinibu nėra kaštams naudingas ir yra reikalinga papildoma maždaug </w:t>
      </w:r>
      <w:r w:rsidR="00BD1C10">
        <w:rPr>
          <w:b/>
          <w:bCs/>
          <w:lang w:eastAsia="lt-LT"/>
        </w:rPr>
        <w:t>*</w:t>
      </w:r>
      <w:r w:rsidR="000B643D">
        <w:rPr>
          <w:b/>
          <w:bCs/>
          <w:lang w:eastAsia="lt-LT"/>
        </w:rPr>
        <w:t>*</w:t>
      </w:r>
      <w:r w:rsidR="00BD1C10">
        <w:rPr>
          <w:b/>
          <w:bCs/>
          <w:lang w:eastAsia="lt-LT"/>
        </w:rPr>
        <w:t>*</w:t>
      </w:r>
      <w:r w:rsidRPr="007C3789">
        <w:rPr>
          <w:b/>
          <w:bCs/>
          <w:lang w:eastAsia="lt-LT"/>
        </w:rPr>
        <w:t xml:space="preserve"> proc. nuolaida</w:t>
      </w:r>
      <w:r>
        <w:rPr>
          <w:lang w:eastAsia="lt-LT"/>
        </w:rPr>
        <w:t xml:space="preserve">. </w:t>
      </w:r>
    </w:p>
    <w:p w14:paraId="04DADC21" w14:textId="21110AED" w:rsidR="006C7E71" w:rsidRDefault="006C7E71" w:rsidP="007C3789">
      <w:pPr>
        <w:tabs>
          <w:tab w:val="left" w:pos="567"/>
        </w:tabs>
        <w:spacing w:line="276" w:lineRule="auto"/>
        <w:rPr>
          <w:b/>
          <w:bCs/>
          <w:caps/>
          <w:highlight w:val="green"/>
        </w:rPr>
      </w:pPr>
    </w:p>
    <w:tbl>
      <w:tblPr>
        <w:tblStyle w:val="TableGrid"/>
        <w:tblW w:w="9908"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329"/>
        <w:gridCol w:w="3579"/>
      </w:tblGrid>
      <w:tr w:rsidR="006C7E71" w:rsidRPr="00603B3A" w14:paraId="5CA6BEE6" w14:textId="77777777" w:rsidTr="00197FA6">
        <w:trPr>
          <w:trHeight w:val="347"/>
          <w:jc w:val="center"/>
        </w:trPr>
        <w:tc>
          <w:tcPr>
            <w:tcW w:w="9908" w:type="dxa"/>
            <w:gridSpan w:val="2"/>
            <w:tcBorders>
              <w:top w:val="single" w:sz="12" w:space="0" w:color="auto"/>
            </w:tcBorders>
            <w:vAlign w:val="center"/>
          </w:tcPr>
          <w:p w14:paraId="36FE80FA" w14:textId="77777777" w:rsidR="006C7E71" w:rsidRPr="00603B3A" w:rsidRDefault="006C7E71" w:rsidP="00197FA6">
            <w:pPr>
              <w:tabs>
                <w:tab w:val="left" w:pos="567"/>
              </w:tabs>
              <w:jc w:val="both"/>
              <w:rPr>
                <w:b/>
                <w:bCs/>
                <w:sz w:val="26"/>
                <w:szCs w:val="26"/>
                <w:lang w:eastAsia="lt-LT"/>
              </w:rPr>
            </w:pPr>
            <w:r w:rsidRPr="00603B3A">
              <w:rPr>
                <w:b/>
                <w:bCs/>
                <w:sz w:val="26"/>
                <w:szCs w:val="26"/>
                <w:lang w:eastAsia="lt-LT"/>
              </w:rPr>
              <w:t>Rezultatai</w:t>
            </w:r>
          </w:p>
        </w:tc>
      </w:tr>
      <w:tr w:rsidR="006C7E71" w:rsidRPr="00603B3A" w14:paraId="521816D8" w14:textId="77777777" w:rsidTr="00197FA6">
        <w:trPr>
          <w:jc w:val="center"/>
        </w:trPr>
        <w:tc>
          <w:tcPr>
            <w:tcW w:w="6329" w:type="dxa"/>
          </w:tcPr>
          <w:p w14:paraId="03F673B8" w14:textId="77777777" w:rsidR="006C7E71" w:rsidRPr="00603B3A" w:rsidRDefault="006C7E71" w:rsidP="00197FA6">
            <w:pPr>
              <w:tabs>
                <w:tab w:val="left" w:pos="567"/>
              </w:tabs>
              <w:jc w:val="both"/>
              <w:rPr>
                <w:iCs/>
                <w:lang w:eastAsia="lt-LT"/>
              </w:rPr>
            </w:pPr>
            <w:r w:rsidRPr="00603B3A">
              <w:rPr>
                <w:iCs/>
                <w:lang w:eastAsia="lt-LT"/>
              </w:rPr>
              <w:t>ICER už LY</w:t>
            </w:r>
          </w:p>
        </w:tc>
        <w:tc>
          <w:tcPr>
            <w:tcW w:w="3579" w:type="dxa"/>
          </w:tcPr>
          <w:p w14:paraId="20C21E7B" w14:textId="5C215CE3" w:rsidR="006C7E71" w:rsidRPr="00603B3A" w:rsidRDefault="000B643D" w:rsidP="00197FA6">
            <w:pPr>
              <w:tabs>
                <w:tab w:val="left" w:pos="567"/>
              </w:tabs>
              <w:jc w:val="both"/>
              <w:rPr>
                <w:i/>
                <w:iCs/>
                <w:lang w:eastAsia="lt-LT"/>
              </w:rPr>
            </w:pPr>
            <w:r>
              <w:rPr>
                <w:i/>
                <w:iCs/>
                <w:lang w:eastAsia="lt-LT"/>
              </w:rPr>
              <w:t>***</w:t>
            </w:r>
            <w:r w:rsidR="006C7E71">
              <w:rPr>
                <w:i/>
                <w:iCs/>
                <w:lang w:eastAsia="lt-LT"/>
              </w:rPr>
              <w:t xml:space="preserve"> eur/LY</w:t>
            </w:r>
          </w:p>
        </w:tc>
      </w:tr>
      <w:tr w:rsidR="006C7E71" w:rsidRPr="00603B3A" w14:paraId="633DD424" w14:textId="77777777" w:rsidTr="00197FA6">
        <w:trPr>
          <w:jc w:val="center"/>
        </w:trPr>
        <w:tc>
          <w:tcPr>
            <w:tcW w:w="6329" w:type="dxa"/>
          </w:tcPr>
          <w:p w14:paraId="01314539" w14:textId="77777777" w:rsidR="006C7E71" w:rsidRPr="00603B3A" w:rsidRDefault="006C7E71" w:rsidP="00197FA6">
            <w:pPr>
              <w:tabs>
                <w:tab w:val="left" w:pos="567"/>
              </w:tabs>
              <w:jc w:val="both"/>
              <w:rPr>
                <w:iCs/>
                <w:lang w:eastAsia="lt-LT"/>
              </w:rPr>
            </w:pPr>
            <w:r w:rsidRPr="00603B3A">
              <w:rPr>
                <w:iCs/>
                <w:lang w:eastAsia="lt-LT"/>
              </w:rPr>
              <w:t>ICER už QALY</w:t>
            </w:r>
          </w:p>
        </w:tc>
        <w:tc>
          <w:tcPr>
            <w:tcW w:w="3579" w:type="dxa"/>
          </w:tcPr>
          <w:p w14:paraId="5A394CA2" w14:textId="30BB71C8" w:rsidR="006C7E71" w:rsidRPr="00603B3A" w:rsidRDefault="000B643D" w:rsidP="00197FA6">
            <w:pPr>
              <w:tabs>
                <w:tab w:val="left" w:pos="567"/>
              </w:tabs>
              <w:jc w:val="both"/>
              <w:rPr>
                <w:i/>
                <w:iCs/>
                <w:lang w:eastAsia="lt-LT"/>
              </w:rPr>
            </w:pPr>
            <w:r>
              <w:rPr>
                <w:i/>
                <w:iCs/>
                <w:lang w:eastAsia="lt-LT"/>
              </w:rPr>
              <w:t>***</w:t>
            </w:r>
            <w:r w:rsidR="006C7E71">
              <w:rPr>
                <w:i/>
                <w:iCs/>
                <w:lang w:eastAsia="lt-LT"/>
              </w:rPr>
              <w:t xml:space="preserve"> eur/QALY</w:t>
            </w:r>
          </w:p>
        </w:tc>
      </w:tr>
      <w:tr w:rsidR="006C7E71" w:rsidRPr="00603B3A" w14:paraId="44128BCB" w14:textId="77777777" w:rsidTr="00197FA6">
        <w:trPr>
          <w:jc w:val="center"/>
        </w:trPr>
        <w:tc>
          <w:tcPr>
            <w:tcW w:w="6329" w:type="dxa"/>
          </w:tcPr>
          <w:p w14:paraId="560066F5" w14:textId="77777777" w:rsidR="006C7E71" w:rsidRPr="00603B3A" w:rsidRDefault="006C7E71" w:rsidP="00197FA6">
            <w:pPr>
              <w:tabs>
                <w:tab w:val="left" w:pos="567"/>
              </w:tabs>
              <w:jc w:val="both"/>
              <w:rPr>
                <w:iCs/>
                <w:lang w:eastAsia="lt-LT"/>
              </w:rPr>
            </w:pPr>
            <w:r w:rsidRPr="00603B3A">
              <w:rPr>
                <w:iCs/>
                <w:lang w:eastAsia="lt-LT"/>
              </w:rPr>
              <w:t>Referencinė kaštų naudingumo vertė</w:t>
            </w:r>
          </w:p>
        </w:tc>
        <w:tc>
          <w:tcPr>
            <w:tcW w:w="3579" w:type="dxa"/>
          </w:tcPr>
          <w:p w14:paraId="687AA4D6" w14:textId="3C9F7CBB" w:rsidR="006C7E71" w:rsidRPr="00603B3A" w:rsidRDefault="000B643D" w:rsidP="00197FA6">
            <w:pPr>
              <w:tabs>
                <w:tab w:val="left" w:pos="567"/>
              </w:tabs>
              <w:jc w:val="both"/>
              <w:rPr>
                <w:i/>
                <w:iCs/>
                <w:lang w:eastAsia="lt-LT"/>
              </w:rPr>
            </w:pPr>
            <w:r>
              <w:rPr>
                <w:i/>
                <w:iCs/>
                <w:lang w:eastAsia="lt-LT"/>
              </w:rPr>
              <w:t>***</w:t>
            </w:r>
            <w:r w:rsidR="006C7E71">
              <w:rPr>
                <w:i/>
                <w:iCs/>
                <w:lang w:eastAsia="lt-LT"/>
              </w:rPr>
              <w:t xml:space="preserve"> eur/QALY</w:t>
            </w:r>
          </w:p>
        </w:tc>
      </w:tr>
    </w:tbl>
    <w:p w14:paraId="1A83DDEE" w14:textId="77777777" w:rsidR="006C7E71" w:rsidRDefault="006C7E71" w:rsidP="006C7E71">
      <w:pPr>
        <w:tabs>
          <w:tab w:val="left" w:pos="567"/>
        </w:tabs>
        <w:spacing w:line="360" w:lineRule="auto"/>
        <w:rPr>
          <w:b/>
          <w:bCs/>
          <w:caps/>
          <w:highlight w:val="green"/>
        </w:rPr>
      </w:pPr>
    </w:p>
    <w:p w14:paraId="0236D52C" w14:textId="3FD33764" w:rsidR="006C7E71" w:rsidRPr="0057558D" w:rsidRDefault="006C7E71" w:rsidP="0057558D">
      <w:pPr>
        <w:tabs>
          <w:tab w:val="left" w:pos="567"/>
        </w:tabs>
        <w:jc w:val="both"/>
      </w:pPr>
      <w:r>
        <w:rPr>
          <w:rFonts w:eastAsia="Arial"/>
        </w:rPr>
        <w:t xml:space="preserve">Gydymas osimertinibu yra brangesnis, tačiau ir veiksmingesnis už placebą. Vis dėlto, Tarnyba nori pabrėžti, jog gydant osimertinibu neodjuvantiniu ir adjuvanitniu rėžimu, galimas lėšų sutaupymas sekančių eilių gydyme. Siekiant, jog gydymas osimertinibu būtų kaštams naudingas, reikalinga papildoma </w:t>
      </w:r>
      <w:r w:rsidR="0057558D">
        <w:rPr>
          <w:lang w:eastAsia="lt-LT"/>
        </w:rPr>
        <w:t xml:space="preserve">bent </w:t>
      </w:r>
      <w:r w:rsidR="00B207F1">
        <w:rPr>
          <w:lang w:eastAsia="lt-LT"/>
        </w:rPr>
        <w:t>*</w:t>
      </w:r>
      <w:r w:rsidR="000B643D">
        <w:rPr>
          <w:lang w:eastAsia="lt-LT"/>
        </w:rPr>
        <w:t>*</w:t>
      </w:r>
      <w:r w:rsidR="00B207F1">
        <w:rPr>
          <w:lang w:eastAsia="lt-LT"/>
        </w:rPr>
        <w:t>*</w:t>
      </w:r>
      <w:r w:rsidR="0057558D">
        <w:rPr>
          <w:lang w:eastAsia="lt-LT"/>
        </w:rPr>
        <w:t xml:space="preserve"> proc. nuolaida, o atsižvelgiant į probabilistinės jautrumo analizės rezultatą, kuriame placebo grupė (dėl didesnio PPS) sugeneruoja daugiau QALY‘s nei osimertinibo grupė, galima svarstyti ir </w:t>
      </w:r>
      <w:r w:rsidR="000B643D">
        <w:rPr>
          <w:lang w:eastAsia="lt-LT"/>
        </w:rPr>
        <w:t>***</w:t>
      </w:r>
      <w:r w:rsidR="0057558D">
        <w:rPr>
          <w:lang w:eastAsia="lt-LT"/>
        </w:rPr>
        <w:t xml:space="preserve"> vaistiniam preparatui Tagrisso.</w:t>
      </w:r>
    </w:p>
    <w:p w14:paraId="61A7ECDD" w14:textId="77777777" w:rsidR="006C7E71" w:rsidRPr="006C7E71" w:rsidRDefault="006C7E71" w:rsidP="006C7E71">
      <w:pPr>
        <w:tabs>
          <w:tab w:val="left" w:pos="567"/>
        </w:tabs>
        <w:spacing w:line="360" w:lineRule="auto"/>
        <w:rPr>
          <w:b/>
          <w:bCs/>
          <w:caps/>
          <w:highlight w:val="green"/>
        </w:rPr>
      </w:pPr>
    </w:p>
    <w:p w14:paraId="4FC424F9" w14:textId="4E767245" w:rsidR="00C62B36" w:rsidRPr="00334F18" w:rsidRDefault="00C62B36" w:rsidP="00EC4FB5">
      <w:pPr>
        <w:pStyle w:val="ListParagraph"/>
        <w:numPr>
          <w:ilvl w:val="0"/>
          <w:numId w:val="12"/>
        </w:numPr>
        <w:tabs>
          <w:tab w:val="left" w:pos="567"/>
        </w:tabs>
        <w:spacing w:line="360" w:lineRule="auto"/>
        <w:ind w:hanging="720"/>
        <w:rPr>
          <w:b/>
          <w:bCs/>
          <w:caps/>
        </w:rPr>
      </w:pPr>
      <w:r w:rsidRPr="00334F18">
        <w:rPr>
          <w:b/>
          <w:bCs/>
          <w:caps/>
        </w:rPr>
        <w:t xml:space="preserve">Pacientų organizacijų pateikti duomenys </w:t>
      </w:r>
    </w:p>
    <w:p w14:paraId="62992180" w14:textId="3D6BAD94" w:rsidR="00937907" w:rsidRPr="00334F18" w:rsidRDefault="00937907" w:rsidP="00EC4FB5">
      <w:pPr>
        <w:spacing w:line="360" w:lineRule="auto"/>
        <w:jc w:val="both"/>
      </w:pPr>
      <w:r w:rsidRPr="00334F18">
        <w:t xml:space="preserve">Pacientų organizacijos pozicija </w:t>
      </w:r>
      <w:r w:rsidR="00880A44" w:rsidRPr="00334F18">
        <w:t>ne</w:t>
      </w:r>
      <w:r w:rsidRPr="00334F18">
        <w:t>pateikta.</w:t>
      </w:r>
    </w:p>
    <w:p w14:paraId="03E73D82" w14:textId="77777777" w:rsidR="00D417D2" w:rsidRPr="00334F18" w:rsidRDefault="00D417D2" w:rsidP="00EC4FB5">
      <w:pPr>
        <w:spacing w:line="360" w:lineRule="auto"/>
        <w:jc w:val="both"/>
      </w:pPr>
    </w:p>
    <w:p w14:paraId="3D3277FA" w14:textId="09414FFF" w:rsidR="00C62B36" w:rsidRPr="00334F18" w:rsidRDefault="00D67BAF" w:rsidP="00EC4FB5">
      <w:pPr>
        <w:pStyle w:val="ListParagraph"/>
        <w:numPr>
          <w:ilvl w:val="0"/>
          <w:numId w:val="12"/>
        </w:numPr>
        <w:tabs>
          <w:tab w:val="left" w:pos="567"/>
        </w:tabs>
        <w:spacing w:line="360" w:lineRule="auto"/>
        <w:ind w:hanging="720"/>
        <w:rPr>
          <w:b/>
          <w:bCs/>
          <w:caps/>
        </w:rPr>
      </w:pPr>
      <w:r w:rsidRPr="00334F18">
        <w:rPr>
          <w:b/>
          <w:bCs/>
          <w:caps/>
        </w:rPr>
        <w:t xml:space="preserve">SVEIKATOS PRIEŽIŪROS SPECIALISTŲ </w:t>
      </w:r>
      <w:r w:rsidR="00C62B36" w:rsidRPr="00334F18">
        <w:rPr>
          <w:b/>
          <w:bCs/>
          <w:caps/>
        </w:rPr>
        <w:t xml:space="preserve"> organizacijų pateikti duomenys</w:t>
      </w:r>
    </w:p>
    <w:p w14:paraId="5D8CC48C" w14:textId="390AB437" w:rsidR="00662983" w:rsidRPr="00334F18" w:rsidRDefault="00D67BAF" w:rsidP="00EC4FB5">
      <w:pPr>
        <w:spacing w:line="360" w:lineRule="auto"/>
        <w:jc w:val="both"/>
      </w:pPr>
      <w:r w:rsidRPr="00334F18">
        <w:t>S</w:t>
      </w:r>
      <w:r w:rsidRPr="00334F18">
        <w:rPr>
          <w:bCs/>
        </w:rPr>
        <w:t>veikatos priežiūros specialistų</w:t>
      </w:r>
      <w:r w:rsidR="00937907" w:rsidRPr="00334F18">
        <w:t xml:space="preserve"> organizacijos pozicija </w:t>
      </w:r>
      <w:r w:rsidR="00880A44" w:rsidRPr="00334F18">
        <w:t>ne</w:t>
      </w:r>
      <w:r w:rsidR="00937907" w:rsidRPr="00334F18">
        <w:t>pateikta.</w:t>
      </w:r>
    </w:p>
    <w:p w14:paraId="3701D46A" w14:textId="77777777" w:rsidR="00A042B9" w:rsidRPr="00334F18" w:rsidRDefault="00A042B9" w:rsidP="00EC4FB5">
      <w:pPr>
        <w:spacing w:line="360" w:lineRule="auto"/>
        <w:jc w:val="both"/>
      </w:pPr>
    </w:p>
    <w:p w14:paraId="30069D85" w14:textId="3A17CA85" w:rsidR="0061611B" w:rsidRPr="00EC4FB5" w:rsidRDefault="002F0E4F" w:rsidP="00EC4FB5">
      <w:pPr>
        <w:pStyle w:val="ListParagraph"/>
        <w:numPr>
          <w:ilvl w:val="0"/>
          <w:numId w:val="12"/>
        </w:numPr>
        <w:tabs>
          <w:tab w:val="left" w:pos="567"/>
        </w:tabs>
        <w:spacing w:line="360" w:lineRule="auto"/>
        <w:ind w:hanging="720"/>
        <w:rPr>
          <w:b/>
          <w:bCs/>
          <w:caps/>
        </w:rPr>
      </w:pPr>
      <w:r w:rsidRPr="00334F18">
        <w:rPr>
          <w:b/>
          <w:bCs/>
          <w:caps/>
        </w:rPr>
        <w:t>Išvad</w:t>
      </w:r>
      <w:r w:rsidR="00B811A4" w:rsidRPr="00334F18">
        <w:rPr>
          <w:b/>
          <w:bCs/>
          <w:caps/>
        </w:rPr>
        <w:t>OS</w:t>
      </w:r>
      <w:r w:rsidRPr="00334F18">
        <w:rPr>
          <w:b/>
          <w:bCs/>
          <w:caps/>
        </w:rPr>
        <w:t xml:space="preserve"> </w:t>
      </w:r>
    </w:p>
    <w:tbl>
      <w:tblPr>
        <w:tblStyle w:val="TableGrid"/>
        <w:tblW w:w="0" w:type="auto"/>
        <w:tblInd w:w="-5" w:type="dxa"/>
        <w:tblLook w:val="04A0" w:firstRow="1" w:lastRow="0" w:firstColumn="1" w:lastColumn="0" w:noHBand="0" w:noVBand="1"/>
      </w:tblPr>
      <w:tblGrid>
        <w:gridCol w:w="4820"/>
        <w:gridCol w:w="4814"/>
      </w:tblGrid>
      <w:tr w:rsidR="00334F18" w:rsidRPr="00334F18" w14:paraId="4D5EFB83" w14:textId="77777777" w:rsidTr="007111C4">
        <w:trPr>
          <w:trHeight w:val="510"/>
        </w:trPr>
        <w:tc>
          <w:tcPr>
            <w:tcW w:w="9634" w:type="dxa"/>
            <w:gridSpan w:val="2"/>
            <w:vAlign w:val="center"/>
          </w:tcPr>
          <w:p w14:paraId="294EC16B" w14:textId="77777777" w:rsidR="00B811A4" w:rsidRPr="00334F18" w:rsidRDefault="00B811A4"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bookmarkStart w:id="2" w:name="_Hlk185430554"/>
            <w:r w:rsidRPr="00334F18">
              <w:rPr>
                <w:rStyle w:val="Style2"/>
                <w:rFonts w:eastAsia="MS Gothic"/>
                <w:b/>
                <w:bCs/>
                <w:sz w:val="23"/>
                <w:szCs w:val="23"/>
              </w:rPr>
              <w:t>Palyginamasis veiksmingumas</w:t>
            </w:r>
          </w:p>
        </w:tc>
      </w:tr>
      <w:tr w:rsidR="00334F18" w:rsidRPr="00334F18" w14:paraId="30B67515" w14:textId="77777777" w:rsidTr="007111C4">
        <w:tc>
          <w:tcPr>
            <w:tcW w:w="4820" w:type="dxa"/>
          </w:tcPr>
          <w:p w14:paraId="4FE3C208" w14:textId="337B8FAD" w:rsidR="00B811A4" w:rsidRPr="00334F18" w:rsidRDefault="00000000"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397324644"/>
                <w15:color w:val="FFCC00"/>
                <w14:checkbox>
                  <w14:checked w14:val="1"/>
                  <w14:checkedState w14:val="2612" w14:font="MS Gothic"/>
                  <w14:uncheckedState w14:val="2610" w14:font="MS Gothic"/>
                </w14:checkbox>
              </w:sdtPr>
              <w:sdtContent>
                <w:r w:rsidR="008F53C4">
                  <w:rPr>
                    <w:rStyle w:val="Style2"/>
                    <w:rFonts w:ascii="MS Gothic" w:eastAsia="MS Gothic" w:hAnsi="MS Gothic" w:hint="eastAsia"/>
                    <w:sz w:val="23"/>
                    <w:szCs w:val="23"/>
                  </w:rPr>
                  <w:t>☒</w:t>
                </w:r>
              </w:sdtContent>
            </w:sdt>
            <w:r w:rsidR="00B811A4" w:rsidRPr="00334F18">
              <w:rPr>
                <w:rStyle w:val="Style2"/>
                <w:sz w:val="23"/>
                <w:szCs w:val="23"/>
              </w:rPr>
              <w:t xml:space="preserve"> 29</w:t>
            </w:r>
            <w:r w:rsidR="00B811A4" w:rsidRPr="00334F18">
              <w:rPr>
                <w:sz w:val="23"/>
                <w:szCs w:val="23"/>
              </w:rPr>
              <w:t>.1.1 yra didesnis, lyginant su įprasta klinikine praktika</w:t>
            </w:r>
          </w:p>
          <w:p w14:paraId="6F9786E4" w14:textId="77777777" w:rsidR="00B811A4" w:rsidRPr="00334F18" w:rsidRDefault="00B811A4"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31EDECD" w14:textId="77777777" w:rsidR="00B811A4" w:rsidRPr="00334F18" w:rsidRDefault="00000000"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418297090"/>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.1.2 iš esmės nesiskiria, lyginant su įprasta klinikine praktika</w:t>
            </w:r>
          </w:p>
        </w:tc>
        <w:tc>
          <w:tcPr>
            <w:tcW w:w="4814" w:type="dxa"/>
          </w:tcPr>
          <w:p w14:paraId="72562F9E" w14:textId="77777777" w:rsidR="00B811A4" w:rsidRPr="00334F18" w:rsidRDefault="00000000"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24755596"/>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 xml:space="preserve">.1.3 yra neįrodytas kaip didesnis  ar iš esmės nesiskiriantis, lyginant su įprasta klinikine praktika  </w:t>
            </w:r>
          </w:p>
          <w:p w14:paraId="6F6DB5BC" w14:textId="77777777" w:rsidR="00B811A4" w:rsidRPr="00334F18" w:rsidRDefault="00B811A4"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EE1D885" w14:textId="77777777" w:rsidR="00B811A4" w:rsidRPr="00334F18" w:rsidRDefault="00000000"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62168479"/>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.1.4 yra mažesnis, lyginant su įprasta klinikine praktika</w:t>
            </w:r>
          </w:p>
          <w:p w14:paraId="193C3D76" w14:textId="77777777" w:rsidR="00B811A4" w:rsidRPr="00334F18" w:rsidRDefault="00B811A4"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370E94DC" w14:textId="4EC80DB9" w:rsidR="00B811A4" w:rsidRPr="00334F18" w:rsidRDefault="00000000"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57960180"/>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.1.5 pateikti duomenys apie palyginamąjį veiksmingumą yra netinkami vertinti</w:t>
            </w:r>
          </w:p>
          <w:p w14:paraId="45719037" w14:textId="77777777" w:rsidR="00B811A4" w:rsidRPr="00334F18" w:rsidRDefault="00B811A4"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bookmarkEnd w:id="2"/>
      <w:tr w:rsidR="00334F18" w:rsidRPr="00334F18" w14:paraId="0E0F5168" w14:textId="77777777" w:rsidTr="00743956">
        <w:trPr>
          <w:trHeight w:val="510"/>
        </w:trPr>
        <w:tc>
          <w:tcPr>
            <w:tcW w:w="9634" w:type="dxa"/>
            <w:gridSpan w:val="2"/>
            <w:vAlign w:val="center"/>
          </w:tcPr>
          <w:p w14:paraId="62B67E12" w14:textId="77777777" w:rsidR="00B811A4" w:rsidRPr="00334F18" w:rsidRDefault="00B811A4"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r w:rsidRPr="00334F18">
              <w:rPr>
                <w:rStyle w:val="Style2"/>
                <w:rFonts w:eastAsia="MS Gothic"/>
                <w:b/>
                <w:bCs/>
                <w:sz w:val="23"/>
                <w:szCs w:val="23"/>
              </w:rPr>
              <w:t>Kaštų naudingumas</w:t>
            </w:r>
          </w:p>
        </w:tc>
      </w:tr>
      <w:tr w:rsidR="00334F18" w:rsidRPr="00334F18" w14:paraId="6A2F62B2" w14:textId="77777777" w:rsidTr="00743956">
        <w:tc>
          <w:tcPr>
            <w:tcW w:w="4820" w:type="dxa"/>
          </w:tcPr>
          <w:p w14:paraId="7CB2C697" w14:textId="283D6841" w:rsidR="00B811A4" w:rsidRPr="00334F18" w:rsidRDefault="00000000"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301657889"/>
                <w15:color w:val="FFCC00"/>
                <w14:checkbox>
                  <w14:checked w14:val="0"/>
                  <w14:checkedState w14:val="2612" w14:font="MS Gothic"/>
                  <w14:uncheckedState w14:val="2610" w14:font="MS Gothic"/>
                </w14:checkbox>
              </w:sdtPr>
              <w:sdtContent>
                <w:r w:rsidR="00EC4FB5">
                  <w:rPr>
                    <w:rStyle w:val="Style2"/>
                    <w:rFonts w:ascii="MS Gothic" w:eastAsia="MS Gothic" w:hAnsi="MS Gothic" w:hint="eastAsia"/>
                    <w:sz w:val="23"/>
                    <w:szCs w:val="23"/>
                  </w:rPr>
                  <w:t>☐</w:t>
                </w:r>
              </w:sdtContent>
            </w:sdt>
            <w:r w:rsidR="00B811A4" w:rsidRPr="00334F18">
              <w:rPr>
                <w:sz w:val="23"/>
                <w:szCs w:val="23"/>
              </w:rPr>
              <w:t xml:space="preserve"> 29.2.1 atitinka referencinę naudingumo vertę taikant arba netaikant</w:t>
            </w:r>
            <w:r w:rsidR="00437623" w:rsidRPr="00334F18">
              <w:rPr>
                <w:b/>
                <w:bCs/>
                <w:sz w:val="23"/>
                <w:szCs w:val="23"/>
              </w:rPr>
              <w:t xml:space="preserve"> </w:t>
            </w:r>
            <w:r w:rsidR="00B811A4" w:rsidRPr="00334F18">
              <w:rPr>
                <w:sz w:val="23"/>
                <w:szCs w:val="23"/>
              </w:rPr>
              <w:t>PGS</w:t>
            </w:r>
          </w:p>
          <w:p w14:paraId="71797774" w14:textId="77777777" w:rsidR="00B811A4" w:rsidRPr="00334F18" w:rsidRDefault="00B811A4"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BE88CDB" w14:textId="60C4FFA7" w:rsidR="00B811A4" w:rsidRPr="00334F18" w:rsidRDefault="00B811A4"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c>
          <w:tcPr>
            <w:tcW w:w="4814" w:type="dxa"/>
          </w:tcPr>
          <w:p w14:paraId="0370A72C" w14:textId="6405DC96" w:rsidR="00B811A4" w:rsidRPr="00334F18" w:rsidRDefault="00000000"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91860283"/>
                <w15:color w:val="FFCC00"/>
                <w14:checkbox>
                  <w14:checked w14:val="1"/>
                  <w14:checkedState w14:val="2612" w14:font="MS Gothic"/>
                  <w14:uncheckedState w14:val="2610" w14:font="MS Gothic"/>
                </w14:checkbox>
              </w:sdtPr>
              <w:sdtContent>
                <w:r w:rsidR="006C7E71">
                  <w:rPr>
                    <w:rStyle w:val="Style2"/>
                    <w:rFonts w:ascii="MS Gothic" w:eastAsia="MS Gothic" w:hAnsi="MS Gothic" w:hint="eastAsia"/>
                    <w:sz w:val="23"/>
                    <w:szCs w:val="23"/>
                  </w:rPr>
                  <w:t>☒</w:t>
                </w:r>
              </w:sdtContent>
            </w:sdt>
            <w:r w:rsidR="00B811A4" w:rsidRPr="00334F18">
              <w:rPr>
                <w:sz w:val="23"/>
                <w:szCs w:val="23"/>
              </w:rPr>
              <w:t xml:space="preserve"> 29.2.3 neatitinka referencinės naudingumo vertės taikant arba netaikant PGS</w:t>
            </w:r>
          </w:p>
          <w:p w14:paraId="13C9EEE5" w14:textId="77777777" w:rsidR="00B811A4" w:rsidRPr="00334F18" w:rsidRDefault="00B811A4"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89E6691" w14:textId="77777777" w:rsidR="00B811A4" w:rsidRPr="00334F18" w:rsidRDefault="00B811A4"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FD1976C" w14:textId="77777777" w:rsidR="00B811A4" w:rsidRPr="00334F18" w:rsidRDefault="00000000"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3"/>
                <w:szCs w:val="23"/>
              </w:rPr>
            </w:pPr>
            <w:sdt>
              <w:sdtPr>
                <w:rPr>
                  <w:rStyle w:val="Style2"/>
                  <w:sz w:val="23"/>
                  <w:szCs w:val="23"/>
                </w:rPr>
                <w:id w:val="-943849855"/>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29.2.5 pateikti duomenys apie kaštų naudingumą yra netinkami vertinti</w:t>
            </w:r>
          </w:p>
          <w:p w14:paraId="06AB06C5" w14:textId="77777777" w:rsidR="00B811A4" w:rsidRPr="00334F18" w:rsidRDefault="00B811A4"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tr w:rsidR="00334F18" w:rsidRPr="00334F18" w14:paraId="632C9193" w14:textId="77777777" w:rsidTr="00027464">
        <w:tc>
          <w:tcPr>
            <w:tcW w:w="9634" w:type="dxa"/>
            <w:gridSpan w:val="2"/>
          </w:tcPr>
          <w:p w14:paraId="15C289C9" w14:textId="47C5A3CE" w:rsidR="007111C4" w:rsidRPr="00334F18" w:rsidRDefault="00000000" w:rsidP="00EC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1266579562"/>
                <w15:color w:val="FFCC00"/>
                <w14:checkbox>
                  <w14:checked w14:val="0"/>
                  <w14:checkedState w14:val="2612" w14:font="MS Gothic"/>
                  <w14:uncheckedState w14:val="2610" w14:font="MS Gothic"/>
                </w14:checkbox>
              </w:sdtPr>
              <w:sdtContent>
                <w:r w:rsidR="007111C4" w:rsidRPr="00334F18">
                  <w:rPr>
                    <w:rStyle w:val="Style2"/>
                    <w:rFonts w:ascii="Segoe UI Symbol" w:eastAsia="MS Gothic" w:hAnsi="Segoe UI Symbol" w:cs="Segoe UI Symbol"/>
                    <w:sz w:val="23"/>
                    <w:szCs w:val="23"/>
                  </w:rPr>
                  <w:t>☐</w:t>
                </w:r>
              </w:sdtContent>
            </w:sdt>
            <w:r w:rsidR="007111C4" w:rsidRPr="00334F18">
              <w:rPr>
                <w:sz w:val="23"/>
                <w:szCs w:val="23"/>
              </w:rPr>
              <w:t xml:space="preserve"> Vykdant Aprašo &lt;17</w:t>
            </w:r>
            <w:r w:rsidR="007111C4" w:rsidRPr="00334F18">
              <w:rPr>
                <w:sz w:val="23"/>
                <w:szCs w:val="23"/>
                <w:vertAlign w:val="superscript"/>
              </w:rPr>
              <w:t>3</w:t>
            </w:r>
            <w:r w:rsidR="007111C4" w:rsidRPr="00334F18">
              <w:rPr>
                <w:sz w:val="23"/>
                <w:szCs w:val="23"/>
              </w:rPr>
              <w:t>.1&gt;&lt;17</w:t>
            </w:r>
            <w:r w:rsidR="007111C4" w:rsidRPr="00334F18">
              <w:rPr>
                <w:sz w:val="23"/>
                <w:szCs w:val="23"/>
                <w:vertAlign w:val="superscript"/>
              </w:rPr>
              <w:t>3</w:t>
            </w:r>
            <w:r w:rsidR="007111C4" w:rsidRPr="00334F18">
              <w:rPr>
                <w:sz w:val="23"/>
                <w:szCs w:val="23"/>
              </w:rPr>
              <w:t>.2&gt;&lt;17</w:t>
            </w:r>
            <w:r w:rsidR="007111C4" w:rsidRPr="00334F18">
              <w:rPr>
                <w:sz w:val="23"/>
                <w:szCs w:val="23"/>
                <w:vertAlign w:val="superscript"/>
              </w:rPr>
              <w:t>3</w:t>
            </w:r>
            <w:r w:rsidR="007111C4" w:rsidRPr="00334F18">
              <w:rPr>
                <w:sz w:val="23"/>
                <w:szCs w:val="23"/>
              </w:rPr>
              <w:t>.3&gt; punktą vaistinio (-ų) preparato (-ų) ekonominis vertinimas neatliekamas, išvados dėl kaštų naudingumo neteikiamos</w:t>
            </w:r>
          </w:p>
        </w:tc>
      </w:tr>
    </w:tbl>
    <w:p w14:paraId="1B85C083" w14:textId="77777777" w:rsidR="009E44AE" w:rsidRPr="00334F18" w:rsidRDefault="009E44AE" w:rsidP="00EC4FB5">
      <w:pPr>
        <w:spacing w:line="360" w:lineRule="auto"/>
      </w:pPr>
    </w:p>
    <w:p w14:paraId="3B2D1F25" w14:textId="3A80E19F" w:rsidR="000001B0" w:rsidRPr="006C7E71" w:rsidRDefault="000001B0" w:rsidP="00EC4FB5">
      <w:pPr>
        <w:pStyle w:val="ListParagraph"/>
        <w:numPr>
          <w:ilvl w:val="0"/>
          <w:numId w:val="12"/>
        </w:numPr>
        <w:spacing w:line="360" w:lineRule="auto"/>
        <w:ind w:left="567" w:hanging="567"/>
      </w:pPr>
      <w:r w:rsidRPr="006C7E71">
        <w:rPr>
          <w:b/>
        </w:rPr>
        <w:t>REKOME</w:t>
      </w:r>
      <w:r w:rsidR="00D83182" w:rsidRPr="006C7E71">
        <w:rPr>
          <w:b/>
        </w:rPr>
        <w:t>N</w:t>
      </w:r>
      <w:r w:rsidRPr="006C7E71">
        <w:rPr>
          <w:b/>
        </w:rPr>
        <w:t>DACIJA</w:t>
      </w:r>
    </w:p>
    <w:p w14:paraId="37F95132" w14:textId="77777777" w:rsidR="006C7E71" w:rsidRPr="00603B3A" w:rsidRDefault="006C7E71" w:rsidP="006C7E71">
      <w:pPr>
        <w:jc w:val="both"/>
        <w:rPr>
          <w:lang w:eastAsia="lt-LT"/>
        </w:rPr>
      </w:pPr>
      <w:r w:rsidRPr="00603B3A">
        <w:t xml:space="preserve">Vadovaujantis Aprašo </w:t>
      </w:r>
      <w:bookmarkStart w:id="3" w:name="_Hlk190784826"/>
      <w:r w:rsidRPr="00603B3A">
        <w:rPr>
          <w:lang w:eastAsia="lt-LT"/>
        </w:rPr>
        <w:t>30</w:t>
      </w:r>
      <w:r w:rsidRPr="006C7E71">
        <w:rPr>
          <w:vertAlign w:val="superscript"/>
          <w:lang w:eastAsia="lt-LT"/>
        </w:rPr>
        <w:t>1</w:t>
      </w:r>
      <w:r w:rsidRPr="00603B3A">
        <w:rPr>
          <w:lang w:eastAsia="lt-LT"/>
        </w:rPr>
        <w:t>.2. papunkčiu rekomenduojama kompensuoti vaistinį preparatą pagal paraiškoje nurodytą indikaciją (arba jos dalį) su arba be skyrimo sąlygų, jei, pateikus naują ar atnaujintą PGS, kaštų naudingumas atitinka referencinę naudingumo vertę, kai vertinimo išvados atitinka Aprašo 29.1.1 ir 29.2.3 papunkčiuose numatytas sąlygas</w:t>
      </w:r>
      <w:r>
        <w:rPr>
          <w:lang w:eastAsia="lt-LT"/>
        </w:rPr>
        <w:t>.</w:t>
      </w:r>
    </w:p>
    <w:bookmarkEnd w:id="3"/>
    <w:p w14:paraId="71E19CF6" w14:textId="77777777" w:rsidR="006C7E71" w:rsidRDefault="006C7E71" w:rsidP="00EC4FB5">
      <w:pPr>
        <w:tabs>
          <w:tab w:val="left" w:pos="426"/>
        </w:tabs>
        <w:spacing w:line="360" w:lineRule="auto"/>
        <w:jc w:val="both"/>
        <w:rPr>
          <w:b/>
          <w:lang w:eastAsia="lt-LT"/>
        </w:rPr>
      </w:pPr>
    </w:p>
    <w:p w14:paraId="42F3A222" w14:textId="1B85AA43" w:rsidR="00B811A4" w:rsidRPr="00334F18" w:rsidRDefault="00EC4FB5" w:rsidP="00EC4FB5">
      <w:pPr>
        <w:tabs>
          <w:tab w:val="left" w:pos="426"/>
        </w:tabs>
        <w:spacing w:line="360" w:lineRule="auto"/>
        <w:jc w:val="both"/>
        <w:rPr>
          <w:b/>
          <w:lang w:eastAsia="lt-LT"/>
        </w:rPr>
      </w:pPr>
      <w:r>
        <w:rPr>
          <w:b/>
          <w:lang w:eastAsia="lt-LT"/>
        </w:rPr>
        <w:t>6</w:t>
      </w:r>
      <w:r w:rsidR="00B811A4" w:rsidRPr="00334F18">
        <w:rPr>
          <w:b/>
          <w:lang w:eastAsia="lt-LT"/>
        </w:rPr>
        <w:t xml:space="preserve">.3 Siūloma (-os) kompensuoti terapinės indikacijos ir skyrimo sąlygos </w:t>
      </w:r>
    </w:p>
    <w:p w14:paraId="069CD997" w14:textId="77777777" w:rsidR="00EC4FB5" w:rsidRDefault="00EC4FB5" w:rsidP="007C3789">
      <w:pPr>
        <w:pStyle w:val="NoSpacing"/>
        <w:spacing w:line="276" w:lineRule="auto"/>
        <w:jc w:val="both"/>
        <w:rPr>
          <w:rFonts w:ascii="Times New Roman" w:hAnsi="Times New Roman"/>
          <w:b/>
          <w:sz w:val="24"/>
          <w:szCs w:val="24"/>
          <w:lang w:eastAsia="lt-LT"/>
        </w:rPr>
      </w:pPr>
    </w:p>
    <w:p w14:paraId="25C5B192" w14:textId="582B0CF4" w:rsidR="00611315" w:rsidRPr="00603B3A" w:rsidRDefault="00611315" w:rsidP="007C3789">
      <w:pPr>
        <w:pStyle w:val="NoSpacing"/>
        <w:spacing w:line="276" w:lineRule="auto"/>
        <w:jc w:val="both"/>
        <w:rPr>
          <w:rFonts w:ascii="Times New Roman" w:hAnsi="Times New Roman"/>
          <w:b/>
          <w:sz w:val="24"/>
          <w:szCs w:val="24"/>
          <w:lang w:eastAsia="lt-LT"/>
        </w:rPr>
      </w:pPr>
      <w:r w:rsidRPr="00603B3A">
        <w:rPr>
          <w:rFonts w:ascii="Times New Roman" w:hAnsi="Times New Roman"/>
          <w:b/>
          <w:sz w:val="24"/>
          <w:szCs w:val="24"/>
          <w:lang w:eastAsia="lt-LT"/>
        </w:rPr>
        <w:t>Terapinės indikacijos</w:t>
      </w:r>
    </w:p>
    <w:p w14:paraId="75AE3DAC" w14:textId="77777777" w:rsidR="00EC4FB5" w:rsidRPr="00EC4FB5" w:rsidRDefault="00EC4FB5" w:rsidP="007C3789">
      <w:pPr>
        <w:spacing w:line="276" w:lineRule="auto"/>
        <w:jc w:val="both"/>
        <w:rPr>
          <w:rFonts w:eastAsia="Calibri"/>
          <w:szCs w:val="28"/>
          <w:lang w:eastAsia="lt-LT"/>
        </w:rPr>
      </w:pPr>
      <w:r w:rsidRPr="00EC4FB5">
        <w:rPr>
          <w:rFonts w:eastAsia="Calibri"/>
          <w:szCs w:val="28"/>
          <w:lang w:eastAsia="lt-LT"/>
        </w:rPr>
        <w:t>TAGRISSO skirtas suaugusių pacientų, sergančių vietiškai išplitusiu, neoperuotinu NSCLC, turinčių EGFR 19 egzono delecijų arba 21 egzono (L858R) substitucijos mutacijų, kurių liga neprogresavo chemospindulinio gydymo platinos pagrindu metu arba po jo, gydymui.</w:t>
      </w:r>
    </w:p>
    <w:p w14:paraId="3880DA1C" w14:textId="77777777" w:rsidR="00EC4FB5" w:rsidRPr="00EC4FB5" w:rsidRDefault="00EC4FB5" w:rsidP="007C3789">
      <w:pPr>
        <w:pStyle w:val="ListParagraph"/>
        <w:spacing w:line="276" w:lineRule="auto"/>
        <w:ind w:left="426"/>
        <w:rPr>
          <w:rFonts w:eastAsia="Calibri"/>
          <w:szCs w:val="28"/>
          <w:lang w:eastAsia="lt-LT"/>
        </w:rPr>
      </w:pPr>
    </w:p>
    <w:p w14:paraId="423C29EE" w14:textId="77777777" w:rsidR="00EC4FB5" w:rsidRPr="00EC4FB5" w:rsidRDefault="00EC4FB5" w:rsidP="007C3789">
      <w:pPr>
        <w:spacing w:line="276" w:lineRule="auto"/>
        <w:rPr>
          <w:rFonts w:eastAsia="Calibri"/>
          <w:b/>
          <w:bCs/>
          <w:szCs w:val="28"/>
          <w:lang w:eastAsia="lt-LT"/>
        </w:rPr>
      </w:pPr>
      <w:r w:rsidRPr="00EC4FB5">
        <w:rPr>
          <w:rFonts w:eastAsia="Calibri"/>
          <w:b/>
          <w:bCs/>
          <w:szCs w:val="28"/>
          <w:lang w:eastAsia="lt-LT"/>
        </w:rPr>
        <w:t>Skyrimo sąlygos</w:t>
      </w:r>
    </w:p>
    <w:p w14:paraId="7D5C6700" w14:textId="09F4AD43" w:rsidR="00D5470B" w:rsidRPr="00334F18" w:rsidRDefault="00EC4FB5" w:rsidP="007C3789">
      <w:pPr>
        <w:spacing w:line="276" w:lineRule="auto"/>
        <w:jc w:val="both"/>
      </w:pPr>
      <w:r w:rsidRPr="00EC4FB5">
        <w:rPr>
          <w:rFonts w:eastAsia="Calibri"/>
          <w:szCs w:val="28"/>
          <w:lang w:eastAsia="lt-LT"/>
        </w:rPr>
        <w:t xml:space="preserve">Skiriamas suaugusių pacientų, sergančių vietiškai išplitusiu, neoperuotinu NSCLC, turinčių EGFR 19 egzono delecijų arba 21 egzono (L858R) substitucijos mutacijų, kurių liga neprogresavo </w:t>
      </w:r>
      <w:r w:rsidRPr="00EC4FB5">
        <w:rPr>
          <w:rFonts w:eastAsia="Calibri"/>
          <w:szCs w:val="28"/>
          <w:lang w:eastAsia="lt-LT"/>
        </w:rPr>
        <w:lastRenderedPageBreak/>
        <w:t>chemospindulinio gydymo platinos pagrindu metu arba po jo, gydymui. Gydymas tęsiamas iki nepriimtino toksinio poveikio atsiradimo ar nustatyto ligos progresavimo.</w:t>
      </w:r>
    </w:p>
    <w:p w14:paraId="7CDFF220" w14:textId="0B3C8DD0" w:rsidR="000723FF" w:rsidRPr="00611315" w:rsidRDefault="00283E59" w:rsidP="00EC4FB5">
      <w:pPr>
        <w:widowControl w:val="0"/>
        <w:tabs>
          <w:tab w:val="left" w:pos="1418"/>
        </w:tabs>
        <w:suppressAutoHyphens/>
        <w:spacing w:line="360" w:lineRule="auto"/>
        <w:jc w:val="center"/>
        <w:textAlignment w:val="center"/>
      </w:pPr>
      <w:r w:rsidRPr="00334F18">
        <w:rPr>
          <w:lang w:eastAsia="lt-LT"/>
        </w:rPr>
        <w:t>____________________________</w:t>
      </w:r>
    </w:p>
    <w:sectPr w:rsidR="000723FF" w:rsidRPr="00611315" w:rsidSect="00063A50">
      <w:headerReference w:type="first" r:id="rId7"/>
      <w:footerReference w:type="first" r:id="rId8"/>
      <w:pgSz w:w="11907" w:h="16840" w:code="9"/>
      <w:pgMar w:top="1134" w:right="567" w:bottom="1134" w:left="1701" w:header="646"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C8853" w14:textId="77777777" w:rsidR="00235219" w:rsidRDefault="00235219">
      <w:r>
        <w:separator/>
      </w:r>
    </w:p>
  </w:endnote>
  <w:endnote w:type="continuationSeparator" w:id="0">
    <w:p w14:paraId="77F21103" w14:textId="77777777" w:rsidR="00235219" w:rsidRDefault="00235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3368" w14:textId="77777777" w:rsidR="00347FAA" w:rsidRDefault="00347FAA">
    <w:pPr>
      <w:pStyle w:val="Footer"/>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E4DCA" w14:textId="77777777" w:rsidR="00235219" w:rsidRDefault="00235219">
      <w:r>
        <w:separator/>
      </w:r>
    </w:p>
  </w:footnote>
  <w:footnote w:type="continuationSeparator" w:id="0">
    <w:p w14:paraId="0650B719" w14:textId="77777777" w:rsidR="00235219" w:rsidRDefault="00235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1C8F" w14:textId="77777777" w:rsidR="00347FAA" w:rsidRDefault="00347FAA" w:rsidP="00FD793C">
    <w:pPr>
      <w:pStyle w:val="Header"/>
      <w:ind w:left="612"/>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D8E"/>
    <w:multiLevelType w:val="hybridMultilevel"/>
    <w:tmpl w:val="10FAC1C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1276250"/>
    <w:multiLevelType w:val="hybridMultilevel"/>
    <w:tmpl w:val="3B6C29F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E0081E"/>
    <w:multiLevelType w:val="multilevel"/>
    <w:tmpl w:val="0427001F"/>
    <w:lvl w:ilvl="0">
      <w:start w:val="1"/>
      <w:numFmt w:val="decimal"/>
      <w:lvlText w:val="%1."/>
      <w:lvlJc w:val="left"/>
      <w:pPr>
        <w:ind w:left="360" w:hanging="360"/>
      </w:pPr>
      <w:rPr>
        <w:rFonts w:hint="default"/>
        <w:b w:val="0"/>
        <w:bCs w:val="0"/>
      </w:rPr>
    </w:lvl>
    <w:lvl w:ilvl="1">
      <w:start w:val="1"/>
      <w:numFmt w:val="decimal"/>
      <w:lvlText w:val="%1.%2."/>
      <w:lvlJc w:val="left"/>
      <w:pPr>
        <w:ind w:left="28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B56BED"/>
    <w:multiLevelType w:val="hybridMultilevel"/>
    <w:tmpl w:val="03368D8C"/>
    <w:lvl w:ilvl="0" w:tplc="02445FC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AD2E58"/>
    <w:multiLevelType w:val="hybridMultilevel"/>
    <w:tmpl w:val="18BE712C"/>
    <w:lvl w:ilvl="0" w:tplc="AB64BC8E">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A101C59"/>
    <w:multiLevelType w:val="hybridMultilevel"/>
    <w:tmpl w:val="64544F3A"/>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6" w15:restartNumberingAfterBreak="0">
    <w:nsid w:val="1A816B09"/>
    <w:multiLevelType w:val="hybridMultilevel"/>
    <w:tmpl w:val="8FBEE17A"/>
    <w:lvl w:ilvl="0" w:tplc="0427000F">
      <w:start w:val="16"/>
      <w:numFmt w:val="decimal"/>
      <w:lvlText w:val="%1."/>
      <w:lvlJc w:val="left"/>
      <w:pPr>
        <w:ind w:left="501" w:hanging="360"/>
      </w:pPr>
      <w:rPr>
        <w:rFonts w:hint="default"/>
      </w:rPr>
    </w:lvl>
    <w:lvl w:ilvl="1" w:tplc="04270019" w:tentative="1">
      <w:start w:val="1"/>
      <w:numFmt w:val="lowerLetter"/>
      <w:lvlText w:val="%2."/>
      <w:lvlJc w:val="left"/>
      <w:pPr>
        <w:ind w:left="1581" w:hanging="360"/>
      </w:pPr>
    </w:lvl>
    <w:lvl w:ilvl="2" w:tplc="0427001B" w:tentative="1">
      <w:start w:val="1"/>
      <w:numFmt w:val="lowerRoman"/>
      <w:lvlText w:val="%3."/>
      <w:lvlJc w:val="right"/>
      <w:pPr>
        <w:ind w:left="2301" w:hanging="180"/>
      </w:pPr>
    </w:lvl>
    <w:lvl w:ilvl="3" w:tplc="0427000F" w:tentative="1">
      <w:start w:val="1"/>
      <w:numFmt w:val="decimal"/>
      <w:lvlText w:val="%4."/>
      <w:lvlJc w:val="left"/>
      <w:pPr>
        <w:ind w:left="3021" w:hanging="360"/>
      </w:pPr>
    </w:lvl>
    <w:lvl w:ilvl="4" w:tplc="04270019" w:tentative="1">
      <w:start w:val="1"/>
      <w:numFmt w:val="lowerLetter"/>
      <w:lvlText w:val="%5."/>
      <w:lvlJc w:val="left"/>
      <w:pPr>
        <w:ind w:left="3741" w:hanging="360"/>
      </w:pPr>
    </w:lvl>
    <w:lvl w:ilvl="5" w:tplc="0427001B" w:tentative="1">
      <w:start w:val="1"/>
      <w:numFmt w:val="lowerRoman"/>
      <w:lvlText w:val="%6."/>
      <w:lvlJc w:val="right"/>
      <w:pPr>
        <w:ind w:left="4461" w:hanging="180"/>
      </w:pPr>
    </w:lvl>
    <w:lvl w:ilvl="6" w:tplc="0427000F" w:tentative="1">
      <w:start w:val="1"/>
      <w:numFmt w:val="decimal"/>
      <w:lvlText w:val="%7."/>
      <w:lvlJc w:val="left"/>
      <w:pPr>
        <w:ind w:left="5181" w:hanging="360"/>
      </w:pPr>
    </w:lvl>
    <w:lvl w:ilvl="7" w:tplc="04270019" w:tentative="1">
      <w:start w:val="1"/>
      <w:numFmt w:val="lowerLetter"/>
      <w:lvlText w:val="%8."/>
      <w:lvlJc w:val="left"/>
      <w:pPr>
        <w:ind w:left="5901" w:hanging="360"/>
      </w:pPr>
    </w:lvl>
    <w:lvl w:ilvl="8" w:tplc="0427001B" w:tentative="1">
      <w:start w:val="1"/>
      <w:numFmt w:val="lowerRoman"/>
      <w:lvlText w:val="%9."/>
      <w:lvlJc w:val="right"/>
      <w:pPr>
        <w:ind w:left="6621" w:hanging="180"/>
      </w:pPr>
    </w:lvl>
  </w:abstractNum>
  <w:abstractNum w:abstractNumId="7" w15:restartNumberingAfterBreak="0">
    <w:nsid w:val="3975004F"/>
    <w:multiLevelType w:val="hybridMultilevel"/>
    <w:tmpl w:val="13E4607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3BCC4222"/>
    <w:multiLevelType w:val="multilevel"/>
    <w:tmpl w:val="C9C6278E"/>
    <w:lvl w:ilvl="0">
      <w:start w:val="2"/>
      <w:numFmt w:val="decimal"/>
      <w:lvlText w:val="%1."/>
      <w:lvlJc w:val="left"/>
      <w:pPr>
        <w:ind w:left="360" w:hanging="360"/>
      </w:pPr>
      <w:rPr>
        <w:rFonts w:eastAsia="Arial Unicode MS" w:hint="default"/>
      </w:rPr>
    </w:lvl>
    <w:lvl w:ilvl="1">
      <w:start w:val="7"/>
      <w:numFmt w:val="decimal"/>
      <w:lvlText w:val="%1.%2."/>
      <w:lvlJc w:val="left"/>
      <w:pPr>
        <w:ind w:left="720" w:hanging="360"/>
      </w:pPr>
      <w:rPr>
        <w:rFonts w:eastAsia="Arial Unicode MS" w:hint="default"/>
      </w:rPr>
    </w:lvl>
    <w:lvl w:ilvl="2">
      <w:start w:val="1"/>
      <w:numFmt w:val="decimal"/>
      <w:lvlText w:val="%1.%2.%3."/>
      <w:lvlJc w:val="left"/>
      <w:pPr>
        <w:ind w:left="1440" w:hanging="720"/>
      </w:pPr>
      <w:rPr>
        <w:rFonts w:eastAsia="Arial Unicode MS" w:hint="default"/>
      </w:rPr>
    </w:lvl>
    <w:lvl w:ilvl="3">
      <w:start w:val="1"/>
      <w:numFmt w:val="decimal"/>
      <w:lvlText w:val="%1.%2.%3.%4."/>
      <w:lvlJc w:val="left"/>
      <w:pPr>
        <w:ind w:left="1800" w:hanging="720"/>
      </w:pPr>
      <w:rPr>
        <w:rFonts w:eastAsia="Arial Unicode MS" w:hint="default"/>
      </w:rPr>
    </w:lvl>
    <w:lvl w:ilvl="4">
      <w:start w:val="1"/>
      <w:numFmt w:val="decimal"/>
      <w:lvlText w:val="%1.%2.%3.%4.%5."/>
      <w:lvlJc w:val="left"/>
      <w:pPr>
        <w:ind w:left="2520" w:hanging="1080"/>
      </w:pPr>
      <w:rPr>
        <w:rFonts w:eastAsia="Arial Unicode MS" w:hint="default"/>
      </w:rPr>
    </w:lvl>
    <w:lvl w:ilvl="5">
      <w:start w:val="1"/>
      <w:numFmt w:val="decimal"/>
      <w:lvlText w:val="%1.%2.%3.%4.%5.%6."/>
      <w:lvlJc w:val="left"/>
      <w:pPr>
        <w:ind w:left="2880" w:hanging="1080"/>
      </w:pPr>
      <w:rPr>
        <w:rFonts w:eastAsia="Arial Unicode MS" w:hint="default"/>
      </w:rPr>
    </w:lvl>
    <w:lvl w:ilvl="6">
      <w:start w:val="1"/>
      <w:numFmt w:val="decimal"/>
      <w:lvlText w:val="%1.%2.%3.%4.%5.%6.%7."/>
      <w:lvlJc w:val="left"/>
      <w:pPr>
        <w:ind w:left="3600" w:hanging="1440"/>
      </w:pPr>
      <w:rPr>
        <w:rFonts w:eastAsia="Arial Unicode MS" w:hint="default"/>
      </w:rPr>
    </w:lvl>
    <w:lvl w:ilvl="7">
      <w:start w:val="1"/>
      <w:numFmt w:val="decimal"/>
      <w:lvlText w:val="%1.%2.%3.%4.%5.%6.%7.%8."/>
      <w:lvlJc w:val="left"/>
      <w:pPr>
        <w:ind w:left="3960" w:hanging="1440"/>
      </w:pPr>
      <w:rPr>
        <w:rFonts w:eastAsia="Arial Unicode MS" w:hint="default"/>
      </w:rPr>
    </w:lvl>
    <w:lvl w:ilvl="8">
      <w:start w:val="1"/>
      <w:numFmt w:val="decimal"/>
      <w:lvlText w:val="%1.%2.%3.%4.%5.%6.%7.%8.%9."/>
      <w:lvlJc w:val="left"/>
      <w:pPr>
        <w:ind w:left="4680" w:hanging="1800"/>
      </w:pPr>
      <w:rPr>
        <w:rFonts w:eastAsia="Arial Unicode MS" w:hint="default"/>
      </w:rPr>
    </w:lvl>
  </w:abstractNum>
  <w:abstractNum w:abstractNumId="9" w15:restartNumberingAfterBreak="0">
    <w:nsid w:val="41953EAB"/>
    <w:multiLevelType w:val="hybridMultilevel"/>
    <w:tmpl w:val="D0F01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9B019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83C1B"/>
    <w:multiLevelType w:val="multilevel"/>
    <w:tmpl w:val="5F3843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2" w15:restartNumberingAfterBreak="0">
    <w:nsid w:val="5A0D73F3"/>
    <w:multiLevelType w:val="hybridMultilevel"/>
    <w:tmpl w:val="CA9A2AC8"/>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AB27E1E"/>
    <w:multiLevelType w:val="hybridMultilevel"/>
    <w:tmpl w:val="3D568A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2266018"/>
    <w:multiLevelType w:val="hybridMultilevel"/>
    <w:tmpl w:val="AA9C9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E943885"/>
    <w:multiLevelType w:val="multilevel"/>
    <w:tmpl w:val="F7D8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9035017">
    <w:abstractNumId w:val="9"/>
  </w:num>
  <w:num w:numId="2" w16cid:durableId="985162166">
    <w:abstractNumId w:val="2"/>
  </w:num>
  <w:num w:numId="3" w16cid:durableId="480578891">
    <w:abstractNumId w:val="11"/>
  </w:num>
  <w:num w:numId="4" w16cid:durableId="442387534">
    <w:abstractNumId w:val="10"/>
  </w:num>
  <w:num w:numId="5" w16cid:durableId="823667834">
    <w:abstractNumId w:val="8"/>
  </w:num>
  <w:num w:numId="6" w16cid:durableId="417020125">
    <w:abstractNumId w:val="7"/>
  </w:num>
  <w:num w:numId="7" w16cid:durableId="1843550031">
    <w:abstractNumId w:val="5"/>
  </w:num>
  <w:num w:numId="8" w16cid:durableId="580068462">
    <w:abstractNumId w:val="14"/>
  </w:num>
  <w:num w:numId="9" w16cid:durableId="257183606">
    <w:abstractNumId w:val="0"/>
  </w:num>
  <w:num w:numId="10" w16cid:durableId="131410136">
    <w:abstractNumId w:val="12"/>
  </w:num>
  <w:num w:numId="11" w16cid:durableId="1133251921">
    <w:abstractNumId w:val="13"/>
  </w:num>
  <w:num w:numId="12" w16cid:durableId="700133012">
    <w:abstractNumId w:val="4"/>
  </w:num>
  <w:num w:numId="13" w16cid:durableId="373774129">
    <w:abstractNumId w:val="6"/>
  </w:num>
  <w:num w:numId="14" w16cid:durableId="1004668447">
    <w:abstractNumId w:val="1"/>
  </w:num>
  <w:num w:numId="15" w16cid:durableId="102849949">
    <w:abstractNumId w:val="3"/>
  </w:num>
  <w:num w:numId="16" w16cid:durableId="4343743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E7"/>
    <w:rsid w:val="000001B0"/>
    <w:rsid w:val="00003F5B"/>
    <w:rsid w:val="000114DD"/>
    <w:rsid w:val="000136F7"/>
    <w:rsid w:val="000203E1"/>
    <w:rsid w:val="0002686C"/>
    <w:rsid w:val="00031D0E"/>
    <w:rsid w:val="000337E6"/>
    <w:rsid w:val="0003402E"/>
    <w:rsid w:val="00034EAE"/>
    <w:rsid w:val="00042924"/>
    <w:rsid w:val="000448C6"/>
    <w:rsid w:val="00052BD8"/>
    <w:rsid w:val="00053975"/>
    <w:rsid w:val="00057A2B"/>
    <w:rsid w:val="000606BE"/>
    <w:rsid w:val="000624FF"/>
    <w:rsid w:val="00063A50"/>
    <w:rsid w:val="000723FF"/>
    <w:rsid w:val="000736B8"/>
    <w:rsid w:val="0008190F"/>
    <w:rsid w:val="00081D9C"/>
    <w:rsid w:val="00082907"/>
    <w:rsid w:val="0008378D"/>
    <w:rsid w:val="000908A5"/>
    <w:rsid w:val="00092805"/>
    <w:rsid w:val="000A50C9"/>
    <w:rsid w:val="000B2B2C"/>
    <w:rsid w:val="000B3197"/>
    <w:rsid w:val="000B643D"/>
    <w:rsid w:val="000B76AD"/>
    <w:rsid w:val="000C454C"/>
    <w:rsid w:val="000C59F0"/>
    <w:rsid w:val="000D5038"/>
    <w:rsid w:val="000E29D4"/>
    <w:rsid w:val="000F0440"/>
    <w:rsid w:val="000F0C7C"/>
    <w:rsid w:val="000F3540"/>
    <w:rsid w:val="00100491"/>
    <w:rsid w:val="00104E2E"/>
    <w:rsid w:val="00107287"/>
    <w:rsid w:val="00117194"/>
    <w:rsid w:val="00117406"/>
    <w:rsid w:val="00121EF0"/>
    <w:rsid w:val="00124A9E"/>
    <w:rsid w:val="00130703"/>
    <w:rsid w:val="0013153F"/>
    <w:rsid w:val="00131C40"/>
    <w:rsid w:val="001408B8"/>
    <w:rsid w:val="001466FE"/>
    <w:rsid w:val="001517E2"/>
    <w:rsid w:val="001521D9"/>
    <w:rsid w:val="001554E2"/>
    <w:rsid w:val="00164146"/>
    <w:rsid w:val="00164D64"/>
    <w:rsid w:val="0017369C"/>
    <w:rsid w:val="00175D57"/>
    <w:rsid w:val="00180C39"/>
    <w:rsid w:val="00180D96"/>
    <w:rsid w:val="00184BD3"/>
    <w:rsid w:val="001921F3"/>
    <w:rsid w:val="001A0CAA"/>
    <w:rsid w:val="001B3C5B"/>
    <w:rsid w:val="001C2FC8"/>
    <w:rsid w:val="001C6353"/>
    <w:rsid w:val="001D5B91"/>
    <w:rsid w:val="001D746F"/>
    <w:rsid w:val="001E0B2D"/>
    <w:rsid w:val="001E4BBB"/>
    <w:rsid w:val="001E6304"/>
    <w:rsid w:val="001F115E"/>
    <w:rsid w:val="0020381E"/>
    <w:rsid w:val="00213471"/>
    <w:rsid w:val="00215906"/>
    <w:rsid w:val="00235219"/>
    <w:rsid w:val="00241CD8"/>
    <w:rsid w:val="00244B09"/>
    <w:rsid w:val="002519CB"/>
    <w:rsid w:val="0025697F"/>
    <w:rsid w:val="00260258"/>
    <w:rsid w:val="0026588E"/>
    <w:rsid w:val="00265954"/>
    <w:rsid w:val="00272428"/>
    <w:rsid w:val="00272948"/>
    <w:rsid w:val="00283E59"/>
    <w:rsid w:val="00292392"/>
    <w:rsid w:val="002946C7"/>
    <w:rsid w:val="002A4F46"/>
    <w:rsid w:val="002A52B8"/>
    <w:rsid w:val="002B3CC1"/>
    <w:rsid w:val="002B47FE"/>
    <w:rsid w:val="002C0686"/>
    <w:rsid w:val="002C09E0"/>
    <w:rsid w:val="002C100E"/>
    <w:rsid w:val="002C1BB1"/>
    <w:rsid w:val="002C2786"/>
    <w:rsid w:val="002C2FCC"/>
    <w:rsid w:val="002C3A10"/>
    <w:rsid w:val="002C4A90"/>
    <w:rsid w:val="002C4ED5"/>
    <w:rsid w:val="002D02EF"/>
    <w:rsid w:val="002E0702"/>
    <w:rsid w:val="002E1A83"/>
    <w:rsid w:val="002E57AD"/>
    <w:rsid w:val="002E6F80"/>
    <w:rsid w:val="002F0E4F"/>
    <w:rsid w:val="002F1053"/>
    <w:rsid w:val="00314816"/>
    <w:rsid w:val="00317B0E"/>
    <w:rsid w:val="00334F18"/>
    <w:rsid w:val="00336238"/>
    <w:rsid w:val="00347FAA"/>
    <w:rsid w:val="0035172D"/>
    <w:rsid w:val="0036187D"/>
    <w:rsid w:val="00367EDB"/>
    <w:rsid w:val="003705F0"/>
    <w:rsid w:val="00381024"/>
    <w:rsid w:val="00386307"/>
    <w:rsid w:val="003874DE"/>
    <w:rsid w:val="00393E9F"/>
    <w:rsid w:val="0039696E"/>
    <w:rsid w:val="003B211A"/>
    <w:rsid w:val="003C141F"/>
    <w:rsid w:val="003C2612"/>
    <w:rsid w:val="003C6B0E"/>
    <w:rsid w:val="003C7257"/>
    <w:rsid w:val="003C7E35"/>
    <w:rsid w:val="003D1E99"/>
    <w:rsid w:val="003D6208"/>
    <w:rsid w:val="003D69CB"/>
    <w:rsid w:val="003F5561"/>
    <w:rsid w:val="00404E8A"/>
    <w:rsid w:val="0040622F"/>
    <w:rsid w:val="00413F24"/>
    <w:rsid w:val="004159BA"/>
    <w:rsid w:val="00422853"/>
    <w:rsid w:val="00423160"/>
    <w:rsid w:val="00437623"/>
    <w:rsid w:val="00444A2B"/>
    <w:rsid w:val="004458BC"/>
    <w:rsid w:val="00453862"/>
    <w:rsid w:val="0045469B"/>
    <w:rsid w:val="00461338"/>
    <w:rsid w:val="004677DB"/>
    <w:rsid w:val="00473B31"/>
    <w:rsid w:val="00476256"/>
    <w:rsid w:val="0048630F"/>
    <w:rsid w:val="004947A1"/>
    <w:rsid w:val="0049482A"/>
    <w:rsid w:val="004979D3"/>
    <w:rsid w:val="004A00E7"/>
    <w:rsid w:val="004A3A61"/>
    <w:rsid w:val="004B59BA"/>
    <w:rsid w:val="004B5A03"/>
    <w:rsid w:val="004C263A"/>
    <w:rsid w:val="004C6221"/>
    <w:rsid w:val="004C69AB"/>
    <w:rsid w:val="004D48A6"/>
    <w:rsid w:val="004D70B6"/>
    <w:rsid w:val="004D7B8F"/>
    <w:rsid w:val="004E241F"/>
    <w:rsid w:val="004E6458"/>
    <w:rsid w:val="004E6E7D"/>
    <w:rsid w:val="004F1AAC"/>
    <w:rsid w:val="004F1AE2"/>
    <w:rsid w:val="004F34F0"/>
    <w:rsid w:val="004F3B2B"/>
    <w:rsid w:val="004F6050"/>
    <w:rsid w:val="005005EF"/>
    <w:rsid w:val="005123C2"/>
    <w:rsid w:val="0052144B"/>
    <w:rsid w:val="00524066"/>
    <w:rsid w:val="00526A0F"/>
    <w:rsid w:val="00534E11"/>
    <w:rsid w:val="005378D8"/>
    <w:rsid w:val="005400D9"/>
    <w:rsid w:val="005476A4"/>
    <w:rsid w:val="0055019B"/>
    <w:rsid w:val="00556E63"/>
    <w:rsid w:val="005601A4"/>
    <w:rsid w:val="00566DBB"/>
    <w:rsid w:val="00567B14"/>
    <w:rsid w:val="0057558D"/>
    <w:rsid w:val="005767DB"/>
    <w:rsid w:val="005815E6"/>
    <w:rsid w:val="0058712F"/>
    <w:rsid w:val="005976CE"/>
    <w:rsid w:val="005A23D4"/>
    <w:rsid w:val="005A2D1E"/>
    <w:rsid w:val="005A4698"/>
    <w:rsid w:val="005A6BDE"/>
    <w:rsid w:val="005B3756"/>
    <w:rsid w:val="005C493F"/>
    <w:rsid w:val="005C6BF7"/>
    <w:rsid w:val="005C71BF"/>
    <w:rsid w:val="005D002C"/>
    <w:rsid w:val="005D30E1"/>
    <w:rsid w:val="005D3132"/>
    <w:rsid w:val="005D6555"/>
    <w:rsid w:val="005D7711"/>
    <w:rsid w:val="005D7BDF"/>
    <w:rsid w:val="005E4870"/>
    <w:rsid w:val="005F71D9"/>
    <w:rsid w:val="005F7602"/>
    <w:rsid w:val="005F780C"/>
    <w:rsid w:val="006062BE"/>
    <w:rsid w:val="00611315"/>
    <w:rsid w:val="00613143"/>
    <w:rsid w:val="00613501"/>
    <w:rsid w:val="0061611B"/>
    <w:rsid w:val="006166A8"/>
    <w:rsid w:val="006174A1"/>
    <w:rsid w:val="00621D6C"/>
    <w:rsid w:val="00633B49"/>
    <w:rsid w:val="0064297F"/>
    <w:rsid w:val="00645102"/>
    <w:rsid w:val="00646CF3"/>
    <w:rsid w:val="00653D11"/>
    <w:rsid w:val="00655518"/>
    <w:rsid w:val="00662983"/>
    <w:rsid w:val="006834D3"/>
    <w:rsid w:val="00692625"/>
    <w:rsid w:val="00695CD3"/>
    <w:rsid w:val="006A38B6"/>
    <w:rsid w:val="006B1987"/>
    <w:rsid w:val="006B5B71"/>
    <w:rsid w:val="006B5D3E"/>
    <w:rsid w:val="006B6CB0"/>
    <w:rsid w:val="006C2B64"/>
    <w:rsid w:val="006C7E71"/>
    <w:rsid w:val="006D1BF3"/>
    <w:rsid w:val="006D4C85"/>
    <w:rsid w:val="006D66AC"/>
    <w:rsid w:val="006E33F6"/>
    <w:rsid w:val="006F1251"/>
    <w:rsid w:val="006F1C23"/>
    <w:rsid w:val="00702C18"/>
    <w:rsid w:val="00703166"/>
    <w:rsid w:val="007111C4"/>
    <w:rsid w:val="007127F3"/>
    <w:rsid w:val="007301CF"/>
    <w:rsid w:val="007316FB"/>
    <w:rsid w:val="00737E2D"/>
    <w:rsid w:val="007424D5"/>
    <w:rsid w:val="00745C63"/>
    <w:rsid w:val="00750A88"/>
    <w:rsid w:val="007523DD"/>
    <w:rsid w:val="00757B7E"/>
    <w:rsid w:val="007656B2"/>
    <w:rsid w:val="0077016F"/>
    <w:rsid w:val="007713AD"/>
    <w:rsid w:val="00774F67"/>
    <w:rsid w:val="00795DC5"/>
    <w:rsid w:val="00797153"/>
    <w:rsid w:val="007A21F7"/>
    <w:rsid w:val="007A2B68"/>
    <w:rsid w:val="007B0DDA"/>
    <w:rsid w:val="007C3789"/>
    <w:rsid w:val="007D3347"/>
    <w:rsid w:val="007D654E"/>
    <w:rsid w:val="007E5466"/>
    <w:rsid w:val="007F1949"/>
    <w:rsid w:val="007F2592"/>
    <w:rsid w:val="00800A08"/>
    <w:rsid w:val="00817A84"/>
    <w:rsid w:val="008225A4"/>
    <w:rsid w:val="00824B92"/>
    <w:rsid w:val="00826D5E"/>
    <w:rsid w:val="00832013"/>
    <w:rsid w:val="00832DB7"/>
    <w:rsid w:val="00834732"/>
    <w:rsid w:val="0085200C"/>
    <w:rsid w:val="00853487"/>
    <w:rsid w:val="00857C52"/>
    <w:rsid w:val="00860D5F"/>
    <w:rsid w:val="00880A44"/>
    <w:rsid w:val="0088345E"/>
    <w:rsid w:val="0088656F"/>
    <w:rsid w:val="008875BC"/>
    <w:rsid w:val="00891EF6"/>
    <w:rsid w:val="00892FF4"/>
    <w:rsid w:val="0089345A"/>
    <w:rsid w:val="008A0303"/>
    <w:rsid w:val="008A5FDD"/>
    <w:rsid w:val="008C3947"/>
    <w:rsid w:val="008C5C31"/>
    <w:rsid w:val="008E473B"/>
    <w:rsid w:val="008E51A6"/>
    <w:rsid w:val="008E7329"/>
    <w:rsid w:val="008F2ED5"/>
    <w:rsid w:val="008F53C4"/>
    <w:rsid w:val="0092297E"/>
    <w:rsid w:val="00923292"/>
    <w:rsid w:val="00923651"/>
    <w:rsid w:val="00924DF7"/>
    <w:rsid w:val="00927B56"/>
    <w:rsid w:val="009341BF"/>
    <w:rsid w:val="00937907"/>
    <w:rsid w:val="00941739"/>
    <w:rsid w:val="009447FB"/>
    <w:rsid w:val="00951573"/>
    <w:rsid w:val="00963003"/>
    <w:rsid w:val="00965919"/>
    <w:rsid w:val="00966EEF"/>
    <w:rsid w:val="00971B28"/>
    <w:rsid w:val="00983471"/>
    <w:rsid w:val="009909AB"/>
    <w:rsid w:val="009B37DB"/>
    <w:rsid w:val="009B4D2F"/>
    <w:rsid w:val="009C49ED"/>
    <w:rsid w:val="009C7A8C"/>
    <w:rsid w:val="009D23F9"/>
    <w:rsid w:val="009D4FA8"/>
    <w:rsid w:val="009E44AE"/>
    <w:rsid w:val="009E6CD6"/>
    <w:rsid w:val="009F4D66"/>
    <w:rsid w:val="00A00C3C"/>
    <w:rsid w:val="00A01091"/>
    <w:rsid w:val="00A042B9"/>
    <w:rsid w:val="00A06DBB"/>
    <w:rsid w:val="00A22ADF"/>
    <w:rsid w:val="00A2310D"/>
    <w:rsid w:val="00A254A2"/>
    <w:rsid w:val="00A31E86"/>
    <w:rsid w:val="00A54D87"/>
    <w:rsid w:val="00A5553C"/>
    <w:rsid w:val="00A701C9"/>
    <w:rsid w:val="00A81785"/>
    <w:rsid w:val="00A84803"/>
    <w:rsid w:val="00A84C51"/>
    <w:rsid w:val="00A86F2B"/>
    <w:rsid w:val="00A91366"/>
    <w:rsid w:val="00A92F91"/>
    <w:rsid w:val="00A93AA6"/>
    <w:rsid w:val="00AA4E48"/>
    <w:rsid w:val="00AA6202"/>
    <w:rsid w:val="00AA68E4"/>
    <w:rsid w:val="00AA7B57"/>
    <w:rsid w:val="00AB1874"/>
    <w:rsid w:val="00AB2806"/>
    <w:rsid w:val="00AB2D54"/>
    <w:rsid w:val="00AC0E41"/>
    <w:rsid w:val="00AC26FC"/>
    <w:rsid w:val="00AC4A99"/>
    <w:rsid w:val="00AC5129"/>
    <w:rsid w:val="00AC64D2"/>
    <w:rsid w:val="00AD02E7"/>
    <w:rsid w:val="00AE0FE8"/>
    <w:rsid w:val="00AF60D5"/>
    <w:rsid w:val="00AF7067"/>
    <w:rsid w:val="00B00959"/>
    <w:rsid w:val="00B04415"/>
    <w:rsid w:val="00B06509"/>
    <w:rsid w:val="00B11D60"/>
    <w:rsid w:val="00B13D65"/>
    <w:rsid w:val="00B207F1"/>
    <w:rsid w:val="00B21805"/>
    <w:rsid w:val="00B3072E"/>
    <w:rsid w:val="00B36E15"/>
    <w:rsid w:val="00B37245"/>
    <w:rsid w:val="00B4017A"/>
    <w:rsid w:val="00B42141"/>
    <w:rsid w:val="00B4468D"/>
    <w:rsid w:val="00B71C72"/>
    <w:rsid w:val="00B71F04"/>
    <w:rsid w:val="00B71F83"/>
    <w:rsid w:val="00B74A62"/>
    <w:rsid w:val="00B811A4"/>
    <w:rsid w:val="00B81E92"/>
    <w:rsid w:val="00B908D7"/>
    <w:rsid w:val="00B935E8"/>
    <w:rsid w:val="00B93B30"/>
    <w:rsid w:val="00B94CB5"/>
    <w:rsid w:val="00BA0DD9"/>
    <w:rsid w:val="00BA5DBC"/>
    <w:rsid w:val="00BA6584"/>
    <w:rsid w:val="00BB6312"/>
    <w:rsid w:val="00BC39C2"/>
    <w:rsid w:val="00BC4D06"/>
    <w:rsid w:val="00BD05E1"/>
    <w:rsid w:val="00BD1C10"/>
    <w:rsid w:val="00BD585E"/>
    <w:rsid w:val="00BD6919"/>
    <w:rsid w:val="00BE1EA7"/>
    <w:rsid w:val="00BE7489"/>
    <w:rsid w:val="00BF2E0D"/>
    <w:rsid w:val="00BF3927"/>
    <w:rsid w:val="00BF3F8B"/>
    <w:rsid w:val="00BF76DA"/>
    <w:rsid w:val="00C00CDB"/>
    <w:rsid w:val="00C07C7B"/>
    <w:rsid w:val="00C16245"/>
    <w:rsid w:val="00C22DC5"/>
    <w:rsid w:val="00C24479"/>
    <w:rsid w:val="00C273F2"/>
    <w:rsid w:val="00C37B53"/>
    <w:rsid w:val="00C434EB"/>
    <w:rsid w:val="00C517D2"/>
    <w:rsid w:val="00C5772E"/>
    <w:rsid w:val="00C62B36"/>
    <w:rsid w:val="00C7012C"/>
    <w:rsid w:val="00C712EA"/>
    <w:rsid w:val="00C73BF9"/>
    <w:rsid w:val="00C84809"/>
    <w:rsid w:val="00C87033"/>
    <w:rsid w:val="00C9728E"/>
    <w:rsid w:val="00CA217D"/>
    <w:rsid w:val="00CA3131"/>
    <w:rsid w:val="00CC09D4"/>
    <w:rsid w:val="00CC4F5F"/>
    <w:rsid w:val="00CC668D"/>
    <w:rsid w:val="00CC7832"/>
    <w:rsid w:val="00CD488E"/>
    <w:rsid w:val="00CE4B0B"/>
    <w:rsid w:val="00CE5D57"/>
    <w:rsid w:val="00CF0C1C"/>
    <w:rsid w:val="00CF27FD"/>
    <w:rsid w:val="00CF5F12"/>
    <w:rsid w:val="00D00D8F"/>
    <w:rsid w:val="00D12869"/>
    <w:rsid w:val="00D14512"/>
    <w:rsid w:val="00D15ED6"/>
    <w:rsid w:val="00D21F3A"/>
    <w:rsid w:val="00D23808"/>
    <w:rsid w:val="00D3016A"/>
    <w:rsid w:val="00D417D2"/>
    <w:rsid w:val="00D42960"/>
    <w:rsid w:val="00D43BD7"/>
    <w:rsid w:val="00D4485B"/>
    <w:rsid w:val="00D46CCD"/>
    <w:rsid w:val="00D4708D"/>
    <w:rsid w:val="00D4744C"/>
    <w:rsid w:val="00D51046"/>
    <w:rsid w:val="00D521DE"/>
    <w:rsid w:val="00D5470B"/>
    <w:rsid w:val="00D63068"/>
    <w:rsid w:val="00D6498C"/>
    <w:rsid w:val="00D67BAF"/>
    <w:rsid w:val="00D72BAC"/>
    <w:rsid w:val="00D76A70"/>
    <w:rsid w:val="00D80AC0"/>
    <w:rsid w:val="00D83182"/>
    <w:rsid w:val="00D8521E"/>
    <w:rsid w:val="00D9291C"/>
    <w:rsid w:val="00D93A97"/>
    <w:rsid w:val="00DA5602"/>
    <w:rsid w:val="00DB1F64"/>
    <w:rsid w:val="00DB6CDA"/>
    <w:rsid w:val="00DC261A"/>
    <w:rsid w:val="00DC2F53"/>
    <w:rsid w:val="00DC5BAC"/>
    <w:rsid w:val="00DC6816"/>
    <w:rsid w:val="00DC76C2"/>
    <w:rsid w:val="00DD1CF2"/>
    <w:rsid w:val="00DE4484"/>
    <w:rsid w:val="00DF41B7"/>
    <w:rsid w:val="00DF4907"/>
    <w:rsid w:val="00DF4A4A"/>
    <w:rsid w:val="00DF583C"/>
    <w:rsid w:val="00E03C3F"/>
    <w:rsid w:val="00E06FD7"/>
    <w:rsid w:val="00E07417"/>
    <w:rsid w:val="00E11B9E"/>
    <w:rsid w:val="00E24D45"/>
    <w:rsid w:val="00E33DB8"/>
    <w:rsid w:val="00E33EFF"/>
    <w:rsid w:val="00E34387"/>
    <w:rsid w:val="00E348BA"/>
    <w:rsid w:val="00E369FE"/>
    <w:rsid w:val="00E37C6F"/>
    <w:rsid w:val="00E475F8"/>
    <w:rsid w:val="00E5102E"/>
    <w:rsid w:val="00E52E2C"/>
    <w:rsid w:val="00E5721C"/>
    <w:rsid w:val="00E605A2"/>
    <w:rsid w:val="00E619C6"/>
    <w:rsid w:val="00E70CED"/>
    <w:rsid w:val="00E745A1"/>
    <w:rsid w:val="00E81529"/>
    <w:rsid w:val="00E83A13"/>
    <w:rsid w:val="00EB1151"/>
    <w:rsid w:val="00EB3D2A"/>
    <w:rsid w:val="00EB6FC5"/>
    <w:rsid w:val="00EC2356"/>
    <w:rsid w:val="00EC2582"/>
    <w:rsid w:val="00EC337C"/>
    <w:rsid w:val="00EC4FB5"/>
    <w:rsid w:val="00ED0CFF"/>
    <w:rsid w:val="00ED31D2"/>
    <w:rsid w:val="00EE0EAC"/>
    <w:rsid w:val="00EE3322"/>
    <w:rsid w:val="00EE33CB"/>
    <w:rsid w:val="00F0061A"/>
    <w:rsid w:val="00F02834"/>
    <w:rsid w:val="00F04EEB"/>
    <w:rsid w:val="00F05467"/>
    <w:rsid w:val="00F055D2"/>
    <w:rsid w:val="00F07CD7"/>
    <w:rsid w:val="00F127E9"/>
    <w:rsid w:val="00F12F99"/>
    <w:rsid w:val="00F14477"/>
    <w:rsid w:val="00F14B5D"/>
    <w:rsid w:val="00F259FC"/>
    <w:rsid w:val="00F313F4"/>
    <w:rsid w:val="00F36972"/>
    <w:rsid w:val="00F37FC4"/>
    <w:rsid w:val="00F42426"/>
    <w:rsid w:val="00F44F01"/>
    <w:rsid w:val="00F456BC"/>
    <w:rsid w:val="00F50666"/>
    <w:rsid w:val="00F66DC4"/>
    <w:rsid w:val="00F70731"/>
    <w:rsid w:val="00F70C9E"/>
    <w:rsid w:val="00F74A74"/>
    <w:rsid w:val="00F7572C"/>
    <w:rsid w:val="00F8212F"/>
    <w:rsid w:val="00F8382C"/>
    <w:rsid w:val="00F855D7"/>
    <w:rsid w:val="00F92035"/>
    <w:rsid w:val="00F92748"/>
    <w:rsid w:val="00FA4169"/>
    <w:rsid w:val="00FB0D41"/>
    <w:rsid w:val="00FB2030"/>
    <w:rsid w:val="00FD0E46"/>
    <w:rsid w:val="00FD1060"/>
    <w:rsid w:val="00FD1CF2"/>
    <w:rsid w:val="00FD3EDF"/>
    <w:rsid w:val="00FD793C"/>
    <w:rsid w:val="00FE0FD5"/>
    <w:rsid w:val="00FE20E6"/>
    <w:rsid w:val="00FE3E3B"/>
    <w:rsid w:val="00FE5878"/>
    <w:rsid w:val="00FF4032"/>
    <w:rsid w:val="00FF4A2E"/>
    <w:rsid w:val="00FF6469"/>
    <w:rsid w:val="00FF7E4A"/>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FE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529"/>
    <w:rPr>
      <w:sz w:val="24"/>
      <w:szCs w:val="24"/>
      <w:lang w:eastAsia="en-US"/>
    </w:rPr>
  </w:style>
  <w:style w:type="paragraph" w:styleId="Heading1">
    <w:name w:val="heading 1"/>
    <w:basedOn w:val="Normal"/>
    <w:next w:val="Normal"/>
    <w:qFormat/>
    <w:rsid w:val="00A84C51"/>
    <w:pPr>
      <w:keepNext/>
      <w:jc w:val="center"/>
      <w:outlineLvl w:val="0"/>
    </w:pPr>
    <w:rPr>
      <w:b/>
      <w:bCs/>
      <w:caps/>
    </w:rPr>
  </w:style>
  <w:style w:type="paragraph" w:styleId="Heading2">
    <w:name w:val="heading 2"/>
    <w:basedOn w:val="Normal"/>
    <w:next w:val="Normal"/>
    <w:qFormat/>
    <w:rsid w:val="00A84C51"/>
    <w:pPr>
      <w:keepNext/>
      <w:jc w:val="center"/>
      <w:outlineLvl w:val="1"/>
    </w:pPr>
    <w:rPr>
      <w:b/>
      <w:bCs/>
      <w: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84C51"/>
    <w:pPr>
      <w:tabs>
        <w:tab w:val="center" w:pos="4986"/>
        <w:tab w:val="right" w:pos="9972"/>
      </w:tabs>
    </w:pPr>
  </w:style>
  <w:style w:type="paragraph" w:styleId="Footer">
    <w:name w:val="footer"/>
    <w:basedOn w:val="Normal"/>
    <w:link w:val="FooterChar"/>
    <w:rsid w:val="00A84C51"/>
    <w:pPr>
      <w:tabs>
        <w:tab w:val="center" w:pos="4986"/>
        <w:tab w:val="right" w:pos="9972"/>
      </w:tabs>
    </w:pPr>
  </w:style>
  <w:style w:type="character" w:styleId="PageNumber">
    <w:name w:val="page number"/>
    <w:basedOn w:val="DefaultParagraphFont"/>
    <w:rsid w:val="00A84C51"/>
  </w:style>
  <w:style w:type="character" w:styleId="Hyperlink">
    <w:name w:val="Hyperlink"/>
    <w:basedOn w:val="DefaultParagraphFont"/>
    <w:rsid w:val="00A84C51"/>
    <w:rPr>
      <w:color w:val="0000FF"/>
      <w:u w:val="single"/>
    </w:rPr>
  </w:style>
  <w:style w:type="paragraph" w:styleId="BalloonText">
    <w:name w:val="Balloon Text"/>
    <w:basedOn w:val="Normal"/>
    <w:semiHidden/>
    <w:rsid w:val="00EC2356"/>
    <w:rPr>
      <w:rFonts w:ascii="Tahoma" w:hAnsi="Tahoma" w:cs="Tahoma"/>
      <w:sz w:val="16"/>
      <w:szCs w:val="16"/>
    </w:rPr>
  </w:style>
  <w:style w:type="character" w:customStyle="1" w:styleId="FooterChar">
    <w:name w:val="Footer Char"/>
    <w:basedOn w:val="DefaultParagraphFont"/>
    <w:link w:val="Footer"/>
    <w:rsid w:val="00737E2D"/>
    <w:rPr>
      <w:sz w:val="24"/>
      <w:szCs w:val="24"/>
      <w:lang w:eastAsia="en-US"/>
    </w:rPr>
  </w:style>
  <w:style w:type="character" w:customStyle="1" w:styleId="Neapdorotaspaminjimas1">
    <w:name w:val="Neapdorotas paminėjimas1"/>
    <w:basedOn w:val="DefaultParagraphFont"/>
    <w:uiPriority w:val="99"/>
    <w:semiHidden/>
    <w:unhideWhenUsed/>
    <w:rsid w:val="00A31E86"/>
    <w:rPr>
      <w:color w:val="605E5C"/>
      <w:shd w:val="clear" w:color="auto" w:fill="E1DFDD"/>
    </w:rPr>
  </w:style>
  <w:style w:type="character" w:styleId="FollowedHyperlink">
    <w:name w:val="FollowedHyperlink"/>
    <w:basedOn w:val="DefaultParagraphFont"/>
    <w:semiHidden/>
    <w:unhideWhenUsed/>
    <w:rsid w:val="00A31E86"/>
    <w:rPr>
      <w:color w:val="800080" w:themeColor="followedHyperlink"/>
      <w:u w:val="single"/>
    </w:rPr>
  </w:style>
  <w:style w:type="table" w:styleId="TableGrid">
    <w:name w:val="Table Grid"/>
    <w:aliases w:val="Table Grid nm,Dossier table,Section 3- footnotes,Summary box,Dossier Table,Legemiddelverket 3,Summary Table,ASD Table,Key messages box,YHEC table,Lash Style Table,Tabellengitternetz 9pt,GW Pharma 2,Table Grid No Line"/>
    <w:basedOn w:val="TableNormal"/>
    <w:rsid w:val="00D42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7012C"/>
    <w:rPr>
      <w:sz w:val="16"/>
      <w:szCs w:val="16"/>
    </w:rPr>
  </w:style>
  <w:style w:type="paragraph" w:styleId="CommentText">
    <w:name w:val="annotation text"/>
    <w:basedOn w:val="Normal"/>
    <w:link w:val="CommentTextChar"/>
    <w:unhideWhenUsed/>
    <w:rsid w:val="00C7012C"/>
    <w:rPr>
      <w:sz w:val="20"/>
      <w:szCs w:val="20"/>
    </w:rPr>
  </w:style>
  <w:style w:type="character" w:customStyle="1" w:styleId="CommentTextChar">
    <w:name w:val="Comment Text Char"/>
    <w:basedOn w:val="DefaultParagraphFont"/>
    <w:link w:val="CommentText"/>
    <w:rsid w:val="00C7012C"/>
    <w:rPr>
      <w:lang w:eastAsia="en-US"/>
    </w:rPr>
  </w:style>
  <w:style w:type="paragraph" w:styleId="CommentSubject">
    <w:name w:val="annotation subject"/>
    <w:basedOn w:val="CommentText"/>
    <w:next w:val="CommentText"/>
    <w:link w:val="CommentSubjectChar"/>
    <w:semiHidden/>
    <w:unhideWhenUsed/>
    <w:rsid w:val="00C7012C"/>
    <w:rPr>
      <w:b/>
      <w:bCs/>
    </w:rPr>
  </w:style>
  <w:style w:type="character" w:customStyle="1" w:styleId="CommentSubjectChar">
    <w:name w:val="Comment Subject Char"/>
    <w:basedOn w:val="CommentTextChar"/>
    <w:link w:val="CommentSubject"/>
    <w:semiHidden/>
    <w:rsid w:val="00C7012C"/>
    <w:rPr>
      <w:b/>
      <w:bCs/>
      <w:lang w:eastAsia="en-US"/>
    </w:rPr>
  </w:style>
  <w:style w:type="paragraph" w:styleId="ListParagraph">
    <w:name w:val="List Paragraph"/>
    <w:aliases w:val="Bullets Points,Table Header Row,Bullet Paragraph,Bullet Point,Dairy Paragraphe,Table Legend,Bullet List,Bullet1,Bullet 1,1. Bullet Blank,Bulleted - 2,List Paragraph CCT minutes,Section 5,Bullet List 2,Colorful List - Accent 11"/>
    <w:basedOn w:val="Normal"/>
    <w:link w:val="ListParagraphChar"/>
    <w:uiPriority w:val="34"/>
    <w:qFormat/>
    <w:rsid w:val="00104E2E"/>
    <w:pPr>
      <w:ind w:left="720"/>
      <w:contextualSpacing/>
    </w:pPr>
  </w:style>
  <w:style w:type="character" w:customStyle="1" w:styleId="Style2">
    <w:name w:val="Style2"/>
    <w:basedOn w:val="DefaultParagraphFont"/>
    <w:uiPriority w:val="1"/>
    <w:rsid w:val="00D6498C"/>
    <w:rPr>
      <w:sz w:val="32"/>
    </w:rPr>
  </w:style>
  <w:style w:type="character" w:styleId="PlaceholderText">
    <w:name w:val="Placeholder Text"/>
    <w:basedOn w:val="DefaultParagraphFont"/>
    <w:uiPriority w:val="99"/>
    <w:rsid w:val="00B13D65"/>
    <w:rPr>
      <w:color w:val="808080"/>
    </w:rPr>
  </w:style>
  <w:style w:type="paragraph" w:styleId="NoSpacing">
    <w:name w:val="No Spacing"/>
    <w:uiPriority w:val="1"/>
    <w:qFormat/>
    <w:rsid w:val="00B13D65"/>
    <w:rPr>
      <w:rFonts w:ascii="Calibri" w:eastAsia="Calibri" w:hAnsi="Calibri"/>
      <w:sz w:val="22"/>
      <w:szCs w:val="22"/>
      <w:lang w:eastAsia="en-US"/>
    </w:rPr>
  </w:style>
  <w:style w:type="table" w:customStyle="1" w:styleId="Lentelstinklelis1">
    <w:name w:val="Lentelės tinklelis1"/>
    <w:basedOn w:val="TableNormal"/>
    <w:next w:val="TableGrid"/>
    <w:rsid w:val="009E44AE"/>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6256"/>
    <w:rPr>
      <w:sz w:val="24"/>
      <w:szCs w:val="24"/>
      <w:lang w:eastAsia="en-US"/>
    </w:rPr>
  </w:style>
  <w:style w:type="character" w:customStyle="1" w:styleId="ListParagraphChar">
    <w:name w:val="List Paragraph Char"/>
    <w:aliases w:val="Bullets Points Char,Table Header Row Char,Bullet Paragraph Char,Bullet Point Char,Dairy Paragraphe Char,Table Legend Char,Bullet List Char,Bullet1 Char,Bullet 1 Char,1. Bullet Blank Char,Bulleted - 2 Char,Section 5 Char"/>
    <w:link w:val="ListParagraph"/>
    <w:uiPriority w:val="34"/>
    <w:qFormat/>
    <w:rsid w:val="00E605A2"/>
    <w:rPr>
      <w:sz w:val="24"/>
      <w:szCs w:val="24"/>
      <w:lang w:eastAsia="en-US"/>
    </w:rPr>
  </w:style>
  <w:style w:type="paragraph" w:customStyle="1" w:styleId="Tekstas">
    <w:name w:val="Tekstas"/>
    <w:basedOn w:val="Normal"/>
    <w:link w:val="TekstasChar"/>
    <w:qFormat/>
    <w:rsid w:val="00EC4FB5"/>
    <w:pPr>
      <w:spacing w:after="120"/>
      <w:jc w:val="both"/>
    </w:pPr>
    <w:rPr>
      <w:color w:val="000000" w:themeColor="text1"/>
      <w:lang w:val="en-US"/>
    </w:rPr>
  </w:style>
  <w:style w:type="character" w:customStyle="1" w:styleId="TekstasChar">
    <w:name w:val="Tekstas Char"/>
    <w:link w:val="Tekstas"/>
    <w:rsid w:val="00EC4FB5"/>
    <w:rPr>
      <w:color w:val="000000" w:themeColor="text1"/>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802146">
      <w:bodyDiv w:val="1"/>
      <w:marLeft w:val="0"/>
      <w:marRight w:val="0"/>
      <w:marTop w:val="0"/>
      <w:marBottom w:val="0"/>
      <w:divBdr>
        <w:top w:val="none" w:sz="0" w:space="0" w:color="auto"/>
        <w:left w:val="none" w:sz="0" w:space="0" w:color="auto"/>
        <w:bottom w:val="none" w:sz="0" w:space="0" w:color="auto"/>
        <w:right w:val="none" w:sz="0" w:space="0" w:color="auto"/>
      </w:divBdr>
    </w:div>
    <w:div w:id="159778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2817</Words>
  <Characters>16057</Characters>
  <Application>Microsoft Office Word</Application>
  <DocSecurity>0</DocSecurity>
  <Lines>133</Lines>
  <Paragraphs>37</Paragraphs>
  <ScaleCrop>false</ScaleCrop>
  <Company/>
  <LinksUpToDate>false</LinksUpToDate>
  <CharactersWithSpaces>18837</CharactersWithSpaces>
  <SharedDoc>false</SharedDoc>
  <HLinks>
    <vt:vector size="6" baseType="variant">
      <vt:variant>
        <vt:i4>5308539</vt:i4>
      </vt:variant>
      <vt:variant>
        <vt:i4>6</vt:i4>
      </vt:variant>
      <vt:variant>
        <vt:i4>0</vt:i4>
      </vt:variant>
      <vt:variant>
        <vt:i4>5</vt:i4>
      </vt:variant>
      <vt:variant>
        <vt:lpwstr>mailto:vvkt@vvkt.lt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2026-05-12T10:50:00Z</dcterms:created>
  <dcterms:modified xsi:type="dcterms:W3CDTF">2026-06-15T16:21:00Z</dcterms:modified>
</cp:coreProperties>
</file>