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E5EB3" w14:textId="1955ADE3" w:rsidR="005F7602" w:rsidRPr="00334F18" w:rsidRDefault="005F7602" w:rsidP="002946C7">
      <w:pPr>
        <w:ind w:left="5529"/>
      </w:pPr>
    </w:p>
    <w:p w14:paraId="12FA4B9E" w14:textId="39AA3336" w:rsidR="001B3C5B" w:rsidRPr="00334F18" w:rsidRDefault="00DC261A" w:rsidP="001B3C5B">
      <w:pPr>
        <w:ind w:left="6096"/>
      </w:pPr>
      <w:bookmarkStart w:id="0" w:name="_Hlk189565243"/>
      <w:r w:rsidRPr="00334F18">
        <w:t>PATVIRTINTA</w:t>
      </w:r>
    </w:p>
    <w:p w14:paraId="7206970B" w14:textId="70E9BD2E" w:rsidR="004C263A" w:rsidRPr="00334F18" w:rsidRDefault="001B3C5B" w:rsidP="001B3C5B">
      <w:pPr>
        <w:ind w:left="6096"/>
      </w:pPr>
      <w:r w:rsidRPr="00334F18">
        <w:t>Valstybinės vaistų kontrolės tarnybos prie Lietuvos Respublikos sveikatos apsaugos ministerijos viršininko 2021 m</w:t>
      </w:r>
      <w:r w:rsidR="004C263A" w:rsidRPr="00334F18">
        <w:t xml:space="preserve">. lapkričio 12 </w:t>
      </w:r>
      <w:r w:rsidRPr="00334F18">
        <w:t>d. įsakymu Nr.</w:t>
      </w:r>
      <w:r w:rsidR="004C263A" w:rsidRPr="00334F18">
        <w:t xml:space="preserve"> (1.72E)1A-1418</w:t>
      </w:r>
    </w:p>
    <w:p w14:paraId="5B219AA6" w14:textId="3A5D6CB4" w:rsidR="001B3C5B" w:rsidRPr="00334F18" w:rsidRDefault="004C263A" w:rsidP="001B3C5B">
      <w:pPr>
        <w:ind w:left="6096"/>
      </w:pPr>
      <w:r w:rsidRPr="00334F18">
        <w:t>(Valstybinės vaistų kontrolės tarnybos prie Lietuvos Respublikos sveikatos apsaugos ministerijos viršininko 202</w:t>
      </w:r>
      <w:r w:rsidR="00A2310D" w:rsidRPr="00334F18">
        <w:t>5</w:t>
      </w:r>
      <w:r w:rsidRPr="00334F18">
        <w:t xml:space="preserve"> m.                         d. įsakymo Nr.                    redakcija)</w:t>
      </w:r>
    </w:p>
    <w:p w14:paraId="3336BD74" w14:textId="77777777" w:rsidR="001B3C5B" w:rsidRPr="00334F18" w:rsidRDefault="001B3C5B" w:rsidP="00FA4169"/>
    <w:p w14:paraId="1C168261" w14:textId="41E1A8C0" w:rsidR="00DC261A" w:rsidRPr="00334F18" w:rsidRDefault="00DC261A" w:rsidP="005401A9">
      <w:pPr>
        <w:rPr>
          <w:b/>
          <w:bCs/>
        </w:rPr>
      </w:pPr>
      <w:bookmarkStart w:id="1" w:name="_Hlk189565260"/>
      <w:bookmarkEnd w:id="0"/>
    </w:p>
    <w:bookmarkEnd w:id="1"/>
    <w:p w14:paraId="56604434" w14:textId="77777777" w:rsidR="00DC261A" w:rsidRPr="00334F18" w:rsidRDefault="00DC261A" w:rsidP="003B211A">
      <w:pPr>
        <w:jc w:val="center"/>
        <w:rPr>
          <w:b/>
        </w:rPr>
      </w:pPr>
    </w:p>
    <w:p w14:paraId="77AFB67E" w14:textId="0FB133A2" w:rsidR="00613501" w:rsidRPr="00334F18" w:rsidRDefault="002F0E4F" w:rsidP="003B211A">
      <w:pPr>
        <w:jc w:val="center"/>
        <w:rPr>
          <w:b/>
          <w:bCs/>
          <w:caps/>
        </w:rPr>
      </w:pPr>
      <w:r w:rsidRPr="00334F18">
        <w:rPr>
          <w:b/>
        </w:rPr>
        <w:t xml:space="preserve">REKOMENDACIJA DĖL VAISTINIO PREPARATO </w:t>
      </w:r>
      <w:r w:rsidRPr="00334F18">
        <w:rPr>
          <w:b/>
          <w:bCs/>
          <w:caps/>
        </w:rPr>
        <w:t>Lietuvos Respublikos Sveikatos apsaugos ministerijos vaistinių preparatų ir medicinos pagalbos priemonių kompensavimo komisijai</w:t>
      </w:r>
    </w:p>
    <w:p w14:paraId="34E4395D" w14:textId="15FB10DF" w:rsidR="00B13D65" w:rsidRPr="00334F18" w:rsidRDefault="00B13D65" w:rsidP="003B211A">
      <w:pPr>
        <w:jc w:val="center"/>
        <w:rPr>
          <w:b/>
        </w:rPr>
      </w:pPr>
    </w:p>
    <w:p w14:paraId="0FAC378D" w14:textId="52797617" w:rsidR="00BF4840" w:rsidRDefault="00BF4840" w:rsidP="00BF4840">
      <w:pPr>
        <w:jc w:val="center"/>
        <w:rPr>
          <w:b/>
        </w:rPr>
      </w:pPr>
      <w:r w:rsidRPr="00876C84">
        <w:rPr>
          <w:b/>
        </w:rPr>
        <w:t>Columvi</w:t>
      </w:r>
      <w:r w:rsidRPr="00876C84">
        <w:t xml:space="preserve"> </w:t>
      </w:r>
      <w:r w:rsidRPr="00876C84">
        <w:rPr>
          <w:b/>
        </w:rPr>
        <w:t>2,5 koncentratas infuziniam tirpalui</w:t>
      </w:r>
    </w:p>
    <w:p w14:paraId="1C56BB7D" w14:textId="5CEC7301" w:rsidR="00D52C44" w:rsidRPr="00876C84" w:rsidRDefault="00D52C44" w:rsidP="00D52C44">
      <w:pPr>
        <w:jc w:val="center"/>
      </w:pPr>
      <w:r w:rsidRPr="00876C84">
        <w:rPr>
          <w:b/>
        </w:rPr>
        <w:t>Columvi</w:t>
      </w:r>
      <w:r w:rsidRPr="00876C84">
        <w:t xml:space="preserve"> </w:t>
      </w:r>
      <w:r w:rsidRPr="00876C84">
        <w:rPr>
          <w:b/>
        </w:rPr>
        <w:t>10 mg koncentratas infuziniam tirpalui</w:t>
      </w:r>
    </w:p>
    <w:p w14:paraId="749BE96C" w14:textId="77777777" w:rsidR="00D52C44" w:rsidRPr="00876C84" w:rsidRDefault="00D52C44" w:rsidP="00BF4840">
      <w:pPr>
        <w:jc w:val="center"/>
      </w:pPr>
    </w:p>
    <w:p w14:paraId="7773FAEE" w14:textId="77777777" w:rsidR="00BF4840" w:rsidRPr="00603B3A" w:rsidRDefault="00BF4840" w:rsidP="00BF4840">
      <w:pPr>
        <w:jc w:val="center"/>
      </w:pPr>
      <w:r>
        <w:rPr>
          <w:b/>
        </w:rPr>
        <w:t>Glofitamabas</w:t>
      </w:r>
    </w:p>
    <w:p w14:paraId="376E7027" w14:textId="77777777" w:rsidR="00BF4840" w:rsidRPr="00603B3A" w:rsidRDefault="00BF4840" w:rsidP="00BF4840">
      <w:pPr>
        <w:jc w:val="center"/>
      </w:pPr>
    </w:p>
    <w:p w14:paraId="22D14D07" w14:textId="513EEB73" w:rsidR="00BF4840" w:rsidRPr="009A0B27" w:rsidRDefault="00BF4840" w:rsidP="00BF4840">
      <w:pPr>
        <w:jc w:val="center"/>
        <w:rPr>
          <w:b/>
        </w:rPr>
      </w:pPr>
      <w:r>
        <w:rPr>
          <w:b/>
        </w:rPr>
        <w:t>STV</w:t>
      </w:r>
      <w:r w:rsidR="00D52C44">
        <w:rPr>
          <w:b/>
        </w:rPr>
        <w:t>-</w:t>
      </w:r>
      <w:r>
        <w:rPr>
          <w:b/>
        </w:rPr>
        <w:t>270</w:t>
      </w:r>
    </w:p>
    <w:p w14:paraId="09EA6495" w14:textId="77777777" w:rsidR="00D458B7" w:rsidRPr="00603B3A" w:rsidRDefault="00D458B7" w:rsidP="00D458B7">
      <w:pPr>
        <w:spacing w:line="280" w:lineRule="atLeast"/>
        <w:jc w:val="center"/>
        <w:rPr>
          <w:rFonts w:eastAsia="Arial"/>
        </w:rPr>
      </w:pPr>
    </w:p>
    <w:p w14:paraId="453197C8" w14:textId="77777777" w:rsidR="00D4708D" w:rsidRPr="00334F18" w:rsidRDefault="00D4708D" w:rsidP="003B211A">
      <w:pPr>
        <w:jc w:val="center"/>
        <w:rPr>
          <w:b/>
        </w:rPr>
      </w:pPr>
    </w:p>
    <w:p w14:paraId="78C89D1C" w14:textId="0DEFFAA5" w:rsidR="00D4485B" w:rsidRPr="00334F18" w:rsidRDefault="00B13D65" w:rsidP="00CC09D4">
      <w:pPr>
        <w:pStyle w:val="ListParagraph"/>
        <w:numPr>
          <w:ilvl w:val="0"/>
          <w:numId w:val="12"/>
        </w:numPr>
        <w:tabs>
          <w:tab w:val="left" w:pos="567"/>
        </w:tabs>
        <w:ind w:left="567" w:hanging="567"/>
        <w:rPr>
          <w:b/>
          <w:bCs/>
          <w:caps/>
        </w:rPr>
      </w:pPr>
      <w:r w:rsidRPr="00334F18">
        <w:rPr>
          <w:b/>
          <w:bCs/>
          <w:caps/>
        </w:rPr>
        <w:t>Bendroji dalis</w:t>
      </w:r>
    </w:p>
    <w:p w14:paraId="04A7C7A7" w14:textId="77777777" w:rsidR="00B13D65" w:rsidRPr="00334F18" w:rsidRDefault="00B13D65" w:rsidP="00E03C3F">
      <w:pPr>
        <w:pStyle w:val="ListParagraph"/>
        <w:tabs>
          <w:tab w:val="left" w:pos="284"/>
        </w:tabs>
        <w:ind w:left="0"/>
        <w:rPr>
          <w:b/>
          <w:bCs/>
          <w:caps/>
        </w:rPr>
      </w:pPr>
    </w:p>
    <w:tbl>
      <w:tblPr>
        <w:tblStyle w:val="TableGrid"/>
        <w:tblW w:w="9493" w:type="dxa"/>
        <w:tblLook w:val="04A0" w:firstRow="1" w:lastRow="0" w:firstColumn="1" w:lastColumn="0" w:noHBand="0" w:noVBand="1"/>
      </w:tblPr>
      <w:tblGrid>
        <w:gridCol w:w="632"/>
        <w:gridCol w:w="3899"/>
        <w:gridCol w:w="4962"/>
      </w:tblGrid>
      <w:tr w:rsidR="00334F18" w:rsidRPr="00334F18" w14:paraId="16A7BC7B" w14:textId="77777777" w:rsidTr="003F3FFF">
        <w:trPr>
          <w:trHeight w:val="538"/>
        </w:trPr>
        <w:tc>
          <w:tcPr>
            <w:tcW w:w="632" w:type="dxa"/>
          </w:tcPr>
          <w:p w14:paraId="4572808D" w14:textId="77777777" w:rsidR="00E70CED" w:rsidRPr="00334F18" w:rsidRDefault="00E70CED" w:rsidP="001F115E">
            <w:pPr>
              <w:rPr>
                <w:rFonts w:eastAsia="Arial"/>
                <w:b/>
                <w:bCs/>
              </w:rPr>
            </w:pPr>
            <w:r w:rsidRPr="00334F18">
              <w:rPr>
                <w:rFonts w:eastAsia="Arial"/>
                <w:b/>
                <w:bCs/>
              </w:rPr>
              <w:t>1.1</w:t>
            </w:r>
          </w:p>
        </w:tc>
        <w:tc>
          <w:tcPr>
            <w:tcW w:w="3899" w:type="dxa"/>
          </w:tcPr>
          <w:p w14:paraId="54BA6EB3" w14:textId="77777777" w:rsidR="00E70CED" w:rsidRPr="00334F18" w:rsidRDefault="00E70CED" w:rsidP="001F115E">
            <w:pPr>
              <w:rPr>
                <w:rFonts w:eastAsia="Arial"/>
                <w:b/>
                <w:bCs/>
              </w:rPr>
            </w:pPr>
            <w:r w:rsidRPr="00334F18">
              <w:rPr>
                <w:rFonts w:eastAsia="Arial"/>
                <w:b/>
                <w:bCs/>
              </w:rPr>
              <w:t>Pareiškėjas/ pareiškėjo atstovas</w:t>
            </w:r>
          </w:p>
        </w:tc>
        <w:tc>
          <w:tcPr>
            <w:tcW w:w="4962" w:type="dxa"/>
          </w:tcPr>
          <w:p w14:paraId="0F359BD4" w14:textId="6BBD98B1" w:rsidR="00E70CED" w:rsidRPr="00334F18" w:rsidRDefault="00BF4840" w:rsidP="00772F40">
            <w:pPr>
              <w:tabs>
                <w:tab w:val="left" w:pos="1756"/>
              </w:tabs>
              <w:rPr>
                <w:rFonts w:eastAsia="Arial"/>
              </w:rPr>
            </w:pPr>
            <w:r w:rsidRPr="00876C84">
              <w:t>UAB „Roche Lietuva”</w:t>
            </w:r>
          </w:p>
        </w:tc>
      </w:tr>
      <w:tr w:rsidR="00334F18" w:rsidRPr="00334F18" w14:paraId="101EA148" w14:textId="77777777" w:rsidTr="003F3FFF">
        <w:trPr>
          <w:trHeight w:val="538"/>
        </w:trPr>
        <w:tc>
          <w:tcPr>
            <w:tcW w:w="632" w:type="dxa"/>
          </w:tcPr>
          <w:p w14:paraId="3BF67175" w14:textId="77777777" w:rsidR="00E70CED" w:rsidRPr="00334F18" w:rsidRDefault="00E70CED" w:rsidP="001F115E">
            <w:pPr>
              <w:rPr>
                <w:rFonts w:eastAsia="Arial"/>
                <w:b/>
                <w:bCs/>
              </w:rPr>
            </w:pPr>
            <w:r w:rsidRPr="00334F18">
              <w:rPr>
                <w:rFonts w:eastAsia="Arial"/>
                <w:b/>
                <w:bCs/>
              </w:rPr>
              <w:t>1.2</w:t>
            </w:r>
          </w:p>
        </w:tc>
        <w:tc>
          <w:tcPr>
            <w:tcW w:w="3899" w:type="dxa"/>
          </w:tcPr>
          <w:p w14:paraId="786B66DF" w14:textId="77777777" w:rsidR="00E70CED" w:rsidRPr="00334F18" w:rsidRDefault="00E70CED" w:rsidP="001F115E">
            <w:pPr>
              <w:rPr>
                <w:b/>
                <w:bCs/>
                <w:lang w:eastAsia="lt-LT"/>
              </w:rPr>
            </w:pPr>
            <w:r w:rsidRPr="00334F18">
              <w:rPr>
                <w:b/>
                <w:bCs/>
                <w:lang w:eastAsia="lt-LT"/>
              </w:rPr>
              <w:t xml:space="preserve">Vaistinio preparato registracijos data </w:t>
            </w:r>
          </w:p>
          <w:p w14:paraId="4B568341" w14:textId="77777777" w:rsidR="00E70CED" w:rsidRPr="00334F18" w:rsidRDefault="00E70CED" w:rsidP="001F115E">
            <w:pPr>
              <w:rPr>
                <w:b/>
                <w:bCs/>
                <w:lang w:eastAsia="lt-LT"/>
              </w:rPr>
            </w:pPr>
          </w:p>
        </w:tc>
        <w:tc>
          <w:tcPr>
            <w:tcW w:w="4962" w:type="dxa"/>
          </w:tcPr>
          <w:p w14:paraId="50F63366" w14:textId="5A95760F" w:rsidR="00E70CED" w:rsidRPr="00334F18" w:rsidRDefault="00000000" w:rsidP="001F115E">
            <w:pPr>
              <w:rPr>
                <w:rStyle w:val="Style2"/>
              </w:rPr>
            </w:pPr>
            <w:sdt>
              <w:sdtPr>
                <w:rPr>
                  <w:sz w:val="32"/>
                </w:rPr>
                <w:alias w:val="Nurodykite konkrečią dieną"/>
                <w:tag w:val="Nurodykite pradžios datą"/>
                <w:id w:val="1772196685"/>
                <w:placeholder>
                  <w:docPart w:val="9F03AA1B603F47D3BD40A45F2A0F7814"/>
                </w:placeholder>
                <w15:color w:val="FFCC99"/>
                <w:date>
                  <w:dateFormat w:val="yyyy 'm.' MMMM d 'd.'"/>
                  <w:lid w:val="lt-LT"/>
                  <w:storeMappedDataAs w:val="dateTime"/>
                  <w:calendar w:val="gregorian"/>
                </w:date>
              </w:sdtPr>
              <w:sdtEndPr>
                <w:rPr>
                  <w:sz w:val="24"/>
                </w:rPr>
              </w:sdtEndPr>
              <w:sdtContent>
                <w:r w:rsidR="004F13E6" w:rsidRPr="004F13E6">
                  <w:t>2023 m. liepos 7 d.</w:t>
                </w:r>
              </w:sdtContent>
            </w:sdt>
          </w:p>
        </w:tc>
      </w:tr>
      <w:tr w:rsidR="00334F18" w:rsidRPr="00334F18" w14:paraId="3D70E0FA" w14:textId="77777777" w:rsidTr="001F115E">
        <w:trPr>
          <w:trHeight w:val="1643"/>
        </w:trPr>
        <w:tc>
          <w:tcPr>
            <w:tcW w:w="632" w:type="dxa"/>
          </w:tcPr>
          <w:p w14:paraId="021DF6BD" w14:textId="77777777" w:rsidR="00E70CED" w:rsidRPr="00334F18" w:rsidRDefault="00E70CED" w:rsidP="001F115E">
            <w:pPr>
              <w:rPr>
                <w:rFonts w:eastAsia="Arial"/>
                <w:b/>
                <w:bCs/>
              </w:rPr>
            </w:pPr>
            <w:r w:rsidRPr="00334F18">
              <w:rPr>
                <w:rFonts w:eastAsia="Arial"/>
                <w:b/>
                <w:bCs/>
              </w:rPr>
              <w:t>1.3</w:t>
            </w:r>
          </w:p>
        </w:tc>
        <w:tc>
          <w:tcPr>
            <w:tcW w:w="3899" w:type="dxa"/>
          </w:tcPr>
          <w:p w14:paraId="528F713F" w14:textId="77777777" w:rsidR="00E70CED" w:rsidRPr="00334F18" w:rsidRDefault="00E70CED" w:rsidP="001F115E">
            <w:pPr>
              <w:pStyle w:val="NoSpacing"/>
              <w:rPr>
                <w:rFonts w:ascii="Times New Roman" w:hAnsi="Times New Roman"/>
                <w:b/>
                <w:sz w:val="24"/>
                <w:szCs w:val="24"/>
                <w:shd w:val="clear" w:color="auto" w:fill="FFFFFF"/>
              </w:rPr>
            </w:pPr>
            <w:r w:rsidRPr="00334F18">
              <w:rPr>
                <w:rFonts w:ascii="Times New Roman" w:hAnsi="Times New Roman"/>
                <w:b/>
                <w:sz w:val="24"/>
                <w:szCs w:val="24"/>
              </w:rPr>
              <w:t xml:space="preserve">Vaistinio preparato </w:t>
            </w:r>
            <w:r w:rsidRPr="00334F18">
              <w:rPr>
                <w:rFonts w:ascii="Times New Roman" w:hAnsi="Times New Roman"/>
                <w:b/>
                <w:sz w:val="24"/>
                <w:szCs w:val="24"/>
                <w:shd w:val="clear" w:color="auto" w:fill="FFFFFF"/>
              </w:rPr>
              <w:t>registracijos teisinis pagrindas</w:t>
            </w:r>
          </w:p>
          <w:p w14:paraId="63F86DC1" w14:textId="77777777" w:rsidR="00E70CED" w:rsidRPr="00334F18" w:rsidRDefault="00E70CED" w:rsidP="001F115E">
            <w:pPr>
              <w:pStyle w:val="NoSpacing"/>
              <w:rPr>
                <w:rFonts w:ascii="Times New Roman" w:hAnsi="Times New Roman"/>
                <w:b/>
                <w:bCs/>
                <w:sz w:val="24"/>
                <w:szCs w:val="24"/>
                <w:lang w:eastAsia="lt-LT"/>
              </w:rPr>
            </w:pPr>
            <w:r w:rsidRPr="00334F18">
              <w:rPr>
                <w:rFonts w:ascii="Times New Roman" w:hAnsi="Times New Roman"/>
                <w:b/>
                <w:sz w:val="24"/>
                <w:szCs w:val="24"/>
                <w:shd w:val="clear" w:color="auto" w:fill="FFFFFF"/>
              </w:rPr>
              <w:t>(</w:t>
            </w:r>
            <w:r w:rsidRPr="00334F18">
              <w:rPr>
                <w:rFonts w:ascii="Times New Roman" w:hAnsi="Times New Roman"/>
                <w:b/>
                <w:sz w:val="24"/>
                <w:szCs w:val="24"/>
              </w:rPr>
              <w:t>Direktyvos 2001/83/EB str.)</w:t>
            </w:r>
          </w:p>
        </w:tc>
        <w:tc>
          <w:tcPr>
            <w:tcW w:w="4962" w:type="dxa"/>
          </w:tcPr>
          <w:p w14:paraId="4C977D39" w14:textId="5273D2AD" w:rsidR="00E70CED" w:rsidRPr="00334F18" w:rsidRDefault="00000000" w:rsidP="001F115E">
            <w:sdt>
              <w:sdtPr>
                <w:rPr>
                  <w:rStyle w:val="Style2"/>
                  <w:sz w:val="24"/>
                </w:rPr>
                <w:id w:val="526292078"/>
                <w15:color w:val="FFCC00"/>
                <w14:checkbox>
                  <w14:checked w14:val="1"/>
                  <w14:checkedState w14:val="2612" w14:font="MS Gothic"/>
                  <w14:uncheckedState w14:val="2610" w14:font="MS Gothic"/>
                </w14:checkbox>
              </w:sdtPr>
              <w:sdtContent>
                <w:r w:rsidR="004F13E6">
                  <w:rPr>
                    <w:rStyle w:val="Style2"/>
                    <w:rFonts w:ascii="MS Gothic" w:eastAsia="MS Gothic" w:hAnsi="MS Gothic" w:hint="eastAsia"/>
                    <w:sz w:val="24"/>
                  </w:rPr>
                  <w:t>☒</w:t>
                </w:r>
              </w:sdtContent>
            </w:sdt>
            <w:r w:rsidR="00E70CED" w:rsidRPr="00334F18">
              <w:t>8.3 str. (pilna byla, pagrįsta savais tyrimais)</w:t>
            </w:r>
          </w:p>
          <w:p w14:paraId="6AABD410" w14:textId="77777777" w:rsidR="00E70CED" w:rsidRPr="00334F18" w:rsidRDefault="00000000" w:rsidP="001F115E">
            <w:sdt>
              <w:sdtPr>
                <w:rPr>
                  <w:rStyle w:val="Style2"/>
                  <w:sz w:val="24"/>
                </w:rPr>
                <w:id w:val="-1497953736"/>
                <w15:color w:val="FFCC00"/>
                <w14:checkbox>
                  <w14:checked w14:val="0"/>
                  <w14:checkedState w14:val="2612" w14:font="MS Gothic"/>
                  <w14:uncheckedState w14:val="2610" w14:font="MS Gothic"/>
                </w14:checkbox>
              </w:sdtPr>
              <w:sdtContent>
                <w:r w:rsidR="00E70CED" w:rsidRPr="00334F18">
                  <w:rPr>
                    <w:rStyle w:val="Style2"/>
                    <w:rFonts w:ascii="Segoe UI Symbol" w:eastAsia="MS Gothic" w:hAnsi="Segoe UI Symbol" w:cs="Segoe UI Symbol"/>
                    <w:sz w:val="24"/>
                  </w:rPr>
                  <w:t>☐</w:t>
                </w:r>
              </w:sdtContent>
            </w:sdt>
            <w:r w:rsidR="00E70CED" w:rsidRPr="00334F18">
              <w:t>10 a str. (pripažintas medicininis vartojimas)</w:t>
            </w:r>
          </w:p>
          <w:p w14:paraId="5CF35A47" w14:textId="77777777" w:rsidR="00E70CED" w:rsidRPr="00334F18" w:rsidRDefault="00000000" w:rsidP="001F115E">
            <w:sdt>
              <w:sdtPr>
                <w:rPr>
                  <w:rStyle w:val="Style2"/>
                  <w:sz w:val="24"/>
                </w:rPr>
                <w:id w:val="204142496"/>
                <w15:color w:val="FFCC00"/>
                <w14:checkbox>
                  <w14:checked w14:val="0"/>
                  <w14:checkedState w14:val="2612" w14:font="MS Gothic"/>
                  <w14:uncheckedState w14:val="2610" w14:font="MS Gothic"/>
                </w14:checkbox>
              </w:sdtPr>
              <w:sdtContent>
                <w:r w:rsidR="00E70CED" w:rsidRPr="00334F18">
                  <w:rPr>
                    <w:rStyle w:val="Style2"/>
                    <w:rFonts w:ascii="Segoe UI Symbol" w:eastAsia="MS Gothic" w:hAnsi="Segoe UI Symbol" w:cs="Segoe UI Symbol"/>
                    <w:sz w:val="24"/>
                  </w:rPr>
                  <w:t>☐</w:t>
                </w:r>
              </w:sdtContent>
            </w:sdt>
            <w:r w:rsidR="00E70CED" w:rsidRPr="00334F18">
              <w:t>10.1 str. (generinis)</w:t>
            </w:r>
          </w:p>
          <w:p w14:paraId="0517A1B2" w14:textId="77777777" w:rsidR="00E70CED" w:rsidRPr="00334F18" w:rsidRDefault="00000000" w:rsidP="001F115E">
            <w:sdt>
              <w:sdtPr>
                <w:rPr>
                  <w:rStyle w:val="Style2"/>
                  <w:sz w:val="24"/>
                </w:rPr>
                <w:id w:val="820305101"/>
                <w15:color w:val="FFCC00"/>
                <w14:checkbox>
                  <w14:checked w14:val="0"/>
                  <w14:checkedState w14:val="2612" w14:font="MS Gothic"/>
                  <w14:uncheckedState w14:val="2610" w14:font="MS Gothic"/>
                </w14:checkbox>
              </w:sdtPr>
              <w:sdtContent>
                <w:r w:rsidR="00E70CED" w:rsidRPr="00334F18">
                  <w:rPr>
                    <w:rStyle w:val="Style2"/>
                    <w:rFonts w:ascii="Segoe UI Symbol" w:eastAsia="MS Gothic" w:hAnsi="Segoe UI Symbol" w:cs="Segoe UI Symbol"/>
                    <w:sz w:val="24"/>
                  </w:rPr>
                  <w:t>☐</w:t>
                </w:r>
              </w:sdtContent>
            </w:sdt>
            <w:r w:rsidR="00E70CED" w:rsidRPr="00334F18">
              <w:t>10.3 str. (hibridinis)</w:t>
            </w:r>
          </w:p>
          <w:p w14:paraId="0F37DDE0" w14:textId="3B0EE391" w:rsidR="00063A50" w:rsidRPr="00334F18" w:rsidRDefault="00000000" w:rsidP="00063A50">
            <w:sdt>
              <w:sdtPr>
                <w:rPr>
                  <w:rStyle w:val="Style2"/>
                  <w:sz w:val="24"/>
                </w:rPr>
                <w:id w:val="1800953328"/>
                <w15:color w:val="FFCC00"/>
                <w14:checkbox>
                  <w14:checked w14:val="0"/>
                  <w14:checkedState w14:val="2612" w14:font="MS Gothic"/>
                  <w14:uncheckedState w14:val="2610" w14:font="MS Gothic"/>
                </w14:checkbox>
              </w:sdtPr>
              <w:sdtContent>
                <w:r w:rsidR="004F13E6">
                  <w:rPr>
                    <w:rStyle w:val="Style2"/>
                    <w:rFonts w:ascii="MS Gothic" w:eastAsia="MS Gothic" w:hAnsi="MS Gothic" w:hint="eastAsia"/>
                    <w:sz w:val="24"/>
                  </w:rPr>
                  <w:t>☐</w:t>
                </w:r>
              </w:sdtContent>
            </w:sdt>
            <w:r w:rsidR="00063A50" w:rsidRPr="00334F18">
              <w:t>10.4 str. (panašus biologinis)</w:t>
            </w:r>
          </w:p>
          <w:p w14:paraId="7EDB4848" w14:textId="77777777" w:rsidR="00063A50" w:rsidRPr="00334F18" w:rsidRDefault="00063A50" w:rsidP="001F115E">
            <w:pPr>
              <w:rPr>
                <w:rStyle w:val="Style2"/>
                <w:sz w:val="24"/>
              </w:rPr>
            </w:pPr>
          </w:p>
        </w:tc>
      </w:tr>
      <w:tr w:rsidR="00334F18" w:rsidRPr="00334F18" w14:paraId="31641941" w14:textId="77777777" w:rsidTr="003F3FFF">
        <w:trPr>
          <w:trHeight w:val="1011"/>
        </w:trPr>
        <w:tc>
          <w:tcPr>
            <w:tcW w:w="632" w:type="dxa"/>
          </w:tcPr>
          <w:p w14:paraId="2E73A32C" w14:textId="77777777" w:rsidR="00E70CED" w:rsidRPr="00334F18" w:rsidRDefault="00E70CED" w:rsidP="001F115E">
            <w:pPr>
              <w:rPr>
                <w:rFonts w:eastAsia="Arial"/>
                <w:b/>
                <w:bCs/>
              </w:rPr>
            </w:pPr>
            <w:r w:rsidRPr="00334F18">
              <w:rPr>
                <w:rFonts w:eastAsia="Arial"/>
                <w:b/>
              </w:rPr>
              <w:t>1.4</w:t>
            </w:r>
          </w:p>
        </w:tc>
        <w:tc>
          <w:tcPr>
            <w:tcW w:w="3899" w:type="dxa"/>
          </w:tcPr>
          <w:p w14:paraId="2547AC59" w14:textId="77777777" w:rsidR="00E70CED" w:rsidRPr="00334F18" w:rsidRDefault="00E70CED" w:rsidP="001F115E">
            <w:pPr>
              <w:tabs>
                <w:tab w:val="left" w:pos="284"/>
              </w:tabs>
              <w:rPr>
                <w:b/>
                <w:bCs/>
                <w:lang w:eastAsia="lt-LT"/>
              </w:rPr>
            </w:pPr>
            <w:r w:rsidRPr="00334F18">
              <w:rPr>
                <w:b/>
                <w:bCs/>
                <w:lang w:eastAsia="lt-LT"/>
              </w:rPr>
              <w:t>Ar vaistinis preparatas įrašytas į Bendrijos retųjų vaistinių preparatų registrą?</w:t>
            </w:r>
          </w:p>
        </w:tc>
        <w:tc>
          <w:tcPr>
            <w:tcW w:w="4962" w:type="dxa"/>
          </w:tcPr>
          <w:p w14:paraId="49AB923F" w14:textId="256C93E8" w:rsidR="00E70CED" w:rsidRPr="00334F18" w:rsidRDefault="00000000" w:rsidP="001F115E">
            <w:sdt>
              <w:sdtPr>
                <w:rPr>
                  <w:rStyle w:val="Style2"/>
                  <w:sz w:val="24"/>
                </w:rPr>
                <w:id w:val="1190730465"/>
                <w15:color w:val="FFCC00"/>
                <w14:checkbox>
                  <w14:checked w14:val="1"/>
                  <w14:checkedState w14:val="2612" w14:font="MS Gothic"/>
                  <w14:uncheckedState w14:val="2610" w14:font="MS Gothic"/>
                </w14:checkbox>
              </w:sdtPr>
              <w:sdtContent>
                <w:r w:rsidR="004F13E6">
                  <w:rPr>
                    <w:rStyle w:val="Style2"/>
                    <w:rFonts w:ascii="MS Gothic" w:eastAsia="MS Gothic" w:hAnsi="MS Gothic" w:hint="eastAsia"/>
                    <w:sz w:val="24"/>
                  </w:rPr>
                  <w:t>☒</w:t>
                </w:r>
              </w:sdtContent>
            </w:sdt>
            <w:r w:rsidR="00E70CED" w:rsidRPr="00334F18">
              <w:t xml:space="preserve"> Taip       </w:t>
            </w:r>
            <w:r w:rsidR="00E70CED" w:rsidRPr="00334F18">
              <w:rPr>
                <w:rStyle w:val="Style2"/>
                <w:sz w:val="24"/>
              </w:rPr>
              <w:t xml:space="preserve"> </w:t>
            </w:r>
            <w:sdt>
              <w:sdtPr>
                <w:rPr>
                  <w:rStyle w:val="Style2"/>
                  <w:sz w:val="24"/>
                </w:rPr>
                <w:id w:val="-1760283509"/>
                <w15:color w:val="FFCC00"/>
                <w14:checkbox>
                  <w14:checked w14:val="0"/>
                  <w14:checkedState w14:val="2612" w14:font="MS Gothic"/>
                  <w14:uncheckedState w14:val="2610" w14:font="MS Gothic"/>
                </w14:checkbox>
              </w:sdtPr>
              <w:sdtContent>
                <w:r w:rsidR="004F13E6">
                  <w:rPr>
                    <w:rStyle w:val="Style2"/>
                    <w:rFonts w:ascii="MS Gothic" w:eastAsia="MS Gothic" w:hAnsi="MS Gothic" w:hint="eastAsia"/>
                    <w:sz w:val="24"/>
                  </w:rPr>
                  <w:t>☐</w:t>
                </w:r>
              </w:sdtContent>
            </w:sdt>
            <w:r w:rsidR="00E70CED" w:rsidRPr="00334F18">
              <w:t xml:space="preserve"> Ne</w:t>
            </w:r>
          </w:p>
          <w:p w14:paraId="56165267" w14:textId="30135285" w:rsidR="00E70CED" w:rsidRPr="00334F18" w:rsidRDefault="00E70CED" w:rsidP="001F115E">
            <w:pPr>
              <w:rPr>
                <w:rFonts w:eastAsia="Arial"/>
              </w:rPr>
            </w:pPr>
            <w:r w:rsidRPr="00334F18">
              <w:t xml:space="preserve">Data: </w:t>
            </w:r>
            <w:sdt>
              <w:sdtPr>
                <w:alias w:val="Nurodykite konkrečią dieną"/>
                <w:tag w:val="Nurodykite pradžios datą"/>
                <w:id w:val="1784158105"/>
                <w:placeholder>
                  <w:docPart w:val="93D7EBE30A7F432F9AB1114CDC0B27A0"/>
                </w:placeholder>
                <w15:color w:val="FFCC99"/>
                <w:date>
                  <w:dateFormat w:val="yyyy 'm.' MMMM d 'd.'"/>
                  <w:lid w:val="lt-LT"/>
                  <w:storeMappedDataAs w:val="dateTime"/>
                  <w:calendar w:val="gregorian"/>
                </w:date>
              </w:sdtPr>
              <w:sdtContent>
                <w:r w:rsidR="004F13E6">
                  <w:t>2021 m. spalio 15 d.</w:t>
                </w:r>
              </w:sdtContent>
            </w:sdt>
          </w:p>
        </w:tc>
      </w:tr>
      <w:tr w:rsidR="00334F18" w:rsidRPr="00334F18" w14:paraId="5E0775EB" w14:textId="77777777" w:rsidTr="003F3FFF">
        <w:trPr>
          <w:trHeight w:val="1011"/>
        </w:trPr>
        <w:tc>
          <w:tcPr>
            <w:tcW w:w="632" w:type="dxa"/>
          </w:tcPr>
          <w:p w14:paraId="6829924D" w14:textId="77777777" w:rsidR="00E70CED" w:rsidRPr="00334F18" w:rsidRDefault="00E70CED" w:rsidP="001F115E">
            <w:pPr>
              <w:rPr>
                <w:rFonts w:eastAsia="Arial"/>
                <w:b/>
              </w:rPr>
            </w:pPr>
            <w:r w:rsidRPr="00334F18">
              <w:rPr>
                <w:rFonts w:eastAsia="Arial"/>
                <w:b/>
                <w:bCs/>
              </w:rPr>
              <w:t>1.5</w:t>
            </w:r>
          </w:p>
        </w:tc>
        <w:tc>
          <w:tcPr>
            <w:tcW w:w="3899" w:type="dxa"/>
          </w:tcPr>
          <w:p w14:paraId="1DDE7CF3" w14:textId="2FF7A402" w:rsidR="00E70CED" w:rsidRPr="00334F18" w:rsidRDefault="00E70CED" w:rsidP="001F115E">
            <w:pPr>
              <w:tabs>
                <w:tab w:val="left" w:pos="284"/>
              </w:tabs>
              <w:rPr>
                <w:b/>
                <w:bCs/>
                <w:lang w:eastAsia="lt-LT"/>
              </w:rPr>
            </w:pPr>
            <w:r w:rsidRPr="00334F18">
              <w:rPr>
                <w:b/>
                <w:bCs/>
                <w:lang w:eastAsia="lt-LT"/>
              </w:rPr>
              <w:t>Ar atliktas bendras klinikinis vertinimas</w:t>
            </w:r>
          </w:p>
          <w:p w14:paraId="0961228D" w14:textId="77777777" w:rsidR="00E70CED" w:rsidRPr="00334F18" w:rsidRDefault="00E70CED" w:rsidP="001F115E">
            <w:pPr>
              <w:tabs>
                <w:tab w:val="left" w:pos="284"/>
              </w:tabs>
              <w:rPr>
                <w:b/>
                <w:bCs/>
                <w:lang w:eastAsia="lt-LT"/>
              </w:rPr>
            </w:pPr>
            <w:r w:rsidRPr="00334F18">
              <w:rPr>
                <w:b/>
                <w:bCs/>
                <w:lang w:eastAsia="lt-LT"/>
              </w:rPr>
              <w:t>(Europos Parlamento ir Tarybos reglamentas (ES) 2021/2282)</w:t>
            </w:r>
          </w:p>
          <w:p w14:paraId="7B6C3C1B" w14:textId="77777777" w:rsidR="00336238" w:rsidRPr="00334F18" w:rsidRDefault="00336238" w:rsidP="001F115E">
            <w:pPr>
              <w:tabs>
                <w:tab w:val="left" w:pos="284"/>
              </w:tabs>
              <w:rPr>
                <w:b/>
                <w:bCs/>
                <w:lang w:eastAsia="lt-LT"/>
              </w:rPr>
            </w:pPr>
          </w:p>
        </w:tc>
        <w:tc>
          <w:tcPr>
            <w:tcW w:w="4962" w:type="dxa"/>
          </w:tcPr>
          <w:p w14:paraId="024AE31B" w14:textId="5D428604" w:rsidR="00E70CED" w:rsidRPr="00334F18" w:rsidRDefault="00000000" w:rsidP="001F115E">
            <w:sdt>
              <w:sdtPr>
                <w:rPr>
                  <w:rStyle w:val="Style2"/>
                  <w:sz w:val="24"/>
                </w:rPr>
                <w:id w:val="-1171564470"/>
                <w15:color w:val="FFCC00"/>
                <w14:checkbox>
                  <w14:checked w14:val="0"/>
                  <w14:checkedState w14:val="2612" w14:font="MS Gothic"/>
                  <w14:uncheckedState w14:val="2610" w14:font="MS Gothic"/>
                </w14:checkbox>
              </w:sdtPr>
              <w:sdtContent>
                <w:r w:rsidR="00E70CED" w:rsidRPr="00334F18">
                  <w:rPr>
                    <w:rStyle w:val="Style2"/>
                    <w:rFonts w:ascii="Segoe UI Symbol" w:eastAsia="MS Gothic" w:hAnsi="Segoe UI Symbol" w:cs="Segoe UI Symbol"/>
                    <w:sz w:val="24"/>
                  </w:rPr>
                  <w:t>☐</w:t>
                </w:r>
              </w:sdtContent>
            </w:sdt>
            <w:r w:rsidR="00E70CED" w:rsidRPr="00334F18">
              <w:t xml:space="preserve"> Taip       </w:t>
            </w:r>
            <w:r w:rsidR="00E70CED" w:rsidRPr="00334F18">
              <w:rPr>
                <w:rStyle w:val="Style2"/>
                <w:sz w:val="24"/>
              </w:rPr>
              <w:t xml:space="preserve"> </w:t>
            </w:r>
            <w:sdt>
              <w:sdtPr>
                <w:rPr>
                  <w:rStyle w:val="Style2"/>
                  <w:sz w:val="24"/>
                </w:rPr>
                <w:id w:val="1448122567"/>
                <w15:color w:val="FFCC00"/>
                <w14:checkbox>
                  <w14:checked w14:val="1"/>
                  <w14:checkedState w14:val="2612" w14:font="MS Gothic"/>
                  <w14:uncheckedState w14:val="2610" w14:font="MS Gothic"/>
                </w14:checkbox>
              </w:sdtPr>
              <w:sdtContent>
                <w:r w:rsidR="00772F40">
                  <w:rPr>
                    <w:rStyle w:val="Style2"/>
                    <w:rFonts w:ascii="MS Gothic" w:eastAsia="MS Gothic" w:hAnsi="MS Gothic" w:hint="eastAsia"/>
                    <w:sz w:val="24"/>
                  </w:rPr>
                  <w:t>☒</w:t>
                </w:r>
              </w:sdtContent>
            </w:sdt>
            <w:r w:rsidR="00E70CED" w:rsidRPr="00334F18">
              <w:t xml:space="preserve"> Ne</w:t>
            </w:r>
          </w:p>
          <w:p w14:paraId="0DF729B3" w14:textId="042856F7" w:rsidR="00E70CED" w:rsidRPr="00334F18" w:rsidRDefault="00E70CED" w:rsidP="001F115E">
            <w:pPr>
              <w:rPr>
                <w:rStyle w:val="Style2"/>
                <w:sz w:val="24"/>
              </w:rPr>
            </w:pPr>
            <w:r w:rsidRPr="00334F18">
              <w:t xml:space="preserve">Data: </w:t>
            </w:r>
            <w:sdt>
              <w:sdtPr>
                <w:alias w:val="Nurodykite konkrečią dieną"/>
                <w:tag w:val="Nurodykite pradžios datą"/>
                <w:id w:val="1516880001"/>
                <w:placeholder>
                  <w:docPart w:val="313EC56AA2FD440FAB92ED675BD36BA0"/>
                </w:placeholder>
                <w:showingPlcHdr/>
                <w15:color w:val="FFCC99"/>
                <w:date w:fullDate="2022-05-18T00:00:00Z">
                  <w:dateFormat w:val="yyyy 'm.' MMMM d 'd.'"/>
                  <w:lid w:val="lt-LT"/>
                  <w:storeMappedDataAs w:val="dateTime"/>
                  <w:calendar w:val="gregorian"/>
                </w:date>
              </w:sdtPr>
              <w:sdtContent>
                <w:r w:rsidRPr="00334F18">
                  <w:rPr>
                    <w:rStyle w:val="PlaceholderText"/>
                    <w:color w:val="auto"/>
                  </w:rPr>
                  <w:t>Click here to enter a date.</w:t>
                </w:r>
              </w:sdtContent>
            </w:sdt>
            <w:r w:rsidRPr="00334F18">
              <w:t xml:space="preserve"> </w:t>
            </w:r>
          </w:p>
        </w:tc>
      </w:tr>
      <w:tr w:rsidR="00334F18" w:rsidRPr="00334F18" w14:paraId="15E36E93" w14:textId="77777777" w:rsidTr="003F3FFF">
        <w:trPr>
          <w:trHeight w:val="1278"/>
        </w:trPr>
        <w:tc>
          <w:tcPr>
            <w:tcW w:w="632" w:type="dxa"/>
          </w:tcPr>
          <w:p w14:paraId="5F43AA8F" w14:textId="77777777" w:rsidR="00E70CED" w:rsidRPr="00334F18" w:rsidRDefault="00E70CED" w:rsidP="001F115E">
            <w:pPr>
              <w:rPr>
                <w:rFonts w:eastAsia="Arial"/>
                <w:b/>
                <w:bCs/>
              </w:rPr>
            </w:pPr>
            <w:r w:rsidRPr="00334F18">
              <w:rPr>
                <w:rFonts w:eastAsia="Arial"/>
                <w:b/>
                <w:bCs/>
              </w:rPr>
              <w:lastRenderedPageBreak/>
              <w:t>1.6</w:t>
            </w:r>
          </w:p>
        </w:tc>
        <w:tc>
          <w:tcPr>
            <w:tcW w:w="3899" w:type="dxa"/>
          </w:tcPr>
          <w:p w14:paraId="41F32942" w14:textId="77777777" w:rsidR="00E70CED" w:rsidRPr="00334F18" w:rsidRDefault="00E70CED" w:rsidP="001F115E">
            <w:pPr>
              <w:rPr>
                <w:b/>
                <w:bCs/>
                <w:lang w:eastAsia="lt-LT"/>
              </w:rPr>
            </w:pPr>
            <w:r w:rsidRPr="00334F18">
              <w:rPr>
                <w:b/>
                <w:bCs/>
                <w:lang w:eastAsia="lt-LT"/>
              </w:rPr>
              <w:t xml:space="preserve">Teikiama kompensuoti terapinė indikacija </w:t>
            </w:r>
          </w:p>
          <w:p w14:paraId="2882A5BD" w14:textId="77777777" w:rsidR="00E70CED" w:rsidRPr="00334F18" w:rsidRDefault="00E70CED" w:rsidP="001F115E">
            <w:pPr>
              <w:rPr>
                <w:b/>
                <w:bCs/>
                <w:lang w:eastAsia="lt-LT"/>
              </w:rPr>
            </w:pPr>
          </w:p>
          <w:p w14:paraId="371D188E" w14:textId="77777777" w:rsidR="00E70CED" w:rsidRPr="00334F18" w:rsidRDefault="00E70CED" w:rsidP="001F115E">
            <w:pPr>
              <w:rPr>
                <w:b/>
                <w:bCs/>
                <w:lang w:eastAsia="lt-LT"/>
              </w:rPr>
            </w:pPr>
            <w:r w:rsidRPr="00334F18">
              <w:rPr>
                <w:b/>
                <w:bCs/>
                <w:lang w:eastAsia="lt-LT"/>
              </w:rPr>
              <w:t>Kodas pagal TLK-10 AM</w:t>
            </w:r>
          </w:p>
        </w:tc>
        <w:tc>
          <w:tcPr>
            <w:tcW w:w="4962" w:type="dxa"/>
          </w:tcPr>
          <w:p w14:paraId="2ED0E997" w14:textId="77777777" w:rsidR="00E70CED" w:rsidRPr="00334F18" w:rsidRDefault="00E70CED" w:rsidP="001F115E"/>
          <w:p w14:paraId="7885F3FD" w14:textId="53EBAFFA" w:rsidR="004F13E6" w:rsidRDefault="004F13E6" w:rsidP="004F13E6">
            <w:pPr>
              <w:jc w:val="both"/>
            </w:pPr>
            <w:r w:rsidRPr="0042205F">
              <w:t>Columvi derinant su gemcitabinu ir oksaliplatina skirtas recidyvavusia ar atsparia kitaip neapibrėžta difuzine didelių B ląstelių limfoma (KN DDBLL) sergančių suaugusių pacientų, kuriems negalima atlikti autologinės kamieninių ląstelių transplantacijos (AKLT), gydymui</w:t>
            </w:r>
          </w:p>
          <w:p w14:paraId="45EE341C" w14:textId="77777777" w:rsidR="004F13E6" w:rsidRDefault="004F13E6" w:rsidP="004F13E6">
            <w:pPr>
              <w:jc w:val="both"/>
            </w:pPr>
          </w:p>
          <w:p w14:paraId="10833DB8" w14:textId="5E51F21B" w:rsidR="00E70CED" w:rsidRPr="00334F18" w:rsidRDefault="004F13E6" w:rsidP="004F13E6">
            <w:r w:rsidRPr="0042205F">
              <w:t xml:space="preserve">TLK-10 AM - </w:t>
            </w:r>
            <w:r w:rsidRPr="0042205F">
              <w:rPr>
                <w:rStyle w:val="resultoftext"/>
              </w:rPr>
              <w:t>C83</w:t>
            </w:r>
            <w:r w:rsidRPr="0042205F">
              <w:rPr>
                <w:color w:val="000000"/>
                <w:shd w:val="clear" w:color="auto" w:fill="FFFFFF"/>
              </w:rPr>
              <w:t>.3</w:t>
            </w:r>
          </w:p>
        </w:tc>
      </w:tr>
      <w:tr w:rsidR="00334F18" w:rsidRPr="00334F18" w14:paraId="01C3C4F5" w14:textId="77777777" w:rsidTr="003F3FFF">
        <w:trPr>
          <w:trHeight w:val="378"/>
        </w:trPr>
        <w:tc>
          <w:tcPr>
            <w:tcW w:w="632" w:type="dxa"/>
          </w:tcPr>
          <w:p w14:paraId="5115AFC1" w14:textId="77777777" w:rsidR="00E70CED" w:rsidRPr="00334F18" w:rsidRDefault="00E70CED" w:rsidP="001F115E">
            <w:pPr>
              <w:rPr>
                <w:rFonts w:eastAsia="Arial"/>
                <w:b/>
                <w:bCs/>
              </w:rPr>
            </w:pPr>
            <w:r w:rsidRPr="00334F18">
              <w:rPr>
                <w:rFonts w:eastAsia="Arial"/>
                <w:b/>
                <w:bCs/>
              </w:rPr>
              <w:t>1.7</w:t>
            </w:r>
          </w:p>
        </w:tc>
        <w:tc>
          <w:tcPr>
            <w:tcW w:w="3899" w:type="dxa"/>
          </w:tcPr>
          <w:p w14:paraId="48045B5A" w14:textId="77777777" w:rsidR="00E70CED" w:rsidRPr="00334F18" w:rsidRDefault="00E70CED" w:rsidP="001F115E">
            <w:pPr>
              <w:rPr>
                <w:b/>
                <w:bCs/>
                <w:u w:val="single"/>
                <w:lang w:eastAsia="lt-LT"/>
              </w:rPr>
            </w:pPr>
            <w:r w:rsidRPr="00334F18">
              <w:rPr>
                <w:b/>
                <w:bCs/>
                <w:lang w:eastAsia="lt-LT"/>
              </w:rPr>
              <w:t xml:space="preserve">Teikiamos skyrimo sąlygos </w:t>
            </w:r>
          </w:p>
        </w:tc>
        <w:tc>
          <w:tcPr>
            <w:tcW w:w="4962" w:type="dxa"/>
          </w:tcPr>
          <w:p w14:paraId="29DC7D83" w14:textId="5B2D68EE" w:rsidR="00D458B7" w:rsidRDefault="00D458B7" w:rsidP="00D458B7">
            <w:pPr>
              <w:jc w:val="both"/>
              <w:rPr>
                <w:lang w:eastAsia="lt-LT"/>
              </w:rPr>
            </w:pPr>
            <w:r w:rsidRPr="000365FF">
              <w:t> </w:t>
            </w:r>
            <w:r w:rsidR="0044277F">
              <w:rPr>
                <w:lang w:eastAsia="lt-LT"/>
              </w:rPr>
              <w:t>Neteikiama</w:t>
            </w:r>
          </w:p>
          <w:p w14:paraId="6A31562C" w14:textId="77777777" w:rsidR="00E70CED" w:rsidRPr="00334F18" w:rsidRDefault="00E70CED" w:rsidP="001F115E"/>
        </w:tc>
      </w:tr>
      <w:tr w:rsidR="00334F18" w:rsidRPr="00334F18" w14:paraId="3C32C984" w14:textId="77777777" w:rsidTr="003F3FFF">
        <w:trPr>
          <w:trHeight w:val="378"/>
        </w:trPr>
        <w:tc>
          <w:tcPr>
            <w:tcW w:w="632" w:type="dxa"/>
          </w:tcPr>
          <w:p w14:paraId="4E679EDB" w14:textId="77777777" w:rsidR="00E70CED" w:rsidRPr="00334F18" w:rsidRDefault="00E70CED" w:rsidP="001F115E">
            <w:pPr>
              <w:rPr>
                <w:rFonts w:eastAsia="Arial"/>
                <w:b/>
                <w:bCs/>
              </w:rPr>
            </w:pPr>
            <w:r w:rsidRPr="00334F18">
              <w:rPr>
                <w:rFonts w:eastAsia="Arial"/>
                <w:b/>
                <w:bCs/>
              </w:rPr>
              <w:t>1.8</w:t>
            </w:r>
          </w:p>
        </w:tc>
        <w:tc>
          <w:tcPr>
            <w:tcW w:w="3899" w:type="dxa"/>
          </w:tcPr>
          <w:p w14:paraId="784605B5" w14:textId="3A924C79" w:rsidR="00E70CED" w:rsidRPr="00334F18" w:rsidRDefault="00E70CED" w:rsidP="001F115E">
            <w:pPr>
              <w:rPr>
                <w:b/>
                <w:bCs/>
                <w:lang w:eastAsia="lt-LT"/>
              </w:rPr>
            </w:pPr>
            <w:r w:rsidRPr="00334F18">
              <w:rPr>
                <w:b/>
                <w:bCs/>
                <w:lang w:eastAsia="lt-LT"/>
              </w:rPr>
              <w:t>Ekonominė analizė</w:t>
            </w:r>
          </w:p>
        </w:tc>
        <w:tc>
          <w:tcPr>
            <w:tcW w:w="4962" w:type="dxa"/>
          </w:tcPr>
          <w:p w14:paraId="3155F2E8" w14:textId="68CEB6C8" w:rsidR="00E70CED" w:rsidRPr="00334F18" w:rsidRDefault="00000000" w:rsidP="001F115E">
            <w:sdt>
              <w:sdtPr>
                <w:rPr>
                  <w:rStyle w:val="Style2"/>
                  <w:sz w:val="24"/>
                </w:rPr>
                <w:id w:val="356323367"/>
                <w15:color w:val="FFCC00"/>
                <w14:checkbox>
                  <w14:checked w14:val="1"/>
                  <w14:checkedState w14:val="2612" w14:font="MS Gothic"/>
                  <w14:uncheckedState w14:val="2610" w14:font="MS Gothic"/>
                </w14:checkbox>
              </w:sdtPr>
              <w:sdtContent>
                <w:r w:rsidR="00772F40">
                  <w:rPr>
                    <w:rStyle w:val="Style2"/>
                    <w:rFonts w:ascii="MS Gothic" w:eastAsia="MS Gothic" w:hAnsi="MS Gothic" w:hint="eastAsia"/>
                    <w:sz w:val="24"/>
                  </w:rPr>
                  <w:t>☒</w:t>
                </w:r>
              </w:sdtContent>
            </w:sdt>
            <w:r w:rsidR="00E70CED" w:rsidRPr="00334F18">
              <w:t xml:space="preserve"> Kaštų naudingumo analizė</w:t>
            </w:r>
          </w:p>
          <w:p w14:paraId="49547563" w14:textId="77777777" w:rsidR="00E70CED" w:rsidRPr="00334F18" w:rsidRDefault="00000000" w:rsidP="001F115E">
            <w:sdt>
              <w:sdtPr>
                <w:rPr>
                  <w:rStyle w:val="Style2"/>
                  <w:sz w:val="24"/>
                </w:rPr>
                <w:id w:val="-250506580"/>
                <w15:color w:val="FFCC00"/>
                <w14:checkbox>
                  <w14:checked w14:val="0"/>
                  <w14:checkedState w14:val="2612" w14:font="MS Gothic"/>
                  <w14:uncheckedState w14:val="2610" w14:font="MS Gothic"/>
                </w14:checkbox>
              </w:sdtPr>
              <w:sdtContent>
                <w:r w:rsidR="00E70CED" w:rsidRPr="00334F18">
                  <w:rPr>
                    <w:rStyle w:val="Style2"/>
                    <w:rFonts w:ascii="Segoe UI Symbol" w:eastAsia="MS Gothic" w:hAnsi="Segoe UI Symbol" w:cs="Segoe UI Symbol"/>
                    <w:sz w:val="24"/>
                  </w:rPr>
                  <w:t>☐</w:t>
                </w:r>
              </w:sdtContent>
            </w:sdt>
            <w:r w:rsidR="00E70CED" w:rsidRPr="00334F18">
              <w:t xml:space="preserve"> Kaštų mažinimo analizė</w:t>
            </w:r>
          </w:p>
          <w:p w14:paraId="42039008" w14:textId="5726D9D8" w:rsidR="00FE5878" w:rsidRPr="00334F18" w:rsidRDefault="00000000" w:rsidP="00FE5878">
            <w:sdt>
              <w:sdtPr>
                <w:rPr>
                  <w:rStyle w:val="Style2"/>
                  <w:sz w:val="24"/>
                </w:rPr>
                <w:id w:val="-1570647133"/>
                <w15:color w:val="FFCC00"/>
                <w14:checkbox>
                  <w14:checked w14:val="0"/>
                  <w14:checkedState w14:val="2612" w14:font="MS Gothic"/>
                  <w14:uncheckedState w14:val="2610" w14:font="MS Gothic"/>
                </w14:checkbox>
              </w:sdtPr>
              <w:sdtContent>
                <w:r w:rsidR="00FE5878" w:rsidRPr="00334F18">
                  <w:rPr>
                    <w:rStyle w:val="Style2"/>
                    <w:rFonts w:ascii="Segoe UI Symbol" w:eastAsia="MS Gothic" w:hAnsi="Segoe UI Symbol" w:cs="Segoe UI Symbol"/>
                    <w:sz w:val="24"/>
                  </w:rPr>
                  <w:t>☐</w:t>
                </w:r>
              </w:sdtContent>
            </w:sdt>
            <w:r w:rsidR="00FE5878" w:rsidRPr="00334F18">
              <w:t xml:space="preserve"> Neteikiama</w:t>
            </w:r>
          </w:p>
          <w:p w14:paraId="5DC5A0C1" w14:textId="77777777" w:rsidR="00FE5878" w:rsidRPr="00334F18" w:rsidRDefault="00FE5878" w:rsidP="001F115E"/>
          <w:p w14:paraId="4B0FE78C" w14:textId="77777777" w:rsidR="00E70CED" w:rsidRPr="00334F18" w:rsidRDefault="00E70CED" w:rsidP="001F115E"/>
        </w:tc>
      </w:tr>
    </w:tbl>
    <w:p w14:paraId="2EB7FD31" w14:textId="5615B363" w:rsidR="007A2B68" w:rsidRPr="00334F18" w:rsidRDefault="00DC261A" w:rsidP="00063A50">
      <w:pPr>
        <w:pStyle w:val="ListParagraph"/>
        <w:tabs>
          <w:tab w:val="left" w:pos="426"/>
        </w:tabs>
        <w:ind w:left="0"/>
        <w:jc w:val="center"/>
        <w:rPr>
          <w:b/>
          <w:bCs/>
          <w:caps/>
        </w:rPr>
      </w:pPr>
      <w:r w:rsidRPr="00334F18">
        <w:rPr>
          <w:b/>
          <w:bCs/>
          <w:caps/>
        </w:rPr>
        <w:t>___________________</w:t>
      </w:r>
    </w:p>
    <w:p w14:paraId="73290081" w14:textId="77777777" w:rsidR="007A2B68" w:rsidRPr="00334F18" w:rsidRDefault="007A2B68">
      <w:pPr>
        <w:rPr>
          <w:b/>
          <w:bCs/>
          <w:caps/>
        </w:rPr>
      </w:pPr>
      <w:r w:rsidRPr="00334F18">
        <w:rPr>
          <w:b/>
          <w:bCs/>
          <w:caps/>
        </w:rPr>
        <w:br w:type="page"/>
      </w:r>
    </w:p>
    <w:p w14:paraId="5055E8A8" w14:textId="1FB182B9" w:rsidR="002E6F80" w:rsidRPr="00334F18" w:rsidRDefault="00CC7832" w:rsidP="00CC09D4">
      <w:pPr>
        <w:pStyle w:val="ListParagraph"/>
        <w:numPr>
          <w:ilvl w:val="0"/>
          <w:numId w:val="12"/>
        </w:numPr>
        <w:tabs>
          <w:tab w:val="left" w:pos="567"/>
        </w:tabs>
        <w:ind w:hanging="720"/>
        <w:rPr>
          <w:b/>
          <w:bCs/>
          <w:caps/>
        </w:rPr>
      </w:pPr>
      <w:r w:rsidRPr="00334F18">
        <w:rPr>
          <w:b/>
          <w:bCs/>
          <w:caps/>
        </w:rPr>
        <w:lastRenderedPageBreak/>
        <w:t>Klinikinio vertinimo a</w:t>
      </w:r>
      <w:r w:rsidR="00D4485B" w:rsidRPr="00334F18">
        <w:rPr>
          <w:b/>
          <w:bCs/>
          <w:caps/>
        </w:rPr>
        <w:t>pibendrinimas</w:t>
      </w:r>
    </w:p>
    <w:p w14:paraId="25F89291" w14:textId="77F0B72A" w:rsidR="00D4485B" w:rsidRDefault="00D4485B" w:rsidP="00A93AA6">
      <w:pPr>
        <w:pStyle w:val="ListParagraph"/>
        <w:tabs>
          <w:tab w:val="left" w:pos="426"/>
        </w:tabs>
        <w:ind w:left="0"/>
        <w:rPr>
          <w:b/>
          <w:bCs/>
          <w:caps/>
        </w:rPr>
      </w:pPr>
    </w:p>
    <w:p w14:paraId="0F38B6B5" w14:textId="77777777" w:rsidR="004F13E6" w:rsidRDefault="004F13E6" w:rsidP="00D52C44">
      <w:pPr>
        <w:tabs>
          <w:tab w:val="left" w:pos="426"/>
        </w:tabs>
        <w:spacing w:line="276" w:lineRule="auto"/>
        <w:ind w:firstLine="567"/>
        <w:jc w:val="both"/>
      </w:pPr>
      <w:r w:rsidRPr="00371F8F">
        <w:t>Ne Hodžkino limfoma (NHL) yra labiausiai paplitęs hematologinis piktybinis navikas. Tai nevienalytė  grupė limfoidinės sistemos limfoproliferacinių sutri</w:t>
      </w:r>
      <w:r w:rsidRPr="00B03750">
        <w:t>kimų</w:t>
      </w:r>
      <w:r>
        <w:t xml:space="preserve">. </w:t>
      </w:r>
      <w:r w:rsidRPr="00371F8F">
        <w:t>Difuzinė didelių B ląstelių limfoma (DDBLL) yra nevienalytė liga, ir labiausiai paplitęs histologinis NHL potipis, kuris sudaro iki 40 % visų naujai diagnozuotų NH</w:t>
      </w:r>
      <w:r w:rsidRPr="00B03750">
        <w:t>L atvejų</w:t>
      </w:r>
      <w:r>
        <w:t xml:space="preserve">. </w:t>
      </w:r>
      <w:r w:rsidRPr="00B03750">
        <w:t>Natūralus agresyvių limfomų, tokių kaip DDBLL, eiga pasižymi greitesniu progresavimu ir sumažėjusiu išgyvenamumu, palyginti su indolentine NHL</w:t>
      </w:r>
      <w:r>
        <w:t xml:space="preserve">. </w:t>
      </w:r>
      <w:r w:rsidRPr="00B03750">
        <w:t>DDBLL dažnis didėja su amžiumi, o liga paprastai pasireiškia vyresniems nei 60 metų suaugusiems (ypač 65–74 metų amžiaus grupėje)</w:t>
      </w:r>
      <w:r>
        <w:t xml:space="preserve">. </w:t>
      </w:r>
      <w:r w:rsidRPr="00B03750">
        <w:t>Ligos simptomai (pvz., karščiavimas, pasikartojantis naktinis prakaitavimas, svorio kritimas ir (arba) vietinis limfmazgių padidėjimo poveikis), taip pat kaulų čiulpų nepakankamumas, taip pat su gydymu susijęs šalutinis poveikis dažnai sukelia sveikatos sutrikimus, susijusi gyvenimo kokybė (HRQoL), įskaitant fizinį funkcionavimą ir nuovargį</w:t>
      </w:r>
      <w:r>
        <w:t xml:space="preserve">. </w:t>
      </w:r>
      <w:r w:rsidRPr="00371F8F">
        <w:t xml:space="preserve">Pradinis gydymas gali būti išgydomasis, tačiau apie 10–15 % pacientų yra atsparūs pirmos eilės (1L) standartinei priežiūrai – rituksimabui ir ciklofosfamidui, doksorubicinui, vinkristinui ir prednizonui (R-CHOP); o maždaug 20–30 % pacientų liga atsinaujina po gydymo pasėkoje pasiekto remisijos </w:t>
      </w:r>
      <w:r w:rsidRPr="00B03750">
        <w:t>laikotarpio</w:t>
      </w:r>
      <w:r>
        <w:t>.</w:t>
      </w:r>
    </w:p>
    <w:p w14:paraId="0DC5EB3D" w14:textId="77777777" w:rsidR="004F13E6" w:rsidRDefault="004F13E6" w:rsidP="00D52C44">
      <w:pPr>
        <w:tabs>
          <w:tab w:val="left" w:pos="426"/>
        </w:tabs>
        <w:spacing w:line="276" w:lineRule="auto"/>
        <w:ind w:firstLine="567"/>
        <w:jc w:val="both"/>
      </w:pPr>
      <w:r w:rsidRPr="00B03750">
        <w:t>DDBLL pasižymi skirtingomis morfologinėmis, imunofenotipinėmis ir genetinėmis savybėmis, kurios sudaro pagrindą 2016 m. Pasaulio sveikatos organizacijos (PSO) klasifikacijoje apibrėžtiems ligos potipiams</w:t>
      </w:r>
      <w:r>
        <w:t>.</w:t>
      </w:r>
      <w:r w:rsidRPr="00B03750">
        <w:t xml:space="preserve"> DDBLL yra difuziniu augimo pobūdžiu pasižyminčių, didelių B limfoidinių ląstelių navikas. Morfologiškai šiai ligai būdingas visiškas arba dalinis mazgo struktūros išnykimas, formuojantis didelių netipinių limfoidinių ląstelių sluoksniams. Imunofenotipiškai ligai būdinga B ląstelių antigenų (CD19, CD20, CD22, CD79a) ir paviršinių ir (arba) citoplazminių imunoglobulinų raiška</w:t>
      </w:r>
      <w:r>
        <w:t xml:space="preserve">. </w:t>
      </w:r>
      <w:r w:rsidRPr="00371F8F">
        <w:t xml:space="preserve">Pacientams, kuriems diagnozuotas DDBLL, ligos mastas vertinamas nustatant ir ligos stadiją, kuri yra labai svarbi parenkant geriausią gydymo būdą ir numatant prognozę.  </w:t>
      </w:r>
    </w:p>
    <w:p w14:paraId="7CDE4073" w14:textId="125BE540" w:rsidR="004F13E6" w:rsidRDefault="004F13E6" w:rsidP="00D52C44">
      <w:pPr>
        <w:tabs>
          <w:tab w:val="left" w:pos="426"/>
        </w:tabs>
        <w:spacing w:line="276" w:lineRule="auto"/>
        <w:ind w:firstLine="567"/>
        <w:jc w:val="both"/>
      </w:pPr>
      <w:r w:rsidRPr="008B12CE">
        <w:t>Šiuo metu Lietuvoje nėra vienos konkrečios chemoterapijos, kuri būtų taikoma visiems recidyvavusia ar atsparia DDBLL sergantiems pacientams</w:t>
      </w:r>
      <w:r>
        <w:t xml:space="preserve"> (2-oje ir tolimes</w:t>
      </w:r>
      <w:r w:rsidR="00D52C44">
        <w:t>n</w:t>
      </w:r>
      <w:r>
        <w:t>ėse gydymo eilėse)</w:t>
      </w:r>
      <w:r w:rsidRPr="008B12CE">
        <w:t xml:space="preserve">, dažniausiai yra taikoma R-GemOx </w:t>
      </w:r>
      <w:r>
        <w:t xml:space="preserve"> schema </w:t>
      </w:r>
      <w:r w:rsidRPr="008B12CE">
        <w:t>(rituksimabas su chemoterapija gemcitabino pagrindu).</w:t>
      </w:r>
    </w:p>
    <w:p w14:paraId="755B6BF1" w14:textId="77777777" w:rsidR="004F13E6" w:rsidRPr="008B12CE" w:rsidRDefault="004F13E6" w:rsidP="00D52C44">
      <w:pPr>
        <w:tabs>
          <w:tab w:val="left" w:pos="426"/>
        </w:tabs>
        <w:spacing w:line="276" w:lineRule="auto"/>
        <w:ind w:firstLine="567"/>
        <w:jc w:val="both"/>
      </w:pPr>
      <w:r>
        <w:rPr>
          <w:rFonts w:eastAsia="Century Gothic"/>
          <w:iCs/>
        </w:rPr>
        <w:t>Remiantis naujausiomis 2026 m. Europos onkologų sąjungos (ESMO) ir Nacionalinio visapusiško vėžio tinklo (NCCN) DDBLL gydymo rekomendacijomis, glofitamabas kartu su chemoterapija gemcitabino pagrindu yra rekomenduojamas 2-oje ir tolimesnėse gydymo eilėse, kuriems gydymas pirmos eilės chemoterapija buvo neveiksmingas ir pacientams negalima skirti CAR-T terapijos arba kuriems negalima atlikti AKLT, arba kuriems liga recidyvavo po CAR-T terapijos.</w:t>
      </w:r>
    </w:p>
    <w:p w14:paraId="3D9C8F4B" w14:textId="77777777" w:rsidR="004F13E6" w:rsidRPr="00DC3BC9" w:rsidRDefault="004F13E6" w:rsidP="00D52C44">
      <w:pPr>
        <w:spacing w:line="276" w:lineRule="auto"/>
        <w:ind w:firstLine="567"/>
        <w:jc w:val="both"/>
        <w:rPr>
          <w:rFonts w:eastAsia="Arial"/>
          <w:color w:val="000000"/>
        </w:rPr>
      </w:pPr>
      <w:r w:rsidRPr="00DC3BC9">
        <w:rPr>
          <w:rFonts w:eastAsia="Arial"/>
          <w:color w:val="000000"/>
        </w:rPr>
        <w:t xml:space="preserve">Paraiškoje </w:t>
      </w:r>
      <w:r>
        <w:rPr>
          <w:rFonts w:eastAsia="Arial"/>
          <w:color w:val="000000"/>
        </w:rPr>
        <w:t>glofitamabo (Columvi)</w:t>
      </w:r>
      <w:r w:rsidRPr="00DC3BC9">
        <w:rPr>
          <w:rFonts w:eastAsia="Arial"/>
          <w:color w:val="000000"/>
        </w:rPr>
        <w:t xml:space="preserve"> efektyvumas, remiantis tiesioginio palyginimo duomenimis lyginamas su </w:t>
      </w:r>
      <w:r>
        <w:rPr>
          <w:rFonts w:eastAsia="Arial"/>
          <w:color w:val="000000"/>
        </w:rPr>
        <w:t>R-GemOx gydymo schema (chemoterapija gemcitabino pagrindu su rituksimabu).</w:t>
      </w:r>
    </w:p>
    <w:p w14:paraId="3A31FDDF" w14:textId="77777777" w:rsidR="004F13E6" w:rsidRPr="009A0B27" w:rsidRDefault="004F13E6" w:rsidP="00D52C44">
      <w:pPr>
        <w:tabs>
          <w:tab w:val="left" w:pos="426"/>
        </w:tabs>
        <w:spacing w:line="276" w:lineRule="auto"/>
        <w:ind w:firstLine="567"/>
        <w:jc w:val="both"/>
        <w:rPr>
          <w:lang w:bidi="lt-LT"/>
        </w:rPr>
      </w:pPr>
    </w:p>
    <w:p w14:paraId="2AE534BF" w14:textId="36D00968" w:rsidR="004F13E6" w:rsidRDefault="004F13E6" w:rsidP="00D52C44">
      <w:pPr>
        <w:tabs>
          <w:tab w:val="left" w:pos="426"/>
        </w:tabs>
        <w:spacing w:line="276" w:lineRule="auto"/>
        <w:ind w:firstLine="567"/>
        <w:jc w:val="both"/>
        <w:rPr>
          <w:i/>
          <w:iCs/>
          <w:lang w:bidi="lt-LT"/>
        </w:rPr>
      </w:pPr>
      <w:r w:rsidRPr="00D52C44">
        <w:rPr>
          <w:i/>
          <w:iCs/>
          <w:lang w:bidi="lt-LT"/>
        </w:rPr>
        <w:t>Tiesiogini</w:t>
      </w:r>
      <w:r w:rsidR="00D52C44">
        <w:rPr>
          <w:i/>
          <w:iCs/>
          <w:lang w:bidi="lt-LT"/>
        </w:rPr>
        <w:t>o</w:t>
      </w:r>
      <w:r w:rsidRPr="00D52C44">
        <w:rPr>
          <w:i/>
          <w:iCs/>
          <w:lang w:bidi="lt-LT"/>
        </w:rPr>
        <w:t xml:space="preserve"> palyginam</w:t>
      </w:r>
      <w:r w:rsidR="00D52C44">
        <w:rPr>
          <w:i/>
          <w:iCs/>
          <w:lang w:bidi="lt-LT"/>
        </w:rPr>
        <w:t>o</w:t>
      </w:r>
      <w:r w:rsidRPr="00D52C44">
        <w:rPr>
          <w:i/>
          <w:iCs/>
          <w:lang w:bidi="lt-LT"/>
        </w:rPr>
        <w:t xml:space="preserve"> tyrimas</w:t>
      </w:r>
    </w:p>
    <w:p w14:paraId="6605AB1A" w14:textId="77777777" w:rsidR="00B833B2" w:rsidRPr="00D52C44" w:rsidRDefault="00B833B2" w:rsidP="00D52C44">
      <w:pPr>
        <w:tabs>
          <w:tab w:val="left" w:pos="426"/>
        </w:tabs>
        <w:spacing w:line="276" w:lineRule="auto"/>
        <w:ind w:firstLine="567"/>
        <w:jc w:val="both"/>
        <w:rPr>
          <w:i/>
          <w:iCs/>
          <w:lang w:bidi="lt-LT"/>
        </w:rPr>
      </w:pPr>
    </w:p>
    <w:p w14:paraId="365EB537" w14:textId="77777777" w:rsidR="00B833B2" w:rsidRDefault="00B833B2" w:rsidP="00B833B2">
      <w:pPr>
        <w:tabs>
          <w:tab w:val="left" w:pos="426"/>
        </w:tabs>
        <w:spacing w:line="276" w:lineRule="auto"/>
        <w:ind w:firstLine="567"/>
        <w:jc w:val="both"/>
        <w:rPr>
          <w:bCs/>
        </w:rPr>
      </w:pPr>
      <w:r w:rsidRPr="00B50F3E">
        <w:rPr>
          <w:bCs/>
        </w:rPr>
        <w:t>Tyrime buvo įtraukti pacientai prieš tai gydyti tik 1 eilės chemoterapija arba gydyti 2 ir tolimensių eilių chemoterapija (tai atitinka norimą gydyti Lietuvos populiaciją).</w:t>
      </w:r>
      <w:r>
        <w:rPr>
          <w:bCs/>
        </w:rPr>
        <w:t xml:space="preserve"> Tyrime buvo atlikta pagrindinė tyrimo analizė, bei atnaujinta analizė, kurios metu stebėjimo mediana buvo prailginta ir pacientai buvo stebimi ilgesnį laikotarpį.</w:t>
      </w:r>
    </w:p>
    <w:p w14:paraId="6A5AC1F7" w14:textId="77777777" w:rsidR="00B833B2" w:rsidRDefault="00B833B2" w:rsidP="00B833B2">
      <w:pPr>
        <w:tabs>
          <w:tab w:val="left" w:pos="426"/>
        </w:tabs>
        <w:spacing w:line="276" w:lineRule="auto"/>
        <w:ind w:firstLine="567"/>
        <w:jc w:val="both"/>
      </w:pPr>
      <w:r w:rsidRPr="008F1B33">
        <w:rPr>
          <w:lang w:eastAsia="lt-LT"/>
        </w:rPr>
        <w:t xml:space="preserve">Pacientams, gydytiems </w:t>
      </w:r>
      <w:r w:rsidRPr="00B50F3E">
        <w:rPr>
          <w:bCs/>
        </w:rPr>
        <w:t>Glofitamabas-GemOx</w:t>
      </w:r>
      <w:r>
        <w:rPr>
          <w:bCs/>
        </w:rPr>
        <w:t xml:space="preserve"> schema</w:t>
      </w:r>
      <w:r w:rsidRPr="008F1B33">
        <w:rPr>
          <w:lang w:eastAsia="lt-LT"/>
        </w:rPr>
        <w:t xml:space="preserve">, mirties rizika sumažėjo 41 %, palyginti su pacientais, gydytais </w:t>
      </w:r>
      <w:r w:rsidRPr="00B50F3E">
        <w:rPr>
          <w:bCs/>
        </w:rPr>
        <w:t>Rituksimabu-GemOx</w:t>
      </w:r>
      <w:r>
        <w:rPr>
          <w:bCs/>
        </w:rPr>
        <w:t xml:space="preserve"> schema</w:t>
      </w:r>
      <w:r>
        <w:t>. Glofitamabo</w:t>
      </w:r>
      <w:r w:rsidRPr="008F1B33">
        <w:rPr>
          <w:lang w:eastAsia="lt-LT"/>
        </w:rPr>
        <w:t xml:space="preserve"> grupėje pasiektas </w:t>
      </w:r>
      <w:r>
        <w:t>bendro išgyvenamumo</w:t>
      </w:r>
      <w:r w:rsidRPr="008F1B33">
        <w:rPr>
          <w:lang w:eastAsia="lt-LT"/>
        </w:rPr>
        <w:t xml:space="preserve"> pagerėjimas išliko ir atnaujintos analizės metu </w:t>
      </w:r>
      <w:r>
        <w:t xml:space="preserve">- </w:t>
      </w:r>
      <w:r w:rsidRPr="008F1B33">
        <w:rPr>
          <w:lang w:eastAsia="lt-LT"/>
        </w:rPr>
        <w:t xml:space="preserve">stebėjimo mediana </w:t>
      </w:r>
      <w:r>
        <w:t xml:space="preserve">buvo </w:t>
      </w:r>
      <w:r w:rsidRPr="008F1B33">
        <w:rPr>
          <w:lang w:eastAsia="lt-LT"/>
        </w:rPr>
        <w:t xml:space="preserve">20,7 mėnesio, mirties rizika sumažėjo 38 %, palyginti su pacientais, gydytais </w:t>
      </w:r>
      <w:r>
        <w:t>rituksimabu</w:t>
      </w:r>
      <w:r w:rsidRPr="008F1B33">
        <w:rPr>
          <w:lang w:eastAsia="lt-LT"/>
        </w:rPr>
        <w:t>.</w:t>
      </w:r>
      <w:r>
        <w:t xml:space="preserve"> </w:t>
      </w:r>
      <w:r w:rsidRPr="008F1B33">
        <w:rPr>
          <w:lang w:eastAsia="lt-LT"/>
        </w:rPr>
        <w:t xml:space="preserve">Pirminės </w:t>
      </w:r>
      <w:r w:rsidRPr="008F1B33">
        <w:rPr>
          <w:lang w:eastAsia="lt-LT"/>
        </w:rPr>
        <w:lastRenderedPageBreak/>
        <w:t xml:space="preserve">analizės metu (stebėjimo trukmės mediana – 7,2 mėn.) nustatytas statistiškai ir kliniškai reikšmingas </w:t>
      </w:r>
      <w:r>
        <w:t>išgyvenamumo be ligos progresavimo (IBPL)</w:t>
      </w:r>
      <w:r w:rsidRPr="008F1B33">
        <w:rPr>
          <w:lang w:eastAsia="lt-LT"/>
        </w:rPr>
        <w:t xml:space="preserve"> padidėjimas, kai IBLP įvykio rizika Glofit</w:t>
      </w:r>
      <w:r>
        <w:t>amabu</w:t>
      </w:r>
      <w:r w:rsidRPr="008F1B33">
        <w:rPr>
          <w:lang w:eastAsia="lt-LT"/>
        </w:rPr>
        <w:t>-GemOx gydytiems pacientams sumažėjo 63 %, palyginti su R</w:t>
      </w:r>
      <w:r>
        <w:t>ituksimabu</w:t>
      </w:r>
      <w:r w:rsidRPr="008F1B33">
        <w:rPr>
          <w:lang w:eastAsia="lt-LT"/>
        </w:rPr>
        <w:t>-GemOx gydytais pacientais</w:t>
      </w:r>
      <w:r>
        <w:t xml:space="preserve">. </w:t>
      </w:r>
      <w:r w:rsidRPr="008F1B33">
        <w:rPr>
          <w:lang w:eastAsia="lt-LT"/>
        </w:rPr>
        <w:t>Atnaujintoje analizėje (stebėjimo trukmės mediana – 15,7 mėn.) IBLP įvykio rizika Glofit</w:t>
      </w:r>
      <w:r>
        <w:t>amabo</w:t>
      </w:r>
      <w:r w:rsidRPr="008F1B33">
        <w:rPr>
          <w:lang w:eastAsia="lt-LT"/>
        </w:rPr>
        <w:t>-GemOx grupėje sumažėjo 60 %, palyginti su R</w:t>
      </w:r>
      <w:r>
        <w:t>ituksimabo</w:t>
      </w:r>
      <w:r w:rsidRPr="008F1B33">
        <w:rPr>
          <w:lang w:eastAsia="lt-LT"/>
        </w:rPr>
        <w:t>-GemOx grupe</w:t>
      </w:r>
      <w:r>
        <w:t xml:space="preserve">. </w:t>
      </w:r>
      <w:r w:rsidRPr="008F1B33">
        <w:rPr>
          <w:lang w:eastAsia="lt-LT"/>
        </w:rPr>
        <w:t>Atnaujintos analizės metu Glofit</w:t>
      </w:r>
      <w:r>
        <w:t>amabo</w:t>
      </w:r>
      <w:r w:rsidRPr="008F1B33">
        <w:rPr>
          <w:lang w:eastAsia="lt-LT"/>
        </w:rPr>
        <w:t>-GemOx grupėje visiško atsako dažnis</w:t>
      </w:r>
      <w:r>
        <w:t xml:space="preserve"> (58,5 %)</w:t>
      </w:r>
      <w:r w:rsidRPr="008F1B33">
        <w:rPr>
          <w:lang w:eastAsia="lt-LT"/>
        </w:rPr>
        <w:t xml:space="preserve"> buvo 33,2 % didesnis, palyginti su R</w:t>
      </w:r>
      <w:r>
        <w:t>ituksimabo</w:t>
      </w:r>
      <w:r w:rsidRPr="008F1B33">
        <w:rPr>
          <w:lang w:eastAsia="lt-LT"/>
        </w:rPr>
        <w:t>-GemOx grupe (25,3 %</w:t>
      </w:r>
      <w:r>
        <w:t>).</w:t>
      </w:r>
    </w:p>
    <w:p w14:paraId="7ADEFEC9" w14:textId="52FC5BE8" w:rsidR="008E6C3F" w:rsidRDefault="008E6C3F" w:rsidP="00B833B2">
      <w:pPr>
        <w:tabs>
          <w:tab w:val="left" w:pos="426"/>
        </w:tabs>
        <w:spacing w:line="276" w:lineRule="auto"/>
        <w:jc w:val="both"/>
        <w:rPr>
          <w:bCs/>
          <w:lang w:eastAsia="lt-LT"/>
        </w:rPr>
      </w:pPr>
    </w:p>
    <w:p w14:paraId="4F938CFA" w14:textId="7EE66475" w:rsidR="004F13E6" w:rsidRPr="00B50F3E" w:rsidRDefault="004F13E6" w:rsidP="00D52C44">
      <w:pPr>
        <w:tabs>
          <w:tab w:val="left" w:pos="426"/>
        </w:tabs>
        <w:spacing w:line="276" w:lineRule="auto"/>
        <w:ind w:firstLine="567"/>
        <w:jc w:val="both"/>
        <w:rPr>
          <w:bCs/>
          <w:lang w:eastAsia="lt-LT"/>
        </w:rPr>
      </w:pPr>
      <w:r w:rsidRPr="00B50F3E">
        <w:rPr>
          <w:bCs/>
          <w:lang w:eastAsia="lt-LT"/>
        </w:rPr>
        <w:t>Remiantis tiesioginio tyrimo duomenimis Glofitamabas-GemOx parodė statistiškai reikšmingai geresnius rezultatus palyginti su Rituksimabu-GemOx, vertinant bendrą išgyvenamumą, išgyvenamumą be ligos progresavimo ir visiško atsako dažnį, be to statistiškai reikšmingai geresni rezultatai išliko ir atnaujintoje analizėje, kuri apėmė ilgesnį stebėjimo laikotarpį.</w:t>
      </w:r>
    </w:p>
    <w:p w14:paraId="6A944383" w14:textId="77777777" w:rsidR="004F13E6" w:rsidRPr="00744D98" w:rsidRDefault="004F13E6" w:rsidP="00D52C44">
      <w:pPr>
        <w:tabs>
          <w:tab w:val="left" w:pos="426"/>
        </w:tabs>
        <w:spacing w:line="276" w:lineRule="auto"/>
        <w:jc w:val="both"/>
        <w:rPr>
          <w:b/>
          <w:lang w:eastAsia="lt-LT"/>
        </w:rPr>
      </w:pPr>
    </w:p>
    <w:p w14:paraId="54EED99F" w14:textId="77777777" w:rsidR="004F13E6" w:rsidRPr="00744D98" w:rsidRDefault="004F13E6" w:rsidP="00D52C44">
      <w:pPr>
        <w:tabs>
          <w:tab w:val="left" w:pos="426"/>
        </w:tabs>
        <w:spacing w:line="276" w:lineRule="auto"/>
        <w:jc w:val="both"/>
        <w:rPr>
          <w:b/>
          <w:lang w:eastAsia="lt-LT"/>
        </w:rPr>
      </w:pPr>
      <w:r w:rsidRPr="00744D98">
        <w:rPr>
          <w:bCs/>
          <w:lang w:eastAsia="lt-LT"/>
        </w:rPr>
        <w:t>Siūlomo kompensuoti vaistinio preparato palyginamasis veiksmingumas yra įvertintas kaip</w:t>
      </w:r>
      <w:r w:rsidRPr="00744D98">
        <w:rPr>
          <w:bCs/>
          <w:i/>
          <w:iCs/>
          <w:lang w:eastAsia="lt-LT"/>
        </w:rPr>
        <w:t xml:space="preserve"> didesnis </w:t>
      </w:r>
      <w:r w:rsidRPr="00744D98">
        <w:rPr>
          <w:bCs/>
          <w:lang w:eastAsia="lt-LT"/>
        </w:rPr>
        <w:t xml:space="preserve"> lyginant su įprasta klinikine praktika, t.y. a</w:t>
      </w:r>
      <w:r w:rsidRPr="00744D98">
        <w:t>titinka 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29.1.2 papunktį.</w:t>
      </w:r>
    </w:p>
    <w:p w14:paraId="39C1ADA8" w14:textId="77777777" w:rsidR="00AC5129" w:rsidRPr="00334F18" w:rsidRDefault="00AC5129" w:rsidP="00A93AA6">
      <w:pPr>
        <w:pStyle w:val="ListParagraph"/>
        <w:tabs>
          <w:tab w:val="left" w:pos="426"/>
        </w:tabs>
        <w:ind w:left="0"/>
        <w:rPr>
          <w:b/>
          <w:bCs/>
          <w:caps/>
        </w:rPr>
      </w:pPr>
    </w:p>
    <w:p w14:paraId="7DE09EB5" w14:textId="69E9DD74" w:rsidR="00E03C3F" w:rsidRPr="00334F18" w:rsidRDefault="00CC7832" w:rsidP="00CC09D4">
      <w:pPr>
        <w:pStyle w:val="ListParagraph"/>
        <w:numPr>
          <w:ilvl w:val="0"/>
          <w:numId w:val="12"/>
        </w:numPr>
        <w:tabs>
          <w:tab w:val="left" w:pos="567"/>
        </w:tabs>
        <w:ind w:hanging="720"/>
        <w:rPr>
          <w:b/>
          <w:bCs/>
          <w:caps/>
        </w:rPr>
      </w:pPr>
      <w:r w:rsidRPr="00334F18">
        <w:rPr>
          <w:b/>
          <w:bCs/>
          <w:caps/>
        </w:rPr>
        <w:t xml:space="preserve">ekonominio vertinimo </w:t>
      </w:r>
      <w:r w:rsidR="002F0E4F" w:rsidRPr="00334F18">
        <w:rPr>
          <w:b/>
          <w:bCs/>
          <w:caps/>
        </w:rPr>
        <w:t>apibendrinimas</w:t>
      </w:r>
    </w:p>
    <w:p w14:paraId="5F091FED" w14:textId="5042A8DB" w:rsidR="004F13E6" w:rsidRDefault="004F13E6" w:rsidP="004F13E6">
      <w:pPr>
        <w:tabs>
          <w:tab w:val="left" w:pos="567"/>
        </w:tabs>
        <w:rPr>
          <w:b/>
          <w:bCs/>
          <w:caps/>
        </w:rPr>
      </w:pPr>
    </w:p>
    <w:p w14:paraId="4C3966B1" w14:textId="77777777" w:rsidR="00A51A1B" w:rsidRPr="00A51A1B" w:rsidRDefault="00A51A1B" w:rsidP="00A51A1B">
      <w:pPr>
        <w:spacing w:line="276" w:lineRule="auto"/>
        <w:ind w:firstLine="540"/>
        <w:jc w:val="both"/>
        <w:rPr>
          <w:rFonts w:eastAsia="Arial"/>
          <w:bCs/>
        </w:rPr>
      </w:pPr>
      <w:r w:rsidRPr="00A51A1B">
        <w:rPr>
          <w:rFonts w:eastAsia="Arial"/>
        </w:rPr>
        <w:t xml:space="preserve">Klinikinio vertinimo metu nustačius </w:t>
      </w:r>
      <w:r w:rsidRPr="00A51A1B">
        <w:rPr>
          <w:rFonts w:eastAsia="Arial"/>
          <w:iCs/>
        </w:rPr>
        <w:t xml:space="preserve">didesnį </w:t>
      </w:r>
      <w:r w:rsidRPr="00A51A1B">
        <w:rPr>
          <w:rFonts w:eastAsia="Arial"/>
        </w:rPr>
        <w:t>palyginamąjį veiksmingumą lyginant su įprasta klinikine praktika,</w:t>
      </w:r>
      <w:r w:rsidRPr="00A51A1B">
        <w:t xml:space="preserve"> atliekamas </w:t>
      </w:r>
      <w:r w:rsidRPr="00A51A1B">
        <w:rPr>
          <w:rFonts w:eastAsia="Arial"/>
          <w:bCs/>
        </w:rPr>
        <w:t xml:space="preserve">kaštų </w:t>
      </w:r>
      <w:r w:rsidRPr="00A51A1B">
        <w:rPr>
          <w:rFonts w:eastAsia="Arial"/>
          <w:iCs/>
        </w:rPr>
        <w:t>naudingumo</w:t>
      </w:r>
      <w:r w:rsidRPr="00A51A1B">
        <w:rPr>
          <w:rFonts w:eastAsia="Arial"/>
          <w:bCs/>
        </w:rPr>
        <w:t xml:space="preserve"> analizės (toliau – KNA) vertinimas</w:t>
      </w:r>
      <w:r w:rsidRPr="00A51A1B">
        <w:t>.</w:t>
      </w:r>
      <w:r w:rsidRPr="00A51A1B">
        <w:rPr>
          <w:iCs/>
        </w:rPr>
        <w:t xml:space="preserve"> KNA atliekama Glofitamabą ((Columvi), derinyje su gemcitabinu ir oksaliplatina) lyginant su rituksimabu (derinyje su gemcitabinu ir oksaliplatina).</w:t>
      </w:r>
      <w:r w:rsidRPr="00A51A1B">
        <w:rPr>
          <w:rFonts w:eastAsia="Arial"/>
          <w:bCs/>
        </w:rPr>
        <w:t xml:space="preserve"> Laikoma, kad ekonominėje analizėje pateiktas palyginamasis gydymas atitinka įprastą Lietuvos Respublikos klinikinę praktiką.</w:t>
      </w:r>
    </w:p>
    <w:p w14:paraId="51256200" w14:textId="77777777" w:rsidR="00A51A1B" w:rsidRPr="00A51A1B" w:rsidRDefault="00A51A1B" w:rsidP="00A51A1B">
      <w:pPr>
        <w:spacing w:line="276" w:lineRule="auto"/>
        <w:ind w:firstLine="540"/>
        <w:jc w:val="both"/>
        <w:rPr>
          <w:rFonts w:eastAsia="Arial"/>
          <w:bCs/>
        </w:rPr>
      </w:pPr>
      <w:r w:rsidRPr="00A51A1B">
        <w:rPr>
          <w:rFonts w:eastAsia="Arial"/>
          <w:bCs/>
        </w:rPr>
        <w:t xml:space="preserve">Laikoma, kad į </w:t>
      </w:r>
      <w:r w:rsidRPr="00A51A1B">
        <w:t xml:space="preserve">ekonominę analizę įtrauktos pacientų charakteristikos pagrįstos </w:t>
      </w:r>
      <w:r w:rsidRPr="00A51A1B">
        <w:rPr>
          <w:iCs/>
        </w:rPr>
        <w:t xml:space="preserve">STARGLO (GO41944) klinikinio tyrimo populiacija </w:t>
      </w:r>
      <w:r w:rsidRPr="00A51A1B">
        <w:t xml:space="preserve"> atitinka kompensacijai teikiamas terapines indikacijas bei Lietuvos </w:t>
      </w:r>
      <w:r w:rsidRPr="00A51A1B">
        <w:rPr>
          <w:iCs/>
        </w:rPr>
        <w:t>KN DDBLL pacientų populiaciją.</w:t>
      </w:r>
      <w:r w:rsidRPr="00A51A1B">
        <w:rPr>
          <w:rFonts w:eastAsia="Arial"/>
          <w:bCs/>
        </w:rPr>
        <w:t xml:space="preserve"> </w:t>
      </w:r>
      <w:r w:rsidRPr="00A51A1B">
        <w:t xml:space="preserve">KNA klinikiniai duomenys įtraukti iš </w:t>
      </w:r>
      <w:r w:rsidRPr="00A51A1B">
        <w:rPr>
          <w:iCs/>
        </w:rPr>
        <w:t xml:space="preserve">STARGLO (GO41944) tiesioginio palyginimo tyrimo, kuris </w:t>
      </w:r>
      <w:r w:rsidRPr="00A51A1B">
        <w:t>parodė statistiškai reikšmingus rezultatus: pirminėje analizėje bendro išgyvenamumo rizikos santykis (HR) buvo 0,59 (95 % PI: 0,40–0,89), o atnaujintoje analizėje – 0,62 (95 % PI: 0,43–0,88). Vidutinė stebėjimo trukmė, siekianti 22,5 mėnesio gydymo grupėje ir 19,7 mėnesio palyginimo grupėje, vertinant bendrą išgyvenamumą (OS), kartu su atitinkamai 43,7 % ir 57,1 % įvykių dažniais, suteikia pakankamai patikimą duomenų rinkinį gydymo veiksmingumui įvertinti recidyvuojančio ar refrakterinio DLBCL NOS atveju.</w:t>
      </w:r>
    </w:p>
    <w:p w14:paraId="222D81B4" w14:textId="77777777" w:rsidR="00A51A1B" w:rsidRPr="00A51A1B" w:rsidRDefault="00A51A1B" w:rsidP="00A51A1B">
      <w:pPr>
        <w:spacing w:line="276" w:lineRule="auto"/>
        <w:ind w:firstLine="540"/>
        <w:jc w:val="both"/>
        <w:rPr>
          <w:rFonts w:eastAsia="Arial"/>
          <w:bCs/>
        </w:rPr>
      </w:pPr>
      <w:r w:rsidRPr="00A51A1B">
        <w:rPr>
          <w:bCs/>
        </w:rPr>
        <w:t xml:space="preserve">Tarnyba taiko 35 m. laiko perspektyvą (viso gyvenimo), atsižvelgiant, kad vidutinis KNA taikomas pacientų amžius pagal klinikinį tyrimą yra 64,8 m. (keičiama Pareiškėjo taikoma 60 m. laiko perspektyva). Pareiškėjo taikomas </w:t>
      </w:r>
      <w:r w:rsidRPr="00A51A1B">
        <w:t xml:space="preserve">padalintos kohortos išgyvenamumo trijų sveikatos būklių modelis yra plačiai taikomas sveikatos technologijų vertinimo praktikoje onkologinių ligų KNA modeliavimui ir yra tinkamas ir priimtinas. </w:t>
      </w:r>
      <w:r w:rsidRPr="00A51A1B">
        <w:rPr>
          <w:rFonts w:eastAsia="Arial"/>
        </w:rPr>
        <w:t xml:space="preserve">Pareiškėjas duomenų ekstrapoliacijai po tyrimo stebėjimo pabaigos taikė parametrinius ekstrapoliacijos modelius </w:t>
      </w:r>
      <w:r w:rsidRPr="00A51A1B">
        <w:t>(</w:t>
      </w:r>
      <w:r w:rsidRPr="00A51A1B">
        <w:rPr>
          <w:iCs/>
        </w:rPr>
        <w:t xml:space="preserve">Weibull, eksponential, log-normal, log-logistic, Gompertz </w:t>
      </w:r>
      <w:r w:rsidRPr="00A51A1B">
        <w:t>ir</w:t>
      </w:r>
      <w:r w:rsidRPr="00A51A1B">
        <w:rPr>
          <w:iCs/>
        </w:rPr>
        <w:t xml:space="preserve"> generalized gamma</w:t>
      </w:r>
      <w:r w:rsidRPr="00A51A1B">
        <w:t xml:space="preserve">). Siekiant atrinkti tinkamiausius parametrinius modelius įprastinio atvejo analizei, Pareiškėjas rėmėsi Akaikės (angl. </w:t>
      </w:r>
      <w:r w:rsidRPr="00A51A1B">
        <w:rPr>
          <w:iCs/>
        </w:rPr>
        <w:t>Akaike information criterion</w:t>
      </w:r>
      <w:r w:rsidRPr="00A51A1B">
        <w:t>, AIC) ir Bajeso informacijos kriterijais (angl. B</w:t>
      </w:r>
      <w:r w:rsidRPr="00A51A1B">
        <w:rPr>
          <w:spacing w:val="1"/>
        </w:rPr>
        <w:t>a</w:t>
      </w:r>
      <w:r w:rsidRPr="00A51A1B">
        <w:t>y</w:t>
      </w:r>
      <w:r w:rsidRPr="00A51A1B">
        <w:rPr>
          <w:spacing w:val="-2"/>
        </w:rPr>
        <w:t>e</w:t>
      </w:r>
      <w:r w:rsidRPr="00A51A1B">
        <w:t>s</w:t>
      </w:r>
      <w:r w:rsidRPr="00A51A1B">
        <w:rPr>
          <w:spacing w:val="2"/>
        </w:rPr>
        <w:t>i</w:t>
      </w:r>
      <w:r w:rsidRPr="00A51A1B">
        <w:rPr>
          <w:spacing w:val="6"/>
        </w:rPr>
        <w:t>a</w:t>
      </w:r>
      <w:r w:rsidRPr="00A51A1B">
        <w:t>n</w:t>
      </w:r>
      <w:r w:rsidRPr="00A51A1B">
        <w:rPr>
          <w:spacing w:val="-13"/>
        </w:rPr>
        <w:t xml:space="preserve"> </w:t>
      </w:r>
      <w:r w:rsidRPr="00A51A1B">
        <w:rPr>
          <w:spacing w:val="2"/>
        </w:rPr>
        <w:t>i</w:t>
      </w:r>
      <w:r w:rsidRPr="00A51A1B">
        <w:rPr>
          <w:spacing w:val="-2"/>
        </w:rPr>
        <w:t>n</w:t>
      </w:r>
      <w:r w:rsidRPr="00A51A1B">
        <w:rPr>
          <w:spacing w:val="4"/>
        </w:rPr>
        <w:t>f</w:t>
      </w:r>
      <w:r w:rsidRPr="00A51A1B">
        <w:rPr>
          <w:spacing w:val="-2"/>
        </w:rPr>
        <w:t>o</w:t>
      </w:r>
      <w:r w:rsidRPr="00A51A1B">
        <w:rPr>
          <w:spacing w:val="2"/>
        </w:rPr>
        <w:t>r</w:t>
      </w:r>
      <w:r w:rsidRPr="00A51A1B">
        <w:rPr>
          <w:spacing w:val="-2"/>
        </w:rPr>
        <w:t>m</w:t>
      </w:r>
      <w:r w:rsidRPr="00A51A1B">
        <w:rPr>
          <w:spacing w:val="1"/>
        </w:rPr>
        <w:t>a</w:t>
      </w:r>
      <w:r w:rsidRPr="00A51A1B">
        <w:t>t</w:t>
      </w:r>
      <w:r w:rsidRPr="00A51A1B">
        <w:rPr>
          <w:spacing w:val="6"/>
        </w:rPr>
        <w:t>i</w:t>
      </w:r>
      <w:r w:rsidRPr="00A51A1B">
        <w:rPr>
          <w:spacing w:val="-2"/>
        </w:rPr>
        <w:t>o</w:t>
      </w:r>
      <w:r w:rsidRPr="00A51A1B">
        <w:t>n</w:t>
      </w:r>
      <w:r w:rsidRPr="00A51A1B">
        <w:rPr>
          <w:spacing w:val="-10"/>
        </w:rPr>
        <w:t xml:space="preserve"> </w:t>
      </w:r>
      <w:r w:rsidRPr="00A51A1B">
        <w:t>c</w:t>
      </w:r>
      <w:r w:rsidRPr="00A51A1B">
        <w:rPr>
          <w:spacing w:val="2"/>
        </w:rPr>
        <w:t>ri</w:t>
      </w:r>
      <w:r w:rsidRPr="00A51A1B">
        <w:t>t</w:t>
      </w:r>
      <w:r w:rsidRPr="00A51A1B">
        <w:rPr>
          <w:spacing w:val="-2"/>
        </w:rPr>
        <w:t>e</w:t>
      </w:r>
      <w:r w:rsidRPr="00A51A1B">
        <w:rPr>
          <w:spacing w:val="2"/>
        </w:rPr>
        <w:t>ri</w:t>
      </w:r>
      <w:r w:rsidRPr="00A51A1B">
        <w:t xml:space="preserve">a, BIC), vizualiu kreivių atitikimu Kaplan Meier kreivėms bei klinikinių duomenų pagrįstumu. Išgyvenamumo iki ligos progreso ir </w:t>
      </w:r>
      <w:r w:rsidRPr="00A51A1B">
        <w:lastRenderedPageBreak/>
        <w:t>bendrojo išgyvenamumo duomenų ekstrapoliacijai po klinikinio tyrimo pabaigos abiems gydymo grupėms taikomi log-normal parametriniai skirstiniai. Taikoma prielaida, kad gydymo poveikis vertinamuoju laikotarpiu yra išlaikomas pastovus.</w:t>
      </w:r>
    </w:p>
    <w:p w14:paraId="46D598DA" w14:textId="798EE6B0" w:rsidR="00A51A1B" w:rsidRPr="00A51A1B" w:rsidRDefault="00A51A1B" w:rsidP="00A51A1B">
      <w:pPr>
        <w:spacing w:line="276" w:lineRule="auto"/>
        <w:ind w:firstLine="540"/>
        <w:jc w:val="both"/>
        <w:rPr>
          <w:rFonts w:eastAsia="Arial"/>
          <w:bCs/>
        </w:rPr>
      </w:pPr>
      <w:r w:rsidRPr="00A51A1B">
        <w:t>Gydymo trukmės duomenys modeliuojami pagal laiką iki gydymo nutraukimo (TTOT) įtraukiant faktinius STARGLO klinikinio tyrimo duomenis ir KM+exponential ekstrapoliacija. ekstrapoliacija laikoma tinkama, kadangi šiuo atveju rizika tęsti gydymą lieka pastovi ir atitinka klinikinio tyrimo rezultatus (iki 9 mėn gydymą baigia visi pacientai ir SPC numatytą gydymo trukmės ribojimą (8 + 4 ciklai (monoterapija), viso daugiausiai gydymo 12 ciklų).</w:t>
      </w:r>
      <w:r w:rsidRPr="00A51A1B">
        <w:rPr>
          <w:rFonts w:eastAsia="Arial"/>
          <w:bCs/>
        </w:rPr>
        <w:t xml:space="preserve"> </w:t>
      </w:r>
      <w:r w:rsidRPr="00A51A1B">
        <w:t xml:space="preserve">Nors Tarnyba sutinka, kad </w:t>
      </w:r>
      <w:r w:rsidRPr="00A51A1B">
        <w:rPr>
          <w:rFonts w:eastAsia="Roche Sans"/>
        </w:rPr>
        <w:t>recidyvuojančiam ar atspariam difuziniam didelių ląstelių B limfomai (R/R DLBCL), ilgalaikė remisija ir išgyven</w:t>
      </w:r>
      <w:r w:rsidR="002111DA">
        <w:rPr>
          <w:rFonts w:eastAsia="Roche Sans"/>
        </w:rPr>
        <w:t>amumas gali būti laikomi klini</w:t>
      </w:r>
      <w:r w:rsidRPr="00A51A1B">
        <w:rPr>
          <w:rFonts w:eastAsia="Roche Sans"/>
        </w:rPr>
        <w:t xml:space="preserve">škai tikėtinais, tačiau atsižvelgiant, kad nepakanka duomenų pagrįsti laikotarpiui nuo kurio pacientai galėtų būti priskiriami pasveikusiųjų frakcijai (kuriems būdinga bendrosios populiacijos išgyvenamumo rizika) ir kokią dalį modelyje apimtų pasveikusiųjų pacientų frakcija, Tarnyba </w:t>
      </w:r>
      <w:r w:rsidRPr="00A51A1B">
        <w:rPr>
          <w:u w:val="single"/>
        </w:rPr>
        <w:t>netaiko prielaidos</w:t>
      </w:r>
      <w:r w:rsidRPr="00A51A1B">
        <w:t>, kad pacientai pasiekia ilgalaikį išgyvenamumą (išgyvenamumo rizika sutampa su bendrosios populiacijos).</w:t>
      </w:r>
      <w:r w:rsidRPr="00A51A1B">
        <w:rPr>
          <w:rFonts w:eastAsia="Arial"/>
          <w:bCs/>
        </w:rPr>
        <w:t xml:space="preserve"> </w:t>
      </w:r>
      <w:r w:rsidRPr="00A51A1B">
        <w:t>Apibendrinant, Pareiškėjo taikomos prielaidos, vertinant efektyvumo skirtumus tarp siūlomo ir palyginamojo gydymo ilgajame laikotarpyje yra laikomos pagrįstomis ir tinkamomis.</w:t>
      </w:r>
      <w:r w:rsidRPr="00A51A1B">
        <w:rPr>
          <w:bCs/>
        </w:rPr>
        <w:t xml:space="preserve"> </w:t>
      </w:r>
    </w:p>
    <w:p w14:paraId="0B55C175" w14:textId="3F4D52E1" w:rsidR="00A51A1B" w:rsidRPr="00A51A1B" w:rsidRDefault="00A51A1B" w:rsidP="00A51A1B">
      <w:pPr>
        <w:spacing w:line="276" w:lineRule="auto"/>
        <w:ind w:firstLine="540"/>
        <w:jc w:val="both"/>
        <w:rPr>
          <w:rFonts w:eastAsia="Arial"/>
          <w:bCs/>
        </w:rPr>
      </w:pPr>
      <w:r w:rsidRPr="00A51A1B">
        <w:t xml:space="preserve">Sveikatai sukuriama nauda buvo vertinama pagal su sveikata susijusią gyvenimo kokybę (angl. </w:t>
      </w:r>
      <w:r w:rsidRPr="00A51A1B">
        <w:rPr>
          <w:iCs/>
        </w:rPr>
        <w:t xml:space="preserve">Health realated quality of life, </w:t>
      </w:r>
      <w:r w:rsidRPr="00A51A1B">
        <w:t xml:space="preserve">HRQoL), kuri buvo įvertinta naudojant EQ-5D klausimyną, </w:t>
      </w:r>
      <w:r w:rsidRPr="00A51A1B">
        <w:rPr>
          <w:iCs/>
        </w:rPr>
        <w:t>STARGLO</w:t>
      </w:r>
      <w:r w:rsidRPr="00A51A1B">
        <w:t xml:space="preserve"> klinikinio tyrimo metu.</w:t>
      </w:r>
      <w:r w:rsidRPr="00A51A1B">
        <w:rPr>
          <w:rFonts w:eastAsia="Arial"/>
          <w:bCs/>
        </w:rPr>
        <w:t xml:space="preserve"> </w:t>
      </w:r>
      <w:r w:rsidRPr="00A51A1B">
        <w:t xml:space="preserve">Pareiškėjas ekonominėje analizėje įtraukia gyvenimo kokybės koeficientus remiantis </w:t>
      </w:r>
      <w:r w:rsidRPr="00A51A1B">
        <w:rPr>
          <w:snapToGrid w:val="0"/>
        </w:rPr>
        <w:t>STARGLO klinikinio tyrimo duomenimis ir priklausomai nuo sveikatos būklės (be ligos progreso ir progresavusios ligos) vienodus abiems gydymo grupėms. Tarnyba įprastinėje atvejo analizėje taiko alternatyviai teikiamus l</w:t>
      </w:r>
      <w:r w:rsidRPr="001F64B1">
        <w:rPr>
          <w:rStyle w:val="cf01"/>
          <w:rFonts w:ascii="Times New Roman" w:hAnsi="Times New Roman" w:cs="Times New Roman"/>
          <w:sz w:val="24"/>
          <w:szCs w:val="24"/>
          <w:lang w:eastAsia="en-GB"/>
        </w:rPr>
        <w:t>aiko iki mirties gyvenimo kokybės įverčius. Tarnyba vertina, kad šis metodas yra tikslesnis, kadangi įtraukiama daugiau sveikatos būklių įverčių (</w:t>
      </w:r>
      <w:r w:rsidRPr="00A51A1B">
        <w:t>&gt; 60 iki ≤ 10 savaičių artėjant iki mirties) bei rodikliai yra pagrįsti pagrindiniu glofitamabo klinikiniu tyrimu (STARGO) pagal</w:t>
      </w:r>
      <w:r w:rsidRPr="001F64B1">
        <w:rPr>
          <w:rStyle w:val="cf01"/>
          <w:rFonts w:ascii="Times New Roman" w:hAnsi="Times New Roman" w:cs="Times New Roman"/>
          <w:sz w:val="24"/>
          <w:szCs w:val="24"/>
          <w:lang w:eastAsia="en-GB"/>
        </w:rPr>
        <w:t xml:space="preserve"> EQ-5D-5L duomenis.</w:t>
      </w:r>
      <w:r w:rsidRPr="00A51A1B">
        <w:rPr>
          <w:snapToGrid w:val="0"/>
        </w:rPr>
        <w:t xml:space="preserve"> </w:t>
      </w:r>
      <w:r w:rsidRPr="00A51A1B">
        <w:rPr>
          <w:rFonts w:eastAsia="CIDFont+F1"/>
        </w:rPr>
        <w:t>Pareiškėjas KNA neįtraukia su nepageidaujamu poveikiu susijusių gyvenimo kokybės praradimų (angl. disutilities). Tarnyba sutinka, atsižvelgiant, kad gyvenimo kokybės praradimų įverčiai turi minimalią reikšmę galutiniam ekonominės analizės rezultatui.</w:t>
      </w:r>
      <w:r w:rsidRPr="00A51A1B">
        <w:rPr>
          <w:snapToGrid w:val="0"/>
        </w:rPr>
        <w:t xml:space="preserve"> </w:t>
      </w:r>
      <w:r w:rsidRPr="00A51A1B">
        <w:t>Tarnyba vertina, kad ekonominėje analizėje taikomi gyvenimo</w:t>
      </w:r>
      <w:r w:rsidR="00404D97">
        <w:t xml:space="preserve"> </w:t>
      </w:r>
      <w:r w:rsidRPr="00A51A1B">
        <w:t xml:space="preserve">kokybės įverčiai yra tinkami ir pagrįsti (Pareiškėjas papildomai pateikia sisteminės literatūros apžvalgos rezultatus su alternatyviais įverčiais). </w:t>
      </w:r>
      <w:r w:rsidRPr="00A51A1B">
        <w:rPr>
          <w:snapToGrid w:val="0"/>
        </w:rPr>
        <w:t xml:space="preserve"> </w:t>
      </w:r>
    </w:p>
    <w:p w14:paraId="73EB6C4F" w14:textId="67BA96BA" w:rsidR="00A51A1B" w:rsidRPr="00A51A1B" w:rsidRDefault="00A51A1B" w:rsidP="00A51A1B">
      <w:pPr>
        <w:spacing w:line="276" w:lineRule="auto"/>
        <w:ind w:firstLine="540"/>
        <w:jc w:val="both"/>
        <w:rPr>
          <w:iCs/>
        </w:rPr>
      </w:pPr>
      <w:r w:rsidRPr="00A51A1B">
        <w:t xml:space="preserve">Tarnyba vertina, kad </w:t>
      </w:r>
      <w:r w:rsidRPr="00A51A1B">
        <w:rPr>
          <w:iCs/>
        </w:rPr>
        <w:t>kaštai apskaičiuoti tinkamai, Pareiškėjas įtraukia Lietuvos sveikatos priežiūros paslaugų įkainius. Šaltiniai pagrįsti. Esminių trūkumų nenustatyta. Tarnyba atnaujina įkainius pagal 2026 m. II pusm. ASPPĮ ir kainyną.</w:t>
      </w:r>
    </w:p>
    <w:p w14:paraId="7C355A66" w14:textId="6511980F" w:rsidR="00A51A1B" w:rsidRDefault="00A51A1B" w:rsidP="00A51A1B">
      <w:pPr>
        <w:spacing w:line="276" w:lineRule="auto"/>
        <w:ind w:firstLine="540"/>
        <w:jc w:val="both"/>
        <w:rPr>
          <w:iCs/>
        </w:rPr>
      </w:pPr>
    </w:p>
    <w:p w14:paraId="4F2A8D19" w14:textId="59E1E80D" w:rsidR="00A51A1B" w:rsidRPr="00334F18" w:rsidRDefault="00A51A1B" w:rsidP="00A51A1B">
      <w:pPr>
        <w:tabs>
          <w:tab w:val="left" w:pos="426"/>
        </w:tabs>
        <w:jc w:val="center"/>
        <w:rPr>
          <w:b/>
          <w:lang w:eastAsia="lt-LT"/>
        </w:rPr>
      </w:pPr>
      <w:r w:rsidRPr="00334F18">
        <w:rPr>
          <w:b/>
          <w:lang w:eastAsia="lt-LT"/>
        </w:rPr>
        <w:t>3.1 Ekonominės analizės rezultatas</w:t>
      </w:r>
    </w:p>
    <w:tbl>
      <w:tblPr>
        <w:tblStyle w:val="Lentelstinklelis1"/>
        <w:tblW w:w="9439"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200"/>
        <w:gridCol w:w="3239"/>
      </w:tblGrid>
      <w:tr w:rsidR="00A51A1B" w:rsidRPr="00334F18" w14:paraId="2CB3779F" w14:textId="77777777" w:rsidTr="00702B73">
        <w:trPr>
          <w:trHeight w:val="344"/>
          <w:jc w:val="center"/>
        </w:trPr>
        <w:tc>
          <w:tcPr>
            <w:tcW w:w="9439" w:type="dxa"/>
            <w:gridSpan w:val="2"/>
            <w:tcBorders>
              <w:top w:val="single" w:sz="12" w:space="0" w:color="auto"/>
              <w:left w:val="single" w:sz="4" w:space="0" w:color="auto"/>
              <w:right w:val="single" w:sz="4" w:space="0" w:color="auto"/>
            </w:tcBorders>
            <w:vAlign w:val="center"/>
          </w:tcPr>
          <w:p w14:paraId="2E73D4B2" w14:textId="77777777" w:rsidR="00A51A1B" w:rsidRPr="00334F18" w:rsidRDefault="00A51A1B" w:rsidP="00702B73">
            <w:pPr>
              <w:tabs>
                <w:tab w:val="left" w:pos="567"/>
              </w:tabs>
              <w:jc w:val="center"/>
              <w:rPr>
                <w:b/>
                <w:bCs/>
                <w:sz w:val="26"/>
                <w:szCs w:val="26"/>
                <w:lang w:eastAsia="lt-LT"/>
              </w:rPr>
            </w:pPr>
            <w:r w:rsidRPr="00334F18">
              <w:rPr>
                <w:b/>
                <w:bCs/>
                <w:sz w:val="26"/>
                <w:szCs w:val="26"/>
                <w:lang w:eastAsia="lt-LT"/>
              </w:rPr>
              <w:t>Rezultatai</w:t>
            </w:r>
          </w:p>
        </w:tc>
      </w:tr>
      <w:tr w:rsidR="00A51A1B" w:rsidRPr="00334F18" w14:paraId="6F17C518" w14:textId="77777777" w:rsidTr="00702B73">
        <w:trPr>
          <w:trHeight w:val="267"/>
          <w:jc w:val="center"/>
        </w:trPr>
        <w:tc>
          <w:tcPr>
            <w:tcW w:w="6200" w:type="dxa"/>
            <w:tcBorders>
              <w:left w:val="single" w:sz="4" w:space="0" w:color="auto"/>
            </w:tcBorders>
          </w:tcPr>
          <w:p w14:paraId="7C00E91F" w14:textId="77777777" w:rsidR="00A51A1B" w:rsidRPr="00334F18" w:rsidRDefault="00A51A1B" w:rsidP="00702B73">
            <w:pPr>
              <w:tabs>
                <w:tab w:val="left" w:pos="567"/>
              </w:tabs>
              <w:jc w:val="right"/>
              <w:rPr>
                <w:iCs/>
                <w:lang w:eastAsia="lt-LT"/>
              </w:rPr>
            </w:pPr>
            <w:r w:rsidRPr="00334F18">
              <w:rPr>
                <w:iCs/>
                <w:lang w:eastAsia="lt-LT"/>
              </w:rPr>
              <w:t>Kaštų skirtumas</w:t>
            </w:r>
          </w:p>
        </w:tc>
        <w:tc>
          <w:tcPr>
            <w:tcW w:w="3239" w:type="dxa"/>
            <w:tcBorders>
              <w:right w:val="single" w:sz="4" w:space="0" w:color="auto"/>
            </w:tcBorders>
          </w:tcPr>
          <w:p w14:paraId="49FC4CB6" w14:textId="6AC9BDC1" w:rsidR="00A51A1B" w:rsidRPr="00BE609B" w:rsidRDefault="00D034E2" w:rsidP="00702B73">
            <w:pPr>
              <w:tabs>
                <w:tab w:val="left" w:pos="567"/>
              </w:tabs>
              <w:jc w:val="both"/>
              <w:rPr>
                <w:i/>
                <w:iCs/>
                <w:lang w:eastAsia="lt-LT"/>
              </w:rPr>
            </w:pPr>
            <w:r>
              <w:rPr>
                <w:i/>
                <w:iCs/>
              </w:rPr>
              <w:t>****</w:t>
            </w:r>
          </w:p>
        </w:tc>
      </w:tr>
      <w:tr w:rsidR="00A51A1B" w:rsidRPr="00334F18" w14:paraId="05C88834" w14:textId="77777777" w:rsidTr="00702B73">
        <w:trPr>
          <w:trHeight w:val="267"/>
          <w:jc w:val="center"/>
        </w:trPr>
        <w:tc>
          <w:tcPr>
            <w:tcW w:w="6200" w:type="dxa"/>
            <w:tcBorders>
              <w:left w:val="single" w:sz="4" w:space="0" w:color="auto"/>
            </w:tcBorders>
          </w:tcPr>
          <w:p w14:paraId="7DF127E5" w14:textId="77777777" w:rsidR="00A51A1B" w:rsidRPr="00334F18" w:rsidRDefault="00A51A1B" w:rsidP="00702B73">
            <w:pPr>
              <w:tabs>
                <w:tab w:val="left" w:pos="567"/>
              </w:tabs>
              <w:jc w:val="right"/>
              <w:rPr>
                <w:iCs/>
                <w:lang w:eastAsia="lt-LT"/>
              </w:rPr>
            </w:pPr>
            <w:r w:rsidRPr="00334F18">
              <w:rPr>
                <w:iCs/>
                <w:lang w:eastAsia="lt-LT"/>
              </w:rPr>
              <w:t>Papildomi gyvenimo metai (LY)</w:t>
            </w:r>
          </w:p>
        </w:tc>
        <w:tc>
          <w:tcPr>
            <w:tcW w:w="3239" w:type="dxa"/>
            <w:tcBorders>
              <w:right w:val="single" w:sz="4" w:space="0" w:color="auto"/>
            </w:tcBorders>
          </w:tcPr>
          <w:p w14:paraId="279477E6" w14:textId="224EE275" w:rsidR="00A51A1B" w:rsidRPr="00BE609B" w:rsidRDefault="00D034E2" w:rsidP="00702B73">
            <w:pPr>
              <w:tabs>
                <w:tab w:val="left" w:pos="567"/>
              </w:tabs>
              <w:jc w:val="both"/>
              <w:rPr>
                <w:i/>
                <w:iCs/>
                <w:lang w:eastAsia="lt-LT"/>
              </w:rPr>
            </w:pPr>
            <w:r>
              <w:rPr>
                <w:i/>
                <w:iCs/>
              </w:rPr>
              <w:t>****</w:t>
            </w:r>
          </w:p>
        </w:tc>
      </w:tr>
      <w:tr w:rsidR="00A51A1B" w:rsidRPr="00334F18" w14:paraId="5B54564B" w14:textId="77777777" w:rsidTr="00702B73">
        <w:trPr>
          <w:trHeight w:val="267"/>
          <w:jc w:val="center"/>
        </w:trPr>
        <w:tc>
          <w:tcPr>
            <w:tcW w:w="6200" w:type="dxa"/>
            <w:tcBorders>
              <w:left w:val="single" w:sz="4" w:space="0" w:color="auto"/>
            </w:tcBorders>
          </w:tcPr>
          <w:p w14:paraId="791DD79A" w14:textId="77777777" w:rsidR="00A51A1B" w:rsidRPr="00334F18" w:rsidRDefault="00A51A1B" w:rsidP="00702B73">
            <w:pPr>
              <w:tabs>
                <w:tab w:val="left" w:pos="567"/>
              </w:tabs>
              <w:jc w:val="right"/>
              <w:rPr>
                <w:iCs/>
                <w:lang w:eastAsia="lt-LT"/>
              </w:rPr>
            </w:pPr>
            <w:r w:rsidRPr="00334F18">
              <w:rPr>
                <w:iCs/>
                <w:lang w:eastAsia="lt-LT"/>
              </w:rPr>
              <w:t>Papildomi kokybiški gyvenimo metai (QALY)</w:t>
            </w:r>
          </w:p>
        </w:tc>
        <w:tc>
          <w:tcPr>
            <w:tcW w:w="3239" w:type="dxa"/>
            <w:tcBorders>
              <w:right w:val="single" w:sz="4" w:space="0" w:color="auto"/>
            </w:tcBorders>
          </w:tcPr>
          <w:p w14:paraId="08E52F4D" w14:textId="434179D7" w:rsidR="00A51A1B" w:rsidRPr="00BE609B" w:rsidRDefault="00D034E2" w:rsidP="00702B73">
            <w:pPr>
              <w:tabs>
                <w:tab w:val="left" w:pos="567"/>
              </w:tabs>
              <w:jc w:val="both"/>
              <w:rPr>
                <w:i/>
                <w:iCs/>
                <w:lang w:eastAsia="lt-LT"/>
              </w:rPr>
            </w:pPr>
            <w:r>
              <w:rPr>
                <w:i/>
                <w:iCs/>
              </w:rPr>
              <w:t>****</w:t>
            </w:r>
          </w:p>
        </w:tc>
      </w:tr>
      <w:tr w:rsidR="00A51A1B" w:rsidRPr="00334F18" w14:paraId="31B615AA" w14:textId="77777777" w:rsidTr="00702B73">
        <w:trPr>
          <w:trHeight w:val="267"/>
          <w:jc w:val="center"/>
        </w:trPr>
        <w:tc>
          <w:tcPr>
            <w:tcW w:w="6200" w:type="dxa"/>
            <w:tcBorders>
              <w:left w:val="single" w:sz="4" w:space="0" w:color="auto"/>
            </w:tcBorders>
          </w:tcPr>
          <w:p w14:paraId="4D7F535C" w14:textId="77777777" w:rsidR="00A51A1B" w:rsidRPr="00334F18" w:rsidRDefault="00A51A1B" w:rsidP="00702B73">
            <w:pPr>
              <w:tabs>
                <w:tab w:val="left" w:pos="567"/>
              </w:tabs>
              <w:jc w:val="right"/>
              <w:rPr>
                <w:iCs/>
                <w:lang w:eastAsia="lt-LT"/>
              </w:rPr>
            </w:pPr>
            <w:r w:rsidRPr="00334F18">
              <w:rPr>
                <w:iCs/>
                <w:lang w:eastAsia="lt-LT"/>
              </w:rPr>
              <w:t>ICER už LY</w:t>
            </w:r>
          </w:p>
        </w:tc>
        <w:tc>
          <w:tcPr>
            <w:tcW w:w="3239" w:type="dxa"/>
            <w:tcBorders>
              <w:right w:val="single" w:sz="4" w:space="0" w:color="auto"/>
            </w:tcBorders>
          </w:tcPr>
          <w:p w14:paraId="28ADE1A4" w14:textId="5DE422F8" w:rsidR="00A51A1B" w:rsidRPr="00334F18" w:rsidRDefault="00D034E2" w:rsidP="00702B73">
            <w:pPr>
              <w:tabs>
                <w:tab w:val="left" w:pos="567"/>
              </w:tabs>
              <w:jc w:val="both"/>
              <w:rPr>
                <w:i/>
                <w:iCs/>
                <w:lang w:eastAsia="lt-LT"/>
              </w:rPr>
            </w:pPr>
            <w:r>
              <w:rPr>
                <w:i/>
                <w:iCs/>
              </w:rPr>
              <w:t>****</w:t>
            </w:r>
          </w:p>
        </w:tc>
      </w:tr>
      <w:tr w:rsidR="00A51A1B" w:rsidRPr="00334F18" w14:paraId="087DDF87" w14:textId="77777777" w:rsidTr="00702B73">
        <w:trPr>
          <w:trHeight w:val="267"/>
          <w:jc w:val="center"/>
        </w:trPr>
        <w:tc>
          <w:tcPr>
            <w:tcW w:w="6200" w:type="dxa"/>
            <w:tcBorders>
              <w:left w:val="single" w:sz="4" w:space="0" w:color="auto"/>
            </w:tcBorders>
          </w:tcPr>
          <w:p w14:paraId="3169E05E" w14:textId="77777777" w:rsidR="00A51A1B" w:rsidRPr="00BE609B" w:rsidRDefault="00A51A1B" w:rsidP="00702B73">
            <w:pPr>
              <w:tabs>
                <w:tab w:val="left" w:pos="567"/>
              </w:tabs>
              <w:jc w:val="right"/>
              <w:rPr>
                <w:b/>
                <w:iCs/>
                <w:lang w:eastAsia="lt-LT"/>
              </w:rPr>
            </w:pPr>
            <w:r w:rsidRPr="00BE609B">
              <w:rPr>
                <w:b/>
                <w:iCs/>
                <w:lang w:eastAsia="lt-LT"/>
              </w:rPr>
              <w:t>ICER už QALY</w:t>
            </w:r>
          </w:p>
        </w:tc>
        <w:tc>
          <w:tcPr>
            <w:tcW w:w="3239" w:type="dxa"/>
            <w:tcBorders>
              <w:right w:val="single" w:sz="4" w:space="0" w:color="auto"/>
            </w:tcBorders>
          </w:tcPr>
          <w:p w14:paraId="45D1462C" w14:textId="7E5ACFC3" w:rsidR="00A51A1B" w:rsidRPr="00334F18" w:rsidRDefault="00D034E2" w:rsidP="00702B73">
            <w:pPr>
              <w:tabs>
                <w:tab w:val="left" w:pos="567"/>
              </w:tabs>
              <w:jc w:val="both"/>
              <w:rPr>
                <w:i/>
                <w:iCs/>
                <w:lang w:eastAsia="lt-LT"/>
              </w:rPr>
            </w:pPr>
            <w:r>
              <w:rPr>
                <w:i/>
                <w:iCs/>
              </w:rPr>
              <w:t>****</w:t>
            </w:r>
          </w:p>
        </w:tc>
      </w:tr>
      <w:tr w:rsidR="00A51A1B" w:rsidRPr="00334F18" w14:paraId="293731E9" w14:textId="77777777" w:rsidTr="00702B73">
        <w:trPr>
          <w:trHeight w:val="267"/>
          <w:jc w:val="center"/>
        </w:trPr>
        <w:tc>
          <w:tcPr>
            <w:tcW w:w="6200" w:type="dxa"/>
            <w:tcBorders>
              <w:left w:val="single" w:sz="4" w:space="0" w:color="auto"/>
              <w:bottom w:val="single" w:sz="4" w:space="0" w:color="auto"/>
              <w:right w:val="single" w:sz="4" w:space="0" w:color="auto"/>
            </w:tcBorders>
          </w:tcPr>
          <w:p w14:paraId="5FF4F3D7" w14:textId="77777777" w:rsidR="00A51A1B" w:rsidRPr="00BE609B" w:rsidRDefault="00A51A1B" w:rsidP="00702B73">
            <w:pPr>
              <w:tabs>
                <w:tab w:val="left" w:pos="567"/>
              </w:tabs>
              <w:jc w:val="right"/>
              <w:rPr>
                <w:b/>
                <w:i/>
                <w:iCs/>
                <w:lang w:eastAsia="lt-LT"/>
              </w:rPr>
            </w:pPr>
            <w:r w:rsidRPr="00BE609B">
              <w:rPr>
                <w:b/>
                <w:i/>
                <w:iCs/>
                <w:lang w:eastAsia="lt-LT"/>
              </w:rPr>
              <w:t>Referencinė kaštų naudingumo vertė</w:t>
            </w:r>
          </w:p>
        </w:tc>
        <w:tc>
          <w:tcPr>
            <w:tcW w:w="3239" w:type="dxa"/>
            <w:tcBorders>
              <w:left w:val="single" w:sz="4" w:space="0" w:color="auto"/>
              <w:bottom w:val="single" w:sz="4" w:space="0" w:color="auto"/>
              <w:right w:val="single" w:sz="4" w:space="0" w:color="auto"/>
            </w:tcBorders>
          </w:tcPr>
          <w:p w14:paraId="533B68FA" w14:textId="7740C7D3" w:rsidR="00A51A1B" w:rsidRPr="00334F18" w:rsidRDefault="00D034E2" w:rsidP="00702B73">
            <w:pPr>
              <w:tabs>
                <w:tab w:val="left" w:pos="567"/>
              </w:tabs>
              <w:jc w:val="both"/>
              <w:rPr>
                <w:i/>
                <w:iCs/>
                <w:lang w:eastAsia="lt-LT"/>
              </w:rPr>
            </w:pPr>
            <w:r>
              <w:rPr>
                <w:rFonts w:eastAsia="Arial"/>
                <w:b/>
                <w:i/>
                <w:lang w:val="en-GB"/>
              </w:rPr>
              <w:t>****</w:t>
            </w:r>
            <w:r w:rsidR="00A51A1B" w:rsidRPr="001B002C">
              <w:rPr>
                <w:rFonts w:eastAsia="Arial"/>
                <w:b/>
                <w:i/>
                <w:lang w:val="en-GB"/>
              </w:rPr>
              <w:t xml:space="preserve"> </w:t>
            </w:r>
            <w:r w:rsidR="00A51A1B" w:rsidRPr="001B002C">
              <w:rPr>
                <w:rFonts w:eastAsia="Arial"/>
                <w:b/>
                <w:i/>
              </w:rPr>
              <w:t>EUR</w:t>
            </w:r>
            <w:r w:rsidR="00A51A1B" w:rsidRPr="001B002C">
              <w:rPr>
                <w:rFonts w:eastAsia="Arial"/>
                <w:b/>
                <w:i/>
                <w:lang w:val="en-GB"/>
              </w:rPr>
              <w:t>/QALY</w:t>
            </w:r>
          </w:p>
        </w:tc>
      </w:tr>
    </w:tbl>
    <w:p w14:paraId="4582917C" w14:textId="77777777" w:rsidR="00A51A1B" w:rsidRPr="00334F18" w:rsidRDefault="00A51A1B" w:rsidP="00A51A1B">
      <w:pPr>
        <w:tabs>
          <w:tab w:val="left" w:pos="567"/>
        </w:tabs>
        <w:jc w:val="both"/>
        <w:rPr>
          <w:iCs/>
          <w:sz w:val="20"/>
          <w:lang w:eastAsia="lt-LT"/>
        </w:rPr>
      </w:pPr>
      <w:r w:rsidRPr="00334F18">
        <w:rPr>
          <w:iCs/>
          <w:sz w:val="20"/>
          <w:lang w:eastAsia="lt-LT"/>
        </w:rPr>
        <w:t>ICER – (</w:t>
      </w:r>
      <w:r w:rsidRPr="00334F18">
        <w:rPr>
          <w:i/>
          <w:sz w:val="20"/>
          <w:lang w:eastAsia="lt-LT"/>
        </w:rPr>
        <w:t>angl. incremental cost-effectiveness ratio</w:t>
      </w:r>
      <w:r w:rsidRPr="00334F18">
        <w:rPr>
          <w:iCs/>
          <w:sz w:val="20"/>
          <w:lang w:eastAsia="lt-LT"/>
        </w:rPr>
        <w:t>) inkrementinis kaštų naudingumo koeficientas; LY – (</w:t>
      </w:r>
      <w:r w:rsidRPr="00334F18">
        <w:rPr>
          <w:i/>
          <w:sz w:val="20"/>
          <w:lang w:eastAsia="lt-LT"/>
        </w:rPr>
        <w:t>angl. life years</w:t>
      </w:r>
      <w:r w:rsidRPr="00334F18">
        <w:rPr>
          <w:iCs/>
          <w:sz w:val="20"/>
          <w:lang w:eastAsia="lt-LT"/>
        </w:rPr>
        <w:t>) gyvenimo metai; QALY- (</w:t>
      </w:r>
      <w:r w:rsidRPr="00334F18">
        <w:rPr>
          <w:i/>
          <w:sz w:val="20"/>
          <w:lang w:eastAsia="lt-LT"/>
        </w:rPr>
        <w:t xml:space="preserve">angl. quality adjusted life years) </w:t>
      </w:r>
      <w:r w:rsidRPr="00334F18">
        <w:rPr>
          <w:iCs/>
          <w:sz w:val="20"/>
          <w:lang w:eastAsia="lt-LT"/>
        </w:rPr>
        <w:t>kokybiški gyvenimo metai.</w:t>
      </w:r>
    </w:p>
    <w:p w14:paraId="6F036092" w14:textId="4BD1750A" w:rsidR="00A51A1B" w:rsidRPr="00F13C94" w:rsidRDefault="00A51A1B" w:rsidP="00A51A1B">
      <w:pPr>
        <w:spacing w:line="276" w:lineRule="auto"/>
        <w:jc w:val="both"/>
        <w:rPr>
          <w:rFonts w:eastAsia="Arial"/>
          <w:bCs/>
          <w:szCs w:val="22"/>
        </w:rPr>
      </w:pPr>
    </w:p>
    <w:p w14:paraId="29A7057E" w14:textId="6CAD4D06" w:rsidR="00A51A1B" w:rsidRPr="00F13C94" w:rsidRDefault="00A51A1B" w:rsidP="00A51A1B">
      <w:pPr>
        <w:spacing w:line="276" w:lineRule="auto"/>
        <w:ind w:firstLine="720"/>
        <w:jc w:val="both"/>
      </w:pPr>
      <w:r w:rsidRPr="00F13C94">
        <w:t xml:space="preserve">Iš KNA rezultatų matyti, kad glofitamabą </w:t>
      </w:r>
      <w:r w:rsidRPr="00F13C94">
        <w:rPr>
          <w:iCs/>
        </w:rPr>
        <w:t xml:space="preserve">derinant su gemcitabinu ir oksaliplatina skirtą recidyvavusia ar atsparia kitaip neapibrėžta difuzine didelių B ląstelių limfoma (KN DDBLL), </w:t>
      </w:r>
      <w:r w:rsidRPr="00F13C94">
        <w:rPr>
          <w:iCs/>
        </w:rPr>
        <w:lastRenderedPageBreak/>
        <w:t xml:space="preserve">sergančių suaugusių pacientų, kuriems negalima atlikti autologinės kamieninių ląstelių transplantacijos (AKLT), gydymui, lyginant su rituksimabu (derinyje su gemcitabinu ir oksaliplatina) viso gyvenimo laiko perspektyvoje (35 m.) yra papildomai laimima </w:t>
      </w:r>
      <w:r w:rsidR="00D034E2">
        <w:rPr>
          <w:iCs/>
        </w:rPr>
        <w:t>****</w:t>
      </w:r>
      <w:r w:rsidRPr="00F13C94">
        <w:rPr>
          <w:iCs/>
        </w:rPr>
        <w:t xml:space="preserve"> QALYs, o gydymo glofitamabu kaštai yra </w:t>
      </w:r>
      <w:r w:rsidR="00D034E2">
        <w:rPr>
          <w:iCs/>
        </w:rPr>
        <w:t>****</w:t>
      </w:r>
      <w:r>
        <w:rPr>
          <w:iCs/>
        </w:rPr>
        <w:t xml:space="preserve"> </w:t>
      </w:r>
      <w:r w:rsidRPr="00F13C94">
        <w:rPr>
          <w:iCs/>
        </w:rPr>
        <w:t xml:space="preserve">Eur. didesni nei gydant rituksimabu. </w:t>
      </w:r>
      <w:r w:rsidRPr="00F13C94">
        <w:t xml:space="preserve">Įprastinėje atvejo analizėje apskaičiuojamas galutinis ekonominės analizės rezultatas (ICER) - </w:t>
      </w:r>
      <w:r w:rsidR="00D034E2">
        <w:t>****</w:t>
      </w:r>
      <w:r w:rsidRPr="00F13C94">
        <w:t xml:space="preserve"> Eur./QALY atitinka sunkiai ligos naštai taikomą referencinę kaštų naudingumo vertę (&lt;128487 Eur.,). Modelio tvarumą patvirtina scenarijų analizės rezultatai – keičiant prielaidas nė vienu atveju nėra viršijama sunkiai ligos naštai taikoma referencinė kaštų naudingumo vertė.</w:t>
      </w:r>
    </w:p>
    <w:p w14:paraId="4DD975E4" w14:textId="76A2F410" w:rsidR="004F13E6" w:rsidRPr="00A51A1B" w:rsidRDefault="004F13E6" w:rsidP="00A51A1B">
      <w:pPr>
        <w:tabs>
          <w:tab w:val="left" w:pos="567"/>
        </w:tabs>
        <w:rPr>
          <w:b/>
          <w:bCs/>
          <w:caps/>
        </w:rPr>
      </w:pPr>
    </w:p>
    <w:p w14:paraId="78F23ECB" w14:textId="68855B36" w:rsidR="002F0E4F" w:rsidRPr="00334F18" w:rsidRDefault="002F0E4F" w:rsidP="00CC09D4">
      <w:pPr>
        <w:pStyle w:val="ListParagraph"/>
        <w:numPr>
          <w:ilvl w:val="0"/>
          <w:numId w:val="12"/>
        </w:numPr>
        <w:tabs>
          <w:tab w:val="left" w:pos="567"/>
        </w:tabs>
        <w:ind w:hanging="720"/>
        <w:rPr>
          <w:b/>
          <w:bCs/>
          <w:caps/>
        </w:rPr>
      </w:pPr>
      <w:r w:rsidRPr="00334F18">
        <w:rPr>
          <w:b/>
          <w:bCs/>
          <w:caps/>
        </w:rPr>
        <w:t>Išvad</w:t>
      </w:r>
      <w:r w:rsidR="00B811A4" w:rsidRPr="00334F18">
        <w:rPr>
          <w:b/>
          <w:bCs/>
          <w:caps/>
        </w:rPr>
        <w:t>OS</w:t>
      </w:r>
      <w:r w:rsidRPr="00334F18">
        <w:rPr>
          <w:b/>
          <w:bCs/>
          <w:caps/>
        </w:rPr>
        <w:t xml:space="preserve"> </w:t>
      </w:r>
    </w:p>
    <w:p w14:paraId="30069D85" w14:textId="77777777" w:rsidR="0061611B" w:rsidRPr="00334F18" w:rsidRDefault="0061611B" w:rsidP="0061611B">
      <w:pPr>
        <w:ind w:left="360"/>
        <w:rPr>
          <w:i/>
          <w:szCs w:val="22"/>
        </w:rPr>
      </w:pPr>
    </w:p>
    <w:tbl>
      <w:tblPr>
        <w:tblStyle w:val="TableGrid"/>
        <w:tblW w:w="0" w:type="auto"/>
        <w:tblInd w:w="-5" w:type="dxa"/>
        <w:tblLook w:val="04A0" w:firstRow="1" w:lastRow="0" w:firstColumn="1" w:lastColumn="0" w:noHBand="0" w:noVBand="1"/>
      </w:tblPr>
      <w:tblGrid>
        <w:gridCol w:w="4820"/>
        <w:gridCol w:w="4814"/>
      </w:tblGrid>
      <w:tr w:rsidR="00334F18" w:rsidRPr="00334F18" w14:paraId="4D5EFB83" w14:textId="77777777" w:rsidTr="007111C4">
        <w:trPr>
          <w:trHeight w:val="510"/>
        </w:trPr>
        <w:tc>
          <w:tcPr>
            <w:tcW w:w="9634" w:type="dxa"/>
            <w:gridSpan w:val="2"/>
            <w:vAlign w:val="center"/>
          </w:tcPr>
          <w:p w14:paraId="294EC16B"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bookmarkStart w:id="2" w:name="_Hlk185430554"/>
            <w:r w:rsidRPr="00334F18">
              <w:rPr>
                <w:rStyle w:val="Style2"/>
                <w:rFonts w:eastAsia="MS Gothic"/>
                <w:b/>
                <w:bCs/>
                <w:sz w:val="23"/>
                <w:szCs w:val="23"/>
              </w:rPr>
              <w:t>Palyginamasis veiksmingumas</w:t>
            </w:r>
          </w:p>
        </w:tc>
      </w:tr>
      <w:tr w:rsidR="00334F18" w:rsidRPr="00334F18" w14:paraId="30B67515" w14:textId="77777777" w:rsidTr="007111C4">
        <w:tc>
          <w:tcPr>
            <w:tcW w:w="4820" w:type="dxa"/>
          </w:tcPr>
          <w:p w14:paraId="4FE3C208" w14:textId="577EA46E"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397324644"/>
                <w15:color w:val="FFCC00"/>
                <w14:checkbox>
                  <w14:checked w14:val="1"/>
                  <w14:checkedState w14:val="2612" w14:font="MS Gothic"/>
                  <w14:uncheckedState w14:val="2610" w14:font="MS Gothic"/>
                </w14:checkbox>
              </w:sdtPr>
              <w:sdtContent>
                <w:r w:rsidR="00D458B7">
                  <w:rPr>
                    <w:rStyle w:val="Style2"/>
                    <w:rFonts w:ascii="MS Gothic" w:eastAsia="MS Gothic" w:hAnsi="MS Gothic" w:hint="eastAsia"/>
                    <w:sz w:val="23"/>
                    <w:szCs w:val="23"/>
                  </w:rPr>
                  <w:t>☒</w:t>
                </w:r>
              </w:sdtContent>
            </w:sdt>
            <w:r w:rsidR="00B811A4" w:rsidRPr="00334F18">
              <w:rPr>
                <w:rStyle w:val="Style2"/>
                <w:sz w:val="23"/>
                <w:szCs w:val="23"/>
              </w:rPr>
              <w:t xml:space="preserve"> 29</w:t>
            </w:r>
            <w:r w:rsidR="00B811A4" w:rsidRPr="00334F18">
              <w:rPr>
                <w:sz w:val="23"/>
                <w:szCs w:val="23"/>
              </w:rPr>
              <w:t>.1.1 yra didesnis, lyginant su įprasta klinikine praktika</w:t>
            </w:r>
          </w:p>
          <w:p w14:paraId="6F9786E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31EDECD" w14:textId="18B117E9"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418297090"/>
                <w15:color w:val="FFCC00"/>
                <w14:checkbox>
                  <w14:checked w14:val="0"/>
                  <w14:checkedState w14:val="2612" w14:font="MS Gothic"/>
                  <w14:uncheckedState w14:val="2610" w14:font="MS Gothic"/>
                </w14:checkbox>
              </w:sdtPr>
              <w:sdtContent>
                <w:r w:rsidR="00D458B7">
                  <w:rPr>
                    <w:rStyle w:val="Style2"/>
                    <w:rFonts w:ascii="MS Gothic" w:eastAsia="MS Gothic" w:hAnsi="MS Gothic" w:hint="eastAsia"/>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.1.2 iš esmės nesiskiria, lyginant su įprasta klinikine praktika</w:t>
            </w:r>
          </w:p>
        </w:tc>
        <w:tc>
          <w:tcPr>
            <w:tcW w:w="4814" w:type="dxa"/>
          </w:tcPr>
          <w:p w14:paraId="72562F9E"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24755596"/>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 xml:space="preserve">.1.3 yra neįrodytas kaip didesnis  ar iš esmės nesiskiriantis, lyginant su įprasta klinikine praktika  </w:t>
            </w:r>
          </w:p>
          <w:p w14:paraId="6F6DB5BC"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EE1D885"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62168479"/>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.1.4 yra mažesnis, lyginant su įprasta klinikine praktika</w:t>
            </w:r>
          </w:p>
          <w:p w14:paraId="193C3D76"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370E94DC" w14:textId="4EC80DB9"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1857960180"/>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w:t>
            </w:r>
            <w:r w:rsidR="00B811A4" w:rsidRPr="00334F18">
              <w:rPr>
                <w:rStyle w:val="Style2"/>
                <w:sz w:val="23"/>
                <w:szCs w:val="23"/>
              </w:rPr>
              <w:t>29</w:t>
            </w:r>
            <w:r w:rsidR="00B811A4" w:rsidRPr="00334F18">
              <w:rPr>
                <w:sz w:val="23"/>
                <w:szCs w:val="23"/>
              </w:rPr>
              <w:t>.1.5 pateikti duomenys apie palyginamąjį veiksmingumą yra netinkami vertinti</w:t>
            </w:r>
          </w:p>
          <w:p w14:paraId="45719037"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bookmarkEnd w:id="2"/>
      <w:tr w:rsidR="00334F18" w:rsidRPr="00334F18" w14:paraId="0E0F5168" w14:textId="77777777" w:rsidTr="00743956">
        <w:trPr>
          <w:trHeight w:val="510"/>
        </w:trPr>
        <w:tc>
          <w:tcPr>
            <w:tcW w:w="9634" w:type="dxa"/>
            <w:gridSpan w:val="2"/>
            <w:vAlign w:val="center"/>
          </w:tcPr>
          <w:p w14:paraId="62B67E12"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Style2"/>
                <w:rFonts w:eastAsia="MS Gothic"/>
                <w:b/>
                <w:bCs/>
                <w:sz w:val="23"/>
                <w:szCs w:val="23"/>
              </w:rPr>
            </w:pPr>
            <w:r w:rsidRPr="00334F18">
              <w:rPr>
                <w:rStyle w:val="Style2"/>
                <w:rFonts w:eastAsia="MS Gothic"/>
                <w:b/>
                <w:bCs/>
                <w:sz w:val="23"/>
                <w:szCs w:val="23"/>
              </w:rPr>
              <w:t>Kaštų naudingumas</w:t>
            </w:r>
          </w:p>
        </w:tc>
      </w:tr>
      <w:tr w:rsidR="00334F18" w:rsidRPr="00334F18" w14:paraId="6A2F62B2" w14:textId="77777777" w:rsidTr="00743956">
        <w:tc>
          <w:tcPr>
            <w:tcW w:w="4820" w:type="dxa"/>
          </w:tcPr>
          <w:p w14:paraId="7CB2C697" w14:textId="3DAF03BC"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301657889"/>
                <w15:color w:val="FFCC00"/>
                <w14:checkbox>
                  <w14:checked w14:val="1"/>
                  <w14:checkedState w14:val="2612" w14:font="MS Gothic"/>
                  <w14:uncheckedState w14:val="2610" w14:font="MS Gothic"/>
                </w14:checkbox>
              </w:sdtPr>
              <w:sdtContent>
                <w:r w:rsidR="00A51A1B">
                  <w:rPr>
                    <w:rStyle w:val="Style2"/>
                    <w:rFonts w:ascii="MS Gothic" w:eastAsia="MS Gothic" w:hAnsi="MS Gothic" w:hint="eastAsia"/>
                    <w:sz w:val="23"/>
                    <w:szCs w:val="23"/>
                  </w:rPr>
                  <w:t>☒</w:t>
                </w:r>
              </w:sdtContent>
            </w:sdt>
            <w:r w:rsidR="00B811A4" w:rsidRPr="00334F18">
              <w:rPr>
                <w:sz w:val="23"/>
                <w:szCs w:val="23"/>
              </w:rPr>
              <w:t xml:space="preserve"> 29.2.1 atitinka referencinę naudingumo vertę taikant arba netaikant</w:t>
            </w:r>
            <w:r w:rsidR="00437623" w:rsidRPr="00334F18">
              <w:rPr>
                <w:b/>
                <w:bCs/>
                <w:sz w:val="23"/>
                <w:szCs w:val="23"/>
              </w:rPr>
              <w:t xml:space="preserve"> </w:t>
            </w:r>
            <w:r w:rsidR="00B811A4" w:rsidRPr="00334F18">
              <w:rPr>
                <w:sz w:val="23"/>
                <w:szCs w:val="23"/>
              </w:rPr>
              <w:t>PGS</w:t>
            </w:r>
          </w:p>
          <w:p w14:paraId="71797774"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BE88CDB" w14:textId="60C4FFA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c>
          <w:tcPr>
            <w:tcW w:w="4814" w:type="dxa"/>
          </w:tcPr>
          <w:p w14:paraId="0370A72C"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sdt>
              <w:sdtPr>
                <w:rPr>
                  <w:rStyle w:val="Style2"/>
                  <w:sz w:val="23"/>
                  <w:szCs w:val="23"/>
                </w:rPr>
                <w:id w:val="791860283"/>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29.2.3 neatitinka referencinės naudingumo vertės taikant arba netaikant PGS</w:t>
            </w:r>
          </w:p>
          <w:p w14:paraId="13C9EEE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289E6691"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14:paraId="5FD1976C" w14:textId="77777777" w:rsidR="00B811A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3"/>
                <w:szCs w:val="23"/>
              </w:rPr>
            </w:pPr>
            <w:sdt>
              <w:sdtPr>
                <w:rPr>
                  <w:rStyle w:val="Style2"/>
                  <w:sz w:val="23"/>
                  <w:szCs w:val="23"/>
                </w:rPr>
                <w:id w:val="-943849855"/>
                <w15:color w:val="FFCC00"/>
                <w14:checkbox>
                  <w14:checked w14:val="0"/>
                  <w14:checkedState w14:val="2612" w14:font="MS Gothic"/>
                  <w14:uncheckedState w14:val="2610" w14:font="MS Gothic"/>
                </w14:checkbox>
              </w:sdtPr>
              <w:sdtContent>
                <w:r w:rsidR="00B811A4" w:rsidRPr="00334F18">
                  <w:rPr>
                    <w:rStyle w:val="Style2"/>
                    <w:rFonts w:ascii="Segoe UI Symbol" w:eastAsia="MS Gothic" w:hAnsi="Segoe UI Symbol" w:cs="Segoe UI Symbol"/>
                    <w:sz w:val="23"/>
                    <w:szCs w:val="23"/>
                  </w:rPr>
                  <w:t>☐</w:t>
                </w:r>
              </w:sdtContent>
            </w:sdt>
            <w:r w:rsidR="00B811A4" w:rsidRPr="00334F18">
              <w:rPr>
                <w:sz w:val="23"/>
                <w:szCs w:val="23"/>
              </w:rPr>
              <w:t xml:space="preserve"> 29.2.5 pateikti duomenys apie kaštų naudingumą yra netinkami vertinti</w:t>
            </w:r>
          </w:p>
          <w:p w14:paraId="06AB06C5" w14:textId="77777777" w:rsidR="00B811A4" w:rsidRPr="00334F18" w:rsidRDefault="00B811A4"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rFonts w:eastAsia="MS Gothic"/>
                <w:sz w:val="23"/>
                <w:szCs w:val="23"/>
              </w:rPr>
            </w:pPr>
          </w:p>
        </w:tc>
      </w:tr>
      <w:tr w:rsidR="00334F18" w:rsidRPr="00334F18" w14:paraId="632C9193" w14:textId="77777777" w:rsidTr="00027464">
        <w:tc>
          <w:tcPr>
            <w:tcW w:w="9634" w:type="dxa"/>
            <w:gridSpan w:val="2"/>
          </w:tcPr>
          <w:p w14:paraId="15C289C9" w14:textId="47C5A3CE" w:rsidR="007111C4" w:rsidRPr="00334F18" w:rsidRDefault="00000000" w:rsidP="00743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Style2"/>
                <w:sz w:val="23"/>
                <w:szCs w:val="23"/>
              </w:rPr>
            </w:pPr>
            <w:sdt>
              <w:sdtPr>
                <w:rPr>
                  <w:rStyle w:val="Style2"/>
                  <w:sz w:val="23"/>
                  <w:szCs w:val="23"/>
                </w:rPr>
                <w:id w:val="1266579562"/>
                <w15:color w:val="FFCC00"/>
                <w14:checkbox>
                  <w14:checked w14:val="0"/>
                  <w14:checkedState w14:val="2612" w14:font="MS Gothic"/>
                  <w14:uncheckedState w14:val="2610" w14:font="MS Gothic"/>
                </w14:checkbox>
              </w:sdtPr>
              <w:sdtContent>
                <w:r w:rsidR="007111C4" w:rsidRPr="00334F18">
                  <w:rPr>
                    <w:rStyle w:val="Style2"/>
                    <w:rFonts w:ascii="Segoe UI Symbol" w:eastAsia="MS Gothic" w:hAnsi="Segoe UI Symbol" w:cs="Segoe UI Symbol"/>
                    <w:sz w:val="23"/>
                    <w:szCs w:val="23"/>
                  </w:rPr>
                  <w:t>☐</w:t>
                </w:r>
              </w:sdtContent>
            </w:sdt>
            <w:r w:rsidR="007111C4" w:rsidRPr="00334F18">
              <w:rPr>
                <w:sz w:val="23"/>
                <w:szCs w:val="23"/>
              </w:rPr>
              <w:t xml:space="preserve"> Vykdant Aprašo &lt;17</w:t>
            </w:r>
            <w:r w:rsidR="007111C4" w:rsidRPr="00334F18">
              <w:rPr>
                <w:sz w:val="23"/>
                <w:szCs w:val="23"/>
                <w:vertAlign w:val="superscript"/>
              </w:rPr>
              <w:t>3</w:t>
            </w:r>
            <w:r w:rsidR="007111C4" w:rsidRPr="00334F18">
              <w:rPr>
                <w:sz w:val="23"/>
                <w:szCs w:val="23"/>
              </w:rPr>
              <w:t>.1&gt;&lt;17</w:t>
            </w:r>
            <w:r w:rsidR="007111C4" w:rsidRPr="00334F18">
              <w:rPr>
                <w:sz w:val="23"/>
                <w:szCs w:val="23"/>
                <w:vertAlign w:val="superscript"/>
              </w:rPr>
              <w:t>3</w:t>
            </w:r>
            <w:r w:rsidR="007111C4" w:rsidRPr="00334F18">
              <w:rPr>
                <w:sz w:val="23"/>
                <w:szCs w:val="23"/>
              </w:rPr>
              <w:t>.2&gt;&lt;17</w:t>
            </w:r>
            <w:r w:rsidR="007111C4" w:rsidRPr="00334F18">
              <w:rPr>
                <w:sz w:val="23"/>
                <w:szCs w:val="23"/>
                <w:vertAlign w:val="superscript"/>
              </w:rPr>
              <w:t>3</w:t>
            </w:r>
            <w:r w:rsidR="007111C4" w:rsidRPr="00334F18">
              <w:rPr>
                <w:sz w:val="23"/>
                <w:szCs w:val="23"/>
              </w:rPr>
              <w:t>.3&gt; punktą vaistinio (-ų) preparato (-ų) ekonominis vertinimas neatliekamas, išvados dėl kaštų naudingumo neteikiamos</w:t>
            </w:r>
          </w:p>
        </w:tc>
      </w:tr>
    </w:tbl>
    <w:p w14:paraId="08D5B3B6" w14:textId="292D1124" w:rsidR="0061611B" w:rsidRPr="00334F18" w:rsidRDefault="0061611B" w:rsidP="0061611B">
      <w:pPr>
        <w:rPr>
          <w:i/>
          <w:szCs w:val="22"/>
        </w:rPr>
      </w:pPr>
    </w:p>
    <w:p w14:paraId="1B85C083" w14:textId="77777777" w:rsidR="009E44AE" w:rsidRPr="00334F18" w:rsidRDefault="009E44AE" w:rsidP="00381024"/>
    <w:p w14:paraId="3B2D1F25" w14:textId="3A80E19F" w:rsidR="000001B0" w:rsidRPr="00334F18" w:rsidRDefault="000001B0" w:rsidP="00CC09D4">
      <w:pPr>
        <w:pStyle w:val="ListParagraph"/>
        <w:numPr>
          <w:ilvl w:val="0"/>
          <w:numId w:val="12"/>
        </w:numPr>
        <w:ind w:left="567" w:hanging="567"/>
      </w:pPr>
      <w:r w:rsidRPr="00334F18">
        <w:rPr>
          <w:b/>
        </w:rPr>
        <w:t>REKOME</w:t>
      </w:r>
      <w:r w:rsidR="00D83182" w:rsidRPr="00334F18">
        <w:rPr>
          <w:b/>
        </w:rPr>
        <w:t>N</w:t>
      </w:r>
      <w:r w:rsidRPr="00334F18">
        <w:rPr>
          <w:b/>
        </w:rPr>
        <w:t>DACIJA</w:t>
      </w:r>
    </w:p>
    <w:p w14:paraId="01FC4125" w14:textId="013E0489" w:rsidR="00A51A1B" w:rsidRPr="00603B3A" w:rsidRDefault="00A51A1B" w:rsidP="00A51A1B">
      <w:pPr>
        <w:spacing w:line="276" w:lineRule="auto"/>
        <w:jc w:val="both"/>
        <w:rPr>
          <w:b/>
        </w:rPr>
      </w:pPr>
    </w:p>
    <w:p w14:paraId="455BEC1A" w14:textId="77777777" w:rsidR="00A51A1B" w:rsidRPr="00243989" w:rsidRDefault="00A51A1B" w:rsidP="00A51A1B">
      <w:pPr>
        <w:spacing w:line="276" w:lineRule="auto"/>
        <w:jc w:val="both"/>
        <w:rPr>
          <w:color w:val="000000"/>
        </w:rPr>
      </w:pPr>
      <w:r w:rsidRPr="00243989">
        <w:t xml:space="preserve">Vadovaujantis Vaistinių preparatų ir medicinos pagalbos priemonių įrašymo į kompensavimo sąrašus ir jų keitimo tvarkos aprašo, patvirtinto Lietuvos Respublikos sveikatos apsaugos ministro 2002 m. balandžio 5 d. įsakymu Nr. V-159 „Dėl vaistinių preparatų ir medicinos pagalbos priemonių įrašymo į kompensavimo sąrašus ir jų keitimo tvarkos aprašo patvirtinimo“, punktu </w:t>
      </w:r>
      <w:r w:rsidRPr="00243989">
        <w:rPr>
          <w:color w:val="000000"/>
        </w:rPr>
        <w:t>30</w:t>
      </w:r>
      <w:r w:rsidRPr="00243989">
        <w:rPr>
          <w:color w:val="000000"/>
          <w:vertAlign w:val="superscript"/>
        </w:rPr>
        <w:t>1</w:t>
      </w:r>
      <w:r w:rsidRPr="00243989">
        <w:rPr>
          <w:color w:val="000000"/>
        </w:rPr>
        <w:t xml:space="preserve">.1. kai vertinimo išvados atitinka Aprašo 29.1.1 ir 29.2.1 papunkčiuose numatytas sąlygas arba Aprašo 29.1.2 ir 29.2.2 papunkčiuose numatytas sąlygas, teikiama rekomendacija </w:t>
      </w:r>
      <w:r w:rsidRPr="00243989">
        <w:rPr>
          <w:i/>
          <w:color w:val="000000"/>
        </w:rPr>
        <w:t>kompensuoti</w:t>
      </w:r>
      <w:r w:rsidRPr="00243989">
        <w:rPr>
          <w:color w:val="000000"/>
        </w:rPr>
        <w:t xml:space="preserve"> vaistinį preparatą pagal paraiškoje nurodytą indikaciją (arba jos dalį) su arba be skyrimo sąlygų, taikant ar netaikant PGS.</w:t>
      </w:r>
    </w:p>
    <w:p w14:paraId="3D60BB06" w14:textId="77777777" w:rsidR="00B811A4" w:rsidRPr="00334F18" w:rsidRDefault="00B811A4" w:rsidP="00B811A4">
      <w:pPr>
        <w:widowControl w:val="0"/>
        <w:tabs>
          <w:tab w:val="left" w:pos="1418"/>
        </w:tabs>
        <w:suppressAutoHyphens/>
        <w:spacing w:line="360" w:lineRule="atLeast"/>
        <w:jc w:val="center"/>
        <w:textAlignment w:val="center"/>
        <w:rPr>
          <w:lang w:eastAsia="lt-LT"/>
        </w:rPr>
      </w:pPr>
    </w:p>
    <w:p w14:paraId="42F3A222" w14:textId="7AE8962A" w:rsidR="00B811A4" w:rsidRPr="00334F18" w:rsidRDefault="00A51A1B" w:rsidP="00B811A4">
      <w:pPr>
        <w:tabs>
          <w:tab w:val="left" w:pos="426"/>
        </w:tabs>
        <w:jc w:val="both"/>
        <w:rPr>
          <w:b/>
          <w:lang w:eastAsia="lt-LT"/>
        </w:rPr>
      </w:pPr>
      <w:r>
        <w:rPr>
          <w:b/>
          <w:lang w:eastAsia="lt-LT"/>
        </w:rPr>
        <w:t>5.1.</w:t>
      </w:r>
      <w:r w:rsidR="00B811A4" w:rsidRPr="00334F18">
        <w:rPr>
          <w:b/>
          <w:lang w:eastAsia="lt-LT"/>
        </w:rPr>
        <w:t xml:space="preserve"> Siūloma (-os) kompensuoti terapinės indikacijos ir skyrimo sąlygos </w:t>
      </w:r>
    </w:p>
    <w:p w14:paraId="179FBABC" w14:textId="77777777" w:rsidR="00B811A4" w:rsidRPr="00334F18" w:rsidRDefault="00B811A4" w:rsidP="00B811A4">
      <w:pPr>
        <w:tabs>
          <w:tab w:val="left" w:pos="426"/>
        </w:tabs>
        <w:jc w:val="both"/>
        <w:rPr>
          <w:b/>
          <w:lang w:eastAsia="lt-LT"/>
        </w:rPr>
      </w:pPr>
    </w:p>
    <w:p w14:paraId="65CB839B" w14:textId="77777777" w:rsidR="00B811A4" w:rsidRPr="00334F18" w:rsidRDefault="00B811A4" w:rsidP="00B811A4">
      <w:pPr>
        <w:pStyle w:val="NoSpacing"/>
        <w:rPr>
          <w:rFonts w:ascii="Times New Roman" w:hAnsi="Times New Roman"/>
          <w:b/>
          <w:sz w:val="24"/>
          <w:szCs w:val="24"/>
          <w:lang w:eastAsia="lt-LT"/>
        </w:rPr>
      </w:pPr>
      <w:r w:rsidRPr="00334F18">
        <w:rPr>
          <w:rFonts w:ascii="Times New Roman" w:hAnsi="Times New Roman"/>
          <w:b/>
          <w:sz w:val="24"/>
          <w:szCs w:val="24"/>
          <w:lang w:eastAsia="lt-LT"/>
        </w:rPr>
        <w:t>Terapinės indikacijos</w:t>
      </w:r>
    </w:p>
    <w:p w14:paraId="3BC08150" w14:textId="6F2EBC49" w:rsidR="00B811A4" w:rsidRDefault="00B811A4" w:rsidP="00B811A4">
      <w:pPr>
        <w:pStyle w:val="NoSpacing"/>
        <w:rPr>
          <w:rFonts w:ascii="Times New Roman" w:hAnsi="Times New Roman"/>
          <w:bCs/>
          <w:i/>
          <w:iCs/>
          <w:sz w:val="24"/>
          <w:szCs w:val="24"/>
          <w:lang w:eastAsia="lt-LT"/>
        </w:rPr>
      </w:pPr>
    </w:p>
    <w:p w14:paraId="2147BA3E" w14:textId="77777777" w:rsidR="0044277F" w:rsidRDefault="0044277F" w:rsidP="0044277F">
      <w:pPr>
        <w:jc w:val="both"/>
        <w:rPr>
          <w:lang w:eastAsia="lt-LT"/>
        </w:rPr>
      </w:pPr>
      <w:r>
        <w:rPr>
          <w:lang w:eastAsia="lt-LT"/>
        </w:rPr>
        <w:lastRenderedPageBreak/>
        <w:t>Siūlomos terapinės indikacijos</w:t>
      </w:r>
    </w:p>
    <w:p w14:paraId="57C09159" w14:textId="77777777" w:rsidR="0044277F" w:rsidRDefault="0044277F" w:rsidP="0044277F">
      <w:pPr>
        <w:jc w:val="both"/>
        <w:rPr>
          <w:lang w:eastAsia="lt-LT"/>
        </w:rPr>
      </w:pPr>
    </w:p>
    <w:p w14:paraId="0AC89632" w14:textId="77777777" w:rsidR="004F13E6" w:rsidRDefault="004F13E6" w:rsidP="004F13E6">
      <w:pPr>
        <w:pStyle w:val="NoSpacing"/>
        <w:jc w:val="both"/>
        <w:rPr>
          <w:rFonts w:ascii="Times New Roman" w:hAnsi="Times New Roman"/>
          <w:sz w:val="24"/>
          <w:szCs w:val="24"/>
        </w:rPr>
      </w:pPr>
      <w:r w:rsidRPr="0042205F">
        <w:rPr>
          <w:rFonts w:ascii="Times New Roman" w:hAnsi="Times New Roman"/>
          <w:sz w:val="24"/>
          <w:szCs w:val="24"/>
        </w:rPr>
        <w:t>Columvi derinant su gemcitabinu ir oksaliplatina skirtas recidyvavusia ar atsparia kitaip neapibrėžta difuzine didelių B ląstelių limfoma (KN DDBLL), sergančių suaugusių pacientų, kuriems negalima atlikti autologinės kamieninių ląstelių transplantacijos (AKLT), gydymui</w:t>
      </w:r>
      <w:r>
        <w:rPr>
          <w:rFonts w:ascii="Times New Roman" w:hAnsi="Times New Roman"/>
          <w:sz w:val="24"/>
          <w:szCs w:val="24"/>
        </w:rPr>
        <w:t>.</w:t>
      </w:r>
    </w:p>
    <w:p w14:paraId="4C36AF44" w14:textId="77777777" w:rsidR="004F13E6" w:rsidRPr="00666E64" w:rsidRDefault="004F13E6" w:rsidP="004F13E6">
      <w:pPr>
        <w:pStyle w:val="NoSpacing"/>
        <w:jc w:val="both"/>
        <w:rPr>
          <w:rFonts w:ascii="Times New Roman" w:hAnsi="Times New Roman"/>
          <w:sz w:val="24"/>
          <w:szCs w:val="24"/>
        </w:rPr>
      </w:pPr>
    </w:p>
    <w:p w14:paraId="68EEAFE3" w14:textId="77777777" w:rsidR="004F13E6" w:rsidRDefault="004F13E6" w:rsidP="004F13E6">
      <w:pPr>
        <w:pStyle w:val="NoSpacing"/>
        <w:jc w:val="both"/>
        <w:rPr>
          <w:rFonts w:ascii="Times New Roman" w:eastAsia="Times New Roman" w:hAnsi="Times New Roman"/>
          <w:color w:val="000000"/>
          <w:sz w:val="24"/>
          <w:szCs w:val="24"/>
          <w:lang w:eastAsia="lt-LT"/>
        </w:rPr>
      </w:pPr>
      <w:r w:rsidRPr="0042205F">
        <w:rPr>
          <w:rStyle w:val="resultoftext"/>
          <w:rFonts w:ascii="Times New Roman" w:hAnsi="Times New Roman"/>
          <w:sz w:val="24"/>
          <w:szCs w:val="24"/>
        </w:rPr>
        <w:t>C83</w:t>
      </w:r>
      <w:r w:rsidRPr="0042205F">
        <w:rPr>
          <w:rFonts w:ascii="Times New Roman" w:hAnsi="Times New Roman"/>
          <w:color w:val="000000"/>
          <w:sz w:val="24"/>
          <w:szCs w:val="24"/>
          <w:shd w:val="clear" w:color="auto" w:fill="FFFFFF"/>
        </w:rPr>
        <w:t>.3</w:t>
      </w:r>
    </w:p>
    <w:p w14:paraId="2CEFB192" w14:textId="77777777" w:rsidR="00D458B7" w:rsidRPr="00603B3A" w:rsidRDefault="00D458B7" w:rsidP="00D458B7">
      <w:pPr>
        <w:pStyle w:val="NoSpacing"/>
        <w:jc w:val="both"/>
        <w:rPr>
          <w:rFonts w:ascii="Times New Roman" w:hAnsi="Times New Roman"/>
          <w:sz w:val="24"/>
          <w:szCs w:val="24"/>
        </w:rPr>
      </w:pPr>
    </w:p>
    <w:p w14:paraId="6889B3F7" w14:textId="46589C86" w:rsidR="00D458B7" w:rsidRPr="00A51A1B" w:rsidRDefault="00A51A1B" w:rsidP="00D458B7">
      <w:pPr>
        <w:pStyle w:val="NoSpacing"/>
        <w:jc w:val="both"/>
        <w:rPr>
          <w:rFonts w:ascii="Times New Roman" w:hAnsi="Times New Roman"/>
          <w:b/>
          <w:sz w:val="24"/>
          <w:szCs w:val="24"/>
        </w:rPr>
      </w:pPr>
      <w:r>
        <w:rPr>
          <w:rFonts w:ascii="Times New Roman" w:hAnsi="Times New Roman"/>
          <w:b/>
          <w:sz w:val="24"/>
          <w:szCs w:val="24"/>
        </w:rPr>
        <w:t>5.</w:t>
      </w:r>
      <w:r w:rsidR="00D458B7" w:rsidRPr="00603B3A">
        <w:rPr>
          <w:rFonts w:ascii="Times New Roman" w:hAnsi="Times New Roman"/>
          <w:b/>
          <w:sz w:val="24"/>
          <w:szCs w:val="24"/>
        </w:rPr>
        <w:t>2</w:t>
      </w:r>
      <w:r>
        <w:rPr>
          <w:rFonts w:ascii="Times New Roman" w:hAnsi="Times New Roman"/>
          <w:b/>
          <w:sz w:val="24"/>
          <w:szCs w:val="24"/>
        </w:rPr>
        <w:t>.</w:t>
      </w:r>
      <w:r w:rsidR="00D458B7" w:rsidRPr="00603B3A">
        <w:rPr>
          <w:rFonts w:ascii="Times New Roman" w:hAnsi="Times New Roman"/>
          <w:b/>
          <w:sz w:val="24"/>
          <w:szCs w:val="24"/>
        </w:rPr>
        <w:t xml:space="preserve"> Skyrimo sąlygos</w:t>
      </w:r>
    </w:p>
    <w:p w14:paraId="38F8A5C8" w14:textId="77777777" w:rsidR="00D458B7" w:rsidRDefault="00D458B7" w:rsidP="00D458B7">
      <w:pPr>
        <w:pStyle w:val="NoSpacing"/>
        <w:jc w:val="both"/>
        <w:rPr>
          <w:rFonts w:ascii="Times New Roman" w:hAnsi="Times New Roman"/>
          <w:sz w:val="24"/>
          <w:szCs w:val="24"/>
        </w:rPr>
      </w:pPr>
    </w:p>
    <w:p w14:paraId="35FCB6E9" w14:textId="64B4C5F1" w:rsidR="00D458B7" w:rsidRDefault="00D458B7" w:rsidP="00D458B7">
      <w:pPr>
        <w:pStyle w:val="NoSpacing"/>
        <w:jc w:val="both"/>
        <w:rPr>
          <w:rFonts w:ascii="Times New Roman" w:hAnsi="Times New Roman"/>
          <w:sz w:val="24"/>
          <w:szCs w:val="24"/>
        </w:rPr>
      </w:pPr>
      <w:r>
        <w:rPr>
          <w:rFonts w:ascii="Times New Roman" w:hAnsi="Times New Roman"/>
          <w:sz w:val="24"/>
          <w:szCs w:val="24"/>
        </w:rPr>
        <w:t>Siūlom</w:t>
      </w:r>
      <w:r w:rsidR="008E6C3F">
        <w:rPr>
          <w:rFonts w:ascii="Times New Roman" w:hAnsi="Times New Roman"/>
          <w:sz w:val="24"/>
          <w:szCs w:val="24"/>
        </w:rPr>
        <w:t xml:space="preserve">a nustatyti tokias </w:t>
      </w:r>
      <w:r>
        <w:rPr>
          <w:rFonts w:ascii="Times New Roman" w:hAnsi="Times New Roman"/>
          <w:sz w:val="24"/>
          <w:szCs w:val="24"/>
        </w:rPr>
        <w:t>skyrimo sąlyg</w:t>
      </w:r>
      <w:r w:rsidR="008E6C3F">
        <w:rPr>
          <w:rFonts w:ascii="Times New Roman" w:hAnsi="Times New Roman"/>
          <w:sz w:val="24"/>
          <w:szCs w:val="24"/>
        </w:rPr>
        <w:t>a</w:t>
      </w:r>
      <w:r>
        <w:rPr>
          <w:rFonts w:ascii="Times New Roman" w:hAnsi="Times New Roman"/>
          <w:sz w:val="24"/>
          <w:szCs w:val="24"/>
        </w:rPr>
        <w:t>s:</w:t>
      </w:r>
    </w:p>
    <w:p w14:paraId="3B01C689" w14:textId="77777777" w:rsidR="00D458B7" w:rsidRDefault="00D458B7" w:rsidP="00D458B7">
      <w:pPr>
        <w:pStyle w:val="NoSpacing"/>
        <w:jc w:val="both"/>
        <w:rPr>
          <w:rFonts w:ascii="Times New Roman" w:eastAsia="Times New Roman" w:hAnsi="Times New Roman"/>
          <w:color w:val="000000"/>
          <w:sz w:val="24"/>
          <w:szCs w:val="24"/>
        </w:rPr>
      </w:pPr>
    </w:p>
    <w:p w14:paraId="59C0B742" w14:textId="4E6C4D1C" w:rsidR="004F13E6" w:rsidRPr="00F864E1" w:rsidRDefault="008E6C3F" w:rsidP="004F13E6">
      <w:pPr>
        <w:jc w:val="both"/>
        <w:rPr>
          <w:rFonts w:eastAsia="Calibri"/>
        </w:rPr>
      </w:pPr>
      <w:r>
        <w:rPr>
          <w:rFonts w:eastAsia="Calibri"/>
        </w:rPr>
        <w:t>D</w:t>
      </w:r>
      <w:r w:rsidR="004F13E6" w:rsidRPr="00F864E1">
        <w:rPr>
          <w:rFonts w:eastAsia="Calibri"/>
        </w:rPr>
        <w:t xml:space="preserve">erinyje su gemcitabinu ir oksaliplatina </w:t>
      </w:r>
      <w:r>
        <w:rPr>
          <w:rFonts w:eastAsia="Calibri"/>
        </w:rPr>
        <w:t>skiriamas</w:t>
      </w:r>
      <w:r w:rsidR="004F13E6" w:rsidRPr="00F864E1">
        <w:rPr>
          <w:rFonts w:eastAsia="Calibri"/>
        </w:rPr>
        <w:t xml:space="preserve"> suaugusiems pacientams, sergantiems recidyvavusia arba refrakterine </w:t>
      </w:r>
      <w:r w:rsidRPr="00F864E1">
        <w:rPr>
          <w:rFonts w:eastAsia="Calibri"/>
        </w:rPr>
        <w:t>kitaip ne</w:t>
      </w:r>
      <w:r>
        <w:rPr>
          <w:rFonts w:eastAsia="Calibri"/>
        </w:rPr>
        <w:t>apibrėžta</w:t>
      </w:r>
      <w:r w:rsidRPr="00F864E1">
        <w:rPr>
          <w:rFonts w:eastAsia="Calibri"/>
        </w:rPr>
        <w:t xml:space="preserve"> </w:t>
      </w:r>
      <w:r w:rsidR="004F13E6" w:rsidRPr="00F864E1">
        <w:rPr>
          <w:rFonts w:eastAsia="Calibri"/>
        </w:rPr>
        <w:t>difuzine didelių B ląstelių limfoma, kuriems ne</w:t>
      </w:r>
      <w:r w:rsidR="004F13E6">
        <w:rPr>
          <w:rFonts w:eastAsia="Calibri"/>
        </w:rPr>
        <w:t>galima</w:t>
      </w:r>
      <w:r w:rsidR="004F13E6" w:rsidRPr="00F864E1">
        <w:rPr>
          <w:rFonts w:eastAsia="Calibri"/>
        </w:rPr>
        <w:t xml:space="preserve"> autologinė kamieninių kraujodaros ląstelių transplantacija</w:t>
      </w:r>
      <w:r w:rsidR="006A540C">
        <w:rPr>
          <w:rFonts w:eastAsia="Calibri"/>
        </w:rPr>
        <w:t xml:space="preserve"> </w:t>
      </w:r>
      <w:r w:rsidR="004F13E6" w:rsidRPr="00F864E1">
        <w:rPr>
          <w:rFonts w:eastAsia="Calibri"/>
        </w:rPr>
        <w:t xml:space="preserve">pacientams, </w:t>
      </w:r>
      <w:r w:rsidR="006A540C">
        <w:rPr>
          <w:rFonts w:eastAsia="Calibri"/>
        </w:rPr>
        <w:t>gydytiems viena</w:t>
      </w:r>
      <w:r w:rsidR="004F13E6" w:rsidRPr="00F864E1">
        <w:rPr>
          <w:rFonts w:eastAsia="Calibri"/>
        </w:rPr>
        <w:t xml:space="preserve"> ar daugiau sisteminio gydymo eilių, kuriems netinka</w:t>
      </w:r>
      <w:r w:rsidR="004F13E6">
        <w:rPr>
          <w:rFonts w:eastAsia="Calibri"/>
        </w:rPr>
        <w:t xml:space="preserve"> </w:t>
      </w:r>
      <w:r w:rsidR="004F13E6" w:rsidRPr="00F864E1">
        <w:rPr>
          <w:rFonts w:eastAsia="Calibri"/>
        </w:rPr>
        <w:t>arba negali būti skiriama CAR-T ląstelių terapija arba pacientams, kuriems CAR-T ląstelių terapija jau buvo taikyta.</w:t>
      </w:r>
    </w:p>
    <w:p w14:paraId="242AAC64" w14:textId="77777777" w:rsidR="00D458B7" w:rsidRPr="00603B3A" w:rsidRDefault="00D458B7" w:rsidP="00D458B7">
      <w:pPr>
        <w:pStyle w:val="NoSpacing"/>
        <w:jc w:val="both"/>
        <w:rPr>
          <w:rFonts w:ascii="Times New Roman" w:hAnsi="Times New Roman"/>
          <w:b/>
          <w:sz w:val="24"/>
          <w:szCs w:val="24"/>
        </w:rPr>
      </w:pPr>
    </w:p>
    <w:p w14:paraId="33B8DE04" w14:textId="77777777" w:rsidR="00283E59" w:rsidRPr="00334F18" w:rsidRDefault="00283E59" w:rsidP="00104C6B">
      <w:pPr>
        <w:widowControl w:val="0"/>
        <w:tabs>
          <w:tab w:val="left" w:pos="1418"/>
        </w:tabs>
        <w:suppressAutoHyphens/>
        <w:spacing w:line="360" w:lineRule="atLeast"/>
        <w:jc w:val="center"/>
        <w:textAlignment w:val="center"/>
      </w:pPr>
      <w:r w:rsidRPr="00334F18">
        <w:rPr>
          <w:lang w:eastAsia="lt-LT"/>
        </w:rPr>
        <w:t>____________________________</w:t>
      </w:r>
    </w:p>
    <w:p w14:paraId="562A1372" w14:textId="77777777" w:rsidR="00283E59" w:rsidRPr="00334F18" w:rsidRDefault="00283E59" w:rsidP="00283E59">
      <w:pPr>
        <w:jc w:val="both"/>
        <w:rPr>
          <w:b/>
          <w:sz w:val="20"/>
        </w:rPr>
      </w:pPr>
    </w:p>
    <w:p w14:paraId="7CDFF220" w14:textId="58191D98" w:rsidR="000723FF" w:rsidRPr="00334F18" w:rsidRDefault="000723FF" w:rsidP="00824B92">
      <w:pPr>
        <w:rPr>
          <w:b/>
        </w:rPr>
      </w:pPr>
    </w:p>
    <w:sectPr w:rsidR="000723FF" w:rsidRPr="00334F18" w:rsidSect="00063A50">
      <w:headerReference w:type="first" r:id="rId7"/>
      <w:footerReference w:type="first" r:id="rId8"/>
      <w:pgSz w:w="11907" w:h="16840" w:code="9"/>
      <w:pgMar w:top="1134" w:right="567" w:bottom="1134" w:left="1701" w:header="646"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C359" w14:textId="77777777" w:rsidR="00644568" w:rsidRDefault="00644568">
      <w:r>
        <w:separator/>
      </w:r>
    </w:p>
  </w:endnote>
  <w:endnote w:type="continuationSeparator" w:id="0">
    <w:p w14:paraId="6436D7A1" w14:textId="77777777" w:rsidR="00644568" w:rsidRDefault="00644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Roche Sans">
    <w:altName w:val="Calibri"/>
    <w:panose1 w:val="020B0504030201040101"/>
    <w:charset w:val="BA"/>
    <w:family w:val="swiss"/>
    <w:pitch w:val="variable"/>
    <w:sig w:usb0="00000207" w:usb1="00000001" w:usb2="00000000" w:usb3="00000000" w:csb0="00000097" w:csb1="00000000"/>
  </w:font>
  <w:font w:name="CIDFont+F1">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D3368" w14:textId="77777777" w:rsidR="00347FAA" w:rsidRDefault="00347FAA">
    <w:pPr>
      <w:pStyle w:val="Footer"/>
      <w:jc w:val="right"/>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0E676" w14:textId="77777777" w:rsidR="00644568" w:rsidRDefault="00644568">
      <w:r>
        <w:separator/>
      </w:r>
    </w:p>
  </w:footnote>
  <w:footnote w:type="continuationSeparator" w:id="0">
    <w:p w14:paraId="374E3C28" w14:textId="77777777" w:rsidR="00644568" w:rsidRDefault="006445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E1C8F" w14:textId="77777777" w:rsidR="00347FAA" w:rsidRDefault="00347FAA" w:rsidP="00FD793C">
    <w:pPr>
      <w:pStyle w:val="Header"/>
      <w:ind w:left="612"/>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D8E"/>
    <w:multiLevelType w:val="hybridMultilevel"/>
    <w:tmpl w:val="10FAC1C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 w15:restartNumberingAfterBreak="0">
    <w:nsid w:val="01276250"/>
    <w:multiLevelType w:val="hybridMultilevel"/>
    <w:tmpl w:val="3B6C29F4"/>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9E0081E"/>
    <w:multiLevelType w:val="multilevel"/>
    <w:tmpl w:val="0427001F"/>
    <w:lvl w:ilvl="0">
      <w:start w:val="1"/>
      <w:numFmt w:val="decimal"/>
      <w:lvlText w:val="%1."/>
      <w:lvlJc w:val="left"/>
      <w:pPr>
        <w:ind w:left="360" w:hanging="360"/>
      </w:pPr>
      <w:rPr>
        <w:rFonts w:hint="default"/>
        <w:b w:val="0"/>
        <w:bCs w:val="0"/>
      </w:rPr>
    </w:lvl>
    <w:lvl w:ilvl="1">
      <w:start w:val="1"/>
      <w:numFmt w:val="decimal"/>
      <w:lvlText w:val="%1.%2."/>
      <w:lvlJc w:val="left"/>
      <w:pPr>
        <w:ind w:left="28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AD2E58"/>
    <w:multiLevelType w:val="hybridMultilevel"/>
    <w:tmpl w:val="F6943F7A"/>
    <w:lvl w:ilvl="0" w:tplc="AB64BC8E">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A101C59"/>
    <w:multiLevelType w:val="hybridMultilevel"/>
    <w:tmpl w:val="64544F3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5" w15:restartNumberingAfterBreak="0">
    <w:nsid w:val="1A816B09"/>
    <w:multiLevelType w:val="hybridMultilevel"/>
    <w:tmpl w:val="8FBEE17A"/>
    <w:lvl w:ilvl="0" w:tplc="0427000F">
      <w:start w:val="16"/>
      <w:numFmt w:val="decimal"/>
      <w:lvlText w:val="%1."/>
      <w:lvlJc w:val="left"/>
      <w:pPr>
        <w:ind w:left="501" w:hanging="360"/>
      </w:pPr>
      <w:rPr>
        <w:rFonts w:hint="default"/>
      </w:rPr>
    </w:lvl>
    <w:lvl w:ilvl="1" w:tplc="04270019" w:tentative="1">
      <w:start w:val="1"/>
      <w:numFmt w:val="lowerLetter"/>
      <w:lvlText w:val="%2."/>
      <w:lvlJc w:val="left"/>
      <w:pPr>
        <w:ind w:left="1581" w:hanging="360"/>
      </w:pPr>
    </w:lvl>
    <w:lvl w:ilvl="2" w:tplc="0427001B" w:tentative="1">
      <w:start w:val="1"/>
      <w:numFmt w:val="lowerRoman"/>
      <w:lvlText w:val="%3."/>
      <w:lvlJc w:val="right"/>
      <w:pPr>
        <w:ind w:left="2301" w:hanging="180"/>
      </w:pPr>
    </w:lvl>
    <w:lvl w:ilvl="3" w:tplc="0427000F" w:tentative="1">
      <w:start w:val="1"/>
      <w:numFmt w:val="decimal"/>
      <w:lvlText w:val="%4."/>
      <w:lvlJc w:val="left"/>
      <w:pPr>
        <w:ind w:left="3021" w:hanging="360"/>
      </w:pPr>
    </w:lvl>
    <w:lvl w:ilvl="4" w:tplc="04270019" w:tentative="1">
      <w:start w:val="1"/>
      <w:numFmt w:val="lowerLetter"/>
      <w:lvlText w:val="%5."/>
      <w:lvlJc w:val="left"/>
      <w:pPr>
        <w:ind w:left="3741" w:hanging="360"/>
      </w:pPr>
    </w:lvl>
    <w:lvl w:ilvl="5" w:tplc="0427001B" w:tentative="1">
      <w:start w:val="1"/>
      <w:numFmt w:val="lowerRoman"/>
      <w:lvlText w:val="%6."/>
      <w:lvlJc w:val="right"/>
      <w:pPr>
        <w:ind w:left="4461" w:hanging="180"/>
      </w:pPr>
    </w:lvl>
    <w:lvl w:ilvl="6" w:tplc="0427000F" w:tentative="1">
      <w:start w:val="1"/>
      <w:numFmt w:val="decimal"/>
      <w:lvlText w:val="%7."/>
      <w:lvlJc w:val="left"/>
      <w:pPr>
        <w:ind w:left="5181" w:hanging="360"/>
      </w:pPr>
    </w:lvl>
    <w:lvl w:ilvl="7" w:tplc="04270019" w:tentative="1">
      <w:start w:val="1"/>
      <w:numFmt w:val="lowerLetter"/>
      <w:lvlText w:val="%8."/>
      <w:lvlJc w:val="left"/>
      <w:pPr>
        <w:ind w:left="5901" w:hanging="360"/>
      </w:pPr>
    </w:lvl>
    <w:lvl w:ilvl="8" w:tplc="0427001B" w:tentative="1">
      <w:start w:val="1"/>
      <w:numFmt w:val="lowerRoman"/>
      <w:lvlText w:val="%9."/>
      <w:lvlJc w:val="right"/>
      <w:pPr>
        <w:ind w:left="6621" w:hanging="180"/>
      </w:pPr>
    </w:lvl>
  </w:abstractNum>
  <w:abstractNum w:abstractNumId="6" w15:restartNumberingAfterBreak="0">
    <w:nsid w:val="299E4917"/>
    <w:multiLevelType w:val="hybridMultilevel"/>
    <w:tmpl w:val="8C589998"/>
    <w:lvl w:ilvl="0" w:tplc="04090001">
      <w:start w:val="1"/>
      <w:numFmt w:val="bullet"/>
      <w:lvlText w:val=""/>
      <w:lvlJc w:val="left"/>
      <w:pPr>
        <w:ind w:left="1346" w:hanging="360"/>
      </w:pPr>
      <w:rPr>
        <w:rFonts w:ascii="Symbol" w:hAnsi="Symbol" w:hint="default"/>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abstractNum w:abstractNumId="7" w15:restartNumberingAfterBreak="0">
    <w:nsid w:val="3975004F"/>
    <w:multiLevelType w:val="hybridMultilevel"/>
    <w:tmpl w:val="13E4607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3BCC4222"/>
    <w:multiLevelType w:val="multilevel"/>
    <w:tmpl w:val="C9C6278E"/>
    <w:lvl w:ilvl="0">
      <w:start w:val="2"/>
      <w:numFmt w:val="decimal"/>
      <w:lvlText w:val="%1."/>
      <w:lvlJc w:val="left"/>
      <w:pPr>
        <w:ind w:left="360" w:hanging="360"/>
      </w:pPr>
      <w:rPr>
        <w:rFonts w:eastAsia="Arial Unicode MS" w:hint="default"/>
      </w:rPr>
    </w:lvl>
    <w:lvl w:ilvl="1">
      <w:start w:val="7"/>
      <w:numFmt w:val="decimal"/>
      <w:lvlText w:val="%1.%2."/>
      <w:lvlJc w:val="left"/>
      <w:pPr>
        <w:ind w:left="720" w:hanging="360"/>
      </w:pPr>
      <w:rPr>
        <w:rFonts w:eastAsia="Arial Unicode MS" w:hint="default"/>
      </w:rPr>
    </w:lvl>
    <w:lvl w:ilvl="2">
      <w:start w:val="1"/>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9" w15:restartNumberingAfterBreak="0">
    <w:nsid w:val="41953EAB"/>
    <w:multiLevelType w:val="hybridMultilevel"/>
    <w:tmpl w:val="D0F01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9B0191"/>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25F44CC"/>
    <w:multiLevelType w:val="hybridMultilevel"/>
    <w:tmpl w:val="0EEE1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C16F8D"/>
    <w:multiLevelType w:val="hybridMultilevel"/>
    <w:tmpl w:val="A34C0904"/>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3" w15:restartNumberingAfterBreak="0">
    <w:nsid w:val="59B83C1B"/>
    <w:multiLevelType w:val="multilevel"/>
    <w:tmpl w:val="5F3843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14" w15:restartNumberingAfterBreak="0">
    <w:nsid w:val="5A0D73F3"/>
    <w:multiLevelType w:val="hybridMultilevel"/>
    <w:tmpl w:val="CA9A2AC8"/>
    <w:lvl w:ilvl="0" w:tplc="0427000F">
      <w:start w:val="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AB27E1E"/>
    <w:multiLevelType w:val="hybridMultilevel"/>
    <w:tmpl w:val="3D568A5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2266018"/>
    <w:multiLevelType w:val="hybridMultilevel"/>
    <w:tmpl w:val="AA9C9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823337A"/>
    <w:multiLevelType w:val="hybridMultilevel"/>
    <w:tmpl w:val="05B2F4F0"/>
    <w:lvl w:ilvl="0" w:tplc="7B748F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20356916">
    <w:abstractNumId w:val="9"/>
  </w:num>
  <w:num w:numId="2" w16cid:durableId="1158111552">
    <w:abstractNumId w:val="2"/>
  </w:num>
  <w:num w:numId="3" w16cid:durableId="200560309">
    <w:abstractNumId w:val="13"/>
  </w:num>
  <w:num w:numId="4" w16cid:durableId="310715488">
    <w:abstractNumId w:val="10"/>
  </w:num>
  <w:num w:numId="5" w16cid:durableId="377244906">
    <w:abstractNumId w:val="8"/>
  </w:num>
  <w:num w:numId="6" w16cid:durableId="348604977">
    <w:abstractNumId w:val="7"/>
  </w:num>
  <w:num w:numId="7" w16cid:durableId="2120483852">
    <w:abstractNumId w:val="4"/>
  </w:num>
  <w:num w:numId="8" w16cid:durableId="54014629">
    <w:abstractNumId w:val="16"/>
  </w:num>
  <w:num w:numId="9" w16cid:durableId="752706385">
    <w:abstractNumId w:val="0"/>
  </w:num>
  <w:num w:numId="10" w16cid:durableId="1762488267">
    <w:abstractNumId w:val="14"/>
  </w:num>
  <w:num w:numId="11" w16cid:durableId="927153593">
    <w:abstractNumId w:val="15"/>
  </w:num>
  <w:num w:numId="12" w16cid:durableId="1891111271">
    <w:abstractNumId w:val="3"/>
  </w:num>
  <w:num w:numId="13" w16cid:durableId="463079069">
    <w:abstractNumId w:val="5"/>
  </w:num>
  <w:num w:numId="14" w16cid:durableId="2077894833">
    <w:abstractNumId w:val="1"/>
  </w:num>
  <w:num w:numId="15" w16cid:durableId="1465082468">
    <w:abstractNumId w:val="6"/>
  </w:num>
  <w:num w:numId="16" w16cid:durableId="699236190">
    <w:abstractNumId w:val="17"/>
  </w:num>
  <w:num w:numId="17" w16cid:durableId="1996450870">
    <w:abstractNumId w:val="12"/>
  </w:num>
  <w:num w:numId="18" w16cid:durableId="6510628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E7"/>
    <w:rsid w:val="000001B0"/>
    <w:rsid w:val="00003F5B"/>
    <w:rsid w:val="000114DD"/>
    <w:rsid w:val="000136F7"/>
    <w:rsid w:val="000203E1"/>
    <w:rsid w:val="0002512C"/>
    <w:rsid w:val="0002686C"/>
    <w:rsid w:val="00027A7F"/>
    <w:rsid w:val="00031D0E"/>
    <w:rsid w:val="000337E6"/>
    <w:rsid w:val="0003402E"/>
    <w:rsid w:val="00034EAE"/>
    <w:rsid w:val="00042924"/>
    <w:rsid w:val="000448C6"/>
    <w:rsid w:val="00052BD8"/>
    <w:rsid w:val="00053975"/>
    <w:rsid w:val="00057A2B"/>
    <w:rsid w:val="000606BE"/>
    <w:rsid w:val="000624FF"/>
    <w:rsid w:val="00063A50"/>
    <w:rsid w:val="000723FF"/>
    <w:rsid w:val="000736B8"/>
    <w:rsid w:val="0008190F"/>
    <w:rsid w:val="00081D9C"/>
    <w:rsid w:val="00082907"/>
    <w:rsid w:val="0008378D"/>
    <w:rsid w:val="000908A5"/>
    <w:rsid w:val="0009136B"/>
    <w:rsid w:val="00092805"/>
    <w:rsid w:val="000A50C9"/>
    <w:rsid w:val="000B2B2C"/>
    <w:rsid w:val="000B76AD"/>
    <w:rsid w:val="000C454C"/>
    <w:rsid w:val="000D5038"/>
    <w:rsid w:val="000E29D4"/>
    <w:rsid w:val="000F3540"/>
    <w:rsid w:val="00100491"/>
    <w:rsid w:val="00104C6B"/>
    <w:rsid w:val="00104E2E"/>
    <w:rsid w:val="00107287"/>
    <w:rsid w:val="00116BE7"/>
    <w:rsid w:val="00117194"/>
    <w:rsid w:val="00117406"/>
    <w:rsid w:val="00121EF0"/>
    <w:rsid w:val="00124A9E"/>
    <w:rsid w:val="00130703"/>
    <w:rsid w:val="0013153F"/>
    <w:rsid w:val="001408B8"/>
    <w:rsid w:val="001466FE"/>
    <w:rsid w:val="001517E2"/>
    <w:rsid w:val="001521D9"/>
    <w:rsid w:val="001542CA"/>
    <w:rsid w:val="001554E2"/>
    <w:rsid w:val="00164146"/>
    <w:rsid w:val="00164D64"/>
    <w:rsid w:val="0017369C"/>
    <w:rsid w:val="00175D57"/>
    <w:rsid w:val="00180C39"/>
    <w:rsid w:val="00180D96"/>
    <w:rsid w:val="00184BD3"/>
    <w:rsid w:val="001921F3"/>
    <w:rsid w:val="001A0CAA"/>
    <w:rsid w:val="001B3C5B"/>
    <w:rsid w:val="001C2FC8"/>
    <w:rsid w:val="001C6353"/>
    <w:rsid w:val="001D5B91"/>
    <w:rsid w:val="001D6AE2"/>
    <w:rsid w:val="001D746F"/>
    <w:rsid w:val="001E0B2D"/>
    <w:rsid w:val="001E4BBB"/>
    <w:rsid w:val="001E6304"/>
    <w:rsid w:val="001F115E"/>
    <w:rsid w:val="001F64B1"/>
    <w:rsid w:val="0020381E"/>
    <w:rsid w:val="002111DA"/>
    <w:rsid w:val="00213471"/>
    <w:rsid w:val="00215906"/>
    <w:rsid w:val="0023381A"/>
    <w:rsid w:val="00241CD8"/>
    <w:rsid w:val="00244B09"/>
    <w:rsid w:val="002519CB"/>
    <w:rsid w:val="0025697F"/>
    <w:rsid w:val="00260258"/>
    <w:rsid w:val="0026588E"/>
    <w:rsid w:val="00272428"/>
    <w:rsid w:val="00272948"/>
    <w:rsid w:val="00283E59"/>
    <w:rsid w:val="00292392"/>
    <w:rsid w:val="002946C7"/>
    <w:rsid w:val="002A29B2"/>
    <w:rsid w:val="002B2B6B"/>
    <w:rsid w:val="002B3CC1"/>
    <w:rsid w:val="002C0686"/>
    <w:rsid w:val="002C09E0"/>
    <w:rsid w:val="002C100E"/>
    <w:rsid w:val="002C1BB1"/>
    <w:rsid w:val="002C2786"/>
    <w:rsid w:val="002C3A10"/>
    <w:rsid w:val="002C4A90"/>
    <w:rsid w:val="002C4ED5"/>
    <w:rsid w:val="002C7BF9"/>
    <w:rsid w:val="002D02EF"/>
    <w:rsid w:val="002E0702"/>
    <w:rsid w:val="002E1A83"/>
    <w:rsid w:val="002E57AD"/>
    <w:rsid w:val="002E6F80"/>
    <w:rsid w:val="002F0E4F"/>
    <w:rsid w:val="002F1053"/>
    <w:rsid w:val="00314816"/>
    <w:rsid w:val="00317B0E"/>
    <w:rsid w:val="003260C8"/>
    <w:rsid w:val="00334F18"/>
    <w:rsid w:val="00336238"/>
    <w:rsid w:val="00347FAA"/>
    <w:rsid w:val="0035172D"/>
    <w:rsid w:val="0036187D"/>
    <w:rsid w:val="00367EDB"/>
    <w:rsid w:val="003705F0"/>
    <w:rsid w:val="00381024"/>
    <w:rsid w:val="00386307"/>
    <w:rsid w:val="003874DE"/>
    <w:rsid w:val="00393E9F"/>
    <w:rsid w:val="0039696E"/>
    <w:rsid w:val="003B211A"/>
    <w:rsid w:val="003C141F"/>
    <w:rsid w:val="003C6B0E"/>
    <w:rsid w:val="003C7257"/>
    <w:rsid w:val="003C74F5"/>
    <w:rsid w:val="003C7E35"/>
    <w:rsid w:val="003D1E99"/>
    <w:rsid w:val="003D6208"/>
    <w:rsid w:val="00404D97"/>
    <w:rsid w:val="00404E8A"/>
    <w:rsid w:val="0040622F"/>
    <w:rsid w:val="00413F24"/>
    <w:rsid w:val="004204EA"/>
    <w:rsid w:val="00422853"/>
    <w:rsid w:val="00423160"/>
    <w:rsid w:val="00437623"/>
    <w:rsid w:val="0044277F"/>
    <w:rsid w:val="00444A2B"/>
    <w:rsid w:val="00445998"/>
    <w:rsid w:val="00453862"/>
    <w:rsid w:val="0045469B"/>
    <w:rsid w:val="00461338"/>
    <w:rsid w:val="004677DB"/>
    <w:rsid w:val="00476256"/>
    <w:rsid w:val="0048630F"/>
    <w:rsid w:val="004947A1"/>
    <w:rsid w:val="0049482A"/>
    <w:rsid w:val="004979D3"/>
    <w:rsid w:val="004A00E7"/>
    <w:rsid w:val="004A12D0"/>
    <w:rsid w:val="004A3A61"/>
    <w:rsid w:val="004B59BA"/>
    <w:rsid w:val="004B5A03"/>
    <w:rsid w:val="004C263A"/>
    <w:rsid w:val="004C6221"/>
    <w:rsid w:val="004D47D1"/>
    <w:rsid w:val="004D48A6"/>
    <w:rsid w:val="004D70B6"/>
    <w:rsid w:val="004D7B8F"/>
    <w:rsid w:val="004E241F"/>
    <w:rsid w:val="004E6458"/>
    <w:rsid w:val="004E6E7D"/>
    <w:rsid w:val="004F13E6"/>
    <w:rsid w:val="004F1AAC"/>
    <w:rsid w:val="004F1AE2"/>
    <w:rsid w:val="004F34F0"/>
    <w:rsid w:val="004F3B2B"/>
    <w:rsid w:val="004F59E4"/>
    <w:rsid w:val="004F6050"/>
    <w:rsid w:val="005005EF"/>
    <w:rsid w:val="005123C2"/>
    <w:rsid w:val="0052144B"/>
    <w:rsid w:val="00524066"/>
    <w:rsid w:val="00526A0F"/>
    <w:rsid w:val="00534E11"/>
    <w:rsid w:val="005378D8"/>
    <w:rsid w:val="005400D9"/>
    <w:rsid w:val="005401A9"/>
    <w:rsid w:val="005476A4"/>
    <w:rsid w:val="0055019B"/>
    <w:rsid w:val="00556E63"/>
    <w:rsid w:val="005601A4"/>
    <w:rsid w:val="00566DBB"/>
    <w:rsid w:val="00567B14"/>
    <w:rsid w:val="005767DB"/>
    <w:rsid w:val="0057684C"/>
    <w:rsid w:val="005815E6"/>
    <w:rsid w:val="0058712F"/>
    <w:rsid w:val="005976CE"/>
    <w:rsid w:val="005A23D4"/>
    <w:rsid w:val="005A2D1E"/>
    <w:rsid w:val="005A4698"/>
    <w:rsid w:val="005B3756"/>
    <w:rsid w:val="005C493F"/>
    <w:rsid w:val="005C6BF7"/>
    <w:rsid w:val="005C71BF"/>
    <w:rsid w:val="005D002C"/>
    <w:rsid w:val="005D30E1"/>
    <w:rsid w:val="005D6555"/>
    <w:rsid w:val="005D7BDF"/>
    <w:rsid w:val="005E4870"/>
    <w:rsid w:val="005F71D9"/>
    <w:rsid w:val="005F7602"/>
    <w:rsid w:val="006062BE"/>
    <w:rsid w:val="00613143"/>
    <w:rsid w:val="00613501"/>
    <w:rsid w:val="0061611B"/>
    <w:rsid w:val="006166A8"/>
    <w:rsid w:val="006174A1"/>
    <w:rsid w:val="00621D6C"/>
    <w:rsid w:val="00633B49"/>
    <w:rsid w:val="00634099"/>
    <w:rsid w:val="0064297F"/>
    <w:rsid w:val="00644568"/>
    <w:rsid w:val="00645102"/>
    <w:rsid w:val="00646CF3"/>
    <w:rsid w:val="00653D11"/>
    <w:rsid w:val="00662983"/>
    <w:rsid w:val="006834D3"/>
    <w:rsid w:val="00692625"/>
    <w:rsid w:val="00695CD3"/>
    <w:rsid w:val="006A38B6"/>
    <w:rsid w:val="006A540C"/>
    <w:rsid w:val="006B1987"/>
    <w:rsid w:val="006B5B71"/>
    <w:rsid w:val="006B5D3E"/>
    <w:rsid w:val="006B6CB0"/>
    <w:rsid w:val="006C2B64"/>
    <w:rsid w:val="006D1BF3"/>
    <w:rsid w:val="006D4C85"/>
    <w:rsid w:val="006D66AC"/>
    <w:rsid w:val="006E33F6"/>
    <w:rsid w:val="006F1251"/>
    <w:rsid w:val="006F1C23"/>
    <w:rsid w:val="006F5979"/>
    <w:rsid w:val="00702C18"/>
    <w:rsid w:val="00703166"/>
    <w:rsid w:val="007111C4"/>
    <w:rsid w:val="007127F3"/>
    <w:rsid w:val="007301CF"/>
    <w:rsid w:val="007316FB"/>
    <w:rsid w:val="00737E2D"/>
    <w:rsid w:val="007424D5"/>
    <w:rsid w:val="00745C63"/>
    <w:rsid w:val="00750A88"/>
    <w:rsid w:val="007523DD"/>
    <w:rsid w:val="00757B7E"/>
    <w:rsid w:val="007656B2"/>
    <w:rsid w:val="0077016F"/>
    <w:rsid w:val="007713AD"/>
    <w:rsid w:val="00772F40"/>
    <w:rsid w:val="00795DC5"/>
    <w:rsid w:val="00797153"/>
    <w:rsid w:val="007A21F7"/>
    <w:rsid w:val="007A2B68"/>
    <w:rsid w:val="007B0DDA"/>
    <w:rsid w:val="007D3347"/>
    <w:rsid w:val="007D654E"/>
    <w:rsid w:val="007E5466"/>
    <w:rsid w:val="007F1949"/>
    <w:rsid w:val="007F2592"/>
    <w:rsid w:val="00800A08"/>
    <w:rsid w:val="00817A84"/>
    <w:rsid w:val="008225A4"/>
    <w:rsid w:val="00824B92"/>
    <w:rsid w:val="00826D5E"/>
    <w:rsid w:val="00832013"/>
    <w:rsid w:val="00832DB7"/>
    <w:rsid w:val="00834732"/>
    <w:rsid w:val="00834C48"/>
    <w:rsid w:val="00844936"/>
    <w:rsid w:val="0085200C"/>
    <w:rsid w:val="00853487"/>
    <w:rsid w:val="00857C52"/>
    <w:rsid w:val="00860D5F"/>
    <w:rsid w:val="00862D7B"/>
    <w:rsid w:val="00880A44"/>
    <w:rsid w:val="0088345E"/>
    <w:rsid w:val="0088656F"/>
    <w:rsid w:val="008875BC"/>
    <w:rsid w:val="00891EF6"/>
    <w:rsid w:val="00892FF4"/>
    <w:rsid w:val="0089345A"/>
    <w:rsid w:val="008A0303"/>
    <w:rsid w:val="008A5FDD"/>
    <w:rsid w:val="008C3947"/>
    <w:rsid w:val="008E473B"/>
    <w:rsid w:val="008E51A6"/>
    <w:rsid w:val="008E6C3F"/>
    <w:rsid w:val="008E7329"/>
    <w:rsid w:val="008F2ED5"/>
    <w:rsid w:val="0090044C"/>
    <w:rsid w:val="0092297E"/>
    <w:rsid w:val="00923292"/>
    <w:rsid w:val="00923651"/>
    <w:rsid w:val="00924DF7"/>
    <w:rsid w:val="00927B56"/>
    <w:rsid w:val="009341BF"/>
    <w:rsid w:val="00937907"/>
    <w:rsid w:val="00941739"/>
    <w:rsid w:val="00951573"/>
    <w:rsid w:val="00963003"/>
    <w:rsid w:val="00965919"/>
    <w:rsid w:val="00966EEF"/>
    <w:rsid w:val="00971B28"/>
    <w:rsid w:val="00983471"/>
    <w:rsid w:val="009909AB"/>
    <w:rsid w:val="009B37DB"/>
    <w:rsid w:val="009C7A8C"/>
    <w:rsid w:val="009D23F9"/>
    <w:rsid w:val="009D4FA8"/>
    <w:rsid w:val="009E44AE"/>
    <w:rsid w:val="009E6CD6"/>
    <w:rsid w:val="009F4D66"/>
    <w:rsid w:val="00A00C3C"/>
    <w:rsid w:val="00A01091"/>
    <w:rsid w:val="00A042B9"/>
    <w:rsid w:val="00A06DBB"/>
    <w:rsid w:val="00A22ADF"/>
    <w:rsid w:val="00A2310D"/>
    <w:rsid w:val="00A254A2"/>
    <w:rsid w:val="00A31E86"/>
    <w:rsid w:val="00A51A1B"/>
    <w:rsid w:val="00A54D87"/>
    <w:rsid w:val="00A5553C"/>
    <w:rsid w:val="00A701C9"/>
    <w:rsid w:val="00A81785"/>
    <w:rsid w:val="00A84803"/>
    <w:rsid w:val="00A84C51"/>
    <w:rsid w:val="00A86F2B"/>
    <w:rsid w:val="00A91366"/>
    <w:rsid w:val="00A92F91"/>
    <w:rsid w:val="00A93AA6"/>
    <w:rsid w:val="00AA4E48"/>
    <w:rsid w:val="00AA6202"/>
    <w:rsid w:val="00AA7B57"/>
    <w:rsid w:val="00AB2806"/>
    <w:rsid w:val="00AB2D54"/>
    <w:rsid w:val="00AC26FC"/>
    <w:rsid w:val="00AC4A99"/>
    <w:rsid w:val="00AC5129"/>
    <w:rsid w:val="00AC64D2"/>
    <w:rsid w:val="00AD02E7"/>
    <w:rsid w:val="00AE0FE8"/>
    <w:rsid w:val="00AF60D5"/>
    <w:rsid w:val="00B00959"/>
    <w:rsid w:val="00B04415"/>
    <w:rsid w:val="00B06509"/>
    <w:rsid w:val="00B11D60"/>
    <w:rsid w:val="00B13D65"/>
    <w:rsid w:val="00B21805"/>
    <w:rsid w:val="00B3072E"/>
    <w:rsid w:val="00B36E15"/>
    <w:rsid w:val="00B37245"/>
    <w:rsid w:val="00B4017A"/>
    <w:rsid w:val="00B4468D"/>
    <w:rsid w:val="00B71C72"/>
    <w:rsid w:val="00B71F04"/>
    <w:rsid w:val="00B74A62"/>
    <w:rsid w:val="00B811A4"/>
    <w:rsid w:val="00B81E92"/>
    <w:rsid w:val="00B833B2"/>
    <w:rsid w:val="00B908D7"/>
    <w:rsid w:val="00B935E8"/>
    <w:rsid w:val="00B93B30"/>
    <w:rsid w:val="00B94CB5"/>
    <w:rsid w:val="00BA0DD9"/>
    <w:rsid w:val="00BA5DBC"/>
    <w:rsid w:val="00BA6584"/>
    <w:rsid w:val="00BB6312"/>
    <w:rsid w:val="00BC39C2"/>
    <w:rsid w:val="00BC4D06"/>
    <w:rsid w:val="00BD05E1"/>
    <w:rsid w:val="00BD585E"/>
    <w:rsid w:val="00BD6919"/>
    <w:rsid w:val="00BE1EA7"/>
    <w:rsid w:val="00BE7489"/>
    <w:rsid w:val="00BF2E0D"/>
    <w:rsid w:val="00BF3927"/>
    <w:rsid w:val="00BF3F8B"/>
    <w:rsid w:val="00BF4840"/>
    <w:rsid w:val="00BF76DA"/>
    <w:rsid w:val="00C00CDB"/>
    <w:rsid w:val="00C07C7B"/>
    <w:rsid w:val="00C16245"/>
    <w:rsid w:val="00C22DC5"/>
    <w:rsid w:val="00C24479"/>
    <w:rsid w:val="00C273F2"/>
    <w:rsid w:val="00C33F52"/>
    <w:rsid w:val="00C37B53"/>
    <w:rsid w:val="00C434EB"/>
    <w:rsid w:val="00C517D2"/>
    <w:rsid w:val="00C5772E"/>
    <w:rsid w:val="00C62B36"/>
    <w:rsid w:val="00C7012C"/>
    <w:rsid w:val="00C712EA"/>
    <w:rsid w:val="00C9728E"/>
    <w:rsid w:val="00CA217D"/>
    <w:rsid w:val="00CA3131"/>
    <w:rsid w:val="00CC09D4"/>
    <w:rsid w:val="00CC4F5F"/>
    <w:rsid w:val="00CC668D"/>
    <w:rsid w:val="00CC7832"/>
    <w:rsid w:val="00CD488E"/>
    <w:rsid w:val="00CE4B0B"/>
    <w:rsid w:val="00CF0C1C"/>
    <w:rsid w:val="00CF27FD"/>
    <w:rsid w:val="00CF5F12"/>
    <w:rsid w:val="00D00D8F"/>
    <w:rsid w:val="00D034E2"/>
    <w:rsid w:val="00D12869"/>
    <w:rsid w:val="00D14512"/>
    <w:rsid w:val="00D15ED6"/>
    <w:rsid w:val="00D21F3A"/>
    <w:rsid w:val="00D23808"/>
    <w:rsid w:val="00D3016A"/>
    <w:rsid w:val="00D326CF"/>
    <w:rsid w:val="00D417D2"/>
    <w:rsid w:val="00D42960"/>
    <w:rsid w:val="00D43BD7"/>
    <w:rsid w:val="00D4485B"/>
    <w:rsid w:val="00D458B7"/>
    <w:rsid w:val="00D46CCD"/>
    <w:rsid w:val="00D4708D"/>
    <w:rsid w:val="00D4744C"/>
    <w:rsid w:val="00D51046"/>
    <w:rsid w:val="00D521DE"/>
    <w:rsid w:val="00D52C44"/>
    <w:rsid w:val="00D5470B"/>
    <w:rsid w:val="00D63068"/>
    <w:rsid w:val="00D6498C"/>
    <w:rsid w:val="00D67BAF"/>
    <w:rsid w:val="00D76A70"/>
    <w:rsid w:val="00D80989"/>
    <w:rsid w:val="00D83182"/>
    <w:rsid w:val="00D8521E"/>
    <w:rsid w:val="00D9291C"/>
    <w:rsid w:val="00D93A97"/>
    <w:rsid w:val="00DA5602"/>
    <w:rsid w:val="00DB1F64"/>
    <w:rsid w:val="00DC261A"/>
    <w:rsid w:val="00DC2F53"/>
    <w:rsid w:val="00DC5BAC"/>
    <w:rsid w:val="00DC6816"/>
    <w:rsid w:val="00DC76C2"/>
    <w:rsid w:val="00DD1CF2"/>
    <w:rsid w:val="00DE4484"/>
    <w:rsid w:val="00DF41B7"/>
    <w:rsid w:val="00DF4A4A"/>
    <w:rsid w:val="00DF583C"/>
    <w:rsid w:val="00E03C3F"/>
    <w:rsid w:val="00E06FD7"/>
    <w:rsid w:val="00E07417"/>
    <w:rsid w:val="00E24D45"/>
    <w:rsid w:val="00E33DB8"/>
    <w:rsid w:val="00E33EFF"/>
    <w:rsid w:val="00E34387"/>
    <w:rsid w:val="00E348BA"/>
    <w:rsid w:val="00E369FE"/>
    <w:rsid w:val="00E37C6F"/>
    <w:rsid w:val="00E475F8"/>
    <w:rsid w:val="00E5102E"/>
    <w:rsid w:val="00E5721C"/>
    <w:rsid w:val="00E619C6"/>
    <w:rsid w:val="00E70CED"/>
    <w:rsid w:val="00E745A1"/>
    <w:rsid w:val="00E76118"/>
    <w:rsid w:val="00E81529"/>
    <w:rsid w:val="00E83A13"/>
    <w:rsid w:val="00EB1151"/>
    <w:rsid w:val="00EB6FC5"/>
    <w:rsid w:val="00EC2356"/>
    <w:rsid w:val="00EC2582"/>
    <w:rsid w:val="00EC337C"/>
    <w:rsid w:val="00ED0CFF"/>
    <w:rsid w:val="00ED31D2"/>
    <w:rsid w:val="00EE0EAC"/>
    <w:rsid w:val="00EE3322"/>
    <w:rsid w:val="00EE33CB"/>
    <w:rsid w:val="00F0061A"/>
    <w:rsid w:val="00F02834"/>
    <w:rsid w:val="00F04EEB"/>
    <w:rsid w:val="00F05467"/>
    <w:rsid w:val="00F055D2"/>
    <w:rsid w:val="00F07CD7"/>
    <w:rsid w:val="00F127E9"/>
    <w:rsid w:val="00F14477"/>
    <w:rsid w:val="00F14B5D"/>
    <w:rsid w:val="00F259FC"/>
    <w:rsid w:val="00F313F4"/>
    <w:rsid w:val="00F36972"/>
    <w:rsid w:val="00F42426"/>
    <w:rsid w:val="00F44F01"/>
    <w:rsid w:val="00F456BC"/>
    <w:rsid w:val="00F50666"/>
    <w:rsid w:val="00F5384A"/>
    <w:rsid w:val="00F70731"/>
    <w:rsid w:val="00F70C9E"/>
    <w:rsid w:val="00F74A74"/>
    <w:rsid w:val="00F7572C"/>
    <w:rsid w:val="00F8382C"/>
    <w:rsid w:val="00F855D7"/>
    <w:rsid w:val="00F86ED6"/>
    <w:rsid w:val="00F92035"/>
    <w:rsid w:val="00F92748"/>
    <w:rsid w:val="00F9724E"/>
    <w:rsid w:val="00FA4169"/>
    <w:rsid w:val="00FB0D41"/>
    <w:rsid w:val="00FB2030"/>
    <w:rsid w:val="00FD0E46"/>
    <w:rsid w:val="00FD1060"/>
    <w:rsid w:val="00FD1CF2"/>
    <w:rsid w:val="00FD3EDF"/>
    <w:rsid w:val="00FD793C"/>
    <w:rsid w:val="00FE0FD5"/>
    <w:rsid w:val="00FE20E6"/>
    <w:rsid w:val="00FE3E3B"/>
    <w:rsid w:val="00FE5878"/>
    <w:rsid w:val="00FF4032"/>
    <w:rsid w:val="00FF4A2E"/>
    <w:rsid w:val="00FF6469"/>
    <w:rsid w:val="00FF7E4A"/>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FE6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81529"/>
    <w:rPr>
      <w:sz w:val="24"/>
      <w:szCs w:val="24"/>
      <w:lang w:eastAsia="en-US"/>
    </w:rPr>
  </w:style>
  <w:style w:type="paragraph" w:styleId="Heading1">
    <w:name w:val="heading 1"/>
    <w:basedOn w:val="Normal"/>
    <w:next w:val="Normal"/>
    <w:qFormat/>
    <w:rsid w:val="00A84C51"/>
    <w:pPr>
      <w:keepNext/>
      <w:jc w:val="center"/>
      <w:outlineLvl w:val="0"/>
    </w:pPr>
    <w:rPr>
      <w:b/>
      <w:bCs/>
      <w:caps/>
    </w:rPr>
  </w:style>
  <w:style w:type="paragraph" w:styleId="Heading2">
    <w:name w:val="heading 2"/>
    <w:basedOn w:val="Normal"/>
    <w:next w:val="Normal"/>
    <w:qFormat/>
    <w:rsid w:val="00A84C51"/>
    <w:pPr>
      <w:keepNext/>
      <w:jc w:val="center"/>
      <w:outlineLvl w:val="1"/>
    </w:pPr>
    <w:rPr>
      <w:b/>
      <w:bCs/>
      <w: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84C51"/>
    <w:pPr>
      <w:tabs>
        <w:tab w:val="center" w:pos="4986"/>
        <w:tab w:val="right" w:pos="9972"/>
      </w:tabs>
    </w:pPr>
  </w:style>
  <w:style w:type="paragraph" w:styleId="Footer">
    <w:name w:val="footer"/>
    <w:basedOn w:val="Normal"/>
    <w:link w:val="FooterChar"/>
    <w:rsid w:val="00A84C51"/>
    <w:pPr>
      <w:tabs>
        <w:tab w:val="center" w:pos="4986"/>
        <w:tab w:val="right" w:pos="9972"/>
      </w:tabs>
    </w:pPr>
  </w:style>
  <w:style w:type="character" w:styleId="PageNumber">
    <w:name w:val="page number"/>
    <w:basedOn w:val="DefaultParagraphFont"/>
    <w:rsid w:val="00A84C51"/>
  </w:style>
  <w:style w:type="character" w:styleId="Hyperlink">
    <w:name w:val="Hyperlink"/>
    <w:basedOn w:val="DefaultParagraphFont"/>
    <w:rsid w:val="00A84C51"/>
    <w:rPr>
      <w:color w:val="0000FF"/>
      <w:u w:val="single"/>
    </w:rPr>
  </w:style>
  <w:style w:type="paragraph" w:styleId="BalloonText">
    <w:name w:val="Balloon Text"/>
    <w:basedOn w:val="Normal"/>
    <w:semiHidden/>
    <w:rsid w:val="00EC2356"/>
    <w:rPr>
      <w:rFonts w:ascii="Tahoma" w:hAnsi="Tahoma" w:cs="Tahoma"/>
      <w:sz w:val="16"/>
      <w:szCs w:val="16"/>
    </w:rPr>
  </w:style>
  <w:style w:type="character" w:customStyle="1" w:styleId="FooterChar">
    <w:name w:val="Footer Char"/>
    <w:basedOn w:val="DefaultParagraphFont"/>
    <w:link w:val="Footer"/>
    <w:rsid w:val="00737E2D"/>
    <w:rPr>
      <w:sz w:val="24"/>
      <w:szCs w:val="24"/>
      <w:lang w:eastAsia="en-US"/>
    </w:rPr>
  </w:style>
  <w:style w:type="character" w:customStyle="1" w:styleId="Neapdorotaspaminjimas1">
    <w:name w:val="Neapdorotas paminėjimas1"/>
    <w:basedOn w:val="DefaultParagraphFont"/>
    <w:uiPriority w:val="99"/>
    <w:semiHidden/>
    <w:unhideWhenUsed/>
    <w:rsid w:val="00A31E86"/>
    <w:rPr>
      <w:color w:val="605E5C"/>
      <w:shd w:val="clear" w:color="auto" w:fill="E1DFDD"/>
    </w:rPr>
  </w:style>
  <w:style w:type="character" w:styleId="FollowedHyperlink">
    <w:name w:val="FollowedHyperlink"/>
    <w:basedOn w:val="DefaultParagraphFont"/>
    <w:semiHidden/>
    <w:unhideWhenUsed/>
    <w:rsid w:val="00A31E86"/>
    <w:rPr>
      <w:color w:val="800080" w:themeColor="followedHyperlink"/>
      <w:u w:val="single"/>
    </w:rPr>
  </w:style>
  <w:style w:type="table" w:styleId="TableGrid">
    <w:name w:val="Table Grid"/>
    <w:basedOn w:val="TableNormal"/>
    <w:rsid w:val="00D42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C7012C"/>
    <w:rPr>
      <w:sz w:val="16"/>
      <w:szCs w:val="16"/>
    </w:rPr>
  </w:style>
  <w:style w:type="paragraph" w:styleId="CommentText">
    <w:name w:val="annotation text"/>
    <w:basedOn w:val="Normal"/>
    <w:link w:val="CommentTextChar"/>
    <w:unhideWhenUsed/>
    <w:rsid w:val="00C7012C"/>
    <w:rPr>
      <w:sz w:val="20"/>
      <w:szCs w:val="20"/>
    </w:rPr>
  </w:style>
  <w:style w:type="character" w:customStyle="1" w:styleId="CommentTextChar">
    <w:name w:val="Comment Text Char"/>
    <w:basedOn w:val="DefaultParagraphFont"/>
    <w:link w:val="CommentText"/>
    <w:rsid w:val="00C7012C"/>
    <w:rPr>
      <w:lang w:eastAsia="en-US"/>
    </w:rPr>
  </w:style>
  <w:style w:type="paragraph" w:styleId="CommentSubject">
    <w:name w:val="annotation subject"/>
    <w:basedOn w:val="CommentText"/>
    <w:next w:val="CommentText"/>
    <w:link w:val="CommentSubjectChar"/>
    <w:semiHidden/>
    <w:unhideWhenUsed/>
    <w:rsid w:val="00C7012C"/>
    <w:rPr>
      <w:b/>
      <w:bCs/>
    </w:rPr>
  </w:style>
  <w:style w:type="character" w:customStyle="1" w:styleId="CommentSubjectChar">
    <w:name w:val="Comment Subject Char"/>
    <w:basedOn w:val="CommentTextChar"/>
    <w:link w:val="CommentSubject"/>
    <w:semiHidden/>
    <w:rsid w:val="00C7012C"/>
    <w:rPr>
      <w:b/>
      <w:bCs/>
      <w:lang w:eastAsia="en-US"/>
    </w:rPr>
  </w:style>
  <w:style w:type="paragraph" w:styleId="ListParagraph">
    <w:name w:val="List Paragraph"/>
    <w:aliases w:val="Summary Bullets,Bullet 1,Bullet1,Bullet List,Section 5,List Paragraph CCT minutes,Normal: Bullets,Table Legend,List Table,Bullets Points,BulletPoints,hyperlink,Listenabsatz,Numbered Sub-Section,BulletList 1,Bulletlist1,BulletList1"/>
    <w:basedOn w:val="Normal"/>
    <w:link w:val="ListParagraphChar"/>
    <w:uiPriority w:val="34"/>
    <w:qFormat/>
    <w:rsid w:val="00104E2E"/>
    <w:pPr>
      <w:ind w:left="720"/>
      <w:contextualSpacing/>
    </w:pPr>
  </w:style>
  <w:style w:type="character" w:customStyle="1" w:styleId="Style2">
    <w:name w:val="Style2"/>
    <w:basedOn w:val="DefaultParagraphFont"/>
    <w:uiPriority w:val="1"/>
    <w:rsid w:val="00D6498C"/>
    <w:rPr>
      <w:sz w:val="32"/>
    </w:rPr>
  </w:style>
  <w:style w:type="character" w:styleId="PlaceholderText">
    <w:name w:val="Placeholder Text"/>
    <w:basedOn w:val="DefaultParagraphFont"/>
    <w:uiPriority w:val="99"/>
    <w:rsid w:val="00B13D65"/>
    <w:rPr>
      <w:color w:val="808080"/>
    </w:rPr>
  </w:style>
  <w:style w:type="paragraph" w:styleId="NoSpacing">
    <w:name w:val="No Spacing"/>
    <w:uiPriority w:val="1"/>
    <w:qFormat/>
    <w:rsid w:val="00B13D65"/>
    <w:rPr>
      <w:rFonts w:ascii="Calibri" w:eastAsia="Calibri" w:hAnsi="Calibri"/>
      <w:sz w:val="22"/>
      <w:szCs w:val="22"/>
      <w:lang w:eastAsia="en-US"/>
    </w:rPr>
  </w:style>
  <w:style w:type="table" w:customStyle="1" w:styleId="Lentelstinklelis1">
    <w:name w:val="Lentelės tinklelis1"/>
    <w:basedOn w:val="TableNormal"/>
    <w:next w:val="TableGrid"/>
    <w:rsid w:val="009E44AE"/>
    <w:rPr>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6256"/>
    <w:rPr>
      <w:sz w:val="24"/>
      <w:szCs w:val="24"/>
      <w:lang w:eastAsia="en-US"/>
    </w:rPr>
  </w:style>
  <w:style w:type="character" w:customStyle="1" w:styleId="ListParagraphChar">
    <w:name w:val="List Paragraph Char"/>
    <w:aliases w:val="Summary Bullets Char,Bullet 1 Char,Bullet1 Char,Bullet List Char,Section 5 Char,List Paragraph CCT minutes Char,Normal: Bullets Char,Table Legend Char,List Table Char,Bullets Points Char,BulletPoints Char,hyperlink Char"/>
    <w:basedOn w:val="DefaultParagraphFont"/>
    <w:link w:val="ListParagraph"/>
    <w:uiPriority w:val="34"/>
    <w:rsid w:val="00F86ED6"/>
    <w:rPr>
      <w:sz w:val="24"/>
      <w:szCs w:val="24"/>
      <w:lang w:eastAsia="en-US"/>
    </w:rPr>
  </w:style>
  <w:style w:type="character" w:customStyle="1" w:styleId="apple-converted-space">
    <w:name w:val="apple-converted-space"/>
    <w:basedOn w:val="DefaultParagraphFont"/>
    <w:rsid w:val="00D458B7"/>
  </w:style>
  <w:style w:type="character" w:styleId="Strong">
    <w:name w:val="Strong"/>
    <w:basedOn w:val="DefaultParagraphFont"/>
    <w:uiPriority w:val="22"/>
    <w:qFormat/>
    <w:rsid w:val="00D458B7"/>
    <w:rPr>
      <w:b/>
      <w:bCs/>
    </w:rPr>
  </w:style>
  <w:style w:type="character" w:customStyle="1" w:styleId="resultoftext">
    <w:name w:val="resultoftext"/>
    <w:basedOn w:val="DefaultParagraphFont"/>
    <w:rsid w:val="004F13E6"/>
  </w:style>
  <w:style w:type="character" w:customStyle="1" w:styleId="cf01">
    <w:name w:val="cf01"/>
    <w:basedOn w:val="DefaultParagraphFont"/>
    <w:rsid w:val="00A51A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802146">
      <w:bodyDiv w:val="1"/>
      <w:marLeft w:val="0"/>
      <w:marRight w:val="0"/>
      <w:marTop w:val="0"/>
      <w:marBottom w:val="0"/>
      <w:divBdr>
        <w:top w:val="none" w:sz="0" w:space="0" w:color="auto"/>
        <w:left w:val="none" w:sz="0" w:space="0" w:color="auto"/>
        <w:bottom w:val="none" w:sz="0" w:space="0" w:color="auto"/>
        <w:right w:val="none" w:sz="0" w:space="0" w:color="auto"/>
      </w:divBdr>
    </w:div>
    <w:div w:id="1513300798">
      <w:bodyDiv w:val="1"/>
      <w:marLeft w:val="0"/>
      <w:marRight w:val="0"/>
      <w:marTop w:val="0"/>
      <w:marBottom w:val="0"/>
      <w:divBdr>
        <w:top w:val="none" w:sz="0" w:space="0" w:color="auto"/>
        <w:left w:val="none" w:sz="0" w:space="0" w:color="auto"/>
        <w:bottom w:val="none" w:sz="0" w:space="0" w:color="auto"/>
        <w:right w:val="none" w:sz="0" w:space="0" w:color="auto"/>
      </w:divBdr>
    </w:div>
    <w:div w:id="159778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03AA1B603F47D3BD40A45F2A0F7814"/>
        <w:category>
          <w:name w:val="Bendrosios nuostatos"/>
          <w:gallery w:val="placeholder"/>
        </w:category>
        <w:types>
          <w:type w:val="bbPlcHdr"/>
        </w:types>
        <w:behaviors>
          <w:behavior w:val="content"/>
        </w:behaviors>
        <w:guid w:val="{8C4F7D04-3290-49A2-A1A8-CE54E5D88A88}"/>
      </w:docPartPr>
      <w:docPartBody>
        <w:p w:rsidR="00A20D39" w:rsidRDefault="00C66578" w:rsidP="00C66578">
          <w:pPr>
            <w:pStyle w:val="9F03AA1B603F47D3BD40A45F2A0F7814"/>
          </w:pPr>
          <w:r>
            <w:rPr>
              <w:rStyle w:val="PlaceholderText"/>
            </w:rPr>
            <w:t>Click here to enter a date.</w:t>
          </w:r>
        </w:p>
      </w:docPartBody>
    </w:docPart>
    <w:docPart>
      <w:docPartPr>
        <w:name w:val="93D7EBE30A7F432F9AB1114CDC0B27A0"/>
        <w:category>
          <w:name w:val="Bendrosios nuostatos"/>
          <w:gallery w:val="placeholder"/>
        </w:category>
        <w:types>
          <w:type w:val="bbPlcHdr"/>
        </w:types>
        <w:behaviors>
          <w:behavior w:val="content"/>
        </w:behaviors>
        <w:guid w:val="{17F62492-AACD-4837-966A-2DF1151E6A27}"/>
      </w:docPartPr>
      <w:docPartBody>
        <w:p w:rsidR="00A20D39" w:rsidRDefault="00C66578" w:rsidP="00C66578">
          <w:pPr>
            <w:pStyle w:val="93D7EBE30A7F432F9AB1114CDC0B27A0"/>
          </w:pPr>
          <w:r>
            <w:rPr>
              <w:rStyle w:val="PlaceholderText"/>
            </w:rPr>
            <w:t>Click here to enter a date.</w:t>
          </w:r>
        </w:p>
      </w:docPartBody>
    </w:docPart>
    <w:docPart>
      <w:docPartPr>
        <w:name w:val="313EC56AA2FD440FAB92ED675BD36BA0"/>
        <w:category>
          <w:name w:val="Bendrosios nuostatos"/>
          <w:gallery w:val="placeholder"/>
        </w:category>
        <w:types>
          <w:type w:val="bbPlcHdr"/>
        </w:types>
        <w:behaviors>
          <w:behavior w:val="content"/>
        </w:behaviors>
        <w:guid w:val="{930DD3CB-97DE-4BCB-96BE-0677BB5CE856}"/>
      </w:docPartPr>
      <w:docPartBody>
        <w:p w:rsidR="00A20D39" w:rsidRDefault="00C66578" w:rsidP="00C66578">
          <w:pPr>
            <w:pStyle w:val="313EC56AA2FD440FAB92ED675BD36BA0"/>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altName w:val="Calibr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Roche Sans">
    <w:altName w:val="Calibri"/>
    <w:panose1 w:val="020B0504030201040101"/>
    <w:charset w:val="BA"/>
    <w:family w:val="swiss"/>
    <w:pitch w:val="variable"/>
    <w:sig w:usb0="00000207" w:usb1="00000001" w:usb2="00000000" w:usb3="00000000" w:csb0="00000097" w:csb1="00000000"/>
  </w:font>
  <w:font w:name="CIDFont+F1">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DD"/>
    <w:rsid w:val="0001247F"/>
    <w:rsid w:val="00047C19"/>
    <w:rsid w:val="00061157"/>
    <w:rsid w:val="000624FF"/>
    <w:rsid w:val="0007430A"/>
    <w:rsid w:val="0009136B"/>
    <w:rsid w:val="000937FE"/>
    <w:rsid w:val="000A50C9"/>
    <w:rsid w:val="000A559A"/>
    <w:rsid w:val="000D24D4"/>
    <w:rsid w:val="000D6217"/>
    <w:rsid w:val="0014006D"/>
    <w:rsid w:val="001C35A9"/>
    <w:rsid w:val="001D6AE2"/>
    <w:rsid w:val="00237556"/>
    <w:rsid w:val="002C0686"/>
    <w:rsid w:val="003260C8"/>
    <w:rsid w:val="0039303B"/>
    <w:rsid w:val="004144A3"/>
    <w:rsid w:val="004160E7"/>
    <w:rsid w:val="004416C6"/>
    <w:rsid w:val="00456E96"/>
    <w:rsid w:val="004C6221"/>
    <w:rsid w:val="004D038D"/>
    <w:rsid w:val="004F4E20"/>
    <w:rsid w:val="004F5AB2"/>
    <w:rsid w:val="005074B9"/>
    <w:rsid w:val="00563A5F"/>
    <w:rsid w:val="00590DC8"/>
    <w:rsid w:val="005C62E5"/>
    <w:rsid w:val="005D34BA"/>
    <w:rsid w:val="005E40DD"/>
    <w:rsid w:val="00601F4E"/>
    <w:rsid w:val="00634099"/>
    <w:rsid w:val="006E6A2C"/>
    <w:rsid w:val="006F5979"/>
    <w:rsid w:val="007219C1"/>
    <w:rsid w:val="00740371"/>
    <w:rsid w:val="00745C63"/>
    <w:rsid w:val="00753462"/>
    <w:rsid w:val="007557E1"/>
    <w:rsid w:val="00772325"/>
    <w:rsid w:val="00790BA4"/>
    <w:rsid w:val="007A2FE0"/>
    <w:rsid w:val="007C6D1D"/>
    <w:rsid w:val="007D654E"/>
    <w:rsid w:val="00807F1D"/>
    <w:rsid w:val="00853487"/>
    <w:rsid w:val="00892FF4"/>
    <w:rsid w:val="008C0DC0"/>
    <w:rsid w:val="0090074D"/>
    <w:rsid w:val="009019EA"/>
    <w:rsid w:val="00901A35"/>
    <w:rsid w:val="00980136"/>
    <w:rsid w:val="009B3BF0"/>
    <w:rsid w:val="009D5E5E"/>
    <w:rsid w:val="009E1F64"/>
    <w:rsid w:val="009F1BB4"/>
    <w:rsid w:val="00A20D39"/>
    <w:rsid w:val="00A254A2"/>
    <w:rsid w:val="00AB2D54"/>
    <w:rsid w:val="00AB6ED4"/>
    <w:rsid w:val="00B14210"/>
    <w:rsid w:val="00B22ED6"/>
    <w:rsid w:val="00B23DC0"/>
    <w:rsid w:val="00B71F04"/>
    <w:rsid w:val="00B96656"/>
    <w:rsid w:val="00B9789F"/>
    <w:rsid w:val="00BA0A8E"/>
    <w:rsid w:val="00BE3364"/>
    <w:rsid w:val="00C2401D"/>
    <w:rsid w:val="00C250D7"/>
    <w:rsid w:val="00C53A68"/>
    <w:rsid w:val="00C66578"/>
    <w:rsid w:val="00CA5BB4"/>
    <w:rsid w:val="00CB4BD1"/>
    <w:rsid w:val="00CD139C"/>
    <w:rsid w:val="00CE2DA9"/>
    <w:rsid w:val="00CE44BE"/>
    <w:rsid w:val="00D008F3"/>
    <w:rsid w:val="00D0142D"/>
    <w:rsid w:val="00D04DFF"/>
    <w:rsid w:val="00D15ED6"/>
    <w:rsid w:val="00D20347"/>
    <w:rsid w:val="00D4356B"/>
    <w:rsid w:val="00D7162F"/>
    <w:rsid w:val="00DA599C"/>
    <w:rsid w:val="00DB4DB5"/>
    <w:rsid w:val="00DE4D10"/>
    <w:rsid w:val="00E44A86"/>
    <w:rsid w:val="00E522EB"/>
    <w:rsid w:val="00E60827"/>
    <w:rsid w:val="00EF6E0C"/>
    <w:rsid w:val="00F14477"/>
    <w:rsid w:val="00F370E5"/>
    <w:rsid w:val="00F55028"/>
    <w:rsid w:val="00F677F0"/>
    <w:rsid w:val="00F77BEF"/>
    <w:rsid w:val="00FA3217"/>
    <w:rsid w:val="00FC755C"/>
    <w:rsid w:val="00FD39C8"/>
    <w:rsid w:val="00FE0D46"/>
    <w:rsid w:val="00FF0A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01A35"/>
    <w:rPr>
      <w:color w:val="808080"/>
    </w:rPr>
  </w:style>
  <w:style w:type="paragraph" w:customStyle="1" w:styleId="9F03AA1B603F47D3BD40A45F2A0F7814">
    <w:name w:val="9F03AA1B603F47D3BD40A45F2A0F7814"/>
    <w:rsid w:val="00C66578"/>
    <w:pPr>
      <w:spacing w:line="278" w:lineRule="auto"/>
    </w:pPr>
    <w:rPr>
      <w:kern w:val="2"/>
      <w:sz w:val="24"/>
      <w:szCs w:val="24"/>
      <w14:ligatures w14:val="standardContextual"/>
    </w:rPr>
  </w:style>
  <w:style w:type="paragraph" w:customStyle="1" w:styleId="93D7EBE30A7F432F9AB1114CDC0B27A0">
    <w:name w:val="93D7EBE30A7F432F9AB1114CDC0B27A0"/>
    <w:rsid w:val="00C66578"/>
    <w:pPr>
      <w:spacing w:line="278" w:lineRule="auto"/>
    </w:pPr>
    <w:rPr>
      <w:kern w:val="2"/>
      <w:sz w:val="24"/>
      <w:szCs w:val="24"/>
      <w14:ligatures w14:val="standardContextual"/>
    </w:rPr>
  </w:style>
  <w:style w:type="paragraph" w:customStyle="1" w:styleId="313EC56AA2FD440FAB92ED675BD36BA0">
    <w:name w:val="313EC56AA2FD440FAB92ED675BD36BA0"/>
    <w:rsid w:val="00C665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10252</Words>
  <Characters>5844</Characters>
  <Application>Microsoft Office Word</Application>
  <DocSecurity>0</DocSecurity>
  <Lines>48</Lines>
  <Paragraphs>32</Paragraphs>
  <ScaleCrop>false</ScaleCrop>
  <Company/>
  <LinksUpToDate>false</LinksUpToDate>
  <CharactersWithSpaces>16064</CharactersWithSpaces>
  <SharedDoc>false</SharedDoc>
  <HLinks>
    <vt:vector size="6" baseType="variant">
      <vt:variant>
        <vt:i4>5308539</vt:i4>
      </vt:variant>
      <vt:variant>
        <vt:i4>6</vt:i4>
      </vt:variant>
      <vt:variant>
        <vt:i4>0</vt:i4>
      </vt:variant>
      <vt:variant>
        <vt:i4>5</vt:i4>
      </vt:variant>
      <vt:variant>
        <vt:lpwstr>mailto:vvkt@vvkt.lt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2026-07-02T10:34:00Z</dcterms:created>
  <dcterms:modified xsi:type="dcterms:W3CDTF">2026-07-02T10:34:00Z</dcterms:modified>
</cp:coreProperties>
</file>