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7111BC" w:rsidRDefault="005F7602" w:rsidP="002946C7">
      <w:pPr>
        <w:ind w:left="5529"/>
      </w:pPr>
    </w:p>
    <w:p w14:paraId="12FA4B9E" w14:textId="39AA3336" w:rsidR="001B3C5B" w:rsidRPr="007111BC" w:rsidRDefault="00DC261A" w:rsidP="001B3C5B">
      <w:pPr>
        <w:ind w:left="6096"/>
      </w:pPr>
      <w:bookmarkStart w:id="0" w:name="_Hlk189565243"/>
      <w:r w:rsidRPr="007111BC">
        <w:t>PATVIRTINTA</w:t>
      </w:r>
    </w:p>
    <w:p w14:paraId="7206970B" w14:textId="70E9BD2E" w:rsidR="004C263A" w:rsidRPr="007111BC" w:rsidRDefault="001B3C5B" w:rsidP="001B3C5B">
      <w:pPr>
        <w:ind w:left="6096"/>
      </w:pPr>
      <w:r w:rsidRPr="007111BC">
        <w:t>Valstybinės vaistų kontrolės tarnybos prie Lietuvos Respublikos sveikatos apsaugos ministerijos viršininko 2021 m</w:t>
      </w:r>
      <w:r w:rsidR="004C263A" w:rsidRPr="007111BC">
        <w:t xml:space="preserve">. lapkričio 12 </w:t>
      </w:r>
      <w:r w:rsidRPr="007111BC">
        <w:t>d. įsakymu Nr.</w:t>
      </w:r>
      <w:r w:rsidR="004C263A" w:rsidRPr="007111BC">
        <w:t xml:space="preserve"> (1.72E)1A-1418</w:t>
      </w:r>
    </w:p>
    <w:p w14:paraId="5B219AA6" w14:textId="3A5D6CB4" w:rsidR="001B3C5B" w:rsidRPr="007111BC" w:rsidRDefault="004C263A" w:rsidP="001B3C5B">
      <w:pPr>
        <w:ind w:left="6096"/>
      </w:pPr>
      <w:r w:rsidRPr="007111BC">
        <w:t>(Valstybinės vaistų kontrolės tarnybos prie Lietuvos Respublikos sveikatos apsaugos ministerijos viršininko 202</w:t>
      </w:r>
      <w:r w:rsidR="00A2310D" w:rsidRPr="007111BC">
        <w:t>5</w:t>
      </w:r>
      <w:r w:rsidRPr="007111BC">
        <w:t xml:space="preserve"> m.                         d. įsakymo Nr.                    redakcija)</w:t>
      </w:r>
    </w:p>
    <w:bookmarkEnd w:id="0"/>
    <w:p w14:paraId="56604434" w14:textId="77777777" w:rsidR="00DC261A" w:rsidRPr="007111BC" w:rsidRDefault="00DC261A" w:rsidP="003B211A">
      <w:pPr>
        <w:jc w:val="center"/>
        <w:rPr>
          <w:b/>
        </w:rPr>
      </w:pPr>
    </w:p>
    <w:p w14:paraId="77AFB67E" w14:textId="0FB133A2" w:rsidR="00613501" w:rsidRPr="007111BC" w:rsidRDefault="002F0E4F" w:rsidP="003B211A">
      <w:pPr>
        <w:jc w:val="center"/>
        <w:rPr>
          <w:b/>
          <w:bCs/>
          <w:caps/>
        </w:rPr>
      </w:pPr>
      <w:r w:rsidRPr="007111BC">
        <w:rPr>
          <w:b/>
        </w:rPr>
        <w:t xml:space="preserve">REKOMENDACIJA DĖL VAISTINIO PREPARATO </w:t>
      </w:r>
      <w:r w:rsidRPr="007111BC">
        <w:rPr>
          <w:b/>
          <w:bCs/>
          <w:caps/>
        </w:rPr>
        <w:t>Lietuvos Respublikos Sveikatos apsaugos ministerijos vaistinių preparatų ir medicinos pagalbos priemonių kompensavimo komisijai</w:t>
      </w:r>
    </w:p>
    <w:p w14:paraId="3B130E4B" w14:textId="77777777" w:rsidR="00C52EAC" w:rsidRPr="007111BC" w:rsidRDefault="00C52EAC" w:rsidP="003B211A">
      <w:pPr>
        <w:jc w:val="center"/>
        <w:rPr>
          <w:b/>
          <w:bCs/>
          <w:caps/>
        </w:rPr>
      </w:pPr>
    </w:p>
    <w:p w14:paraId="31E98208" w14:textId="77777777" w:rsidR="00C52EAC" w:rsidRPr="007111BC" w:rsidRDefault="00C52EAC" w:rsidP="00C52EAC">
      <w:pPr>
        <w:jc w:val="center"/>
        <w:rPr>
          <w:b/>
        </w:rPr>
      </w:pPr>
      <w:r w:rsidRPr="007111BC">
        <w:rPr>
          <w:b/>
        </w:rPr>
        <w:t>Itovebi 3 mg plėvele dengtos tabletės</w:t>
      </w:r>
    </w:p>
    <w:p w14:paraId="2C6BD258" w14:textId="662E45FE" w:rsidR="005A7FA7" w:rsidRPr="007111BC" w:rsidRDefault="00C52EAC" w:rsidP="00C52EAC">
      <w:pPr>
        <w:jc w:val="center"/>
      </w:pPr>
      <w:r w:rsidRPr="007111BC">
        <w:rPr>
          <w:b/>
        </w:rPr>
        <w:t>Itovebi 9 mg plėvele dengtos tabletės</w:t>
      </w:r>
    </w:p>
    <w:p w14:paraId="3F715708" w14:textId="77777777" w:rsidR="005A7FA7" w:rsidRPr="007111BC" w:rsidRDefault="005A7FA7" w:rsidP="005A7FA7">
      <w:pPr>
        <w:jc w:val="center"/>
        <w:rPr>
          <w:b/>
        </w:rPr>
      </w:pPr>
      <w:r w:rsidRPr="007111BC">
        <w:rPr>
          <w:b/>
        </w:rPr>
        <w:t>Inavolisibas</w:t>
      </w:r>
    </w:p>
    <w:p w14:paraId="7A24984F" w14:textId="77777777" w:rsidR="005A7FA7" w:rsidRPr="007111BC" w:rsidRDefault="005A7FA7" w:rsidP="005A7FA7">
      <w:pPr>
        <w:jc w:val="center"/>
      </w:pPr>
    </w:p>
    <w:p w14:paraId="68F3F6B3" w14:textId="16A5A267" w:rsidR="005A7FA7" w:rsidRPr="007111BC" w:rsidRDefault="005A7FA7" w:rsidP="005A7FA7">
      <w:pPr>
        <w:jc w:val="center"/>
        <w:rPr>
          <w:b/>
        </w:rPr>
      </w:pPr>
      <w:r w:rsidRPr="007111BC">
        <w:rPr>
          <w:b/>
        </w:rPr>
        <w:t>STV</w:t>
      </w:r>
      <w:r w:rsidR="009E3F11">
        <w:rPr>
          <w:b/>
        </w:rPr>
        <w:t>-</w:t>
      </w:r>
      <w:r w:rsidRPr="007111BC">
        <w:rPr>
          <w:b/>
        </w:rPr>
        <w:t>271</w:t>
      </w:r>
    </w:p>
    <w:p w14:paraId="78C89D1C" w14:textId="0DEFFAA5" w:rsidR="00D4485B" w:rsidRPr="007111BC" w:rsidRDefault="00B13D65" w:rsidP="00CC09D4">
      <w:pPr>
        <w:pStyle w:val="ListParagraph"/>
        <w:numPr>
          <w:ilvl w:val="0"/>
          <w:numId w:val="12"/>
        </w:numPr>
        <w:tabs>
          <w:tab w:val="left" w:pos="567"/>
        </w:tabs>
        <w:ind w:left="567" w:hanging="567"/>
        <w:rPr>
          <w:b/>
          <w:bCs/>
          <w:caps/>
        </w:rPr>
      </w:pPr>
      <w:r w:rsidRPr="007111BC">
        <w:rPr>
          <w:b/>
          <w:bCs/>
          <w:caps/>
        </w:rPr>
        <w:t>Bendroji dalis</w:t>
      </w:r>
    </w:p>
    <w:p w14:paraId="04A7C7A7" w14:textId="77777777" w:rsidR="00B13D65" w:rsidRPr="007111BC" w:rsidRDefault="00B13D65" w:rsidP="00E03C3F">
      <w:pPr>
        <w:pStyle w:val="ListParagraph"/>
        <w:tabs>
          <w:tab w:val="left" w:pos="284"/>
        </w:tabs>
        <w:ind w:left="0"/>
        <w:rPr>
          <w:b/>
          <w:bCs/>
          <w:caps/>
        </w:rPr>
      </w:pPr>
    </w:p>
    <w:tbl>
      <w:tblPr>
        <w:tblStyle w:val="TableGrid"/>
        <w:tblW w:w="9493" w:type="dxa"/>
        <w:tblLook w:val="04A0" w:firstRow="1" w:lastRow="0" w:firstColumn="1" w:lastColumn="0" w:noHBand="0" w:noVBand="1"/>
      </w:tblPr>
      <w:tblGrid>
        <w:gridCol w:w="632"/>
        <w:gridCol w:w="3899"/>
        <w:gridCol w:w="4962"/>
      </w:tblGrid>
      <w:tr w:rsidR="005A7FA7" w:rsidRPr="007111BC" w14:paraId="16A7BC7B" w14:textId="77777777" w:rsidTr="003F3FFF">
        <w:trPr>
          <w:trHeight w:val="538"/>
        </w:trPr>
        <w:tc>
          <w:tcPr>
            <w:tcW w:w="632" w:type="dxa"/>
          </w:tcPr>
          <w:p w14:paraId="4572808D" w14:textId="77777777" w:rsidR="005A7FA7" w:rsidRPr="007111BC" w:rsidRDefault="005A7FA7" w:rsidP="005A7FA7">
            <w:pPr>
              <w:rPr>
                <w:rFonts w:eastAsia="Arial"/>
                <w:b/>
                <w:bCs/>
              </w:rPr>
            </w:pPr>
            <w:r w:rsidRPr="007111BC">
              <w:rPr>
                <w:rFonts w:eastAsia="Arial"/>
                <w:b/>
                <w:bCs/>
              </w:rPr>
              <w:t>1.1</w:t>
            </w:r>
          </w:p>
        </w:tc>
        <w:tc>
          <w:tcPr>
            <w:tcW w:w="3899" w:type="dxa"/>
          </w:tcPr>
          <w:p w14:paraId="54BA6EB3" w14:textId="77777777" w:rsidR="005A7FA7" w:rsidRPr="007111BC" w:rsidRDefault="005A7FA7" w:rsidP="005A7FA7">
            <w:pPr>
              <w:rPr>
                <w:rFonts w:eastAsia="Arial"/>
                <w:b/>
                <w:bCs/>
              </w:rPr>
            </w:pPr>
            <w:r w:rsidRPr="007111BC">
              <w:rPr>
                <w:rFonts w:eastAsia="Arial"/>
                <w:b/>
                <w:bCs/>
              </w:rPr>
              <w:t>Pareiškėjas/ pareiškėjo atstovas</w:t>
            </w:r>
          </w:p>
        </w:tc>
        <w:tc>
          <w:tcPr>
            <w:tcW w:w="4962" w:type="dxa"/>
          </w:tcPr>
          <w:p w14:paraId="0F359BD4" w14:textId="79E06C3E" w:rsidR="005A7FA7" w:rsidRPr="007111BC" w:rsidRDefault="005A7FA7" w:rsidP="005A7FA7">
            <w:pPr>
              <w:rPr>
                <w:rFonts w:eastAsia="Arial"/>
              </w:rPr>
            </w:pPr>
            <w:r w:rsidRPr="007111BC">
              <w:t>UAB „Roche Lietuva”</w:t>
            </w:r>
          </w:p>
        </w:tc>
      </w:tr>
      <w:tr w:rsidR="005A7FA7" w:rsidRPr="007111BC" w14:paraId="101EA148" w14:textId="77777777" w:rsidTr="003F3FFF">
        <w:trPr>
          <w:trHeight w:val="538"/>
        </w:trPr>
        <w:tc>
          <w:tcPr>
            <w:tcW w:w="632" w:type="dxa"/>
          </w:tcPr>
          <w:p w14:paraId="3BF67175" w14:textId="77777777" w:rsidR="005A7FA7" w:rsidRPr="007111BC" w:rsidRDefault="005A7FA7" w:rsidP="005A7FA7">
            <w:pPr>
              <w:rPr>
                <w:rFonts w:eastAsia="Arial"/>
                <w:b/>
                <w:bCs/>
              </w:rPr>
            </w:pPr>
            <w:r w:rsidRPr="007111BC">
              <w:rPr>
                <w:rFonts w:eastAsia="Arial"/>
                <w:b/>
                <w:bCs/>
              </w:rPr>
              <w:t>1.2</w:t>
            </w:r>
          </w:p>
        </w:tc>
        <w:tc>
          <w:tcPr>
            <w:tcW w:w="3899" w:type="dxa"/>
          </w:tcPr>
          <w:p w14:paraId="786B66DF" w14:textId="77777777" w:rsidR="005A7FA7" w:rsidRPr="007111BC" w:rsidRDefault="005A7FA7" w:rsidP="005A7FA7">
            <w:pPr>
              <w:rPr>
                <w:b/>
                <w:bCs/>
                <w:lang w:eastAsia="lt-LT"/>
              </w:rPr>
            </w:pPr>
            <w:r w:rsidRPr="007111BC">
              <w:rPr>
                <w:b/>
                <w:bCs/>
                <w:lang w:eastAsia="lt-LT"/>
              </w:rPr>
              <w:t xml:space="preserve">Vaistinio preparato registracijos data </w:t>
            </w:r>
          </w:p>
          <w:p w14:paraId="4B568341" w14:textId="77777777" w:rsidR="005A7FA7" w:rsidRPr="007111BC" w:rsidRDefault="005A7FA7" w:rsidP="005A7FA7">
            <w:pPr>
              <w:rPr>
                <w:b/>
                <w:bCs/>
                <w:lang w:eastAsia="lt-LT"/>
              </w:rPr>
            </w:pPr>
          </w:p>
        </w:tc>
        <w:tc>
          <w:tcPr>
            <w:tcW w:w="4962" w:type="dxa"/>
          </w:tcPr>
          <w:p w14:paraId="50F63366" w14:textId="34CFC606" w:rsidR="005A7FA7" w:rsidRPr="007111BC" w:rsidRDefault="005A7FA7" w:rsidP="005A7FA7">
            <w:pPr>
              <w:rPr>
                <w:rStyle w:val="Style2"/>
              </w:rPr>
            </w:pPr>
            <w:r w:rsidRPr="007111BC">
              <w:t>2025-07-18</w:t>
            </w:r>
          </w:p>
        </w:tc>
      </w:tr>
      <w:tr w:rsidR="00334F18" w:rsidRPr="007111BC" w14:paraId="3D70E0FA" w14:textId="77777777" w:rsidTr="001F115E">
        <w:trPr>
          <w:trHeight w:val="1643"/>
        </w:trPr>
        <w:tc>
          <w:tcPr>
            <w:tcW w:w="632" w:type="dxa"/>
          </w:tcPr>
          <w:p w14:paraId="021DF6BD" w14:textId="77777777" w:rsidR="00E70CED" w:rsidRPr="007111BC" w:rsidRDefault="00E70CED" w:rsidP="001F115E">
            <w:pPr>
              <w:rPr>
                <w:rFonts w:eastAsia="Arial"/>
                <w:b/>
                <w:bCs/>
              </w:rPr>
            </w:pPr>
            <w:r w:rsidRPr="007111BC">
              <w:rPr>
                <w:rFonts w:eastAsia="Arial"/>
                <w:b/>
                <w:bCs/>
              </w:rPr>
              <w:t>1.3</w:t>
            </w:r>
          </w:p>
        </w:tc>
        <w:tc>
          <w:tcPr>
            <w:tcW w:w="3899" w:type="dxa"/>
          </w:tcPr>
          <w:p w14:paraId="528F713F" w14:textId="77777777" w:rsidR="00E70CED" w:rsidRPr="007111BC" w:rsidRDefault="00E70CED" w:rsidP="001F115E">
            <w:pPr>
              <w:pStyle w:val="NoSpacing"/>
              <w:rPr>
                <w:rFonts w:ascii="Times New Roman" w:hAnsi="Times New Roman"/>
                <w:b/>
                <w:sz w:val="24"/>
                <w:szCs w:val="24"/>
                <w:shd w:val="clear" w:color="auto" w:fill="FFFFFF"/>
              </w:rPr>
            </w:pPr>
            <w:r w:rsidRPr="007111BC">
              <w:rPr>
                <w:rFonts w:ascii="Times New Roman" w:hAnsi="Times New Roman"/>
                <w:b/>
                <w:sz w:val="24"/>
                <w:szCs w:val="24"/>
              </w:rPr>
              <w:t xml:space="preserve">Vaistinio preparato </w:t>
            </w:r>
            <w:r w:rsidRPr="007111BC">
              <w:rPr>
                <w:rFonts w:ascii="Times New Roman" w:hAnsi="Times New Roman"/>
                <w:b/>
                <w:sz w:val="24"/>
                <w:szCs w:val="24"/>
                <w:shd w:val="clear" w:color="auto" w:fill="FFFFFF"/>
              </w:rPr>
              <w:t>registracijos teisinis pagrindas</w:t>
            </w:r>
          </w:p>
          <w:p w14:paraId="63F86DC1" w14:textId="77777777" w:rsidR="00E70CED" w:rsidRPr="007111BC" w:rsidRDefault="00E70CED" w:rsidP="001F115E">
            <w:pPr>
              <w:pStyle w:val="NoSpacing"/>
              <w:rPr>
                <w:rFonts w:ascii="Times New Roman" w:hAnsi="Times New Roman"/>
                <w:b/>
                <w:bCs/>
                <w:sz w:val="24"/>
                <w:szCs w:val="24"/>
                <w:lang w:eastAsia="lt-LT"/>
              </w:rPr>
            </w:pPr>
            <w:r w:rsidRPr="007111BC">
              <w:rPr>
                <w:rFonts w:ascii="Times New Roman" w:hAnsi="Times New Roman"/>
                <w:b/>
                <w:sz w:val="24"/>
                <w:szCs w:val="24"/>
                <w:shd w:val="clear" w:color="auto" w:fill="FFFFFF"/>
              </w:rPr>
              <w:t>(</w:t>
            </w:r>
            <w:r w:rsidRPr="007111BC">
              <w:rPr>
                <w:rFonts w:ascii="Times New Roman" w:hAnsi="Times New Roman"/>
                <w:b/>
                <w:sz w:val="24"/>
                <w:szCs w:val="24"/>
              </w:rPr>
              <w:t>Direktyvos 2001/83/EB str.)</w:t>
            </w:r>
          </w:p>
        </w:tc>
        <w:tc>
          <w:tcPr>
            <w:tcW w:w="4962" w:type="dxa"/>
          </w:tcPr>
          <w:p w14:paraId="4C977D39" w14:textId="7A10C820" w:rsidR="00E70CED" w:rsidRPr="007111BC" w:rsidRDefault="00000000" w:rsidP="001F115E">
            <w:sdt>
              <w:sdtPr>
                <w:rPr>
                  <w:rStyle w:val="Style2"/>
                  <w:sz w:val="24"/>
                </w:rPr>
                <w:id w:val="526292078"/>
                <w15:color w:val="FFCC00"/>
                <w14:checkbox>
                  <w14:checked w14:val="1"/>
                  <w14:checkedState w14:val="2612" w14:font="MS Gothic"/>
                  <w14:uncheckedState w14:val="2610" w14:font="MS Gothic"/>
                </w14:checkbox>
              </w:sdtPr>
              <w:sdtContent>
                <w:r w:rsidR="005A7FA7" w:rsidRPr="007111BC">
                  <w:rPr>
                    <w:rStyle w:val="Style2"/>
                    <w:rFonts w:ascii="MS Gothic" w:eastAsia="MS Gothic" w:hAnsi="MS Gothic"/>
                    <w:sz w:val="24"/>
                  </w:rPr>
                  <w:t>☒</w:t>
                </w:r>
              </w:sdtContent>
            </w:sdt>
            <w:r w:rsidR="00E70CED" w:rsidRPr="007111BC">
              <w:t>8.3 str. (pilna byla, pagrįsta savais tyrimais)</w:t>
            </w:r>
          </w:p>
          <w:p w14:paraId="6AABD410" w14:textId="77777777" w:rsidR="00E70CED" w:rsidRPr="007111BC" w:rsidRDefault="00000000" w:rsidP="001F115E">
            <w:sdt>
              <w:sdtPr>
                <w:rPr>
                  <w:rStyle w:val="Style2"/>
                  <w:sz w:val="24"/>
                </w:rPr>
                <w:id w:val="-1497953736"/>
                <w15:color w:val="FFCC00"/>
                <w14:checkbox>
                  <w14:checked w14:val="0"/>
                  <w14:checkedState w14:val="2612" w14:font="MS Gothic"/>
                  <w14:uncheckedState w14:val="2610" w14:font="MS Gothic"/>
                </w14:checkbox>
              </w:sdtPr>
              <w:sdtContent>
                <w:r w:rsidR="00E70CED" w:rsidRPr="007111BC">
                  <w:rPr>
                    <w:rStyle w:val="Style2"/>
                    <w:rFonts w:ascii="Segoe UI Symbol" w:eastAsia="MS Gothic" w:hAnsi="Segoe UI Symbol" w:cs="Segoe UI Symbol"/>
                    <w:sz w:val="24"/>
                  </w:rPr>
                  <w:t>☐</w:t>
                </w:r>
              </w:sdtContent>
            </w:sdt>
            <w:r w:rsidR="00E70CED" w:rsidRPr="007111BC">
              <w:t>10 a str. (pripažintas medicininis vartojimas)</w:t>
            </w:r>
          </w:p>
          <w:p w14:paraId="5CF35A47" w14:textId="77777777" w:rsidR="00E70CED" w:rsidRPr="007111BC" w:rsidRDefault="00000000" w:rsidP="001F115E">
            <w:sdt>
              <w:sdtPr>
                <w:rPr>
                  <w:rStyle w:val="Style2"/>
                  <w:sz w:val="24"/>
                </w:rPr>
                <w:id w:val="204142496"/>
                <w15:color w:val="FFCC00"/>
                <w14:checkbox>
                  <w14:checked w14:val="0"/>
                  <w14:checkedState w14:val="2612" w14:font="MS Gothic"/>
                  <w14:uncheckedState w14:val="2610" w14:font="MS Gothic"/>
                </w14:checkbox>
              </w:sdtPr>
              <w:sdtContent>
                <w:r w:rsidR="00E70CED" w:rsidRPr="007111BC">
                  <w:rPr>
                    <w:rStyle w:val="Style2"/>
                    <w:rFonts w:ascii="Segoe UI Symbol" w:eastAsia="MS Gothic" w:hAnsi="Segoe UI Symbol" w:cs="Segoe UI Symbol"/>
                    <w:sz w:val="24"/>
                  </w:rPr>
                  <w:t>☐</w:t>
                </w:r>
              </w:sdtContent>
            </w:sdt>
            <w:r w:rsidR="00E70CED" w:rsidRPr="007111BC">
              <w:t>10.1 str. (generinis)</w:t>
            </w:r>
          </w:p>
          <w:p w14:paraId="0517A1B2" w14:textId="77777777" w:rsidR="00E70CED" w:rsidRPr="007111BC" w:rsidRDefault="00000000" w:rsidP="001F115E">
            <w:sdt>
              <w:sdtPr>
                <w:rPr>
                  <w:rStyle w:val="Style2"/>
                  <w:sz w:val="24"/>
                </w:rPr>
                <w:id w:val="820305101"/>
                <w15:color w:val="FFCC00"/>
                <w14:checkbox>
                  <w14:checked w14:val="0"/>
                  <w14:checkedState w14:val="2612" w14:font="MS Gothic"/>
                  <w14:uncheckedState w14:val="2610" w14:font="MS Gothic"/>
                </w14:checkbox>
              </w:sdtPr>
              <w:sdtContent>
                <w:r w:rsidR="00E70CED" w:rsidRPr="007111BC">
                  <w:rPr>
                    <w:rStyle w:val="Style2"/>
                    <w:rFonts w:ascii="Segoe UI Symbol" w:eastAsia="MS Gothic" w:hAnsi="Segoe UI Symbol" w:cs="Segoe UI Symbol"/>
                    <w:sz w:val="24"/>
                  </w:rPr>
                  <w:t>☐</w:t>
                </w:r>
              </w:sdtContent>
            </w:sdt>
            <w:r w:rsidR="00E70CED" w:rsidRPr="007111BC">
              <w:t>10.3 str. (hibridinis)</w:t>
            </w:r>
          </w:p>
          <w:p w14:paraId="0F37DDE0" w14:textId="78AF6516" w:rsidR="00063A50" w:rsidRPr="007111BC" w:rsidRDefault="00000000" w:rsidP="00063A50">
            <w:sdt>
              <w:sdtPr>
                <w:rPr>
                  <w:rStyle w:val="Style2"/>
                  <w:sz w:val="24"/>
                </w:rPr>
                <w:id w:val="1800953328"/>
                <w15:color w:val="FFCC00"/>
                <w14:checkbox>
                  <w14:checked w14:val="0"/>
                  <w14:checkedState w14:val="2612" w14:font="MS Gothic"/>
                  <w14:uncheckedState w14:val="2610" w14:font="MS Gothic"/>
                </w14:checkbox>
              </w:sdtPr>
              <w:sdtContent>
                <w:r w:rsidR="00063A50" w:rsidRPr="007111BC">
                  <w:rPr>
                    <w:rStyle w:val="Style2"/>
                    <w:rFonts w:ascii="Segoe UI Symbol" w:eastAsia="MS Gothic" w:hAnsi="Segoe UI Symbol" w:cs="Segoe UI Symbol"/>
                    <w:sz w:val="24"/>
                  </w:rPr>
                  <w:t>☐</w:t>
                </w:r>
              </w:sdtContent>
            </w:sdt>
            <w:r w:rsidR="00063A50" w:rsidRPr="007111BC">
              <w:t>10.4 str. (panašus biologinis)</w:t>
            </w:r>
          </w:p>
          <w:p w14:paraId="7EDB4848" w14:textId="77777777" w:rsidR="00063A50" w:rsidRPr="007111BC" w:rsidRDefault="00063A50" w:rsidP="001F115E">
            <w:pPr>
              <w:rPr>
                <w:rStyle w:val="Style2"/>
                <w:sz w:val="24"/>
              </w:rPr>
            </w:pPr>
          </w:p>
        </w:tc>
      </w:tr>
      <w:tr w:rsidR="005A7FA7" w:rsidRPr="007111BC" w14:paraId="31641941" w14:textId="77777777" w:rsidTr="003F3FFF">
        <w:trPr>
          <w:trHeight w:val="1011"/>
        </w:trPr>
        <w:tc>
          <w:tcPr>
            <w:tcW w:w="632" w:type="dxa"/>
          </w:tcPr>
          <w:p w14:paraId="2E73A32C" w14:textId="77777777" w:rsidR="005A7FA7" w:rsidRPr="007111BC" w:rsidRDefault="005A7FA7" w:rsidP="005A7FA7">
            <w:pPr>
              <w:rPr>
                <w:rFonts w:eastAsia="Arial"/>
                <w:b/>
                <w:bCs/>
              </w:rPr>
            </w:pPr>
            <w:r w:rsidRPr="007111BC">
              <w:rPr>
                <w:rFonts w:eastAsia="Arial"/>
                <w:b/>
              </w:rPr>
              <w:t>1.4</w:t>
            </w:r>
          </w:p>
        </w:tc>
        <w:tc>
          <w:tcPr>
            <w:tcW w:w="3899" w:type="dxa"/>
          </w:tcPr>
          <w:p w14:paraId="2547AC59" w14:textId="77777777" w:rsidR="005A7FA7" w:rsidRPr="007111BC" w:rsidRDefault="005A7FA7" w:rsidP="005A7FA7">
            <w:pPr>
              <w:tabs>
                <w:tab w:val="left" w:pos="284"/>
              </w:tabs>
              <w:rPr>
                <w:b/>
                <w:bCs/>
                <w:lang w:eastAsia="lt-LT"/>
              </w:rPr>
            </w:pPr>
            <w:r w:rsidRPr="007111BC">
              <w:rPr>
                <w:b/>
                <w:bCs/>
                <w:lang w:eastAsia="lt-LT"/>
              </w:rPr>
              <w:t>Ar vaistinis preparatas įrašytas į Bendrijos retųjų vaistinių preparatų registrą?</w:t>
            </w:r>
          </w:p>
        </w:tc>
        <w:tc>
          <w:tcPr>
            <w:tcW w:w="4962" w:type="dxa"/>
          </w:tcPr>
          <w:p w14:paraId="52C8110D" w14:textId="77777777" w:rsidR="005A7FA7" w:rsidRPr="007111BC" w:rsidRDefault="00000000" w:rsidP="005A7FA7">
            <w:pPr>
              <w:jc w:val="both"/>
            </w:pPr>
            <w:sdt>
              <w:sdtPr>
                <w:rPr>
                  <w:rStyle w:val="Style2"/>
                  <w:sz w:val="24"/>
                </w:rPr>
                <w:id w:val="1190730465"/>
                <w15:color w:val="FFCC00"/>
                <w14:checkbox>
                  <w14:checked w14:val="0"/>
                  <w14:checkedState w14:val="2612" w14:font="MS Gothic"/>
                  <w14:uncheckedState w14:val="2610" w14:font="MS Gothic"/>
                </w14:checkbox>
              </w:sdtPr>
              <w:sdtContent>
                <w:r w:rsidR="005A7FA7" w:rsidRPr="007111BC">
                  <w:rPr>
                    <w:rStyle w:val="Style2"/>
                    <w:rFonts w:ascii="MS Gothic" w:eastAsia="MS Gothic" w:hAnsi="MS Gothic"/>
                    <w:sz w:val="24"/>
                  </w:rPr>
                  <w:t>☐</w:t>
                </w:r>
              </w:sdtContent>
            </w:sdt>
            <w:r w:rsidR="005A7FA7" w:rsidRPr="007111BC">
              <w:t xml:space="preserve"> Taip       </w:t>
            </w:r>
            <w:r w:rsidR="005A7FA7" w:rsidRPr="007111BC">
              <w:rPr>
                <w:rStyle w:val="Style2"/>
                <w:sz w:val="24"/>
              </w:rPr>
              <w:t xml:space="preserve"> </w:t>
            </w:r>
            <w:sdt>
              <w:sdtPr>
                <w:rPr>
                  <w:rStyle w:val="Style2"/>
                  <w:sz w:val="24"/>
                </w:rPr>
                <w:id w:val="-1760283509"/>
                <w15:color w:val="FFCC00"/>
                <w14:checkbox>
                  <w14:checked w14:val="1"/>
                  <w14:checkedState w14:val="2612" w14:font="MS Gothic"/>
                  <w14:uncheckedState w14:val="2610" w14:font="MS Gothic"/>
                </w14:checkbox>
              </w:sdtPr>
              <w:sdtContent>
                <w:r w:rsidR="005A7FA7" w:rsidRPr="007111BC">
                  <w:rPr>
                    <w:rStyle w:val="Style2"/>
                    <w:rFonts w:ascii="MS Gothic" w:eastAsia="MS Gothic" w:hAnsi="MS Gothic"/>
                    <w:sz w:val="24"/>
                  </w:rPr>
                  <w:t>☒</w:t>
                </w:r>
              </w:sdtContent>
            </w:sdt>
            <w:r w:rsidR="005A7FA7" w:rsidRPr="007111BC">
              <w:t xml:space="preserve"> Ne</w:t>
            </w:r>
          </w:p>
          <w:p w14:paraId="56165267" w14:textId="2F8D176A" w:rsidR="005A7FA7" w:rsidRPr="007111BC" w:rsidRDefault="005A7FA7" w:rsidP="005A7FA7">
            <w:pPr>
              <w:rPr>
                <w:rFonts w:eastAsia="Arial"/>
              </w:rPr>
            </w:pPr>
          </w:p>
        </w:tc>
      </w:tr>
      <w:tr w:rsidR="005A7FA7" w:rsidRPr="007111BC" w14:paraId="5E0775EB" w14:textId="77777777" w:rsidTr="003F3FFF">
        <w:trPr>
          <w:trHeight w:val="1011"/>
        </w:trPr>
        <w:tc>
          <w:tcPr>
            <w:tcW w:w="632" w:type="dxa"/>
          </w:tcPr>
          <w:p w14:paraId="6829924D" w14:textId="77777777" w:rsidR="005A7FA7" w:rsidRPr="007111BC" w:rsidRDefault="005A7FA7" w:rsidP="005A7FA7">
            <w:pPr>
              <w:rPr>
                <w:rFonts w:eastAsia="Arial"/>
                <w:b/>
              </w:rPr>
            </w:pPr>
            <w:r w:rsidRPr="007111BC">
              <w:rPr>
                <w:rFonts w:eastAsia="Arial"/>
                <w:b/>
                <w:bCs/>
              </w:rPr>
              <w:t>1.5</w:t>
            </w:r>
          </w:p>
        </w:tc>
        <w:tc>
          <w:tcPr>
            <w:tcW w:w="3899" w:type="dxa"/>
          </w:tcPr>
          <w:p w14:paraId="1DDE7CF3" w14:textId="2FF7A402" w:rsidR="005A7FA7" w:rsidRPr="007111BC" w:rsidRDefault="005A7FA7" w:rsidP="005A7FA7">
            <w:pPr>
              <w:tabs>
                <w:tab w:val="left" w:pos="284"/>
              </w:tabs>
              <w:rPr>
                <w:b/>
                <w:bCs/>
                <w:lang w:eastAsia="lt-LT"/>
              </w:rPr>
            </w:pPr>
            <w:r w:rsidRPr="007111BC">
              <w:rPr>
                <w:b/>
                <w:bCs/>
                <w:lang w:eastAsia="lt-LT"/>
              </w:rPr>
              <w:t>Ar atliktas bendras klinikinis vertinimas</w:t>
            </w:r>
          </w:p>
          <w:p w14:paraId="0961228D" w14:textId="77777777" w:rsidR="005A7FA7" w:rsidRPr="007111BC" w:rsidRDefault="005A7FA7" w:rsidP="005A7FA7">
            <w:pPr>
              <w:tabs>
                <w:tab w:val="left" w:pos="284"/>
              </w:tabs>
              <w:rPr>
                <w:b/>
                <w:bCs/>
                <w:lang w:eastAsia="lt-LT"/>
              </w:rPr>
            </w:pPr>
            <w:r w:rsidRPr="007111BC">
              <w:rPr>
                <w:b/>
                <w:bCs/>
                <w:lang w:eastAsia="lt-LT"/>
              </w:rPr>
              <w:t>(Europos Parlamento ir Tarybos reglamentas (ES) 2021/2282)</w:t>
            </w:r>
          </w:p>
          <w:p w14:paraId="7B6C3C1B" w14:textId="77777777" w:rsidR="005A7FA7" w:rsidRPr="007111BC" w:rsidRDefault="005A7FA7" w:rsidP="005A7FA7">
            <w:pPr>
              <w:tabs>
                <w:tab w:val="left" w:pos="284"/>
              </w:tabs>
              <w:rPr>
                <w:b/>
                <w:bCs/>
                <w:lang w:eastAsia="lt-LT"/>
              </w:rPr>
            </w:pPr>
          </w:p>
        </w:tc>
        <w:tc>
          <w:tcPr>
            <w:tcW w:w="4962" w:type="dxa"/>
          </w:tcPr>
          <w:p w14:paraId="0777D7F1" w14:textId="77777777" w:rsidR="005A7FA7" w:rsidRPr="007111BC" w:rsidRDefault="00000000" w:rsidP="005A7FA7">
            <w:pPr>
              <w:jc w:val="both"/>
            </w:pPr>
            <w:sdt>
              <w:sdtPr>
                <w:rPr>
                  <w:rStyle w:val="Style2"/>
                  <w:sz w:val="24"/>
                </w:rPr>
                <w:id w:val="-1171564470"/>
                <w15:color w:val="FFCC00"/>
                <w14:checkbox>
                  <w14:checked w14:val="0"/>
                  <w14:checkedState w14:val="2612" w14:font="MS Gothic"/>
                  <w14:uncheckedState w14:val="2610" w14:font="MS Gothic"/>
                </w14:checkbox>
              </w:sdtPr>
              <w:sdtContent>
                <w:r w:rsidR="005A7FA7" w:rsidRPr="007111BC">
                  <w:rPr>
                    <w:rStyle w:val="Style2"/>
                    <w:rFonts w:ascii="MS Gothic" w:eastAsia="MS Gothic" w:hAnsi="MS Gothic"/>
                    <w:sz w:val="24"/>
                  </w:rPr>
                  <w:t>☐</w:t>
                </w:r>
              </w:sdtContent>
            </w:sdt>
            <w:r w:rsidR="005A7FA7" w:rsidRPr="007111BC">
              <w:t xml:space="preserve"> Taip       </w:t>
            </w:r>
            <w:r w:rsidR="005A7FA7" w:rsidRPr="007111BC">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Content>
                <w:r w:rsidR="005A7FA7" w:rsidRPr="007111BC">
                  <w:rPr>
                    <w:rStyle w:val="Style2"/>
                    <w:rFonts w:ascii="MS Gothic" w:eastAsia="MS Gothic" w:hAnsi="MS Gothic"/>
                    <w:sz w:val="24"/>
                  </w:rPr>
                  <w:t>☒</w:t>
                </w:r>
              </w:sdtContent>
            </w:sdt>
            <w:r w:rsidR="005A7FA7" w:rsidRPr="007111BC">
              <w:t xml:space="preserve"> Ne</w:t>
            </w:r>
          </w:p>
          <w:p w14:paraId="0DF729B3" w14:textId="60430DDE" w:rsidR="005A7FA7" w:rsidRPr="007111BC" w:rsidRDefault="005A7FA7" w:rsidP="005A7FA7">
            <w:pPr>
              <w:rPr>
                <w:rStyle w:val="Style2"/>
                <w:sz w:val="24"/>
              </w:rPr>
            </w:pPr>
          </w:p>
        </w:tc>
      </w:tr>
      <w:tr w:rsidR="005A7FA7" w:rsidRPr="007111BC" w14:paraId="15E36E93" w14:textId="77777777" w:rsidTr="003F3FFF">
        <w:trPr>
          <w:trHeight w:val="1278"/>
        </w:trPr>
        <w:tc>
          <w:tcPr>
            <w:tcW w:w="632" w:type="dxa"/>
          </w:tcPr>
          <w:p w14:paraId="5F43AA8F" w14:textId="77777777" w:rsidR="005A7FA7" w:rsidRPr="007111BC" w:rsidRDefault="005A7FA7" w:rsidP="005A7FA7">
            <w:pPr>
              <w:rPr>
                <w:rFonts w:eastAsia="Arial"/>
                <w:b/>
                <w:bCs/>
              </w:rPr>
            </w:pPr>
            <w:r w:rsidRPr="007111BC">
              <w:rPr>
                <w:rFonts w:eastAsia="Arial"/>
                <w:b/>
                <w:bCs/>
              </w:rPr>
              <w:t>1.6</w:t>
            </w:r>
          </w:p>
        </w:tc>
        <w:tc>
          <w:tcPr>
            <w:tcW w:w="3899" w:type="dxa"/>
          </w:tcPr>
          <w:p w14:paraId="41F32942" w14:textId="77777777" w:rsidR="005A7FA7" w:rsidRPr="007111BC" w:rsidRDefault="005A7FA7" w:rsidP="005A7FA7">
            <w:pPr>
              <w:rPr>
                <w:b/>
                <w:bCs/>
                <w:lang w:eastAsia="lt-LT"/>
              </w:rPr>
            </w:pPr>
            <w:r w:rsidRPr="007111BC">
              <w:rPr>
                <w:b/>
                <w:bCs/>
                <w:lang w:eastAsia="lt-LT"/>
              </w:rPr>
              <w:t xml:space="preserve">Teikiama kompensuoti terapinė indikacija </w:t>
            </w:r>
          </w:p>
          <w:p w14:paraId="2882A5BD" w14:textId="77777777" w:rsidR="005A7FA7" w:rsidRPr="007111BC" w:rsidRDefault="005A7FA7" w:rsidP="005A7FA7">
            <w:pPr>
              <w:rPr>
                <w:b/>
                <w:bCs/>
                <w:lang w:eastAsia="lt-LT"/>
              </w:rPr>
            </w:pPr>
          </w:p>
          <w:p w14:paraId="371D188E" w14:textId="77777777" w:rsidR="005A7FA7" w:rsidRPr="007111BC" w:rsidRDefault="005A7FA7" w:rsidP="005A7FA7">
            <w:pPr>
              <w:rPr>
                <w:b/>
                <w:bCs/>
                <w:lang w:eastAsia="lt-LT"/>
              </w:rPr>
            </w:pPr>
            <w:r w:rsidRPr="007111BC">
              <w:rPr>
                <w:b/>
                <w:bCs/>
                <w:lang w:eastAsia="lt-LT"/>
              </w:rPr>
              <w:t>Kodas pagal TLK-10 AM</w:t>
            </w:r>
          </w:p>
        </w:tc>
        <w:tc>
          <w:tcPr>
            <w:tcW w:w="4962" w:type="dxa"/>
          </w:tcPr>
          <w:p w14:paraId="7C8B4D3D" w14:textId="77777777" w:rsidR="005A7FA7" w:rsidRPr="007111BC" w:rsidRDefault="005A7FA7" w:rsidP="005A7FA7">
            <w:pPr>
              <w:pStyle w:val="Tekstas"/>
              <w:rPr>
                <w:rFonts w:eastAsiaTheme="minorHAnsi"/>
                <w:lang w:val="lt-LT"/>
              </w:rPr>
            </w:pPr>
            <w:r w:rsidRPr="007111BC">
              <w:rPr>
                <w:rFonts w:eastAsiaTheme="minorHAnsi"/>
                <w:lang w:val="lt-LT"/>
              </w:rPr>
              <w:t xml:space="preserve">Itovebi kartu su palbociklibu ir fulvestrantu skirtas suaugusiems pacientams, sergantiems estrogenų receptoriams (ER) teigiamu, HER2 neigiamu, vietiškai išplitusiu arba metastazavusiu krūties vėžiu su </w:t>
            </w:r>
            <w:r w:rsidRPr="007111BC">
              <w:rPr>
                <w:rFonts w:eastAsiaTheme="minorHAnsi"/>
                <w:i/>
                <w:iCs/>
                <w:lang w:val="lt-LT"/>
              </w:rPr>
              <w:t>PIK3CA</w:t>
            </w:r>
            <w:r w:rsidRPr="007111BC">
              <w:rPr>
                <w:rFonts w:eastAsiaTheme="minorHAnsi"/>
                <w:lang w:val="lt-LT"/>
              </w:rPr>
              <w:t xml:space="preserve"> mutacija, gydyti, kai liga atsinaujina skiriant adjuvantinį endokrininį gydymą arba per 12 mėnesių nuo jo pabaigos.</w:t>
            </w:r>
          </w:p>
          <w:p w14:paraId="071F0BFC" w14:textId="77777777" w:rsidR="005A7FA7" w:rsidRPr="007111BC" w:rsidRDefault="005A7FA7" w:rsidP="005A7FA7">
            <w:pPr>
              <w:pStyle w:val="Tekstas"/>
              <w:numPr>
                <w:ilvl w:val="0"/>
                <w:numId w:val="15"/>
              </w:numPr>
              <w:rPr>
                <w:rFonts w:eastAsiaTheme="minorHAnsi"/>
                <w:lang w:val="lt-LT"/>
              </w:rPr>
            </w:pPr>
            <w:r w:rsidRPr="007111BC">
              <w:rPr>
                <w:rFonts w:eastAsiaTheme="minorHAnsi"/>
                <w:lang w:val="lt-LT"/>
              </w:rPr>
              <w:lastRenderedPageBreak/>
              <w:t>Pacientams, kuriems anksčiau buvo skirtas (neo)adjuvantinis gydymas CDK4/6 inhibitoriumi, turi būti bent 12 mėnesių trukmės intervalas nuo CDK4/6 inhibitoriaus vartojimo pabaigos iki ligos recidyvo nustatymo.</w:t>
            </w:r>
          </w:p>
          <w:p w14:paraId="4D1B6889" w14:textId="77777777" w:rsidR="005A7FA7" w:rsidRPr="007111BC" w:rsidRDefault="005A7FA7" w:rsidP="005A7FA7">
            <w:pPr>
              <w:pStyle w:val="Tekstas"/>
              <w:numPr>
                <w:ilvl w:val="0"/>
                <w:numId w:val="15"/>
              </w:numPr>
              <w:rPr>
                <w:rFonts w:eastAsiaTheme="minorHAnsi"/>
                <w:lang w:val="lt-LT"/>
              </w:rPr>
            </w:pPr>
            <w:r w:rsidRPr="007111BC">
              <w:rPr>
                <w:rFonts w:eastAsiaTheme="minorHAnsi"/>
                <w:lang w:val="lt-LT"/>
              </w:rPr>
              <w:t>Moterims iki menopauzės ar perimenopauzės laikotarpiu ir vyrams endokrininė terapija turi būti derinama su liuteinizuojantį hormoną atpalaiduojančio hormono (LHAH) agonistu.</w:t>
            </w:r>
          </w:p>
          <w:p w14:paraId="10833DB8" w14:textId="2F862D22" w:rsidR="005A7FA7" w:rsidRPr="007111BC" w:rsidRDefault="005A7FA7" w:rsidP="005A7FA7">
            <w:r w:rsidRPr="007111BC">
              <w:t>TLK-10 AM kodas – C50.</w:t>
            </w:r>
          </w:p>
        </w:tc>
      </w:tr>
      <w:tr w:rsidR="005A7FA7" w:rsidRPr="007111BC" w14:paraId="01C3C4F5" w14:textId="77777777" w:rsidTr="003F3FFF">
        <w:trPr>
          <w:trHeight w:val="378"/>
        </w:trPr>
        <w:tc>
          <w:tcPr>
            <w:tcW w:w="632" w:type="dxa"/>
          </w:tcPr>
          <w:p w14:paraId="5115AFC1" w14:textId="77777777" w:rsidR="005A7FA7" w:rsidRPr="007111BC" w:rsidRDefault="005A7FA7" w:rsidP="005A7FA7">
            <w:pPr>
              <w:rPr>
                <w:rFonts w:eastAsia="Arial"/>
                <w:b/>
                <w:bCs/>
              </w:rPr>
            </w:pPr>
            <w:r w:rsidRPr="007111BC">
              <w:rPr>
                <w:rFonts w:eastAsia="Arial"/>
                <w:b/>
                <w:bCs/>
              </w:rPr>
              <w:lastRenderedPageBreak/>
              <w:t>1.7</w:t>
            </w:r>
          </w:p>
        </w:tc>
        <w:tc>
          <w:tcPr>
            <w:tcW w:w="3899" w:type="dxa"/>
          </w:tcPr>
          <w:p w14:paraId="48045B5A" w14:textId="77777777" w:rsidR="005A7FA7" w:rsidRPr="007111BC" w:rsidRDefault="005A7FA7" w:rsidP="005A7FA7">
            <w:pPr>
              <w:rPr>
                <w:b/>
                <w:bCs/>
                <w:u w:val="single"/>
                <w:lang w:eastAsia="lt-LT"/>
              </w:rPr>
            </w:pPr>
            <w:r w:rsidRPr="007111BC">
              <w:rPr>
                <w:b/>
                <w:bCs/>
                <w:lang w:eastAsia="lt-LT"/>
              </w:rPr>
              <w:t xml:space="preserve">Teikiamos skyrimo sąlygos </w:t>
            </w:r>
          </w:p>
        </w:tc>
        <w:tc>
          <w:tcPr>
            <w:tcW w:w="4962" w:type="dxa"/>
          </w:tcPr>
          <w:p w14:paraId="497E3144" w14:textId="77777777" w:rsidR="005A7FA7" w:rsidRPr="007111BC" w:rsidRDefault="005A7FA7" w:rsidP="005A7FA7">
            <w:pPr>
              <w:jc w:val="both"/>
            </w:pPr>
            <w:r w:rsidRPr="007111BC">
              <w:t>Neteikiama</w:t>
            </w:r>
          </w:p>
          <w:p w14:paraId="6A31562C" w14:textId="77777777" w:rsidR="005A7FA7" w:rsidRPr="007111BC" w:rsidRDefault="005A7FA7" w:rsidP="005A7FA7"/>
        </w:tc>
      </w:tr>
      <w:tr w:rsidR="005A7FA7" w:rsidRPr="007111BC" w14:paraId="3C32C984" w14:textId="77777777" w:rsidTr="003F3FFF">
        <w:trPr>
          <w:trHeight w:val="378"/>
        </w:trPr>
        <w:tc>
          <w:tcPr>
            <w:tcW w:w="632" w:type="dxa"/>
          </w:tcPr>
          <w:p w14:paraId="4E679EDB" w14:textId="77777777" w:rsidR="005A7FA7" w:rsidRPr="007111BC" w:rsidRDefault="005A7FA7" w:rsidP="005A7FA7">
            <w:pPr>
              <w:rPr>
                <w:rFonts w:eastAsia="Arial"/>
                <w:b/>
                <w:bCs/>
              </w:rPr>
            </w:pPr>
            <w:r w:rsidRPr="007111BC">
              <w:rPr>
                <w:rFonts w:eastAsia="Arial"/>
                <w:b/>
                <w:bCs/>
              </w:rPr>
              <w:t>1.8</w:t>
            </w:r>
          </w:p>
        </w:tc>
        <w:tc>
          <w:tcPr>
            <w:tcW w:w="3899" w:type="dxa"/>
          </w:tcPr>
          <w:p w14:paraId="784605B5" w14:textId="3A924C79" w:rsidR="005A7FA7" w:rsidRPr="007111BC" w:rsidRDefault="005A7FA7" w:rsidP="005A7FA7">
            <w:pPr>
              <w:rPr>
                <w:b/>
                <w:bCs/>
                <w:lang w:eastAsia="lt-LT"/>
              </w:rPr>
            </w:pPr>
            <w:r w:rsidRPr="007111BC">
              <w:rPr>
                <w:b/>
                <w:bCs/>
                <w:lang w:eastAsia="lt-LT"/>
              </w:rPr>
              <w:t>Ekonominė analizė</w:t>
            </w:r>
          </w:p>
        </w:tc>
        <w:tc>
          <w:tcPr>
            <w:tcW w:w="4962" w:type="dxa"/>
          </w:tcPr>
          <w:p w14:paraId="0934D539" w14:textId="77777777" w:rsidR="005A7FA7" w:rsidRPr="007111BC" w:rsidRDefault="00000000" w:rsidP="005A7FA7">
            <w:pPr>
              <w:jc w:val="both"/>
            </w:pPr>
            <w:sdt>
              <w:sdtPr>
                <w:rPr>
                  <w:rStyle w:val="Style2"/>
                  <w:sz w:val="24"/>
                </w:rPr>
                <w:id w:val="356323367"/>
                <w15:color w:val="FFCC00"/>
                <w14:checkbox>
                  <w14:checked w14:val="1"/>
                  <w14:checkedState w14:val="2612" w14:font="MS Gothic"/>
                  <w14:uncheckedState w14:val="2610" w14:font="MS Gothic"/>
                </w14:checkbox>
              </w:sdtPr>
              <w:sdtContent>
                <w:r w:rsidR="005A7FA7" w:rsidRPr="007111BC">
                  <w:rPr>
                    <w:rStyle w:val="Style2"/>
                    <w:rFonts w:ascii="MS Gothic" w:eastAsia="MS Gothic" w:hAnsi="MS Gothic"/>
                    <w:sz w:val="24"/>
                  </w:rPr>
                  <w:t>☒</w:t>
                </w:r>
              </w:sdtContent>
            </w:sdt>
            <w:r w:rsidR="005A7FA7" w:rsidRPr="007111BC">
              <w:t xml:space="preserve"> Kaštų naudingumo analizė</w:t>
            </w:r>
          </w:p>
          <w:p w14:paraId="4AE4A52D" w14:textId="77777777" w:rsidR="005A7FA7" w:rsidRPr="007111BC" w:rsidRDefault="00000000" w:rsidP="005A7FA7">
            <w:pPr>
              <w:jc w:val="both"/>
            </w:pPr>
            <w:sdt>
              <w:sdtPr>
                <w:rPr>
                  <w:rStyle w:val="Style2"/>
                  <w:sz w:val="24"/>
                </w:rPr>
                <w:id w:val="-250506580"/>
                <w15:color w:val="FFCC00"/>
                <w14:checkbox>
                  <w14:checked w14:val="0"/>
                  <w14:checkedState w14:val="2612" w14:font="MS Gothic"/>
                  <w14:uncheckedState w14:val="2610" w14:font="MS Gothic"/>
                </w14:checkbox>
              </w:sdtPr>
              <w:sdtContent>
                <w:r w:rsidR="005A7FA7" w:rsidRPr="007111BC">
                  <w:rPr>
                    <w:rStyle w:val="Style2"/>
                    <w:rFonts w:ascii="Segoe UI Symbol" w:eastAsia="MS Gothic" w:hAnsi="Segoe UI Symbol" w:cs="Segoe UI Symbol"/>
                    <w:sz w:val="24"/>
                  </w:rPr>
                  <w:t>☐</w:t>
                </w:r>
              </w:sdtContent>
            </w:sdt>
            <w:r w:rsidR="005A7FA7" w:rsidRPr="007111BC">
              <w:t xml:space="preserve"> Kaštų mažinimo analizė</w:t>
            </w:r>
          </w:p>
          <w:p w14:paraId="40A19566" w14:textId="77777777" w:rsidR="005A7FA7" w:rsidRPr="007111BC" w:rsidRDefault="00000000" w:rsidP="005A7FA7">
            <w:pPr>
              <w:jc w:val="both"/>
            </w:pPr>
            <w:sdt>
              <w:sdtPr>
                <w:rPr>
                  <w:rStyle w:val="Style2"/>
                  <w:sz w:val="24"/>
                </w:rPr>
                <w:id w:val="-1517455044"/>
                <w15:color w:val="FFCC00"/>
                <w14:checkbox>
                  <w14:checked w14:val="0"/>
                  <w14:checkedState w14:val="2612" w14:font="MS Gothic"/>
                  <w14:uncheckedState w14:val="2610" w14:font="MS Gothic"/>
                </w14:checkbox>
              </w:sdtPr>
              <w:sdtContent>
                <w:r w:rsidR="005A7FA7" w:rsidRPr="007111BC">
                  <w:rPr>
                    <w:rStyle w:val="Style2"/>
                    <w:rFonts w:ascii="Segoe UI Symbol" w:eastAsia="MS Gothic" w:hAnsi="Segoe UI Symbol" w:cs="Segoe UI Symbol"/>
                    <w:sz w:val="24"/>
                  </w:rPr>
                  <w:t>☐</w:t>
                </w:r>
              </w:sdtContent>
            </w:sdt>
            <w:r w:rsidR="005A7FA7" w:rsidRPr="007111BC">
              <w:t xml:space="preserve"> Neteikiama</w:t>
            </w:r>
          </w:p>
          <w:p w14:paraId="4B0FE78C" w14:textId="77777777" w:rsidR="005A7FA7" w:rsidRPr="007111BC" w:rsidRDefault="005A7FA7" w:rsidP="005A7FA7"/>
        </w:tc>
      </w:tr>
    </w:tbl>
    <w:p w14:paraId="2EB7FD31" w14:textId="5615B363" w:rsidR="007A2B68" w:rsidRPr="007111BC" w:rsidRDefault="00DC261A" w:rsidP="00063A50">
      <w:pPr>
        <w:pStyle w:val="ListParagraph"/>
        <w:tabs>
          <w:tab w:val="left" w:pos="426"/>
        </w:tabs>
        <w:ind w:left="0"/>
        <w:jc w:val="center"/>
        <w:rPr>
          <w:b/>
          <w:bCs/>
          <w:caps/>
        </w:rPr>
      </w:pPr>
      <w:r w:rsidRPr="007111BC">
        <w:rPr>
          <w:b/>
          <w:bCs/>
          <w:caps/>
        </w:rPr>
        <w:t>___________________</w:t>
      </w:r>
    </w:p>
    <w:p w14:paraId="73290081" w14:textId="77777777" w:rsidR="007A2B68" w:rsidRPr="007111BC" w:rsidRDefault="007A2B68">
      <w:pPr>
        <w:rPr>
          <w:b/>
          <w:bCs/>
          <w:caps/>
        </w:rPr>
      </w:pPr>
      <w:r w:rsidRPr="007111BC">
        <w:rPr>
          <w:b/>
          <w:bCs/>
          <w:caps/>
        </w:rPr>
        <w:br w:type="page"/>
      </w:r>
    </w:p>
    <w:p w14:paraId="5055E8A8" w14:textId="71F175DD" w:rsidR="002E6F80" w:rsidRPr="007111BC" w:rsidRDefault="00CC7832" w:rsidP="00CC09D4">
      <w:pPr>
        <w:pStyle w:val="ListParagraph"/>
        <w:numPr>
          <w:ilvl w:val="0"/>
          <w:numId w:val="12"/>
        </w:numPr>
        <w:tabs>
          <w:tab w:val="left" w:pos="567"/>
        </w:tabs>
        <w:ind w:hanging="720"/>
        <w:rPr>
          <w:b/>
          <w:bCs/>
          <w:caps/>
        </w:rPr>
      </w:pPr>
      <w:r w:rsidRPr="007111BC">
        <w:rPr>
          <w:b/>
          <w:bCs/>
          <w:caps/>
        </w:rPr>
        <w:lastRenderedPageBreak/>
        <w:t>Klinikinio vertinimo a</w:t>
      </w:r>
      <w:r w:rsidR="00D4485B" w:rsidRPr="007111BC">
        <w:rPr>
          <w:b/>
          <w:bCs/>
          <w:caps/>
        </w:rPr>
        <w:t>pibendrinimas</w:t>
      </w:r>
    </w:p>
    <w:p w14:paraId="5825DF6E" w14:textId="77777777" w:rsidR="000E3864" w:rsidRPr="007111BC" w:rsidRDefault="000E3864" w:rsidP="000E3864">
      <w:pPr>
        <w:spacing w:line="360" w:lineRule="auto"/>
        <w:jc w:val="both"/>
      </w:pPr>
    </w:p>
    <w:p w14:paraId="566EB635" w14:textId="79B60D37" w:rsidR="005A7FA7" w:rsidRPr="007111BC" w:rsidRDefault="005A7FA7" w:rsidP="000E3864">
      <w:pPr>
        <w:spacing w:line="360" w:lineRule="auto"/>
        <w:ind w:firstLine="720"/>
        <w:jc w:val="both"/>
        <w:rPr>
          <w:i/>
          <w:iCs/>
        </w:rPr>
      </w:pPr>
      <w:r w:rsidRPr="007111BC">
        <w:rPr>
          <w:i/>
          <w:iCs/>
        </w:rPr>
        <w:t xml:space="preserve">Ligos apžvalga </w:t>
      </w:r>
    </w:p>
    <w:p w14:paraId="7050E74B" w14:textId="77777777" w:rsidR="005A7FA7" w:rsidRPr="007111BC" w:rsidRDefault="005A7FA7" w:rsidP="000E3864">
      <w:pPr>
        <w:spacing w:line="360" w:lineRule="auto"/>
        <w:ind w:firstLine="720"/>
        <w:jc w:val="both"/>
      </w:pPr>
      <w:r w:rsidRPr="007111BC">
        <w:t xml:space="preserve">Krūties vėžys yra dažniausia piktybinė moterų liga Lietuvoje — kasmet naujai diagnozuojama apie 1 600 atvejų. Hormonų (estrogenų) receptorių (ER) teigiamas, žmogaus epidermio augimo faktoriaus 2 receptoriaus (HER2) neigiamas potipis sudaro apie 70 proc. visų krūties vėžio atvejų ir pasižymi lėtesne, tačiau nuolatiniu recidyvų pavojumi grėsminga eiga. Apie 40 proc. ER teigiamų metastazinių navikų turi aktyvuojančią PIK3CA geno mutaciją, kuri lemia padidėjusį PI3K/AKT/mTOR signalizacijos kelio aktyvumą, skatinantį nekontroliuojamą ląstelių proliferaciją ir endokrininiam gydymui atsparaus fenotipo formavimąsi. Nagrinėjama indikacija apibūdina specifinę pacienčių grupę, kai liga atsinaujina adjuvantinio endokrininio gydymo metu arba per 12 mėnesių nuo jo pabaigos. Tai reiškia ankstyvąjį endokrininį atsparumą — vieną iš nepalankiausių prognozinių požymių, susijusį su žymiai trumpesniu išgyvenamumu be progresavimo ir bendruoju išgyvenamumu, palyginti su vėlyvuoju atsparumu. </w:t>
      </w:r>
    </w:p>
    <w:p w14:paraId="16DB86E9" w14:textId="77777777" w:rsidR="000E3864" w:rsidRPr="007111BC" w:rsidRDefault="000E3864" w:rsidP="000E3864">
      <w:pPr>
        <w:spacing w:line="360" w:lineRule="auto"/>
        <w:jc w:val="both"/>
        <w:rPr>
          <w:rFonts w:eastAsia="Arial"/>
          <w:iCs/>
          <w:color w:val="000000" w:themeColor="text1"/>
        </w:rPr>
      </w:pPr>
    </w:p>
    <w:p w14:paraId="6AC6127E" w14:textId="1D8F206C" w:rsidR="005A7FA7" w:rsidRPr="007111BC" w:rsidRDefault="005A7FA7" w:rsidP="000E3864">
      <w:pPr>
        <w:spacing w:line="360" w:lineRule="auto"/>
        <w:ind w:firstLine="720"/>
        <w:jc w:val="both"/>
        <w:rPr>
          <w:rFonts w:eastAsia="Arial"/>
          <w:i/>
          <w:color w:val="000000" w:themeColor="text1"/>
        </w:rPr>
      </w:pPr>
      <w:r w:rsidRPr="007111BC">
        <w:rPr>
          <w:rFonts w:eastAsia="Arial"/>
          <w:i/>
          <w:color w:val="000000" w:themeColor="text1"/>
        </w:rPr>
        <w:t>Gydymas</w:t>
      </w:r>
    </w:p>
    <w:p w14:paraId="4BC05B7E" w14:textId="77777777" w:rsidR="005A7FA7" w:rsidRPr="007111BC" w:rsidRDefault="005A7FA7" w:rsidP="000E3864">
      <w:pPr>
        <w:spacing w:line="360" w:lineRule="auto"/>
        <w:ind w:firstLine="720"/>
        <w:jc w:val="both"/>
        <w:rPr>
          <w:rFonts w:eastAsiaTheme="minorHAnsi"/>
        </w:rPr>
      </w:pPr>
      <w:r w:rsidRPr="007111BC">
        <w:rPr>
          <w:rFonts w:eastAsia="Arial"/>
          <w:iCs/>
          <w:color w:val="000000" w:themeColor="text1"/>
        </w:rPr>
        <w:t xml:space="preserve">Remiantis gydymo aprašu dėl krūties vėžio gydymo bei kompensuojamuoju vaistų sąrašu Lietuvoje, pacientai sergantys </w:t>
      </w:r>
      <w:r w:rsidRPr="007111BC">
        <w:rPr>
          <w:rFonts w:eastAsiaTheme="minorHAnsi"/>
        </w:rPr>
        <w:t xml:space="preserve">ER teigiamu, HER2 neigiamu, vietiškai išplitusiu arba metastazavusiu krūties vėžiu su </w:t>
      </w:r>
      <w:r w:rsidRPr="007111BC">
        <w:rPr>
          <w:rFonts w:eastAsiaTheme="minorHAnsi"/>
          <w:i/>
          <w:iCs/>
        </w:rPr>
        <w:t>PIK3CA</w:t>
      </w:r>
      <w:r w:rsidRPr="007111BC">
        <w:rPr>
          <w:rFonts w:eastAsiaTheme="minorHAnsi"/>
        </w:rPr>
        <w:t xml:space="preserve"> mutacija, kai liga atsinaujina skiriant adjuvantinį endokrininį gydymą arba per 12 mėnesių nuo jo pabaigos gali būti gydomi monoterapija tamoksifenu; monoterapija fulvestrantu; fulvestranto ir ribociklibo / abemaciklibo / palbociklibo deriniais. </w:t>
      </w:r>
      <w:r w:rsidRPr="007111BC">
        <w:rPr>
          <w:rFonts w:eastAsia="Arial"/>
          <w:iCs/>
          <w:color w:val="000000" w:themeColor="text1"/>
        </w:rPr>
        <w:t xml:space="preserve">Šiuo metu specifinis gydymas, nukreiptas į  </w:t>
      </w:r>
      <w:r w:rsidRPr="007111BC">
        <w:t>PIK3CA</w:t>
      </w:r>
      <w:r w:rsidRPr="007111BC">
        <w:rPr>
          <w:rFonts w:eastAsia="Arial"/>
          <w:iCs/>
          <w:color w:val="000000" w:themeColor="text1"/>
        </w:rPr>
        <w:t xml:space="preserve"> mutacijos statusą netaikomas. </w:t>
      </w:r>
      <w:r w:rsidRPr="007111BC">
        <w:rPr>
          <w:rFonts w:eastAsiaTheme="minorHAnsi"/>
        </w:rPr>
        <w:t xml:space="preserve">Remiantis ESMO 2025 m. rekomendacijomis pacientams, sergantiems ER teigiamu, HER2 neigiamu, vietiškai išplitusiu arba metastazavusiu krūties vėžiu su </w:t>
      </w:r>
      <w:r w:rsidRPr="007111BC">
        <w:rPr>
          <w:rFonts w:eastAsiaTheme="minorHAnsi"/>
          <w:i/>
          <w:iCs/>
        </w:rPr>
        <w:t>PIK3CA</w:t>
      </w:r>
      <w:r w:rsidRPr="007111BC">
        <w:rPr>
          <w:rFonts w:eastAsiaTheme="minorHAnsi"/>
        </w:rPr>
        <w:t xml:space="preserve"> mutacija, kai liga atsinaujina skiriant adjuvantinį endokrininį gydymą arba per 12 mėnesių nuo jo pabaigos, rekomenduojamas inavolisibas derinyje su palbociklibu ir fulvestrantu [I, A; MCBS 3] arba fulvestranto ir CDK4/6 inhibitoriaus derinys [I, B; MCBS 4].</w:t>
      </w:r>
    </w:p>
    <w:p w14:paraId="5430ABFF" w14:textId="77777777" w:rsidR="000E3864" w:rsidRPr="007111BC" w:rsidRDefault="000E3864" w:rsidP="000E3864">
      <w:pPr>
        <w:spacing w:line="360" w:lineRule="auto"/>
        <w:jc w:val="both"/>
        <w:rPr>
          <w:rFonts w:eastAsiaTheme="minorHAnsi"/>
        </w:rPr>
      </w:pPr>
    </w:p>
    <w:p w14:paraId="0CA6C617" w14:textId="2B1EB5C9" w:rsidR="005A7FA7" w:rsidRPr="007111BC" w:rsidRDefault="005A7FA7" w:rsidP="000E3864">
      <w:pPr>
        <w:spacing w:line="360" w:lineRule="auto"/>
        <w:ind w:firstLine="720"/>
        <w:jc w:val="both"/>
        <w:rPr>
          <w:rFonts w:eastAsiaTheme="minorHAnsi"/>
          <w:i/>
          <w:iCs/>
        </w:rPr>
      </w:pPr>
      <w:r w:rsidRPr="007111BC">
        <w:rPr>
          <w:rFonts w:eastAsiaTheme="minorHAnsi"/>
          <w:i/>
          <w:iCs/>
        </w:rPr>
        <w:t>Palyginamasis gydymas</w:t>
      </w:r>
    </w:p>
    <w:p w14:paraId="750A24C3" w14:textId="77777777" w:rsidR="005A7FA7" w:rsidRPr="007111BC" w:rsidRDefault="005A7FA7" w:rsidP="000E3864">
      <w:pPr>
        <w:spacing w:line="360" w:lineRule="auto"/>
        <w:ind w:firstLine="720"/>
        <w:jc w:val="both"/>
        <w:rPr>
          <w:iCs/>
          <w:lang w:eastAsia="lt-LT"/>
        </w:rPr>
      </w:pPr>
      <w:r w:rsidRPr="007111BC">
        <w:rPr>
          <w:iCs/>
          <w:lang w:eastAsia="lt-LT"/>
        </w:rPr>
        <w:t xml:space="preserve">Šiuo metu Lietuvoje nėra kompensuojamas specifinis gydymas pacientams, sergantiems ER teigiamu, HER2 neigiamu, vietiškai išplitusiu arba metastazavusiu krūties vėžiu su PIK3CA mutacija (mutacijos ištyrimas kompensuojamas), kai liga atsinaujina skiriant adjuvantinį endokrininį gydymą arba per 12 mėnesių nuo jo pabaigos. Atsižvelgiant į ankstyvąjį ligos atsparumą, Lietuvoje skiriamas gydymas fulvestranto ir palbociklibo deriniu (palyginamojo veiksmingumo duomenys pateikti </w:t>
      </w:r>
      <w:r w:rsidRPr="007111BC">
        <w:rPr>
          <w:iCs/>
          <w:lang w:eastAsia="lt-LT"/>
        </w:rPr>
        <w:lastRenderedPageBreak/>
        <w:t xml:space="preserve">tiesioginio palyginimo dalyje), fulvestranto ir abemaciklibo (palyginamojo veiksmingumo duomenys pateikti netiesioginio palyginimo dalyje) ar fulvestranto ir ribociklibo deriniais. </w:t>
      </w:r>
    </w:p>
    <w:p w14:paraId="213146D3" w14:textId="77777777" w:rsidR="005A7FA7" w:rsidRPr="007111BC" w:rsidRDefault="005A7FA7" w:rsidP="000E3864">
      <w:pPr>
        <w:spacing w:line="360" w:lineRule="auto"/>
        <w:jc w:val="both"/>
        <w:rPr>
          <w:lang w:eastAsia="lt-LT"/>
        </w:rPr>
      </w:pPr>
      <w:r w:rsidRPr="007111BC">
        <w:rPr>
          <w:iCs/>
          <w:lang w:eastAsia="lt-LT"/>
        </w:rPr>
        <w:t xml:space="preserve">Svarstomas vaistinių preparatų derinys papildytų esamus gydymo pasirinkimus ir būtų pirmasis specifiškai į </w:t>
      </w:r>
      <w:r w:rsidRPr="007111BC">
        <w:rPr>
          <w:rFonts w:eastAsiaTheme="minorHAnsi"/>
          <w:i/>
          <w:iCs/>
        </w:rPr>
        <w:t xml:space="preserve">PIK3CA </w:t>
      </w:r>
      <w:r w:rsidRPr="007111BC">
        <w:rPr>
          <w:rFonts w:eastAsiaTheme="minorHAnsi"/>
        </w:rPr>
        <w:t xml:space="preserve">mutaciją nukreiptas kompensuojamas gydymas. </w:t>
      </w:r>
    </w:p>
    <w:p w14:paraId="43BAA708" w14:textId="71462ACF" w:rsidR="000E3864" w:rsidRPr="007111BC" w:rsidRDefault="005A7FA7" w:rsidP="000E3864">
      <w:pPr>
        <w:spacing w:line="360" w:lineRule="auto"/>
        <w:ind w:firstLine="720"/>
        <w:jc w:val="both"/>
        <w:rPr>
          <w:rFonts w:eastAsia="Arial"/>
          <w:i/>
          <w:color w:val="000000" w:themeColor="text1"/>
        </w:rPr>
      </w:pPr>
      <w:r w:rsidRPr="007111BC">
        <w:rPr>
          <w:rFonts w:eastAsia="Arial"/>
          <w:i/>
          <w:color w:val="000000" w:themeColor="text1"/>
        </w:rPr>
        <w:t>Palyginamasis veiksmingumas</w:t>
      </w:r>
    </w:p>
    <w:p w14:paraId="3CCBD496" w14:textId="566BB692" w:rsidR="005A7FA7" w:rsidRPr="007111BC" w:rsidRDefault="005A7FA7" w:rsidP="000E3864">
      <w:pPr>
        <w:spacing w:line="360" w:lineRule="auto"/>
        <w:ind w:firstLine="720"/>
        <w:jc w:val="both"/>
        <w:rPr>
          <w:rFonts w:eastAsia="Arial"/>
          <w:iCs/>
          <w:color w:val="000000" w:themeColor="text1"/>
        </w:rPr>
      </w:pPr>
      <w:r w:rsidRPr="007111BC">
        <w:rPr>
          <w:rFonts w:eastAsia="Arial"/>
          <w:iCs/>
          <w:color w:val="000000" w:themeColor="text1"/>
        </w:rPr>
        <w:t>Detaliai įvertinus įprastą klinikinę praktik</w:t>
      </w:r>
      <w:r w:rsidR="007111BC" w:rsidRPr="007111BC">
        <w:rPr>
          <w:rFonts w:eastAsia="Arial"/>
          <w:iCs/>
          <w:color w:val="000000" w:themeColor="text1"/>
        </w:rPr>
        <w:t>ą</w:t>
      </w:r>
      <w:r w:rsidRPr="007111BC">
        <w:rPr>
          <w:rFonts w:eastAsia="Arial"/>
          <w:iCs/>
          <w:color w:val="000000" w:themeColor="text1"/>
        </w:rPr>
        <w:t xml:space="preserve"> Lietuvoje, </w:t>
      </w:r>
      <w:r w:rsidR="007111BC" w:rsidRPr="007111BC">
        <w:rPr>
          <w:rFonts w:eastAsia="Arial"/>
          <w:iCs/>
          <w:color w:val="000000" w:themeColor="text1"/>
        </w:rPr>
        <w:t>Lietuvos Respublikos Sveikatos apsaugos ministro įsakymu patvirtintą Krūties piktybinio naviko ambulatorinio gydymo kompensuojamaisiais vaistais tvarkos aprašas, 2011 m. liepos 22 d. Nr. V-713</w:t>
      </w:r>
      <w:r w:rsidRPr="007111BC">
        <w:rPr>
          <w:rFonts w:eastAsia="Arial"/>
          <w:iCs/>
          <w:color w:val="000000" w:themeColor="text1"/>
        </w:rPr>
        <w:t>, kompensuojamų vaistų sąrašą (A sąrašas) nustatyta, kad remiantis paraiškos įrašyti vaistinį preparatą į kompensavimo sąrašus rengimo taisyklių, patvirtintų Lietuvos Respublikos sveikatos apsaugos ministro 2002 m. balandžio 5 d. įsakymu Nr. V-159 „Dėl vaistinių preparatų ir medicinos pagalbos priemonių įrašymo į kompensavimo sąrašus ir jų keitimo tvarkos aprašo patvirtinimo“ 116 - 119 punktais tiesioginiame palyginime pateiktas inavolisibo, palbociklibo ir fulvestranto veiksmingumo palyginimas su placebu, palbociklibu ir fulvestrantu laikomas tinkamu palyginamuoju gydymu. Netiesioginiame palyginime pateiktas inavolisibo, palbociklibo ir fulvestranto derinio palyginimas su palbociklibo ir fulvestranto, abemaciklibo ir fulvestranto bei ribociklibo ir fulvestranto deriniais (tinkamas palyginamasis gydymas) yra laikomas žvalgomojo pobūdžio dėl į netiesioginį palyginimą įtrauktų tyrimų gydymo eilės heterogeniškumo.</w:t>
      </w:r>
    </w:p>
    <w:p w14:paraId="73D32ED8" w14:textId="77777777" w:rsidR="000E3864" w:rsidRPr="007111BC" w:rsidRDefault="000E3864" w:rsidP="000E3864">
      <w:pPr>
        <w:spacing w:line="360" w:lineRule="auto"/>
        <w:jc w:val="both"/>
        <w:rPr>
          <w:rFonts w:eastAsia="Arial"/>
          <w:iCs/>
          <w:color w:val="000000" w:themeColor="text1"/>
        </w:rPr>
      </w:pPr>
    </w:p>
    <w:p w14:paraId="72A75422" w14:textId="07B90E4E" w:rsidR="005A7FA7" w:rsidRPr="007111BC" w:rsidRDefault="005A7FA7" w:rsidP="000E3864">
      <w:pPr>
        <w:spacing w:line="360" w:lineRule="auto"/>
        <w:ind w:firstLine="720"/>
        <w:jc w:val="both"/>
        <w:rPr>
          <w:rFonts w:eastAsia="Arial"/>
          <w:i/>
          <w:color w:val="000000" w:themeColor="text1"/>
        </w:rPr>
      </w:pPr>
      <w:r w:rsidRPr="007111BC">
        <w:rPr>
          <w:rFonts w:eastAsia="Arial"/>
          <w:i/>
          <w:color w:val="000000" w:themeColor="text1"/>
        </w:rPr>
        <w:t xml:space="preserve">Tiesioginis palyginamasis tyrimas </w:t>
      </w:r>
    </w:p>
    <w:p w14:paraId="18538DCC" w14:textId="77777777" w:rsidR="005A7FA7" w:rsidRPr="007111BC" w:rsidRDefault="005A7FA7" w:rsidP="000E3864">
      <w:pPr>
        <w:spacing w:line="360" w:lineRule="auto"/>
        <w:ind w:firstLine="720"/>
        <w:jc w:val="both"/>
        <w:rPr>
          <w:rFonts w:eastAsia="Arial"/>
          <w:iCs/>
          <w:color w:val="000000" w:themeColor="text1"/>
        </w:rPr>
      </w:pPr>
      <w:r w:rsidRPr="007111BC">
        <w:rPr>
          <w:rFonts w:eastAsia="Arial"/>
        </w:rPr>
        <w:t xml:space="preserve">Tiesioginio palyginimo dalyje pateiktas INAVO120 III fazės, atsitiktinių imčių, dvigubai aklas, placebu kontroliuojamas, daugiacentris, tarptautinis klinikinis tyrimas, kuriame lygintas inavolisibo, palbociklibu ir fulvestranto derinio ir placebo, palbociklibu bei fulvestranto režimo veiksmingumas bei saugumas. Tyrime dalyvavo pacientės, sergančios </w:t>
      </w:r>
      <w:r w:rsidRPr="007111BC">
        <w:rPr>
          <w:rFonts w:eastAsia="Arial"/>
          <w:i/>
          <w:iCs/>
        </w:rPr>
        <w:t>PIK3CA</w:t>
      </w:r>
      <w:r w:rsidRPr="007111BC">
        <w:rPr>
          <w:rFonts w:eastAsia="Arial"/>
        </w:rPr>
        <w:t xml:space="preserve"> mutaciją turinčiu, hormonų receptorių teigiamu, HER2 neigiamu lokaliai išplitusiu ar metastaziniu krūties vėžiu, kurių liga progresavo adjuvantinės endokrininės terapijos metu arba per 12 mėnesių nuo jos pabaigos ir kurioms anksčiau nebuvo skirta sisteminė terapija dėl lokaliai išplitusios ar metastazinės ligos (pirmos eilės metastazinės ligos gydymas). </w:t>
      </w:r>
    </w:p>
    <w:p w14:paraId="61D791A5" w14:textId="533D6B9A" w:rsidR="005A7FA7" w:rsidRPr="007111BC" w:rsidRDefault="005A7FA7" w:rsidP="000E3864">
      <w:pPr>
        <w:spacing w:line="360" w:lineRule="auto"/>
        <w:ind w:firstLine="720"/>
        <w:jc w:val="both"/>
        <w:rPr>
          <w:rFonts w:eastAsia="Arial"/>
        </w:rPr>
      </w:pPr>
      <w:r w:rsidRPr="007111BC">
        <w:rPr>
          <w:rFonts w:eastAsia="Arial"/>
        </w:rPr>
        <w:t>Detaliai įvertinus tyrimo INAVO120 įtraukimo ir atmetimo kriterijus, nustatyta, jog tyrimo populiacija atitiko Lietuvos pacientų sergančių estrogenų receptoriams (ER) teigiamu, HER2 neigiamu, vietiškai išplitusiu arba metastazavusiu krūties vėžiu su PIK3CA mutacija, gydyti, kai liga atsinaujina skiriant adjuvantinį endokrininį gydymą arba per 12 mėnesių nuo jo pabaigos, populiaciją.</w:t>
      </w:r>
      <w:r w:rsidRPr="007111BC">
        <w:t xml:space="preserve"> </w:t>
      </w:r>
      <w:r w:rsidRPr="007111BC">
        <w:rPr>
          <w:rFonts w:eastAsia="Arial"/>
        </w:rPr>
        <w:t>Klinikiniame tyrime vartotas palyginamasis gydymas placebo, palbociklibo, fulvestranto derinys atitinka įprastinę klinikinę praktiką Lietuvoje.</w:t>
      </w:r>
    </w:p>
    <w:p w14:paraId="25FB5636" w14:textId="77777777" w:rsidR="005A7FA7" w:rsidRPr="007111BC" w:rsidRDefault="005A7FA7" w:rsidP="000E3864">
      <w:pPr>
        <w:spacing w:line="360" w:lineRule="auto"/>
        <w:ind w:firstLine="720"/>
        <w:jc w:val="both"/>
        <w:rPr>
          <w:rFonts w:eastAsia="Arial"/>
        </w:rPr>
      </w:pPr>
      <w:r w:rsidRPr="007111BC">
        <w:rPr>
          <w:rFonts w:eastAsia="Arial"/>
        </w:rPr>
        <w:lastRenderedPageBreak/>
        <w:t>Įvertinus pradines tiriamųjų charakteristikas, nustatyta, jog INAVO120 tyrimo populiacijoje 98,8 proc. pacienčių nebuvo vartojusios CDK4/6 inhibitorių neaodjuvantiniam ar adjuvantiniam ankstyvojo krūties vėžio gydymui. Tarnyba pažymi, jog šiuo metu Lietuvoje, kai yra diagnozuotas ankstyvosios stadijos krūties vėžys su metastazėmis limfmazgiuose ir yra didelė ligos atsinaujinimo rizika derinant adjuvantinį gydymą su endokrinine terapija, skiriamas abemaciklibas (CDK4/6 inhibitorius). Šis tiriamųjų populiacijos ribotumas neatspindi ateityje vis didėsiančios pacienčių populiacijos, kuri bus vartojusi CDK4/6 inhibitorius ankstyvam krūties vėžiui gydyti.</w:t>
      </w:r>
    </w:p>
    <w:p w14:paraId="3C83D367" w14:textId="77777777" w:rsidR="000E3864" w:rsidRPr="007111BC" w:rsidRDefault="000E3864" w:rsidP="000E3864">
      <w:pPr>
        <w:spacing w:line="360" w:lineRule="auto"/>
        <w:jc w:val="both"/>
        <w:rPr>
          <w:rFonts w:eastAsia="Arial"/>
        </w:rPr>
      </w:pPr>
    </w:p>
    <w:p w14:paraId="36272558" w14:textId="2D7354AA" w:rsidR="005A7FA7" w:rsidRPr="007111BC" w:rsidRDefault="005A7FA7" w:rsidP="000E3864">
      <w:pPr>
        <w:spacing w:line="360" w:lineRule="auto"/>
        <w:ind w:firstLine="720"/>
        <w:jc w:val="both"/>
        <w:rPr>
          <w:rFonts w:eastAsia="Arial"/>
          <w:i/>
          <w:iCs/>
        </w:rPr>
      </w:pPr>
      <w:r w:rsidRPr="007111BC">
        <w:rPr>
          <w:rFonts w:eastAsia="Arial"/>
          <w:i/>
          <w:iCs/>
        </w:rPr>
        <w:t xml:space="preserve">Rezultatai </w:t>
      </w:r>
    </w:p>
    <w:p w14:paraId="16D05EA3" w14:textId="77777777" w:rsidR="005A7FA7" w:rsidRPr="007111BC" w:rsidRDefault="005A7FA7" w:rsidP="000E3864">
      <w:pPr>
        <w:spacing w:line="360" w:lineRule="auto"/>
        <w:ind w:firstLine="720"/>
        <w:jc w:val="both"/>
        <w:rPr>
          <w:rFonts w:eastAsia="Arial"/>
        </w:rPr>
      </w:pPr>
      <w:r w:rsidRPr="007111BC">
        <w:rPr>
          <w:rFonts w:eastAsia="Arial"/>
        </w:rPr>
        <w:t>IBLP: Visos analizės populiacijoje, į kurią buvo įtraukta 161 pacientė inavolisibo grupėje ir 164 placebo grupėje, medianinis IBLP siekė atitinkamai 15,0 ir 7,3 mėnesio (stratifikuotas rizikos santykis ligos progresijai ar mirčiai — 0,43; 95% PI: 0,32–0,59; p&lt;0,001). IBLP tikimybė inavolisibo grupėje buvo 82,9% po 6 mėnesių, 55,9% po 12 mėnesių ir 46,2% po 18 mėnesių, o placebo grupėje — atitinkamai 55,9%, 32,6% ir 21,1%. Gydymo efektas buvo iš esmės nuoseklus pagrindinėse subgrupėse, įskaitant pacientes su visceralinėmis arba kepenų metastazėmis ir be jų, nors kai kurių subgrupių imtys buvo mažos. Mažesnis pranašumas lyginant su placebu pastebėtas vyresnėms nei 65 metų pacientėms ir toms, kurios anksčiau buvo gavusios tiek aromatazės inhibitorių, tiek tamoksifeną, tačiau šių subgrupių pacienčių skaičius buvo ribotas. Atnaujintose analizėse medianinis išgyvenamumas be progresijos inavolisibo grupėje siekė 17,2 mėnesio, o placebo grupėje — 7,3 mėnesio (stratifikuotas rizikos santykis ligos progresijai ar mirčiai — 0,42; 95% PI: 0,32–0,55).</w:t>
      </w:r>
    </w:p>
    <w:p w14:paraId="52CB597F" w14:textId="77777777" w:rsidR="005A7FA7" w:rsidRPr="007111BC" w:rsidRDefault="005A7FA7" w:rsidP="000E3864">
      <w:pPr>
        <w:spacing w:line="360" w:lineRule="auto"/>
        <w:jc w:val="both"/>
        <w:rPr>
          <w:rFonts w:eastAsia="Arial"/>
        </w:rPr>
      </w:pPr>
      <w:r w:rsidRPr="007111BC">
        <w:rPr>
          <w:rFonts w:eastAsia="Arial"/>
        </w:rPr>
        <w:t>BI: Atliekant tarpinę BI analizę, orientyrinės analizės (</w:t>
      </w:r>
      <w:r w:rsidRPr="007111BC">
        <w:rPr>
          <w:rFonts w:eastAsia="Arial"/>
          <w:i/>
          <w:iCs/>
        </w:rPr>
        <w:t>landmark</w:t>
      </w:r>
      <w:r w:rsidRPr="007111BC">
        <w:rPr>
          <w:rFonts w:eastAsia="Arial"/>
        </w:rPr>
        <w:t xml:space="preserve">) metodu nustatyta, kad inavolisibo grupėje išgyvenamumo tikimybė po 6, 12 ir 18 mėnesių siekė atitinkamai 97,3%, 85,9% ir 73,7%, o placebo grupėje — atitinkamai 89,9%, 74,9% ir 67,5%. Stratifikuotas rizikos santykis mirčiai (inavolisibas vs. placebas) buvo 0,64 (95% PI: 0,43–0,97; p = 0,03), kuris neperžengė iš anksto nustatytos reikšmingumo ribos (p &lt; 0,0098). Visos analizės populiacijoje medianinis BI inavolisibo grupėje siekė 34,0 mėnesio (95% PI: 28,4–44,8), o placebo grupėje — 27,0 mėnesio (95% PI: 22,8–38,7), su stratifikuotu rizikos santykiu mirčiai 0,67 (95% PI: 0,48–0,94; p = 0,02). Išgyvenamumo tikimybė inavolisibo grupėje siekė 96,8% po 6 mėnesių, 87,0% po 12 mėnesių, 74,3% po 18 mėnesių, 65,8% po 24 mėnesių ir 56,5% po 30 mėnesių, o placebo grupėje atitinkamai — 90,1%, 76,7%, 67,2%, 56,3% ir 46,3%. Nesiskiriantis pranašumas lyginant su placebu pastebėtas vyresnėms nei 65 metų pacientėms ir toms, kurios anksčiau buvo gavusios tiek aromatazės inhibitorių, tiek tamoksifeną, tačiau šių subgrupių pacienčių skaičius buvo ribotas. </w:t>
      </w:r>
    </w:p>
    <w:p w14:paraId="5E354583" w14:textId="77777777" w:rsidR="005A7FA7" w:rsidRPr="007111BC" w:rsidRDefault="005A7FA7" w:rsidP="000E3864">
      <w:pPr>
        <w:spacing w:line="360" w:lineRule="auto"/>
        <w:ind w:firstLine="720"/>
        <w:jc w:val="both"/>
        <w:rPr>
          <w:rFonts w:eastAsia="Arial"/>
        </w:rPr>
      </w:pPr>
      <w:r w:rsidRPr="007111BC">
        <w:rPr>
          <w:rFonts w:eastAsia="Arial"/>
        </w:rPr>
        <w:t>Inavolisibą vartojusios pacientės dažniau patyrė tokias NR kaip stomatitas, hiperglikemija, viduriavimas taip pat dėl NR buvo reikalinga koreguoti arba laikinai sustabdyti gydymą tiriamuoju vaistiniu preparatu dažniau nei skiriant placebą.</w:t>
      </w:r>
    </w:p>
    <w:p w14:paraId="3CB88D67" w14:textId="77777777" w:rsidR="005A7FA7" w:rsidRPr="007111BC" w:rsidRDefault="005A7FA7" w:rsidP="000E3864">
      <w:pPr>
        <w:spacing w:line="360" w:lineRule="auto"/>
        <w:jc w:val="both"/>
        <w:rPr>
          <w:rFonts w:eastAsia="Arial"/>
        </w:rPr>
      </w:pPr>
    </w:p>
    <w:p w14:paraId="0F1587F4" w14:textId="5DEE408A" w:rsidR="005A7FA7" w:rsidRPr="007111BC" w:rsidRDefault="005A7FA7" w:rsidP="000E3864">
      <w:pPr>
        <w:spacing w:line="360" w:lineRule="auto"/>
        <w:ind w:firstLine="720"/>
        <w:jc w:val="both"/>
        <w:rPr>
          <w:rFonts w:eastAsia="Arial"/>
          <w:i/>
          <w:iCs/>
        </w:rPr>
      </w:pPr>
      <w:r w:rsidRPr="007111BC">
        <w:rPr>
          <w:rFonts w:eastAsia="Arial"/>
          <w:i/>
          <w:iCs/>
        </w:rPr>
        <w:t xml:space="preserve">Netiesioginio palyginimo tyrimas </w:t>
      </w:r>
    </w:p>
    <w:p w14:paraId="480D65D2" w14:textId="77777777" w:rsidR="005A7FA7" w:rsidRPr="007111BC" w:rsidRDefault="005A7FA7" w:rsidP="000E3864">
      <w:pPr>
        <w:spacing w:line="360" w:lineRule="auto"/>
        <w:ind w:firstLine="720"/>
        <w:jc w:val="both"/>
        <w:rPr>
          <w:rFonts w:eastAsia="Arial"/>
        </w:rPr>
      </w:pPr>
      <w:r w:rsidRPr="007111BC">
        <w:rPr>
          <w:rFonts w:eastAsia="Arial"/>
        </w:rPr>
        <w:t xml:space="preserve">Pareiškėjas pateikė tinklinę meta-analizę, kurioje pagrindinis vertinamas tyrimas — INAVO120 — lyginamas su MONARCH-2 ir MONARCH plus (abu vertino abemaciklibo + fulvestranto derinį), PALOMA-3 ir FLIPPER (palbociklibo + fulvestranto deriniai), MONALEESA-3 (ribociklibo + fulvestranto derinys) bei CAPItello-291 (kapivasertibo + fulvestranto derinys). </w:t>
      </w:r>
    </w:p>
    <w:p w14:paraId="4507FC62" w14:textId="77777777" w:rsidR="005A7FA7" w:rsidRPr="007111BC" w:rsidRDefault="005A7FA7" w:rsidP="000E3864">
      <w:pPr>
        <w:spacing w:line="360" w:lineRule="auto"/>
        <w:jc w:val="both"/>
        <w:rPr>
          <w:rFonts w:eastAsia="Arial"/>
        </w:rPr>
      </w:pPr>
      <w:r w:rsidRPr="007111BC">
        <w:rPr>
          <w:rFonts w:eastAsia="Arial"/>
        </w:rPr>
        <w:t>Detaliai įvertinus įtrauktų tyrimų populiacijas, nustatyta, jog netiesioginio palyginimo analizės populiacija neatitinka Lietuvos pacientų, sergančių estrogenų receptoriams (ER) teigiamu, HER2 neigiamu, vietiškai išplitusiu arba metastazavusiu krūties vėžiu su PIK3CA mutacija, gydyti, kai liga atsinaujina skiriant adjuvantinį endokrininį gydymą arba per 12 mėnesių nuo jo pabaigos, populiacijos.</w:t>
      </w:r>
    </w:p>
    <w:p w14:paraId="5E6A264C" w14:textId="77777777" w:rsidR="005A7FA7" w:rsidRPr="007111BC" w:rsidRDefault="005A7FA7" w:rsidP="000E3864">
      <w:pPr>
        <w:spacing w:line="360" w:lineRule="auto"/>
        <w:ind w:firstLine="720"/>
        <w:jc w:val="both"/>
        <w:rPr>
          <w:rFonts w:eastAsia="Arial"/>
        </w:rPr>
      </w:pPr>
      <w:r w:rsidRPr="007111BC">
        <w:rPr>
          <w:rFonts w:eastAsia="Arial"/>
        </w:rPr>
        <w:t xml:space="preserve">Didžioji dalis CAPItello-291 tyrimo populiacijos ir maždaug trečdalis populiacijos tyrimuose MONARCH-2, MONALEESA-3 ir PALOMA-3 buvo pacientės anksčiau buvo gavusios endokrininę terapiją išplitusiai ar metastazinei ligai gydyti; ši aplinkybė buvo neįtraukimo kriterijus INAVO120, MONARCH plus (Cohort B) ir FLIPPER tyrimuose. Pareiškėjas nepateikė analizės rezultatų pirmos gydymo eilės pogrupyje. Gydymo eilės heterogeniškumas riboja netiesioginio palyginimo analizės rezultatų patikimumą bei sudaro prielaidą apskaičiuoti didesnį palyginamąjį derinio su inavolisibo veiksmingumą, nes vėlesnių eilių pacientės turi agresyvesnę ligos eigą ir trumpesnius IBLP rezultatus. </w:t>
      </w:r>
    </w:p>
    <w:p w14:paraId="294C24A0" w14:textId="77777777" w:rsidR="005A7FA7" w:rsidRPr="007111BC" w:rsidRDefault="005A7FA7" w:rsidP="000E3864">
      <w:pPr>
        <w:spacing w:line="360" w:lineRule="auto"/>
        <w:ind w:firstLine="720"/>
        <w:jc w:val="both"/>
        <w:rPr>
          <w:rFonts w:eastAsia="Arial"/>
        </w:rPr>
      </w:pPr>
      <w:r w:rsidRPr="007111BC">
        <w:rPr>
          <w:rFonts w:eastAsia="Arial"/>
        </w:rPr>
        <w:t>Atsižvelgiant į įtrauktų tyrimų gydymo eilės heterogeniškumą, netiesioginio palyginimo analizės duomenys vertinami kaip žvalgomojo pobūdžio. Klinikinio veiksmingumo vertinimo išvada atlikta remiantis tiesioginio palyginimo tyrimo duomenimis.</w:t>
      </w:r>
    </w:p>
    <w:p w14:paraId="6925E0FE" w14:textId="77777777" w:rsidR="005A7FA7" w:rsidRPr="007111BC" w:rsidRDefault="005A7FA7" w:rsidP="000E3864">
      <w:pPr>
        <w:spacing w:line="360" w:lineRule="auto"/>
        <w:jc w:val="both"/>
        <w:rPr>
          <w:rFonts w:eastAsia="Arial"/>
        </w:rPr>
      </w:pPr>
      <w:r w:rsidRPr="007111BC">
        <w:rPr>
          <w:rFonts w:eastAsia="Arial"/>
        </w:rPr>
        <w:t xml:space="preserve">Atsižvelgiant į inavolisibo indikaciją („&lt;...&gt; kai liga atsinaujina skiriant adjuvantinį endokrininį gydymą arba per 12 mėnesių nuo jo pabaigos“), žvalgomojo pobūdžio rezultatams įvertinti aktualūs endokrininį atsparumą turinčių pacienčių pogrupio rezultatai, todėl tik šio pogrupio rezultatai pasirinkti apžvelgti protokole. </w:t>
      </w:r>
    </w:p>
    <w:p w14:paraId="3826C4F2" w14:textId="77777777" w:rsidR="000E3864" w:rsidRPr="007111BC" w:rsidRDefault="000E3864" w:rsidP="000E3864">
      <w:pPr>
        <w:spacing w:line="360" w:lineRule="auto"/>
        <w:jc w:val="both"/>
        <w:rPr>
          <w:rFonts w:eastAsia="Arial"/>
        </w:rPr>
      </w:pPr>
    </w:p>
    <w:p w14:paraId="6D356C6D" w14:textId="2B996E3C" w:rsidR="005A7FA7" w:rsidRPr="007111BC" w:rsidRDefault="005A7FA7" w:rsidP="000E3864">
      <w:pPr>
        <w:spacing w:line="360" w:lineRule="auto"/>
        <w:ind w:firstLine="720"/>
        <w:jc w:val="both"/>
        <w:rPr>
          <w:rFonts w:eastAsia="Arial"/>
          <w:i/>
          <w:iCs/>
        </w:rPr>
      </w:pPr>
      <w:r w:rsidRPr="007111BC">
        <w:rPr>
          <w:rFonts w:eastAsia="Arial"/>
          <w:i/>
          <w:iCs/>
        </w:rPr>
        <w:t>Rezultatai</w:t>
      </w:r>
    </w:p>
    <w:p w14:paraId="358D90FA" w14:textId="77777777" w:rsidR="005A7FA7" w:rsidRPr="007111BC" w:rsidRDefault="005A7FA7" w:rsidP="000E3864">
      <w:pPr>
        <w:spacing w:line="360" w:lineRule="auto"/>
        <w:ind w:firstLine="720"/>
        <w:jc w:val="both"/>
        <w:rPr>
          <w:rFonts w:eastAsia="Arial"/>
          <w:iCs/>
        </w:rPr>
      </w:pPr>
      <w:r w:rsidRPr="007111BC">
        <w:rPr>
          <w:rFonts w:eastAsia="Arial"/>
        </w:rPr>
        <w:t xml:space="preserve">IBLP: </w:t>
      </w:r>
      <w:r w:rsidRPr="007111BC">
        <w:rPr>
          <w:rFonts w:eastAsia="Arial"/>
          <w:iCs/>
        </w:rPr>
        <w:t xml:space="preserve">Inavolisibo + palbociklibu + fulvestranto derinys yra susijęs su statistiškai reikšmingai palankesniu IBLP, palyginti su palbocilklibu + fulvestrantu (IBLP RS (95 % PI) 0,42 (0,32 - 0,55)) ir abemaciklibu + fulvestrantu (IBLP RS (95 % PI) 0,44 (0,24 - 0,83)) </w:t>
      </w:r>
      <w:r w:rsidRPr="007111BC">
        <w:t>pacienčių turinčių endokrininį atsparumą populiacijoje</w:t>
      </w:r>
      <w:r w:rsidRPr="007111BC">
        <w:rPr>
          <w:rFonts w:eastAsia="Arial"/>
          <w:iCs/>
        </w:rPr>
        <w:t>. Inavolisibo + palbociklibu + fulvestranto derinys turėjo didžiausią (81 %) tikimybę būti reitinguotas pirmoje vietoje. Jis pasiekė aukščiausią SUCRA balą (0,95).</w:t>
      </w:r>
    </w:p>
    <w:p w14:paraId="12FF9892" w14:textId="77777777" w:rsidR="005A7FA7" w:rsidRPr="007111BC" w:rsidRDefault="005A7FA7" w:rsidP="000E3864">
      <w:pPr>
        <w:spacing w:line="360" w:lineRule="auto"/>
        <w:jc w:val="both"/>
        <w:rPr>
          <w:rFonts w:eastAsia="Arial"/>
          <w:iCs/>
        </w:rPr>
      </w:pPr>
      <w:r w:rsidRPr="007111BC">
        <w:rPr>
          <w:rFonts w:eastAsia="Arial"/>
        </w:rPr>
        <w:t xml:space="preserve">BI: </w:t>
      </w:r>
      <w:r w:rsidRPr="007111BC">
        <w:rPr>
          <w:rFonts w:eastAsia="Arial"/>
          <w:iCs/>
        </w:rPr>
        <w:t xml:space="preserve">Inavolisibo + palbociklibu + fulvestranto derinys yra susijęs su statistiškai reikšmingai palankesniu BI, palyginti su abemaciklibu + fulvestrantu (BI RS (95 % PI) 0,52 (0,28 - 0,98)) ir </w:t>
      </w:r>
      <w:r w:rsidRPr="007111BC">
        <w:rPr>
          <w:rFonts w:eastAsia="Arial"/>
          <w:iCs/>
        </w:rPr>
        <w:lastRenderedPageBreak/>
        <w:t>palbociklibu + fulvestrantu (IBLP RS (95 % PI) 0,67 (0,48 - 0,94)). Inavolisibo + palbociklibu + fulvestranto derinys turėjo didžiausią (86 %) tikimybę būti reitinguotas pirmoje vietoje. Jis pasiekė aukščiausią SUCRA balą (0,96).</w:t>
      </w:r>
    </w:p>
    <w:p w14:paraId="728CD308" w14:textId="77777777" w:rsidR="005A7FA7" w:rsidRPr="007111BC" w:rsidRDefault="005A7FA7" w:rsidP="000E3864">
      <w:pPr>
        <w:spacing w:line="360" w:lineRule="auto"/>
        <w:jc w:val="both"/>
        <w:rPr>
          <w:rFonts w:eastAsia="Arial"/>
          <w:iCs/>
        </w:rPr>
      </w:pPr>
    </w:p>
    <w:p w14:paraId="1F88CA60" w14:textId="182EC906" w:rsidR="005A7FA7" w:rsidRPr="007111BC" w:rsidRDefault="005A7FA7" w:rsidP="000E3864">
      <w:pPr>
        <w:spacing w:line="360" w:lineRule="auto"/>
        <w:ind w:firstLine="720"/>
        <w:jc w:val="both"/>
        <w:rPr>
          <w:rFonts w:eastAsia="Arial"/>
          <w:i/>
        </w:rPr>
      </w:pPr>
      <w:r w:rsidRPr="007111BC">
        <w:rPr>
          <w:rFonts w:eastAsia="Arial"/>
          <w:i/>
        </w:rPr>
        <w:t>Išvada apie palyginamąjį veiksmingumą</w:t>
      </w:r>
    </w:p>
    <w:p w14:paraId="25F89291" w14:textId="425E46E3" w:rsidR="005A7FA7" w:rsidRPr="007111BC" w:rsidRDefault="005A7FA7" w:rsidP="000E3864">
      <w:pPr>
        <w:spacing w:line="360" w:lineRule="auto"/>
        <w:ind w:firstLine="720"/>
        <w:jc w:val="both"/>
        <w:rPr>
          <w:lang w:eastAsia="lt-LT"/>
        </w:rPr>
      </w:pPr>
      <w:r w:rsidRPr="007111BC">
        <w:rPr>
          <w:lang w:eastAsia="lt-LT"/>
        </w:rPr>
        <w:t xml:space="preserve">Siūlomo kompensuoti vaistinio preparato palyginamasis veiksmingumas yra įvertintas kaip </w:t>
      </w:r>
      <w:r w:rsidRPr="007111BC">
        <w:rPr>
          <w:i/>
          <w:iCs/>
          <w:lang w:eastAsia="lt-LT"/>
        </w:rPr>
        <w:t>didesnis</w:t>
      </w:r>
      <w:r w:rsidRPr="007111BC">
        <w:rPr>
          <w:lang w:eastAsia="lt-LT"/>
        </w:rPr>
        <w:t xml:space="preserve"> lyginant su įprasta klinikine praktika (a</w:t>
      </w:r>
      <w:r w:rsidRPr="007111BC">
        <w:t>titinka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29.1.1 papunktį).</w:t>
      </w:r>
    </w:p>
    <w:p w14:paraId="2A256AA6" w14:textId="77777777" w:rsidR="005A7FA7" w:rsidRPr="007111BC" w:rsidRDefault="005A7FA7" w:rsidP="000E3864">
      <w:pPr>
        <w:spacing w:line="360" w:lineRule="auto"/>
        <w:jc w:val="both"/>
        <w:rPr>
          <w:b/>
          <w:lang w:eastAsia="lt-LT"/>
        </w:rPr>
      </w:pPr>
      <w:r w:rsidRPr="007111BC">
        <w:rPr>
          <w:b/>
          <w:lang w:eastAsia="lt-LT"/>
        </w:rPr>
        <w:br w:type="page"/>
      </w:r>
    </w:p>
    <w:p w14:paraId="7DE09EB5" w14:textId="69E9DD74" w:rsidR="00E03C3F" w:rsidRPr="007111BC" w:rsidRDefault="00CC7832" w:rsidP="000E3864">
      <w:pPr>
        <w:pStyle w:val="ListParagraph"/>
        <w:numPr>
          <w:ilvl w:val="0"/>
          <w:numId w:val="12"/>
        </w:numPr>
        <w:tabs>
          <w:tab w:val="left" w:pos="567"/>
        </w:tabs>
        <w:spacing w:line="360" w:lineRule="auto"/>
        <w:ind w:hanging="720"/>
        <w:jc w:val="both"/>
        <w:rPr>
          <w:b/>
          <w:bCs/>
          <w:caps/>
        </w:rPr>
      </w:pPr>
      <w:r w:rsidRPr="007111BC">
        <w:rPr>
          <w:b/>
          <w:bCs/>
          <w:caps/>
        </w:rPr>
        <w:lastRenderedPageBreak/>
        <w:t xml:space="preserve">ekonominio vertinimo </w:t>
      </w:r>
      <w:r w:rsidR="002F0E4F" w:rsidRPr="007111BC">
        <w:rPr>
          <w:b/>
          <w:bCs/>
          <w:caps/>
        </w:rPr>
        <w:t>apibendrinimas</w:t>
      </w:r>
    </w:p>
    <w:p w14:paraId="1A900598" w14:textId="4826E5DF" w:rsidR="00C62B36" w:rsidRPr="007111BC" w:rsidRDefault="00C62B36" w:rsidP="000E3864">
      <w:pPr>
        <w:tabs>
          <w:tab w:val="left" w:pos="426"/>
        </w:tabs>
        <w:spacing w:line="360" w:lineRule="auto"/>
        <w:jc w:val="both"/>
        <w:rPr>
          <w:i/>
        </w:rPr>
      </w:pPr>
    </w:p>
    <w:p w14:paraId="6E42C63D" w14:textId="77777777" w:rsidR="00DC4EF9" w:rsidRPr="007111BC" w:rsidRDefault="00DC4EF9" w:rsidP="000E3864">
      <w:pPr>
        <w:spacing w:line="360" w:lineRule="auto"/>
        <w:jc w:val="both"/>
      </w:pPr>
      <w:r w:rsidRPr="007111BC">
        <w:rPr>
          <w:rFonts w:eastAsia="Arial"/>
        </w:rPr>
        <w:t xml:space="preserve">Klinikinio vertinimo metu nustačius </w:t>
      </w:r>
      <w:r w:rsidRPr="007111BC">
        <w:rPr>
          <w:rFonts w:eastAsia="Arial"/>
          <w:i/>
          <w:iCs/>
        </w:rPr>
        <w:t xml:space="preserve">didesnį </w:t>
      </w:r>
      <w:r w:rsidRPr="007111BC">
        <w:rPr>
          <w:rFonts w:eastAsia="Arial"/>
        </w:rPr>
        <w:t>palyginamąjį veiksmingumą lyginant su įprasta klinikine praktika,</w:t>
      </w:r>
      <w:r w:rsidRPr="007111BC">
        <w:t xml:space="preserve"> atliekamas </w:t>
      </w:r>
      <w:r w:rsidRPr="007111BC">
        <w:rPr>
          <w:rFonts w:eastAsia="Arial"/>
          <w:bCs/>
        </w:rPr>
        <w:t xml:space="preserve">kaštų </w:t>
      </w:r>
      <w:r w:rsidRPr="007111BC">
        <w:rPr>
          <w:rFonts w:eastAsia="Arial"/>
          <w:i/>
          <w:iCs/>
        </w:rPr>
        <w:t>naudingumo</w:t>
      </w:r>
      <w:r w:rsidRPr="007111BC">
        <w:rPr>
          <w:rFonts w:eastAsia="Arial"/>
          <w:bCs/>
        </w:rPr>
        <w:t xml:space="preserve"> analizės vertinimas</w:t>
      </w:r>
      <w:r w:rsidRPr="007111BC">
        <w:t xml:space="preserve">. </w:t>
      </w:r>
      <w:r w:rsidRPr="007111BC">
        <w:rPr>
          <w:lang w:eastAsia="lt-LT"/>
        </w:rPr>
        <w:t xml:space="preserve">Į ekonominę analizę įtraukti pacientai atitinka kompensacijai teikiamas terapines indikacijas. Analizėje nagrinėjamą populiaciją sudaro pacientai, sergantys estrogenų receptoriams teigiamu (ER), HR+, </w:t>
      </w:r>
      <w:r w:rsidRPr="007111BC">
        <w:rPr>
          <w:rFonts w:eastAsia="Arial"/>
        </w:rPr>
        <w:t xml:space="preserve">HER2- LA vietiškai išplitusiu ar metastazavusiu krūties vėžiu su </w:t>
      </w:r>
      <w:r w:rsidRPr="007111BC">
        <w:rPr>
          <w:rFonts w:eastAsia="Arial"/>
          <w:i/>
          <w:iCs/>
        </w:rPr>
        <w:t xml:space="preserve">PIK3CA </w:t>
      </w:r>
      <w:r w:rsidRPr="007111BC">
        <w:rPr>
          <w:rFonts w:eastAsia="Arial"/>
          <w:iCs/>
        </w:rPr>
        <w:t xml:space="preserve">mutacija, kuriems liga atsinujino skiriant adjuvantinį endokrininį gydymą. Šią pacientų populiaciją atitinka INAVO120 tyrimas. Vidutinis amžius 54 metai, o 96,9 proc. pacientų sudarė moterys. </w:t>
      </w:r>
      <w:r w:rsidRPr="007111BC">
        <w:rPr>
          <w:rFonts w:eastAsia="Arial"/>
          <w:bCs/>
        </w:rPr>
        <w:t xml:space="preserve">Ekonominėje analizėje pateiktas palyginamasis gydymas atitinka įprastą Lietuvos Respublikos klinikinę praktiką. </w:t>
      </w:r>
      <w:r w:rsidRPr="007111BC">
        <w:t>Analizėje pateikti tyrs palyginamieji gydymai:</w:t>
      </w:r>
    </w:p>
    <w:p w14:paraId="12BBFD89" w14:textId="77777777" w:rsidR="00DC4EF9" w:rsidRPr="007111BC" w:rsidRDefault="00DC4EF9" w:rsidP="000E3864">
      <w:pPr>
        <w:pStyle w:val="Tekstas"/>
        <w:numPr>
          <w:ilvl w:val="0"/>
          <w:numId w:val="16"/>
        </w:numPr>
        <w:spacing w:line="360" w:lineRule="auto"/>
        <w:rPr>
          <w:lang w:val="lt-LT"/>
        </w:rPr>
      </w:pPr>
      <w:r w:rsidRPr="007111BC">
        <w:rPr>
          <w:lang w:val="lt-LT"/>
        </w:rPr>
        <w:t>Palbociclib+Fulvestrant (Pbo+Palbo+Fulv) – tiesioginis palyginimas;</w:t>
      </w:r>
    </w:p>
    <w:p w14:paraId="50FA2F7C" w14:textId="77777777" w:rsidR="00DC4EF9" w:rsidRPr="007111BC" w:rsidRDefault="00DC4EF9" w:rsidP="000E3864">
      <w:pPr>
        <w:pStyle w:val="Tekstas"/>
        <w:numPr>
          <w:ilvl w:val="0"/>
          <w:numId w:val="16"/>
        </w:numPr>
        <w:spacing w:line="360" w:lineRule="auto"/>
        <w:rPr>
          <w:lang w:val="lt-LT"/>
        </w:rPr>
      </w:pPr>
      <w:r w:rsidRPr="007111BC">
        <w:rPr>
          <w:lang w:val="lt-LT"/>
        </w:rPr>
        <w:t>Abemaciclib+Fulvestrant (Abema+Fulv) – netiesioginis palyginimas;</w:t>
      </w:r>
    </w:p>
    <w:p w14:paraId="28FC8329" w14:textId="77777777" w:rsidR="00DC4EF9" w:rsidRPr="007111BC" w:rsidRDefault="00DC4EF9" w:rsidP="000E3864">
      <w:pPr>
        <w:pStyle w:val="Tekstas"/>
        <w:numPr>
          <w:ilvl w:val="0"/>
          <w:numId w:val="16"/>
        </w:numPr>
        <w:spacing w:line="360" w:lineRule="auto"/>
        <w:rPr>
          <w:lang w:val="lt-LT"/>
        </w:rPr>
      </w:pPr>
      <w:r w:rsidRPr="007111BC">
        <w:rPr>
          <w:lang w:val="lt-LT"/>
        </w:rPr>
        <w:t>Ribociclib+Fulvestrant (Ribo+Fulv) – netiesioginis palyginimas.</w:t>
      </w:r>
    </w:p>
    <w:p w14:paraId="7A4090EF" w14:textId="77777777" w:rsidR="00DC4EF9" w:rsidRPr="007111BC" w:rsidRDefault="00DC4EF9" w:rsidP="000E3864">
      <w:pPr>
        <w:pStyle w:val="Tekstas"/>
        <w:spacing w:line="360" w:lineRule="auto"/>
        <w:rPr>
          <w:lang w:val="lt-LT"/>
        </w:rPr>
      </w:pPr>
      <w:r w:rsidRPr="007111BC">
        <w:rPr>
          <w:lang w:val="lt-LT"/>
        </w:rPr>
        <w:t xml:space="preserve">Pagrindinio atvejo analizėje pateikiamas inavolisibo, palbociklibo ir fulvestranto derinio palyginimas su palbociklibo ir fulvestranto deriniu, remiantis tiesioginio palyginimo duomenimis. </w:t>
      </w:r>
    </w:p>
    <w:p w14:paraId="1A052740" w14:textId="77777777" w:rsidR="00DC4EF9" w:rsidRPr="007111BC" w:rsidRDefault="00DC4EF9" w:rsidP="000E3864">
      <w:pPr>
        <w:pStyle w:val="Tekstas"/>
        <w:spacing w:line="360" w:lineRule="auto"/>
        <w:rPr>
          <w:lang w:val="lt-LT"/>
        </w:rPr>
      </w:pPr>
      <w:r w:rsidRPr="007111BC">
        <w:rPr>
          <w:lang w:val="lt-LT"/>
        </w:rPr>
        <w:t xml:space="preserve">Dozavimas ir gydymo trukmė ekonominėje analizėje atitinka klinikiniuose įrodymuose pateiktą informaciją. Kaštai ir nauda diskontuoti pagal teisės aktuose nustatytus paraiškos rengimo taisyklių reikalavimus. Taikytas 3,5% diskontavimas. Analizė atlikta iš PSDF biudžeto perspektyvos, įtraukti tiesiogiai su sveikatos sistema susiję kaštai. Tai atitinka teisės aktuose nustatytus paraiškos rengimo taisyklių reikalavimus. </w:t>
      </w:r>
      <w:r w:rsidRPr="007111BC">
        <w:rPr>
          <w:lang w:val="lt-LT" w:eastAsia="lt-LT"/>
        </w:rPr>
        <w:t xml:space="preserve">Analizėje taikoma 46 metų, viso gyvenimo, laiko perspektyva. Pasirinkta laiko perspektyva yra tinkama. </w:t>
      </w:r>
      <w:r w:rsidRPr="007111BC">
        <w:rPr>
          <w:lang w:val="lt-LT"/>
        </w:rPr>
        <w:t xml:space="preserve">Analizėje taikomas modeliavimas – padalintos kohortos išgyvenamumo modelis. Modelį sudaro keturios sveikatos būklės: sveikatos būklė iki ligos progresijos (PFS), pirmą kartą progresavusi liga (PD1), antra kartą progresavusi liga (PD2) ir mirtis. Remiantis INAVO120 tyrimo rezultatais, pacientai į modelį patenka PFS sveikatos būklėje. </w:t>
      </w:r>
    </w:p>
    <w:p w14:paraId="52BF70A1" w14:textId="77777777" w:rsidR="00DC4EF9" w:rsidRPr="007111BC" w:rsidRDefault="00DC4EF9" w:rsidP="000E3864">
      <w:pPr>
        <w:spacing w:line="360" w:lineRule="auto"/>
        <w:jc w:val="both"/>
        <w:rPr>
          <w:iCs/>
        </w:rPr>
      </w:pPr>
      <w:r w:rsidRPr="007111BC">
        <w:t xml:space="preserve">Analizė grindžiama tiesioginio palyginimo rezultatais iš INAVO120 klinikinio tyrimo. Analizėje papildomai pateikti netiesioginio palyginimo duomenys. Tarnyba pabrėžia, jog netiesioginio palyginimo duomenys pasižymi neapibrėžtumu. Klinikinėje vertinimo dalyje nurodyta: </w:t>
      </w:r>
      <w:r w:rsidRPr="007111BC">
        <w:rPr>
          <w:i/>
        </w:rPr>
        <w:t xml:space="preserve">Netiesioginio palyginimo analizės populiacija neatitinka Lietuvos pacientų, sergančių </w:t>
      </w:r>
      <w:r w:rsidRPr="007111BC">
        <w:rPr>
          <w:rFonts w:eastAsiaTheme="minorHAnsi"/>
          <w:i/>
        </w:rPr>
        <w:t>estrogenų receptoriams (ER) teigiamu, HER2 neigiamu, vietiškai išplitusiu arba metastazavusiu krūties vėžiu su PIK3CA mutacija, gydyti, kai liga atsinaujina skiriant adjuvantinį endokrininį gydymą arba per 12 mėnesių nuo jo pabaigos,</w:t>
      </w:r>
      <w:r w:rsidRPr="007111BC">
        <w:rPr>
          <w:i/>
        </w:rPr>
        <w:t xml:space="preserve"> populiacijos. Maždaug trečdalis populiacijos tyrimuose MONARCH-2, MONALEESA-3 ir PALOMA-3 buvo pacientės anksčiau buvo gavusios endokrininę terapiją išplitusiai ar metastazinei ligai gydyti; ši aplinkybė buvo neįtraukimo kriterijus </w:t>
      </w:r>
      <w:r w:rsidRPr="007111BC">
        <w:rPr>
          <w:b/>
          <w:bCs/>
          <w:i/>
        </w:rPr>
        <w:t>INAVO120</w:t>
      </w:r>
      <w:r w:rsidRPr="007111BC">
        <w:rPr>
          <w:i/>
        </w:rPr>
        <w:t xml:space="preserve">, MONARCH plus (Cohort B) ir </w:t>
      </w:r>
      <w:r w:rsidRPr="007111BC">
        <w:rPr>
          <w:i/>
        </w:rPr>
        <w:lastRenderedPageBreak/>
        <w:t xml:space="preserve">FLIPPER tyrimuose. Pareiškėjas nepateikė analizės rezultatų pirmos gydymo eilės pogrupyje. Gydymo eilės heterogeniškumas riboja netiesioginio palyginimo analizės rezultatų patikimumą bei sudaro prielaidą apskaičiuoti didesnį palyginamąjį derinio su inavolisibo veiksmingumą, nes vėlesnių eilių pacientės turi agresyvesnę ligos eigą ir trumpesnius IBLP rezultatus. Taip pat apart INAVO 120 tyrimo, kituose įtrauktuose tyrimuose nebuvo tiriama </w:t>
      </w:r>
      <w:r w:rsidRPr="007111BC">
        <w:rPr>
          <w:rFonts w:eastAsiaTheme="minorHAnsi"/>
          <w:i/>
        </w:rPr>
        <w:t xml:space="preserve">PIK3CA mutacija (blogos prognozės žymuo). </w:t>
      </w:r>
      <w:r w:rsidRPr="007111BC">
        <w:rPr>
          <w:i/>
        </w:rPr>
        <w:t xml:space="preserve">Atsižvelgiant į įtrauktų tyrimų gydymo eilės heterogeniškumą netiesioginio palyginimo analizės duomenys vertinami kaip žvalgomojo pobūdžio. Klinikinio veiksmingumo vertinimo išvada atlikta remiantis tiesioginio palyginimo tyrimo duomenimis. </w:t>
      </w:r>
    </w:p>
    <w:p w14:paraId="1550BB0A" w14:textId="77777777" w:rsidR="00DC4EF9" w:rsidRPr="007111BC" w:rsidRDefault="00DC4EF9" w:rsidP="000E3864">
      <w:pPr>
        <w:pStyle w:val="Tekstas"/>
        <w:spacing w:line="360" w:lineRule="auto"/>
        <w:rPr>
          <w:lang w:val="lt-LT"/>
        </w:rPr>
      </w:pPr>
      <w:r w:rsidRPr="007111BC">
        <w:rPr>
          <w:lang w:val="lt-LT"/>
        </w:rPr>
        <w:t>Atsižvelgiant į tai, jog klinikinio vertinimo išvada yra grindžiama tiesioginio palyginimo įrodymais, taip pat, tikėtina, jog palbociklibo, abemaciklibo ir ribociklibo veiksmingumas yra panašus, todėl tiesioginio palyginimo įrodymai (pbo+palbo+fulv) yra naudojami analizės rezultato apskaičiavimui ir rekomendacijos suformulavimui, nes netiesioginio palyginimo įrodymai pasižymi neapibrėžtumu ir taip gali būti pervertinamas inavolisibo derinio veiksmingumas.</w:t>
      </w:r>
    </w:p>
    <w:p w14:paraId="55242D59" w14:textId="77777777" w:rsidR="00DC4EF9" w:rsidRPr="007111BC" w:rsidRDefault="00DC4EF9" w:rsidP="000E3864">
      <w:pPr>
        <w:spacing w:line="360" w:lineRule="auto"/>
        <w:jc w:val="both"/>
        <w:rPr>
          <w:lang w:eastAsia="lt-LT"/>
        </w:rPr>
      </w:pPr>
      <w:r w:rsidRPr="007111BC">
        <w:rPr>
          <w:lang w:eastAsia="lt-LT"/>
        </w:rPr>
        <w:t>Pareiškėjo taikomos prielaidos, vertinant efektyvumo skirtumus tarp siūlomo ir palyginamojo gydymo ilgajame laikotarpyje yra pagrįstos.</w:t>
      </w:r>
    </w:p>
    <w:p w14:paraId="67EC8A71" w14:textId="77777777" w:rsidR="00DC4EF9" w:rsidRPr="007111BC" w:rsidRDefault="00DC4EF9" w:rsidP="000E3864">
      <w:pPr>
        <w:pStyle w:val="Tekstas"/>
        <w:spacing w:line="360" w:lineRule="auto"/>
        <w:rPr>
          <w:lang w:val="lt-LT" w:eastAsia="lt-LT"/>
        </w:rPr>
      </w:pPr>
      <w:r w:rsidRPr="007111BC">
        <w:rPr>
          <w:lang w:val="lt-LT" w:eastAsia="lt-LT"/>
        </w:rPr>
        <w:t>Pareiškėjas vertinimui nepateikė gyvenimo kokybės įverčių alternatyvų iš mokslinės literatūros, todėl Tarnyba negali pilnai įvertinti gyvenimo kokybės įverčių įtakos analizės rezultatui. Vis dėlto, atsižvelgiant į tai, jog analizėje naudojami tiesioginio palyginimo duomenys ir gyvenimo kokybės įverčiai, laikoma, jog taikant šiuos gyvenimo kokybės įverčius galima apskaičiuoti patikimą pagrindinio atvejo analizės rezultatą. Tarnybai nėra aišku, ar analizėje naudojamas asmens sveikatos priežiūros paslaugų poreikis atitinka Lietuvos klinikinę praktiką, nes asmens sveikatos priežiūros poreikis įvertintas pagal Stellato et al., 2021 publikaciją. Vis dėlto, atsižvelgiant, jog asmens sveikatos priežiūros paslaugos įkainotos pagal Lietuvos įkainius, taip pat atsižvelgiant į asmens sveikatos priežiūros paslaugų įtaką analizės rezultatui, laikoma, jog gautą analizės rezultatą galima interpretuoti.</w:t>
      </w:r>
    </w:p>
    <w:p w14:paraId="78880C74" w14:textId="0F9375D8" w:rsidR="00DC4EF9" w:rsidRPr="007111BC" w:rsidRDefault="00DC4EF9" w:rsidP="000E3864">
      <w:pPr>
        <w:spacing w:line="360" w:lineRule="auto"/>
        <w:jc w:val="both"/>
      </w:pPr>
      <w:r w:rsidRPr="007111BC">
        <w:t xml:space="preserve">Tarnybos dvejones dėl netiesioginio palyginimo analizėje pervertinamos inavolisibo naudos patvirtina scenarijų analizės rezultatas, kuriame inavolisibo, palbociklibo ir fulvestranto derinys sukuria papildomai </w:t>
      </w:r>
      <w:r w:rsidR="006A18FD">
        <w:rPr>
          <w:lang w:val="en-US"/>
        </w:rPr>
        <w:t>***</w:t>
      </w:r>
      <w:r w:rsidRPr="007111BC">
        <w:t xml:space="preserve"> QALY‘s (palyginus su abemaciklibo ir fulvestranto deriniu) bei </w:t>
      </w:r>
      <w:r w:rsidR="006A18FD">
        <w:t>***</w:t>
      </w:r>
      <w:r w:rsidRPr="007111BC">
        <w:t xml:space="preserve"> QALY‘s (palyginus su ribociklibo ir fulvestranto deriniu), kai tiesioginio palyginimo įrodymuose nustatyta, jog inavolisibo, palbociklibo derinys sukuria papildomai </w:t>
      </w:r>
      <w:r w:rsidR="006A18FD">
        <w:t>***</w:t>
      </w:r>
      <w:r w:rsidRPr="007111BC">
        <w:t xml:space="preserve"> QALY‘s (palyginus su placebo, palbociklibo ir fulvestranto deriniu).</w:t>
      </w:r>
    </w:p>
    <w:p w14:paraId="1652C491" w14:textId="77777777" w:rsidR="00DC4EF9" w:rsidRPr="007111BC" w:rsidRDefault="00DC4EF9" w:rsidP="000E3864">
      <w:pPr>
        <w:spacing w:line="360" w:lineRule="auto"/>
        <w:jc w:val="both"/>
      </w:pPr>
      <w:r w:rsidRPr="007111BC">
        <w:t xml:space="preserve">Tarnyba pabrėžia, jog remiantis ankstesniais tarnybos atliktais vertinimais, galima teigti, jog palbociklibas, abemaciklibas ir ribociklibas pasižymi panašių palyginamuoju efektyvumu, todėl </w:t>
      </w:r>
      <w:r w:rsidRPr="007111BC">
        <w:lastRenderedPageBreak/>
        <w:t>netiesioginio palyginimo rezultatai negali būti įtraukiami į pagrindinio atvejo analizę, nes netiesioginio palyginimo įrodymuose yra pervertinama inavolisibo sugeneruojama nauda.</w:t>
      </w:r>
    </w:p>
    <w:p w14:paraId="004B9D10" w14:textId="5179D7D5" w:rsidR="00DC4EF9" w:rsidRPr="007111BC" w:rsidRDefault="00DC4EF9" w:rsidP="000E3864">
      <w:pPr>
        <w:spacing w:line="360" w:lineRule="auto"/>
        <w:jc w:val="both"/>
        <w:rPr>
          <w:rFonts w:eastAsia="Arial"/>
        </w:rPr>
      </w:pPr>
      <w:r w:rsidRPr="007111BC">
        <w:rPr>
          <w:rFonts w:eastAsia="Arial"/>
        </w:rPr>
        <w:t xml:space="preserve">Įvertinus tiesioginio palyginimo rezultatus, nustatyta, jog inavolisibo pridėjimas prie standartinės praktikos sukuria papildomus </w:t>
      </w:r>
      <w:r w:rsidR="006A18FD">
        <w:rPr>
          <w:rFonts w:eastAsia="Arial"/>
        </w:rPr>
        <w:t>***</w:t>
      </w:r>
      <w:r w:rsidRPr="007111BC">
        <w:rPr>
          <w:rFonts w:eastAsia="Arial"/>
        </w:rPr>
        <w:t xml:space="preserve"> (LY‘s) gyvenimo metus ir </w:t>
      </w:r>
      <w:r w:rsidR="006A18FD">
        <w:rPr>
          <w:rFonts w:eastAsia="Arial"/>
        </w:rPr>
        <w:t>***</w:t>
      </w:r>
      <w:r w:rsidRPr="007111BC">
        <w:rPr>
          <w:rFonts w:eastAsia="Arial"/>
        </w:rPr>
        <w:t xml:space="preserve"> kokybiškus gyvenimo metus (QALY‘s), tačiau sugeneruoja ir papildomus kaštus, todėl inavolisibo pridėjimas prie standartinės praktikos nėra laikomas kaštams naudingu. </w:t>
      </w:r>
    </w:p>
    <w:p w14:paraId="2789661F" w14:textId="77777777" w:rsidR="00DC4EF9" w:rsidRPr="007111BC" w:rsidRDefault="00DC4EF9" w:rsidP="000E3864">
      <w:pPr>
        <w:tabs>
          <w:tab w:val="left" w:pos="426"/>
        </w:tabs>
        <w:spacing w:line="360" w:lineRule="auto"/>
        <w:jc w:val="both"/>
        <w:rPr>
          <w:b/>
          <w:bCs/>
          <w:caps/>
        </w:rPr>
      </w:pPr>
    </w:p>
    <w:p w14:paraId="174D84D7" w14:textId="09C7BC2B" w:rsidR="0035172D" w:rsidRPr="007111BC" w:rsidRDefault="00164D64" w:rsidP="00A93AA6">
      <w:pPr>
        <w:tabs>
          <w:tab w:val="left" w:pos="426"/>
        </w:tabs>
        <w:rPr>
          <w:b/>
          <w:lang w:eastAsia="lt-LT"/>
        </w:rPr>
      </w:pPr>
      <w:r w:rsidRPr="007111BC">
        <w:rPr>
          <w:b/>
          <w:lang w:eastAsia="lt-LT"/>
        </w:rPr>
        <w:t xml:space="preserve">3.1 </w:t>
      </w:r>
      <w:r w:rsidR="0035172D" w:rsidRPr="007111BC">
        <w:rPr>
          <w:b/>
          <w:lang w:eastAsia="lt-LT"/>
        </w:rPr>
        <w:t>Ekonominės analizės rezultatas</w:t>
      </w:r>
    </w:p>
    <w:p w14:paraId="4801D227" w14:textId="77777777" w:rsidR="009E44AE" w:rsidRPr="007111BC" w:rsidRDefault="009E44AE" w:rsidP="00A93AA6">
      <w:pPr>
        <w:tabs>
          <w:tab w:val="left" w:pos="426"/>
        </w:tabs>
        <w:rPr>
          <w:b/>
          <w:lang w:eastAsia="lt-LT"/>
        </w:rPr>
      </w:pPr>
    </w:p>
    <w:tbl>
      <w:tblPr>
        <w:tblStyle w:val="Lentelstinklelis1"/>
        <w:tblW w:w="943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00"/>
        <w:gridCol w:w="3239"/>
      </w:tblGrid>
      <w:tr w:rsidR="00334F18" w:rsidRPr="007111BC" w14:paraId="42D6C843" w14:textId="77777777" w:rsidTr="00BE7489">
        <w:trPr>
          <w:trHeight w:val="344"/>
          <w:jc w:val="center"/>
        </w:trPr>
        <w:tc>
          <w:tcPr>
            <w:tcW w:w="9439" w:type="dxa"/>
            <w:gridSpan w:val="2"/>
            <w:tcBorders>
              <w:top w:val="single" w:sz="12" w:space="0" w:color="auto"/>
              <w:left w:val="single" w:sz="4" w:space="0" w:color="auto"/>
              <w:right w:val="single" w:sz="4" w:space="0" w:color="auto"/>
            </w:tcBorders>
            <w:vAlign w:val="center"/>
          </w:tcPr>
          <w:p w14:paraId="39FD3B40" w14:textId="77777777" w:rsidR="009E44AE" w:rsidRPr="007111BC" w:rsidRDefault="009E44AE" w:rsidP="009E44AE">
            <w:pPr>
              <w:tabs>
                <w:tab w:val="left" w:pos="567"/>
              </w:tabs>
              <w:jc w:val="center"/>
              <w:rPr>
                <w:b/>
                <w:bCs/>
                <w:sz w:val="26"/>
                <w:szCs w:val="26"/>
                <w:lang w:eastAsia="lt-LT"/>
              </w:rPr>
            </w:pPr>
            <w:r w:rsidRPr="007111BC">
              <w:rPr>
                <w:b/>
                <w:bCs/>
                <w:sz w:val="26"/>
                <w:szCs w:val="26"/>
                <w:lang w:eastAsia="lt-LT"/>
              </w:rPr>
              <w:t>Rezultatai</w:t>
            </w:r>
          </w:p>
        </w:tc>
      </w:tr>
      <w:tr w:rsidR="00334F18" w:rsidRPr="007111BC" w14:paraId="319AF392" w14:textId="77777777" w:rsidTr="00DC4EF9">
        <w:trPr>
          <w:trHeight w:val="267"/>
          <w:jc w:val="center"/>
        </w:trPr>
        <w:tc>
          <w:tcPr>
            <w:tcW w:w="6200" w:type="dxa"/>
            <w:tcBorders>
              <w:left w:val="single" w:sz="4" w:space="0" w:color="auto"/>
            </w:tcBorders>
          </w:tcPr>
          <w:p w14:paraId="44CD8D27" w14:textId="27245A0B" w:rsidR="00BA5DBC" w:rsidRPr="007111BC" w:rsidRDefault="00BA5DBC" w:rsidP="00BA5DBC">
            <w:pPr>
              <w:tabs>
                <w:tab w:val="left" w:pos="567"/>
              </w:tabs>
              <w:jc w:val="right"/>
              <w:rPr>
                <w:iCs/>
                <w:lang w:eastAsia="lt-LT"/>
              </w:rPr>
            </w:pPr>
            <w:r w:rsidRPr="007111BC">
              <w:rPr>
                <w:iCs/>
                <w:lang w:eastAsia="lt-LT"/>
              </w:rPr>
              <w:t>Kaštų skirtumas</w:t>
            </w:r>
          </w:p>
        </w:tc>
        <w:tc>
          <w:tcPr>
            <w:tcW w:w="3239" w:type="dxa"/>
            <w:tcBorders>
              <w:right w:val="single" w:sz="4" w:space="0" w:color="auto"/>
            </w:tcBorders>
          </w:tcPr>
          <w:p w14:paraId="1CACF0B4" w14:textId="600C510B" w:rsidR="00BA5DBC" w:rsidRPr="007111BC" w:rsidRDefault="00E609BA" w:rsidP="00BA5DBC">
            <w:pPr>
              <w:tabs>
                <w:tab w:val="left" w:pos="567"/>
              </w:tabs>
              <w:jc w:val="both"/>
              <w:rPr>
                <w:i/>
                <w:iCs/>
                <w:lang w:eastAsia="lt-LT"/>
              </w:rPr>
            </w:pPr>
            <w:r>
              <w:rPr>
                <w:i/>
                <w:iCs/>
                <w:lang w:eastAsia="lt-LT"/>
              </w:rPr>
              <w:t xml:space="preserve">**** </w:t>
            </w:r>
            <w:r w:rsidR="00DC4EF9" w:rsidRPr="007111BC">
              <w:rPr>
                <w:i/>
                <w:iCs/>
                <w:lang w:eastAsia="lt-LT"/>
              </w:rPr>
              <w:t>eur</w:t>
            </w:r>
          </w:p>
        </w:tc>
      </w:tr>
      <w:tr w:rsidR="00334F18" w:rsidRPr="007111BC" w14:paraId="49F818A3" w14:textId="77777777" w:rsidTr="00DC4EF9">
        <w:trPr>
          <w:trHeight w:val="267"/>
          <w:jc w:val="center"/>
        </w:trPr>
        <w:tc>
          <w:tcPr>
            <w:tcW w:w="6200" w:type="dxa"/>
            <w:tcBorders>
              <w:left w:val="single" w:sz="4" w:space="0" w:color="auto"/>
            </w:tcBorders>
          </w:tcPr>
          <w:p w14:paraId="021DB925" w14:textId="389F1BF5" w:rsidR="00BA5DBC" w:rsidRPr="007111BC" w:rsidRDefault="00BA5DBC" w:rsidP="00BA5DBC">
            <w:pPr>
              <w:tabs>
                <w:tab w:val="left" w:pos="567"/>
              </w:tabs>
              <w:jc w:val="right"/>
              <w:rPr>
                <w:iCs/>
                <w:lang w:eastAsia="lt-LT"/>
              </w:rPr>
            </w:pPr>
            <w:r w:rsidRPr="007111BC">
              <w:rPr>
                <w:iCs/>
                <w:lang w:eastAsia="lt-LT"/>
              </w:rPr>
              <w:t>Papildomi gyvenimo metai (LY)</w:t>
            </w:r>
          </w:p>
        </w:tc>
        <w:tc>
          <w:tcPr>
            <w:tcW w:w="3239" w:type="dxa"/>
            <w:tcBorders>
              <w:right w:val="single" w:sz="4" w:space="0" w:color="auto"/>
            </w:tcBorders>
          </w:tcPr>
          <w:p w14:paraId="4954817B" w14:textId="0F6CA751" w:rsidR="00BA5DBC" w:rsidRPr="007111BC" w:rsidRDefault="006A18FD" w:rsidP="00BA5DBC">
            <w:pPr>
              <w:tabs>
                <w:tab w:val="left" w:pos="567"/>
              </w:tabs>
              <w:jc w:val="both"/>
              <w:rPr>
                <w:i/>
                <w:iCs/>
                <w:lang w:eastAsia="lt-LT"/>
              </w:rPr>
            </w:pPr>
            <w:r>
              <w:rPr>
                <w:lang w:eastAsia="lt-LT"/>
              </w:rPr>
              <w:t>****</w:t>
            </w:r>
            <w:r w:rsidR="00DC4EF9" w:rsidRPr="007111BC">
              <w:rPr>
                <w:lang w:eastAsia="lt-LT"/>
              </w:rPr>
              <w:t xml:space="preserve"> LY‘s</w:t>
            </w:r>
          </w:p>
        </w:tc>
      </w:tr>
      <w:tr w:rsidR="00334F18" w:rsidRPr="007111BC" w14:paraId="20ADA742" w14:textId="77777777" w:rsidTr="00DC4EF9">
        <w:trPr>
          <w:trHeight w:val="267"/>
          <w:jc w:val="center"/>
        </w:trPr>
        <w:tc>
          <w:tcPr>
            <w:tcW w:w="6200" w:type="dxa"/>
            <w:tcBorders>
              <w:left w:val="single" w:sz="4" w:space="0" w:color="auto"/>
            </w:tcBorders>
          </w:tcPr>
          <w:p w14:paraId="0F567576" w14:textId="2606A2E9" w:rsidR="00BA5DBC" w:rsidRPr="007111BC" w:rsidRDefault="0058712F" w:rsidP="00BA5DBC">
            <w:pPr>
              <w:tabs>
                <w:tab w:val="left" w:pos="567"/>
              </w:tabs>
              <w:jc w:val="right"/>
              <w:rPr>
                <w:iCs/>
                <w:lang w:eastAsia="lt-LT"/>
              </w:rPr>
            </w:pPr>
            <w:r w:rsidRPr="007111BC">
              <w:rPr>
                <w:iCs/>
                <w:lang w:eastAsia="lt-LT"/>
              </w:rPr>
              <w:t>Papildomi k</w:t>
            </w:r>
            <w:r w:rsidR="00BA5DBC" w:rsidRPr="007111BC">
              <w:rPr>
                <w:iCs/>
                <w:lang w:eastAsia="lt-LT"/>
              </w:rPr>
              <w:t>okybiški gyvenimo metai (QALY)</w:t>
            </w:r>
          </w:p>
        </w:tc>
        <w:tc>
          <w:tcPr>
            <w:tcW w:w="3239" w:type="dxa"/>
            <w:tcBorders>
              <w:right w:val="single" w:sz="4" w:space="0" w:color="auto"/>
            </w:tcBorders>
          </w:tcPr>
          <w:p w14:paraId="02E4DAE1" w14:textId="5F777BAA" w:rsidR="00BA5DBC" w:rsidRPr="007111BC" w:rsidRDefault="006A18FD" w:rsidP="00BA5DBC">
            <w:pPr>
              <w:tabs>
                <w:tab w:val="left" w:pos="567"/>
              </w:tabs>
              <w:jc w:val="both"/>
              <w:rPr>
                <w:i/>
                <w:iCs/>
                <w:lang w:eastAsia="lt-LT"/>
              </w:rPr>
            </w:pPr>
            <w:r>
              <w:rPr>
                <w:lang w:eastAsia="lt-LT"/>
              </w:rPr>
              <w:t>****</w:t>
            </w:r>
            <w:r w:rsidR="00DC4EF9" w:rsidRPr="007111BC">
              <w:rPr>
                <w:lang w:eastAsia="lt-LT"/>
              </w:rPr>
              <w:t xml:space="preserve"> QALY‘s</w:t>
            </w:r>
          </w:p>
        </w:tc>
      </w:tr>
      <w:tr w:rsidR="00DC4EF9" w:rsidRPr="007111BC" w14:paraId="1FADA2B3" w14:textId="77777777" w:rsidTr="00DC4EF9">
        <w:trPr>
          <w:trHeight w:val="267"/>
          <w:jc w:val="center"/>
        </w:trPr>
        <w:tc>
          <w:tcPr>
            <w:tcW w:w="6200" w:type="dxa"/>
            <w:tcBorders>
              <w:left w:val="single" w:sz="4" w:space="0" w:color="auto"/>
            </w:tcBorders>
          </w:tcPr>
          <w:p w14:paraId="13E089E8" w14:textId="0BCEB339" w:rsidR="00DC4EF9" w:rsidRPr="007111BC" w:rsidRDefault="00DC4EF9" w:rsidP="00DC4EF9">
            <w:pPr>
              <w:tabs>
                <w:tab w:val="left" w:pos="567"/>
              </w:tabs>
              <w:jc w:val="right"/>
              <w:rPr>
                <w:iCs/>
                <w:lang w:eastAsia="lt-LT"/>
              </w:rPr>
            </w:pPr>
            <w:r w:rsidRPr="007111BC">
              <w:rPr>
                <w:iCs/>
                <w:lang w:eastAsia="lt-LT"/>
              </w:rPr>
              <w:t>ICER už LY</w:t>
            </w:r>
          </w:p>
        </w:tc>
        <w:tc>
          <w:tcPr>
            <w:tcW w:w="3239" w:type="dxa"/>
            <w:tcBorders>
              <w:right w:val="single" w:sz="4" w:space="0" w:color="auto"/>
            </w:tcBorders>
          </w:tcPr>
          <w:p w14:paraId="2817448D" w14:textId="1560091A" w:rsidR="00DC4EF9" w:rsidRPr="007111BC" w:rsidRDefault="00E609BA" w:rsidP="00DC4EF9">
            <w:pPr>
              <w:tabs>
                <w:tab w:val="left" w:pos="567"/>
              </w:tabs>
              <w:jc w:val="both"/>
              <w:rPr>
                <w:i/>
                <w:iCs/>
                <w:lang w:eastAsia="lt-LT"/>
              </w:rPr>
            </w:pPr>
            <w:r>
              <w:rPr>
                <w:i/>
                <w:iCs/>
                <w:lang w:eastAsia="lt-LT"/>
              </w:rPr>
              <w:t>****</w:t>
            </w:r>
            <w:r w:rsidR="00DC4EF9" w:rsidRPr="007111BC">
              <w:rPr>
                <w:i/>
                <w:iCs/>
                <w:lang w:eastAsia="lt-LT"/>
              </w:rPr>
              <w:t xml:space="preserve"> eur/LY</w:t>
            </w:r>
          </w:p>
        </w:tc>
      </w:tr>
      <w:tr w:rsidR="00DC4EF9" w:rsidRPr="007111BC" w14:paraId="250DE960" w14:textId="77777777" w:rsidTr="00DC4EF9">
        <w:trPr>
          <w:trHeight w:val="267"/>
          <w:jc w:val="center"/>
        </w:trPr>
        <w:tc>
          <w:tcPr>
            <w:tcW w:w="6200" w:type="dxa"/>
            <w:tcBorders>
              <w:left w:val="single" w:sz="4" w:space="0" w:color="auto"/>
            </w:tcBorders>
          </w:tcPr>
          <w:p w14:paraId="207EFB23" w14:textId="77777777" w:rsidR="00DC4EF9" w:rsidRPr="007111BC" w:rsidRDefault="00DC4EF9" w:rsidP="00DC4EF9">
            <w:pPr>
              <w:tabs>
                <w:tab w:val="left" w:pos="567"/>
              </w:tabs>
              <w:jc w:val="right"/>
              <w:rPr>
                <w:iCs/>
                <w:lang w:eastAsia="lt-LT"/>
              </w:rPr>
            </w:pPr>
            <w:r w:rsidRPr="007111BC">
              <w:rPr>
                <w:iCs/>
                <w:lang w:eastAsia="lt-LT"/>
              </w:rPr>
              <w:t>ICER už QALY</w:t>
            </w:r>
          </w:p>
        </w:tc>
        <w:tc>
          <w:tcPr>
            <w:tcW w:w="3239" w:type="dxa"/>
            <w:tcBorders>
              <w:right w:val="single" w:sz="4" w:space="0" w:color="auto"/>
            </w:tcBorders>
          </w:tcPr>
          <w:p w14:paraId="4275320D" w14:textId="09B23D99" w:rsidR="00DC4EF9" w:rsidRPr="007111BC" w:rsidRDefault="00E609BA" w:rsidP="00DC4EF9">
            <w:pPr>
              <w:tabs>
                <w:tab w:val="left" w:pos="567"/>
              </w:tabs>
              <w:jc w:val="both"/>
              <w:rPr>
                <w:i/>
                <w:iCs/>
                <w:lang w:eastAsia="lt-LT"/>
              </w:rPr>
            </w:pPr>
            <w:r>
              <w:rPr>
                <w:i/>
                <w:iCs/>
                <w:lang w:eastAsia="lt-LT"/>
              </w:rPr>
              <w:t>****</w:t>
            </w:r>
            <w:r w:rsidR="00DC4EF9" w:rsidRPr="007111BC">
              <w:rPr>
                <w:i/>
                <w:iCs/>
                <w:lang w:eastAsia="lt-LT"/>
              </w:rPr>
              <w:t xml:space="preserve"> eur/QALY</w:t>
            </w:r>
          </w:p>
        </w:tc>
      </w:tr>
      <w:tr w:rsidR="00DC4EF9" w:rsidRPr="007111BC" w14:paraId="2C4C68BA" w14:textId="77777777" w:rsidTr="00DC4EF9">
        <w:trPr>
          <w:trHeight w:val="267"/>
          <w:jc w:val="center"/>
        </w:trPr>
        <w:tc>
          <w:tcPr>
            <w:tcW w:w="6200" w:type="dxa"/>
            <w:tcBorders>
              <w:left w:val="single" w:sz="4" w:space="0" w:color="auto"/>
              <w:bottom w:val="single" w:sz="4" w:space="0" w:color="auto"/>
              <w:right w:val="single" w:sz="4" w:space="0" w:color="auto"/>
            </w:tcBorders>
          </w:tcPr>
          <w:p w14:paraId="21BEDABF" w14:textId="3471AFB3" w:rsidR="00DC4EF9" w:rsidRPr="007111BC" w:rsidRDefault="00DC4EF9" w:rsidP="00DC4EF9">
            <w:pPr>
              <w:tabs>
                <w:tab w:val="left" w:pos="567"/>
              </w:tabs>
              <w:jc w:val="right"/>
              <w:rPr>
                <w:iCs/>
                <w:lang w:eastAsia="lt-LT"/>
              </w:rPr>
            </w:pPr>
            <w:r w:rsidRPr="007111BC">
              <w:rPr>
                <w:iCs/>
                <w:lang w:eastAsia="lt-LT"/>
              </w:rPr>
              <w:t>Referencinė kaštų naudingumo vertė</w:t>
            </w:r>
          </w:p>
        </w:tc>
        <w:tc>
          <w:tcPr>
            <w:tcW w:w="3239" w:type="dxa"/>
            <w:tcBorders>
              <w:left w:val="single" w:sz="4" w:space="0" w:color="auto"/>
              <w:bottom w:val="single" w:sz="4" w:space="0" w:color="auto"/>
              <w:right w:val="single" w:sz="4" w:space="0" w:color="auto"/>
            </w:tcBorders>
          </w:tcPr>
          <w:p w14:paraId="31DAA72E" w14:textId="01219070" w:rsidR="00DC4EF9" w:rsidRPr="007111BC" w:rsidRDefault="006A18FD" w:rsidP="00DC4EF9">
            <w:pPr>
              <w:tabs>
                <w:tab w:val="left" w:pos="567"/>
              </w:tabs>
              <w:jc w:val="both"/>
              <w:rPr>
                <w:i/>
                <w:iCs/>
                <w:lang w:eastAsia="lt-LT"/>
              </w:rPr>
            </w:pPr>
            <w:r>
              <w:rPr>
                <w:i/>
                <w:iCs/>
                <w:lang w:eastAsia="lt-LT"/>
              </w:rPr>
              <w:t>****</w:t>
            </w:r>
            <w:r w:rsidR="00DC4EF9" w:rsidRPr="007111BC">
              <w:rPr>
                <w:i/>
                <w:iCs/>
                <w:lang w:eastAsia="lt-LT"/>
              </w:rPr>
              <w:t xml:space="preserve"> eur/QALY</w:t>
            </w:r>
          </w:p>
        </w:tc>
      </w:tr>
    </w:tbl>
    <w:p w14:paraId="5FC8C737" w14:textId="4136B7F4" w:rsidR="0035172D" w:rsidRPr="007111BC" w:rsidRDefault="00E5102E" w:rsidP="0035172D">
      <w:pPr>
        <w:tabs>
          <w:tab w:val="left" w:pos="567"/>
        </w:tabs>
        <w:jc w:val="both"/>
        <w:rPr>
          <w:iCs/>
          <w:sz w:val="20"/>
          <w:lang w:eastAsia="lt-LT"/>
        </w:rPr>
      </w:pPr>
      <w:r w:rsidRPr="007111BC">
        <w:rPr>
          <w:iCs/>
          <w:sz w:val="20"/>
          <w:lang w:eastAsia="lt-LT"/>
        </w:rPr>
        <w:t xml:space="preserve">ICER </w:t>
      </w:r>
      <w:r w:rsidR="00453862" w:rsidRPr="007111BC">
        <w:rPr>
          <w:iCs/>
          <w:sz w:val="20"/>
          <w:lang w:eastAsia="lt-LT"/>
        </w:rPr>
        <w:t>– (</w:t>
      </w:r>
      <w:r w:rsidR="00453862" w:rsidRPr="007111BC">
        <w:rPr>
          <w:i/>
          <w:sz w:val="20"/>
          <w:lang w:eastAsia="lt-LT"/>
        </w:rPr>
        <w:t>angl. incremental cost-effectiveness ratio</w:t>
      </w:r>
      <w:r w:rsidR="00453862" w:rsidRPr="007111BC">
        <w:rPr>
          <w:iCs/>
          <w:sz w:val="20"/>
          <w:lang w:eastAsia="lt-LT"/>
        </w:rPr>
        <w:t>) inkrementinis kaštų naudingumo koeficientas</w:t>
      </w:r>
      <w:r w:rsidRPr="007111BC">
        <w:rPr>
          <w:iCs/>
          <w:sz w:val="20"/>
          <w:lang w:eastAsia="lt-LT"/>
        </w:rPr>
        <w:t>; LY –</w:t>
      </w:r>
      <w:r w:rsidR="00453862" w:rsidRPr="007111BC">
        <w:rPr>
          <w:iCs/>
          <w:sz w:val="20"/>
          <w:lang w:eastAsia="lt-LT"/>
        </w:rPr>
        <w:t xml:space="preserve"> (</w:t>
      </w:r>
      <w:r w:rsidR="00453862" w:rsidRPr="007111BC">
        <w:rPr>
          <w:i/>
          <w:sz w:val="20"/>
          <w:lang w:eastAsia="lt-LT"/>
        </w:rPr>
        <w:t>angl. life years</w:t>
      </w:r>
      <w:r w:rsidR="00453862" w:rsidRPr="007111BC">
        <w:rPr>
          <w:iCs/>
          <w:sz w:val="20"/>
          <w:lang w:eastAsia="lt-LT"/>
        </w:rPr>
        <w:t>) gyvenimo metai</w:t>
      </w:r>
      <w:r w:rsidRPr="007111BC">
        <w:rPr>
          <w:iCs/>
          <w:sz w:val="20"/>
          <w:lang w:eastAsia="lt-LT"/>
        </w:rPr>
        <w:t xml:space="preserve">; QALY- </w:t>
      </w:r>
      <w:r w:rsidR="00453862" w:rsidRPr="007111BC">
        <w:rPr>
          <w:iCs/>
          <w:sz w:val="20"/>
          <w:lang w:eastAsia="lt-LT"/>
        </w:rPr>
        <w:t>(</w:t>
      </w:r>
      <w:r w:rsidR="00453862" w:rsidRPr="007111BC">
        <w:rPr>
          <w:i/>
          <w:sz w:val="20"/>
          <w:lang w:eastAsia="lt-LT"/>
        </w:rPr>
        <w:t xml:space="preserve">angl. quality adjusted life years) </w:t>
      </w:r>
      <w:r w:rsidR="00453862" w:rsidRPr="007111BC">
        <w:rPr>
          <w:iCs/>
          <w:sz w:val="20"/>
          <w:lang w:eastAsia="lt-LT"/>
        </w:rPr>
        <w:t>kokybiški gyvenimo metai.</w:t>
      </w:r>
    </w:p>
    <w:p w14:paraId="33875138" w14:textId="77777777" w:rsidR="0035172D" w:rsidRPr="007111BC" w:rsidRDefault="0035172D" w:rsidP="00A93AA6">
      <w:pPr>
        <w:tabs>
          <w:tab w:val="left" w:pos="426"/>
        </w:tabs>
        <w:rPr>
          <w:b/>
          <w:bCs/>
          <w:caps/>
        </w:rPr>
      </w:pPr>
    </w:p>
    <w:p w14:paraId="4FC424F9" w14:textId="4E767245" w:rsidR="00C62B36" w:rsidRPr="007111BC" w:rsidRDefault="00C62B36" w:rsidP="00CC09D4">
      <w:pPr>
        <w:pStyle w:val="ListParagraph"/>
        <w:numPr>
          <w:ilvl w:val="0"/>
          <w:numId w:val="12"/>
        </w:numPr>
        <w:tabs>
          <w:tab w:val="left" w:pos="567"/>
        </w:tabs>
        <w:ind w:hanging="720"/>
        <w:rPr>
          <w:b/>
          <w:bCs/>
          <w:caps/>
        </w:rPr>
      </w:pPr>
      <w:r w:rsidRPr="007111BC">
        <w:rPr>
          <w:b/>
          <w:bCs/>
          <w:caps/>
        </w:rPr>
        <w:t xml:space="preserve">Pacientų organizacijų pateikti duomenys </w:t>
      </w:r>
    </w:p>
    <w:p w14:paraId="54351841" w14:textId="77777777" w:rsidR="00C9728E" w:rsidRPr="007111BC" w:rsidRDefault="00C9728E" w:rsidP="00C9728E">
      <w:pPr>
        <w:pStyle w:val="ListParagraph"/>
        <w:tabs>
          <w:tab w:val="left" w:pos="567"/>
        </w:tabs>
        <w:rPr>
          <w:b/>
          <w:bCs/>
          <w:caps/>
        </w:rPr>
      </w:pPr>
    </w:p>
    <w:p w14:paraId="62992180" w14:textId="3F1EB97D" w:rsidR="00937907" w:rsidRPr="007111BC" w:rsidRDefault="00937907" w:rsidP="00937907">
      <w:pPr>
        <w:spacing w:after="120"/>
        <w:jc w:val="both"/>
      </w:pPr>
      <w:r w:rsidRPr="007111BC">
        <w:t>Pacientų organizacijos pozicija pateikta. Žr. priedą.</w:t>
      </w:r>
    </w:p>
    <w:p w14:paraId="03E73D82" w14:textId="77777777" w:rsidR="00D417D2" w:rsidRPr="007111BC" w:rsidRDefault="00D417D2" w:rsidP="00937907">
      <w:pPr>
        <w:spacing w:after="120"/>
        <w:jc w:val="both"/>
      </w:pPr>
    </w:p>
    <w:p w14:paraId="3D3277FA" w14:textId="09414FFF" w:rsidR="00C62B36" w:rsidRPr="007111BC" w:rsidRDefault="00D67BAF" w:rsidP="00CC09D4">
      <w:pPr>
        <w:pStyle w:val="ListParagraph"/>
        <w:numPr>
          <w:ilvl w:val="0"/>
          <w:numId w:val="12"/>
        </w:numPr>
        <w:tabs>
          <w:tab w:val="left" w:pos="567"/>
        </w:tabs>
        <w:ind w:hanging="720"/>
        <w:rPr>
          <w:b/>
          <w:bCs/>
          <w:caps/>
        </w:rPr>
      </w:pPr>
      <w:r w:rsidRPr="007111BC">
        <w:rPr>
          <w:b/>
          <w:bCs/>
          <w:caps/>
        </w:rPr>
        <w:t xml:space="preserve">SVEIKATOS PRIEŽIŪROS SPECIALISTŲ </w:t>
      </w:r>
      <w:r w:rsidR="00C62B36" w:rsidRPr="007111BC">
        <w:rPr>
          <w:b/>
          <w:bCs/>
          <w:caps/>
        </w:rPr>
        <w:t xml:space="preserve"> organizacijų pateikti duomenys</w:t>
      </w:r>
    </w:p>
    <w:p w14:paraId="37242277" w14:textId="77777777" w:rsidR="00DC4EF9" w:rsidRPr="007111BC" w:rsidRDefault="00DC4EF9" w:rsidP="00662983">
      <w:pPr>
        <w:spacing w:after="120"/>
        <w:jc w:val="both"/>
      </w:pPr>
    </w:p>
    <w:p w14:paraId="5D8CC48C" w14:textId="004AF61E" w:rsidR="00662983" w:rsidRPr="007111BC" w:rsidRDefault="00D67BAF" w:rsidP="00662983">
      <w:pPr>
        <w:spacing w:after="120"/>
        <w:jc w:val="both"/>
      </w:pPr>
      <w:r w:rsidRPr="007111BC">
        <w:t>S</w:t>
      </w:r>
      <w:r w:rsidRPr="007111BC">
        <w:rPr>
          <w:bCs/>
        </w:rPr>
        <w:t>veikatos priežiūros specialistų</w:t>
      </w:r>
      <w:r w:rsidR="00937907" w:rsidRPr="007111BC">
        <w:t xml:space="preserve"> organizacijos pozicija </w:t>
      </w:r>
      <w:r w:rsidR="00880A44" w:rsidRPr="007111BC">
        <w:t>ne</w:t>
      </w:r>
      <w:r w:rsidR="00937907" w:rsidRPr="007111BC">
        <w:t>pateikta.</w:t>
      </w:r>
    </w:p>
    <w:p w14:paraId="3701D46A" w14:textId="77777777" w:rsidR="00A042B9" w:rsidRPr="007111BC" w:rsidRDefault="00A042B9" w:rsidP="00662983">
      <w:pPr>
        <w:spacing w:after="120"/>
        <w:jc w:val="both"/>
      </w:pPr>
    </w:p>
    <w:p w14:paraId="78F23ECB" w14:textId="3ED5BFD5" w:rsidR="002F0E4F" w:rsidRPr="007111BC" w:rsidRDefault="002F0E4F" w:rsidP="00CC09D4">
      <w:pPr>
        <w:pStyle w:val="ListParagraph"/>
        <w:numPr>
          <w:ilvl w:val="0"/>
          <w:numId w:val="12"/>
        </w:numPr>
        <w:tabs>
          <w:tab w:val="left" w:pos="567"/>
        </w:tabs>
        <w:ind w:hanging="720"/>
        <w:rPr>
          <w:b/>
          <w:bCs/>
          <w:caps/>
        </w:rPr>
      </w:pPr>
      <w:r w:rsidRPr="007111BC">
        <w:rPr>
          <w:b/>
          <w:bCs/>
          <w:caps/>
        </w:rPr>
        <w:t>Išvad</w:t>
      </w:r>
      <w:r w:rsidR="00B811A4" w:rsidRPr="007111BC">
        <w:rPr>
          <w:b/>
          <w:bCs/>
          <w:caps/>
        </w:rPr>
        <w:t>OS</w:t>
      </w:r>
      <w:r w:rsidRPr="007111BC">
        <w:rPr>
          <w:b/>
          <w:bCs/>
          <w:caps/>
        </w:rPr>
        <w:t xml:space="preserve"> </w:t>
      </w:r>
    </w:p>
    <w:p w14:paraId="30069D85" w14:textId="77777777" w:rsidR="0061611B" w:rsidRPr="007111BC" w:rsidRDefault="0061611B" w:rsidP="0061611B">
      <w:pPr>
        <w:ind w:left="360"/>
        <w:rPr>
          <w:i/>
          <w:szCs w:val="22"/>
        </w:rPr>
      </w:pPr>
    </w:p>
    <w:tbl>
      <w:tblPr>
        <w:tblStyle w:val="TableGrid"/>
        <w:tblW w:w="0" w:type="auto"/>
        <w:tblInd w:w="-5" w:type="dxa"/>
        <w:tblLook w:val="04A0" w:firstRow="1" w:lastRow="0" w:firstColumn="1" w:lastColumn="0" w:noHBand="0" w:noVBand="1"/>
      </w:tblPr>
      <w:tblGrid>
        <w:gridCol w:w="4820"/>
        <w:gridCol w:w="4814"/>
      </w:tblGrid>
      <w:tr w:rsidR="00334F18" w:rsidRPr="007111BC" w14:paraId="4D5EFB83" w14:textId="77777777" w:rsidTr="007111C4">
        <w:trPr>
          <w:trHeight w:val="510"/>
        </w:trPr>
        <w:tc>
          <w:tcPr>
            <w:tcW w:w="9634" w:type="dxa"/>
            <w:gridSpan w:val="2"/>
            <w:vAlign w:val="center"/>
          </w:tcPr>
          <w:p w14:paraId="294EC16B"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1" w:name="_Hlk185430554"/>
            <w:r w:rsidRPr="007111BC">
              <w:rPr>
                <w:rStyle w:val="Style2"/>
                <w:rFonts w:eastAsia="MS Gothic"/>
                <w:b/>
                <w:bCs/>
                <w:sz w:val="23"/>
                <w:szCs w:val="23"/>
              </w:rPr>
              <w:t>Palyginamasis veiksmingumas</w:t>
            </w:r>
          </w:p>
        </w:tc>
      </w:tr>
      <w:tr w:rsidR="00334F18" w:rsidRPr="007111BC" w14:paraId="30B67515" w14:textId="77777777" w:rsidTr="007111C4">
        <w:tc>
          <w:tcPr>
            <w:tcW w:w="4820" w:type="dxa"/>
          </w:tcPr>
          <w:p w14:paraId="4FE3C208" w14:textId="2845CF08"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Content>
                <w:r w:rsidR="005A7FA7" w:rsidRPr="007111BC">
                  <w:rPr>
                    <w:rStyle w:val="Style2"/>
                    <w:rFonts w:ascii="MS Gothic" w:eastAsia="MS Gothic" w:hAnsi="MS Gothic"/>
                    <w:sz w:val="23"/>
                    <w:szCs w:val="23"/>
                  </w:rPr>
                  <w:t>☒</w:t>
                </w:r>
              </w:sdtContent>
            </w:sdt>
            <w:r w:rsidR="00B811A4" w:rsidRPr="007111BC">
              <w:rPr>
                <w:rStyle w:val="Style2"/>
                <w:sz w:val="23"/>
                <w:szCs w:val="23"/>
              </w:rPr>
              <w:t xml:space="preserve"> 29</w:t>
            </w:r>
            <w:r w:rsidR="00B811A4" w:rsidRPr="007111BC">
              <w:rPr>
                <w:sz w:val="23"/>
                <w:szCs w:val="23"/>
              </w:rPr>
              <w:t>.1.1 yra didesnis, lyginant su įprasta klinikine praktika</w:t>
            </w:r>
          </w:p>
          <w:p w14:paraId="6F9786E4"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77777777"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0"/>
                  <w14:checkedState w14:val="2612" w14:font="MS Gothic"/>
                  <w14:uncheckedState w14:val="2610" w14:font="MS Gothic"/>
                </w14:checkbox>
              </w:sdtPr>
              <w:sdtContent>
                <w:r w:rsidR="00B811A4" w:rsidRPr="007111BC">
                  <w:rPr>
                    <w:rStyle w:val="Style2"/>
                    <w:rFonts w:ascii="Segoe UI Symbol" w:eastAsia="MS Gothic" w:hAnsi="Segoe UI Symbol" w:cs="Segoe UI Symbol"/>
                    <w:sz w:val="23"/>
                    <w:szCs w:val="23"/>
                  </w:rPr>
                  <w:t>☐</w:t>
                </w:r>
              </w:sdtContent>
            </w:sdt>
            <w:r w:rsidR="00B811A4" w:rsidRPr="007111BC">
              <w:rPr>
                <w:sz w:val="23"/>
                <w:szCs w:val="23"/>
              </w:rPr>
              <w:t xml:space="preserve"> </w:t>
            </w:r>
            <w:r w:rsidR="00B811A4" w:rsidRPr="007111BC">
              <w:rPr>
                <w:rStyle w:val="Style2"/>
                <w:sz w:val="23"/>
                <w:szCs w:val="23"/>
              </w:rPr>
              <w:t>29</w:t>
            </w:r>
            <w:r w:rsidR="00B811A4" w:rsidRPr="007111BC">
              <w:rPr>
                <w:sz w:val="23"/>
                <w:szCs w:val="23"/>
              </w:rPr>
              <w:t>.1.2 iš esmės nesiskiria, lyginant su įprasta klinikine praktika</w:t>
            </w:r>
          </w:p>
        </w:tc>
        <w:tc>
          <w:tcPr>
            <w:tcW w:w="4814" w:type="dxa"/>
          </w:tcPr>
          <w:p w14:paraId="72562F9E" w14:textId="77777777"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Content>
                <w:r w:rsidR="00B811A4" w:rsidRPr="007111BC">
                  <w:rPr>
                    <w:rStyle w:val="Style2"/>
                    <w:rFonts w:ascii="Segoe UI Symbol" w:eastAsia="MS Gothic" w:hAnsi="Segoe UI Symbol" w:cs="Segoe UI Symbol"/>
                    <w:sz w:val="23"/>
                    <w:szCs w:val="23"/>
                  </w:rPr>
                  <w:t>☐</w:t>
                </w:r>
              </w:sdtContent>
            </w:sdt>
            <w:r w:rsidR="00B811A4" w:rsidRPr="007111BC">
              <w:rPr>
                <w:sz w:val="23"/>
                <w:szCs w:val="23"/>
              </w:rPr>
              <w:t xml:space="preserve"> </w:t>
            </w:r>
            <w:r w:rsidR="00B811A4" w:rsidRPr="007111BC">
              <w:rPr>
                <w:rStyle w:val="Style2"/>
                <w:sz w:val="23"/>
                <w:szCs w:val="23"/>
              </w:rPr>
              <w:t>29</w:t>
            </w:r>
            <w:r w:rsidR="00B811A4" w:rsidRPr="007111BC">
              <w:rPr>
                <w:sz w:val="23"/>
                <w:szCs w:val="23"/>
              </w:rPr>
              <w:t xml:space="preserve">.1.3 yra neįrodytas kaip didesnis  ar iš esmės nesiskiriantis, lyginant su įprasta klinikine praktika  </w:t>
            </w:r>
          </w:p>
          <w:p w14:paraId="6F6DB5BC"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Content>
                <w:r w:rsidR="00B811A4" w:rsidRPr="007111BC">
                  <w:rPr>
                    <w:rStyle w:val="Style2"/>
                    <w:rFonts w:ascii="Segoe UI Symbol" w:eastAsia="MS Gothic" w:hAnsi="Segoe UI Symbol" w:cs="Segoe UI Symbol"/>
                    <w:sz w:val="23"/>
                    <w:szCs w:val="23"/>
                  </w:rPr>
                  <w:t>☐</w:t>
                </w:r>
              </w:sdtContent>
            </w:sdt>
            <w:r w:rsidR="00B811A4" w:rsidRPr="007111BC">
              <w:rPr>
                <w:sz w:val="23"/>
                <w:szCs w:val="23"/>
              </w:rPr>
              <w:t xml:space="preserve"> </w:t>
            </w:r>
            <w:r w:rsidR="00B811A4" w:rsidRPr="007111BC">
              <w:rPr>
                <w:rStyle w:val="Style2"/>
                <w:sz w:val="23"/>
                <w:szCs w:val="23"/>
              </w:rPr>
              <w:t>29</w:t>
            </w:r>
            <w:r w:rsidR="00B811A4" w:rsidRPr="007111BC">
              <w:rPr>
                <w:sz w:val="23"/>
                <w:szCs w:val="23"/>
              </w:rPr>
              <w:t>.1.4 yra mažesnis, lyginant su įprasta klinikine praktika</w:t>
            </w:r>
          </w:p>
          <w:p w14:paraId="193C3D76"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Content>
                <w:r w:rsidR="00B811A4" w:rsidRPr="007111BC">
                  <w:rPr>
                    <w:rStyle w:val="Style2"/>
                    <w:rFonts w:ascii="Segoe UI Symbol" w:eastAsia="MS Gothic" w:hAnsi="Segoe UI Symbol" w:cs="Segoe UI Symbol"/>
                    <w:sz w:val="23"/>
                    <w:szCs w:val="23"/>
                  </w:rPr>
                  <w:t>☐</w:t>
                </w:r>
              </w:sdtContent>
            </w:sdt>
            <w:r w:rsidR="00B811A4" w:rsidRPr="007111BC">
              <w:rPr>
                <w:sz w:val="23"/>
                <w:szCs w:val="23"/>
              </w:rPr>
              <w:t xml:space="preserve"> </w:t>
            </w:r>
            <w:r w:rsidR="00B811A4" w:rsidRPr="007111BC">
              <w:rPr>
                <w:rStyle w:val="Style2"/>
                <w:sz w:val="23"/>
                <w:szCs w:val="23"/>
              </w:rPr>
              <w:t>29</w:t>
            </w:r>
            <w:r w:rsidR="00B811A4" w:rsidRPr="007111BC">
              <w:rPr>
                <w:sz w:val="23"/>
                <w:szCs w:val="23"/>
              </w:rPr>
              <w:t>.1.5 pateikti duomenys apie palyginamąjį veiksmingumą yra netinkami vertinti</w:t>
            </w:r>
          </w:p>
          <w:p w14:paraId="45719037"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1"/>
      <w:tr w:rsidR="00334F18" w:rsidRPr="007111BC" w14:paraId="0E0F5168" w14:textId="77777777" w:rsidTr="00743956">
        <w:trPr>
          <w:trHeight w:val="510"/>
        </w:trPr>
        <w:tc>
          <w:tcPr>
            <w:tcW w:w="9634" w:type="dxa"/>
            <w:gridSpan w:val="2"/>
            <w:vAlign w:val="center"/>
          </w:tcPr>
          <w:p w14:paraId="62B67E12"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7111BC">
              <w:rPr>
                <w:rStyle w:val="Style2"/>
                <w:rFonts w:eastAsia="MS Gothic"/>
                <w:b/>
                <w:bCs/>
                <w:sz w:val="23"/>
                <w:szCs w:val="23"/>
              </w:rPr>
              <w:t>Kaštų naudingumas</w:t>
            </w:r>
          </w:p>
        </w:tc>
      </w:tr>
      <w:tr w:rsidR="00334F18" w:rsidRPr="007111BC" w14:paraId="6A2F62B2" w14:textId="77777777" w:rsidTr="00743956">
        <w:tc>
          <w:tcPr>
            <w:tcW w:w="4820" w:type="dxa"/>
          </w:tcPr>
          <w:p w14:paraId="7CB2C697" w14:textId="44A4E1DF"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Content>
                <w:r w:rsidR="00B811A4" w:rsidRPr="007111BC">
                  <w:rPr>
                    <w:rStyle w:val="Style2"/>
                    <w:rFonts w:ascii="Segoe UI Symbol" w:eastAsia="MS Gothic" w:hAnsi="Segoe UI Symbol" w:cs="Segoe UI Symbol"/>
                    <w:sz w:val="23"/>
                    <w:szCs w:val="23"/>
                  </w:rPr>
                  <w:t>☐</w:t>
                </w:r>
              </w:sdtContent>
            </w:sdt>
            <w:r w:rsidR="00B811A4" w:rsidRPr="007111BC">
              <w:rPr>
                <w:sz w:val="23"/>
                <w:szCs w:val="23"/>
              </w:rPr>
              <w:t xml:space="preserve"> 29.2.1 atitinka referencinę naudingumo vertę taikant arba netaikant</w:t>
            </w:r>
            <w:r w:rsidR="00437623" w:rsidRPr="007111BC">
              <w:rPr>
                <w:b/>
                <w:bCs/>
                <w:sz w:val="23"/>
                <w:szCs w:val="23"/>
              </w:rPr>
              <w:t xml:space="preserve"> </w:t>
            </w:r>
            <w:r w:rsidR="00B811A4" w:rsidRPr="007111BC">
              <w:rPr>
                <w:sz w:val="23"/>
                <w:szCs w:val="23"/>
              </w:rPr>
              <w:t>PGS</w:t>
            </w:r>
          </w:p>
          <w:p w14:paraId="71797774"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009F75EB"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1"/>
                  <w14:checkedState w14:val="2612" w14:font="MS Gothic"/>
                  <w14:uncheckedState w14:val="2610" w14:font="MS Gothic"/>
                </w14:checkbox>
              </w:sdtPr>
              <w:sdtContent>
                <w:r w:rsidR="00DC4EF9" w:rsidRPr="007111BC">
                  <w:rPr>
                    <w:rStyle w:val="Style2"/>
                    <w:rFonts w:ascii="MS Gothic" w:eastAsia="MS Gothic" w:hAnsi="MS Gothic"/>
                    <w:sz w:val="23"/>
                    <w:szCs w:val="23"/>
                  </w:rPr>
                  <w:t>☒</w:t>
                </w:r>
              </w:sdtContent>
            </w:sdt>
            <w:r w:rsidR="00B811A4" w:rsidRPr="007111BC">
              <w:rPr>
                <w:sz w:val="23"/>
                <w:szCs w:val="23"/>
              </w:rPr>
              <w:t xml:space="preserve"> 29.2.3 neatitinka referencinės naudingumo vertės taikant arba netaikant PGS</w:t>
            </w:r>
          </w:p>
          <w:p w14:paraId="13C9EEE5"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Content>
                <w:r w:rsidR="00B811A4" w:rsidRPr="007111BC">
                  <w:rPr>
                    <w:rStyle w:val="Style2"/>
                    <w:rFonts w:ascii="Segoe UI Symbol" w:eastAsia="MS Gothic" w:hAnsi="Segoe UI Symbol" w:cs="Segoe UI Symbol"/>
                    <w:sz w:val="23"/>
                    <w:szCs w:val="23"/>
                  </w:rPr>
                  <w:t>☐</w:t>
                </w:r>
              </w:sdtContent>
            </w:sdt>
            <w:r w:rsidR="00B811A4" w:rsidRPr="007111BC">
              <w:rPr>
                <w:sz w:val="23"/>
                <w:szCs w:val="23"/>
              </w:rPr>
              <w:t xml:space="preserve"> 29.2.5 pateikti duomenys apie kaštų naudingumą yra netinkami vertinti</w:t>
            </w:r>
          </w:p>
          <w:p w14:paraId="06AB06C5" w14:textId="77777777" w:rsidR="00B811A4" w:rsidRPr="007111BC"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7111BC" w14:paraId="632C9193" w14:textId="77777777" w:rsidTr="00027464">
        <w:tc>
          <w:tcPr>
            <w:tcW w:w="9634" w:type="dxa"/>
            <w:gridSpan w:val="2"/>
          </w:tcPr>
          <w:p w14:paraId="15C289C9" w14:textId="47C5A3CE" w:rsidR="007111C4" w:rsidRPr="007111BC"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0"/>
                  <w14:checkedState w14:val="2612" w14:font="MS Gothic"/>
                  <w14:uncheckedState w14:val="2610" w14:font="MS Gothic"/>
                </w14:checkbox>
              </w:sdtPr>
              <w:sdtContent>
                <w:r w:rsidR="007111C4" w:rsidRPr="007111BC">
                  <w:rPr>
                    <w:rStyle w:val="Style2"/>
                    <w:rFonts w:ascii="Segoe UI Symbol" w:eastAsia="MS Gothic" w:hAnsi="Segoe UI Symbol" w:cs="Segoe UI Symbol"/>
                    <w:sz w:val="23"/>
                    <w:szCs w:val="23"/>
                  </w:rPr>
                  <w:t>☐</w:t>
                </w:r>
              </w:sdtContent>
            </w:sdt>
            <w:r w:rsidR="007111C4" w:rsidRPr="007111BC">
              <w:rPr>
                <w:sz w:val="23"/>
                <w:szCs w:val="23"/>
              </w:rPr>
              <w:t xml:space="preserve"> Vykdant Aprašo &lt;17</w:t>
            </w:r>
            <w:r w:rsidR="007111C4" w:rsidRPr="007111BC">
              <w:rPr>
                <w:sz w:val="23"/>
                <w:szCs w:val="23"/>
                <w:vertAlign w:val="superscript"/>
              </w:rPr>
              <w:t>3</w:t>
            </w:r>
            <w:r w:rsidR="007111C4" w:rsidRPr="007111BC">
              <w:rPr>
                <w:sz w:val="23"/>
                <w:szCs w:val="23"/>
              </w:rPr>
              <w:t>.1&gt;&lt;17</w:t>
            </w:r>
            <w:r w:rsidR="007111C4" w:rsidRPr="007111BC">
              <w:rPr>
                <w:sz w:val="23"/>
                <w:szCs w:val="23"/>
                <w:vertAlign w:val="superscript"/>
              </w:rPr>
              <w:t>3</w:t>
            </w:r>
            <w:r w:rsidR="007111C4" w:rsidRPr="007111BC">
              <w:rPr>
                <w:sz w:val="23"/>
                <w:szCs w:val="23"/>
              </w:rPr>
              <w:t>.2&gt;&lt;17</w:t>
            </w:r>
            <w:r w:rsidR="007111C4" w:rsidRPr="007111BC">
              <w:rPr>
                <w:sz w:val="23"/>
                <w:szCs w:val="23"/>
                <w:vertAlign w:val="superscript"/>
              </w:rPr>
              <w:t>3</w:t>
            </w:r>
            <w:r w:rsidR="007111C4" w:rsidRPr="007111BC">
              <w:rPr>
                <w:sz w:val="23"/>
                <w:szCs w:val="23"/>
              </w:rPr>
              <w:t>.3&gt; punktą vaistinio (-ų) preparato (-ų) ekonominis vertinimas neatliekamas, išvados dėl kaštų naudingumo neteikiamos</w:t>
            </w:r>
          </w:p>
        </w:tc>
      </w:tr>
    </w:tbl>
    <w:p w14:paraId="08D5B3B6" w14:textId="292D1124" w:rsidR="0061611B" w:rsidRPr="007111BC" w:rsidRDefault="0061611B" w:rsidP="0061611B">
      <w:pPr>
        <w:rPr>
          <w:i/>
          <w:szCs w:val="22"/>
        </w:rPr>
      </w:pPr>
    </w:p>
    <w:p w14:paraId="1B85C083" w14:textId="77777777" w:rsidR="009E44AE" w:rsidRPr="007111BC" w:rsidRDefault="009E44AE" w:rsidP="00381024"/>
    <w:p w14:paraId="3B2D1F25" w14:textId="3A80E19F" w:rsidR="000001B0" w:rsidRPr="007111BC" w:rsidRDefault="000001B0" w:rsidP="00CC09D4">
      <w:pPr>
        <w:pStyle w:val="ListParagraph"/>
        <w:numPr>
          <w:ilvl w:val="0"/>
          <w:numId w:val="12"/>
        </w:numPr>
        <w:ind w:left="567" w:hanging="567"/>
      </w:pPr>
      <w:r w:rsidRPr="007111BC">
        <w:rPr>
          <w:b/>
        </w:rPr>
        <w:t>REKOME</w:t>
      </w:r>
      <w:r w:rsidR="00D83182" w:rsidRPr="007111BC">
        <w:rPr>
          <w:b/>
        </w:rPr>
        <w:t>N</w:t>
      </w:r>
      <w:r w:rsidRPr="007111BC">
        <w:rPr>
          <w:b/>
        </w:rPr>
        <w:t>DACIJA</w:t>
      </w:r>
    </w:p>
    <w:p w14:paraId="58D47764" w14:textId="77777777" w:rsidR="00DC4EF9" w:rsidRPr="007111BC" w:rsidRDefault="00DC4EF9" w:rsidP="00DC4EF9">
      <w:pPr>
        <w:jc w:val="both"/>
      </w:pPr>
    </w:p>
    <w:p w14:paraId="65D43722" w14:textId="25C6DB36" w:rsidR="00DC4EF9" w:rsidRPr="007111BC" w:rsidRDefault="00DC4EF9" w:rsidP="00DC4EF9">
      <w:pPr>
        <w:jc w:val="both"/>
        <w:rPr>
          <w:lang w:eastAsia="lt-LT"/>
        </w:rPr>
      </w:pPr>
      <w:r w:rsidRPr="007111BC">
        <w:t xml:space="preserve">Vadovaujantis Aprašo </w:t>
      </w:r>
      <w:bookmarkStart w:id="2" w:name="_Hlk190784826"/>
      <w:r w:rsidRPr="007111BC">
        <w:rPr>
          <w:lang w:eastAsia="lt-LT"/>
        </w:rPr>
        <w:t>30</w:t>
      </w:r>
      <w:r w:rsidRPr="007111BC">
        <w:rPr>
          <w:vertAlign w:val="superscript"/>
          <w:lang w:eastAsia="lt-LT"/>
        </w:rPr>
        <w:t>1</w:t>
      </w:r>
      <w:r w:rsidRPr="007111BC">
        <w:rPr>
          <w:lang w:eastAsia="lt-LT"/>
        </w:rPr>
        <w:t>.2. papunkčiu rekomenduojama kompensuoti vaistinį preparatą pagal paraiškoje nurodytą indikaciją (arba jos dalį) su arba be skyrimo sąlygų, jei, pateikus naują ar atnaujintą PGS, kaštų naudingumas atitinka referencinę naudingumo vertę, kai vertinimo išvados atitinka Aprašo 29.1.1 ir 29.2.3 papunkčiuose numatytas sąlygas.</w:t>
      </w:r>
    </w:p>
    <w:bookmarkEnd w:id="2"/>
    <w:p w14:paraId="3D60BB06" w14:textId="77777777" w:rsidR="00B811A4" w:rsidRPr="007111BC" w:rsidRDefault="00B811A4" w:rsidP="00B811A4">
      <w:pPr>
        <w:widowControl w:val="0"/>
        <w:tabs>
          <w:tab w:val="left" w:pos="1418"/>
        </w:tabs>
        <w:suppressAutoHyphens/>
        <w:spacing w:line="360" w:lineRule="atLeast"/>
        <w:jc w:val="center"/>
        <w:textAlignment w:val="center"/>
        <w:rPr>
          <w:lang w:eastAsia="lt-LT"/>
        </w:rPr>
      </w:pPr>
    </w:p>
    <w:p w14:paraId="42F3A222" w14:textId="3760A893" w:rsidR="00B811A4" w:rsidRPr="007111BC" w:rsidRDefault="00DC4EF9" w:rsidP="00B811A4">
      <w:pPr>
        <w:tabs>
          <w:tab w:val="left" w:pos="426"/>
        </w:tabs>
        <w:jc w:val="both"/>
        <w:rPr>
          <w:b/>
          <w:lang w:eastAsia="lt-LT"/>
        </w:rPr>
      </w:pPr>
      <w:r w:rsidRPr="007111BC">
        <w:rPr>
          <w:b/>
          <w:lang w:eastAsia="lt-LT"/>
        </w:rPr>
        <w:t>8.</w:t>
      </w:r>
      <w:r w:rsidR="00B811A4" w:rsidRPr="007111BC">
        <w:rPr>
          <w:b/>
          <w:lang w:eastAsia="lt-LT"/>
        </w:rPr>
        <w:t xml:space="preserve"> Siūloma (-os) kompensuoti terapinės indikacijos ir skyrimo sąlygos </w:t>
      </w:r>
    </w:p>
    <w:p w14:paraId="179FBABC" w14:textId="77777777" w:rsidR="00B811A4" w:rsidRPr="007111BC" w:rsidRDefault="00B811A4" w:rsidP="00B811A4">
      <w:pPr>
        <w:tabs>
          <w:tab w:val="left" w:pos="426"/>
        </w:tabs>
        <w:jc w:val="both"/>
        <w:rPr>
          <w:b/>
          <w:lang w:eastAsia="lt-LT"/>
        </w:rPr>
      </w:pPr>
    </w:p>
    <w:p w14:paraId="65CB839B" w14:textId="77777777" w:rsidR="00B811A4" w:rsidRPr="007111BC" w:rsidRDefault="00B811A4" w:rsidP="00B811A4">
      <w:pPr>
        <w:pStyle w:val="NoSpacing"/>
        <w:rPr>
          <w:rFonts w:ascii="Times New Roman" w:hAnsi="Times New Roman"/>
          <w:b/>
          <w:sz w:val="24"/>
          <w:szCs w:val="24"/>
          <w:lang w:eastAsia="lt-LT"/>
        </w:rPr>
      </w:pPr>
      <w:r w:rsidRPr="007111BC">
        <w:rPr>
          <w:rFonts w:ascii="Times New Roman" w:hAnsi="Times New Roman"/>
          <w:b/>
          <w:sz w:val="24"/>
          <w:szCs w:val="24"/>
          <w:lang w:eastAsia="lt-LT"/>
        </w:rPr>
        <w:t>Terapinės indikacijos</w:t>
      </w:r>
    </w:p>
    <w:p w14:paraId="3BC08150" w14:textId="77777777" w:rsidR="00B811A4" w:rsidRPr="007111BC" w:rsidRDefault="00B811A4" w:rsidP="00B811A4">
      <w:pPr>
        <w:pStyle w:val="NoSpacing"/>
        <w:rPr>
          <w:rFonts w:ascii="Times New Roman" w:hAnsi="Times New Roman"/>
          <w:sz w:val="24"/>
          <w:szCs w:val="24"/>
        </w:rPr>
      </w:pPr>
    </w:p>
    <w:p w14:paraId="4381061F" w14:textId="77777777" w:rsidR="005A7FA7" w:rsidRPr="0054355C" w:rsidRDefault="005A7FA7" w:rsidP="005A7FA7">
      <w:pPr>
        <w:pStyle w:val="Tekstas"/>
        <w:rPr>
          <w:rFonts w:eastAsiaTheme="minorHAnsi"/>
          <w:lang w:val="lt-LT"/>
        </w:rPr>
      </w:pPr>
      <w:r w:rsidRPr="0054355C">
        <w:rPr>
          <w:rFonts w:eastAsiaTheme="minorHAnsi"/>
          <w:lang w:val="lt-LT"/>
        </w:rPr>
        <w:t xml:space="preserve">Itovebi kartu su palbociklibu ir fulvestrantu skirtas suaugusiems pacientams, sergantiems estrogenų receptoriams (ER) teigiamu, HER2 neigiamu, vietiškai išplitusiu arba metastazavusiu krūties vėžiu su </w:t>
      </w:r>
      <w:r w:rsidRPr="0054355C">
        <w:rPr>
          <w:rFonts w:eastAsiaTheme="minorHAnsi"/>
          <w:i/>
          <w:iCs/>
          <w:lang w:val="lt-LT"/>
        </w:rPr>
        <w:t>PIK3CA</w:t>
      </w:r>
      <w:r w:rsidRPr="0054355C">
        <w:rPr>
          <w:rFonts w:eastAsiaTheme="minorHAnsi"/>
          <w:lang w:val="lt-LT"/>
        </w:rPr>
        <w:t xml:space="preserve"> mutacija, gydyti, kai liga atsinaujina skiriant adjuvantinį endokrininį gydymą arba per 12 mėnesių nuo jo pabaigos.</w:t>
      </w:r>
    </w:p>
    <w:p w14:paraId="47D4A8AE" w14:textId="77777777" w:rsidR="005A7FA7" w:rsidRPr="0054355C" w:rsidRDefault="005A7FA7" w:rsidP="005A7FA7">
      <w:pPr>
        <w:pStyle w:val="Tekstas"/>
        <w:numPr>
          <w:ilvl w:val="0"/>
          <w:numId w:val="15"/>
        </w:numPr>
        <w:rPr>
          <w:rFonts w:eastAsiaTheme="minorHAnsi"/>
          <w:lang w:val="lt-LT"/>
        </w:rPr>
      </w:pPr>
      <w:r w:rsidRPr="0054355C">
        <w:rPr>
          <w:rFonts w:eastAsiaTheme="minorHAnsi"/>
          <w:lang w:val="lt-LT"/>
        </w:rPr>
        <w:t>Pacientams, kuriems anksčiau buvo skirtas (neo)adjuvantinis gydymas CDK4/6 inhibitoriumi, turi būti bent 12 mėnesių trukmės intervalas nuo CDK4/6 inhibitoriaus vartojimo pabaigos iki ligos recidyvo nustatymo.</w:t>
      </w:r>
    </w:p>
    <w:p w14:paraId="5FEA9296" w14:textId="42486F9E" w:rsidR="005A7FA7" w:rsidRPr="0054355C" w:rsidRDefault="005A7FA7" w:rsidP="00B811A4">
      <w:pPr>
        <w:pStyle w:val="Tekstas"/>
        <w:numPr>
          <w:ilvl w:val="0"/>
          <w:numId w:val="15"/>
        </w:numPr>
        <w:rPr>
          <w:rFonts w:eastAsiaTheme="minorHAnsi"/>
          <w:lang w:val="lt-LT"/>
        </w:rPr>
      </w:pPr>
      <w:r w:rsidRPr="0054355C">
        <w:rPr>
          <w:rFonts w:eastAsiaTheme="minorHAnsi"/>
          <w:lang w:val="lt-LT"/>
        </w:rPr>
        <w:t>Moterims iki menopauzės ar perimenopauzės laikotarpiu ir vyrams endokrininė terapija turi būti derinama su liuteinizuojantį hormoną atpalaiduojančio hormono (LHAH) agonistu.</w:t>
      </w:r>
    </w:p>
    <w:p w14:paraId="22E19795" w14:textId="77777777" w:rsidR="005A7FA7" w:rsidRPr="007111BC" w:rsidRDefault="005A7FA7" w:rsidP="00B811A4">
      <w:pPr>
        <w:pStyle w:val="NoSpacing"/>
        <w:rPr>
          <w:rFonts w:ascii="Times New Roman" w:hAnsi="Times New Roman"/>
          <w:sz w:val="24"/>
          <w:szCs w:val="24"/>
        </w:rPr>
      </w:pPr>
    </w:p>
    <w:p w14:paraId="632DB4B9" w14:textId="77777777" w:rsidR="00B811A4" w:rsidRPr="007111BC" w:rsidRDefault="00B811A4" w:rsidP="00B811A4">
      <w:pPr>
        <w:pStyle w:val="NoSpacing"/>
        <w:rPr>
          <w:rFonts w:ascii="Times New Roman" w:hAnsi="Times New Roman"/>
          <w:b/>
          <w:sz w:val="24"/>
          <w:szCs w:val="24"/>
        </w:rPr>
      </w:pPr>
      <w:r w:rsidRPr="007111BC">
        <w:rPr>
          <w:rFonts w:ascii="Times New Roman" w:hAnsi="Times New Roman"/>
          <w:b/>
          <w:sz w:val="24"/>
          <w:szCs w:val="24"/>
        </w:rPr>
        <w:t>Skyrimo sąlygos</w:t>
      </w:r>
    </w:p>
    <w:p w14:paraId="7D5C6700" w14:textId="77777777" w:rsidR="00D5470B" w:rsidRDefault="00D5470B" w:rsidP="0054355C"/>
    <w:p w14:paraId="6A7B6711" w14:textId="77777777" w:rsidR="0054355C" w:rsidRPr="00E54E4C" w:rsidRDefault="0054355C" w:rsidP="0054355C">
      <w:pPr>
        <w:pStyle w:val="NoSpacing"/>
        <w:jc w:val="both"/>
        <w:rPr>
          <w:rFonts w:ascii="Times New Roman" w:hAnsi="Times New Roman"/>
          <w:bCs/>
          <w:sz w:val="24"/>
          <w:szCs w:val="24"/>
        </w:rPr>
      </w:pPr>
      <w:r w:rsidRPr="00E54E4C">
        <w:rPr>
          <w:rFonts w:ascii="Times New Roman" w:hAnsi="Times New Roman"/>
          <w:bCs/>
          <w:sz w:val="24"/>
          <w:szCs w:val="24"/>
        </w:rPr>
        <w:t>Skiriamas lokaliai išplitusiam ar metastazavusiam krūties vėžiui, kuriam nustatytas teigiamas hormonų receptorius ir PIK3CA mutacija, o žmogaus HER2 yra neigiamas, derinant su palbociklibu ir fulvestrantu, kai liga atsinaujina skiriant adjuvantinį endokrininį gydymą arba per 12 mėnesių nuo jo pabaigos. Moterims prieš menopauzę ir perimenopauzės laikotarpiais endokrininę terapiją reikia derinti su gydymu liuteinizuojantį hormoną atpalaiduojančio hormono agonistu. Pacientams, kuriems anksčiau buvo skirtas adjuvantinis gydymas CDK4/6 inhibitoriumi, turi būti bent 12 mėnesių trukmės intervalas nuo CDK4/6 inhibitoriaus vartojimo pabaigos iki ligos recidyvo nustatymo.</w:t>
      </w:r>
    </w:p>
    <w:p w14:paraId="0DE6CE0C" w14:textId="77777777" w:rsidR="0054355C" w:rsidRPr="007111BC" w:rsidRDefault="0054355C" w:rsidP="0054355C"/>
    <w:p w14:paraId="33B8DE04" w14:textId="77777777" w:rsidR="00283E59" w:rsidRPr="007111BC" w:rsidRDefault="00283E59" w:rsidP="00283E59">
      <w:pPr>
        <w:widowControl w:val="0"/>
        <w:tabs>
          <w:tab w:val="left" w:pos="1418"/>
        </w:tabs>
        <w:suppressAutoHyphens/>
        <w:spacing w:line="360" w:lineRule="atLeast"/>
        <w:jc w:val="center"/>
        <w:textAlignment w:val="center"/>
      </w:pPr>
      <w:r w:rsidRPr="007111BC">
        <w:rPr>
          <w:lang w:eastAsia="lt-LT"/>
        </w:rPr>
        <w:t>____________________________</w:t>
      </w:r>
    </w:p>
    <w:p w14:paraId="562A1372" w14:textId="77777777" w:rsidR="00283E59" w:rsidRPr="007111BC" w:rsidRDefault="00283E59" w:rsidP="00283E59">
      <w:pPr>
        <w:jc w:val="both"/>
        <w:rPr>
          <w:b/>
          <w:sz w:val="20"/>
        </w:rPr>
      </w:pPr>
    </w:p>
    <w:p w14:paraId="7CDFF220" w14:textId="58191D98" w:rsidR="000723FF" w:rsidRPr="007111BC" w:rsidRDefault="000723FF" w:rsidP="00824B92">
      <w:pPr>
        <w:rPr>
          <w:b/>
        </w:rPr>
      </w:pPr>
    </w:p>
    <w:sectPr w:rsidR="000723FF" w:rsidRPr="007111BC" w:rsidSect="00063A50">
      <w:headerReference w:type="first" r:id="rId7"/>
      <w:footerReference w:type="first" r:id="rId8"/>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C79AB" w14:textId="77777777" w:rsidR="001F1747" w:rsidRDefault="001F1747">
      <w:r>
        <w:separator/>
      </w:r>
    </w:p>
  </w:endnote>
  <w:endnote w:type="continuationSeparator" w:id="0">
    <w:p w14:paraId="4739CC86" w14:textId="77777777" w:rsidR="001F1747" w:rsidRDefault="001F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B91B" w14:textId="77777777" w:rsidR="001F1747" w:rsidRDefault="001F1747">
      <w:r>
        <w:separator/>
      </w:r>
    </w:p>
  </w:footnote>
  <w:footnote w:type="continuationSeparator" w:id="0">
    <w:p w14:paraId="039F3160" w14:textId="77777777" w:rsidR="001F1747" w:rsidRDefault="001F1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Header"/>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1E5D075D"/>
    <w:multiLevelType w:val="hybridMultilevel"/>
    <w:tmpl w:val="E11683FA"/>
    <w:lvl w:ilvl="0" w:tplc="C06EB0F2">
      <w:start w:val="2"/>
      <w:numFmt w:val="bullet"/>
      <w:lvlText w:val="-"/>
      <w:lvlJc w:val="left"/>
      <w:pPr>
        <w:ind w:left="720" w:hanging="360"/>
      </w:pPr>
      <w:rPr>
        <w:rFonts w:ascii="Times New Roman" w:eastAsiaTheme="minorHAnsi"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297C31"/>
    <w:multiLevelType w:val="hybridMultilevel"/>
    <w:tmpl w:val="4EE878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10"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3"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9035017">
    <w:abstractNumId w:val="10"/>
  </w:num>
  <w:num w:numId="2" w16cid:durableId="985162166">
    <w:abstractNumId w:val="2"/>
  </w:num>
  <w:num w:numId="3" w16cid:durableId="480578891">
    <w:abstractNumId w:val="12"/>
  </w:num>
  <w:num w:numId="4" w16cid:durableId="442387534">
    <w:abstractNumId w:val="11"/>
  </w:num>
  <w:num w:numId="5" w16cid:durableId="823667834">
    <w:abstractNumId w:val="9"/>
  </w:num>
  <w:num w:numId="6" w16cid:durableId="417020125">
    <w:abstractNumId w:val="8"/>
  </w:num>
  <w:num w:numId="7" w16cid:durableId="1843550031">
    <w:abstractNumId w:val="4"/>
  </w:num>
  <w:num w:numId="8" w16cid:durableId="580068462">
    <w:abstractNumId w:val="15"/>
  </w:num>
  <w:num w:numId="9" w16cid:durableId="257183606">
    <w:abstractNumId w:val="0"/>
  </w:num>
  <w:num w:numId="10" w16cid:durableId="131410136">
    <w:abstractNumId w:val="13"/>
  </w:num>
  <w:num w:numId="11" w16cid:durableId="1133251921">
    <w:abstractNumId w:val="14"/>
  </w:num>
  <w:num w:numId="12" w16cid:durableId="700133012">
    <w:abstractNumId w:val="3"/>
  </w:num>
  <w:num w:numId="13" w16cid:durableId="373774129">
    <w:abstractNumId w:val="5"/>
  </w:num>
  <w:num w:numId="14" w16cid:durableId="1004668447">
    <w:abstractNumId w:val="1"/>
  </w:num>
  <w:num w:numId="15" w16cid:durableId="920139840">
    <w:abstractNumId w:val="7"/>
  </w:num>
  <w:num w:numId="16" w16cid:durableId="82997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2805"/>
    <w:rsid w:val="000A50C9"/>
    <w:rsid w:val="000B2B2C"/>
    <w:rsid w:val="000B76AD"/>
    <w:rsid w:val="000C454C"/>
    <w:rsid w:val="000D5038"/>
    <w:rsid w:val="000E29D4"/>
    <w:rsid w:val="000E3864"/>
    <w:rsid w:val="000F3540"/>
    <w:rsid w:val="00100491"/>
    <w:rsid w:val="00104E2E"/>
    <w:rsid w:val="00107287"/>
    <w:rsid w:val="00117194"/>
    <w:rsid w:val="00117406"/>
    <w:rsid w:val="00121EF0"/>
    <w:rsid w:val="00124A9E"/>
    <w:rsid w:val="00130703"/>
    <w:rsid w:val="0013153F"/>
    <w:rsid w:val="001408B8"/>
    <w:rsid w:val="0014536E"/>
    <w:rsid w:val="001466FE"/>
    <w:rsid w:val="001517E2"/>
    <w:rsid w:val="001521D9"/>
    <w:rsid w:val="001554E2"/>
    <w:rsid w:val="00164146"/>
    <w:rsid w:val="00164D64"/>
    <w:rsid w:val="0017369C"/>
    <w:rsid w:val="00175D57"/>
    <w:rsid w:val="00180C39"/>
    <w:rsid w:val="00180D96"/>
    <w:rsid w:val="00184BD3"/>
    <w:rsid w:val="001921F3"/>
    <w:rsid w:val="001A0CAA"/>
    <w:rsid w:val="001B3C5B"/>
    <w:rsid w:val="001C2FC8"/>
    <w:rsid w:val="001C6353"/>
    <w:rsid w:val="001D5B91"/>
    <w:rsid w:val="001D746F"/>
    <w:rsid w:val="001E0B2D"/>
    <w:rsid w:val="001E4BBB"/>
    <w:rsid w:val="001E6304"/>
    <w:rsid w:val="001F115E"/>
    <w:rsid w:val="001F1747"/>
    <w:rsid w:val="0020381E"/>
    <w:rsid w:val="00213471"/>
    <w:rsid w:val="00215906"/>
    <w:rsid w:val="00241CD8"/>
    <w:rsid w:val="00244B09"/>
    <w:rsid w:val="002519CB"/>
    <w:rsid w:val="0025697F"/>
    <w:rsid w:val="00260258"/>
    <w:rsid w:val="0026588E"/>
    <w:rsid w:val="00272428"/>
    <w:rsid w:val="00272948"/>
    <w:rsid w:val="00283E59"/>
    <w:rsid w:val="00292392"/>
    <w:rsid w:val="002946C7"/>
    <w:rsid w:val="002B3CC1"/>
    <w:rsid w:val="002C0686"/>
    <w:rsid w:val="002C09E0"/>
    <w:rsid w:val="002C100E"/>
    <w:rsid w:val="002C1BB1"/>
    <w:rsid w:val="002C2786"/>
    <w:rsid w:val="002C3A10"/>
    <w:rsid w:val="002C4A90"/>
    <w:rsid w:val="002C4ED5"/>
    <w:rsid w:val="002D02EF"/>
    <w:rsid w:val="002E0702"/>
    <w:rsid w:val="002E1A83"/>
    <w:rsid w:val="002E57AD"/>
    <w:rsid w:val="002E6F80"/>
    <w:rsid w:val="002F0E4F"/>
    <w:rsid w:val="002F1053"/>
    <w:rsid w:val="00314816"/>
    <w:rsid w:val="00317B0E"/>
    <w:rsid w:val="00334F18"/>
    <w:rsid w:val="00336238"/>
    <w:rsid w:val="00347FAA"/>
    <w:rsid w:val="0035172D"/>
    <w:rsid w:val="0036187D"/>
    <w:rsid w:val="00367EDB"/>
    <w:rsid w:val="003705F0"/>
    <w:rsid w:val="00381024"/>
    <w:rsid w:val="00386307"/>
    <w:rsid w:val="003874DE"/>
    <w:rsid w:val="00393E9F"/>
    <w:rsid w:val="0039696E"/>
    <w:rsid w:val="003B211A"/>
    <w:rsid w:val="003C141F"/>
    <w:rsid w:val="003C6B0E"/>
    <w:rsid w:val="003C7257"/>
    <w:rsid w:val="003C7E35"/>
    <w:rsid w:val="003D1E99"/>
    <w:rsid w:val="003D6208"/>
    <w:rsid w:val="00404E8A"/>
    <w:rsid w:val="0040622F"/>
    <w:rsid w:val="00413F24"/>
    <w:rsid w:val="00422853"/>
    <w:rsid w:val="00423160"/>
    <w:rsid w:val="00437623"/>
    <w:rsid w:val="00444A2B"/>
    <w:rsid w:val="00453862"/>
    <w:rsid w:val="0045469B"/>
    <w:rsid w:val="00461338"/>
    <w:rsid w:val="004677DB"/>
    <w:rsid w:val="004745DA"/>
    <w:rsid w:val="00476256"/>
    <w:rsid w:val="0048630F"/>
    <w:rsid w:val="004947A1"/>
    <w:rsid w:val="0049482A"/>
    <w:rsid w:val="004979D3"/>
    <w:rsid w:val="004A00E7"/>
    <w:rsid w:val="004A3A61"/>
    <w:rsid w:val="004B59BA"/>
    <w:rsid w:val="004B5A03"/>
    <w:rsid w:val="004B7C35"/>
    <w:rsid w:val="004C263A"/>
    <w:rsid w:val="004C6221"/>
    <w:rsid w:val="004D48A6"/>
    <w:rsid w:val="004D70B6"/>
    <w:rsid w:val="004D7B8F"/>
    <w:rsid w:val="004E241F"/>
    <w:rsid w:val="004E6458"/>
    <w:rsid w:val="004E6E7D"/>
    <w:rsid w:val="004F1AAC"/>
    <w:rsid w:val="004F1AE2"/>
    <w:rsid w:val="004F34F0"/>
    <w:rsid w:val="004F3B2B"/>
    <w:rsid w:val="004F6050"/>
    <w:rsid w:val="005005EF"/>
    <w:rsid w:val="005123C2"/>
    <w:rsid w:val="0052144B"/>
    <w:rsid w:val="00524066"/>
    <w:rsid w:val="00526A0F"/>
    <w:rsid w:val="00534E11"/>
    <w:rsid w:val="005378D8"/>
    <w:rsid w:val="005400D9"/>
    <w:rsid w:val="0054355C"/>
    <w:rsid w:val="005476A4"/>
    <w:rsid w:val="00547DA8"/>
    <w:rsid w:val="0055019B"/>
    <w:rsid w:val="00556E63"/>
    <w:rsid w:val="005601A4"/>
    <w:rsid w:val="00566DBB"/>
    <w:rsid w:val="00567B14"/>
    <w:rsid w:val="005767DB"/>
    <w:rsid w:val="005815E6"/>
    <w:rsid w:val="0058712F"/>
    <w:rsid w:val="005976CE"/>
    <w:rsid w:val="005A23D4"/>
    <w:rsid w:val="005A2D1E"/>
    <w:rsid w:val="005A4698"/>
    <w:rsid w:val="005A7FA7"/>
    <w:rsid w:val="005B3756"/>
    <w:rsid w:val="005C493F"/>
    <w:rsid w:val="005C6BF7"/>
    <w:rsid w:val="005C71BF"/>
    <w:rsid w:val="005D002C"/>
    <w:rsid w:val="005D30E1"/>
    <w:rsid w:val="005D6555"/>
    <w:rsid w:val="005D7BDF"/>
    <w:rsid w:val="005E4870"/>
    <w:rsid w:val="005F71D9"/>
    <w:rsid w:val="005F7602"/>
    <w:rsid w:val="006062BE"/>
    <w:rsid w:val="00613143"/>
    <w:rsid w:val="00613501"/>
    <w:rsid w:val="0061611B"/>
    <w:rsid w:val="006166A8"/>
    <w:rsid w:val="006174A1"/>
    <w:rsid w:val="00621D6C"/>
    <w:rsid w:val="00633B49"/>
    <w:rsid w:val="0064297F"/>
    <w:rsid w:val="00645102"/>
    <w:rsid w:val="00646CF3"/>
    <w:rsid w:val="0065165F"/>
    <w:rsid w:val="00653D11"/>
    <w:rsid w:val="00662983"/>
    <w:rsid w:val="006834D3"/>
    <w:rsid w:val="00692625"/>
    <w:rsid w:val="00695CD3"/>
    <w:rsid w:val="00697D00"/>
    <w:rsid w:val="006A18FD"/>
    <w:rsid w:val="006A38B6"/>
    <w:rsid w:val="006B1987"/>
    <w:rsid w:val="006B5B71"/>
    <w:rsid w:val="006B5D3E"/>
    <w:rsid w:val="006B6CB0"/>
    <w:rsid w:val="006B7D7F"/>
    <w:rsid w:val="006C2B64"/>
    <w:rsid w:val="006D1BF3"/>
    <w:rsid w:val="006D4C85"/>
    <w:rsid w:val="006D66AC"/>
    <w:rsid w:val="006E33F6"/>
    <w:rsid w:val="006F1251"/>
    <w:rsid w:val="006F1C23"/>
    <w:rsid w:val="006F4926"/>
    <w:rsid w:val="00702C18"/>
    <w:rsid w:val="00703166"/>
    <w:rsid w:val="007111BC"/>
    <w:rsid w:val="007111C4"/>
    <w:rsid w:val="007127F3"/>
    <w:rsid w:val="007301CF"/>
    <w:rsid w:val="007316FB"/>
    <w:rsid w:val="00737E2D"/>
    <w:rsid w:val="007424D5"/>
    <w:rsid w:val="00745C63"/>
    <w:rsid w:val="00750A88"/>
    <w:rsid w:val="007523DD"/>
    <w:rsid w:val="00757B7E"/>
    <w:rsid w:val="007656B2"/>
    <w:rsid w:val="0077016F"/>
    <w:rsid w:val="007713AD"/>
    <w:rsid w:val="00795DC5"/>
    <w:rsid w:val="00797153"/>
    <w:rsid w:val="007A21F7"/>
    <w:rsid w:val="007A2B68"/>
    <w:rsid w:val="007B0DDA"/>
    <w:rsid w:val="007D3347"/>
    <w:rsid w:val="007D654E"/>
    <w:rsid w:val="007E5466"/>
    <w:rsid w:val="007F1949"/>
    <w:rsid w:val="007F2592"/>
    <w:rsid w:val="00800A08"/>
    <w:rsid w:val="00817A84"/>
    <w:rsid w:val="008225A4"/>
    <w:rsid w:val="00824B92"/>
    <w:rsid w:val="00826D5E"/>
    <w:rsid w:val="00832013"/>
    <w:rsid w:val="00832DB7"/>
    <w:rsid w:val="00834732"/>
    <w:rsid w:val="0085200C"/>
    <w:rsid w:val="00853487"/>
    <w:rsid w:val="00854D42"/>
    <w:rsid w:val="00857C52"/>
    <w:rsid w:val="00860D5F"/>
    <w:rsid w:val="00880A44"/>
    <w:rsid w:val="0088345E"/>
    <w:rsid w:val="0088656F"/>
    <w:rsid w:val="008875BC"/>
    <w:rsid w:val="00891EF6"/>
    <w:rsid w:val="00892FF4"/>
    <w:rsid w:val="0089345A"/>
    <w:rsid w:val="008A0303"/>
    <w:rsid w:val="008A2929"/>
    <w:rsid w:val="008A5FDD"/>
    <w:rsid w:val="008C3947"/>
    <w:rsid w:val="008E473B"/>
    <w:rsid w:val="008E51A6"/>
    <w:rsid w:val="008E7329"/>
    <w:rsid w:val="008F2ED5"/>
    <w:rsid w:val="0092297E"/>
    <w:rsid w:val="00923292"/>
    <w:rsid w:val="00923651"/>
    <w:rsid w:val="00924DF7"/>
    <w:rsid w:val="00927B56"/>
    <w:rsid w:val="009341BF"/>
    <w:rsid w:val="00937907"/>
    <w:rsid w:val="00941739"/>
    <w:rsid w:val="00951573"/>
    <w:rsid w:val="00963003"/>
    <w:rsid w:val="00965919"/>
    <w:rsid w:val="00966EEF"/>
    <w:rsid w:val="00971B28"/>
    <w:rsid w:val="00983471"/>
    <w:rsid w:val="009909AB"/>
    <w:rsid w:val="009B37DB"/>
    <w:rsid w:val="009C7A8C"/>
    <w:rsid w:val="009D23F9"/>
    <w:rsid w:val="009D4FA8"/>
    <w:rsid w:val="009E3F11"/>
    <w:rsid w:val="009E44AE"/>
    <w:rsid w:val="009E6CD6"/>
    <w:rsid w:val="009F4D66"/>
    <w:rsid w:val="00A00C3C"/>
    <w:rsid w:val="00A01091"/>
    <w:rsid w:val="00A042B9"/>
    <w:rsid w:val="00A06DBB"/>
    <w:rsid w:val="00A11DB3"/>
    <w:rsid w:val="00A121A6"/>
    <w:rsid w:val="00A22ADF"/>
    <w:rsid w:val="00A2310D"/>
    <w:rsid w:val="00A254A2"/>
    <w:rsid w:val="00A31E86"/>
    <w:rsid w:val="00A47119"/>
    <w:rsid w:val="00A54D87"/>
    <w:rsid w:val="00A5553C"/>
    <w:rsid w:val="00A701C9"/>
    <w:rsid w:val="00A81785"/>
    <w:rsid w:val="00A84803"/>
    <w:rsid w:val="00A84C51"/>
    <w:rsid w:val="00A86F2B"/>
    <w:rsid w:val="00A91366"/>
    <w:rsid w:val="00A92F91"/>
    <w:rsid w:val="00A93AA6"/>
    <w:rsid w:val="00AA4E48"/>
    <w:rsid w:val="00AA6202"/>
    <w:rsid w:val="00AA7B57"/>
    <w:rsid w:val="00AB2806"/>
    <w:rsid w:val="00AB2D54"/>
    <w:rsid w:val="00AC26FC"/>
    <w:rsid w:val="00AC4A99"/>
    <w:rsid w:val="00AC5129"/>
    <w:rsid w:val="00AC64D2"/>
    <w:rsid w:val="00AD02E7"/>
    <w:rsid w:val="00AE0FE8"/>
    <w:rsid w:val="00AF60D5"/>
    <w:rsid w:val="00B00959"/>
    <w:rsid w:val="00B04415"/>
    <w:rsid w:val="00B06509"/>
    <w:rsid w:val="00B11D60"/>
    <w:rsid w:val="00B13D65"/>
    <w:rsid w:val="00B21805"/>
    <w:rsid w:val="00B3072E"/>
    <w:rsid w:val="00B3149D"/>
    <w:rsid w:val="00B36E15"/>
    <w:rsid w:val="00B37245"/>
    <w:rsid w:val="00B4017A"/>
    <w:rsid w:val="00B4468D"/>
    <w:rsid w:val="00B673B0"/>
    <w:rsid w:val="00B71C72"/>
    <w:rsid w:val="00B71F04"/>
    <w:rsid w:val="00B74A62"/>
    <w:rsid w:val="00B811A4"/>
    <w:rsid w:val="00B81E92"/>
    <w:rsid w:val="00B908D7"/>
    <w:rsid w:val="00B935E8"/>
    <w:rsid w:val="00B93B30"/>
    <w:rsid w:val="00B94CB5"/>
    <w:rsid w:val="00BA0DD9"/>
    <w:rsid w:val="00BA5DBC"/>
    <w:rsid w:val="00BA6584"/>
    <w:rsid w:val="00BB6312"/>
    <w:rsid w:val="00BC39C2"/>
    <w:rsid w:val="00BC4D06"/>
    <w:rsid w:val="00BD05E1"/>
    <w:rsid w:val="00BD585E"/>
    <w:rsid w:val="00BD6919"/>
    <w:rsid w:val="00BE1427"/>
    <w:rsid w:val="00BE1EA7"/>
    <w:rsid w:val="00BE7489"/>
    <w:rsid w:val="00BF2E0D"/>
    <w:rsid w:val="00BF3927"/>
    <w:rsid w:val="00BF3F8B"/>
    <w:rsid w:val="00BF76DA"/>
    <w:rsid w:val="00C00CDB"/>
    <w:rsid w:val="00C07C7B"/>
    <w:rsid w:val="00C16245"/>
    <w:rsid w:val="00C22DC5"/>
    <w:rsid w:val="00C24479"/>
    <w:rsid w:val="00C273F2"/>
    <w:rsid w:val="00C37B53"/>
    <w:rsid w:val="00C434EB"/>
    <w:rsid w:val="00C517D2"/>
    <w:rsid w:val="00C52EAC"/>
    <w:rsid w:val="00C5772E"/>
    <w:rsid w:val="00C62B36"/>
    <w:rsid w:val="00C7012C"/>
    <w:rsid w:val="00C712EA"/>
    <w:rsid w:val="00C9728E"/>
    <w:rsid w:val="00CA217D"/>
    <w:rsid w:val="00CA3131"/>
    <w:rsid w:val="00CC09D4"/>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417D2"/>
    <w:rsid w:val="00D42960"/>
    <w:rsid w:val="00D43BD7"/>
    <w:rsid w:val="00D446BE"/>
    <w:rsid w:val="00D4485B"/>
    <w:rsid w:val="00D46CCD"/>
    <w:rsid w:val="00D4708D"/>
    <w:rsid w:val="00D4744C"/>
    <w:rsid w:val="00D51046"/>
    <w:rsid w:val="00D521DE"/>
    <w:rsid w:val="00D5470B"/>
    <w:rsid w:val="00D63068"/>
    <w:rsid w:val="00D6498C"/>
    <w:rsid w:val="00D67BAF"/>
    <w:rsid w:val="00D76A70"/>
    <w:rsid w:val="00D83182"/>
    <w:rsid w:val="00D8521E"/>
    <w:rsid w:val="00D9291C"/>
    <w:rsid w:val="00D93A97"/>
    <w:rsid w:val="00DA5602"/>
    <w:rsid w:val="00DB1F64"/>
    <w:rsid w:val="00DC261A"/>
    <w:rsid w:val="00DC2F53"/>
    <w:rsid w:val="00DC4EF9"/>
    <w:rsid w:val="00DC5BAC"/>
    <w:rsid w:val="00DC6816"/>
    <w:rsid w:val="00DC76C2"/>
    <w:rsid w:val="00DD1CF2"/>
    <w:rsid w:val="00DE4484"/>
    <w:rsid w:val="00DF41B7"/>
    <w:rsid w:val="00DF4A4A"/>
    <w:rsid w:val="00DF583C"/>
    <w:rsid w:val="00E03C3F"/>
    <w:rsid w:val="00E06FD7"/>
    <w:rsid w:val="00E07417"/>
    <w:rsid w:val="00E11D83"/>
    <w:rsid w:val="00E213CC"/>
    <w:rsid w:val="00E24D45"/>
    <w:rsid w:val="00E33DB8"/>
    <w:rsid w:val="00E33EFF"/>
    <w:rsid w:val="00E34387"/>
    <w:rsid w:val="00E348BA"/>
    <w:rsid w:val="00E369FE"/>
    <w:rsid w:val="00E37C6F"/>
    <w:rsid w:val="00E475F8"/>
    <w:rsid w:val="00E5102E"/>
    <w:rsid w:val="00E5721C"/>
    <w:rsid w:val="00E609BA"/>
    <w:rsid w:val="00E619C6"/>
    <w:rsid w:val="00E70CED"/>
    <w:rsid w:val="00E745A1"/>
    <w:rsid w:val="00E81529"/>
    <w:rsid w:val="00E83A13"/>
    <w:rsid w:val="00EB07DC"/>
    <w:rsid w:val="00EB1151"/>
    <w:rsid w:val="00EB6FC5"/>
    <w:rsid w:val="00EC2356"/>
    <w:rsid w:val="00EC2582"/>
    <w:rsid w:val="00EC337C"/>
    <w:rsid w:val="00ED0CFF"/>
    <w:rsid w:val="00ED31D2"/>
    <w:rsid w:val="00EE0EAC"/>
    <w:rsid w:val="00EE3322"/>
    <w:rsid w:val="00EE33CB"/>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70731"/>
    <w:rsid w:val="00F70C9E"/>
    <w:rsid w:val="00F74A74"/>
    <w:rsid w:val="00F7572C"/>
    <w:rsid w:val="00F8382C"/>
    <w:rsid w:val="00F855D7"/>
    <w:rsid w:val="00F92035"/>
    <w:rsid w:val="00F92748"/>
    <w:rsid w:val="00FA4169"/>
    <w:rsid w:val="00FB0D41"/>
    <w:rsid w:val="00FB2030"/>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15:docId w15:val="{B9D01708-EDD9-44CA-9B5C-3406B948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29"/>
    <w:rPr>
      <w:sz w:val="24"/>
      <w:szCs w:val="24"/>
      <w:lang w:eastAsia="en-US"/>
    </w:rPr>
  </w:style>
  <w:style w:type="paragraph" w:styleId="Heading1">
    <w:name w:val="heading 1"/>
    <w:basedOn w:val="Normal"/>
    <w:next w:val="Normal"/>
    <w:qFormat/>
    <w:rsid w:val="00A84C51"/>
    <w:pPr>
      <w:keepNext/>
      <w:jc w:val="center"/>
      <w:outlineLvl w:val="0"/>
    </w:pPr>
    <w:rPr>
      <w:b/>
      <w:bCs/>
      <w:caps/>
    </w:rPr>
  </w:style>
  <w:style w:type="paragraph" w:styleId="Heading2">
    <w:name w:val="heading 2"/>
    <w:basedOn w:val="Normal"/>
    <w:next w:val="Normal"/>
    <w:qFormat/>
    <w:rsid w:val="00A84C51"/>
    <w:pPr>
      <w:keepNext/>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4C51"/>
    <w:pPr>
      <w:tabs>
        <w:tab w:val="center" w:pos="4986"/>
        <w:tab w:val="right" w:pos="9972"/>
      </w:tabs>
    </w:pPr>
  </w:style>
  <w:style w:type="paragraph" w:styleId="Footer">
    <w:name w:val="footer"/>
    <w:basedOn w:val="Normal"/>
    <w:link w:val="FooterChar"/>
    <w:rsid w:val="00A84C51"/>
    <w:pPr>
      <w:tabs>
        <w:tab w:val="center" w:pos="4986"/>
        <w:tab w:val="right" w:pos="9972"/>
      </w:tabs>
    </w:pPr>
  </w:style>
  <w:style w:type="character" w:styleId="PageNumber">
    <w:name w:val="page number"/>
    <w:basedOn w:val="DefaultParagraphFont"/>
    <w:rsid w:val="00A84C51"/>
  </w:style>
  <w:style w:type="character" w:styleId="Hyperlink">
    <w:name w:val="Hyperlink"/>
    <w:basedOn w:val="DefaultParagraphFont"/>
    <w:rsid w:val="00A84C51"/>
    <w:rPr>
      <w:color w:val="0000FF"/>
      <w:u w:val="single"/>
    </w:rPr>
  </w:style>
  <w:style w:type="paragraph" w:styleId="BalloonText">
    <w:name w:val="Balloon Text"/>
    <w:basedOn w:val="Normal"/>
    <w:semiHidden/>
    <w:rsid w:val="00EC2356"/>
    <w:rPr>
      <w:rFonts w:ascii="Tahoma" w:hAnsi="Tahoma" w:cs="Tahoma"/>
      <w:sz w:val="16"/>
      <w:szCs w:val="16"/>
    </w:rPr>
  </w:style>
  <w:style w:type="character" w:customStyle="1" w:styleId="FooterChar">
    <w:name w:val="Footer Char"/>
    <w:basedOn w:val="DefaultParagraphFont"/>
    <w:link w:val="Footer"/>
    <w:rsid w:val="00737E2D"/>
    <w:rPr>
      <w:sz w:val="24"/>
      <w:szCs w:val="24"/>
      <w:lang w:eastAsia="en-US"/>
    </w:rPr>
  </w:style>
  <w:style w:type="character" w:customStyle="1" w:styleId="Neapdorotaspaminjimas1">
    <w:name w:val="Neapdorotas paminėjimas1"/>
    <w:basedOn w:val="DefaultParagraphFont"/>
    <w:uiPriority w:val="99"/>
    <w:semiHidden/>
    <w:unhideWhenUsed/>
    <w:rsid w:val="00A31E86"/>
    <w:rPr>
      <w:color w:val="605E5C"/>
      <w:shd w:val="clear" w:color="auto" w:fill="E1DFDD"/>
    </w:rPr>
  </w:style>
  <w:style w:type="character" w:styleId="FollowedHyperlink">
    <w:name w:val="FollowedHyperlink"/>
    <w:basedOn w:val="DefaultParagraphFont"/>
    <w:semiHidden/>
    <w:unhideWhenUsed/>
    <w:rsid w:val="00A31E86"/>
    <w:rPr>
      <w:color w:val="800080" w:themeColor="followedHyperlink"/>
      <w:u w:val="single"/>
    </w:rPr>
  </w:style>
  <w:style w:type="table" w:styleId="TableGrid">
    <w:name w:val="Table Grid"/>
    <w:basedOn w:val="TableNorma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7012C"/>
    <w:rPr>
      <w:sz w:val="16"/>
      <w:szCs w:val="16"/>
    </w:rPr>
  </w:style>
  <w:style w:type="paragraph" w:styleId="CommentText">
    <w:name w:val="annotation text"/>
    <w:basedOn w:val="Normal"/>
    <w:link w:val="CommentTextChar"/>
    <w:unhideWhenUsed/>
    <w:rsid w:val="00C7012C"/>
    <w:rPr>
      <w:sz w:val="20"/>
      <w:szCs w:val="20"/>
    </w:rPr>
  </w:style>
  <w:style w:type="character" w:customStyle="1" w:styleId="CommentTextChar">
    <w:name w:val="Comment Text Char"/>
    <w:basedOn w:val="DefaultParagraphFont"/>
    <w:link w:val="CommentText"/>
    <w:rsid w:val="00C7012C"/>
    <w:rPr>
      <w:lang w:eastAsia="en-US"/>
    </w:rPr>
  </w:style>
  <w:style w:type="paragraph" w:styleId="CommentSubject">
    <w:name w:val="annotation subject"/>
    <w:basedOn w:val="CommentText"/>
    <w:next w:val="CommentText"/>
    <w:link w:val="CommentSubjectChar"/>
    <w:semiHidden/>
    <w:unhideWhenUsed/>
    <w:rsid w:val="00C7012C"/>
    <w:rPr>
      <w:b/>
      <w:bCs/>
    </w:rPr>
  </w:style>
  <w:style w:type="character" w:customStyle="1" w:styleId="CommentSubjectChar">
    <w:name w:val="Comment Subject Char"/>
    <w:basedOn w:val="CommentTextChar"/>
    <w:link w:val="CommentSubject"/>
    <w:semiHidden/>
    <w:rsid w:val="00C7012C"/>
    <w:rPr>
      <w:b/>
      <w:bCs/>
      <w:lang w:eastAsia="en-US"/>
    </w:rPr>
  </w:style>
  <w:style w:type="paragraph" w:styleId="ListParagraph">
    <w:name w:val="List Paragraph"/>
    <w:basedOn w:val="Normal"/>
    <w:uiPriority w:val="34"/>
    <w:qFormat/>
    <w:rsid w:val="00104E2E"/>
    <w:pPr>
      <w:ind w:left="720"/>
      <w:contextualSpacing/>
    </w:pPr>
  </w:style>
  <w:style w:type="character" w:customStyle="1" w:styleId="Style2">
    <w:name w:val="Style2"/>
    <w:basedOn w:val="DefaultParagraphFont"/>
    <w:uiPriority w:val="1"/>
    <w:rsid w:val="00D6498C"/>
    <w:rPr>
      <w:sz w:val="32"/>
    </w:rPr>
  </w:style>
  <w:style w:type="character" w:styleId="PlaceholderText">
    <w:name w:val="Placeholder Text"/>
    <w:basedOn w:val="DefaultParagraphFont"/>
    <w:uiPriority w:val="99"/>
    <w:rsid w:val="00B13D65"/>
    <w:rPr>
      <w:color w:val="808080"/>
    </w:rPr>
  </w:style>
  <w:style w:type="paragraph" w:styleId="NoSpacing">
    <w:name w:val="No Spacing"/>
    <w:aliases w:val="List of figures"/>
    <w:link w:val="NoSpacingChar"/>
    <w:uiPriority w:val="1"/>
    <w:qFormat/>
    <w:rsid w:val="00B13D65"/>
    <w:rPr>
      <w:rFonts w:ascii="Calibri" w:eastAsia="Calibri" w:hAnsi="Calibri"/>
      <w:sz w:val="22"/>
      <w:szCs w:val="22"/>
      <w:lang w:eastAsia="en-US"/>
    </w:rPr>
  </w:style>
  <w:style w:type="table" w:customStyle="1" w:styleId="Lentelstinklelis1">
    <w:name w:val="Lentelės tinklelis1"/>
    <w:basedOn w:val="TableNormal"/>
    <w:next w:val="TableGrid"/>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256"/>
    <w:rPr>
      <w:sz w:val="24"/>
      <w:szCs w:val="24"/>
      <w:lang w:eastAsia="en-US"/>
    </w:rPr>
  </w:style>
  <w:style w:type="paragraph" w:customStyle="1" w:styleId="Tekstas">
    <w:name w:val="Tekstas"/>
    <w:basedOn w:val="Normal"/>
    <w:link w:val="TekstasChar"/>
    <w:qFormat/>
    <w:rsid w:val="005A7FA7"/>
    <w:pPr>
      <w:spacing w:after="120"/>
      <w:jc w:val="both"/>
    </w:pPr>
    <w:rPr>
      <w:color w:val="000000" w:themeColor="text1"/>
      <w:lang w:val="en-US"/>
    </w:rPr>
  </w:style>
  <w:style w:type="character" w:customStyle="1" w:styleId="TekstasChar">
    <w:name w:val="Tekstas Char"/>
    <w:link w:val="Tekstas"/>
    <w:rsid w:val="005A7FA7"/>
    <w:rPr>
      <w:color w:val="000000" w:themeColor="text1"/>
      <w:sz w:val="24"/>
      <w:szCs w:val="24"/>
      <w:lang w:val="en-US" w:eastAsia="en-US"/>
    </w:rPr>
  </w:style>
  <w:style w:type="paragraph" w:customStyle="1" w:styleId="font-claude-response-body">
    <w:name w:val="font-claude-response-body"/>
    <w:basedOn w:val="Normal"/>
    <w:rsid w:val="005A7FA7"/>
    <w:pPr>
      <w:spacing w:before="100" w:beforeAutospacing="1" w:after="100" w:afterAutospacing="1"/>
    </w:pPr>
    <w:rPr>
      <w:lang w:eastAsia="lt-LT"/>
    </w:rPr>
  </w:style>
  <w:style w:type="character" w:customStyle="1" w:styleId="NoSpacingChar">
    <w:name w:val="No Spacing Char"/>
    <w:aliases w:val="List of figures Char"/>
    <w:basedOn w:val="DefaultParagraphFont"/>
    <w:link w:val="NoSpacing"/>
    <w:uiPriority w:val="1"/>
    <w:rsid w:val="0054355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15245</Words>
  <Characters>8691</Characters>
  <Application>Microsoft Office Word</Application>
  <DocSecurity>0</DocSecurity>
  <Lines>72</Lines>
  <Paragraphs>47</Paragraphs>
  <ScaleCrop>false</ScaleCrop>
  <Company/>
  <LinksUpToDate>false</LinksUpToDate>
  <CharactersWithSpaces>23889</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Egidijus Zekas</dc:creator>
  <cp:lastModifiedBy>Egidijus Zekas</cp:lastModifiedBy>
  <cp:revision>2</cp:revision>
  <dcterms:created xsi:type="dcterms:W3CDTF">2026-07-02T10:31:00Z</dcterms:created>
  <dcterms:modified xsi:type="dcterms:W3CDTF">2026-07-02T10:31:00Z</dcterms:modified>
</cp:coreProperties>
</file>