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9E3F81" w:rsidRDefault="005F7602" w:rsidP="002946C7">
      <w:pPr>
        <w:ind w:left="5529"/>
      </w:pPr>
    </w:p>
    <w:p w14:paraId="12FA4B9E" w14:textId="39AA3336" w:rsidR="001B3C5B" w:rsidRPr="009E3F81" w:rsidRDefault="00DC261A" w:rsidP="001B3C5B">
      <w:pPr>
        <w:ind w:left="6096"/>
      </w:pPr>
      <w:bookmarkStart w:id="0" w:name="_Hlk189565243"/>
      <w:r w:rsidRPr="009E3F81">
        <w:t>PATVIRTINTA</w:t>
      </w:r>
    </w:p>
    <w:p w14:paraId="7206970B" w14:textId="70E9BD2E" w:rsidR="004C263A" w:rsidRPr="009E3F81" w:rsidRDefault="001B3C5B" w:rsidP="001B3C5B">
      <w:pPr>
        <w:ind w:left="6096"/>
      </w:pPr>
      <w:r w:rsidRPr="009E3F81">
        <w:t>Valstybinės vaistų kontrolės tarnybos prie Lietuvos Respublikos sveikatos apsaugos ministerijos viršininko 2021 m</w:t>
      </w:r>
      <w:r w:rsidR="004C263A" w:rsidRPr="009E3F81">
        <w:t xml:space="preserve">. lapkričio 12 </w:t>
      </w:r>
      <w:r w:rsidRPr="009E3F81">
        <w:t>d. įsakymu Nr.</w:t>
      </w:r>
      <w:r w:rsidR="004C263A" w:rsidRPr="009E3F81">
        <w:t xml:space="preserve"> (1.72E)1A-1418</w:t>
      </w:r>
    </w:p>
    <w:p w14:paraId="5B219AA6" w14:textId="3A5D6CB4" w:rsidR="001B3C5B" w:rsidRPr="009E3F81" w:rsidRDefault="004C263A" w:rsidP="001B3C5B">
      <w:pPr>
        <w:ind w:left="6096"/>
      </w:pPr>
      <w:r w:rsidRPr="009E3F81">
        <w:t>(Valstybinės vaistų kontrolės tarnybos prie Lietuvos Respublikos sveikatos apsaugos ministerijos viršininko 202</w:t>
      </w:r>
      <w:r w:rsidR="00A2310D" w:rsidRPr="009E3F81">
        <w:t>5</w:t>
      </w:r>
      <w:r w:rsidRPr="009E3F81">
        <w:t xml:space="preserve"> m.                         d. įsakymo Nr.                    redakcija)</w:t>
      </w:r>
    </w:p>
    <w:p w14:paraId="3336BD74" w14:textId="77777777" w:rsidR="001B3C5B" w:rsidRPr="009E3F81" w:rsidRDefault="001B3C5B" w:rsidP="00FA4169"/>
    <w:bookmarkEnd w:id="0"/>
    <w:p w14:paraId="56604434" w14:textId="77777777" w:rsidR="00DC261A" w:rsidRPr="009E3F81" w:rsidRDefault="00DC261A" w:rsidP="003B211A">
      <w:pPr>
        <w:jc w:val="center"/>
        <w:rPr>
          <w:b/>
        </w:rPr>
      </w:pPr>
    </w:p>
    <w:p w14:paraId="77AFB67E" w14:textId="0FB133A2" w:rsidR="00613501" w:rsidRPr="009E3F81" w:rsidRDefault="002F0E4F" w:rsidP="003B211A">
      <w:pPr>
        <w:jc w:val="center"/>
        <w:rPr>
          <w:b/>
          <w:bCs/>
          <w:caps/>
        </w:rPr>
      </w:pPr>
      <w:r w:rsidRPr="009E3F81">
        <w:rPr>
          <w:b/>
        </w:rPr>
        <w:t xml:space="preserve">REKOMENDACIJA DĖL VAISTINIO PREPARATO </w:t>
      </w:r>
      <w:r w:rsidRPr="009E3F81">
        <w:rPr>
          <w:b/>
          <w:bCs/>
          <w:caps/>
        </w:rPr>
        <w:t>Lietuvos Respublikos Sveikatos apsaugos ministerijos vaistinių preparatų ir medicinos pagalbos priemonių kompensavimo komisijai</w:t>
      </w:r>
    </w:p>
    <w:p w14:paraId="34E4395D" w14:textId="15FB10DF" w:rsidR="00B13D65" w:rsidRPr="009E3F81" w:rsidRDefault="00B13D65" w:rsidP="003B211A">
      <w:pPr>
        <w:jc w:val="center"/>
        <w:rPr>
          <w:b/>
        </w:rPr>
      </w:pPr>
    </w:p>
    <w:p w14:paraId="3C5DCDF9" w14:textId="23923131" w:rsidR="009E3F81" w:rsidRPr="009E3F81" w:rsidRDefault="009E3F81" w:rsidP="009E3F81">
      <w:pPr>
        <w:jc w:val="center"/>
        <w:rPr>
          <w:b/>
        </w:rPr>
      </w:pPr>
      <w:r w:rsidRPr="009E3F81">
        <w:rPr>
          <w:b/>
        </w:rPr>
        <w:t xml:space="preserve">Darzalex </w:t>
      </w:r>
      <w:r w:rsidR="00292F26" w:rsidRPr="009E3F81">
        <w:rPr>
          <w:b/>
        </w:rPr>
        <w:t xml:space="preserve">1800 mg </w:t>
      </w:r>
      <w:r w:rsidRPr="009E3F81">
        <w:rPr>
          <w:b/>
        </w:rPr>
        <w:t xml:space="preserve">injekcinis tirpalas </w:t>
      </w:r>
    </w:p>
    <w:p w14:paraId="75B3AEAF" w14:textId="77777777" w:rsidR="009E3F81" w:rsidRPr="009E3F81" w:rsidRDefault="009E3F81" w:rsidP="009E3F81">
      <w:pPr>
        <w:jc w:val="center"/>
      </w:pPr>
    </w:p>
    <w:p w14:paraId="094158A1" w14:textId="77777777" w:rsidR="009E3F81" w:rsidRPr="009E3F81" w:rsidRDefault="009E3F81" w:rsidP="009E3F81">
      <w:pPr>
        <w:jc w:val="center"/>
        <w:rPr>
          <w:b/>
        </w:rPr>
      </w:pPr>
      <w:r w:rsidRPr="009E3F81">
        <w:rPr>
          <w:b/>
        </w:rPr>
        <w:t>Daratumumabas</w:t>
      </w:r>
    </w:p>
    <w:p w14:paraId="2AF1BF14" w14:textId="77777777" w:rsidR="009E3F81" w:rsidRPr="009E3F81" w:rsidRDefault="009E3F81" w:rsidP="009E3F81">
      <w:pPr>
        <w:jc w:val="center"/>
        <w:rPr>
          <w:b/>
        </w:rPr>
      </w:pPr>
    </w:p>
    <w:p w14:paraId="173C2AA6" w14:textId="77777777" w:rsidR="009E3F81" w:rsidRPr="009E3F81" w:rsidRDefault="009E3F81" w:rsidP="009E3F81">
      <w:pPr>
        <w:jc w:val="center"/>
        <w:rPr>
          <w:b/>
        </w:rPr>
      </w:pPr>
      <w:r w:rsidRPr="009E3F81">
        <w:rPr>
          <w:b/>
        </w:rPr>
        <w:t>STV-263</w:t>
      </w:r>
    </w:p>
    <w:p w14:paraId="453197C8" w14:textId="77777777" w:rsidR="00D4708D" w:rsidRPr="009E3F81" w:rsidRDefault="00D4708D" w:rsidP="003B211A">
      <w:pPr>
        <w:jc w:val="center"/>
        <w:rPr>
          <w:b/>
        </w:rPr>
      </w:pPr>
    </w:p>
    <w:p w14:paraId="78C89D1C" w14:textId="0DEFFAA5" w:rsidR="00D4485B" w:rsidRPr="009E3F81" w:rsidRDefault="00B13D65" w:rsidP="00CC09D4">
      <w:pPr>
        <w:pStyle w:val="Sraopastraipa"/>
        <w:numPr>
          <w:ilvl w:val="0"/>
          <w:numId w:val="12"/>
        </w:numPr>
        <w:tabs>
          <w:tab w:val="left" w:pos="567"/>
        </w:tabs>
        <w:ind w:left="567" w:hanging="567"/>
        <w:rPr>
          <w:b/>
          <w:bCs/>
          <w:caps/>
        </w:rPr>
      </w:pPr>
      <w:r w:rsidRPr="009E3F81">
        <w:rPr>
          <w:b/>
          <w:bCs/>
          <w:caps/>
        </w:rPr>
        <w:t>Bendroji dalis</w:t>
      </w:r>
    </w:p>
    <w:p w14:paraId="04A7C7A7" w14:textId="77777777" w:rsidR="00B13D65" w:rsidRPr="009E3F81" w:rsidRDefault="00B13D65" w:rsidP="00E03C3F">
      <w:pPr>
        <w:pStyle w:val="Sraopastraipa"/>
        <w:tabs>
          <w:tab w:val="left" w:pos="284"/>
        </w:tabs>
        <w:ind w:left="0"/>
        <w:rPr>
          <w:b/>
          <w:bCs/>
          <w:caps/>
        </w:rPr>
      </w:pPr>
    </w:p>
    <w:tbl>
      <w:tblPr>
        <w:tblStyle w:val="Lentelstinklelis"/>
        <w:tblW w:w="9493" w:type="dxa"/>
        <w:tblLook w:val="04A0" w:firstRow="1" w:lastRow="0" w:firstColumn="1" w:lastColumn="0" w:noHBand="0" w:noVBand="1"/>
      </w:tblPr>
      <w:tblGrid>
        <w:gridCol w:w="632"/>
        <w:gridCol w:w="3899"/>
        <w:gridCol w:w="4962"/>
      </w:tblGrid>
      <w:tr w:rsidR="009E3F81" w:rsidRPr="009E3F81" w14:paraId="16A7BC7B" w14:textId="77777777" w:rsidTr="003F3FFF">
        <w:trPr>
          <w:trHeight w:val="538"/>
        </w:trPr>
        <w:tc>
          <w:tcPr>
            <w:tcW w:w="632" w:type="dxa"/>
          </w:tcPr>
          <w:p w14:paraId="4572808D" w14:textId="77777777" w:rsidR="009E3F81" w:rsidRPr="009E3F81" w:rsidRDefault="009E3F81" w:rsidP="009E3F81">
            <w:pPr>
              <w:rPr>
                <w:rFonts w:eastAsia="Arial"/>
                <w:b/>
                <w:bCs/>
              </w:rPr>
            </w:pPr>
            <w:r w:rsidRPr="009E3F81">
              <w:rPr>
                <w:rFonts w:eastAsia="Arial"/>
                <w:b/>
                <w:bCs/>
              </w:rPr>
              <w:t>1.1</w:t>
            </w:r>
          </w:p>
        </w:tc>
        <w:tc>
          <w:tcPr>
            <w:tcW w:w="3899" w:type="dxa"/>
          </w:tcPr>
          <w:p w14:paraId="54BA6EB3" w14:textId="7A29829B" w:rsidR="009E3F81" w:rsidRPr="009E3F81" w:rsidRDefault="009E3F81" w:rsidP="009E3F81">
            <w:pPr>
              <w:rPr>
                <w:rFonts w:eastAsia="Arial"/>
                <w:b/>
                <w:bCs/>
              </w:rPr>
            </w:pPr>
            <w:r w:rsidRPr="009E3F81">
              <w:rPr>
                <w:rFonts w:eastAsia="Arial"/>
                <w:b/>
                <w:bCs/>
              </w:rPr>
              <w:t>Pareiškėjas/ pareiškėjo atstovas</w:t>
            </w:r>
          </w:p>
        </w:tc>
        <w:tc>
          <w:tcPr>
            <w:tcW w:w="4962" w:type="dxa"/>
          </w:tcPr>
          <w:p w14:paraId="0F359BD4" w14:textId="660C109C" w:rsidR="009E3F81" w:rsidRPr="009E3F81" w:rsidRDefault="009E3F81" w:rsidP="009E3F81">
            <w:pPr>
              <w:rPr>
                <w:rFonts w:eastAsia="Arial"/>
              </w:rPr>
            </w:pPr>
            <w:r w:rsidRPr="009E3F81">
              <w:t>UAB „Johnson &amp; Johnson”</w:t>
            </w:r>
          </w:p>
        </w:tc>
      </w:tr>
      <w:tr w:rsidR="009E3F81" w:rsidRPr="009E3F81" w14:paraId="101EA148" w14:textId="77777777" w:rsidTr="003F3FFF">
        <w:trPr>
          <w:trHeight w:val="538"/>
        </w:trPr>
        <w:tc>
          <w:tcPr>
            <w:tcW w:w="632" w:type="dxa"/>
          </w:tcPr>
          <w:p w14:paraId="3BF67175" w14:textId="77777777" w:rsidR="009E3F81" w:rsidRPr="009E3F81" w:rsidRDefault="009E3F81" w:rsidP="009E3F81">
            <w:pPr>
              <w:rPr>
                <w:rFonts w:eastAsia="Arial"/>
                <w:b/>
                <w:bCs/>
              </w:rPr>
            </w:pPr>
            <w:r w:rsidRPr="009E3F81">
              <w:rPr>
                <w:rFonts w:eastAsia="Arial"/>
                <w:b/>
                <w:bCs/>
              </w:rPr>
              <w:t>1.2</w:t>
            </w:r>
          </w:p>
        </w:tc>
        <w:tc>
          <w:tcPr>
            <w:tcW w:w="3899" w:type="dxa"/>
          </w:tcPr>
          <w:p w14:paraId="77E620E9" w14:textId="77777777" w:rsidR="009E3F81" w:rsidRPr="009E3F81" w:rsidRDefault="009E3F81" w:rsidP="009E3F81">
            <w:pPr>
              <w:jc w:val="both"/>
              <w:rPr>
                <w:b/>
                <w:bCs/>
                <w:lang w:eastAsia="lt-LT"/>
              </w:rPr>
            </w:pPr>
            <w:r w:rsidRPr="009E3F81">
              <w:rPr>
                <w:b/>
                <w:bCs/>
                <w:lang w:eastAsia="lt-LT"/>
              </w:rPr>
              <w:t xml:space="preserve">Vaistinio preparato registracijos data </w:t>
            </w:r>
          </w:p>
          <w:p w14:paraId="4B568341" w14:textId="77777777" w:rsidR="009E3F81" w:rsidRPr="009E3F81" w:rsidRDefault="009E3F81" w:rsidP="009E3F81">
            <w:pPr>
              <w:rPr>
                <w:b/>
                <w:bCs/>
                <w:lang w:eastAsia="lt-LT"/>
              </w:rPr>
            </w:pPr>
          </w:p>
        </w:tc>
        <w:tc>
          <w:tcPr>
            <w:tcW w:w="4962" w:type="dxa"/>
          </w:tcPr>
          <w:p w14:paraId="50F63366" w14:textId="0230321E" w:rsidR="009E3F81" w:rsidRPr="009E3F81" w:rsidRDefault="00010EC7" w:rsidP="009E3F81">
            <w:pPr>
              <w:rPr>
                <w:rStyle w:val="Style2"/>
                <w:sz w:val="24"/>
              </w:rPr>
            </w:pPr>
            <w:sdt>
              <w:sdtPr>
                <w:rPr>
                  <w:sz w:val="32"/>
                </w:rPr>
                <w:alias w:val="Nurodykite konkrečią dieną"/>
                <w:tag w:val="Nurodykite pradžios datą"/>
                <w:id w:val="1772196685"/>
                <w:placeholder>
                  <w:docPart w:val="3C893D3AA45B4BADBAACC6B9DDB2C5F1"/>
                </w:placeholder>
                <w15:color w:val="FFCC99"/>
                <w:date w:fullDate="2016-05-20T00:00:00Z">
                  <w:dateFormat w:val="yyyy 'm.' MMMM d 'd.'"/>
                  <w:lid w:val="lt-LT"/>
                  <w:storeMappedDataAs w:val="dateTime"/>
                  <w:calendar w:val="gregorian"/>
                </w:date>
              </w:sdtPr>
              <w:sdtEndPr>
                <w:rPr>
                  <w:sz w:val="24"/>
                </w:rPr>
              </w:sdtEndPr>
              <w:sdtContent>
                <w:r w:rsidR="009E3F81" w:rsidRPr="009E3F81">
                  <w:t>2016 m. gegužės 20 d.</w:t>
                </w:r>
              </w:sdtContent>
            </w:sdt>
          </w:p>
        </w:tc>
      </w:tr>
      <w:tr w:rsidR="009E3F81" w:rsidRPr="009E3F81" w14:paraId="3D70E0FA" w14:textId="77777777" w:rsidTr="001F115E">
        <w:trPr>
          <w:trHeight w:val="1643"/>
        </w:trPr>
        <w:tc>
          <w:tcPr>
            <w:tcW w:w="632" w:type="dxa"/>
          </w:tcPr>
          <w:p w14:paraId="021DF6BD" w14:textId="77777777" w:rsidR="009E3F81" w:rsidRPr="009E3F81" w:rsidRDefault="009E3F81" w:rsidP="009E3F81">
            <w:pPr>
              <w:rPr>
                <w:rFonts w:eastAsia="Arial"/>
                <w:b/>
                <w:bCs/>
              </w:rPr>
            </w:pPr>
            <w:r w:rsidRPr="009E3F81">
              <w:rPr>
                <w:rFonts w:eastAsia="Arial"/>
                <w:b/>
                <w:bCs/>
              </w:rPr>
              <w:t>1.3</w:t>
            </w:r>
          </w:p>
        </w:tc>
        <w:tc>
          <w:tcPr>
            <w:tcW w:w="3899" w:type="dxa"/>
          </w:tcPr>
          <w:p w14:paraId="703CE3DC" w14:textId="77777777" w:rsidR="009E3F81" w:rsidRPr="009E3F81" w:rsidRDefault="009E3F81" w:rsidP="009E3F81">
            <w:pPr>
              <w:pStyle w:val="Betarp"/>
              <w:jc w:val="both"/>
              <w:rPr>
                <w:rFonts w:ascii="Times New Roman" w:hAnsi="Times New Roman"/>
                <w:b/>
                <w:sz w:val="24"/>
                <w:szCs w:val="24"/>
                <w:shd w:val="clear" w:color="auto" w:fill="FFFFFF"/>
              </w:rPr>
            </w:pPr>
            <w:r w:rsidRPr="009E3F81">
              <w:rPr>
                <w:rFonts w:ascii="Times New Roman" w:hAnsi="Times New Roman"/>
                <w:b/>
                <w:sz w:val="24"/>
                <w:szCs w:val="24"/>
              </w:rPr>
              <w:t xml:space="preserve">Vaistinio preparato </w:t>
            </w:r>
            <w:r w:rsidRPr="009E3F81">
              <w:rPr>
                <w:rFonts w:ascii="Times New Roman" w:hAnsi="Times New Roman"/>
                <w:b/>
                <w:sz w:val="24"/>
                <w:szCs w:val="24"/>
                <w:shd w:val="clear" w:color="auto" w:fill="FFFFFF"/>
              </w:rPr>
              <w:t>registracijos teisinis pagrindas</w:t>
            </w:r>
          </w:p>
          <w:p w14:paraId="63F86DC1" w14:textId="6AFE745E" w:rsidR="009E3F81" w:rsidRPr="009E3F81" w:rsidRDefault="009E3F81" w:rsidP="009E3F81">
            <w:pPr>
              <w:pStyle w:val="Betarp"/>
              <w:rPr>
                <w:rFonts w:ascii="Times New Roman" w:hAnsi="Times New Roman"/>
                <w:b/>
                <w:bCs/>
                <w:sz w:val="24"/>
                <w:szCs w:val="24"/>
                <w:lang w:eastAsia="lt-LT"/>
              </w:rPr>
            </w:pPr>
            <w:r w:rsidRPr="009E3F81">
              <w:rPr>
                <w:rFonts w:ascii="Times New Roman" w:hAnsi="Times New Roman"/>
                <w:b/>
                <w:sz w:val="24"/>
                <w:szCs w:val="24"/>
                <w:shd w:val="clear" w:color="auto" w:fill="FFFFFF"/>
              </w:rPr>
              <w:t>(</w:t>
            </w:r>
            <w:r w:rsidRPr="009E3F81">
              <w:rPr>
                <w:rFonts w:ascii="Times New Roman" w:hAnsi="Times New Roman"/>
                <w:b/>
                <w:sz w:val="24"/>
                <w:szCs w:val="24"/>
              </w:rPr>
              <w:t>Direktyvos 2001/83/EB str.)</w:t>
            </w:r>
          </w:p>
        </w:tc>
        <w:tc>
          <w:tcPr>
            <w:tcW w:w="4962" w:type="dxa"/>
          </w:tcPr>
          <w:p w14:paraId="3EC32752" w14:textId="77777777" w:rsidR="009E3F81" w:rsidRPr="009E3F81" w:rsidRDefault="00010EC7" w:rsidP="009E3F81">
            <w:pPr>
              <w:jc w:val="both"/>
            </w:pPr>
            <w:sdt>
              <w:sdtPr>
                <w:rPr>
                  <w:rStyle w:val="Style2"/>
                  <w:sz w:val="24"/>
                </w:rPr>
                <w:id w:val="526292078"/>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t>8.3 str. (pilna byla, pagrįsta savais tyrimais)</w:t>
            </w:r>
          </w:p>
          <w:p w14:paraId="5FC8414A" w14:textId="77777777" w:rsidR="009E3F81" w:rsidRPr="009E3F81" w:rsidRDefault="00010EC7" w:rsidP="009E3F81">
            <w:pPr>
              <w:jc w:val="both"/>
            </w:pPr>
            <w:sdt>
              <w:sdtPr>
                <w:rPr>
                  <w:rStyle w:val="Style2"/>
                  <w:sz w:val="24"/>
                </w:rPr>
                <w:id w:val="-1497953736"/>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Segoe UI Symbol" w:eastAsia="MS Gothic" w:hAnsi="Segoe UI Symbol" w:cs="Segoe UI Symbol"/>
                    <w:sz w:val="24"/>
                  </w:rPr>
                  <w:t>☐</w:t>
                </w:r>
              </w:sdtContent>
            </w:sdt>
            <w:r w:rsidR="009E3F81" w:rsidRPr="009E3F81">
              <w:t>10 a str. (pripažintas medicininis vartojimas)</w:t>
            </w:r>
          </w:p>
          <w:p w14:paraId="207D9F2F" w14:textId="77777777" w:rsidR="009E3F81" w:rsidRPr="009E3F81" w:rsidRDefault="00010EC7" w:rsidP="009E3F81">
            <w:pPr>
              <w:jc w:val="both"/>
            </w:pPr>
            <w:sdt>
              <w:sdtPr>
                <w:rPr>
                  <w:rStyle w:val="Style2"/>
                  <w:sz w:val="24"/>
                </w:rPr>
                <w:id w:val="204142496"/>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Segoe UI Symbol" w:eastAsia="MS Gothic" w:hAnsi="Segoe UI Symbol" w:cs="Segoe UI Symbol"/>
                    <w:sz w:val="24"/>
                  </w:rPr>
                  <w:t>☐</w:t>
                </w:r>
              </w:sdtContent>
            </w:sdt>
            <w:r w:rsidR="009E3F81" w:rsidRPr="009E3F81">
              <w:t>10.1 str. (generinis)</w:t>
            </w:r>
          </w:p>
          <w:p w14:paraId="0E5085C0" w14:textId="77777777" w:rsidR="009E3F81" w:rsidRPr="009E3F81" w:rsidRDefault="00010EC7" w:rsidP="009E3F81">
            <w:pPr>
              <w:jc w:val="both"/>
            </w:pPr>
            <w:sdt>
              <w:sdtPr>
                <w:rPr>
                  <w:rStyle w:val="Style2"/>
                  <w:sz w:val="24"/>
                </w:rPr>
                <w:id w:val="820305101"/>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Segoe UI Symbol" w:eastAsia="MS Gothic" w:hAnsi="Segoe UI Symbol" w:cs="Segoe UI Symbol"/>
                    <w:sz w:val="24"/>
                  </w:rPr>
                  <w:t>☐</w:t>
                </w:r>
              </w:sdtContent>
            </w:sdt>
            <w:r w:rsidR="009E3F81" w:rsidRPr="009E3F81">
              <w:t>10.3 str. (hibridinis)</w:t>
            </w:r>
          </w:p>
          <w:p w14:paraId="4227C8A7" w14:textId="77777777" w:rsidR="009E3F81" w:rsidRPr="009E3F81" w:rsidRDefault="00010EC7" w:rsidP="009E3F81">
            <w:sdt>
              <w:sdtPr>
                <w:rPr>
                  <w:rStyle w:val="Style2"/>
                  <w:sz w:val="24"/>
                </w:rPr>
                <w:id w:val="-450176040"/>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Segoe UI Symbol" w:eastAsia="MS Gothic" w:hAnsi="Segoe UI Symbol" w:cs="Segoe UI Symbol"/>
                    <w:sz w:val="24"/>
                  </w:rPr>
                  <w:t>☐</w:t>
                </w:r>
              </w:sdtContent>
            </w:sdt>
            <w:r w:rsidR="009E3F81" w:rsidRPr="009E3F81">
              <w:t>10.4 str. (panašus biologinis)</w:t>
            </w:r>
          </w:p>
          <w:p w14:paraId="7EDB4848" w14:textId="77777777" w:rsidR="009E3F81" w:rsidRPr="009E3F81" w:rsidRDefault="009E3F81" w:rsidP="009E3F81">
            <w:pPr>
              <w:rPr>
                <w:rStyle w:val="Style2"/>
                <w:sz w:val="24"/>
              </w:rPr>
            </w:pPr>
          </w:p>
        </w:tc>
      </w:tr>
      <w:tr w:rsidR="009E3F81" w:rsidRPr="009E3F81" w14:paraId="31641941" w14:textId="77777777" w:rsidTr="003F3FFF">
        <w:trPr>
          <w:trHeight w:val="1011"/>
        </w:trPr>
        <w:tc>
          <w:tcPr>
            <w:tcW w:w="632" w:type="dxa"/>
          </w:tcPr>
          <w:p w14:paraId="2E73A32C" w14:textId="77777777" w:rsidR="009E3F81" w:rsidRPr="009E3F81" w:rsidRDefault="009E3F81" w:rsidP="009E3F81">
            <w:pPr>
              <w:rPr>
                <w:rFonts w:eastAsia="Arial"/>
                <w:b/>
                <w:bCs/>
              </w:rPr>
            </w:pPr>
            <w:r w:rsidRPr="009E3F81">
              <w:rPr>
                <w:rFonts w:eastAsia="Arial"/>
                <w:b/>
              </w:rPr>
              <w:t>1.4</w:t>
            </w:r>
          </w:p>
        </w:tc>
        <w:tc>
          <w:tcPr>
            <w:tcW w:w="3899" w:type="dxa"/>
          </w:tcPr>
          <w:p w14:paraId="2547AC59" w14:textId="1EDE76B6" w:rsidR="009E3F81" w:rsidRPr="009E3F81" w:rsidRDefault="009E3F81" w:rsidP="009E3F81">
            <w:pPr>
              <w:tabs>
                <w:tab w:val="left" w:pos="284"/>
              </w:tabs>
              <w:rPr>
                <w:b/>
                <w:bCs/>
                <w:lang w:eastAsia="lt-LT"/>
              </w:rPr>
            </w:pPr>
            <w:r w:rsidRPr="009E3F81">
              <w:rPr>
                <w:b/>
                <w:bCs/>
                <w:lang w:eastAsia="lt-LT"/>
              </w:rPr>
              <w:t>Ar vaistinis preparatas įrašytas į Bendrijos retųjų vaistinių preparatų registrą?</w:t>
            </w:r>
          </w:p>
        </w:tc>
        <w:tc>
          <w:tcPr>
            <w:tcW w:w="4962" w:type="dxa"/>
          </w:tcPr>
          <w:p w14:paraId="6E3C134C" w14:textId="77777777" w:rsidR="009E3F81" w:rsidRPr="009E3F81" w:rsidRDefault="00010EC7" w:rsidP="009E3F81">
            <w:pPr>
              <w:jc w:val="both"/>
            </w:pPr>
            <w:sdt>
              <w:sdtPr>
                <w:rPr>
                  <w:rStyle w:val="Style2"/>
                  <w:sz w:val="24"/>
                </w:rPr>
                <w:id w:val="1190730465"/>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t xml:space="preserve"> Taip       </w:t>
            </w:r>
            <w:r w:rsidR="009E3F81" w:rsidRPr="009E3F81">
              <w:rPr>
                <w:rStyle w:val="Style2"/>
                <w:sz w:val="24"/>
              </w:rPr>
              <w:t xml:space="preserve"> </w:t>
            </w:r>
            <w:sdt>
              <w:sdtPr>
                <w:rPr>
                  <w:rStyle w:val="Style2"/>
                  <w:sz w:val="24"/>
                </w:rPr>
                <w:id w:val="-1760283509"/>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t xml:space="preserve"> Ne</w:t>
            </w:r>
          </w:p>
          <w:p w14:paraId="11BD47AB" w14:textId="77777777" w:rsidR="009E3F81" w:rsidRPr="009E3F81" w:rsidRDefault="009E3F81" w:rsidP="009E3F81">
            <w:pPr>
              <w:jc w:val="both"/>
            </w:pPr>
            <w:r w:rsidRPr="009E3F81">
              <w:t xml:space="preserve">Data: </w:t>
            </w:r>
            <w:sdt>
              <w:sdtPr>
                <w:alias w:val="Nurodykite konkrečią dieną"/>
                <w:tag w:val="Nurodykite pradžios datą"/>
                <w:id w:val="1784158105"/>
                <w:placeholder>
                  <w:docPart w:val="7A471B04015046219AE4235C613EC16B"/>
                </w:placeholder>
                <w15:color w:val="FFCC99"/>
                <w:date>
                  <w:dateFormat w:val="yyyy 'm.' MMMM d 'd.'"/>
                  <w:lid w:val="lt-LT"/>
                  <w:storeMappedDataAs w:val="dateTime"/>
                  <w:calendar w:val="gregorian"/>
                </w:date>
              </w:sdtPr>
              <w:sdtEndPr/>
              <w:sdtContent>
                <w:r w:rsidRPr="009E3F81">
                  <w:t>13 March 2015,</w:t>
                </w:r>
              </w:sdtContent>
            </w:sdt>
          </w:p>
          <w:p w14:paraId="56165267" w14:textId="257324BE" w:rsidR="009E3F81" w:rsidRPr="009E3F81" w:rsidRDefault="009E3F81" w:rsidP="009E3F81">
            <w:pPr>
              <w:rPr>
                <w:rFonts w:eastAsia="Arial"/>
              </w:rPr>
            </w:pPr>
            <w:r w:rsidRPr="009E3F81">
              <w:t>Nr. EMEA/H/C/4077</w:t>
            </w:r>
          </w:p>
        </w:tc>
      </w:tr>
      <w:tr w:rsidR="009E3F81" w:rsidRPr="009E3F81" w14:paraId="5E0775EB" w14:textId="77777777" w:rsidTr="003F3FFF">
        <w:trPr>
          <w:trHeight w:val="1011"/>
        </w:trPr>
        <w:tc>
          <w:tcPr>
            <w:tcW w:w="632" w:type="dxa"/>
          </w:tcPr>
          <w:p w14:paraId="6829924D" w14:textId="77777777" w:rsidR="009E3F81" w:rsidRPr="009E3F81" w:rsidRDefault="009E3F81" w:rsidP="009E3F81">
            <w:pPr>
              <w:rPr>
                <w:rFonts w:eastAsia="Arial"/>
                <w:b/>
              </w:rPr>
            </w:pPr>
            <w:r w:rsidRPr="009E3F81">
              <w:rPr>
                <w:rFonts w:eastAsia="Arial"/>
                <w:b/>
                <w:bCs/>
              </w:rPr>
              <w:t>1.5</w:t>
            </w:r>
          </w:p>
        </w:tc>
        <w:tc>
          <w:tcPr>
            <w:tcW w:w="3899" w:type="dxa"/>
          </w:tcPr>
          <w:p w14:paraId="02DDFF72" w14:textId="77777777" w:rsidR="009E3F81" w:rsidRPr="009E3F81" w:rsidRDefault="009E3F81" w:rsidP="009E3F81">
            <w:pPr>
              <w:tabs>
                <w:tab w:val="left" w:pos="284"/>
              </w:tabs>
              <w:jc w:val="both"/>
              <w:rPr>
                <w:b/>
                <w:bCs/>
                <w:lang w:eastAsia="lt-LT"/>
              </w:rPr>
            </w:pPr>
            <w:r w:rsidRPr="009E3F81">
              <w:rPr>
                <w:b/>
                <w:bCs/>
                <w:lang w:eastAsia="lt-LT"/>
              </w:rPr>
              <w:t>Ar atliktas bendras klinikinis vertinimas</w:t>
            </w:r>
          </w:p>
          <w:p w14:paraId="7B6C3C1B" w14:textId="199D69DF" w:rsidR="009E3F81" w:rsidRPr="009E3F81" w:rsidRDefault="009E3F81" w:rsidP="009E3F81">
            <w:pPr>
              <w:tabs>
                <w:tab w:val="left" w:pos="284"/>
              </w:tabs>
              <w:rPr>
                <w:b/>
                <w:bCs/>
                <w:lang w:eastAsia="lt-LT"/>
              </w:rPr>
            </w:pPr>
            <w:r w:rsidRPr="009E3F81">
              <w:rPr>
                <w:b/>
                <w:bCs/>
                <w:lang w:eastAsia="lt-LT"/>
              </w:rPr>
              <w:t>(Europos Parlamento ir Tarybos reglamentas (ES) 2021/2282)</w:t>
            </w:r>
          </w:p>
        </w:tc>
        <w:tc>
          <w:tcPr>
            <w:tcW w:w="4962" w:type="dxa"/>
          </w:tcPr>
          <w:p w14:paraId="7CC482D7" w14:textId="77777777" w:rsidR="009E3F81" w:rsidRPr="009E3F81" w:rsidRDefault="00010EC7" w:rsidP="009E3F81">
            <w:pPr>
              <w:jc w:val="both"/>
            </w:pPr>
            <w:sdt>
              <w:sdtPr>
                <w:rPr>
                  <w:rStyle w:val="Style2"/>
                  <w:sz w:val="24"/>
                </w:rPr>
                <w:id w:val="-1171564470"/>
                <w15:color w:val="FFCC00"/>
                <w14:checkbox>
                  <w14:checked w14:val="0"/>
                  <w14:checkedState w14:val="2612" w14:font="MS Gothic"/>
                  <w14:uncheckedState w14:val="2610" w14:font="MS Gothic"/>
                </w14:checkbox>
              </w:sdtPr>
              <w:sdtEndPr>
                <w:rPr>
                  <w:rStyle w:val="Style2"/>
                </w:rPr>
              </w:sdtEndPr>
              <w:sdtContent>
                <w:r w:rsidR="009E3F81" w:rsidRPr="009E3F81">
                  <w:rPr>
                    <w:rStyle w:val="Style2"/>
                    <w:rFonts w:ascii="Segoe UI Symbol" w:eastAsia="MS Gothic" w:hAnsi="Segoe UI Symbol" w:cs="Segoe UI Symbol"/>
                    <w:sz w:val="24"/>
                  </w:rPr>
                  <w:t>☐</w:t>
                </w:r>
              </w:sdtContent>
            </w:sdt>
            <w:r w:rsidR="009E3F81" w:rsidRPr="009E3F81">
              <w:t xml:space="preserve"> Taip       </w:t>
            </w:r>
            <w:r w:rsidR="009E3F81" w:rsidRPr="009E3F81">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t xml:space="preserve"> Ne</w:t>
            </w:r>
          </w:p>
          <w:p w14:paraId="0DF729B3" w14:textId="19DC79E1" w:rsidR="009E3F81" w:rsidRPr="009E3F81" w:rsidRDefault="009E3F81" w:rsidP="009E3F81">
            <w:pPr>
              <w:rPr>
                <w:rStyle w:val="Style2"/>
                <w:sz w:val="24"/>
              </w:rPr>
            </w:pPr>
            <w:r w:rsidRPr="009E3F81">
              <w:t xml:space="preserve">Data: </w:t>
            </w:r>
            <w:sdt>
              <w:sdtPr>
                <w:alias w:val="Nurodykite konkrečią dieną"/>
                <w:tag w:val="Nurodykite pradžios datą"/>
                <w:id w:val="1516880001"/>
                <w:placeholder>
                  <w:docPart w:val="17F4E0C15EDF4838A83BEE6B17FCD9EF"/>
                </w:placeholder>
                <w:showingPlcHdr/>
                <w15:color w:val="FFCC99"/>
                <w:date w:fullDate="2022-05-18T00:00:00Z">
                  <w:dateFormat w:val="yyyy 'm.' MMMM d 'd.'"/>
                  <w:lid w:val="lt-LT"/>
                  <w:storeMappedDataAs w:val="dateTime"/>
                  <w:calendar w:val="gregorian"/>
                </w:date>
              </w:sdtPr>
              <w:sdtEndPr/>
              <w:sdtContent>
                <w:r w:rsidRPr="009E3F81">
                  <w:rPr>
                    <w:rStyle w:val="Vietosrezervavimoenklotekstas"/>
                  </w:rPr>
                  <w:t>Click here to enter a date.</w:t>
                </w:r>
              </w:sdtContent>
            </w:sdt>
            <w:r w:rsidRPr="009E3F81">
              <w:t xml:space="preserve"> </w:t>
            </w:r>
          </w:p>
        </w:tc>
      </w:tr>
      <w:tr w:rsidR="009E3F81" w:rsidRPr="009E3F81" w14:paraId="15E36E93" w14:textId="77777777" w:rsidTr="003F3FFF">
        <w:trPr>
          <w:trHeight w:val="1278"/>
        </w:trPr>
        <w:tc>
          <w:tcPr>
            <w:tcW w:w="632" w:type="dxa"/>
          </w:tcPr>
          <w:p w14:paraId="5F43AA8F" w14:textId="77777777" w:rsidR="009E3F81" w:rsidRPr="009E3F81" w:rsidRDefault="009E3F81" w:rsidP="009E3F81">
            <w:pPr>
              <w:rPr>
                <w:rFonts w:eastAsia="Arial"/>
                <w:b/>
                <w:bCs/>
              </w:rPr>
            </w:pPr>
            <w:r w:rsidRPr="009E3F81">
              <w:rPr>
                <w:rFonts w:eastAsia="Arial"/>
                <w:b/>
                <w:bCs/>
              </w:rPr>
              <w:t>1.6</w:t>
            </w:r>
          </w:p>
        </w:tc>
        <w:tc>
          <w:tcPr>
            <w:tcW w:w="3899" w:type="dxa"/>
          </w:tcPr>
          <w:p w14:paraId="6BFB281E" w14:textId="77777777" w:rsidR="009E3F81" w:rsidRPr="009E3F81" w:rsidRDefault="009E3F81" w:rsidP="009E3F81">
            <w:pPr>
              <w:jc w:val="both"/>
              <w:rPr>
                <w:b/>
                <w:bCs/>
                <w:lang w:eastAsia="lt-LT"/>
              </w:rPr>
            </w:pPr>
            <w:r w:rsidRPr="009E3F81">
              <w:rPr>
                <w:b/>
                <w:bCs/>
                <w:lang w:eastAsia="lt-LT"/>
              </w:rPr>
              <w:t xml:space="preserve">Teikiama kompensuoti terapinė indikacija </w:t>
            </w:r>
          </w:p>
          <w:p w14:paraId="1D3EF9B1" w14:textId="77777777" w:rsidR="009E3F81" w:rsidRPr="009E3F81" w:rsidRDefault="009E3F81" w:rsidP="009E3F81">
            <w:pPr>
              <w:jc w:val="both"/>
              <w:rPr>
                <w:b/>
                <w:bCs/>
                <w:lang w:eastAsia="lt-LT"/>
              </w:rPr>
            </w:pPr>
          </w:p>
          <w:p w14:paraId="13FDB945" w14:textId="77777777" w:rsidR="009E3F81" w:rsidRPr="009E3F81" w:rsidRDefault="009E3F81" w:rsidP="009E3F81">
            <w:pPr>
              <w:jc w:val="both"/>
              <w:rPr>
                <w:b/>
                <w:bCs/>
                <w:lang w:eastAsia="lt-LT"/>
              </w:rPr>
            </w:pPr>
          </w:p>
          <w:p w14:paraId="07B947DD" w14:textId="77777777" w:rsidR="009E3F81" w:rsidRPr="009E3F81" w:rsidRDefault="009E3F81" w:rsidP="009E3F81">
            <w:pPr>
              <w:jc w:val="both"/>
              <w:rPr>
                <w:b/>
                <w:bCs/>
                <w:lang w:eastAsia="lt-LT"/>
              </w:rPr>
            </w:pPr>
          </w:p>
          <w:p w14:paraId="371D188E" w14:textId="6A069ACF" w:rsidR="009E3F81" w:rsidRPr="009E3F81" w:rsidRDefault="009E3F81" w:rsidP="009E3F81">
            <w:pPr>
              <w:rPr>
                <w:b/>
                <w:bCs/>
                <w:lang w:eastAsia="lt-LT"/>
              </w:rPr>
            </w:pPr>
            <w:r w:rsidRPr="009E3F81">
              <w:rPr>
                <w:b/>
                <w:bCs/>
                <w:lang w:eastAsia="lt-LT"/>
              </w:rPr>
              <w:t>Kodas pagal TLK-10 AM</w:t>
            </w:r>
          </w:p>
        </w:tc>
        <w:tc>
          <w:tcPr>
            <w:tcW w:w="4962" w:type="dxa"/>
          </w:tcPr>
          <w:p w14:paraId="1A6DF9E0" w14:textId="77777777" w:rsidR="009E3F81" w:rsidRPr="009E3F81" w:rsidRDefault="009E3F81" w:rsidP="009E3F81">
            <w:pPr>
              <w:jc w:val="both"/>
            </w:pPr>
            <w:r w:rsidRPr="009E3F81">
              <w:t>Daratumumabas derinant su bortezomibu, lenalidomidu ir deksametazonu gydymui suaugusiems pacientams, kuriems naujai buvo diagnozuota dauginė mieloma.</w:t>
            </w:r>
          </w:p>
          <w:p w14:paraId="0817D7D3" w14:textId="77777777" w:rsidR="009E3F81" w:rsidRPr="009E3F81" w:rsidRDefault="009E3F81" w:rsidP="009E3F81"/>
          <w:p w14:paraId="15BF7E24" w14:textId="77777777" w:rsidR="009E3F81" w:rsidRPr="009E3F81" w:rsidRDefault="009E3F81" w:rsidP="009E3F81">
            <w:pPr>
              <w:jc w:val="both"/>
              <w:rPr>
                <w:b/>
                <w:bCs/>
              </w:rPr>
            </w:pPr>
            <w:r w:rsidRPr="009E3F81">
              <w:t>TLK-10 AM kodas – C90.0.</w:t>
            </w:r>
          </w:p>
          <w:p w14:paraId="10833DB8" w14:textId="7678DD02" w:rsidR="009E3F81" w:rsidRPr="009E3F81" w:rsidRDefault="009E3F81" w:rsidP="009E3F81"/>
        </w:tc>
      </w:tr>
      <w:tr w:rsidR="009E3F81" w:rsidRPr="009E3F81" w14:paraId="01C3C4F5" w14:textId="77777777" w:rsidTr="003F3FFF">
        <w:trPr>
          <w:trHeight w:val="378"/>
        </w:trPr>
        <w:tc>
          <w:tcPr>
            <w:tcW w:w="632" w:type="dxa"/>
          </w:tcPr>
          <w:p w14:paraId="5115AFC1" w14:textId="77777777" w:rsidR="009E3F81" w:rsidRPr="009E3F81" w:rsidRDefault="009E3F81" w:rsidP="009E3F81">
            <w:pPr>
              <w:rPr>
                <w:rFonts w:eastAsia="Arial"/>
                <w:b/>
                <w:bCs/>
              </w:rPr>
            </w:pPr>
            <w:r w:rsidRPr="009E3F81">
              <w:rPr>
                <w:rFonts w:eastAsia="Arial"/>
                <w:b/>
                <w:bCs/>
              </w:rPr>
              <w:lastRenderedPageBreak/>
              <w:t>1.7</w:t>
            </w:r>
          </w:p>
        </w:tc>
        <w:tc>
          <w:tcPr>
            <w:tcW w:w="3899" w:type="dxa"/>
          </w:tcPr>
          <w:p w14:paraId="48045B5A" w14:textId="15C17DF8" w:rsidR="009E3F81" w:rsidRPr="009E3F81" w:rsidRDefault="009E3F81" w:rsidP="009E3F81">
            <w:pPr>
              <w:rPr>
                <w:b/>
                <w:bCs/>
                <w:u w:val="single"/>
                <w:lang w:eastAsia="lt-LT"/>
              </w:rPr>
            </w:pPr>
            <w:r w:rsidRPr="009E3F81">
              <w:rPr>
                <w:b/>
                <w:bCs/>
                <w:lang w:eastAsia="lt-LT"/>
              </w:rPr>
              <w:t xml:space="preserve">Teikiamos skyrimo sąlygos </w:t>
            </w:r>
          </w:p>
        </w:tc>
        <w:tc>
          <w:tcPr>
            <w:tcW w:w="4962" w:type="dxa"/>
          </w:tcPr>
          <w:p w14:paraId="3B0A4346" w14:textId="7D7FCC4F" w:rsidR="009E3F81" w:rsidRPr="009E3F81" w:rsidRDefault="009E3F81" w:rsidP="009E3F81">
            <w:pPr>
              <w:jc w:val="both"/>
            </w:pPr>
            <w:r w:rsidRPr="009E3F81">
              <w:t xml:space="preserve">Daratumumabas derinant su bortezomibu, lenalidomidu ir deksametazonu gydymui suaugusiems pacientams, kuriems naujai buvo diagnozuota dauginė mieloma, ir kuriems tinka autologinė kamieninių ląstelių transplantacija. Palaikomajam gydymui daratumumabas skiriamas ne ilgiau kaip </w:t>
            </w:r>
            <w:r w:rsidR="00B90ACF">
              <w:t>**</w:t>
            </w:r>
            <w:r w:rsidRPr="009E3F81">
              <w:t xml:space="preserve"> mėn.</w:t>
            </w:r>
          </w:p>
          <w:p w14:paraId="6A31562C" w14:textId="77777777" w:rsidR="009E3F81" w:rsidRPr="009E3F81" w:rsidRDefault="009E3F81" w:rsidP="009E3F81"/>
        </w:tc>
      </w:tr>
      <w:tr w:rsidR="009E3F81" w:rsidRPr="009E3F81" w14:paraId="3C32C984" w14:textId="77777777" w:rsidTr="003F3FFF">
        <w:trPr>
          <w:trHeight w:val="378"/>
        </w:trPr>
        <w:tc>
          <w:tcPr>
            <w:tcW w:w="632" w:type="dxa"/>
          </w:tcPr>
          <w:p w14:paraId="4E679EDB" w14:textId="77777777" w:rsidR="009E3F81" w:rsidRPr="009E3F81" w:rsidRDefault="009E3F81" w:rsidP="009E3F81">
            <w:pPr>
              <w:rPr>
                <w:rFonts w:eastAsia="Arial"/>
                <w:b/>
                <w:bCs/>
              </w:rPr>
            </w:pPr>
            <w:r w:rsidRPr="009E3F81">
              <w:rPr>
                <w:rFonts w:eastAsia="Arial"/>
                <w:b/>
                <w:bCs/>
              </w:rPr>
              <w:t>1.8</w:t>
            </w:r>
          </w:p>
        </w:tc>
        <w:tc>
          <w:tcPr>
            <w:tcW w:w="3899" w:type="dxa"/>
          </w:tcPr>
          <w:p w14:paraId="784605B5" w14:textId="53D38C51" w:rsidR="009E3F81" w:rsidRPr="009E3F81" w:rsidRDefault="009E3F81" w:rsidP="009E3F81">
            <w:pPr>
              <w:rPr>
                <w:b/>
                <w:bCs/>
                <w:lang w:eastAsia="lt-LT"/>
              </w:rPr>
            </w:pPr>
            <w:r w:rsidRPr="009E3F81">
              <w:rPr>
                <w:b/>
                <w:bCs/>
              </w:rPr>
              <w:t xml:space="preserve">Klinikinių tyrimų tipas </w:t>
            </w:r>
          </w:p>
        </w:tc>
        <w:tc>
          <w:tcPr>
            <w:tcW w:w="4962" w:type="dxa"/>
          </w:tcPr>
          <w:p w14:paraId="75BAE387" w14:textId="77777777" w:rsidR="009E3F81" w:rsidRPr="009E3F81" w:rsidRDefault="00010EC7" w:rsidP="009E3F81">
            <w:sdt>
              <w:sdtPr>
                <w:rPr>
                  <w:rStyle w:val="Style2"/>
                  <w:sz w:val="24"/>
                </w:rPr>
                <w:id w:val="-1664461944"/>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rPr>
                <w:rFonts w:ascii="Segoe UI Symbol" w:hAnsi="Segoe UI Symbol" w:cs="Segoe UI Symbol"/>
                <w:b/>
                <w:bCs/>
              </w:rPr>
              <w:t xml:space="preserve"> </w:t>
            </w:r>
            <w:r w:rsidR="009E3F81" w:rsidRPr="009E3F81">
              <w:t>Tiesioginis palyginimas</w:t>
            </w:r>
          </w:p>
          <w:p w14:paraId="1DB7A5A9" w14:textId="77777777" w:rsidR="009E3F81" w:rsidRPr="009E3F81" w:rsidRDefault="00010EC7" w:rsidP="009E3F81">
            <w:sdt>
              <w:sdtPr>
                <w:rPr>
                  <w:rStyle w:val="Style2"/>
                  <w:sz w:val="24"/>
                </w:rPr>
                <w:id w:val="-347253679"/>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4"/>
                  </w:rPr>
                  <w:t>☒</w:t>
                </w:r>
              </w:sdtContent>
            </w:sdt>
            <w:r w:rsidR="009E3F81" w:rsidRPr="009E3F81">
              <w:t xml:space="preserve"> Netiesioginis palyginimas</w:t>
            </w:r>
          </w:p>
          <w:p w14:paraId="295B025D" w14:textId="77777777" w:rsidR="009E3F81" w:rsidRPr="009E3F81" w:rsidRDefault="009E3F81" w:rsidP="009E3F81">
            <w:pPr>
              <w:jc w:val="both"/>
            </w:pPr>
            <w:r w:rsidRPr="009E3F81">
              <w:rPr>
                <w:rFonts w:ascii="Segoe UI Symbol" w:hAnsi="Segoe UI Symbol" w:cs="Segoe UI Symbol"/>
              </w:rPr>
              <w:t>☐</w:t>
            </w:r>
            <w:r w:rsidRPr="009E3F81">
              <w:t xml:space="preserve"> Kita: _________________</w:t>
            </w:r>
          </w:p>
          <w:p w14:paraId="4B0FE78C" w14:textId="77777777" w:rsidR="009E3F81" w:rsidRPr="009E3F81" w:rsidRDefault="009E3F81" w:rsidP="009E3F81"/>
        </w:tc>
      </w:tr>
    </w:tbl>
    <w:p w14:paraId="2EB7FD31" w14:textId="5615B363" w:rsidR="007A2B68" w:rsidRPr="009E3F81" w:rsidRDefault="00DC261A" w:rsidP="00063A50">
      <w:pPr>
        <w:pStyle w:val="Sraopastraipa"/>
        <w:tabs>
          <w:tab w:val="left" w:pos="426"/>
        </w:tabs>
        <w:ind w:left="0"/>
        <w:jc w:val="center"/>
        <w:rPr>
          <w:b/>
          <w:bCs/>
          <w:caps/>
        </w:rPr>
      </w:pPr>
      <w:r w:rsidRPr="009E3F81">
        <w:rPr>
          <w:b/>
          <w:bCs/>
          <w:caps/>
        </w:rPr>
        <w:t>___________________</w:t>
      </w:r>
    </w:p>
    <w:p w14:paraId="73290081" w14:textId="77777777" w:rsidR="007A2B68" w:rsidRPr="009E3F81" w:rsidRDefault="007A2B68">
      <w:pPr>
        <w:rPr>
          <w:b/>
          <w:bCs/>
          <w:caps/>
        </w:rPr>
      </w:pPr>
      <w:r w:rsidRPr="009E3F81">
        <w:rPr>
          <w:b/>
          <w:bCs/>
          <w:caps/>
        </w:rPr>
        <w:br w:type="page"/>
      </w:r>
    </w:p>
    <w:p w14:paraId="5055E8A8" w14:textId="7B2FE09C" w:rsidR="002E6F80" w:rsidRPr="009E3F81" w:rsidRDefault="00CC7832" w:rsidP="00CC09D4">
      <w:pPr>
        <w:pStyle w:val="Sraopastraipa"/>
        <w:numPr>
          <w:ilvl w:val="0"/>
          <w:numId w:val="12"/>
        </w:numPr>
        <w:tabs>
          <w:tab w:val="left" w:pos="567"/>
        </w:tabs>
        <w:ind w:hanging="720"/>
        <w:rPr>
          <w:b/>
          <w:bCs/>
          <w:caps/>
        </w:rPr>
      </w:pPr>
      <w:r w:rsidRPr="009E3F81">
        <w:rPr>
          <w:b/>
          <w:bCs/>
          <w:caps/>
        </w:rPr>
        <w:lastRenderedPageBreak/>
        <w:t>Klinikinio vertinimo a</w:t>
      </w:r>
      <w:r w:rsidR="00D4485B" w:rsidRPr="009E3F81">
        <w:rPr>
          <w:b/>
          <w:bCs/>
          <w:caps/>
        </w:rPr>
        <w:t>pibendrinimas</w:t>
      </w:r>
    </w:p>
    <w:p w14:paraId="25F89291" w14:textId="48C64D81" w:rsidR="00D4485B" w:rsidRPr="009E3F81" w:rsidRDefault="00D4485B" w:rsidP="00A93AA6">
      <w:pPr>
        <w:pStyle w:val="Sraopastraipa"/>
        <w:tabs>
          <w:tab w:val="left" w:pos="426"/>
        </w:tabs>
        <w:ind w:left="0"/>
        <w:rPr>
          <w:b/>
          <w:bCs/>
          <w:caps/>
        </w:rPr>
      </w:pPr>
    </w:p>
    <w:p w14:paraId="3F4AD9A6" w14:textId="77777777" w:rsidR="009E3F81" w:rsidRPr="009E3F81" w:rsidRDefault="009E3F81" w:rsidP="00292F26">
      <w:pPr>
        <w:pStyle w:val="font-claude-response-body"/>
        <w:spacing w:before="0" w:beforeAutospacing="0" w:after="0" w:afterAutospacing="0" w:line="276" w:lineRule="auto"/>
        <w:ind w:firstLine="720"/>
        <w:jc w:val="both"/>
      </w:pPr>
      <w:r w:rsidRPr="009E3F81">
        <w:t>Dauginė mieloma (DM) yra labai nevienalytis ir genetiškai sudėtingas hematologinis vėžys, pažeidžiantis plazmos ląsteles, baltųjų kraujo kūnelių tipą, atsakingą už antikūnų gamybą. Liga atsiranda, kai viena kaulų čiulpų plazmos ląstelė patiria onkogeninį įvykį, dėl kurio prasideda jos nekontroliuojama proliferacija. Susikūrę plazmos ląstelių klonai ir jų gaminami nenormalūs antikūnai (M baltymas) kaupiasi visame kūne, sukeldami progresuojantį sergamumą ir mirtingumą. Pacientams gali pasireikšti daugybė simptomų, įskaitant reikšmingą skeleto pažeidimą (su kaulų skausmu, patologiniais lūžiais ir hiperkalcemija), anemiją, inkstų nepakankamumą, pasikartojančią infekciją bei neurologines komplikacijas ir hiperviskoze. 2022 m. Europoje buvo užregistruota 50 092 nauji DM susirgimo atvejai. DM lieka nepagydoma liga su dideliu mirtingumu: manoma, kad vienas iš penkių (21 %) naujai diagnozuotų DM pacientų, kuriems tinka AKLT, negauna antrosios eilės terapijos.</w:t>
      </w:r>
    </w:p>
    <w:p w14:paraId="358C7897" w14:textId="77777777" w:rsidR="009E3F81" w:rsidRPr="009E3F81" w:rsidRDefault="009E3F81" w:rsidP="00292F26">
      <w:pPr>
        <w:pStyle w:val="font-claude-response-body"/>
        <w:spacing w:before="0" w:beforeAutospacing="0" w:after="0" w:afterAutospacing="0" w:line="276" w:lineRule="auto"/>
        <w:ind w:firstLine="720"/>
        <w:jc w:val="both"/>
      </w:pPr>
      <w:r w:rsidRPr="009E3F81">
        <w:t>Autologinė kraujodaros kamieninių ląstelių transplantacija yra standartinis gydymo būdas pacientams, kuriems šis gydymo būdas tinka: 40–47 % naujai diagnozuotų DM pacientų yra tinkami transplantacijai pagal amžių, funkcinę būklę, gretutines ligas ir bendrą būklę. Remiantis EHA (2025) ir ESMO (2021) gairėmis, daratumumabą rekomenduojama skirti kartu su bortezomibu, talidomidu ir deksametazonu (DVTd; I,A, ESMO) arba kartu su bortezomibu, lenalidomidu ir deksametazonu (DVRd; I,A, EHA) pacientams, kuriems naujai nustatyta dauginė mieloma ir tinka AKLT. Lietuvoje šiuo metu kompensuojami DaraVTd ir VRd deriniai indukcijai, o palaikomajam gydymui – lenalidomidas. Nepaisant veiksmingo gydymo, beveik visi DM sergantys pacientai galiausiai patiria atkrytį, o 79 % naujai DM susirgusių pacientų, kuriems tinka AKLT, skiriamas paskesnis gydymas, todėl veiksmingiausio gydymo pasirinkimas pirmoje eilėje išlieka prioritetu.</w:t>
      </w:r>
    </w:p>
    <w:p w14:paraId="68FB170A" w14:textId="77777777" w:rsidR="009E3F81" w:rsidRPr="009E3F81" w:rsidRDefault="009E3F81" w:rsidP="00292F26">
      <w:pPr>
        <w:pStyle w:val="font-claude-response-body"/>
        <w:spacing w:before="0" w:beforeAutospacing="0" w:after="0" w:afterAutospacing="0" w:line="276" w:lineRule="auto"/>
        <w:ind w:firstLine="720"/>
        <w:jc w:val="both"/>
      </w:pPr>
      <w:r w:rsidRPr="009E3F81">
        <w:t>Daratumumabas yra IgG1κ žmogaus monokloninis antikūnas, kuris prisijungia prie CD38 baltymo, kurio dideli kiekiai aptinkami dauginės mielomos naviko ląstelių paviršiuje, sukelia apoptozę ir moduliuoja imuninis atsaką. Pareiškėjo teigimu, daratumumabas derinant su VRd, skiriamas kaip pirmoji gydymo eilė pacientams, kuriems naujai diagnozuota dauginė mieloma ir kuriems tinka AKLT.</w:t>
      </w:r>
    </w:p>
    <w:p w14:paraId="03AFC0D7" w14:textId="77777777" w:rsidR="009E3F81" w:rsidRPr="009E3F81" w:rsidRDefault="009E3F81" w:rsidP="00292F26">
      <w:pPr>
        <w:pStyle w:val="font-claude-response-body"/>
        <w:spacing w:before="0" w:beforeAutospacing="0" w:after="0" w:afterAutospacing="0" w:line="276" w:lineRule="auto"/>
        <w:ind w:firstLine="720"/>
        <w:jc w:val="both"/>
      </w:pPr>
      <w:r w:rsidRPr="009E3F81">
        <w:t>Tinkamu palyginamuoju gydymu laikomas daratumumabo kartu su bortezomibu, talidomidu ir deksametazonu (DVTd) derinys, nes tai yra šiuo metu Lietuvoje kompensuojamas gydymas tai pačiai pacientų populiacijai. Palaikomajam gydymui po atliktos AKLT tikėtina skiriamas lenalidomidas.</w:t>
      </w:r>
    </w:p>
    <w:p w14:paraId="0885A24B" w14:textId="77777777" w:rsidR="009E3F81" w:rsidRPr="009E3F81" w:rsidRDefault="009E3F81" w:rsidP="00292F26">
      <w:pPr>
        <w:pStyle w:val="font-claude-response-body"/>
        <w:spacing w:before="0" w:beforeAutospacing="0" w:after="0" w:afterAutospacing="0" w:line="276" w:lineRule="auto"/>
        <w:ind w:firstLine="720"/>
        <w:jc w:val="both"/>
      </w:pPr>
    </w:p>
    <w:p w14:paraId="09AFD4D7" w14:textId="77777777" w:rsidR="009E3F81" w:rsidRPr="009E3F81" w:rsidRDefault="009E3F81" w:rsidP="00292F26">
      <w:pPr>
        <w:pStyle w:val="font-claude-response-body"/>
        <w:spacing w:before="0" w:beforeAutospacing="0" w:after="0" w:afterAutospacing="0" w:line="276" w:lineRule="auto"/>
        <w:ind w:firstLine="720"/>
        <w:jc w:val="both"/>
        <w:rPr>
          <w:i/>
        </w:rPr>
      </w:pPr>
      <w:r w:rsidRPr="009E3F81">
        <w:rPr>
          <w:i/>
        </w:rPr>
        <w:t>Tiesioginis palyginimas</w:t>
      </w:r>
    </w:p>
    <w:p w14:paraId="3984FB6C" w14:textId="77777777" w:rsidR="009E3F81" w:rsidRPr="009E3F81" w:rsidRDefault="009E3F81" w:rsidP="00292F26">
      <w:pPr>
        <w:pStyle w:val="font-claude-response-body"/>
        <w:spacing w:before="0" w:beforeAutospacing="0" w:after="0" w:afterAutospacing="0" w:line="276" w:lineRule="auto"/>
        <w:ind w:firstLine="720"/>
        <w:jc w:val="both"/>
      </w:pPr>
      <w:r w:rsidRPr="009E3F81">
        <w:t>Tiesioginis palyginimas (PERSEUS tyrimas) – tai atviras, daugiacentris, III fazės atsitiktinių imčių klinikinis tyrimas, kuriame vertintas daratumumabo pridėjimo prie VRd režimo efektyvumas transplantacijai tinkamiems naujai diagnozuotos dauginės mielomos pacientams. Tyrime 709 pacientai atsitiktinai paskirstyti gauti DVRd (daratumumabas + bortezomibas + lenalidomidas + deksametazonas) arba VRd režimą indukcijos ir konsolidacijos fazėse, po autologinės kamieninių ląstelių transplantacijos taikant lenalidomido palaikomąjį gydymą, o DVRd grupėje papildomai skiriant daratumumabą. Tyrimo pacientų populiacija iš esmės atitinka Lietuvos klinikinę praktiką – naujai diagnozuota dauginė mieloma sergantys pacientai, kuriems tinka AKLT. Pažymėtina, kad pacientų amžiaus mediana tyrime buvo 60 metų, tuo tarpu epidemiologiniai duomenys rodo, kad dauginė mieloma dažniausiai diagnozuojama vyresniems pacientams (vidutiniškai 66–70 metų), todėl tyrimo populiacija gali ne visiškai atspindėti realią klinikinę praktiką Lietuvoje.</w:t>
      </w:r>
    </w:p>
    <w:p w14:paraId="3DAE245E" w14:textId="77777777" w:rsidR="009E3F81" w:rsidRPr="009E3F81" w:rsidRDefault="009E3F81" w:rsidP="00292F26">
      <w:pPr>
        <w:pStyle w:val="font-claude-response-body"/>
        <w:spacing w:before="0" w:beforeAutospacing="0" w:after="0" w:afterAutospacing="0" w:line="276" w:lineRule="auto"/>
        <w:ind w:firstLine="720"/>
        <w:jc w:val="both"/>
      </w:pPr>
      <w:r w:rsidRPr="009E3F81">
        <w:lastRenderedPageBreak/>
        <w:t>Svarbiausia vertinamoji baigtis buvo išgyvenamumas be ligos progresavimo (PFS), o antrinės – bendrasis išgyvenamumas (OS), minimalios likutinės ligos (MRD) neigiamumas, atsako gylis (≥CR, ≥VGPR) ir pacientų praneštos baigtys. Duomenų pjūvio data – 2023 m. rugpjūčio 1 d., stebėjimo mediana – 47,5 mėn., PFS duomenų brandumas – apie 54 % planuotų įvykių.</w:t>
      </w:r>
    </w:p>
    <w:p w14:paraId="5CB60496" w14:textId="77777777" w:rsidR="009E3F81" w:rsidRPr="009E3F81" w:rsidRDefault="009E3F81" w:rsidP="00292F26">
      <w:pPr>
        <w:pStyle w:val="font-claude-response-body"/>
        <w:spacing w:before="0" w:beforeAutospacing="0" w:after="0" w:afterAutospacing="0" w:line="276" w:lineRule="auto"/>
        <w:ind w:firstLine="720"/>
        <w:jc w:val="both"/>
      </w:pPr>
      <w:r w:rsidRPr="009E3F81">
        <w:t>Po 47,5 mėn. stebėjimo medianos DVRd grupėje PFS buvo reikšmingai ilgesnis nei VRd grupėje: 48 mėn. PFS siekė 84,3 % vs. 67,7 %, RS 0,42 (95 % PI 0,30–0,59; p&lt;0,001), atitinkantis 58 % mažesnę ligos progresavimo ar mirties riziką. Gydymo nauda buvo nuosekliai stebima visuose iš anksto suplanuotuose pogrupiuose, įskaitant amžių, lytį, ligos stadiją, citogenetinę riziką ir indukcijai taikytą schemą, todėl DVRd pranašumas laikomas kliniškai reikšmingu ir nuosekliu. DVRd grupėje taip pat reikšmingai dažniau pasiektas visiškas atsakas ar geresnis (87,9 % vs. 70,1 %) ir MRD neigiamumas esant 10⁻⁵ jautrumo ribai (75,2 % vs. 47,5 %). Ilgalaikio modeliavimu pagrįstos analizės rodo potencialiai ilgesnę prognozuojamą PFS DVRd grupėje. Pacientų gyvenimo kokybės rodikliai tarp grupių reikšmingai nesiskyrė, o DVRd saugumo profilis vertinamas kaip valdomas.</w:t>
      </w:r>
    </w:p>
    <w:p w14:paraId="4DDAD18C" w14:textId="77777777" w:rsidR="009E3F81" w:rsidRPr="009E3F81" w:rsidRDefault="009E3F81" w:rsidP="00292F26">
      <w:pPr>
        <w:pStyle w:val="font-claude-response-body"/>
        <w:spacing w:before="0" w:beforeAutospacing="0" w:after="0" w:afterAutospacing="0" w:line="276" w:lineRule="auto"/>
        <w:ind w:firstLine="720"/>
        <w:jc w:val="both"/>
      </w:pPr>
      <w:r w:rsidRPr="009E3F81">
        <w:t>Bendrojo išgyvenamumo duomenys paraiškos pateikimo metu buvo nesubrendę (įvykių brandumas mažiau nei 20 %, stebėjimo mediana – 47,5 mėn., užfiksuota 76 mirtys), todėl galutinių OS išvadų daryti negalima. Stebima palanki tendencija DVRd režimui (RS 0,68; 95 % PI 0,40–1,18), tačiau ji statistinio reikšmingumo nepasiekė. OS rezultatų interpretaciją papildomai apsunkina tai, kad ligai progresuojant daliai VRd grupės pacientų buvo leista pereiti prie gydymo daratumumabu, o tai galėjo sušvelninti skirtumą tarp grupių.</w:t>
      </w:r>
    </w:p>
    <w:p w14:paraId="5EA5C6A4" w14:textId="77777777" w:rsidR="009E3F81" w:rsidRPr="009E3F81" w:rsidRDefault="009E3F81" w:rsidP="00292F26">
      <w:pPr>
        <w:pStyle w:val="font-claude-response-body"/>
        <w:spacing w:before="0" w:beforeAutospacing="0" w:after="0" w:afterAutospacing="0" w:line="276" w:lineRule="auto"/>
        <w:ind w:firstLine="720"/>
        <w:jc w:val="both"/>
      </w:pPr>
      <w:r w:rsidRPr="009E3F81">
        <w:t>Svarbu pabrėžti, kad PFS, nors ir laikoma tinkama pirmine baigtimi dauginės mielomos tyrimuose, yra tarpinė baigtis, kuri ne visada tiesiogiai koreliuoja su bendru išgyvenamumu. Dauginės mielomos atveju pacientai dažnai gauna kelias vėlesnes gydymo linijas, kurios gali reikšmingai paveikti OS rezultatus, todėl galutinė klinikinių duomenų interpretacija priklausys nuo ilgesnio stebėjimo laikotarpio ir brandesnių OS duomenų.</w:t>
      </w:r>
    </w:p>
    <w:p w14:paraId="18C2792B" w14:textId="77777777" w:rsidR="009E3F81" w:rsidRPr="009E3F81" w:rsidRDefault="009E3F81" w:rsidP="00292F26">
      <w:pPr>
        <w:pStyle w:val="font-claude-response-body"/>
        <w:spacing w:before="0" w:beforeAutospacing="0" w:after="0" w:afterAutospacing="0" w:line="276" w:lineRule="auto"/>
        <w:ind w:firstLine="720"/>
        <w:jc w:val="both"/>
      </w:pPr>
    </w:p>
    <w:p w14:paraId="77AF1633" w14:textId="77777777" w:rsidR="009E3F81" w:rsidRPr="009E3F81" w:rsidRDefault="009E3F81" w:rsidP="00292F26">
      <w:pPr>
        <w:pStyle w:val="font-claude-response-body"/>
        <w:spacing w:before="0" w:beforeAutospacing="0" w:after="0" w:afterAutospacing="0" w:line="276" w:lineRule="auto"/>
        <w:ind w:firstLine="720"/>
        <w:jc w:val="both"/>
        <w:rPr>
          <w:i/>
        </w:rPr>
      </w:pPr>
      <w:r w:rsidRPr="009E3F81">
        <w:rPr>
          <w:i/>
        </w:rPr>
        <w:t>Netiesioginis palyginimas</w:t>
      </w:r>
    </w:p>
    <w:p w14:paraId="12F3897B" w14:textId="77777777" w:rsidR="009E3F81" w:rsidRPr="009E3F81" w:rsidRDefault="009E3F81" w:rsidP="00292F26">
      <w:pPr>
        <w:pStyle w:val="font-claude-response-body"/>
        <w:spacing w:before="0" w:beforeAutospacing="0" w:after="0" w:afterAutospacing="0" w:line="276" w:lineRule="auto"/>
        <w:ind w:firstLine="720"/>
        <w:jc w:val="both"/>
      </w:pPr>
      <w:r w:rsidRPr="009E3F81">
        <w:t>Daratumumabo kartu su bortezomibu, lenalidomidu ir deksametazonu (DVRd) indukcinis ir konsolidacinis gydymas, po kurio skiriamas daratumumabo ir lenalidomido (D-R) palaikomasis gydymas, nebuvo tiesiogiai palygintas klinikiniame tyrime su DVTd indukcija ir konsolidacija, po kurios taikomas lenalidomido (R) palaikomasis gydymas. Todėl DVRd veiksmingumas vertinamas netiesioginiu palyginimu su DVTd deriniu, kuris šiuo metu yra kompensuojamas Lietuvoje tai pačiai pacientų populiacijai.</w:t>
      </w:r>
    </w:p>
    <w:p w14:paraId="23EDFD57" w14:textId="77777777" w:rsidR="009E3F81" w:rsidRPr="009E3F81" w:rsidRDefault="009E3F81" w:rsidP="00292F26">
      <w:pPr>
        <w:pStyle w:val="font-claude-response-body"/>
        <w:spacing w:before="0" w:beforeAutospacing="0" w:after="0" w:afterAutospacing="0" w:line="276" w:lineRule="auto"/>
        <w:ind w:firstLine="720"/>
        <w:jc w:val="both"/>
      </w:pPr>
      <w:r w:rsidRPr="009E3F81">
        <w:t>Netiesioginiam gydymo palyginimui buvo naudojami du pagrindiniai duomenų šaltiniai. DVRd režimo vertinimui naudoti PERSEUS tyrimo duomenys, o DVTd ir VTd režimų vertinimui – CASSIOPEIA tyrimo duomenys. CASSIOPEIA yra III fazės atsitiktinių imčių atviro dizaino tyrimas, vykdytas 111 centruose Europoje, kuriame vertinta, ar daratumumabo pridėjimas prie VTd režimo prieš ir po autologinės transplantacijos pagerina gydymo rezultatus pacientams, sergantiems naujai diagnozuota daugine mieloma. Pirmoje tyrimo dalyje pacientai buvo randomizuoti gauti DVTd arba VTd indukcijos ir konsolidacijos gydymą. Pirminis pirmosios dalies vertinimo kriterijus buvo griežto visiško atsako (sCR) dažnis praėjus 100 dienų po transplantacijos. Svarbu paminėti, kad CASSIOPEIA tyrime lenalidomido palaikomasis gydymas nebuvo standartinis, nes tuo metu dar nebuvo patvirtintas, todėl lenalidomido palaikomojo gydymo poveikio modeliavimui papildomai naudoti Myeloma XI tyrimo duomenys. Myeloma XI – tai III fazės atviro dizaino daugiacentris tyrimas, kuriame po AKLT pacientai buvo randomizuoti gauti lenalidomido palaikomąjį gydymą arba stebėjimą, o rezultatai paskelbti suskirstyti pagal MRD statusą po transplantacijos.</w:t>
      </w:r>
    </w:p>
    <w:p w14:paraId="7C1CBB48" w14:textId="77777777" w:rsidR="009E3F81" w:rsidRPr="009E3F81" w:rsidRDefault="009E3F81" w:rsidP="00292F26">
      <w:pPr>
        <w:pStyle w:val="font-claude-response-body"/>
        <w:spacing w:before="0" w:beforeAutospacing="0" w:after="0" w:afterAutospacing="0" w:line="276" w:lineRule="auto"/>
        <w:ind w:firstLine="720"/>
        <w:jc w:val="both"/>
      </w:pPr>
      <w:r w:rsidRPr="009E3F81">
        <w:lastRenderedPageBreak/>
        <w:t>Įtraukimo kriterijai abiejuose pagrindiniuose tyrimuose buvo labai panašūs (≥10 % plazminių ląstelių kaulų čiulpuose arba CRAB kriterijai), o demografinių ir klinikinių charakteristikų pasiskirstymas buvo iš esmės subalansuotas. Pagrindinis skirtumas tarp tyrimų – amžiaus riba: PERSEUS tyrime įtraukti pacientai iki 70 metų, CASSIOPEIA tyrime – iki 65 metų. Dėl šio skirtumo pagrindinėje analizėje CASSIOPEIA tyrimo populiacija buvo apribota iki ≤65 metų pacientų, siekiant geriau suderinti ją su PERSEUS tyrimo populiacija. Be amžiaus skirtumo, pastebėti ir kiti nesubalansuoti kintamieji: ECOG funkcinė būklė (ECOG 0 – 62,3 % PERSEUS vs. 48,8 % CASSIOPEIA), ISS stadija (I stadija – 52,4 % vs. 37,6 %), LDH (≥280 U/L – 14,9 % vs. 27,8 %) ir kaulų pažeidimų dažnis (85,1 % vs. 72,5 % PERSEUS DVRd grupėje).</w:t>
      </w:r>
    </w:p>
    <w:p w14:paraId="7549C0B3" w14:textId="77777777" w:rsidR="009E3F81" w:rsidRPr="009E3F81" w:rsidRDefault="009E3F81" w:rsidP="00292F26">
      <w:pPr>
        <w:pStyle w:val="font-claude-response-body"/>
        <w:spacing w:before="0" w:beforeAutospacing="0" w:after="0" w:afterAutospacing="0" w:line="276" w:lineRule="auto"/>
        <w:ind w:firstLine="720"/>
        <w:jc w:val="both"/>
      </w:pPr>
      <w:r w:rsidRPr="009E3F81">
        <w:t>Netiesioginiam palyginimui taikytas atvirkštinių tikimybių svorių (IPTW) metodas, siekiant kontroliuoti pradinių pacientų charakteristikų skirtumus tarp tyrimų. Šis metodas leidžia persverti pacientų grupes taip, kad jų pradinės charakteristikos taptų palyginamos, o gydymo efekto skirtumai atspindėtų tikrąjį gydymų skirtumą. Papildomai atlikta jautrumo analizė taikant daugiamatę regresiją. Svorių pasiskirstymo analizė parodė, kad propensity score modelis užtikrina pakankamą populiacijų suderinimą pagal įtrauktus kintamuosius, tačiau po koregavimo išliko tam tikri nesubalansuoti rodikliai, ypač LDH koncentracija (SMD –0,26) ir kaulų pažeidimų dažnis (SMD –0,24) baziniame modelyje, o tai reiškia, kad rezidualios sisteminės paklaidos rizika nebuvo visiškai pašalinta.</w:t>
      </w:r>
    </w:p>
    <w:p w14:paraId="2972837F" w14:textId="1DAB2DA9" w:rsidR="009E3F81" w:rsidRPr="009E3F81" w:rsidRDefault="009E3F81" w:rsidP="00292F26">
      <w:pPr>
        <w:pStyle w:val="font-claude-response-body"/>
        <w:spacing w:before="0" w:beforeAutospacing="0" w:after="0" w:afterAutospacing="0" w:line="276" w:lineRule="auto"/>
        <w:ind w:firstLine="720"/>
        <w:jc w:val="both"/>
      </w:pPr>
      <w:r w:rsidRPr="009E3F81">
        <w:t xml:space="preserve">PFS rezultatai abiejuose modeliuose (baziniame ir pilname) parodė, kad DVRd → DR gydymo schema statistiškai reikšmingai pagerino PFS lyginant su DVTd → R: baziniame modelyje </w:t>
      </w:r>
      <w:r w:rsidR="003E03F2">
        <w:t>(</w:t>
      </w:r>
      <w:r w:rsidR="003E03F2" w:rsidRPr="003E03F2">
        <w:rPr>
          <w:i/>
          <w:iCs/>
        </w:rPr>
        <w:t>konfidenciali info</w:t>
      </w:r>
      <w:r w:rsidR="00012CCB">
        <w:rPr>
          <w:i/>
          <w:iCs/>
        </w:rPr>
        <w:t>r</w:t>
      </w:r>
      <w:r w:rsidR="003E03F2" w:rsidRPr="003E03F2">
        <w:rPr>
          <w:i/>
          <w:iCs/>
        </w:rPr>
        <w:t>macija</w:t>
      </w:r>
      <w:r w:rsidR="003E03F2">
        <w:t>)</w:t>
      </w:r>
      <w:r w:rsidRPr="009E3F81">
        <w:t xml:space="preserve">), pilname modelyje </w:t>
      </w:r>
      <w:r w:rsidR="003E03F2">
        <w:t>(</w:t>
      </w:r>
      <w:r w:rsidR="003E03F2" w:rsidRPr="003E03F2">
        <w:rPr>
          <w:i/>
          <w:iCs/>
        </w:rPr>
        <w:t>konfidenciali info</w:t>
      </w:r>
      <w:r w:rsidR="00012CCB">
        <w:rPr>
          <w:i/>
          <w:iCs/>
        </w:rPr>
        <w:t>r</w:t>
      </w:r>
      <w:r w:rsidR="003E03F2" w:rsidRPr="003E03F2">
        <w:rPr>
          <w:i/>
          <w:iCs/>
        </w:rPr>
        <w:t>macija</w:t>
      </w:r>
      <w:r w:rsidR="003E03F2">
        <w:t>)</w:t>
      </w:r>
      <w:r w:rsidRPr="009E3F81">
        <w:t>). Pažymėtina, kad pilnas modelis parodė mažesnį RS nei bazinis, kas leidžia manyti, jog baziniame modelyje išlikęs rezidualus šališkumas galėjo nuvertinti DVRd → DR santykinį veiksmingumą lyginant su DVTd → R.</w:t>
      </w:r>
    </w:p>
    <w:p w14:paraId="292B6B57" w14:textId="5F5A4363" w:rsidR="009E3F81" w:rsidRPr="009E3F81" w:rsidRDefault="009E3F81" w:rsidP="00292F26">
      <w:pPr>
        <w:pStyle w:val="font-claude-response-body"/>
        <w:spacing w:before="0" w:beforeAutospacing="0" w:after="0" w:afterAutospacing="0" w:line="276" w:lineRule="auto"/>
        <w:ind w:firstLine="720"/>
        <w:jc w:val="both"/>
      </w:pPr>
      <w:r w:rsidRPr="009E3F81">
        <w:t>OS atžvilgiu statistiškai reikšmingo skirtumo tarp DVRd → DR ir DVTd → R nenustatyta nei baziniame (</w:t>
      </w:r>
      <w:r w:rsidR="0077703C">
        <w:t>(</w:t>
      </w:r>
      <w:r w:rsidR="0077703C" w:rsidRPr="003E03F2">
        <w:rPr>
          <w:i/>
          <w:iCs/>
        </w:rPr>
        <w:t>konfidenciali info</w:t>
      </w:r>
      <w:r w:rsidR="00012CCB">
        <w:rPr>
          <w:i/>
          <w:iCs/>
        </w:rPr>
        <w:t>r</w:t>
      </w:r>
      <w:r w:rsidR="0077703C" w:rsidRPr="003E03F2">
        <w:rPr>
          <w:i/>
          <w:iCs/>
        </w:rPr>
        <w:t>macija</w:t>
      </w:r>
      <w:r w:rsidR="0077703C">
        <w:t>)</w:t>
      </w:r>
      <w:r w:rsidRPr="009E3F81">
        <w:t>), nei pilname modelyje (</w:t>
      </w:r>
      <w:r w:rsidR="0077703C">
        <w:t>(</w:t>
      </w:r>
      <w:r w:rsidR="0077703C" w:rsidRPr="003E03F2">
        <w:rPr>
          <w:i/>
          <w:iCs/>
        </w:rPr>
        <w:t>konfidenciali info</w:t>
      </w:r>
      <w:r w:rsidR="00012CCB">
        <w:rPr>
          <w:i/>
          <w:iCs/>
        </w:rPr>
        <w:t>r</w:t>
      </w:r>
      <w:r w:rsidR="0077703C" w:rsidRPr="003E03F2">
        <w:rPr>
          <w:i/>
          <w:iCs/>
        </w:rPr>
        <w:t>macija</w:t>
      </w:r>
      <w:r w:rsidR="0077703C">
        <w:t>)</w:t>
      </w:r>
      <w:r w:rsidRPr="009E3F81">
        <w:t>). Tačiau OS duomenų interpretavimą riboja jų nebrandumas – duomenų brandumas lyginant DVRd ir DVTd buvo mažiau nei 5 %, o ankstyvuoju stebėjimo laikotarpiu stebėtos kertančios išgyvenamumo kreivės, susijusios su dideliu neapibrėžtumu dėl nepakankamo įvykių skaičiaus. Todėl šiuo metu negalima daryti galutinių išvadų dėl DVRd ir DVTd palyginimo bendrojo išgyvenamumo atžvilgiu.</w:t>
      </w:r>
    </w:p>
    <w:p w14:paraId="01C1B809" w14:textId="77777777" w:rsidR="009E3F81" w:rsidRPr="009E3F81" w:rsidRDefault="009E3F81" w:rsidP="00292F26">
      <w:pPr>
        <w:pStyle w:val="font-claude-response-body"/>
        <w:spacing w:before="0" w:beforeAutospacing="0" w:after="0" w:afterAutospacing="0" w:line="276" w:lineRule="auto"/>
        <w:ind w:firstLine="720"/>
        <w:jc w:val="both"/>
      </w:pPr>
      <w:r w:rsidRPr="009E3F81">
        <w:t>Atlikta netiesioginė analizė kelia kelis svarbius metodologinius neapibrėžtumus. Pirma, modeliavimas grindžiamas prielaida, kad DVRd ir DVTd turi vienodą veiksmingumą indukcijos ir konsolidacijos fazėje, taigi visa modeliuojama nauda priskirta palaikomojo gydymo fazei – tai yra supaprastinimas, kuris gali nesutapti su realia klinikine situacija. Antra, lenalidomido efekto perkėlimas iš Myeloma XI tyrimo į CASSIOPEIA populiaciją reikalauja perkeliamumo prielaidos, nes Myeloma XI tyrime buvo taikytos skirtingos indukcijos schemos (CTD ar CRD, o ne DVTd). Trečia, MRD vertinimo metodikos skyrėsi tarp tyrimų, todėl MRD rodikliai tiesiogiai nepalyginami. Ketvirta, dalis svarbių prognostinių veiksnių net po statistinio koregavimo išliko nesubalansuota, todėl rezidualios konfūzijos rizika išlieka.</w:t>
      </w:r>
    </w:p>
    <w:p w14:paraId="7FBDD30F" w14:textId="77777777" w:rsidR="009E3F81" w:rsidRPr="009E3F81" w:rsidRDefault="009E3F81" w:rsidP="00292F26">
      <w:pPr>
        <w:pStyle w:val="font-claude-response-body"/>
        <w:spacing w:before="0" w:beforeAutospacing="0" w:after="0" w:afterAutospacing="0" w:line="276" w:lineRule="auto"/>
        <w:ind w:firstLine="720"/>
        <w:jc w:val="both"/>
      </w:pPr>
      <w:r w:rsidRPr="009E3F81">
        <w:t>Apibendrinant, netiesioginio palyginimo rezultatai rodo, kad DVRd → DR gydymo seka reikšmingai pagerina PFS lyginant su DVTd → R, tačiau ilgalaikė šio pranašumo reikšmė išgyvenamumo atžvilgiu išlieka neaiški dėl nesubrendusių OS duomenų ir metodologinių analizės apribojimų. Galutinė klinikinių duomenų interpretacija priklausys nuo ilgesnio stebėjimo laikotarpio ir brandesnių duomenų.</w:t>
      </w:r>
    </w:p>
    <w:p w14:paraId="3056E395" w14:textId="77777777" w:rsidR="009E3F81" w:rsidRPr="009E3F81" w:rsidRDefault="009E3F81" w:rsidP="00292F26">
      <w:pPr>
        <w:pStyle w:val="font-claude-response-body"/>
        <w:spacing w:before="0" w:beforeAutospacing="0" w:after="0" w:afterAutospacing="0" w:line="276" w:lineRule="auto"/>
        <w:ind w:firstLine="720"/>
        <w:jc w:val="both"/>
      </w:pPr>
    </w:p>
    <w:p w14:paraId="7A981D36" w14:textId="5E5F862D" w:rsidR="009E3F81" w:rsidRPr="0083066A" w:rsidRDefault="009E3F81" w:rsidP="00292F26">
      <w:pPr>
        <w:pStyle w:val="font-claude-response-body"/>
        <w:spacing w:before="0" w:beforeAutospacing="0" w:after="0" w:afterAutospacing="0" w:line="276" w:lineRule="auto"/>
        <w:ind w:firstLine="720"/>
        <w:jc w:val="both"/>
      </w:pPr>
      <w:r w:rsidRPr="009E3F81">
        <w:t xml:space="preserve">Atsižvelgiant į palyginamojo veiksmingumo duomenų vertinimą, nustatyta, kad daratumumabo derinant su bortezomibu, lenalidomidu ir deksametazonu (DVRd) palyginamasis </w:t>
      </w:r>
      <w:r w:rsidRPr="009E3F81">
        <w:lastRenderedPageBreak/>
        <w:t xml:space="preserve">veiksmingumas yra </w:t>
      </w:r>
      <w:r w:rsidRPr="009E3F81">
        <w:rPr>
          <w:rStyle w:val="Grietas"/>
        </w:rPr>
        <w:t>didesnis</w:t>
      </w:r>
      <w:r w:rsidRPr="009E3F81">
        <w:t>, lyginant su įprasta klinikine praktika suaugusiems pacientams, kuriems naujai diagnozuota dauginė mieloma ir kuriems tinka autologinė kamieninių ląstelių transplantacija.</w:t>
      </w:r>
    </w:p>
    <w:p w14:paraId="39C1ADA8" w14:textId="77777777" w:rsidR="00AC5129" w:rsidRPr="009E3F81" w:rsidRDefault="00AC5129" w:rsidP="00A93AA6">
      <w:pPr>
        <w:pStyle w:val="Sraopastraipa"/>
        <w:tabs>
          <w:tab w:val="left" w:pos="426"/>
        </w:tabs>
        <w:ind w:left="0"/>
        <w:rPr>
          <w:b/>
          <w:bCs/>
          <w:caps/>
        </w:rPr>
      </w:pPr>
    </w:p>
    <w:p w14:paraId="7DE09EB5" w14:textId="69E9DD74" w:rsidR="00E03C3F" w:rsidRPr="0083066A" w:rsidRDefault="00CC7832" w:rsidP="00CC09D4">
      <w:pPr>
        <w:pStyle w:val="Sraopastraipa"/>
        <w:numPr>
          <w:ilvl w:val="0"/>
          <w:numId w:val="12"/>
        </w:numPr>
        <w:tabs>
          <w:tab w:val="left" w:pos="567"/>
        </w:tabs>
        <w:ind w:hanging="720"/>
        <w:rPr>
          <w:b/>
          <w:bCs/>
          <w:caps/>
        </w:rPr>
      </w:pPr>
      <w:r w:rsidRPr="0083066A">
        <w:rPr>
          <w:b/>
          <w:bCs/>
          <w:caps/>
        </w:rPr>
        <w:t xml:space="preserve">ekonominio vertinimo </w:t>
      </w:r>
      <w:r w:rsidR="002F0E4F" w:rsidRPr="0083066A">
        <w:rPr>
          <w:b/>
          <w:bCs/>
          <w:caps/>
        </w:rPr>
        <w:t>apibendrinimas</w:t>
      </w:r>
    </w:p>
    <w:p w14:paraId="44292137" w14:textId="77777777" w:rsidR="00B3785C" w:rsidRDefault="00B3785C" w:rsidP="00B3785C">
      <w:pPr>
        <w:shd w:val="clear" w:color="auto" w:fill="FFFFFF"/>
        <w:spacing w:line="276" w:lineRule="auto"/>
        <w:jc w:val="both"/>
        <w:rPr>
          <w:rFonts w:eastAsia="Arial"/>
          <w:i/>
          <w:color w:val="00B050"/>
          <w:highlight w:val="yellow"/>
        </w:rPr>
      </w:pPr>
    </w:p>
    <w:p w14:paraId="78EC1EC8" w14:textId="77777777" w:rsidR="00B3785C" w:rsidRDefault="00B3785C" w:rsidP="00B3785C">
      <w:pPr>
        <w:spacing w:line="276" w:lineRule="auto"/>
        <w:ind w:firstLine="720"/>
        <w:jc w:val="both"/>
        <w:rPr>
          <w:lang w:eastAsia="lt-LT"/>
        </w:rPr>
      </w:pPr>
      <w:r w:rsidRPr="00603B3A">
        <w:rPr>
          <w:rFonts w:eastAsia="Arial"/>
        </w:rPr>
        <w:t xml:space="preserve">Klinikinio vertinimo metu nustačius </w:t>
      </w:r>
      <w:r w:rsidRPr="00603B3A">
        <w:rPr>
          <w:rFonts w:eastAsia="Arial"/>
          <w:i/>
          <w:iCs/>
        </w:rPr>
        <w:t xml:space="preserve">didesnį </w:t>
      </w:r>
      <w:r w:rsidRPr="00603B3A">
        <w:rPr>
          <w:rFonts w:eastAsia="Arial"/>
        </w:rPr>
        <w:t>palyginamąjį veiksmingumą lyginant su įprasta klinikine praktika,</w:t>
      </w:r>
      <w:r w:rsidRPr="00603B3A">
        <w:t xml:space="preserve"> atliekamas </w:t>
      </w:r>
      <w:r w:rsidRPr="00603B3A">
        <w:rPr>
          <w:rFonts w:eastAsia="Arial"/>
          <w:bCs/>
          <w:szCs w:val="22"/>
        </w:rPr>
        <w:t xml:space="preserve">kaštų </w:t>
      </w:r>
      <w:r w:rsidRPr="00603B3A">
        <w:rPr>
          <w:rFonts w:eastAsia="Arial"/>
          <w:i/>
          <w:iCs/>
          <w:szCs w:val="22"/>
        </w:rPr>
        <w:t>naudingumo</w:t>
      </w:r>
      <w:r w:rsidRPr="00603B3A">
        <w:rPr>
          <w:rFonts w:eastAsia="Arial"/>
          <w:bCs/>
          <w:szCs w:val="22"/>
        </w:rPr>
        <w:t xml:space="preserve"> analizės</w:t>
      </w:r>
      <w:r>
        <w:rPr>
          <w:rFonts w:eastAsia="Arial"/>
          <w:bCs/>
          <w:szCs w:val="22"/>
        </w:rPr>
        <w:t xml:space="preserve"> (toliau – KNA)</w:t>
      </w:r>
      <w:r w:rsidRPr="00603B3A">
        <w:rPr>
          <w:rFonts w:eastAsia="Arial"/>
          <w:bCs/>
          <w:szCs w:val="22"/>
        </w:rPr>
        <w:t xml:space="preserve"> vertinimas</w:t>
      </w:r>
      <w:r w:rsidRPr="00603B3A">
        <w:t>.</w:t>
      </w:r>
      <w:r w:rsidRPr="00AB7FE5">
        <w:rPr>
          <w:i/>
          <w:iCs/>
        </w:rPr>
        <w:t xml:space="preserve"> </w:t>
      </w:r>
      <w:r w:rsidRPr="00BF1209">
        <w:rPr>
          <w:i/>
          <w:iCs/>
        </w:rPr>
        <w:t xml:space="preserve">KNA atliekama </w:t>
      </w:r>
      <w:r>
        <w:rPr>
          <w:lang w:eastAsia="lt-LT"/>
        </w:rPr>
        <w:t>daratumumabą</w:t>
      </w:r>
      <w:r w:rsidRPr="0051274A">
        <w:rPr>
          <w:lang w:eastAsia="lt-LT"/>
        </w:rPr>
        <w:t xml:space="preserve"> derinant su bortezomibu, lenalidomidu ir deksametazonu (DVRd</w:t>
      </w:r>
      <w:r>
        <w:rPr>
          <w:lang w:eastAsia="lt-LT"/>
        </w:rPr>
        <w:t xml:space="preserve">, </w:t>
      </w:r>
      <w:r w:rsidRPr="0051274A">
        <w:rPr>
          <w:lang w:eastAsia="lt-LT"/>
        </w:rPr>
        <w:t>Gydant DVRd, indukcijai ir konsolidacijai buvo skiriamas DVRd derinys, o pa</w:t>
      </w:r>
      <w:r>
        <w:rPr>
          <w:lang w:eastAsia="lt-LT"/>
        </w:rPr>
        <w:t>laikomajam gydymui – DR derinys</w:t>
      </w:r>
      <w:r w:rsidRPr="0051274A">
        <w:rPr>
          <w:lang w:eastAsia="lt-LT"/>
        </w:rPr>
        <w:t xml:space="preserve">) </w:t>
      </w:r>
      <w:r w:rsidRPr="00BF1209">
        <w:rPr>
          <w:i/>
          <w:iCs/>
        </w:rPr>
        <w:t xml:space="preserve">lyginant su </w:t>
      </w:r>
      <w:r>
        <w:rPr>
          <w:lang w:eastAsia="lt-LT"/>
        </w:rPr>
        <w:t>daratumumabą</w:t>
      </w:r>
      <w:r w:rsidRPr="0051274A">
        <w:rPr>
          <w:lang w:eastAsia="lt-LT"/>
        </w:rPr>
        <w:t xml:space="preserve"> derinant su bortezomibu, talidomidu ir deksametazonu (DVTd; palaik</w:t>
      </w:r>
      <w:r>
        <w:rPr>
          <w:lang w:eastAsia="lt-LT"/>
        </w:rPr>
        <w:t xml:space="preserve">omajam gydymui – lenalidomidas). </w:t>
      </w:r>
      <w:r>
        <w:rPr>
          <w:rFonts w:eastAsia="Arial"/>
          <w:bCs/>
          <w:szCs w:val="22"/>
        </w:rPr>
        <w:t>Laikoma, kad e</w:t>
      </w:r>
      <w:r w:rsidRPr="00BF1209">
        <w:rPr>
          <w:rFonts w:eastAsia="Arial"/>
          <w:bCs/>
          <w:szCs w:val="22"/>
        </w:rPr>
        <w:t>konominėje analizėje pateiktas palyginamasis gydymas atitinka įprastą Lietuvos</w:t>
      </w:r>
      <w:r>
        <w:rPr>
          <w:rFonts w:eastAsia="Arial"/>
          <w:bCs/>
          <w:szCs w:val="22"/>
        </w:rPr>
        <w:t xml:space="preserve"> Respublikos klinikinę praktiką.</w:t>
      </w:r>
    </w:p>
    <w:p w14:paraId="1565DCC3" w14:textId="77777777" w:rsidR="00B3785C" w:rsidRDefault="00B3785C" w:rsidP="00B3785C">
      <w:pPr>
        <w:spacing w:line="276" w:lineRule="auto"/>
        <w:ind w:firstLine="720"/>
        <w:jc w:val="both"/>
        <w:rPr>
          <w:lang w:eastAsia="lt-LT"/>
        </w:rPr>
      </w:pPr>
      <w:r w:rsidRPr="002D24AD">
        <w:rPr>
          <w:lang w:eastAsia="lt-LT"/>
        </w:rPr>
        <w:t>Į ekonominę analizę įtraukti pacientai atitinka kompensacijai t</w:t>
      </w:r>
      <w:r>
        <w:rPr>
          <w:lang w:eastAsia="lt-LT"/>
        </w:rPr>
        <w:t xml:space="preserve">eikiamas terapines indikacijas. </w:t>
      </w:r>
      <w:r>
        <w:t xml:space="preserve">KNA tikslinė populiacija atspindi PERSEUS tyrimo populiaciją, kuriame lyginti DVRd ir VRd. ITT populiacija - pacientai su naujai diagnozuota mieloma (ndMM), kuriems tiko didelės dozės chemoterapija su ASCT. </w:t>
      </w:r>
      <w:r w:rsidRPr="0051274A">
        <w:rPr>
          <w:lang w:eastAsia="lt-LT"/>
        </w:rPr>
        <w:t xml:space="preserve">Tiesioginio palyginimo PERSEUS klinikiniame </w:t>
      </w:r>
      <w:r>
        <w:rPr>
          <w:lang w:eastAsia="lt-LT"/>
        </w:rPr>
        <w:t>DVRd</w:t>
      </w:r>
      <w:r w:rsidRPr="0051274A">
        <w:rPr>
          <w:lang w:eastAsia="lt-LT"/>
        </w:rPr>
        <w:t xml:space="preserve"> buvo lygintas su VRd deriniu. </w:t>
      </w:r>
      <w:r>
        <w:rPr>
          <w:lang w:eastAsia="lt-LT"/>
        </w:rPr>
        <w:t>Tinkamo palyginamojo (DVTd) klinikiniai duomenys pagrįsti netiesioginio palyginimo duomenimis (</w:t>
      </w:r>
      <w:r>
        <w:t>CASSIOPEIA klinikinis tyrimas).</w:t>
      </w:r>
    </w:p>
    <w:p w14:paraId="7FD2F349" w14:textId="77777777" w:rsidR="00B3785C" w:rsidRDefault="00B3785C" w:rsidP="00B3785C">
      <w:pPr>
        <w:spacing w:line="276" w:lineRule="auto"/>
        <w:ind w:firstLine="720"/>
        <w:jc w:val="both"/>
        <w:rPr>
          <w:lang w:eastAsia="lt-LT"/>
        </w:rPr>
      </w:pPr>
      <w:r w:rsidRPr="00984180">
        <w:t xml:space="preserve">PERSEUS klinikinio tyrimo pagrindinis tyrimo baigties rodiklis buvo </w:t>
      </w:r>
      <w:r>
        <w:t>IBLP. Nors IBLP</w:t>
      </w:r>
      <w:r w:rsidRPr="00984180">
        <w:t xml:space="preserve"> rezultatai parodė reikšmingą skirtumą tarp gydymo grupių (RS 0,42; 95 % PI 0,30–0,59), PFS laikomas tarpine baigtimi, kuri ne visada tiesiogiai koreliuoja su bendru išgyvenamumu. Dauginės mielomos atveju pacientai dažnai gauna kelias vėlesnes gydymo linijas, kurios gali reikšmingai paveikti </w:t>
      </w:r>
      <w:r>
        <w:t>BI</w:t>
      </w:r>
      <w:r w:rsidRPr="00984180">
        <w:t xml:space="preserve"> rezultatus, todėl </w:t>
      </w:r>
      <w:r>
        <w:t>IBLP</w:t>
      </w:r>
      <w:r w:rsidRPr="00984180">
        <w:t xml:space="preserve"> laikoma tinkama vertinamąją baigtimi (2023 m. rugpjūčio 1 d. PFS duomenys yra vidutinio brandumo (~54% planuotų įvykių)). Apibendrinant klinikinėje dalyje formuota išvada, kad PERSEUS tyrimas parodė reikšmingą DVRd režimo pranašumą progresavimo laisvo išgyvenamumo ir MRD neigiamumo rodiklių atžvilgiu, tačiau galutinė šių rezultatų interpretacija priklausys nuo ilgesnio stebėjimo laikotarpio ir brandesnių </w:t>
      </w:r>
      <w:r>
        <w:t>IBLP ir BI</w:t>
      </w:r>
      <w:r w:rsidRPr="00984180">
        <w:t xml:space="preserve"> duomenų. </w:t>
      </w:r>
    </w:p>
    <w:p w14:paraId="0CE1435C" w14:textId="77D68B50" w:rsidR="003B53FF" w:rsidRPr="00C1230A" w:rsidRDefault="00B3785C" w:rsidP="003B53FF">
      <w:pPr>
        <w:spacing w:line="276" w:lineRule="auto"/>
        <w:ind w:firstLine="720"/>
        <w:jc w:val="both"/>
        <w:rPr>
          <w:rFonts w:eastAsiaTheme="minorHAnsi"/>
        </w:rPr>
      </w:pPr>
      <w:r w:rsidRPr="003D7AAB">
        <w:rPr>
          <w:rFonts w:eastAsia="Arial"/>
        </w:rPr>
        <w:t xml:space="preserve">Pareiškėjas duomenų ekstrapoliacijai po tyrimo stebėjimo pabaigos taikė parametrinius ekstrapoliacijos modelius </w:t>
      </w:r>
      <w:r w:rsidRPr="003D7AAB">
        <w:t>(</w:t>
      </w:r>
      <w:r w:rsidRPr="003D7AAB">
        <w:rPr>
          <w:i/>
          <w:iCs/>
        </w:rPr>
        <w:t>Weibull, ekspon</w:t>
      </w:r>
      <w:r>
        <w:rPr>
          <w:i/>
          <w:iCs/>
        </w:rPr>
        <w:t>en</w:t>
      </w:r>
      <w:r w:rsidRPr="003D7AAB">
        <w:rPr>
          <w:i/>
          <w:iCs/>
        </w:rPr>
        <w:t xml:space="preserve">tial, log-normal, log-logistic, Gompertz </w:t>
      </w:r>
      <w:r w:rsidRPr="003D7AAB">
        <w:t>ir</w:t>
      </w:r>
      <w:r w:rsidRPr="003D7AAB">
        <w:rPr>
          <w:i/>
          <w:iCs/>
        </w:rPr>
        <w:t xml:space="preserve"> generalized gamma</w:t>
      </w:r>
      <w:r w:rsidRPr="003D7AAB">
        <w:t xml:space="preserve">). Siekiant atrinkti tinkamiausius parametrinius modelius įprastinio atvejo analizei, Pareiškėjas rėmėsi Akaikės (angl. </w:t>
      </w:r>
      <w:r w:rsidRPr="003D7AAB">
        <w:rPr>
          <w:i/>
          <w:iCs/>
        </w:rPr>
        <w:t>Akaike information criterion</w:t>
      </w:r>
      <w:r w:rsidRPr="003D7AAB">
        <w:t xml:space="preserve">, AIC) ir Bajeso informacijos kriterijais (angl. </w:t>
      </w:r>
      <w:r w:rsidRPr="003D7AAB">
        <w:rPr>
          <w:i/>
        </w:rPr>
        <w:t>B</w:t>
      </w:r>
      <w:r w:rsidRPr="003D7AAB">
        <w:rPr>
          <w:i/>
          <w:spacing w:val="1"/>
        </w:rPr>
        <w:t>a</w:t>
      </w:r>
      <w:r w:rsidRPr="003D7AAB">
        <w:rPr>
          <w:i/>
        </w:rPr>
        <w:t>y</w:t>
      </w:r>
      <w:r w:rsidRPr="003D7AAB">
        <w:rPr>
          <w:i/>
          <w:spacing w:val="-2"/>
        </w:rPr>
        <w:t>e</w:t>
      </w:r>
      <w:r w:rsidRPr="003D7AAB">
        <w:rPr>
          <w:i/>
        </w:rPr>
        <w:t>s</w:t>
      </w:r>
      <w:r w:rsidRPr="003D7AAB">
        <w:rPr>
          <w:i/>
          <w:spacing w:val="2"/>
        </w:rPr>
        <w:t>i</w:t>
      </w:r>
      <w:r w:rsidRPr="003D7AAB">
        <w:rPr>
          <w:i/>
          <w:spacing w:val="6"/>
        </w:rPr>
        <w:t>a</w:t>
      </w:r>
      <w:r w:rsidRPr="003D7AAB">
        <w:rPr>
          <w:i/>
        </w:rPr>
        <w:t>n</w:t>
      </w:r>
      <w:r w:rsidRPr="003D7AAB">
        <w:rPr>
          <w:i/>
          <w:spacing w:val="-13"/>
        </w:rPr>
        <w:t xml:space="preserve"> </w:t>
      </w:r>
      <w:r w:rsidRPr="003D7AAB">
        <w:rPr>
          <w:i/>
          <w:spacing w:val="2"/>
        </w:rPr>
        <w:t>i</w:t>
      </w:r>
      <w:r w:rsidRPr="003D7AAB">
        <w:rPr>
          <w:i/>
          <w:spacing w:val="-2"/>
        </w:rPr>
        <w:t>n</w:t>
      </w:r>
      <w:r w:rsidRPr="003D7AAB">
        <w:rPr>
          <w:i/>
          <w:spacing w:val="4"/>
        </w:rPr>
        <w:t>f</w:t>
      </w:r>
      <w:r w:rsidRPr="003D7AAB">
        <w:rPr>
          <w:i/>
          <w:spacing w:val="-2"/>
        </w:rPr>
        <w:t>o</w:t>
      </w:r>
      <w:r w:rsidRPr="003D7AAB">
        <w:rPr>
          <w:i/>
          <w:spacing w:val="2"/>
        </w:rPr>
        <w:t>r</w:t>
      </w:r>
      <w:r w:rsidRPr="003D7AAB">
        <w:rPr>
          <w:i/>
          <w:spacing w:val="-2"/>
        </w:rPr>
        <w:t>m</w:t>
      </w:r>
      <w:r w:rsidRPr="003D7AAB">
        <w:rPr>
          <w:i/>
          <w:spacing w:val="1"/>
        </w:rPr>
        <w:t>a</w:t>
      </w:r>
      <w:r w:rsidRPr="003D7AAB">
        <w:rPr>
          <w:i/>
        </w:rPr>
        <w:t>t</w:t>
      </w:r>
      <w:r w:rsidRPr="003D7AAB">
        <w:rPr>
          <w:i/>
          <w:spacing w:val="6"/>
        </w:rPr>
        <w:t>i</w:t>
      </w:r>
      <w:r w:rsidRPr="003D7AAB">
        <w:rPr>
          <w:i/>
          <w:spacing w:val="-2"/>
        </w:rPr>
        <w:t>o</w:t>
      </w:r>
      <w:r w:rsidRPr="003D7AAB">
        <w:rPr>
          <w:i/>
        </w:rPr>
        <w:t>n</w:t>
      </w:r>
      <w:r w:rsidRPr="003D7AAB">
        <w:rPr>
          <w:i/>
          <w:spacing w:val="-10"/>
        </w:rPr>
        <w:t xml:space="preserve"> </w:t>
      </w:r>
      <w:r w:rsidRPr="003D7AAB">
        <w:rPr>
          <w:i/>
        </w:rPr>
        <w:t>c</w:t>
      </w:r>
      <w:r w:rsidRPr="003D7AAB">
        <w:rPr>
          <w:i/>
          <w:spacing w:val="2"/>
        </w:rPr>
        <w:t>ri</w:t>
      </w:r>
      <w:r w:rsidRPr="003D7AAB">
        <w:rPr>
          <w:i/>
        </w:rPr>
        <w:t>t</w:t>
      </w:r>
      <w:r w:rsidRPr="003D7AAB">
        <w:rPr>
          <w:i/>
          <w:spacing w:val="-2"/>
        </w:rPr>
        <w:t>e</w:t>
      </w:r>
      <w:r w:rsidRPr="003D7AAB">
        <w:rPr>
          <w:i/>
          <w:spacing w:val="2"/>
        </w:rPr>
        <w:t>ri</w:t>
      </w:r>
      <w:r w:rsidRPr="003D7AAB">
        <w:rPr>
          <w:i/>
        </w:rPr>
        <w:t>a</w:t>
      </w:r>
      <w:r w:rsidRPr="003D7AAB">
        <w:t xml:space="preserve">, BIC), </w:t>
      </w:r>
      <w:r w:rsidRPr="003D7AAB">
        <w:rPr>
          <w:lang w:eastAsia="lt-LT"/>
        </w:rPr>
        <w:t xml:space="preserve">vizualiu kreivių atitikimu Kaplan Meier kreivėms bei klinikinių </w:t>
      </w:r>
      <w:r>
        <w:rPr>
          <w:lang w:eastAsia="lt-LT"/>
        </w:rPr>
        <w:t>ekspertų nuomone</w:t>
      </w:r>
      <w:r w:rsidRPr="003D7AAB">
        <w:rPr>
          <w:lang w:eastAsia="lt-LT"/>
        </w:rPr>
        <w:t>.</w:t>
      </w:r>
      <w:r>
        <w:rPr>
          <w:lang w:eastAsia="lt-LT"/>
        </w:rPr>
        <w:t xml:space="preserve">  </w:t>
      </w:r>
      <w:r>
        <w:rPr>
          <w:rFonts w:eastAsia="Arial"/>
        </w:rPr>
        <w:t xml:space="preserve">Taikoma viso gyvenimo laiko (iki 100 m.) </w:t>
      </w:r>
      <w:r w:rsidRPr="00C21A8B">
        <w:rPr>
          <w:rFonts w:eastAsia="Arial"/>
        </w:rPr>
        <w:t>perspektyva.</w:t>
      </w:r>
      <w:r>
        <w:rPr>
          <w:rFonts w:eastAsia="Arial"/>
        </w:rPr>
        <w:t xml:space="preserve"> Vidutinis pacientų amžius modelyje 58,4 m., laiko horizontas – 40 m.). Pareiškėjui pateikus papildomus duomenis, kad </w:t>
      </w:r>
      <w:r>
        <w:rPr>
          <w:i/>
          <w:iCs/>
          <w:lang w:eastAsia="lt-LT"/>
        </w:rPr>
        <w:t>DVRd</w:t>
      </w:r>
      <w:r>
        <w:rPr>
          <w:rFonts w:eastAsia="Arial"/>
        </w:rPr>
        <w:t xml:space="preserve"> ir DVTd proporcingų rizikų prielaida nėra pažeidžiama ir rizika išlieka proporcinga, KNA taikomas jungtinis (</w:t>
      </w:r>
      <w:r w:rsidRPr="004C4C76">
        <w:rPr>
          <w:rFonts w:eastAsia="Arial"/>
          <w:i/>
        </w:rPr>
        <w:t>angl. joint model</w:t>
      </w:r>
      <w:r>
        <w:rPr>
          <w:rFonts w:eastAsia="Arial"/>
        </w:rPr>
        <w:t>)</w:t>
      </w:r>
      <w:r w:rsidRPr="007F266A">
        <w:rPr>
          <w:rFonts w:eastAsia="Arial"/>
        </w:rPr>
        <w:t xml:space="preserve"> parametrin</w:t>
      </w:r>
      <w:r>
        <w:rPr>
          <w:rFonts w:eastAsia="Arial"/>
        </w:rPr>
        <w:t xml:space="preserve">ių funkcijų modeliavimas. </w:t>
      </w:r>
      <w:r w:rsidRPr="00A43D8F">
        <w:rPr>
          <w:rFonts w:eastAsia="Arial"/>
        </w:rPr>
        <w:t xml:space="preserve">IBLP duomenų ekstrapoliacijai  ir BI duomenų ekstrapoliacijai taikomos </w:t>
      </w:r>
      <w:r w:rsidRPr="00A43D8F">
        <w:rPr>
          <w:rFonts w:eastAsia="Arial"/>
          <w:i/>
        </w:rPr>
        <w:t>Exponential</w:t>
      </w:r>
      <w:r w:rsidRPr="00A43D8F">
        <w:rPr>
          <w:rFonts w:eastAsia="Arial"/>
        </w:rPr>
        <w:t xml:space="preserve"> parametrinės funkcijos, kurios lemia vidutinį klinikinių baigčių scenarijų</w:t>
      </w:r>
      <w:r>
        <w:rPr>
          <w:rFonts w:eastAsia="Arial"/>
        </w:rPr>
        <w:t xml:space="preserve">. Svarbu atkreipti dėmesį, kad duomenų ekstrapoliacijai taikomi modeliai turi reikšmingos įtakos </w:t>
      </w:r>
      <w:r w:rsidRPr="001E22AA">
        <w:rPr>
          <w:rFonts w:eastAsia="Arial"/>
        </w:rPr>
        <w:t xml:space="preserve">galutiniam KNA rezultatui (ICER). Scenarijų analizėje vertinant duomenų ekstrapoliacijai taikomus metodus pagal ankstesnių paraiškų metu (DVTd Paraiškos vertinimas) taikytas prielaidas matyti, kad ICER padidėja iki </w:t>
      </w:r>
      <w:r w:rsidR="00F601FB">
        <w:rPr>
          <w:rFonts w:eastAsia="Arial"/>
        </w:rPr>
        <w:t>*****</w:t>
      </w:r>
      <w:r w:rsidRPr="001E22AA">
        <w:rPr>
          <w:rFonts w:eastAsia="Arial"/>
        </w:rPr>
        <w:t xml:space="preserve"> Eur./QALY. </w:t>
      </w:r>
      <w:r w:rsidRPr="001E22AA">
        <w:rPr>
          <w:rFonts w:eastAsiaTheme="minorHAnsi"/>
        </w:rPr>
        <w:t>Gydymo poveikio nutraukimo prielaida netaikoma, t.</w:t>
      </w:r>
      <w:r w:rsidR="00697E59">
        <w:rPr>
          <w:rFonts w:eastAsiaTheme="minorHAnsi"/>
        </w:rPr>
        <w:t xml:space="preserve"> </w:t>
      </w:r>
      <w:r w:rsidRPr="001E22AA">
        <w:rPr>
          <w:rFonts w:eastAsiaTheme="minorHAnsi"/>
        </w:rPr>
        <w:t>y. laikoma, kad gydymo poveikis išlieka pastovus visu vertinamuoju laikotarpiu. Pareiškėjas sutinka koreguoti skyrimo sąlygą sekančiai</w:t>
      </w:r>
      <w:r w:rsidRPr="00CB26BC">
        <w:rPr>
          <w:rFonts w:eastAsiaTheme="minorHAnsi"/>
        </w:rPr>
        <w:t xml:space="preserve">: daratumumabas derinant su bortezomibu, lenalidomidu ir deksametazonu gydymui suaugusiems pacientams, kuriems naujai buvo diagnozuota dauginė mieloma, ir kuriems tinka autologinė kamieninių ląstelių transplantacija. Palaikomajam gydymui daratumumabas skiriamas </w:t>
      </w:r>
      <w:r w:rsidRPr="0061475D">
        <w:rPr>
          <w:rFonts w:eastAsiaTheme="minorHAnsi"/>
          <w:u w:val="single"/>
        </w:rPr>
        <w:t xml:space="preserve">ne </w:t>
      </w:r>
      <w:r w:rsidRPr="0061475D">
        <w:rPr>
          <w:rFonts w:eastAsiaTheme="minorHAnsi"/>
          <w:u w:val="single"/>
        </w:rPr>
        <w:lastRenderedPageBreak/>
        <w:t>ilgiau kaip 24 mėn</w:t>
      </w:r>
      <w:r w:rsidRPr="00CB26BC">
        <w:rPr>
          <w:rFonts w:eastAsiaTheme="minorHAnsi"/>
        </w:rPr>
        <w:t xml:space="preserve">. </w:t>
      </w:r>
      <w:r w:rsidR="003B53FF" w:rsidRPr="00C1230A">
        <w:rPr>
          <w:rFonts w:eastAsiaTheme="minorHAnsi"/>
        </w:rPr>
        <w:t>Tarnyba KNA daratumumabo ir kitų VP palaikomojo gydymo trukmę taiko pagal KM kreivių modeliavimą, kadangi VPCS numatyta, kad gydymas pacientams gali būti tęsiamas iki ligos progreso (24 mėn. stabdymo taisyklė nėra taikoma).</w:t>
      </w:r>
    </w:p>
    <w:p w14:paraId="68881A42" w14:textId="77777777" w:rsidR="00B3785C" w:rsidRDefault="00B3785C" w:rsidP="00B3785C">
      <w:pPr>
        <w:spacing w:line="276" w:lineRule="auto"/>
        <w:ind w:firstLine="720"/>
        <w:jc w:val="both"/>
        <w:rPr>
          <w:iCs/>
          <w:lang w:eastAsia="lt-LT"/>
        </w:rPr>
      </w:pPr>
      <w:r w:rsidRPr="00390556">
        <w:t xml:space="preserve">Sveikatai sukuriama nauda buvo vertinama pagal su sveikata susijusią gyvenimo kokybę (angl. </w:t>
      </w:r>
      <w:r w:rsidRPr="00390556">
        <w:rPr>
          <w:i/>
          <w:iCs/>
        </w:rPr>
        <w:t xml:space="preserve">Health realated quality of life, </w:t>
      </w:r>
      <w:r w:rsidRPr="00390556">
        <w:t xml:space="preserve">HRQoL), kuri buvo įvertinta naudojant EQ-5D klausimyną, </w:t>
      </w:r>
      <w:r>
        <w:rPr>
          <w:iCs/>
          <w:lang w:eastAsia="lt-LT"/>
        </w:rPr>
        <w:t>PERSEUS</w:t>
      </w:r>
      <w:r w:rsidRPr="00390556">
        <w:t xml:space="preserve"> klinikinio tyrimo metu.</w:t>
      </w:r>
      <w:r>
        <w:rPr>
          <w:iCs/>
          <w:lang w:eastAsia="lt-LT"/>
        </w:rPr>
        <w:t xml:space="preserve"> </w:t>
      </w:r>
      <w:r w:rsidRPr="00CB26BC">
        <w:rPr>
          <w:lang w:eastAsia="lt-LT"/>
        </w:rPr>
        <w:t xml:space="preserve">Įprastinėje atvejo analizėje Pareiškėjas taiko gyvenimo kokybės įverčių vertes pritaikytas pagal Lenkijos populiaciją, pagrindžiant tuo, kad Lenkijos populiacijos įverčiai daugiausiai atspindi Lietuvos sveikatos priežiūros sistemą ir taip pat yra priimtini pagal SAM rekomendacijas. </w:t>
      </w:r>
      <w:r w:rsidRPr="00CB26BC">
        <w:rPr>
          <w:iCs/>
          <w:lang w:eastAsia="lt-LT"/>
        </w:rPr>
        <w:t>Tarnyba atkreipia dėmesį, kad įprastai paraiškų vertinimo metu yra pateikiami gyvenimo kokybės įverčiai pritaikyti pagal Jungtinės Karalystės populiaciją. DVTd paraiškos vertinimo metu (tai pačiai indikacijai) taip pat taikyti gyvenimo kokybės įverčiai pagal JK populiacijos įverčius ir pagrindinį klinikinį tyrimą. Siekiant išlaikyti vertinimų nuoseklumą, Tarnyba įprastinėje atvejo analizėje taiko gyvenimo kokybės įverčius nustatytus pagrindiniame klinikiniame tyrime (PERSEUS) ir pritaikytus JK populiacijai.</w:t>
      </w:r>
      <w:r>
        <w:rPr>
          <w:lang w:eastAsia="lt-LT"/>
        </w:rPr>
        <w:t xml:space="preserve"> </w:t>
      </w:r>
      <w:r>
        <w:t xml:space="preserve">Tarnyba vertina, kad </w:t>
      </w:r>
      <w:r w:rsidRPr="003D6CF6">
        <w:rPr>
          <w:iCs/>
          <w:lang w:eastAsia="lt-LT"/>
        </w:rPr>
        <w:t xml:space="preserve">kaštai apskaičiuoti tinkamai, Pareiškėjas įtraukia Lietuvos sveikatos priežiūros paslaugų įkainius. </w:t>
      </w:r>
    </w:p>
    <w:p w14:paraId="486445EB" w14:textId="58ACAA98" w:rsidR="00B3785C" w:rsidRPr="0061475D" w:rsidRDefault="00B3785C" w:rsidP="00B3785C">
      <w:pPr>
        <w:spacing w:line="276" w:lineRule="auto"/>
        <w:ind w:firstLine="720"/>
        <w:jc w:val="both"/>
        <w:rPr>
          <w:lang w:eastAsia="lt-LT"/>
        </w:rPr>
      </w:pPr>
      <w:r w:rsidRPr="00C21A8B">
        <w:t>Tarnyba teikia rezultatus su atnaujintais sveikatos priežiūr</w:t>
      </w:r>
      <w:r>
        <w:t>os paslaugų įkainiais pagal 2026</w:t>
      </w:r>
      <w:r w:rsidRPr="00C21A8B">
        <w:t xml:space="preserve"> m. I</w:t>
      </w:r>
      <w:r>
        <w:t>I</w:t>
      </w:r>
      <w:r w:rsidRPr="00C21A8B">
        <w:t xml:space="preserve"> </w:t>
      </w:r>
      <w:r>
        <w:t xml:space="preserve">pusmečio kainas. KNA taikoma </w:t>
      </w:r>
      <w:r w:rsidRPr="00555D99">
        <w:rPr>
          <w:u w:val="single"/>
        </w:rPr>
        <w:t>daratumumabo kaina su PGS (</w:t>
      </w:r>
      <w:r w:rsidR="00F601FB">
        <w:rPr>
          <w:u w:val="single"/>
        </w:rPr>
        <w:t>******</w:t>
      </w:r>
      <w:r w:rsidRPr="00555D99">
        <w:rPr>
          <w:u w:val="single"/>
        </w:rPr>
        <w:t xml:space="preserve"> Eur., DVRd indikacijai). </w:t>
      </w:r>
      <w:r>
        <w:t xml:space="preserve">Karfilzomibo ir talidomido kainos KNA įtraukiamos konfidencialios (su PGS), teklistamabo kaina taikoma pagal centralizuotus pirkimus. </w:t>
      </w:r>
      <w:r w:rsidRPr="00CB26BC">
        <w:rPr>
          <w:rFonts w:eastAsia="Arial"/>
        </w:rPr>
        <w:t xml:space="preserve">Pacientų proporcija (proc.), kuriems taikoma </w:t>
      </w:r>
      <w:r w:rsidRPr="00CC1749">
        <w:t>autologinė kraujodaros kamieninių ląstelių transplantacija</w:t>
      </w:r>
      <w:r>
        <w:t xml:space="preserve"> Pareiškėjo KNA taikoma pagal stebėtą CASSIOPEIA ir </w:t>
      </w:r>
      <w:r w:rsidRPr="0051274A">
        <w:rPr>
          <w:lang w:eastAsia="lt-LT"/>
        </w:rPr>
        <w:t>PERSEUS</w:t>
      </w:r>
      <w:r>
        <w:rPr>
          <w:lang w:eastAsia="lt-LT"/>
        </w:rPr>
        <w:t xml:space="preserve"> klinikinių tyrimų metu. Po klausimų – atsakymų etapo, Pareiškėjo atnaujinta pagal VLK duomenis ir klinikinių ekspertų įžvalgas (iš 37,1 proc. – į 100 proc.). Tarnyba vadovaujasi ankstesnių vertinimų metu (aktualaus palyginamojo DVTd vertintos paraiškos) taikytų prielaidų tęstinumu ir </w:t>
      </w:r>
      <w:r w:rsidRPr="00CB26BC">
        <w:rPr>
          <w:rFonts w:eastAsia="Arial"/>
        </w:rPr>
        <w:t xml:space="preserve">pacientų proporcija (proc.), kuriems taikoma </w:t>
      </w:r>
      <w:r w:rsidRPr="00CC1749">
        <w:t>autologinė kraujodaros kamieninių ląstelių transplantacija</w:t>
      </w:r>
      <w:r>
        <w:t xml:space="preserve"> Tarnybos </w:t>
      </w:r>
      <w:r>
        <w:rPr>
          <w:lang w:eastAsia="lt-LT"/>
        </w:rPr>
        <w:t>KNA</w:t>
      </w:r>
      <w:r>
        <w:t xml:space="preserve"> yra taikoma vienoda (abiems tiriamosioms grupėms (100 proc.)). Sekančiame etape abiems gydymo grupėms – po 10 proc. (vienodai). Ekonominėje analizėje įtraukiami dozių (mg) praradimai dėl dozavimo pakuotėse (angl. </w:t>
      </w:r>
      <w:r w:rsidRPr="00CB26BC">
        <w:rPr>
          <w:i/>
        </w:rPr>
        <w:t>drug wastage included</w:t>
      </w:r>
      <w:r>
        <w:t>;); Tarnyba taip pat taiko pilną dozių intensyvumą (RDI</w:t>
      </w:r>
      <w:r w:rsidRPr="00CB26BC">
        <w:rPr>
          <w:lang w:val="en-US"/>
        </w:rPr>
        <w:t xml:space="preserve">=100 proc., </w:t>
      </w:r>
      <w:r>
        <w:t xml:space="preserve">angl.  </w:t>
      </w:r>
      <w:r w:rsidRPr="00CB26BC">
        <w:rPr>
          <w:i/>
        </w:rPr>
        <w:t>relative dose intensity, RDI</w:t>
      </w:r>
      <w:r>
        <w:t>); Tarnyba vertina, kad nėra aišku kiek klinikinio tyrimo duomenys atspindi realią Lietuvos klinikinę praktiką (nėra aišku ar visos gydymo įstaigos taiko pilną buteliukų dalijimą (angl. vial sharing) bei koks RDI), todėl analizėje taikomos 100 proc. suvartojimo prielaidos (</w:t>
      </w:r>
      <w:r w:rsidR="006E35C2">
        <w:t>konservatyviausias</w:t>
      </w:r>
      <w:r>
        <w:t xml:space="preserve"> scenarijus).</w:t>
      </w:r>
    </w:p>
    <w:p w14:paraId="0608974B" w14:textId="4C9C60C0" w:rsidR="00B3785C" w:rsidRPr="00B3785C" w:rsidRDefault="00B3785C" w:rsidP="00B3785C">
      <w:pPr>
        <w:spacing w:line="276" w:lineRule="auto"/>
        <w:ind w:firstLine="720"/>
        <w:jc w:val="both"/>
        <w:rPr>
          <w:color w:val="000000"/>
          <w:lang w:eastAsia="lt-LT"/>
        </w:rPr>
      </w:pPr>
      <w:r>
        <w:rPr>
          <w:rFonts w:eastAsia="Arial"/>
        </w:rPr>
        <w:t xml:space="preserve">Daratumumabą (Darzalex) skiriant pacientų, kuriems buvo pirmą kartą diagnozuota dauginė mieloma ir kuriems gali </w:t>
      </w:r>
      <w:r w:rsidRPr="002F5004">
        <w:rPr>
          <w:rFonts w:eastAsia="Arial"/>
        </w:rPr>
        <w:t xml:space="preserve">būti paskirta </w:t>
      </w:r>
      <w:r w:rsidRPr="002F5004">
        <w:t>autologinė kraujodaros kamieninių ląstelių transplantacija, gydymui, viso gyvenimo laiko perspektyvoje iki 100 m.,</w:t>
      </w:r>
      <w:r>
        <w:t xml:space="preserve"> (vidutinis pacientų amžius 58.4</w:t>
      </w:r>
      <w:r w:rsidRPr="002F5004">
        <w:t xml:space="preserve"> m.) yra papildomai laimima </w:t>
      </w:r>
      <w:r w:rsidR="00F601FB">
        <w:t>***</w:t>
      </w:r>
      <w:r w:rsidRPr="002F5004">
        <w:t xml:space="preserve"> QALY lyginant su standartiniu gydymu, o gydymo daratumumabu kaštai yra </w:t>
      </w:r>
      <w:r w:rsidR="00F601FB">
        <w:t>******</w:t>
      </w:r>
      <w:r w:rsidRPr="002F5004">
        <w:t xml:space="preserve"> Eur. didesni nei standartinio šiuo metu Lietuvoje taikomo gydymo</w:t>
      </w:r>
      <w:r>
        <w:t xml:space="preserve"> (DVTd)</w:t>
      </w:r>
      <w:r w:rsidRPr="002F5004">
        <w:t xml:space="preserve">. Apskaičiuotas ICER koeficientas </w:t>
      </w:r>
      <w:r>
        <w:t>–</w:t>
      </w:r>
      <w:r w:rsidRPr="002F5004">
        <w:t xml:space="preserve"> </w:t>
      </w:r>
      <w:r w:rsidR="00F601FB">
        <w:t>*****</w:t>
      </w:r>
      <w:r>
        <w:t xml:space="preserve"> </w:t>
      </w:r>
      <w:r w:rsidRPr="002F5004">
        <w:rPr>
          <w:color w:val="000000"/>
        </w:rPr>
        <w:t>Eur./QALY</w:t>
      </w:r>
      <w:r>
        <w:rPr>
          <w:color w:val="000000"/>
          <w:lang w:eastAsia="lt-LT"/>
        </w:rPr>
        <w:t xml:space="preserve"> ir neatitinka lengvai ligos naštai taikomą referencinę kaštų naudingumo vertę.</w:t>
      </w:r>
    </w:p>
    <w:p w14:paraId="1A900598" w14:textId="4826E5DF" w:rsidR="00C62B36" w:rsidRPr="00B3785C" w:rsidRDefault="00C62B36" w:rsidP="00B3785C">
      <w:pPr>
        <w:tabs>
          <w:tab w:val="left" w:pos="426"/>
        </w:tabs>
        <w:jc w:val="center"/>
        <w:rPr>
          <w:b/>
          <w:bCs/>
          <w:caps/>
        </w:rPr>
      </w:pPr>
    </w:p>
    <w:p w14:paraId="174D84D7" w14:textId="09C7BC2B" w:rsidR="0035172D" w:rsidRPr="00B3785C" w:rsidRDefault="00164D64" w:rsidP="00B3785C">
      <w:pPr>
        <w:tabs>
          <w:tab w:val="left" w:pos="426"/>
        </w:tabs>
        <w:jc w:val="center"/>
        <w:rPr>
          <w:b/>
          <w:lang w:eastAsia="lt-LT"/>
        </w:rPr>
      </w:pPr>
      <w:r w:rsidRPr="00B3785C">
        <w:rPr>
          <w:b/>
          <w:lang w:eastAsia="lt-LT"/>
        </w:rPr>
        <w:t xml:space="preserve">3.1 </w:t>
      </w:r>
      <w:r w:rsidR="0035172D" w:rsidRPr="00B3785C">
        <w:rPr>
          <w:b/>
          <w:lang w:eastAsia="lt-LT"/>
        </w:rPr>
        <w:t>Ekonominės analizės rezultatas</w:t>
      </w:r>
    </w:p>
    <w:p w14:paraId="4801D227" w14:textId="77777777" w:rsidR="009E44AE" w:rsidRPr="00B3785C" w:rsidRDefault="009E44AE" w:rsidP="00A93AA6">
      <w:pPr>
        <w:tabs>
          <w:tab w:val="left" w:pos="426"/>
        </w:tabs>
        <w:rPr>
          <w:b/>
          <w:lang w:eastAsia="lt-LT"/>
        </w:rPr>
      </w:pPr>
    </w:p>
    <w:tbl>
      <w:tblPr>
        <w:tblStyle w:val="Lentelstinklelis1"/>
        <w:tblW w:w="943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00"/>
        <w:gridCol w:w="3239"/>
      </w:tblGrid>
      <w:tr w:rsidR="00334F18" w:rsidRPr="00B3785C" w14:paraId="42D6C843" w14:textId="77777777" w:rsidTr="00BE7489">
        <w:trPr>
          <w:trHeight w:val="344"/>
          <w:jc w:val="center"/>
        </w:trPr>
        <w:tc>
          <w:tcPr>
            <w:tcW w:w="9439" w:type="dxa"/>
            <w:gridSpan w:val="2"/>
            <w:tcBorders>
              <w:top w:val="single" w:sz="12" w:space="0" w:color="auto"/>
              <w:left w:val="single" w:sz="4" w:space="0" w:color="auto"/>
              <w:right w:val="single" w:sz="4" w:space="0" w:color="auto"/>
            </w:tcBorders>
            <w:vAlign w:val="center"/>
          </w:tcPr>
          <w:p w14:paraId="39FD3B40" w14:textId="77777777" w:rsidR="009E44AE" w:rsidRPr="00B3785C" w:rsidRDefault="009E44AE" w:rsidP="009E44AE">
            <w:pPr>
              <w:tabs>
                <w:tab w:val="left" w:pos="567"/>
              </w:tabs>
              <w:jc w:val="center"/>
              <w:rPr>
                <w:b/>
                <w:bCs/>
                <w:sz w:val="26"/>
                <w:szCs w:val="26"/>
                <w:lang w:eastAsia="lt-LT"/>
              </w:rPr>
            </w:pPr>
            <w:r w:rsidRPr="00B3785C">
              <w:rPr>
                <w:b/>
                <w:bCs/>
                <w:sz w:val="26"/>
                <w:szCs w:val="26"/>
                <w:lang w:eastAsia="lt-LT"/>
              </w:rPr>
              <w:t>Rezultatai</w:t>
            </w:r>
          </w:p>
        </w:tc>
      </w:tr>
      <w:tr w:rsidR="00334F18" w:rsidRPr="00B3785C" w14:paraId="319AF392" w14:textId="77777777" w:rsidTr="00B3785C">
        <w:trPr>
          <w:trHeight w:val="267"/>
          <w:jc w:val="center"/>
        </w:trPr>
        <w:tc>
          <w:tcPr>
            <w:tcW w:w="6200" w:type="dxa"/>
            <w:tcBorders>
              <w:left w:val="single" w:sz="4" w:space="0" w:color="auto"/>
            </w:tcBorders>
          </w:tcPr>
          <w:p w14:paraId="44CD8D27" w14:textId="27245A0B" w:rsidR="00BA5DBC" w:rsidRPr="00B3785C" w:rsidRDefault="00BA5DBC" w:rsidP="00BA5DBC">
            <w:pPr>
              <w:tabs>
                <w:tab w:val="left" w:pos="567"/>
              </w:tabs>
              <w:jc w:val="right"/>
              <w:rPr>
                <w:iCs/>
                <w:lang w:eastAsia="lt-LT"/>
              </w:rPr>
            </w:pPr>
            <w:r w:rsidRPr="00B3785C">
              <w:rPr>
                <w:iCs/>
                <w:lang w:eastAsia="lt-LT"/>
              </w:rPr>
              <w:t>Kaštų skirtumas</w:t>
            </w:r>
          </w:p>
        </w:tc>
        <w:tc>
          <w:tcPr>
            <w:tcW w:w="3239" w:type="dxa"/>
            <w:tcBorders>
              <w:right w:val="single" w:sz="4" w:space="0" w:color="auto"/>
            </w:tcBorders>
          </w:tcPr>
          <w:p w14:paraId="1CACF0B4" w14:textId="6284D8B4" w:rsidR="00BA5DBC" w:rsidRPr="003B53FF" w:rsidRDefault="00F601FB" w:rsidP="003B53FF">
            <w:pPr>
              <w:tabs>
                <w:tab w:val="left" w:pos="567"/>
              </w:tabs>
              <w:jc w:val="both"/>
              <w:rPr>
                <w:i/>
                <w:iCs/>
                <w:lang w:eastAsia="lt-LT"/>
              </w:rPr>
            </w:pPr>
            <w:r>
              <w:rPr>
                <w:color w:val="000000"/>
              </w:rPr>
              <w:t>******</w:t>
            </w:r>
          </w:p>
        </w:tc>
      </w:tr>
      <w:tr w:rsidR="00334F18" w:rsidRPr="00B3785C" w14:paraId="49F818A3" w14:textId="77777777" w:rsidTr="00B3785C">
        <w:trPr>
          <w:trHeight w:val="267"/>
          <w:jc w:val="center"/>
        </w:trPr>
        <w:tc>
          <w:tcPr>
            <w:tcW w:w="6200" w:type="dxa"/>
            <w:tcBorders>
              <w:left w:val="single" w:sz="4" w:space="0" w:color="auto"/>
            </w:tcBorders>
          </w:tcPr>
          <w:p w14:paraId="021DB925" w14:textId="389F1BF5" w:rsidR="00BA5DBC" w:rsidRPr="00B3785C" w:rsidRDefault="00BA5DBC" w:rsidP="00BA5DBC">
            <w:pPr>
              <w:tabs>
                <w:tab w:val="left" w:pos="567"/>
              </w:tabs>
              <w:jc w:val="right"/>
              <w:rPr>
                <w:iCs/>
                <w:lang w:eastAsia="lt-LT"/>
              </w:rPr>
            </w:pPr>
            <w:r w:rsidRPr="00B3785C">
              <w:rPr>
                <w:iCs/>
                <w:lang w:eastAsia="lt-LT"/>
              </w:rPr>
              <w:t>Papildomi gyvenimo metai (LY)</w:t>
            </w:r>
          </w:p>
        </w:tc>
        <w:tc>
          <w:tcPr>
            <w:tcW w:w="3239" w:type="dxa"/>
            <w:tcBorders>
              <w:right w:val="single" w:sz="4" w:space="0" w:color="auto"/>
            </w:tcBorders>
          </w:tcPr>
          <w:p w14:paraId="4954817B" w14:textId="5E8904A3" w:rsidR="00BA5DBC" w:rsidRPr="00B3785C" w:rsidRDefault="00F601FB" w:rsidP="00BA5DBC">
            <w:pPr>
              <w:tabs>
                <w:tab w:val="left" w:pos="567"/>
              </w:tabs>
              <w:jc w:val="both"/>
              <w:rPr>
                <w:i/>
                <w:iCs/>
                <w:lang w:eastAsia="lt-LT"/>
              </w:rPr>
            </w:pPr>
            <w:r>
              <w:rPr>
                <w:lang w:eastAsia="lt-LT"/>
              </w:rPr>
              <w:t>***</w:t>
            </w:r>
          </w:p>
        </w:tc>
      </w:tr>
      <w:tr w:rsidR="00334F18" w:rsidRPr="00B3785C" w14:paraId="20ADA742" w14:textId="77777777" w:rsidTr="00B3785C">
        <w:trPr>
          <w:trHeight w:val="267"/>
          <w:jc w:val="center"/>
        </w:trPr>
        <w:tc>
          <w:tcPr>
            <w:tcW w:w="6200" w:type="dxa"/>
            <w:tcBorders>
              <w:left w:val="single" w:sz="4" w:space="0" w:color="auto"/>
            </w:tcBorders>
          </w:tcPr>
          <w:p w14:paraId="0F567576" w14:textId="2606A2E9" w:rsidR="00BA5DBC" w:rsidRPr="00B3785C" w:rsidRDefault="0058712F" w:rsidP="00BA5DBC">
            <w:pPr>
              <w:tabs>
                <w:tab w:val="left" w:pos="567"/>
              </w:tabs>
              <w:jc w:val="right"/>
              <w:rPr>
                <w:iCs/>
                <w:lang w:eastAsia="lt-LT"/>
              </w:rPr>
            </w:pPr>
            <w:r w:rsidRPr="00B3785C">
              <w:rPr>
                <w:iCs/>
                <w:lang w:eastAsia="lt-LT"/>
              </w:rPr>
              <w:t>Papildomi k</w:t>
            </w:r>
            <w:r w:rsidR="00BA5DBC" w:rsidRPr="00B3785C">
              <w:rPr>
                <w:iCs/>
                <w:lang w:eastAsia="lt-LT"/>
              </w:rPr>
              <w:t>okybiški gyvenimo metai (QALY)</w:t>
            </w:r>
          </w:p>
        </w:tc>
        <w:tc>
          <w:tcPr>
            <w:tcW w:w="3239" w:type="dxa"/>
            <w:tcBorders>
              <w:right w:val="single" w:sz="4" w:space="0" w:color="auto"/>
            </w:tcBorders>
          </w:tcPr>
          <w:p w14:paraId="02E4DAE1" w14:textId="062241F0" w:rsidR="00BA5DBC" w:rsidRPr="00B3785C" w:rsidRDefault="00F601FB" w:rsidP="00BA5DBC">
            <w:pPr>
              <w:tabs>
                <w:tab w:val="left" w:pos="567"/>
              </w:tabs>
              <w:jc w:val="both"/>
              <w:rPr>
                <w:i/>
                <w:iCs/>
                <w:lang w:eastAsia="lt-LT"/>
              </w:rPr>
            </w:pPr>
            <w:r>
              <w:rPr>
                <w:lang w:eastAsia="lt-LT"/>
              </w:rPr>
              <w:t>***</w:t>
            </w:r>
          </w:p>
        </w:tc>
      </w:tr>
      <w:tr w:rsidR="003B53FF" w:rsidRPr="00B3785C" w14:paraId="1FADA2B3" w14:textId="77777777" w:rsidTr="00B3785C">
        <w:trPr>
          <w:trHeight w:val="267"/>
          <w:jc w:val="center"/>
        </w:trPr>
        <w:tc>
          <w:tcPr>
            <w:tcW w:w="6200" w:type="dxa"/>
            <w:tcBorders>
              <w:left w:val="single" w:sz="4" w:space="0" w:color="auto"/>
            </w:tcBorders>
          </w:tcPr>
          <w:p w14:paraId="13E089E8" w14:textId="0BCEB339" w:rsidR="003B53FF" w:rsidRPr="00B3785C" w:rsidRDefault="003B53FF" w:rsidP="003B53FF">
            <w:pPr>
              <w:tabs>
                <w:tab w:val="left" w:pos="567"/>
              </w:tabs>
              <w:jc w:val="right"/>
              <w:rPr>
                <w:iCs/>
                <w:lang w:eastAsia="lt-LT"/>
              </w:rPr>
            </w:pPr>
            <w:r w:rsidRPr="00B3785C">
              <w:rPr>
                <w:iCs/>
                <w:lang w:eastAsia="lt-LT"/>
              </w:rPr>
              <w:t>ICER už LY</w:t>
            </w:r>
          </w:p>
        </w:tc>
        <w:tc>
          <w:tcPr>
            <w:tcW w:w="3239" w:type="dxa"/>
            <w:tcBorders>
              <w:right w:val="single" w:sz="4" w:space="0" w:color="auto"/>
            </w:tcBorders>
          </w:tcPr>
          <w:p w14:paraId="2817448D" w14:textId="4FECB2A4" w:rsidR="003B53FF" w:rsidRPr="00B3785C" w:rsidRDefault="00F601FB" w:rsidP="003B53FF">
            <w:pPr>
              <w:tabs>
                <w:tab w:val="left" w:pos="567"/>
              </w:tabs>
              <w:jc w:val="both"/>
              <w:rPr>
                <w:i/>
                <w:iCs/>
                <w:lang w:eastAsia="lt-LT"/>
              </w:rPr>
            </w:pPr>
            <w:r>
              <w:rPr>
                <w:color w:val="000000"/>
              </w:rPr>
              <w:t>*****</w:t>
            </w:r>
          </w:p>
        </w:tc>
      </w:tr>
      <w:tr w:rsidR="003B53FF" w:rsidRPr="00B3785C" w14:paraId="250DE960" w14:textId="77777777" w:rsidTr="00B3785C">
        <w:trPr>
          <w:trHeight w:val="267"/>
          <w:jc w:val="center"/>
        </w:trPr>
        <w:tc>
          <w:tcPr>
            <w:tcW w:w="6200" w:type="dxa"/>
            <w:tcBorders>
              <w:left w:val="single" w:sz="4" w:space="0" w:color="auto"/>
            </w:tcBorders>
          </w:tcPr>
          <w:p w14:paraId="207EFB23" w14:textId="77777777" w:rsidR="003B53FF" w:rsidRPr="00B3785C" w:rsidRDefault="003B53FF" w:rsidP="003B53FF">
            <w:pPr>
              <w:tabs>
                <w:tab w:val="left" w:pos="567"/>
              </w:tabs>
              <w:jc w:val="right"/>
              <w:rPr>
                <w:b/>
                <w:iCs/>
                <w:lang w:eastAsia="lt-LT"/>
              </w:rPr>
            </w:pPr>
            <w:r w:rsidRPr="00B3785C">
              <w:rPr>
                <w:b/>
                <w:iCs/>
                <w:lang w:eastAsia="lt-LT"/>
              </w:rPr>
              <w:lastRenderedPageBreak/>
              <w:t>ICER už QALY</w:t>
            </w:r>
          </w:p>
        </w:tc>
        <w:tc>
          <w:tcPr>
            <w:tcW w:w="3239" w:type="dxa"/>
            <w:tcBorders>
              <w:right w:val="single" w:sz="4" w:space="0" w:color="auto"/>
            </w:tcBorders>
          </w:tcPr>
          <w:p w14:paraId="4275320D" w14:textId="32DE0290" w:rsidR="003B53FF" w:rsidRPr="00B3785C" w:rsidRDefault="00F601FB" w:rsidP="003B53FF">
            <w:pPr>
              <w:tabs>
                <w:tab w:val="left" w:pos="567"/>
              </w:tabs>
              <w:jc w:val="both"/>
              <w:rPr>
                <w:i/>
                <w:iCs/>
                <w:lang w:eastAsia="lt-LT"/>
              </w:rPr>
            </w:pPr>
            <w:r>
              <w:rPr>
                <w:i/>
                <w:iCs/>
              </w:rPr>
              <w:t>*****</w:t>
            </w:r>
            <w:r w:rsidR="00056B8F">
              <w:rPr>
                <w:i/>
                <w:iCs/>
              </w:rPr>
              <w:t>*</w:t>
            </w:r>
          </w:p>
        </w:tc>
      </w:tr>
      <w:tr w:rsidR="003B53FF" w:rsidRPr="00B3785C" w14:paraId="2C4C68BA" w14:textId="77777777" w:rsidTr="00B3785C">
        <w:trPr>
          <w:trHeight w:val="267"/>
          <w:jc w:val="center"/>
        </w:trPr>
        <w:tc>
          <w:tcPr>
            <w:tcW w:w="6200" w:type="dxa"/>
            <w:tcBorders>
              <w:left w:val="single" w:sz="4" w:space="0" w:color="auto"/>
              <w:bottom w:val="single" w:sz="4" w:space="0" w:color="auto"/>
              <w:right w:val="single" w:sz="4" w:space="0" w:color="auto"/>
            </w:tcBorders>
          </w:tcPr>
          <w:p w14:paraId="21BEDABF" w14:textId="3471AFB3" w:rsidR="003B53FF" w:rsidRPr="00B3785C" w:rsidRDefault="003B53FF" w:rsidP="003B53FF">
            <w:pPr>
              <w:tabs>
                <w:tab w:val="left" w:pos="567"/>
              </w:tabs>
              <w:jc w:val="right"/>
              <w:rPr>
                <w:b/>
                <w:i/>
                <w:iCs/>
                <w:lang w:eastAsia="lt-LT"/>
              </w:rPr>
            </w:pPr>
            <w:r w:rsidRPr="00B3785C">
              <w:rPr>
                <w:b/>
                <w:i/>
                <w:iCs/>
                <w:lang w:eastAsia="lt-LT"/>
              </w:rPr>
              <w:t>Referencinė kaštų naudingumo vertė</w:t>
            </w:r>
          </w:p>
        </w:tc>
        <w:tc>
          <w:tcPr>
            <w:tcW w:w="3239" w:type="dxa"/>
            <w:tcBorders>
              <w:left w:val="single" w:sz="4" w:space="0" w:color="auto"/>
              <w:bottom w:val="single" w:sz="4" w:space="0" w:color="auto"/>
              <w:right w:val="single" w:sz="4" w:space="0" w:color="auto"/>
            </w:tcBorders>
          </w:tcPr>
          <w:p w14:paraId="31DAA72E" w14:textId="19DF9EDB" w:rsidR="003B53FF" w:rsidRPr="00B3785C" w:rsidRDefault="00F601FB" w:rsidP="003B53FF">
            <w:pPr>
              <w:tabs>
                <w:tab w:val="left" w:pos="567"/>
              </w:tabs>
              <w:jc w:val="both"/>
              <w:rPr>
                <w:i/>
                <w:iCs/>
                <w:lang w:eastAsia="lt-LT"/>
              </w:rPr>
            </w:pPr>
            <w:r>
              <w:rPr>
                <w:b/>
                <w:i/>
              </w:rPr>
              <w:t>*****</w:t>
            </w:r>
            <w:r w:rsidR="00056B8F">
              <w:rPr>
                <w:b/>
                <w:i/>
              </w:rPr>
              <w:t>*</w:t>
            </w:r>
            <w:r w:rsidR="003B53FF" w:rsidRPr="008F1BB5">
              <w:rPr>
                <w:b/>
                <w:i/>
              </w:rPr>
              <w:t xml:space="preserve"> </w:t>
            </w:r>
            <w:r w:rsidR="003B53FF" w:rsidRPr="008F1BB5">
              <w:rPr>
                <w:b/>
                <w:i/>
                <w:iCs/>
                <w:lang w:eastAsia="lt-LT"/>
              </w:rPr>
              <w:t>Eur.</w:t>
            </w:r>
          </w:p>
        </w:tc>
      </w:tr>
    </w:tbl>
    <w:p w14:paraId="5FC8C737" w14:textId="4136B7F4" w:rsidR="0035172D" w:rsidRPr="009E3F81" w:rsidRDefault="00E5102E" w:rsidP="0035172D">
      <w:pPr>
        <w:tabs>
          <w:tab w:val="left" w:pos="567"/>
        </w:tabs>
        <w:jc w:val="both"/>
        <w:rPr>
          <w:iCs/>
          <w:sz w:val="20"/>
          <w:lang w:eastAsia="lt-LT"/>
        </w:rPr>
      </w:pPr>
      <w:r w:rsidRPr="00B3785C">
        <w:rPr>
          <w:iCs/>
          <w:sz w:val="20"/>
          <w:lang w:eastAsia="lt-LT"/>
        </w:rPr>
        <w:t xml:space="preserve">ICER </w:t>
      </w:r>
      <w:r w:rsidR="00453862" w:rsidRPr="00B3785C">
        <w:rPr>
          <w:iCs/>
          <w:sz w:val="20"/>
          <w:lang w:eastAsia="lt-LT"/>
        </w:rPr>
        <w:t>– (</w:t>
      </w:r>
      <w:r w:rsidR="00453862" w:rsidRPr="00B3785C">
        <w:rPr>
          <w:i/>
          <w:sz w:val="20"/>
          <w:lang w:eastAsia="lt-LT"/>
        </w:rPr>
        <w:t>angl. incremental cost-effectiveness ratio</w:t>
      </w:r>
      <w:r w:rsidR="00453862" w:rsidRPr="00B3785C">
        <w:rPr>
          <w:iCs/>
          <w:sz w:val="20"/>
          <w:lang w:eastAsia="lt-LT"/>
        </w:rPr>
        <w:t>) inkrementinis kaštų naudingumo koeficientas</w:t>
      </w:r>
      <w:r w:rsidRPr="00B3785C">
        <w:rPr>
          <w:iCs/>
          <w:sz w:val="20"/>
          <w:lang w:eastAsia="lt-LT"/>
        </w:rPr>
        <w:t>; LY –</w:t>
      </w:r>
      <w:r w:rsidR="00453862" w:rsidRPr="00B3785C">
        <w:rPr>
          <w:iCs/>
          <w:sz w:val="20"/>
          <w:lang w:eastAsia="lt-LT"/>
        </w:rPr>
        <w:t xml:space="preserve"> (</w:t>
      </w:r>
      <w:r w:rsidR="00453862" w:rsidRPr="00B3785C">
        <w:rPr>
          <w:i/>
          <w:sz w:val="20"/>
          <w:lang w:eastAsia="lt-LT"/>
        </w:rPr>
        <w:t>angl. life years</w:t>
      </w:r>
      <w:r w:rsidR="00453862" w:rsidRPr="00B3785C">
        <w:rPr>
          <w:iCs/>
          <w:sz w:val="20"/>
          <w:lang w:eastAsia="lt-LT"/>
        </w:rPr>
        <w:t>) gyvenimo metai</w:t>
      </w:r>
      <w:r w:rsidRPr="00B3785C">
        <w:rPr>
          <w:iCs/>
          <w:sz w:val="20"/>
          <w:lang w:eastAsia="lt-LT"/>
        </w:rPr>
        <w:t xml:space="preserve">; QALY- </w:t>
      </w:r>
      <w:r w:rsidR="00453862" w:rsidRPr="00B3785C">
        <w:rPr>
          <w:iCs/>
          <w:sz w:val="20"/>
          <w:lang w:eastAsia="lt-LT"/>
        </w:rPr>
        <w:t>(</w:t>
      </w:r>
      <w:r w:rsidR="00453862" w:rsidRPr="00B3785C">
        <w:rPr>
          <w:i/>
          <w:sz w:val="20"/>
          <w:lang w:eastAsia="lt-LT"/>
        </w:rPr>
        <w:t xml:space="preserve">angl. quality adjusted life years) </w:t>
      </w:r>
      <w:r w:rsidR="00453862" w:rsidRPr="00B3785C">
        <w:rPr>
          <w:iCs/>
          <w:sz w:val="20"/>
          <w:lang w:eastAsia="lt-LT"/>
        </w:rPr>
        <w:t>kokybiški gyvenimo metai.</w:t>
      </w:r>
    </w:p>
    <w:p w14:paraId="33875138" w14:textId="2D759F4B" w:rsidR="0035172D" w:rsidRDefault="0035172D" w:rsidP="00A93AA6">
      <w:pPr>
        <w:tabs>
          <w:tab w:val="left" w:pos="426"/>
        </w:tabs>
        <w:rPr>
          <w:b/>
          <w:bCs/>
          <w:caps/>
        </w:rPr>
      </w:pPr>
    </w:p>
    <w:p w14:paraId="7F7C1226" w14:textId="0F70D310" w:rsidR="00B3785C" w:rsidRDefault="00B3785C" w:rsidP="00B3785C">
      <w:pPr>
        <w:spacing w:line="276" w:lineRule="auto"/>
        <w:ind w:firstLine="720"/>
        <w:jc w:val="both"/>
        <w:rPr>
          <w:lang w:eastAsia="lt-LT"/>
        </w:rPr>
      </w:pPr>
      <w:r>
        <w:rPr>
          <w:lang w:eastAsia="lt-LT"/>
        </w:rPr>
        <w:t xml:space="preserve">Paminėtina, kad JA </w:t>
      </w:r>
      <w:r w:rsidRPr="00D62E0E">
        <w:rPr>
          <w:lang w:eastAsia="lt-LT"/>
        </w:rPr>
        <w:t>rezultatai riboti, kadangi apskaičiuotas ICER neatitinka lengvai ligos naštai taikomos referencinės kaštų naudingumo vertės ir visais atvejais viršija lengvai ligos naštai taikomą referencin</w:t>
      </w:r>
      <w:r w:rsidR="00990185">
        <w:rPr>
          <w:lang w:eastAsia="lt-LT"/>
        </w:rPr>
        <w:t>ę</w:t>
      </w:r>
      <w:r w:rsidRPr="00D62E0E">
        <w:rPr>
          <w:lang w:eastAsia="lt-LT"/>
        </w:rPr>
        <w:t xml:space="preserve"> kaštų naudingumo vertę. Tarnyba papildomai atliko atnaujintą scenarijų analizę, keičiant duomenų ekstrapoliacijai taikomas prielaidas, gyvenimo kokybės įverčių šaltinius, neįraukiant sekančių eilių gydymo ir kt. scenarijus, visais atvejais apskaičiuotas ICER viršija lengvai ligos naštai taikomą referencinę kaštų naudingumo vertę (&gt;</w:t>
      </w:r>
      <w:r w:rsidR="00056B8F">
        <w:rPr>
          <w:lang w:eastAsia="lt-LT"/>
        </w:rPr>
        <w:t>*****</w:t>
      </w:r>
      <w:r w:rsidRPr="00D62E0E">
        <w:rPr>
          <w:lang w:eastAsia="lt-LT"/>
        </w:rPr>
        <w:t xml:space="preserve"> Eur.) ir didžiausius KNA neapibrėžtumus lemia ilgalaikių klinikinių duomenų trūkumas ir duomenų ekstrapoliacijai</w:t>
      </w:r>
      <w:r>
        <w:rPr>
          <w:lang w:eastAsia="lt-LT"/>
        </w:rPr>
        <w:t xml:space="preserve"> taikomos prielaidos (ICER didėja </w:t>
      </w:r>
      <w:r w:rsidR="00056B8F">
        <w:rPr>
          <w:lang w:eastAsia="lt-LT"/>
        </w:rPr>
        <w:t>**</w:t>
      </w:r>
      <w:r>
        <w:rPr>
          <w:lang w:eastAsia="lt-LT"/>
        </w:rPr>
        <w:t xml:space="preserve"> k.).</w:t>
      </w:r>
    </w:p>
    <w:p w14:paraId="146CB9DE" w14:textId="6133CF63" w:rsidR="00B3785C" w:rsidRDefault="003B53FF" w:rsidP="003B53FF">
      <w:pPr>
        <w:spacing w:line="276" w:lineRule="auto"/>
        <w:ind w:firstLine="720"/>
        <w:jc w:val="both"/>
        <w:rPr>
          <w:color w:val="000000"/>
          <w:lang w:eastAsia="lt-LT"/>
        </w:rPr>
      </w:pPr>
      <w:r w:rsidRPr="0003681B">
        <w:rPr>
          <w:i/>
        </w:rPr>
        <w:t>Siekiant, kad apskaičiuotas galutinis ekonominės analizės rezultatas (ICER) atitiktų lengvai ligos naštai taikomą referencinę kaštų naudingumo vertę (&lt;</w:t>
      </w:r>
      <w:r w:rsidR="00056B8F">
        <w:rPr>
          <w:i/>
          <w:color w:val="000000"/>
          <w:lang w:eastAsia="lt-LT"/>
        </w:rPr>
        <w:t>*****</w:t>
      </w:r>
      <w:r w:rsidRPr="0003681B">
        <w:rPr>
          <w:i/>
          <w:color w:val="000000"/>
          <w:lang w:eastAsia="lt-LT"/>
        </w:rPr>
        <w:t xml:space="preserve"> Eur.)</w:t>
      </w:r>
      <w:r w:rsidRPr="0003681B">
        <w:rPr>
          <w:i/>
        </w:rPr>
        <w:t>, daratumumabo (Darzalex) bazinę kainą su PGS (pirminė paraiškoje taikoma PGS kaina -</w:t>
      </w:r>
      <w:r w:rsidRPr="0003681B">
        <w:t xml:space="preserve"> </w:t>
      </w:r>
      <w:r w:rsidR="00056B8F">
        <w:rPr>
          <w:i/>
        </w:rPr>
        <w:t>******</w:t>
      </w:r>
      <w:r w:rsidRPr="0003681B">
        <w:rPr>
          <w:i/>
        </w:rPr>
        <w:t xml:space="preserve"> Eur DVRd indikacijai) reikalinga sumažinti ~</w:t>
      </w:r>
      <w:r w:rsidR="00056B8F">
        <w:rPr>
          <w:i/>
        </w:rPr>
        <w:t>**</w:t>
      </w:r>
      <w:r w:rsidRPr="0003681B">
        <w:rPr>
          <w:i/>
        </w:rPr>
        <w:t xml:space="preserve"> proc., kad galutinė faktinė bazinė Darzalex pakuotės Lietuvai taikoma kaina būtų </w:t>
      </w:r>
      <w:r w:rsidR="00056B8F">
        <w:rPr>
          <w:i/>
        </w:rPr>
        <w:t>*****</w:t>
      </w:r>
      <w:r w:rsidRPr="0003681B">
        <w:rPr>
          <w:i/>
        </w:rPr>
        <w:t xml:space="preserve"> Eur</w:t>
      </w:r>
      <w:r>
        <w:rPr>
          <w:color w:val="000000"/>
          <w:lang w:eastAsia="lt-LT"/>
        </w:rPr>
        <w:t>.</w:t>
      </w:r>
    </w:p>
    <w:p w14:paraId="7D8C53EC" w14:textId="77777777" w:rsidR="00990185" w:rsidRPr="003B53FF" w:rsidRDefault="00990185" w:rsidP="003B53FF">
      <w:pPr>
        <w:spacing w:line="276" w:lineRule="auto"/>
        <w:ind w:firstLine="720"/>
        <w:jc w:val="both"/>
        <w:rPr>
          <w:color w:val="000000"/>
          <w:lang w:eastAsia="lt-LT"/>
        </w:rPr>
      </w:pPr>
    </w:p>
    <w:p w14:paraId="4FC424F9" w14:textId="4E767245" w:rsidR="00C62B36" w:rsidRPr="009E3F81" w:rsidRDefault="00C62B36" w:rsidP="00CC09D4">
      <w:pPr>
        <w:pStyle w:val="Sraopastraipa"/>
        <w:numPr>
          <w:ilvl w:val="0"/>
          <w:numId w:val="12"/>
        </w:numPr>
        <w:tabs>
          <w:tab w:val="left" w:pos="567"/>
        </w:tabs>
        <w:ind w:hanging="720"/>
        <w:rPr>
          <w:b/>
          <w:bCs/>
          <w:caps/>
        </w:rPr>
      </w:pPr>
      <w:r w:rsidRPr="009E3F81">
        <w:rPr>
          <w:b/>
          <w:bCs/>
          <w:caps/>
        </w:rPr>
        <w:t xml:space="preserve">Pacientų organizacijų pateikti duomenys </w:t>
      </w:r>
    </w:p>
    <w:p w14:paraId="54351841" w14:textId="77777777" w:rsidR="00C9728E" w:rsidRPr="009E3F81" w:rsidRDefault="00C9728E" w:rsidP="00C9728E">
      <w:pPr>
        <w:pStyle w:val="Sraopastraipa"/>
        <w:tabs>
          <w:tab w:val="left" w:pos="567"/>
        </w:tabs>
        <w:rPr>
          <w:b/>
          <w:bCs/>
          <w:caps/>
        </w:rPr>
      </w:pPr>
    </w:p>
    <w:p w14:paraId="62992180" w14:textId="70AF6969" w:rsidR="00937907" w:rsidRPr="009E3F81" w:rsidRDefault="00937907" w:rsidP="00937907">
      <w:pPr>
        <w:spacing w:after="120"/>
        <w:jc w:val="both"/>
      </w:pPr>
      <w:r w:rsidRPr="009E3F81">
        <w:t xml:space="preserve">Pacientų organizacijos pozicija </w:t>
      </w:r>
      <w:r w:rsidR="00880A44" w:rsidRPr="009E3F81">
        <w:t>ne</w:t>
      </w:r>
      <w:r w:rsidRPr="009E3F81">
        <w:t>pateikta</w:t>
      </w:r>
      <w:r w:rsidR="009E3F81" w:rsidRPr="009E3F81">
        <w:t>.</w:t>
      </w:r>
    </w:p>
    <w:p w14:paraId="03E73D82" w14:textId="77777777" w:rsidR="00D417D2" w:rsidRPr="009E3F81" w:rsidRDefault="00D417D2" w:rsidP="00937907">
      <w:pPr>
        <w:spacing w:after="120"/>
        <w:jc w:val="both"/>
      </w:pPr>
    </w:p>
    <w:p w14:paraId="3D3277FA" w14:textId="09414FFF" w:rsidR="00C62B36" w:rsidRPr="009E3F81" w:rsidRDefault="00D67BAF" w:rsidP="00CC09D4">
      <w:pPr>
        <w:pStyle w:val="Sraopastraipa"/>
        <w:numPr>
          <w:ilvl w:val="0"/>
          <w:numId w:val="12"/>
        </w:numPr>
        <w:tabs>
          <w:tab w:val="left" w:pos="567"/>
        </w:tabs>
        <w:ind w:hanging="720"/>
        <w:rPr>
          <w:b/>
          <w:bCs/>
          <w:caps/>
        </w:rPr>
      </w:pPr>
      <w:r w:rsidRPr="009E3F81">
        <w:rPr>
          <w:b/>
          <w:bCs/>
          <w:caps/>
        </w:rPr>
        <w:t xml:space="preserve">SVEIKATOS PRIEŽIŪROS SPECIALISTŲ </w:t>
      </w:r>
      <w:r w:rsidR="00C62B36" w:rsidRPr="009E3F81">
        <w:rPr>
          <w:b/>
          <w:bCs/>
          <w:caps/>
        </w:rPr>
        <w:t xml:space="preserve"> organizacijų pateikti duomenys</w:t>
      </w:r>
    </w:p>
    <w:p w14:paraId="044D5084" w14:textId="77777777" w:rsidR="00C9728E" w:rsidRPr="009E3F81" w:rsidRDefault="00C9728E" w:rsidP="00C9728E">
      <w:pPr>
        <w:pStyle w:val="Sraopastraipa"/>
        <w:tabs>
          <w:tab w:val="left" w:pos="567"/>
        </w:tabs>
        <w:rPr>
          <w:b/>
          <w:bCs/>
          <w:caps/>
        </w:rPr>
      </w:pPr>
    </w:p>
    <w:p w14:paraId="5D8CC48C" w14:textId="19414182" w:rsidR="00662983" w:rsidRPr="009E3F81" w:rsidRDefault="00D67BAF" w:rsidP="00662983">
      <w:pPr>
        <w:spacing w:after="120"/>
        <w:jc w:val="both"/>
      </w:pPr>
      <w:r w:rsidRPr="009E3F81">
        <w:t>S</w:t>
      </w:r>
      <w:r w:rsidRPr="009E3F81">
        <w:rPr>
          <w:bCs/>
        </w:rPr>
        <w:t>veikatos priežiūros specialistų</w:t>
      </w:r>
      <w:r w:rsidR="00937907" w:rsidRPr="009E3F81">
        <w:t xml:space="preserve"> organizacijos pozicija </w:t>
      </w:r>
      <w:r w:rsidR="00880A44" w:rsidRPr="009E3F81">
        <w:t>ne</w:t>
      </w:r>
      <w:r w:rsidR="00937907" w:rsidRPr="009E3F81">
        <w:t>pateikta.</w:t>
      </w:r>
    </w:p>
    <w:p w14:paraId="3701D46A" w14:textId="77777777" w:rsidR="00A042B9" w:rsidRPr="009E3F81" w:rsidRDefault="00A042B9" w:rsidP="00662983">
      <w:pPr>
        <w:spacing w:after="120"/>
        <w:jc w:val="both"/>
      </w:pPr>
    </w:p>
    <w:p w14:paraId="78F23ECB" w14:textId="3ED5BFD5" w:rsidR="002F0E4F" w:rsidRPr="009E3F81" w:rsidRDefault="002F0E4F" w:rsidP="00CC09D4">
      <w:pPr>
        <w:pStyle w:val="Sraopastraipa"/>
        <w:numPr>
          <w:ilvl w:val="0"/>
          <w:numId w:val="12"/>
        </w:numPr>
        <w:tabs>
          <w:tab w:val="left" w:pos="567"/>
        </w:tabs>
        <w:ind w:hanging="720"/>
        <w:rPr>
          <w:b/>
          <w:bCs/>
          <w:caps/>
        </w:rPr>
      </w:pPr>
      <w:r w:rsidRPr="009E3F81">
        <w:rPr>
          <w:b/>
          <w:bCs/>
          <w:caps/>
        </w:rPr>
        <w:t>Išvad</w:t>
      </w:r>
      <w:r w:rsidR="00B811A4" w:rsidRPr="009E3F81">
        <w:rPr>
          <w:b/>
          <w:bCs/>
          <w:caps/>
        </w:rPr>
        <w:t>OS</w:t>
      </w:r>
      <w:r w:rsidRPr="009E3F81">
        <w:rPr>
          <w:b/>
          <w:bCs/>
          <w:caps/>
        </w:rPr>
        <w:t xml:space="preserve"> </w:t>
      </w:r>
    </w:p>
    <w:p w14:paraId="30069D85" w14:textId="77777777" w:rsidR="0061611B" w:rsidRPr="009E3F81" w:rsidRDefault="0061611B" w:rsidP="0061611B">
      <w:pPr>
        <w:ind w:left="360"/>
        <w:rPr>
          <w:i/>
          <w:szCs w:val="22"/>
        </w:rPr>
      </w:pPr>
    </w:p>
    <w:tbl>
      <w:tblPr>
        <w:tblStyle w:val="Lentelstinklelis"/>
        <w:tblW w:w="0" w:type="auto"/>
        <w:tblInd w:w="-5" w:type="dxa"/>
        <w:tblLook w:val="04A0" w:firstRow="1" w:lastRow="0" w:firstColumn="1" w:lastColumn="0" w:noHBand="0" w:noVBand="1"/>
      </w:tblPr>
      <w:tblGrid>
        <w:gridCol w:w="4820"/>
        <w:gridCol w:w="4814"/>
      </w:tblGrid>
      <w:tr w:rsidR="00334F18" w:rsidRPr="009E3F81" w14:paraId="4D5EFB83" w14:textId="77777777" w:rsidTr="007111C4">
        <w:trPr>
          <w:trHeight w:val="510"/>
        </w:trPr>
        <w:tc>
          <w:tcPr>
            <w:tcW w:w="9634" w:type="dxa"/>
            <w:gridSpan w:val="2"/>
            <w:vAlign w:val="center"/>
          </w:tcPr>
          <w:p w14:paraId="294EC16B" w14:textId="77777777" w:rsidR="00B811A4" w:rsidRPr="009E3F81"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1" w:name="_Hlk185430554"/>
            <w:r w:rsidRPr="009E3F81">
              <w:rPr>
                <w:rStyle w:val="Style2"/>
                <w:rFonts w:eastAsia="MS Gothic"/>
                <w:b/>
                <w:bCs/>
                <w:sz w:val="23"/>
                <w:szCs w:val="23"/>
              </w:rPr>
              <w:t>Palyginamasis veiksmingumas</w:t>
            </w:r>
          </w:p>
        </w:tc>
      </w:tr>
      <w:tr w:rsidR="00334F18" w:rsidRPr="009E3F81" w14:paraId="30B67515" w14:textId="77777777" w:rsidTr="007111C4">
        <w:tc>
          <w:tcPr>
            <w:tcW w:w="4820" w:type="dxa"/>
          </w:tcPr>
          <w:p w14:paraId="4FE3C208" w14:textId="556BA2B9" w:rsidR="00B811A4" w:rsidRPr="009E3F81"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EndPr>
                <w:rPr>
                  <w:rStyle w:val="Style2"/>
                </w:rPr>
              </w:sdtEndPr>
              <w:sdtContent>
                <w:r w:rsidR="009E3F81" w:rsidRPr="009E3F81">
                  <w:rPr>
                    <w:rStyle w:val="Style2"/>
                    <w:rFonts w:ascii="MS Gothic" w:eastAsia="MS Gothic" w:hAnsi="MS Gothic"/>
                    <w:sz w:val="23"/>
                    <w:szCs w:val="23"/>
                  </w:rPr>
                  <w:t>☒</w:t>
                </w:r>
              </w:sdtContent>
            </w:sdt>
            <w:r w:rsidR="00B811A4" w:rsidRPr="009E3F81">
              <w:rPr>
                <w:rStyle w:val="Style2"/>
                <w:sz w:val="23"/>
                <w:szCs w:val="23"/>
              </w:rPr>
              <w:t xml:space="preserve"> 29</w:t>
            </w:r>
            <w:r w:rsidR="00B811A4" w:rsidRPr="009E3F81">
              <w:rPr>
                <w:sz w:val="23"/>
                <w:szCs w:val="23"/>
              </w:rPr>
              <w:t>.1.1 yra didesnis, lyginant su įprasta klinikine praktika</w:t>
            </w:r>
          </w:p>
          <w:p w14:paraId="6F9786E4" w14:textId="77777777" w:rsidR="00B811A4" w:rsidRPr="009E3F81"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77777777" w:rsidR="00B811A4" w:rsidRPr="009E3F81"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EndPr>
                <w:rPr>
                  <w:rStyle w:val="Style2"/>
                </w:rPr>
              </w:sdtEndPr>
              <w:sdtContent>
                <w:r w:rsidR="00B811A4" w:rsidRPr="009E3F81">
                  <w:rPr>
                    <w:rStyle w:val="Style2"/>
                    <w:rFonts w:ascii="Segoe UI Symbol" w:eastAsia="MS Gothic" w:hAnsi="Segoe UI Symbol" w:cs="Segoe UI Symbol"/>
                    <w:sz w:val="23"/>
                    <w:szCs w:val="23"/>
                  </w:rPr>
                  <w:t>☐</w:t>
                </w:r>
              </w:sdtContent>
            </w:sdt>
            <w:r w:rsidR="00B811A4" w:rsidRPr="009E3F81">
              <w:rPr>
                <w:sz w:val="23"/>
                <w:szCs w:val="23"/>
              </w:rPr>
              <w:t xml:space="preserve"> </w:t>
            </w:r>
            <w:r w:rsidR="00B811A4" w:rsidRPr="009E3F81">
              <w:rPr>
                <w:rStyle w:val="Style2"/>
                <w:sz w:val="23"/>
                <w:szCs w:val="23"/>
              </w:rPr>
              <w:t>29</w:t>
            </w:r>
            <w:r w:rsidR="00B811A4" w:rsidRPr="009E3F81">
              <w:rPr>
                <w:sz w:val="23"/>
                <w:szCs w:val="23"/>
              </w:rPr>
              <w:t>.1.2 iš esmės nesiskiria, lyginant su įprasta klinikine praktika</w:t>
            </w:r>
          </w:p>
        </w:tc>
        <w:tc>
          <w:tcPr>
            <w:tcW w:w="4814" w:type="dxa"/>
          </w:tcPr>
          <w:p w14:paraId="72562F9E" w14:textId="77777777" w:rsidR="00B811A4" w:rsidRPr="009E3F81"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EndPr>
                <w:rPr>
                  <w:rStyle w:val="Style2"/>
                </w:rPr>
              </w:sdtEndPr>
              <w:sdtContent>
                <w:r w:rsidR="00B811A4" w:rsidRPr="009E3F81">
                  <w:rPr>
                    <w:rStyle w:val="Style2"/>
                    <w:rFonts w:ascii="Segoe UI Symbol" w:eastAsia="MS Gothic" w:hAnsi="Segoe UI Symbol" w:cs="Segoe UI Symbol"/>
                    <w:sz w:val="23"/>
                    <w:szCs w:val="23"/>
                  </w:rPr>
                  <w:t>☐</w:t>
                </w:r>
              </w:sdtContent>
            </w:sdt>
            <w:r w:rsidR="00B811A4" w:rsidRPr="009E3F81">
              <w:rPr>
                <w:sz w:val="23"/>
                <w:szCs w:val="23"/>
              </w:rPr>
              <w:t xml:space="preserve"> </w:t>
            </w:r>
            <w:r w:rsidR="00B811A4" w:rsidRPr="009E3F81">
              <w:rPr>
                <w:rStyle w:val="Style2"/>
                <w:sz w:val="23"/>
                <w:szCs w:val="23"/>
              </w:rPr>
              <w:t>29</w:t>
            </w:r>
            <w:r w:rsidR="00B811A4" w:rsidRPr="009E3F81">
              <w:rPr>
                <w:sz w:val="23"/>
                <w:szCs w:val="23"/>
              </w:rPr>
              <w:t xml:space="preserve">.1.3 yra neįrodytas kaip didesnis  ar iš esmės nesiskiriantis, lyginant su įprasta klinikine praktika  </w:t>
            </w:r>
          </w:p>
          <w:p w14:paraId="6F6DB5BC" w14:textId="77777777" w:rsidR="00B811A4" w:rsidRPr="009E3F81"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9E3F81"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EndPr>
                <w:rPr>
                  <w:rStyle w:val="Style2"/>
                </w:rPr>
              </w:sdtEndPr>
              <w:sdtContent>
                <w:r w:rsidR="00B811A4" w:rsidRPr="009E3F81">
                  <w:rPr>
                    <w:rStyle w:val="Style2"/>
                    <w:rFonts w:ascii="Segoe UI Symbol" w:eastAsia="MS Gothic" w:hAnsi="Segoe UI Symbol" w:cs="Segoe UI Symbol"/>
                    <w:sz w:val="23"/>
                    <w:szCs w:val="23"/>
                  </w:rPr>
                  <w:t>☐</w:t>
                </w:r>
              </w:sdtContent>
            </w:sdt>
            <w:r w:rsidR="00B811A4" w:rsidRPr="009E3F81">
              <w:rPr>
                <w:sz w:val="23"/>
                <w:szCs w:val="23"/>
              </w:rPr>
              <w:t xml:space="preserve"> </w:t>
            </w:r>
            <w:r w:rsidR="00B811A4" w:rsidRPr="009E3F81">
              <w:rPr>
                <w:rStyle w:val="Style2"/>
                <w:sz w:val="23"/>
                <w:szCs w:val="23"/>
              </w:rPr>
              <w:t>29</w:t>
            </w:r>
            <w:r w:rsidR="00B811A4" w:rsidRPr="009E3F81">
              <w:rPr>
                <w:sz w:val="23"/>
                <w:szCs w:val="23"/>
              </w:rPr>
              <w:t>.1.4 yra mažesnis, lyginant su įprasta klinikine praktika</w:t>
            </w:r>
          </w:p>
          <w:p w14:paraId="193C3D76" w14:textId="77777777" w:rsidR="00B811A4" w:rsidRPr="009E3F81"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9E3F81"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EndPr>
                <w:rPr>
                  <w:rStyle w:val="Style2"/>
                </w:rPr>
              </w:sdtEndPr>
              <w:sdtContent>
                <w:r w:rsidR="00B811A4" w:rsidRPr="009E3F81">
                  <w:rPr>
                    <w:rStyle w:val="Style2"/>
                    <w:rFonts w:ascii="Segoe UI Symbol" w:eastAsia="MS Gothic" w:hAnsi="Segoe UI Symbol" w:cs="Segoe UI Symbol"/>
                    <w:sz w:val="23"/>
                    <w:szCs w:val="23"/>
                  </w:rPr>
                  <w:t>☐</w:t>
                </w:r>
              </w:sdtContent>
            </w:sdt>
            <w:r w:rsidR="00B811A4" w:rsidRPr="009E3F81">
              <w:rPr>
                <w:sz w:val="23"/>
                <w:szCs w:val="23"/>
              </w:rPr>
              <w:t xml:space="preserve"> </w:t>
            </w:r>
            <w:r w:rsidR="00B811A4" w:rsidRPr="009E3F81">
              <w:rPr>
                <w:rStyle w:val="Style2"/>
                <w:sz w:val="23"/>
                <w:szCs w:val="23"/>
              </w:rPr>
              <w:t>29</w:t>
            </w:r>
            <w:r w:rsidR="00B811A4" w:rsidRPr="009E3F81">
              <w:rPr>
                <w:sz w:val="23"/>
                <w:szCs w:val="23"/>
              </w:rPr>
              <w:t>.1.5 pateikti duomenys apie palyginamąjį veiksmingumą yra netinkami vertinti</w:t>
            </w:r>
          </w:p>
          <w:p w14:paraId="45719037" w14:textId="77777777" w:rsidR="00B811A4" w:rsidRPr="009E3F81"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1"/>
      <w:tr w:rsidR="00334F18" w:rsidRPr="0083066A" w14:paraId="0E0F5168" w14:textId="77777777" w:rsidTr="00743956">
        <w:trPr>
          <w:trHeight w:val="510"/>
        </w:trPr>
        <w:tc>
          <w:tcPr>
            <w:tcW w:w="9634" w:type="dxa"/>
            <w:gridSpan w:val="2"/>
            <w:vAlign w:val="center"/>
          </w:tcPr>
          <w:p w14:paraId="62B67E12" w14:textId="7777777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83066A">
              <w:rPr>
                <w:rStyle w:val="Style2"/>
                <w:rFonts w:eastAsia="MS Gothic"/>
                <w:b/>
                <w:bCs/>
                <w:sz w:val="23"/>
                <w:szCs w:val="23"/>
              </w:rPr>
              <w:t>Kaštų naudingumas</w:t>
            </w:r>
          </w:p>
        </w:tc>
      </w:tr>
      <w:tr w:rsidR="00334F18" w:rsidRPr="0083066A" w14:paraId="6A2F62B2" w14:textId="77777777" w:rsidTr="00743956">
        <w:tc>
          <w:tcPr>
            <w:tcW w:w="4820" w:type="dxa"/>
          </w:tcPr>
          <w:p w14:paraId="7CB2C697" w14:textId="4A0CA9C0" w:rsidR="00B811A4" w:rsidRPr="0083066A"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EndPr>
                <w:rPr>
                  <w:rStyle w:val="Style2"/>
                </w:rPr>
              </w:sdtEndPr>
              <w:sdtContent>
                <w:r w:rsidR="0083066A" w:rsidRPr="0083066A">
                  <w:rPr>
                    <w:rStyle w:val="Style2"/>
                    <w:rFonts w:ascii="MS Gothic" w:eastAsia="MS Gothic" w:hAnsi="MS Gothic" w:hint="eastAsia"/>
                    <w:sz w:val="23"/>
                    <w:szCs w:val="23"/>
                  </w:rPr>
                  <w:t>☐</w:t>
                </w:r>
              </w:sdtContent>
            </w:sdt>
            <w:r w:rsidR="00B811A4" w:rsidRPr="0083066A">
              <w:rPr>
                <w:sz w:val="23"/>
                <w:szCs w:val="23"/>
              </w:rPr>
              <w:t xml:space="preserve"> 29.2.1 atitinka referencinę naudingumo vertę taikant arba netaikant</w:t>
            </w:r>
            <w:r w:rsidR="00437623" w:rsidRPr="0083066A">
              <w:rPr>
                <w:b/>
                <w:bCs/>
                <w:sz w:val="23"/>
                <w:szCs w:val="23"/>
              </w:rPr>
              <w:t xml:space="preserve"> </w:t>
            </w:r>
            <w:r w:rsidR="00B811A4" w:rsidRPr="0083066A">
              <w:rPr>
                <w:sz w:val="23"/>
                <w:szCs w:val="23"/>
              </w:rPr>
              <w:t>PGS</w:t>
            </w:r>
          </w:p>
          <w:p w14:paraId="71797774" w14:textId="7777777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294D37B2" w:rsidR="00B811A4" w:rsidRPr="0083066A"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1"/>
                  <w14:checkedState w14:val="2612" w14:font="MS Gothic"/>
                  <w14:uncheckedState w14:val="2610" w14:font="MS Gothic"/>
                </w14:checkbox>
              </w:sdtPr>
              <w:sdtEndPr>
                <w:rPr>
                  <w:rStyle w:val="Style2"/>
                </w:rPr>
              </w:sdtEndPr>
              <w:sdtContent>
                <w:r w:rsidR="0083066A" w:rsidRPr="0083066A">
                  <w:rPr>
                    <w:rStyle w:val="Style2"/>
                    <w:rFonts w:ascii="MS Gothic" w:eastAsia="MS Gothic" w:hAnsi="MS Gothic" w:hint="eastAsia"/>
                    <w:sz w:val="23"/>
                    <w:szCs w:val="23"/>
                  </w:rPr>
                  <w:t>☒</w:t>
                </w:r>
              </w:sdtContent>
            </w:sdt>
            <w:r w:rsidR="00B811A4" w:rsidRPr="0083066A">
              <w:rPr>
                <w:sz w:val="23"/>
                <w:szCs w:val="23"/>
              </w:rPr>
              <w:t xml:space="preserve"> 29.2.3 neatitinka referencinės naudingumo vertės taikant arba netaikant PGS</w:t>
            </w:r>
          </w:p>
          <w:p w14:paraId="13C9EEE5" w14:textId="7777777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83066A"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EndPr>
                <w:rPr>
                  <w:rStyle w:val="Style2"/>
                </w:rPr>
              </w:sdtEndPr>
              <w:sdtContent>
                <w:r w:rsidR="00B811A4" w:rsidRPr="0083066A">
                  <w:rPr>
                    <w:rStyle w:val="Style2"/>
                    <w:rFonts w:ascii="Segoe UI Symbol" w:eastAsia="MS Gothic" w:hAnsi="Segoe UI Symbol" w:cs="Segoe UI Symbol"/>
                    <w:sz w:val="23"/>
                    <w:szCs w:val="23"/>
                  </w:rPr>
                  <w:t>☐</w:t>
                </w:r>
              </w:sdtContent>
            </w:sdt>
            <w:r w:rsidR="00B811A4" w:rsidRPr="0083066A">
              <w:rPr>
                <w:sz w:val="23"/>
                <w:szCs w:val="23"/>
              </w:rPr>
              <w:t xml:space="preserve"> 29.2.5 pateikti duomenys apie kaštų naudingumą yra netinkami vertinti</w:t>
            </w:r>
          </w:p>
          <w:p w14:paraId="06AB06C5" w14:textId="77777777" w:rsidR="00B811A4" w:rsidRPr="0083066A"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83066A" w14:paraId="632C9193" w14:textId="77777777" w:rsidTr="00027464">
        <w:tc>
          <w:tcPr>
            <w:tcW w:w="9634" w:type="dxa"/>
            <w:gridSpan w:val="2"/>
          </w:tcPr>
          <w:p w14:paraId="15C289C9" w14:textId="47C5A3CE" w:rsidR="007111C4" w:rsidRPr="0083066A" w:rsidRDefault="00010EC7"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EndPr>
                <w:rPr>
                  <w:rStyle w:val="Style2"/>
                </w:rPr>
              </w:sdtEndPr>
              <w:sdtContent>
                <w:r w:rsidR="007111C4" w:rsidRPr="0083066A">
                  <w:rPr>
                    <w:rStyle w:val="Style2"/>
                    <w:rFonts w:ascii="Segoe UI Symbol" w:eastAsia="MS Gothic" w:hAnsi="Segoe UI Symbol" w:cs="Segoe UI Symbol"/>
                    <w:sz w:val="23"/>
                    <w:szCs w:val="23"/>
                  </w:rPr>
                  <w:t>☐</w:t>
                </w:r>
              </w:sdtContent>
            </w:sdt>
            <w:r w:rsidR="007111C4" w:rsidRPr="0083066A">
              <w:rPr>
                <w:sz w:val="23"/>
                <w:szCs w:val="23"/>
              </w:rPr>
              <w:t xml:space="preserve"> Vykdant Aprašo &lt;17</w:t>
            </w:r>
            <w:r w:rsidR="007111C4" w:rsidRPr="0083066A">
              <w:rPr>
                <w:sz w:val="23"/>
                <w:szCs w:val="23"/>
                <w:vertAlign w:val="superscript"/>
              </w:rPr>
              <w:t>3</w:t>
            </w:r>
            <w:r w:rsidR="007111C4" w:rsidRPr="0083066A">
              <w:rPr>
                <w:sz w:val="23"/>
                <w:szCs w:val="23"/>
              </w:rPr>
              <w:t>.1&gt;&lt;17</w:t>
            </w:r>
            <w:r w:rsidR="007111C4" w:rsidRPr="0083066A">
              <w:rPr>
                <w:sz w:val="23"/>
                <w:szCs w:val="23"/>
                <w:vertAlign w:val="superscript"/>
              </w:rPr>
              <w:t>3</w:t>
            </w:r>
            <w:r w:rsidR="007111C4" w:rsidRPr="0083066A">
              <w:rPr>
                <w:sz w:val="23"/>
                <w:szCs w:val="23"/>
              </w:rPr>
              <w:t>.2&gt;&lt;17</w:t>
            </w:r>
            <w:r w:rsidR="007111C4" w:rsidRPr="0083066A">
              <w:rPr>
                <w:sz w:val="23"/>
                <w:szCs w:val="23"/>
                <w:vertAlign w:val="superscript"/>
              </w:rPr>
              <w:t>3</w:t>
            </w:r>
            <w:r w:rsidR="007111C4" w:rsidRPr="0083066A">
              <w:rPr>
                <w:sz w:val="23"/>
                <w:szCs w:val="23"/>
              </w:rPr>
              <w:t>.3&gt; punktą vaistinio (-ų) preparato (-ų) ekonominis vertinimas neatliekamas, išvados dėl kaštų naudingumo neteikiamos</w:t>
            </w:r>
          </w:p>
        </w:tc>
      </w:tr>
    </w:tbl>
    <w:p w14:paraId="1B85C083" w14:textId="0084ADD7" w:rsidR="009E44AE" w:rsidRPr="0083066A" w:rsidRDefault="009E44AE" w:rsidP="00381024"/>
    <w:p w14:paraId="3B2D1F25" w14:textId="3A80E19F" w:rsidR="000001B0" w:rsidRPr="0083066A" w:rsidRDefault="000001B0" w:rsidP="00CC09D4">
      <w:pPr>
        <w:pStyle w:val="Sraopastraipa"/>
        <w:numPr>
          <w:ilvl w:val="0"/>
          <w:numId w:val="12"/>
        </w:numPr>
        <w:ind w:left="567" w:hanging="567"/>
      </w:pPr>
      <w:r w:rsidRPr="0083066A">
        <w:rPr>
          <w:b/>
        </w:rPr>
        <w:t>REKOME</w:t>
      </w:r>
      <w:r w:rsidR="00D83182" w:rsidRPr="0083066A">
        <w:rPr>
          <w:b/>
        </w:rPr>
        <w:t>N</w:t>
      </w:r>
      <w:r w:rsidRPr="0083066A">
        <w:rPr>
          <w:b/>
        </w:rPr>
        <w:t>DACIJA</w:t>
      </w:r>
    </w:p>
    <w:p w14:paraId="35E33D78" w14:textId="59232BB3" w:rsidR="00B811A4" w:rsidRPr="009E3F81" w:rsidRDefault="00B811A4" w:rsidP="00B811A4">
      <w:pPr>
        <w:pStyle w:val="Sraopastraipa"/>
        <w:ind w:left="567"/>
        <w:rPr>
          <w:b/>
          <w:highlight w:val="yellow"/>
        </w:rPr>
      </w:pPr>
    </w:p>
    <w:p w14:paraId="0308CAF6" w14:textId="77777777" w:rsidR="0083066A" w:rsidRPr="00BB1CF1" w:rsidRDefault="0083066A" w:rsidP="0083066A">
      <w:pPr>
        <w:spacing w:line="276" w:lineRule="auto"/>
        <w:ind w:firstLine="567"/>
        <w:jc w:val="both"/>
        <w:rPr>
          <w:i/>
          <w:lang w:eastAsia="lt-LT"/>
        </w:rPr>
      </w:pPr>
      <w:r w:rsidRPr="00603B3A">
        <w:t>Vadovaujantis Aprašo</w:t>
      </w:r>
      <w:bookmarkStart w:id="2" w:name="_Hlk190784826"/>
      <w:r>
        <w:rPr>
          <w:i/>
          <w:lang w:eastAsia="lt-LT"/>
        </w:rPr>
        <w:t xml:space="preserve"> </w:t>
      </w:r>
      <w:r w:rsidRPr="00603B3A">
        <w:rPr>
          <w:lang w:eastAsia="lt-LT"/>
        </w:rPr>
        <w:t>30</w:t>
      </w:r>
      <w:r w:rsidRPr="00603B3A">
        <w:rPr>
          <w:vertAlign w:val="superscript"/>
          <w:lang w:eastAsia="lt-LT"/>
        </w:rPr>
        <w:t>1</w:t>
      </w:r>
      <w:r w:rsidRPr="00603B3A">
        <w:rPr>
          <w:lang w:eastAsia="lt-LT"/>
        </w:rPr>
        <w:t>.2. papunkčiu rekomenduojama kompensuoti vaistinį preparatą pagal paraiškoje nurodytą indikaciją (arba jos dalį) su arba be skyrimo sąlygų, jei, pateikus naują ar atnaujintą PGS, kaštų naudingumas atitinka referencinę naudingumo vertę, kai vertinimo išvados atitinka Aprašo 29.1.1 ir 29.2.3 papunkčiuose numatytas sąlygas</w:t>
      </w:r>
      <w:r>
        <w:rPr>
          <w:lang w:eastAsia="lt-LT"/>
        </w:rPr>
        <w:t>.</w:t>
      </w:r>
    </w:p>
    <w:bookmarkEnd w:id="2"/>
    <w:p w14:paraId="3D60BB06" w14:textId="77777777" w:rsidR="00B811A4" w:rsidRPr="009E3F81" w:rsidRDefault="00B811A4" w:rsidP="00B811A4">
      <w:pPr>
        <w:widowControl w:val="0"/>
        <w:tabs>
          <w:tab w:val="left" w:pos="1418"/>
        </w:tabs>
        <w:suppressAutoHyphens/>
        <w:spacing w:line="360" w:lineRule="atLeast"/>
        <w:jc w:val="center"/>
        <w:textAlignment w:val="center"/>
        <w:rPr>
          <w:lang w:eastAsia="lt-LT"/>
        </w:rPr>
      </w:pPr>
    </w:p>
    <w:p w14:paraId="42F3A222" w14:textId="559DDF74" w:rsidR="00B811A4" w:rsidRPr="009E3F81" w:rsidRDefault="0083066A" w:rsidP="00B811A4">
      <w:pPr>
        <w:tabs>
          <w:tab w:val="left" w:pos="426"/>
        </w:tabs>
        <w:jc w:val="both"/>
        <w:rPr>
          <w:b/>
          <w:lang w:eastAsia="lt-LT"/>
        </w:rPr>
      </w:pPr>
      <w:r w:rsidRPr="00AA1428">
        <w:rPr>
          <w:b/>
          <w:lang w:eastAsia="lt-LT"/>
        </w:rPr>
        <w:t>7.1.</w:t>
      </w:r>
      <w:r w:rsidR="00B811A4" w:rsidRPr="00AA1428">
        <w:rPr>
          <w:b/>
          <w:lang w:eastAsia="lt-LT"/>
        </w:rPr>
        <w:t xml:space="preserve"> Siūloma (-os) kompensuoti terapinės indikacijos ir skyrimo sąlygos</w:t>
      </w:r>
      <w:r w:rsidR="00B811A4" w:rsidRPr="009E3F81">
        <w:rPr>
          <w:b/>
          <w:lang w:eastAsia="lt-LT"/>
        </w:rPr>
        <w:t xml:space="preserve"> </w:t>
      </w:r>
    </w:p>
    <w:p w14:paraId="179FBABC" w14:textId="77777777" w:rsidR="00B811A4" w:rsidRPr="009E3F81" w:rsidRDefault="00B811A4" w:rsidP="00B811A4">
      <w:pPr>
        <w:tabs>
          <w:tab w:val="left" w:pos="426"/>
        </w:tabs>
        <w:jc w:val="both"/>
        <w:rPr>
          <w:b/>
          <w:lang w:eastAsia="lt-LT"/>
        </w:rPr>
      </w:pPr>
    </w:p>
    <w:p w14:paraId="658A8F8F" w14:textId="77777777" w:rsidR="009E3F81" w:rsidRPr="009E3F81" w:rsidRDefault="009E3F81" w:rsidP="009E3F81">
      <w:pPr>
        <w:pStyle w:val="Betarp"/>
        <w:jc w:val="both"/>
        <w:rPr>
          <w:rFonts w:ascii="Times New Roman" w:hAnsi="Times New Roman"/>
          <w:b/>
          <w:sz w:val="24"/>
          <w:szCs w:val="24"/>
          <w:lang w:eastAsia="lt-LT"/>
        </w:rPr>
      </w:pPr>
      <w:r w:rsidRPr="009E3F81">
        <w:rPr>
          <w:rFonts w:ascii="Times New Roman" w:hAnsi="Times New Roman"/>
          <w:b/>
          <w:sz w:val="24"/>
          <w:szCs w:val="24"/>
          <w:lang w:eastAsia="lt-LT"/>
        </w:rPr>
        <w:t>Terapinės indikacijos</w:t>
      </w:r>
    </w:p>
    <w:p w14:paraId="0FB24DAC" w14:textId="77777777" w:rsidR="009E3F81" w:rsidRPr="00990185" w:rsidRDefault="009E3F81" w:rsidP="009E3F81">
      <w:pPr>
        <w:jc w:val="both"/>
        <w:rPr>
          <w:iCs/>
        </w:rPr>
      </w:pPr>
      <w:r w:rsidRPr="00990185">
        <w:rPr>
          <w:iCs/>
        </w:rPr>
        <w:t>Daratumumabas derinant su bortezomibu, lenalidomidu ir deksametazonu gydymui suaugusiems pacientams, kuriems naujai buvo diagnozuota dauginė mieloma.</w:t>
      </w:r>
    </w:p>
    <w:p w14:paraId="465A8877" w14:textId="77777777" w:rsidR="009E3F81" w:rsidRPr="009E3F81" w:rsidRDefault="009E3F81" w:rsidP="009E3F81">
      <w:pPr>
        <w:pStyle w:val="Betarp"/>
        <w:jc w:val="both"/>
        <w:rPr>
          <w:rFonts w:ascii="Times New Roman" w:hAnsi="Times New Roman"/>
          <w:sz w:val="24"/>
          <w:szCs w:val="24"/>
        </w:rPr>
      </w:pPr>
    </w:p>
    <w:p w14:paraId="1A3213ED" w14:textId="77777777" w:rsidR="009E3F81" w:rsidRPr="009E3F81" w:rsidRDefault="009E3F81" w:rsidP="009E3F81">
      <w:pPr>
        <w:pStyle w:val="Betarp"/>
        <w:jc w:val="both"/>
        <w:rPr>
          <w:rFonts w:ascii="Times New Roman" w:hAnsi="Times New Roman"/>
          <w:b/>
          <w:sz w:val="24"/>
          <w:szCs w:val="24"/>
        </w:rPr>
      </w:pPr>
      <w:r w:rsidRPr="009E3F81">
        <w:rPr>
          <w:rFonts w:ascii="Times New Roman" w:hAnsi="Times New Roman"/>
          <w:b/>
          <w:sz w:val="24"/>
          <w:szCs w:val="24"/>
        </w:rPr>
        <w:t>Tarnybos siūlomos skyrimo sąlygos</w:t>
      </w:r>
    </w:p>
    <w:p w14:paraId="68A5A514" w14:textId="50B022C3" w:rsidR="00AA1428" w:rsidRDefault="00AA1428" w:rsidP="00AA1428">
      <w:pPr>
        <w:pStyle w:val="Betarp"/>
        <w:jc w:val="both"/>
        <w:rPr>
          <w:rFonts w:ascii="Times New Roman" w:eastAsiaTheme="minorHAnsi" w:hAnsi="Times New Roman"/>
          <w:iCs/>
          <w:color w:val="000000" w:themeColor="text1"/>
          <w:sz w:val="24"/>
          <w:szCs w:val="24"/>
        </w:rPr>
      </w:pPr>
      <w:r w:rsidRPr="00990185">
        <w:rPr>
          <w:rFonts w:ascii="Times New Roman" w:eastAsiaTheme="minorHAnsi" w:hAnsi="Times New Roman"/>
          <w:iCs/>
          <w:color w:val="000000" w:themeColor="text1"/>
          <w:sz w:val="24"/>
          <w:szCs w:val="24"/>
        </w:rPr>
        <w:t xml:space="preserve">Daratumumabas derinant su bortezomibu, lenalidomidu ir deksametazonu </w:t>
      </w:r>
      <w:r w:rsidR="006C3799">
        <w:rPr>
          <w:rFonts w:ascii="Times New Roman" w:eastAsiaTheme="minorHAnsi" w:hAnsi="Times New Roman"/>
          <w:iCs/>
          <w:color w:val="000000" w:themeColor="text1"/>
          <w:sz w:val="24"/>
          <w:szCs w:val="24"/>
        </w:rPr>
        <w:t xml:space="preserve">skiriamas </w:t>
      </w:r>
      <w:r w:rsidRPr="00990185">
        <w:rPr>
          <w:rFonts w:ascii="Times New Roman" w:eastAsiaTheme="minorHAnsi" w:hAnsi="Times New Roman"/>
          <w:iCs/>
          <w:color w:val="000000" w:themeColor="text1"/>
          <w:sz w:val="24"/>
          <w:szCs w:val="24"/>
        </w:rPr>
        <w:t xml:space="preserve">suaugusiems pacientams, </w:t>
      </w:r>
      <w:r w:rsidR="006C3799">
        <w:rPr>
          <w:rFonts w:ascii="Times New Roman" w:eastAsiaTheme="minorHAnsi" w:hAnsi="Times New Roman"/>
          <w:iCs/>
          <w:color w:val="000000" w:themeColor="text1"/>
          <w:sz w:val="24"/>
          <w:szCs w:val="24"/>
        </w:rPr>
        <w:t>sergantiems</w:t>
      </w:r>
      <w:r w:rsidR="006C3799" w:rsidRPr="00990185">
        <w:rPr>
          <w:rFonts w:ascii="Times New Roman" w:eastAsiaTheme="minorHAnsi" w:hAnsi="Times New Roman"/>
          <w:iCs/>
          <w:color w:val="000000" w:themeColor="text1"/>
          <w:sz w:val="24"/>
          <w:szCs w:val="24"/>
        </w:rPr>
        <w:t xml:space="preserve"> </w:t>
      </w:r>
      <w:r w:rsidRPr="00990185">
        <w:rPr>
          <w:rFonts w:ascii="Times New Roman" w:eastAsiaTheme="minorHAnsi" w:hAnsi="Times New Roman"/>
          <w:iCs/>
          <w:color w:val="000000" w:themeColor="text1"/>
          <w:sz w:val="24"/>
          <w:szCs w:val="24"/>
        </w:rPr>
        <w:t>naujai diagnozuota daugin</w:t>
      </w:r>
      <w:r w:rsidR="006C3799">
        <w:rPr>
          <w:rFonts w:ascii="Times New Roman" w:eastAsiaTheme="minorHAnsi" w:hAnsi="Times New Roman"/>
          <w:iCs/>
          <w:color w:val="000000" w:themeColor="text1"/>
          <w:sz w:val="24"/>
          <w:szCs w:val="24"/>
        </w:rPr>
        <w:t>e</w:t>
      </w:r>
      <w:r w:rsidRPr="00990185">
        <w:rPr>
          <w:rFonts w:ascii="Times New Roman" w:eastAsiaTheme="minorHAnsi" w:hAnsi="Times New Roman"/>
          <w:iCs/>
          <w:color w:val="000000" w:themeColor="text1"/>
          <w:sz w:val="24"/>
          <w:szCs w:val="24"/>
        </w:rPr>
        <w:t xml:space="preserve"> mieloma</w:t>
      </w:r>
      <w:r w:rsidR="006C3799">
        <w:rPr>
          <w:rFonts w:ascii="Times New Roman" w:eastAsiaTheme="minorHAnsi" w:hAnsi="Times New Roman"/>
          <w:iCs/>
          <w:color w:val="000000" w:themeColor="text1"/>
          <w:sz w:val="24"/>
          <w:szCs w:val="24"/>
        </w:rPr>
        <w:t>,</w:t>
      </w:r>
      <w:r w:rsidRPr="00990185">
        <w:rPr>
          <w:rFonts w:ascii="Times New Roman" w:eastAsiaTheme="minorHAnsi" w:hAnsi="Times New Roman"/>
          <w:iCs/>
          <w:color w:val="000000" w:themeColor="text1"/>
          <w:sz w:val="24"/>
          <w:szCs w:val="24"/>
        </w:rPr>
        <w:t xml:space="preserve"> kuriems tinka autologinė kamieninių ląstelių transplantacija. Palaikomasis gydymas daratumumabu tęsiamas iki ligos progresavimo arba nepriimtino toksinio poveikio</w:t>
      </w:r>
      <w:r w:rsidR="006C3799">
        <w:rPr>
          <w:rFonts w:ascii="Times New Roman" w:eastAsiaTheme="minorHAnsi" w:hAnsi="Times New Roman"/>
          <w:iCs/>
          <w:color w:val="000000" w:themeColor="text1"/>
          <w:sz w:val="24"/>
          <w:szCs w:val="24"/>
        </w:rPr>
        <w:t xml:space="preserve"> atsiradimo. G</w:t>
      </w:r>
      <w:r w:rsidRPr="00990185">
        <w:rPr>
          <w:rFonts w:ascii="Times New Roman" w:eastAsiaTheme="minorHAnsi" w:hAnsi="Times New Roman"/>
          <w:iCs/>
          <w:color w:val="000000" w:themeColor="text1"/>
          <w:sz w:val="24"/>
          <w:szCs w:val="24"/>
        </w:rPr>
        <w:t xml:space="preserve">ydymą </w:t>
      </w:r>
      <w:r w:rsidR="006C3799">
        <w:rPr>
          <w:rFonts w:ascii="Times New Roman" w:eastAsiaTheme="minorHAnsi" w:hAnsi="Times New Roman"/>
          <w:iCs/>
          <w:color w:val="000000" w:themeColor="text1"/>
          <w:sz w:val="24"/>
          <w:szCs w:val="24"/>
        </w:rPr>
        <w:t>d</w:t>
      </w:r>
      <w:r w:rsidR="006C3799" w:rsidRPr="00990185">
        <w:rPr>
          <w:rFonts w:ascii="Times New Roman" w:eastAsiaTheme="minorHAnsi" w:hAnsi="Times New Roman"/>
          <w:iCs/>
          <w:color w:val="000000" w:themeColor="text1"/>
          <w:sz w:val="24"/>
          <w:szCs w:val="24"/>
        </w:rPr>
        <w:t>aratumumab</w:t>
      </w:r>
      <w:r w:rsidR="006C3799">
        <w:rPr>
          <w:rFonts w:ascii="Times New Roman" w:eastAsiaTheme="minorHAnsi" w:hAnsi="Times New Roman"/>
          <w:iCs/>
          <w:color w:val="000000" w:themeColor="text1"/>
          <w:sz w:val="24"/>
          <w:szCs w:val="24"/>
        </w:rPr>
        <w:t>u galima nutraukti</w:t>
      </w:r>
      <w:r w:rsidR="006C3799" w:rsidRPr="00990185">
        <w:rPr>
          <w:rFonts w:ascii="Times New Roman" w:eastAsiaTheme="minorHAnsi" w:hAnsi="Times New Roman"/>
          <w:iCs/>
          <w:color w:val="000000" w:themeColor="text1"/>
          <w:sz w:val="24"/>
          <w:szCs w:val="24"/>
        </w:rPr>
        <w:t xml:space="preserve"> </w:t>
      </w:r>
      <w:r w:rsidRPr="00990185">
        <w:rPr>
          <w:rFonts w:ascii="Times New Roman" w:eastAsiaTheme="minorHAnsi" w:hAnsi="Times New Roman"/>
          <w:iCs/>
          <w:color w:val="000000" w:themeColor="text1"/>
          <w:sz w:val="24"/>
          <w:szCs w:val="24"/>
        </w:rPr>
        <w:t xml:space="preserve">pacientams, kuriems pasiektas </w:t>
      </w:r>
      <w:r w:rsidR="006C3799">
        <w:rPr>
          <w:rFonts w:ascii="Times New Roman" w:eastAsiaTheme="minorHAnsi" w:hAnsi="Times New Roman"/>
          <w:iCs/>
          <w:color w:val="000000" w:themeColor="text1"/>
          <w:sz w:val="24"/>
          <w:szCs w:val="24"/>
        </w:rPr>
        <w:t xml:space="preserve">neigiamas minimalių liekamųjų ligos požymių rodiklis išsilaikė </w:t>
      </w:r>
      <w:r w:rsidRPr="00990185">
        <w:rPr>
          <w:rFonts w:ascii="Times New Roman" w:eastAsiaTheme="minorHAnsi" w:hAnsi="Times New Roman"/>
          <w:iCs/>
          <w:color w:val="000000" w:themeColor="text1"/>
          <w:sz w:val="24"/>
          <w:szCs w:val="24"/>
        </w:rPr>
        <w:t>12 mėn</w:t>
      </w:r>
      <w:r w:rsidR="006C3799">
        <w:rPr>
          <w:rFonts w:ascii="Times New Roman" w:eastAsiaTheme="minorHAnsi" w:hAnsi="Times New Roman"/>
          <w:iCs/>
          <w:color w:val="000000" w:themeColor="text1"/>
          <w:sz w:val="24"/>
          <w:szCs w:val="24"/>
        </w:rPr>
        <w:t>esių p</w:t>
      </w:r>
      <w:r w:rsidRPr="00990185">
        <w:rPr>
          <w:rFonts w:ascii="Times New Roman" w:eastAsiaTheme="minorHAnsi" w:hAnsi="Times New Roman"/>
          <w:iCs/>
          <w:color w:val="000000" w:themeColor="text1"/>
          <w:sz w:val="24"/>
          <w:szCs w:val="24"/>
        </w:rPr>
        <w:t xml:space="preserve">o ne mažiau kaip 24 mėn. </w:t>
      </w:r>
      <w:r w:rsidR="006C3799">
        <w:rPr>
          <w:rFonts w:ascii="Times New Roman" w:eastAsiaTheme="minorHAnsi" w:hAnsi="Times New Roman"/>
          <w:iCs/>
          <w:color w:val="000000" w:themeColor="text1"/>
          <w:sz w:val="24"/>
          <w:szCs w:val="24"/>
        </w:rPr>
        <w:t xml:space="preserve">trukusio </w:t>
      </w:r>
      <w:r w:rsidRPr="00990185">
        <w:rPr>
          <w:rFonts w:ascii="Times New Roman" w:eastAsiaTheme="minorHAnsi" w:hAnsi="Times New Roman"/>
          <w:iCs/>
          <w:color w:val="000000" w:themeColor="text1"/>
          <w:sz w:val="24"/>
          <w:szCs w:val="24"/>
        </w:rPr>
        <w:t>palaikomojo gydymo.</w:t>
      </w:r>
    </w:p>
    <w:p w14:paraId="562A1372" w14:textId="42A960F2" w:rsidR="00283E59" w:rsidRPr="0083066A" w:rsidRDefault="00283E59" w:rsidP="0083066A">
      <w:pPr>
        <w:widowControl w:val="0"/>
        <w:tabs>
          <w:tab w:val="left" w:pos="1418"/>
        </w:tabs>
        <w:suppressAutoHyphens/>
        <w:spacing w:line="360" w:lineRule="atLeast"/>
        <w:jc w:val="center"/>
        <w:textAlignment w:val="center"/>
      </w:pPr>
      <w:r w:rsidRPr="009E3F81">
        <w:rPr>
          <w:lang w:eastAsia="lt-LT"/>
        </w:rPr>
        <w:t>___________________________</w:t>
      </w:r>
    </w:p>
    <w:sectPr w:rsidR="00283E59" w:rsidRPr="0083066A"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0422" w14:textId="77777777" w:rsidR="00010EC7" w:rsidRDefault="00010EC7">
      <w:r>
        <w:separator/>
      </w:r>
    </w:p>
  </w:endnote>
  <w:endnote w:type="continuationSeparator" w:id="0">
    <w:p w14:paraId="4385C468" w14:textId="77777777" w:rsidR="00010EC7" w:rsidRDefault="0001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Pora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EE63A" w14:textId="77777777" w:rsidR="00010EC7" w:rsidRDefault="00010EC7">
      <w:r>
        <w:separator/>
      </w:r>
    </w:p>
  </w:footnote>
  <w:footnote w:type="continuationSeparator" w:id="0">
    <w:p w14:paraId="646C9A98" w14:textId="77777777" w:rsidR="00010EC7" w:rsidRDefault="0001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Antrats"/>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8"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1"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4469059">
    <w:abstractNumId w:val="8"/>
  </w:num>
  <w:num w:numId="2" w16cid:durableId="335379586">
    <w:abstractNumId w:val="2"/>
  </w:num>
  <w:num w:numId="3" w16cid:durableId="1815753219">
    <w:abstractNumId w:val="10"/>
  </w:num>
  <w:num w:numId="4" w16cid:durableId="450822786">
    <w:abstractNumId w:val="9"/>
  </w:num>
  <w:num w:numId="5" w16cid:durableId="154078213">
    <w:abstractNumId w:val="7"/>
  </w:num>
  <w:num w:numId="6" w16cid:durableId="745029743">
    <w:abstractNumId w:val="6"/>
  </w:num>
  <w:num w:numId="7" w16cid:durableId="1951351299">
    <w:abstractNumId w:val="4"/>
  </w:num>
  <w:num w:numId="8" w16cid:durableId="763574715">
    <w:abstractNumId w:val="13"/>
  </w:num>
  <w:num w:numId="9" w16cid:durableId="712119782">
    <w:abstractNumId w:val="0"/>
  </w:num>
  <w:num w:numId="10" w16cid:durableId="1918007049">
    <w:abstractNumId w:val="11"/>
  </w:num>
  <w:num w:numId="11" w16cid:durableId="1533761138">
    <w:abstractNumId w:val="12"/>
  </w:num>
  <w:num w:numId="12" w16cid:durableId="1099787789">
    <w:abstractNumId w:val="3"/>
  </w:num>
  <w:num w:numId="13" w16cid:durableId="2000225411">
    <w:abstractNumId w:val="5"/>
  </w:num>
  <w:num w:numId="14" w16cid:durableId="2086829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0EC7"/>
    <w:rsid w:val="000114DD"/>
    <w:rsid w:val="00012CCB"/>
    <w:rsid w:val="000136F7"/>
    <w:rsid w:val="000203E1"/>
    <w:rsid w:val="0002686C"/>
    <w:rsid w:val="00031D0E"/>
    <w:rsid w:val="000337E6"/>
    <w:rsid w:val="0003402E"/>
    <w:rsid w:val="00034EAE"/>
    <w:rsid w:val="00042924"/>
    <w:rsid w:val="000448C6"/>
    <w:rsid w:val="00052BD8"/>
    <w:rsid w:val="00053975"/>
    <w:rsid w:val="00056B8F"/>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76AD"/>
    <w:rsid w:val="000C3B30"/>
    <w:rsid w:val="000C454C"/>
    <w:rsid w:val="000D5038"/>
    <w:rsid w:val="000E29D4"/>
    <w:rsid w:val="000F3540"/>
    <w:rsid w:val="00100491"/>
    <w:rsid w:val="00104E2E"/>
    <w:rsid w:val="00107287"/>
    <w:rsid w:val="00117194"/>
    <w:rsid w:val="00117406"/>
    <w:rsid w:val="00121EF0"/>
    <w:rsid w:val="001230A0"/>
    <w:rsid w:val="00124A9E"/>
    <w:rsid w:val="00130703"/>
    <w:rsid w:val="0013153F"/>
    <w:rsid w:val="001408B8"/>
    <w:rsid w:val="001466FE"/>
    <w:rsid w:val="001517E2"/>
    <w:rsid w:val="001521D9"/>
    <w:rsid w:val="001554E2"/>
    <w:rsid w:val="00164146"/>
    <w:rsid w:val="00164D64"/>
    <w:rsid w:val="0017369C"/>
    <w:rsid w:val="00175D57"/>
    <w:rsid w:val="00177EC1"/>
    <w:rsid w:val="00180C39"/>
    <w:rsid w:val="00180D96"/>
    <w:rsid w:val="00184BD3"/>
    <w:rsid w:val="001921F3"/>
    <w:rsid w:val="001A0CAA"/>
    <w:rsid w:val="001B3C5B"/>
    <w:rsid w:val="001C2FC8"/>
    <w:rsid w:val="001C6353"/>
    <w:rsid w:val="001D5B91"/>
    <w:rsid w:val="001D746F"/>
    <w:rsid w:val="001E0B2D"/>
    <w:rsid w:val="001E4BBB"/>
    <w:rsid w:val="001E6304"/>
    <w:rsid w:val="001F115E"/>
    <w:rsid w:val="0020381E"/>
    <w:rsid w:val="00206FE3"/>
    <w:rsid w:val="00213471"/>
    <w:rsid w:val="00215906"/>
    <w:rsid w:val="002351AE"/>
    <w:rsid w:val="00241CD8"/>
    <w:rsid w:val="00244B09"/>
    <w:rsid w:val="002519CB"/>
    <w:rsid w:val="0025697F"/>
    <w:rsid w:val="00260258"/>
    <w:rsid w:val="0026588E"/>
    <w:rsid w:val="00272428"/>
    <w:rsid w:val="00272948"/>
    <w:rsid w:val="00283E59"/>
    <w:rsid w:val="00292392"/>
    <w:rsid w:val="00292F26"/>
    <w:rsid w:val="002946C7"/>
    <w:rsid w:val="002B3CC1"/>
    <w:rsid w:val="002C0686"/>
    <w:rsid w:val="002C09E0"/>
    <w:rsid w:val="002C100E"/>
    <w:rsid w:val="002C1BB1"/>
    <w:rsid w:val="002C2786"/>
    <w:rsid w:val="002C3A10"/>
    <w:rsid w:val="002C4A90"/>
    <w:rsid w:val="002C4ED5"/>
    <w:rsid w:val="002D02EF"/>
    <w:rsid w:val="002E0702"/>
    <w:rsid w:val="002E1A83"/>
    <w:rsid w:val="002E57AD"/>
    <w:rsid w:val="002E6F80"/>
    <w:rsid w:val="002F0E4F"/>
    <w:rsid w:val="002F1053"/>
    <w:rsid w:val="00314816"/>
    <w:rsid w:val="00317B0E"/>
    <w:rsid w:val="00334F18"/>
    <w:rsid w:val="00336238"/>
    <w:rsid w:val="00347FAA"/>
    <w:rsid w:val="0035172D"/>
    <w:rsid w:val="0036187D"/>
    <w:rsid w:val="00367EDB"/>
    <w:rsid w:val="003705F0"/>
    <w:rsid w:val="00381024"/>
    <w:rsid w:val="00386307"/>
    <w:rsid w:val="003874DE"/>
    <w:rsid w:val="00393E9F"/>
    <w:rsid w:val="0039696E"/>
    <w:rsid w:val="003B211A"/>
    <w:rsid w:val="003B53FF"/>
    <w:rsid w:val="003C141F"/>
    <w:rsid w:val="003C6B0E"/>
    <w:rsid w:val="003C7257"/>
    <w:rsid w:val="003C7E35"/>
    <w:rsid w:val="003D1E99"/>
    <w:rsid w:val="003D6208"/>
    <w:rsid w:val="003E03F2"/>
    <w:rsid w:val="00404E8A"/>
    <w:rsid w:val="0040622F"/>
    <w:rsid w:val="00413F24"/>
    <w:rsid w:val="00422853"/>
    <w:rsid w:val="00423160"/>
    <w:rsid w:val="00437623"/>
    <w:rsid w:val="00444A2B"/>
    <w:rsid w:val="00453862"/>
    <w:rsid w:val="0045469B"/>
    <w:rsid w:val="00461338"/>
    <w:rsid w:val="004677DB"/>
    <w:rsid w:val="00476256"/>
    <w:rsid w:val="0048630F"/>
    <w:rsid w:val="004947A1"/>
    <w:rsid w:val="0049482A"/>
    <w:rsid w:val="004979D3"/>
    <w:rsid w:val="004A00E7"/>
    <w:rsid w:val="004A100E"/>
    <w:rsid w:val="004A3A61"/>
    <w:rsid w:val="004B59BA"/>
    <w:rsid w:val="004B5A03"/>
    <w:rsid w:val="004C263A"/>
    <w:rsid w:val="004C6221"/>
    <w:rsid w:val="004D48A6"/>
    <w:rsid w:val="004D70B6"/>
    <w:rsid w:val="004D7B8F"/>
    <w:rsid w:val="004E241F"/>
    <w:rsid w:val="004E6458"/>
    <w:rsid w:val="004E6E7D"/>
    <w:rsid w:val="004F1AAC"/>
    <w:rsid w:val="004F1AE2"/>
    <w:rsid w:val="004F34F0"/>
    <w:rsid w:val="004F3B2B"/>
    <w:rsid w:val="004F6050"/>
    <w:rsid w:val="005005EF"/>
    <w:rsid w:val="005123C2"/>
    <w:rsid w:val="0052144B"/>
    <w:rsid w:val="00524066"/>
    <w:rsid w:val="00526A0F"/>
    <w:rsid w:val="00534E11"/>
    <w:rsid w:val="005378D8"/>
    <w:rsid w:val="005400D9"/>
    <w:rsid w:val="005476A4"/>
    <w:rsid w:val="0055019B"/>
    <w:rsid w:val="00556E63"/>
    <w:rsid w:val="005601A4"/>
    <w:rsid w:val="00566DBB"/>
    <w:rsid w:val="00567B14"/>
    <w:rsid w:val="005767DB"/>
    <w:rsid w:val="005815E6"/>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62BE"/>
    <w:rsid w:val="00613143"/>
    <w:rsid w:val="00613501"/>
    <w:rsid w:val="0061611B"/>
    <w:rsid w:val="006166A8"/>
    <w:rsid w:val="006174A1"/>
    <w:rsid w:val="00621D6C"/>
    <w:rsid w:val="00633B49"/>
    <w:rsid w:val="0064297F"/>
    <w:rsid w:val="00645102"/>
    <w:rsid w:val="00646CF3"/>
    <w:rsid w:val="00653D11"/>
    <w:rsid w:val="00662983"/>
    <w:rsid w:val="006834D3"/>
    <w:rsid w:val="00692625"/>
    <w:rsid w:val="00695CD3"/>
    <w:rsid w:val="00697E59"/>
    <w:rsid w:val="006A38B6"/>
    <w:rsid w:val="006B1987"/>
    <w:rsid w:val="006B2567"/>
    <w:rsid w:val="006B5B71"/>
    <w:rsid w:val="006B5D3E"/>
    <w:rsid w:val="006B6CB0"/>
    <w:rsid w:val="006C2B64"/>
    <w:rsid w:val="006C3799"/>
    <w:rsid w:val="006D1BF3"/>
    <w:rsid w:val="006D4C85"/>
    <w:rsid w:val="006D66AC"/>
    <w:rsid w:val="006E33F6"/>
    <w:rsid w:val="006E35C2"/>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7703C"/>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066A"/>
    <w:rsid w:val="00832013"/>
    <w:rsid w:val="00832DB7"/>
    <w:rsid w:val="00834732"/>
    <w:rsid w:val="0085200C"/>
    <w:rsid w:val="00853487"/>
    <w:rsid w:val="00857C52"/>
    <w:rsid w:val="00860D5F"/>
    <w:rsid w:val="00880A44"/>
    <w:rsid w:val="0088345E"/>
    <w:rsid w:val="0088656F"/>
    <w:rsid w:val="008875BC"/>
    <w:rsid w:val="00891EF6"/>
    <w:rsid w:val="00892FF4"/>
    <w:rsid w:val="0089345A"/>
    <w:rsid w:val="008A0303"/>
    <w:rsid w:val="008A5FDD"/>
    <w:rsid w:val="008C3947"/>
    <w:rsid w:val="008E473B"/>
    <w:rsid w:val="008E51A6"/>
    <w:rsid w:val="008E7329"/>
    <w:rsid w:val="008E7430"/>
    <w:rsid w:val="008F2ED5"/>
    <w:rsid w:val="00901886"/>
    <w:rsid w:val="00901CEB"/>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185"/>
    <w:rsid w:val="009909AB"/>
    <w:rsid w:val="009B37DB"/>
    <w:rsid w:val="009C7A8C"/>
    <w:rsid w:val="009D23F9"/>
    <w:rsid w:val="009D4FA8"/>
    <w:rsid w:val="009E3F81"/>
    <w:rsid w:val="009E44AE"/>
    <w:rsid w:val="009E6CD6"/>
    <w:rsid w:val="009F4D66"/>
    <w:rsid w:val="00A00C3C"/>
    <w:rsid w:val="00A01091"/>
    <w:rsid w:val="00A042B9"/>
    <w:rsid w:val="00A06DBB"/>
    <w:rsid w:val="00A22ADF"/>
    <w:rsid w:val="00A2310D"/>
    <w:rsid w:val="00A254A2"/>
    <w:rsid w:val="00A264A8"/>
    <w:rsid w:val="00A31E86"/>
    <w:rsid w:val="00A54D87"/>
    <w:rsid w:val="00A5553C"/>
    <w:rsid w:val="00A701C9"/>
    <w:rsid w:val="00A81785"/>
    <w:rsid w:val="00A84803"/>
    <w:rsid w:val="00A84C51"/>
    <w:rsid w:val="00A86F2B"/>
    <w:rsid w:val="00A91366"/>
    <w:rsid w:val="00A92F91"/>
    <w:rsid w:val="00A93AA6"/>
    <w:rsid w:val="00AA1428"/>
    <w:rsid w:val="00AA4E48"/>
    <w:rsid w:val="00AA6202"/>
    <w:rsid w:val="00AA7B57"/>
    <w:rsid w:val="00AB2806"/>
    <w:rsid w:val="00AB2D54"/>
    <w:rsid w:val="00AC26FC"/>
    <w:rsid w:val="00AC4A99"/>
    <w:rsid w:val="00AC5129"/>
    <w:rsid w:val="00AC64D2"/>
    <w:rsid w:val="00AD02E7"/>
    <w:rsid w:val="00AE0FE8"/>
    <w:rsid w:val="00AF60D5"/>
    <w:rsid w:val="00B00959"/>
    <w:rsid w:val="00B04415"/>
    <w:rsid w:val="00B06509"/>
    <w:rsid w:val="00B11D60"/>
    <w:rsid w:val="00B13D65"/>
    <w:rsid w:val="00B21805"/>
    <w:rsid w:val="00B3072E"/>
    <w:rsid w:val="00B36E15"/>
    <w:rsid w:val="00B37245"/>
    <w:rsid w:val="00B3785C"/>
    <w:rsid w:val="00B4017A"/>
    <w:rsid w:val="00B4468D"/>
    <w:rsid w:val="00B71C72"/>
    <w:rsid w:val="00B71F04"/>
    <w:rsid w:val="00B74A62"/>
    <w:rsid w:val="00B811A4"/>
    <w:rsid w:val="00B81E92"/>
    <w:rsid w:val="00B908D7"/>
    <w:rsid w:val="00B90ACF"/>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76DA"/>
    <w:rsid w:val="00C00CDB"/>
    <w:rsid w:val="00C07C7B"/>
    <w:rsid w:val="00C16245"/>
    <w:rsid w:val="00C22DC5"/>
    <w:rsid w:val="00C24479"/>
    <w:rsid w:val="00C273F2"/>
    <w:rsid w:val="00C37B53"/>
    <w:rsid w:val="00C40569"/>
    <w:rsid w:val="00C434EB"/>
    <w:rsid w:val="00C517D2"/>
    <w:rsid w:val="00C5772E"/>
    <w:rsid w:val="00C62B36"/>
    <w:rsid w:val="00C7012C"/>
    <w:rsid w:val="00C712EA"/>
    <w:rsid w:val="00C9728E"/>
    <w:rsid w:val="00CA217D"/>
    <w:rsid w:val="00CA2A97"/>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6CCD"/>
    <w:rsid w:val="00D4708D"/>
    <w:rsid w:val="00D4744C"/>
    <w:rsid w:val="00D51046"/>
    <w:rsid w:val="00D521DE"/>
    <w:rsid w:val="00D5470B"/>
    <w:rsid w:val="00D63068"/>
    <w:rsid w:val="00D6498C"/>
    <w:rsid w:val="00D67BAF"/>
    <w:rsid w:val="00D76A70"/>
    <w:rsid w:val="00D83182"/>
    <w:rsid w:val="00D8521E"/>
    <w:rsid w:val="00D9291C"/>
    <w:rsid w:val="00D93A97"/>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1591F"/>
    <w:rsid w:val="00E24D45"/>
    <w:rsid w:val="00E33DB8"/>
    <w:rsid w:val="00E33EFF"/>
    <w:rsid w:val="00E34387"/>
    <w:rsid w:val="00E348BA"/>
    <w:rsid w:val="00E369FE"/>
    <w:rsid w:val="00E37C6F"/>
    <w:rsid w:val="00E475F8"/>
    <w:rsid w:val="00E5102E"/>
    <w:rsid w:val="00E5721C"/>
    <w:rsid w:val="00E619C6"/>
    <w:rsid w:val="00E70CED"/>
    <w:rsid w:val="00E745A1"/>
    <w:rsid w:val="00E81529"/>
    <w:rsid w:val="00E83A13"/>
    <w:rsid w:val="00EB1151"/>
    <w:rsid w:val="00EB6FC5"/>
    <w:rsid w:val="00EC2356"/>
    <w:rsid w:val="00EC2582"/>
    <w:rsid w:val="00EC337C"/>
    <w:rsid w:val="00ED0CFF"/>
    <w:rsid w:val="00ED1232"/>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601FB"/>
    <w:rsid w:val="00F70731"/>
    <w:rsid w:val="00F70C9E"/>
    <w:rsid w:val="00F74A74"/>
    <w:rsid w:val="00F7572C"/>
    <w:rsid w:val="00F8382C"/>
    <w:rsid w:val="00F855D7"/>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1529"/>
    <w:rPr>
      <w:sz w:val="24"/>
      <w:szCs w:val="24"/>
      <w:lang w:eastAsia="en-US"/>
    </w:rPr>
  </w:style>
  <w:style w:type="paragraph" w:styleId="Antrat1">
    <w:name w:val="heading 1"/>
    <w:basedOn w:val="prastasis"/>
    <w:next w:val="prastasis"/>
    <w:link w:val="Antrat1Diagrama"/>
    <w:qFormat/>
    <w:rsid w:val="00A84C51"/>
    <w:pPr>
      <w:keepNext/>
      <w:jc w:val="center"/>
      <w:outlineLvl w:val="0"/>
    </w:pPr>
    <w:rPr>
      <w:b/>
      <w:bCs/>
      <w:caps/>
    </w:rPr>
  </w:style>
  <w:style w:type="paragraph" w:styleId="Antrat2">
    <w:name w:val="heading 2"/>
    <w:basedOn w:val="prastasis"/>
    <w:next w:val="prastasis"/>
    <w:qFormat/>
    <w:rsid w:val="00A84C51"/>
    <w:pPr>
      <w:keepNext/>
      <w:jc w:val="center"/>
      <w:outlineLvl w:val="1"/>
    </w:pPr>
    <w:rPr>
      <w:b/>
      <w:bCs/>
      <w:cap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84C51"/>
    <w:pPr>
      <w:tabs>
        <w:tab w:val="center" w:pos="4986"/>
        <w:tab w:val="right" w:pos="9972"/>
      </w:tabs>
    </w:pPr>
  </w:style>
  <w:style w:type="paragraph" w:styleId="Porat">
    <w:name w:val="footer"/>
    <w:basedOn w:val="prastasis"/>
    <w:link w:val="PoratDiagrama"/>
    <w:rsid w:val="00A84C51"/>
    <w:pPr>
      <w:tabs>
        <w:tab w:val="center" w:pos="4986"/>
        <w:tab w:val="right" w:pos="9972"/>
      </w:tabs>
    </w:pPr>
  </w:style>
  <w:style w:type="character" w:styleId="Puslapionumeris">
    <w:name w:val="page number"/>
    <w:basedOn w:val="Numatytasispastraiposriftas"/>
    <w:rsid w:val="00A84C51"/>
  </w:style>
  <w:style w:type="character" w:styleId="Hipersaitas">
    <w:name w:val="Hyperlink"/>
    <w:basedOn w:val="Numatytasispastraiposriftas"/>
    <w:rsid w:val="00A84C51"/>
    <w:rPr>
      <w:color w:val="0000FF"/>
      <w:u w:val="single"/>
    </w:rPr>
  </w:style>
  <w:style w:type="paragraph" w:styleId="Debesliotekstas">
    <w:name w:val="Balloon Text"/>
    <w:basedOn w:val="prastasis"/>
    <w:semiHidden/>
    <w:rsid w:val="00EC2356"/>
    <w:rPr>
      <w:rFonts w:ascii="Tahoma" w:hAnsi="Tahoma" w:cs="Tahoma"/>
      <w:sz w:val="16"/>
      <w:szCs w:val="16"/>
    </w:rPr>
  </w:style>
  <w:style w:type="character" w:customStyle="1" w:styleId="PoratDiagrama">
    <w:name w:val="Poraštė Diagrama"/>
    <w:basedOn w:val="Numatytasispastraiposriftas"/>
    <w:link w:val="Porat"/>
    <w:rsid w:val="00737E2D"/>
    <w:rPr>
      <w:sz w:val="24"/>
      <w:szCs w:val="24"/>
      <w:lang w:eastAsia="en-US"/>
    </w:rPr>
  </w:style>
  <w:style w:type="character" w:customStyle="1" w:styleId="Neapdorotaspaminjimas1">
    <w:name w:val="Neapdorotas paminėjimas1"/>
    <w:basedOn w:val="Numatytasispastraiposriftas"/>
    <w:uiPriority w:val="99"/>
    <w:semiHidden/>
    <w:unhideWhenUsed/>
    <w:rsid w:val="00A31E86"/>
    <w:rPr>
      <w:color w:val="605E5C"/>
      <w:shd w:val="clear" w:color="auto" w:fill="E1DFDD"/>
    </w:rPr>
  </w:style>
  <w:style w:type="character" w:styleId="Perirtashipersaitas">
    <w:name w:val="FollowedHyperlink"/>
    <w:basedOn w:val="Numatytasispastraiposriftas"/>
    <w:semiHidden/>
    <w:unhideWhenUsed/>
    <w:rsid w:val="00A31E86"/>
    <w:rPr>
      <w:color w:val="800080" w:themeColor="followedHyperlink"/>
      <w:u w:val="single"/>
    </w:rPr>
  </w:style>
  <w:style w:type="table" w:styleId="Lentelstinklelis">
    <w:name w:val="Table Grid"/>
    <w:basedOn w:val="prastojilente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C7012C"/>
    <w:rPr>
      <w:sz w:val="16"/>
      <w:szCs w:val="16"/>
    </w:rPr>
  </w:style>
  <w:style w:type="paragraph" w:styleId="Komentarotekstas">
    <w:name w:val="annotation text"/>
    <w:basedOn w:val="prastasis"/>
    <w:link w:val="KomentarotekstasDiagrama"/>
    <w:unhideWhenUsed/>
    <w:rsid w:val="00C7012C"/>
    <w:rPr>
      <w:sz w:val="20"/>
      <w:szCs w:val="20"/>
    </w:rPr>
  </w:style>
  <w:style w:type="character" w:customStyle="1" w:styleId="KomentarotekstasDiagrama">
    <w:name w:val="Komentaro tekstas Diagrama"/>
    <w:basedOn w:val="Numatytasispastraiposriftas"/>
    <w:link w:val="Komentarotekstas"/>
    <w:rsid w:val="00C7012C"/>
    <w:rPr>
      <w:lang w:eastAsia="en-US"/>
    </w:rPr>
  </w:style>
  <w:style w:type="paragraph" w:styleId="Komentarotema">
    <w:name w:val="annotation subject"/>
    <w:basedOn w:val="Komentarotekstas"/>
    <w:next w:val="Komentarotekstas"/>
    <w:link w:val="KomentarotemaDiagrama"/>
    <w:semiHidden/>
    <w:unhideWhenUsed/>
    <w:rsid w:val="00C7012C"/>
    <w:rPr>
      <w:b/>
      <w:bCs/>
    </w:rPr>
  </w:style>
  <w:style w:type="character" w:customStyle="1" w:styleId="KomentarotemaDiagrama">
    <w:name w:val="Komentaro tema Diagrama"/>
    <w:basedOn w:val="KomentarotekstasDiagrama"/>
    <w:link w:val="Komentarotema"/>
    <w:semiHidden/>
    <w:rsid w:val="00C7012C"/>
    <w:rPr>
      <w:b/>
      <w:bCs/>
      <w:lang w:eastAsia="en-US"/>
    </w:rPr>
  </w:style>
  <w:style w:type="paragraph" w:styleId="Sraopastraipa">
    <w:name w:val="List Paragraph"/>
    <w:basedOn w:val="prastasis"/>
    <w:uiPriority w:val="34"/>
    <w:qFormat/>
    <w:rsid w:val="00104E2E"/>
    <w:pPr>
      <w:ind w:left="720"/>
      <w:contextualSpacing/>
    </w:pPr>
  </w:style>
  <w:style w:type="character" w:customStyle="1" w:styleId="Style2">
    <w:name w:val="Style2"/>
    <w:basedOn w:val="Numatytasispastraiposriftas"/>
    <w:uiPriority w:val="1"/>
    <w:rsid w:val="00D6498C"/>
    <w:rPr>
      <w:sz w:val="32"/>
    </w:rPr>
  </w:style>
  <w:style w:type="character" w:styleId="Vietosrezervavimoenklotekstas">
    <w:name w:val="Placeholder Text"/>
    <w:basedOn w:val="Numatytasispastraiposriftas"/>
    <w:uiPriority w:val="99"/>
    <w:rsid w:val="00B13D65"/>
    <w:rPr>
      <w:color w:val="808080"/>
    </w:rPr>
  </w:style>
  <w:style w:type="paragraph" w:styleId="Betarp">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prastojilentel"/>
    <w:next w:val="Lentelstinklelis"/>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6256"/>
    <w:rPr>
      <w:sz w:val="24"/>
      <w:szCs w:val="24"/>
      <w:lang w:eastAsia="en-US"/>
    </w:rPr>
  </w:style>
  <w:style w:type="character" w:customStyle="1" w:styleId="Antrat1Diagrama">
    <w:name w:val="Antraštė 1 Diagrama"/>
    <w:basedOn w:val="Numatytasispastraiposriftas"/>
    <w:link w:val="Antrat1"/>
    <w:rsid w:val="009E3F81"/>
    <w:rPr>
      <w:b/>
      <w:bCs/>
      <w:caps/>
      <w:sz w:val="24"/>
      <w:szCs w:val="24"/>
      <w:lang w:eastAsia="en-US"/>
    </w:rPr>
  </w:style>
  <w:style w:type="paragraph" w:customStyle="1" w:styleId="font-claude-response-body">
    <w:name w:val="font-claude-response-body"/>
    <w:basedOn w:val="prastasis"/>
    <w:rsid w:val="009E3F81"/>
    <w:pPr>
      <w:spacing w:before="100" w:beforeAutospacing="1" w:after="100" w:afterAutospacing="1"/>
    </w:pPr>
    <w:rPr>
      <w:lang w:eastAsia="lt-LT"/>
    </w:rPr>
  </w:style>
  <w:style w:type="character" w:styleId="Grietas">
    <w:name w:val="Strong"/>
    <w:basedOn w:val="Numatytasispastraiposriftas"/>
    <w:uiPriority w:val="22"/>
    <w:qFormat/>
    <w:rsid w:val="009E3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893D3AA45B4BADBAACC6B9DDB2C5F1"/>
        <w:category>
          <w:name w:val="General"/>
          <w:gallery w:val="placeholder"/>
        </w:category>
        <w:types>
          <w:type w:val="bbPlcHdr"/>
        </w:types>
        <w:behaviors>
          <w:behavior w:val="content"/>
        </w:behaviors>
        <w:guid w:val="{00F3D77F-EEEE-4B56-8FDE-C3BBBD0F0920}"/>
      </w:docPartPr>
      <w:docPartBody>
        <w:p w:rsidR="00556D72" w:rsidRDefault="00E86AAC" w:rsidP="00E86AAC">
          <w:pPr>
            <w:pStyle w:val="3C893D3AA45B4BADBAACC6B9DDB2C5F1"/>
          </w:pPr>
          <w:r>
            <w:rPr>
              <w:rStyle w:val="Vietosrezervavimoenklotekstas"/>
            </w:rPr>
            <w:t>Click here to enter a date.</w:t>
          </w:r>
        </w:p>
      </w:docPartBody>
    </w:docPart>
    <w:docPart>
      <w:docPartPr>
        <w:name w:val="7A471B04015046219AE4235C613EC16B"/>
        <w:category>
          <w:name w:val="General"/>
          <w:gallery w:val="placeholder"/>
        </w:category>
        <w:types>
          <w:type w:val="bbPlcHdr"/>
        </w:types>
        <w:behaviors>
          <w:behavior w:val="content"/>
        </w:behaviors>
        <w:guid w:val="{BDB96B26-2F1D-4203-9132-05777B251573}"/>
      </w:docPartPr>
      <w:docPartBody>
        <w:p w:rsidR="00556D72" w:rsidRDefault="00E86AAC" w:rsidP="00E86AAC">
          <w:pPr>
            <w:pStyle w:val="7A471B04015046219AE4235C613EC16B"/>
          </w:pPr>
          <w:r>
            <w:rPr>
              <w:rStyle w:val="Vietosrezervavimoenklotekstas"/>
            </w:rPr>
            <w:t>Click here to enter a date.</w:t>
          </w:r>
        </w:p>
      </w:docPartBody>
    </w:docPart>
    <w:docPart>
      <w:docPartPr>
        <w:name w:val="17F4E0C15EDF4838A83BEE6B17FCD9EF"/>
        <w:category>
          <w:name w:val="General"/>
          <w:gallery w:val="placeholder"/>
        </w:category>
        <w:types>
          <w:type w:val="bbPlcHdr"/>
        </w:types>
        <w:behaviors>
          <w:behavior w:val="content"/>
        </w:behaviors>
        <w:guid w:val="{60DD2EA2-E348-4D2F-9CC0-DE13783E2C6F}"/>
      </w:docPartPr>
      <w:docPartBody>
        <w:p w:rsidR="00556D72" w:rsidRDefault="00E86AAC" w:rsidP="00E86AAC">
          <w:pPr>
            <w:pStyle w:val="17F4E0C15EDF4838A83BEE6B17FCD9EF"/>
          </w:pPr>
          <w:r>
            <w:rPr>
              <w:rStyle w:val="Vietosrezervavimoenkloteksta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C3B30"/>
    <w:rsid w:val="000D24D4"/>
    <w:rsid w:val="000D6217"/>
    <w:rsid w:val="0014006D"/>
    <w:rsid w:val="001C35A9"/>
    <w:rsid w:val="00206FE3"/>
    <w:rsid w:val="00237556"/>
    <w:rsid w:val="002C0686"/>
    <w:rsid w:val="0039303B"/>
    <w:rsid w:val="004144A3"/>
    <w:rsid w:val="004160E7"/>
    <w:rsid w:val="004416C6"/>
    <w:rsid w:val="00456E96"/>
    <w:rsid w:val="004A100E"/>
    <w:rsid w:val="004C6221"/>
    <w:rsid w:val="004D038D"/>
    <w:rsid w:val="004D51B9"/>
    <w:rsid w:val="004F4E20"/>
    <w:rsid w:val="004F5AB2"/>
    <w:rsid w:val="005074B9"/>
    <w:rsid w:val="00556D72"/>
    <w:rsid w:val="00563A5F"/>
    <w:rsid w:val="005C62E5"/>
    <w:rsid w:val="005D7CAD"/>
    <w:rsid w:val="005E40DD"/>
    <w:rsid w:val="00601F4E"/>
    <w:rsid w:val="006575C8"/>
    <w:rsid w:val="006E6A2C"/>
    <w:rsid w:val="007219C1"/>
    <w:rsid w:val="00745C63"/>
    <w:rsid w:val="00753462"/>
    <w:rsid w:val="00772325"/>
    <w:rsid w:val="007A2FE0"/>
    <w:rsid w:val="007C6D1D"/>
    <w:rsid w:val="007D654E"/>
    <w:rsid w:val="00853487"/>
    <w:rsid w:val="00874032"/>
    <w:rsid w:val="00892FF4"/>
    <w:rsid w:val="008C0DC0"/>
    <w:rsid w:val="0090074D"/>
    <w:rsid w:val="009019EA"/>
    <w:rsid w:val="00901A35"/>
    <w:rsid w:val="00901CEB"/>
    <w:rsid w:val="009B3BF0"/>
    <w:rsid w:val="009D5E5E"/>
    <w:rsid w:val="009F1BB4"/>
    <w:rsid w:val="00A20D39"/>
    <w:rsid w:val="00A254A2"/>
    <w:rsid w:val="00AB2D54"/>
    <w:rsid w:val="00AB6A80"/>
    <w:rsid w:val="00AB6ED4"/>
    <w:rsid w:val="00B14210"/>
    <w:rsid w:val="00B22ED6"/>
    <w:rsid w:val="00B23DC0"/>
    <w:rsid w:val="00B71F04"/>
    <w:rsid w:val="00B96656"/>
    <w:rsid w:val="00BA0A8E"/>
    <w:rsid w:val="00BE3364"/>
    <w:rsid w:val="00C2401D"/>
    <w:rsid w:val="00C250D7"/>
    <w:rsid w:val="00C53A68"/>
    <w:rsid w:val="00C66578"/>
    <w:rsid w:val="00CA5BB4"/>
    <w:rsid w:val="00CB4BD1"/>
    <w:rsid w:val="00CD139C"/>
    <w:rsid w:val="00CD5D89"/>
    <w:rsid w:val="00CE2DA9"/>
    <w:rsid w:val="00CE44BE"/>
    <w:rsid w:val="00D008F3"/>
    <w:rsid w:val="00D0142D"/>
    <w:rsid w:val="00D04DFF"/>
    <w:rsid w:val="00D15ED6"/>
    <w:rsid w:val="00D20347"/>
    <w:rsid w:val="00D4356B"/>
    <w:rsid w:val="00D7162F"/>
    <w:rsid w:val="00DA599C"/>
    <w:rsid w:val="00DB4DB5"/>
    <w:rsid w:val="00DC4440"/>
    <w:rsid w:val="00DE4D10"/>
    <w:rsid w:val="00E44A86"/>
    <w:rsid w:val="00E522EB"/>
    <w:rsid w:val="00E60827"/>
    <w:rsid w:val="00E86AAC"/>
    <w:rsid w:val="00ED1232"/>
    <w:rsid w:val="00EF6E0C"/>
    <w:rsid w:val="00F14477"/>
    <w:rsid w:val="00F370E5"/>
    <w:rsid w:val="00F55028"/>
    <w:rsid w:val="00F677F0"/>
    <w:rsid w:val="00F77BEF"/>
    <w:rsid w:val="00FC755C"/>
    <w:rsid w:val="00FE0D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E86AAC"/>
    <w:rPr>
      <w:color w:val="808080"/>
    </w:rPr>
  </w:style>
  <w:style w:type="paragraph" w:customStyle="1" w:styleId="3C893D3AA45B4BADBAACC6B9DDB2C5F1">
    <w:name w:val="3C893D3AA45B4BADBAACC6B9DDB2C5F1"/>
    <w:rsid w:val="00E86AAC"/>
  </w:style>
  <w:style w:type="paragraph" w:customStyle="1" w:styleId="7A471B04015046219AE4235C613EC16B">
    <w:name w:val="7A471B04015046219AE4235C613EC16B"/>
    <w:rsid w:val="00E86AAC"/>
  </w:style>
  <w:style w:type="paragraph" w:customStyle="1" w:styleId="17F4E0C15EDF4838A83BEE6B17FCD9EF">
    <w:name w:val="17F4E0C15EDF4838A83BEE6B17FCD9EF"/>
    <w:rsid w:val="00E86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15773</Words>
  <Characters>8991</Characters>
  <Application>Microsoft Office Word</Application>
  <DocSecurity>0</DocSecurity>
  <Lines>74</Lines>
  <Paragraphs>49</Paragraphs>
  <ScaleCrop>false</ScaleCrop>
  <Company/>
  <LinksUpToDate>false</LinksUpToDate>
  <CharactersWithSpaces>24715</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2026-06-27T18:19:00Z</dcterms:created>
  <dcterms:modified xsi:type="dcterms:W3CDTF">2026-07-03T07:37:00Z</dcterms:modified>
</cp:coreProperties>
</file>