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5EB3" w14:textId="1955ADE3" w:rsidR="005F7602" w:rsidRPr="00334F18" w:rsidRDefault="005F7602" w:rsidP="002946C7">
      <w:pPr>
        <w:ind w:left="5529"/>
      </w:pPr>
    </w:p>
    <w:p w14:paraId="12FA4B9E" w14:textId="39AA3336" w:rsidR="001B3C5B" w:rsidRPr="00334F18" w:rsidRDefault="00DC261A" w:rsidP="001B3C5B">
      <w:pPr>
        <w:ind w:left="6096"/>
      </w:pPr>
      <w:bookmarkStart w:id="0" w:name="_Hlk189565243"/>
      <w:r w:rsidRPr="00334F18">
        <w:t>PATVIRTINTA</w:t>
      </w:r>
    </w:p>
    <w:p w14:paraId="7206970B" w14:textId="70E9BD2E" w:rsidR="004C263A" w:rsidRPr="00334F18" w:rsidRDefault="001B3C5B" w:rsidP="001B3C5B">
      <w:pPr>
        <w:ind w:left="6096"/>
      </w:pPr>
      <w:r w:rsidRPr="00334F18">
        <w:t>Valstybinės vaistų kontrolės tarnybos prie Lietuvos Respublikos sveikatos apsaugos ministerijos viršininko 2021 m</w:t>
      </w:r>
      <w:r w:rsidR="004C263A" w:rsidRPr="00334F18">
        <w:t xml:space="preserve">. lapkričio 12 </w:t>
      </w:r>
      <w:r w:rsidRPr="00334F18">
        <w:t>d. įsakymu Nr.</w:t>
      </w:r>
      <w:r w:rsidR="004C263A" w:rsidRPr="00334F18">
        <w:t xml:space="preserve"> (1.72E)1A-1418</w:t>
      </w:r>
    </w:p>
    <w:p w14:paraId="5B219AA6" w14:textId="3A5D6CB4" w:rsidR="001B3C5B" w:rsidRPr="00334F18" w:rsidRDefault="004C263A" w:rsidP="001B3C5B">
      <w:pPr>
        <w:ind w:left="6096"/>
      </w:pPr>
      <w:r w:rsidRPr="00334F18">
        <w:t>(Valstybinės vaistų kontrolės tarnybos prie Lietuvos Respublikos sveikatos apsaugos ministerijos viršininko 202</w:t>
      </w:r>
      <w:r w:rsidR="00A2310D" w:rsidRPr="00334F18">
        <w:t>5</w:t>
      </w:r>
      <w:r w:rsidRPr="00334F18">
        <w:t xml:space="preserve"> m.                         d. įsakymo Nr.                    redakcija)</w:t>
      </w:r>
    </w:p>
    <w:p w14:paraId="3336BD74" w14:textId="77777777" w:rsidR="001B3C5B" w:rsidRPr="00334F18" w:rsidRDefault="001B3C5B" w:rsidP="00FA4169"/>
    <w:bookmarkEnd w:id="0"/>
    <w:p w14:paraId="77AFB67E" w14:textId="0FB133A2" w:rsidR="00613501" w:rsidRPr="00334F18" w:rsidRDefault="002F0E4F" w:rsidP="003B211A">
      <w:pPr>
        <w:jc w:val="center"/>
        <w:rPr>
          <w:b/>
          <w:bCs/>
          <w:caps/>
        </w:rPr>
      </w:pPr>
      <w:r w:rsidRPr="00334F18">
        <w:rPr>
          <w:b/>
        </w:rPr>
        <w:t xml:space="preserve">REKOMENDACIJA DĖL VAISTINIO PREPARATO </w:t>
      </w:r>
      <w:r w:rsidRPr="00334F18">
        <w:rPr>
          <w:b/>
          <w:bCs/>
          <w:caps/>
        </w:rPr>
        <w:t>Lietuvos Respublikos Sveikatos apsaugos ministerijos vaistinių preparatų ir medicinos pagalbos priemonių kompensavimo komisijai</w:t>
      </w:r>
    </w:p>
    <w:p w14:paraId="34E4395D" w14:textId="15FB10DF" w:rsidR="00B13D65" w:rsidRPr="00334F18" w:rsidRDefault="00B13D65" w:rsidP="003B211A">
      <w:pPr>
        <w:jc w:val="center"/>
        <w:rPr>
          <w:b/>
        </w:rPr>
      </w:pPr>
    </w:p>
    <w:p w14:paraId="3F3C0953" w14:textId="77777777" w:rsidR="00132A06" w:rsidRPr="009300B3" w:rsidRDefault="00132A06" w:rsidP="00132A06">
      <w:pPr>
        <w:jc w:val="center"/>
        <w:rPr>
          <w:b/>
        </w:rPr>
      </w:pPr>
      <w:r>
        <w:rPr>
          <w:b/>
        </w:rPr>
        <w:t>LIVTENCITY</w:t>
      </w:r>
      <w:r w:rsidRPr="009300B3">
        <w:rPr>
          <w:b/>
        </w:rPr>
        <w:t xml:space="preserve"> </w:t>
      </w:r>
      <w:r>
        <w:rPr>
          <w:b/>
        </w:rPr>
        <w:t>200 mg plėvele dengta tabletė</w:t>
      </w:r>
    </w:p>
    <w:p w14:paraId="7D3E8878" w14:textId="77777777" w:rsidR="00132A06" w:rsidRPr="009300B3" w:rsidRDefault="00132A06" w:rsidP="00132A06">
      <w:pPr>
        <w:jc w:val="center"/>
      </w:pPr>
    </w:p>
    <w:p w14:paraId="63066332" w14:textId="77777777" w:rsidR="00132A06" w:rsidRPr="009300B3" w:rsidRDefault="00132A06" w:rsidP="00132A06">
      <w:pPr>
        <w:jc w:val="center"/>
      </w:pPr>
      <w:r>
        <w:rPr>
          <w:b/>
        </w:rPr>
        <w:t>Maribaviras</w:t>
      </w:r>
    </w:p>
    <w:p w14:paraId="07185BE5" w14:textId="77777777" w:rsidR="00132A06" w:rsidRPr="009300B3" w:rsidRDefault="00132A06" w:rsidP="00132A06">
      <w:pPr>
        <w:jc w:val="center"/>
      </w:pPr>
    </w:p>
    <w:p w14:paraId="4C8A14CA" w14:textId="77777777" w:rsidR="00132A06" w:rsidRPr="009300B3" w:rsidRDefault="00132A06" w:rsidP="00132A06">
      <w:pPr>
        <w:jc w:val="center"/>
        <w:rPr>
          <w:b/>
        </w:rPr>
      </w:pPr>
      <w:r>
        <w:rPr>
          <w:b/>
        </w:rPr>
        <w:t>STV-286</w:t>
      </w:r>
    </w:p>
    <w:p w14:paraId="684C76DA" w14:textId="77777777" w:rsidR="00132A06" w:rsidRPr="009300B3" w:rsidRDefault="00132A06" w:rsidP="00132A06">
      <w:pPr>
        <w:spacing w:line="280" w:lineRule="atLeast"/>
        <w:jc w:val="center"/>
        <w:rPr>
          <w:rFonts w:eastAsia="Arial"/>
        </w:rPr>
      </w:pPr>
    </w:p>
    <w:p w14:paraId="5878717F" w14:textId="77777777" w:rsidR="00132A06" w:rsidRPr="009300B3" w:rsidRDefault="00132A06" w:rsidP="00132A06">
      <w:pPr>
        <w:pStyle w:val="Sraopastraipa"/>
        <w:numPr>
          <w:ilvl w:val="0"/>
          <w:numId w:val="15"/>
        </w:numPr>
        <w:tabs>
          <w:tab w:val="left" w:pos="284"/>
        </w:tabs>
        <w:spacing w:line="280" w:lineRule="atLeast"/>
        <w:jc w:val="center"/>
        <w:rPr>
          <w:rFonts w:eastAsia="Arial"/>
          <w:b/>
        </w:rPr>
      </w:pPr>
      <w:r w:rsidRPr="009300B3">
        <w:rPr>
          <w:rFonts w:eastAsia="Arial"/>
          <w:b/>
        </w:rPr>
        <w:t>BENDROJI DALIS</w:t>
      </w:r>
    </w:p>
    <w:p w14:paraId="1FA6E8FC" w14:textId="77777777" w:rsidR="00132A06" w:rsidRPr="009300B3" w:rsidRDefault="00132A06" w:rsidP="00132A06">
      <w:pPr>
        <w:pStyle w:val="Sraopastraipa"/>
        <w:tabs>
          <w:tab w:val="left" w:pos="284"/>
        </w:tabs>
        <w:spacing w:line="280" w:lineRule="atLeast"/>
        <w:ind w:left="1080"/>
        <w:jc w:val="both"/>
        <w:rPr>
          <w:rFonts w:eastAsia="Arial"/>
          <w:b/>
        </w:rPr>
      </w:pPr>
    </w:p>
    <w:tbl>
      <w:tblPr>
        <w:tblStyle w:val="Lentelstinklelis"/>
        <w:tblW w:w="9493" w:type="dxa"/>
        <w:tblLook w:val="04A0" w:firstRow="1" w:lastRow="0" w:firstColumn="1" w:lastColumn="0" w:noHBand="0" w:noVBand="1"/>
      </w:tblPr>
      <w:tblGrid>
        <w:gridCol w:w="632"/>
        <w:gridCol w:w="3899"/>
        <w:gridCol w:w="4962"/>
      </w:tblGrid>
      <w:tr w:rsidR="00132A06" w:rsidRPr="009300B3" w14:paraId="5BC0B147" w14:textId="77777777" w:rsidTr="00D82E8E">
        <w:trPr>
          <w:trHeight w:val="538"/>
        </w:trPr>
        <w:tc>
          <w:tcPr>
            <w:tcW w:w="632" w:type="dxa"/>
          </w:tcPr>
          <w:p w14:paraId="6144C8D6" w14:textId="77777777" w:rsidR="00132A06" w:rsidRPr="009300B3" w:rsidRDefault="00132A06" w:rsidP="00D82E8E">
            <w:pPr>
              <w:jc w:val="both"/>
              <w:rPr>
                <w:rFonts w:eastAsia="Arial"/>
                <w:b/>
                <w:bCs/>
              </w:rPr>
            </w:pPr>
            <w:bookmarkStart w:id="1" w:name="_Hlk187088187"/>
            <w:r w:rsidRPr="009300B3">
              <w:rPr>
                <w:rFonts w:eastAsia="Arial"/>
                <w:b/>
                <w:bCs/>
              </w:rPr>
              <w:t>1.1</w:t>
            </w:r>
          </w:p>
        </w:tc>
        <w:tc>
          <w:tcPr>
            <w:tcW w:w="3899" w:type="dxa"/>
          </w:tcPr>
          <w:p w14:paraId="26D9A9E9" w14:textId="77777777" w:rsidR="00132A06" w:rsidRPr="009300B3" w:rsidRDefault="00132A06" w:rsidP="00D82E8E">
            <w:pPr>
              <w:jc w:val="both"/>
              <w:rPr>
                <w:rFonts w:eastAsia="Arial"/>
                <w:b/>
                <w:bCs/>
              </w:rPr>
            </w:pPr>
            <w:r w:rsidRPr="009300B3">
              <w:rPr>
                <w:rFonts w:eastAsia="Arial"/>
                <w:b/>
                <w:bCs/>
              </w:rPr>
              <w:t>Pareiškėjas/ pareiškėjo atstovas</w:t>
            </w:r>
          </w:p>
        </w:tc>
        <w:tc>
          <w:tcPr>
            <w:tcW w:w="4962" w:type="dxa"/>
          </w:tcPr>
          <w:p w14:paraId="07582644" w14:textId="77777777" w:rsidR="00132A06" w:rsidRPr="009300B3" w:rsidRDefault="00132A06" w:rsidP="00D82E8E">
            <w:pPr>
              <w:jc w:val="both"/>
              <w:rPr>
                <w:rFonts w:eastAsia="Arial"/>
              </w:rPr>
            </w:pPr>
            <w:r w:rsidRPr="008C59A3">
              <w:t>UAB „</w:t>
            </w:r>
            <w:r>
              <w:t>Takeda</w:t>
            </w:r>
            <w:r w:rsidRPr="008C59A3">
              <w:t>”</w:t>
            </w:r>
          </w:p>
        </w:tc>
      </w:tr>
      <w:tr w:rsidR="00132A06" w:rsidRPr="009300B3" w14:paraId="36138EB7" w14:textId="77777777" w:rsidTr="00D82E8E">
        <w:trPr>
          <w:trHeight w:val="538"/>
        </w:trPr>
        <w:tc>
          <w:tcPr>
            <w:tcW w:w="632" w:type="dxa"/>
          </w:tcPr>
          <w:p w14:paraId="0A5DE1F0" w14:textId="77777777" w:rsidR="00132A06" w:rsidRPr="009300B3" w:rsidRDefault="00132A06" w:rsidP="00D82E8E">
            <w:pPr>
              <w:jc w:val="both"/>
              <w:rPr>
                <w:rFonts w:eastAsia="Arial"/>
                <w:b/>
                <w:bCs/>
              </w:rPr>
            </w:pPr>
            <w:r w:rsidRPr="009300B3">
              <w:rPr>
                <w:rFonts w:eastAsia="Arial"/>
                <w:b/>
                <w:bCs/>
              </w:rPr>
              <w:t>1.2</w:t>
            </w:r>
          </w:p>
        </w:tc>
        <w:tc>
          <w:tcPr>
            <w:tcW w:w="3899" w:type="dxa"/>
          </w:tcPr>
          <w:p w14:paraId="4EB1724D" w14:textId="77777777" w:rsidR="00132A06" w:rsidRPr="009300B3" w:rsidRDefault="00132A06" w:rsidP="00D82E8E">
            <w:pPr>
              <w:jc w:val="both"/>
              <w:rPr>
                <w:b/>
                <w:bCs/>
                <w:lang w:eastAsia="lt-LT"/>
              </w:rPr>
            </w:pPr>
            <w:r w:rsidRPr="009300B3">
              <w:rPr>
                <w:b/>
                <w:bCs/>
                <w:lang w:eastAsia="lt-LT"/>
              </w:rPr>
              <w:t xml:space="preserve">Vaistinio preparato registracijos data </w:t>
            </w:r>
          </w:p>
          <w:p w14:paraId="087AE412" w14:textId="77777777" w:rsidR="00132A06" w:rsidRPr="009300B3" w:rsidRDefault="00132A06" w:rsidP="00D82E8E">
            <w:pPr>
              <w:jc w:val="both"/>
              <w:rPr>
                <w:b/>
                <w:bCs/>
                <w:lang w:eastAsia="lt-LT"/>
              </w:rPr>
            </w:pPr>
          </w:p>
        </w:tc>
        <w:tc>
          <w:tcPr>
            <w:tcW w:w="4962" w:type="dxa"/>
          </w:tcPr>
          <w:p w14:paraId="6D8C2FD2" w14:textId="77777777" w:rsidR="00132A06" w:rsidRPr="009300B3" w:rsidRDefault="00F538EC" w:rsidP="00D82E8E">
            <w:pPr>
              <w:jc w:val="both"/>
              <w:rPr>
                <w:rStyle w:val="Style2"/>
                <w:sz w:val="24"/>
              </w:rPr>
            </w:pPr>
            <w:sdt>
              <w:sdtPr>
                <w:rPr>
                  <w:sz w:val="32"/>
                </w:rPr>
                <w:alias w:val="Nurodykite konkrečią dieną"/>
                <w:tag w:val="Nurodykite pradžios datą"/>
                <w:id w:val="1772196685"/>
                <w:placeholder>
                  <w:docPart w:val="166A8C66AEFD4FEA86E24446828B7157"/>
                </w:placeholder>
                <w15:color w:val="FFCC99"/>
                <w:date w:fullDate="2022-11-10T00:00:00Z">
                  <w:dateFormat w:val="yyyy 'm.' MMMM d 'd.'"/>
                  <w:lid w:val="lt-LT"/>
                  <w:storeMappedDataAs w:val="dateTime"/>
                  <w:calendar w:val="gregorian"/>
                </w:date>
              </w:sdtPr>
              <w:sdtEndPr>
                <w:rPr>
                  <w:sz w:val="24"/>
                </w:rPr>
              </w:sdtEndPr>
              <w:sdtContent>
                <w:r w:rsidR="00132A06">
                  <w:t>2022 m. lapkričio 10 d.</w:t>
                </w:r>
              </w:sdtContent>
            </w:sdt>
          </w:p>
        </w:tc>
      </w:tr>
      <w:tr w:rsidR="00132A06" w:rsidRPr="009300B3" w14:paraId="2776E16C" w14:textId="77777777" w:rsidTr="00D82E8E">
        <w:trPr>
          <w:trHeight w:val="1396"/>
        </w:trPr>
        <w:tc>
          <w:tcPr>
            <w:tcW w:w="632" w:type="dxa"/>
          </w:tcPr>
          <w:p w14:paraId="2756CD09" w14:textId="77777777" w:rsidR="00132A06" w:rsidRPr="009300B3" w:rsidRDefault="00132A06" w:rsidP="00D82E8E">
            <w:pPr>
              <w:jc w:val="both"/>
              <w:rPr>
                <w:rFonts w:eastAsia="Arial"/>
                <w:b/>
                <w:bCs/>
              </w:rPr>
            </w:pPr>
            <w:r w:rsidRPr="009300B3">
              <w:rPr>
                <w:rFonts w:eastAsia="Arial"/>
                <w:b/>
                <w:bCs/>
              </w:rPr>
              <w:t>1.3</w:t>
            </w:r>
          </w:p>
        </w:tc>
        <w:tc>
          <w:tcPr>
            <w:tcW w:w="3899" w:type="dxa"/>
          </w:tcPr>
          <w:p w14:paraId="4804A1D8" w14:textId="77777777" w:rsidR="00132A06" w:rsidRPr="009300B3" w:rsidRDefault="00132A06" w:rsidP="00D82E8E">
            <w:pPr>
              <w:pStyle w:val="Betarp"/>
              <w:jc w:val="both"/>
              <w:rPr>
                <w:rFonts w:ascii="Times New Roman" w:hAnsi="Times New Roman"/>
                <w:b/>
                <w:sz w:val="24"/>
                <w:szCs w:val="24"/>
                <w:shd w:val="clear" w:color="auto" w:fill="FFFFFF"/>
              </w:rPr>
            </w:pPr>
            <w:r w:rsidRPr="009300B3">
              <w:rPr>
                <w:rFonts w:ascii="Times New Roman" w:hAnsi="Times New Roman"/>
                <w:b/>
                <w:sz w:val="24"/>
                <w:szCs w:val="24"/>
              </w:rPr>
              <w:t xml:space="preserve">Vaistinio preparato </w:t>
            </w:r>
            <w:r w:rsidRPr="009300B3">
              <w:rPr>
                <w:rFonts w:ascii="Times New Roman" w:hAnsi="Times New Roman"/>
                <w:b/>
                <w:sz w:val="24"/>
                <w:szCs w:val="24"/>
                <w:shd w:val="clear" w:color="auto" w:fill="FFFFFF"/>
              </w:rPr>
              <w:t>registracijos teisinis pagrindas</w:t>
            </w:r>
          </w:p>
          <w:p w14:paraId="74C1B18F" w14:textId="77777777" w:rsidR="00132A06" w:rsidRPr="009300B3" w:rsidRDefault="00132A06" w:rsidP="00D82E8E">
            <w:pPr>
              <w:pStyle w:val="Betarp"/>
              <w:jc w:val="both"/>
              <w:rPr>
                <w:rFonts w:ascii="Times New Roman" w:hAnsi="Times New Roman"/>
                <w:b/>
                <w:bCs/>
                <w:sz w:val="24"/>
                <w:szCs w:val="24"/>
                <w:lang w:eastAsia="lt-LT"/>
              </w:rPr>
            </w:pPr>
            <w:r w:rsidRPr="009300B3">
              <w:rPr>
                <w:rFonts w:ascii="Times New Roman" w:hAnsi="Times New Roman"/>
                <w:b/>
                <w:sz w:val="24"/>
                <w:szCs w:val="24"/>
                <w:shd w:val="clear" w:color="auto" w:fill="FFFFFF"/>
              </w:rPr>
              <w:t>(</w:t>
            </w:r>
            <w:r w:rsidRPr="009300B3">
              <w:rPr>
                <w:rFonts w:ascii="Times New Roman" w:hAnsi="Times New Roman"/>
                <w:b/>
                <w:sz w:val="24"/>
                <w:szCs w:val="24"/>
              </w:rPr>
              <w:t>Direktyvos 2001/83/EB str.)</w:t>
            </w:r>
          </w:p>
        </w:tc>
        <w:tc>
          <w:tcPr>
            <w:tcW w:w="4962" w:type="dxa"/>
          </w:tcPr>
          <w:p w14:paraId="45C5AFD6" w14:textId="77777777" w:rsidR="00132A06" w:rsidRPr="00DB5616" w:rsidRDefault="00F538EC" w:rsidP="00D82E8E">
            <w:pPr>
              <w:jc w:val="both"/>
            </w:pPr>
            <w:sdt>
              <w:sdtPr>
                <w:rPr>
                  <w:rStyle w:val="Style2"/>
                  <w:sz w:val="24"/>
                </w:rPr>
                <w:id w:val="526292078"/>
                <w15:color w:val="FFCC00"/>
                <w14:checkbox>
                  <w14:checked w14:val="1"/>
                  <w14:checkedState w14:val="2612" w14:font="MS Gothic"/>
                  <w14:uncheckedState w14:val="2610" w14:font="MS Gothic"/>
                </w14:checkbox>
              </w:sdtPr>
              <w:sdtEndPr>
                <w:rPr>
                  <w:rStyle w:val="Style2"/>
                </w:rPr>
              </w:sdtEndPr>
              <w:sdtContent>
                <w:r w:rsidR="00132A06">
                  <w:rPr>
                    <w:rStyle w:val="Style2"/>
                    <w:rFonts w:ascii="MS Gothic" w:eastAsia="MS Gothic" w:hAnsi="MS Gothic" w:hint="eastAsia"/>
                    <w:sz w:val="24"/>
                  </w:rPr>
                  <w:t>☒</w:t>
                </w:r>
              </w:sdtContent>
            </w:sdt>
            <w:r w:rsidR="00132A06" w:rsidRPr="00DB5616">
              <w:t>8.3 str. (pilna byla, pagrįsta savais tyrimais)</w:t>
            </w:r>
          </w:p>
          <w:p w14:paraId="4BF78C5E" w14:textId="77777777" w:rsidR="00132A06" w:rsidRPr="00DB5616" w:rsidRDefault="00F538EC" w:rsidP="00D82E8E">
            <w:pPr>
              <w:jc w:val="both"/>
            </w:pPr>
            <w:sdt>
              <w:sdtPr>
                <w:rPr>
                  <w:rStyle w:val="Style2"/>
                  <w:sz w:val="24"/>
                </w:rPr>
                <w:id w:val="-1497953736"/>
                <w15:color w:val="FFCC00"/>
                <w14:checkbox>
                  <w14:checked w14:val="0"/>
                  <w14:checkedState w14:val="2612" w14:font="MS Gothic"/>
                  <w14:uncheckedState w14:val="2610" w14:font="MS Gothic"/>
                </w14:checkbox>
              </w:sdtPr>
              <w:sdtEndPr>
                <w:rPr>
                  <w:rStyle w:val="Style2"/>
                </w:rPr>
              </w:sdtEndPr>
              <w:sdtContent>
                <w:r w:rsidR="00132A06" w:rsidRPr="00DB5616">
                  <w:rPr>
                    <w:rStyle w:val="Style2"/>
                    <w:rFonts w:ascii="Segoe UI Symbol" w:eastAsia="MS Gothic" w:hAnsi="Segoe UI Symbol" w:cs="Segoe UI Symbol"/>
                    <w:sz w:val="24"/>
                  </w:rPr>
                  <w:t>☐</w:t>
                </w:r>
              </w:sdtContent>
            </w:sdt>
            <w:r w:rsidR="00132A06" w:rsidRPr="00DB5616">
              <w:t>10 a str. (pripažintas medicininis vartojimas)</w:t>
            </w:r>
          </w:p>
          <w:p w14:paraId="72D0D401" w14:textId="77777777" w:rsidR="00132A06" w:rsidRPr="00DB5616" w:rsidRDefault="00F538EC" w:rsidP="00D82E8E">
            <w:pPr>
              <w:jc w:val="both"/>
            </w:pPr>
            <w:sdt>
              <w:sdtPr>
                <w:rPr>
                  <w:rStyle w:val="Style2"/>
                  <w:sz w:val="24"/>
                </w:rPr>
                <w:id w:val="204142496"/>
                <w15:color w:val="FFCC00"/>
                <w14:checkbox>
                  <w14:checked w14:val="0"/>
                  <w14:checkedState w14:val="2612" w14:font="MS Gothic"/>
                  <w14:uncheckedState w14:val="2610" w14:font="MS Gothic"/>
                </w14:checkbox>
              </w:sdtPr>
              <w:sdtEndPr>
                <w:rPr>
                  <w:rStyle w:val="Style2"/>
                </w:rPr>
              </w:sdtEndPr>
              <w:sdtContent>
                <w:r w:rsidR="00132A06" w:rsidRPr="00DB5616">
                  <w:rPr>
                    <w:rStyle w:val="Style2"/>
                    <w:rFonts w:ascii="Segoe UI Symbol" w:eastAsia="MS Gothic" w:hAnsi="Segoe UI Symbol" w:cs="Segoe UI Symbol"/>
                    <w:sz w:val="24"/>
                  </w:rPr>
                  <w:t>☐</w:t>
                </w:r>
              </w:sdtContent>
            </w:sdt>
            <w:r w:rsidR="00132A06" w:rsidRPr="00DB5616">
              <w:t>10.1 str. (generinis)</w:t>
            </w:r>
          </w:p>
          <w:p w14:paraId="50620CBE" w14:textId="77777777" w:rsidR="00132A06" w:rsidRPr="00DB5616" w:rsidRDefault="00F538EC" w:rsidP="00D82E8E">
            <w:pPr>
              <w:jc w:val="both"/>
            </w:pPr>
            <w:sdt>
              <w:sdtPr>
                <w:rPr>
                  <w:rStyle w:val="Style2"/>
                  <w:sz w:val="24"/>
                </w:rPr>
                <w:id w:val="820305101"/>
                <w15:color w:val="FFCC00"/>
                <w14:checkbox>
                  <w14:checked w14:val="0"/>
                  <w14:checkedState w14:val="2612" w14:font="MS Gothic"/>
                  <w14:uncheckedState w14:val="2610" w14:font="MS Gothic"/>
                </w14:checkbox>
              </w:sdtPr>
              <w:sdtEndPr>
                <w:rPr>
                  <w:rStyle w:val="Style2"/>
                </w:rPr>
              </w:sdtEndPr>
              <w:sdtContent>
                <w:r w:rsidR="00132A06" w:rsidRPr="00DB5616">
                  <w:rPr>
                    <w:rStyle w:val="Style2"/>
                    <w:rFonts w:ascii="Segoe UI Symbol" w:eastAsia="MS Gothic" w:hAnsi="Segoe UI Symbol" w:cs="Segoe UI Symbol"/>
                    <w:sz w:val="24"/>
                  </w:rPr>
                  <w:t>☐</w:t>
                </w:r>
              </w:sdtContent>
            </w:sdt>
            <w:r w:rsidR="00132A06" w:rsidRPr="00DB5616">
              <w:t>10.3 str. (hibridinis)</w:t>
            </w:r>
          </w:p>
          <w:p w14:paraId="5C8FC1E5" w14:textId="77777777" w:rsidR="00132A06" w:rsidRPr="00DB5616" w:rsidRDefault="00F538EC" w:rsidP="00D82E8E">
            <w:sdt>
              <w:sdtPr>
                <w:rPr>
                  <w:rStyle w:val="Style2"/>
                  <w:sz w:val="24"/>
                </w:rPr>
                <w:id w:val="-450176040"/>
                <w15:color w:val="FFCC00"/>
                <w14:checkbox>
                  <w14:checked w14:val="0"/>
                  <w14:checkedState w14:val="2612" w14:font="MS Gothic"/>
                  <w14:uncheckedState w14:val="2610" w14:font="MS Gothic"/>
                </w14:checkbox>
              </w:sdtPr>
              <w:sdtEndPr>
                <w:rPr>
                  <w:rStyle w:val="Style2"/>
                </w:rPr>
              </w:sdtEndPr>
              <w:sdtContent>
                <w:r w:rsidR="00132A06" w:rsidRPr="00DB5616">
                  <w:rPr>
                    <w:rStyle w:val="Style2"/>
                    <w:rFonts w:ascii="Segoe UI Symbol" w:eastAsia="MS Gothic" w:hAnsi="Segoe UI Symbol" w:cs="Segoe UI Symbol"/>
                    <w:sz w:val="24"/>
                  </w:rPr>
                  <w:t>☐</w:t>
                </w:r>
              </w:sdtContent>
            </w:sdt>
            <w:r w:rsidR="00132A06" w:rsidRPr="00DB5616">
              <w:t>10.</w:t>
            </w:r>
            <w:r w:rsidR="00132A06">
              <w:t>4</w:t>
            </w:r>
            <w:r w:rsidR="00132A06" w:rsidRPr="00DB5616">
              <w:t xml:space="preserve"> str. (</w:t>
            </w:r>
            <w:r w:rsidR="00132A06" w:rsidRPr="001A0CAA">
              <w:t>panašus biologinis</w:t>
            </w:r>
            <w:r w:rsidR="00132A06" w:rsidRPr="00DB5616">
              <w:t>)</w:t>
            </w:r>
          </w:p>
          <w:p w14:paraId="120E451D" w14:textId="77777777" w:rsidR="00132A06" w:rsidRDefault="00132A06" w:rsidP="00D82E8E">
            <w:pPr>
              <w:jc w:val="both"/>
            </w:pPr>
          </w:p>
          <w:p w14:paraId="487E119F" w14:textId="77777777" w:rsidR="00132A06" w:rsidRPr="009300B3" w:rsidRDefault="00132A06" w:rsidP="00D82E8E">
            <w:pPr>
              <w:jc w:val="both"/>
              <w:rPr>
                <w:rStyle w:val="Style2"/>
                <w:sz w:val="24"/>
              </w:rPr>
            </w:pPr>
          </w:p>
        </w:tc>
      </w:tr>
      <w:tr w:rsidR="00132A06" w:rsidRPr="009300B3" w14:paraId="226DCF58" w14:textId="77777777" w:rsidTr="00D82E8E">
        <w:trPr>
          <w:trHeight w:val="1011"/>
        </w:trPr>
        <w:tc>
          <w:tcPr>
            <w:tcW w:w="632" w:type="dxa"/>
          </w:tcPr>
          <w:p w14:paraId="16B2ABDA" w14:textId="77777777" w:rsidR="00132A06" w:rsidRPr="009300B3" w:rsidRDefault="00132A06" w:rsidP="00D82E8E">
            <w:pPr>
              <w:jc w:val="both"/>
              <w:rPr>
                <w:rFonts w:eastAsia="Arial"/>
                <w:b/>
                <w:bCs/>
              </w:rPr>
            </w:pPr>
            <w:r w:rsidRPr="009300B3">
              <w:rPr>
                <w:rFonts w:eastAsia="Arial"/>
                <w:b/>
              </w:rPr>
              <w:t>1.4</w:t>
            </w:r>
          </w:p>
        </w:tc>
        <w:tc>
          <w:tcPr>
            <w:tcW w:w="3899" w:type="dxa"/>
          </w:tcPr>
          <w:p w14:paraId="5F7785D6" w14:textId="77777777" w:rsidR="00132A06" w:rsidRPr="009300B3" w:rsidRDefault="00132A06" w:rsidP="00D82E8E">
            <w:pPr>
              <w:tabs>
                <w:tab w:val="left" w:pos="284"/>
              </w:tabs>
              <w:spacing w:line="280" w:lineRule="atLeast"/>
              <w:jc w:val="both"/>
              <w:rPr>
                <w:b/>
                <w:bCs/>
                <w:lang w:eastAsia="lt-LT"/>
              </w:rPr>
            </w:pPr>
            <w:r w:rsidRPr="009300B3">
              <w:rPr>
                <w:b/>
                <w:bCs/>
                <w:lang w:eastAsia="lt-LT"/>
              </w:rPr>
              <w:t>Ar vaistinis preparatas įrašytas į Bendrijos retųjų vaistinių preparatų registrą?</w:t>
            </w:r>
          </w:p>
        </w:tc>
        <w:tc>
          <w:tcPr>
            <w:tcW w:w="4962" w:type="dxa"/>
          </w:tcPr>
          <w:p w14:paraId="07565310" w14:textId="77777777" w:rsidR="00132A06" w:rsidRPr="009300B3" w:rsidRDefault="00F538EC" w:rsidP="00D82E8E">
            <w:pPr>
              <w:jc w:val="both"/>
            </w:pPr>
            <w:sdt>
              <w:sdtPr>
                <w:rPr>
                  <w:rStyle w:val="Style2"/>
                  <w:sz w:val="24"/>
                </w:rPr>
                <w:id w:val="1190730465"/>
                <w15:color w:val="FFCC00"/>
                <w14:checkbox>
                  <w14:checked w14:val="1"/>
                  <w14:checkedState w14:val="2612" w14:font="MS Gothic"/>
                  <w14:uncheckedState w14:val="2610" w14:font="MS Gothic"/>
                </w14:checkbox>
              </w:sdtPr>
              <w:sdtEndPr>
                <w:rPr>
                  <w:rStyle w:val="Style2"/>
                </w:rPr>
              </w:sdtEndPr>
              <w:sdtContent>
                <w:r w:rsidR="00132A06">
                  <w:rPr>
                    <w:rStyle w:val="Style2"/>
                    <w:rFonts w:ascii="MS Gothic" w:eastAsia="MS Gothic" w:hAnsi="MS Gothic" w:hint="eastAsia"/>
                    <w:sz w:val="24"/>
                  </w:rPr>
                  <w:t>☒</w:t>
                </w:r>
              </w:sdtContent>
            </w:sdt>
            <w:r w:rsidR="00132A06" w:rsidRPr="009300B3">
              <w:t xml:space="preserve"> Taip       </w:t>
            </w:r>
            <w:r w:rsidR="00132A06" w:rsidRPr="009300B3">
              <w:rPr>
                <w:rStyle w:val="Style2"/>
                <w:sz w:val="24"/>
              </w:rPr>
              <w:t xml:space="preserve"> </w:t>
            </w:r>
            <w:sdt>
              <w:sdtPr>
                <w:rPr>
                  <w:rStyle w:val="Style2"/>
                  <w:sz w:val="24"/>
                </w:rPr>
                <w:id w:val="-1760283509"/>
                <w15:color w:val="FFCC00"/>
                <w14:checkbox>
                  <w14:checked w14:val="0"/>
                  <w14:checkedState w14:val="2612" w14:font="MS Gothic"/>
                  <w14:uncheckedState w14:val="2610" w14:font="MS Gothic"/>
                </w14:checkbox>
              </w:sdtPr>
              <w:sdtEndPr>
                <w:rPr>
                  <w:rStyle w:val="Style2"/>
                </w:rPr>
              </w:sdtEndPr>
              <w:sdtContent>
                <w:r w:rsidR="00132A06" w:rsidRPr="009300B3">
                  <w:rPr>
                    <w:rStyle w:val="Style2"/>
                    <w:rFonts w:ascii="MS Gothic" w:eastAsia="MS Gothic" w:hAnsi="MS Gothic" w:hint="eastAsia"/>
                    <w:sz w:val="24"/>
                  </w:rPr>
                  <w:t>☐</w:t>
                </w:r>
              </w:sdtContent>
            </w:sdt>
            <w:r w:rsidR="00132A06" w:rsidRPr="009300B3">
              <w:t xml:space="preserve"> Ne</w:t>
            </w:r>
          </w:p>
          <w:p w14:paraId="15BD4B02" w14:textId="77777777" w:rsidR="00132A06" w:rsidRPr="009300B3" w:rsidRDefault="00132A06" w:rsidP="00D82E8E">
            <w:pPr>
              <w:jc w:val="both"/>
            </w:pPr>
            <w:r w:rsidRPr="009300B3">
              <w:t xml:space="preserve">Data: </w:t>
            </w:r>
            <w:sdt>
              <w:sdtPr>
                <w:alias w:val="Nurodykite konkrečią dieną"/>
                <w:tag w:val="Nurodykite pradžios datą"/>
                <w:id w:val="1784158105"/>
                <w:placeholder>
                  <w:docPart w:val="91D3D282C03549C7AF4457DBC96FACBB"/>
                </w:placeholder>
                <w15:color w:val="FFCC99"/>
                <w:date w:fullDate="2013-06-07T00:00:00Z">
                  <w:dateFormat w:val="yyyy 'm.' MMMM d 'd.'"/>
                  <w:lid w:val="lt-LT"/>
                  <w:storeMappedDataAs w:val="dateTime"/>
                  <w:calendar w:val="gregorian"/>
                </w:date>
              </w:sdtPr>
              <w:sdtEndPr/>
              <w:sdtContent>
                <w:r>
                  <w:t>2013 m. birželio 7 d.</w:t>
                </w:r>
              </w:sdtContent>
            </w:sdt>
          </w:p>
          <w:p w14:paraId="19F33610" w14:textId="77777777" w:rsidR="00132A06" w:rsidRPr="009300B3" w:rsidRDefault="00132A06" w:rsidP="00D82E8E">
            <w:pPr>
              <w:jc w:val="both"/>
              <w:rPr>
                <w:rFonts w:eastAsia="Arial"/>
              </w:rPr>
            </w:pPr>
            <w:r w:rsidRPr="009300B3">
              <w:t>Nr.</w:t>
            </w:r>
            <w:r>
              <w:t xml:space="preserve"> EU/3/13/1133</w:t>
            </w:r>
          </w:p>
        </w:tc>
      </w:tr>
      <w:tr w:rsidR="00132A06" w:rsidRPr="009300B3" w14:paraId="33ED000E" w14:textId="77777777" w:rsidTr="00D82E8E">
        <w:trPr>
          <w:trHeight w:val="1011"/>
        </w:trPr>
        <w:tc>
          <w:tcPr>
            <w:tcW w:w="632" w:type="dxa"/>
          </w:tcPr>
          <w:p w14:paraId="69B81A0A" w14:textId="77777777" w:rsidR="00132A06" w:rsidRPr="009300B3" w:rsidRDefault="00132A06" w:rsidP="00D82E8E">
            <w:pPr>
              <w:jc w:val="both"/>
              <w:rPr>
                <w:rFonts w:eastAsia="Arial"/>
                <w:b/>
              </w:rPr>
            </w:pPr>
            <w:r w:rsidRPr="009300B3">
              <w:rPr>
                <w:rFonts w:eastAsia="Arial"/>
                <w:b/>
                <w:bCs/>
              </w:rPr>
              <w:t>1.5</w:t>
            </w:r>
          </w:p>
        </w:tc>
        <w:tc>
          <w:tcPr>
            <w:tcW w:w="3899" w:type="dxa"/>
          </w:tcPr>
          <w:p w14:paraId="56CBDEE1" w14:textId="77777777" w:rsidR="00132A06" w:rsidRPr="009300B3" w:rsidRDefault="00132A06" w:rsidP="00D82E8E">
            <w:pPr>
              <w:tabs>
                <w:tab w:val="left" w:pos="284"/>
              </w:tabs>
              <w:spacing w:line="280" w:lineRule="atLeast"/>
              <w:jc w:val="both"/>
              <w:rPr>
                <w:b/>
                <w:bCs/>
                <w:lang w:eastAsia="lt-LT"/>
              </w:rPr>
            </w:pPr>
            <w:r w:rsidRPr="009300B3">
              <w:rPr>
                <w:b/>
                <w:bCs/>
                <w:lang w:eastAsia="lt-LT"/>
              </w:rPr>
              <w:t>Ar atliktas bendras klinikinis vertinimas</w:t>
            </w:r>
          </w:p>
          <w:p w14:paraId="66323122" w14:textId="77777777" w:rsidR="00132A06" w:rsidRPr="009300B3" w:rsidRDefault="00132A06" w:rsidP="00D82E8E">
            <w:pPr>
              <w:tabs>
                <w:tab w:val="left" w:pos="284"/>
              </w:tabs>
              <w:spacing w:line="280" w:lineRule="atLeast"/>
              <w:jc w:val="both"/>
              <w:rPr>
                <w:b/>
                <w:bCs/>
                <w:lang w:eastAsia="lt-LT"/>
              </w:rPr>
            </w:pPr>
            <w:r w:rsidRPr="009300B3">
              <w:rPr>
                <w:b/>
                <w:bCs/>
                <w:lang w:eastAsia="lt-LT"/>
              </w:rPr>
              <w:t>(Europos Parlamento ir Tarybos reglamentas (ES) 2021/2282)</w:t>
            </w:r>
          </w:p>
        </w:tc>
        <w:tc>
          <w:tcPr>
            <w:tcW w:w="4962" w:type="dxa"/>
          </w:tcPr>
          <w:p w14:paraId="2E93C590" w14:textId="0589D54A" w:rsidR="00132A06" w:rsidRPr="009300B3" w:rsidRDefault="00F538EC" w:rsidP="00D82E8E">
            <w:pPr>
              <w:jc w:val="both"/>
            </w:pPr>
            <w:sdt>
              <w:sdtPr>
                <w:rPr>
                  <w:rStyle w:val="Style2"/>
                  <w:sz w:val="24"/>
                </w:rPr>
                <w:id w:val="-1171564470"/>
                <w15:color w:val="FFCC00"/>
                <w14:checkbox>
                  <w14:checked w14:val="0"/>
                  <w14:checkedState w14:val="2612" w14:font="MS Gothic"/>
                  <w14:uncheckedState w14:val="2610" w14:font="MS Gothic"/>
                </w14:checkbox>
              </w:sdtPr>
              <w:sdtEndPr>
                <w:rPr>
                  <w:rStyle w:val="Style2"/>
                </w:rPr>
              </w:sdtEndPr>
              <w:sdtContent>
                <w:r w:rsidR="00132A06" w:rsidRPr="009300B3">
                  <w:rPr>
                    <w:rStyle w:val="Style2"/>
                    <w:rFonts w:ascii="Segoe UI Symbol" w:eastAsia="MS Gothic" w:hAnsi="Segoe UI Symbol" w:cs="Segoe UI Symbol"/>
                    <w:sz w:val="24"/>
                  </w:rPr>
                  <w:t>☐</w:t>
                </w:r>
              </w:sdtContent>
            </w:sdt>
            <w:r w:rsidR="00132A06" w:rsidRPr="009300B3">
              <w:t xml:space="preserve"> Taip       </w:t>
            </w:r>
            <w:r w:rsidR="00132A06" w:rsidRPr="009300B3">
              <w:rPr>
                <w:rStyle w:val="Style2"/>
                <w:sz w:val="24"/>
              </w:rPr>
              <w:t xml:space="preserve"> </w:t>
            </w:r>
            <w:sdt>
              <w:sdtPr>
                <w:rPr>
                  <w:rStyle w:val="Style2"/>
                  <w:sz w:val="24"/>
                </w:rPr>
                <w:id w:val="1448122567"/>
                <w15:color w:val="FFCC00"/>
                <w14:checkbox>
                  <w14:checked w14:val="1"/>
                  <w14:checkedState w14:val="2612" w14:font="MS Gothic"/>
                  <w14:uncheckedState w14:val="2610" w14:font="MS Gothic"/>
                </w14:checkbox>
              </w:sdtPr>
              <w:sdtEndPr>
                <w:rPr>
                  <w:rStyle w:val="Style2"/>
                </w:rPr>
              </w:sdtEndPr>
              <w:sdtContent>
                <w:r w:rsidR="006509CD">
                  <w:rPr>
                    <w:rStyle w:val="Style2"/>
                    <w:rFonts w:ascii="MS Gothic" w:eastAsia="MS Gothic" w:hAnsi="MS Gothic" w:hint="eastAsia"/>
                    <w:sz w:val="24"/>
                  </w:rPr>
                  <w:t>☒</w:t>
                </w:r>
              </w:sdtContent>
            </w:sdt>
            <w:r w:rsidR="00132A06" w:rsidRPr="009300B3">
              <w:t xml:space="preserve"> Ne</w:t>
            </w:r>
          </w:p>
          <w:p w14:paraId="760EE17A" w14:textId="77777777" w:rsidR="00132A06" w:rsidRPr="009300B3" w:rsidRDefault="00132A06" w:rsidP="00D82E8E">
            <w:pPr>
              <w:jc w:val="both"/>
              <w:rPr>
                <w:rStyle w:val="Style2"/>
                <w:sz w:val="24"/>
              </w:rPr>
            </w:pPr>
            <w:r w:rsidRPr="009300B3">
              <w:t xml:space="preserve">Data: </w:t>
            </w:r>
            <w:sdt>
              <w:sdtPr>
                <w:alias w:val="Nurodykite konkrečią dieną"/>
                <w:tag w:val="Nurodykite pradžios datą"/>
                <w:id w:val="1516880001"/>
                <w:placeholder>
                  <w:docPart w:val="A7C56392517A461B80DA40086FE4B970"/>
                </w:placeholder>
                <w:showingPlcHdr/>
                <w15:color w:val="FFCC99"/>
                <w:date w:fullDate="2022-05-18T00:00:00Z">
                  <w:dateFormat w:val="yyyy 'm.' MMMM d 'd.'"/>
                  <w:lid w:val="lt-LT"/>
                  <w:storeMappedDataAs w:val="dateTime"/>
                  <w:calendar w:val="gregorian"/>
                </w:date>
              </w:sdtPr>
              <w:sdtEndPr/>
              <w:sdtContent>
                <w:r w:rsidRPr="009300B3">
                  <w:rPr>
                    <w:rStyle w:val="Vietosrezervavimoenklotekstas"/>
                    <w:color w:val="auto"/>
                  </w:rPr>
                  <w:t>Click here to enter a date.</w:t>
                </w:r>
              </w:sdtContent>
            </w:sdt>
            <w:r w:rsidRPr="009300B3">
              <w:t xml:space="preserve"> </w:t>
            </w:r>
          </w:p>
        </w:tc>
      </w:tr>
      <w:tr w:rsidR="00132A06" w:rsidRPr="009300B3" w14:paraId="5BFC2060" w14:textId="77777777" w:rsidTr="00D82E8E">
        <w:trPr>
          <w:trHeight w:val="1278"/>
        </w:trPr>
        <w:tc>
          <w:tcPr>
            <w:tcW w:w="632" w:type="dxa"/>
          </w:tcPr>
          <w:p w14:paraId="2627E0F2" w14:textId="77777777" w:rsidR="00132A06" w:rsidRPr="009300B3" w:rsidRDefault="00132A06" w:rsidP="00D82E8E">
            <w:pPr>
              <w:jc w:val="both"/>
              <w:rPr>
                <w:rFonts w:eastAsia="Arial"/>
                <w:b/>
                <w:bCs/>
              </w:rPr>
            </w:pPr>
            <w:r w:rsidRPr="009300B3">
              <w:rPr>
                <w:rFonts w:eastAsia="Arial"/>
                <w:b/>
                <w:bCs/>
              </w:rPr>
              <w:t>1.6</w:t>
            </w:r>
          </w:p>
        </w:tc>
        <w:tc>
          <w:tcPr>
            <w:tcW w:w="3899" w:type="dxa"/>
          </w:tcPr>
          <w:p w14:paraId="62ED5ECE" w14:textId="77777777" w:rsidR="00132A06" w:rsidRPr="009300B3" w:rsidRDefault="00132A06" w:rsidP="00D82E8E">
            <w:pPr>
              <w:jc w:val="both"/>
              <w:rPr>
                <w:b/>
                <w:bCs/>
                <w:lang w:eastAsia="lt-LT"/>
              </w:rPr>
            </w:pPr>
            <w:r w:rsidRPr="009300B3">
              <w:rPr>
                <w:b/>
                <w:bCs/>
                <w:lang w:eastAsia="lt-LT"/>
              </w:rPr>
              <w:t xml:space="preserve">Teikiama kompensuoti terapinė indikacija </w:t>
            </w:r>
          </w:p>
          <w:p w14:paraId="475AFC32" w14:textId="77777777" w:rsidR="00132A06" w:rsidRPr="009300B3" w:rsidRDefault="00132A06" w:rsidP="00D82E8E">
            <w:pPr>
              <w:jc w:val="both"/>
              <w:rPr>
                <w:b/>
                <w:bCs/>
                <w:lang w:eastAsia="lt-LT"/>
              </w:rPr>
            </w:pPr>
          </w:p>
          <w:p w14:paraId="0889F192" w14:textId="77777777" w:rsidR="00132A06" w:rsidRPr="009300B3" w:rsidRDefault="00132A06" w:rsidP="00D82E8E">
            <w:pPr>
              <w:jc w:val="both"/>
              <w:rPr>
                <w:b/>
                <w:bCs/>
                <w:lang w:eastAsia="lt-LT"/>
              </w:rPr>
            </w:pPr>
            <w:r w:rsidRPr="009300B3">
              <w:rPr>
                <w:b/>
                <w:bCs/>
                <w:lang w:eastAsia="lt-LT"/>
              </w:rPr>
              <w:t>Kodas pagal TLK-10 AM</w:t>
            </w:r>
          </w:p>
        </w:tc>
        <w:tc>
          <w:tcPr>
            <w:tcW w:w="4962" w:type="dxa"/>
          </w:tcPr>
          <w:p w14:paraId="2F0514A1" w14:textId="77777777" w:rsidR="00132A06" w:rsidRPr="009300B3" w:rsidRDefault="00132A06" w:rsidP="00D82E8E">
            <w:pPr>
              <w:jc w:val="both"/>
            </w:pPr>
            <w:r w:rsidRPr="008F591B">
              <w:t>LIVTENCITY yra skirtas citomegaloviruso (CMV) infekcijai ir (arba) ligai, sunkiai pasiduodančiai</w:t>
            </w:r>
            <w:r>
              <w:t xml:space="preserve"> </w:t>
            </w:r>
            <w:r w:rsidRPr="008F591B">
              <w:t>(atspariai arba neatspariai) vienam ar daugiau ankstesnių gydymo būdų, įskaitant ganciklovirą,</w:t>
            </w:r>
            <w:r>
              <w:t xml:space="preserve"> </w:t>
            </w:r>
            <w:r w:rsidRPr="008F591B">
              <w:t xml:space="preserve">valganciklovirą, cidofovirą arba foskarnetą, </w:t>
            </w:r>
            <w:r w:rsidRPr="00185364">
              <w:t>gydyti</w:t>
            </w:r>
            <w:r w:rsidRPr="008F591B">
              <w:t xml:space="preserve"> suaugusiems pacientams, kuriems atlikta</w:t>
            </w:r>
            <w:r>
              <w:t xml:space="preserve"> </w:t>
            </w:r>
            <w:r w:rsidRPr="008F591B">
              <w:t xml:space="preserve">kraujodaros </w:t>
            </w:r>
            <w:r w:rsidRPr="008F591B">
              <w:lastRenderedPageBreak/>
              <w:t>kamieninių ląstelių transplantacija (KKLT) arba solidinių organų transplantacija (SOT).</w:t>
            </w:r>
          </w:p>
          <w:p w14:paraId="70F52CDE" w14:textId="77777777" w:rsidR="00132A06" w:rsidRPr="009300B3" w:rsidRDefault="00132A06" w:rsidP="00D82E8E">
            <w:pPr>
              <w:jc w:val="both"/>
            </w:pPr>
          </w:p>
          <w:p w14:paraId="08C72C53" w14:textId="77777777" w:rsidR="00132A06" w:rsidRPr="009300B3" w:rsidRDefault="00132A06" w:rsidP="00D82E8E">
            <w:pPr>
              <w:jc w:val="both"/>
            </w:pPr>
            <w:r>
              <w:t>Z94</w:t>
            </w:r>
          </w:p>
        </w:tc>
      </w:tr>
      <w:tr w:rsidR="00132A06" w:rsidRPr="009300B3" w14:paraId="4FB28003" w14:textId="77777777" w:rsidTr="00D82E8E">
        <w:trPr>
          <w:trHeight w:val="378"/>
        </w:trPr>
        <w:tc>
          <w:tcPr>
            <w:tcW w:w="632" w:type="dxa"/>
          </w:tcPr>
          <w:p w14:paraId="7272F3DD" w14:textId="77777777" w:rsidR="00132A06" w:rsidRPr="009300B3" w:rsidRDefault="00132A06" w:rsidP="00D82E8E">
            <w:pPr>
              <w:jc w:val="both"/>
              <w:rPr>
                <w:rFonts w:eastAsia="Arial"/>
                <w:b/>
                <w:bCs/>
              </w:rPr>
            </w:pPr>
            <w:r w:rsidRPr="009300B3">
              <w:rPr>
                <w:rFonts w:eastAsia="Arial"/>
                <w:b/>
                <w:bCs/>
              </w:rPr>
              <w:lastRenderedPageBreak/>
              <w:t>1.7</w:t>
            </w:r>
          </w:p>
        </w:tc>
        <w:tc>
          <w:tcPr>
            <w:tcW w:w="3899" w:type="dxa"/>
          </w:tcPr>
          <w:p w14:paraId="3F026231" w14:textId="77777777" w:rsidR="00132A06" w:rsidRPr="009300B3" w:rsidRDefault="00132A06" w:rsidP="00D82E8E">
            <w:pPr>
              <w:jc w:val="both"/>
              <w:rPr>
                <w:b/>
                <w:bCs/>
                <w:u w:val="single"/>
                <w:lang w:eastAsia="lt-LT"/>
              </w:rPr>
            </w:pPr>
            <w:r w:rsidRPr="009300B3">
              <w:rPr>
                <w:b/>
                <w:bCs/>
                <w:lang w:eastAsia="lt-LT"/>
              </w:rPr>
              <w:t xml:space="preserve">Teikiamos skyrimo sąlygos </w:t>
            </w:r>
          </w:p>
        </w:tc>
        <w:tc>
          <w:tcPr>
            <w:tcW w:w="4962" w:type="dxa"/>
          </w:tcPr>
          <w:p w14:paraId="597DC3D9" w14:textId="77777777" w:rsidR="00132A06" w:rsidRPr="009300B3" w:rsidRDefault="00132A06" w:rsidP="00D82E8E">
            <w:pPr>
              <w:jc w:val="both"/>
            </w:pPr>
            <w:r w:rsidRPr="009300B3">
              <w:t>Neteikiama</w:t>
            </w:r>
          </w:p>
          <w:p w14:paraId="48CF31B3" w14:textId="77777777" w:rsidR="00132A06" w:rsidRPr="009300B3" w:rsidRDefault="00132A06" w:rsidP="00D82E8E">
            <w:pPr>
              <w:jc w:val="both"/>
            </w:pPr>
          </w:p>
        </w:tc>
      </w:tr>
      <w:tr w:rsidR="00132A06" w:rsidRPr="009300B3" w14:paraId="7F35124F" w14:textId="77777777" w:rsidTr="00D82E8E">
        <w:trPr>
          <w:trHeight w:val="378"/>
        </w:trPr>
        <w:tc>
          <w:tcPr>
            <w:tcW w:w="632" w:type="dxa"/>
          </w:tcPr>
          <w:p w14:paraId="0DE5C0B8" w14:textId="77777777" w:rsidR="00132A06" w:rsidRPr="009300B3" w:rsidRDefault="00132A06" w:rsidP="00D82E8E">
            <w:pPr>
              <w:jc w:val="both"/>
              <w:rPr>
                <w:rFonts w:eastAsia="Arial"/>
                <w:b/>
                <w:bCs/>
              </w:rPr>
            </w:pPr>
            <w:r w:rsidRPr="009300B3">
              <w:rPr>
                <w:rFonts w:eastAsia="Arial"/>
                <w:b/>
                <w:bCs/>
              </w:rPr>
              <w:t>1.8</w:t>
            </w:r>
          </w:p>
        </w:tc>
        <w:tc>
          <w:tcPr>
            <w:tcW w:w="3899" w:type="dxa"/>
          </w:tcPr>
          <w:p w14:paraId="421F0D37" w14:textId="77777777" w:rsidR="00132A06" w:rsidRPr="009300B3" w:rsidRDefault="00132A06" w:rsidP="00D82E8E">
            <w:pPr>
              <w:jc w:val="both"/>
              <w:rPr>
                <w:b/>
                <w:bCs/>
                <w:lang w:eastAsia="lt-LT"/>
              </w:rPr>
            </w:pPr>
            <w:r w:rsidRPr="009300B3">
              <w:rPr>
                <w:b/>
                <w:bCs/>
                <w:lang w:eastAsia="lt-LT"/>
              </w:rPr>
              <w:t>Ekonominė analizė</w:t>
            </w:r>
          </w:p>
        </w:tc>
        <w:tc>
          <w:tcPr>
            <w:tcW w:w="4962" w:type="dxa"/>
          </w:tcPr>
          <w:p w14:paraId="3C4ABD90" w14:textId="77777777" w:rsidR="00132A06" w:rsidRPr="009300B3" w:rsidRDefault="00F538EC" w:rsidP="00D82E8E">
            <w:pPr>
              <w:jc w:val="both"/>
            </w:pPr>
            <w:sdt>
              <w:sdtPr>
                <w:rPr>
                  <w:rStyle w:val="Style2"/>
                  <w:sz w:val="24"/>
                </w:rPr>
                <w:id w:val="356323367"/>
                <w15:color w:val="FFCC00"/>
                <w14:checkbox>
                  <w14:checked w14:val="1"/>
                  <w14:checkedState w14:val="2612" w14:font="MS Gothic"/>
                  <w14:uncheckedState w14:val="2610" w14:font="MS Gothic"/>
                </w14:checkbox>
              </w:sdtPr>
              <w:sdtEndPr>
                <w:rPr>
                  <w:rStyle w:val="Style2"/>
                </w:rPr>
              </w:sdtEndPr>
              <w:sdtContent>
                <w:r w:rsidR="00132A06">
                  <w:rPr>
                    <w:rStyle w:val="Style2"/>
                    <w:rFonts w:ascii="MS Gothic" w:eastAsia="MS Gothic" w:hAnsi="MS Gothic" w:hint="eastAsia"/>
                    <w:sz w:val="24"/>
                  </w:rPr>
                  <w:t>☒</w:t>
                </w:r>
              </w:sdtContent>
            </w:sdt>
            <w:r w:rsidR="00132A06" w:rsidRPr="009300B3">
              <w:t xml:space="preserve"> Kaštų naudingumo analizė</w:t>
            </w:r>
          </w:p>
          <w:p w14:paraId="1A571B33" w14:textId="77777777" w:rsidR="00132A06" w:rsidRDefault="00F538EC" w:rsidP="00D82E8E">
            <w:pPr>
              <w:jc w:val="both"/>
            </w:pPr>
            <w:sdt>
              <w:sdtPr>
                <w:rPr>
                  <w:rStyle w:val="Style2"/>
                  <w:sz w:val="24"/>
                </w:rPr>
                <w:id w:val="-250506580"/>
                <w15:color w:val="FFCC00"/>
                <w14:checkbox>
                  <w14:checked w14:val="0"/>
                  <w14:checkedState w14:val="2612" w14:font="MS Gothic"/>
                  <w14:uncheckedState w14:val="2610" w14:font="MS Gothic"/>
                </w14:checkbox>
              </w:sdtPr>
              <w:sdtEndPr>
                <w:rPr>
                  <w:rStyle w:val="Style2"/>
                </w:rPr>
              </w:sdtEndPr>
              <w:sdtContent>
                <w:r w:rsidR="00132A06" w:rsidRPr="009300B3">
                  <w:rPr>
                    <w:rStyle w:val="Style2"/>
                    <w:rFonts w:ascii="Segoe UI Symbol" w:eastAsia="MS Gothic" w:hAnsi="Segoe UI Symbol" w:cs="Segoe UI Symbol"/>
                    <w:sz w:val="24"/>
                  </w:rPr>
                  <w:t>☐</w:t>
                </w:r>
              </w:sdtContent>
            </w:sdt>
            <w:r w:rsidR="00132A06" w:rsidRPr="009300B3">
              <w:t xml:space="preserve"> Kaštų mažinimo analizė</w:t>
            </w:r>
          </w:p>
          <w:p w14:paraId="1ABB3DDC" w14:textId="77777777" w:rsidR="00132A06" w:rsidRPr="009300B3" w:rsidRDefault="00F538EC" w:rsidP="00D82E8E">
            <w:pPr>
              <w:jc w:val="both"/>
            </w:pPr>
            <w:sdt>
              <w:sdtPr>
                <w:rPr>
                  <w:rStyle w:val="Style2"/>
                  <w:sz w:val="24"/>
                </w:rPr>
                <w:id w:val="-1517455044"/>
                <w15:color w:val="FFCC00"/>
                <w14:checkbox>
                  <w14:checked w14:val="0"/>
                  <w14:checkedState w14:val="2612" w14:font="MS Gothic"/>
                  <w14:uncheckedState w14:val="2610" w14:font="MS Gothic"/>
                </w14:checkbox>
              </w:sdtPr>
              <w:sdtEndPr>
                <w:rPr>
                  <w:rStyle w:val="Style2"/>
                </w:rPr>
              </w:sdtEndPr>
              <w:sdtContent>
                <w:r w:rsidR="00132A06" w:rsidRPr="009300B3">
                  <w:rPr>
                    <w:rStyle w:val="Style2"/>
                    <w:rFonts w:ascii="Segoe UI Symbol" w:eastAsia="MS Gothic" w:hAnsi="Segoe UI Symbol" w:cs="Segoe UI Symbol"/>
                    <w:sz w:val="24"/>
                  </w:rPr>
                  <w:t>☐</w:t>
                </w:r>
              </w:sdtContent>
            </w:sdt>
            <w:r w:rsidR="00132A06">
              <w:t xml:space="preserve"> Neteikiama</w:t>
            </w:r>
          </w:p>
          <w:p w14:paraId="1C40DB98" w14:textId="77777777" w:rsidR="00132A06" w:rsidRPr="009300B3" w:rsidRDefault="00132A06" w:rsidP="00D82E8E">
            <w:pPr>
              <w:jc w:val="both"/>
            </w:pPr>
          </w:p>
        </w:tc>
      </w:tr>
    </w:tbl>
    <w:bookmarkEnd w:id="1"/>
    <w:p w14:paraId="2EB7FD31" w14:textId="5615B363" w:rsidR="007A2B68" w:rsidRPr="00334F18" w:rsidRDefault="00DC261A" w:rsidP="00063A50">
      <w:pPr>
        <w:pStyle w:val="Sraopastraipa"/>
        <w:tabs>
          <w:tab w:val="left" w:pos="426"/>
        </w:tabs>
        <w:ind w:left="0"/>
        <w:jc w:val="center"/>
        <w:rPr>
          <w:b/>
          <w:bCs/>
          <w:caps/>
        </w:rPr>
      </w:pPr>
      <w:r w:rsidRPr="00334F18">
        <w:rPr>
          <w:b/>
          <w:bCs/>
          <w:caps/>
        </w:rPr>
        <w:t>___________________</w:t>
      </w:r>
    </w:p>
    <w:p w14:paraId="73290081" w14:textId="77777777" w:rsidR="007A2B68" w:rsidRPr="00334F18" w:rsidRDefault="007A2B68">
      <w:pPr>
        <w:rPr>
          <w:b/>
          <w:bCs/>
          <w:caps/>
        </w:rPr>
      </w:pPr>
      <w:r w:rsidRPr="00334F18">
        <w:rPr>
          <w:b/>
          <w:bCs/>
          <w:caps/>
        </w:rPr>
        <w:br w:type="page"/>
      </w:r>
    </w:p>
    <w:p w14:paraId="5055E8A8" w14:textId="6F4A3476" w:rsidR="002E6F80" w:rsidRPr="00334F18" w:rsidRDefault="001E0B2D" w:rsidP="00CC09D4">
      <w:pPr>
        <w:pStyle w:val="Sraopastraipa"/>
        <w:numPr>
          <w:ilvl w:val="0"/>
          <w:numId w:val="12"/>
        </w:numPr>
        <w:tabs>
          <w:tab w:val="left" w:pos="567"/>
        </w:tabs>
        <w:ind w:hanging="720"/>
        <w:rPr>
          <w:b/>
          <w:bCs/>
          <w:caps/>
        </w:rPr>
      </w:pPr>
      <w:r w:rsidRPr="00334F18">
        <w:rPr>
          <w:b/>
          <w:bCs/>
          <w:caps/>
        </w:rPr>
        <w:lastRenderedPageBreak/>
        <w:t xml:space="preserve">BENDRO </w:t>
      </w:r>
      <w:r w:rsidR="00CC7832" w:rsidRPr="00334F18">
        <w:rPr>
          <w:b/>
          <w:bCs/>
          <w:caps/>
        </w:rPr>
        <w:t>Klinikinio vertinimo a</w:t>
      </w:r>
      <w:r w:rsidR="00D4485B" w:rsidRPr="00334F18">
        <w:rPr>
          <w:b/>
          <w:bCs/>
          <w:caps/>
        </w:rPr>
        <w:t>pibendrinimas</w:t>
      </w:r>
    </w:p>
    <w:p w14:paraId="25F89291" w14:textId="5C45C8FC" w:rsidR="00D4485B" w:rsidRDefault="00D4485B" w:rsidP="00A93AA6">
      <w:pPr>
        <w:pStyle w:val="Sraopastraipa"/>
        <w:tabs>
          <w:tab w:val="left" w:pos="426"/>
        </w:tabs>
        <w:ind w:left="0"/>
        <w:rPr>
          <w:b/>
          <w:bCs/>
          <w:caps/>
        </w:rPr>
      </w:pPr>
    </w:p>
    <w:p w14:paraId="3434D76C" w14:textId="7BCB9F89" w:rsidR="00B232A3" w:rsidRDefault="00A90CB4" w:rsidP="00A90CB4">
      <w:pPr>
        <w:tabs>
          <w:tab w:val="left" w:pos="567"/>
        </w:tabs>
        <w:spacing w:line="276" w:lineRule="auto"/>
        <w:jc w:val="both"/>
        <w:rPr>
          <w:rFonts w:eastAsia="Arial"/>
          <w:color w:val="000000"/>
        </w:rPr>
      </w:pPr>
      <w:r>
        <w:rPr>
          <w:rFonts w:eastAsia="Arial"/>
          <w:color w:val="000000"/>
        </w:rPr>
        <w:tab/>
        <w:t>Citomegalo virusas (</w:t>
      </w:r>
      <w:r w:rsidR="006B43E4" w:rsidRPr="00200CD3">
        <w:rPr>
          <w:rFonts w:eastAsia="Arial"/>
          <w:color w:val="000000"/>
        </w:rPr>
        <w:t>CMV</w:t>
      </w:r>
      <w:r>
        <w:rPr>
          <w:rFonts w:eastAsia="Arial"/>
          <w:color w:val="000000"/>
        </w:rPr>
        <w:t>)</w:t>
      </w:r>
      <w:r w:rsidR="006B43E4" w:rsidRPr="00200CD3">
        <w:rPr>
          <w:rFonts w:eastAsia="Arial"/>
          <w:color w:val="000000"/>
        </w:rPr>
        <w:t xml:space="preserve"> yra plačiai paplitęs </w:t>
      </w:r>
      <w:r w:rsidR="006B43E4" w:rsidRPr="00A90CB4">
        <w:rPr>
          <w:rFonts w:eastAsia="Arial"/>
          <w:i/>
          <w:iCs/>
          <w:color w:val="000000"/>
        </w:rPr>
        <w:t>Herpesviridae</w:t>
      </w:r>
      <w:r w:rsidR="006B43E4" w:rsidRPr="00200CD3">
        <w:rPr>
          <w:rFonts w:eastAsia="Arial"/>
          <w:color w:val="000000"/>
        </w:rPr>
        <w:t xml:space="preserve"> </w:t>
      </w:r>
      <w:r w:rsidR="00B232A3">
        <w:rPr>
          <w:rFonts w:eastAsia="Arial"/>
          <w:color w:val="000000"/>
        </w:rPr>
        <w:t xml:space="preserve">šeimos </w:t>
      </w:r>
      <w:r w:rsidR="006B43E4" w:rsidRPr="00200CD3">
        <w:rPr>
          <w:rFonts w:eastAsia="Arial"/>
          <w:color w:val="000000"/>
        </w:rPr>
        <w:t xml:space="preserve">virusas, kuris organo transplantacijos (OT) ir kraujodaros kamieninių ląstelių transplantacijos (KKLT) recipientams gali </w:t>
      </w:r>
      <w:r w:rsidR="00B232A3">
        <w:rPr>
          <w:rFonts w:eastAsia="Arial"/>
          <w:color w:val="000000"/>
        </w:rPr>
        <w:t>sukelti</w:t>
      </w:r>
      <w:r w:rsidR="006B43E4" w:rsidRPr="00200CD3">
        <w:rPr>
          <w:rFonts w:eastAsia="Arial"/>
          <w:color w:val="000000"/>
        </w:rPr>
        <w:t xml:space="preserve"> gyvybei pavojingą CMV infekciją ir (arba) CMV ligą.</w:t>
      </w:r>
      <w:r w:rsidR="006B43E4" w:rsidRPr="000A1EA5">
        <w:rPr>
          <w:rFonts w:eastAsia="Arial"/>
          <w:color w:val="000000"/>
        </w:rPr>
        <w:t xml:space="preserve"> </w:t>
      </w:r>
      <w:r w:rsidR="006B43E4" w:rsidRPr="00200CD3">
        <w:rPr>
          <w:rFonts w:eastAsia="Arial"/>
          <w:color w:val="000000"/>
        </w:rPr>
        <w:t xml:space="preserve">CMV infekcija / liga yra susijusi su blogais klinikiniais transplantacijos rezultatais, įskaitant didesnę oportunistinių gretutinių infekcijų, transplantato atmetimo ir mirtingumo riziką. </w:t>
      </w:r>
    </w:p>
    <w:p w14:paraId="5C769933" w14:textId="6A390799" w:rsidR="006B43E4" w:rsidRDefault="00B232A3" w:rsidP="00A90CB4">
      <w:pPr>
        <w:tabs>
          <w:tab w:val="left" w:pos="567"/>
        </w:tabs>
        <w:spacing w:line="276" w:lineRule="auto"/>
        <w:jc w:val="both"/>
        <w:rPr>
          <w:rFonts w:eastAsia="Arial"/>
          <w:color w:val="000000"/>
        </w:rPr>
      </w:pPr>
      <w:r>
        <w:rPr>
          <w:rFonts w:eastAsia="Arial"/>
          <w:color w:val="000000"/>
        </w:rPr>
        <w:tab/>
      </w:r>
      <w:r w:rsidR="006B43E4" w:rsidRPr="00200CD3">
        <w:rPr>
          <w:rFonts w:eastAsia="Arial"/>
          <w:color w:val="000000"/>
        </w:rPr>
        <w:t>Pacientams, kuriems atlikta transplantacija, ir sergantiems CMV liga, su CMV susijęs mirtingumas padidėja 2–4 kartus, palyginti su pacientais, nesergančiais CMV liga. Iš paciento perspektyvos CMV infekcija / liga ir vėlesnė gydymo našta neigiamai veikia gyvenimo kokybę. CMV infekcija / liga po transplantacijos dėl padidėjusio pakartotinio stacionarinio gydymo poreikio žymiai padidina sveikatos priežiūros išlaidas.</w:t>
      </w:r>
    </w:p>
    <w:p w14:paraId="1209723C" w14:textId="77777777" w:rsidR="00B171B9" w:rsidRDefault="006B43E4" w:rsidP="00B171B9">
      <w:pPr>
        <w:tabs>
          <w:tab w:val="left" w:pos="426"/>
        </w:tabs>
        <w:spacing w:line="276" w:lineRule="auto"/>
        <w:ind w:firstLine="425"/>
        <w:jc w:val="both"/>
      </w:pPr>
      <w:r>
        <w:rPr>
          <w:rFonts w:eastAsia="Arial"/>
          <w:color w:val="000000"/>
        </w:rPr>
        <w:tab/>
      </w:r>
      <w:r w:rsidRPr="00200CD3">
        <w:rPr>
          <w:rFonts w:eastAsia="Arial"/>
          <w:color w:val="000000"/>
        </w:rPr>
        <w:t>Remiantis dabartinėmis</w:t>
      </w:r>
      <w:r w:rsidR="00B232A3">
        <w:rPr>
          <w:rFonts w:eastAsia="Arial"/>
          <w:color w:val="000000"/>
        </w:rPr>
        <w:t xml:space="preserve"> </w:t>
      </w:r>
      <w:r w:rsidR="00B232A3" w:rsidRPr="0052611C">
        <w:t xml:space="preserve">CMV </w:t>
      </w:r>
      <w:r w:rsidR="00B232A3">
        <w:t>infekcijos valdymo po solidinių organų transplantacijos</w:t>
      </w:r>
      <w:r w:rsidRPr="00200CD3">
        <w:rPr>
          <w:rFonts w:eastAsia="Arial"/>
          <w:color w:val="000000"/>
        </w:rPr>
        <w:t xml:space="preserve"> </w:t>
      </w:r>
      <w:r w:rsidR="00B232A3">
        <w:rPr>
          <w:rFonts w:eastAsia="Arial"/>
          <w:color w:val="000000"/>
        </w:rPr>
        <w:t xml:space="preserve">(SOT) </w:t>
      </w:r>
      <w:r w:rsidRPr="00200CD3">
        <w:rPr>
          <w:rFonts w:eastAsia="Arial"/>
          <w:color w:val="000000"/>
        </w:rPr>
        <w:t>gairėmis, CMV infekcija / liga yra valdoma universalia (visų pacientų) profilaktika, rizikos grupės pacientų profilaktika, arba prevenciniu gydymu (kai stebima CMV replikacija ir gydymas pradedamas, kai CMV viremija pasiekia tam tikrą ribą). Svarbu tai, kad daugelis esamų anti-CMV gydymui naudojamų vaistinių prep</w:t>
      </w:r>
      <w:r>
        <w:rPr>
          <w:rFonts w:eastAsia="Arial"/>
          <w:color w:val="000000"/>
        </w:rPr>
        <w:t>a</w:t>
      </w:r>
      <w:r w:rsidRPr="00200CD3">
        <w:rPr>
          <w:rFonts w:eastAsia="Arial"/>
          <w:color w:val="000000"/>
        </w:rPr>
        <w:t>ratų yra ne</w:t>
      </w:r>
      <w:r w:rsidR="00B232A3">
        <w:rPr>
          <w:rFonts w:eastAsia="Arial"/>
          <w:color w:val="000000"/>
        </w:rPr>
        <w:t>registruoti</w:t>
      </w:r>
      <w:r w:rsidRPr="00200CD3">
        <w:rPr>
          <w:rFonts w:eastAsia="Arial"/>
          <w:color w:val="000000"/>
        </w:rPr>
        <w:t xml:space="preserve"> CMV infekcijai / ligai po transplantacijos gydyti, įskaitant atsparios CMV infekcijos / ligos gydymą. Gairėse rekomenduojama, kad pacientų, sergančių CMV po transplantacijos, gydymas turi būti lankstus ir individualizuotas.</w:t>
      </w:r>
      <w:r>
        <w:rPr>
          <w:rFonts w:eastAsia="Arial"/>
          <w:color w:val="000000"/>
        </w:rPr>
        <w:t xml:space="preserve"> </w:t>
      </w:r>
      <w:r w:rsidRPr="0052611C">
        <w:t>Lietuviškų CMV gydymo ir priežiūros gairių nėra. Gydytojai nefrologai remiasi „</w:t>
      </w:r>
      <w:r w:rsidRPr="0052611C">
        <w:rPr>
          <w:i/>
          <w:iCs/>
        </w:rPr>
        <w:t>The Third International Consensus Guidelines on the Management of Cytomegalovirus in Solid-organ Transplantation, 2018</w:t>
      </w:r>
      <w:r w:rsidRPr="0052611C">
        <w:t>“, o gydytojai hematologai – ECIL 10 gairėmis  (</w:t>
      </w:r>
      <w:r w:rsidRPr="0052611C">
        <w:rPr>
          <w:i/>
          <w:iCs/>
        </w:rPr>
        <w:t>European Conference on Infections in Leukaemia, 2024</w:t>
      </w:r>
      <w:r w:rsidRPr="0052611C">
        <w:t>), kuriose detalizuojamas kliniškai rezistentiškos CMV infekcijos gydymas, kuriose jau rekomenduojamas maribaviras (A I).</w:t>
      </w:r>
      <w:r>
        <w:t xml:space="preserve"> </w:t>
      </w:r>
      <w:r w:rsidRPr="0052611C">
        <w:t>Šiuo metu CMV infekcijos gydymui po SOT arba KKLT gydymui pagal kompensuojamų vaistų (A) sąrašą yra skiriamas valgancikloviras.</w:t>
      </w:r>
      <w:r w:rsidRPr="004555E1">
        <w:t xml:space="preserve"> </w:t>
      </w:r>
      <w:r w:rsidR="00B171B9" w:rsidRPr="004555E1">
        <w:t>Pagal įprastą Lietuvos klinikinę praktiką, tinkamas palyginamasis gydymas maribavirui, pacientų, turėjusių SOT arba KKLT ir sergančių CMV infekcija populiacijoje, yra valgancikloviras.</w:t>
      </w:r>
    </w:p>
    <w:p w14:paraId="6C2AA27E" w14:textId="77777777" w:rsidR="00B171B9" w:rsidRDefault="00B171B9" w:rsidP="006B43E4">
      <w:pPr>
        <w:tabs>
          <w:tab w:val="left" w:pos="426"/>
        </w:tabs>
        <w:spacing w:line="276" w:lineRule="auto"/>
        <w:ind w:firstLine="425"/>
        <w:jc w:val="both"/>
        <w:rPr>
          <w:i/>
          <w:iCs/>
        </w:rPr>
      </w:pPr>
    </w:p>
    <w:p w14:paraId="283EB5A6" w14:textId="5B79D699" w:rsidR="006B43E4" w:rsidRPr="004555E1" w:rsidRDefault="006B43E4" w:rsidP="006B43E4">
      <w:pPr>
        <w:tabs>
          <w:tab w:val="left" w:pos="426"/>
        </w:tabs>
        <w:spacing w:line="276" w:lineRule="auto"/>
        <w:ind w:firstLine="425"/>
        <w:jc w:val="both"/>
        <w:rPr>
          <w:rFonts w:eastAsia="Arial"/>
          <w:i/>
          <w:iCs/>
        </w:rPr>
      </w:pPr>
      <w:r w:rsidRPr="00287BA6">
        <w:rPr>
          <w:i/>
          <w:iCs/>
        </w:rPr>
        <w:t>Tiesioginis palyginimas</w:t>
      </w:r>
    </w:p>
    <w:p w14:paraId="08CB68CA" w14:textId="04FD2147" w:rsidR="006B43E4" w:rsidRDefault="006B43E4" w:rsidP="0036059C">
      <w:pPr>
        <w:pStyle w:val="Tekstas"/>
        <w:spacing w:after="0" w:line="276" w:lineRule="auto"/>
        <w:ind w:firstLine="425"/>
        <w:rPr>
          <w:lang w:val="lt-LT"/>
        </w:rPr>
      </w:pPr>
      <w:r>
        <w:rPr>
          <w:lang w:val="lt-LT"/>
        </w:rPr>
        <w:t xml:space="preserve">Maribaviro </w:t>
      </w:r>
      <w:r w:rsidR="00287BA6">
        <w:rPr>
          <w:lang w:val="lt-LT"/>
        </w:rPr>
        <w:t xml:space="preserve">palyginamasis </w:t>
      </w:r>
      <w:r>
        <w:rPr>
          <w:lang w:val="lt-LT"/>
        </w:rPr>
        <w:t xml:space="preserve">veiksmingumas ir saugumas </w:t>
      </w:r>
      <w:r w:rsidR="00287BA6">
        <w:rPr>
          <w:lang w:val="lt-LT"/>
        </w:rPr>
        <w:t>grindžiami</w:t>
      </w:r>
      <w:r>
        <w:rPr>
          <w:lang w:val="lt-LT"/>
        </w:rPr>
        <w:t xml:space="preserve"> </w:t>
      </w:r>
      <w:r w:rsidRPr="007E73CA">
        <w:rPr>
          <w:lang w:val="lt-LT"/>
        </w:rPr>
        <w:t>3 fazės, daugiacentriame, atsitiktinių imčių, atvirame, veikliąja medžiaga kontroliuojamame pranašumo tyrime (SHP620-303 tyrime) palygin</w:t>
      </w:r>
      <w:r>
        <w:rPr>
          <w:lang w:val="lt-LT"/>
        </w:rPr>
        <w:t>us su</w:t>
      </w:r>
      <w:r w:rsidRPr="007E73CA">
        <w:rPr>
          <w:lang w:val="lt-LT"/>
        </w:rPr>
        <w:t xml:space="preserve"> tyrėjo paskirtu gydymu (</w:t>
      </w:r>
      <w:r w:rsidR="00287BA6">
        <w:rPr>
          <w:lang w:val="lt-LT"/>
        </w:rPr>
        <w:t>angl</w:t>
      </w:r>
      <w:r w:rsidR="00287BA6" w:rsidRPr="00287BA6">
        <w:rPr>
          <w:lang w:val="lt-LT"/>
        </w:rPr>
        <w:t>. Investigator-Anticipated/Assigned Treatments</w:t>
      </w:r>
      <w:r w:rsidR="00287BA6">
        <w:rPr>
          <w:lang w:val="lt-LT"/>
        </w:rPr>
        <w:t>,</w:t>
      </w:r>
      <w:r w:rsidR="00287BA6" w:rsidRPr="00287BA6">
        <w:rPr>
          <w:lang w:val="lt-LT"/>
        </w:rPr>
        <w:t xml:space="preserve"> </w:t>
      </w:r>
      <w:r w:rsidRPr="007E73CA">
        <w:rPr>
          <w:lang w:val="lt-LT"/>
        </w:rPr>
        <w:t>IAT), 352 KKLT ir SOT recipientams su CMV</w:t>
      </w:r>
      <w:r>
        <w:rPr>
          <w:lang w:val="lt-LT"/>
        </w:rPr>
        <w:t xml:space="preserve"> </w:t>
      </w:r>
      <w:r w:rsidRPr="007E73CA">
        <w:rPr>
          <w:lang w:val="lt-LT"/>
        </w:rPr>
        <w:t xml:space="preserve">infekcijomis, kurios buvo atsparios gydymui gancikloviru, valgancikloviru, foskarnetu arba cidofoviru, įskaitant CMV infekcijas su patvirtintu arba nepatvirtintu atsparumu </w:t>
      </w:r>
      <w:r w:rsidR="00B171B9">
        <w:rPr>
          <w:lang w:val="lt-LT"/>
        </w:rPr>
        <w:t>vienam</w:t>
      </w:r>
      <w:r w:rsidRPr="007E73CA">
        <w:rPr>
          <w:lang w:val="lt-LT"/>
        </w:rPr>
        <w:t xml:space="preserve"> ar keliems vaistiniams preparatams nuo CMV. Refrakterinė CMV infekcija buvo apibrėžiama kaip dokumentais patvirtintas negebėjimas pasiekti &gt; 1 log10 CMV DNR koncentracijos sumažėjimo kraujyje ar plazmoje po 14 dienų ar ilgesnio intraveninio gydymo gancikloviru / per burną vartojamu valgancikloviru, intraveniniu foskarnetu arba intraveniniu cidofoviru. Šis apibrėžimas buvo taikomas dabartinei CMV infekcijai ir paskutinį kartą vartotam vaistiniam preparatui nuo CMV</w:t>
      </w:r>
      <w:r>
        <w:rPr>
          <w:lang w:val="lt-LT"/>
        </w:rPr>
        <w:t>.</w:t>
      </w:r>
    </w:p>
    <w:p w14:paraId="7E7FCBCB" w14:textId="60F618E6" w:rsidR="006B43E4" w:rsidRDefault="0036059C" w:rsidP="006B43E4">
      <w:pPr>
        <w:tabs>
          <w:tab w:val="left" w:pos="426"/>
        </w:tabs>
        <w:spacing w:line="276" w:lineRule="auto"/>
        <w:jc w:val="both"/>
      </w:pPr>
      <w:r>
        <w:tab/>
      </w:r>
      <w:r w:rsidR="006B43E4">
        <w:t xml:space="preserve">Tyrimo populiacija - suaugę pacientai po kraujodaros kamieninių ląstelių transplantacijos arba solidinių organų transplantacijos, kuriems nustatyta </w:t>
      </w:r>
      <w:r w:rsidR="006B43E4" w:rsidRPr="0084088B">
        <w:rPr>
          <w:rStyle w:val="Grietas"/>
          <w:b w:val="0"/>
          <w:bCs w:val="0"/>
        </w:rPr>
        <w:t>refrakterinė citomegaloviruso (CMV) infekcija su atsparumu antivirusiniams vaistams arba be jo</w:t>
      </w:r>
      <w:r w:rsidR="006B43E4" w:rsidRPr="0084088B">
        <w:rPr>
          <w:b/>
          <w:bCs/>
        </w:rPr>
        <w:t>.</w:t>
      </w:r>
      <w:r w:rsidR="006B43E4">
        <w:t xml:space="preserve"> Tai atitiko maribaviro registruotą vartojimo indikaciją ir įprastą Lietuvos klinikinę praktiką, kai ankstesnis gydymas buvo neveiksmingas. </w:t>
      </w:r>
    </w:p>
    <w:p w14:paraId="07BA36B7" w14:textId="47461A8F" w:rsidR="006B43E4" w:rsidRDefault="006B43E4" w:rsidP="006B43E4">
      <w:pPr>
        <w:tabs>
          <w:tab w:val="left" w:pos="426"/>
        </w:tabs>
        <w:spacing w:line="276" w:lineRule="auto"/>
        <w:jc w:val="both"/>
      </w:pPr>
      <w:r>
        <w:tab/>
        <w:t xml:space="preserve">Pirminės vertinamosios baigties atžvilgiu maribaviras buvo pranašesnis už IAT (atitinkamai 56 proc., palyginti su 24 proc. (95% PI 22,8-42,7; p &lt; 0,001). Kalbant apie pagrindinę antrinę </w:t>
      </w:r>
      <w:r>
        <w:lastRenderedPageBreak/>
        <w:t>vertinamąją baigtį, LIVTENCITY ir IAT grupėje atitinkamai 19 % ir 10 % pacientų pasiekė CMV viremijos klirensą ir CMV infekcijos simptomų kontrolę (p = 0,013). Gydymo poveikis buvo nuoseklus su visų tipų transplantatais, visose amžiaus grupėse ir sergant CMV sindromu / liga pradžioje. Tačiau LIVTENCITY buvo mažiau veiksmingas tiriamiesiems su padidinta CMV DNR koncentracija (≥ 50 000 TV/ml) ir genotipo atsparumo neturintiems pacientams.</w:t>
      </w:r>
      <w:r w:rsidRPr="00133DA3">
        <w:t xml:space="preserve"> </w:t>
      </w:r>
      <w:r w:rsidRPr="009E599F">
        <w:t>Didesnis maribaviro veiksmingumas atsispindėjo ir pogrupių analizėje</w:t>
      </w:r>
    </w:p>
    <w:p w14:paraId="0DD1C9A6" w14:textId="77777777" w:rsidR="006B43E4" w:rsidRDefault="006B43E4" w:rsidP="006B43E4">
      <w:pPr>
        <w:tabs>
          <w:tab w:val="left" w:pos="426"/>
        </w:tabs>
        <w:spacing w:line="276" w:lineRule="auto"/>
        <w:jc w:val="both"/>
      </w:pPr>
      <w:r>
        <w:tab/>
      </w:r>
      <w:r w:rsidRPr="0000589D">
        <w:t>Saugumo duomenys kiek palankesni maribavirui (gydymo sukeltų NR dažnis tarp grupių buvo panašus, bet maribaviro grupėje pacientai ženkliai rečiau nutraukė gydymą dėl NR, taip pat rečiau pasireiškė neutropenija).</w:t>
      </w:r>
    </w:p>
    <w:p w14:paraId="44319D80" w14:textId="55D74891" w:rsidR="006B43E4" w:rsidRDefault="006B43E4" w:rsidP="006B43E4">
      <w:pPr>
        <w:tabs>
          <w:tab w:val="left" w:pos="426"/>
        </w:tabs>
        <w:spacing w:line="276" w:lineRule="auto"/>
        <w:jc w:val="both"/>
      </w:pPr>
      <w:r>
        <w:tab/>
        <w:t>Apibendrinant tyrimo rezultatus,</w:t>
      </w:r>
      <w:r w:rsidRPr="009E599F">
        <w:t xml:space="preserve"> pacientai, gydyti maribaviru, statistiškai reikšmingai dažniau turėjo CMV viremijos klirensą po 8 savaičių lyginant su IAT grupės pacientais (p&lt;0,001) ir išliko tokie iki 16 tyrimo savaitės (p=0,013), todėl </w:t>
      </w:r>
      <w:r>
        <w:t xml:space="preserve">laikoma, kad </w:t>
      </w:r>
      <w:r w:rsidRPr="009E599F">
        <w:t>maribaviro nauda yra didesnė, lyginant su IAT grupės vaistais (t.</w:t>
      </w:r>
      <w:r w:rsidR="00756F30">
        <w:t xml:space="preserve"> </w:t>
      </w:r>
      <w:r w:rsidRPr="009E599F">
        <w:t>y. valgancikloviru), gydant gydymui refrakterią CMV infekciją po KKLT arba SOT</w:t>
      </w:r>
      <w:r>
        <w:t>, o nepageidaujami reiškiniai yra nuspėjami ir todėl gali būti kontroliuojami.</w:t>
      </w:r>
    </w:p>
    <w:p w14:paraId="75C211D9" w14:textId="493117FE" w:rsidR="00287BA6" w:rsidRPr="00C36F01" w:rsidRDefault="00287BA6" w:rsidP="00287BA6">
      <w:pPr>
        <w:tabs>
          <w:tab w:val="left" w:pos="426"/>
        </w:tabs>
        <w:spacing w:line="276" w:lineRule="auto"/>
        <w:jc w:val="both"/>
        <w:rPr>
          <w:b/>
          <w:lang w:eastAsia="lt-LT"/>
        </w:rPr>
      </w:pPr>
      <w:r>
        <w:rPr>
          <w:bCs/>
          <w:lang w:eastAsia="lt-LT"/>
        </w:rPr>
        <w:tab/>
      </w:r>
      <w:r w:rsidRPr="00744D98">
        <w:rPr>
          <w:bCs/>
          <w:lang w:eastAsia="lt-LT"/>
        </w:rPr>
        <w:t>Siūlomo kompensuoti vaistinio preparato palyginamasis veiksmingumas yra įvertintas kaip</w:t>
      </w:r>
      <w:r w:rsidRPr="00744D98">
        <w:rPr>
          <w:bCs/>
          <w:i/>
          <w:iCs/>
          <w:lang w:eastAsia="lt-LT"/>
        </w:rPr>
        <w:t xml:space="preserve"> didesnis </w:t>
      </w:r>
      <w:r w:rsidRPr="00744D98">
        <w:rPr>
          <w:bCs/>
          <w:lang w:eastAsia="lt-LT"/>
        </w:rPr>
        <w:t>lyginant su įprasta klinikine praktika</w:t>
      </w:r>
      <w:r>
        <w:rPr>
          <w:bCs/>
          <w:lang w:eastAsia="lt-LT"/>
        </w:rPr>
        <w:t xml:space="preserve"> (valgancikloviru)</w:t>
      </w:r>
      <w:r w:rsidRPr="00744D98">
        <w:rPr>
          <w:bCs/>
          <w:lang w:eastAsia="lt-LT"/>
        </w:rPr>
        <w:t>, t.</w:t>
      </w:r>
      <w:r>
        <w:rPr>
          <w:bCs/>
          <w:lang w:eastAsia="lt-LT"/>
        </w:rPr>
        <w:t xml:space="preserve"> </w:t>
      </w:r>
      <w:r w:rsidRPr="00744D98">
        <w:rPr>
          <w:bCs/>
          <w:lang w:eastAsia="lt-LT"/>
        </w:rPr>
        <w:t>y. a</w:t>
      </w:r>
      <w:r w:rsidRPr="00744D98">
        <w:t>titinka Vaistinių preparatų ir medicinos pagalbos priemonių įrašymo į kompensavimo sąrašus ir jų keitimo tvarkos aprašo, patvirtinto Lietuvos Respublikos sveikatos apsaugos ministro 2002 m. balandžio 5 d. įsakymu Nr. V-159 „Dėl vaistinių preparatų ir medicinos pagalbos priemonių įrašymo į kompensavimo sąrašus ir jų keitimo tvarkos aprašo patvirtinimo“ 29.1.2 papunktį.</w:t>
      </w:r>
    </w:p>
    <w:p w14:paraId="56F35194" w14:textId="77777777" w:rsidR="00287BA6" w:rsidRDefault="00287BA6" w:rsidP="006B43E4">
      <w:pPr>
        <w:tabs>
          <w:tab w:val="left" w:pos="426"/>
        </w:tabs>
        <w:spacing w:line="276" w:lineRule="auto"/>
        <w:jc w:val="both"/>
      </w:pPr>
    </w:p>
    <w:p w14:paraId="39C1ADA8" w14:textId="77777777" w:rsidR="00AC5129" w:rsidRPr="00334F18" w:rsidRDefault="00AC5129" w:rsidP="00A93AA6">
      <w:pPr>
        <w:pStyle w:val="Sraopastraipa"/>
        <w:tabs>
          <w:tab w:val="left" w:pos="426"/>
        </w:tabs>
        <w:ind w:left="0"/>
        <w:rPr>
          <w:b/>
          <w:bCs/>
          <w:caps/>
        </w:rPr>
      </w:pPr>
    </w:p>
    <w:p w14:paraId="7DE09EB5" w14:textId="69E9DD74" w:rsidR="00E03C3F" w:rsidRPr="00334F18" w:rsidRDefault="00CC7832" w:rsidP="00CC09D4">
      <w:pPr>
        <w:pStyle w:val="Sraopastraipa"/>
        <w:numPr>
          <w:ilvl w:val="0"/>
          <w:numId w:val="12"/>
        </w:numPr>
        <w:tabs>
          <w:tab w:val="left" w:pos="567"/>
        </w:tabs>
        <w:ind w:hanging="720"/>
        <w:rPr>
          <w:b/>
          <w:bCs/>
          <w:caps/>
        </w:rPr>
      </w:pPr>
      <w:r w:rsidRPr="00334F18">
        <w:rPr>
          <w:b/>
          <w:bCs/>
          <w:caps/>
        </w:rPr>
        <w:t xml:space="preserve">ekonominio vertinimo </w:t>
      </w:r>
      <w:r w:rsidR="002F0E4F" w:rsidRPr="00334F18">
        <w:rPr>
          <w:b/>
          <w:bCs/>
          <w:caps/>
        </w:rPr>
        <w:t>apibendrinimas</w:t>
      </w:r>
    </w:p>
    <w:p w14:paraId="32703CFB" w14:textId="79FAD90C" w:rsidR="00FB1754" w:rsidRDefault="00FB1754" w:rsidP="00FB1754">
      <w:pPr>
        <w:spacing w:line="276" w:lineRule="auto"/>
        <w:jc w:val="both"/>
      </w:pPr>
    </w:p>
    <w:p w14:paraId="16E03E88" w14:textId="77777777" w:rsidR="00FB1754" w:rsidRDefault="00FB1754" w:rsidP="00FB1754">
      <w:pPr>
        <w:spacing w:line="276" w:lineRule="auto"/>
        <w:ind w:firstLine="450"/>
        <w:jc w:val="both"/>
      </w:pPr>
      <w:r w:rsidRPr="00857ABC">
        <w:t>Pagrindinio maribaviro klinikinio tyrimo populiacija, kuria grindžiami KNA duomenys, atitinka Lietuvos pacientų, anksčiau turėjusių KKLT arba SOT, sergančių CMV infekcija ir (arba) liga bei anksčiau jau nesėkmingai gydytų bent vienu iš sistemiškai veikiančių antivirusinių vaistų (įskaitant ganciklovirą, valganciklovirą, foskarnetą ir cidofovirą) populiaciją ir Pareiškėj</w:t>
      </w:r>
      <w:r>
        <w:t>o teikiamą terapinę indikaciją.</w:t>
      </w:r>
    </w:p>
    <w:p w14:paraId="33CB969D" w14:textId="77777777" w:rsidR="00FB1754" w:rsidRDefault="00FB1754" w:rsidP="00FB1754">
      <w:pPr>
        <w:spacing w:line="276" w:lineRule="auto"/>
        <w:ind w:firstLine="450"/>
        <w:jc w:val="both"/>
      </w:pPr>
      <w:r>
        <w:rPr>
          <w:color w:val="000000"/>
        </w:rPr>
        <w:t>Nors</w:t>
      </w:r>
      <w:r w:rsidRPr="009E2679">
        <w:rPr>
          <w:lang w:eastAsia="lt-LT"/>
        </w:rPr>
        <w:t xml:space="preserve"> SOLSTICE klinikiniame tyrime tyrėjo paskirto gydymo (IAT) pacientų grupėje naudoti </w:t>
      </w:r>
      <w:r w:rsidRPr="00200CD3">
        <w:rPr>
          <w:color w:val="000000"/>
        </w:rPr>
        <w:t>valgancikloviras, gancikloviras, foskarnetas ir cidofoviras</w:t>
      </w:r>
      <w:r w:rsidRPr="009E2679">
        <w:rPr>
          <w:lang w:eastAsia="lt-LT"/>
        </w:rPr>
        <w:t xml:space="preserve"> vaistiniai preparatai, </w:t>
      </w:r>
      <w:r>
        <w:rPr>
          <w:lang w:eastAsia="lt-LT"/>
        </w:rPr>
        <w:t xml:space="preserve">Lietuvoje kompensuojamas tik </w:t>
      </w:r>
      <w:r w:rsidRPr="00200CD3">
        <w:rPr>
          <w:color w:val="000000"/>
        </w:rPr>
        <w:t>valgancikloviras,</w:t>
      </w:r>
      <w:r>
        <w:rPr>
          <w:color w:val="000000"/>
        </w:rPr>
        <w:t xml:space="preserve"> todėl KNA yra atliekama maribavirą lyginant su valgancikloviru (laikomas tinkamu palyginamuoju).</w:t>
      </w:r>
    </w:p>
    <w:p w14:paraId="245DC926" w14:textId="77777777" w:rsidR="00FB1754" w:rsidRDefault="00FB1754" w:rsidP="00FB1754">
      <w:pPr>
        <w:spacing w:line="276" w:lineRule="auto"/>
        <w:ind w:firstLine="450"/>
        <w:jc w:val="both"/>
      </w:pPr>
      <w:r>
        <w:t>Klinikiniai duomenys KNA įtraukti vadovaujantis 3 fazės, daugiacentrio, atsitiktinių imčių, atviro</w:t>
      </w:r>
      <w:r w:rsidRPr="007E73CA">
        <w:t>, ve</w:t>
      </w:r>
      <w:r>
        <w:t>ikliąja medžiaga kontroliuojamo pranašumo tyrimo (SHP620-303 tyrimas</w:t>
      </w:r>
      <w:r w:rsidRPr="007E73CA">
        <w:t>)</w:t>
      </w:r>
      <w:r>
        <w:t xml:space="preserve"> analizės rezultatais, kuriame</w:t>
      </w:r>
      <w:r w:rsidRPr="007E73CA">
        <w:t xml:space="preserve"> įvertintas gydymo LIVTENCITY veiksmingumas ir saugumas, palyginti su tyrėjo paskirtu gydymu (IAT), 352 KKLT ir SOT recipientams su CMV</w:t>
      </w:r>
      <w:r>
        <w:t xml:space="preserve"> </w:t>
      </w:r>
      <w:r w:rsidRPr="007E73CA">
        <w:t>infekcijomis, kurios buvo atsparios gydymui gancikloviru, valgancikloviru, foskarnetu arba cidofoviru, įskaitant CMV infekcijas su patvirtintu arba nepatvirtintu atsparumu 1 ar keliems v</w:t>
      </w:r>
      <w:r>
        <w:t xml:space="preserve">aistiniams preparatams nuo CMV. </w:t>
      </w:r>
      <w:r w:rsidRPr="000371B3">
        <w:rPr>
          <w:rFonts w:eastAsia="Arial"/>
        </w:rPr>
        <w:t xml:space="preserve">Klinikinio vertinimo metu nustačius </w:t>
      </w:r>
      <w:r w:rsidRPr="00382A41">
        <w:rPr>
          <w:rFonts w:eastAsia="Arial"/>
          <w:iCs/>
        </w:rPr>
        <w:t xml:space="preserve">didesnį </w:t>
      </w:r>
      <w:r w:rsidRPr="00382A41">
        <w:rPr>
          <w:rFonts w:eastAsia="Arial"/>
        </w:rPr>
        <w:t>palyginamąjį veiksmingumą lyginant su įprasta klinikine praktika,</w:t>
      </w:r>
      <w:r w:rsidRPr="00382A41">
        <w:t xml:space="preserve"> atliekamas </w:t>
      </w:r>
      <w:r w:rsidRPr="00382A41">
        <w:rPr>
          <w:rFonts w:eastAsia="Arial"/>
          <w:bCs/>
          <w:szCs w:val="22"/>
        </w:rPr>
        <w:t xml:space="preserve">kaštų </w:t>
      </w:r>
      <w:r w:rsidRPr="00382A41">
        <w:rPr>
          <w:rFonts w:eastAsia="Arial"/>
          <w:iCs/>
          <w:szCs w:val="22"/>
        </w:rPr>
        <w:t>naudingumo</w:t>
      </w:r>
      <w:r w:rsidRPr="000371B3">
        <w:rPr>
          <w:rFonts w:eastAsia="Arial"/>
          <w:bCs/>
          <w:szCs w:val="22"/>
        </w:rPr>
        <w:t xml:space="preserve"> analizė</w:t>
      </w:r>
      <w:r w:rsidRPr="008B6318">
        <w:rPr>
          <w:rFonts w:eastAsia="Arial"/>
          <w:bCs/>
          <w:szCs w:val="22"/>
        </w:rPr>
        <w:t>s vertinimas</w:t>
      </w:r>
      <w:r>
        <w:t xml:space="preserve">. </w:t>
      </w:r>
    </w:p>
    <w:p w14:paraId="3CFA6E8D" w14:textId="77777777" w:rsidR="00FB1754" w:rsidRDefault="00FB1754" w:rsidP="00FB1754">
      <w:pPr>
        <w:spacing w:line="276" w:lineRule="auto"/>
        <w:ind w:firstLine="450"/>
        <w:jc w:val="both"/>
      </w:pPr>
      <w:r w:rsidRPr="002F4C15">
        <w:rPr>
          <w:color w:val="000000"/>
        </w:rPr>
        <w:t xml:space="preserve">KNA taikoma viso gyvenimo laiko perspektyva. </w:t>
      </w:r>
      <w:r w:rsidRPr="002F4C15">
        <w:t xml:space="preserve">Siekiant įvertinti maribaviro ekonominį efektyvumą, Pareiškėjas taiko dviejų etapų Markovo modelį 1-ojo etapo modelis apėmė 3 sveikatos būkles: klinikinę </w:t>
      </w:r>
      <w:r w:rsidRPr="00D645FB">
        <w:t xml:space="preserve">reikšmę turintį CMV, klinikinės reikšmės neturintį CMV ir mirtį. 2-ojo etapo modelis apėmė 2 sveikatos būsenas: gyvas ir miręs. Bendra modelio struktūra ir sveikatos būklės, kurias Pareiškėjas naudojo abiejose modelio etapuose yra laikomos tinkamomis, tačiau atsižvelgiant </w:t>
      </w:r>
      <w:r w:rsidRPr="00D645FB">
        <w:lastRenderedPageBreak/>
        <w:t>į neapibrėžtumus, susijusius su dviejų duomenų šaltinių įtraukimu į modelį (po pagrindinio SOLSTICE klinikinio tyrimo (nuo 20 sav.) įtraukiamus/ pratęsiamus išorinio šaltinio (OTUS) duomenų trūkumus) ir siekiant sumažinti nepagrįstą ilgalaikio efekto ekstrapoliaciją, Tarnyba Markovo modelio pirmojo etapo trukmę trumpino</w:t>
      </w:r>
      <w:r>
        <w:t xml:space="preserve"> iki 52 sav. (vietoje 78 sav.).</w:t>
      </w:r>
    </w:p>
    <w:p w14:paraId="6E6FF674" w14:textId="3F07C01D" w:rsidR="00FB1754" w:rsidRDefault="00FB1754" w:rsidP="00FB1754">
      <w:pPr>
        <w:spacing w:line="276" w:lineRule="auto"/>
        <w:ind w:firstLine="450"/>
        <w:jc w:val="both"/>
      </w:pPr>
      <w:r>
        <w:t xml:space="preserve">Pareiškėjas KNA laiko iki SOT ir HSCT transplantacijos (SOT – kietųjų organų ir HSCT – hematopoetinių kamieninių ląstelių transplantacijos) trukmę (dienomis) KNA taiko vadovaujantis SOLSTICE klinikinio tyrimo metu stebėta mediana. Atsižvelgiant, kad duomenys pagal tyrimo grupes yra skirtingi (angl. </w:t>
      </w:r>
      <w:r>
        <w:rPr>
          <w:i/>
          <w:iCs/>
        </w:rPr>
        <w:t>imbalanced</w:t>
      </w:r>
      <w:r>
        <w:t>) bei aritmetiniai vidurkiai yra ilgesnių trukmių (įtraukiami visų pacientų įverčiai, t.</w:t>
      </w:r>
      <w:r w:rsidR="00756F30">
        <w:t xml:space="preserve"> </w:t>
      </w:r>
      <w:r>
        <w:t>y. ir tų kurie turi kraštutines vertes), Tarnyba vertina, kad mediana nėra tinkamas rodiklis ir tikslinga taikyti vidurkį (esminės įtakos ši prielaida KNA neturi).</w:t>
      </w:r>
    </w:p>
    <w:p w14:paraId="584EBB2C" w14:textId="2761DF6B" w:rsidR="00FB1754" w:rsidRDefault="00FB1754" w:rsidP="00FB1754">
      <w:pPr>
        <w:spacing w:line="276" w:lineRule="auto"/>
        <w:ind w:firstLine="450"/>
        <w:jc w:val="both"/>
      </w:pPr>
      <w:r>
        <w:rPr>
          <w:color w:val="000000"/>
          <w:lang w:eastAsia="lt-LT"/>
        </w:rPr>
        <w:t xml:space="preserve">Esminę įtaką KNA turi dėl ilgalaikio išgyvenamumo duomenų ekstrapoliacijos. Pareiškėjas taiko prielaidą, kad nuo </w:t>
      </w:r>
      <w:r>
        <w:t>8 iki 78 sav. (52 sav.) priklausomai nuo sveikatos būklės savaitės mirtingumas bus skirtingas. Modelyje laikas, praleistas kiekvienoje sveikatos būklėje (csCMV ir n-csCMV), buvo susietas su gydymo veiksmingumu, todėl buvo modeliuojam išgyvenamumo nauda priklausomai nuo taikomo gydymo. Tarnyba atkreipia dėmesį, kad tyrimo rezultatai neparodė jokio kliniškai reikšmingo mirtingumo skirtumo tarp gydymo grupių (maribaviras ir IAT), nes tyrimas neturėjo pakankamo statistinio galios šiam skirtumui nustatyti. Be to, klinikinių ekspertų vertinimu yra tikėtina, kad mirtingumo skirtumai greičiausiai nėra susiję su tuo, kokį gydymą gavo pacientas, o labiau susiję su pagrindinėmis paciento charakteristikomis. Pacientai, sergantys CMV infekcijomis, kurioms reikalingas gydymas, dažnai turi pagrindinių sveikatos problemų, kurios ir sukėlė CMV infekciją. Šiuo metu gydymo būdai neatsižvelgia į šias pagrindines problemas, todėl sunku nustatyti jų poveikį mirtingumui. Tarnyba taikė prielaidą, kad nuo 8</w:t>
      </w:r>
      <w:r w:rsidRPr="00315D29">
        <w:t xml:space="preserve"> savaitės mirtingumo skirtumų priklausomai nuo sveikatos būklės nebus, t</w:t>
      </w:r>
      <w:r>
        <w:t>.</w:t>
      </w:r>
      <w:r w:rsidR="00756F30">
        <w:t xml:space="preserve"> </w:t>
      </w:r>
      <w:r>
        <w:t>y. tikimybės vienodos.</w:t>
      </w:r>
    </w:p>
    <w:p w14:paraId="5F6F6AB6" w14:textId="77777777" w:rsidR="00FB1754" w:rsidRDefault="00FB1754" w:rsidP="00FB1754">
      <w:pPr>
        <w:spacing w:line="276" w:lineRule="auto"/>
        <w:ind w:firstLine="450"/>
        <w:jc w:val="both"/>
      </w:pPr>
      <w:r w:rsidRPr="002E6D2B">
        <w:t xml:space="preserve">Sveikatai sukuriama nauda buvo vertinama pagal su sveikata susijusią gyvenimo kokybę (angl. </w:t>
      </w:r>
      <w:r w:rsidRPr="002E6D2B">
        <w:rPr>
          <w:iCs/>
        </w:rPr>
        <w:t xml:space="preserve">Health realated quality of life, </w:t>
      </w:r>
      <w:r w:rsidRPr="002E6D2B">
        <w:t>HRQoL).</w:t>
      </w:r>
      <w:r w:rsidRPr="002E6D2B">
        <w:rPr>
          <w:iCs/>
          <w:lang w:eastAsia="lt-LT"/>
        </w:rPr>
        <w:t xml:space="preserve"> </w:t>
      </w:r>
      <w:r w:rsidRPr="002E6D2B">
        <w:t>Gyvenimo kokybės įverčiai KNA įtraukiami pagal surinktus SOLSTICE tyrimo metu naudojant EQ-5D-5L skalę, o trūkstami duomenys papildyti literatūros šaltiniais. Vignette tyrimo duomenys buvo sujungti su SOLSTICE tyrimo duomenimis (taikant duomenų įterpimą), siekiant nustatyti sveikatos būklių įverčius. Tarnyba vertina, kad nors papildomo šaltinio įtraukimas lemia didesnius įverčių netikslumus, KNA taikomi gyvenimo kokybės įverčiai laikomi tinkamais (Pareiškėjas išsamiai detalizuoja įverčių įtraukiant išorinio tyrimo apskaičiavimo duomenis). Alternatyviai scenarijų analizėje vertinama kai taikomi tik SOLSTICE tyrimo metu nustatyti įverčiais – esminės įtakos ICER nenustatyta. KNA įprastinėje atvejo analizėje yra neįtraukiamos neigiamos naudos vertės transplantacijos praradimo atveju (SOLSTICE tyrime nebuvo stebėta jokių transplantacijos praradimo atvejų, vertinamos tik tiesioginės baigtys ir kt. priežasčių).</w:t>
      </w:r>
    </w:p>
    <w:p w14:paraId="505DBF41" w14:textId="1DF909B6" w:rsidR="00FB1754" w:rsidRPr="00740EB7" w:rsidRDefault="00FB1754" w:rsidP="00FB1754">
      <w:pPr>
        <w:spacing w:line="276" w:lineRule="auto"/>
        <w:ind w:firstLine="450"/>
        <w:jc w:val="both"/>
      </w:pPr>
      <w:r w:rsidRPr="004D3912">
        <w:rPr>
          <w:bCs/>
          <w:lang w:eastAsia="lt-LT"/>
        </w:rPr>
        <w:t xml:space="preserve">Apibendrinant, KNA įtraukiamus kaštus ir išteklius, Tarnyba vertina, kad </w:t>
      </w:r>
      <w:r w:rsidRPr="004D3912">
        <w:t>įtraukti tiesiogiai su sveikatos sistema susiję kaštai</w:t>
      </w:r>
      <w:r w:rsidRPr="004D3912">
        <w:rPr>
          <w:bCs/>
          <w:lang w:eastAsia="lt-LT"/>
        </w:rPr>
        <w:t xml:space="preserve"> iš </w:t>
      </w:r>
      <w:r w:rsidRPr="004D3912">
        <w:t>PSDF biu</w:t>
      </w:r>
      <w:r>
        <w:t xml:space="preserve">džeto perspektyvos yra tinkami. </w:t>
      </w:r>
      <w:r>
        <w:rPr>
          <w:color w:val="000000"/>
        </w:rPr>
        <w:t xml:space="preserve">KNA taikoma apskaičiuota bazinė maribaviro kaina (su PGS) - </w:t>
      </w:r>
      <w:r w:rsidR="003C25C3">
        <w:rPr>
          <w:color w:val="000000"/>
        </w:rPr>
        <w:t>***</w:t>
      </w:r>
      <w:r w:rsidRPr="005D1376">
        <w:rPr>
          <w:color w:val="000000"/>
        </w:rPr>
        <w:t xml:space="preserve"> </w:t>
      </w:r>
      <w:r>
        <w:rPr>
          <w:color w:val="000000"/>
        </w:rPr>
        <w:t xml:space="preserve">Eur.  Palyginamojo gydymo kaina taikoma pagal 2026 m. II pusm. VLK kainyną. </w:t>
      </w:r>
      <w:r>
        <w:t xml:space="preserve">Pareiškėjas KNA vaistinių preparatų gydymo trukmes taiko pagal nustatytas SOLSTICE klinikinio tyrimo metu. </w:t>
      </w:r>
      <w:r w:rsidRPr="00E5768B">
        <w:rPr>
          <w:color w:val="000000"/>
        </w:rPr>
        <w:t xml:space="preserve">Atsižvelgiant, kad </w:t>
      </w:r>
      <w:r w:rsidRPr="00E5768B">
        <w:rPr>
          <w:bCs/>
          <w:lang w:eastAsia="lt-LT"/>
        </w:rPr>
        <w:t xml:space="preserve">nėra aišku ir tikėtina, kad klinikinėje praktikoje gydymo trukmė bus skirtinga (nei stebėta klinikinio tyrimo metu), Tarnyba taiko 8 sav., kaip numatyta maribaviro vaistinių preparatų charakteristikų santraukoje, </w:t>
      </w:r>
      <w:r>
        <w:rPr>
          <w:bCs/>
          <w:lang w:eastAsia="lt-LT"/>
        </w:rPr>
        <w:t xml:space="preserve">kai tikėtina realioje klinikinėje praktikoje yra atliekamas </w:t>
      </w:r>
      <w:r w:rsidRPr="00E5768B">
        <w:rPr>
          <w:bCs/>
          <w:lang w:eastAsia="lt-LT"/>
        </w:rPr>
        <w:t>v</w:t>
      </w:r>
      <w:r>
        <w:rPr>
          <w:bCs/>
          <w:lang w:eastAsia="lt-LT"/>
        </w:rPr>
        <w:t>aisto veiksmingumo vertinimas (po 8 sav.).</w:t>
      </w:r>
    </w:p>
    <w:p w14:paraId="377EF31C" w14:textId="1BAA7B13" w:rsidR="00FB1754" w:rsidRDefault="00FB1754" w:rsidP="00FB1754">
      <w:pPr>
        <w:spacing w:line="276" w:lineRule="auto"/>
        <w:ind w:firstLine="360"/>
        <w:jc w:val="both"/>
        <w:rPr>
          <w:bCs/>
          <w:color w:val="000000"/>
          <w:u w:val="single"/>
          <w:lang w:eastAsia="lt-LT"/>
        </w:rPr>
      </w:pPr>
      <w:r>
        <w:t>Pagal Pareiškėjo pateiktą modelį, tačiau Tarnybai atnaujinus modelyje taikomas prielaidas, į</w:t>
      </w:r>
      <w:r w:rsidRPr="00D421B2">
        <w:t xml:space="preserve">prastinio atvejo analizėje dabartinio gydymo </w:t>
      </w:r>
      <w:r>
        <w:t>(</w:t>
      </w:r>
      <w:r>
        <w:rPr>
          <w:i/>
          <w:iCs/>
          <w:lang w:eastAsia="lt-LT"/>
        </w:rPr>
        <w:t>valgancikloviro</w:t>
      </w:r>
      <w:r>
        <w:t xml:space="preserve">) </w:t>
      </w:r>
      <w:r w:rsidRPr="00D421B2">
        <w:t xml:space="preserve">sukuriami nediskontuoti kokybiški gyvenimo metai – </w:t>
      </w:r>
      <w:r w:rsidR="006509CD">
        <w:t>***</w:t>
      </w:r>
      <w:r w:rsidRPr="00D421B2">
        <w:t>, santykinis kokybiškos gy</w:t>
      </w:r>
      <w:r>
        <w:t xml:space="preserve">venimo trukmės praradimas </w:t>
      </w:r>
      <w:r w:rsidR="003C25C3">
        <w:t>- ***</w:t>
      </w:r>
      <w:r w:rsidRPr="00D421B2">
        <w:t>; t.</w:t>
      </w:r>
      <w:r w:rsidR="00756F30">
        <w:t xml:space="preserve"> </w:t>
      </w:r>
      <w:r w:rsidRPr="00D421B2">
        <w:t xml:space="preserve">y. ligos našta </w:t>
      </w:r>
      <w:r w:rsidRPr="00D421B2">
        <w:lastRenderedPageBreak/>
        <w:t xml:space="preserve">yra </w:t>
      </w:r>
      <w:r>
        <w:t>lengva (1 BPV)</w:t>
      </w:r>
      <w:r w:rsidRPr="00D421B2">
        <w:t xml:space="preserve">. </w:t>
      </w:r>
      <w:r>
        <w:t>Lengvai</w:t>
      </w:r>
      <w:r w:rsidRPr="009147C5">
        <w:t xml:space="preserve"> ligos naštai taikomas referencinės kaštų naudingumo vertės dydis = </w:t>
      </w:r>
      <w:r w:rsidR="003C25C3">
        <w:rPr>
          <w:bCs/>
          <w:color w:val="000000"/>
          <w:lang w:eastAsia="lt-LT"/>
        </w:rPr>
        <w:t>***</w:t>
      </w:r>
      <w:r w:rsidRPr="009147C5">
        <w:rPr>
          <w:bCs/>
          <w:color w:val="000000"/>
          <w:lang w:eastAsia="lt-LT"/>
        </w:rPr>
        <w:t xml:space="preserve"> Eur.</w:t>
      </w:r>
    </w:p>
    <w:p w14:paraId="1C41527D" w14:textId="2DF2A382" w:rsidR="00FB1754" w:rsidRDefault="00FB1754" w:rsidP="00FB1754">
      <w:pPr>
        <w:spacing w:line="276" w:lineRule="auto"/>
        <w:ind w:firstLine="360"/>
        <w:jc w:val="both"/>
        <w:rPr>
          <w:color w:val="000000"/>
          <w:lang w:eastAsia="lt-LT"/>
        </w:rPr>
      </w:pPr>
      <w:r>
        <w:rPr>
          <w:rFonts w:eastAsia="Arial"/>
        </w:rPr>
        <w:t xml:space="preserve">Pagal gautus ekonominės analizės rezultatus, maribavirą lyginant su valgancikloviru sveikatai sukuriama nauda (inkrementiniai QALYS) - </w:t>
      </w:r>
      <w:r w:rsidR="003C25C3">
        <w:rPr>
          <w:rFonts w:eastAsia="Arial"/>
        </w:rPr>
        <w:t>***</w:t>
      </w:r>
      <w:r>
        <w:rPr>
          <w:rFonts w:eastAsia="Arial"/>
        </w:rPr>
        <w:t xml:space="preserve">, </w:t>
      </w:r>
      <w:r w:rsidRPr="00B21A20">
        <w:t xml:space="preserve">o gydymo </w:t>
      </w:r>
      <w:r>
        <w:t xml:space="preserve">maribaviru </w:t>
      </w:r>
      <w:r w:rsidRPr="00B21A20">
        <w:t>ka</w:t>
      </w:r>
      <w:r>
        <w:t xml:space="preserve">štai yra </w:t>
      </w:r>
      <w:r w:rsidR="003C25C3">
        <w:t>***</w:t>
      </w:r>
      <w:r>
        <w:t xml:space="preserve"> </w:t>
      </w:r>
      <w:r w:rsidRPr="00B21A20">
        <w:rPr>
          <w:lang w:eastAsia="lt-LT"/>
        </w:rPr>
        <w:t xml:space="preserve">Eur. </w:t>
      </w:r>
      <w:r w:rsidRPr="00B21A20">
        <w:t>didesni nei standartinio šiuo metu Lietuvoje taikomo gydymo</w:t>
      </w:r>
      <w:r>
        <w:t xml:space="preserve"> (valgancikloviro)</w:t>
      </w:r>
      <w:r w:rsidRPr="00B21A20">
        <w:t>.</w:t>
      </w:r>
      <w:r>
        <w:rPr>
          <w:lang w:eastAsia="lt-LT"/>
        </w:rPr>
        <w:t xml:space="preserve"> Apskaičiuotas ICER – </w:t>
      </w:r>
      <w:r w:rsidR="003C25C3">
        <w:rPr>
          <w:lang w:eastAsia="lt-LT"/>
        </w:rPr>
        <w:t>***</w:t>
      </w:r>
      <w:r>
        <w:rPr>
          <w:lang w:eastAsia="lt-LT"/>
        </w:rPr>
        <w:t xml:space="preserve"> </w:t>
      </w:r>
      <w:r w:rsidRPr="00B21A20">
        <w:rPr>
          <w:color w:val="000000"/>
        </w:rPr>
        <w:t>Eur./QALY</w:t>
      </w:r>
      <w:r>
        <w:rPr>
          <w:color w:val="000000"/>
          <w:lang w:eastAsia="lt-LT"/>
        </w:rPr>
        <w:t xml:space="preserve"> </w:t>
      </w:r>
      <w:r>
        <w:rPr>
          <w:lang w:eastAsia="lt-LT"/>
        </w:rPr>
        <w:t xml:space="preserve">viršija lengvai ligos naštai taikomą referencinę kaštų naudingumo vertę </w:t>
      </w:r>
      <w:r>
        <w:t>(&gt;</w:t>
      </w:r>
      <w:r w:rsidR="003C25C3">
        <w:rPr>
          <w:bCs/>
          <w:color w:val="000000"/>
          <w:lang w:eastAsia="lt-LT"/>
        </w:rPr>
        <w:t>***</w:t>
      </w:r>
      <w:r w:rsidRPr="00B55373">
        <w:rPr>
          <w:bCs/>
          <w:color w:val="000000"/>
          <w:lang w:eastAsia="lt-LT"/>
        </w:rPr>
        <w:t xml:space="preserve"> </w:t>
      </w:r>
      <w:r w:rsidRPr="00B4298C">
        <w:rPr>
          <w:color w:val="000000"/>
          <w:lang w:eastAsia="lt-LT"/>
        </w:rPr>
        <w:t>Eur</w:t>
      </w:r>
      <w:r>
        <w:rPr>
          <w:color w:val="000000"/>
          <w:lang w:eastAsia="lt-LT"/>
        </w:rPr>
        <w:t>.)</w:t>
      </w:r>
      <w:r w:rsidR="00D71C5B">
        <w:rPr>
          <w:color w:val="000000"/>
          <w:lang w:eastAsia="lt-LT"/>
        </w:rPr>
        <w:t>.</w:t>
      </w:r>
    </w:p>
    <w:p w14:paraId="6D3AB41F" w14:textId="77777777" w:rsidR="00D71C5B" w:rsidRDefault="00D71C5B" w:rsidP="00D71C5B">
      <w:pPr>
        <w:pStyle w:val="Sraopastraipa"/>
        <w:tabs>
          <w:tab w:val="left" w:pos="360"/>
        </w:tabs>
        <w:spacing w:line="276" w:lineRule="auto"/>
        <w:ind w:left="0"/>
        <w:jc w:val="both"/>
      </w:pPr>
    </w:p>
    <w:p w14:paraId="001D08F2" w14:textId="77777777" w:rsidR="00D71C5B" w:rsidRPr="00B3785C" w:rsidRDefault="00D71C5B" w:rsidP="00D71C5B">
      <w:pPr>
        <w:tabs>
          <w:tab w:val="left" w:pos="426"/>
        </w:tabs>
        <w:jc w:val="center"/>
        <w:rPr>
          <w:b/>
          <w:lang w:eastAsia="lt-LT"/>
        </w:rPr>
      </w:pPr>
      <w:r w:rsidRPr="00B3785C">
        <w:rPr>
          <w:b/>
          <w:lang w:eastAsia="lt-LT"/>
        </w:rPr>
        <w:t>3.1 Ekonominės analizės rezultatas</w:t>
      </w:r>
    </w:p>
    <w:p w14:paraId="74ECCCCE" w14:textId="77777777" w:rsidR="00D71C5B" w:rsidRPr="00B3785C" w:rsidRDefault="00D71C5B" w:rsidP="00D71C5B">
      <w:pPr>
        <w:tabs>
          <w:tab w:val="left" w:pos="426"/>
        </w:tabs>
        <w:rPr>
          <w:b/>
          <w:lang w:eastAsia="lt-LT"/>
        </w:rPr>
      </w:pPr>
    </w:p>
    <w:tbl>
      <w:tblPr>
        <w:tblStyle w:val="Lentelstinklelis1"/>
        <w:tblW w:w="9439"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200"/>
        <w:gridCol w:w="3239"/>
      </w:tblGrid>
      <w:tr w:rsidR="00D71C5B" w:rsidRPr="00B3785C" w14:paraId="50223FE4" w14:textId="77777777" w:rsidTr="00450233">
        <w:trPr>
          <w:trHeight w:val="344"/>
          <w:jc w:val="center"/>
        </w:trPr>
        <w:tc>
          <w:tcPr>
            <w:tcW w:w="9439" w:type="dxa"/>
            <w:gridSpan w:val="2"/>
            <w:tcBorders>
              <w:top w:val="single" w:sz="12" w:space="0" w:color="auto"/>
              <w:left w:val="single" w:sz="4" w:space="0" w:color="auto"/>
              <w:right w:val="single" w:sz="4" w:space="0" w:color="auto"/>
            </w:tcBorders>
            <w:vAlign w:val="center"/>
          </w:tcPr>
          <w:p w14:paraId="3B79F113" w14:textId="77777777" w:rsidR="00D71C5B" w:rsidRPr="00B3785C" w:rsidRDefault="00D71C5B" w:rsidP="00450233">
            <w:pPr>
              <w:tabs>
                <w:tab w:val="left" w:pos="567"/>
              </w:tabs>
              <w:jc w:val="center"/>
              <w:rPr>
                <w:b/>
                <w:bCs/>
                <w:sz w:val="26"/>
                <w:szCs w:val="26"/>
                <w:lang w:eastAsia="lt-LT"/>
              </w:rPr>
            </w:pPr>
            <w:r w:rsidRPr="00B3785C">
              <w:rPr>
                <w:b/>
                <w:bCs/>
                <w:sz w:val="26"/>
                <w:szCs w:val="26"/>
                <w:lang w:eastAsia="lt-LT"/>
              </w:rPr>
              <w:t>Rezultatai</w:t>
            </w:r>
          </w:p>
        </w:tc>
      </w:tr>
      <w:tr w:rsidR="00D71C5B" w:rsidRPr="00B3785C" w14:paraId="20D78AB8" w14:textId="77777777" w:rsidTr="00450233">
        <w:trPr>
          <w:trHeight w:val="267"/>
          <w:jc w:val="center"/>
        </w:trPr>
        <w:tc>
          <w:tcPr>
            <w:tcW w:w="6200" w:type="dxa"/>
            <w:tcBorders>
              <w:left w:val="single" w:sz="4" w:space="0" w:color="auto"/>
            </w:tcBorders>
          </w:tcPr>
          <w:p w14:paraId="4CF9ED70" w14:textId="77777777" w:rsidR="00D71C5B" w:rsidRPr="00B3785C" w:rsidRDefault="00D71C5B" w:rsidP="00450233">
            <w:pPr>
              <w:tabs>
                <w:tab w:val="left" w:pos="567"/>
              </w:tabs>
              <w:jc w:val="right"/>
              <w:rPr>
                <w:iCs/>
                <w:lang w:eastAsia="lt-LT"/>
              </w:rPr>
            </w:pPr>
            <w:r w:rsidRPr="00B3785C">
              <w:rPr>
                <w:iCs/>
                <w:lang w:eastAsia="lt-LT"/>
              </w:rPr>
              <w:t>Kaštų skirtumas</w:t>
            </w:r>
          </w:p>
        </w:tc>
        <w:tc>
          <w:tcPr>
            <w:tcW w:w="3239" w:type="dxa"/>
            <w:tcBorders>
              <w:right w:val="single" w:sz="4" w:space="0" w:color="auto"/>
            </w:tcBorders>
          </w:tcPr>
          <w:p w14:paraId="2B16B2D6" w14:textId="6A9860B9" w:rsidR="00D71C5B" w:rsidRPr="00B3785C" w:rsidRDefault="003C25C3" w:rsidP="00450233">
            <w:pPr>
              <w:tabs>
                <w:tab w:val="left" w:pos="567"/>
              </w:tabs>
              <w:jc w:val="both"/>
              <w:rPr>
                <w:i/>
                <w:iCs/>
                <w:lang w:eastAsia="lt-LT"/>
              </w:rPr>
            </w:pPr>
            <w:r>
              <w:rPr>
                <w:lang w:eastAsia="lt-LT"/>
              </w:rPr>
              <w:t xml:space="preserve">*** </w:t>
            </w:r>
            <w:r w:rsidR="00D71C5B">
              <w:rPr>
                <w:lang w:eastAsia="lt-LT"/>
              </w:rPr>
              <w:t>Eur.</w:t>
            </w:r>
          </w:p>
        </w:tc>
      </w:tr>
      <w:tr w:rsidR="00D71C5B" w:rsidRPr="00B3785C" w14:paraId="4ED5221C" w14:textId="77777777" w:rsidTr="00450233">
        <w:trPr>
          <w:trHeight w:val="267"/>
          <w:jc w:val="center"/>
        </w:trPr>
        <w:tc>
          <w:tcPr>
            <w:tcW w:w="6200" w:type="dxa"/>
            <w:tcBorders>
              <w:left w:val="single" w:sz="4" w:space="0" w:color="auto"/>
            </w:tcBorders>
          </w:tcPr>
          <w:p w14:paraId="07F1798F" w14:textId="77777777" w:rsidR="00D71C5B" w:rsidRPr="00B3785C" w:rsidRDefault="00D71C5B" w:rsidP="00450233">
            <w:pPr>
              <w:tabs>
                <w:tab w:val="left" w:pos="567"/>
              </w:tabs>
              <w:jc w:val="right"/>
              <w:rPr>
                <w:iCs/>
                <w:lang w:eastAsia="lt-LT"/>
              </w:rPr>
            </w:pPr>
            <w:r w:rsidRPr="00B3785C">
              <w:rPr>
                <w:iCs/>
                <w:lang w:eastAsia="lt-LT"/>
              </w:rPr>
              <w:t>Papildomi gyvenimo metai (LY)</w:t>
            </w:r>
          </w:p>
        </w:tc>
        <w:tc>
          <w:tcPr>
            <w:tcW w:w="3239" w:type="dxa"/>
            <w:tcBorders>
              <w:right w:val="single" w:sz="4" w:space="0" w:color="auto"/>
            </w:tcBorders>
          </w:tcPr>
          <w:p w14:paraId="55D105B7" w14:textId="77777777" w:rsidR="00D71C5B" w:rsidRPr="00B3785C" w:rsidRDefault="00D71C5B" w:rsidP="00450233">
            <w:pPr>
              <w:tabs>
                <w:tab w:val="left" w:pos="567"/>
              </w:tabs>
              <w:jc w:val="both"/>
              <w:rPr>
                <w:i/>
                <w:iCs/>
                <w:lang w:eastAsia="lt-LT"/>
              </w:rPr>
            </w:pPr>
            <w:r>
              <w:rPr>
                <w:i/>
                <w:iCs/>
                <w:lang w:eastAsia="lt-LT"/>
              </w:rPr>
              <w:t>-</w:t>
            </w:r>
          </w:p>
        </w:tc>
      </w:tr>
      <w:tr w:rsidR="00D71C5B" w:rsidRPr="00B3785C" w14:paraId="4611DD66" w14:textId="77777777" w:rsidTr="00450233">
        <w:trPr>
          <w:trHeight w:val="267"/>
          <w:jc w:val="center"/>
        </w:trPr>
        <w:tc>
          <w:tcPr>
            <w:tcW w:w="6200" w:type="dxa"/>
            <w:tcBorders>
              <w:left w:val="single" w:sz="4" w:space="0" w:color="auto"/>
            </w:tcBorders>
          </w:tcPr>
          <w:p w14:paraId="618A63D6" w14:textId="77777777" w:rsidR="00D71C5B" w:rsidRPr="00B3785C" w:rsidRDefault="00D71C5B" w:rsidP="00450233">
            <w:pPr>
              <w:tabs>
                <w:tab w:val="left" w:pos="567"/>
              </w:tabs>
              <w:jc w:val="right"/>
              <w:rPr>
                <w:iCs/>
                <w:lang w:eastAsia="lt-LT"/>
              </w:rPr>
            </w:pPr>
            <w:r w:rsidRPr="00B3785C">
              <w:rPr>
                <w:iCs/>
                <w:lang w:eastAsia="lt-LT"/>
              </w:rPr>
              <w:t>Papildomi kokybiški gyvenimo metai (QALY)</w:t>
            </w:r>
          </w:p>
        </w:tc>
        <w:tc>
          <w:tcPr>
            <w:tcW w:w="3239" w:type="dxa"/>
            <w:tcBorders>
              <w:right w:val="single" w:sz="4" w:space="0" w:color="auto"/>
            </w:tcBorders>
          </w:tcPr>
          <w:p w14:paraId="1524F684" w14:textId="47CBB058" w:rsidR="00D71C5B" w:rsidRPr="00B3785C" w:rsidRDefault="003C25C3" w:rsidP="00450233">
            <w:pPr>
              <w:tabs>
                <w:tab w:val="left" w:pos="567"/>
              </w:tabs>
              <w:jc w:val="both"/>
              <w:rPr>
                <w:i/>
                <w:iCs/>
                <w:lang w:eastAsia="lt-LT"/>
              </w:rPr>
            </w:pPr>
            <w:r>
              <w:rPr>
                <w:i/>
                <w:iCs/>
                <w:lang w:eastAsia="lt-LT"/>
              </w:rPr>
              <w:t>***</w:t>
            </w:r>
          </w:p>
        </w:tc>
      </w:tr>
      <w:tr w:rsidR="00D71C5B" w:rsidRPr="00B3785C" w14:paraId="32DB057F" w14:textId="77777777" w:rsidTr="00450233">
        <w:trPr>
          <w:trHeight w:val="267"/>
          <w:jc w:val="center"/>
        </w:trPr>
        <w:tc>
          <w:tcPr>
            <w:tcW w:w="6200" w:type="dxa"/>
            <w:tcBorders>
              <w:left w:val="single" w:sz="4" w:space="0" w:color="auto"/>
            </w:tcBorders>
          </w:tcPr>
          <w:p w14:paraId="36677BC8" w14:textId="77777777" w:rsidR="00D71C5B" w:rsidRPr="00B3785C" w:rsidRDefault="00D71C5B" w:rsidP="00450233">
            <w:pPr>
              <w:tabs>
                <w:tab w:val="left" w:pos="567"/>
              </w:tabs>
              <w:jc w:val="right"/>
              <w:rPr>
                <w:iCs/>
                <w:lang w:eastAsia="lt-LT"/>
              </w:rPr>
            </w:pPr>
            <w:r w:rsidRPr="00B3785C">
              <w:rPr>
                <w:iCs/>
                <w:lang w:eastAsia="lt-LT"/>
              </w:rPr>
              <w:t>ICER už LY</w:t>
            </w:r>
          </w:p>
        </w:tc>
        <w:tc>
          <w:tcPr>
            <w:tcW w:w="3239" w:type="dxa"/>
            <w:tcBorders>
              <w:right w:val="single" w:sz="4" w:space="0" w:color="auto"/>
            </w:tcBorders>
          </w:tcPr>
          <w:p w14:paraId="3B046672" w14:textId="77777777" w:rsidR="00D71C5B" w:rsidRPr="00B3785C" w:rsidRDefault="00D71C5B" w:rsidP="00450233">
            <w:pPr>
              <w:tabs>
                <w:tab w:val="left" w:pos="567"/>
              </w:tabs>
              <w:jc w:val="both"/>
              <w:rPr>
                <w:i/>
                <w:iCs/>
                <w:lang w:eastAsia="lt-LT"/>
              </w:rPr>
            </w:pPr>
            <w:r>
              <w:rPr>
                <w:i/>
                <w:iCs/>
                <w:lang w:eastAsia="lt-LT"/>
              </w:rPr>
              <w:t>-</w:t>
            </w:r>
          </w:p>
        </w:tc>
      </w:tr>
      <w:tr w:rsidR="00D71C5B" w:rsidRPr="00B3785C" w14:paraId="1DAC6C2D" w14:textId="77777777" w:rsidTr="00450233">
        <w:trPr>
          <w:trHeight w:val="267"/>
          <w:jc w:val="center"/>
        </w:trPr>
        <w:tc>
          <w:tcPr>
            <w:tcW w:w="6200" w:type="dxa"/>
            <w:tcBorders>
              <w:left w:val="single" w:sz="4" w:space="0" w:color="auto"/>
            </w:tcBorders>
          </w:tcPr>
          <w:p w14:paraId="176EAA10" w14:textId="77777777" w:rsidR="00D71C5B" w:rsidRPr="00B3785C" w:rsidRDefault="00D71C5B" w:rsidP="00450233">
            <w:pPr>
              <w:tabs>
                <w:tab w:val="left" w:pos="567"/>
              </w:tabs>
              <w:jc w:val="right"/>
              <w:rPr>
                <w:b/>
                <w:iCs/>
                <w:lang w:eastAsia="lt-LT"/>
              </w:rPr>
            </w:pPr>
            <w:r w:rsidRPr="00B3785C">
              <w:rPr>
                <w:b/>
                <w:iCs/>
                <w:lang w:eastAsia="lt-LT"/>
              </w:rPr>
              <w:t>ICER už QALY</w:t>
            </w:r>
          </w:p>
        </w:tc>
        <w:tc>
          <w:tcPr>
            <w:tcW w:w="3239" w:type="dxa"/>
            <w:tcBorders>
              <w:right w:val="single" w:sz="4" w:space="0" w:color="auto"/>
            </w:tcBorders>
          </w:tcPr>
          <w:p w14:paraId="0B7EE1E3" w14:textId="2959FB05" w:rsidR="00D71C5B" w:rsidRPr="004979E5" w:rsidRDefault="003C25C3" w:rsidP="00450233">
            <w:pPr>
              <w:tabs>
                <w:tab w:val="left" w:pos="567"/>
              </w:tabs>
              <w:jc w:val="both"/>
              <w:rPr>
                <w:i/>
                <w:iCs/>
                <w:lang w:eastAsia="lt-LT"/>
              </w:rPr>
            </w:pPr>
            <w:r>
              <w:rPr>
                <w:b/>
                <w:bCs/>
              </w:rPr>
              <w:t>***</w:t>
            </w:r>
            <w:r w:rsidR="00D71C5B">
              <w:rPr>
                <w:b/>
                <w:bCs/>
              </w:rPr>
              <w:t xml:space="preserve"> Eur./QALY</w:t>
            </w:r>
          </w:p>
        </w:tc>
      </w:tr>
      <w:tr w:rsidR="00D71C5B" w:rsidRPr="00B3785C" w14:paraId="52AA2495" w14:textId="77777777" w:rsidTr="00450233">
        <w:trPr>
          <w:trHeight w:val="267"/>
          <w:jc w:val="center"/>
        </w:trPr>
        <w:tc>
          <w:tcPr>
            <w:tcW w:w="6200" w:type="dxa"/>
            <w:tcBorders>
              <w:left w:val="single" w:sz="4" w:space="0" w:color="auto"/>
              <w:bottom w:val="single" w:sz="4" w:space="0" w:color="auto"/>
              <w:right w:val="single" w:sz="4" w:space="0" w:color="auto"/>
            </w:tcBorders>
          </w:tcPr>
          <w:p w14:paraId="7ABEC25A" w14:textId="77777777" w:rsidR="00D71C5B" w:rsidRPr="00B3785C" w:rsidRDefault="00D71C5B" w:rsidP="00450233">
            <w:pPr>
              <w:tabs>
                <w:tab w:val="left" w:pos="567"/>
              </w:tabs>
              <w:jc w:val="right"/>
              <w:rPr>
                <w:b/>
                <w:i/>
                <w:iCs/>
                <w:lang w:eastAsia="lt-LT"/>
              </w:rPr>
            </w:pPr>
            <w:r w:rsidRPr="00B3785C">
              <w:rPr>
                <w:b/>
                <w:i/>
                <w:iCs/>
                <w:lang w:eastAsia="lt-LT"/>
              </w:rPr>
              <w:t>Referencinė kaštų naudingumo vertė</w:t>
            </w:r>
          </w:p>
        </w:tc>
        <w:tc>
          <w:tcPr>
            <w:tcW w:w="3239" w:type="dxa"/>
            <w:tcBorders>
              <w:left w:val="single" w:sz="4" w:space="0" w:color="auto"/>
              <w:bottom w:val="single" w:sz="4" w:space="0" w:color="auto"/>
              <w:right w:val="single" w:sz="4" w:space="0" w:color="auto"/>
            </w:tcBorders>
          </w:tcPr>
          <w:p w14:paraId="0332E5E5" w14:textId="5E223F6F" w:rsidR="00D71C5B" w:rsidRPr="00B3785C" w:rsidRDefault="003C25C3" w:rsidP="00450233">
            <w:pPr>
              <w:tabs>
                <w:tab w:val="left" w:pos="567"/>
              </w:tabs>
              <w:jc w:val="both"/>
              <w:rPr>
                <w:i/>
                <w:iCs/>
                <w:lang w:eastAsia="lt-LT"/>
              </w:rPr>
            </w:pPr>
            <w:r>
              <w:rPr>
                <w:b/>
                <w:i/>
                <w:color w:val="000000"/>
                <w:lang w:eastAsia="lt-LT"/>
              </w:rPr>
              <w:t>***</w:t>
            </w:r>
            <w:r w:rsidR="00D71C5B">
              <w:rPr>
                <w:b/>
                <w:i/>
                <w:color w:val="000000"/>
                <w:lang w:eastAsia="lt-LT"/>
              </w:rPr>
              <w:t xml:space="preserve"> </w:t>
            </w:r>
            <w:r w:rsidR="00D71C5B" w:rsidRPr="00043619">
              <w:rPr>
                <w:b/>
                <w:i/>
                <w:color w:val="000000"/>
                <w:lang w:eastAsia="lt-LT"/>
              </w:rPr>
              <w:t>Eur.</w:t>
            </w:r>
          </w:p>
        </w:tc>
      </w:tr>
    </w:tbl>
    <w:p w14:paraId="644A5048" w14:textId="77777777" w:rsidR="00D71C5B" w:rsidRPr="009E3F81" w:rsidRDefault="00D71C5B" w:rsidP="00D71C5B">
      <w:pPr>
        <w:tabs>
          <w:tab w:val="left" w:pos="567"/>
        </w:tabs>
        <w:jc w:val="both"/>
        <w:rPr>
          <w:iCs/>
          <w:sz w:val="20"/>
          <w:lang w:eastAsia="lt-LT"/>
        </w:rPr>
      </w:pPr>
      <w:r w:rsidRPr="00B3785C">
        <w:rPr>
          <w:iCs/>
          <w:sz w:val="20"/>
          <w:lang w:eastAsia="lt-LT"/>
        </w:rPr>
        <w:t>ICER – (</w:t>
      </w:r>
      <w:r w:rsidRPr="00B3785C">
        <w:rPr>
          <w:i/>
          <w:sz w:val="20"/>
          <w:lang w:eastAsia="lt-LT"/>
        </w:rPr>
        <w:t>angl. incremental cost-effectiveness ratio</w:t>
      </w:r>
      <w:r w:rsidRPr="00B3785C">
        <w:rPr>
          <w:iCs/>
          <w:sz w:val="20"/>
          <w:lang w:eastAsia="lt-LT"/>
        </w:rPr>
        <w:t>) inkrementinis kaštų naudingumo koeficientas; LY – (</w:t>
      </w:r>
      <w:r w:rsidRPr="00B3785C">
        <w:rPr>
          <w:i/>
          <w:sz w:val="20"/>
          <w:lang w:eastAsia="lt-LT"/>
        </w:rPr>
        <w:t>angl. life years</w:t>
      </w:r>
      <w:r w:rsidRPr="00B3785C">
        <w:rPr>
          <w:iCs/>
          <w:sz w:val="20"/>
          <w:lang w:eastAsia="lt-LT"/>
        </w:rPr>
        <w:t>) gyvenimo metai; QALY- (</w:t>
      </w:r>
      <w:r w:rsidRPr="00B3785C">
        <w:rPr>
          <w:i/>
          <w:sz w:val="20"/>
          <w:lang w:eastAsia="lt-LT"/>
        </w:rPr>
        <w:t xml:space="preserve">angl. quality adjusted life years) </w:t>
      </w:r>
      <w:r w:rsidRPr="00B3785C">
        <w:rPr>
          <w:iCs/>
          <w:sz w:val="20"/>
          <w:lang w:eastAsia="lt-LT"/>
        </w:rPr>
        <w:t>kokybiški gyvenimo metai.</w:t>
      </w:r>
    </w:p>
    <w:p w14:paraId="03D3F22E" w14:textId="77777777" w:rsidR="00D71C5B" w:rsidRPr="001347B5" w:rsidRDefault="00D71C5B" w:rsidP="00FB1754">
      <w:pPr>
        <w:spacing w:line="276" w:lineRule="auto"/>
        <w:ind w:firstLine="360"/>
        <w:jc w:val="both"/>
        <w:rPr>
          <w:lang w:eastAsia="lt-LT"/>
        </w:rPr>
      </w:pPr>
    </w:p>
    <w:p w14:paraId="11064CAC" w14:textId="29FECB5F" w:rsidR="00FB1754" w:rsidRDefault="00FB1754" w:rsidP="00FB1754">
      <w:pPr>
        <w:shd w:val="clear" w:color="auto" w:fill="FFFFFF"/>
        <w:spacing w:line="276" w:lineRule="auto"/>
        <w:jc w:val="both"/>
        <w:rPr>
          <w:color w:val="000000"/>
          <w:lang w:eastAsia="lt-LT"/>
        </w:rPr>
      </w:pPr>
      <w:r>
        <w:t>Kadangi Tarnybos apskaičiuotas ICER neatitinka referencinės kaštų naudingumo vertės, ta pačiai keičiant prielaidas visais atvejais apskaičiuotas ICER viršija referencinę kaštų naudingumo vertę (&gt;</w:t>
      </w:r>
      <w:r w:rsidR="003C25C3">
        <w:rPr>
          <w:bCs/>
          <w:color w:val="000000"/>
          <w:lang w:eastAsia="lt-LT"/>
        </w:rPr>
        <w:t>***</w:t>
      </w:r>
      <w:r w:rsidRPr="00B55373">
        <w:rPr>
          <w:bCs/>
          <w:color w:val="000000"/>
          <w:lang w:eastAsia="lt-LT"/>
        </w:rPr>
        <w:t xml:space="preserve"> </w:t>
      </w:r>
      <w:r w:rsidRPr="00B4298C">
        <w:rPr>
          <w:color w:val="000000"/>
          <w:lang w:eastAsia="lt-LT"/>
        </w:rPr>
        <w:t>Eur</w:t>
      </w:r>
      <w:r>
        <w:rPr>
          <w:color w:val="000000"/>
          <w:lang w:eastAsia="lt-LT"/>
        </w:rPr>
        <w:t>.).</w:t>
      </w:r>
    </w:p>
    <w:p w14:paraId="2566D154" w14:textId="68ECC602" w:rsidR="00301DAB" w:rsidRPr="00D71C5B" w:rsidRDefault="00FB1754" w:rsidP="00D71C5B">
      <w:pPr>
        <w:spacing w:line="276" w:lineRule="auto"/>
        <w:ind w:firstLine="360"/>
        <w:jc w:val="both"/>
        <w:rPr>
          <w:i/>
        </w:rPr>
      </w:pPr>
      <w:r w:rsidRPr="00A102C3">
        <w:rPr>
          <w:i/>
        </w:rPr>
        <w:t>Siekiant, kad apskaičiuotas galutinis ekonominės analizės rezultatas (ICER) atitiktų</w:t>
      </w:r>
      <w:r>
        <w:rPr>
          <w:i/>
        </w:rPr>
        <w:t xml:space="preserve"> lengvai</w:t>
      </w:r>
      <w:r w:rsidRPr="00A102C3">
        <w:rPr>
          <w:i/>
        </w:rPr>
        <w:t xml:space="preserve"> ligos naštai taikomą referencinę kaštų naudingumo vertę (&lt;</w:t>
      </w:r>
      <w:r w:rsidR="003C25C3">
        <w:rPr>
          <w:i/>
          <w:color w:val="000000"/>
          <w:lang w:eastAsia="lt-LT"/>
        </w:rPr>
        <w:t>***</w:t>
      </w:r>
      <w:r w:rsidRPr="00A102C3">
        <w:rPr>
          <w:i/>
          <w:color w:val="000000"/>
          <w:lang w:eastAsia="lt-LT"/>
        </w:rPr>
        <w:t xml:space="preserve"> Eur.)</w:t>
      </w:r>
      <w:r w:rsidRPr="00A102C3">
        <w:rPr>
          <w:i/>
        </w:rPr>
        <w:t xml:space="preserve">, </w:t>
      </w:r>
      <w:r>
        <w:rPr>
          <w:rFonts w:eastAsia="Arial"/>
        </w:rPr>
        <w:t>maribaviro</w:t>
      </w:r>
      <w:r w:rsidRPr="00A102C3">
        <w:rPr>
          <w:i/>
        </w:rPr>
        <w:t xml:space="preserve"> (</w:t>
      </w:r>
      <w:r>
        <w:rPr>
          <w:i/>
        </w:rPr>
        <w:t>Livtencity</w:t>
      </w:r>
      <w:r w:rsidRPr="00A102C3">
        <w:rPr>
          <w:i/>
        </w:rPr>
        <w:t>) bazinę kainą su PGS (</w:t>
      </w:r>
      <w:r w:rsidR="003C25C3">
        <w:rPr>
          <w:i/>
        </w:rPr>
        <w:t>***</w:t>
      </w:r>
      <w:r>
        <w:rPr>
          <w:i/>
        </w:rPr>
        <w:t xml:space="preserve"> Eur.</w:t>
      </w:r>
      <w:r w:rsidRPr="00A102C3">
        <w:rPr>
          <w:i/>
        </w:rPr>
        <w:t xml:space="preserve">) reikalinga </w:t>
      </w:r>
      <w:r>
        <w:rPr>
          <w:i/>
        </w:rPr>
        <w:t xml:space="preserve">sumažinti ~ </w:t>
      </w:r>
      <w:r w:rsidR="003C25C3">
        <w:rPr>
          <w:i/>
        </w:rPr>
        <w:t>***</w:t>
      </w:r>
      <w:r w:rsidRPr="00A102C3">
        <w:rPr>
          <w:i/>
        </w:rPr>
        <w:t xml:space="preserve"> proc., kad galutinė faktinė bazinė </w:t>
      </w:r>
      <w:r>
        <w:rPr>
          <w:i/>
        </w:rPr>
        <w:t>maribaviro</w:t>
      </w:r>
      <w:r w:rsidRPr="00A102C3">
        <w:rPr>
          <w:i/>
        </w:rPr>
        <w:t xml:space="preserve"> pakuotės Lietuvai taikoma </w:t>
      </w:r>
      <w:r>
        <w:rPr>
          <w:i/>
        </w:rPr>
        <w:t xml:space="preserve">bazinė </w:t>
      </w:r>
      <w:r w:rsidRPr="00A102C3">
        <w:rPr>
          <w:i/>
        </w:rPr>
        <w:t xml:space="preserve">kaina būtų </w:t>
      </w:r>
      <w:r>
        <w:rPr>
          <w:i/>
        </w:rPr>
        <w:t>~</w:t>
      </w:r>
      <w:r w:rsidR="003C25C3">
        <w:rPr>
          <w:i/>
        </w:rPr>
        <w:t>***</w:t>
      </w:r>
      <w:r>
        <w:rPr>
          <w:i/>
        </w:rPr>
        <w:t xml:space="preserve"> </w:t>
      </w:r>
      <w:r w:rsidRPr="00A102C3">
        <w:rPr>
          <w:i/>
        </w:rPr>
        <w:t>Eur.</w:t>
      </w:r>
    </w:p>
    <w:p w14:paraId="33875138" w14:textId="77777777" w:rsidR="0035172D" w:rsidRPr="00334F18" w:rsidRDefault="0035172D" w:rsidP="00A93AA6">
      <w:pPr>
        <w:tabs>
          <w:tab w:val="left" w:pos="426"/>
        </w:tabs>
        <w:rPr>
          <w:b/>
          <w:bCs/>
          <w:caps/>
        </w:rPr>
      </w:pPr>
    </w:p>
    <w:p w14:paraId="4FC424F9" w14:textId="4E767245" w:rsidR="00C62B36" w:rsidRPr="00334F18" w:rsidRDefault="00C62B36" w:rsidP="00CC09D4">
      <w:pPr>
        <w:pStyle w:val="Sraopastraipa"/>
        <w:numPr>
          <w:ilvl w:val="0"/>
          <w:numId w:val="12"/>
        </w:numPr>
        <w:tabs>
          <w:tab w:val="left" w:pos="567"/>
        </w:tabs>
        <w:ind w:hanging="720"/>
        <w:rPr>
          <w:b/>
          <w:bCs/>
          <w:caps/>
        </w:rPr>
      </w:pPr>
      <w:r w:rsidRPr="00334F18">
        <w:rPr>
          <w:b/>
          <w:bCs/>
          <w:caps/>
        </w:rPr>
        <w:t xml:space="preserve">Pacientų organizacijų pateikti duomenys </w:t>
      </w:r>
    </w:p>
    <w:p w14:paraId="54351841" w14:textId="77777777" w:rsidR="00C9728E" w:rsidRPr="00334F18" w:rsidRDefault="00C9728E" w:rsidP="00C9728E">
      <w:pPr>
        <w:pStyle w:val="Sraopastraipa"/>
        <w:tabs>
          <w:tab w:val="left" w:pos="567"/>
        </w:tabs>
        <w:rPr>
          <w:b/>
          <w:bCs/>
          <w:caps/>
        </w:rPr>
      </w:pPr>
    </w:p>
    <w:p w14:paraId="62992180" w14:textId="1CDAE711" w:rsidR="00937907" w:rsidRPr="00334F18" w:rsidRDefault="00937907" w:rsidP="00937907">
      <w:pPr>
        <w:spacing w:after="120"/>
        <w:jc w:val="both"/>
      </w:pPr>
      <w:r w:rsidRPr="00334F18">
        <w:t xml:space="preserve">Pacientų organizacijos pozicija </w:t>
      </w:r>
      <w:r w:rsidR="00880A44" w:rsidRPr="00334F18">
        <w:t>ne</w:t>
      </w:r>
      <w:r w:rsidRPr="00334F18">
        <w:t>pateikta.</w:t>
      </w:r>
    </w:p>
    <w:p w14:paraId="03E73D82" w14:textId="77777777" w:rsidR="00D417D2" w:rsidRPr="00334F18" w:rsidRDefault="00D417D2" w:rsidP="00937907">
      <w:pPr>
        <w:spacing w:after="120"/>
        <w:jc w:val="both"/>
      </w:pPr>
    </w:p>
    <w:p w14:paraId="3D3277FA" w14:textId="09414FFF" w:rsidR="00C62B36" w:rsidRPr="00334F18" w:rsidRDefault="00D67BAF" w:rsidP="00CC09D4">
      <w:pPr>
        <w:pStyle w:val="Sraopastraipa"/>
        <w:numPr>
          <w:ilvl w:val="0"/>
          <w:numId w:val="12"/>
        </w:numPr>
        <w:tabs>
          <w:tab w:val="left" w:pos="567"/>
        </w:tabs>
        <w:ind w:hanging="720"/>
        <w:rPr>
          <w:b/>
          <w:bCs/>
          <w:caps/>
        </w:rPr>
      </w:pPr>
      <w:r w:rsidRPr="00334F18">
        <w:rPr>
          <w:b/>
          <w:bCs/>
          <w:caps/>
        </w:rPr>
        <w:t xml:space="preserve">SVEIKATOS PRIEŽIŪROS SPECIALISTŲ </w:t>
      </w:r>
      <w:r w:rsidR="00C62B36" w:rsidRPr="00334F18">
        <w:rPr>
          <w:b/>
          <w:bCs/>
          <w:caps/>
        </w:rPr>
        <w:t xml:space="preserve"> organizacijų pateikti duomenys</w:t>
      </w:r>
    </w:p>
    <w:p w14:paraId="044D5084" w14:textId="77777777" w:rsidR="00C9728E" w:rsidRPr="00334F18" w:rsidRDefault="00C9728E" w:rsidP="00C9728E">
      <w:pPr>
        <w:pStyle w:val="Sraopastraipa"/>
        <w:tabs>
          <w:tab w:val="left" w:pos="567"/>
        </w:tabs>
        <w:rPr>
          <w:b/>
          <w:bCs/>
          <w:caps/>
        </w:rPr>
      </w:pPr>
    </w:p>
    <w:p w14:paraId="5D8CC48C" w14:textId="6E426D65" w:rsidR="00662983" w:rsidRPr="00334F18" w:rsidRDefault="00D67BAF" w:rsidP="00662983">
      <w:pPr>
        <w:spacing w:after="120"/>
        <w:jc w:val="both"/>
      </w:pPr>
      <w:r w:rsidRPr="00334F18">
        <w:t>S</w:t>
      </w:r>
      <w:r w:rsidRPr="00334F18">
        <w:rPr>
          <w:bCs/>
        </w:rPr>
        <w:t>veikatos priežiūros specialistų</w:t>
      </w:r>
      <w:r w:rsidR="00937907" w:rsidRPr="00334F18">
        <w:t xml:space="preserve"> organizacijos pozicija </w:t>
      </w:r>
      <w:r w:rsidR="00880A44" w:rsidRPr="00334F18">
        <w:t>ne</w:t>
      </w:r>
      <w:r w:rsidR="00937907" w:rsidRPr="00334F18">
        <w:t>pateikta.</w:t>
      </w:r>
    </w:p>
    <w:p w14:paraId="3701D46A" w14:textId="77777777" w:rsidR="00A042B9" w:rsidRPr="00334F18" w:rsidRDefault="00A042B9" w:rsidP="00662983">
      <w:pPr>
        <w:spacing w:after="120"/>
        <w:jc w:val="both"/>
      </w:pPr>
    </w:p>
    <w:p w14:paraId="78F23ECB" w14:textId="3ED5BFD5" w:rsidR="002F0E4F" w:rsidRPr="00334F18" w:rsidRDefault="002F0E4F" w:rsidP="00CC09D4">
      <w:pPr>
        <w:pStyle w:val="Sraopastraipa"/>
        <w:numPr>
          <w:ilvl w:val="0"/>
          <w:numId w:val="12"/>
        </w:numPr>
        <w:tabs>
          <w:tab w:val="left" w:pos="567"/>
        </w:tabs>
        <w:ind w:hanging="720"/>
        <w:rPr>
          <w:b/>
          <w:bCs/>
          <w:caps/>
        </w:rPr>
      </w:pPr>
      <w:r w:rsidRPr="00334F18">
        <w:rPr>
          <w:b/>
          <w:bCs/>
          <w:caps/>
        </w:rPr>
        <w:t>Išvad</w:t>
      </w:r>
      <w:r w:rsidR="00B811A4" w:rsidRPr="00334F18">
        <w:rPr>
          <w:b/>
          <w:bCs/>
          <w:caps/>
        </w:rPr>
        <w:t>OS</w:t>
      </w:r>
      <w:r w:rsidRPr="00334F18">
        <w:rPr>
          <w:b/>
          <w:bCs/>
          <w:caps/>
        </w:rPr>
        <w:t xml:space="preserve"> </w:t>
      </w:r>
    </w:p>
    <w:p w14:paraId="30069D85" w14:textId="77777777" w:rsidR="0061611B" w:rsidRPr="00334F18" w:rsidRDefault="0061611B" w:rsidP="0061611B">
      <w:pPr>
        <w:ind w:left="360"/>
        <w:rPr>
          <w:i/>
          <w:szCs w:val="22"/>
        </w:rPr>
      </w:pPr>
    </w:p>
    <w:tbl>
      <w:tblPr>
        <w:tblStyle w:val="Lentelstinklelis"/>
        <w:tblW w:w="0" w:type="auto"/>
        <w:tblInd w:w="-5" w:type="dxa"/>
        <w:tblLook w:val="04A0" w:firstRow="1" w:lastRow="0" w:firstColumn="1" w:lastColumn="0" w:noHBand="0" w:noVBand="1"/>
      </w:tblPr>
      <w:tblGrid>
        <w:gridCol w:w="4820"/>
        <w:gridCol w:w="4814"/>
      </w:tblGrid>
      <w:tr w:rsidR="00334F18" w:rsidRPr="00334F18" w14:paraId="4D5EFB83" w14:textId="77777777" w:rsidTr="007111C4">
        <w:trPr>
          <w:trHeight w:val="510"/>
        </w:trPr>
        <w:tc>
          <w:tcPr>
            <w:tcW w:w="9634" w:type="dxa"/>
            <w:gridSpan w:val="2"/>
            <w:vAlign w:val="center"/>
          </w:tcPr>
          <w:p w14:paraId="294EC16B"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bookmarkStart w:id="2" w:name="_Hlk185430554"/>
            <w:r w:rsidRPr="00334F18">
              <w:rPr>
                <w:rStyle w:val="Style2"/>
                <w:rFonts w:eastAsia="MS Gothic"/>
                <w:b/>
                <w:bCs/>
                <w:sz w:val="23"/>
                <w:szCs w:val="23"/>
              </w:rPr>
              <w:t>Palyginamasis veiksmingumas</w:t>
            </w:r>
          </w:p>
        </w:tc>
      </w:tr>
      <w:tr w:rsidR="00334F18" w:rsidRPr="00334F18" w14:paraId="30B67515" w14:textId="77777777" w:rsidTr="007111C4">
        <w:tc>
          <w:tcPr>
            <w:tcW w:w="4820" w:type="dxa"/>
          </w:tcPr>
          <w:p w14:paraId="4FE3C208" w14:textId="6506D11D"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397324644"/>
                <w15:color w:val="FFCC00"/>
                <w14:checkbox>
                  <w14:checked w14:val="1"/>
                  <w14:checkedState w14:val="2612" w14:font="MS Gothic"/>
                  <w14:uncheckedState w14:val="2610" w14:font="MS Gothic"/>
                </w14:checkbox>
              </w:sdtPr>
              <w:sdtEndPr>
                <w:rPr>
                  <w:rStyle w:val="Style2"/>
                </w:rPr>
              </w:sdtEndPr>
              <w:sdtContent>
                <w:r w:rsidR="00F43BF4">
                  <w:rPr>
                    <w:rStyle w:val="Style2"/>
                    <w:rFonts w:ascii="MS Gothic" w:eastAsia="MS Gothic" w:hAnsi="MS Gothic" w:hint="eastAsia"/>
                    <w:sz w:val="23"/>
                    <w:szCs w:val="23"/>
                  </w:rPr>
                  <w:t>☒</w:t>
                </w:r>
              </w:sdtContent>
            </w:sdt>
            <w:r w:rsidR="00B811A4" w:rsidRPr="00334F18">
              <w:rPr>
                <w:rStyle w:val="Style2"/>
                <w:sz w:val="23"/>
                <w:szCs w:val="23"/>
              </w:rPr>
              <w:t xml:space="preserve"> 29</w:t>
            </w:r>
            <w:r w:rsidR="00B811A4" w:rsidRPr="00334F18">
              <w:rPr>
                <w:sz w:val="23"/>
                <w:szCs w:val="23"/>
              </w:rPr>
              <w:t>.1.1 yra didesnis, lyginant su įprasta klinikine praktika</w:t>
            </w:r>
          </w:p>
          <w:p w14:paraId="6F9786E4"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31EDECD" w14:textId="48816B22"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418297090"/>
                <w15:color w:val="FFCC00"/>
                <w14:checkbox>
                  <w14:checked w14:val="0"/>
                  <w14:checkedState w14:val="2612" w14:font="MS Gothic"/>
                  <w14:uncheckedState w14:val="2610" w14:font="MS Gothic"/>
                </w14:checkbox>
              </w:sdtPr>
              <w:sdtEndPr>
                <w:rPr>
                  <w:rStyle w:val="Style2"/>
                </w:rPr>
              </w:sdtEndPr>
              <w:sdtContent>
                <w:r w:rsidR="00F43BF4">
                  <w:rPr>
                    <w:rStyle w:val="Style2"/>
                    <w:rFonts w:ascii="MS Gothic" w:eastAsia="MS Gothic" w:hAnsi="MS Gothic" w:hint="eastAsia"/>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.1.2 iš esmės nesiskiria, lyginant su įprasta klinikine praktika</w:t>
            </w:r>
          </w:p>
        </w:tc>
        <w:tc>
          <w:tcPr>
            <w:tcW w:w="4814" w:type="dxa"/>
          </w:tcPr>
          <w:p w14:paraId="72562F9E" w14:textId="77777777"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24755596"/>
                <w15:color w:val="FFCC00"/>
                <w14:checkbox>
                  <w14:checked w14:val="0"/>
                  <w14:checkedState w14:val="2612" w14:font="MS Gothic"/>
                  <w14:uncheckedState w14:val="2610" w14:font="MS Gothic"/>
                </w14:checkbox>
              </w:sdtPr>
              <w:sdtEndPr>
                <w:rPr>
                  <w:rStyle w:val="Style2"/>
                </w:rPr>
              </w:sdtEnd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 xml:space="preserve">.1.3 yra neįrodytas kaip didesnis  ar iš esmės nesiskiriantis, lyginant su įprasta klinikine praktika  </w:t>
            </w:r>
          </w:p>
          <w:p w14:paraId="6F6DB5BC"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EE1D885" w14:textId="77777777"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62168479"/>
                <w15:color w:val="FFCC00"/>
                <w14:checkbox>
                  <w14:checked w14:val="0"/>
                  <w14:checkedState w14:val="2612" w14:font="MS Gothic"/>
                  <w14:uncheckedState w14:val="2610" w14:font="MS Gothic"/>
                </w14:checkbox>
              </w:sdtPr>
              <w:sdtEndPr>
                <w:rPr>
                  <w:rStyle w:val="Style2"/>
                </w:rPr>
              </w:sdtEnd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.1.4 yra mažesnis, lyginant su įprasta klinikine praktika</w:t>
            </w:r>
          </w:p>
          <w:p w14:paraId="193C3D76"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370E94DC" w14:textId="4EC80DB9"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57960180"/>
                <w15:color w:val="FFCC00"/>
                <w14:checkbox>
                  <w14:checked w14:val="0"/>
                  <w14:checkedState w14:val="2612" w14:font="MS Gothic"/>
                  <w14:uncheckedState w14:val="2610" w14:font="MS Gothic"/>
                </w14:checkbox>
              </w:sdtPr>
              <w:sdtEndPr>
                <w:rPr>
                  <w:rStyle w:val="Style2"/>
                </w:rPr>
              </w:sdtEnd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w:t>
            </w:r>
            <w:r w:rsidR="00B811A4" w:rsidRPr="00334F18">
              <w:rPr>
                <w:rStyle w:val="Style2"/>
                <w:sz w:val="23"/>
                <w:szCs w:val="23"/>
              </w:rPr>
              <w:t>29</w:t>
            </w:r>
            <w:r w:rsidR="00B811A4" w:rsidRPr="00334F18">
              <w:rPr>
                <w:sz w:val="23"/>
                <w:szCs w:val="23"/>
              </w:rPr>
              <w:t>.1.5 pateikti duomenys apie palyginamąjį veiksmingumą yra netinkami vertinti</w:t>
            </w:r>
          </w:p>
          <w:p w14:paraId="45719037"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bookmarkEnd w:id="2"/>
      <w:tr w:rsidR="00334F18" w:rsidRPr="00334F18" w14:paraId="0E0F5168" w14:textId="77777777" w:rsidTr="00743956">
        <w:trPr>
          <w:trHeight w:val="510"/>
        </w:trPr>
        <w:tc>
          <w:tcPr>
            <w:tcW w:w="9634" w:type="dxa"/>
            <w:gridSpan w:val="2"/>
            <w:vAlign w:val="center"/>
          </w:tcPr>
          <w:p w14:paraId="62B67E12"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r w:rsidRPr="00334F18">
              <w:rPr>
                <w:rStyle w:val="Style2"/>
                <w:rFonts w:eastAsia="MS Gothic"/>
                <w:b/>
                <w:bCs/>
                <w:sz w:val="23"/>
                <w:szCs w:val="23"/>
              </w:rPr>
              <w:lastRenderedPageBreak/>
              <w:t>Kaštų naudingumas</w:t>
            </w:r>
          </w:p>
        </w:tc>
      </w:tr>
      <w:tr w:rsidR="00334F18" w:rsidRPr="00334F18" w14:paraId="6A2F62B2" w14:textId="77777777" w:rsidTr="00743956">
        <w:tc>
          <w:tcPr>
            <w:tcW w:w="4820" w:type="dxa"/>
          </w:tcPr>
          <w:p w14:paraId="7CB2C697" w14:textId="44A4E1DF"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301657889"/>
                <w15:color w:val="FFCC00"/>
                <w14:checkbox>
                  <w14:checked w14:val="0"/>
                  <w14:checkedState w14:val="2612" w14:font="MS Gothic"/>
                  <w14:uncheckedState w14:val="2610" w14:font="MS Gothic"/>
                </w14:checkbox>
              </w:sdtPr>
              <w:sdtEndPr>
                <w:rPr>
                  <w:rStyle w:val="Style2"/>
                </w:rPr>
              </w:sdtEnd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29.2.1 atitinka referencinę naudingumo vertę taikant arba netaikant</w:t>
            </w:r>
            <w:r w:rsidR="00437623" w:rsidRPr="00334F18">
              <w:rPr>
                <w:b/>
                <w:bCs/>
                <w:sz w:val="23"/>
                <w:szCs w:val="23"/>
              </w:rPr>
              <w:t xml:space="preserve"> </w:t>
            </w:r>
            <w:r w:rsidR="00B811A4" w:rsidRPr="00334F18">
              <w:rPr>
                <w:sz w:val="23"/>
                <w:szCs w:val="23"/>
              </w:rPr>
              <w:t>PGS</w:t>
            </w:r>
          </w:p>
          <w:p w14:paraId="71797774"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BE88CDB" w14:textId="60C4FFA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c>
          <w:tcPr>
            <w:tcW w:w="4814" w:type="dxa"/>
          </w:tcPr>
          <w:p w14:paraId="0370A72C" w14:textId="13AA104F"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91860283"/>
                <w15:color w:val="FFCC00"/>
                <w14:checkbox>
                  <w14:checked w14:val="1"/>
                  <w14:checkedState w14:val="2612" w14:font="MS Gothic"/>
                  <w14:uncheckedState w14:val="2610" w14:font="MS Gothic"/>
                </w14:checkbox>
              </w:sdtPr>
              <w:sdtEndPr>
                <w:rPr>
                  <w:rStyle w:val="Style2"/>
                </w:rPr>
              </w:sdtEndPr>
              <w:sdtContent>
                <w:r w:rsidR="00F43BF4">
                  <w:rPr>
                    <w:rStyle w:val="Style2"/>
                    <w:rFonts w:ascii="MS Gothic" w:eastAsia="MS Gothic" w:hAnsi="MS Gothic" w:hint="eastAsia"/>
                    <w:sz w:val="23"/>
                    <w:szCs w:val="23"/>
                  </w:rPr>
                  <w:t>☒</w:t>
                </w:r>
              </w:sdtContent>
            </w:sdt>
            <w:r w:rsidR="00B811A4" w:rsidRPr="00334F18">
              <w:rPr>
                <w:sz w:val="23"/>
                <w:szCs w:val="23"/>
              </w:rPr>
              <w:t xml:space="preserve"> 29.2.3 neatitinka referencinės naudingumo vertės taikant arba netaikant PGS</w:t>
            </w:r>
          </w:p>
          <w:p w14:paraId="13C9EEE5"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89E6691"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FD1976C" w14:textId="77777777" w:rsidR="00B811A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3"/>
                <w:szCs w:val="23"/>
              </w:rPr>
            </w:pPr>
            <w:sdt>
              <w:sdtPr>
                <w:rPr>
                  <w:rStyle w:val="Style2"/>
                  <w:sz w:val="23"/>
                  <w:szCs w:val="23"/>
                </w:rPr>
                <w:id w:val="-943849855"/>
                <w15:color w:val="FFCC00"/>
                <w14:checkbox>
                  <w14:checked w14:val="0"/>
                  <w14:checkedState w14:val="2612" w14:font="MS Gothic"/>
                  <w14:uncheckedState w14:val="2610" w14:font="MS Gothic"/>
                </w14:checkbox>
              </w:sdtPr>
              <w:sdtEndPr>
                <w:rPr>
                  <w:rStyle w:val="Style2"/>
                </w:rPr>
              </w:sdtEndPr>
              <w:sdtContent>
                <w:r w:rsidR="00B811A4" w:rsidRPr="00334F18">
                  <w:rPr>
                    <w:rStyle w:val="Style2"/>
                    <w:rFonts w:ascii="Segoe UI Symbol" w:eastAsia="MS Gothic" w:hAnsi="Segoe UI Symbol" w:cs="Segoe UI Symbol"/>
                    <w:sz w:val="23"/>
                    <w:szCs w:val="23"/>
                  </w:rPr>
                  <w:t>☐</w:t>
                </w:r>
              </w:sdtContent>
            </w:sdt>
            <w:r w:rsidR="00B811A4" w:rsidRPr="00334F18">
              <w:rPr>
                <w:sz w:val="23"/>
                <w:szCs w:val="23"/>
              </w:rPr>
              <w:t xml:space="preserve"> 29.2.5 pateikti duomenys apie kaštų naudingumą yra netinkami vertinti</w:t>
            </w:r>
          </w:p>
          <w:p w14:paraId="06AB06C5" w14:textId="77777777" w:rsidR="00B811A4" w:rsidRPr="00334F18"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tr w:rsidR="00334F18" w:rsidRPr="00334F18" w14:paraId="632C9193" w14:textId="77777777" w:rsidTr="00027464">
        <w:tc>
          <w:tcPr>
            <w:tcW w:w="9634" w:type="dxa"/>
            <w:gridSpan w:val="2"/>
          </w:tcPr>
          <w:p w14:paraId="15C289C9" w14:textId="4C4E8CF0" w:rsidR="007111C4" w:rsidRPr="00334F18" w:rsidRDefault="00F538EC"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1266579562"/>
                <w15:color w:val="FFCC00"/>
                <w14:checkbox>
                  <w14:checked w14:val="0"/>
                  <w14:checkedState w14:val="2612" w14:font="MS Gothic"/>
                  <w14:uncheckedState w14:val="2610" w14:font="MS Gothic"/>
                </w14:checkbox>
              </w:sdtPr>
              <w:sdtEndPr>
                <w:rPr>
                  <w:rStyle w:val="Style2"/>
                </w:rPr>
              </w:sdtEndPr>
              <w:sdtContent>
                <w:r w:rsidR="00F43BF4">
                  <w:rPr>
                    <w:rStyle w:val="Style2"/>
                    <w:rFonts w:ascii="MS Gothic" w:eastAsia="MS Gothic" w:hAnsi="MS Gothic" w:hint="eastAsia"/>
                    <w:sz w:val="23"/>
                    <w:szCs w:val="23"/>
                  </w:rPr>
                  <w:t>☐</w:t>
                </w:r>
              </w:sdtContent>
            </w:sdt>
            <w:r w:rsidR="007111C4" w:rsidRPr="00334F18">
              <w:rPr>
                <w:sz w:val="23"/>
                <w:szCs w:val="23"/>
              </w:rPr>
              <w:t xml:space="preserve"> Vykdant Aprašo &lt;17</w:t>
            </w:r>
            <w:r w:rsidR="007111C4" w:rsidRPr="00334F18">
              <w:rPr>
                <w:sz w:val="23"/>
                <w:szCs w:val="23"/>
                <w:vertAlign w:val="superscript"/>
              </w:rPr>
              <w:t>3</w:t>
            </w:r>
            <w:r w:rsidR="007111C4" w:rsidRPr="00334F18">
              <w:rPr>
                <w:sz w:val="23"/>
                <w:szCs w:val="23"/>
              </w:rPr>
              <w:t>.1&gt;&lt;17</w:t>
            </w:r>
            <w:r w:rsidR="007111C4" w:rsidRPr="00334F18">
              <w:rPr>
                <w:sz w:val="23"/>
                <w:szCs w:val="23"/>
                <w:vertAlign w:val="superscript"/>
              </w:rPr>
              <w:t>3</w:t>
            </w:r>
            <w:r w:rsidR="007111C4" w:rsidRPr="00334F18">
              <w:rPr>
                <w:sz w:val="23"/>
                <w:szCs w:val="23"/>
              </w:rPr>
              <w:t>.2&gt;&lt;17</w:t>
            </w:r>
            <w:r w:rsidR="007111C4" w:rsidRPr="00334F18">
              <w:rPr>
                <w:sz w:val="23"/>
                <w:szCs w:val="23"/>
                <w:vertAlign w:val="superscript"/>
              </w:rPr>
              <w:t>3</w:t>
            </w:r>
            <w:r w:rsidR="007111C4" w:rsidRPr="00334F18">
              <w:rPr>
                <w:sz w:val="23"/>
                <w:szCs w:val="23"/>
              </w:rPr>
              <w:t>.3&gt; punktą vaistinio (-ų) preparato (-ų) ekonominis vertinimas neatliekamas, išvados dėl kaštų naudingumo neteikiamos</w:t>
            </w:r>
          </w:p>
        </w:tc>
      </w:tr>
    </w:tbl>
    <w:p w14:paraId="08D5B3B6" w14:textId="292D1124" w:rsidR="0061611B" w:rsidRPr="00334F18" w:rsidRDefault="0061611B" w:rsidP="0061611B">
      <w:pPr>
        <w:rPr>
          <w:i/>
          <w:szCs w:val="22"/>
        </w:rPr>
      </w:pPr>
    </w:p>
    <w:p w14:paraId="1B85C083" w14:textId="77777777" w:rsidR="009E44AE" w:rsidRPr="00334F18" w:rsidRDefault="009E44AE" w:rsidP="00381024"/>
    <w:p w14:paraId="3B2D1F25" w14:textId="3A80E19F" w:rsidR="000001B0" w:rsidRPr="00334F18" w:rsidRDefault="000001B0" w:rsidP="00CC09D4">
      <w:pPr>
        <w:pStyle w:val="Sraopastraipa"/>
        <w:numPr>
          <w:ilvl w:val="0"/>
          <w:numId w:val="12"/>
        </w:numPr>
        <w:ind w:left="567" w:hanging="567"/>
      </w:pPr>
      <w:r w:rsidRPr="00334F18">
        <w:rPr>
          <w:b/>
        </w:rPr>
        <w:t>REKOME</w:t>
      </w:r>
      <w:r w:rsidR="00D83182" w:rsidRPr="00334F18">
        <w:rPr>
          <w:b/>
        </w:rPr>
        <w:t>N</w:t>
      </w:r>
      <w:r w:rsidRPr="00334F18">
        <w:rPr>
          <w:b/>
        </w:rPr>
        <w:t>DACIJA</w:t>
      </w:r>
    </w:p>
    <w:p w14:paraId="35E33D78" w14:textId="59232BB3" w:rsidR="00B811A4" w:rsidRPr="00334F18" w:rsidRDefault="00B811A4" w:rsidP="00B811A4">
      <w:pPr>
        <w:pStyle w:val="Sraopastraipa"/>
        <w:ind w:left="567"/>
        <w:rPr>
          <w:b/>
        </w:rPr>
      </w:pPr>
    </w:p>
    <w:p w14:paraId="53C4A686" w14:textId="77777777" w:rsidR="002452B5" w:rsidRPr="00BB1CF1" w:rsidRDefault="002452B5" w:rsidP="002452B5">
      <w:pPr>
        <w:spacing w:line="276" w:lineRule="auto"/>
        <w:ind w:firstLine="567"/>
        <w:jc w:val="both"/>
        <w:rPr>
          <w:i/>
          <w:lang w:eastAsia="lt-LT"/>
        </w:rPr>
      </w:pPr>
      <w:r w:rsidRPr="00603B3A">
        <w:t>Vadovaujantis Aprašo</w:t>
      </w:r>
      <w:bookmarkStart w:id="3" w:name="_Hlk190784826"/>
      <w:r>
        <w:rPr>
          <w:i/>
          <w:lang w:eastAsia="lt-LT"/>
        </w:rPr>
        <w:t xml:space="preserve"> </w:t>
      </w:r>
      <w:r w:rsidRPr="00603B3A">
        <w:rPr>
          <w:lang w:eastAsia="lt-LT"/>
        </w:rPr>
        <w:t>30</w:t>
      </w:r>
      <w:r w:rsidRPr="00603B3A">
        <w:rPr>
          <w:vertAlign w:val="superscript"/>
          <w:lang w:eastAsia="lt-LT"/>
        </w:rPr>
        <w:t>1</w:t>
      </w:r>
      <w:r w:rsidRPr="00603B3A">
        <w:rPr>
          <w:lang w:eastAsia="lt-LT"/>
        </w:rPr>
        <w:t>.2. papunkčiu rekomenduojama kompensuoti vaistinį preparatą pagal paraiškoje nurodytą indikaciją (arba jos dalį) su arba be skyrimo sąlygų, jei, pateikus naują ar atnaujintą PGS, kaštų naudingumas atitinka referencinę naudingumo vertę, kai vertinimo išvados atitinka Aprašo 29.1.1 ir 29.2.3 papunkčiuose numatytas sąlygas</w:t>
      </w:r>
      <w:r>
        <w:rPr>
          <w:lang w:eastAsia="lt-LT"/>
        </w:rPr>
        <w:t>.</w:t>
      </w:r>
    </w:p>
    <w:bookmarkEnd w:id="3"/>
    <w:p w14:paraId="135F4D6A" w14:textId="77777777" w:rsidR="002452B5" w:rsidRDefault="002452B5" w:rsidP="00B811A4">
      <w:pPr>
        <w:tabs>
          <w:tab w:val="left" w:pos="426"/>
        </w:tabs>
        <w:jc w:val="both"/>
        <w:rPr>
          <w:b/>
          <w:lang w:eastAsia="lt-LT"/>
        </w:rPr>
      </w:pPr>
    </w:p>
    <w:p w14:paraId="42F3A222" w14:textId="31E82511" w:rsidR="00B811A4" w:rsidRPr="00334F18" w:rsidRDefault="00B811A4" w:rsidP="00B811A4">
      <w:pPr>
        <w:tabs>
          <w:tab w:val="left" w:pos="426"/>
        </w:tabs>
        <w:jc w:val="both"/>
        <w:rPr>
          <w:b/>
          <w:lang w:eastAsia="lt-LT"/>
        </w:rPr>
      </w:pPr>
      <w:r w:rsidRPr="00334F18">
        <w:rPr>
          <w:b/>
          <w:lang w:eastAsia="lt-LT"/>
        </w:rPr>
        <w:t>Siūloma (-os) kompensuoti terapinės indikacij</w:t>
      </w:r>
      <w:r w:rsidR="002452B5">
        <w:rPr>
          <w:b/>
          <w:lang w:eastAsia="lt-LT"/>
        </w:rPr>
        <w:t>a</w:t>
      </w:r>
    </w:p>
    <w:p w14:paraId="179FBABC" w14:textId="77777777" w:rsidR="00B811A4" w:rsidRPr="00334F18" w:rsidRDefault="00B811A4" w:rsidP="00B811A4">
      <w:pPr>
        <w:tabs>
          <w:tab w:val="left" w:pos="426"/>
        </w:tabs>
        <w:jc w:val="both"/>
        <w:rPr>
          <w:b/>
          <w:lang w:eastAsia="lt-LT"/>
        </w:rPr>
      </w:pPr>
    </w:p>
    <w:p w14:paraId="096738E7" w14:textId="77777777" w:rsidR="00F43BF4" w:rsidRPr="00756F30" w:rsidRDefault="00F43BF4" w:rsidP="00D71C5B">
      <w:pPr>
        <w:spacing w:line="276" w:lineRule="auto"/>
        <w:jc w:val="both"/>
      </w:pPr>
      <w:r w:rsidRPr="008F591B">
        <w:t>LIVTENCITY yra skirtas citomegaloviruso (CMV) infekcijai ir (arba) ligai, sunkiai pasiduodančiai</w:t>
      </w:r>
      <w:r>
        <w:t xml:space="preserve"> </w:t>
      </w:r>
      <w:r w:rsidRPr="008F591B">
        <w:t>(atspariai arba neatspariai) vienam ar daugiau ankstesnių gydymo būdų, įskaitant ganciklovirą,</w:t>
      </w:r>
      <w:r>
        <w:t xml:space="preserve"> </w:t>
      </w:r>
      <w:r w:rsidRPr="008F591B">
        <w:t xml:space="preserve">valganciklovirą, cidofovirą arba foskarnetą, </w:t>
      </w:r>
      <w:r w:rsidRPr="00185364">
        <w:t>gydyti</w:t>
      </w:r>
      <w:r w:rsidRPr="008F591B">
        <w:t xml:space="preserve"> suaugusiems pacientams, kuriems atlikta</w:t>
      </w:r>
      <w:r>
        <w:t xml:space="preserve"> </w:t>
      </w:r>
      <w:r w:rsidRPr="00756F30">
        <w:t>kraujodaros kamieninių ląstelių transplantacija (KKLT) arba solidinių organų transplantacija (SOT).</w:t>
      </w:r>
    </w:p>
    <w:p w14:paraId="57FEAC64" w14:textId="77777777" w:rsidR="00F43BF4" w:rsidRPr="00756F30" w:rsidRDefault="00F43BF4" w:rsidP="00F43BF4">
      <w:pPr>
        <w:pStyle w:val="Betarp"/>
        <w:jc w:val="both"/>
        <w:rPr>
          <w:rFonts w:ascii="Times New Roman" w:hAnsi="Times New Roman"/>
          <w:sz w:val="24"/>
          <w:szCs w:val="24"/>
        </w:rPr>
      </w:pPr>
    </w:p>
    <w:p w14:paraId="6BA5452D" w14:textId="3E5BC2E3" w:rsidR="004A3D9D" w:rsidRPr="00756F30" w:rsidRDefault="004A3D9D" w:rsidP="00F43BF4">
      <w:pPr>
        <w:pStyle w:val="Betarp"/>
        <w:jc w:val="both"/>
        <w:rPr>
          <w:rFonts w:ascii="Times New Roman" w:hAnsi="Times New Roman"/>
          <w:sz w:val="24"/>
          <w:szCs w:val="24"/>
        </w:rPr>
      </w:pPr>
      <w:r w:rsidRPr="00756F30">
        <w:rPr>
          <w:rFonts w:ascii="Times New Roman" w:hAnsi="Times New Roman"/>
          <w:sz w:val="24"/>
          <w:szCs w:val="24"/>
          <w:lang w:eastAsia="lt-LT"/>
        </w:rPr>
        <w:t xml:space="preserve">TLK-10 AM kodas: </w:t>
      </w:r>
      <w:r w:rsidRPr="00756F30">
        <w:rPr>
          <w:rFonts w:ascii="Times New Roman" w:hAnsi="Times New Roman"/>
          <w:sz w:val="24"/>
          <w:szCs w:val="24"/>
        </w:rPr>
        <w:t>Z94</w:t>
      </w:r>
    </w:p>
    <w:p w14:paraId="014A6FEE" w14:textId="77777777" w:rsidR="004A3D9D" w:rsidRPr="009300B3" w:rsidRDefault="004A3D9D" w:rsidP="00F43BF4">
      <w:pPr>
        <w:pStyle w:val="Betarp"/>
        <w:jc w:val="both"/>
        <w:rPr>
          <w:rFonts w:ascii="Times New Roman" w:hAnsi="Times New Roman"/>
          <w:sz w:val="24"/>
          <w:szCs w:val="24"/>
        </w:rPr>
      </w:pPr>
    </w:p>
    <w:p w14:paraId="60285FB1" w14:textId="1D56F896" w:rsidR="00F43BF4" w:rsidRPr="009300B3" w:rsidRDefault="002452B5" w:rsidP="00F43BF4">
      <w:pPr>
        <w:pStyle w:val="Betarp"/>
        <w:jc w:val="both"/>
        <w:rPr>
          <w:rFonts w:ascii="Times New Roman" w:hAnsi="Times New Roman"/>
          <w:b/>
          <w:sz w:val="24"/>
          <w:szCs w:val="24"/>
        </w:rPr>
      </w:pPr>
      <w:r>
        <w:rPr>
          <w:rFonts w:ascii="Times New Roman" w:hAnsi="Times New Roman"/>
          <w:b/>
          <w:sz w:val="24"/>
          <w:szCs w:val="24"/>
        </w:rPr>
        <w:t>Siūlomos s</w:t>
      </w:r>
      <w:r w:rsidR="00F43BF4" w:rsidRPr="009300B3">
        <w:rPr>
          <w:rFonts w:ascii="Times New Roman" w:hAnsi="Times New Roman"/>
          <w:b/>
          <w:sz w:val="24"/>
          <w:szCs w:val="24"/>
        </w:rPr>
        <w:t>kyrimo sąlygos</w:t>
      </w:r>
    </w:p>
    <w:p w14:paraId="7E2F47E1" w14:textId="77777777" w:rsidR="004A3D9D" w:rsidRDefault="004A3D9D" w:rsidP="004A3D9D">
      <w:pPr>
        <w:spacing w:line="276" w:lineRule="auto"/>
        <w:jc w:val="both"/>
      </w:pPr>
    </w:p>
    <w:p w14:paraId="08ED1D6E" w14:textId="0B8EBE82" w:rsidR="004A3D9D" w:rsidRDefault="004A3D9D" w:rsidP="004A3D9D">
      <w:pPr>
        <w:spacing w:line="276" w:lineRule="auto"/>
        <w:jc w:val="both"/>
      </w:pPr>
      <w:r>
        <w:t xml:space="preserve">Skiriamas nesant atsako į gydymą </w:t>
      </w:r>
      <w:r w:rsidRPr="008F591B">
        <w:t>vien</w:t>
      </w:r>
      <w:r>
        <w:t>u</w:t>
      </w:r>
      <w:r w:rsidRPr="008F591B">
        <w:t xml:space="preserve"> ar daugiau </w:t>
      </w:r>
      <w:r>
        <w:t xml:space="preserve">priešvirusinių vaistų, </w:t>
      </w:r>
      <w:r w:rsidRPr="008F591B">
        <w:t>įskaitant</w:t>
      </w:r>
      <w:r>
        <w:t xml:space="preserve"> </w:t>
      </w:r>
      <w:r w:rsidRPr="008F591B">
        <w:t>valganciklovirą</w:t>
      </w:r>
      <w:r>
        <w:t>.</w:t>
      </w:r>
      <w:r w:rsidRPr="008F591B">
        <w:t xml:space="preserve"> </w:t>
      </w:r>
    </w:p>
    <w:p w14:paraId="33B8DE04" w14:textId="77777777" w:rsidR="00283E59" w:rsidRPr="00334F18" w:rsidRDefault="00283E59" w:rsidP="00D71C5B">
      <w:pPr>
        <w:widowControl w:val="0"/>
        <w:tabs>
          <w:tab w:val="left" w:pos="1418"/>
        </w:tabs>
        <w:suppressAutoHyphens/>
        <w:spacing w:line="276" w:lineRule="auto"/>
        <w:jc w:val="center"/>
        <w:textAlignment w:val="center"/>
      </w:pPr>
      <w:r w:rsidRPr="00334F18">
        <w:rPr>
          <w:lang w:eastAsia="lt-LT"/>
        </w:rPr>
        <w:t>____________________________</w:t>
      </w:r>
    </w:p>
    <w:sectPr w:rsidR="00283E59" w:rsidRPr="00334F18" w:rsidSect="00063A50">
      <w:headerReference w:type="first" r:id="rId8"/>
      <w:footerReference w:type="first" r:id="rId9"/>
      <w:pgSz w:w="11907" w:h="16840" w:code="9"/>
      <w:pgMar w:top="1134" w:right="567" w:bottom="1134" w:left="1701" w:header="646"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F341E" w14:textId="77777777" w:rsidR="00F538EC" w:rsidRDefault="00F538EC">
      <w:r>
        <w:separator/>
      </w:r>
    </w:p>
  </w:endnote>
  <w:endnote w:type="continuationSeparator" w:id="0">
    <w:p w14:paraId="2F91E20E" w14:textId="77777777" w:rsidR="00F538EC" w:rsidRDefault="00F53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3368" w14:textId="77777777" w:rsidR="00347FAA" w:rsidRDefault="00347FAA">
    <w:pPr>
      <w:pStyle w:val="Porat"/>
      <w:jc w:val="right"/>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508FB" w14:textId="77777777" w:rsidR="00F538EC" w:rsidRDefault="00F538EC">
      <w:r>
        <w:separator/>
      </w:r>
    </w:p>
  </w:footnote>
  <w:footnote w:type="continuationSeparator" w:id="0">
    <w:p w14:paraId="6F7059D5" w14:textId="77777777" w:rsidR="00F538EC" w:rsidRDefault="00F53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1C8F" w14:textId="77777777" w:rsidR="00347FAA" w:rsidRDefault="00347FAA" w:rsidP="00FD793C">
    <w:pPr>
      <w:pStyle w:val="Antrats"/>
      <w:ind w:left="612"/>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D8E"/>
    <w:multiLevelType w:val="hybridMultilevel"/>
    <w:tmpl w:val="10FAC1C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1276250"/>
    <w:multiLevelType w:val="hybridMultilevel"/>
    <w:tmpl w:val="3B6C29F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E0081E"/>
    <w:multiLevelType w:val="multilevel"/>
    <w:tmpl w:val="0427001F"/>
    <w:lvl w:ilvl="0">
      <w:start w:val="1"/>
      <w:numFmt w:val="decimal"/>
      <w:lvlText w:val="%1."/>
      <w:lvlJc w:val="left"/>
      <w:pPr>
        <w:ind w:left="360" w:hanging="360"/>
      </w:pPr>
      <w:rPr>
        <w:rFonts w:hint="default"/>
        <w:b w:val="0"/>
        <w:bCs w:val="0"/>
      </w:rPr>
    </w:lvl>
    <w:lvl w:ilvl="1">
      <w:start w:val="1"/>
      <w:numFmt w:val="decimal"/>
      <w:lvlText w:val="%1.%2."/>
      <w:lvlJc w:val="left"/>
      <w:pPr>
        <w:ind w:left="28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B56BED"/>
    <w:multiLevelType w:val="hybridMultilevel"/>
    <w:tmpl w:val="03368D8C"/>
    <w:lvl w:ilvl="0" w:tplc="02445F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2AD2E58"/>
    <w:multiLevelType w:val="hybridMultilevel"/>
    <w:tmpl w:val="F6943F7A"/>
    <w:lvl w:ilvl="0" w:tplc="AB64BC8E">
      <w:start w:val="1"/>
      <w:numFmt w:val="decimal"/>
      <w:lvlText w:val="%1."/>
      <w:lvlJc w:val="lef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101C59"/>
    <w:multiLevelType w:val="hybridMultilevel"/>
    <w:tmpl w:val="64544F3A"/>
    <w:lvl w:ilvl="0" w:tplc="04270001">
      <w:start w:val="1"/>
      <w:numFmt w:val="bullet"/>
      <w:lvlText w:val=""/>
      <w:lvlJc w:val="left"/>
      <w:pPr>
        <w:ind w:left="2160" w:hanging="360"/>
      </w:pPr>
      <w:rPr>
        <w:rFonts w:ascii="Symbol" w:hAnsi="Symbol"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6" w15:restartNumberingAfterBreak="0">
    <w:nsid w:val="1A816B09"/>
    <w:multiLevelType w:val="hybridMultilevel"/>
    <w:tmpl w:val="8FBEE17A"/>
    <w:lvl w:ilvl="0" w:tplc="0427000F">
      <w:start w:val="16"/>
      <w:numFmt w:val="decimal"/>
      <w:lvlText w:val="%1."/>
      <w:lvlJc w:val="left"/>
      <w:pPr>
        <w:ind w:left="501" w:hanging="360"/>
      </w:pPr>
      <w:rPr>
        <w:rFonts w:hint="default"/>
      </w:rPr>
    </w:lvl>
    <w:lvl w:ilvl="1" w:tplc="04270019" w:tentative="1">
      <w:start w:val="1"/>
      <w:numFmt w:val="lowerLetter"/>
      <w:lvlText w:val="%2."/>
      <w:lvlJc w:val="left"/>
      <w:pPr>
        <w:ind w:left="1581" w:hanging="360"/>
      </w:pPr>
    </w:lvl>
    <w:lvl w:ilvl="2" w:tplc="0427001B" w:tentative="1">
      <w:start w:val="1"/>
      <w:numFmt w:val="lowerRoman"/>
      <w:lvlText w:val="%3."/>
      <w:lvlJc w:val="right"/>
      <w:pPr>
        <w:ind w:left="2301" w:hanging="180"/>
      </w:pPr>
    </w:lvl>
    <w:lvl w:ilvl="3" w:tplc="0427000F" w:tentative="1">
      <w:start w:val="1"/>
      <w:numFmt w:val="decimal"/>
      <w:lvlText w:val="%4."/>
      <w:lvlJc w:val="left"/>
      <w:pPr>
        <w:ind w:left="3021" w:hanging="360"/>
      </w:pPr>
    </w:lvl>
    <w:lvl w:ilvl="4" w:tplc="04270019" w:tentative="1">
      <w:start w:val="1"/>
      <w:numFmt w:val="lowerLetter"/>
      <w:lvlText w:val="%5."/>
      <w:lvlJc w:val="left"/>
      <w:pPr>
        <w:ind w:left="3741" w:hanging="360"/>
      </w:pPr>
    </w:lvl>
    <w:lvl w:ilvl="5" w:tplc="0427001B" w:tentative="1">
      <w:start w:val="1"/>
      <w:numFmt w:val="lowerRoman"/>
      <w:lvlText w:val="%6."/>
      <w:lvlJc w:val="right"/>
      <w:pPr>
        <w:ind w:left="4461" w:hanging="180"/>
      </w:pPr>
    </w:lvl>
    <w:lvl w:ilvl="6" w:tplc="0427000F" w:tentative="1">
      <w:start w:val="1"/>
      <w:numFmt w:val="decimal"/>
      <w:lvlText w:val="%7."/>
      <w:lvlJc w:val="left"/>
      <w:pPr>
        <w:ind w:left="5181" w:hanging="360"/>
      </w:pPr>
    </w:lvl>
    <w:lvl w:ilvl="7" w:tplc="04270019" w:tentative="1">
      <w:start w:val="1"/>
      <w:numFmt w:val="lowerLetter"/>
      <w:lvlText w:val="%8."/>
      <w:lvlJc w:val="left"/>
      <w:pPr>
        <w:ind w:left="5901" w:hanging="360"/>
      </w:pPr>
    </w:lvl>
    <w:lvl w:ilvl="8" w:tplc="0427001B" w:tentative="1">
      <w:start w:val="1"/>
      <w:numFmt w:val="lowerRoman"/>
      <w:lvlText w:val="%9."/>
      <w:lvlJc w:val="right"/>
      <w:pPr>
        <w:ind w:left="6621" w:hanging="180"/>
      </w:pPr>
    </w:lvl>
  </w:abstractNum>
  <w:abstractNum w:abstractNumId="7" w15:restartNumberingAfterBreak="0">
    <w:nsid w:val="1D52115A"/>
    <w:multiLevelType w:val="hybridMultilevel"/>
    <w:tmpl w:val="2C8E9C76"/>
    <w:lvl w:ilvl="0" w:tplc="CA26B3E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975004F"/>
    <w:multiLevelType w:val="hybridMultilevel"/>
    <w:tmpl w:val="13E4607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3BCC4222"/>
    <w:multiLevelType w:val="multilevel"/>
    <w:tmpl w:val="C9C6278E"/>
    <w:lvl w:ilvl="0">
      <w:start w:val="2"/>
      <w:numFmt w:val="decimal"/>
      <w:lvlText w:val="%1."/>
      <w:lvlJc w:val="left"/>
      <w:pPr>
        <w:ind w:left="360" w:hanging="360"/>
      </w:pPr>
      <w:rPr>
        <w:rFonts w:eastAsia="Arial Unicode MS" w:hint="default"/>
      </w:rPr>
    </w:lvl>
    <w:lvl w:ilvl="1">
      <w:start w:val="7"/>
      <w:numFmt w:val="decimal"/>
      <w:lvlText w:val="%1.%2."/>
      <w:lvlJc w:val="left"/>
      <w:pPr>
        <w:ind w:left="720" w:hanging="360"/>
      </w:pPr>
      <w:rPr>
        <w:rFonts w:eastAsia="Arial Unicode MS" w:hint="default"/>
      </w:rPr>
    </w:lvl>
    <w:lvl w:ilvl="2">
      <w:start w:val="1"/>
      <w:numFmt w:val="decimal"/>
      <w:lvlText w:val="%1.%2.%3."/>
      <w:lvlJc w:val="left"/>
      <w:pPr>
        <w:ind w:left="1440" w:hanging="720"/>
      </w:pPr>
      <w:rPr>
        <w:rFonts w:eastAsia="Arial Unicode MS" w:hint="default"/>
      </w:rPr>
    </w:lvl>
    <w:lvl w:ilvl="3">
      <w:start w:val="1"/>
      <w:numFmt w:val="decimal"/>
      <w:lvlText w:val="%1.%2.%3.%4."/>
      <w:lvlJc w:val="left"/>
      <w:pPr>
        <w:ind w:left="1800" w:hanging="72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10" w15:restartNumberingAfterBreak="0">
    <w:nsid w:val="41953EAB"/>
    <w:multiLevelType w:val="hybridMultilevel"/>
    <w:tmpl w:val="D0F01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9B019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B83C1B"/>
    <w:multiLevelType w:val="multilevel"/>
    <w:tmpl w:val="5F38437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3" w15:restartNumberingAfterBreak="0">
    <w:nsid w:val="5A0D73F3"/>
    <w:multiLevelType w:val="hybridMultilevel"/>
    <w:tmpl w:val="CA9A2AC8"/>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995554E"/>
    <w:multiLevelType w:val="multilevel"/>
    <w:tmpl w:val="10865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rPr>
    </w:lvl>
    <w:lvl w:ilvl="3">
      <w:numFmt w:val="bullet"/>
      <w:lvlText w:val="-"/>
      <w:lvlJc w:val="left"/>
      <w:pPr>
        <w:ind w:left="2880" w:hanging="360"/>
      </w:pPr>
      <w:rPr>
        <w:rFonts w:ascii="Times New Roman" w:eastAsia="Times New Roman" w:hAnsi="Times New Roman"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B27E1E"/>
    <w:multiLevelType w:val="hybridMultilevel"/>
    <w:tmpl w:val="3D568A5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2266018"/>
    <w:multiLevelType w:val="hybridMultilevel"/>
    <w:tmpl w:val="AA9C98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8279588">
    <w:abstractNumId w:val="10"/>
  </w:num>
  <w:num w:numId="2" w16cid:durableId="1224828730">
    <w:abstractNumId w:val="2"/>
  </w:num>
  <w:num w:numId="3" w16cid:durableId="1643657031">
    <w:abstractNumId w:val="12"/>
  </w:num>
  <w:num w:numId="4" w16cid:durableId="520240559">
    <w:abstractNumId w:val="11"/>
  </w:num>
  <w:num w:numId="5" w16cid:durableId="1204247387">
    <w:abstractNumId w:val="9"/>
  </w:num>
  <w:num w:numId="6" w16cid:durableId="1753240444">
    <w:abstractNumId w:val="8"/>
  </w:num>
  <w:num w:numId="7" w16cid:durableId="1333098999">
    <w:abstractNumId w:val="5"/>
  </w:num>
  <w:num w:numId="8" w16cid:durableId="1105614331">
    <w:abstractNumId w:val="16"/>
  </w:num>
  <w:num w:numId="9" w16cid:durableId="126705264">
    <w:abstractNumId w:val="0"/>
  </w:num>
  <w:num w:numId="10" w16cid:durableId="873662986">
    <w:abstractNumId w:val="13"/>
  </w:num>
  <w:num w:numId="11" w16cid:durableId="297414236">
    <w:abstractNumId w:val="15"/>
  </w:num>
  <w:num w:numId="12" w16cid:durableId="1658924029">
    <w:abstractNumId w:val="4"/>
  </w:num>
  <w:num w:numId="13" w16cid:durableId="1375033905">
    <w:abstractNumId w:val="6"/>
  </w:num>
  <w:num w:numId="14" w16cid:durableId="616178540">
    <w:abstractNumId w:val="1"/>
  </w:num>
  <w:num w:numId="15" w16cid:durableId="994185869">
    <w:abstractNumId w:val="3"/>
  </w:num>
  <w:num w:numId="16" w16cid:durableId="633487529">
    <w:abstractNumId w:val="7"/>
  </w:num>
  <w:num w:numId="17" w16cid:durableId="19134635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E7"/>
    <w:rsid w:val="000001B0"/>
    <w:rsid w:val="00003F5B"/>
    <w:rsid w:val="000114DD"/>
    <w:rsid w:val="000136F7"/>
    <w:rsid w:val="000203E1"/>
    <w:rsid w:val="00021EC1"/>
    <w:rsid w:val="0002686C"/>
    <w:rsid w:val="00031D0E"/>
    <w:rsid w:val="000337E6"/>
    <w:rsid w:val="0003402E"/>
    <w:rsid w:val="00034EAE"/>
    <w:rsid w:val="00042924"/>
    <w:rsid w:val="000448C6"/>
    <w:rsid w:val="00052BD8"/>
    <w:rsid w:val="00053975"/>
    <w:rsid w:val="00057A2B"/>
    <w:rsid w:val="000606BE"/>
    <w:rsid w:val="000624FF"/>
    <w:rsid w:val="00063A50"/>
    <w:rsid w:val="000723FF"/>
    <w:rsid w:val="000736B8"/>
    <w:rsid w:val="000775B0"/>
    <w:rsid w:val="0008190F"/>
    <w:rsid w:val="00081D9C"/>
    <w:rsid w:val="000825D7"/>
    <w:rsid w:val="00082907"/>
    <w:rsid w:val="0008378D"/>
    <w:rsid w:val="000908A5"/>
    <w:rsid w:val="00092805"/>
    <w:rsid w:val="000A2031"/>
    <w:rsid w:val="000A50C9"/>
    <w:rsid w:val="000B2B2C"/>
    <w:rsid w:val="000B76AD"/>
    <w:rsid w:val="000C454C"/>
    <w:rsid w:val="000D5038"/>
    <w:rsid w:val="000E29D4"/>
    <w:rsid w:val="000F3540"/>
    <w:rsid w:val="00100491"/>
    <w:rsid w:val="00104E2E"/>
    <w:rsid w:val="00107287"/>
    <w:rsid w:val="001136D5"/>
    <w:rsid w:val="00117194"/>
    <w:rsid w:val="00117406"/>
    <w:rsid w:val="00121EF0"/>
    <w:rsid w:val="00124A9E"/>
    <w:rsid w:val="00130703"/>
    <w:rsid w:val="0013153F"/>
    <w:rsid w:val="00132A06"/>
    <w:rsid w:val="001408B8"/>
    <w:rsid w:val="001466FE"/>
    <w:rsid w:val="001517E2"/>
    <w:rsid w:val="001521D9"/>
    <w:rsid w:val="001554E2"/>
    <w:rsid w:val="00164146"/>
    <w:rsid w:val="00164D64"/>
    <w:rsid w:val="0017369C"/>
    <w:rsid w:val="00175D57"/>
    <w:rsid w:val="00180C39"/>
    <w:rsid w:val="00180D96"/>
    <w:rsid w:val="00184BD3"/>
    <w:rsid w:val="001921F3"/>
    <w:rsid w:val="001A0CAA"/>
    <w:rsid w:val="001B3C5B"/>
    <w:rsid w:val="001C2FC8"/>
    <w:rsid w:val="001C6353"/>
    <w:rsid w:val="001D5B91"/>
    <w:rsid w:val="001D746F"/>
    <w:rsid w:val="001E0B2D"/>
    <w:rsid w:val="001E4BBB"/>
    <w:rsid w:val="001E6304"/>
    <w:rsid w:val="001F115E"/>
    <w:rsid w:val="0020381E"/>
    <w:rsid w:val="00213471"/>
    <w:rsid w:val="00215906"/>
    <w:rsid w:val="00226713"/>
    <w:rsid w:val="00232B80"/>
    <w:rsid w:val="00241CD8"/>
    <w:rsid w:val="00244B09"/>
    <w:rsid w:val="002452B5"/>
    <w:rsid w:val="002519CB"/>
    <w:rsid w:val="00255457"/>
    <w:rsid w:val="0025697F"/>
    <w:rsid w:val="00260258"/>
    <w:rsid w:val="0026588E"/>
    <w:rsid w:val="00272428"/>
    <w:rsid w:val="00272948"/>
    <w:rsid w:val="00283E59"/>
    <w:rsid w:val="00287BA6"/>
    <w:rsid w:val="00292392"/>
    <w:rsid w:val="002946C7"/>
    <w:rsid w:val="002B3CC1"/>
    <w:rsid w:val="002C0686"/>
    <w:rsid w:val="002C09E0"/>
    <w:rsid w:val="002C100E"/>
    <w:rsid w:val="002C1BB1"/>
    <w:rsid w:val="002C2786"/>
    <w:rsid w:val="002C3A10"/>
    <w:rsid w:val="002C4A90"/>
    <w:rsid w:val="002C4ED5"/>
    <w:rsid w:val="002D02EF"/>
    <w:rsid w:val="002E0702"/>
    <w:rsid w:val="002E1A83"/>
    <w:rsid w:val="002E57AD"/>
    <w:rsid w:val="002E6F80"/>
    <w:rsid w:val="002F0E4F"/>
    <w:rsid w:val="002F1053"/>
    <w:rsid w:val="00301DAB"/>
    <w:rsid w:val="00307946"/>
    <w:rsid w:val="00314816"/>
    <w:rsid w:val="00317B0E"/>
    <w:rsid w:val="00334F18"/>
    <w:rsid w:val="00336238"/>
    <w:rsid w:val="00347FAA"/>
    <w:rsid w:val="0035172D"/>
    <w:rsid w:val="0036059C"/>
    <w:rsid w:val="0036187D"/>
    <w:rsid w:val="00367EDB"/>
    <w:rsid w:val="003705F0"/>
    <w:rsid w:val="00381024"/>
    <w:rsid w:val="00386307"/>
    <w:rsid w:val="003874DE"/>
    <w:rsid w:val="00393E9F"/>
    <w:rsid w:val="0039696E"/>
    <w:rsid w:val="003B211A"/>
    <w:rsid w:val="003C141F"/>
    <w:rsid w:val="003C25C3"/>
    <w:rsid w:val="003C6B0E"/>
    <w:rsid w:val="003C7257"/>
    <w:rsid w:val="003C7E35"/>
    <w:rsid w:val="003D1E99"/>
    <w:rsid w:val="003D6208"/>
    <w:rsid w:val="00404E8A"/>
    <w:rsid w:val="0040622F"/>
    <w:rsid w:val="00413F24"/>
    <w:rsid w:val="0042148D"/>
    <w:rsid w:val="00422853"/>
    <w:rsid w:val="00423160"/>
    <w:rsid w:val="00437623"/>
    <w:rsid w:val="00444A2B"/>
    <w:rsid w:val="0045036B"/>
    <w:rsid w:val="00453862"/>
    <w:rsid w:val="0045469B"/>
    <w:rsid w:val="00461338"/>
    <w:rsid w:val="004677DB"/>
    <w:rsid w:val="00476256"/>
    <w:rsid w:val="00483033"/>
    <w:rsid w:val="0048630F"/>
    <w:rsid w:val="004947A1"/>
    <w:rsid w:val="0049482A"/>
    <w:rsid w:val="004979D3"/>
    <w:rsid w:val="004A00E7"/>
    <w:rsid w:val="004A3A61"/>
    <w:rsid w:val="004A3D9D"/>
    <w:rsid w:val="004B59BA"/>
    <w:rsid w:val="004B5A03"/>
    <w:rsid w:val="004C263A"/>
    <w:rsid w:val="004C6221"/>
    <w:rsid w:val="004D48A6"/>
    <w:rsid w:val="004D70B6"/>
    <w:rsid w:val="004D7B8F"/>
    <w:rsid w:val="004E241F"/>
    <w:rsid w:val="004E6458"/>
    <w:rsid w:val="004E6E7D"/>
    <w:rsid w:val="004F1AAC"/>
    <w:rsid w:val="004F1AE2"/>
    <w:rsid w:val="004F34F0"/>
    <w:rsid w:val="004F3B2B"/>
    <w:rsid w:val="004F6050"/>
    <w:rsid w:val="005005EF"/>
    <w:rsid w:val="005123C2"/>
    <w:rsid w:val="0052144B"/>
    <w:rsid w:val="00524066"/>
    <w:rsid w:val="00526A0F"/>
    <w:rsid w:val="00534E11"/>
    <w:rsid w:val="005378D8"/>
    <w:rsid w:val="005400D9"/>
    <w:rsid w:val="005476A4"/>
    <w:rsid w:val="0055019B"/>
    <w:rsid w:val="00556E63"/>
    <w:rsid w:val="005601A4"/>
    <w:rsid w:val="00566DBB"/>
    <w:rsid w:val="00567B14"/>
    <w:rsid w:val="005767DB"/>
    <w:rsid w:val="005815E6"/>
    <w:rsid w:val="0058712F"/>
    <w:rsid w:val="00590166"/>
    <w:rsid w:val="005976CE"/>
    <w:rsid w:val="005A23D4"/>
    <w:rsid w:val="005A2D1E"/>
    <w:rsid w:val="005A4698"/>
    <w:rsid w:val="005B3756"/>
    <w:rsid w:val="005C493F"/>
    <w:rsid w:val="005C6BF7"/>
    <w:rsid w:val="005C71BF"/>
    <w:rsid w:val="005D002C"/>
    <w:rsid w:val="005D30E1"/>
    <w:rsid w:val="005D6555"/>
    <w:rsid w:val="005D7BDF"/>
    <w:rsid w:val="005E4870"/>
    <w:rsid w:val="005F2049"/>
    <w:rsid w:val="005F71D9"/>
    <w:rsid w:val="005F7602"/>
    <w:rsid w:val="006062BE"/>
    <w:rsid w:val="00613143"/>
    <w:rsid w:val="00613501"/>
    <w:rsid w:val="0061611B"/>
    <w:rsid w:val="006166A8"/>
    <w:rsid w:val="006174A1"/>
    <w:rsid w:val="00621D6C"/>
    <w:rsid w:val="00627B14"/>
    <w:rsid w:val="00633B49"/>
    <w:rsid w:val="0064297F"/>
    <w:rsid w:val="00645102"/>
    <w:rsid w:val="00646CF3"/>
    <w:rsid w:val="006509CD"/>
    <w:rsid w:val="00653D11"/>
    <w:rsid w:val="00662983"/>
    <w:rsid w:val="006834D3"/>
    <w:rsid w:val="00692625"/>
    <w:rsid w:val="00695CD3"/>
    <w:rsid w:val="006A38B6"/>
    <w:rsid w:val="006B1987"/>
    <w:rsid w:val="006B43E4"/>
    <w:rsid w:val="006B5B71"/>
    <w:rsid w:val="006B5D3E"/>
    <w:rsid w:val="006B6CB0"/>
    <w:rsid w:val="006C2B64"/>
    <w:rsid w:val="006D1BF3"/>
    <w:rsid w:val="006D4C85"/>
    <w:rsid w:val="006D66AC"/>
    <w:rsid w:val="006E33F6"/>
    <w:rsid w:val="006F1251"/>
    <w:rsid w:val="006F1C23"/>
    <w:rsid w:val="00702C18"/>
    <w:rsid w:val="00703166"/>
    <w:rsid w:val="007111C4"/>
    <w:rsid w:val="007127F3"/>
    <w:rsid w:val="007301CF"/>
    <w:rsid w:val="007316FB"/>
    <w:rsid w:val="00737E2D"/>
    <w:rsid w:val="007424D5"/>
    <w:rsid w:val="00745C63"/>
    <w:rsid w:val="00750A88"/>
    <w:rsid w:val="007523DD"/>
    <w:rsid w:val="00756F30"/>
    <w:rsid w:val="00757B7E"/>
    <w:rsid w:val="007656B2"/>
    <w:rsid w:val="00766037"/>
    <w:rsid w:val="0077016F"/>
    <w:rsid w:val="007713AD"/>
    <w:rsid w:val="00795DC5"/>
    <w:rsid w:val="00797153"/>
    <w:rsid w:val="007A21F7"/>
    <w:rsid w:val="007A2B68"/>
    <w:rsid w:val="007B0DDA"/>
    <w:rsid w:val="007D3347"/>
    <w:rsid w:val="007D654E"/>
    <w:rsid w:val="007E5466"/>
    <w:rsid w:val="007F1949"/>
    <w:rsid w:val="007F2592"/>
    <w:rsid w:val="00800A08"/>
    <w:rsid w:val="00812400"/>
    <w:rsid w:val="00812BBE"/>
    <w:rsid w:val="00817A84"/>
    <w:rsid w:val="008225A4"/>
    <w:rsid w:val="00824B92"/>
    <w:rsid w:val="00826D5E"/>
    <w:rsid w:val="00832013"/>
    <w:rsid w:val="00832DB7"/>
    <w:rsid w:val="00834732"/>
    <w:rsid w:val="008406C6"/>
    <w:rsid w:val="0085200C"/>
    <w:rsid w:val="00853487"/>
    <w:rsid w:val="00853C0B"/>
    <w:rsid w:val="00857C52"/>
    <w:rsid w:val="00860D5F"/>
    <w:rsid w:val="00880A44"/>
    <w:rsid w:val="0088345E"/>
    <w:rsid w:val="0088656F"/>
    <w:rsid w:val="008875BC"/>
    <w:rsid w:val="00891EF6"/>
    <w:rsid w:val="00892FF4"/>
    <w:rsid w:val="0089345A"/>
    <w:rsid w:val="008A0303"/>
    <w:rsid w:val="008A3DD7"/>
    <w:rsid w:val="008A5FDD"/>
    <w:rsid w:val="008C3947"/>
    <w:rsid w:val="008E473B"/>
    <w:rsid w:val="008E51A6"/>
    <w:rsid w:val="008E7329"/>
    <w:rsid w:val="008F2ED5"/>
    <w:rsid w:val="0092297E"/>
    <w:rsid w:val="00923292"/>
    <w:rsid w:val="00923651"/>
    <w:rsid w:val="00924DF7"/>
    <w:rsid w:val="00924F65"/>
    <w:rsid w:val="00927B56"/>
    <w:rsid w:val="009341BF"/>
    <w:rsid w:val="00937907"/>
    <w:rsid w:val="009412AA"/>
    <w:rsid w:val="00941739"/>
    <w:rsid w:val="00951573"/>
    <w:rsid w:val="00963003"/>
    <w:rsid w:val="00965919"/>
    <w:rsid w:val="00966EEF"/>
    <w:rsid w:val="00971B28"/>
    <w:rsid w:val="00983471"/>
    <w:rsid w:val="009909AB"/>
    <w:rsid w:val="009926B6"/>
    <w:rsid w:val="009B37DB"/>
    <w:rsid w:val="009C7A8C"/>
    <w:rsid w:val="009D23F9"/>
    <w:rsid w:val="009D4FA8"/>
    <w:rsid w:val="009E44AE"/>
    <w:rsid w:val="009E6CD6"/>
    <w:rsid w:val="009F4D66"/>
    <w:rsid w:val="00A00C3C"/>
    <w:rsid w:val="00A01091"/>
    <w:rsid w:val="00A042B9"/>
    <w:rsid w:val="00A06DBB"/>
    <w:rsid w:val="00A22ADF"/>
    <w:rsid w:val="00A2310D"/>
    <w:rsid w:val="00A254A2"/>
    <w:rsid w:val="00A31E86"/>
    <w:rsid w:val="00A54D87"/>
    <w:rsid w:val="00A5553C"/>
    <w:rsid w:val="00A701C9"/>
    <w:rsid w:val="00A81785"/>
    <w:rsid w:val="00A84803"/>
    <w:rsid w:val="00A84C51"/>
    <w:rsid w:val="00A86F2B"/>
    <w:rsid w:val="00A90CB4"/>
    <w:rsid w:val="00A91366"/>
    <w:rsid w:val="00A92F91"/>
    <w:rsid w:val="00A93AA6"/>
    <w:rsid w:val="00AA4E48"/>
    <w:rsid w:val="00AA6202"/>
    <w:rsid w:val="00AA7B57"/>
    <w:rsid w:val="00AB2806"/>
    <w:rsid w:val="00AB2D54"/>
    <w:rsid w:val="00AC26FC"/>
    <w:rsid w:val="00AC4A99"/>
    <w:rsid w:val="00AC5129"/>
    <w:rsid w:val="00AC64D2"/>
    <w:rsid w:val="00AD02E7"/>
    <w:rsid w:val="00AE0FE8"/>
    <w:rsid w:val="00AF1FC5"/>
    <w:rsid w:val="00AF60D5"/>
    <w:rsid w:val="00B00959"/>
    <w:rsid w:val="00B04415"/>
    <w:rsid w:val="00B06509"/>
    <w:rsid w:val="00B11D60"/>
    <w:rsid w:val="00B13D65"/>
    <w:rsid w:val="00B171B9"/>
    <w:rsid w:val="00B21805"/>
    <w:rsid w:val="00B232A3"/>
    <w:rsid w:val="00B3072E"/>
    <w:rsid w:val="00B36E15"/>
    <w:rsid w:val="00B37245"/>
    <w:rsid w:val="00B4017A"/>
    <w:rsid w:val="00B4468D"/>
    <w:rsid w:val="00B71C72"/>
    <w:rsid w:val="00B71F04"/>
    <w:rsid w:val="00B74A62"/>
    <w:rsid w:val="00B811A4"/>
    <w:rsid w:val="00B81E92"/>
    <w:rsid w:val="00B908D7"/>
    <w:rsid w:val="00B935E8"/>
    <w:rsid w:val="00B93B30"/>
    <w:rsid w:val="00B94CB5"/>
    <w:rsid w:val="00BA0DD9"/>
    <w:rsid w:val="00BA5DBC"/>
    <w:rsid w:val="00BA6584"/>
    <w:rsid w:val="00BB6312"/>
    <w:rsid w:val="00BC39C2"/>
    <w:rsid w:val="00BC4D06"/>
    <w:rsid w:val="00BD05E1"/>
    <w:rsid w:val="00BD585E"/>
    <w:rsid w:val="00BD6919"/>
    <w:rsid w:val="00BE1EA7"/>
    <w:rsid w:val="00BE7489"/>
    <w:rsid w:val="00BF2E0D"/>
    <w:rsid w:val="00BF3927"/>
    <w:rsid w:val="00BF3F8B"/>
    <w:rsid w:val="00BF76DA"/>
    <w:rsid w:val="00C00CDB"/>
    <w:rsid w:val="00C07C7B"/>
    <w:rsid w:val="00C16245"/>
    <w:rsid w:val="00C22DC5"/>
    <w:rsid w:val="00C24479"/>
    <w:rsid w:val="00C273F2"/>
    <w:rsid w:val="00C37B53"/>
    <w:rsid w:val="00C434EB"/>
    <w:rsid w:val="00C517D2"/>
    <w:rsid w:val="00C5772E"/>
    <w:rsid w:val="00C62B36"/>
    <w:rsid w:val="00C7012C"/>
    <w:rsid w:val="00C712EA"/>
    <w:rsid w:val="00C81CC7"/>
    <w:rsid w:val="00C9728E"/>
    <w:rsid w:val="00CA217D"/>
    <w:rsid w:val="00CA3131"/>
    <w:rsid w:val="00CC09D4"/>
    <w:rsid w:val="00CC4F5F"/>
    <w:rsid w:val="00CC668D"/>
    <w:rsid w:val="00CC7832"/>
    <w:rsid w:val="00CD488E"/>
    <w:rsid w:val="00CE4B0B"/>
    <w:rsid w:val="00CF0C1C"/>
    <w:rsid w:val="00CF27FD"/>
    <w:rsid w:val="00CF5F12"/>
    <w:rsid w:val="00D00D8F"/>
    <w:rsid w:val="00D05E25"/>
    <w:rsid w:val="00D12869"/>
    <w:rsid w:val="00D14512"/>
    <w:rsid w:val="00D15ED6"/>
    <w:rsid w:val="00D21F3A"/>
    <w:rsid w:val="00D23808"/>
    <w:rsid w:val="00D3016A"/>
    <w:rsid w:val="00D417D2"/>
    <w:rsid w:val="00D42960"/>
    <w:rsid w:val="00D43BD7"/>
    <w:rsid w:val="00D4485B"/>
    <w:rsid w:val="00D46CCD"/>
    <w:rsid w:val="00D4708D"/>
    <w:rsid w:val="00D4744C"/>
    <w:rsid w:val="00D51046"/>
    <w:rsid w:val="00D521DE"/>
    <w:rsid w:val="00D5470B"/>
    <w:rsid w:val="00D63068"/>
    <w:rsid w:val="00D6498C"/>
    <w:rsid w:val="00D67BAF"/>
    <w:rsid w:val="00D71C5B"/>
    <w:rsid w:val="00D76A70"/>
    <w:rsid w:val="00D83182"/>
    <w:rsid w:val="00D8521E"/>
    <w:rsid w:val="00D9291C"/>
    <w:rsid w:val="00D93A97"/>
    <w:rsid w:val="00DA5602"/>
    <w:rsid w:val="00DB1F64"/>
    <w:rsid w:val="00DC261A"/>
    <w:rsid w:val="00DC2F53"/>
    <w:rsid w:val="00DC5BAC"/>
    <w:rsid w:val="00DC6816"/>
    <w:rsid w:val="00DC76C2"/>
    <w:rsid w:val="00DD03C8"/>
    <w:rsid w:val="00DD1CF2"/>
    <w:rsid w:val="00DE4484"/>
    <w:rsid w:val="00DF41B7"/>
    <w:rsid w:val="00DF4A4A"/>
    <w:rsid w:val="00DF583C"/>
    <w:rsid w:val="00E03C3F"/>
    <w:rsid w:val="00E06FD7"/>
    <w:rsid w:val="00E07417"/>
    <w:rsid w:val="00E24D45"/>
    <w:rsid w:val="00E33DB8"/>
    <w:rsid w:val="00E33EFF"/>
    <w:rsid w:val="00E34387"/>
    <w:rsid w:val="00E348BA"/>
    <w:rsid w:val="00E369FE"/>
    <w:rsid w:val="00E37C6F"/>
    <w:rsid w:val="00E475F8"/>
    <w:rsid w:val="00E5102E"/>
    <w:rsid w:val="00E562EE"/>
    <w:rsid w:val="00E5721C"/>
    <w:rsid w:val="00E619C6"/>
    <w:rsid w:val="00E70CED"/>
    <w:rsid w:val="00E736B6"/>
    <w:rsid w:val="00E745A1"/>
    <w:rsid w:val="00E81529"/>
    <w:rsid w:val="00E83A13"/>
    <w:rsid w:val="00E95633"/>
    <w:rsid w:val="00EB1151"/>
    <w:rsid w:val="00EB6FC5"/>
    <w:rsid w:val="00EC2356"/>
    <w:rsid w:val="00EC2582"/>
    <w:rsid w:val="00EC337C"/>
    <w:rsid w:val="00ED0CFF"/>
    <w:rsid w:val="00ED31D2"/>
    <w:rsid w:val="00ED4C6D"/>
    <w:rsid w:val="00EE0EAC"/>
    <w:rsid w:val="00EE3322"/>
    <w:rsid w:val="00EE33CB"/>
    <w:rsid w:val="00F0061A"/>
    <w:rsid w:val="00F02834"/>
    <w:rsid w:val="00F04EEB"/>
    <w:rsid w:val="00F05467"/>
    <w:rsid w:val="00F055D2"/>
    <w:rsid w:val="00F07CD7"/>
    <w:rsid w:val="00F127E9"/>
    <w:rsid w:val="00F14477"/>
    <w:rsid w:val="00F14B5D"/>
    <w:rsid w:val="00F259FC"/>
    <w:rsid w:val="00F313F4"/>
    <w:rsid w:val="00F36972"/>
    <w:rsid w:val="00F42426"/>
    <w:rsid w:val="00F43BF4"/>
    <w:rsid w:val="00F44F01"/>
    <w:rsid w:val="00F456BC"/>
    <w:rsid w:val="00F50666"/>
    <w:rsid w:val="00F538EC"/>
    <w:rsid w:val="00F70731"/>
    <w:rsid w:val="00F70C9E"/>
    <w:rsid w:val="00F74A74"/>
    <w:rsid w:val="00F7572C"/>
    <w:rsid w:val="00F8382C"/>
    <w:rsid w:val="00F855D7"/>
    <w:rsid w:val="00F92035"/>
    <w:rsid w:val="00F92748"/>
    <w:rsid w:val="00F953E7"/>
    <w:rsid w:val="00FA4169"/>
    <w:rsid w:val="00FB0D41"/>
    <w:rsid w:val="00FB1754"/>
    <w:rsid w:val="00FB2030"/>
    <w:rsid w:val="00FD0E46"/>
    <w:rsid w:val="00FD1060"/>
    <w:rsid w:val="00FD1CF2"/>
    <w:rsid w:val="00FD3EDF"/>
    <w:rsid w:val="00FD793C"/>
    <w:rsid w:val="00FE0FD5"/>
    <w:rsid w:val="00FE20E6"/>
    <w:rsid w:val="00FE3E3B"/>
    <w:rsid w:val="00FE5878"/>
    <w:rsid w:val="00FF4032"/>
    <w:rsid w:val="00FF4A2E"/>
    <w:rsid w:val="00FF6469"/>
    <w:rsid w:val="00FF7E4A"/>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FE6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81529"/>
    <w:rPr>
      <w:sz w:val="24"/>
      <w:szCs w:val="24"/>
      <w:lang w:eastAsia="en-US"/>
    </w:rPr>
  </w:style>
  <w:style w:type="paragraph" w:styleId="Antrat1">
    <w:name w:val="heading 1"/>
    <w:basedOn w:val="prastasis"/>
    <w:next w:val="prastasis"/>
    <w:qFormat/>
    <w:rsid w:val="00A84C51"/>
    <w:pPr>
      <w:keepNext/>
      <w:jc w:val="center"/>
      <w:outlineLvl w:val="0"/>
    </w:pPr>
    <w:rPr>
      <w:b/>
      <w:bCs/>
      <w:caps/>
    </w:rPr>
  </w:style>
  <w:style w:type="paragraph" w:styleId="Antrat2">
    <w:name w:val="heading 2"/>
    <w:basedOn w:val="prastasis"/>
    <w:next w:val="prastasis"/>
    <w:qFormat/>
    <w:rsid w:val="00A84C51"/>
    <w:pPr>
      <w:keepNext/>
      <w:jc w:val="center"/>
      <w:outlineLvl w:val="1"/>
    </w:pPr>
    <w:rPr>
      <w:b/>
      <w:bCs/>
      <w:cap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84C51"/>
    <w:pPr>
      <w:tabs>
        <w:tab w:val="center" w:pos="4986"/>
        <w:tab w:val="right" w:pos="9972"/>
      </w:tabs>
    </w:pPr>
  </w:style>
  <w:style w:type="paragraph" w:styleId="Porat">
    <w:name w:val="footer"/>
    <w:basedOn w:val="prastasis"/>
    <w:link w:val="PoratDiagrama"/>
    <w:rsid w:val="00A84C51"/>
    <w:pPr>
      <w:tabs>
        <w:tab w:val="center" w:pos="4986"/>
        <w:tab w:val="right" w:pos="9972"/>
      </w:tabs>
    </w:pPr>
  </w:style>
  <w:style w:type="character" w:styleId="Puslapionumeris">
    <w:name w:val="page number"/>
    <w:basedOn w:val="Numatytasispastraiposriftas"/>
    <w:rsid w:val="00A84C51"/>
  </w:style>
  <w:style w:type="character" w:styleId="Hipersaitas">
    <w:name w:val="Hyperlink"/>
    <w:basedOn w:val="Numatytasispastraiposriftas"/>
    <w:rsid w:val="00A84C51"/>
    <w:rPr>
      <w:color w:val="0000FF"/>
      <w:u w:val="single"/>
    </w:rPr>
  </w:style>
  <w:style w:type="paragraph" w:styleId="Debesliotekstas">
    <w:name w:val="Balloon Text"/>
    <w:basedOn w:val="prastasis"/>
    <w:semiHidden/>
    <w:rsid w:val="00EC2356"/>
    <w:rPr>
      <w:rFonts w:ascii="Tahoma" w:hAnsi="Tahoma" w:cs="Tahoma"/>
      <w:sz w:val="16"/>
      <w:szCs w:val="16"/>
    </w:rPr>
  </w:style>
  <w:style w:type="character" w:customStyle="1" w:styleId="PoratDiagrama">
    <w:name w:val="Poraštė Diagrama"/>
    <w:basedOn w:val="Numatytasispastraiposriftas"/>
    <w:link w:val="Porat"/>
    <w:rsid w:val="00737E2D"/>
    <w:rPr>
      <w:sz w:val="24"/>
      <w:szCs w:val="24"/>
      <w:lang w:eastAsia="en-US"/>
    </w:rPr>
  </w:style>
  <w:style w:type="character" w:customStyle="1" w:styleId="Neapdorotaspaminjimas1">
    <w:name w:val="Neapdorotas paminėjimas1"/>
    <w:basedOn w:val="Numatytasispastraiposriftas"/>
    <w:uiPriority w:val="99"/>
    <w:semiHidden/>
    <w:unhideWhenUsed/>
    <w:rsid w:val="00A31E86"/>
    <w:rPr>
      <w:color w:val="605E5C"/>
      <w:shd w:val="clear" w:color="auto" w:fill="E1DFDD"/>
    </w:rPr>
  </w:style>
  <w:style w:type="character" w:styleId="Perirtashipersaitas">
    <w:name w:val="FollowedHyperlink"/>
    <w:basedOn w:val="Numatytasispastraiposriftas"/>
    <w:semiHidden/>
    <w:unhideWhenUsed/>
    <w:rsid w:val="00A31E86"/>
    <w:rPr>
      <w:color w:val="800080" w:themeColor="followedHyperlink"/>
      <w:u w:val="single"/>
    </w:rPr>
  </w:style>
  <w:style w:type="table" w:styleId="Lentelstinklelis">
    <w:name w:val="Table Grid"/>
    <w:aliases w:val="Summary box,Dossier Table,Dossier table,Section 3- footnotes,Legemiddelverket 3,Summary Table,ASD Table,Key messages box"/>
    <w:basedOn w:val="prastojilentel"/>
    <w:uiPriority w:val="39"/>
    <w:rsid w:val="00D42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C7012C"/>
    <w:rPr>
      <w:sz w:val="16"/>
      <w:szCs w:val="16"/>
    </w:rPr>
  </w:style>
  <w:style w:type="paragraph" w:styleId="Komentarotekstas">
    <w:name w:val="annotation text"/>
    <w:basedOn w:val="prastasis"/>
    <w:link w:val="KomentarotekstasDiagrama"/>
    <w:unhideWhenUsed/>
    <w:rsid w:val="00C7012C"/>
    <w:rPr>
      <w:sz w:val="20"/>
      <w:szCs w:val="20"/>
    </w:rPr>
  </w:style>
  <w:style w:type="character" w:customStyle="1" w:styleId="KomentarotekstasDiagrama">
    <w:name w:val="Komentaro tekstas Diagrama"/>
    <w:basedOn w:val="Numatytasispastraiposriftas"/>
    <w:link w:val="Komentarotekstas"/>
    <w:rsid w:val="00C7012C"/>
    <w:rPr>
      <w:lang w:eastAsia="en-US"/>
    </w:rPr>
  </w:style>
  <w:style w:type="paragraph" w:styleId="Komentarotema">
    <w:name w:val="annotation subject"/>
    <w:basedOn w:val="Komentarotekstas"/>
    <w:next w:val="Komentarotekstas"/>
    <w:link w:val="KomentarotemaDiagrama"/>
    <w:semiHidden/>
    <w:unhideWhenUsed/>
    <w:rsid w:val="00C7012C"/>
    <w:rPr>
      <w:b/>
      <w:bCs/>
    </w:rPr>
  </w:style>
  <w:style w:type="character" w:customStyle="1" w:styleId="KomentarotemaDiagrama">
    <w:name w:val="Komentaro tema Diagrama"/>
    <w:basedOn w:val="KomentarotekstasDiagrama"/>
    <w:link w:val="Komentarotema"/>
    <w:semiHidden/>
    <w:rsid w:val="00C7012C"/>
    <w:rPr>
      <w:b/>
      <w:bCs/>
      <w:lang w:eastAsia="en-US"/>
    </w:rPr>
  </w:style>
  <w:style w:type="paragraph" w:styleId="Sraopastraipa">
    <w:name w:val="List Paragraph"/>
    <w:aliases w:val="Summary Bullets,Bullet 1,Bullet1,Bullet List,Section 5,List Paragraph CCT minutes,Normal: Bullets,Table Legend,List Table,Bullets Points,BulletPoints,hyperlink,Listenabsatz,Numbered Sub-Section,BulletList 1,Bulletlist1,BulletList1"/>
    <w:basedOn w:val="prastasis"/>
    <w:link w:val="SraopastraipaDiagrama"/>
    <w:uiPriority w:val="34"/>
    <w:qFormat/>
    <w:rsid w:val="00104E2E"/>
    <w:pPr>
      <w:ind w:left="720"/>
      <w:contextualSpacing/>
    </w:pPr>
  </w:style>
  <w:style w:type="character" w:customStyle="1" w:styleId="Style2">
    <w:name w:val="Style2"/>
    <w:basedOn w:val="Numatytasispastraiposriftas"/>
    <w:uiPriority w:val="1"/>
    <w:rsid w:val="00D6498C"/>
    <w:rPr>
      <w:sz w:val="32"/>
    </w:rPr>
  </w:style>
  <w:style w:type="character" w:styleId="Vietosrezervavimoenklotekstas">
    <w:name w:val="Placeholder Text"/>
    <w:basedOn w:val="Numatytasispastraiposriftas"/>
    <w:uiPriority w:val="99"/>
    <w:rsid w:val="00B13D65"/>
    <w:rPr>
      <w:color w:val="808080"/>
    </w:rPr>
  </w:style>
  <w:style w:type="paragraph" w:styleId="Betarp">
    <w:name w:val="No Spacing"/>
    <w:uiPriority w:val="1"/>
    <w:qFormat/>
    <w:rsid w:val="00B13D65"/>
    <w:rPr>
      <w:rFonts w:ascii="Calibri" w:eastAsia="Calibri" w:hAnsi="Calibri"/>
      <w:sz w:val="22"/>
      <w:szCs w:val="22"/>
      <w:lang w:eastAsia="en-US"/>
    </w:rPr>
  </w:style>
  <w:style w:type="table" w:customStyle="1" w:styleId="Lentelstinklelis1">
    <w:name w:val="Lentelės tinklelis1"/>
    <w:basedOn w:val="prastojilentel"/>
    <w:next w:val="Lentelstinklelis"/>
    <w:rsid w:val="009E44AE"/>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476256"/>
    <w:rPr>
      <w:sz w:val="24"/>
      <w:szCs w:val="24"/>
      <w:lang w:eastAsia="en-US"/>
    </w:rPr>
  </w:style>
  <w:style w:type="character" w:customStyle="1" w:styleId="SraopastraipaDiagrama">
    <w:name w:val="Sąrašo pastraipa Diagrama"/>
    <w:aliases w:val="Summary Bullets Diagrama,Bullet 1 Diagrama,Bullet1 Diagrama,Bullet List Diagrama,Section 5 Diagrama,List Paragraph CCT minutes Diagrama,Normal: Bullets Diagrama,Table Legend Diagrama,List Table Diagrama,Bullets Points Diagrama"/>
    <w:basedOn w:val="Numatytasispastraiposriftas"/>
    <w:link w:val="Sraopastraipa"/>
    <w:uiPriority w:val="34"/>
    <w:qFormat/>
    <w:rsid w:val="00132A06"/>
    <w:rPr>
      <w:sz w:val="24"/>
      <w:szCs w:val="24"/>
      <w:lang w:eastAsia="en-US"/>
    </w:rPr>
  </w:style>
  <w:style w:type="paragraph" w:customStyle="1" w:styleId="Tekstas">
    <w:name w:val="Tekstas"/>
    <w:basedOn w:val="prastasis"/>
    <w:link w:val="TekstasChar"/>
    <w:qFormat/>
    <w:rsid w:val="006B43E4"/>
    <w:pPr>
      <w:spacing w:after="120"/>
      <w:jc w:val="both"/>
    </w:pPr>
    <w:rPr>
      <w:color w:val="000000" w:themeColor="text1"/>
      <w:lang w:val="en-US"/>
    </w:rPr>
  </w:style>
  <w:style w:type="character" w:customStyle="1" w:styleId="TekstasChar">
    <w:name w:val="Tekstas Char"/>
    <w:link w:val="Tekstas"/>
    <w:rsid w:val="006B43E4"/>
    <w:rPr>
      <w:color w:val="000000" w:themeColor="text1"/>
      <w:sz w:val="24"/>
      <w:szCs w:val="24"/>
      <w:lang w:val="en-US" w:eastAsia="en-US"/>
    </w:rPr>
  </w:style>
  <w:style w:type="character" w:styleId="Grietas">
    <w:name w:val="Strong"/>
    <w:basedOn w:val="Numatytasispastraiposriftas"/>
    <w:uiPriority w:val="22"/>
    <w:qFormat/>
    <w:rsid w:val="006B43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802146">
      <w:bodyDiv w:val="1"/>
      <w:marLeft w:val="0"/>
      <w:marRight w:val="0"/>
      <w:marTop w:val="0"/>
      <w:marBottom w:val="0"/>
      <w:divBdr>
        <w:top w:val="none" w:sz="0" w:space="0" w:color="auto"/>
        <w:left w:val="none" w:sz="0" w:space="0" w:color="auto"/>
        <w:bottom w:val="none" w:sz="0" w:space="0" w:color="auto"/>
        <w:right w:val="none" w:sz="0" w:space="0" w:color="auto"/>
      </w:divBdr>
    </w:div>
    <w:div w:id="159778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66A8C66AEFD4FEA86E24446828B7157"/>
        <w:category>
          <w:name w:val="General"/>
          <w:gallery w:val="placeholder"/>
        </w:category>
        <w:types>
          <w:type w:val="bbPlcHdr"/>
        </w:types>
        <w:behaviors>
          <w:behavior w:val="content"/>
        </w:behaviors>
        <w:guid w:val="{F417E3A8-1C55-4D46-85A6-FECD58087D6B}"/>
      </w:docPartPr>
      <w:docPartBody>
        <w:p w:rsidR="00845697" w:rsidRDefault="00264BBB" w:rsidP="00264BBB">
          <w:pPr>
            <w:pStyle w:val="166A8C66AEFD4FEA86E24446828B7157"/>
          </w:pPr>
          <w:r>
            <w:rPr>
              <w:rStyle w:val="Vietosrezervavimoenklotekstas"/>
            </w:rPr>
            <w:t>Click here to enter a date.</w:t>
          </w:r>
        </w:p>
      </w:docPartBody>
    </w:docPart>
    <w:docPart>
      <w:docPartPr>
        <w:name w:val="91D3D282C03549C7AF4457DBC96FACBB"/>
        <w:category>
          <w:name w:val="General"/>
          <w:gallery w:val="placeholder"/>
        </w:category>
        <w:types>
          <w:type w:val="bbPlcHdr"/>
        </w:types>
        <w:behaviors>
          <w:behavior w:val="content"/>
        </w:behaviors>
        <w:guid w:val="{8058B8D2-8DBE-4C64-ABB8-492127A8EC17}"/>
      </w:docPartPr>
      <w:docPartBody>
        <w:p w:rsidR="00845697" w:rsidRDefault="00264BBB" w:rsidP="00264BBB">
          <w:pPr>
            <w:pStyle w:val="91D3D282C03549C7AF4457DBC96FACBB"/>
          </w:pPr>
          <w:r>
            <w:rPr>
              <w:rStyle w:val="Vietosrezervavimoenklotekstas"/>
            </w:rPr>
            <w:t>Click here to enter a date.</w:t>
          </w:r>
        </w:p>
      </w:docPartBody>
    </w:docPart>
    <w:docPart>
      <w:docPartPr>
        <w:name w:val="A7C56392517A461B80DA40086FE4B970"/>
        <w:category>
          <w:name w:val="General"/>
          <w:gallery w:val="placeholder"/>
        </w:category>
        <w:types>
          <w:type w:val="bbPlcHdr"/>
        </w:types>
        <w:behaviors>
          <w:behavior w:val="content"/>
        </w:behaviors>
        <w:guid w:val="{0E3CD9AC-8349-4C69-A583-AF29F11CC2B7}"/>
      </w:docPartPr>
      <w:docPartBody>
        <w:p w:rsidR="00845697" w:rsidRDefault="00264BBB" w:rsidP="00264BBB">
          <w:pPr>
            <w:pStyle w:val="A7C56392517A461B80DA40086FE4B970"/>
          </w:pPr>
          <w:r>
            <w:rPr>
              <w:rStyle w:val="Vietosrezervavimoenklotekstas"/>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0DD"/>
    <w:rsid w:val="0001247F"/>
    <w:rsid w:val="00021EC1"/>
    <w:rsid w:val="00047C19"/>
    <w:rsid w:val="00061157"/>
    <w:rsid w:val="000624FF"/>
    <w:rsid w:val="000825D7"/>
    <w:rsid w:val="000937FE"/>
    <w:rsid w:val="000A50C9"/>
    <w:rsid w:val="000A559A"/>
    <w:rsid w:val="000D24D4"/>
    <w:rsid w:val="000D6217"/>
    <w:rsid w:val="0014006D"/>
    <w:rsid w:val="001C35A9"/>
    <w:rsid w:val="00237556"/>
    <w:rsid w:val="00264BBB"/>
    <w:rsid w:val="002C0686"/>
    <w:rsid w:val="002F69AD"/>
    <w:rsid w:val="0039303B"/>
    <w:rsid w:val="004144A3"/>
    <w:rsid w:val="004160E7"/>
    <w:rsid w:val="004416C6"/>
    <w:rsid w:val="00456E96"/>
    <w:rsid w:val="004C54E2"/>
    <w:rsid w:val="004C6221"/>
    <w:rsid w:val="004D038D"/>
    <w:rsid w:val="004F4E20"/>
    <w:rsid w:val="004F5AB2"/>
    <w:rsid w:val="005074B9"/>
    <w:rsid w:val="00563A5F"/>
    <w:rsid w:val="00590166"/>
    <w:rsid w:val="005C62E5"/>
    <w:rsid w:val="005E40DD"/>
    <w:rsid w:val="005F19A1"/>
    <w:rsid w:val="00601F4E"/>
    <w:rsid w:val="006905DE"/>
    <w:rsid w:val="00691EA5"/>
    <w:rsid w:val="006E6A2C"/>
    <w:rsid w:val="007219C1"/>
    <w:rsid w:val="00723E1F"/>
    <w:rsid w:val="00745C63"/>
    <w:rsid w:val="00753462"/>
    <w:rsid w:val="00772325"/>
    <w:rsid w:val="007A2FE0"/>
    <w:rsid w:val="007C6D1D"/>
    <w:rsid w:val="007D654E"/>
    <w:rsid w:val="00812BBE"/>
    <w:rsid w:val="0083435F"/>
    <w:rsid w:val="008406C6"/>
    <w:rsid w:val="00845697"/>
    <w:rsid w:val="00853487"/>
    <w:rsid w:val="00853C0B"/>
    <w:rsid w:val="00892FF4"/>
    <w:rsid w:val="008A3DD7"/>
    <w:rsid w:val="008C0DC0"/>
    <w:rsid w:val="0090074D"/>
    <w:rsid w:val="009019EA"/>
    <w:rsid w:val="00901A35"/>
    <w:rsid w:val="00924F65"/>
    <w:rsid w:val="009926B6"/>
    <w:rsid w:val="009B3BF0"/>
    <w:rsid w:val="009B574D"/>
    <w:rsid w:val="009D5E5E"/>
    <w:rsid w:val="009F1BB4"/>
    <w:rsid w:val="00A20D39"/>
    <w:rsid w:val="00A254A2"/>
    <w:rsid w:val="00AB2D54"/>
    <w:rsid w:val="00AB6ED4"/>
    <w:rsid w:val="00B14210"/>
    <w:rsid w:val="00B22ED6"/>
    <w:rsid w:val="00B23DC0"/>
    <w:rsid w:val="00B427E6"/>
    <w:rsid w:val="00B55976"/>
    <w:rsid w:val="00B71F04"/>
    <w:rsid w:val="00B85C18"/>
    <w:rsid w:val="00B96656"/>
    <w:rsid w:val="00BA0A8E"/>
    <w:rsid w:val="00BE3364"/>
    <w:rsid w:val="00C2401D"/>
    <w:rsid w:val="00C250D7"/>
    <w:rsid w:val="00C53A68"/>
    <w:rsid w:val="00C66578"/>
    <w:rsid w:val="00CA5BB4"/>
    <w:rsid w:val="00CB4BD1"/>
    <w:rsid w:val="00CD139C"/>
    <w:rsid w:val="00CE2DA9"/>
    <w:rsid w:val="00CE44BE"/>
    <w:rsid w:val="00CE7213"/>
    <w:rsid w:val="00D008F3"/>
    <w:rsid w:val="00D0142D"/>
    <w:rsid w:val="00D04DFF"/>
    <w:rsid w:val="00D15ED6"/>
    <w:rsid w:val="00D20347"/>
    <w:rsid w:val="00D4356B"/>
    <w:rsid w:val="00D7162F"/>
    <w:rsid w:val="00DA599C"/>
    <w:rsid w:val="00DB4DB5"/>
    <w:rsid w:val="00DE4D10"/>
    <w:rsid w:val="00E44A86"/>
    <w:rsid w:val="00E522EB"/>
    <w:rsid w:val="00E60827"/>
    <w:rsid w:val="00E736B6"/>
    <w:rsid w:val="00E95633"/>
    <w:rsid w:val="00EF6E0C"/>
    <w:rsid w:val="00F14477"/>
    <w:rsid w:val="00F370E5"/>
    <w:rsid w:val="00F55028"/>
    <w:rsid w:val="00F677F0"/>
    <w:rsid w:val="00F77BEF"/>
    <w:rsid w:val="00FC755C"/>
    <w:rsid w:val="00FE0D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rsid w:val="00264BBB"/>
    <w:rPr>
      <w:color w:val="808080"/>
    </w:rPr>
  </w:style>
  <w:style w:type="paragraph" w:customStyle="1" w:styleId="166A8C66AEFD4FEA86E24446828B7157">
    <w:name w:val="166A8C66AEFD4FEA86E24446828B7157"/>
    <w:rsid w:val="00264BBB"/>
    <w:pPr>
      <w:spacing w:line="278" w:lineRule="auto"/>
    </w:pPr>
    <w:rPr>
      <w:kern w:val="2"/>
      <w:sz w:val="24"/>
      <w:szCs w:val="24"/>
      <w14:ligatures w14:val="standardContextual"/>
    </w:rPr>
  </w:style>
  <w:style w:type="paragraph" w:customStyle="1" w:styleId="91D3D282C03549C7AF4457DBC96FACBB">
    <w:name w:val="91D3D282C03549C7AF4457DBC96FACBB"/>
    <w:rsid w:val="00264BBB"/>
    <w:pPr>
      <w:spacing w:line="278" w:lineRule="auto"/>
    </w:pPr>
    <w:rPr>
      <w:kern w:val="2"/>
      <w:sz w:val="24"/>
      <w:szCs w:val="24"/>
      <w14:ligatures w14:val="standardContextual"/>
    </w:rPr>
  </w:style>
  <w:style w:type="paragraph" w:customStyle="1" w:styleId="A7C56392517A461B80DA40086FE4B970">
    <w:name w:val="A7C56392517A461B80DA40086FE4B970"/>
    <w:rsid w:val="00264BB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82F7F-413D-4DE6-8F52-6C331D9D3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10966</Words>
  <Characters>6251</Characters>
  <Application>Microsoft Office Word</Application>
  <DocSecurity>0</DocSecurity>
  <Lines>52</Lines>
  <Paragraphs>34</Paragraphs>
  <ScaleCrop>false</ScaleCrop>
  <Company/>
  <LinksUpToDate>false</LinksUpToDate>
  <CharactersWithSpaces>17183</CharactersWithSpaces>
  <SharedDoc>false</SharedDoc>
  <HLinks>
    <vt:vector size="6" baseType="variant">
      <vt:variant>
        <vt:i4>5308539</vt:i4>
      </vt:variant>
      <vt:variant>
        <vt:i4>6</vt:i4>
      </vt:variant>
      <vt:variant>
        <vt:i4>0</vt:i4>
      </vt:variant>
      <vt:variant>
        <vt:i4>5</vt:i4>
      </vt:variant>
      <vt:variant>
        <vt:lpwstr>mailto:vvkt@vvkt.lt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2026-07-24T08:31:00Z</dcterms:created>
  <dcterms:modified xsi:type="dcterms:W3CDTF">2026-07-29T06:33:00Z</dcterms:modified>
</cp:coreProperties>
</file>